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37E55" w14:textId="3CE445A1" w:rsidR="00C40081" w:rsidRPr="0033100B" w:rsidRDefault="001A2A6B" w:rsidP="001A0002">
      <w:pPr>
        <w:jc w:val="center"/>
        <w:rPr>
          <w:rFonts w:ascii="Arial" w:hAnsi="Arial" w:cs="Arial"/>
          <w:sz w:val="24"/>
          <w:szCs w:val="24"/>
        </w:rPr>
      </w:pPr>
      <w:r>
        <w:rPr>
          <w:noProof/>
        </w:rPr>
        <w:drawing>
          <wp:inline distT="0" distB="0" distL="0" distR="0" wp14:anchorId="1C50137F" wp14:editId="4708B917">
            <wp:extent cx="2058247" cy="14033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DH_Logo_202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68958" cy="1410653"/>
                    </a:xfrm>
                    <a:prstGeom prst="rect">
                      <a:avLst/>
                    </a:prstGeom>
                  </pic:spPr>
                </pic:pic>
              </a:graphicData>
            </a:graphic>
          </wp:inline>
        </w:drawing>
      </w:r>
    </w:p>
    <w:p w14:paraId="30526DA7" w14:textId="77777777" w:rsidR="001A0002" w:rsidRDefault="001A0002" w:rsidP="001A0002">
      <w:pPr>
        <w:jc w:val="center"/>
        <w:rPr>
          <w:rFonts w:ascii="Arial" w:hAnsi="Arial" w:cs="Arial"/>
          <w:sz w:val="24"/>
          <w:szCs w:val="24"/>
        </w:rPr>
      </w:pPr>
    </w:p>
    <w:p w14:paraId="65457349" w14:textId="77777777" w:rsidR="00EE546D" w:rsidRDefault="00EE546D" w:rsidP="001A0002">
      <w:pPr>
        <w:jc w:val="center"/>
        <w:rPr>
          <w:rFonts w:ascii="Arial" w:hAnsi="Arial" w:cs="Arial"/>
          <w:sz w:val="24"/>
          <w:szCs w:val="24"/>
        </w:rPr>
      </w:pPr>
    </w:p>
    <w:p w14:paraId="3464ACA2" w14:textId="77777777" w:rsidR="003D71D8" w:rsidRDefault="003D71D8" w:rsidP="001A0002">
      <w:pPr>
        <w:jc w:val="center"/>
        <w:rPr>
          <w:rFonts w:ascii="Arial" w:hAnsi="Arial" w:cs="Arial"/>
          <w:sz w:val="24"/>
          <w:szCs w:val="24"/>
        </w:rPr>
      </w:pPr>
    </w:p>
    <w:p w14:paraId="153F9906" w14:textId="77777777" w:rsidR="003D71D8" w:rsidRDefault="003D71D8" w:rsidP="001A0002">
      <w:pPr>
        <w:jc w:val="center"/>
        <w:rPr>
          <w:rFonts w:ascii="Arial" w:hAnsi="Arial" w:cs="Arial"/>
          <w:sz w:val="24"/>
          <w:szCs w:val="24"/>
        </w:rPr>
      </w:pPr>
    </w:p>
    <w:p w14:paraId="43DE2A4F" w14:textId="77777777" w:rsidR="00EE546D" w:rsidRDefault="00D96F82" w:rsidP="00C40081">
      <w:pPr>
        <w:jc w:val="center"/>
        <w:rPr>
          <w:rFonts w:ascii="Arial" w:hAnsi="Arial" w:cs="Arial"/>
          <w:b/>
          <w:sz w:val="28"/>
          <w:szCs w:val="24"/>
          <w:lang w:val="fr-FR"/>
        </w:rPr>
      </w:pPr>
      <w:r>
        <w:rPr>
          <w:rFonts w:ascii="Arial" w:hAnsi="Arial" w:cs="Arial"/>
          <w:b/>
          <w:sz w:val="28"/>
          <w:szCs w:val="24"/>
          <w:lang w:val="fr-FR"/>
        </w:rPr>
        <w:t>Rapport parallèle de</w:t>
      </w:r>
      <w:r w:rsidR="00EE546D" w:rsidRPr="003D71D8">
        <w:rPr>
          <w:rFonts w:ascii="Arial" w:hAnsi="Arial" w:cs="Arial"/>
          <w:b/>
          <w:sz w:val="28"/>
          <w:szCs w:val="24"/>
          <w:lang w:val="fr-FR"/>
        </w:rPr>
        <w:t xml:space="preserve"> la Commission consultative des Droits de l’Homme du Grand-Duché de </w:t>
      </w:r>
      <w:r>
        <w:rPr>
          <w:rFonts w:ascii="Arial" w:hAnsi="Arial" w:cs="Arial"/>
          <w:b/>
          <w:sz w:val="28"/>
          <w:szCs w:val="24"/>
          <w:lang w:val="fr-FR"/>
        </w:rPr>
        <w:t>Luxembourg au Comité contre la Torture</w:t>
      </w:r>
    </w:p>
    <w:p w14:paraId="3D09FC34" w14:textId="77777777" w:rsidR="00C0719D" w:rsidRDefault="00C0719D" w:rsidP="00C40081">
      <w:pPr>
        <w:jc w:val="center"/>
        <w:rPr>
          <w:rFonts w:ascii="Arial" w:hAnsi="Arial" w:cs="Arial"/>
          <w:b/>
          <w:sz w:val="28"/>
          <w:szCs w:val="24"/>
          <w:lang w:val="fr-FR"/>
        </w:rPr>
      </w:pPr>
    </w:p>
    <w:p w14:paraId="431D391F" w14:textId="77777777" w:rsidR="00D96F82" w:rsidRPr="003D71D8" w:rsidRDefault="00D96F82" w:rsidP="00C40081">
      <w:pPr>
        <w:jc w:val="center"/>
        <w:rPr>
          <w:rFonts w:ascii="Arial" w:hAnsi="Arial" w:cs="Arial"/>
          <w:b/>
          <w:sz w:val="28"/>
          <w:szCs w:val="24"/>
          <w:lang w:val="fr-FR"/>
        </w:rPr>
      </w:pPr>
      <w:r>
        <w:rPr>
          <w:rFonts w:ascii="Arial" w:hAnsi="Arial" w:cs="Arial"/>
          <w:b/>
          <w:sz w:val="28"/>
          <w:szCs w:val="24"/>
          <w:lang w:val="fr-FR"/>
        </w:rPr>
        <w:t>Mars 2023</w:t>
      </w:r>
    </w:p>
    <w:p w14:paraId="5325391F" w14:textId="77777777" w:rsidR="00EE546D" w:rsidRPr="003D71D8" w:rsidRDefault="00EE546D" w:rsidP="00EE546D">
      <w:pPr>
        <w:tabs>
          <w:tab w:val="left" w:pos="3081"/>
        </w:tabs>
        <w:rPr>
          <w:rFonts w:ascii="Arial" w:hAnsi="Arial" w:cs="Arial"/>
          <w:b/>
          <w:sz w:val="28"/>
          <w:szCs w:val="24"/>
          <w:lang w:val="fr-FR"/>
        </w:rPr>
      </w:pPr>
      <w:r w:rsidRPr="003D71D8">
        <w:rPr>
          <w:rFonts w:ascii="Arial" w:hAnsi="Arial" w:cs="Arial"/>
          <w:b/>
          <w:sz w:val="28"/>
          <w:szCs w:val="24"/>
          <w:lang w:val="fr-FR"/>
        </w:rPr>
        <w:tab/>
      </w:r>
    </w:p>
    <w:p w14:paraId="560D3274" w14:textId="77777777" w:rsidR="00EE546D" w:rsidRDefault="00EE546D" w:rsidP="00C40081">
      <w:pPr>
        <w:jc w:val="center"/>
        <w:rPr>
          <w:rFonts w:ascii="Arial" w:hAnsi="Arial" w:cs="Arial"/>
          <w:b/>
          <w:sz w:val="24"/>
          <w:szCs w:val="24"/>
          <w:lang w:val="fr-FR"/>
        </w:rPr>
      </w:pPr>
    </w:p>
    <w:p w14:paraId="53555DF6" w14:textId="77777777" w:rsidR="00EE546D" w:rsidRDefault="00EE546D" w:rsidP="00C40081">
      <w:pPr>
        <w:jc w:val="center"/>
        <w:rPr>
          <w:rFonts w:ascii="Arial" w:hAnsi="Arial" w:cs="Arial"/>
          <w:b/>
          <w:sz w:val="24"/>
          <w:szCs w:val="24"/>
          <w:lang w:val="fr-FR"/>
        </w:rPr>
      </w:pPr>
    </w:p>
    <w:p w14:paraId="0D028DB2" w14:textId="77777777" w:rsidR="00EE546D" w:rsidRDefault="00EE546D" w:rsidP="00C40081">
      <w:pPr>
        <w:jc w:val="center"/>
        <w:rPr>
          <w:rFonts w:ascii="Arial" w:hAnsi="Arial" w:cs="Arial"/>
          <w:b/>
          <w:sz w:val="24"/>
          <w:szCs w:val="24"/>
          <w:lang w:val="fr-FR"/>
        </w:rPr>
      </w:pPr>
    </w:p>
    <w:p w14:paraId="3602ABA6" w14:textId="77777777" w:rsidR="00EE546D" w:rsidRDefault="00EE546D" w:rsidP="00C40081">
      <w:pPr>
        <w:jc w:val="center"/>
        <w:rPr>
          <w:rFonts w:ascii="Arial" w:hAnsi="Arial" w:cs="Arial"/>
          <w:b/>
          <w:sz w:val="24"/>
          <w:szCs w:val="24"/>
          <w:lang w:val="fr-FR"/>
        </w:rPr>
      </w:pPr>
    </w:p>
    <w:p w14:paraId="1F7FCBCF" w14:textId="77777777" w:rsidR="00312889" w:rsidRDefault="00312889" w:rsidP="00C40081">
      <w:pPr>
        <w:jc w:val="center"/>
        <w:rPr>
          <w:rFonts w:ascii="Arial" w:hAnsi="Arial" w:cs="Arial"/>
          <w:b/>
          <w:sz w:val="24"/>
          <w:szCs w:val="24"/>
          <w:lang w:val="fr-FR"/>
        </w:rPr>
      </w:pPr>
    </w:p>
    <w:p w14:paraId="04BA8923" w14:textId="77777777" w:rsidR="00312889" w:rsidRDefault="00312889" w:rsidP="00C40081">
      <w:pPr>
        <w:jc w:val="center"/>
        <w:rPr>
          <w:rFonts w:ascii="Arial" w:hAnsi="Arial" w:cs="Arial"/>
          <w:b/>
          <w:sz w:val="24"/>
          <w:szCs w:val="24"/>
          <w:lang w:val="fr-FR"/>
        </w:rPr>
      </w:pPr>
    </w:p>
    <w:p w14:paraId="032BBB64" w14:textId="77777777" w:rsidR="00EE546D" w:rsidRPr="003D71D8" w:rsidRDefault="00EE546D" w:rsidP="00C40081">
      <w:pPr>
        <w:jc w:val="center"/>
        <w:rPr>
          <w:rFonts w:ascii="Arial" w:hAnsi="Arial" w:cs="Arial"/>
          <w:b/>
          <w:sz w:val="28"/>
          <w:szCs w:val="24"/>
          <w:lang w:val="fr-FR"/>
        </w:rPr>
      </w:pPr>
    </w:p>
    <w:p w14:paraId="3FC09D3B" w14:textId="77777777" w:rsidR="00D96F82" w:rsidRDefault="00D96F82">
      <w:pPr>
        <w:rPr>
          <w:rFonts w:ascii="Arial" w:hAnsi="Arial" w:cs="Arial"/>
          <w:b/>
          <w:sz w:val="28"/>
          <w:szCs w:val="24"/>
          <w:lang w:val="fr-FR"/>
        </w:rPr>
      </w:pPr>
      <w:r>
        <w:rPr>
          <w:rFonts w:ascii="Arial" w:hAnsi="Arial" w:cs="Arial"/>
          <w:b/>
          <w:sz w:val="28"/>
          <w:szCs w:val="24"/>
          <w:lang w:val="fr-FR"/>
        </w:rPr>
        <w:br w:type="page"/>
      </w:r>
    </w:p>
    <w:sdt>
      <w:sdtPr>
        <w:rPr>
          <w:rFonts w:asciiTheme="minorHAnsi" w:eastAsiaTheme="minorHAnsi" w:hAnsiTheme="minorHAnsi" w:cstheme="minorBidi"/>
          <w:color w:val="auto"/>
          <w:sz w:val="22"/>
          <w:szCs w:val="22"/>
        </w:rPr>
        <w:id w:val="-1837063306"/>
        <w:docPartObj>
          <w:docPartGallery w:val="Table of Contents"/>
          <w:docPartUnique/>
        </w:docPartObj>
      </w:sdtPr>
      <w:sdtEndPr>
        <w:rPr>
          <w:b/>
          <w:bCs/>
          <w:noProof/>
        </w:rPr>
      </w:sdtEndPr>
      <w:sdtContent>
        <w:p w14:paraId="5B5CB93A" w14:textId="77777777" w:rsidR="00EE546D" w:rsidRDefault="00EE546D" w:rsidP="00EE546D">
          <w:pPr>
            <w:pStyle w:val="TOCHeading"/>
            <w:jc w:val="center"/>
            <w:rPr>
              <w:rFonts w:ascii="Arial" w:hAnsi="Arial" w:cs="Arial"/>
              <w:b/>
              <w:color w:val="auto"/>
              <w:sz w:val="28"/>
              <w:szCs w:val="24"/>
            </w:rPr>
          </w:pPr>
          <w:r w:rsidRPr="00EE546D">
            <w:rPr>
              <w:rFonts w:ascii="Arial" w:hAnsi="Arial" w:cs="Arial"/>
              <w:b/>
              <w:color w:val="auto"/>
              <w:sz w:val="28"/>
              <w:szCs w:val="24"/>
            </w:rPr>
            <w:t>Table des matières</w:t>
          </w:r>
        </w:p>
        <w:p w14:paraId="0F3AB9EB" w14:textId="77777777" w:rsidR="00EE546D" w:rsidRPr="00EE546D" w:rsidRDefault="00EE546D" w:rsidP="00EE546D"/>
        <w:p w14:paraId="5AFB29A9" w14:textId="62C58FDE" w:rsidR="003D71D8" w:rsidRPr="003D71D8" w:rsidRDefault="00EE546D">
          <w:pPr>
            <w:pStyle w:val="TOC1"/>
            <w:tabs>
              <w:tab w:val="left" w:pos="440"/>
              <w:tab w:val="right" w:leader="dot" w:pos="9016"/>
            </w:tabs>
            <w:rPr>
              <w:rFonts w:ascii="Arial" w:eastAsiaTheme="minorEastAsia" w:hAnsi="Arial" w:cs="Arial"/>
              <w:noProof/>
              <w:sz w:val="24"/>
              <w:szCs w:val="24"/>
            </w:rPr>
          </w:pPr>
          <w:r w:rsidRPr="003D71D8">
            <w:rPr>
              <w:rFonts w:ascii="Arial" w:hAnsi="Arial" w:cs="Arial"/>
              <w:sz w:val="24"/>
              <w:szCs w:val="24"/>
            </w:rPr>
            <w:fldChar w:fldCharType="begin"/>
          </w:r>
          <w:r w:rsidRPr="003D71D8">
            <w:rPr>
              <w:rFonts w:ascii="Arial" w:hAnsi="Arial" w:cs="Arial"/>
              <w:sz w:val="24"/>
              <w:szCs w:val="24"/>
            </w:rPr>
            <w:instrText xml:space="preserve"> TOC \o "1-3" \h \z \u </w:instrText>
          </w:r>
          <w:r w:rsidRPr="003D71D8">
            <w:rPr>
              <w:rFonts w:ascii="Arial" w:hAnsi="Arial" w:cs="Arial"/>
              <w:sz w:val="24"/>
              <w:szCs w:val="24"/>
            </w:rPr>
            <w:fldChar w:fldCharType="separate"/>
          </w:r>
          <w:hyperlink w:anchor="_Toc129876588" w:history="1">
            <w:r w:rsidR="003D71D8" w:rsidRPr="003D71D8">
              <w:rPr>
                <w:rStyle w:val="Hyperlink"/>
                <w:rFonts w:ascii="Arial" w:hAnsi="Arial" w:cs="Arial"/>
                <w:noProof/>
                <w:sz w:val="24"/>
                <w:szCs w:val="24"/>
              </w:rPr>
              <w:t>1.</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Observations générales</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_Toc129876588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3</w:t>
            </w:r>
            <w:r w:rsidR="003D71D8" w:rsidRPr="003D71D8">
              <w:rPr>
                <w:rFonts w:ascii="Arial" w:hAnsi="Arial" w:cs="Arial"/>
                <w:noProof/>
                <w:webHidden/>
                <w:sz w:val="24"/>
                <w:szCs w:val="24"/>
              </w:rPr>
              <w:fldChar w:fldCharType="end"/>
            </w:r>
          </w:hyperlink>
        </w:p>
        <w:p w14:paraId="707A288F" w14:textId="23F0F06E" w:rsidR="003D71D8" w:rsidRPr="003D71D8" w:rsidRDefault="003C4F8A">
          <w:pPr>
            <w:pStyle w:val="TOC1"/>
            <w:tabs>
              <w:tab w:val="left" w:pos="440"/>
              <w:tab w:val="right" w:leader="dot" w:pos="9016"/>
            </w:tabs>
            <w:rPr>
              <w:rFonts w:ascii="Arial" w:eastAsiaTheme="minorEastAsia" w:hAnsi="Arial" w:cs="Arial"/>
              <w:noProof/>
              <w:sz w:val="24"/>
              <w:szCs w:val="24"/>
            </w:rPr>
          </w:pPr>
          <w:hyperlink w:anchor="_Toc129876589" w:history="1">
            <w:r w:rsidR="003D71D8" w:rsidRPr="003D71D8">
              <w:rPr>
                <w:rStyle w:val="Hyperlink"/>
                <w:rFonts w:ascii="Arial" w:hAnsi="Arial" w:cs="Arial"/>
                <w:noProof/>
                <w:sz w:val="24"/>
                <w:szCs w:val="24"/>
              </w:rPr>
              <w:t>2.</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Réponses aux questions posées dans la liste de points établie avant la soumission du rapport</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_Toc129876589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3</w:t>
            </w:r>
            <w:r w:rsidR="003D71D8" w:rsidRPr="003D71D8">
              <w:rPr>
                <w:rFonts w:ascii="Arial" w:hAnsi="Arial" w:cs="Arial"/>
                <w:noProof/>
                <w:webHidden/>
                <w:sz w:val="24"/>
                <w:szCs w:val="24"/>
              </w:rPr>
              <w:fldChar w:fldCharType="end"/>
            </w:r>
          </w:hyperlink>
        </w:p>
        <w:p w14:paraId="1972F2EF" w14:textId="1EF055D7"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590" w:history="1">
            <w:r w:rsidR="003D71D8" w:rsidRPr="003D71D8">
              <w:rPr>
                <w:rStyle w:val="Hyperlink"/>
                <w:rFonts w:ascii="Arial" w:hAnsi="Arial" w:cs="Arial"/>
                <w:noProof/>
                <w:sz w:val="24"/>
                <w:szCs w:val="24"/>
              </w:rPr>
              <w:t>A.</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2</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_Toc129876590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3</w:t>
            </w:r>
            <w:r w:rsidR="003D71D8" w:rsidRPr="003D71D8">
              <w:rPr>
                <w:rFonts w:ascii="Arial" w:hAnsi="Arial" w:cs="Arial"/>
                <w:noProof/>
                <w:webHidden/>
                <w:sz w:val="24"/>
                <w:szCs w:val="24"/>
              </w:rPr>
              <w:fldChar w:fldCharType="end"/>
            </w:r>
          </w:hyperlink>
        </w:p>
        <w:p w14:paraId="69DE6D66" w14:textId="551C3CC0"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591" w:history="1">
            <w:r w:rsidR="003D71D8" w:rsidRPr="003D71D8">
              <w:rPr>
                <w:rStyle w:val="Hyperlink"/>
                <w:rFonts w:ascii="Arial" w:hAnsi="Arial" w:cs="Arial"/>
                <w:noProof/>
                <w:sz w:val="24"/>
                <w:szCs w:val="24"/>
              </w:rPr>
              <w:t>C.</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au paragraphe 2(b)</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_Toc129876591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4</w:t>
            </w:r>
            <w:r w:rsidR="003D71D8" w:rsidRPr="003D71D8">
              <w:rPr>
                <w:rFonts w:ascii="Arial" w:hAnsi="Arial" w:cs="Arial"/>
                <w:noProof/>
                <w:webHidden/>
                <w:sz w:val="24"/>
                <w:szCs w:val="24"/>
              </w:rPr>
              <w:fldChar w:fldCharType="end"/>
            </w:r>
          </w:hyperlink>
        </w:p>
        <w:p w14:paraId="1517D333" w14:textId="276351C2"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592" w:history="1">
            <w:r w:rsidR="003D71D8" w:rsidRPr="003D71D8">
              <w:rPr>
                <w:rStyle w:val="Hyperlink"/>
                <w:rFonts w:ascii="Arial" w:hAnsi="Arial" w:cs="Arial"/>
                <w:noProof/>
                <w:sz w:val="24"/>
                <w:szCs w:val="24"/>
              </w:rPr>
              <w:t>D.</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2(c)</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_Toc129876592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4</w:t>
            </w:r>
            <w:r w:rsidR="003D71D8" w:rsidRPr="003D71D8">
              <w:rPr>
                <w:rFonts w:ascii="Arial" w:hAnsi="Arial" w:cs="Arial"/>
                <w:noProof/>
                <w:webHidden/>
                <w:sz w:val="24"/>
                <w:szCs w:val="24"/>
              </w:rPr>
              <w:fldChar w:fldCharType="end"/>
            </w:r>
          </w:hyperlink>
        </w:p>
        <w:p w14:paraId="4E0E09A4" w14:textId="43E7370E"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593" w:history="1">
            <w:r w:rsidR="003D71D8" w:rsidRPr="003D71D8">
              <w:rPr>
                <w:rStyle w:val="Hyperlink"/>
                <w:rFonts w:ascii="Arial" w:hAnsi="Arial" w:cs="Arial"/>
                <w:noProof/>
                <w:sz w:val="24"/>
                <w:szCs w:val="24"/>
              </w:rPr>
              <w:t>E.</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2(d)</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_Toc129876593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5</w:t>
            </w:r>
            <w:r w:rsidR="003D71D8" w:rsidRPr="003D71D8">
              <w:rPr>
                <w:rFonts w:ascii="Arial" w:hAnsi="Arial" w:cs="Arial"/>
                <w:noProof/>
                <w:webHidden/>
                <w:sz w:val="24"/>
                <w:szCs w:val="24"/>
              </w:rPr>
              <w:fldChar w:fldCharType="end"/>
            </w:r>
          </w:hyperlink>
        </w:p>
        <w:p w14:paraId="0B94C8AD" w14:textId="553E3EDF"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594" w:history="1">
            <w:r w:rsidR="003D71D8" w:rsidRPr="003D71D8">
              <w:rPr>
                <w:rStyle w:val="Hyperlink"/>
                <w:rFonts w:ascii="Arial" w:hAnsi="Arial" w:cs="Arial"/>
                <w:noProof/>
                <w:sz w:val="24"/>
                <w:szCs w:val="24"/>
              </w:rPr>
              <w:t>F.</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3(a)</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_Toc129876594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7</w:t>
            </w:r>
            <w:r w:rsidR="003D71D8" w:rsidRPr="003D71D8">
              <w:rPr>
                <w:rFonts w:ascii="Arial" w:hAnsi="Arial" w:cs="Arial"/>
                <w:noProof/>
                <w:webHidden/>
                <w:sz w:val="24"/>
                <w:szCs w:val="24"/>
              </w:rPr>
              <w:fldChar w:fldCharType="end"/>
            </w:r>
          </w:hyperlink>
        </w:p>
        <w:p w14:paraId="65E33E22" w14:textId="6C68C89C"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595" w:history="1">
            <w:r w:rsidR="003D71D8" w:rsidRPr="003D71D8">
              <w:rPr>
                <w:rStyle w:val="Hyperlink"/>
                <w:rFonts w:ascii="Arial" w:hAnsi="Arial" w:cs="Arial"/>
                <w:noProof/>
                <w:sz w:val="24"/>
                <w:szCs w:val="24"/>
              </w:rPr>
              <w:t>G.</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3(b)</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_Toc129876595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7</w:t>
            </w:r>
            <w:r w:rsidR="003D71D8" w:rsidRPr="003D71D8">
              <w:rPr>
                <w:rFonts w:ascii="Arial" w:hAnsi="Arial" w:cs="Arial"/>
                <w:noProof/>
                <w:webHidden/>
                <w:sz w:val="24"/>
                <w:szCs w:val="24"/>
              </w:rPr>
              <w:fldChar w:fldCharType="end"/>
            </w:r>
          </w:hyperlink>
        </w:p>
        <w:p w14:paraId="59D37B69" w14:textId="66F66DAE"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596" w:history="1">
            <w:r w:rsidR="003D71D8" w:rsidRPr="003D71D8">
              <w:rPr>
                <w:rStyle w:val="Hyperlink"/>
                <w:rFonts w:ascii="Arial" w:hAnsi="Arial" w:cs="Arial"/>
                <w:noProof/>
                <w:sz w:val="24"/>
                <w:szCs w:val="24"/>
              </w:rPr>
              <w:t>H.</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3(c)</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_Toc129876596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8</w:t>
            </w:r>
            <w:r w:rsidR="003D71D8" w:rsidRPr="003D71D8">
              <w:rPr>
                <w:rFonts w:ascii="Arial" w:hAnsi="Arial" w:cs="Arial"/>
                <w:noProof/>
                <w:webHidden/>
                <w:sz w:val="24"/>
                <w:szCs w:val="24"/>
              </w:rPr>
              <w:fldChar w:fldCharType="end"/>
            </w:r>
          </w:hyperlink>
        </w:p>
        <w:p w14:paraId="21325BEA" w14:textId="726EA4DE"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597" w:history="1">
            <w:r w:rsidR="003D71D8" w:rsidRPr="003D71D8">
              <w:rPr>
                <w:rStyle w:val="Hyperlink"/>
                <w:rFonts w:ascii="Arial" w:hAnsi="Arial" w:cs="Arial"/>
                <w:noProof/>
                <w:sz w:val="24"/>
                <w:szCs w:val="24"/>
              </w:rPr>
              <w:t>I.</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4</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_Toc129876597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10</w:t>
            </w:r>
            <w:r w:rsidR="003D71D8" w:rsidRPr="003D71D8">
              <w:rPr>
                <w:rFonts w:ascii="Arial" w:hAnsi="Arial" w:cs="Arial"/>
                <w:noProof/>
                <w:webHidden/>
                <w:sz w:val="24"/>
                <w:szCs w:val="24"/>
              </w:rPr>
              <w:fldChar w:fldCharType="end"/>
            </w:r>
          </w:hyperlink>
        </w:p>
        <w:p w14:paraId="23FCE1A6" w14:textId="47760EA1"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598" w:history="1">
            <w:r w:rsidR="003D71D8" w:rsidRPr="003D71D8">
              <w:rPr>
                <w:rStyle w:val="Hyperlink"/>
                <w:rFonts w:ascii="Arial" w:hAnsi="Arial" w:cs="Arial"/>
                <w:noProof/>
                <w:sz w:val="24"/>
                <w:szCs w:val="24"/>
              </w:rPr>
              <w:t>L.</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5(c)</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_Toc129876598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11</w:t>
            </w:r>
            <w:r w:rsidR="003D71D8" w:rsidRPr="003D71D8">
              <w:rPr>
                <w:rFonts w:ascii="Arial" w:hAnsi="Arial" w:cs="Arial"/>
                <w:noProof/>
                <w:webHidden/>
                <w:sz w:val="24"/>
                <w:szCs w:val="24"/>
              </w:rPr>
              <w:fldChar w:fldCharType="end"/>
            </w:r>
          </w:hyperlink>
        </w:p>
        <w:p w14:paraId="37695547" w14:textId="5FC0DE1D"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599" w:history="1">
            <w:r w:rsidR="003D71D8" w:rsidRPr="003D71D8">
              <w:rPr>
                <w:rStyle w:val="Hyperlink"/>
                <w:rFonts w:ascii="Arial" w:hAnsi="Arial" w:cs="Arial"/>
                <w:noProof/>
                <w:sz w:val="24"/>
                <w:szCs w:val="24"/>
              </w:rPr>
              <w:t>Q.</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pragraphe 6(c)</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_Toc129876599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11</w:t>
            </w:r>
            <w:r w:rsidR="003D71D8" w:rsidRPr="003D71D8">
              <w:rPr>
                <w:rFonts w:ascii="Arial" w:hAnsi="Arial" w:cs="Arial"/>
                <w:noProof/>
                <w:webHidden/>
                <w:sz w:val="24"/>
                <w:szCs w:val="24"/>
              </w:rPr>
              <w:fldChar w:fldCharType="end"/>
            </w:r>
          </w:hyperlink>
        </w:p>
        <w:p w14:paraId="5EF95291" w14:textId="35B3D3A0"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600" w:history="1">
            <w:r w:rsidR="003D71D8" w:rsidRPr="003D71D8">
              <w:rPr>
                <w:rStyle w:val="Hyperlink"/>
                <w:rFonts w:ascii="Arial" w:hAnsi="Arial" w:cs="Arial"/>
                <w:noProof/>
                <w:sz w:val="24"/>
                <w:szCs w:val="24"/>
              </w:rPr>
              <w:t>T.</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8</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_Toc129876600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11</w:t>
            </w:r>
            <w:r w:rsidR="003D71D8" w:rsidRPr="003D71D8">
              <w:rPr>
                <w:rFonts w:ascii="Arial" w:hAnsi="Arial" w:cs="Arial"/>
                <w:noProof/>
                <w:webHidden/>
                <w:sz w:val="24"/>
                <w:szCs w:val="24"/>
              </w:rPr>
              <w:fldChar w:fldCharType="end"/>
            </w:r>
          </w:hyperlink>
        </w:p>
        <w:p w14:paraId="1DE17359" w14:textId="7FAEC78F"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601" w:history="1">
            <w:r w:rsidR="003D71D8" w:rsidRPr="003D71D8">
              <w:rPr>
                <w:rStyle w:val="Hyperlink"/>
                <w:rFonts w:ascii="Arial" w:hAnsi="Arial" w:cs="Arial"/>
                <w:noProof/>
                <w:sz w:val="24"/>
                <w:szCs w:val="24"/>
              </w:rPr>
              <w:t>U.</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9(d)</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_Toc129876601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12</w:t>
            </w:r>
            <w:r w:rsidR="003D71D8" w:rsidRPr="003D71D8">
              <w:rPr>
                <w:rFonts w:ascii="Arial" w:hAnsi="Arial" w:cs="Arial"/>
                <w:noProof/>
                <w:webHidden/>
                <w:sz w:val="24"/>
                <w:szCs w:val="24"/>
              </w:rPr>
              <w:fldChar w:fldCharType="end"/>
            </w:r>
          </w:hyperlink>
        </w:p>
        <w:p w14:paraId="6D12DBAC" w14:textId="78BC7544"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602" w:history="1">
            <w:r w:rsidR="003D71D8" w:rsidRPr="003D71D8">
              <w:rPr>
                <w:rStyle w:val="Hyperlink"/>
                <w:rFonts w:ascii="Arial" w:hAnsi="Arial" w:cs="Arial"/>
                <w:noProof/>
                <w:sz w:val="24"/>
                <w:szCs w:val="24"/>
              </w:rPr>
              <w:t>V.</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10(a)</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_Toc129876602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12</w:t>
            </w:r>
            <w:r w:rsidR="003D71D8" w:rsidRPr="003D71D8">
              <w:rPr>
                <w:rFonts w:ascii="Arial" w:hAnsi="Arial" w:cs="Arial"/>
                <w:noProof/>
                <w:webHidden/>
                <w:sz w:val="24"/>
                <w:szCs w:val="24"/>
              </w:rPr>
              <w:fldChar w:fldCharType="end"/>
            </w:r>
          </w:hyperlink>
        </w:p>
        <w:p w14:paraId="0782341F" w14:textId="27F81B24" w:rsidR="003D71D8" w:rsidRPr="003D71D8" w:rsidRDefault="003C4F8A">
          <w:pPr>
            <w:pStyle w:val="TOC2"/>
            <w:tabs>
              <w:tab w:val="left" w:pos="880"/>
              <w:tab w:val="right" w:leader="dot" w:pos="9016"/>
            </w:tabs>
            <w:rPr>
              <w:rFonts w:ascii="Arial" w:eastAsiaTheme="minorEastAsia" w:hAnsi="Arial" w:cs="Arial"/>
              <w:noProof/>
              <w:sz w:val="24"/>
              <w:szCs w:val="24"/>
            </w:rPr>
          </w:pPr>
          <w:hyperlink w:anchor="_Toc129876603" w:history="1">
            <w:r w:rsidR="003D71D8" w:rsidRPr="003D71D8">
              <w:rPr>
                <w:rStyle w:val="Hyperlink"/>
                <w:rFonts w:ascii="Arial" w:hAnsi="Arial" w:cs="Arial"/>
                <w:noProof/>
                <w:sz w:val="24"/>
                <w:szCs w:val="24"/>
              </w:rPr>
              <w:t>W.</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10(b)</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_Toc129876603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12</w:t>
            </w:r>
            <w:r w:rsidR="003D71D8" w:rsidRPr="003D71D8">
              <w:rPr>
                <w:rFonts w:ascii="Arial" w:hAnsi="Arial" w:cs="Arial"/>
                <w:noProof/>
                <w:webHidden/>
                <w:sz w:val="24"/>
                <w:szCs w:val="24"/>
              </w:rPr>
              <w:fldChar w:fldCharType="end"/>
            </w:r>
          </w:hyperlink>
        </w:p>
        <w:p w14:paraId="29164CA0" w14:textId="587FD0C1"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604" w:history="1">
            <w:r w:rsidR="003D71D8" w:rsidRPr="003D71D8">
              <w:rPr>
                <w:rStyle w:val="Hyperlink"/>
                <w:rFonts w:ascii="Arial" w:hAnsi="Arial" w:cs="Arial"/>
                <w:noProof/>
                <w:sz w:val="24"/>
                <w:szCs w:val="24"/>
              </w:rPr>
              <w:t>X.</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10(c)</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_Toc129876604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13</w:t>
            </w:r>
            <w:r w:rsidR="003D71D8" w:rsidRPr="003D71D8">
              <w:rPr>
                <w:rFonts w:ascii="Arial" w:hAnsi="Arial" w:cs="Arial"/>
                <w:noProof/>
                <w:webHidden/>
                <w:sz w:val="24"/>
                <w:szCs w:val="24"/>
              </w:rPr>
              <w:fldChar w:fldCharType="end"/>
            </w:r>
          </w:hyperlink>
        </w:p>
        <w:p w14:paraId="578654EA" w14:textId="3FB184B8" w:rsidR="003D71D8" w:rsidRPr="003D71D8" w:rsidRDefault="003C4F8A">
          <w:pPr>
            <w:pStyle w:val="TOC2"/>
            <w:tabs>
              <w:tab w:val="left" w:pos="660"/>
              <w:tab w:val="right" w:leader="dot" w:pos="9016"/>
            </w:tabs>
            <w:rPr>
              <w:rFonts w:ascii="Arial" w:eastAsiaTheme="minorEastAsia" w:hAnsi="Arial" w:cs="Arial"/>
              <w:noProof/>
              <w:sz w:val="24"/>
              <w:szCs w:val="24"/>
            </w:rPr>
          </w:pPr>
          <w:hyperlink w:anchor="_Toc129876605" w:history="1">
            <w:r w:rsidR="003D71D8" w:rsidRPr="003D71D8">
              <w:rPr>
                <w:rStyle w:val="Hyperlink"/>
                <w:rFonts w:ascii="Arial" w:hAnsi="Arial" w:cs="Arial"/>
                <w:noProof/>
                <w:sz w:val="24"/>
                <w:szCs w:val="24"/>
              </w:rPr>
              <w:t>Z.</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11(a)</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_Toc129876605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14</w:t>
            </w:r>
            <w:r w:rsidR="003D71D8" w:rsidRPr="003D71D8">
              <w:rPr>
                <w:rFonts w:ascii="Arial" w:hAnsi="Arial" w:cs="Arial"/>
                <w:noProof/>
                <w:webHidden/>
                <w:sz w:val="24"/>
                <w:szCs w:val="24"/>
              </w:rPr>
              <w:fldChar w:fldCharType="end"/>
            </w:r>
          </w:hyperlink>
        </w:p>
        <w:p w14:paraId="57747716" w14:textId="4FB7408E" w:rsidR="003D71D8" w:rsidRPr="003D71D8" w:rsidRDefault="003C4F8A">
          <w:pPr>
            <w:pStyle w:val="TOC2"/>
            <w:tabs>
              <w:tab w:val="right" w:leader="dot" w:pos="9016"/>
            </w:tabs>
            <w:rPr>
              <w:rFonts w:ascii="Arial" w:eastAsiaTheme="minorEastAsia" w:hAnsi="Arial" w:cs="Arial"/>
              <w:noProof/>
              <w:sz w:val="24"/>
              <w:szCs w:val="24"/>
            </w:rPr>
          </w:pPr>
          <w:hyperlink w:anchor="_Toc129876606" w:history="1">
            <w:r w:rsidR="003D71D8" w:rsidRPr="003D71D8">
              <w:rPr>
                <w:rStyle w:val="Hyperlink"/>
                <w:rFonts w:ascii="Arial" w:hAnsi="Arial" w:cs="Arial"/>
                <w:noProof/>
                <w:sz w:val="24"/>
                <w:szCs w:val="24"/>
              </w:rPr>
              <w:t>AB. Réponse à la question posée au paragraphe 11(c)</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_Toc129876606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14</w:t>
            </w:r>
            <w:r w:rsidR="003D71D8" w:rsidRPr="003D71D8">
              <w:rPr>
                <w:rFonts w:ascii="Arial" w:hAnsi="Arial" w:cs="Arial"/>
                <w:noProof/>
                <w:webHidden/>
                <w:sz w:val="24"/>
                <w:szCs w:val="24"/>
              </w:rPr>
              <w:fldChar w:fldCharType="end"/>
            </w:r>
          </w:hyperlink>
        </w:p>
        <w:p w14:paraId="2A097E48" w14:textId="0B2523D4" w:rsidR="003D71D8" w:rsidRPr="003D71D8" w:rsidRDefault="003C4F8A">
          <w:pPr>
            <w:pStyle w:val="TOC2"/>
            <w:tabs>
              <w:tab w:val="right" w:leader="dot" w:pos="9016"/>
            </w:tabs>
            <w:rPr>
              <w:rFonts w:ascii="Arial" w:eastAsiaTheme="minorEastAsia" w:hAnsi="Arial" w:cs="Arial"/>
              <w:noProof/>
              <w:sz w:val="24"/>
              <w:szCs w:val="24"/>
            </w:rPr>
          </w:pPr>
          <w:hyperlink w:anchor="_Toc129876607" w:history="1">
            <w:r w:rsidR="003D71D8" w:rsidRPr="003D71D8">
              <w:rPr>
                <w:rStyle w:val="Hyperlink"/>
                <w:rFonts w:ascii="Arial" w:hAnsi="Arial" w:cs="Arial"/>
                <w:noProof/>
                <w:sz w:val="24"/>
                <w:szCs w:val="24"/>
              </w:rPr>
              <w:t>AC. Réponse à la question posée au paragraphe 12</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_Toc129876607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14</w:t>
            </w:r>
            <w:r w:rsidR="003D71D8" w:rsidRPr="003D71D8">
              <w:rPr>
                <w:rFonts w:ascii="Arial" w:hAnsi="Arial" w:cs="Arial"/>
                <w:noProof/>
                <w:webHidden/>
                <w:sz w:val="24"/>
                <w:szCs w:val="24"/>
              </w:rPr>
              <w:fldChar w:fldCharType="end"/>
            </w:r>
          </w:hyperlink>
        </w:p>
        <w:p w14:paraId="493E4A3A" w14:textId="692C4C8C" w:rsidR="003D71D8" w:rsidRPr="003D71D8" w:rsidRDefault="003C4F8A">
          <w:pPr>
            <w:pStyle w:val="TOC2"/>
            <w:tabs>
              <w:tab w:val="right" w:leader="dot" w:pos="9016"/>
            </w:tabs>
            <w:rPr>
              <w:rFonts w:ascii="Arial" w:eastAsiaTheme="minorEastAsia" w:hAnsi="Arial" w:cs="Arial"/>
              <w:noProof/>
              <w:sz w:val="24"/>
              <w:szCs w:val="24"/>
            </w:rPr>
          </w:pPr>
          <w:hyperlink w:anchor="_Toc129876608" w:history="1">
            <w:r w:rsidR="003D71D8" w:rsidRPr="003D71D8">
              <w:rPr>
                <w:rStyle w:val="Hyperlink"/>
                <w:rFonts w:ascii="Arial" w:hAnsi="Arial" w:cs="Arial"/>
                <w:noProof/>
                <w:sz w:val="24"/>
                <w:szCs w:val="24"/>
              </w:rPr>
              <w:t>AD. Réponse à la question posée au paragraphe 12(b)</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_Toc129876608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16</w:t>
            </w:r>
            <w:r w:rsidR="003D71D8" w:rsidRPr="003D71D8">
              <w:rPr>
                <w:rFonts w:ascii="Arial" w:hAnsi="Arial" w:cs="Arial"/>
                <w:noProof/>
                <w:webHidden/>
                <w:sz w:val="24"/>
                <w:szCs w:val="24"/>
              </w:rPr>
              <w:fldChar w:fldCharType="end"/>
            </w:r>
          </w:hyperlink>
        </w:p>
        <w:p w14:paraId="75B26424" w14:textId="4A32D220" w:rsidR="003D71D8" w:rsidRPr="003D71D8" w:rsidRDefault="003C4F8A">
          <w:pPr>
            <w:pStyle w:val="TOC2"/>
            <w:tabs>
              <w:tab w:val="right" w:leader="dot" w:pos="9016"/>
            </w:tabs>
            <w:rPr>
              <w:rFonts w:ascii="Arial" w:eastAsiaTheme="minorEastAsia" w:hAnsi="Arial" w:cs="Arial"/>
              <w:noProof/>
              <w:sz w:val="24"/>
              <w:szCs w:val="24"/>
            </w:rPr>
          </w:pPr>
          <w:hyperlink w:anchor="_Toc129876609" w:history="1">
            <w:r w:rsidR="003D71D8" w:rsidRPr="003D71D8">
              <w:rPr>
                <w:rStyle w:val="Hyperlink"/>
                <w:rFonts w:ascii="Arial" w:hAnsi="Arial" w:cs="Arial"/>
                <w:noProof/>
                <w:sz w:val="24"/>
                <w:szCs w:val="24"/>
              </w:rPr>
              <w:t>AF. Réponse à la question posée au paragraphe 12(d)</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_Toc129876609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17</w:t>
            </w:r>
            <w:r w:rsidR="003D71D8" w:rsidRPr="003D71D8">
              <w:rPr>
                <w:rFonts w:ascii="Arial" w:hAnsi="Arial" w:cs="Arial"/>
                <w:noProof/>
                <w:webHidden/>
                <w:sz w:val="24"/>
                <w:szCs w:val="24"/>
              </w:rPr>
              <w:fldChar w:fldCharType="end"/>
            </w:r>
          </w:hyperlink>
        </w:p>
        <w:p w14:paraId="57B8A772" w14:textId="17B08390" w:rsidR="003D71D8" w:rsidRPr="003D71D8" w:rsidRDefault="003C4F8A">
          <w:pPr>
            <w:pStyle w:val="TOC2"/>
            <w:tabs>
              <w:tab w:val="right" w:leader="dot" w:pos="9016"/>
            </w:tabs>
            <w:rPr>
              <w:rFonts w:ascii="Arial" w:eastAsiaTheme="minorEastAsia" w:hAnsi="Arial" w:cs="Arial"/>
              <w:noProof/>
              <w:sz w:val="24"/>
              <w:szCs w:val="24"/>
            </w:rPr>
          </w:pPr>
          <w:hyperlink w:anchor="_Toc129876610" w:history="1">
            <w:r w:rsidR="003D71D8" w:rsidRPr="003D71D8">
              <w:rPr>
                <w:rStyle w:val="Hyperlink"/>
                <w:rFonts w:ascii="Arial" w:hAnsi="Arial" w:cs="Arial"/>
                <w:noProof/>
                <w:sz w:val="24"/>
                <w:szCs w:val="24"/>
              </w:rPr>
              <w:t>AG. Réponse à la question posée au paragraphe 13</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_Toc129876610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18</w:t>
            </w:r>
            <w:r w:rsidR="003D71D8" w:rsidRPr="003D71D8">
              <w:rPr>
                <w:rFonts w:ascii="Arial" w:hAnsi="Arial" w:cs="Arial"/>
                <w:noProof/>
                <w:webHidden/>
                <w:sz w:val="24"/>
                <w:szCs w:val="24"/>
              </w:rPr>
              <w:fldChar w:fldCharType="end"/>
            </w:r>
          </w:hyperlink>
        </w:p>
        <w:p w14:paraId="61FCAFAE" w14:textId="53A2F2B0" w:rsidR="003D71D8" w:rsidRPr="003D71D8" w:rsidRDefault="003C4F8A">
          <w:pPr>
            <w:pStyle w:val="TOC2"/>
            <w:tabs>
              <w:tab w:val="left" w:pos="880"/>
              <w:tab w:val="right" w:leader="dot" w:pos="9016"/>
            </w:tabs>
            <w:rPr>
              <w:rFonts w:ascii="Arial" w:eastAsiaTheme="minorEastAsia" w:hAnsi="Arial" w:cs="Arial"/>
              <w:noProof/>
              <w:sz w:val="24"/>
              <w:szCs w:val="24"/>
            </w:rPr>
          </w:pPr>
          <w:hyperlink w:anchor="_Toc129876611" w:history="1">
            <w:r w:rsidR="003D71D8" w:rsidRPr="003D71D8">
              <w:rPr>
                <w:rStyle w:val="Hyperlink"/>
                <w:rFonts w:ascii="Arial" w:hAnsi="Arial" w:cs="Arial"/>
                <w:noProof/>
                <w:sz w:val="24"/>
                <w:szCs w:val="24"/>
              </w:rPr>
              <w:t>AI.</w:t>
            </w:r>
            <w:r w:rsidR="003D71D8" w:rsidRPr="003D71D8">
              <w:rPr>
                <w:rFonts w:ascii="Arial" w:eastAsiaTheme="minorEastAsia" w:hAnsi="Arial" w:cs="Arial"/>
                <w:noProof/>
                <w:sz w:val="24"/>
                <w:szCs w:val="24"/>
              </w:rPr>
              <w:tab/>
            </w:r>
            <w:r w:rsidR="003D71D8" w:rsidRPr="003D71D8">
              <w:rPr>
                <w:rStyle w:val="Hyperlink"/>
                <w:rFonts w:ascii="Arial" w:hAnsi="Arial" w:cs="Arial"/>
                <w:noProof/>
                <w:sz w:val="24"/>
                <w:szCs w:val="24"/>
              </w:rPr>
              <w:t>Réponse à la question posée au paragraphe 14</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_Toc129876611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18</w:t>
            </w:r>
            <w:r w:rsidR="003D71D8" w:rsidRPr="003D71D8">
              <w:rPr>
                <w:rFonts w:ascii="Arial" w:hAnsi="Arial" w:cs="Arial"/>
                <w:noProof/>
                <w:webHidden/>
                <w:sz w:val="24"/>
                <w:szCs w:val="24"/>
              </w:rPr>
              <w:fldChar w:fldCharType="end"/>
            </w:r>
          </w:hyperlink>
        </w:p>
        <w:p w14:paraId="35EC9C4D" w14:textId="51A79617" w:rsidR="003D71D8" w:rsidRPr="003D71D8" w:rsidRDefault="003C4F8A">
          <w:pPr>
            <w:pStyle w:val="TOC2"/>
            <w:tabs>
              <w:tab w:val="right" w:leader="dot" w:pos="9016"/>
            </w:tabs>
            <w:rPr>
              <w:rFonts w:ascii="Arial" w:eastAsiaTheme="minorEastAsia" w:hAnsi="Arial" w:cs="Arial"/>
              <w:noProof/>
              <w:sz w:val="24"/>
              <w:szCs w:val="24"/>
            </w:rPr>
          </w:pPr>
          <w:hyperlink w:anchor="_Toc129876612" w:history="1">
            <w:r w:rsidR="003D71D8" w:rsidRPr="003D71D8">
              <w:rPr>
                <w:rStyle w:val="Hyperlink"/>
                <w:rFonts w:ascii="Arial" w:hAnsi="Arial" w:cs="Arial"/>
                <w:noProof/>
                <w:sz w:val="24"/>
                <w:szCs w:val="24"/>
              </w:rPr>
              <w:t>AK. Réponse à la question posée au paragraphe 15(b)</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_Toc129876612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19</w:t>
            </w:r>
            <w:r w:rsidR="003D71D8" w:rsidRPr="003D71D8">
              <w:rPr>
                <w:rFonts w:ascii="Arial" w:hAnsi="Arial" w:cs="Arial"/>
                <w:noProof/>
                <w:webHidden/>
                <w:sz w:val="24"/>
                <w:szCs w:val="24"/>
              </w:rPr>
              <w:fldChar w:fldCharType="end"/>
            </w:r>
          </w:hyperlink>
        </w:p>
        <w:p w14:paraId="5134F3A3" w14:textId="67463DEE" w:rsidR="003D71D8" w:rsidRPr="003D71D8" w:rsidRDefault="003C4F8A">
          <w:pPr>
            <w:pStyle w:val="TOC2"/>
            <w:tabs>
              <w:tab w:val="right" w:leader="dot" w:pos="9016"/>
            </w:tabs>
            <w:rPr>
              <w:rFonts w:ascii="Arial" w:eastAsiaTheme="minorEastAsia" w:hAnsi="Arial" w:cs="Arial"/>
              <w:noProof/>
              <w:sz w:val="24"/>
              <w:szCs w:val="24"/>
            </w:rPr>
          </w:pPr>
          <w:hyperlink w:anchor="_Toc129876613" w:history="1">
            <w:r w:rsidR="003D71D8" w:rsidRPr="003D71D8">
              <w:rPr>
                <w:rStyle w:val="Hyperlink"/>
                <w:rFonts w:ascii="Arial" w:hAnsi="Arial" w:cs="Arial"/>
                <w:noProof/>
                <w:sz w:val="24"/>
                <w:szCs w:val="24"/>
              </w:rPr>
              <w:t>AR. Réponse à la question posée au paragraphe 20</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_Toc129876613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19</w:t>
            </w:r>
            <w:r w:rsidR="003D71D8" w:rsidRPr="003D71D8">
              <w:rPr>
                <w:rFonts w:ascii="Arial" w:hAnsi="Arial" w:cs="Arial"/>
                <w:noProof/>
                <w:webHidden/>
                <w:sz w:val="24"/>
                <w:szCs w:val="24"/>
              </w:rPr>
              <w:fldChar w:fldCharType="end"/>
            </w:r>
          </w:hyperlink>
        </w:p>
        <w:p w14:paraId="7773A0DC" w14:textId="26967747" w:rsidR="003D71D8" w:rsidRPr="003D71D8" w:rsidRDefault="003C4F8A">
          <w:pPr>
            <w:pStyle w:val="TOC2"/>
            <w:tabs>
              <w:tab w:val="right" w:leader="dot" w:pos="9016"/>
            </w:tabs>
            <w:rPr>
              <w:rFonts w:ascii="Arial" w:eastAsiaTheme="minorEastAsia" w:hAnsi="Arial" w:cs="Arial"/>
              <w:noProof/>
              <w:sz w:val="24"/>
              <w:szCs w:val="24"/>
            </w:rPr>
          </w:pPr>
          <w:hyperlink w:anchor="_Toc129876614" w:history="1">
            <w:r w:rsidR="003D71D8" w:rsidRPr="003D71D8">
              <w:rPr>
                <w:rStyle w:val="Hyperlink"/>
                <w:rFonts w:ascii="Arial" w:hAnsi="Arial" w:cs="Arial"/>
                <w:noProof/>
                <w:sz w:val="24"/>
                <w:szCs w:val="24"/>
              </w:rPr>
              <w:t>AS. Réponse à la question posée au paragraphe 21</w:t>
            </w:r>
            <w:r w:rsidR="003D71D8" w:rsidRPr="003D71D8">
              <w:rPr>
                <w:rFonts w:ascii="Arial" w:hAnsi="Arial" w:cs="Arial"/>
                <w:noProof/>
                <w:webHidden/>
                <w:sz w:val="24"/>
                <w:szCs w:val="24"/>
              </w:rPr>
              <w:tab/>
            </w:r>
            <w:r w:rsidR="003D71D8" w:rsidRPr="003D71D8">
              <w:rPr>
                <w:rFonts w:ascii="Arial" w:hAnsi="Arial" w:cs="Arial"/>
                <w:noProof/>
                <w:webHidden/>
                <w:sz w:val="24"/>
                <w:szCs w:val="24"/>
              </w:rPr>
              <w:fldChar w:fldCharType="begin"/>
            </w:r>
            <w:r w:rsidR="003D71D8" w:rsidRPr="003D71D8">
              <w:rPr>
                <w:rFonts w:ascii="Arial" w:hAnsi="Arial" w:cs="Arial"/>
                <w:noProof/>
                <w:webHidden/>
                <w:sz w:val="24"/>
                <w:szCs w:val="24"/>
              </w:rPr>
              <w:instrText xml:space="preserve"> PAGEREF _Toc129876614 \h </w:instrText>
            </w:r>
            <w:r w:rsidR="003D71D8" w:rsidRPr="003D71D8">
              <w:rPr>
                <w:rFonts w:ascii="Arial" w:hAnsi="Arial" w:cs="Arial"/>
                <w:noProof/>
                <w:webHidden/>
                <w:sz w:val="24"/>
                <w:szCs w:val="24"/>
              </w:rPr>
            </w:r>
            <w:r w:rsidR="003D71D8" w:rsidRPr="003D71D8">
              <w:rPr>
                <w:rFonts w:ascii="Arial" w:hAnsi="Arial" w:cs="Arial"/>
                <w:noProof/>
                <w:webHidden/>
                <w:sz w:val="24"/>
                <w:szCs w:val="24"/>
              </w:rPr>
              <w:fldChar w:fldCharType="separate"/>
            </w:r>
            <w:r w:rsidR="001A2A6B">
              <w:rPr>
                <w:rFonts w:ascii="Arial" w:hAnsi="Arial" w:cs="Arial"/>
                <w:noProof/>
                <w:webHidden/>
                <w:sz w:val="24"/>
                <w:szCs w:val="24"/>
              </w:rPr>
              <w:t>20</w:t>
            </w:r>
            <w:r w:rsidR="003D71D8" w:rsidRPr="003D71D8">
              <w:rPr>
                <w:rFonts w:ascii="Arial" w:hAnsi="Arial" w:cs="Arial"/>
                <w:noProof/>
                <w:webHidden/>
                <w:sz w:val="24"/>
                <w:szCs w:val="24"/>
              </w:rPr>
              <w:fldChar w:fldCharType="end"/>
            </w:r>
          </w:hyperlink>
        </w:p>
        <w:p w14:paraId="29EF004C" w14:textId="77777777" w:rsidR="00312889" w:rsidRDefault="00EE546D">
          <w:pPr>
            <w:rPr>
              <w:rFonts w:ascii="Arial" w:hAnsi="Arial" w:cs="Arial"/>
              <w:b/>
              <w:bCs/>
              <w:noProof/>
              <w:sz w:val="24"/>
              <w:szCs w:val="24"/>
            </w:rPr>
          </w:pPr>
          <w:r w:rsidRPr="003D71D8">
            <w:rPr>
              <w:rFonts w:ascii="Arial" w:hAnsi="Arial" w:cs="Arial"/>
              <w:b/>
              <w:bCs/>
              <w:noProof/>
              <w:sz w:val="24"/>
              <w:szCs w:val="24"/>
            </w:rPr>
            <w:fldChar w:fldCharType="end"/>
          </w:r>
        </w:p>
        <w:p w14:paraId="50EB3E7F" w14:textId="77777777" w:rsidR="00312889" w:rsidRDefault="00312889">
          <w:pPr>
            <w:rPr>
              <w:rFonts w:ascii="Arial" w:hAnsi="Arial" w:cs="Arial"/>
              <w:b/>
              <w:bCs/>
              <w:noProof/>
              <w:sz w:val="24"/>
              <w:szCs w:val="24"/>
            </w:rPr>
          </w:pPr>
        </w:p>
        <w:p w14:paraId="6BC974A3" w14:textId="77777777" w:rsidR="00EE546D" w:rsidRDefault="003C4F8A"/>
      </w:sdtContent>
    </w:sdt>
    <w:p w14:paraId="2A8C7DA3" w14:textId="77777777" w:rsidR="00C40081" w:rsidRPr="0086220F" w:rsidRDefault="00C40081" w:rsidP="00524B02">
      <w:pPr>
        <w:pStyle w:val="Heading1"/>
      </w:pPr>
      <w:bookmarkStart w:id="0" w:name="_Toc129876588"/>
      <w:r w:rsidRPr="00524B02">
        <w:lastRenderedPageBreak/>
        <w:t>Observations</w:t>
      </w:r>
      <w:r w:rsidRPr="0086220F">
        <w:t xml:space="preserve"> générales</w:t>
      </w:r>
      <w:bookmarkEnd w:id="0"/>
    </w:p>
    <w:p w14:paraId="6ABCA9C2" w14:textId="77777777" w:rsidR="00C40081" w:rsidRPr="0086220F" w:rsidRDefault="00C40081" w:rsidP="00312889">
      <w:pPr>
        <w:jc w:val="both"/>
        <w:rPr>
          <w:rFonts w:ascii="Arial" w:hAnsi="Arial" w:cs="Arial"/>
          <w:sz w:val="24"/>
          <w:szCs w:val="24"/>
          <w:lang w:val="fr-FR"/>
        </w:rPr>
      </w:pPr>
      <w:r w:rsidRPr="0086220F">
        <w:rPr>
          <w:rFonts w:ascii="Arial" w:hAnsi="Arial" w:cs="Arial"/>
          <w:sz w:val="24"/>
          <w:szCs w:val="24"/>
          <w:lang w:val="fr-FR"/>
        </w:rPr>
        <w:t>Ce rapport est destiné à fournir des informations</w:t>
      </w:r>
      <w:r w:rsidR="001A0002" w:rsidRPr="0086220F">
        <w:rPr>
          <w:rFonts w:ascii="Arial" w:hAnsi="Arial" w:cs="Arial"/>
          <w:sz w:val="24"/>
          <w:szCs w:val="24"/>
          <w:lang w:val="fr-FR"/>
        </w:rPr>
        <w:t xml:space="preserve"> au Comité contre la torture (CA</w:t>
      </w:r>
      <w:r w:rsidRPr="0086220F">
        <w:rPr>
          <w:rFonts w:ascii="Arial" w:hAnsi="Arial" w:cs="Arial"/>
          <w:sz w:val="24"/>
          <w:szCs w:val="24"/>
          <w:lang w:val="fr-FR"/>
        </w:rPr>
        <w:t xml:space="preserve">T) qui procédera à l’examen </w:t>
      </w:r>
      <w:r w:rsidR="00E332B8" w:rsidRPr="0086220F">
        <w:rPr>
          <w:rFonts w:ascii="Arial" w:hAnsi="Arial" w:cs="Arial"/>
          <w:sz w:val="24"/>
          <w:szCs w:val="24"/>
          <w:lang w:val="fr-FR"/>
        </w:rPr>
        <w:t>du 8</w:t>
      </w:r>
      <w:r w:rsidR="00E332B8" w:rsidRPr="0086220F">
        <w:rPr>
          <w:rFonts w:ascii="Arial" w:hAnsi="Arial" w:cs="Arial"/>
          <w:sz w:val="24"/>
          <w:szCs w:val="24"/>
          <w:vertAlign w:val="superscript"/>
          <w:lang w:val="fr-FR"/>
        </w:rPr>
        <w:t>e</w:t>
      </w:r>
      <w:r w:rsidR="00E332B8" w:rsidRPr="0086220F">
        <w:rPr>
          <w:rFonts w:ascii="Arial" w:hAnsi="Arial" w:cs="Arial"/>
          <w:sz w:val="24"/>
          <w:szCs w:val="24"/>
          <w:lang w:val="fr-FR"/>
        </w:rPr>
        <w:t xml:space="preserve"> rapport</w:t>
      </w:r>
      <w:r w:rsidRPr="0086220F">
        <w:rPr>
          <w:rFonts w:ascii="Arial" w:hAnsi="Arial" w:cs="Arial"/>
          <w:sz w:val="24"/>
          <w:szCs w:val="24"/>
          <w:lang w:val="fr-FR"/>
        </w:rPr>
        <w:t xml:space="preserve"> </w:t>
      </w:r>
      <w:r w:rsidR="00E332B8" w:rsidRPr="0086220F">
        <w:rPr>
          <w:rFonts w:ascii="Arial" w:hAnsi="Arial" w:cs="Arial"/>
          <w:sz w:val="24"/>
          <w:szCs w:val="24"/>
          <w:lang w:val="fr-FR"/>
        </w:rPr>
        <w:t>périodique</w:t>
      </w:r>
      <w:r w:rsidR="001A0002" w:rsidRPr="0086220F">
        <w:rPr>
          <w:rFonts w:ascii="Arial" w:hAnsi="Arial" w:cs="Arial"/>
          <w:sz w:val="24"/>
          <w:szCs w:val="24"/>
          <w:lang w:val="fr-FR"/>
        </w:rPr>
        <w:t xml:space="preserve"> </w:t>
      </w:r>
      <w:r w:rsidRPr="0086220F">
        <w:rPr>
          <w:rFonts w:ascii="Arial" w:hAnsi="Arial" w:cs="Arial"/>
          <w:sz w:val="24"/>
          <w:szCs w:val="24"/>
          <w:lang w:val="fr-FR"/>
        </w:rPr>
        <w:t xml:space="preserve">du Luxembourg sur la mise en œuvre de la </w:t>
      </w:r>
      <w:r w:rsidR="00BD0F73" w:rsidRPr="0086220F">
        <w:rPr>
          <w:rFonts w:ascii="Arial" w:hAnsi="Arial" w:cs="Arial"/>
          <w:sz w:val="24"/>
          <w:szCs w:val="24"/>
          <w:lang w:val="fr-FR"/>
        </w:rPr>
        <w:t xml:space="preserve">Convention contre la torture </w:t>
      </w:r>
      <w:r w:rsidRPr="0086220F">
        <w:rPr>
          <w:rFonts w:ascii="Arial" w:hAnsi="Arial" w:cs="Arial"/>
          <w:sz w:val="24"/>
          <w:szCs w:val="24"/>
          <w:lang w:val="fr-FR"/>
        </w:rPr>
        <w:t>et autres peines ou traitements cruels, inhumains ou dégradants.</w:t>
      </w:r>
    </w:p>
    <w:p w14:paraId="62C9659F" w14:textId="77777777" w:rsidR="00C40081" w:rsidRPr="0086220F" w:rsidRDefault="00C40081" w:rsidP="00312889">
      <w:pPr>
        <w:jc w:val="both"/>
        <w:rPr>
          <w:rFonts w:ascii="Arial" w:hAnsi="Arial" w:cs="Arial"/>
          <w:sz w:val="24"/>
          <w:szCs w:val="24"/>
          <w:lang w:val="fr-FR"/>
        </w:rPr>
      </w:pPr>
      <w:r w:rsidRPr="0086220F">
        <w:rPr>
          <w:rFonts w:ascii="Arial" w:hAnsi="Arial" w:cs="Arial"/>
          <w:sz w:val="24"/>
          <w:szCs w:val="24"/>
          <w:lang w:val="fr-FR"/>
        </w:rPr>
        <w:t>La Commission consultative des Droits de l’Homme du Grand-Duché de Luxembourg (CCDH) est une institution nationale de protection et de promotion de droits de l’Homme accréditée par le statut A selon les Principes de Paris.</w:t>
      </w:r>
    </w:p>
    <w:p w14:paraId="634C5F0C" w14:textId="77777777" w:rsidR="00C40081" w:rsidRPr="0086220F" w:rsidRDefault="00C40081" w:rsidP="00312889">
      <w:pPr>
        <w:jc w:val="both"/>
        <w:rPr>
          <w:rFonts w:ascii="Arial" w:hAnsi="Arial" w:cs="Arial"/>
          <w:sz w:val="24"/>
          <w:szCs w:val="24"/>
          <w:lang w:val="fr-FR"/>
        </w:rPr>
      </w:pPr>
      <w:r w:rsidRPr="0086220F">
        <w:rPr>
          <w:rFonts w:ascii="Arial" w:hAnsi="Arial" w:cs="Arial"/>
          <w:sz w:val="24"/>
          <w:szCs w:val="24"/>
          <w:lang w:val="fr-FR"/>
        </w:rPr>
        <w:t>D’après l’article 3 §2 de la loi du 21 novembre 2008 portant création d’une Commission cons</w:t>
      </w:r>
      <w:r w:rsidR="00BD0F73" w:rsidRPr="0086220F">
        <w:rPr>
          <w:rFonts w:ascii="Arial" w:hAnsi="Arial" w:cs="Arial"/>
          <w:sz w:val="24"/>
          <w:szCs w:val="24"/>
          <w:lang w:val="fr-FR"/>
        </w:rPr>
        <w:t xml:space="preserve">ultative des droits de l’Homme </w:t>
      </w:r>
      <w:r w:rsidRPr="0086220F">
        <w:rPr>
          <w:rFonts w:ascii="Arial" w:hAnsi="Arial" w:cs="Arial"/>
          <w:sz w:val="24"/>
          <w:szCs w:val="24"/>
          <w:lang w:val="fr-FR"/>
        </w:rPr>
        <w:t xml:space="preserve">« </w:t>
      </w:r>
      <w:r w:rsidRPr="0086220F">
        <w:rPr>
          <w:rFonts w:ascii="Arial" w:hAnsi="Arial" w:cs="Arial"/>
          <w:i/>
          <w:sz w:val="24"/>
          <w:szCs w:val="24"/>
          <w:lang w:val="fr-FR"/>
        </w:rPr>
        <w:t>La Commission suit les processus de ratification des instruments internationaux relatifs aux droits de l’Homme, d’harmonisation de la législation, des règlements et pratiques au niveau national avec ces instruments et de leur mise en œuvre</w:t>
      </w:r>
      <w:r w:rsidRPr="0086220F">
        <w:rPr>
          <w:rFonts w:ascii="Arial" w:hAnsi="Arial" w:cs="Arial"/>
          <w:sz w:val="24"/>
          <w:szCs w:val="24"/>
          <w:lang w:val="fr-FR"/>
        </w:rPr>
        <w:t xml:space="preserve"> ».</w:t>
      </w:r>
    </w:p>
    <w:p w14:paraId="03E74AD8" w14:textId="77777777" w:rsidR="0033100B" w:rsidRPr="0086220F" w:rsidRDefault="00BD0F73" w:rsidP="00312889">
      <w:pPr>
        <w:jc w:val="both"/>
        <w:rPr>
          <w:rFonts w:ascii="Arial" w:hAnsi="Arial" w:cs="Arial"/>
          <w:sz w:val="24"/>
          <w:szCs w:val="24"/>
          <w:lang w:val="fr-FR"/>
        </w:rPr>
      </w:pPr>
      <w:r w:rsidRPr="0086220F">
        <w:rPr>
          <w:rFonts w:ascii="Arial" w:hAnsi="Arial" w:cs="Arial"/>
          <w:sz w:val="24"/>
          <w:szCs w:val="24"/>
          <w:lang w:val="fr-FR"/>
        </w:rPr>
        <w:t xml:space="preserve">La CCDH n’a pas la compétence pour traiter des cas individuels et ne peut donc pas </w:t>
      </w:r>
      <w:r w:rsidR="0033100B" w:rsidRPr="0086220F">
        <w:rPr>
          <w:rFonts w:ascii="Arial" w:hAnsi="Arial" w:cs="Arial"/>
          <w:sz w:val="24"/>
          <w:szCs w:val="24"/>
          <w:lang w:val="fr-FR"/>
        </w:rPr>
        <w:t>faire d’analyse de</w:t>
      </w:r>
      <w:r w:rsidRPr="0086220F">
        <w:rPr>
          <w:rFonts w:ascii="Arial" w:hAnsi="Arial" w:cs="Arial"/>
          <w:sz w:val="24"/>
          <w:szCs w:val="24"/>
          <w:lang w:val="fr-FR"/>
        </w:rPr>
        <w:t xml:space="preserve"> cas de </w:t>
      </w:r>
      <w:r w:rsidR="0033100B" w:rsidRPr="0086220F">
        <w:rPr>
          <w:rFonts w:ascii="Arial" w:hAnsi="Arial" w:cs="Arial"/>
          <w:sz w:val="24"/>
          <w:szCs w:val="24"/>
          <w:lang w:val="fr-FR"/>
        </w:rPr>
        <w:t>traitement cruels, inhumains ou dégradants</w:t>
      </w:r>
      <w:r w:rsidRPr="0086220F">
        <w:rPr>
          <w:rFonts w:ascii="Arial" w:hAnsi="Arial" w:cs="Arial"/>
          <w:sz w:val="24"/>
          <w:szCs w:val="24"/>
          <w:lang w:val="fr-FR"/>
        </w:rPr>
        <w:t xml:space="preserve"> enregistrés au Luxembourg. Dans ce cadr</w:t>
      </w:r>
      <w:r w:rsidR="0033100B" w:rsidRPr="0086220F">
        <w:rPr>
          <w:rFonts w:ascii="Arial" w:hAnsi="Arial" w:cs="Arial"/>
          <w:sz w:val="24"/>
          <w:szCs w:val="24"/>
          <w:lang w:val="fr-FR"/>
        </w:rPr>
        <w:t xml:space="preserve">e, il y a lieu de se référer à l’Ombudsman qui exerce également la mission de contrôleur externe des lieux privatifs de liberté (mécanisme national de prévention). </w:t>
      </w:r>
    </w:p>
    <w:p w14:paraId="5B2F0121" w14:textId="77777777" w:rsidR="00C40081" w:rsidRPr="0086220F" w:rsidRDefault="00C40081" w:rsidP="00312889">
      <w:pPr>
        <w:jc w:val="both"/>
        <w:rPr>
          <w:rFonts w:ascii="Arial" w:hAnsi="Arial" w:cs="Arial"/>
          <w:sz w:val="24"/>
          <w:szCs w:val="24"/>
          <w:lang w:val="fr-FR"/>
        </w:rPr>
      </w:pPr>
      <w:r w:rsidRPr="0086220F">
        <w:rPr>
          <w:rFonts w:ascii="Arial" w:hAnsi="Arial" w:cs="Arial"/>
          <w:sz w:val="24"/>
          <w:szCs w:val="24"/>
          <w:lang w:val="fr-FR"/>
        </w:rPr>
        <w:t xml:space="preserve">Le présent rapport se base sur </w:t>
      </w:r>
      <w:r w:rsidR="00BD0F73" w:rsidRPr="0086220F">
        <w:rPr>
          <w:rFonts w:ascii="Arial" w:hAnsi="Arial" w:cs="Arial"/>
          <w:sz w:val="24"/>
          <w:szCs w:val="24"/>
          <w:lang w:val="fr-FR"/>
        </w:rPr>
        <w:t>le 8</w:t>
      </w:r>
      <w:r w:rsidR="00BD0F73" w:rsidRPr="0086220F">
        <w:rPr>
          <w:rFonts w:ascii="Arial" w:hAnsi="Arial" w:cs="Arial"/>
          <w:sz w:val="24"/>
          <w:szCs w:val="24"/>
          <w:vertAlign w:val="superscript"/>
          <w:lang w:val="fr-FR"/>
        </w:rPr>
        <w:t>e</w:t>
      </w:r>
      <w:r w:rsidR="00BD0F73" w:rsidRPr="0086220F">
        <w:rPr>
          <w:rFonts w:ascii="Arial" w:hAnsi="Arial" w:cs="Arial"/>
          <w:sz w:val="24"/>
          <w:szCs w:val="24"/>
          <w:lang w:val="fr-FR"/>
        </w:rPr>
        <w:t xml:space="preserve"> rapport</w:t>
      </w:r>
      <w:r w:rsidRPr="0086220F">
        <w:rPr>
          <w:rFonts w:ascii="Arial" w:hAnsi="Arial" w:cs="Arial"/>
          <w:sz w:val="24"/>
          <w:szCs w:val="24"/>
          <w:lang w:val="fr-FR"/>
        </w:rPr>
        <w:t xml:space="preserve"> </w:t>
      </w:r>
      <w:r w:rsidR="00D96F82">
        <w:rPr>
          <w:rFonts w:ascii="Arial" w:hAnsi="Arial" w:cs="Arial"/>
          <w:sz w:val="24"/>
          <w:szCs w:val="24"/>
          <w:lang w:val="fr-FR"/>
        </w:rPr>
        <w:t xml:space="preserve">périodique </w:t>
      </w:r>
      <w:r w:rsidRPr="0086220F">
        <w:rPr>
          <w:rFonts w:ascii="Arial" w:hAnsi="Arial" w:cs="Arial"/>
          <w:sz w:val="24"/>
          <w:szCs w:val="24"/>
          <w:lang w:val="fr-FR"/>
        </w:rPr>
        <w:t xml:space="preserve">du Luxembourg pour ensuite faire des observations et recommandations. </w:t>
      </w:r>
    </w:p>
    <w:p w14:paraId="354B45D3" w14:textId="77777777" w:rsidR="00524B02" w:rsidRPr="00524B02" w:rsidRDefault="00F234A4" w:rsidP="00312889">
      <w:pPr>
        <w:jc w:val="both"/>
        <w:rPr>
          <w:rFonts w:ascii="Arial" w:hAnsi="Arial" w:cs="Arial"/>
          <w:sz w:val="24"/>
          <w:szCs w:val="24"/>
          <w:lang w:val="fr-FR"/>
        </w:rPr>
      </w:pPr>
      <w:r w:rsidRPr="0086220F">
        <w:rPr>
          <w:rFonts w:ascii="Arial" w:hAnsi="Arial" w:cs="Arial"/>
          <w:sz w:val="24"/>
          <w:szCs w:val="24"/>
          <w:lang w:val="fr-FR"/>
        </w:rPr>
        <w:t>Dans un but de lisibilité et de clarté, l</w:t>
      </w:r>
      <w:r w:rsidR="00C40081" w:rsidRPr="0086220F">
        <w:rPr>
          <w:rFonts w:ascii="Arial" w:hAnsi="Arial" w:cs="Arial"/>
          <w:sz w:val="24"/>
          <w:szCs w:val="24"/>
          <w:lang w:val="fr-FR"/>
        </w:rPr>
        <w:t>e rapport</w:t>
      </w:r>
      <w:r w:rsidRPr="0086220F">
        <w:rPr>
          <w:rFonts w:ascii="Arial" w:hAnsi="Arial" w:cs="Arial"/>
          <w:sz w:val="24"/>
          <w:szCs w:val="24"/>
          <w:lang w:val="fr-FR"/>
        </w:rPr>
        <w:t xml:space="preserve"> parallèle de la CCDH</w:t>
      </w:r>
      <w:r w:rsidR="00C40081" w:rsidRPr="0086220F">
        <w:rPr>
          <w:rFonts w:ascii="Arial" w:hAnsi="Arial" w:cs="Arial"/>
          <w:sz w:val="24"/>
          <w:szCs w:val="24"/>
          <w:lang w:val="fr-FR"/>
        </w:rPr>
        <w:t xml:space="preserve"> suit la structure du rapport national.</w:t>
      </w:r>
    </w:p>
    <w:p w14:paraId="23C28CA4" w14:textId="77777777" w:rsidR="00524B02" w:rsidRPr="00524B02" w:rsidRDefault="00524B02" w:rsidP="00312889">
      <w:pPr>
        <w:pStyle w:val="Heading1"/>
        <w:jc w:val="both"/>
      </w:pPr>
      <w:bookmarkStart w:id="1" w:name="_Toc129876589"/>
      <w:r>
        <w:t>Réponses aux questions posées dans la liste de points établie avant la soumission du rapport</w:t>
      </w:r>
      <w:bookmarkEnd w:id="1"/>
    </w:p>
    <w:p w14:paraId="799A3303" w14:textId="77777777" w:rsidR="00123397" w:rsidRPr="0086220F" w:rsidRDefault="00123397" w:rsidP="00312889">
      <w:pPr>
        <w:pStyle w:val="Heading2"/>
      </w:pPr>
      <w:bookmarkStart w:id="2" w:name="_Toc129876590"/>
      <w:r w:rsidRPr="0086220F">
        <w:t>Réponse à la question posée au paragraphe 2</w:t>
      </w:r>
      <w:bookmarkEnd w:id="2"/>
    </w:p>
    <w:p w14:paraId="2BA3E637" w14:textId="77777777" w:rsidR="00123397" w:rsidRPr="0086220F" w:rsidRDefault="00524B02" w:rsidP="00312889">
      <w:pPr>
        <w:jc w:val="both"/>
        <w:rPr>
          <w:rFonts w:ascii="Arial" w:hAnsi="Arial" w:cs="Arial"/>
          <w:sz w:val="24"/>
          <w:szCs w:val="24"/>
          <w:lang w:val="fr-FR"/>
        </w:rPr>
      </w:pPr>
      <w:r>
        <w:rPr>
          <w:rFonts w:ascii="Arial" w:hAnsi="Arial" w:cs="Arial"/>
          <w:sz w:val="24"/>
          <w:szCs w:val="24"/>
          <w:lang w:val="fr-FR"/>
        </w:rPr>
        <w:t>La CCDH note qu’a</w:t>
      </w:r>
      <w:r w:rsidR="00123397" w:rsidRPr="0086220F">
        <w:rPr>
          <w:rFonts w:ascii="Arial" w:hAnsi="Arial" w:cs="Arial"/>
          <w:sz w:val="24"/>
          <w:szCs w:val="24"/>
          <w:lang w:val="fr-FR"/>
        </w:rPr>
        <w:t xml:space="preserve">ucune réponse n’est fournie par le gouvernement en ce qui concerne la question du droit d’informer un proche ou un tiers au début de la privation de liberté. </w:t>
      </w:r>
    </w:p>
    <w:p w14:paraId="49C383A7" w14:textId="77777777"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 xml:space="preserve">Le Code de procédure pénale prévoit la possibilité de prévenir « </w:t>
      </w:r>
      <w:r w:rsidRPr="00903569">
        <w:rPr>
          <w:rFonts w:ascii="Arial" w:hAnsi="Arial" w:cs="Arial"/>
          <w:i/>
          <w:sz w:val="24"/>
          <w:szCs w:val="24"/>
          <w:lang w:val="fr-FR"/>
        </w:rPr>
        <w:t xml:space="preserve">sans retard indu une personne de son choix </w:t>
      </w:r>
      <w:r w:rsidRPr="0086220F">
        <w:rPr>
          <w:rFonts w:ascii="Arial" w:hAnsi="Arial" w:cs="Arial"/>
          <w:sz w:val="24"/>
          <w:szCs w:val="24"/>
          <w:lang w:val="fr-FR"/>
        </w:rPr>
        <w:t xml:space="preserve">», sauf décision contraire, écrite et motivée du magistrat compétent qui doit répondre à des critères définis dans le même article. Or, cela vaut uniquement pour les personnes « retenues » (placées en garde à vue) pour une durée maximale de 24h, contre lesquelles il existe des « indices graves et concordants de culpabilité » (art. 39, para. 4), ainsi que pour les personnes contre lesquelles un mandat d’amener ou d’arrêt est exécuté (art. 52-1, para. 3).  </w:t>
      </w:r>
    </w:p>
    <w:p w14:paraId="6C9E75EE" w14:textId="0A454517"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 xml:space="preserve">Pour les personnes qui sont admises dans un Centre pénitentiaire, un </w:t>
      </w:r>
      <w:hyperlink r:id="rId9" w:history="1">
        <w:r w:rsidRPr="00903569">
          <w:rPr>
            <w:rStyle w:val="Hyperlink"/>
            <w:rFonts w:ascii="Arial" w:hAnsi="Arial" w:cs="Arial"/>
            <w:sz w:val="24"/>
            <w:szCs w:val="24"/>
            <w:lang w:val="fr-FR"/>
          </w:rPr>
          <w:t>nouveau projet de règlement grand-ducal</w:t>
        </w:r>
      </w:hyperlink>
      <w:r w:rsidRPr="0086220F">
        <w:rPr>
          <w:rFonts w:ascii="Arial" w:hAnsi="Arial" w:cs="Arial"/>
          <w:sz w:val="24"/>
          <w:szCs w:val="24"/>
          <w:lang w:val="fr-FR"/>
        </w:rPr>
        <w:t xml:space="preserve"> (art. 2, para. 3), non encore adopté, prévoit que le condamné a le droit de prévenir une personne de son choix dans les 24</w:t>
      </w:r>
      <w:r w:rsidR="00B874A4">
        <w:rPr>
          <w:rFonts w:ascii="Arial" w:hAnsi="Arial" w:cs="Arial"/>
          <w:sz w:val="24"/>
          <w:szCs w:val="24"/>
          <w:lang w:val="fr-FR"/>
        </w:rPr>
        <w:t xml:space="preserve"> </w:t>
      </w:r>
      <w:r w:rsidRPr="0086220F">
        <w:rPr>
          <w:rFonts w:ascii="Arial" w:hAnsi="Arial" w:cs="Arial"/>
          <w:sz w:val="24"/>
          <w:szCs w:val="24"/>
          <w:lang w:val="fr-FR"/>
        </w:rPr>
        <w:t>h</w:t>
      </w:r>
      <w:r w:rsidR="00B55762">
        <w:rPr>
          <w:rFonts w:ascii="Arial" w:hAnsi="Arial" w:cs="Arial"/>
          <w:sz w:val="24"/>
          <w:szCs w:val="24"/>
          <w:lang w:val="fr-FR"/>
        </w:rPr>
        <w:t>eures</w:t>
      </w:r>
      <w:r w:rsidRPr="0086220F">
        <w:rPr>
          <w:rFonts w:ascii="Arial" w:hAnsi="Arial" w:cs="Arial"/>
          <w:sz w:val="24"/>
          <w:szCs w:val="24"/>
          <w:lang w:val="fr-FR"/>
        </w:rPr>
        <w:t xml:space="preserve"> de son admission. Dans son </w:t>
      </w:r>
      <w:hyperlink r:id="rId10" w:history="1">
        <w:r w:rsidRPr="00903569">
          <w:rPr>
            <w:rStyle w:val="Hyperlink"/>
            <w:rFonts w:ascii="Arial" w:hAnsi="Arial" w:cs="Arial"/>
            <w:sz w:val="24"/>
            <w:szCs w:val="24"/>
            <w:lang w:val="fr-FR"/>
          </w:rPr>
          <w:t>avis 11/2022</w:t>
        </w:r>
      </w:hyperlink>
      <w:r w:rsidRPr="0086220F">
        <w:rPr>
          <w:rFonts w:ascii="Arial" w:hAnsi="Arial" w:cs="Arial"/>
          <w:sz w:val="24"/>
          <w:szCs w:val="24"/>
          <w:lang w:val="fr-FR"/>
        </w:rPr>
        <w:t xml:space="preserve"> récent (p. 8 et 19), la CCDH a recommandé au gouvernement de prévoir le droit des condamnés de prévenir un proche </w:t>
      </w:r>
      <w:r w:rsidR="00D96F82">
        <w:rPr>
          <w:rFonts w:ascii="Arial" w:hAnsi="Arial" w:cs="Arial"/>
          <w:sz w:val="24"/>
          <w:szCs w:val="24"/>
          <w:lang w:val="fr-FR"/>
        </w:rPr>
        <w:br/>
      </w:r>
      <w:r w:rsidRPr="0086220F">
        <w:rPr>
          <w:rFonts w:ascii="Arial" w:hAnsi="Arial" w:cs="Arial"/>
          <w:sz w:val="24"/>
          <w:szCs w:val="24"/>
          <w:lang w:val="fr-FR"/>
        </w:rPr>
        <w:t xml:space="preserve">« immédiatement », en accord avec les recommandations européennes et internationales, sauf circonstances exceptionnelles. </w:t>
      </w:r>
    </w:p>
    <w:p w14:paraId="161F2A9E" w14:textId="75B34F0A"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 xml:space="preserve">Quant aux prévenus, le projet de règlement prévoit que ce droit est soumis à l’accord préalable du magistrat compétent. Toutefois, le projet de règlement ne donne aucune information complémentaire sur les conditions de cette décision. Il aurait été alors </w:t>
      </w:r>
      <w:r w:rsidR="00B874A4">
        <w:rPr>
          <w:rFonts w:ascii="Arial" w:hAnsi="Arial" w:cs="Arial"/>
          <w:sz w:val="24"/>
          <w:szCs w:val="24"/>
          <w:lang w:val="fr-FR"/>
        </w:rPr>
        <w:t xml:space="preserve">plus </w:t>
      </w:r>
      <w:r w:rsidRPr="0086220F">
        <w:rPr>
          <w:rFonts w:ascii="Arial" w:hAnsi="Arial" w:cs="Arial"/>
          <w:sz w:val="24"/>
          <w:szCs w:val="24"/>
          <w:lang w:val="fr-FR"/>
        </w:rPr>
        <w:t xml:space="preserve">judicieux d’encadrer le droit des prévenus directement dans le Code de procédure pénale, en s’inspirant du modèle précité de garde à vue. </w:t>
      </w:r>
    </w:p>
    <w:p w14:paraId="44B2AC51" w14:textId="77777777"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 xml:space="preserve">Il est d’ailleurs à noter que </w:t>
      </w:r>
      <w:hyperlink r:id="rId11" w:history="1">
        <w:r w:rsidRPr="00903569">
          <w:rPr>
            <w:rStyle w:val="Hyperlink"/>
            <w:rFonts w:ascii="Arial" w:hAnsi="Arial" w:cs="Arial"/>
            <w:sz w:val="24"/>
            <w:szCs w:val="24"/>
            <w:lang w:val="fr-FR"/>
          </w:rPr>
          <w:t>le projet de règlement grand-ducal relatif au centre pénitentiaire pour mineurs</w:t>
        </w:r>
      </w:hyperlink>
      <w:r w:rsidRPr="0086220F">
        <w:rPr>
          <w:rFonts w:ascii="Arial" w:hAnsi="Arial" w:cs="Arial"/>
          <w:sz w:val="24"/>
          <w:szCs w:val="24"/>
          <w:lang w:val="fr-FR"/>
        </w:rPr>
        <w:t xml:space="preserve"> prévoit exactement la même situation que celle pour les adultes, en ce qui concerne leur droit d’informer une personne de leur choix ou leurs représentants légaux.</w:t>
      </w:r>
    </w:p>
    <w:p w14:paraId="15896CC1" w14:textId="77777777" w:rsidR="00123397" w:rsidRPr="0086220F" w:rsidRDefault="00123397" w:rsidP="00312889">
      <w:pPr>
        <w:pStyle w:val="Heading2"/>
        <w:numPr>
          <w:ilvl w:val="0"/>
          <w:numId w:val="4"/>
        </w:numPr>
      </w:pPr>
      <w:bookmarkStart w:id="3" w:name="_Toc129876591"/>
      <w:r w:rsidRPr="0086220F">
        <w:t>Réponse à la question au paragraphe 2(b)</w:t>
      </w:r>
      <w:bookmarkEnd w:id="3"/>
    </w:p>
    <w:p w14:paraId="541DECF9" w14:textId="678F920E"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Aucune disposition ne prévoit explicitement que les examens médicaux des personnes privées de liberté doivent être effectués hors de l’écoute et de la vue de tout personnel non médical. La référence au droit de se faire examiner par un médecin, ainsi que le secret professionnel auquel il est lié</w:t>
      </w:r>
      <w:r w:rsidR="00B55762">
        <w:rPr>
          <w:rFonts w:ascii="Arial" w:hAnsi="Arial" w:cs="Arial"/>
          <w:sz w:val="24"/>
          <w:szCs w:val="24"/>
          <w:lang w:val="fr-FR"/>
        </w:rPr>
        <w:t>,</w:t>
      </w:r>
      <w:r w:rsidRPr="0086220F">
        <w:rPr>
          <w:rFonts w:ascii="Arial" w:hAnsi="Arial" w:cs="Arial"/>
          <w:sz w:val="24"/>
          <w:szCs w:val="24"/>
          <w:lang w:val="fr-FR"/>
        </w:rPr>
        <w:t xml:space="preserve"> ne sont en aucun cas une garantie permettant de conclure que les examens médicaux se font à l’abri de la vue d’une personne tierce. </w:t>
      </w:r>
    </w:p>
    <w:p w14:paraId="1B18E387" w14:textId="77777777"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 xml:space="preserve">Il est à noter que le service du Contrôleur externe des lieux privatifs de liberté (CELPL) de l’Ombudsman, dans un </w:t>
      </w:r>
      <w:hyperlink r:id="rId12" w:history="1">
        <w:r w:rsidRPr="0086220F">
          <w:rPr>
            <w:rStyle w:val="Hyperlink"/>
            <w:rFonts w:ascii="Arial" w:hAnsi="Arial" w:cs="Arial"/>
            <w:sz w:val="24"/>
            <w:szCs w:val="24"/>
            <w:lang w:val="fr-FR"/>
          </w:rPr>
          <w:t>rapport de visite</w:t>
        </w:r>
      </w:hyperlink>
      <w:r w:rsidRPr="0086220F">
        <w:rPr>
          <w:rFonts w:ascii="Arial" w:hAnsi="Arial" w:cs="Arial"/>
          <w:sz w:val="24"/>
          <w:szCs w:val="24"/>
          <w:lang w:val="fr-FR"/>
        </w:rPr>
        <w:t xml:space="preserve"> de 2017 relatif à la situation des femmes en prison, a souligné le fait que « </w:t>
      </w:r>
      <w:r w:rsidRPr="0086220F">
        <w:rPr>
          <w:rFonts w:ascii="Arial" w:hAnsi="Arial" w:cs="Arial"/>
          <w:i/>
          <w:sz w:val="24"/>
          <w:szCs w:val="24"/>
          <w:lang w:val="fr-FR"/>
        </w:rPr>
        <w:t>L’équipe de contrôle a été informée de nombreuses fois que des examens médicaux de toute nature, voire même un accouchement entier (sic !) ont eu lieu en présence de personnel non médical et ceci en l’absence de toute demande émanant du médecin responsable</w:t>
      </w:r>
      <w:r w:rsidRPr="0086220F">
        <w:rPr>
          <w:rFonts w:ascii="Arial" w:hAnsi="Arial" w:cs="Arial"/>
          <w:sz w:val="24"/>
          <w:szCs w:val="24"/>
          <w:lang w:val="fr-FR"/>
        </w:rPr>
        <w:t xml:space="preserve">. » (p. 8). Dans son </w:t>
      </w:r>
      <w:hyperlink r:id="rId13" w:history="1">
        <w:r w:rsidRPr="0086220F">
          <w:rPr>
            <w:rStyle w:val="Hyperlink"/>
            <w:rFonts w:ascii="Arial" w:hAnsi="Arial" w:cs="Arial"/>
            <w:sz w:val="24"/>
            <w:szCs w:val="24"/>
            <w:lang w:val="fr-FR"/>
          </w:rPr>
          <w:t>avis 11/2022</w:t>
        </w:r>
      </w:hyperlink>
      <w:r w:rsidRPr="0086220F">
        <w:rPr>
          <w:rFonts w:ascii="Arial" w:hAnsi="Arial" w:cs="Arial"/>
          <w:sz w:val="24"/>
          <w:szCs w:val="24"/>
          <w:lang w:val="fr-FR"/>
        </w:rPr>
        <w:t xml:space="preserve"> relatif à l’organisation du centre pénitentiaire, la CCDH a ainsi recommandé au gouvernement de prévoir explicitement dans le règlement grand-ducal l’interdiction de la présence de personnel non médical aux examens médicaux. </w:t>
      </w:r>
    </w:p>
    <w:p w14:paraId="24DD6811" w14:textId="77777777" w:rsidR="00123397" w:rsidRPr="0086220F" w:rsidRDefault="00123397" w:rsidP="00312889">
      <w:pPr>
        <w:pStyle w:val="Heading2"/>
      </w:pPr>
      <w:bookmarkStart w:id="4" w:name="_Toc129876592"/>
      <w:r w:rsidRPr="0086220F">
        <w:t>Réponse à la question posée au paragraphe 2(c)</w:t>
      </w:r>
      <w:bookmarkEnd w:id="4"/>
      <w:r w:rsidRPr="0086220F">
        <w:t xml:space="preserve"> </w:t>
      </w:r>
    </w:p>
    <w:p w14:paraId="5CEE2C97" w14:textId="77777777"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 xml:space="preserve">En ce qui concerne l’information quant aux droits des personnes privées de liberté, en cas de flagrance ou dans le cadre de l’enquête préliminaire ou l’instruction préparatoire, les personnes retenues </w:t>
      </w:r>
      <w:r w:rsidR="00312889" w:rsidRPr="0086220F">
        <w:rPr>
          <w:rFonts w:ascii="Arial" w:hAnsi="Arial" w:cs="Arial"/>
          <w:sz w:val="24"/>
          <w:szCs w:val="24"/>
          <w:lang w:val="fr-FR"/>
        </w:rPr>
        <w:t>sont en</w:t>
      </w:r>
      <w:r w:rsidRPr="0086220F">
        <w:rPr>
          <w:rFonts w:ascii="Arial" w:hAnsi="Arial" w:cs="Arial"/>
          <w:sz w:val="24"/>
          <w:szCs w:val="24"/>
          <w:lang w:val="fr-FR"/>
        </w:rPr>
        <w:t xml:space="preserve"> effet informées de leurs droits (art 39, para. 2, art. 46, para. 3, et art. 52-1, para. 1 du Code de procédure pénale). </w:t>
      </w:r>
    </w:p>
    <w:p w14:paraId="38318395" w14:textId="77777777"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 xml:space="preserve">Toutefois, en ce qui concerne les droits des personnes admises dans un Centre pénitentiaire en tant que condamné ou prévenu, le </w:t>
      </w:r>
      <w:hyperlink r:id="rId14" w:history="1">
        <w:r w:rsidRPr="0086220F">
          <w:rPr>
            <w:rStyle w:val="Hyperlink"/>
            <w:rFonts w:ascii="Arial" w:hAnsi="Arial" w:cs="Arial"/>
            <w:sz w:val="24"/>
            <w:szCs w:val="24"/>
            <w:lang w:val="fr-FR"/>
          </w:rPr>
          <w:t>projet de règlement grand-ducal</w:t>
        </w:r>
      </w:hyperlink>
      <w:r w:rsidRPr="0086220F">
        <w:rPr>
          <w:rFonts w:ascii="Arial" w:hAnsi="Arial" w:cs="Arial"/>
          <w:sz w:val="24"/>
          <w:szCs w:val="24"/>
          <w:lang w:val="fr-FR"/>
        </w:rPr>
        <w:t xml:space="preserve"> récemment déposé prévoit le fait que les détenus sont informés de leurs droits et obligations dans les 2 jours de leur admission (art. 2, para. 4). Dans son </w:t>
      </w:r>
      <w:hyperlink r:id="rId15" w:history="1">
        <w:r w:rsidRPr="00312889">
          <w:rPr>
            <w:rStyle w:val="Hyperlink"/>
            <w:rFonts w:ascii="Arial" w:hAnsi="Arial" w:cs="Arial"/>
            <w:sz w:val="24"/>
            <w:szCs w:val="24"/>
            <w:lang w:val="fr-FR"/>
          </w:rPr>
          <w:t>avis y relatif</w:t>
        </w:r>
      </w:hyperlink>
      <w:r w:rsidRPr="0086220F">
        <w:rPr>
          <w:rFonts w:ascii="Arial" w:hAnsi="Arial" w:cs="Arial"/>
          <w:sz w:val="24"/>
          <w:szCs w:val="24"/>
          <w:lang w:val="fr-FR"/>
        </w:rPr>
        <w:t xml:space="preserve"> (pp. 8-9), la CCDH a recommandé au gouvernement d’élargir ce droit en prévoyant tout au moins une transmission écrite des informations dès l’admission, suivie d’une explication orale, si possible dès l’admission, ou exceptionnellement dans les 2 jours. De plus, il convient de prévoir explicitement le fait que ces informations doivent être transmises dans une langue comprise par la personne et d’une manière accessible en tenant compte de la situation personnelle du détenu. </w:t>
      </w:r>
    </w:p>
    <w:p w14:paraId="5E91C617" w14:textId="77777777"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D’une manière plus générale, selon la CCDH, il aurait été judicieux de prévoir dans ce règlement grand-ducal, en parallèle des obligations et de l’organisation des centres pénitentiaires, un chapitre relatif aux droits humains des personnes détenues.</w:t>
      </w:r>
    </w:p>
    <w:p w14:paraId="19694DD4" w14:textId="77777777" w:rsidR="00123397" w:rsidRPr="00312889" w:rsidRDefault="00123397" w:rsidP="00312889">
      <w:pPr>
        <w:pStyle w:val="Heading2"/>
      </w:pPr>
      <w:bookmarkStart w:id="5" w:name="_Toc129876593"/>
      <w:r w:rsidRPr="00312889">
        <w:t>Réponse à la question posée au paragraphe 2(d)</w:t>
      </w:r>
      <w:bookmarkEnd w:id="5"/>
    </w:p>
    <w:p w14:paraId="77DB7FF3" w14:textId="77777777" w:rsidR="00903569" w:rsidRPr="00903569" w:rsidRDefault="00903569" w:rsidP="00312889">
      <w:pPr>
        <w:jc w:val="both"/>
        <w:rPr>
          <w:rFonts w:ascii="Arial" w:hAnsi="Arial" w:cs="Arial"/>
          <w:sz w:val="24"/>
          <w:szCs w:val="24"/>
          <w:lang w:val="fr-FR"/>
        </w:rPr>
      </w:pPr>
      <w:r w:rsidRPr="00903569">
        <w:rPr>
          <w:rFonts w:ascii="Arial" w:hAnsi="Arial" w:cs="Arial"/>
          <w:sz w:val="24"/>
          <w:szCs w:val="24"/>
          <w:lang w:val="fr-FR"/>
        </w:rPr>
        <w:t xml:space="preserve">Quant à la situation des mineurs privés de liberté, il est à préciser qu’en avril 2022, le gouvernement a déposé 3 projets de loi et un projet de règlement grand-ducal dans le cadre de la réforme de la protection de la jeunesse, consistant en une distinction entre les mineurs en conflit avec la loi et ceux en détresse. </w:t>
      </w:r>
    </w:p>
    <w:p w14:paraId="716E70AB" w14:textId="29519161" w:rsidR="00903569" w:rsidRPr="00903569" w:rsidRDefault="00903569" w:rsidP="00312889">
      <w:pPr>
        <w:jc w:val="both"/>
        <w:rPr>
          <w:rFonts w:ascii="Arial" w:hAnsi="Arial" w:cs="Arial"/>
          <w:sz w:val="24"/>
          <w:szCs w:val="24"/>
          <w:lang w:val="fr-FR"/>
        </w:rPr>
      </w:pPr>
      <w:r w:rsidRPr="00903569">
        <w:rPr>
          <w:rFonts w:ascii="Arial" w:hAnsi="Arial" w:cs="Arial"/>
          <w:sz w:val="24"/>
          <w:szCs w:val="24"/>
          <w:lang w:val="fr-FR"/>
        </w:rPr>
        <w:t xml:space="preserve">Le </w:t>
      </w:r>
      <w:hyperlink r:id="rId16" w:history="1">
        <w:r w:rsidRPr="00903569">
          <w:rPr>
            <w:rStyle w:val="Hyperlink"/>
            <w:rFonts w:ascii="Arial" w:hAnsi="Arial" w:cs="Arial"/>
            <w:sz w:val="24"/>
            <w:szCs w:val="24"/>
            <w:lang w:val="fr-FR"/>
          </w:rPr>
          <w:t>projet de loi n°7991</w:t>
        </w:r>
      </w:hyperlink>
      <w:r w:rsidRPr="00903569">
        <w:rPr>
          <w:rFonts w:ascii="Arial" w:hAnsi="Arial" w:cs="Arial"/>
          <w:sz w:val="24"/>
          <w:szCs w:val="24"/>
          <w:lang w:val="fr-FR"/>
        </w:rPr>
        <w:t xml:space="preserve"> relatif à la procédure pénale pour mineurs prévoit le droit à l’information de ses droits procéduraux pour tout mineur poursuivi sur base de la loi à venir, et</w:t>
      </w:r>
      <w:r w:rsidR="00312889">
        <w:rPr>
          <w:rFonts w:ascii="Arial" w:hAnsi="Arial" w:cs="Arial"/>
          <w:sz w:val="24"/>
          <w:szCs w:val="24"/>
          <w:lang w:val="fr-FR"/>
        </w:rPr>
        <w:t xml:space="preserve"> ceci avant tout interrogatoire </w:t>
      </w:r>
      <w:r w:rsidRPr="00903569">
        <w:rPr>
          <w:rFonts w:ascii="Arial" w:hAnsi="Arial" w:cs="Arial"/>
          <w:sz w:val="24"/>
          <w:szCs w:val="24"/>
          <w:lang w:val="fr-FR"/>
        </w:rPr>
        <w:t xml:space="preserve">(art. 4). Ces droits incluent notamment le droit d’être assisté d’un avocat (art. 6) et celui d’être accompagné par un représentant légal pour toutes les étapes de la procédure (art. 7). En outre, l’article 5 prévoit l’information des représentants légaux, notamment en cas de privation de liberté. Ledit projet de loi a toutefois été </w:t>
      </w:r>
      <w:hyperlink r:id="rId17" w:history="1">
        <w:r w:rsidRPr="00903569">
          <w:rPr>
            <w:rStyle w:val="Hyperlink"/>
            <w:rFonts w:ascii="Arial" w:hAnsi="Arial" w:cs="Arial"/>
            <w:sz w:val="24"/>
            <w:szCs w:val="24"/>
            <w:lang w:val="fr-FR"/>
          </w:rPr>
          <w:t>amendé en date du 20 février 2023</w:t>
        </w:r>
      </w:hyperlink>
      <w:r w:rsidRPr="00903569">
        <w:rPr>
          <w:rFonts w:ascii="Arial" w:hAnsi="Arial" w:cs="Arial"/>
          <w:sz w:val="24"/>
          <w:szCs w:val="24"/>
          <w:lang w:val="fr-FR"/>
        </w:rPr>
        <w:t>.</w:t>
      </w:r>
      <w:r w:rsidR="00B55762">
        <w:rPr>
          <w:rFonts w:ascii="Arial" w:hAnsi="Arial" w:cs="Arial"/>
          <w:sz w:val="24"/>
          <w:szCs w:val="24"/>
          <w:lang w:val="fr-FR"/>
        </w:rPr>
        <w:t xml:space="preserve"> </w:t>
      </w:r>
      <w:r w:rsidRPr="00903569">
        <w:rPr>
          <w:rFonts w:ascii="Arial" w:hAnsi="Arial" w:cs="Arial"/>
          <w:sz w:val="24"/>
          <w:szCs w:val="24"/>
          <w:lang w:val="fr-FR"/>
        </w:rPr>
        <w:t>Alors que la CCDH salue l’introduction de différentes garanties procédurales, elle regrette que les amendements gouvernementaux ont apporté des changements importants au texte initial, notamment en limitant de manière significative le droit à l’assistance par un avocat.</w:t>
      </w:r>
      <w:r w:rsidR="00B55762">
        <w:rPr>
          <w:rFonts w:ascii="Arial" w:hAnsi="Arial" w:cs="Arial"/>
          <w:sz w:val="24"/>
          <w:szCs w:val="24"/>
          <w:lang w:val="fr-FR"/>
        </w:rPr>
        <w:t xml:space="preserve"> </w:t>
      </w:r>
      <w:r w:rsidRPr="00903569">
        <w:rPr>
          <w:rFonts w:ascii="Arial" w:hAnsi="Arial" w:cs="Arial"/>
          <w:sz w:val="24"/>
          <w:szCs w:val="24"/>
          <w:lang w:val="fr-FR"/>
        </w:rPr>
        <w:t>Quant au droit à un avocat, tout en prévoyant, au § 1</w:t>
      </w:r>
      <w:r w:rsidRPr="00903569">
        <w:rPr>
          <w:rFonts w:ascii="Arial" w:hAnsi="Arial" w:cs="Arial"/>
          <w:sz w:val="24"/>
          <w:szCs w:val="24"/>
          <w:vertAlign w:val="superscript"/>
          <w:lang w:val="fr-FR"/>
        </w:rPr>
        <w:t>er</w:t>
      </w:r>
      <w:r w:rsidRPr="00903569">
        <w:rPr>
          <w:rFonts w:ascii="Arial" w:hAnsi="Arial" w:cs="Arial"/>
          <w:sz w:val="24"/>
          <w:szCs w:val="24"/>
          <w:lang w:val="fr-FR"/>
        </w:rPr>
        <w:t xml:space="preserve"> de l’article 6, le principe du droit d’être assisté par un avocat pour tout mineur, les amendements prévoient qu’il peut être dérogé à ce droit </w:t>
      </w:r>
      <w:r w:rsidR="00312889">
        <w:rPr>
          <w:rFonts w:ascii="Arial" w:hAnsi="Arial" w:cs="Arial"/>
          <w:sz w:val="24"/>
          <w:szCs w:val="24"/>
          <w:lang w:val="fr-FR"/>
        </w:rPr>
        <w:t>« </w:t>
      </w:r>
      <w:r w:rsidRPr="00903569">
        <w:rPr>
          <w:rFonts w:ascii="Arial" w:hAnsi="Arial" w:cs="Arial"/>
          <w:i/>
          <w:sz w:val="24"/>
          <w:szCs w:val="24"/>
          <w:lang w:val="fr-FR"/>
        </w:rPr>
        <w:t>lorsque l’assistance obligatoire d’un avocat n’est pas proportionnée au regard des circonstances de l’espèce, compte tenu de la gravité de l’infraction présumée, de la complexité de l’affaire et des mesures susceptibles d’être adoptées e</w:t>
      </w:r>
      <w:r w:rsidR="00312889">
        <w:rPr>
          <w:rFonts w:ascii="Arial" w:hAnsi="Arial" w:cs="Arial"/>
          <w:i/>
          <w:sz w:val="24"/>
          <w:szCs w:val="24"/>
          <w:lang w:val="fr-FR"/>
        </w:rPr>
        <w:t>n rapport avec ladite infraction »</w:t>
      </w:r>
      <w:r w:rsidRPr="00903569">
        <w:rPr>
          <w:rFonts w:ascii="Arial" w:hAnsi="Arial" w:cs="Arial"/>
          <w:sz w:val="24"/>
          <w:szCs w:val="24"/>
          <w:lang w:val="fr-FR"/>
        </w:rPr>
        <w:t xml:space="preserve">. Finalement, il est précisé que dans tous les cas, le mineur doit être assisté par un avocat lorsqu’il est susceptible d’avoir commis un crime. </w:t>
      </w:r>
    </w:p>
    <w:p w14:paraId="34E54FCD" w14:textId="77777777" w:rsidR="00903569" w:rsidRPr="00903569" w:rsidRDefault="00903569" w:rsidP="00312889">
      <w:pPr>
        <w:jc w:val="both"/>
        <w:rPr>
          <w:rFonts w:ascii="Arial" w:hAnsi="Arial" w:cs="Arial"/>
          <w:sz w:val="24"/>
          <w:szCs w:val="24"/>
          <w:lang w:val="fr-FR"/>
        </w:rPr>
      </w:pPr>
      <w:r w:rsidRPr="00903569">
        <w:rPr>
          <w:rFonts w:ascii="Arial" w:hAnsi="Arial" w:cs="Arial"/>
          <w:sz w:val="24"/>
          <w:szCs w:val="24"/>
          <w:lang w:val="fr-FR"/>
        </w:rPr>
        <w:t xml:space="preserve">La CCDH insiste sur l’importance d’une approche protectrice de l’intérêt supérieur du mineur qui prévoit la présence obligatoire d’un avocat au stade le plus précoce de la procédure pénale. </w:t>
      </w:r>
    </w:p>
    <w:p w14:paraId="5C3332BA" w14:textId="77777777" w:rsidR="00903569" w:rsidRPr="00903569" w:rsidRDefault="00903569" w:rsidP="00312889">
      <w:pPr>
        <w:jc w:val="both"/>
        <w:rPr>
          <w:rFonts w:ascii="Arial" w:hAnsi="Arial" w:cs="Arial"/>
          <w:sz w:val="24"/>
          <w:szCs w:val="24"/>
          <w:lang w:val="fr-FR"/>
        </w:rPr>
      </w:pPr>
      <w:r w:rsidRPr="00903569">
        <w:rPr>
          <w:rFonts w:ascii="Arial" w:hAnsi="Arial" w:cs="Arial"/>
          <w:sz w:val="24"/>
          <w:szCs w:val="24"/>
          <w:lang w:val="fr-FR"/>
        </w:rPr>
        <w:t>Elle rappelle que dans son observation générale n° 10, le Comité des droits de l’enfant souligne l’importance de la présence de l’avocat et le rôle crucial qu’il a à jouer, surtout lors des auditions par la police. Il précise d’ailleurs que le but de l’assistance par un avocat est aussi d’exercer un contrôle indépendant sur les méthodes d’interrogatoire.</w:t>
      </w:r>
      <w:r w:rsidRPr="00903569">
        <w:rPr>
          <w:rFonts w:ascii="Arial" w:hAnsi="Arial" w:cs="Arial"/>
          <w:sz w:val="24"/>
          <w:szCs w:val="24"/>
          <w:vertAlign w:val="superscript"/>
          <w:lang w:val="fr-FR"/>
        </w:rPr>
        <w:footnoteReference w:id="1"/>
      </w:r>
    </w:p>
    <w:p w14:paraId="332DFFCF" w14:textId="77777777" w:rsidR="00903569" w:rsidRPr="00903569" w:rsidRDefault="00903569" w:rsidP="00312889">
      <w:pPr>
        <w:jc w:val="both"/>
        <w:rPr>
          <w:rFonts w:ascii="Arial" w:hAnsi="Arial" w:cs="Arial"/>
          <w:sz w:val="24"/>
          <w:szCs w:val="24"/>
          <w:lang w:val="fr-FR"/>
        </w:rPr>
      </w:pPr>
      <w:r w:rsidRPr="00903569">
        <w:rPr>
          <w:rFonts w:ascii="Arial" w:hAnsi="Arial" w:cs="Arial"/>
          <w:sz w:val="24"/>
          <w:szCs w:val="24"/>
          <w:lang w:val="fr-FR"/>
        </w:rPr>
        <w:t>La CCDH note encore que des arguments comme les coûts additionnels pour l’État ou une surcharge de travail pour les différents acteurs ne présentent pas des argumentaires valables pour restreindre un droit fondamental.</w:t>
      </w:r>
    </w:p>
    <w:p w14:paraId="06BB73CE" w14:textId="77777777" w:rsidR="00903569" w:rsidRPr="00903569" w:rsidRDefault="00903569" w:rsidP="00312889">
      <w:pPr>
        <w:jc w:val="both"/>
        <w:rPr>
          <w:rFonts w:ascii="Arial" w:hAnsi="Arial" w:cs="Arial"/>
          <w:sz w:val="24"/>
          <w:szCs w:val="24"/>
          <w:lang w:val="fr-FR"/>
        </w:rPr>
      </w:pPr>
      <w:r w:rsidRPr="00903569">
        <w:rPr>
          <w:rFonts w:ascii="Arial" w:hAnsi="Arial" w:cs="Arial"/>
          <w:sz w:val="24"/>
          <w:szCs w:val="24"/>
          <w:lang w:val="fr-FR"/>
        </w:rPr>
        <w:t xml:space="preserve">Alors que la version initiale du projet de loi prévoyait encore une assistance de tout mineur par un avocat spécialisé en matière de droits de l’enfant, la CCDH regrette que suite aux amendements gouvernementaux, un recours à des avocats spécialisés en matière de droit pénal, mais non pas nécessairement en matière des droits de l’enfant sera aussi possible à l’avenir. </w:t>
      </w:r>
    </w:p>
    <w:p w14:paraId="605663E0" w14:textId="77777777" w:rsidR="00903569" w:rsidRPr="00903569" w:rsidRDefault="00903569" w:rsidP="00312889">
      <w:pPr>
        <w:jc w:val="both"/>
        <w:rPr>
          <w:rFonts w:ascii="Arial" w:hAnsi="Arial" w:cs="Arial"/>
          <w:sz w:val="24"/>
          <w:szCs w:val="24"/>
          <w:lang w:val="fr-FR"/>
        </w:rPr>
      </w:pPr>
      <w:r w:rsidRPr="00903569">
        <w:rPr>
          <w:rFonts w:ascii="Arial" w:hAnsi="Arial" w:cs="Arial"/>
          <w:sz w:val="24"/>
          <w:szCs w:val="24"/>
          <w:lang w:val="fr-FR"/>
        </w:rPr>
        <w:t xml:space="preserve">En ce qui concerne le droit à l’information des représentants légaux, la CCDH préconise qu’en cas d’impossibilité de contacter les représentants légaux ou lorsque cela serait contraire à son intérêt supérieur, le mineur ait le libre choix de désigner une personne de confiance. </w:t>
      </w:r>
    </w:p>
    <w:p w14:paraId="6D42717F" w14:textId="77777777" w:rsidR="00903569" w:rsidRPr="00903569" w:rsidRDefault="00903569" w:rsidP="00312889">
      <w:pPr>
        <w:jc w:val="both"/>
        <w:rPr>
          <w:rFonts w:ascii="Arial" w:hAnsi="Arial" w:cs="Arial"/>
          <w:sz w:val="24"/>
          <w:szCs w:val="24"/>
          <w:lang w:val="fr-FR"/>
        </w:rPr>
      </w:pPr>
      <w:r w:rsidRPr="00903569">
        <w:rPr>
          <w:rFonts w:ascii="Arial" w:hAnsi="Arial" w:cs="Arial"/>
          <w:sz w:val="24"/>
          <w:szCs w:val="24"/>
          <w:lang w:val="fr-FR"/>
        </w:rPr>
        <w:t>Finalement, la CCDH note qu’à l’heure actuelle, tout ce qui se passe avant l</w:t>
      </w:r>
      <w:r w:rsidRPr="00903569">
        <w:rPr>
          <w:rFonts w:ascii="Arial" w:hAnsi="Arial" w:cs="Arial"/>
          <w:sz w:val="24"/>
          <w:szCs w:val="24"/>
          <w:rtl/>
          <w:lang w:val="fr-FR"/>
        </w:rPr>
        <w:t>’</w:t>
      </w:r>
      <w:r w:rsidRPr="00903569">
        <w:rPr>
          <w:rFonts w:ascii="Arial" w:hAnsi="Arial" w:cs="Arial"/>
          <w:sz w:val="24"/>
          <w:szCs w:val="24"/>
          <w:lang w:val="fr-FR"/>
        </w:rPr>
        <w:t>interrogatoire, par exemple la conduite dans la voiture de police, la fouille corporelle ou la prise des empreintes, a lieu sans la présence de l</w:t>
      </w:r>
      <w:r w:rsidRPr="00903569">
        <w:rPr>
          <w:rFonts w:ascii="Arial" w:hAnsi="Arial" w:cs="Arial"/>
          <w:sz w:val="24"/>
          <w:szCs w:val="24"/>
          <w:rtl/>
          <w:lang w:val="fr-FR"/>
        </w:rPr>
        <w:t>’</w:t>
      </w:r>
      <w:r w:rsidRPr="00903569">
        <w:rPr>
          <w:rFonts w:ascii="Arial" w:hAnsi="Arial" w:cs="Arial"/>
          <w:sz w:val="24"/>
          <w:szCs w:val="24"/>
          <w:lang w:val="fr-FR"/>
        </w:rPr>
        <w:t xml:space="preserve">avocat du mineur. </w:t>
      </w:r>
    </w:p>
    <w:p w14:paraId="29090F46" w14:textId="77777777" w:rsidR="00903569" w:rsidRPr="00903569" w:rsidRDefault="00903569" w:rsidP="00312889">
      <w:pPr>
        <w:jc w:val="both"/>
        <w:rPr>
          <w:rFonts w:ascii="Arial" w:hAnsi="Arial" w:cs="Arial"/>
          <w:sz w:val="24"/>
          <w:szCs w:val="24"/>
          <w:lang w:val="fr-FR"/>
        </w:rPr>
      </w:pPr>
      <w:r w:rsidRPr="00903569">
        <w:rPr>
          <w:rFonts w:ascii="Arial" w:hAnsi="Arial" w:cs="Arial"/>
          <w:sz w:val="24"/>
          <w:szCs w:val="24"/>
          <w:lang w:val="fr-FR"/>
        </w:rPr>
        <w:t>Selon les informations à la disposition de la CCDH, il n</w:t>
      </w:r>
      <w:r w:rsidRPr="00903569">
        <w:rPr>
          <w:rFonts w:ascii="Arial" w:hAnsi="Arial" w:cs="Arial"/>
          <w:sz w:val="24"/>
          <w:szCs w:val="24"/>
          <w:rtl/>
          <w:lang w:val="fr-FR"/>
        </w:rPr>
        <w:t>’</w:t>
      </w:r>
      <w:r w:rsidRPr="00903569">
        <w:rPr>
          <w:rFonts w:ascii="Arial" w:hAnsi="Arial" w:cs="Arial"/>
          <w:sz w:val="24"/>
          <w:szCs w:val="24"/>
          <w:lang w:val="fr-FR"/>
        </w:rPr>
        <w:t>est pourtant pas rare qu’un « </w:t>
      </w:r>
      <w:r w:rsidRPr="00903569">
        <w:rPr>
          <w:rFonts w:ascii="Arial" w:hAnsi="Arial" w:cs="Arial"/>
          <w:i/>
          <w:sz w:val="24"/>
          <w:szCs w:val="24"/>
          <w:lang w:val="fr-FR"/>
        </w:rPr>
        <w:t>interrogatoire informel</w:t>
      </w:r>
      <w:r w:rsidRPr="00903569">
        <w:rPr>
          <w:rFonts w:ascii="Arial" w:hAnsi="Arial" w:cs="Arial"/>
          <w:sz w:val="24"/>
          <w:szCs w:val="24"/>
          <w:lang w:val="fr-FR"/>
        </w:rPr>
        <w:t> » ait lieu dans ces instants. Il s</w:t>
      </w:r>
      <w:r w:rsidRPr="00903569">
        <w:rPr>
          <w:rFonts w:ascii="Arial" w:hAnsi="Arial" w:cs="Arial"/>
          <w:sz w:val="24"/>
          <w:szCs w:val="24"/>
          <w:rtl/>
          <w:lang w:val="fr-FR"/>
        </w:rPr>
        <w:t>’</w:t>
      </w:r>
      <w:r w:rsidRPr="00903569">
        <w:rPr>
          <w:rFonts w:ascii="Arial" w:hAnsi="Arial" w:cs="Arial"/>
          <w:sz w:val="24"/>
          <w:szCs w:val="24"/>
          <w:lang w:val="fr-FR"/>
        </w:rPr>
        <w:t>agit d</w:t>
      </w:r>
      <w:r w:rsidRPr="00903569">
        <w:rPr>
          <w:rFonts w:ascii="Arial" w:hAnsi="Arial" w:cs="Arial"/>
          <w:sz w:val="24"/>
          <w:szCs w:val="24"/>
          <w:rtl/>
          <w:lang w:val="fr-FR"/>
        </w:rPr>
        <w:t>’</w:t>
      </w:r>
      <w:r w:rsidRPr="00903569">
        <w:rPr>
          <w:rFonts w:ascii="Arial" w:hAnsi="Arial" w:cs="Arial"/>
          <w:sz w:val="24"/>
          <w:szCs w:val="24"/>
          <w:lang w:val="fr-FR"/>
        </w:rPr>
        <w:t>ailleurs d</w:t>
      </w:r>
      <w:r w:rsidRPr="00903569">
        <w:rPr>
          <w:rFonts w:ascii="Arial" w:hAnsi="Arial" w:cs="Arial"/>
          <w:sz w:val="24"/>
          <w:szCs w:val="24"/>
          <w:rtl/>
          <w:lang w:val="fr-FR"/>
        </w:rPr>
        <w:t>’</w:t>
      </w:r>
      <w:r w:rsidRPr="00903569">
        <w:rPr>
          <w:rFonts w:ascii="Arial" w:hAnsi="Arial" w:cs="Arial"/>
          <w:sz w:val="24"/>
          <w:szCs w:val="24"/>
          <w:lang w:val="fr-FR"/>
        </w:rPr>
        <w:t>une pratique qui semble courante dans d</w:t>
      </w:r>
      <w:r w:rsidRPr="00903569">
        <w:rPr>
          <w:rFonts w:ascii="Arial" w:hAnsi="Arial" w:cs="Arial"/>
          <w:sz w:val="24"/>
          <w:szCs w:val="24"/>
          <w:rtl/>
          <w:lang w:val="fr-FR"/>
        </w:rPr>
        <w:t>’</w:t>
      </w:r>
      <w:r w:rsidRPr="00903569">
        <w:rPr>
          <w:rFonts w:ascii="Arial" w:hAnsi="Arial" w:cs="Arial"/>
          <w:sz w:val="24"/>
          <w:szCs w:val="24"/>
          <w:lang w:val="fr-FR"/>
        </w:rPr>
        <w:t>autres pays européens, et qui peut avoir un impact négatif sur les droits procéduraux du mineur et sur l'évolution ultérieure des procédures.</w:t>
      </w:r>
      <w:r w:rsidRPr="00903569">
        <w:rPr>
          <w:rFonts w:ascii="Arial" w:hAnsi="Arial" w:cs="Arial"/>
          <w:sz w:val="24"/>
          <w:szCs w:val="24"/>
          <w:vertAlign w:val="superscript"/>
          <w:lang w:val="fr-FR"/>
        </w:rPr>
        <w:footnoteReference w:id="2"/>
      </w:r>
    </w:p>
    <w:p w14:paraId="5B9BA6E7" w14:textId="7414A714" w:rsidR="00903569" w:rsidRPr="00450C9A" w:rsidRDefault="00903569" w:rsidP="00312889">
      <w:pPr>
        <w:jc w:val="both"/>
        <w:rPr>
          <w:rFonts w:ascii="Arial" w:hAnsi="Arial" w:cs="Arial"/>
          <w:sz w:val="24"/>
          <w:lang w:val="fr-FR"/>
        </w:rPr>
      </w:pPr>
      <w:r w:rsidRPr="00450C9A">
        <w:rPr>
          <w:rFonts w:ascii="Arial" w:hAnsi="Arial" w:cs="Arial"/>
          <w:sz w:val="24"/>
          <w:lang w:val="fr-FR"/>
        </w:rPr>
        <w:t>Dans ce sens, il échet encore de noter que l’article 18 du projet de loi relatif aux procédures d’identification par empreintes génétiques (tel que modifié par les amendements gouvernementaux du 20 février 2023), ne prévoit pas la présence de l’avocat, et ceci contrairement à ce qui est par exemple prévu</w:t>
      </w:r>
      <w:r w:rsidR="00450C9A" w:rsidRPr="00450C9A">
        <w:rPr>
          <w:rFonts w:ascii="Arial" w:hAnsi="Arial" w:cs="Arial"/>
          <w:sz w:val="24"/>
          <w:lang w:val="fr-FR"/>
        </w:rPr>
        <w:t xml:space="preserve"> dans </w:t>
      </w:r>
      <w:hyperlink r:id="rId18" w:history="1">
        <w:r w:rsidR="00B626AE" w:rsidRPr="00450C9A">
          <w:rPr>
            <w:rStyle w:val="Hyperlink"/>
            <w:rFonts w:ascii="Arial" w:hAnsi="Arial" w:cs="Arial"/>
            <w:sz w:val="24"/>
            <w:lang w:val="fr-FR"/>
          </w:rPr>
          <w:t>le projet de loi relatif aux mineurs victimes et témoins</w:t>
        </w:r>
      </w:hyperlink>
      <w:r w:rsidR="00B626AE" w:rsidRPr="00450C9A">
        <w:rPr>
          <w:rFonts w:ascii="Arial" w:hAnsi="Arial" w:cs="Arial"/>
          <w:sz w:val="24"/>
          <w:lang w:val="fr-FR"/>
        </w:rPr>
        <w:t xml:space="preserve"> </w:t>
      </w:r>
      <w:r w:rsidRPr="00450C9A">
        <w:rPr>
          <w:rFonts w:ascii="Arial" w:hAnsi="Arial" w:cs="Arial"/>
          <w:sz w:val="24"/>
          <w:lang w:val="fr-FR"/>
        </w:rPr>
        <w:t>dans le cadre de la procédure pénale en cas</w:t>
      </w:r>
      <w:r w:rsidRPr="00450C9A">
        <w:rPr>
          <w:rFonts w:ascii="Arial" w:hAnsi="Arial" w:cs="Arial"/>
          <w:bCs/>
          <w:sz w:val="24"/>
          <w:lang w:val="fr-FR"/>
        </w:rPr>
        <w:t xml:space="preserve"> de prélèvement de cellules humaines</w:t>
      </w:r>
      <w:r w:rsidRPr="00450C9A">
        <w:rPr>
          <w:rFonts w:ascii="Arial" w:hAnsi="Arial" w:cs="Arial"/>
          <w:sz w:val="24"/>
          <w:lang w:val="fr-FR"/>
        </w:rPr>
        <w:t>.</w:t>
      </w:r>
      <w:r w:rsidRPr="00E45E41">
        <w:rPr>
          <w:rFonts w:ascii="Arial" w:hAnsi="Arial" w:cs="Arial"/>
          <w:sz w:val="24"/>
          <w:vertAlign w:val="superscript"/>
        </w:rPr>
        <w:footnoteReference w:id="3"/>
      </w:r>
    </w:p>
    <w:p w14:paraId="7D5EC7C7" w14:textId="77777777" w:rsidR="00123397" w:rsidRPr="0086220F" w:rsidRDefault="00123397" w:rsidP="00312889">
      <w:pPr>
        <w:pStyle w:val="Heading2"/>
      </w:pPr>
      <w:bookmarkStart w:id="6" w:name="_Toc129876594"/>
      <w:r w:rsidRPr="0086220F">
        <w:t>Réponse à la question posée au paragraphe 3(a)</w:t>
      </w:r>
      <w:bookmarkEnd w:id="6"/>
    </w:p>
    <w:p w14:paraId="382311A8" w14:textId="5FC8B633"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La CCDH s’interroge sur la cohérence et la fiabilité des données présentées par le gouvernement dans le cadre du présent rapport étant donné qu’elles ne correspondent pa</w:t>
      </w:r>
      <w:r w:rsidR="00450C9A">
        <w:rPr>
          <w:rFonts w:ascii="Arial" w:hAnsi="Arial" w:cs="Arial"/>
          <w:sz w:val="24"/>
          <w:szCs w:val="24"/>
          <w:lang w:val="fr-FR"/>
        </w:rPr>
        <w:t>s aux données recueillies par le</w:t>
      </w:r>
      <w:r w:rsidRPr="0086220F">
        <w:rPr>
          <w:rFonts w:ascii="Arial" w:hAnsi="Arial" w:cs="Arial"/>
          <w:sz w:val="24"/>
          <w:szCs w:val="24"/>
          <w:lang w:val="fr-FR"/>
        </w:rPr>
        <w:t xml:space="preserve"> rapporteur national</w:t>
      </w:r>
      <w:r w:rsidR="00FE45F9">
        <w:rPr>
          <w:rFonts w:ascii="Arial" w:hAnsi="Arial" w:cs="Arial"/>
          <w:sz w:val="24"/>
          <w:szCs w:val="24"/>
          <w:lang w:val="fr-FR"/>
        </w:rPr>
        <w:t> : l</w:t>
      </w:r>
      <w:r w:rsidR="00450C9A">
        <w:rPr>
          <w:rFonts w:ascii="Arial" w:hAnsi="Arial" w:cs="Arial"/>
          <w:sz w:val="24"/>
          <w:szCs w:val="24"/>
          <w:lang w:val="fr-FR"/>
        </w:rPr>
        <w:t xml:space="preserve">a CCDH, </w:t>
      </w:r>
      <w:r w:rsidRPr="0086220F">
        <w:rPr>
          <w:rFonts w:ascii="Arial" w:hAnsi="Arial" w:cs="Arial"/>
          <w:sz w:val="24"/>
          <w:szCs w:val="24"/>
          <w:lang w:val="fr-FR"/>
        </w:rPr>
        <w:t xml:space="preserve">rapporteur </w:t>
      </w:r>
      <w:r w:rsidR="00450C9A">
        <w:rPr>
          <w:rFonts w:ascii="Arial" w:hAnsi="Arial" w:cs="Arial"/>
          <w:sz w:val="24"/>
          <w:szCs w:val="24"/>
          <w:lang w:val="fr-FR"/>
        </w:rPr>
        <w:t>national en matière de traite des êtres humains</w:t>
      </w:r>
      <w:r w:rsidR="00216222">
        <w:rPr>
          <w:rFonts w:ascii="Arial" w:hAnsi="Arial" w:cs="Arial"/>
          <w:sz w:val="24"/>
          <w:szCs w:val="24"/>
          <w:lang w:val="fr-FR"/>
        </w:rPr>
        <w:t xml:space="preserve"> (TEH)</w:t>
      </w:r>
      <w:r w:rsidR="00450C9A">
        <w:rPr>
          <w:rFonts w:ascii="Arial" w:hAnsi="Arial" w:cs="Arial"/>
          <w:sz w:val="24"/>
          <w:szCs w:val="24"/>
          <w:lang w:val="fr-FR"/>
        </w:rPr>
        <w:t xml:space="preserve">, </w:t>
      </w:r>
      <w:r w:rsidRPr="0086220F">
        <w:rPr>
          <w:rFonts w:ascii="Arial" w:hAnsi="Arial" w:cs="Arial"/>
          <w:sz w:val="24"/>
          <w:szCs w:val="24"/>
          <w:lang w:val="fr-FR"/>
        </w:rPr>
        <w:t>a analysé les données statistiques désagrégées dans ses rapports</w:t>
      </w:r>
      <w:r w:rsidR="00450C9A">
        <w:rPr>
          <w:rFonts w:ascii="Arial" w:hAnsi="Arial" w:cs="Arial"/>
          <w:sz w:val="24"/>
          <w:szCs w:val="24"/>
          <w:lang w:val="fr-FR"/>
        </w:rPr>
        <w:t xml:space="preserve"> bisannuels</w:t>
      </w:r>
      <w:r w:rsidRPr="0086220F">
        <w:rPr>
          <w:rFonts w:ascii="Arial" w:hAnsi="Arial" w:cs="Arial"/>
          <w:sz w:val="24"/>
          <w:szCs w:val="24"/>
          <w:lang w:val="fr-FR"/>
        </w:rPr>
        <w:t xml:space="preserve"> : </w:t>
      </w:r>
      <w:hyperlink r:id="rId19" w:history="1">
        <w:r w:rsidRPr="0086220F">
          <w:rPr>
            <w:rStyle w:val="Hyperlink"/>
            <w:rFonts w:ascii="Arial" w:hAnsi="Arial" w:cs="Arial"/>
            <w:sz w:val="24"/>
            <w:szCs w:val="24"/>
            <w:lang w:val="fr-FR"/>
          </w:rPr>
          <w:t>1</w:t>
        </w:r>
        <w:r w:rsidRPr="0086220F">
          <w:rPr>
            <w:rStyle w:val="Hyperlink"/>
            <w:rFonts w:ascii="Arial" w:hAnsi="Arial" w:cs="Arial"/>
            <w:sz w:val="24"/>
            <w:szCs w:val="24"/>
            <w:vertAlign w:val="superscript"/>
            <w:lang w:val="fr-FR"/>
          </w:rPr>
          <w:t>er</w:t>
        </w:r>
        <w:r w:rsidRPr="0086220F">
          <w:rPr>
            <w:rStyle w:val="Hyperlink"/>
            <w:rFonts w:ascii="Arial" w:hAnsi="Arial" w:cs="Arial"/>
            <w:sz w:val="24"/>
            <w:szCs w:val="24"/>
            <w:lang w:val="fr-FR"/>
          </w:rPr>
          <w:t xml:space="preserve"> Rapport sur la TEH </w:t>
        </w:r>
      </w:hyperlink>
      <w:r w:rsidRPr="0086220F">
        <w:rPr>
          <w:rFonts w:ascii="Arial" w:hAnsi="Arial" w:cs="Arial"/>
          <w:sz w:val="24"/>
          <w:szCs w:val="24"/>
          <w:lang w:val="fr-FR"/>
        </w:rPr>
        <w:t xml:space="preserve">(p. 17) ; </w:t>
      </w:r>
      <w:hyperlink r:id="rId20" w:history="1">
        <w:r w:rsidRPr="0086220F">
          <w:rPr>
            <w:rStyle w:val="Hyperlink"/>
            <w:rFonts w:ascii="Arial" w:hAnsi="Arial" w:cs="Arial"/>
            <w:sz w:val="24"/>
            <w:szCs w:val="24"/>
            <w:lang w:val="fr-FR"/>
          </w:rPr>
          <w:t>2</w:t>
        </w:r>
        <w:r w:rsidRPr="0086220F">
          <w:rPr>
            <w:rStyle w:val="Hyperlink"/>
            <w:rFonts w:ascii="Arial" w:hAnsi="Arial" w:cs="Arial"/>
            <w:sz w:val="24"/>
            <w:szCs w:val="24"/>
            <w:vertAlign w:val="superscript"/>
            <w:lang w:val="fr-FR"/>
          </w:rPr>
          <w:t>e</w:t>
        </w:r>
        <w:r w:rsidRPr="0086220F">
          <w:rPr>
            <w:rStyle w:val="Hyperlink"/>
            <w:rFonts w:ascii="Arial" w:hAnsi="Arial" w:cs="Arial"/>
            <w:sz w:val="24"/>
            <w:szCs w:val="24"/>
            <w:lang w:val="fr-FR"/>
          </w:rPr>
          <w:t xml:space="preserve"> Rapport sur la TEH</w:t>
        </w:r>
      </w:hyperlink>
      <w:r w:rsidRPr="0086220F">
        <w:rPr>
          <w:rFonts w:ascii="Arial" w:hAnsi="Arial" w:cs="Arial"/>
          <w:sz w:val="24"/>
          <w:szCs w:val="24"/>
          <w:lang w:val="fr-FR"/>
        </w:rPr>
        <w:t xml:space="preserve"> (p. 7) ; </w:t>
      </w:r>
      <w:hyperlink r:id="rId21" w:history="1">
        <w:r w:rsidRPr="0086220F">
          <w:rPr>
            <w:rStyle w:val="Hyperlink"/>
            <w:rFonts w:ascii="Arial" w:hAnsi="Arial" w:cs="Arial"/>
            <w:sz w:val="24"/>
            <w:szCs w:val="24"/>
            <w:lang w:val="fr-FR"/>
          </w:rPr>
          <w:t>3</w:t>
        </w:r>
        <w:r w:rsidRPr="0086220F">
          <w:rPr>
            <w:rStyle w:val="Hyperlink"/>
            <w:rFonts w:ascii="Arial" w:hAnsi="Arial" w:cs="Arial"/>
            <w:sz w:val="24"/>
            <w:szCs w:val="24"/>
            <w:vertAlign w:val="superscript"/>
            <w:lang w:val="fr-FR"/>
          </w:rPr>
          <w:t>e</w:t>
        </w:r>
        <w:r w:rsidRPr="0086220F">
          <w:rPr>
            <w:rStyle w:val="Hyperlink"/>
            <w:rFonts w:ascii="Arial" w:hAnsi="Arial" w:cs="Arial"/>
            <w:sz w:val="24"/>
            <w:szCs w:val="24"/>
            <w:lang w:val="fr-FR"/>
          </w:rPr>
          <w:t xml:space="preserve"> Rapport sur la TEH</w:t>
        </w:r>
      </w:hyperlink>
      <w:r w:rsidRPr="0086220F">
        <w:rPr>
          <w:rFonts w:ascii="Arial" w:hAnsi="Arial" w:cs="Arial"/>
          <w:sz w:val="24"/>
          <w:szCs w:val="24"/>
          <w:lang w:val="fr-FR"/>
        </w:rPr>
        <w:t xml:space="preserve"> (p. 14).</w:t>
      </w:r>
    </w:p>
    <w:p w14:paraId="34693751" w14:textId="3202AFB3" w:rsidR="00123397" w:rsidRPr="0086220F" w:rsidRDefault="00123397" w:rsidP="00312889">
      <w:pPr>
        <w:jc w:val="both"/>
        <w:rPr>
          <w:rFonts w:ascii="Arial" w:hAnsi="Arial" w:cs="Arial"/>
          <w:sz w:val="24"/>
          <w:szCs w:val="24"/>
          <w:lang w:val="fr-FR"/>
        </w:rPr>
      </w:pPr>
      <w:r w:rsidRPr="0086220F">
        <w:rPr>
          <w:rFonts w:ascii="Arial" w:hAnsi="Arial" w:cs="Arial"/>
          <w:sz w:val="24"/>
          <w:szCs w:val="24"/>
          <w:lang w:val="fr-FR"/>
        </w:rPr>
        <w:t xml:space="preserve">La réponse incomplète du gouvernement reflète </w:t>
      </w:r>
      <w:r w:rsidR="00450C9A">
        <w:rPr>
          <w:rFonts w:ascii="Arial" w:hAnsi="Arial" w:cs="Arial"/>
          <w:sz w:val="24"/>
          <w:szCs w:val="24"/>
          <w:lang w:val="fr-FR"/>
        </w:rPr>
        <w:t xml:space="preserve">d’ailleurs </w:t>
      </w:r>
      <w:r w:rsidRPr="0086220F">
        <w:rPr>
          <w:rFonts w:ascii="Arial" w:hAnsi="Arial" w:cs="Arial"/>
          <w:sz w:val="24"/>
          <w:szCs w:val="24"/>
          <w:lang w:val="fr-FR"/>
        </w:rPr>
        <w:t xml:space="preserve">la nécessité </w:t>
      </w:r>
      <w:r w:rsidR="00450C9A">
        <w:rPr>
          <w:rFonts w:ascii="Arial" w:hAnsi="Arial" w:cs="Arial"/>
          <w:sz w:val="24"/>
          <w:szCs w:val="24"/>
          <w:lang w:val="fr-FR"/>
        </w:rPr>
        <w:t xml:space="preserve">générale </w:t>
      </w:r>
      <w:r w:rsidRPr="0086220F">
        <w:rPr>
          <w:rFonts w:ascii="Arial" w:hAnsi="Arial" w:cs="Arial"/>
          <w:sz w:val="24"/>
          <w:szCs w:val="24"/>
          <w:lang w:val="fr-FR"/>
        </w:rPr>
        <w:t xml:space="preserve">d’améliorer la collecte de données statistiques au Luxembourg. Dans son rapport de 2019, le rapporteur avait mis en avant l’absence d’un système informatique adapté et unique et avait recommandé au gouvernement </w:t>
      </w:r>
      <w:r w:rsidR="00FE45F9">
        <w:rPr>
          <w:rFonts w:ascii="Arial" w:hAnsi="Arial" w:cs="Arial"/>
          <w:sz w:val="24"/>
          <w:szCs w:val="24"/>
          <w:lang w:val="fr-FR"/>
        </w:rPr>
        <w:t>d’</w:t>
      </w:r>
      <w:r w:rsidRPr="0086220F">
        <w:rPr>
          <w:rFonts w:ascii="Arial" w:hAnsi="Arial" w:cs="Arial"/>
          <w:sz w:val="24"/>
          <w:szCs w:val="24"/>
          <w:lang w:val="fr-FR"/>
        </w:rPr>
        <w:t xml:space="preserve"> impliquer le STATEC ainsi que l’Université du Luxembourg dans la mise en place d’un tel système. Des progrès ont été accomplis entretemps qui sont avant tout le fruit des nombreux efforts déployés par la police judiciaire. </w:t>
      </w:r>
      <w:r w:rsidR="00450C9A">
        <w:rPr>
          <w:rFonts w:ascii="Arial" w:hAnsi="Arial" w:cs="Arial"/>
          <w:sz w:val="24"/>
          <w:szCs w:val="24"/>
          <w:lang w:val="fr-FR"/>
        </w:rPr>
        <w:t>Or, l</w:t>
      </w:r>
      <w:r w:rsidRPr="0086220F">
        <w:rPr>
          <w:rFonts w:ascii="Arial" w:hAnsi="Arial" w:cs="Arial"/>
          <w:sz w:val="24"/>
          <w:szCs w:val="24"/>
          <w:lang w:val="fr-FR"/>
        </w:rPr>
        <w:t xml:space="preserve">a collecte de données statistiques reste </w:t>
      </w:r>
      <w:r w:rsidR="00450C9A">
        <w:rPr>
          <w:rFonts w:ascii="Arial" w:hAnsi="Arial" w:cs="Arial"/>
          <w:sz w:val="24"/>
          <w:szCs w:val="24"/>
          <w:lang w:val="fr-FR"/>
        </w:rPr>
        <w:t xml:space="preserve">généralement </w:t>
      </w:r>
      <w:r w:rsidRPr="0086220F">
        <w:rPr>
          <w:rFonts w:ascii="Arial" w:hAnsi="Arial" w:cs="Arial"/>
          <w:sz w:val="24"/>
          <w:szCs w:val="24"/>
          <w:lang w:val="fr-FR"/>
        </w:rPr>
        <w:t>insuffisante au Luxembourg et il faudra r</w:t>
      </w:r>
      <w:r w:rsidR="00450C9A">
        <w:rPr>
          <w:rFonts w:ascii="Arial" w:hAnsi="Arial" w:cs="Arial"/>
          <w:sz w:val="24"/>
          <w:szCs w:val="24"/>
          <w:lang w:val="fr-FR"/>
        </w:rPr>
        <w:t xml:space="preserve">edoubler d’efforts en la matière, y compris au niveau des autorités judiciaires, </w:t>
      </w:r>
      <w:r w:rsidRPr="0086220F">
        <w:rPr>
          <w:rFonts w:ascii="Arial" w:hAnsi="Arial" w:cs="Arial"/>
          <w:sz w:val="24"/>
          <w:szCs w:val="24"/>
          <w:lang w:val="fr-FR"/>
        </w:rPr>
        <w:t>afin de mettre en place un modèle plus performant, cohérent et fiable.</w:t>
      </w:r>
    </w:p>
    <w:p w14:paraId="437BFDBC" w14:textId="77777777" w:rsidR="00385910" w:rsidRPr="0086220F" w:rsidRDefault="00385910" w:rsidP="00312889">
      <w:pPr>
        <w:pStyle w:val="Heading2"/>
      </w:pPr>
      <w:bookmarkStart w:id="7" w:name="_Toc129876595"/>
      <w:r w:rsidRPr="0086220F">
        <w:t>Réponse à la question posée au paragraphe 3(b)</w:t>
      </w:r>
      <w:bookmarkEnd w:id="7"/>
    </w:p>
    <w:p w14:paraId="06C1F0F0" w14:textId="77777777" w:rsidR="00385910" w:rsidRPr="0086220F" w:rsidRDefault="00450C9A" w:rsidP="00312889">
      <w:pPr>
        <w:jc w:val="both"/>
        <w:rPr>
          <w:rFonts w:ascii="Arial" w:hAnsi="Arial" w:cs="Arial"/>
          <w:sz w:val="24"/>
          <w:szCs w:val="24"/>
          <w:lang w:val="fr-FR"/>
        </w:rPr>
      </w:pPr>
      <w:r>
        <w:rPr>
          <w:rFonts w:ascii="Arial" w:hAnsi="Arial" w:cs="Arial"/>
          <w:sz w:val="24"/>
          <w:szCs w:val="24"/>
          <w:lang w:val="fr-FR"/>
        </w:rPr>
        <w:t xml:space="preserve">La CCDH a regretté dans son </w:t>
      </w:r>
      <w:hyperlink r:id="rId22" w:history="1">
        <w:r w:rsidRPr="00450C9A">
          <w:rPr>
            <w:rStyle w:val="Hyperlink"/>
            <w:rFonts w:ascii="Arial" w:hAnsi="Arial" w:cs="Arial"/>
            <w:sz w:val="24"/>
            <w:szCs w:val="24"/>
            <w:lang w:val="fr-FR"/>
          </w:rPr>
          <w:t>3</w:t>
        </w:r>
        <w:r w:rsidRPr="00450C9A">
          <w:rPr>
            <w:rStyle w:val="Hyperlink"/>
            <w:rFonts w:ascii="Arial" w:hAnsi="Arial" w:cs="Arial"/>
            <w:sz w:val="24"/>
            <w:szCs w:val="24"/>
            <w:vertAlign w:val="superscript"/>
            <w:lang w:val="fr-FR"/>
          </w:rPr>
          <w:t>e</w:t>
        </w:r>
        <w:r w:rsidRPr="00450C9A">
          <w:rPr>
            <w:rStyle w:val="Hyperlink"/>
            <w:rFonts w:ascii="Arial" w:hAnsi="Arial" w:cs="Arial"/>
            <w:sz w:val="24"/>
            <w:szCs w:val="24"/>
            <w:lang w:val="fr-FR"/>
          </w:rPr>
          <w:t xml:space="preserve"> Rapport</w:t>
        </w:r>
      </w:hyperlink>
      <w:r>
        <w:rPr>
          <w:rFonts w:ascii="Arial" w:hAnsi="Arial" w:cs="Arial"/>
          <w:sz w:val="24"/>
          <w:szCs w:val="24"/>
          <w:lang w:val="fr-FR"/>
        </w:rPr>
        <w:t xml:space="preserve"> (p.73) sur la TEH</w:t>
      </w:r>
      <w:r w:rsidR="00385910" w:rsidRPr="0086220F">
        <w:rPr>
          <w:rFonts w:ascii="Arial" w:hAnsi="Arial" w:cs="Arial"/>
          <w:sz w:val="24"/>
          <w:szCs w:val="24"/>
          <w:lang w:val="fr-FR"/>
        </w:rPr>
        <w:t xml:space="preserve"> que le Plan d’action national de lutte contre la traite des êtres humains, qui date de 2016, et pour lequel une mise à jour était prévue pour 2020, n’ait toujours pas été actualisé. </w:t>
      </w:r>
      <w:r>
        <w:rPr>
          <w:rFonts w:ascii="Arial" w:hAnsi="Arial" w:cs="Arial"/>
          <w:sz w:val="24"/>
          <w:szCs w:val="24"/>
          <w:lang w:val="fr-FR"/>
        </w:rPr>
        <w:t>Elle</w:t>
      </w:r>
      <w:r w:rsidR="00385910" w:rsidRPr="0086220F">
        <w:rPr>
          <w:rFonts w:ascii="Arial" w:hAnsi="Arial" w:cs="Arial"/>
          <w:sz w:val="24"/>
          <w:szCs w:val="24"/>
          <w:lang w:val="fr-FR"/>
        </w:rPr>
        <w:t xml:space="preserve"> réitère sa recommandation de présenter dans les meilleurs délais un nouveau plan d’action qui comprend des mesures concrètes, précises, assorties de délais, avec un accent sur la traite dans le monde du travail. </w:t>
      </w:r>
      <w:r>
        <w:rPr>
          <w:rFonts w:ascii="Arial" w:hAnsi="Arial" w:cs="Arial"/>
          <w:sz w:val="24"/>
          <w:szCs w:val="24"/>
          <w:lang w:val="fr-FR"/>
        </w:rPr>
        <w:t>Elle</w:t>
      </w:r>
      <w:r w:rsidR="00385910" w:rsidRPr="0086220F">
        <w:rPr>
          <w:rFonts w:ascii="Arial" w:hAnsi="Arial" w:cs="Arial"/>
          <w:sz w:val="24"/>
          <w:szCs w:val="24"/>
          <w:lang w:val="fr-FR"/>
        </w:rPr>
        <w:t xml:space="preserve"> renvoie également à sa recommandation de faire évaluer ces plans d’action par un mécanisme indépendant. </w:t>
      </w:r>
    </w:p>
    <w:p w14:paraId="5944E048" w14:textId="77777777" w:rsidR="00385910" w:rsidRPr="0086220F" w:rsidRDefault="00385910" w:rsidP="00312889">
      <w:pPr>
        <w:jc w:val="both"/>
        <w:rPr>
          <w:rFonts w:ascii="Arial" w:hAnsi="Arial" w:cs="Arial"/>
          <w:sz w:val="24"/>
          <w:szCs w:val="24"/>
          <w:lang w:val="fr-FR"/>
        </w:rPr>
      </w:pPr>
      <w:r w:rsidRPr="0086220F">
        <w:rPr>
          <w:rFonts w:ascii="Arial" w:hAnsi="Arial" w:cs="Arial"/>
          <w:sz w:val="24"/>
          <w:szCs w:val="24"/>
          <w:lang w:val="fr-FR"/>
        </w:rPr>
        <w:t xml:space="preserve">Les autres plans d’action (p.ex. </w:t>
      </w:r>
      <w:hyperlink r:id="rId23" w:history="1">
        <w:r w:rsidRPr="00450C9A">
          <w:rPr>
            <w:rStyle w:val="Hyperlink"/>
            <w:rFonts w:ascii="Arial" w:hAnsi="Arial" w:cs="Arial"/>
            <w:sz w:val="24"/>
            <w:szCs w:val="24"/>
            <w:lang w:val="fr-FR"/>
          </w:rPr>
          <w:t>entreprises et droits humains</w:t>
        </w:r>
      </w:hyperlink>
      <w:r w:rsidRPr="0086220F">
        <w:rPr>
          <w:rFonts w:ascii="Arial" w:hAnsi="Arial" w:cs="Arial"/>
          <w:sz w:val="24"/>
          <w:szCs w:val="24"/>
          <w:lang w:val="fr-FR"/>
        </w:rPr>
        <w:t xml:space="preserve">) ne </w:t>
      </w:r>
      <w:r w:rsidR="00450C9A">
        <w:rPr>
          <w:rFonts w:ascii="Arial" w:hAnsi="Arial" w:cs="Arial"/>
          <w:sz w:val="24"/>
          <w:szCs w:val="24"/>
          <w:lang w:val="fr-FR"/>
        </w:rPr>
        <w:t>tiennent nullement compte de</w:t>
      </w:r>
      <w:r w:rsidRPr="0086220F">
        <w:rPr>
          <w:rFonts w:ascii="Arial" w:hAnsi="Arial" w:cs="Arial"/>
          <w:sz w:val="24"/>
          <w:szCs w:val="24"/>
          <w:lang w:val="fr-FR"/>
        </w:rPr>
        <w:t xml:space="preserve"> la TEH. Le plan d’action national « Egalité entre les femmes et les hommes » mentionne la TEH uniquement dans le cadre de la lutte contre les violences domestiques. Il est par conséquent nécessaire de </w:t>
      </w:r>
      <w:r w:rsidR="009C568B">
        <w:rPr>
          <w:rFonts w:ascii="Arial" w:hAnsi="Arial" w:cs="Arial"/>
          <w:sz w:val="24"/>
          <w:szCs w:val="24"/>
          <w:lang w:val="fr-FR"/>
        </w:rPr>
        <w:t xml:space="preserve">faire des efforts supplémentaires pour </w:t>
      </w:r>
      <w:r w:rsidRPr="0086220F">
        <w:rPr>
          <w:rFonts w:ascii="Arial" w:hAnsi="Arial" w:cs="Arial"/>
          <w:sz w:val="24"/>
          <w:szCs w:val="24"/>
          <w:lang w:val="fr-FR"/>
        </w:rPr>
        <w:t xml:space="preserve">veiller à la cohérence des politiques. </w:t>
      </w:r>
    </w:p>
    <w:p w14:paraId="425D13BB" w14:textId="77777777" w:rsidR="009C568B" w:rsidRDefault="00385910" w:rsidP="00312889">
      <w:pPr>
        <w:jc w:val="both"/>
        <w:rPr>
          <w:rFonts w:ascii="Arial" w:hAnsi="Arial" w:cs="Arial"/>
          <w:sz w:val="24"/>
          <w:szCs w:val="24"/>
          <w:lang w:val="fr-FR"/>
        </w:rPr>
      </w:pPr>
      <w:r w:rsidRPr="0086220F">
        <w:rPr>
          <w:rFonts w:ascii="Arial" w:hAnsi="Arial" w:cs="Arial"/>
          <w:sz w:val="24"/>
          <w:szCs w:val="24"/>
          <w:lang w:val="fr-FR"/>
        </w:rPr>
        <w:t>En outre, l’article 1 er de la loi du 28 février 2018 prévoit la création d’un Comité « Prostitution », qui suit le phénomène et an</w:t>
      </w:r>
      <w:r w:rsidR="009C568B">
        <w:rPr>
          <w:rFonts w:ascii="Arial" w:hAnsi="Arial" w:cs="Arial"/>
          <w:sz w:val="24"/>
          <w:szCs w:val="24"/>
          <w:lang w:val="fr-FR"/>
        </w:rPr>
        <w:t>alyse son évolution et s</w:t>
      </w:r>
      <w:r w:rsidRPr="0086220F">
        <w:rPr>
          <w:rFonts w:ascii="Arial" w:hAnsi="Arial" w:cs="Arial"/>
          <w:sz w:val="24"/>
          <w:szCs w:val="24"/>
          <w:lang w:val="fr-FR"/>
        </w:rPr>
        <w:t>es conséquences. Il est également prévu que ce Comité travaille en étroite collaboration avec le Comité de suivi de la lutte contre la traite des êtres humains. Le rapporteur a regretté dans son 3</w:t>
      </w:r>
      <w:r w:rsidRPr="0086220F">
        <w:rPr>
          <w:rFonts w:ascii="Arial" w:hAnsi="Arial" w:cs="Arial"/>
          <w:sz w:val="24"/>
          <w:szCs w:val="24"/>
          <w:vertAlign w:val="superscript"/>
          <w:lang w:val="fr-FR"/>
        </w:rPr>
        <w:t>e</w:t>
      </w:r>
      <w:r w:rsidRPr="0086220F">
        <w:rPr>
          <w:rFonts w:ascii="Arial" w:hAnsi="Arial" w:cs="Arial"/>
          <w:sz w:val="24"/>
          <w:szCs w:val="24"/>
          <w:lang w:val="fr-FR"/>
        </w:rPr>
        <w:t xml:space="preserve"> rapport sur la TEH que le règlement grand-ducal devant préciser la composition, l’organisation et le fonctionnement du Comité « Prostitution » n’avait pas encore été adopté. Un </w:t>
      </w:r>
      <w:hyperlink r:id="rId24" w:history="1">
        <w:r w:rsidRPr="0086220F">
          <w:rPr>
            <w:rStyle w:val="Hyperlink"/>
            <w:rFonts w:ascii="Arial" w:hAnsi="Arial" w:cs="Arial"/>
            <w:sz w:val="24"/>
            <w:szCs w:val="24"/>
            <w:lang w:val="fr-FR"/>
          </w:rPr>
          <w:t>projet de règlement grand-ducal</w:t>
        </w:r>
      </w:hyperlink>
      <w:r w:rsidRPr="0086220F">
        <w:rPr>
          <w:rFonts w:ascii="Arial" w:hAnsi="Arial" w:cs="Arial"/>
          <w:sz w:val="24"/>
          <w:szCs w:val="24"/>
          <w:lang w:val="fr-FR"/>
        </w:rPr>
        <w:t xml:space="preserve"> a été déposé en date du 14 octobre 2022</w:t>
      </w:r>
      <w:r w:rsidR="009C568B">
        <w:rPr>
          <w:rFonts w:ascii="Arial" w:hAnsi="Arial" w:cs="Arial"/>
          <w:sz w:val="24"/>
          <w:szCs w:val="24"/>
          <w:lang w:val="fr-FR"/>
        </w:rPr>
        <w:t xml:space="preserve"> mais n’est pas encore entré en vigueur</w:t>
      </w:r>
    </w:p>
    <w:p w14:paraId="07CAC427" w14:textId="77777777" w:rsidR="00385910" w:rsidRPr="0086220F" w:rsidRDefault="00385910" w:rsidP="00312889">
      <w:pPr>
        <w:jc w:val="both"/>
        <w:rPr>
          <w:rFonts w:ascii="Arial" w:hAnsi="Arial" w:cs="Arial"/>
          <w:sz w:val="24"/>
          <w:szCs w:val="24"/>
          <w:lang w:val="fr-FR"/>
        </w:rPr>
      </w:pPr>
      <w:r w:rsidRPr="0086220F">
        <w:rPr>
          <w:rFonts w:ascii="Arial" w:hAnsi="Arial" w:cs="Arial"/>
          <w:sz w:val="24"/>
          <w:szCs w:val="24"/>
          <w:lang w:val="fr-FR"/>
        </w:rPr>
        <w:t xml:space="preserve">. </w:t>
      </w:r>
    </w:p>
    <w:p w14:paraId="08D3D022" w14:textId="77777777" w:rsidR="00385910" w:rsidRPr="0086220F" w:rsidRDefault="00385910" w:rsidP="00312889">
      <w:pPr>
        <w:pStyle w:val="Heading2"/>
      </w:pPr>
      <w:bookmarkStart w:id="8" w:name="_Toc129876596"/>
      <w:r w:rsidRPr="0086220F">
        <w:t>Réponse à la question posée au paragraphe 3(c)</w:t>
      </w:r>
      <w:bookmarkEnd w:id="8"/>
    </w:p>
    <w:p w14:paraId="40E45229" w14:textId="77777777" w:rsidR="00385910" w:rsidRPr="0086220F" w:rsidRDefault="00385910" w:rsidP="00312889">
      <w:pPr>
        <w:jc w:val="both"/>
        <w:rPr>
          <w:rFonts w:ascii="Arial" w:hAnsi="Arial" w:cs="Arial"/>
          <w:sz w:val="24"/>
          <w:szCs w:val="24"/>
          <w:lang w:val="fr-FR"/>
        </w:rPr>
      </w:pPr>
      <w:r w:rsidRPr="0086220F">
        <w:rPr>
          <w:rFonts w:ascii="Arial" w:hAnsi="Arial" w:cs="Arial"/>
          <w:sz w:val="24"/>
          <w:szCs w:val="24"/>
          <w:lang w:val="fr-FR"/>
        </w:rPr>
        <w:t>En ce qui concerne les mesures de réparation, le rapporteur a dû constater que des efforts supplémentaires sont nécessaires. Il est regrettable que le gouvernement n’a pas fourni de données relatives au pourcentage de cas dans lesquels une indemnisation a été accordée ainsi que son montant moyen. La CCDH a analysé cette question</w:t>
      </w:r>
      <w:r w:rsidR="009C568B">
        <w:rPr>
          <w:rFonts w:ascii="Arial" w:hAnsi="Arial" w:cs="Arial"/>
          <w:sz w:val="24"/>
          <w:szCs w:val="24"/>
          <w:lang w:val="fr-FR"/>
        </w:rPr>
        <w:t xml:space="preserve"> dernièrement</w:t>
      </w:r>
      <w:r w:rsidRPr="0086220F">
        <w:rPr>
          <w:rFonts w:ascii="Arial" w:hAnsi="Arial" w:cs="Arial"/>
          <w:sz w:val="24"/>
          <w:szCs w:val="24"/>
          <w:lang w:val="fr-FR"/>
        </w:rPr>
        <w:t xml:space="preserve"> dans son </w:t>
      </w:r>
      <w:hyperlink r:id="rId25" w:history="1">
        <w:r w:rsidRPr="009C568B">
          <w:rPr>
            <w:rStyle w:val="Hyperlink"/>
            <w:rFonts w:ascii="Arial" w:hAnsi="Arial" w:cs="Arial"/>
            <w:sz w:val="24"/>
            <w:szCs w:val="24"/>
            <w:lang w:val="fr-FR"/>
          </w:rPr>
          <w:t>3</w:t>
        </w:r>
        <w:r w:rsidRPr="009C568B">
          <w:rPr>
            <w:rStyle w:val="Hyperlink"/>
            <w:rFonts w:ascii="Arial" w:hAnsi="Arial" w:cs="Arial"/>
            <w:sz w:val="24"/>
            <w:szCs w:val="24"/>
            <w:vertAlign w:val="superscript"/>
            <w:lang w:val="fr-FR"/>
          </w:rPr>
          <w:t>e</w:t>
        </w:r>
        <w:r w:rsidRPr="009C568B">
          <w:rPr>
            <w:rStyle w:val="Hyperlink"/>
            <w:rFonts w:ascii="Arial" w:hAnsi="Arial" w:cs="Arial"/>
            <w:sz w:val="24"/>
            <w:szCs w:val="24"/>
            <w:lang w:val="fr-FR"/>
          </w:rPr>
          <w:t xml:space="preserve"> rapport sur la TEH</w:t>
        </w:r>
      </w:hyperlink>
      <w:r w:rsidR="009C568B">
        <w:rPr>
          <w:rFonts w:ascii="Arial" w:hAnsi="Arial" w:cs="Arial"/>
          <w:sz w:val="24"/>
          <w:szCs w:val="24"/>
          <w:lang w:val="fr-FR"/>
        </w:rPr>
        <w:t xml:space="preserve"> (p. 32, 67 et 107)</w:t>
      </w:r>
      <w:r w:rsidRPr="0086220F">
        <w:rPr>
          <w:rFonts w:ascii="Arial" w:hAnsi="Arial" w:cs="Arial"/>
          <w:sz w:val="24"/>
          <w:szCs w:val="24"/>
          <w:lang w:val="fr-FR"/>
        </w:rPr>
        <w:t xml:space="preserve">. </w:t>
      </w:r>
    </w:p>
    <w:p w14:paraId="1230D660" w14:textId="7CC2D78A" w:rsidR="009C568B" w:rsidRPr="009C568B" w:rsidRDefault="009C568B" w:rsidP="00312889">
      <w:pPr>
        <w:jc w:val="both"/>
        <w:rPr>
          <w:rFonts w:ascii="Arial" w:hAnsi="Arial" w:cs="Arial"/>
          <w:sz w:val="24"/>
          <w:szCs w:val="24"/>
          <w:lang w:val="fr-FR"/>
        </w:rPr>
      </w:pPr>
      <w:r w:rsidRPr="009C568B">
        <w:rPr>
          <w:rFonts w:ascii="Arial" w:hAnsi="Arial" w:cs="Arial"/>
          <w:sz w:val="24"/>
          <w:szCs w:val="24"/>
          <w:lang w:val="fr-FR"/>
        </w:rPr>
        <w:t>Dans la pratique, l’accès des victimes aux indemnisations est difficile, avec des montants alloués qui sont beaucoup moins significatifs que ce qui est demandé par les victimes. Il y a lieu d’identifier d’éventuels obstacles empêchant l’accès effectif des victimes de la traite des êtres hum</w:t>
      </w:r>
      <w:r w:rsidR="00B626AE">
        <w:rPr>
          <w:rFonts w:ascii="Arial" w:hAnsi="Arial" w:cs="Arial"/>
          <w:sz w:val="24"/>
          <w:szCs w:val="24"/>
          <w:lang w:val="fr-FR"/>
        </w:rPr>
        <w:t xml:space="preserve">ains à l’indemnisation qui </w:t>
      </w:r>
      <w:r w:rsidR="00FE45F9">
        <w:rPr>
          <w:rFonts w:ascii="Arial" w:hAnsi="Arial" w:cs="Arial"/>
          <w:sz w:val="24"/>
          <w:szCs w:val="24"/>
          <w:lang w:val="fr-FR"/>
        </w:rPr>
        <w:t>tienne</w:t>
      </w:r>
      <w:r w:rsidRPr="009C568B">
        <w:rPr>
          <w:rFonts w:ascii="Arial" w:hAnsi="Arial" w:cs="Arial"/>
          <w:sz w:val="24"/>
          <w:szCs w:val="24"/>
          <w:lang w:val="fr-FR"/>
        </w:rPr>
        <w:t xml:space="preserve"> compte des conséquences des dégâts causés et de trouver des solutions à ce problème</w:t>
      </w:r>
    </w:p>
    <w:p w14:paraId="769CCE6E" w14:textId="77777777" w:rsidR="00385910" w:rsidRPr="0086220F" w:rsidRDefault="00385910" w:rsidP="00312889">
      <w:pPr>
        <w:jc w:val="both"/>
        <w:rPr>
          <w:rFonts w:ascii="Arial" w:hAnsi="Arial" w:cs="Arial"/>
          <w:sz w:val="24"/>
          <w:szCs w:val="24"/>
          <w:u w:val="single"/>
          <w:lang w:val="fr-FR"/>
        </w:rPr>
      </w:pPr>
      <w:r w:rsidRPr="0086220F">
        <w:rPr>
          <w:rFonts w:ascii="Arial" w:hAnsi="Arial" w:cs="Arial"/>
          <w:sz w:val="24"/>
          <w:szCs w:val="24"/>
          <w:u w:val="single"/>
          <w:lang w:val="fr-FR"/>
        </w:rPr>
        <w:t>Indemnisation octroyée par les juridictions :</w:t>
      </w:r>
    </w:p>
    <w:p w14:paraId="78A83C95" w14:textId="77777777" w:rsidR="00385910" w:rsidRPr="0086220F" w:rsidRDefault="00385910" w:rsidP="00312889">
      <w:pPr>
        <w:jc w:val="both"/>
        <w:rPr>
          <w:rFonts w:ascii="Arial" w:hAnsi="Arial" w:cs="Arial"/>
          <w:sz w:val="24"/>
          <w:szCs w:val="24"/>
          <w:lang w:val="fr-FR"/>
        </w:rPr>
      </w:pPr>
      <w:r w:rsidRPr="0086220F">
        <w:rPr>
          <w:rFonts w:ascii="Arial" w:hAnsi="Arial" w:cs="Arial"/>
          <w:sz w:val="24"/>
          <w:szCs w:val="24"/>
          <w:lang w:val="fr-FR"/>
        </w:rPr>
        <w:t>Pour les années 2019 et 2020, seulement deux des 24 victimes de TEH ont demandé et reçu des dommages et intérêts (une troisième demande a été rejetée). À noter que sans constitution de partie civile et de demande de la part de la victime, les juges ne peuvent pas allouer d’office des dommages et intérêts.</w:t>
      </w:r>
    </w:p>
    <w:p w14:paraId="69290C40" w14:textId="0C1E312E" w:rsidR="00385910" w:rsidRPr="0086220F" w:rsidRDefault="00385910" w:rsidP="00312889">
      <w:pPr>
        <w:jc w:val="both"/>
        <w:rPr>
          <w:rFonts w:ascii="Arial" w:hAnsi="Arial" w:cs="Arial"/>
          <w:sz w:val="24"/>
          <w:szCs w:val="24"/>
          <w:lang w:val="fr-FR"/>
        </w:rPr>
      </w:pPr>
      <w:r w:rsidRPr="0086220F">
        <w:rPr>
          <w:rFonts w:ascii="Arial" w:hAnsi="Arial" w:cs="Arial"/>
          <w:sz w:val="24"/>
          <w:szCs w:val="24"/>
          <w:lang w:val="fr-FR"/>
        </w:rPr>
        <w:t xml:space="preserve">Selon le Ministère de la Justice, le faible nombre de demandes d’indemnisation s’expliquerait par le fait que les victimes ont « </w:t>
      </w:r>
      <w:r w:rsidRPr="009C568B">
        <w:rPr>
          <w:rFonts w:ascii="Arial" w:hAnsi="Arial" w:cs="Arial"/>
          <w:i/>
          <w:sz w:val="24"/>
          <w:szCs w:val="24"/>
          <w:lang w:val="fr-FR"/>
        </w:rPr>
        <w:t>très souvent fait le choix de retourner au plus vite dans leur pays d’origine au lieu d’accepter les mesures de protection proposées</w:t>
      </w:r>
      <w:r w:rsidR="009C568B">
        <w:rPr>
          <w:rFonts w:ascii="Arial" w:hAnsi="Arial" w:cs="Arial"/>
          <w:sz w:val="24"/>
          <w:szCs w:val="24"/>
          <w:lang w:val="fr-FR"/>
        </w:rPr>
        <w:t xml:space="preserve"> </w:t>
      </w:r>
      <w:r w:rsidRPr="0086220F">
        <w:rPr>
          <w:rFonts w:ascii="Arial" w:hAnsi="Arial" w:cs="Arial"/>
          <w:sz w:val="24"/>
          <w:szCs w:val="24"/>
          <w:lang w:val="fr-FR"/>
        </w:rPr>
        <w:t>».</w:t>
      </w:r>
      <w:r w:rsidRPr="0086220F">
        <w:rPr>
          <w:rStyle w:val="FootnoteReference"/>
          <w:rFonts w:ascii="Arial" w:hAnsi="Arial" w:cs="Arial"/>
          <w:sz w:val="24"/>
          <w:szCs w:val="24"/>
        </w:rPr>
        <w:footnoteReference w:id="4"/>
      </w:r>
      <w:r w:rsidRPr="0086220F">
        <w:rPr>
          <w:rFonts w:ascii="Arial" w:hAnsi="Arial" w:cs="Arial"/>
          <w:sz w:val="24"/>
          <w:szCs w:val="24"/>
          <w:lang w:val="fr-FR"/>
        </w:rPr>
        <w:t xml:space="preserve"> Or, même si une victime décide </w:t>
      </w:r>
      <w:r w:rsidR="00FE45F9">
        <w:rPr>
          <w:rFonts w:ascii="Arial" w:hAnsi="Arial" w:cs="Arial"/>
          <w:sz w:val="24"/>
          <w:szCs w:val="24"/>
          <w:lang w:val="fr-FR"/>
        </w:rPr>
        <w:t>malgré tout</w:t>
      </w:r>
      <w:r w:rsidRPr="0086220F">
        <w:rPr>
          <w:rFonts w:ascii="Arial" w:hAnsi="Arial" w:cs="Arial"/>
          <w:sz w:val="24"/>
          <w:szCs w:val="24"/>
          <w:lang w:val="fr-FR"/>
        </w:rPr>
        <w:t xml:space="preserve"> de réclamer des dommages et intérêts, les montants alloués ne représentent qu’une fraction minime des montants demandés : 5.000€ au lieu de 29.000€ et 2.000€ au lieu de 10.000€. Le rapporteur note aussi que les juridictions n’ont jamais prononcé le sursis probatoire prévu à l’article 629 et suivants du Code de procédure pénale assorti à la condition d’indemniser la victime dans un délai indiqué.</w:t>
      </w:r>
    </w:p>
    <w:p w14:paraId="66C7D148" w14:textId="77777777" w:rsidR="00385910" w:rsidRPr="0086220F" w:rsidRDefault="00385910" w:rsidP="00312889">
      <w:pPr>
        <w:jc w:val="both"/>
        <w:rPr>
          <w:rFonts w:ascii="Arial" w:hAnsi="Arial" w:cs="Arial"/>
          <w:sz w:val="24"/>
          <w:szCs w:val="24"/>
          <w:lang w:val="fr-FR"/>
        </w:rPr>
      </w:pPr>
      <w:r w:rsidRPr="0086220F">
        <w:rPr>
          <w:rFonts w:ascii="Arial" w:hAnsi="Arial" w:cs="Arial"/>
          <w:sz w:val="24"/>
          <w:szCs w:val="24"/>
          <w:lang w:val="fr-FR"/>
        </w:rPr>
        <w:t xml:space="preserve">Selon le gouvernement, la réalisation d’expertises pour chiffrer le préjudice réel se ferait régulièrement, « </w:t>
      </w:r>
      <w:r w:rsidRPr="009C568B">
        <w:rPr>
          <w:rFonts w:ascii="Arial" w:hAnsi="Arial" w:cs="Arial"/>
          <w:i/>
          <w:sz w:val="24"/>
          <w:szCs w:val="24"/>
          <w:lang w:val="fr-FR"/>
        </w:rPr>
        <w:t>surtout en cas de lésions corporelles importantes</w:t>
      </w:r>
      <w:r w:rsidRPr="0086220F">
        <w:rPr>
          <w:rFonts w:ascii="Arial" w:hAnsi="Arial" w:cs="Arial"/>
          <w:sz w:val="24"/>
          <w:szCs w:val="24"/>
          <w:lang w:val="fr-FR"/>
        </w:rPr>
        <w:t xml:space="preserve"> ».</w:t>
      </w:r>
      <w:r w:rsidRPr="0086220F">
        <w:rPr>
          <w:rStyle w:val="FootnoteReference"/>
          <w:rFonts w:ascii="Arial" w:hAnsi="Arial" w:cs="Arial"/>
          <w:sz w:val="24"/>
          <w:szCs w:val="24"/>
        </w:rPr>
        <w:footnoteReference w:id="5"/>
      </w:r>
      <w:r w:rsidRPr="0086220F">
        <w:rPr>
          <w:rFonts w:ascii="Arial" w:hAnsi="Arial" w:cs="Arial"/>
          <w:sz w:val="24"/>
          <w:szCs w:val="24"/>
          <w:lang w:val="fr-FR"/>
        </w:rPr>
        <w:t xml:space="preserve"> Si les juridictions ont en effet la possibilité d’ordonner une telle expertise pour évaluer le chiffre exact des préjudices subis, le rapporteur tient à souligner qu’aucune expertise n’a été ordonnée en</w:t>
      </w:r>
      <w:r w:rsidR="009C568B">
        <w:rPr>
          <w:rFonts w:ascii="Arial" w:hAnsi="Arial" w:cs="Arial"/>
          <w:sz w:val="24"/>
          <w:szCs w:val="24"/>
          <w:lang w:val="fr-FR"/>
        </w:rPr>
        <w:t xml:space="preserve"> </w:t>
      </w:r>
      <w:r w:rsidRPr="0086220F">
        <w:rPr>
          <w:rFonts w:ascii="Arial" w:hAnsi="Arial" w:cs="Arial"/>
          <w:sz w:val="24"/>
          <w:szCs w:val="24"/>
          <w:lang w:val="fr-FR"/>
        </w:rPr>
        <w:t xml:space="preserve">2019 et 2020. Les juridictions ont toujours procédé à une évaluation « </w:t>
      </w:r>
      <w:r w:rsidRPr="009C568B">
        <w:rPr>
          <w:rFonts w:ascii="Arial" w:hAnsi="Arial" w:cs="Arial"/>
          <w:i/>
          <w:sz w:val="24"/>
          <w:szCs w:val="24"/>
          <w:lang w:val="fr-FR"/>
        </w:rPr>
        <w:t>ex aequo et bono</w:t>
      </w:r>
      <w:r w:rsidRPr="0086220F">
        <w:rPr>
          <w:rFonts w:ascii="Arial" w:hAnsi="Arial" w:cs="Arial"/>
          <w:sz w:val="24"/>
          <w:szCs w:val="24"/>
          <w:lang w:val="fr-FR"/>
        </w:rPr>
        <w:t xml:space="preserve"> », c’est-à-dire une appréciation souveraine réalisée par le juge lorsque celui-ci estime qu’il n’y a pas d’éléments d’appréciation suffisants. </w:t>
      </w:r>
    </w:p>
    <w:p w14:paraId="1AB4B5CA" w14:textId="5C5E6EDA" w:rsidR="00385910" w:rsidRPr="0086220F" w:rsidRDefault="00385910" w:rsidP="00312889">
      <w:pPr>
        <w:jc w:val="both"/>
        <w:rPr>
          <w:rFonts w:ascii="Arial" w:hAnsi="Arial" w:cs="Arial"/>
          <w:sz w:val="24"/>
          <w:szCs w:val="24"/>
          <w:lang w:val="fr-FR"/>
        </w:rPr>
      </w:pPr>
      <w:r w:rsidRPr="0086220F">
        <w:rPr>
          <w:rFonts w:ascii="Arial" w:hAnsi="Arial" w:cs="Arial"/>
          <w:sz w:val="24"/>
          <w:szCs w:val="24"/>
          <w:lang w:val="fr-FR"/>
        </w:rPr>
        <w:t xml:space="preserve">Alors que les juridictions pénales sont en principe compétentes pour statuer sur tous les préjudices civils, qu’il s’agisse « </w:t>
      </w:r>
      <w:r w:rsidRPr="009C568B">
        <w:rPr>
          <w:rFonts w:ascii="Arial" w:hAnsi="Arial" w:cs="Arial"/>
          <w:i/>
          <w:sz w:val="24"/>
          <w:szCs w:val="24"/>
          <w:lang w:val="fr-FR"/>
        </w:rPr>
        <w:t>de préjudices moraux, physiques ou matériels, des frais éventuels déboursés</w:t>
      </w:r>
      <w:r w:rsidRPr="0086220F">
        <w:rPr>
          <w:rFonts w:ascii="Arial" w:hAnsi="Arial" w:cs="Arial"/>
          <w:sz w:val="24"/>
          <w:szCs w:val="24"/>
          <w:lang w:val="fr-FR"/>
        </w:rPr>
        <w:t xml:space="preserve"> », les préjudices résultant de contrats de travail, y compris en matière de traite, semblent être exclus à l’heure actuelle par la jurisprudence luxembourgeoise. Pour obtenir la réparation de son préjudice résultant du non-paiement d’un salaire, les victimes semblent devoir actuellement déposer parallèlement à l’action publique au pénal une action en justice devant le Tribunal de travail. Les conséquences pour les victimes peuvent être de taille alors qu’en matière de recouvrement des salaires, le délai de prescription est en principe fixé à trois ans : si les demandes d’indemnisation des victimes sont déclarées irrecevables à la fin de la procédure pénale, qui peut durer en moyenne plus de trois ans, il </w:t>
      </w:r>
      <w:r w:rsidR="00FE45F9">
        <w:rPr>
          <w:rFonts w:ascii="Arial" w:hAnsi="Arial" w:cs="Arial"/>
          <w:sz w:val="24"/>
          <w:szCs w:val="24"/>
          <w:lang w:val="fr-FR"/>
        </w:rPr>
        <w:t>sera</w:t>
      </w:r>
      <w:r w:rsidRPr="0086220F">
        <w:rPr>
          <w:rFonts w:ascii="Arial" w:hAnsi="Arial" w:cs="Arial"/>
          <w:sz w:val="24"/>
          <w:szCs w:val="24"/>
          <w:lang w:val="fr-FR"/>
        </w:rPr>
        <w:t xml:space="preserve"> trop tard pour introduire encore une demande relative aux salaires auprès des juridictions de travail.</w:t>
      </w:r>
    </w:p>
    <w:p w14:paraId="21AEB8D0" w14:textId="77777777" w:rsidR="00385910" w:rsidRPr="0086220F" w:rsidRDefault="00385910" w:rsidP="00312889">
      <w:pPr>
        <w:jc w:val="both"/>
        <w:rPr>
          <w:rFonts w:ascii="Arial" w:hAnsi="Arial" w:cs="Arial"/>
          <w:sz w:val="24"/>
          <w:szCs w:val="24"/>
          <w:u w:val="single"/>
          <w:lang w:val="fr-FR"/>
        </w:rPr>
      </w:pPr>
      <w:r w:rsidRPr="0086220F">
        <w:rPr>
          <w:rFonts w:ascii="Arial" w:hAnsi="Arial" w:cs="Arial"/>
          <w:sz w:val="24"/>
          <w:szCs w:val="24"/>
          <w:u w:val="single"/>
          <w:lang w:val="fr-FR"/>
        </w:rPr>
        <w:t xml:space="preserve">Indemnisation octroyée par l’État : </w:t>
      </w:r>
    </w:p>
    <w:p w14:paraId="46F4C067" w14:textId="31993D62" w:rsidR="009C568B" w:rsidRDefault="00385910" w:rsidP="00312889">
      <w:pPr>
        <w:jc w:val="both"/>
        <w:rPr>
          <w:rFonts w:ascii="Arial" w:hAnsi="Arial" w:cs="Arial"/>
          <w:sz w:val="24"/>
          <w:szCs w:val="24"/>
          <w:lang w:val="fr-FR"/>
        </w:rPr>
      </w:pPr>
      <w:r w:rsidRPr="0086220F">
        <w:rPr>
          <w:rFonts w:ascii="Arial" w:hAnsi="Arial" w:cs="Arial"/>
          <w:sz w:val="24"/>
          <w:szCs w:val="24"/>
          <w:lang w:val="fr-FR"/>
        </w:rPr>
        <w:t>L’article 1er de la loi modifiée du 12 mars 1984 relative à l’indemnisation de certaines victimes de dommages corporels résultant d’une infraction a fait l’objet d’une analyse par la CCDH dans son 3</w:t>
      </w:r>
      <w:r w:rsidRPr="0086220F">
        <w:rPr>
          <w:rFonts w:ascii="Arial" w:hAnsi="Arial" w:cs="Arial"/>
          <w:sz w:val="24"/>
          <w:szCs w:val="24"/>
          <w:vertAlign w:val="superscript"/>
          <w:lang w:val="fr-FR"/>
        </w:rPr>
        <w:t>e</w:t>
      </w:r>
      <w:r w:rsidR="009C568B">
        <w:rPr>
          <w:rFonts w:ascii="Arial" w:hAnsi="Arial" w:cs="Arial"/>
          <w:sz w:val="24"/>
          <w:szCs w:val="24"/>
          <w:lang w:val="fr-FR"/>
        </w:rPr>
        <w:t xml:space="preserve"> rapport sur la TEH. Elle y a notamment constaté que </w:t>
      </w:r>
      <w:r w:rsidR="009C568B" w:rsidRPr="009C568B">
        <w:rPr>
          <w:rFonts w:ascii="Arial" w:hAnsi="Arial" w:cs="Arial"/>
          <w:sz w:val="24"/>
          <w:szCs w:val="24"/>
          <w:lang w:val="fr-FR"/>
        </w:rPr>
        <w:t>l</w:t>
      </w:r>
      <w:r w:rsidRPr="009C568B">
        <w:rPr>
          <w:rFonts w:ascii="Arial" w:hAnsi="Arial" w:cs="Arial"/>
          <w:sz w:val="24"/>
          <w:szCs w:val="24"/>
          <w:lang w:val="fr-FR"/>
        </w:rPr>
        <w:t>a loi prévoit que l’indemnité peut être refusée ou réduite</w:t>
      </w:r>
      <w:r w:rsidRPr="009C568B">
        <w:rPr>
          <w:rFonts w:ascii="Arial" w:hAnsi="Arial" w:cs="Arial"/>
          <w:i/>
          <w:sz w:val="24"/>
          <w:szCs w:val="24"/>
          <w:lang w:val="fr-FR"/>
        </w:rPr>
        <w:t xml:space="preserve"> « en raison du comportement de la personne lésée lors des faits ou de ses relations avec l’auteur des faits</w:t>
      </w:r>
      <w:r w:rsidR="009C568B">
        <w:rPr>
          <w:rFonts w:ascii="Arial" w:hAnsi="Arial" w:cs="Arial"/>
          <w:sz w:val="24"/>
          <w:szCs w:val="24"/>
          <w:lang w:val="fr-FR"/>
        </w:rPr>
        <w:t xml:space="preserve"> » et s’est demandé </w:t>
      </w:r>
      <w:r w:rsidRPr="0086220F">
        <w:rPr>
          <w:rFonts w:ascii="Arial" w:hAnsi="Arial" w:cs="Arial"/>
          <w:sz w:val="24"/>
          <w:szCs w:val="24"/>
          <w:lang w:val="fr-FR"/>
        </w:rPr>
        <w:t>quel type de comportement et dans quelle mesure celui-ci peut influencer l’octroi d’une indemnisation</w:t>
      </w:r>
      <w:r w:rsidR="00FE45F9">
        <w:rPr>
          <w:rFonts w:ascii="Arial" w:hAnsi="Arial" w:cs="Arial"/>
          <w:sz w:val="24"/>
          <w:szCs w:val="24"/>
          <w:lang w:val="fr-FR"/>
        </w:rPr>
        <w:t>. E</w:t>
      </w:r>
      <w:r w:rsidRPr="0086220F">
        <w:rPr>
          <w:rFonts w:ascii="Arial" w:hAnsi="Arial" w:cs="Arial"/>
          <w:sz w:val="24"/>
          <w:szCs w:val="24"/>
          <w:lang w:val="fr-FR"/>
        </w:rPr>
        <w:t xml:space="preserve">n tout cas, </w:t>
      </w:r>
      <w:r w:rsidR="009C568B">
        <w:rPr>
          <w:rFonts w:ascii="Arial" w:hAnsi="Arial" w:cs="Arial"/>
          <w:sz w:val="24"/>
          <w:szCs w:val="24"/>
          <w:lang w:val="fr-FR"/>
        </w:rPr>
        <w:t>elle a souligné qu’il faut</w:t>
      </w:r>
      <w:r w:rsidRPr="0086220F">
        <w:rPr>
          <w:rFonts w:ascii="Arial" w:hAnsi="Arial" w:cs="Arial"/>
          <w:sz w:val="24"/>
          <w:szCs w:val="24"/>
          <w:lang w:val="fr-FR"/>
        </w:rPr>
        <w:t xml:space="preserve"> veiller à éviter une culpabilisation des victimes de TEH. </w:t>
      </w:r>
    </w:p>
    <w:p w14:paraId="36861C24" w14:textId="77777777" w:rsidR="00385910" w:rsidRPr="0086220F" w:rsidRDefault="00385910" w:rsidP="00312889">
      <w:pPr>
        <w:jc w:val="both"/>
        <w:rPr>
          <w:rFonts w:ascii="Arial" w:hAnsi="Arial" w:cs="Arial"/>
          <w:sz w:val="24"/>
          <w:szCs w:val="24"/>
          <w:lang w:val="fr-FR"/>
        </w:rPr>
      </w:pPr>
      <w:r w:rsidRPr="0086220F">
        <w:rPr>
          <w:rFonts w:ascii="Arial" w:hAnsi="Arial" w:cs="Arial"/>
          <w:sz w:val="24"/>
          <w:szCs w:val="24"/>
          <w:lang w:val="fr-FR"/>
        </w:rPr>
        <w:t xml:space="preserve">Seules les victimes de formes de TEH d’une exceptionnelle gravité semblent pouvoir recourir à </w:t>
      </w:r>
      <w:r w:rsidR="009C568B">
        <w:rPr>
          <w:rFonts w:ascii="Arial" w:hAnsi="Arial" w:cs="Arial"/>
          <w:sz w:val="24"/>
          <w:szCs w:val="24"/>
          <w:lang w:val="fr-FR"/>
        </w:rPr>
        <w:t>l’indemnisation par l’État</w:t>
      </w:r>
      <w:r w:rsidRPr="0086220F">
        <w:rPr>
          <w:rFonts w:ascii="Arial" w:hAnsi="Arial" w:cs="Arial"/>
          <w:sz w:val="24"/>
          <w:szCs w:val="24"/>
          <w:lang w:val="fr-FR"/>
        </w:rPr>
        <w:t xml:space="preserve">, et ceci dans des conditions limitées, ce qui pourrait, en partie du moins, expliquer pourquoi jusqu’aujourd’hui, le Ministère de la Justice n’a toujours pas été saisi d’une demande de la part d’une victime de la TEH. </w:t>
      </w:r>
      <w:r w:rsidR="009C568B">
        <w:rPr>
          <w:rFonts w:ascii="Arial" w:hAnsi="Arial" w:cs="Arial"/>
          <w:sz w:val="24"/>
          <w:szCs w:val="24"/>
          <w:lang w:val="fr-FR"/>
        </w:rPr>
        <w:t>La CCDH</w:t>
      </w:r>
      <w:r w:rsidRPr="0086220F">
        <w:rPr>
          <w:rFonts w:ascii="Arial" w:hAnsi="Arial" w:cs="Arial"/>
          <w:sz w:val="24"/>
          <w:szCs w:val="24"/>
          <w:lang w:val="fr-FR"/>
        </w:rPr>
        <w:t xml:space="preserve"> </w:t>
      </w:r>
      <w:r w:rsidR="009C568B">
        <w:rPr>
          <w:rFonts w:ascii="Arial" w:hAnsi="Arial" w:cs="Arial"/>
          <w:sz w:val="24"/>
          <w:szCs w:val="24"/>
          <w:lang w:val="fr-FR"/>
        </w:rPr>
        <w:t xml:space="preserve">a </w:t>
      </w:r>
      <w:r w:rsidRPr="0086220F">
        <w:rPr>
          <w:rFonts w:ascii="Arial" w:hAnsi="Arial" w:cs="Arial"/>
          <w:sz w:val="24"/>
          <w:szCs w:val="24"/>
          <w:lang w:val="fr-FR"/>
        </w:rPr>
        <w:t>invit</w:t>
      </w:r>
      <w:r w:rsidR="009C568B">
        <w:rPr>
          <w:rFonts w:ascii="Arial" w:hAnsi="Arial" w:cs="Arial"/>
          <w:sz w:val="24"/>
          <w:szCs w:val="24"/>
          <w:lang w:val="fr-FR"/>
        </w:rPr>
        <w:t>é</w:t>
      </w:r>
      <w:r w:rsidRPr="0086220F">
        <w:rPr>
          <w:rFonts w:ascii="Arial" w:hAnsi="Arial" w:cs="Arial"/>
          <w:sz w:val="24"/>
          <w:szCs w:val="24"/>
          <w:lang w:val="fr-FR"/>
        </w:rPr>
        <w:t xml:space="preserve"> le gouvernement à évaluer et, le cas échéant, revoir le cadre légal afin de le rendre plus accessible. </w:t>
      </w:r>
      <w:r w:rsidR="009C568B">
        <w:rPr>
          <w:rFonts w:ascii="Arial" w:hAnsi="Arial" w:cs="Arial"/>
          <w:sz w:val="24"/>
          <w:szCs w:val="24"/>
          <w:lang w:val="fr-FR"/>
        </w:rPr>
        <w:t>Elle</w:t>
      </w:r>
      <w:r w:rsidRPr="0086220F">
        <w:rPr>
          <w:rFonts w:ascii="Arial" w:hAnsi="Arial" w:cs="Arial"/>
          <w:sz w:val="24"/>
          <w:szCs w:val="24"/>
          <w:lang w:val="fr-FR"/>
        </w:rPr>
        <w:t xml:space="preserve"> se demand</w:t>
      </w:r>
      <w:r w:rsidR="009C568B">
        <w:rPr>
          <w:rFonts w:ascii="Arial" w:hAnsi="Arial" w:cs="Arial"/>
          <w:sz w:val="24"/>
          <w:szCs w:val="24"/>
          <w:lang w:val="fr-FR"/>
        </w:rPr>
        <w:t>ait</w:t>
      </w:r>
      <w:r w:rsidRPr="0086220F">
        <w:rPr>
          <w:rFonts w:ascii="Arial" w:hAnsi="Arial" w:cs="Arial"/>
          <w:sz w:val="24"/>
          <w:szCs w:val="24"/>
          <w:lang w:val="fr-FR"/>
        </w:rPr>
        <w:t xml:space="preserve"> par exemple si les conditions d’applicabilité de ce dispositif ne sont pas trop restrictives et que l’accès ne devrait pas être garanti à toutes les victimes de la TEH, indépendamment de leur âge. De plus, </w:t>
      </w:r>
      <w:r w:rsidR="009C568B">
        <w:rPr>
          <w:rFonts w:ascii="Arial" w:hAnsi="Arial" w:cs="Arial"/>
          <w:sz w:val="24"/>
          <w:szCs w:val="24"/>
          <w:lang w:val="fr-FR"/>
        </w:rPr>
        <w:t>elle a invité</w:t>
      </w:r>
      <w:r w:rsidRPr="0086220F">
        <w:rPr>
          <w:rFonts w:ascii="Arial" w:hAnsi="Arial" w:cs="Arial"/>
          <w:sz w:val="24"/>
          <w:szCs w:val="24"/>
          <w:lang w:val="fr-FR"/>
        </w:rPr>
        <w:t xml:space="preserve"> le gouvernement à renforcer la sensibilisation des victimes et de leurs représentants afin de rendre cette possibilit</w:t>
      </w:r>
      <w:r w:rsidR="009C568B">
        <w:rPr>
          <w:rFonts w:ascii="Arial" w:hAnsi="Arial" w:cs="Arial"/>
          <w:sz w:val="24"/>
          <w:szCs w:val="24"/>
          <w:lang w:val="fr-FR"/>
        </w:rPr>
        <w:t>é d’indemnisation plus visible.</w:t>
      </w:r>
    </w:p>
    <w:p w14:paraId="51F25A0F" w14:textId="77777777" w:rsidR="00385910" w:rsidRDefault="00385910" w:rsidP="00312889">
      <w:pPr>
        <w:jc w:val="both"/>
        <w:rPr>
          <w:rFonts w:ascii="Arial" w:hAnsi="Arial" w:cs="Arial"/>
          <w:sz w:val="24"/>
          <w:szCs w:val="24"/>
          <w:lang w:val="fr-FR"/>
        </w:rPr>
      </w:pPr>
      <w:r w:rsidRPr="0086220F">
        <w:rPr>
          <w:rFonts w:ascii="Arial" w:hAnsi="Arial" w:cs="Arial"/>
          <w:sz w:val="24"/>
          <w:szCs w:val="24"/>
          <w:lang w:val="fr-FR"/>
        </w:rPr>
        <w:t>En ce qui concerne la protection des témoins, la CCDH recommande depuis des années de prévoir un cadre légal pour un programme de protection des témoins (et autres personnes concernées) en étroite collaboration avec les acteurs du terrain. L’article 1017-13 du Code de procédure civile invoqué dans la réponse du gouvernement est largement insuffisant.</w:t>
      </w:r>
    </w:p>
    <w:p w14:paraId="5975C824" w14:textId="59988013" w:rsidR="009C568B" w:rsidRDefault="009C568B" w:rsidP="00312889">
      <w:pPr>
        <w:jc w:val="both"/>
        <w:rPr>
          <w:rFonts w:ascii="Arial" w:hAnsi="Arial" w:cs="Arial"/>
          <w:sz w:val="24"/>
          <w:szCs w:val="24"/>
          <w:lang w:val="fr-FR"/>
        </w:rPr>
      </w:pPr>
    </w:p>
    <w:p w14:paraId="4A763F67" w14:textId="77777777" w:rsidR="00B874A4" w:rsidRPr="0086220F" w:rsidRDefault="00B874A4" w:rsidP="00312889">
      <w:pPr>
        <w:jc w:val="both"/>
        <w:rPr>
          <w:rFonts w:ascii="Arial" w:hAnsi="Arial" w:cs="Arial"/>
          <w:sz w:val="24"/>
          <w:szCs w:val="24"/>
          <w:lang w:val="fr-FR"/>
        </w:rPr>
      </w:pPr>
    </w:p>
    <w:p w14:paraId="168BECFD" w14:textId="77777777" w:rsidR="00385910" w:rsidRPr="0086220F" w:rsidRDefault="00385910" w:rsidP="00312889">
      <w:pPr>
        <w:pStyle w:val="Heading2"/>
      </w:pPr>
      <w:bookmarkStart w:id="9" w:name="_Toc129876597"/>
      <w:r w:rsidRPr="0086220F">
        <w:t>Réponse à la question posée au paragraphe 4</w:t>
      </w:r>
      <w:bookmarkEnd w:id="9"/>
    </w:p>
    <w:p w14:paraId="110F6C92" w14:textId="77777777" w:rsidR="00385910" w:rsidRPr="00524B02" w:rsidRDefault="00385910" w:rsidP="00312889">
      <w:pPr>
        <w:jc w:val="both"/>
        <w:rPr>
          <w:rFonts w:ascii="Arial" w:hAnsi="Arial" w:cs="Arial"/>
          <w:sz w:val="24"/>
          <w:szCs w:val="24"/>
          <w:lang w:val="fr-FR"/>
        </w:rPr>
      </w:pPr>
      <w:r w:rsidRPr="00524B02">
        <w:rPr>
          <w:rFonts w:ascii="Arial" w:hAnsi="Arial" w:cs="Arial"/>
          <w:sz w:val="24"/>
          <w:szCs w:val="24"/>
          <w:lang w:val="fr-FR"/>
        </w:rPr>
        <w:t xml:space="preserve">Conformément à la loi du 21 novembre 2008 portant création d’une Commission consultative de Droits de l’Homme au Grand-Duché de Luxembourg, la CCDH n’a pas compétence pour traiter des cas individuels ou recevoir des plaintes. </w:t>
      </w:r>
    </w:p>
    <w:p w14:paraId="17C4DB88" w14:textId="77777777" w:rsidR="00385910" w:rsidRPr="00524B02" w:rsidRDefault="00385910" w:rsidP="00312889">
      <w:pPr>
        <w:jc w:val="both"/>
        <w:rPr>
          <w:rFonts w:ascii="Arial" w:hAnsi="Arial" w:cs="Arial"/>
          <w:sz w:val="24"/>
          <w:szCs w:val="24"/>
          <w:lang w:val="fr-FR"/>
        </w:rPr>
      </w:pPr>
      <w:r w:rsidRPr="00524B02">
        <w:rPr>
          <w:rFonts w:ascii="Arial" w:hAnsi="Arial" w:cs="Arial"/>
          <w:sz w:val="24"/>
          <w:szCs w:val="24"/>
          <w:lang w:val="fr-FR"/>
        </w:rPr>
        <w:t xml:space="preserve">Quant aux recommandations du Service du contrôle externe des lieux privatifs de liberté (CELPL), il convient de se pencher sur la question du placement de mineurs dans un centre pénitentiaire pour adultes. </w:t>
      </w:r>
    </w:p>
    <w:p w14:paraId="7626B69C" w14:textId="46CC4BD0" w:rsidR="00385910" w:rsidRPr="00524B02" w:rsidRDefault="00385910" w:rsidP="00312889">
      <w:pPr>
        <w:jc w:val="both"/>
        <w:rPr>
          <w:rFonts w:ascii="Arial" w:hAnsi="Arial" w:cs="Arial"/>
          <w:sz w:val="24"/>
          <w:szCs w:val="24"/>
          <w:lang w:val="fr-FR"/>
        </w:rPr>
      </w:pPr>
      <w:r w:rsidRPr="00524B02">
        <w:rPr>
          <w:rFonts w:ascii="Arial" w:hAnsi="Arial" w:cs="Arial"/>
          <w:sz w:val="24"/>
          <w:szCs w:val="24"/>
          <w:lang w:val="fr-FR"/>
        </w:rPr>
        <w:t>En effet, après des années de recommandations dans ce sens, tant au niveau national, qu’international, la CCDH ne peut que saluer le fait qu’à travers la réforme de la protection de la jeunesse</w:t>
      </w:r>
      <w:r w:rsidR="00FE45F9">
        <w:rPr>
          <w:rFonts w:ascii="Arial" w:hAnsi="Arial" w:cs="Arial"/>
          <w:sz w:val="24"/>
          <w:szCs w:val="24"/>
          <w:lang w:val="fr-FR"/>
        </w:rPr>
        <w:t xml:space="preserve"> en cours</w:t>
      </w:r>
      <w:r w:rsidRPr="00524B02">
        <w:rPr>
          <w:rFonts w:ascii="Arial" w:hAnsi="Arial" w:cs="Arial"/>
          <w:sz w:val="24"/>
          <w:szCs w:val="24"/>
          <w:lang w:val="fr-FR"/>
        </w:rPr>
        <w:t>, il a été décidé de ne plus placer des mineurs dans un centre pénitentiaire pour adultes</w:t>
      </w:r>
      <w:r w:rsidR="00FE45F9">
        <w:rPr>
          <w:rFonts w:ascii="Arial" w:hAnsi="Arial" w:cs="Arial"/>
          <w:sz w:val="24"/>
          <w:szCs w:val="24"/>
          <w:lang w:val="fr-FR"/>
        </w:rPr>
        <w:t>.</w:t>
      </w:r>
      <w:r w:rsidRPr="00524B02">
        <w:rPr>
          <w:rFonts w:ascii="Arial" w:hAnsi="Arial" w:cs="Arial"/>
          <w:sz w:val="24"/>
          <w:szCs w:val="24"/>
          <w:lang w:val="fr-FR"/>
        </w:rPr>
        <w:t xml:space="preserve"> </w:t>
      </w:r>
      <w:r w:rsidR="00FE45F9">
        <w:rPr>
          <w:rFonts w:ascii="Arial" w:hAnsi="Arial" w:cs="Arial"/>
          <w:sz w:val="24"/>
          <w:szCs w:val="24"/>
          <w:lang w:val="fr-FR"/>
        </w:rPr>
        <w:t>Cela devrait se faire par la création d’un nouveau centre pénitentiaire pour mineurs.</w:t>
      </w:r>
    </w:p>
    <w:p w14:paraId="46388671" w14:textId="60634496" w:rsidR="00385910" w:rsidRPr="00524B02" w:rsidRDefault="00385910" w:rsidP="00312889">
      <w:pPr>
        <w:jc w:val="both"/>
        <w:rPr>
          <w:rFonts w:ascii="Arial" w:hAnsi="Arial" w:cs="Arial"/>
          <w:sz w:val="24"/>
          <w:szCs w:val="24"/>
          <w:lang w:val="fr-FR"/>
        </w:rPr>
      </w:pPr>
      <w:r w:rsidRPr="00524B02">
        <w:rPr>
          <w:rFonts w:ascii="Arial" w:hAnsi="Arial" w:cs="Arial"/>
          <w:sz w:val="24"/>
          <w:szCs w:val="24"/>
          <w:lang w:val="fr-FR"/>
        </w:rPr>
        <w:t xml:space="preserve">Or, au vu du réaménagement des locaux et de l’augmentation du nombre de places dans ce nouveau centre pénitentiaire, il a été décidé de placer </w:t>
      </w:r>
      <w:r w:rsidR="00402E35" w:rsidRPr="00524B02">
        <w:rPr>
          <w:rFonts w:ascii="Arial" w:hAnsi="Arial" w:cs="Arial"/>
          <w:sz w:val="24"/>
          <w:szCs w:val="24"/>
          <w:lang w:val="fr-FR"/>
        </w:rPr>
        <w:t xml:space="preserve">pendant la durée des travaux </w:t>
      </w:r>
      <w:r w:rsidRPr="00524B02">
        <w:rPr>
          <w:rFonts w:ascii="Arial" w:hAnsi="Arial" w:cs="Arial"/>
          <w:sz w:val="24"/>
          <w:szCs w:val="24"/>
          <w:lang w:val="fr-FR"/>
        </w:rPr>
        <w:t>les mineurs au centre pénitentiaire d’Uerschterhaff, une prison fermée accueillant les prévenus masculins, (</w:t>
      </w:r>
      <w:hyperlink r:id="rId26" w:history="1">
        <w:r w:rsidRPr="00524B02">
          <w:rPr>
            <w:rStyle w:val="Hyperlink"/>
            <w:rFonts w:ascii="Arial" w:hAnsi="Arial" w:cs="Arial"/>
            <w:sz w:val="24"/>
            <w:szCs w:val="24"/>
            <w:lang w:val="fr-FR"/>
          </w:rPr>
          <w:t>projet de loi n°7991</w:t>
        </w:r>
      </w:hyperlink>
      <w:r w:rsidRPr="00524B02">
        <w:rPr>
          <w:rFonts w:ascii="Arial" w:hAnsi="Arial" w:cs="Arial"/>
          <w:sz w:val="24"/>
          <w:szCs w:val="24"/>
          <w:lang w:val="fr-FR"/>
        </w:rPr>
        <w:t>, p. 6 et art. 75). La CCDH rejoint l’</w:t>
      </w:r>
      <w:hyperlink r:id="rId27" w:history="1">
        <w:r w:rsidRPr="00524B02">
          <w:rPr>
            <w:rStyle w:val="Hyperlink"/>
            <w:rFonts w:ascii="Arial" w:hAnsi="Arial" w:cs="Arial"/>
            <w:sz w:val="24"/>
            <w:szCs w:val="24"/>
            <w:lang w:val="fr-FR"/>
          </w:rPr>
          <w:t>avis des autorités judiciaires</w:t>
        </w:r>
      </w:hyperlink>
      <w:r w:rsidRPr="00524B02">
        <w:rPr>
          <w:rFonts w:ascii="Arial" w:hAnsi="Arial" w:cs="Arial"/>
          <w:sz w:val="24"/>
          <w:szCs w:val="24"/>
          <w:lang w:val="fr-FR"/>
        </w:rPr>
        <w:t xml:space="preserve"> et </w:t>
      </w:r>
      <w:hyperlink r:id="rId28" w:history="1">
        <w:r w:rsidRPr="00524B02">
          <w:rPr>
            <w:rStyle w:val="Hyperlink"/>
            <w:rFonts w:ascii="Arial" w:hAnsi="Arial" w:cs="Arial"/>
            <w:sz w:val="24"/>
            <w:szCs w:val="24"/>
            <w:lang w:val="fr-FR"/>
          </w:rPr>
          <w:t>celui du Service Central d’Assistance Sociale du Parquet Général</w:t>
        </w:r>
      </w:hyperlink>
      <w:r w:rsidRPr="00524B02">
        <w:rPr>
          <w:rFonts w:ascii="Arial" w:hAnsi="Arial" w:cs="Arial"/>
          <w:sz w:val="24"/>
          <w:szCs w:val="24"/>
          <w:lang w:val="fr-FR"/>
        </w:rPr>
        <w:t xml:space="preserve"> qui s’opposent à cette décision. Elle ne peut que regretter cette solution qui risque de durer plusieurs années, surtout au vu du fait que la réforme de la protection de la jeunesse annonce fièrement un changement de paradigme consistant entre autres à faire cesser l’incarcération de mineurs dans un centre pénitentiaire pour adultes. </w:t>
      </w:r>
    </w:p>
    <w:p w14:paraId="018A7BFD" w14:textId="77777777" w:rsidR="00524B02" w:rsidRPr="00524B02" w:rsidRDefault="00524B02" w:rsidP="00312889">
      <w:pPr>
        <w:jc w:val="both"/>
        <w:rPr>
          <w:rFonts w:ascii="Arial" w:hAnsi="Arial" w:cs="Arial"/>
          <w:sz w:val="24"/>
          <w:szCs w:val="24"/>
          <w:lang w:val="fr-FR"/>
        </w:rPr>
      </w:pPr>
      <w:r w:rsidRPr="00524B02">
        <w:rPr>
          <w:rFonts w:ascii="Arial" w:hAnsi="Arial" w:cs="Arial"/>
          <w:sz w:val="24"/>
          <w:szCs w:val="24"/>
          <w:lang w:val="fr-FR"/>
        </w:rPr>
        <w:t xml:space="preserve">En ce qui concerne plus particulièrement le placement en psychiatrie des personnes mineures, la CCDH rappelle qu’actuellement </w:t>
      </w:r>
      <w:r w:rsidR="00B67A28">
        <w:rPr>
          <w:rFonts w:ascii="Arial" w:hAnsi="Arial" w:cs="Arial"/>
          <w:sz w:val="24"/>
          <w:szCs w:val="24"/>
          <w:lang w:val="fr-FR"/>
        </w:rPr>
        <w:t xml:space="preserve">les </w:t>
      </w:r>
      <w:r w:rsidRPr="00524B02">
        <w:rPr>
          <w:rFonts w:ascii="Arial" w:hAnsi="Arial" w:cs="Arial"/>
          <w:sz w:val="24"/>
          <w:szCs w:val="24"/>
          <w:lang w:val="fr-FR"/>
        </w:rPr>
        <w:t xml:space="preserve">enfants placés en psychiatrie l’ont été sur base de la loi de 1992 ce qui a eu pour conséquence le transfert automatique de l’autorité parentale à l’hôpital lui-même, mais aussi un impact négatif sur les garanties procédurales des enfants concernés. La CCDH salue dès lors que le </w:t>
      </w:r>
      <w:hyperlink r:id="rId29" w:history="1">
        <w:r w:rsidRPr="00524B02">
          <w:rPr>
            <w:rStyle w:val="Hyperlink"/>
            <w:rFonts w:ascii="Arial" w:hAnsi="Arial" w:cs="Arial"/>
            <w:sz w:val="24"/>
            <w:szCs w:val="24"/>
            <w:lang w:val="fr-FR"/>
          </w:rPr>
          <w:t>projet de loi 7994</w:t>
        </w:r>
      </w:hyperlink>
      <w:r w:rsidRPr="00524B02">
        <w:rPr>
          <w:rFonts w:ascii="Arial" w:hAnsi="Arial" w:cs="Arial"/>
          <w:sz w:val="24"/>
          <w:szCs w:val="24"/>
          <w:lang w:val="fr-FR"/>
        </w:rPr>
        <w:t xml:space="preserve"> prévoit qu’à l’avenir la loi de 2009 relative à l’hospitalisation sans leur consentement de personnes atteintes de troubles mentaux constituera la seule base légale pour placer un mineur en psychiatrie. </w:t>
      </w:r>
    </w:p>
    <w:p w14:paraId="38C351B5" w14:textId="0E226952" w:rsidR="00524B02" w:rsidRPr="00524B02" w:rsidRDefault="00524B02" w:rsidP="00312889">
      <w:pPr>
        <w:jc w:val="both"/>
        <w:rPr>
          <w:rFonts w:ascii="Arial" w:hAnsi="Arial" w:cs="Arial"/>
          <w:sz w:val="24"/>
          <w:szCs w:val="24"/>
          <w:lang w:val="fr-FR"/>
        </w:rPr>
      </w:pPr>
      <w:r w:rsidRPr="00524B02">
        <w:rPr>
          <w:rFonts w:ascii="Arial" w:hAnsi="Arial" w:cs="Arial"/>
          <w:sz w:val="24"/>
          <w:szCs w:val="24"/>
          <w:lang w:val="fr-FR"/>
        </w:rPr>
        <w:t xml:space="preserve">Dans son </w:t>
      </w:r>
      <w:hyperlink r:id="rId30" w:history="1">
        <w:r w:rsidRPr="00524B02">
          <w:rPr>
            <w:rStyle w:val="Hyperlink"/>
            <w:rFonts w:ascii="Arial" w:hAnsi="Arial" w:cs="Arial"/>
            <w:sz w:val="24"/>
            <w:szCs w:val="24"/>
            <w:lang w:val="fr-FR"/>
          </w:rPr>
          <w:t>avis sur le projet de loi 7994</w:t>
        </w:r>
      </w:hyperlink>
      <w:r w:rsidRPr="00524B02">
        <w:rPr>
          <w:rFonts w:ascii="Arial" w:hAnsi="Arial" w:cs="Arial"/>
          <w:sz w:val="24"/>
          <w:szCs w:val="24"/>
          <w:lang w:val="fr-FR"/>
        </w:rPr>
        <w:t>, la CCDH recommande néanmoins d’évaluer, ensemble avec les experts en la matière, et le cas échéant</w:t>
      </w:r>
      <w:r w:rsidR="00402E35">
        <w:rPr>
          <w:rFonts w:ascii="Arial" w:hAnsi="Arial" w:cs="Arial"/>
          <w:sz w:val="24"/>
          <w:szCs w:val="24"/>
          <w:lang w:val="fr-FR"/>
        </w:rPr>
        <w:t>,</w:t>
      </w:r>
      <w:r w:rsidRPr="00524B02">
        <w:rPr>
          <w:rFonts w:ascii="Arial" w:hAnsi="Arial" w:cs="Arial"/>
          <w:sz w:val="24"/>
          <w:szCs w:val="24"/>
          <w:lang w:val="fr-FR"/>
        </w:rPr>
        <w:t xml:space="preserve"> </w:t>
      </w:r>
      <w:r w:rsidR="00402E35">
        <w:rPr>
          <w:rFonts w:ascii="Arial" w:hAnsi="Arial" w:cs="Arial"/>
          <w:sz w:val="24"/>
          <w:szCs w:val="24"/>
          <w:lang w:val="fr-FR"/>
        </w:rPr>
        <w:t>d’</w:t>
      </w:r>
      <w:r w:rsidRPr="00524B02">
        <w:rPr>
          <w:rFonts w:ascii="Arial" w:hAnsi="Arial" w:cs="Arial"/>
          <w:sz w:val="24"/>
          <w:szCs w:val="24"/>
          <w:lang w:val="fr-FR"/>
        </w:rPr>
        <w:t>adapter le texte afin de permettre de couvrir toutes les situations nécessitant un placement ou une admission en psychiatrie. Par ailleurs, afin de garantir l’accès à un avocat pour tout enfant tombant sous le champ d’application de la loi de 2009, la CCDH recommande de prévoir explicitement dans le texte de la loi qu’en cas d’hospitalisation sans son consentement d’un enfant, un avocat lui soit nommé d’office pour s’assurer qu’en cas de besoin, il puisse exercer les recours à sa disposition sans faire dépendre cet exercice d’un degré d’information ou de maturité.</w:t>
      </w:r>
    </w:p>
    <w:p w14:paraId="38225A75" w14:textId="77777777" w:rsidR="0011593E" w:rsidRDefault="0011593E" w:rsidP="00312889">
      <w:pPr>
        <w:pStyle w:val="Heading2"/>
        <w:numPr>
          <w:ilvl w:val="0"/>
          <w:numId w:val="13"/>
        </w:numPr>
      </w:pPr>
      <w:bookmarkStart w:id="10" w:name="_Toc129876598"/>
      <w:r>
        <w:t>Réponse à la question posée au paragraphe 5(c)</w:t>
      </w:r>
      <w:bookmarkEnd w:id="10"/>
    </w:p>
    <w:p w14:paraId="18F5074F" w14:textId="77777777" w:rsidR="0011593E" w:rsidRPr="0011593E" w:rsidRDefault="0011593E" w:rsidP="00312889">
      <w:pPr>
        <w:jc w:val="both"/>
        <w:rPr>
          <w:rFonts w:ascii="Arial" w:hAnsi="Arial" w:cs="Arial"/>
          <w:sz w:val="24"/>
          <w:szCs w:val="24"/>
          <w:lang w:val="fr-FR"/>
        </w:rPr>
      </w:pPr>
      <w:r w:rsidRPr="0011593E">
        <w:rPr>
          <w:rFonts w:ascii="Arial" w:hAnsi="Arial" w:cs="Arial"/>
          <w:sz w:val="24"/>
          <w:szCs w:val="24"/>
          <w:lang w:val="fr-FR"/>
        </w:rPr>
        <w:t xml:space="preserve">En ce qui concerne l’évaluation de traumatisme dans le cadre de l’examen médical, prévu à l’article 4 de la loi du 18 décembre 2015 sur l’accueil des demandeurs de protection internationale et de protection temporaire, la CCDH note que plusieurs organisations de la société civile au Luxembourg ont souligné les problèmes qui existent en cette matière. </w:t>
      </w:r>
    </w:p>
    <w:p w14:paraId="0B261C26" w14:textId="49F91171" w:rsidR="0011593E" w:rsidRDefault="0011593E" w:rsidP="00312889">
      <w:pPr>
        <w:jc w:val="both"/>
        <w:rPr>
          <w:rFonts w:ascii="Arial" w:hAnsi="Arial" w:cs="Arial"/>
          <w:sz w:val="24"/>
          <w:szCs w:val="24"/>
          <w:lang w:val="fr-FR"/>
        </w:rPr>
      </w:pPr>
      <w:r w:rsidRPr="0011593E">
        <w:rPr>
          <w:rFonts w:ascii="Arial" w:hAnsi="Arial" w:cs="Arial"/>
          <w:sz w:val="24"/>
          <w:szCs w:val="24"/>
          <w:lang w:val="fr-FR"/>
        </w:rPr>
        <w:t>Elle se permet ainsi de renvoyer aux</w:t>
      </w:r>
      <w:r w:rsidR="00B626AE">
        <w:rPr>
          <w:rFonts w:ascii="Arial" w:hAnsi="Arial" w:cs="Arial"/>
          <w:sz w:val="24"/>
          <w:szCs w:val="24"/>
          <w:lang w:val="fr-FR"/>
        </w:rPr>
        <w:t xml:space="preserve"> « </w:t>
      </w:r>
      <w:hyperlink r:id="rId31" w:history="1">
        <w:r w:rsidR="00B626AE" w:rsidRPr="00B626AE">
          <w:rPr>
            <w:rStyle w:val="Hyperlink"/>
            <w:rFonts w:ascii="Arial" w:hAnsi="Arial" w:cs="Arial"/>
            <w:sz w:val="24"/>
            <w:szCs w:val="24"/>
            <w:lang w:val="fr-FR"/>
          </w:rPr>
          <w:t>Recommandations pour 2021 </w:t>
        </w:r>
      </w:hyperlink>
      <w:r w:rsidR="00B626AE">
        <w:rPr>
          <w:rFonts w:ascii="Arial" w:hAnsi="Arial" w:cs="Arial"/>
          <w:sz w:val="24"/>
          <w:szCs w:val="24"/>
          <w:lang w:val="fr-FR"/>
        </w:rPr>
        <w:t>»</w:t>
      </w:r>
      <w:r w:rsidRPr="0011593E">
        <w:rPr>
          <w:rFonts w:ascii="Arial" w:hAnsi="Arial" w:cs="Arial"/>
          <w:sz w:val="24"/>
          <w:szCs w:val="24"/>
          <w:lang w:val="fr-FR"/>
        </w:rPr>
        <w:t xml:space="preserve">  de Passerell a.s.b.l (Point 2.9. Organiser la détection précoce systématique des signes de tortures et de violences psychologiques et sexuelle</w:t>
      </w:r>
      <w:r w:rsidR="00B67A28">
        <w:rPr>
          <w:rFonts w:ascii="Arial" w:hAnsi="Arial" w:cs="Arial"/>
          <w:sz w:val="24"/>
          <w:szCs w:val="24"/>
          <w:lang w:val="fr-FR"/>
        </w:rPr>
        <w:t>s) ainsi qu’à l’ « </w:t>
      </w:r>
      <w:hyperlink r:id="rId32" w:history="1">
        <w:r w:rsidRPr="0011593E">
          <w:rPr>
            <w:rStyle w:val="Hyperlink"/>
            <w:rFonts w:ascii="Arial" w:hAnsi="Arial" w:cs="Arial"/>
            <w:sz w:val="24"/>
            <w:szCs w:val="24"/>
            <w:lang w:val="fr-FR"/>
          </w:rPr>
          <w:t>Ensemble de recommandations pour assurer une Couverture Sanitaire Universelle et des mesures connexes au Luxembourg</w:t>
        </w:r>
      </w:hyperlink>
      <w:r w:rsidR="00B67A28">
        <w:rPr>
          <w:rStyle w:val="Hyperlink"/>
          <w:rFonts w:ascii="Arial" w:hAnsi="Arial" w:cs="Arial"/>
          <w:sz w:val="24"/>
          <w:szCs w:val="24"/>
          <w:lang w:val="fr-FR"/>
        </w:rPr>
        <w:t> »</w:t>
      </w:r>
      <w:r w:rsidRPr="0011593E">
        <w:rPr>
          <w:rFonts w:ascii="Arial" w:hAnsi="Arial" w:cs="Arial"/>
          <w:sz w:val="24"/>
          <w:szCs w:val="24"/>
          <w:lang w:val="fr-FR"/>
        </w:rPr>
        <w:t xml:space="preserve"> du Ronnen Dësch.</w:t>
      </w:r>
    </w:p>
    <w:p w14:paraId="501284FE" w14:textId="1458E651" w:rsidR="0011593E" w:rsidRDefault="0011593E" w:rsidP="00312889">
      <w:pPr>
        <w:pStyle w:val="Heading2"/>
        <w:numPr>
          <w:ilvl w:val="0"/>
          <w:numId w:val="14"/>
        </w:numPr>
      </w:pPr>
      <w:bookmarkStart w:id="11" w:name="_Toc129876599"/>
      <w:r>
        <w:t>R</w:t>
      </w:r>
      <w:r w:rsidR="00B626AE">
        <w:t>éponse à la question posée au p</w:t>
      </w:r>
      <w:r>
        <w:t>agraphe 6(c)</w:t>
      </w:r>
      <w:bookmarkEnd w:id="11"/>
      <w:r>
        <w:t xml:space="preserve"> </w:t>
      </w:r>
    </w:p>
    <w:p w14:paraId="7184DE09" w14:textId="2CC77E60" w:rsidR="0011593E" w:rsidRPr="0011593E" w:rsidRDefault="0011593E" w:rsidP="00312889">
      <w:pPr>
        <w:jc w:val="both"/>
        <w:rPr>
          <w:rFonts w:ascii="Arial" w:hAnsi="Arial" w:cs="Arial"/>
          <w:sz w:val="24"/>
          <w:szCs w:val="20"/>
          <w:lang w:val="fr-FR"/>
        </w:rPr>
      </w:pPr>
      <w:r w:rsidRPr="0011593E">
        <w:rPr>
          <w:rFonts w:ascii="Arial" w:hAnsi="Arial" w:cs="Arial"/>
          <w:sz w:val="24"/>
          <w:szCs w:val="20"/>
          <w:lang w:val="fr-FR"/>
        </w:rPr>
        <w:t>En ce quoi concerne l’accès simple et rapide à la procédure de protection internationale, la CCDH se permet d’évoquer une pratique préoccupante de la Direction de l’Immigration du Ministère des Affaires étrangères et européennes qui constitue une violation des droits fondamentaux. Ainsi, en été 2020, la CCDH a été informé</w:t>
      </w:r>
      <w:r w:rsidR="00B626AE">
        <w:rPr>
          <w:rFonts w:ascii="Arial" w:hAnsi="Arial" w:cs="Arial"/>
          <w:sz w:val="24"/>
          <w:szCs w:val="20"/>
          <w:lang w:val="fr-FR"/>
        </w:rPr>
        <w:t>e</w:t>
      </w:r>
      <w:r w:rsidRPr="0011593E">
        <w:rPr>
          <w:rFonts w:ascii="Arial" w:hAnsi="Arial" w:cs="Arial"/>
          <w:sz w:val="24"/>
          <w:szCs w:val="20"/>
          <w:lang w:val="fr-FR"/>
        </w:rPr>
        <w:t xml:space="preserve"> qu’un nombre important de demandeurs d’asile, y inclues des famill</w:t>
      </w:r>
      <w:r w:rsidR="00B626AE">
        <w:rPr>
          <w:rFonts w:ascii="Arial" w:hAnsi="Arial" w:cs="Arial"/>
          <w:sz w:val="24"/>
          <w:szCs w:val="20"/>
          <w:lang w:val="fr-FR"/>
        </w:rPr>
        <w:t xml:space="preserve">es avec enfants en bas âge, </w:t>
      </w:r>
      <w:r w:rsidRPr="0011593E">
        <w:rPr>
          <w:rFonts w:ascii="Arial" w:hAnsi="Arial" w:cs="Arial"/>
          <w:sz w:val="24"/>
          <w:szCs w:val="20"/>
          <w:lang w:val="fr-FR"/>
        </w:rPr>
        <w:t>se trouveraient découragés, voire intimidés, de demander la protection internationale dans les locaux de la Direction de l’Immigration. Selon les chiffres communiqués par le Ministère, il s’avère que pour la première moitié de 2020, près d’une personne sur deux aurait changé d’avis après avoir</w:t>
      </w:r>
      <w:r w:rsidR="00B626AE">
        <w:rPr>
          <w:rFonts w:ascii="Arial" w:hAnsi="Arial" w:cs="Arial"/>
          <w:sz w:val="24"/>
          <w:szCs w:val="20"/>
          <w:lang w:val="fr-FR"/>
        </w:rPr>
        <w:t>,</w:t>
      </w:r>
      <w:r w:rsidRPr="0011593E">
        <w:rPr>
          <w:rFonts w:ascii="Arial" w:hAnsi="Arial" w:cs="Arial"/>
          <w:sz w:val="24"/>
          <w:szCs w:val="20"/>
          <w:lang w:val="fr-FR"/>
        </w:rPr>
        <w:t xml:space="preserve"> dans un premier temps</w:t>
      </w:r>
      <w:r w:rsidR="00B626AE">
        <w:rPr>
          <w:rFonts w:ascii="Arial" w:hAnsi="Arial" w:cs="Arial"/>
          <w:sz w:val="24"/>
          <w:szCs w:val="20"/>
          <w:lang w:val="fr-FR"/>
        </w:rPr>
        <w:t>,</w:t>
      </w:r>
      <w:r w:rsidRPr="0011593E">
        <w:rPr>
          <w:rFonts w:ascii="Arial" w:hAnsi="Arial" w:cs="Arial"/>
          <w:sz w:val="24"/>
          <w:szCs w:val="20"/>
          <w:lang w:val="fr-FR"/>
        </w:rPr>
        <w:t xml:space="preserve"> souhaité déposer une demande d’asile. Selon le Ministère, il s’agit de personnes qui ne sont pas qualifiées </w:t>
      </w:r>
      <w:r w:rsidR="00B626AE">
        <w:rPr>
          <w:rFonts w:ascii="Arial" w:hAnsi="Arial" w:cs="Arial"/>
          <w:sz w:val="24"/>
          <w:szCs w:val="20"/>
          <w:lang w:val="fr-FR"/>
        </w:rPr>
        <w:t>pour voir leur demande d’</w:t>
      </w:r>
      <w:r w:rsidRPr="0011593E">
        <w:rPr>
          <w:rFonts w:ascii="Arial" w:hAnsi="Arial" w:cs="Arial"/>
          <w:sz w:val="24"/>
          <w:szCs w:val="20"/>
          <w:lang w:val="fr-FR"/>
        </w:rPr>
        <w:t xml:space="preserve">asile </w:t>
      </w:r>
      <w:r w:rsidR="00B626AE">
        <w:rPr>
          <w:rFonts w:ascii="Arial" w:hAnsi="Arial" w:cs="Arial"/>
          <w:sz w:val="24"/>
          <w:szCs w:val="20"/>
          <w:lang w:val="fr-FR"/>
        </w:rPr>
        <w:t>aboutir</w:t>
      </w:r>
      <w:r w:rsidRPr="0011593E">
        <w:rPr>
          <w:rFonts w:ascii="Arial" w:hAnsi="Arial" w:cs="Arial"/>
          <w:sz w:val="24"/>
          <w:szCs w:val="20"/>
          <w:lang w:val="fr-FR"/>
        </w:rPr>
        <w:t xml:space="preserve"> au Luxembourg et il estime que les agents de la Direction de l’Immigration rempli</w:t>
      </w:r>
      <w:r w:rsidR="00B626AE">
        <w:rPr>
          <w:rFonts w:ascii="Arial" w:hAnsi="Arial" w:cs="Arial"/>
          <w:sz w:val="24"/>
          <w:szCs w:val="20"/>
          <w:lang w:val="fr-FR"/>
        </w:rPr>
        <w:t xml:space="preserve">raient </w:t>
      </w:r>
      <w:r w:rsidRPr="0011593E">
        <w:rPr>
          <w:rFonts w:ascii="Arial" w:hAnsi="Arial" w:cs="Arial"/>
          <w:sz w:val="24"/>
          <w:szCs w:val="20"/>
          <w:lang w:val="fr-FR"/>
        </w:rPr>
        <w:t xml:space="preserve">leur obligation légale d’information des personnes concernées. La CCDH se montre fortement préoccupée par cette pratique et insiste sur les situations dramatiques des personnes concernées qui, sans attestation de dépôt de demande de protection internationale, se sont retrouvées dans la rue. La CCDH exhorte le gouvernement à garantir le plein respect du droit d’asile et la prise en charge des personnes se trouvant, </w:t>
      </w:r>
      <w:r>
        <w:rPr>
          <w:rFonts w:ascii="Arial" w:hAnsi="Arial" w:cs="Arial"/>
          <w:sz w:val="24"/>
          <w:szCs w:val="20"/>
          <w:lang w:val="fr-FR"/>
        </w:rPr>
        <w:t>i</w:t>
      </w:r>
      <w:r w:rsidRPr="0011593E">
        <w:rPr>
          <w:rFonts w:ascii="Arial" w:hAnsi="Arial" w:cs="Arial"/>
          <w:sz w:val="24"/>
          <w:szCs w:val="20"/>
          <w:lang w:val="fr-FR"/>
        </w:rPr>
        <w:t>nvolontairement, dans l’impossibilité de solliciter la protection internationale.</w:t>
      </w:r>
    </w:p>
    <w:p w14:paraId="1146F057" w14:textId="77777777" w:rsidR="0011593E" w:rsidRPr="0011593E" w:rsidRDefault="0011593E" w:rsidP="00312889">
      <w:pPr>
        <w:jc w:val="both"/>
        <w:rPr>
          <w:rFonts w:ascii="Arial" w:hAnsi="Arial" w:cs="Arial"/>
          <w:sz w:val="24"/>
          <w:szCs w:val="20"/>
          <w:lang w:val="fr-FR"/>
        </w:rPr>
      </w:pPr>
      <w:r w:rsidRPr="0011593E">
        <w:rPr>
          <w:rFonts w:ascii="Arial" w:hAnsi="Arial" w:cs="Arial"/>
          <w:sz w:val="24"/>
          <w:szCs w:val="20"/>
          <w:lang w:val="fr-FR"/>
        </w:rPr>
        <w:t xml:space="preserve">Cette pratique a d’ailleurs été fortement critiquée par le </w:t>
      </w:r>
      <w:hyperlink r:id="rId33" w:history="1">
        <w:r w:rsidRPr="0011593E">
          <w:rPr>
            <w:rStyle w:val="Hyperlink"/>
            <w:rFonts w:ascii="Arial" w:hAnsi="Arial" w:cs="Arial"/>
            <w:sz w:val="24"/>
            <w:szCs w:val="20"/>
            <w:lang w:val="fr-FR"/>
          </w:rPr>
          <w:t>Collectif des Réfugiés au Luxembourg</w:t>
        </w:r>
      </w:hyperlink>
      <w:r w:rsidRPr="0011593E">
        <w:rPr>
          <w:rFonts w:ascii="Arial" w:hAnsi="Arial" w:cs="Arial"/>
          <w:sz w:val="24"/>
          <w:szCs w:val="20"/>
          <w:lang w:val="fr-FR"/>
        </w:rPr>
        <w:t xml:space="preserve"> et en novembre 2020, une </w:t>
      </w:r>
      <w:hyperlink r:id="rId34" w:history="1">
        <w:r w:rsidRPr="0011593E">
          <w:rPr>
            <w:rStyle w:val="Hyperlink"/>
            <w:rFonts w:ascii="Arial" w:hAnsi="Arial" w:cs="Arial"/>
            <w:sz w:val="24"/>
            <w:szCs w:val="20"/>
            <w:lang w:val="fr-FR"/>
          </w:rPr>
          <w:t>ONG luxembourgeoise</w:t>
        </w:r>
      </w:hyperlink>
      <w:r w:rsidRPr="0011593E">
        <w:rPr>
          <w:rFonts w:ascii="Arial" w:hAnsi="Arial" w:cs="Arial"/>
          <w:sz w:val="24"/>
          <w:szCs w:val="20"/>
          <w:lang w:val="fr-FR"/>
        </w:rPr>
        <w:t xml:space="preserve"> a déposé un </w:t>
      </w:r>
      <w:hyperlink r:id="rId35" w:history="1">
        <w:r w:rsidRPr="0011593E">
          <w:rPr>
            <w:rStyle w:val="Hyperlink"/>
            <w:rFonts w:ascii="Arial" w:hAnsi="Arial" w:cs="Arial"/>
            <w:sz w:val="24"/>
            <w:szCs w:val="20"/>
            <w:lang w:val="fr-FR"/>
          </w:rPr>
          <w:t>recours au tribunal administratif</w:t>
        </w:r>
      </w:hyperlink>
      <w:r w:rsidRPr="0011593E">
        <w:rPr>
          <w:rFonts w:ascii="Arial" w:hAnsi="Arial" w:cs="Arial"/>
          <w:sz w:val="24"/>
          <w:szCs w:val="20"/>
          <w:lang w:val="fr-FR"/>
        </w:rPr>
        <w:t xml:space="preserve"> contre cette pratique.</w:t>
      </w:r>
    </w:p>
    <w:p w14:paraId="697EF0D3" w14:textId="77777777" w:rsidR="00385910" w:rsidRPr="0086220F" w:rsidRDefault="00385910" w:rsidP="00312889">
      <w:pPr>
        <w:pStyle w:val="Heading2"/>
        <w:numPr>
          <w:ilvl w:val="0"/>
          <w:numId w:val="12"/>
        </w:numPr>
      </w:pPr>
      <w:bookmarkStart w:id="12" w:name="_Toc129876600"/>
      <w:r w:rsidRPr="0086220F">
        <w:t>Réponse à la question posée au paragraphe 8</w:t>
      </w:r>
      <w:bookmarkEnd w:id="12"/>
    </w:p>
    <w:p w14:paraId="45E9C9D6" w14:textId="77777777" w:rsidR="00385910" w:rsidRPr="0086220F" w:rsidRDefault="00385910" w:rsidP="00312889">
      <w:pPr>
        <w:jc w:val="both"/>
        <w:rPr>
          <w:rFonts w:ascii="Arial" w:hAnsi="Arial" w:cs="Arial"/>
          <w:sz w:val="24"/>
          <w:szCs w:val="24"/>
          <w:lang w:val="fr-FR"/>
        </w:rPr>
      </w:pPr>
      <w:r w:rsidRPr="0086220F">
        <w:rPr>
          <w:rFonts w:ascii="Arial" w:hAnsi="Arial" w:cs="Arial"/>
          <w:sz w:val="24"/>
          <w:szCs w:val="24"/>
          <w:lang w:val="fr-FR"/>
        </w:rPr>
        <w:t xml:space="preserve">Outre la formation des policiers, il convient de se pencher sur celle des agents pénitentiaires et des autres agents de l’État employés au sein de l’Administration pénitentiaire. Actuellement, la formation de base prévoit 6 heures de formation portant les droits humains (cf. </w:t>
      </w:r>
      <w:hyperlink r:id="rId36" w:history="1">
        <w:r w:rsidRPr="0086220F">
          <w:rPr>
            <w:rStyle w:val="Hyperlink"/>
            <w:rFonts w:ascii="Arial" w:hAnsi="Arial" w:cs="Arial"/>
            <w:sz w:val="24"/>
            <w:szCs w:val="24"/>
            <w:lang w:val="fr-FR"/>
          </w:rPr>
          <w:t>règlement grand-ducal relatif à la formation spéciale au sein de l’administration pénitentiaire</w:t>
        </w:r>
      </w:hyperlink>
      <w:r w:rsidRPr="0086220F">
        <w:rPr>
          <w:rFonts w:ascii="Arial" w:hAnsi="Arial" w:cs="Arial"/>
          <w:sz w:val="24"/>
          <w:szCs w:val="24"/>
          <w:lang w:val="fr-FR"/>
        </w:rPr>
        <w:t xml:space="preserve">). Cela représente un apprentissage basique, mais ne peut en aucun cas être considéré comme suffisant. Il est donc essentiel de prévoir des formations plus spécifiques et obligatoires portant spécifiquement sur les droits humains et d’autres aspects plus particuliers propres aux droits des personnes détenues, dont notamment l’interdiction de la torture et des traitements cruels, inhumains ou dégradants. </w:t>
      </w:r>
    </w:p>
    <w:p w14:paraId="34F0E1E5" w14:textId="77777777" w:rsidR="0011593E" w:rsidRPr="0011593E" w:rsidRDefault="0011593E" w:rsidP="00312889">
      <w:pPr>
        <w:jc w:val="both"/>
        <w:rPr>
          <w:rFonts w:ascii="Arial" w:hAnsi="Arial" w:cs="Arial"/>
          <w:sz w:val="32"/>
          <w:szCs w:val="24"/>
          <w:lang w:val="fr-FR"/>
        </w:rPr>
      </w:pPr>
      <w:r w:rsidRPr="0011593E">
        <w:rPr>
          <w:rFonts w:ascii="Arial" w:hAnsi="Arial" w:cs="Arial"/>
          <w:sz w:val="24"/>
          <w:szCs w:val="20"/>
          <w:lang w:val="fr-FR"/>
        </w:rPr>
        <w:t>En ce qui concerne le principe de l’utilisation de la force en dernier ressort, le projet de loi 7991 portant introduction d'une procédure pénale pour mineurs réglemente à l’article 11 l’usage de la force sur le mineur par la police grand-ducale.</w:t>
      </w:r>
    </w:p>
    <w:p w14:paraId="1816EF27" w14:textId="77777777" w:rsidR="00547C58" w:rsidRDefault="00385910" w:rsidP="00312889">
      <w:pPr>
        <w:jc w:val="both"/>
        <w:rPr>
          <w:rFonts w:ascii="Arial" w:hAnsi="Arial" w:cs="Arial"/>
          <w:sz w:val="24"/>
          <w:szCs w:val="24"/>
          <w:lang w:val="fr-FR"/>
        </w:rPr>
      </w:pPr>
      <w:r w:rsidRPr="00A5492F">
        <w:rPr>
          <w:rFonts w:ascii="Arial" w:hAnsi="Arial" w:cs="Arial"/>
          <w:sz w:val="24"/>
          <w:szCs w:val="24"/>
          <w:lang w:val="fr-FR"/>
        </w:rPr>
        <w:t xml:space="preserve">En ce qui concerne </w:t>
      </w:r>
      <w:r w:rsidR="00547C58" w:rsidRPr="00A5492F">
        <w:rPr>
          <w:rFonts w:ascii="Arial" w:hAnsi="Arial" w:cs="Arial"/>
          <w:sz w:val="24"/>
          <w:szCs w:val="24"/>
          <w:lang w:val="fr-FR"/>
        </w:rPr>
        <w:t xml:space="preserve">les formations des agents </w:t>
      </w:r>
      <w:r w:rsidR="0011593E" w:rsidRPr="00A5492F">
        <w:rPr>
          <w:rFonts w:ascii="Arial" w:hAnsi="Arial" w:cs="Arial"/>
          <w:sz w:val="24"/>
          <w:szCs w:val="24"/>
          <w:lang w:val="fr-FR"/>
        </w:rPr>
        <w:t>concernés par</w:t>
      </w:r>
      <w:r w:rsidR="00547C58" w:rsidRPr="00A5492F">
        <w:rPr>
          <w:rFonts w:ascii="Arial" w:hAnsi="Arial" w:cs="Arial"/>
          <w:sz w:val="24"/>
          <w:szCs w:val="24"/>
          <w:lang w:val="fr-FR"/>
        </w:rPr>
        <w:t xml:space="preserve"> </w:t>
      </w:r>
      <w:r w:rsidRPr="00A5492F">
        <w:rPr>
          <w:rFonts w:ascii="Arial" w:hAnsi="Arial" w:cs="Arial"/>
          <w:sz w:val="24"/>
          <w:szCs w:val="24"/>
          <w:lang w:val="fr-FR"/>
        </w:rPr>
        <w:t xml:space="preserve">l’identification des victimes de la traite parmi les demandeurs d’asile, </w:t>
      </w:r>
      <w:r w:rsidR="00547C58" w:rsidRPr="00A5492F">
        <w:rPr>
          <w:rFonts w:ascii="Arial" w:hAnsi="Arial" w:cs="Arial"/>
          <w:sz w:val="24"/>
          <w:szCs w:val="24"/>
          <w:lang w:val="fr-FR"/>
        </w:rPr>
        <w:t xml:space="preserve">la CCDH </w:t>
      </w:r>
      <w:r w:rsidR="00FE5C16" w:rsidRPr="00A5492F">
        <w:rPr>
          <w:rFonts w:ascii="Arial" w:hAnsi="Arial" w:cs="Arial"/>
          <w:sz w:val="24"/>
          <w:szCs w:val="24"/>
          <w:lang w:val="fr-FR"/>
        </w:rPr>
        <w:t xml:space="preserve">note qu’au Luxembourg en principe seuls les agents de Police judiciaire peuvent identifier les victimes de la traite. Or, toute personne peut détecter des victimes potentielles de la traite, y inclus les agents de la direction de l’immigration et de l’office national de l’accueil (ONA). La CCDH </w:t>
      </w:r>
      <w:r w:rsidR="00547C58" w:rsidRPr="00A5492F">
        <w:rPr>
          <w:rFonts w:ascii="Arial" w:hAnsi="Arial" w:cs="Arial"/>
          <w:sz w:val="24"/>
          <w:szCs w:val="24"/>
          <w:lang w:val="fr-FR"/>
        </w:rPr>
        <w:t>renvoie</w:t>
      </w:r>
      <w:r w:rsidR="00FE5C16" w:rsidRPr="00A5492F">
        <w:rPr>
          <w:rFonts w:ascii="Arial" w:hAnsi="Arial" w:cs="Arial"/>
          <w:sz w:val="24"/>
          <w:szCs w:val="24"/>
          <w:lang w:val="fr-FR"/>
        </w:rPr>
        <w:t xml:space="preserve"> dans ce dernier contexte</w:t>
      </w:r>
      <w:r w:rsidR="00547C58" w:rsidRPr="00A5492F">
        <w:rPr>
          <w:rFonts w:ascii="Arial" w:hAnsi="Arial" w:cs="Arial"/>
          <w:sz w:val="24"/>
          <w:szCs w:val="24"/>
          <w:lang w:val="fr-FR"/>
        </w:rPr>
        <w:t xml:space="preserve"> </w:t>
      </w:r>
      <w:r w:rsidR="00216222">
        <w:rPr>
          <w:rFonts w:ascii="Arial" w:hAnsi="Arial" w:cs="Arial"/>
          <w:sz w:val="24"/>
          <w:szCs w:val="24"/>
          <w:lang w:val="fr-FR"/>
        </w:rPr>
        <w:t>aux recommandations au sujet de l’importance des formations pour tous les acteurs concernés, qu’elle a faites dans</w:t>
      </w:r>
      <w:r w:rsidR="00547C58" w:rsidRPr="00A5492F">
        <w:rPr>
          <w:rFonts w:ascii="Arial" w:hAnsi="Arial" w:cs="Arial"/>
          <w:sz w:val="24"/>
          <w:szCs w:val="24"/>
          <w:lang w:val="fr-FR"/>
        </w:rPr>
        <w:t xml:space="preserve"> son </w:t>
      </w:r>
      <w:hyperlink r:id="rId37" w:history="1">
        <w:r w:rsidR="00547C58" w:rsidRPr="00A5492F">
          <w:rPr>
            <w:rStyle w:val="Hyperlink"/>
            <w:rFonts w:ascii="Arial" w:hAnsi="Arial" w:cs="Arial"/>
            <w:sz w:val="24"/>
            <w:szCs w:val="24"/>
            <w:lang w:val="fr-FR"/>
          </w:rPr>
          <w:t>3</w:t>
        </w:r>
        <w:r w:rsidR="00547C58" w:rsidRPr="00A5492F">
          <w:rPr>
            <w:rStyle w:val="Hyperlink"/>
            <w:rFonts w:ascii="Arial" w:hAnsi="Arial" w:cs="Arial"/>
            <w:sz w:val="24"/>
            <w:szCs w:val="24"/>
            <w:vertAlign w:val="superscript"/>
            <w:lang w:val="fr-FR"/>
          </w:rPr>
          <w:t>e</w:t>
        </w:r>
        <w:r w:rsidR="00547C58" w:rsidRPr="00A5492F">
          <w:rPr>
            <w:rStyle w:val="Hyperlink"/>
            <w:rFonts w:ascii="Arial" w:hAnsi="Arial" w:cs="Arial"/>
            <w:sz w:val="24"/>
            <w:szCs w:val="24"/>
            <w:lang w:val="fr-FR"/>
          </w:rPr>
          <w:t xml:space="preserve"> rapport sur la TEH</w:t>
        </w:r>
      </w:hyperlink>
      <w:r w:rsidR="00547C58" w:rsidRPr="00A5492F">
        <w:rPr>
          <w:rFonts w:ascii="Arial" w:hAnsi="Arial" w:cs="Arial"/>
          <w:sz w:val="24"/>
          <w:szCs w:val="24"/>
          <w:lang w:val="fr-FR"/>
        </w:rPr>
        <w:t xml:space="preserve"> (pp. 68, 80 et 118)</w:t>
      </w:r>
      <w:r w:rsidR="007E7B75">
        <w:rPr>
          <w:rFonts w:ascii="Arial" w:hAnsi="Arial" w:cs="Arial"/>
          <w:sz w:val="24"/>
          <w:szCs w:val="24"/>
          <w:lang w:val="fr-FR"/>
        </w:rPr>
        <w:t>.</w:t>
      </w:r>
      <w:r w:rsidR="00547C58" w:rsidRPr="00A5492F">
        <w:rPr>
          <w:rFonts w:ascii="Arial" w:hAnsi="Arial" w:cs="Arial"/>
          <w:sz w:val="24"/>
          <w:szCs w:val="24"/>
          <w:lang w:val="fr-FR"/>
        </w:rPr>
        <w:t> </w:t>
      </w:r>
      <w:r w:rsidR="007E7B75" w:rsidRPr="00A5492F" w:rsidDel="007E7B75">
        <w:rPr>
          <w:rFonts w:ascii="Arial" w:hAnsi="Arial" w:cs="Arial"/>
          <w:sz w:val="24"/>
          <w:szCs w:val="24"/>
          <w:lang w:val="fr-FR"/>
        </w:rPr>
        <w:t xml:space="preserve"> </w:t>
      </w:r>
    </w:p>
    <w:p w14:paraId="42E1604B" w14:textId="77777777" w:rsidR="00FE5C16" w:rsidRPr="0086220F" w:rsidRDefault="00FE5C16" w:rsidP="00312889">
      <w:pPr>
        <w:pStyle w:val="Heading2"/>
      </w:pPr>
      <w:bookmarkStart w:id="13" w:name="_Toc129876601"/>
      <w:r w:rsidRPr="0086220F">
        <w:t>Réponse à la question posée au paragraphe 9</w:t>
      </w:r>
      <w:r w:rsidR="00E45E41">
        <w:t>(d)</w:t>
      </w:r>
      <w:bookmarkEnd w:id="13"/>
    </w:p>
    <w:p w14:paraId="5B37EEC4"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La CCDH </w:t>
      </w:r>
      <w:r w:rsidR="00A5492F">
        <w:rPr>
          <w:rFonts w:ascii="Arial" w:hAnsi="Arial" w:cs="Arial"/>
          <w:sz w:val="24"/>
          <w:szCs w:val="24"/>
          <w:lang w:val="fr-FR"/>
        </w:rPr>
        <w:t>note que la réponse du gouvernement porte uniquement sur la question des formations et la prévention dans le cadre de la traite, tandis que la question du Comité porte sur l’élaboration éventuelle de « </w:t>
      </w:r>
      <w:r w:rsidR="00A5492F" w:rsidRPr="00A5492F">
        <w:rPr>
          <w:rFonts w:ascii="Arial" w:hAnsi="Arial" w:cs="Arial"/>
          <w:i/>
          <w:sz w:val="24"/>
          <w:szCs w:val="24"/>
          <w:lang w:val="fr-FR"/>
        </w:rPr>
        <w:t>méthodes spéciales pour évaluer l’efficacité et l’incidence de ces formations sur la prévention de la torture et le respect du principe de l’interdiction absolue de la torture</w:t>
      </w:r>
      <w:r w:rsidR="00A5492F">
        <w:rPr>
          <w:rFonts w:ascii="Arial" w:hAnsi="Arial" w:cs="Arial"/>
          <w:sz w:val="24"/>
          <w:szCs w:val="24"/>
          <w:lang w:val="fr-FR"/>
        </w:rPr>
        <w:t xml:space="preserve"> ». La CCDH </w:t>
      </w:r>
      <w:r w:rsidRPr="0086220F">
        <w:rPr>
          <w:rFonts w:ascii="Arial" w:hAnsi="Arial" w:cs="Arial"/>
          <w:sz w:val="24"/>
          <w:szCs w:val="24"/>
          <w:lang w:val="fr-FR"/>
        </w:rPr>
        <w:t>a a</w:t>
      </w:r>
      <w:r w:rsidR="00A5492F">
        <w:rPr>
          <w:rFonts w:ascii="Arial" w:hAnsi="Arial" w:cs="Arial"/>
          <w:sz w:val="24"/>
          <w:szCs w:val="24"/>
          <w:lang w:val="fr-FR"/>
        </w:rPr>
        <w:t>bordé la question des formations en matière de TEH</w:t>
      </w:r>
      <w:r w:rsidRPr="0086220F">
        <w:rPr>
          <w:rFonts w:ascii="Arial" w:hAnsi="Arial" w:cs="Arial"/>
          <w:sz w:val="24"/>
          <w:szCs w:val="24"/>
          <w:lang w:val="fr-FR"/>
        </w:rPr>
        <w:t xml:space="preserve"> dans son </w:t>
      </w:r>
      <w:hyperlink r:id="rId38" w:history="1">
        <w:r w:rsidRPr="0086220F">
          <w:rPr>
            <w:rStyle w:val="Hyperlink"/>
            <w:rFonts w:ascii="Arial" w:hAnsi="Arial" w:cs="Arial"/>
            <w:sz w:val="24"/>
            <w:szCs w:val="24"/>
            <w:lang w:val="fr-FR"/>
          </w:rPr>
          <w:t>3</w:t>
        </w:r>
        <w:r w:rsidRPr="0086220F">
          <w:rPr>
            <w:rStyle w:val="Hyperlink"/>
            <w:rFonts w:ascii="Arial" w:hAnsi="Arial" w:cs="Arial"/>
            <w:sz w:val="24"/>
            <w:szCs w:val="24"/>
            <w:vertAlign w:val="superscript"/>
            <w:lang w:val="fr-FR"/>
          </w:rPr>
          <w:t>e</w:t>
        </w:r>
        <w:r w:rsidRPr="0086220F">
          <w:rPr>
            <w:rStyle w:val="Hyperlink"/>
            <w:rFonts w:ascii="Arial" w:hAnsi="Arial" w:cs="Arial"/>
            <w:sz w:val="24"/>
            <w:szCs w:val="24"/>
            <w:lang w:val="fr-FR"/>
          </w:rPr>
          <w:t xml:space="preserve"> rapport sur la TEH</w:t>
        </w:r>
      </w:hyperlink>
      <w:r w:rsidRPr="0086220F">
        <w:rPr>
          <w:rFonts w:ascii="Arial" w:hAnsi="Arial" w:cs="Arial"/>
          <w:sz w:val="24"/>
          <w:szCs w:val="24"/>
          <w:lang w:val="fr-FR"/>
        </w:rPr>
        <w:t xml:space="preserve"> (pp. 68-70).</w:t>
      </w:r>
      <w:r w:rsidR="00A5492F">
        <w:rPr>
          <w:rFonts w:ascii="Arial" w:hAnsi="Arial" w:cs="Arial"/>
          <w:sz w:val="24"/>
          <w:szCs w:val="24"/>
          <w:lang w:val="fr-FR"/>
        </w:rPr>
        <w:t xml:space="preserve"> En ce qui concerne la prévention, la CCDH avait dans ce même rapport invité le gouvernement à </w:t>
      </w:r>
      <w:r w:rsidR="004C7DA9">
        <w:rPr>
          <w:rFonts w:ascii="Arial" w:hAnsi="Arial" w:cs="Arial"/>
          <w:sz w:val="24"/>
          <w:szCs w:val="24"/>
          <w:lang w:val="fr-FR"/>
        </w:rPr>
        <w:t>intensifier</w:t>
      </w:r>
      <w:r w:rsidR="00A5492F">
        <w:rPr>
          <w:rFonts w:ascii="Arial" w:hAnsi="Arial" w:cs="Arial"/>
          <w:sz w:val="24"/>
          <w:szCs w:val="24"/>
          <w:lang w:val="fr-FR"/>
        </w:rPr>
        <w:t xml:space="preserve"> ses efforts</w:t>
      </w:r>
      <w:r w:rsidR="004C7DA9">
        <w:rPr>
          <w:rFonts w:ascii="Arial" w:hAnsi="Arial" w:cs="Arial"/>
          <w:sz w:val="24"/>
          <w:szCs w:val="24"/>
          <w:lang w:val="fr-FR"/>
        </w:rPr>
        <w:t xml:space="preserve"> notamment dans les domaines des entreprises et droits humains (p. 34), de la prostitution (p. 50), des personnes en situation de séjour irrégulière (p. 52), des enfants vulnérables et marginalisés (p. 57), de collecte de données (p. 61) et du travail domestique (p. 76 et 118).</w:t>
      </w:r>
    </w:p>
    <w:p w14:paraId="0BCFC706" w14:textId="77777777" w:rsidR="00FE5C16" w:rsidRPr="0086220F" w:rsidRDefault="00FE5C16" w:rsidP="00312889">
      <w:pPr>
        <w:pStyle w:val="Heading2"/>
      </w:pPr>
      <w:bookmarkStart w:id="14" w:name="_Toc129876602"/>
      <w:r w:rsidRPr="0086220F">
        <w:t xml:space="preserve">Réponse à la </w:t>
      </w:r>
      <w:r w:rsidR="00E45E41">
        <w:t>question posée au paragraphe 10</w:t>
      </w:r>
      <w:r w:rsidRPr="0086220F">
        <w:t>(a)</w:t>
      </w:r>
      <w:bookmarkEnd w:id="14"/>
    </w:p>
    <w:p w14:paraId="3D12E149"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Il est à noter que fin 2022, le nouveau Centre pénitentiaire Uerschterhaff (CPU) a ouvert ses portes à Sanem. Il accueille les personnes de sexe masculin qui se trouvent en détention préventive. Cela a certainement eu un impact sur le taux d’occupation du Centre pénitentiaire de Luxembourg (CPL).</w:t>
      </w:r>
    </w:p>
    <w:p w14:paraId="18597887" w14:textId="77777777" w:rsidR="00FE5C16" w:rsidRPr="0086220F" w:rsidRDefault="00FE5C16" w:rsidP="00312889">
      <w:pPr>
        <w:pStyle w:val="Heading2"/>
      </w:pPr>
      <w:bookmarkStart w:id="15" w:name="_Toc129876603"/>
      <w:r w:rsidRPr="0086220F">
        <w:t>Réponse à la question posée au paragraphe 10(b)</w:t>
      </w:r>
      <w:bookmarkEnd w:id="15"/>
      <w:r w:rsidRPr="0086220F">
        <w:t xml:space="preserve"> </w:t>
      </w:r>
    </w:p>
    <w:p w14:paraId="3B717FB3"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Le rapport du gouvernement indique que le taux de personnes se trouvant en détention préventive est d’environ 50% de la population carcérale générale. Dans le </w:t>
      </w:r>
      <w:hyperlink r:id="rId39" w:history="1">
        <w:r w:rsidRPr="0086220F">
          <w:rPr>
            <w:rStyle w:val="Hyperlink"/>
            <w:rFonts w:ascii="Arial" w:hAnsi="Arial" w:cs="Arial"/>
            <w:sz w:val="24"/>
            <w:szCs w:val="24"/>
            <w:lang w:val="fr-FR"/>
          </w:rPr>
          <w:t>rapport SPACE I de 2021 du Conseil de l’Europe</w:t>
        </w:r>
      </w:hyperlink>
      <w:r w:rsidRPr="0086220F">
        <w:rPr>
          <w:rFonts w:ascii="Arial" w:hAnsi="Arial" w:cs="Arial"/>
          <w:sz w:val="24"/>
          <w:szCs w:val="24"/>
          <w:lang w:val="fr-FR"/>
        </w:rPr>
        <w:t>, il est indiqué un taux de 43,3% de prévenus. Ce taux est bien au-delà de la moyenne européenne de 28,9%, et le Luxembourg se place ainsi à la 8</w:t>
      </w:r>
      <w:r w:rsidRPr="0086220F">
        <w:rPr>
          <w:rFonts w:ascii="Arial" w:hAnsi="Arial" w:cs="Arial"/>
          <w:sz w:val="24"/>
          <w:szCs w:val="24"/>
          <w:vertAlign w:val="superscript"/>
          <w:lang w:val="fr-FR"/>
        </w:rPr>
        <w:t>e</w:t>
      </w:r>
      <w:r w:rsidRPr="0086220F">
        <w:rPr>
          <w:rFonts w:ascii="Arial" w:hAnsi="Arial" w:cs="Arial"/>
          <w:sz w:val="24"/>
          <w:szCs w:val="24"/>
          <w:lang w:val="fr-FR"/>
        </w:rPr>
        <w:t xml:space="preserve"> place parmi les pays du Conseil de l’Europe. Le </w:t>
      </w:r>
      <w:hyperlink r:id="rId40" w:history="1">
        <w:r w:rsidRPr="0086220F">
          <w:rPr>
            <w:rStyle w:val="Hyperlink"/>
            <w:rFonts w:ascii="Arial" w:hAnsi="Arial" w:cs="Arial"/>
            <w:sz w:val="24"/>
            <w:szCs w:val="24"/>
            <w:lang w:val="fr-FR"/>
          </w:rPr>
          <w:t>Procureur général d’Etat</w:t>
        </w:r>
      </w:hyperlink>
      <w:r w:rsidRPr="0086220F">
        <w:rPr>
          <w:rFonts w:ascii="Arial" w:hAnsi="Arial" w:cs="Arial"/>
          <w:sz w:val="24"/>
          <w:szCs w:val="24"/>
          <w:lang w:val="fr-FR"/>
        </w:rPr>
        <w:t xml:space="preserve"> du Luxembourg avait d’ailleurs eu l’occasion de plaider en faveur d’une limitation de la durée initiale de détention préventive, avec possibilité de renouvellement sous certaines conditions (pp. 20-21). </w:t>
      </w:r>
    </w:p>
    <w:p w14:paraId="0C3CD9C3"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De plus, ce même rapport indique qu’au 31 janvier 2021, le nombre de personnes étrangères au sein des centres pénitentiaires luxembourgeois s’élevait à 73,1%, se plaçant à la 3</w:t>
      </w:r>
      <w:r w:rsidRPr="0086220F">
        <w:rPr>
          <w:rFonts w:ascii="Arial" w:hAnsi="Arial" w:cs="Arial"/>
          <w:sz w:val="24"/>
          <w:szCs w:val="24"/>
          <w:vertAlign w:val="superscript"/>
          <w:lang w:val="fr-FR"/>
        </w:rPr>
        <w:t>e</w:t>
      </w:r>
      <w:r w:rsidRPr="0086220F">
        <w:rPr>
          <w:rFonts w:ascii="Arial" w:hAnsi="Arial" w:cs="Arial"/>
          <w:sz w:val="24"/>
          <w:szCs w:val="24"/>
          <w:lang w:val="fr-FR"/>
        </w:rPr>
        <w:t xml:space="preserve"> place des pays du Conseil de l’Europe. 55% de la population carcérale était alors constituée de personnes de nationalité étrangère non-résidentes et sur les 241 personnes se trouvant en détention préventive, 195 étaient de nationalité étrangère. </w:t>
      </w:r>
    </w:p>
    <w:p w14:paraId="157AB841" w14:textId="618721D5" w:rsidR="00FE5C16"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La CCDH ne dispose pas de chiffres en ce qui concerne le nombre de personnes non-résidentes se trouvant en détention préventive. Toutefois, elle souhaite souligner dans ce contexte, qu’elle s’inquiète de l’existence d’une présomption de risque de fuite lorsque la personne n’a pas sa résidence légale au Luxembourg, permettant au juge d’instruction de placer la personne en détention préventive en respectant des conditions moindres que celles qui s’appliquent aux personnes y ayant leur résidence légale (art. 94, para. 3 du Code de procédure pénale). Le </w:t>
      </w:r>
      <w:hyperlink r:id="rId41" w:history="1">
        <w:r w:rsidRPr="0086220F">
          <w:rPr>
            <w:rStyle w:val="Hyperlink"/>
            <w:rFonts w:ascii="Arial" w:hAnsi="Arial" w:cs="Arial"/>
            <w:sz w:val="24"/>
            <w:szCs w:val="24"/>
            <w:lang w:val="fr-FR"/>
          </w:rPr>
          <w:t>Comité des droits de l’homme</w:t>
        </w:r>
      </w:hyperlink>
      <w:r w:rsidRPr="0086220F">
        <w:rPr>
          <w:rFonts w:ascii="Arial" w:hAnsi="Arial" w:cs="Arial"/>
          <w:sz w:val="24"/>
          <w:szCs w:val="24"/>
          <w:lang w:val="fr-FR"/>
        </w:rPr>
        <w:t xml:space="preserve">, ainsi que le </w:t>
      </w:r>
      <w:hyperlink r:id="rId42" w:history="1">
        <w:r w:rsidRPr="0086220F">
          <w:rPr>
            <w:rStyle w:val="Hyperlink"/>
            <w:rFonts w:ascii="Arial" w:hAnsi="Arial" w:cs="Arial"/>
            <w:sz w:val="24"/>
            <w:szCs w:val="24"/>
            <w:lang w:val="fr-FR"/>
          </w:rPr>
          <w:t>Conseil de l’Europe</w:t>
        </w:r>
      </w:hyperlink>
      <w:r w:rsidRPr="0086220F">
        <w:rPr>
          <w:rFonts w:ascii="Arial" w:hAnsi="Arial" w:cs="Arial"/>
          <w:sz w:val="24"/>
          <w:szCs w:val="24"/>
          <w:lang w:val="fr-FR"/>
        </w:rPr>
        <w:t xml:space="preserve"> recommandent pourtant de ne pas conclure à un risque de fuite en se basant uniquement sur le fait qu’il s’agit d’une personne étrangère ou n’étant pas résident de ce pays. </w:t>
      </w:r>
    </w:p>
    <w:p w14:paraId="1FFB41C0" w14:textId="77777777" w:rsidR="0011593E" w:rsidRPr="0011593E" w:rsidRDefault="0011593E" w:rsidP="00312889">
      <w:pPr>
        <w:jc w:val="both"/>
        <w:rPr>
          <w:rFonts w:ascii="Arial" w:hAnsi="Arial" w:cs="Arial"/>
          <w:sz w:val="24"/>
          <w:szCs w:val="20"/>
          <w:lang w:val="fr-FR"/>
        </w:rPr>
      </w:pPr>
      <w:r w:rsidRPr="0011593E">
        <w:rPr>
          <w:rFonts w:ascii="Arial" w:hAnsi="Arial" w:cs="Arial"/>
          <w:sz w:val="24"/>
          <w:szCs w:val="20"/>
          <w:lang w:val="fr-FR"/>
        </w:rPr>
        <w:t xml:space="preserve">Le </w:t>
      </w:r>
      <w:r>
        <w:fldChar w:fldCharType="begin"/>
      </w:r>
      <w:r w:rsidRPr="00B55762">
        <w:rPr>
          <w:lang w:val="fr-LU"/>
          <w:rPrChange w:id="16" w:author="Gilbert Pregno" w:date="2023-03-18T06:20:00Z">
            <w:rPr/>
          </w:rPrChange>
        </w:rPr>
        <w:instrText>HYPERLINK "https://www.chd.lu/fr/dossier/7991"</w:instrText>
      </w:r>
      <w:r>
        <w:fldChar w:fldCharType="separate"/>
      </w:r>
      <w:r w:rsidRPr="002333DE">
        <w:rPr>
          <w:rStyle w:val="Hyperlink"/>
          <w:rFonts w:ascii="Arial" w:hAnsi="Arial" w:cs="Arial"/>
          <w:sz w:val="24"/>
          <w:szCs w:val="20"/>
          <w:lang w:val="fr-FR"/>
        </w:rPr>
        <w:t>projet de loi 7991</w:t>
      </w:r>
      <w:r>
        <w:rPr>
          <w:rStyle w:val="Hyperlink"/>
          <w:rFonts w:ascii="Arial" w:hAnsi="Arial" w:cs="Arial"/>
          <w:sz w:val="24"/>
          <w:szCs w:val="20"/>
          <w:lang w:val="fr-FR"/>
        </w:rPr>
        <w:fldChar w:fldCharType="end"/>
      </w:r>
      <w:r w:rsidRPr="0011593E">
        <w:rPr>
          <w:rFonts w:ascii="Arial" w:hAnsi="Arial" w:cs="Arial"/>
          <w:sz w:val="24"/>
          <w:szCs w:val="20"/>
          <w:lang w:val="fr-FR"/>
        </w:rPr>
        <w:t xml:space="preserve"> prévoit des règles particulières pour la détention préventive des mineurs (article 27-29). La CCDH estime pourtant que la formulation de ces dispositions n’est pas suffisamment protectrice des droits de l’enfant et ne tient pas compte des normes internationales en la matière.</w:t>
      </w:r>
    </w:p>
    <w:p w14:paraId="051615B5" w14:textId="77777777" w:rsidR="0011593E" w:rsidRPr="0011593E" w:rsidRDefault="0011593E" w:rsidP="00312889">
      <w:pPr>
        <w:jc w:val="both"/>
        <w:rPr>
          <w:rFonts w:ascii="Arial" w:eastAsia="PMingLiU" w:hAnsi="Arial" w:cs="Arial"/>
          <w:color w:val="000000"/>
          <w:sz w:val="24"/>
          <w:szCs w:val="20"/>
          <w:u w:color="000000"/>
          <w:bdr w:val="nil"/>
          <w:lang w:val="fr-FR"/>
          <w14:textOutline w14:w="0" w14:cap="flat" w14:cmpd="sng" w14:algn="ctr">
            <w14:noFill/>
            <w14:prstDash w14:val="solid"/>
            <w14:bevel/>
          </w14:textOutline>
        </w:rPr>
      </w:pPr>
      <w:r w:rsidRPr="0011593E">
        <w:rPr>
          <w:rFonts w:ascii="Arial" w:eastAsia="PMingLiU" w:hAnsi="Arial" w:cs="Arial"/>
          <w:color w:val="000000"/>
          <w:sz w:val="24"/>
          <w:szCs w:val="20"/>
          <w:u w:color="000000"/>
          <w:bdr w:val="nil"/>
          <w:lang w:val="fr-FR"/>
          <w14:textOutline w14:w="0" w14:cap="flat" w14:cmpd="sng" w14:algn="ctr">
            <w14:noFill/>
            <w14:prstDash w14:val="solid"/>
            <w14:bevel/>
          </w14:textOutline>
        </w:rPr>
        <w:t xml:space="preserve">La CCDH est ainsi d’avis que le projet de loi devrait être adapté afin de prévoir explicitement que le recours à la détention préventive d’un mineur ne pourra être décidé qu’à titre exceptionnel et si aucune autre mesure alternative n’est possible. </w:t>
      </w:r>
    </w:p>
    <w:p w14:paraId="3B4B61A6" w14:textId="77777777" w:rsidR="0011593E" w:rsidRPr="0011593E" w:rsidRDefault="0011593E" w:rsidP="00312889">
      <w:pPr>
        <w:jc w:val="both"/>
        <w:rPr>
          <w:rFonts w:ascii="Arial" w:hAnsi="Arial" w:cs="Arial"/>
          <w:sz w:val="24"/>
          <w:szCs w:val="20"/>
          <w:lang w:val="fr-FR"/>
        </w:rPr>
      </w:pPr>
      <w:r w:rsidRPr="0011593E">
        <w:rPr>
          <w:rFonts w:ascii="Arial" w:hAnsi="Arial" w:cs="Arial"/>
          <w:sz w:val="24"/>
          <w:szCs w:val="20"/>
          <w:lang w:val="fr-FR"/>
        </w:rPr>
        <w:t xml:space="preserve">En ce qui concerne la durée de la détention préventive, celle-ci peut aller jusqu’à un an (art. 29 (4)), ce qui est contraire aux recommandations du Comité international droits de l’enfant en la matière, qui fixe une durée de six mois comme maximum. </w:t>
      </w:r>
    </w:p>
    <w:p w14:paraId="55EDED2D" w14:textId="77777777" w:rsidR="00385910" w:rsidRPr="0086220F" w:rsidRDefault="00FE5C16" w:rsidP="00312889">
      <w:pPr>
        <w:pStyle w:val="Heading2"/>
      </w:pPr>
      <w:bookmarkStart w:id="17" w:name="_Toc129876604"/>
      <w:r w:rsidRPr="0086220F">
        <w:t>Réponse à la question posée au paragraphe 10(c)</w:t>
      </w:r>
      <w:bookmarkEnd w:id="17"/>
    </w:p>
    <w:p w14:paraId="23B0C951"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Quant aux conditions sanitaires dans les centres pénitentiaires, il est à noter que le </w:t>
      </w:r>
      <w:r>
        <w:fldChar w:fldCharType="begin"/>
      </w:r>
      <w:r w:rsidRPr="00B55762">
        <w:rPr>
          <w:lang w:val="fr-LU"/>
          <w:rPrChange w:id="18" w:author="Gilbert Pregno" w:date="2023-03-18T06:20:00Z">
            <w:rPr/>
          </w:rPrChange>
        </w:rPr>
        <w:instrText>HYPERLINK "https://data.legilux.public.lu/filestore/eli/etat/projet/pr/20160233/doc/1/fr/1/pdf/manifestation/eli-etat-projet-pr-20160233-doc-1-fr-1-pdf-manifestation.pdf"</w:instrText>
      </w:r>
      <w:r>
        <w:fldChar w:fldCharType="separate"/>
      </w:r>
      <w:r w:rsidRPr="0086220F">
        <w:rPr>
          <w:rStyle w:val="Hyperlink"/>
          <w:rFonts w:ascii="Arial" w:hAnsi="Arial" w:cs="Arial"/>
          <w:sz w:val="24"/>
          <w:szCs w:val="24"/>
          <w:lang w:val="fr-FR"/>
        </w:rPr>
        <w:t>projet de règlement grand-ducal relatif aux centres pénitentiaires</w:t>
      </w:r>
      <w:r>
        <w:rPr>
          <w:rStyle w:val="Hyperlink"/>
          <w:rFonts w:ascii="Arial" w:hAnsi="Arial" w:cs="Arial"/>
          <w:sz w:val="24"/>
          <w:szCs w:val="24"/>
          <w:lang w:val="fr-FR"/>
        </w:rPr>
        <w:fldChar w:fldCharType="end"/>
      </w:r>
      <w:r w:rsidRPr="0086220F">
        <w:rPr>
          <w:rFonts w:ascii="Arial" w:hAnsi="Arial" w:cs="Arial"/>
          <w:sz w:val="24"/>
          <w:szCs w:val="24"/>
          <w:lang w:val="fr-FR"/>
        </w:rPr>
        <w:t xml:space="preserve"> prévoit dorénavant qu’il reviendra au directeur du centre pénitentiaire de vérifier de manière trimestrielle l’alimentation, l’hygiène, le chauffage, l’éclairage, la ventilation et la propreté des vêtements et de la literie des détenus (art. 37), alors que cette tâche était auparavant exécutée par le médecin du centre pénitentiaire. Selon la CCDH, la responsabilité du contrôle devrait demeurer auprès du personnel médical, en accord avec les recommandations internationales en la matière (voir règle 35 des </w:t>
      </w:r>
      <w:r>
        <w:fldChar w:fldCharType="begin"/>
      </w:r>
      <w:r w:rsidRPr="00B55762">
        <w:rPr>
          <w:lang w:val="fr-LU"/>
          <w:rPrChange w:id="19" w:author="Gilbert Pregno" w:date="2023-03-18T06:20:00Z">
            <w:rPr/>
          </w:rPrChange>
        </w:rPr>
        <w:instrText>HYPERLINK "https://www.unodc.org/documents/justice-and-prison-reform/GA-RESOLUTION/F-book.pdf"</w:instrText>
      </w:r>
      <w:r>
        <w:fldChar w:fldCharType="separate"/>
      </w:r>
      <w:r w:rsidRPr="0086220F">
        <w:rPr>
          <w:rStyle w:val="Hyperlink"/>
          <w:rFonts w:ascii="Arial" w:hAnsi="Arial" w:cs="Arial"/>
          <w:sz w:val="24"/>
          <w:szCs w:val="24"/>
          <w:lang w:val="fr-FR"/>
        </w:rPr>
        <w:t>règles Nelson Mandela</w:t>
      </w:r>
      <w:r>
        <w:rPr>
          <w:rStyle w:val="Hyperlink"/>
          <w:rFonts w:ascii="Arial" w:hAnsi="Arial" w:cs="Arial"/>
          <w:sz w:val="24"/>
          <w:szCs w:val="24"/>
          <w:lang w:val="fr-FR"/>
        </w:rPr>
        <w:fldChar w:fldCharType="end"/>
      </w:r>
      <w:r w:rsidRPr="0086220F">
        <w:rPr>
          <w:rFonts w:ascii="Arial" w:hAnsi="Arial" w:cs="Arial"/>
          <w:sz w:val="24"/>
          <w:szCs w:val="24"/>
          <w:lang w:val="fr-FR"/>
        </w:rPr>
        <w:t xml:space="preserve">, règle 44 des </w:t>
      </w:r>
      <w:r>
        <w:fldChar w:fldCharType="begin"/>
      </w:r>
      <w:r w:rsidRPr="00B55762">
        <w:rPr>
          <w:lang w:val="fr-LU"/>
          <w:rPrChange w:id="20" w:author="Gilbert Pregno" w:date="2023-03-18T06:20:00Z">
            <w:rPr/>
          </w:rPrChange>
        </w:rPr>
        <w:instrText>HYPERLINK "https://search.coe.int/cm/Pages/result_details.aspx?ObjectId=09000016809ee5b0"</w:instrText>
      </w:r>
      <w:r>
        <w:fldChar w:fldCharType="separate"/>
      </w:r>
      <w:r w:rsidRPr="0086220F">
        <w:rPr>
          <w:rStyle w:val="Hyperlink"/>
          <w:rFonts w:ascii="Arial" w:hAnsi="Arial" w:cs="Arial"/>
          <w:sz w:val="24"/>
          <w:szCs w:val="24"/>
          <w:lang w:val="fr-FR"/>
        </w:rPr>
        <w:t>règles pénitentiaires européennes</w:t>
      </w:r>
      <w:r>
        <w:rPr>
          <w:rStyle w:val="Hyperlink"/>
          <w:rFonts w:ascii="Arial" w:hAnsi="Arial" w:cs="Arial"/>
          <w:sz w:val="24"/>
          <w:szCs w:val="24"/>
          <w:lang w:val="fr-FR"/>
        </w:rPr>
        <w:fldChar w:fldCharType="end"/>
      </w:r>
      <w:r w:rsidRPr="0086220F">
        <w:rPr>
          <w:rFonts w:ascii="Arial" w:hAnsi="Arial" w:cs="Arial"/>
          <w:sz w:val="24"/>
          <w:szCs w:val="24"/>
          <w:lang w:val="fr-FR"/>
        </w:rPr>
        <w:t>).</w:t>
      </w:r>
    </w:p>
    <w:p w14:paraId="5027E677" w14:textId="77777777" w:rsidR="00FE5C16" w:rsidRPr="0086220F" w:rsidRDefault="00FE5C16" w:rsidP="00312889">
      <w:pPr>
        <w:pStyle w:val="Heading2"/>
        <w:numPr>
          <w:ilvl w:val="0"/>
          <w:numId w:val="6"/>
        </w:numPr>
      </w:pPr>
      <w:bookmarkStart w:id="21" w:name="_Toc129876605"/>
      <w:r w:rsidRPr="0086220F">
        <w:t>Réponse à la question posée au paragraphe 11(a)</w:t>
      </w:r>
      <w:bookmarkEnd w:id="21"/>
    </w:p>
    <w:p w14:paraId="25C14C5B" w14:textId="488C5C7A"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Selon les informations à </w:t>
      </w:r>
      <w:r w:rsidR="001F659E">
        <w:rPr>
          <w:rFonts w:ascii="Arial" w:hAnsi="Arial" w:cs="Arial"/>
          <w:sz w:val="24"/>
          <w:szCs w:val="24"/>
          <w:lang w:val="fr-FR"/>
        </w:rPr>
        <w:t xml:space="preserve">la </w:t>
      </w:r>
      <w:r w:rsidRPr="0086220F">
        <w:rPr>
          <w:rFonts w:ascii="Arial" w:hAnsi="Arial" w:cs="Arial"/>
          <w:sz w:val="24"/>
          <w:szCs w:val="24"/>
          <w:lang w:val="fr-FR"/>
        </w:rPr>
        <w:t xml:space="preserve">disposition de la CCDH, les adultes privés de liberté bénéficient d’une consultation médicale hebdomadaire. En cas d’urgence, le détenu informe l’infirmier qui appelle le médecin qui </w:t>
      </w:r>
      <w:r w:rsidR="00077BB5">
        <w:rPr>
          <w:rFonts w:ascii="Arial" w:hAnsi="Arial" w:cs="Arial"/>
          <w:sz w:val="24"/>
          <w:szCs w:val="24"/>
          <w:lang w:val="fr-FR"/>
        </w:rPr>
        <w:t>décide à son tour d’éventuelles mesures médicales complémentaires</w:t>
      </w:r>
      <w:r w:rsidRPr="0086220F">
        <w:rPr>
          <w:rFonts w:ascii="Arial" w:hAnsi="Arial" w:cs="Arial"/>
          <w:sz w:val="24"/>
          <w:szCs w:val="24"/>
          <w:lang w:val="fr-FR"/>
        </w:rPr>
        <w:t>. Par contre, les mineurs qui le demandent sont directement consultés par un médecin. Les consultations avec des médecins spécialistes seraient également accessibles pour tous les détenus, avec une prise en charge financière totale. En parallèle de la présence d’un médecin 5 jours par semaine, l’infirmerie serait présente 24/24h et 7/7j. Une offre de prise en charge psychiatrique serait également proposée. La CCDH salue la prise en charge médicale proposée aux détenus et invite le gouvernement à mettre davantage l’accent sur le volet psychologique et psychiatrique en vue de proposer une offre satisfaisante tant au niveau de la prise en charge médicale, que de l’infrastructure, qui soit accessible et régulièrement disponible pour les personnes concernées.</w:t>
      </w:r>
    </w:p>
    <w:p w14:paraId="039B12D5" w14:textId="0F5DBC59"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Toutefois, la CCDH invite </w:t>
      </w:r>
      <w:r w:rsidR="00077BB5">
        <w:rPr>
          <w:rFonts w:ascii="Arial" w:hAnsi="Arial" w:cs="Arial"/>
          <w:sz w:val="24"/>
          <w:szCs w:val="24"/>
          <w:lang w:val="fr-FR"/>
        </w:rPr>
        <w:t xml:space="preserve">en outre </w:t>
      </w:r>
      <w:r w:rsidRPr="0086220F">
        <w:rPr>
          <w:rFonts w:ascii="Arial" w:hAnsi="Arial" w:cs="Arial"/>
          <w:sz w:val="24"/>
          <w:szCs w:val="24"/>
          <w:lang w:val="fr-FR"/>
        </w:rPr>
        <w:t xml:space="preserve">le gouvernement à prendre des mesures pour éviter une potentielle rupture de soins à la sortie de prison, notamment par une collaboration avec des services à même de continuer les soins des ex-détenus ou une prise en charge financière des soins et médicaments pendant une période adéquate à la sortie de prison. </w:t>
      </w:r>
    </w:p>
    <w:p w14:paraId="6F2E2BB3" w14:textId="77777777" w:rsidR="00FE5C16" w:rsidRPr="0086220F" w:rsidRDefault="00E45E41" w:rsidP="00312889">
      <w:pPr>
        <w:pStyle w:val="Heading2"/>
        <w:numPr>
          <w:ilvl w:val="0"/>
          <w:numId w:val="0"/>
        </w:numPr>
        <w:ind w:left="360"/>
      </w:pPr>
      <w:bookmarkStart w:id="22" w:name="_Toc129876606"/>
      <w:r>
        <w:t xml:space="preserve">AB. </w:t>
      </w:r>
      <w:r w:rsidR="00FE5C16" w:rsidRPr="0086220F">
        <w:t>Réponse à la question posée au paragraphe 11(c)</w:t>
      </w:r>
      <w:bookmarkEnd w:id="22"/>
    </w:p>
    <w:p w14:paraId="594F6651" w14:textId="5FD9806F"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Le</w:t>
      </w:r>
      <w:r w:rsidR="0099726A">
        <w:rPr>
          <w:rFonts w:ascii="Arial" w:hAnsi="Arial" w:cs="Arial"/>
          <w:sz w:val="24"/>
          <w:szCs w:val="24"/>
          <w:lang w:val="fr-FR"/>
        </w:rPr>
        <w:t xml:space="preserve"> </w:t>
      </w:r>
      <w:hyperlink r:id="rId43" w:history="1">
        <w:r w:rsidR="0099726A" w:rsidRPr="008547F1">
          <w:rPr>
            <w:rStyle w:val="Hyperlink"/>
            <w:rFonts w:ascii="Arial" w:hAnsi="Arial" w:cs="Arial"/>
            <w:sz w:val="24"/>
            <w:szCs w:val="24"/>
            <w:lang w:val="fr-FR"/>
          </w:rPr>
          <w:t>projet de règlement</w:t>
        </w:r>
      </w:hyperlink>
      <w:r w:rsidRPr="0086220F">
        <w:rPr>
          <w:rFonts w:ascii="Arial" w:hAnsi="Arial" w:cs="Arial"/>
          <w:sz w:val="24"/>
          <w:szCs w:val="24"/>
          <w:lang w:val="fr-FR"/>
        </w:rPr>
        <w:t xml:space="preserve">  relatif au centre pénitentiaire pour adultes prévoit un examen médical dans les 24h de l’admission du détenu. </w:t>
      </w:r>
      <w:r>
        <w:fldChar w:fldCharType="begin"/>
      </w:r>
      <w:r w:rsidRPr="00B55762">
        <w:rPr>
          <w:lang w:val="fr-LU"/>
          <w:rPrChange w:id="23" w:author="Gilbert Pregno" w:date="2023-03-18T06:20:00Z">
            <w:rPr/>
          </w:rPrChange>
        </w:rPr>
        <w:instrText>HYPERLINK "https://data.legilux.public.lu/filestore/eli/etat/projet/pr/20220032/doc/1/fr/1/pdf/manifestation/eli-etat-projet-pr-20220032-doc-1-fr-1-pdf-manifestation.pdf"</w:instrText>
      </w:r>
      <w:r>
        <w:fldChar w:fldCharType="separate"/>
      </w:r>
      <w:r w:rsidRPr="008547F1">
        <w:rPr>
          <w:rStyle w:val="Hyperlink"/>
          <w:rFonts w:ascii="Arial" w:hAnsi="Arial" w:cs="Arial"/>
          <w:sz w:val="24"/>
          <w:szCs w:val="24"/>
          <w:lang w:val="fr-FR"/>
        </w:rPr>
        <w:t>Celui</w:t>
      </w:r>
      <w:r>
        <w:rPr>
          <w:rStyle w:val="Hyperlink"/>
          <w:rFonts w:ascii="Arial" w:hAnsi="Arial" w:cs="Arial"/>
          <w:sz w:val="24"/>
          <w:szCs w:val="24"/>
          <w:lang w:val="fr-FR"/>
        </w:rPr>
        <w:fldChar w:fldCharType="end"/>
      </w:r>
      <w:r w:rsidRPr="0086220F">
        <w:rPr>
          <w:rFonts w:ascii="Arial" w:hAnsi="Arial" w:cs="Arial"/>
          <w:sz w:val="24"/>
          <w:szCs w:val="24"/>
          <w:lang w:val="fr-FR"/>
        </w:rPr>
        <w:t xml:space="preserve"> relatif au centre pénitentiaire pour mineurs prévoit cet examen « sans délai » (art. 7). Aux yeux de la CCDH, il aurait été judicieux de prévoir un examen médical sans délai </w:t>
      </w:r>
      <w:r w:rsidR="008D7869">
        <w:rPr>
          <w:rFonts w:ascii="Arial" w:hAnsi="Arial" w:cs="Arial"/>
          <w:sz w:val="24"/>
          <w:szCs w:val="24"/>
          <w:lang w:val="fr-FR"/>
        </w:rPr>
        <w:t>également pour les adultes.</w:t>
      </w:r>
      <w:r w:rsidRPr="0086220F">
        <w:rPr>
          <w:rFonts w:ascii="Arial" w:hAnsi="Arial" w:cs="Arial"/>
          <w:sz w:val="24"/>
          <w:szCs w:val="24"/>
          <w:lang w:val="fr-FR"/>
        </w:rPr>
        <w:t xml:space="preserve"> </w:t>
      </w:r>
    </w:p>
    <w:p w14:paraId="561507AB"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Le paragraphe 2 de l’article 7 </w:t>
      </w:r>
      <w:r w:rsidR="008547F1">
        <w:rPr>
          <w:rFonts w:ascii="Arial" w:hAnsi="Arial" w:cs="Arial"/>
          <w:sz w:val="24"/>
          <w:szCs w:val="24"/>
          <w:lang w:val="fr-FR"/>
        </w:rPr>
        <w:t xml:space="preserve">du règlement grand-ducal relatif au centre pénitentiaire pour mineurs </w:t>
      </w:r>
      <w:r w:rsidRPr="0086220F">
        <w:rPr>
          <w:rFonts w:ascii="Arial" w:hAnsi="Arial" w:cs="Arial"/>
          <w:sz w:val="24"/>
          <w:szCs w:val="24"/>
          <w:lang w:val="fr-FR"/>
        </w:rPr>
        <w:t>prévoit en outre qu’il doit être procédé à la documentation écrite de toute blessure visible lors de l’admission, accompagnée d’une photo en cas de consentement du détenu. Or, à travers la lecture du commentaire de l’article, il apparaît que le but est uniquement d’« </w:t>
      </w:r>
      <w:r w:rsidRPr="0086220F">
        <w:rPr>
          <w:rFonts w:ascii="Arial" w:hAnsi="Arial" w:cs="Arial"/>
          <w:i/>
          <w:sz w:val="24"/>
          <w:szCs w:val="24"/>
          <w:lang w:val="fr-FR"/>
        </w:rPr>
        <w:t>éviter toutes discussions ultérieures relatives à la question de savoir si une blessure existait déjà au moment de l'admission du détenu en prison ou, au contraire, lui a été infligée pendant son séjour</w:t>
      </w:r>
      <w:r w:rsidRPr="0086220F">
        <w:rPr>
          <w:rFonts w:ascii="Arial" w:hAnsi="Arial" w:cs="Arial"/>
          <w:sz w:val="24"/>
          <w:szCs w:val="24"/>
          <w:lang w:val="fr-FR"/>
        </w:rPr>
        <w:t xml:space="preserve"> ». </w:t>
      </w:r>
    </w:p>
    <w:p w14:paraId="7FD40794" w14:textId="77777777" w:rsidR="00FE5C16" w:rsidRPr="0086220F" w:rsidRDefault="00E45E41" w:rsidP="00312889">
      <w:pPr>
        <w:pStyle w:val="Heading2"/>
        <w:numPr>
          <w:ilvl w:val="0"/>
          <w:numId w:val="0"/>
        </w:numPr>
        <w:ind w:left="720" w:hanging="360"/>
      </w:pPr>
      <w:bookmarkStart w:id="24" w:name="_Toc129876607"/>
      <w:r>
        <w:t xml:space="preserve">AC. </w:t>
      </w:r>
      <w:r w:rsidR="00FE5C16" w:rsidRPr="0086220F">
        <w:t>Réponse à la question posée au paragraphe 12</w:t>
      </w:r>
      <w:bookmarkEnd w:id="24"/>
    </w:p>
    <w:p w14:paraId="0433BE84"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D’une manière générale, la CCDH souhaiterait attirer l’attention du Comité sur quelques points importants en lien avec la procédure disciplinaire dans les Centres pénitentiaires. </w:t>
      </w:r>
    </w:p>
    <w:p w14:paraId="50208A45"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L’article 32 de la loi du 20 juillet 2018 relative à l’administration pénitentiaire définit le cadre des sanctions disciplinaires, le paragraphe 2 étant lié aux actes susceptibles de faire l’objet d’une sanction disciplinaire, et le paragraphe 3 listant les différentes sanctions pouvant être prononcées. Or, aucune mention n’est faite au sujet de la sanction applicable en réponse à un acte déterminé, ou encore des conséquences encourues dans des cas tels que la récidive par exemple (sauf pour mentionner qu’elle sera prise en compte dans la détermination de la sanction). De plus, les sanctions sont cumulatives, sans détermination d’une certaine limite. La CCDH a ainsi eu l’occasion dans son </w:t>
      </w:r>
      <w:r>
        <w:fldChar w:fldCharType="begin"/>
      </w:r>
      <w:r w:rsidRPr="00B55762">
        <w:rPr>
          <w:lang w:val="fr-LU"/>
          <w:rPrChange w:id="25" w:author="Gilbert Pregno" w:date="2023-03-18T06:20:00Z">
            <w:rPr/>
          </w:rPrChange>
        </w:rPr>
        <w:instrText>HYPERLINK "https://ccdh.public.lu/dam-assets/dossiers_th%C3%A9matiques/prison/avis/2022/avis-sur-le-projet-de-rglement-grand-ducal-portant-organisation-des-rgimes-internes-des-centres-pnitentiaires-2-le-projet-de-rglement-grand-ducal-portant-organisation-des-rgimes-de-dtention-pnale-pour-mineurs.pdf"</w:instrText>
      </w:r>
      <w:r>
        <w:fldChar w:fldCharType="separate"/>
      </w:r>
      <w:r w:rsidRPr="0086220F">
        <w:rPr>
          <w:rStyle w:val="Hyperlink"/>
          <w:rFonts w:ascii="Arial" w:hAnsi="Arial" w:cs="Arial"/>
          <w:sz w:val="24"/>
          <w:szCs w:val="24"/>
          <w:lang w:val="fr-FR"/>
        </w:rPr>
        <w:t>avis 11/2022</w:t>
      </w:r>
      <w:r>
        <w:rPr>
          <w:rStyle w:val="Hyperlink"/>
          <w:rFonts w:ascii="Arial" w:hAnsi="Arial" w:cs="Arial"/>
          <w:sz w:val="24"/>
          <w:szCs w:val="24"/>
          <w:lang w:val="fr-FR"/>
        </w:rPr>
        <w:fldChar w:fldCharType="end"/>
      </w:r>
      <w:r w:rsidRPr="0086220F">
        <w:rPr>
          <w:rFonts w:ascii="Arial" w:hAnsi="Arial" w:cs="Arial"/>
          <w:sz w:val="24"/>
          <w:szCs w:val="24"/>
          <w:lang w:val="fr-FR"/>
        </w:rPr>
        <w:t xml:space="preserve"> de plaider en faveur de l’instauration d’une échelle des sanctions permettant, d’une part, une plus grande transparence et une mise à l’écart de l’arbitraire, et d’autre part, une prévisibilité de la sanction pour les détenus. Elle répondrait ainsi au principe essentiel de légalité et de prévisibilité des peines et aux exigences en termes de proportionnalité permettant de ne pas mener à une violation de l’article 3 de la CEDH relatif à l’interdiction de la torture (CourEDH, </w:t>
      </w:r>
      <w:r>
        <w:fldChar w:fldCharType="begin"/>
      </w:r>
      <w:r w:rsidRPr="00B55762">
        <w:rPr>
          <w:lang w:val="fr-LU"/>
          <w:rPrChange w:id="26" w:author="Gilbert Pregno" w:date="2023-03-18T06:20:00Z">
            <w:rPr/>
          </w:rPrChange>
        </w:rPr>
        <w:instrText>HYPERLINK "https://hudoc.echr.coe.int/fre" \l "{%22itemid%22:[%22001-90941%22]}"</w:instrText>
      </w:r>
      <w:r>
        <w:fldChar w:fldCharType="separate"/>
      </w:r>
      <w:r w:rsidRPr="0086220F">
        <w:rPr>
          <w:rStyle w:val="Hyperlink"/>
          <w:rFonts w:ascii="Arial" w:hAnsi="Arial" w:cs="Arial"/>
          <w:sz w:val="24"/>
          <w:szCs w:val="24"/>
          <w:lang w:val="fr-FR"/>
        </w:rPr>
        <w:t>arrêt Ramishvili et Kokhreidze c. Géorgie</w:t>
      </w:r>
      <w:r>
        <w:rPr>
          <w:rStyle w:val="Hyperlink"/>
          <w:rFonts w:ascii="Arial" w:hAnsi="Arial" w:cs="Arial"/>
          <w:sz w:val="24"/>
          <w:szCs w:val="24"/>
          <w:lang w:val="fr-FR"/>
        </w:rPr>
        <w:fldChar w:fldCharType="end"/>
      </w:r>
      <w:r w:rsidRPr="0086220F">
        <w:rPr>
          <w:rFonts w:ascii="Arial" w:hAnsi="Arial" w:cs="Arial"/>
          <w:sz w:val="24"/>
          <w:szCs w:val="24"/>
          <w:lang w:val="fr-FR"/>
        </w:rPr>
        <w:t xml:space="preserve">, paras. 82-83). </w:t>
      </w:r>
    </w:p>
    <w:p w14:paraId="0B655B60"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Une autre question qui mérite d’être abordée est celle de la composition de la commission de discipline. L’article 56 du </w:t>
      </w:r>
      <w:r>
        <w:fldChar w:fldCharType="begin"/>
      </w:r>
      <w:r w:rsidRPr="00B55762">
        <w:rPr>
          <w:lang w:val="fr-LU"/>
          <w:rPrChange w:id="27" w:author="Gilbert Pregno" w:date="2023-03-18T06:20:00Z">
            <w:rPr/>
          </w:rPrChange>
        </w:rPr>
        <w:instrText>HYPERLINK "https://data.legilux.public.lu/filestore/eli/etat/projet/pr/20160233/doc/1/fr/1/pdf/manifestation/eli-etat-projet-pr-20160233-doc-1-fr-1-pdf-manifestation.pdf"</w:instrText>
      </w:r>
      <w:r>
        <w:fldChar w:fldCharType="separate"/>
      </w:r>
      <w:r w:rsidRPr="003C23B5">
        <w:rPr>
          <w:rStyle w:val="Hyperlink"/>
          <w:rFonts w:ascii="Arial" w:hAnsi="Arial" w:cs="Arial"/>
          <w:sz w:val="24"/>
          <w:szCs w:val="24"/>
          <w:lang w:val="fr-FR"/>
        </w:rPr>
        <w:t>projet de règlement grand-ducal relatif à l’organisation des centres pénitentiaires</w:t>
      </w:r>
      <w:r>
        <w:rPr>
          <w:rStyle w:val="Hyperlink"/>
          <w:rFonts w:ascii="Arial" w:hAnsi="Arial" w:cs="Arial"/>
          <w:sz w:val="24"/>
          <w:szCs w:val="24"/>
          <w:lang w:val="fr-FR"/>
        </w:rPr>
        <w:fldChar w:fldCharType="end"/>
      </w:r>
      <w:r w:rsidRPr="0086220F">
        <w:rPr>
          <w:rFonts w:ascii="Arial" w:hAnsi="Arial" w:cs="Arial"/>
          <w:sz w:val="24"/>
          <w:szCs w:val="24"/>
          <w:lang w:val="fr-FR"/>
        </w:rPr>
        <w:t xml:space="preserve"> prévoit que celle-ci est composée du directeur du centre pénitentiaire ou son délégué, qui « </w:t>
      </w:r>
      <w:r w:rsidRPr="0086220F">
        <w:rPr>
          <w:rFonts w:ascii="Arial" w:hAnsi="Arial" w:cs="Arial"/>
          <w:i/>
          <w:sz w:val="24"/>
          <w:szCs w:val="24"/>
          <w:lang w:val="fr-FR"/>
        </w:rPr>
        <w:t>peut, s’il l’estime utile</w:t>
      </w:r>
      <w:r w:rsidRPr="0086220F">
        <w:rPr>
          <w:rFonts w:ascii="Arial" w:hAnsi="Arial" w:cs="Arial"/>
          <w:sz w:val="24"/>
          <w:szCs w:val="24"/>
          <w:lang w:val="fr-FR"/>
        </w:rPr>
        <w:t> » se faire assister par un secrétaire et/ou un agent pénitentiaire. Qu’en est-il alors des exigences de pluralité et de pluridisciplinarité dans cette composition, afin de veiller à des procédures qui aient un intérêt réel pour la réhabilitation et qui prennent en compte la situation individuelle particulière du détenu ?</w:t>
      </w:r>
    </w:p>
    <w:p w14:paraId="4A6F3157" w14:textId="77777777" w:rsidR="00FE5C16" w:rsidRPr="00E45E41" w:rsidRDefault="00E45E41" w:rsidP="00312889">
      <w:pPr>
        <w:jc w:val="both"/>
        <w:rPr>
          <w:rFonts w:ascii="Arial" w:hAnsi="Arial" w:cs="Arial"/>
          <w:sz w:val="24"/>
          <w:szCs w:val="24"/>
          <w:u w:val="single"/>
          <w:lang w:val="fr-FR"/>
        </w:rPr>
      </w:pPr>
      <w:r w:rsidRPr="00E45E41">
        <w:rPr>
          <w:rFonts w:ascii="Arial" w:hAnsi="Arial" w:cs="Arial"/>
          <w:sz w:val="24"/>
          <w:szCs w:val="24"/>
          <w:u w:val="single"/>
          <w:lang w:val="fr-FR"/>
        </w:rPr>
        <w:t>Réponse à la question posée au p</w:t>
      </w:r>
      <w:r w:rsidR="00FE5C16" w:rsidRPr="00E45E41">
        <w:rPr>
          <w:rFonts w:ascii="Arial" w:hAnsi="Arial" w:cs="Arial"/>
          <w:sz w:val="24"/>
          <w:szCs w:val="24"/>
          <w:u w:val="single"/>
          <w:lang w:val="fr-FR"/>
        </w:rPr>
        <w:t>aragraphe 12(a)</w:t>
      </w:r>
      <w:r>
        <w:rPr>
          <w:rFonts w:ascii="Arial" w:hAnsi="Arial" w:cs="Arial"/>
          <w:sz w:val="24"/>
          <w:szCs w:val="24"/>
          <w:u w:val="single"/>
          <w:lang w:val="fr-FR"/>
        </w:rPr>
        <w:t> :</w:t>
      </w:r>
      <w:r w:rsidR="00FE5C16" w:rsidRPr="00E45E41">
        <w:rPr>
          <w:rFonts w:ascii="Arial" w:hAnsi="Arial" w:cs="Arial"/>
          <w:sz w:val="24"/>
          <w:szCs w:val="24"/>
          <w:u w:val="single"/>
          <w:lang w:val="fr-FR"/>
        </w:rPr>
        <w:t xml:space="preserve"> </w:t>
      </w:r>
    </w:p>
    <w:p w14:paraId="26C4AAAD" w14:textId="005BE5B9"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Concernant </w:t>
      </w:r>
      <w:r w:rsidRPr="0086220F">
        <w:rPr>
          <w:rFonts w:ascii="Arial" w:hAnsi="Arial" w:cs="Arial"/>
          <w:b/>
          <w:sz w:val="24"/>
          <w:szCs w:val="24"/>
          <w:lang w:val="fr-FR"/>
        </w:rPr>
        <w:t>l’isolement disciplinaire dans les centres pénitentiaires,</w:t>
      </w:r>
      <w:r w:rsidRPr="0086220F">
        <w:rPr>
          <w:rFonts w:ascii="Arial" w:hAnsi="Arial" w:cs="Arial"/>
          <w:sz w:val="24"/>
          <w:szCs w:val="24"/>
          <w:lang w:val="fr-FR"/>
        </w:rPr>
        <w:t xml:space="preserve"> prévu à l’art. 32, para. 4 de la loi de 2018 relatif à l’administration pénitentiaire, il peut être décidé pour une durée maximale de 14 jours. Il entraîne une privation de certains droits, notamment de travail, des avantages ou des activités en commun, mais un maintien du droit de visite, de correspondance, de lecture et de promenade effectuée seule. Or, comme évoqué ci-dessus, la procédure disciplinaire n’étant pas strictement encadrée, les critères pour l’application de cette sanction à un détenu ne sont pas suffisamment clairs. En tout état de cause, il ne ressort pas clairement de la loi qu’il s’agit d’une mesure de dernier ressort, bien que la loi indique cette mesure, entre autres, comme étant une « </w:t>
      </w:r>
      <w:r w:rsidRPr="0086220F">
        <w:rPr>
          <w:rFonts w:ascii="Arial" w:hAnsi="Arial" w:cs="Arial"/>
          <w:i/>
          <w:sz w:val="24"/>
          <w:szCs w:val="24"/>
          <w:lang w:val="fr-FR"/>
        </w:rPr>
        <w:t>sanction plus sévère</w:t>
      </w:r>
      <w:r w:rsidRPr="0086220F">
        <w:rPr>
          <w:rFonts w:ascii="Arial" w:hAnsi="Arial" w:cs="Arial"/>
          <w:sz w:val="24"/>
          <w:szCs w:val="24"/>
          <w:lang w:val="fr-FR"/>
        </w:rPr>
        <w:t xml:space="preserve"> » (cf. art. 33, para. 5 de la loi de 2018). </w:t>
      </w:r>
    </w:p>
    <w:p w14:paraId="61D4810B" w14:textId="56A3D4D3"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Une des problématiques est liée au fait que la sanction disciplinaire peut, selon la loi, consister en une limitation des « avantages », et que le projet de règlement grand-ducal indique que l’utilisation du téléphone correspond à un tel « avantage ». Cela signifie qu’elle peut être retirée pour raisons dis</w:t>
      </w:r>
      <w:r w:rsidR="008D7869">
        <w:rPr>
          <w:rFonts w:ascii="Arial" w:hAnsi="Arial" w:cs="Arial"/>
          <w:sz w:val="24"/>
          <w:szCs w:val="24"/>
          <w:lang w:val="fr-FR"/>
        </w:rPr>
        <w:t>ciplinaires (art. 97, para. 2</w:t>
      </w:r>
      <w:r w:rsidRPr="0086220F">
        <w:rPr>
          <w:rFonts w:ascii="Arial" w:hAnsi="Arial" w:cs="Arial"/>
          <w:sz w:val="24"/>
          <w:szCs w:val="24"/>
          <w:lang w:val="fr-FR"/>
        </w:rPr>
        <w:t xml:space="preserve"> </w:t>
      </w:r>
      <w:r w:rsidR="008D7869" w:rsidRPr="0086220F">
        <w:rPr>
          <w:rFonts w:ascii="Arial" w:hAnsi="Arial" w:cs="Arial"/>
          <w:sz w:val="24"/>
          <w:szCs w:val="24"/>
          <w:lang w:val="fr-FR"/>
        </w:rPr>
        <w:t xml:space="preserve">du </w:t>
      </w:r>
      <w:hyperlink r:id="rId44" w:history="1">
        <w:r w:rsidR="00400134" w:rsidRPr="0086220F">
          <w:rPr>
            <w:rStyle w:val="Hyperlink"/>
            <w:rFonts w:ascii="Arial" w:hAnsi="Arial" w:cs="Arial"/>
            <w:sz w:val="24"/>
            <w:szCs w:val="24"/>
            <w:lang w:val="fr-FR"/>
          </w:rPr>
          <w:t>projet de règlement grand-ducal</w:t>
        </w:r>
      </w:hyperlink>
      <w:r w:rsidR="00400134">
        <w:rPr>
          <w:rStyle w:val="Hyperlink"/>
          <w:rFonts w:ascii="Arial" w:hAnsi="Arial" w:cs="Arial"/>
          <w:sz w:val="24"/>
          <w:szCs w:val="24"/>
          <w:lang w:val="fr-FR"/>
        </w:rPr>
        <w:t xml:space="preserve"> </w:t>
      </w:r>
      <w:r w:rsidRPr="0086220F">
        <w:rPr>
          <w:rFonts w:ascii="Arial" w:hAnsi="Arial" w:cs="Arial"/>
          <w:sz w:val="24"/>
          <w:szCs w:val="24"/>
          <w:lang w:val="fr-FR"/>
        </w:rPr>
        <w:t xml:space="preserve">. La CCDH plaide pour que l’utilisation du téléphone ne soit en aucun cas considéré comme un </w:t>
      </w:r>
      <w:r w:rsidR="007E7231">
        <w:rPr>
          <w:rFonts w:ascii="Arial" w:hAnsi="Arial" w:cs="Arial"/>
          <w:sz w:val="24"/>
          <w:szCs w:val="24"/>
          <w:lang w:val="fr-FR"/>
        </w:rPr>
        <w:t>« </w:t>
      </w:r>
      <w:r w:rsidRPr="0086220F">
        <w:rPr>
          <w:rFonts w:ascii="Arial" w:hAnsi="Arial" w:cs="Arial"/>
          <w:sz w:val="24"/>
          <w:szCs w:val="24"/>
          <w:lang w:val="fr-FR"/>
        </w:rPr>
        <w:t>avantage</w:t>
      </w:r>
      <w:r w:rsidR="007E7231">
        <w:rPr>
          <w:rFonts w:ascii="Arial" w:hAnsi="Arial" w:cs="Arial"/>
          <w:sz w:val="24"/>
          <w:szCs w:val="24"/>
          <w:lang w:val="fr-FR"/>
        </w:rPr>
        <w:t> »</w:t>
      </w:r>
      <w:r w:rsidRPr="0086220F">
        <w:rPr>
          <w:rFonts w:ascii="Arial" w:hAnsi="Arial" w:cs="Arial"/>
          <w:sz w:val="24"/>
          <w:szCs w:val="24"/>
          <w:lang w:val="fr-FR"/>
        </w:rPr>
        <w:t xml:space="preserve">, afin que tout détenu puisse garder contact avec ses proches. </w:t>
      </w:r>
    </w:p>
    <w:p w14:paraId="306766CD"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Quant au contrôle de l’état de santé du détenu, l’article 35 du projet de règlement grand-ducal prévoit une visite médicale pour les détenus faisant l’objet d’un isolement disciplinaire avant l’exécution de la mesure et ensuite « </w:t>
      </w:r>
      <w:r w:rsidRPr="0086220F">
        <w:rPr>
          <w:rFonts w:ascii="Arial" w:hAnsi="Arial" w:cs="Arial"/>
          <w:i/>
          <w:sz w:val="24"/>
          <w:szCs w:val="24"/>
          <w:lang w:val="fr-FR"/>
        </w:rPr>
        <w:t>au moins une fois par semaine pendant l’exécution de cette mesure</w:t>
      </w:r>
      <w:r w:rsidRPr="0086220F">
        <w:rPr>
          <w:rFonts w:ascii="Arial" w:hAnsi="Arial" w:cs="Arial"/>
          <w:sz w:val="24"/>
          <w:szCs w:val="24"/>
          <w:lang w:val="fr-FR"/>
        </w:rPr>
        <w:t xml:space="preserve"> ». </w:t>
      </w:r>
    </w:p>
    <w:p w14:paraId="09DF9E38" w14:textId="5133D3EE"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Enfin, en ce qui concerne </w:t>
      </w:r>
      <w:r w:rsidRPr="0086220F">
        <w:rPr>
          <w:rFonts w:ascii="Arial" w:hAnsi="Arial" w:cs="Arial"/>
          <w:b/>
          <w:sz w:val="24"/>
          <w:szCs w:val="24"/>
          <w:lang w:val="fr-FR"/>
        </w:rPr>
        <w:t>l’isolement disciplinaire des mineurs</w:t>
      </w:r>
      <w:r w:rsidRPr="0086220F">
        <w:rPr>
          <w:rFonts w:ascii="Arial" w:hAnsi="Arial" w:cs="Arial"/>
          <w:sz w:val="24"/>
          <w:szCs w:val="24"/>
          <w:lang w:val="fr-FR"/>
        </w:rPr>
        <w:t xml:space="preserve">, la CCDH souhaiterait faire part de l’évolution récente de la situation, de nombreuses règles internationales encadrant de manière stricte la possibilité de placement à l’isolement de mineurs. </w:t>
      </w:r>
      <w:r w:rsidR="00400134">
        <w:rPr>
          <w:rFonts w:ascii="Arial" w:hAnsi="Arial" w:cs="Arial"/>
          <w:sz w:val="24"/>
          <w:szCs w:val="24"/>
          <w:lang w:val="fr-FR"/>
        </w:rPr>
        <w:t xml:space="preserve">Dans ce contexte, </w:t>
      </w:r>
      <w:r w:rsidR="007E7231">
        <w:rPr>
          <w:rFonts w:ascii="Arial" w:hAnsi="Arial" w:cs="Arial"/>
          <w:sz w:val="24"/>
          <w:szCs w:val="24"/>
          <w:lang w:val="fr-FR"/>
        </w:rPr>
        <w:t>nous rappelons</w:t>
      </w:r>
      <w:r w:rsidRPr="0086220F">
        <w:rPr>
          <w:rFonts w:ascii="Arial" w:hAnsi="Arial" w:cs="Arial"/>
          <w:sz w:val="24"/>
          <w:szCs w:val="24"/>
          <w:lang w:val="fr-FR"/>
        </w:rPr>
        <w:t xml:space="preserve"> que l’ancienne Unité de sécurité (UNISEC) qui était rattachée au Centre socio-éducatif de l’Etat (CSEE) deviendra le nouveau centre pénitentiaire pour mineurs et sera rattaché à l’administration pénitentiaire et que les mineurs ne pourront plus être placés dans un centre pénitentiaire pour adultes.</w:t>
      </w:r>
    </w:p>
    <w:p w14:paraId="62C5725B"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Actuellement, l’article 32 de la loi de 2018 relative à l’administration pénitentiaire prévoit la possibilité de confinement des détenus en cellule individuelle pour raisons disciplinaires, mais sans que cela ne puisse être appliqué aux mineurs. Or, le </w:t>
      </w:r>
      <w:r>
        <w:fldChar w:fldCharType="begin"/>
      </w:r>
      <w:r w:rsidRPr="00B55762">
        <w:rPr>
          <w:lang w:val="fr-LU"/>
          <w:rPrChange w:id="28" w:author="Gilbert Pregno" w:date="2023-03-18T06:20:00Z">
            <w:rPr/>
          </w:rPrChange>
        </w:rPr>
        <w:instrText>HYPERLINK "https://wdocs-pub.chd.lu/docs/exped/0130/017/260179.pdf"</w:instrText>
      </w:r>
      <w:r>
        <w:fldChar w:fldCharType="separate"/>
      </w:r>
      <w:r w:rsidRPr="0086220F">
        <w:rPr>
          <w:rStyle w:val="Hyperlink"/>
          <w:rFonts w:ascii="Arial" w:hAnsi="Arial" w:cs="Arial"/>
          <w:sz w:val="24"/>
          <w:szCs w:val="24"/>
          <w:lang w:val="fr-FR"/>
        </w:rPr>
        <w:t>projet de loi n°7991 relatif au droit pénal pour mineurs</w:t>
      </w:r>
      <w:r>
        <w:rPr>
          <w:rStyle w:val="Hyperlink"/>
          <w:rFonts w:ascii="Arial" w:hAnsi="Arial" w:cs="Arial"/>
          <w:sz w:val="24"/>
          <w:szCs w:val="24"/>
          <w:lang w:val="fr-FR"/>
        </w:rPr>
        <w:fldChar w:fldCharType="end"/>
      </w:r>
      <w:r w:rsidRPr="0086220F">
        <w:rPr>
          <w:rFonts w:ascii="Arial" w:hAnsi="Arial" w:cs="Arial"/>
          <w:sz w:val="24"/>
          <w:szCs w:val="24"/>
          <w:lang w:val="fr-FR"/>
        </w:rPr>
        <w:t xml:space="preserve"> prévoit une modification de cette loi afin de permettre le confinement en cellule individuelle des mineurs pour une durée maximale de 6 heures. </w:t>
      </w:r>
    </w:p>
    <w:p w14:paraId="4BC0E6BF"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Contrairement à la loi relative à l’administration pénitentiaire, l’article 9 de la </w:t>
      </w:r>
      <w:r>
        <w:fldChar w:fldCharType="begin"/>
      </w:r>
      <w:r w:rsidRPr="00B55762">
        <w:rPr>
          <w:lang w:val="fr-LU"/>
          <w:rPrChange w:id="29" w:author="Gilbert Pregno" w:date="2023-03-18T06:20:00Z">
            <w:rPr/>
          </w:rPrChange>
        </w:rPr>
        <w:instrText>HYPERLINK "https://legilux.public.lu/eli/etat/leg/loi/2017/08/29/a816/jo"</w:instrText>
      </w:r>
      <w:r>
        <w:fldChar w:fldCharType="separate"/>
      </w:r>
      <w:r w:rsidRPr="0086220F">
        <w:rPr>
          <w:rStyle w:val="Hyperlink"/>
          <w:rFonts w:ascii="Arial" w:hAnsi="Arial" w:cs="Arial"/>
          <w:sz w:val="24"/>
          <w:szCs w:val="24"/>
          <w:lang w:val="fr-FR"/>
        </w:rPr>
        <w:t>loi relative au CSEE</w:t>
      </w:r>
      <w:r>
        <w:rPr>
          <w:rStyle w:val="Hyperlink"/>
          <w:rFonts w:ascii="Arial" w:hAnsi="Arial" w:cs="Arial"/>
          <w:sz w:val="24"/>
          <w:szCs w:val="24"/>
          <w:lang w:val="fr-FR"/>
        </w:rPr>
        <w:fldChar w:fldCharType="end"/>
      </w:r>
      <w:r w:rsidRPr="0086220F">
        <w:rPr>
          <w:rFonts w:ascii="Arial" w:hAnsi="Arial" w:cs="Arial"/>
          <w:sz w:val="24"/>
          <w:szCs w:val="24"/>
          <w:lang w:val="fr-FR"/>
        </w:rPr>
        <w:t xml:space="preserve"> prévoit actuellement la possibilité d’un isolement en tant que sanction disciplinaire pour une durée de maximum 72h. Toutefois, dans le cadre de la réforme de la protection de la jeunesse, il est prévu de supprimer complètement la possibilité de recourir à l’isolement pour des raisons disciplinaires au sein du CSEE. </w:t>
      </w:r>
    </w:p>
    <w:p w14:paraId="4261177C" w14:textId="6D2B1B9C"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La CCDH regrette que le focus n’ait pas été placé sur des mesures ou sanctions disciplinaires alternatives à l’isolement au lieu de prévoir simplement une réduction de durée. Dans ce contexte, elle ne saurait que répéter sa position constante selon laquelle il devrait s’agir d’une mesure de dernier ressort, à laquelle le Centre pénitentiaire devrait avoir recours avec parcimonie, voire pas du tout</w:t>
      </w:r>
      <w:r w:rsidR="007E7231">
        <w:rPr>
          <w:rFonts w:ascii="Arial" w:hAnsi="Arial" w:cs="Arial"/>
          <w:sz w:val="24"/>
          <w:szCs w:val="24"/>
          <w:lang w:val="fr-FR"/>
        </w:rPr>
        <w:t>,</w:t>
      </w:r>
      <w:r w:rsidRPr="0086220F">
        <w:rPr>
          <w:rFonts w:ascii="Arial" w:hAnsi="Arial" w:cs="Arial"/>
          <w:sz w:val="24"/>
          <w:szCs w:val="24"/>
          <w:lang w:val="fr-FR"/>
        </w:rPr>
        <w:t xml:space="preserve"> en la remplaçant par des mesures éducatives davantage adaptées.</w:t>
      </w:r>
    </w:p>
    <w:p w14:paraId="21CED1AE" w14:textId="77777777" w:rsidR="00FE5C16" w:rsidRPr="0086220F" w:rsidRDefault="00E45E41" w:rsidP="00312889">
      <w:pPr>
        <w:pStyle w:val="Heading2"/>
        <w:numPr>
          <w:ilvl w:val="0"/>
          <w:numId w:val="0"/>
        </w:numPr>
        <w:ind w:left="360"/>
      </w:pPr>
      <w:bookmarkStart w:id="30" w:name="_Toc129876608"/>
      <w:r>
        <w:t xml:space="preserve">AD. </w:t>
      </w:r>
      <w:r w:rsidR="00FE5C16" w:rsidRPr="0086220F">
        <w:t>Réponse à la question posée au paragraphe 12(b)</w:t>
      </w:r>
      <w:bookmarkEnd w:id="30"/>
    </w:p>
    <w:p w14:paraId="164ECDB1" w14:textId="1885A385"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L’art. 33, paras. 5-10 de la loi de 2018 prévoit </w:t>
      </w:r>
      <w:r w:rsidRPr="0086220F">
        <w:rPr>
          <w:rFonts w:ascii="Arial" w:hAnsi="Arial" w:cs="Arial"/>
          <w:b/>
          <w:sz w:val="24"/>
          <w:szCs w:val="24"/>
          <w:lang w:val="fr-FR"/>
        </w:rPr>
        <w:t>la procédure et les droits du détenu en cas de procédure disciplinai</w:t>
      </w:r>
      <w:bookmarkStart w:id="31" w:name="art_33"/>
      <w:r w:rsidRPr="0086220F">
        <w:rPr>
          <w:rFonts w:ascii="Arial" w:hAnsi="Arial" w:cs="Arial"/>
          <w:b/>
          <w:sz w:val="24"/>
          <w:szCs w:val="24"/>
          <w:lang w:val="fr-FR"/>
        </w:rPr>
        <w:t>re</w:t>
      </w:r>
      <w:r w:rsidRPr="0086220F">
        <w:rPr>
          <w:rFonts w:ascii="Arial" w:hAnsi="Arial" w:cs="Arial"/>
          <w:sz w:val="24"/>
          <w:szCs w:val="24"/>
          <w:lang w:val="fr-FR"/>
        </w:rPr>
        <w:t xml:space="preserve">. Il y est notamment prévu la mise à disposition dans certains cas de l’intégralité du dossier disciplinaire, un délai de 24h minimum en faveur du détenu pour préparer sa défense, la déposition du détenu devant la commission de discipline, le droit d’assistance par un avocat et le cas échéant par un interprète, ainsi que le fait que le prononcé de la sanction se fait en présence du détenu. De plus, la décision qui doit être motivée lui est également notifiée par écrit, avec indication des moyens de recours. </w:t>
      </w:r>
      <w:bookmarkEnd w:id="31"/>
      <w:r w:rsidR="007E7231" w:rsidRPr="0086220F">
        <w:rPr>
          <w:rFonts w:ascii="Arial" w:hAnsi="Arial" w:cs="Arial"/>
          <w:sz w:val="24"/>
          <w:szCs w:val="24"/>
          <w:lang w:val="fr-FR"/>
        </w:rPr>
        <w:t xml:space="preserve">De plus, la décision </w:t>
      </w:r>
      <w:r w:rsidR="007E7231">
        <w:rPr>
          <w:rFonts w:ascii="Arial" w:hAnsi="Arial" w:cs="Arial"/>
          <w:sz w:val="24"/>
          <w:szCs w:val="24"/>
          <w:lang w:val="fr-FR"/>
        </w:rPr>
        <w:t>devra</w:t>
      </w:r>
      <w:r w:rsidR="007E7231" w:rsidRPr="0086220F">
        <w:rPr>
          <w:rFonts w:ascii="Arial" w:hAnsi="Arial" w:cs="Arial"/>
          <w:sz w:val="24"/>
          <w:szCs w:val="24"/>
          <w:lang w:val="fr-FR"/>
        </w:rPr>
        <w:t xml:space="preserve"> </w:t>
      </w:r>
      <w:r w:rsidR="007E7231">
        <w:rPr>
          <w:rFonts w:ascii="Arial" w:hAnsi="Arial" w:cs="Arial"/>
          <w:sz w:val="24"/>
          <w:szCs w:val="24"/>
          <w:lang w:val="fr-FR"/>
        </w:rPr>
        <w:t xml:space="preserve">être </w:t>
      </w:r>
      <w:r w:rsidR="007E7231" w:rsidRPr="0086220F">
        <w:rPr>
          <w:rFonts w:ascii="Arial" w:hAnsi="Arial" w:cs="Arial"/>
          <w:sz w:val="24"/>
          <w:szCs w:val="24"/>
          <w:lang w:val="fr-FR"/>
        </w:rPr>
        <w:t>motivée</w:t>
      </w:r>
      <w:r w:rsidR="007E7231">
        <w:rPr>
          <w:rFonts w:ascii="Arial" w:hAnsi="Arial" w:cs="Arial"/>
          <w:sz w:val="24"/>
          <w:szCs w:val="24"/>
          <w:lang w:val="fr-FR"/>
        </w:rPr>
        <w:t xml:space="preserve">, </w:t>
      </w:r>
      <w:r w:rsidR="007E7231" w:rsidRPr="0086220F">
        <w:rPr>
          <w:rFonts w:ascii="Arial" w:hAnsi="Arial" w:cs="Arial"/>
          <w:sz w:val="24"/>
          <w:szCs w:val="24"/>
          <w:lang w:val="fr-FR"/>
        </w:rPr>
        <w:t>notifiée par écrit avec indication des moyens de recours.</w:t>
      </w:r>
    </w:p>
    <w:p w14:paraId="6835ABBB" w14:textId="4EE2B2CA"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Il est toutefois à noter que l’accès à un interprète n’est prévu qu’en cas de nécessité. Vu qu’il s’agit d’une procédure qui peut avoir d’importantes conséquences sur la personne concernée, la CCDH plaide pour qu’un interprète professionnel soit toujours mis à disposition de la personne détenue dans le cadre de la procédure disciplinaire et qu’il devrait s’agir d’un droit de la personne détenue dans le cadre des droits de la défense, explicitement prévu dans la loi, au même titre que le droit de se faire assister par un avocat. Pourtant, au lieu d’ancrer le droit des détenus à un interprète dans la législation, un projet de loi récent (</w:t>
      </w:r>
      <w:hyperlink r:id="rId45" w:history="1">
        <w:r w:rsidR="0099726A" w:rsidRPr="0086220F">
          <w:rPr>
            <w:rStyle w:val="Hyperlink"/>
            <w:rFonts w:ascii="Arial" w:hAnsi="Arial" w:cs="Arial"/>
            <w:sz w:val="24"/>
            <w:szCs w:val="24"/>
            <w:lang w:val="fr-FR"/>
          </w:rPr>
          <w:t>projet de loi 7869</w:t>
        </w:r>
      </w:hyperlink>
      <w:r w:rsidRPr="0086220F">
        <w:rPr>
          <w:rFonts w:ascii="Arial" w:hAnsi="Arial" w:cs="Arial"/>
          <w:sz w:val="24"/>
          <w:szCs w:val="24"/>
          <w:lang w:val="fr-FR"/>
        </w:rPr>
        <w:t xml:space="preserve"> portant modification de la loi du 20 juillet 2018, art. 22) a introduit une procédure de renonciation à un interprète. La CCDH s’interroge sur le risque que cette renonciation puisse ne pas se baser sur le consentement libre et éclairé des personnes maîtrisant peu ou pas les langues usuelles et les droits procéduraux, ou puisse mener finalement à un non-accès aux droits. </w:t>
      </w:r>
    </w:p>
    <w:p w14:paraId="6E0A1A1E" w14:textId="77777777" w:rsidR="00FE5C16" w:rsidRPr="0086220F" w:rsidRDefault="00E45E41" w:rsidP="00312889">
      <w:pPr>
        <w:pStyle w:val="Heading2"/>
        <w:numPr>
          <w:ilvl w:val="0"/>
          <w:numId w:val="0"/>
        </w:numPr>
        <w:ind w:left="360"/>
      </w:pPr>
      <w:bookmarkStart w:id="32" w:name="_Toc129876609"/>
      <w:r>
        <w:t>AF.</w:t>
      </w:r>
      <w:r w:rsidR="0011593E">
        <w:t xml:space="preserve"> </w:t>
      </w:r>
      <w:r w:rsidR="00FE5C16" w:rsidRPr="0086220F">
        <w:t>Réponse à la question posée au paragraphe 12(d)</w:t>
      </w:r>
      <w:bookmarkEnd w:id="32"/>
    </w:p>
    <w:p w14:paraId="1498F467"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Concernant les </w:t>
      </w:r>
      <w:r w:rsidRPr="0086220F">
        <w:rPr>
          <w:rFonts w:ascii="Arial" w:hAnsi="Arial" w:cs="Arial"/>
          <w:b/>
          <w:sz w:val="24"/>
          <w:szCs w:val="24"/>
          <w:lang w:val="fr-FR"/>
        </w:rPr>
        <w:t>mécanismes de plaintes par rapport aux sanctions disciplinaires</w:t>
      </w:r>
      <w:r w:rsidRPr="0086220F">
        <w:rPr>
          <w:rFonts w:ascii="Arial" w:hAnsi="Arial" w:cs="Arial"/>
          <w:sz w:val="24"/>
          <w:szCs w:val="24"/>
          <w:lang w:val="fr-FR"/>
        </w:rPr>
        <w:t xml:space="preserve">, l’art. 34 de la loi du 20 juillet 2018 relatif à l’administration pénitentiaire prévoit les voies de recours contre les décisions disciplinaires prises par les directeurs des centres pénitentiaires. Le recours administratif se fait devant le directeur de l’administration pénitentiaire, par écrit, dans un délai de 8 jours à partir de la notification de la décision. </w:t>
      </w:r>
    </w:p>
    <w:p w14:paraId="4AE4BE80" w14:textId="3B38532B"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Dans ce dernier contexte, la CCDH regrette que les recours contre les décisions disciplinaires n’aient pas d’effet suspensif. Il convient en effet de trouver une balance entre les droits des personnes détenues et le rétablissement de l’ordre, afin de ne pas mener à une situation déséquilibrée et d’éviter que la personne détenue </w:t>
      </w:r>
      <w:r w:rsidR="007E7231">
        <w:rPr>
          <w:rFonts w:ascii="Arial" w:hAnsi="Arial" w:cs="Arial"/>
          <w:sz w:val="24"/>
          <w:szCs w:val="24"/>
          <w:lang w:val="fr-FR"/>
        </w:rPr>
        <w:t>soit soumis</w:t>
      </w:r>
      <w:r w:rsidR="00106D54">
        <w:rPr>
          <w:rFonts w:ascii="Arial" w:hAnsi="Arial" w:cs="Arial"/>
          <w:sz w:val="24"/>
          <w:szCs w:val="24"/>
          <w:lang w:val="fr-FR"/>
        </w:rPr>
        <w:t>e</w:t>
      </w:r>
      <w:r w:rsidR="007E7231">
        <w:rPr>
          <w:rFonts w:ascii="Arial" w:hAnsi="Arial" w:cs="Arial"/>
          <w:sz w:val="24"/>
          <w:szCs w:val="24"/>
          <w:lang w:val="fr-FR"/>
        </w:rPr>
        <w:t xml:space="preserve"> à</w:t>
      </w:r>
      <w:r w:rsidRPr="0086220F">
        <w:rPr>
          <w:rFonts w:ascii="Arial" w:hAnsi="Arial" w:cs="Arial"/>
          <w:sz w:val="24"/>
          <w:szCs w:val="24"/>
          <w:lang w:val="fr-FR"/>
        </w:rPr>
        <w:t xml:space="preserve"> une sanction disciplinaire qui serait annulée par la suite. Une </w:t>
      </w:r>
      <w:r>
        <w:fldChar w:fldCharType="begin"/>
      </w:r>
      <w:r w:rsidRPr="00B55762">
        <w:rPr>
          <w:lang w:val="fr-LU"/>
          <w:rPrChange w:id="33" w:author="Gilbert Pregno" w:date="2023-03-18T06:20:00Z">
            <w:rPr/>
          </w:rPrChange>
        </w:rPr>
        <w:instrText>HYPERLINK "https://www.ombudsman.lu/uploads/AV/AV02.pdf"</w:instrText>
      </w:r>
      <w:r>
        <w:fldChar w:fldCharType="separate"/>
      </w:r>
      <w:r w:rsidRPr="0086220F">
        <w:rPr>
          <w:rStyle w:val="Hyperlink"/>
          <w:rFonts w:ascii="Arial" w:hAnsi="Arial" w:cs="Arial"/>
          <w:sz w:val="24"/>
          <w:szCs w:val="24"/>
          <w:lang w:val="fr-FR"/>
        </w:rPr>
        <w:t>proposition du CELPL</w:t>
      </w:r>
      <w:r>
        <w:rPr>
          <w:rStyle w:val="Hyperlink"/>
          <w:rFonts w:ascii="Arial" w:hAnsi="Arial" w:cs="Arial"/>
          <w:sz w:val="24"/>
          <w:szCs w:val="24"/>
          <w:lang w:val="fr-FR"/>
        </w:rPr>
        <w:fldChar w:fldCharType="end"/>
      </w:r>
      <w:r w:rsidRPr="0086220F">
        <w:rPr>
          <w:rFonts w:ascii="Arial" w:hAnsi="Arial" w:cs="Arial"/>
          <w:sz w:val="24"/>
          <w:szCs w:val="24"/>
          <w:lang w:val="fr-FR"/>
        </w:rPr>
        <w:t xml:space="preserve"> à cet égard serait par exemple d’imposer des délais de recours courts et un « </w:t>
      </w:r>
      <w:r w:rsidRPr="0086220F">
        <w:rPr>
          <w:rFonts w:ascii="Arial" w:hAnsi="Arial" w:cs="Arial"/>
          <w:i/>
          <w:sz w:val="24"/>
          <w:szCs w:val="24"/>
          <w:lang w:val="fr-FR"/>
        </w:rPr>
        <w:t>délai assez bref pour la prise d’une décision de dernier ressort</w:t>
      </w:r>
      <w:r w:rsidRPr="0086220F">
        <w:rPr>
          <w:rFonts w:ascii="Arial" w:hAnsi="Arial" w:cs="Arial"/>
          <w:sz w:val="24"/>
          <w:szCs w:val="24"/>
          <w:lang w:val="fr-FR"/>
        </w:rPr>
        <w:t xml:space="preserve"> », et un délai de « </w:t>
      </w:r>
      <w:r w:rsidRPr="0086220F">
        <w:rPr>
          <w:rFonts w:ascii="Arial" w:hAnsi="Arial" w:cs="Arial"/>
          <w:i/>
          <w:sz w:val="24"/>
          <w:szCs w:val="24"/>
          <w:lang w:val="fr-FR"/>
        </w:rPr>
        <w:t>24 heures au maximum, à prolonger éventuellement pendant les fins de semaine</w:t>
      </w:r>
      <w:r w:rsidRPr="0086220F">
        <w:rPr>
          <w:rFonts w:ascii="Arial" w:hAnsi="Arial" w:cs="Arial"/>
          <w:sz w:val="24"/>
          <w:szCs w:val="24"/>
          <w:lang w:val="fr-FR"/>
        </w:rPr>
        <w:t xml:space="preserve"> » pour les recours gracieux. </w:t>
      </w:r>
    </w:p>
    <w:p w14:paraId="446D1F59"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Les décisions prises par le directeur de l’administration pénitentiaire peuvent quant à elles faire l’objet d’un recours juridictionnel devant la chambre de l’application des peines (art. 35), par écrit, également dans un délai de 8 jours à partir de la notification de la décision. </w:t>
      </w:r>
    </w:p>
    <w:p w14:paraId="295873EC"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 xml:space="preserve">Aux yeux de la CCDH, il n’est pas utile de prévoir un recours hiérarchique auprès du directeur de l’Administration pénitentiaire comme préalable obligatoire à un recours judiciaire, un recours gracieux contre une décision administrative étant de toute façon toujours possible. Une telle obligation risque de rendre l’efficacité du recours totalement illusoire. (Cf. CCDH, </w:t>
      </w:r>
      <w:r>
        <w:fldChar w:fldCharType="begin"/>
      </w:r>
      <w:r w:rsidRPr="00B55762">
        <w:rPr>
          <w:lang w:val="fr-LU"/>
          <w:rPrChange w:id="34" w:author="Gilbert Pregno" w:date="2023-03-18T06:20:00Z">
            <w:rPr/>
          </w:rPrChange>
        </w:rPr>
        <w:instrText>HYPERLINK "https://ccdh.public.lu/dam-assets/avis/2013/Avis-reforme-penitentiaire-version-finale.pdf"</w:instrText>
      </w:r>
      <w:r>
        <w:fldChar w:fldCharType="separate"/>
      </w:r>
      <w:r w:rsidRPr="0086220F">
        <w:rPr>
          <w:rStyle w:val="Hyperlink"/>
          <w:rFonts w:ascii="Arial" w:hAnsi="Arial" w:cs="Arial"/>
          <w:sz w:val="24"/>
          <w:szCs w:val="24"/>
          <w:lang w:val="fr-FR"/>
        </w:rPr>
        <w:t>avis 03/2013</w:t>
      </w:r>
      <w:r>
        <w:rPr>
          <w:rStyle w:val="Hyperlink"/>
          <w:rFonts w:ascii="Arial" w:hAnsi="Arial" w:cs="Arial"/>
          <w:sz w:val="24"/>
          <w:szCs w:val="24"/>
          <w:lang w:val="fr-FR"/>
        </w:rPr>
        <w:fldChar w:fldCharType="end"/>
      </w:r>
      <w:r w:rsidRPr="0086220F">
        <w:rPr>
          <w:rFonts w:ascii="Arial" w:hAnsi="Arial" w:cs="Arial"/>
          <w:sz w:val="24"/>
          <w:szCs w:val="24"/>
          <w:lang w:val="fr-FR"/>
        </w:rPr>
        <w:t xml:space="preserve">, pp. 6-7). </w:t>
      </w:r>
    </w:p>
    <w:p w14:paraId="4163EF5D" w14:textId="77777777" w:rsidR="00FE5C16" w:rsidRPr="0086220F" w:rsidRDefault="00FE5C16" w:rsidP="00312889">
      <w:pPr>
        <w:jc w:val="both"/>
        <w:rPr>
          <w:rFonts w:ascii="Arial" w:hAnsi="Arial" w:cs="Arial"/>
          <w:sz w:val="24"/>
          <w:szCs w:val="24"/>
          <w:lang w:val="fr-FR"/>
        </w:rPr>
      </w:pPr>
      <w:r w:rsidRPr="0086220F">
        <w:rPr>
          <w:rFonts w:ascii="Arial" w:hAnsi="Arial" w:cs="Arial"/>
          <w:sz w:val="24"/>
          <w:szCs w:val="24"/>
          <w:lang w:val="fr-FR"/>
        </w:rPr>
        <w:t>Quant aux mécanismes des plaintes de manière générale, le projet de règlement grand-ducal relatif à l’organisation des centres pénitentiaires prévoit la possibilité pour les détenus de présenter des requêtes et réclamations au directeur du centre pénitentiaire, mais également à d’autres autorités étatiques</w:t>
      </w:r>
      <w:r w:rsidR="003C23B5">
        <w:rPr>
          <w:rFonts w:ascii="Arial" w:hAnsi="Arial" w:cs="Arial"/>
          <w:sz w:val="24"/>
          <w:szCs w:val="24"/>
          <w:lang w:val="fr-FR"/>
        </w:rPr>
        <w:t>, judiciaires, de contrôle, etc.</w:t>
      </w:r>
      <w:r w:rsidRPr="0086220F">
        <w:rPr>
          <w:rFonts w:ascii="Arial" w:hAnsi="Arial" w:cs="Arial"/>
          <w:sz w:val="24"/>
          <w:szCs w:val="24"/>
          <w:lang w:val="fr-FR"/>
        </w:rPr>
        <w:t xml:space="preserve"> (articles 43-46). Or, alors que le traitement par le centre pénitentiaire doit généralement se faire dans les meilleurs délais et la décision motivée, une exception est prévue pour celles qui seraient manifestement abusives ou infondées ou qui ont déjà fait l’objet d’une décision antérieure. Aux yeux de la CCDH, ainsi que du CELPL, toutes les requêtes devraient être traitées dans un délai raisonnable et toutes les décisions motivées. Enfin, il est à souligner que le détenu dispose uniquement d’un mois après la date des faits pour déposer une requête, et qu’en cas de difficultés de rédaction de la requête, le directeur désigne une personne qui sera en charge d’aider dans la rédaction de la requête. Dans ce dernier contexte, la CCDH plaide pour que le détenu puisse obtenir l’aide de toute personne de confiance désignée par lui (cf. CCDH, </w:t>
      </w:r>
      <w:r>
        <w:fldChar w:fldCharType="begin"/>
      </w:r>
      <w:r w:rsidRPr="00B55762">
        <w:rPr>
          <w:lang w:val="fr-LU"/>
          <w:rPrChange w:id="35" w:author="Gilbert Pregno" w:date="2023-03-18T06:20:00Z">
            <w:rPr/>
          </w:rPrChange>
        </w:rPr>
        <w:instrText>HYPERLINK "https://ccdh.public.lu/dam-assets/dossiers_th%C3%A9matiques/prison/avis/2022/avis-sur-le-projet-de-rglement-grand-ducal-portant-organisation-des-rgimes-internes-des-centres-pnitentiaires-2-le-projet-de-rglement-grand-ducal-portant-organisation-des-rgimes-de-dtention-pnale-pour-mineurs.pdf"</w:instrText>
      </w:r>
      <w:r>
        <w:fldChar w:fldCharType="separate"/>
      </w:r>
      <w:r w:rsidRPr="0086220F">
        <w:rPr>
          <w:rStyle w:val="Hyperlink"/>
          <w:rFonts w:ascii="Arial" w:hAnsi="Arial" w:cs="Arial"/>
          <w:sz w:val="24"/>
          <w:szCs w:val="24"/>
          <w:lang w:val="fr-FR"/>
        </w:rPr>
        <w:t>avis 11/2022</w:t>
      </w:r>
      <w:r>
        <w:rPr>
          <w:rStyle w:val="Hyperlink"/>
          <w:rFonts w:ascii="Arial" w:hAnsi="Arial" w:cs="Arial"/>
          <w:sz w:val="24"/>
          <w:szCs w:val="24"/>
          <w:lang w:val="fr-FR"/>
        </w:rPr>
        <w:fldChar w:fldCharType="end"/>
      </w:r>
      <w:r w:rsidRPr="0086220F">
        <w:rPr>
          <w:rFonts w:ascii="Arial" w:hAnsi="Arial" w:cs="Arial"/>
          <w:sz w:val="24"/>
          <w:szCs w:val="24"/>
          <w:lang w:val="fr-FR"/>
        </w:rPr>
        <w:t>, pp. 29-30).</w:t>
      </w:r>
    </w:p>
    <w:p w14:paraId="31E29954" w14:textId="77777777" w:rsidR="00FE5C16" w:rsidRPr="0086220F" w:rsidRDefault="00E45E41" w:rsidP="00312889">
      <w:pPr>
        <w:pStyle w:val="Heading2"/>
        <w:numPr>
          <w:ilvl w:val="0"/>
          <w:numId w:val="0"/>
        </w:numPr>
        <w:ind w:left="360"/>
      </w:pPr>
      <w:bookmarkStart w:id="36" w:name="_Toc129876610"/>
      <w:r>
        <w:t xml:space="preserve">AG. </w:t>
      </w:r>
      <w:r w:rsidR="00FE5C16" w:rsidRPr="0086220F">
        <w:t>Réponse à la question posée au paragraphe 13</w:t>
      </w:r>
      <w:bookmarkEnd w:id="36"/>
    </w:p>
    <w:p w14:paraId="5D20FD7C" w14:textId="77777777" w:rsidR="00A13D54" w:rsidRPr="0086220F" w:rsidRDefault="00A13D54" w:rsidP="00312889">
      <w:pPr>
        <w:jc w:val="both"/>
        <w:rPr>
          <w:rFonts w:ascii="Arial" w:hAnsi="Arial" w:cs="Arial"/>
          <w:sz w:val="24"/>
          <w:szCs w:val="24"/>
          <w:lang w:val="fr-FR"/>
        </w:rPr>
      </w:pPr>
      <w:r w:rsidRPr="0086220F">
        <w:rPr>
          <w:rFonts w:ascii="Arial" w:hAnsi="Arial" w:cs="Arial"/>
          <w:sz w:val="24"/>
          <w:szCs w:val="24"/>
          <w:lang w:val="fr-FR"/>
        </w:rPr>
        <w:t xml:space="preserve">La CCDH ne dispose pas d’informations au sujet des décès ou des actes de violence survenus dans les différents lieux de privation de liberté. Toutefois, elle se permet de faire référence aux rapports annuels du CELPL qui recensent les incidents dont elle a connaissance dans le cadre de ses activités de permanence : </w:t>
      </w:r>
      <w:r>
        <w:fldChar w:fldCharType="begin"/>
      </w:r>
      <w:r w:rsidRPr="00B55762">
        <w:rPr>
          <w:lang w:val="fr-LU"/>
          <w:rPrChange w:id="37" w:author="Gilbert Pregno" w:date="2023-03-18T06:20:00Z">
            <w:rPr/>
          </w:rPrChange>
        </w:rPr>
        <w:instrText>HYPERLINK "https://www.ombudsman.lu/uploads/RA-CELPL/RA2019%20-%20Rapport.pdf"</w:instrText>
      </w:r>
      <w:r>
        <w:fldChar w:fldCharType="separate"/>
      </w:r>
      <w:r w:rsidRPr="0086220F">
        <w:rPr>
          <w:rStyle w:val="Hyperlink"/>
          <w:rFonts w:ascii="Arial" w:hAnsi="Arial" w:cs="Arial"/>
          <w:sz w:val="24"/>
          <w:szCs w:val="24"/>
          <w:lang w:val="fr-FR"/>
        </w:rPr>
        <w:t>rapport annuel 2019</w:t>
      </w:r>
      <w:r>
        <w:rPr>
          <w:rStyle w:val="Hyperlink"/>
          <w:rFonts w:ascii="Arial" w:hAnsi="Arial" w:cs="Arial"/>
          <w:sz w:val="24"/>
          <w:szCs w:val="24"/>
          <w:lang w:val="fr-FR"/>
        </w:rPr>
        <w:fldChar w:fldCharType="end"/>
      </w:r>
      <w:r w:rsidRPr="0086220F">
        <w:rPr>
          <w:rFonts w:ascii="Arial" w:hAnsi="Arial" w:cs="Arial"/>
          <w:sz w:val="24"/>
          <w:szCs w:val="24"/>
          <w:lang w:val="fr-FR"/>
        </w:rPr>
        <w:t xml:space="preserve"> (pp. 17-20), </w:t>
      </w:r>
      <w:r>
        <w:fldChar w:fldCharType="begin"/>
      </w:r>
      <w:r w:rsidRPr="00B55762">
        <w:rPr>
          <w:lang w:val="fr-LU"/>
          <w:rPrChange w:id="38" w:author="Gilbert Pregno" w:date="2023-03-18T06:20:00Z">
            <w:rPr/>
          </w:rPrChange>
        </w:rPr>
        <w:instrText>HYPERLINK "https://www.ombudsman.lu/uploads/RA-CELPL/RA2020%20-%20Rapport.pdf"</w:instrText>
      </w:r>
      <w:r>
        <w:fldChar w:fldCharType="separate"/>
      </w:r>
      <w:r w:rsidRPr="0086220F">
        <w:rPr>
          <w:rStyle w:val="Hyperlink"/>
          <w:rFonts w:ascii="Arial" w:hAnsi="Arial" w:cs="Arial"/>
          <w:sz w:val="24"/>
          <w:szCs w:val="24"/>
          <w:lang w:val="fr-FR"/>
        </w:rPr>
        <w:t>rapport annuel 2020</w:t>
      </w:r>
      <w:r>
        <w:rPr>
          <w:rStyle w:val="Hyperlink"/>
          <w:rFonts w:ascii="Arial" w:hAnsi="Arial" w:cs="Arial"/>
          <w:sz w:val="24"/>
          <w:szCs w:val="24"/>
          <w:lang w:val="fr-FR"/>
        </w:rPr>
        <w:fldChar w:fldCharType="end"/>
      </w:r>
      <w:r w:rsidRPr="0086220F">
        <w:rPr>
          <w:rFonts w:ascii="Arial" w:hAnsi="Arial" w:cs="Arial"/>
          <w:sz w:val="24"/>
          <w:szCs w:val="24"/>
          <w:lang w:val="fr-FR"/>
        </w:rPr>
        <w:t xml:space="preserve"> (pp. 15-19), </w:t>
      </w:r>
      <w:r>
        <w:fldChar w:fldCharType="begin"/>
      </w:r>
      <w:r w:rsidRPr="00B55762">
        <w:rPr>
          <w:lang w:val="fr-LU"/>
          <w:rPrChange w:id="39" w:author="Gilbert Pregno" w:date="2023-03-18T06:20:00Z">
            <w:rPr/>
          </w:rPrChange>
        </w:rPr>
        <w:instrText>HYPERLINK "https://www.ombudsman.lu/uploads/RA-CELPL/RA2021%20-%20Rapport.pdf"</w:instrText>
      </w:r>
      <w:r>
        <w:fldChar w:fldCharType="separate"/>
      </w:r>
      <w:r w:rsidRPr="0086220F">
        <w:rPr>
          <w:rStyle w:val="Hyperlink"/>
          <w:rFonts w:ascii="Arial" w:hAnsi="Arial" w:cs="Arial"/>
          <w:sz w:val="24"/>
          <w:szCs w:val="24"/>
          <w:lang w:val="fr-FR"/>
        </w:rPr>
        <w:t>rapport annuel 2021</w:t>
      </w:r>
      <w:r>
        <w:rPr>
          <w:rStyle w:val="Hyperlink"/>
          <w:rFonts w:ascii="Arial" w:hAnsi="Arial" w:cs="Arial"/>
          <w:sz w:val="24"/>
          <w:szCs w:val="24"/>
          <w:lang w:val="fr-FR"/>
        </w:rPr>
        <w:fldChar w:fldCharType="end"/>
      </w:r>
      <w:r w:rsidRPr="0086220F">
        <w:rPr>
          <w:rFonts w:ascii="Arial" w:hAnsi="Arial" w:cs="Arial"/>
          <w:sz w:val="24"/>
          <w:szCs w:val="24"/>
          <w:lang w:val="fr-FR"/>
        </w:rPr>
        <w:t xml:space="preserve"> (pp. 14-18).  </w:t>
      </w:r>
    </w:p>
    <w:p w14:paraId="55A9734F" w14:textId="77777777" w:rsidR="00A13D54" w:rsidRPr="0086220F" w:rsidRDefault="00E45E41" w:rsidP="00312889">
      <w:pPr>
        <w:pStyle w:val="Heading2"/>
        <w:numPr>
          <w:ilvl w:val="0"/>
          <w:numId w:val="0"/>
        </w:numPr>
        <w:ind w:left="720" w:hanging="360"/>
      </w:pPr>
      <w:bookmarkStart w:id="40" w:name="_Toc129876611"/>
      <w:r>
        <w:t>AI.</w:t>
      </w:r>
      <w:r>
        <w:tab/>
      </w:r>
      <w:r w:rsidR="00A13D54" w:rsidRPr="0086220F">
        <w:t>Réponse à la question posée au paragraphe 14</w:t>
      </w:r>
      <w:bookmarkEnd w:id="40"/>
    </w:p>
    <w:p w14:paraId="60B981CD" w14:textId="77777777" w:rsidR="00A13D54" w:rsidRDefault="00A13D54" w:rsidP="00312889">
      <w:pPr>
        <w:jc w:val="both"/>
        <w:rPr>
          <w:rFonts w:ascii="Arial" w:hAnsi="Arial" w:cs="Arial"/>
          <w:sz w:val="24"/>
          <w:szCs w:val="24"/>
          <w:lang w:val="fr-FR"/>
        </w:rPr>
      </w:pPr>
      <w:r w:rsidRPr="0086220F">
        <w:rPr>
          <w:rFonts w:ascii="Arial" w:hAnsi="Arial" w:cs="Arial"/>
          <w:sz w:val="24"/>
          <w:szCs w:val="24"/>
          <w:lang w:val="fr-FR"/>
        </w:rPr>
        <w:t xml:space="preserve">La CCDH souhaiterait attirer l’attention sur une </w:t>
      </w:r>
      <w:r>
        <w:fldChar w:fldCharType="begin"/>
      </w:r>
      <w:r w:rsidRPr="00B55762">
        <w:rPr>
          <w:lang w:val="fr-LU"/>
          <w:rPrChange w:id="41" w:author="Gilbert Pregno" w:date="2023-03-18T06:20:00Z">
            <w:rPr/>
          </w:rPrChange>
        </w:rPr>
        <w:instrText>HYPERLINK "https://wdocs-pub.chd.lu/docs/exped/0119/162/239629.pdf"</w:instrText>
      </w:r>
      <w:r>
        <w:fldChar w:fldCharType="separate"/>
      </w:r>
      <w:r w:rsidRPr="0086220F">
        <w:rPr>
          <w:rStyle w:val="Hyperlink"/>
          <w:rFonts w:ascii="Arial" w:hAnsi="Arial" w:cs="Arial"/>
          <w:sz w:val="24"/>
          <w:szCs w:val="24"/>
          <w:lang w:val="fr-FR"/>
        </w:rPr>
        <w:t>proposition de loi</w:t>
      </w:r>
      <w:r>
        <w:rPr>
          <w:rStyle w:val="Hyperlink"/>
          <w:rFonts w:ascii="Arial" w:hAnsi="Arial" w:cs="Arial"/>
          <w:sz w:val="24"/>
          <w:szCs w:val="24"/>
          <w:lang w:val="fr-FR"/>
        </w:rPr>
        <w:fldChar w:fldCharType="end"/>
      </w:r>
      <w:r w:rsidRPr="0086220F">
        <w:rPr>
          <w:rFonts w:ascii="Arial" w:hAnsi="Arial" w:cs="Arial"/>
          <w:sz w:val="24"/>
          <w:szCs w:val="24"/>
          <w:lang w:val="fr-FR"/>
        </w:rPr>
        <w:t xml:space="preserve"> récente, proposant d’introduire une interdiction de placement en rétention des personnes mineures, à laquelle la CCDH ne peut que se rallier au vu de ses revendications constantes dans ce sens (</w:t>
      </w:r>
      <w:r>
        <w:fldChar w:fldCharType="begin"/>
      </w:r>
      <w:r w:rsidRPr="00B55762">
        <w:rPr>
          <w:lang w:val="fr-LU"/>
          <w:rPrChange w:id="42" w:author="Gilbert Pregno" w:date="2023-03-18T06:20:00Z">
            <w:rPr/>
          </w:rPrChange>
        </w:rPr>
        <w:instrText>HYPERLINK "https://ccdh.public.lu/dam-assets/dossiers_th%C3%A9matiques/asile_et_immigration/avis/AI-Retention-MNA-Avis-PL7633-20210517-v10.pdf"</w:instrText>
      </w:r>
      <w:r>
        <w:fldChar w:fldCharType="separate"/>
      </w:r>
      <w:r w:rsidRPr="0086220F">
        <w:rPr>
          <w:rStyle w:val="Hyperlink"/>
          <w:rFonts w:ascii="Arial" w:hAnsi="Arial" w:cs="Arial"/>
          <w:sz w:val="24"/>
          <w:szCs w:val="24"/>
          <w:lang w:val="fr-FR"/>
        </w:rPr>
        <w:t>CCDH, Avis 11/2021</w:t>
      </w:r>
      <w:r>
        <w:rPr>
          <w:rStyle w:val="Hyperlink"/>
          <w:rFonts w:ascii="Arial" w:hAnsi="Arial" w:cs="Arial"/>
          <w:sz w:val="24"/>
          <w:szCs w:val="24"/>
          <w:lang w:val="fr-FR"/>
        </w:rPr>
        <w:fldChar w:fldCharType="end"/>
      </w:r>
      <w:r w:rsidRPr="0086220F">
        <w:rPr>
          <w:rFonts w:ascii="Arial" w:hAnsi="Arial" w:cs="Arial"/>
          <w:sz w:val="24"/>
          <w:szCs w:val="24"/>
          <w:lang w:val="fr-FR"/>
        </w:rPr>
        <w:t xml:space="preserve">). Dans ce contexte, elle ne peut que déplorer la </w:t>
      </w:r>
      <w:r>
        <w:fldChar w:fldCharType="begin"/>
      </w:r>
      <w:r w:rsidRPr="00B55762">
        <w:rPr>
          <w:lang w:val="fr-LU"/>
          <w:rPrChange w:id="43" w:author="Gilbert Pregno" w:date="2023-03-18T06:20:00Z">
            <w:rPr/>
          </w:rPrChange>
        </w:rPr>
        <w:instrText>HYPERLINK "https://wdocs-pub.chd.lu/docs/exped/0119/020/238204.pdf"</w:instrText>
      </w:r>
      <w:r>
        <w:fldChar w:fldCharType="separate"/>
      </w:r>
      <w:r w:rsidRPr="0086220F">
        <w:rPr>
          <w:rStyle w:val="Hyperlink"/>
          <w:rFonts w:ascii="Arial" w:hAnsi="Arial" w:cs="Arial"/>
          <w:sz w:val="24"/>
          <w:szCs w:val="24"/>
          <w:lang w:val="fr-FR"/>
        </w:rPr>
        <w:t>prise de position du gouvernement</w:t>
      </w:r>
      <w:r>
        <w:rPr>
          <w:rStyle w:val="Hyperlink"/>
          <w:rFonts w:ascii="Arial" w:hAnsi="Arial" w:cs="Arial"/>
          <w:sz w:val="24"/>
          <w:szCs w:val="24"/>
          <w:lang w:val="fr-FR"/>
        </w:rPr>
        <w:fldChar w:fldCharType="end"/>
      </w:r>
      <w:r w:rsidRPr="0086220F">
        <w:rPr>
          <w:rFonts w:ascii="Arial" w:hAnsi="Arial" w:cs="Arial"/>
          <w:sz w:val="24"/>
          <w:szCs w:val="24"/>
          <w:lang w:val="fr-FR"/>
        </w:rPr>
        <w:t xml:space="preserve"> qui a décidé de maintenir cette pratique, en estimant que « </w:t>
      </w:r>
      <w:r w:rsidRPr="0086220F">
        <w:rPr>
          <w:rFonts w:ascii="Arial" w:hAnsi="Arial" w:cs="Arial"/>
          <w:i/>
          <w:sz w:val="24"/>
          <w:szCs w:val="24"/>
          <w:lang w:val="fr-FR"/>
        </w:rPr>
        <w:t>lorsque des familles avec enfants refusent catégoriquement l’option du retour volontaire, le placement en rétention de ces familles devient malheureusement inévitable</w:t>
      </w:r>
      <w:r w:rsidRPr="0086220F">
        <w:rPr>
          <w:rFonts w:ascii="Arial" w:hAnsi="Arial" w:cs="Arial"/>
          <w:sz w:val="24"/>
          <w:szCs w:val="24"/>
          <w:lang w:val="fr-FR"/>
        </w:rPr>
        <w:t> », et que cette mesure serait justifiée par le fait que dans certains cas il serait « </w:t>
      </w:r>
      <w:r w:rsidRPr="0086220F">
        <w:rPr>
          <w:rFonts w:ascii="Arial" w:hAnsi="Arial" w:cs="Arial"/>
          <w:i/>
          <w:sz w:val="24"/>
          <w:szCs w:val="24"/>
          <w:lang w:val="fr-FR"/>
        </w:rPr>
        <w:t>dans l’intérêt supérieur de l’enfant de regagner son pays d’origine pour être réuni avec sa famille</w:t>
      </w:r>
      <w:r w:rsidRPr="0086220F">
        <w:rPr>
          <w:rFonts w:ascii="Arial" w:hAnsi="Arial" w:cs="Arial"/>
          <w:sz w:val="24"/>
          <w:szCs w:val="24"/>
          <w:lang w:val="fr-FR"/>
        </w:rPr>
        <w:t xml:space="preserve"> ». La CCDH ne peut que regretter le fait que cette terminologie d’intérêt supérieur de l’enfant ne soit utilisée que dans le cadre de mesures répressives, alors que le gouvernement se montre beaucoup plus réticent à y donner tout son sens lorsqu’il s’agit de protéger la personne mineure, notamment dans le cadre de sa consécration constitutionnelle (voir dans ce sens </w:t>
      </w:r>
      <w:r>
        <w:fldChar w:fldCharType="begin"/>
      </w:r>
      <w:r w:rsidRPr="00B55762">
        <w:rPr>
          <w:lang w:val="fr-LU"/>
          <w:rPrChange w:id="44" w:author="Gilbert Pregno" w:date="2023-03-18T06:20:00Z">
            <w:rPr/>
          </w:rPrChange>
        </w:rPr>
        <w:instrText>HYPERLINK "https://ccdh.public.lu/dam-assets/dossiers_th%C3%A9matiques/constitution/avis/R%C3%A9vConstit-Avis-CCDH-v10-final.pdf"</w:instrText>
      </w:r>
      <w:r>
        <w:fldChar w:fldCharType="separate"/>
      </w:r>
      <w:r w:rsidRPr="0086220F">
        <w:rPr>
          <w:rStyle w:val="Hyperlink"/>
          <w:rFonts w:ascii="Arial" w:hAnsi="Arial" w:cs="Arial"/>
          <w:sz w:val="24"/>
          <w:szCs w:val="24"/>
          <w:lang w:val="fr-FR"/>
        </w:rPr>
        <w:t>CCDH, Avis 02/2022</w:t>
      </w:r>
      <w:r>
        <w:rPr>
          <w:rStyle w:val="Hyperlink"/>
          <w:rFonts w:ascii="Arial" w:hAnsi="Arial" w:cs="Arial"/>
          <w:sz w:val="24"/>
          <w:szCs w:val="24"/>
          <w:lang w:val="fr-FR"/>
        </w:rPr>
        <w:fldChar w:fldCharType="end"/>
      </w:r>
      <w:r w:rsidRPr="0086220F">
        <w:rPr>
          <w:rFonts w:ascii="Arial" w:hAnsi="Arial" w:cs="Arial"/>
          <w:sz w:val="24"/>
          <w:szCs w:val="24"/>
          <w:lang w:val="fr-FR"/>
        </w:rPr>
        <w:t>, p. 23).</w:t>
      </w:r>
    </w:p>
    <w:p w14:paraId="47B58916" w14:textId="77777777" w:rsidR="0011593E" w:rsidRPr="0011593E" w:rsidRDefault="0011593E" w:rsidP="00312889">
      <w:pPr>
        <w:jc w:val="both"/>
        <w:rPr>
          <w:rFonts w:ascii="Arial" w:hAnsi="Arial" w:cs="Arial"/>
          <w:sz w:val="24"/>
          <w:szCs w:val="24"/>
          <w:lang w:val="fr-FR"/>
        </w:rPr>
      </w:pPr>
      <w:r w:rsidRPr="0011593E">
        <w:rPr>
          <w:rFonts w:ascii="Arial" w:hAnsi="Arial" w:cs="Arial"/>
          <w:sz w:val="24"/>
          <w:szCs w:val="24"/>
          <w:lang w:val="fr-FR"/>
        </w:rPr>
        <w:t xml:space="preserve">Finalement, la CCDH rappelle que dans l’Accord de coalition 2018-2023, le gouvernement a prévu de « </w:t>
      </w:r>
      <w:r w:rsidRPr="0011593E">
        <w:rPr>
          <w:rFonts w:ascii="Arial" w:hAnsi="Arial" w:cs="Arial"/>
          <w:i/>
          <w:iCs/>
          <w:sz w:val="24"/>
          <w:szCs w:val="24"/>
          <w:lang w:val="fr-FR"/>
        </w:rPr>
        <w:t xml:space="preserve">créer une structure spécifique pour le placement en rétention de femmes, familles et personnes vulnérables. Une fois cette structure spécifique créée, la législation en matière de rétention sera adaptée afin de garantir que les enfants ne soient plus mis au centre de rétention </w:t>
      </w:r>
      <w:r w:rsidRPr="0011593E">
        <w:rPr>
          <w:rFonts w:ascii="Arial" w:hAnsi="Arial" w:cs="Arial"/>
          <w:sz w:val="24"/>
          <w:szCs w:val="24"/>
          <w:lang w:val="fr-FR"/>
        </w:rPr>
        <w:t>».</w:t>
      </w:r>
      <w:r w:rsidRPr="0011593E">
        <w:rPr>
          <w:rStyle w:val="FootnoteReference"/>
          <w:rFonts w:ascii="Arial" w:hAnsi="Arial" w:cs="Arial"/>
          <w:sz w:val="24"/>
          <w:szCs w:val="24"/>
          <w:lang w:val="fr-FR"/>
        </w:rPr>
        <w:footnoteReference w:id="6"/>
      </w:r>
      <w:r w:rsidRPr="0011593E">
        <w:rPr>
          <w:rFonts w:ascii="Arial" w:hAnsi="Arial" w:cs="Arial"/>
          <w:sz w:val="24"/>
          <w:szCs w:val="24"/>
          <w:lang w:val="fr-FR"/>
        </w:rPr>
        <w:t xml:space="preserve"> </w:t>
      </w:r>
    </w:p>
    <w:p w14:paraId="1A58F540" w14:textId="77777777" w:rsidR="0011593E" w:rsidRDefault="0011593E" w:rsidP="00312889">
      <w:pPr>
        <w:jc w:val="both"/>
        <w:rPr>
          <w:rFonts w:ascii="Arial" w:hAnsi="Arial" w:cs="Arial"/>
          <w:sz w:val="24"/>
          <w:szCs w:val="24"/>
          <w:lang w:val="fr-FR"/>
        </w:rPr>
      </w:pPr>
      <w:r w:rsidRPr="0011593E">
        <w:rPr>
          <w:rFonts w:ascii="Arial" w:hAnsi="Arial" w:cs="Arial"/>
          <w:sz w:val="24"/>
          <w:szCs w:val="24"/>
          <w:lang w:val="fr-FR"/>
        </w:rPr>
        <w:t>La CCDH invite le gouvernement à respecter ses propres engagements et à mettre fin à la rétention administrative des enfants dans les meilleurs délais. Elle encourage les autorités à explorer pleinement toutes les alternatives aux mesures de rétention.</w:t>
      </w:r>
      <w:r w:rsidRPr="0011593E">
        <w:rPr>
          <w:rStyle w:val="FootnoteReference"/>
          <w:rFonts w:ascii="Arial" w:hAnsi="Arial" w:cs="Arial"/>
          <w:sz w:val="24"/>
          <w:szCs w:val="24"/>
          <w:lang w:val="fr-FR"/>
        </w:rPr>
        <w:footnoteReference w:id="7"/>
      </w:r>
    </w:p>
    <w:p w14:paraId="61C54D13" w14:textId="77777777" w:rsidR="0011593E" w:rsidRDefault="00E45E41" w:rsidP="00312889">
      <w:pPr>
        <w:pStyle w:val="Heading2"/>
        <w:numPr>
          <w:ilvl w:val="0"/>
          <w:numId w:val="0"/>
        </w:numPr>
        <w:ind w:left="360"/>
      </w:pPr>
      <w:bookmarkStart w:id="47" w:name="_Toc129876612"/>
      <w:r>
        <w:t xml:space="preserve">AK. </w:t>
      </w:r>
      <w:r w:rsidR="0011593E">
        <w:t>Réponse à la question posée au paragraphe 15(b)</w:t>
      </w:r>
      <w:bookmarkEnd w:id="47"/>
    </w:p>
    <w:p w14:paraId="692AADE9" w14:textId="77777777" w:rsidR="0011593E" w:rsidRPr="0011593E" w:rsidRDefault="0011593E" w:rsidP="00312889">
      <w:pPr>
        <w:jc w:val="both"/>
        <w:rPr>
          <w:rFonts w:ascii="Arial" w:hAnsi="Arial" w:cs="Arial"/>
          <w:sz w:val="24"/>
          <w:szCs w:val="20"/>
          <w:lang w:val="fr-FR"/>
        </w:rPr>
      </w:pPr>
      <w:r w:rsidRPr="0011593E">
        <w:rPr>
          <w:rFonts w:ascii="Arial" w:hAnsi="Arial" w:cs="Arial"/>
          <w:sz w:val="24"/>
          <w:szCs w:val="20"/>
          <w:lang w:val="fr-FR"/>
        </w:rPr>
        <w:t xml:space="preserve">En ce qui concerne la rétention administrative des enfants accompagnés de leurs familles, la CCDH souligne que la rétention liée à l’immigration, même de courte durée et sous quelques conditions que ce soient, peut avoir un effet néfaste et durable sur le développement des enfants, qui sont d’ores et déjà traumatisés par leur parcours de vie, en nuisant notamment à leur santé physique, émotionnelle et psychique, ainsi qu’à leur développement cognitif. Pour les détails sur la législation et la pratique luxembourgeoise, elle se permet de faire référence à son </w:t>
      </w:r>
      <w:r>
        <w:fldChar w:fldCharType="begin"/>
      </w:r>
      <w:r w:rsidRPr="00B55762">
        <w:rPr>
          <w:lang w:val="fr-LU"/>
          <w:rPrChange w:id="48" w:author="Gilbert Pregno" w:date="2023-03-18T06:20:00Z">
            <w:rPr/>
          </w:rPrChange>
        </w:rPr>
        <w:instrText>HYPERLINK "https://ccdh.public.lu/dam-assets/dossiers_th%C3%A9matiques/asile_et_immigration/avis/AI-Retention-MNA-Avis-PL7633-20210517-v10.pdf"</w:instrText>
      </w:r>
      <w:r>
        <w:fldChar w:fldCharType="separate"/>
      </w:r>
      <w:r w:rsidRPr="0011593E">
        <w:rPr>
          <w:rStyle w:val="Hyperlink"/>
          <w:rFonts w:ascii="Arial" w:hAnsi="Arial" w:cs="Arial"/>
          <w:sz w:val="24"/>
          <w:szCs w:val="20"/>
          <w:lang w:val="fr-FR"/>
        </w:rPr>
        <w:t>avis 11/2021</w:t>
      </w:r>
      <w:r>
        <w:rPr>
          <w:rStyle w:val="Hyperlink"/>
          <w:rFonts w:ascii="Arial" w:hAnsi="Arial" w:cs="Arial"/>
          <w:sz w:val="24"/>
          <w:szCs w:val="20"/>
          <w:lang w:val="fr-FR"/>
        </w:rPr>
        <w:fldChar w:fldCharType="end"/>
      </w:r>
      <w:r w:rsidRPr="0011593E">
        <w:rPr>
          <w:rFonts w:ascii="Arial" w:hAnsi="Arial" w:cs="Arial"/>
          <w:sz w:val="24"/>
          <w:szCs w:val="20"/>
          <w:lang w:val="fr-FR"/>
        </w:rPr>
        <w:t xml:space="preserve"> relatif à la proposition de loi n°7633 relative à l’interdiction du placement en rétention des personnes mineures.</w:t>
      </w:r>
    </w:p>
    <w:p w14:paraId="255EC5F2" w14:textId="77777777" w:rsidR="0011593E" w:rsidRPr="0011593E" w:rsidRDefault="0011593E" w:rsidP="00312889">
      <w:pPr>
        <w:jc w:val="both"/>
        <w:rPr>
          <w:sz w:val="28"/>
          <w:lang w:val="fr-FR"/>
        </w:rPr>
      </w:pPr>
      <w:r w:rsidRPr="0011593E">
        <w:rPr>
          <w:rFonts w:ascii="Arial" w:hAnsi="Arial" w:cs="Arial"/>
          <w:sz w:val="24"/>
          <w:szCs w:val="20"/>
          <w:lang w:val="fr-FR"/>
        </w:rPr>
        <w:t>Alors que le gouvernement fournit uniquement des données sur la durée de rétention moyenne des familles accompagnés d’enfants, la CCDH note néanmoins qu’entre le 7 mars 2017 et les 31 octobre 2019, neuf familles avec 19 enfants mineurs ont effectivement</w:t>
      </w:r>
      <w:r>
        <w:rPr>
          <w:rFonts w:ascii="Arial" w:hAnsi="Arial" w:cs="Arial"/>
          <w:sz w:val="24"/>
          <w:szCs w:val="20"/>
          <w:lang w:val="fr-FR"/>
        </w:rPr>
        <w:t xml:space="preserve"> </w:t>
      </w:r>
      <w:r w:rsidRPr="0011593E">
        <w:rPr>
          <w:rFonts w:ascii="Arial" w:hAnsi="Arial" w:cs="Arial"/>
          <w:sz w:val="24"/>
          <w:szCs w:val="20"/>
          <w:lang w:val="fr-FR"/>
        </w:rPr>
        <w:t>séjourné plus de 72 heures au Centre de rétention.</w:t>
      </w:r>
      <w:r w:rsidRPr="0011593E">
        <w:rPr>
          <w:rFonts w:ascii="Arial" w:hAnsi="Arial" w:cs="Arial"/>
          <w:sz w:val="24"/>
          <w:szCs w:val="20"/>
          <w:vertAlign w:val="superscript"/>
          <w:lang w:val="fr-CH"/>
        </w:rPr>
        <w:footnoteReference w:id="8"/>
      </w:r>
    </w:p>
    <w:p w14:paraId="3FDCA9E2" w14:textId="77777777" w:rsidR="00A13D54" w:rsidRPr="0086220F" w:rsidRDefault="00E45E41" w:rsidP="00312889">
      <w:pPr>
        <w:pStyle w:val="Heading2"/>
        <w:numPr>
          <w:ilvl w:val="0"/>
          <w:numId w:val="0"/>
        </w:numPr>
        <w:ind w:left="720" w:hanging="360"/>
      </w:pPr>
      <w:bookmarkStart w:id="49" w:name="_Toc129876613"/>
      <w:r>
        <w:t xml:space="preserve">AR. </w:t>
      </w:r>
      <w:r w:rsidR="00A13D54" w:rsidRPr="0086220F">
        <w:t>Réponse à la question posée au paragraphe 20</w:t>
      </w:r>
      <w:bookmarkEnd w:id="49"/>
    </w:p>
    <w:p w14:paraId="0F6E1C32" w14:textId="77777777" w:rsidR="00A13D54" w:rsidRPr="0086220F" w:rsidRDefault="00A13D54" w:rsidP="00312889">
      <w:pPr>
        <w:jc w:val="both"/>
        <w:rPr>
          <w:rFonts w:ascii="Arial" w:hAnsi="Arial" w:cs="Arial"/>
          <w:sz w:val="24"/>
          <w:szCs w:val="24"/>
          <w:lang w:val="fr-FR"/>
        </w:rPr>
      </w:pPr>
      <w:r w:rsidRPr="0086220F">
        <w:rPr>
          <w:rFonts w:ascii="Arial" w:hAnsi="Arial" w:cs="Arial"/>
          <w:sz w:val="24"/>
          <w:szCs w:val="24"/>
          <w:lang w:val="fr-FR"/>
        </w:rPr>
        <w:t xml:space="preserve">Concernant les </w:t>
      </w:r>
      <w:r w:rsidRPr="003C23B5">
        <w:rPr>
          <w:rFonts w:ascii="Arial" w:hAnsi="Arial" w:cs="Arial"/>
          <w:b/>
          <w:sz w:val="24"/>
          <w:szCs w:val="24"/>
          <w:lang w:val="fr-FR"/>
        </w:rPr>
        <w:t>actes racistes et xénophobes</w:t>
      </w:r>
      <w:r w:rsidRPr="0086220F">
        <w:rPr>
          <w:rFonts w:ascii="Arial" w:hAnsi="Arial" w:cs="Arial"/>
          <w:sz w:val="24"/>
          <w:szCs w:val="24"/>
          <w:lang w:val="fr-FR"/>
        </w:rPr>
        <w:t xml:space="preserve"> de manière générale, la CCDH souhaiterait attirer l’attention du Comité sur un récent </w:t>
      </w:r>
      <w:r>
        <w:fldChar w:fldCharType="begin"/>
      </w:r>
      <w:r w:rsidRPr="00B55762">
        <w:rPr>
          <w:lang w:val="fr-LU"/>
          <w:rPrChange w:id="50" w:author="Gilbert Pregno" w:date="2023-03-18T06:20:00Z">
            <w:rPr/>
          </w:rPrChange>
        </w:rPr>
        <w:instrText>HYPERLINK "https://www.chd.lu/fr/dossier/8032"</w:instrText>
      </w:r>
      <w:r>
        <w:fldChar w:fldCharType="separate"/>
      </w:r>
      <w:r w:rsidRPr="0086220F">
        <w:rPr>
          <w:rStyle w:val="Hyperlink"/>
          <w:rFonts w:ascii="Arial" w:hAnsi="Arial" w:cs="Arial"/>
          <w:sz w:val="24"/>
          <w:szCs w:val="24"/>
          <w:lang w:val="fr-FR"/>
        </w:rPr>
        <w:t>projet de loi</w:t>
      </w:r>
      <w:r>
        <w:rPr>
          <w:rStyle w:val="Hyperlink"/>
          <w:rFonts w:ascii="Arial" w:hAnsi="Arial" w:cs="Arial"/>
          <w:sz w:val="24"/>
          <w:szCs w:val="24"/>
          <w:lang w:val="fr-FR"/>
        </w:rPr>
        <w:fldChar w:fldCharType="end"/>
      </w:r>
      <w:r w:rsidRPr="0086220F">
        <w:rPr>
          <w:rFonts w:ascii="Arial" w:hAnsi="Arial" w:cs="Arial"/>
          <w:sz w:val="24"/>
          <w:szCs w:val="24"/>
          <w:lang w:val="fr-FR"/>
        </w:rPr>
        <w:t xml:space="preserve">, qui vise à introduire une circonstance aggravante généralisée pour toute infraction (crime, délit et contravention), commis en raison d’un motif de discrimination. L’introduction d’un tel article dans la législation pénale luxembourgeoise ne peut être que saluée. Toutefois, dans un </w:t>
      </w:r>
      <w:r>
        <w:fldChar w:fldCharType="begin"/>
      </w:r>
      <w:r w:rsidRPr="00B55762">
        <w:rPr>
          <w:lang w:val="fr-LU"/>
          <w:rPrChange w:id="51" w:author="Gilbert Pregno" w:date="2023-03-18T06:20:00Z">
            <w:rPr/>
          </w:rPrChange>
        </w:rPr>
        <w:instrText>HYPERLINK "https://ccdh.public.lu/dam-assets/dossiers_th%C3%A9matiques/discriminations/avis/circonstance-aggravante-avis-ccdh-final.pdf"</w:instrText>
      </w:r>
      <w:r>
        <w:fldChar w:fldCharType="separate"/>
      </w:r>
      <w:r w:rsidRPr="0086220F">
        <w:rPr>
          <w:rStyle w:val="Hyperlink"/>
          <w:rFonts w:ascii="Arial" w:hAnsi="Arial" w:cs="Arial"/>
          <w:sz w:val="24"/>
          <w:szCs w:val="24"/>
          <w:lang w:val="fr-FR"/>
        </w:rPr>
        <w:t>avis relatif à ce projet de loi</w:t>
      </w:r>
      <w:r>
        <w:rPr>
          <w:rStyle w:val="Hyperlink"/>
          <w:rFonts w:ascii="Arial" w:hAnsi="Arial" w:cs="Arial"/>
          <w:sz w:val="24"/>
          <w:szCs w:val="24"/>
          <w:lang w:val="fr-FR"/>
        </w:rPr>
        <w:fldChar w:fldCharType="end"/>
      </w:r>
      <w:r w:rsidRPr="0086220F">
        <w:rPr>
          <w:rFonts w:ascii="Arial" w:hAnsi="Arial" w:cs="Arial"/>
          <w:sz w:val="24"/>
          <w:szCs w:val="24"/>
          <w:lang w:val="fr-FR"/>
        </w:rPr>
        <w:t xml:space="preserve">, la CCDH a également pu souligner un certain manque de clarté qui nécessiterait des éclaircissements. </w:t>
      </w:r>
    </w:p>
    <w:p w14:paraId="0E3C5C85" w14:textId="77777777" w:rsidR="00A13D54" w:rsidRDefault="00A13D54" w:rsidP="00312889">
      <w:pPr>
        <w:jc w:val="both"/>
        <w:rPr>
          <w:rFonts w:ascii="Arial" w:hAnsi="Arial" w:cs="Arial"/>
          <w:sz w:val="24"/>
          <w:szCs w:val="24"/>
          <w:lang w:val="fr-FR"/>
        </w:rPr>
      </w:pPr>
      <w:r w:rsidRPr="0086220F">
        <w:rPr>
          <w:rFonts w:ascii="Arial" w:hAnsi="Arial" w:cs="Arial"/>
          <w:sz w:val="24"/>
          <w:szCs w:val="24"/>
          <w:lang w:val="fr-FR"/>
        </w:rPr>
        <w:t xml:space="preserve">Concernant plus particulièrement </w:t>
      </w:r>
      <w:r w:rsidRPr="003C23B5">
        <w:rPr>
          <w:rFonts w:ascii="Arial" w:hAnsi="Arial" w:cs="Arial"/>
          <w:b/>
          <w:sz w:val="24"/>
          <w:szCs w:val="24"/>
          <w:lang w:val="fr-FR"/>
        </w:rPr>
        <w:t>les agents des forces de l’ordre</w:t>
      </w:r>
      <w:r w:rsidRPr="0086220F">
        <w:rPr>
          <w:rFonts w:ascii="Arial" w:hAnsi="Arial" w:cs="Arial"/>
          <w:sz w:val="24"/>
          <w:szCs w:val="24"/>
          <w:lang w:val="fr-FR"/>
        </w:rPr>
        <w:t xml:space="preserve">, il y a lieu de noter que le gouvernement a déposé le projet de loi </w:t>
      </w:r>
      <w:r>
        <w:fldChar w:fldCharType="begin"/>
      </w:r>
      <w:r w:rsidRPr="00B55762">
        <w:rPr>
          <w:lang w:val="fr-LU"/>
          <w:rPrChange w:id="52" w:author="Gilbert Pregno" w:date="2023-03-18T06:20:00Z">
            <w:rPr/>
          </w:rPrChange>
        </w:rPr>
        <w:instrText>HYPERLINK "https://www.chd.lu/fr/dossier/8065"</w:instrText>
      </w:r>
      <w:r>
        <w:fldChar w:fldCharType="separate"/>
      </w:r>
      <w:r w:rsidRPr="0086220F">
        <w:rPr>
          <w:rStyle w:val="Hyperlink"/>
          <w:rFonts w:ascii="Arial" w:hAnsi="Arial" w:cs="Arial"/>
          <w:sz w:val="24"/>
          <w:szCs w:val="24"/>
          <w:lang w:val="fr-FR"/>
        </w:rPr>
        <w:t>8065</w:t>
      </w:r>
      <w:r>
        <w:rPr>
          <w:rStyle w:val="Hyperlink"/>
          <w:rFonts w:ascii="Arial" w:hAnsi="Arial" w:cs="Arial"/>
          <w:sz w:val="24"/>
          <w:szCs w:val="24"/>
          <w:lang w:val="fr-FR"/>
        </w:rPr>
        <w:fldChar w:fldCharType="end"/>
      </w:r>
      <w:r w:rsidRPr="0086220F">
        <w:rPr>
          <w:rFonts w:ascii="Arial" w:hAnsi="Arial" w:cs="Arial"/>
          <w:sz w:val="24"/>
          <w:szCs w:val="24"/>
          <w:lang w:val="fr-FR"/>
        </w:rPr>
        <w:t xml:space="preserve"> visant à introduire des caméras-piétons (« Bodycams ») pour les agents de police. La prévention ainsi que la sanction des violences et l’usage excessif de la force par la police ne figurent pas parmi les objectifs principaux de ce projet de loi. Il ressort clairement du texte que la préoccupation principale était la protection des agents de la police d’attaques physiques, verbales et juridiques, tandis que les autres objectifs (protection des citoyens et collecte de preuves en cas d’infractions) ne sont guère abordés. Dans </w:t>
      </w:r>
      <w:r>
        <w:fldChar w:fldCharType="begin"/>
      </w:r>
      <w:r w:rsidRPr="00B55762">
        <w:rPr>
          <w:lang w:val="fr-LU"/>
          <w:rPrChange w:id="53" w:author="Gilbert Pregno" w:date="2023-03-18T06:20:00Z">
            <w:rPr/>
          </w:rPrChange>
        </w:rPr>
        <w:instrText>HYPERLINK "https://ccdh.public.lu/dam-assets/dossiers_th%C3%A9matiques/forces-de-lordre/bodycams-avis-final-pl8065-v10.pdf"</w:instrText>
      </w:r>
      <w:r>
        <w:fldChar w:fldCharType="separate"/>
      </w:r>
      <w:r w:rsidRPr="0086220F">
        <w:rPr>
          <w:rStyle w:val="Hyperlink"/>
          <w:rFonts w:ascii="Arial" w:hAnsi="Arial" w:cs="Arial"/>
          <w:sz w:val="24"/>
          <w:szCs w:val="24"/>
          <w:lang w:val="fr-FR"/>
        </w:rPr>
        <w:t>son avis</w:t>
      </w:r>
      <w:r>
        <w:rPr>
          <w:rStyle w:val="Hyperlink"/>
          <w:rFonts w:ascii="Arial" w:hAnsi="Arial" w:cs="Arial"/>
          <w:sz w:val="24"/>
          <w:szCs w:val="24"/>
          <w:lang w:val="fr-FR"/>
        </w:rPr>
        <w:fldChar w:fldCharType="end"/>
      </w:r>
      <w:r w:rsidRPr="0086220F">
        <w:rPr>
          <w:rFonts w:ascii="Arial" w:hAnsi="Arial" w:cs="Arial"/>
          <w:sz w:val="24"/>
          <w:szCs w:val="24"/>
          <w:lang w:val="fr-FR"/>
        </w:rPr>
        <w:t>, la CCDH a regretté ce déséquilibre qui a des conséquences sur la proportionnalité du projet de loi. Ce dernier laisse une grande marge d’interprétation aux agents de police concernant l’utilisation des bodycams, ce qui expose les citoyens à un risque d’arbitraire et les policiers à une insécurité juridique. Il faudra adopter une approche plus équilibrée en tenant dûment compte de leur impact pour toute la société, notamment pour la prévention, la constatation des infractions et la poursuite de leurs auteurs par la collecte de preuves lorsque ces infractions ne sont pas commises à l’encontre de policiers, mais à l’encontre de personnes tierces. Ceci est particulièrement important en cas de violences policières éventuelles. Le dispositif des bodycams doit être basé sur le respect des droits humains et le risque de discriminations inhérent à leur utilisation et à l’interprétation des enregistrements.</w:t>
      </w:r>
    </w:p>
    <w:p w14:paraId="73367CC2" w14:textId="77777777" w:rsidR="0011593E" w:rsidRDefault="00E45E41" w:rsidP="00312889">
      <w:pPr>
        <w:pStyle w:val="Heading2"/>
        <w:numPr>
          <w:ilvl w:val="0"/>
          <w:numId w:val="0"/>
        </w:numPr>
        <w:ind w:left="720" w:hanging="360"/>
      </w:pPr>
      <w:bookmarkStart w:id="54" w:name="_Toc129876614"/>
      <w:r>
        <w:t xml:space="preserve">AS. </w:t>
      </w:r>
      <w:r w:rsidR="0011593E">
        <w:t>Réponse à la question posée au paragraphe 21</w:t>
      </w:r>
      <w:bookmarkEnd w:id="54"/>
    </w:p>
    <w:p w14:paraId="0C5D1F0F" w14:textId="77777777" w:rsidR="0011593E" w:rsidRPr="0011593E" w:rsidRDefault="0011593E" w:rsidP="00312889">
      <w:pPr>
        <w:jc w:val="both"/>
        <w:rPr>
          <w:rFonts w:ascii="Arial" w:hAnsi="Arial" w:cs="Arial"/>
          <w:sz w:val="24"/>
          <w:szCs w:val="20"/>
          <w:lang w:val="fr-FR"/>
        </w:rPr>
      </w:pPr>
      <w:r w:rsidRPr="0011593E">
        <w:rPr>
          <w:rFonts w:ascii="Arial" w:hAnsi="Arial" w:cs="Arial"/>
          <w:sz w:val="24"/>
          <w:szCs w:val="20"/>
          <w:lang w:val="fr-FR"/>
        </w:rPr>
        <w:t xml:space="preserve">Pour rappel, en printemps 2022, le gouvernement a déposé </w:t>
      </w:r>
      <w:r w:rsidR="00960374">
        <w:rPr>
          <w:rFonts w:ascii="Arial" w:hAnsi="Arial" w:cs="Arial"/>
          <w:sz w:val="24"/>
          <w:szCs w:val="20"/>
          <w:lang w:val="fr-FR"/>
        </w:rPr>
        <w:t>trois</w:t>
      </w:r>
      <w:r w:rsidRPr="0011593E">
        <w:rPr>
          <w:rFonts w:ascii="Arial" w:hAnsi="Arial" w:cs="Arial"/>
          <w:sz w:val="24"/>
          <w:szCs w:val="20"/>
          <w:lang w:val="fr-FR"/>
        </w:rPr>
        <w:t xml:space="preserve"> projets de loi et un projet de règlement grand-ducal dans le cadre de la réforme de la protection de la jeunesse, consistant en une distinction entre les mineurs en conflit avec la loi et ceux en détresse. </w:t>
      </w:r>
    </w:p>
    <w:p w14:paraId="6B7D2A3C" w14:textId="77777777" w:rsidR="0011593E" w:rsidRPr="0011593E" w:rsidRDefault="0011593E" w:rsidP="00312889">
      <w:pPr>
        <w:jc w:val="both"/>
        <w:rPr>
          <w:lang w:val="fr-FR"/>
        </w:rPr>
      </w:pPr>
      <w:r w:rsidRPr="0011593E">
        <w:rPr>
          <w:rFonts w:ascii="Arial" w:hAnsi="Arial" w:cs="Arial"/>
          <w:sz w:val="24"/>
          <w:szCs w:val="20"/>
          <w:lang w:val="fr-FR"/>
        </w:rPr>
        <w:t xml:space="preserve">Le </w:t>
      </w:r>
      <w:r>
        <w:fldChar w:fldCharType="begin"/>
      </w:r>
      <w:r w:rsidRPr="00B55762">
        <w:rPr>
          <w:lang w:val="fr-LU"/>
          <w:rPrChange w:id="55" w:author="Gilbert Pregno" w:date="2023-03-18T06:20:00Z">
            <w:rPr/>
          </w:rPrChange>
        </w:rPr>
        <w:instrText>HYPERLINK "https://www.chd.lu/fr/dossier/7991"</w:instrText>
      </w:r>
      <w:r>
        <w:fldChar w:fldCharType="separate"/>
      </w:r>
      <w:r w:rsidRPr="0011593E">
        <w:rPr>
          <w:rStyle w:val="Hyperlink"/>
          <w:rFonts w:ascii="Arial" w:hAnsi="Arial" w:cs="Arial"/>
          <w:sz w:val="24"/>
          <w:szCs w:val="20"/>
          <w:lang w:val="fr-FR"/>
        </w:rPr>
        <w:t>projet de loi n°7991 relatif à la procédure pénale pour mineurs</w:t>
      </w:r>
      <w:r>
        <w:rPr>
          <w:rStyle w:val="Hyperlink"/>
          <w:rFonts w:ascii="Arial" w:hAnsi="Arial" w:cs="Arial"/>
          <w:sz w:val="24"/>
          <w:szCs w:val="20"/>
          <w:lang w:val="fr-FR"/>
        </w:rPr>
        <w:fldChar w:fldCharType="end"/>
      </w:r>
      <w:r w:rsidRPr="0011593E">
        <w:rPr>
          <w:rFonts w:ascii="Times New Roman" w:eastAsia="PMingLiU" w:hAnsi="Times New Roman" w:cs="Arial"/>
          <w:sz w:val="32"/>
          <w:szCs w:val="24"/>
          <w:bdr w:val="nil"/>
          <w:lang w:val="fr-FR"/>
        </w:rPr>
        <w:t xml:space="preserve"> </w:t>
      </w:r>
      <w:r w:rsidRPr="0011593E">
        <w:rPr>
          <w:rFonts w:ascii="Arial" w:hAnsi="Arial" w:cs="Arial"/>
          <w:sz w:val="24"/>
          <w:szCs w:val="20"/>
          <w:lang w:val="fr-FR"/>
        </w:rPr>
        <w:t xml:space="preserve">prévoit entre autre l’introduction d’un âge de responsabilité pénale, l’introduction de droits et de garanties procéduraux spécifiques dans le texte de la loi, l’introduction du </w:t>
      </w:r>
      <w:r w:rsidRPr="0011593E">
        <w:rPr>
          <w:rFonts w:ascii="Arial" w:hAnsi="Arial" w:cs="Arial"/>
          <w:bCs/>
          <w:sz w:val="24"/>
          <w:szCs w:val="20"/>
          <w:lang w:val="fr-FR"/>
        </w:rPr>
        <w:t>principe général de non incarcération d’enfants dans une prison pour adultes (art.</w:t>
      </w:r>
      <w:r w:rsidR="00960374">
        <w:rPr>
          <w:rFonts w:ascii="Arial" w:hAnsi="Arial" w:cs="Arial"/>
          <w:bCs/>
          <w:sz w:val="24"/>
          <w:szCs w:val="20"/>
          <w:lang w:val="fr-FR"/>
        </w:rPr>
        <w:t xml:space="preserve"> </w:t>
      </w:r>
      <w:r w:rsidRPr="0011593E">
        <w:rPr>
          <w:rFonts w:ascii="Arial" w:hAnsi="Arial" w:cs="Arial"/>
          <w:bCs/>
          <w:sz w:val="24"/>
          <w:szCs w:val="20"/>
          <w:lang w:val="fr-FR"/>
        </w:rPr>
        <w:t xml:space="preserve">60) ou encore l’introduction </w:t>
      </w:r>
      <w:r w:rsidRPr="0011593E">
        <w:rPr>
          <w:rFonts w:ascii="Arial" w:hAnsi="Arial" w:cs="Arial"/>
          <w:sz w:val="24"/>
          <w:szCs w:val="20"/>
          <w:lang w:val="fr-FR"/>
        </w:rPr>
        <w:t>des mesures de diversion (art. 19-21), des alternatives à la détention préventive (art.</w:t>
      </w:r>
      <w:r w:rsidR="00960374">
        <w:rPr>
          <w:rFonts w:ascii="Arial" w:hAnsi="Arial" w:cs="Arial"/>
          <w:sz w:val="24"/>
          <w:szCs w:val="20"/>
          <w:lang w:val="fr-FR"/>
        </w:rPr>
        <w:t xml:space="preserve"> </w:t>
      </w:r>
      <w:r w:rsidRPr="0011593E">
        <w:rPr>
          <w:rFonts w:ascii="Arial" w:hAnsi="Arial" w:cs="Arial"/>
          <w:sz w:val="24"/>
          <w:szCs w:val="20"/>
          <w:lang w:val="fr-FR"/>
        </w:rPr>
        <w:t>27-28) et des peines non privatives de liberté (art.48).</w:t>
      </w:r>
    </w:p>
    <w:sectPr w:rsidR="0011593E" w:rsidRPr="0011593E" w:rsidSect="00312889">
      <w:footerReference w:type="default" r:id="rId46"/>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5DC41" w14:textId="77777777" w:rsidR="00400134" w:rsidRDefault="00400134" w:rsidP="000C344C">
      <w:pPr>
        <w:spacing w:after="0" w:line="240" w:lineRule="auto"/>
      </w:pPr>
      <w:r>
        <w:separator/>
      </w:r>
    </w:p>
  </w:endnote>
  <w:endnote w:type="continuationSeparator" w:id="0">
    <w:p w14:paraId="4498C69E" w14:textId="77777777" w:rsidR="00400134" w:rsidRDefault="00400134" w:rsidP="000C3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00000000"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451229"/>
      <w:docPartObj>
        <w:docPartGallery w:val="Page Numbers (Bottom of Page)"/>
        <w:docPartUnique/>
      </w:docPartObj>
    </w:sdtPr>
    <w:sdtEndPr/>
    <w:sdtContent>
      <w:p w14:paraId="47A8F5AA" w14:textId="3C233AD8" w:rsidR="00400134" w:rsidRDefault="00400134">
        <w:pPr>
          <w:pStyle w:val="Footer"/>
          <w:jc w:val="right"/>
        </w:pPr>
        <w:r>
          <w:fldChar w:fldCharType="begin"/>
        </w:r>
        <w:r>
          <w:instrText>PAGE   \* MERGEFORMAT</w:instrText>
        </w:r>
        <w:r>
          <w:fldChar w:fldCharType="separate"/>
        </w:r>
        <w:r w:rsidR="00BC792C" w:rsidRPr="00BC792C">
          <w:rPr>
            <w:noProof/>
            <w:lang w:val="fr-FR"/>
          </w:rPr>
          <w:t>20</w:t>
        </w:r>
        <w:r>
          <w:fldChar w:fldCharType="end"/>
        </w:r>
      </w:p>
    </w:sdtContent>
  </w:sdt>
  <w:p w14:paraId="37E55AE4" w14:textId="77777777" w:rsidR="00400134" w:rsidRDefault="00400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2B38A" w14:textId="77777777" w:rsidR="00400134" w:rsidRDefault="00400134" w:rsidP="000C344C">
      <w:pPr>
        <w:spacing w:after="0" w:line="240" w:lineRule="auto"/>
      </w:pPr>
      <w:r>
        <w:separator/>
      </w:r>
    </w:p>
  </w:footnote>
  <w:footnote w:type="continuationSeparator" w:id="0">
    <w:p w14:paraId="6D16D833" w14:textId="77777777" w:rsidR="00400134" w:rsidRDefault="00400134" w:rsidP="000C344C">
      <w:pPr>
        <w:spacing w:after="0" w:line="240" w:lineRule="auto"/>
      </w:pPr>
      <w:r>
        <w:continuationSeparator/>
      </w:r>
    </w:p>
  </w:footnote>
  <w:footnote w:id="1">
    <w:p w14:paraId="12E4BBB3" w14:textId="77777777" w:rsidR="00400134" w:rsidRPr="00B874A4" w:rsidRDefault="00400134" w:rsidP="00903569">
      <w:pPr>
        <w:pStyle w:val="FootnoteText"/>
        <w:rPr>
          <w:rFonts w:ascii="Arial" w:hAnsi="Arial" w:cs="Arial"/>
          <w:lang w:val="fr-FR"/>
        </w:rPr>
      </w:pPr>
      <w:r w:rsidRPr="00B874A4">
        <w:rPr>
          <w:rStyle w:val="FootnoteReference"/>
          <w:rFonts w:ascii="Arial" w:hAnsi="Arial" w:cs="Arial"/>
        </w:rPr>
        <w:footnoteRef/>
      </w:r>
      <w:r w:rsidRPr="00B874A4">
        <w:rPr>
          <w:rFonts w:ascii="Arial" w:hAnsi="Arial" w:cs="Arial"/>
          <w:lang w:val="fr-FR"/>
        </w:rPr>
        <w:t xml:space="preserve"> ONU, Comité des droits de l’enfant, Observation générale n°10, op.cit., §58 : « </w:t>
      </w:r>
      <w:r w:rsidRPr="00B874A4">
        <w:rPr>
          <w:rFonts w:ascii="Arial" w:hAnsi="Arial" w:cs="Arial"/>
          <w:i/>
          <w:lang w:val="fr-FR"/>
        </w:rPr>
        <w:t>Un contrôle indépendant doit être exercé sur les méthodes d’interrogatoire afin de s’assurer que les éléments de preuve ont été fournis volontairement, et non sous la contrainte, compte tenu de l’ensemble des circonstances, et sont fiables. Lorsqu’il s’agit de déterminer le caractère volontaire et la fiabilité des déclarations ou aveux faits par l’enfant, le tribunal ou tout autre organe judiciaire doit tenir compte de l’âge de l’enfant, de la durée de la garde à vue et de l’interrogatoire, ainsi que de la présence du conseil juridique ou autre, du/des parent(s), ou des représentants indépendants de l’enfant.</w:t>
      </w:r>
      <w:r w:rsidRPr="00B874A4">
        <w:rPr>
          <w:rFonts w:ascii="Arial" w:hAnsi="Arial" w:cs="Arial"/>
          <w:lang w:val="fr-FR"/>
        </w:rPr>
        <w:t> » </w:t>
      </w:r>
    </w:p>
  </w:footnote>
  <w:footnote w:id="2">
    <w:p w14:paraId="6C017979" w14:textId="77777777" w:rsidR="00400134" w:rsidRPr="00B874A4" w:rsidRDefault="00400134" w:rsidP="00903569">
      <w:pPr>
        <w:pStyle w:val="FootnoteText"/>
        <w:rPr>
          <w:rFonts w:ascii="Arial" w:hAnsi="Arial" w:cs="Arial"/>
          <w:lang w:val="fr-FR"/>
        </w:rPr>
      </w:pPr>
      <w:r w:rsidRPr="00B874A4">
        <w:rPr>
          <w:rFonts w:ascii="Arial" w:hAnsi="Arial" w:cs="Arial"/>
          <w:vertAlign w:val="superscript"/>
        </w:rPr>
        <w:footnoteRef/>
      </w:r>
      <w:r w:rsidRPr="00B874A4">
        <w:rPr>
          <w:rFonts w:ascii="Arial" w:hAnsi="Arial" w:cs="Arial"/>
          <w:lang w:val="fr-FR"/>
        </w:rPr>
        <w:t xml:space="preserve"> FRA, Rapport « </w:t>
      </w:r>
      <w:r w:rsidRPr="00B874A4">
        <w:rPr>
          <w:rFonts w:ascii="Arial" w:hAnsi="Arial" w:cs="Arial"/>
          <w:i/>
          <w:lang w:val="fr-FR"/>
        </w:rPr>
        <w:t xml:space="preserve">Garanties en faveur des enfants impliqués dans des procédures pénales”, </w:t>
      </w:r>
      <w:r w:rsidRPr="00B874A4">
        <w:rPr>
          <w:rFonts w:ascii="Arial" w:hAnsi="Arial" w:cs="Arial"/>
          <w:lang w:val="fr-FR"/>
        </w:rPr>
        <w:t>op.cit., p.61 ; voir aussi</w:t>
      </w:r>
      <w:r w:rsidRPr="00B874A4">
        <w:rPr>
          <w:rFonts w:ascii="Arial" w:hAnsi="Arial" w:cs="Arial"/>
          <w:i/>
          <w:iCs/>
          <w:lang w:val="fr-FR"/>
        </w:rPr>
        <w:t xml:space="preserve">: </w:t>
      </w:r>
      <w:r w:rsidRPr="00B874A4">
        <w:rPr>
          <w:rFonts w:ascii="Arial" w:hAnsi="Arial" w:cs="Arial"/>
          <w:lang w:val="fr-FR"/>
        </w:rPr>
        <w:t>FRA (2019), Rapport « </w:t>
      </w:r>
      <w:r w:rsidRPr="00B874A4">
        <w:rPr>
          <w:rFonts w:ascii="Arial" w:hAnsi="Arial" w:cs="Arial"/>
          <w:i/>
          <w:lang w:val="fr-FR"/>
        </w:rPr>
        <w:t>Rights in practice: Access to a lawyer and procedural rights in criminal and European arrest warrant proceedings</w:t>
      </w:r>
      <w:r w:rsidRPr="00B874A4">
        <w:rPr>
          <w:rFonts w:ascii="Arial" w:hAnsi="Arial" w:cs="Arial"/>
          <w:lang w:val="fr-FR"/>
        </w:rPr>
        <w:t xml:space="preserve"> », 2019, p. 30</w:t>
      </w:r>
    </w:p>
  </w:footnote>
  <w:footnote w:id="3">
    <w:p w14:paraId="0F9E00AF" w14:textId="77777777" w:rsidR="00400134" w:rsidRPr="00B874A4" w:rsidRDefault="00400134" w:rsidP="00903569">
      <w:pPr>
        <w:pStyle w:val="FootnoteText"/>
        <w:rPr>
          <w:rFonts w:ascii="Arial" w:hAnsi="Arial" w:cs="Arial"/>
          <w:b/>
          <w:bCs/>
          <w:lang w:val="fr-FR"/>
        </w:rPr>
      </w:pPr>
      <w:r w:rsidRPr="00B874A4">
        <w:rPr>
          <w:rStyle w:val="FootnoteReference"/>
          <w:rFonts w:ascii="Arial" w:hAnsi="Arial" w:cs="Arial"/>
        </w:rPr>
        <w:footnoteRef/>
      </w:r>
      <w:r w:rsidRPr="00B874A4">
        <w:rPr>
          <w:rFonts w:ascii="Arial" w:hAnsi="Arial" w:cs="Arial"/>
          <w:lang w:val="fr-FR"/>
        </w:rPr>
        <w:t xml:space="preserve"> Projet de loi n°7992 relatif aux droits des mineurs victimes et témoins dans le cadre de la procédure pénale, art. 9 (1) « </w:t>
      </w:r>
      <w:r w:rsidRPr="00B874A4">
        <w:rPr>
          <w:rFonts w:ascii="Arial" w:hAnsi="Arial" w:cs="Arial"/>
          <w:i/>
          <w:lang w:val="fr-FR"/>
        </w:rPr>
        <w:t>Lorsque le prélèvement de cellules humaines aux fins de l’établissement d’un profil d’ADN</w:t>
      </w:r>
      <w:r w:rsidRPr="00B874A4">
        <w:rPr>
          <w:rFonts w:ascii="Arial" w:hAnsi="Arial" w:cs="Arial"/>
          <w:b/>
          <w:bCs/>
          <w:i/>
          <w:lang w:val="fr-FR"/>
        </w:rPr>
        <w:t xml:space="preserve"> </w:t>
      </w:r>
      <w:r w:rsidRPr="00B874A4">
        <w:rPr>
          <w:rFonts w:ascii="Arial" w:hAnsi="Arial" w:cs="Arial"/>
          <w:i/>
          <w:lang w:val="fr-FR"/>
        </w:rPr>
        <w:t>de comparaison est effectué sur un mineur victime ou témoin aux fins prévues par l’article 47-1 du Code de procédure pénale, ses représentants légaux ou la personne de confiance du mineur</w:t>
      </w:r>
      <w:r w:rsidRPr="00B874A4">
        <w:rPr>
          <w:rFonts w:ascii="Arial" w:hAnsi="Arial" w:cs="Arial"/>
          <w:b/>
          <w:bCs/>
          <w:i/>
          <w:lang w:val="fr-FR"/>
        </w:rPr>
        <w:t xml:space="preserve"> </w:t>
      </w:r>
      <w:r w:rsidRPr="00B874A4">
        <w:rPr>
          <w:rFonts w:ascii="Arial" w:hAnsi="Arial" w:cs="Arial"/>
          <w:i/>
          <w:lang w:val="fr-FR"/>
        </w:rPr>
        <w:t>ainsi que son avocat assistent au prélèvement sauf si le mineur refuse leur présence.</w:t>
      </w:r>
      <w:r w:rsidRPr="00B874A4">
        <w:rPr>
          <w:rFonts w:ascii="Arial" w:hAnsi="Arial" w:cs="Arial"/>
          <w:lang w:val="fr-FR"/>
        </w:rPr>
        <w:t> »</w:t>
      </w:r>
    </w:p>
  </w:footnote>
  <w:footnote w:id="4">
    <w:p w14:paraId="3B8CF871" w14:textId="77777777" w:rsidR="00400134" w:rsidRPr="00B874A4" w:rsidRDefault="00400134" w:rsidP="00385910">
      <w:pPr>
        <w:pStyle w:val="FootnoteText"/>
        <w:rPr>
          <w:rFonts w:ascii="Arial" w:hAnsi="Arial" w:cs="Arial"/>
          <w:lang w:val="fr-FR"/>
        </w:rPr>
      </w:pPr>
      <w:r w:rsidRPr="00B874A4">
        <w:rPr>
          <w:rStyle w:val="FootnoteReference"/>
          <w:rFonts w:ascii="Arial" w:hAnsi="Arial" w:cs="Arial"/>
        </w:rPr>
        <w:footnoteRef/>
      </w:r>
      <w:r w:rsidRPr="00B874A4">
        <w:rPr>
          <w:rFonts w:ascii="Arial" w:hAnsi="Arial" w:cs="Arial"/>
          <w:lang w:val="fr-FR"/>
        </w:rPr>
        <w:t xml:space="preserve"> GRETA, Réponse du Luxembourg au Questionnaire pour l’évaluation de la mise en œuvre de la Convention du Conseil de l’Europe sur la lutte contre la traite des âtres humains par les Etats parties, Troisième cycle d’évaluation, 2 mars 2021, p. 13, disponible sur </w:t>
      </w:r>
      <w:hyperlink r:id="rId1" w:history="1">
        <w:r w:rsidRPr="00B874A4">
          <w:rPr>
            <w:rStyle w:val="Hyperlink"/>
            <w:rFonts w:ascii="Arial" w:hAnsi="Arial" w:cs="Arial"/>
            <w:lang w:val="fr-FR"/>
          </w:rPr>
          <w:t>https://rm.coe.int/reponse-du-luxembourg-au-questionnaire-sur-la-mise-en-oeuvre-de-la-con/1680a363d1</w:t>
        </w:r>
      </w:hyperlink>
      <w:r w:rsidRPr="00B874A4">
        <w:rPr>
          <w:rFonts w:ascii="Arial" w:hAnsi="Arial" w:cs="Arial"/>
          <w:lang w:val="fr-FR"/>
        </w:rPr>
        <w:t xml:space="preserve"> </w:t>
      </w:r>
    </w:p>
  </w:footnote>
  <w:footnote w:id="5">
    <w:p w14:paraId="2A23C9BD" w14:textId="77777777" w:rsidR="00400134" w:rsidRPr="00B874A4" w:rsidRDefault="00400134" w:rsidP="00385910">
      <w:pPr>
        <w:pStyle w:val="FootnoteText"/>
        <w:rPr>
          <w:rFonts w:ascii="Arial" w:hAnsi="Arial" w:cs="Arial"/>
          <w:lang w:val="fr-FR"/>
        </w:rPr>
      </w:pPr>
      <w:r w:rsidRPr="00B874A4">
        <w:rPr>
          <w:rStyle w:val="FootnoteReference"/>
          <w:rFonts w:ascii="Arial" w:hAnsi="Arial" w:cs="Arial"/>
        </w:rPr>
        <w:footnoteRef/>
      </w:r>
      <w:r w:rsidRPr="00B874A4">
        <w:rPr>
          <w:rFonts w:ascii="Arial" w:hAnsi="Arial" w:cs="Arial"/>
          <w:lang w:val="fr-FR"/>
        </w:rPr>
        <w:t xml:space="preserve"> </w:t>
      </w:r>
      <w:r w:rsidRPr="00B874A4">
        <w:rPr>
          <w:rStyle w:val="markedcontent"/>
          <w:rFonts w:ascii="Arial" w:hAnsi="Arial" w:cs="Arial"/>
          <w:lang w:val="fr-FR"/>
        </w:rPr>
        <w:t xml:space="preserve">GRETA, Réponse du Luxembourg au Questionnaire pour l’évaluation de la mise en œuvre de la Convention du Conseil de l’Europe sur la lutte contre la traite des âtres humains par les Etats parties, Troisième cycle d’évaluation, 2 mars 2021, p. 15, disponible sur </w:t>
      </w:r>
      <w:hyperlink r:id="rId2" w:history="1">
        <w:r w:rsidRPr="00B874A4">
          <w:rPr>
            <w:rStyle w:val="Hyperlink"/>
            <w:rFonts w:ascii="Arial" w:hAnsi="Arial" w:cs="Arial"/>
            <w:lang w:val="fr-FR"/>
          </w:rPr>
          <w:t>https://rm.coe.int/reponse-du-luxembourg-au-questionnaire-sur-la-mise-en-oeuvre-de-la-con/1680a363d1</w:t>
        </w:r>
      </w:hyperlink>
      <w:r w:rsidRPr="00B874A4">
        <w:rPr>
          <w:rStyle w:val="markedcontent"/>
          <w:rFonts w:ascii="Arial" w:hAnsi="Arial" w:cs="Arial"/>
          <w:lang w:val="fr-FR"/>
        </w:rPr>
        <w:t xml:space="preserve">  </w:t>
      </w:r>
    </w:p>
  </w:footnote>
  <w:footnote w:id="6">
    <w:p w14:paraId="39FF2476" w14:textId="77777777" w:rsidR="00400134" w:rsidRPr="00B874A4" w:rsidRDefault="00400134" w:rsidP="0011593E">
      <w:pPr>
        <w:pStyle w:val="FootnoteText"/>
        <w:rPr>
          <w:rFonts w:ascii="Arial" w:hAnsi="Arial" w:cs="Arial"/>
          <w:lang w:val="fr-FR"/>
        </w:rPr>
      </w:pPr>
      <w:r w:rsidRPr="00B874A4">
        <w:rPr>
          <w:rStyle w:val="FootnoteReference"/>
          <w:rFonts w:ascii="Arial" w:hAnsi="Arial" w:cs="Arial"/>
        </w:rPr>
        <w:footnoteRef/>
      </w:r>
      <w:r w:rsidRPr="00B874A4">
        <w:rPr>
          <w:rFonts w:ascii="Arial" w:hAnsi="Arial" w:cs="Arial"/>
          <w:lang w:val="fr-FR"/>
        </w:rPr>
        <w:t xml:space="preserve"> </w:t>
      </w:r>
      <w:r w:rsidRPr="00B874A4">
        <w:fldChar w:fldCharType="begin"/>
      </w:r>
      <w:r w:rsidRPr="00B874A4">
        <w:rPr>
          <w:rFonts w:ascii="Arial" w:hAnsi="Arial" w:cs="Arial"/>
          <w:lang w:val="fr-FR"/>
          <w:rPrChange w:id="45" w:author="Gilbert Pregno" w:date="2023-03-18T06:21:00Z">
            <w:rPr/>
          </w:rPrChange>
        </w:rPr>
        <w:instrText>HYPERLINK "https://gouvernement.lu/dam-assets/documents/actualites/2018/12-decembre/Accord-de-coalition-2018-2023.pdf"</w:instrText>
      </w:r>
      <w:r w:rsidRPr="00B874A4">
        <w:fldChar w:fldCharType="separate"/>
      </w:r>
      <w:r w:rsidRPr="00B874A4">
        <w:rPr>
          <w:rStyle w:val="Hyperlink"/>
          <w:rFonts w:ascii="Arial" w:hAnsi="Arial" w:cs="Arial"/>
          <w:lang w:val="fr-FR"/>
        </w:rPr>
        <w:t>https://gouvernement.lu/dam-assets/documents/actualites/2018/12-decembre/Accord-de-coalition-2018-2023.pdf</w:t>
      </w:r>
      <w:r w:rsidRPr="00B874A4">
        <w:rPr>
          <w:rStyle w:val="Hyperlink"/>
          <w:rFonts w:ascii="Arial" w:hAnsi="Arial" w:cs="Arial"/>
          <w:lang w:val="fr-FR"/>
        </w:rPr>
        <w:fldChar w:fldCharType="end"/>
      </w:r>
      <w:r w:rsidRPr="00B874A4">
        <w:rPr>
          <w:rFonts w:ascii="Arial" w:hAnsi="Arial" w:cs="Arial"/>
          <w:lang w:val="fr-FR"/>
        </w:rPr>
        <w:t xml:space="preserve">   </w:t>
      </w:r>
    </w:p>
  </w:footnote>
  <w:footnote w:id="7">
    <w:p w14:paraId="0C26A3AE" w14:textId="77777777" w:rsidR="00400134" w:rsidRPr="00B874A4" w:rsidRDefault="00400134" w:rsidP="0011593E">
      <w:pPr>
        <w:pStyle w:val="FootnoteText"/>
        <w:rPr>
          <w:rFonts w:ascii="Arial" w:hAnsi="Arial" w:cs="Arial"/>
          <w:lang w:val="fr-FR"/>
        </w:rPr>
      </w:pPr>
      <w:r w:rsidRPr="00B874A4">
        <w:rPr>
          <w:rStyle w:val="FootnoteReference"/>
          <w:rFonts w:ascii="Arial" w:hAnsi="Arial" w:cs="Arial"/>
        </w:rPr>
        <w:footnoteRef/>
      </w:r>
      <w:r w:rsidRPr="00B874A4">
        <w:rPr>
          <w:rFonts w:ascii="Arial" w:hAnsi="Arial" w:cs="Arial"/>
          <w:lang w:val="fr-FR"/>
        </w:rPr>
        <w:t xml:space="preserve"> CCDH, avis n° 04/2015 sur le projet de loi 6779, pp. 8-9, disponible sur : </w:t>
      </w:r>
      <w:r w:rsidRPr="00B874A4">
        <w:fldChar w:fldCharType="begin"/>
      </w:r>
      <w:r w:rsidRPr="00B874A4">
        <w:rPr>
          <w:rFonts w:ascii="Arial" w:hAnsi="Arial" w:cs="Arial"/>
          <w:lang w:val="fr-LU"/>
          <w:rPrChange w:id="46" w:author="Gilbert Pregno" w:date="2023-03-18T06:21:00Z">
            <w:rPr/>
          </w:rPrChange>
        </w:rPr>
        <w:instrText>HYPERLINK "https://ccdh.public.lu/dam-assets/fr/avis/2015/avis-PL-6779.pdf"</w:instrText>
      </w:r>
      <w:r w:rsidRPr="00B874A4">
        <w:fldChar w:fldCharType="separate"/>
      </w:r>
      <w:r w:rsidRPr="00B874A4">
        <w:rPr>
          <w:rStyle w:val="Hyperlink"/>
          <w:rFonts w:ascii="Arial" w:hAnsi="Arial" w:cs="Arial"/>
          <w:lang w:val="fr-FR"/>
        </w:rPr>
        <w:t>https://ccdh.public.lu/dam-assets/fr/avis/2015/avis-PL-6779.pdf</w:t>
      </w:r>
      <w:r w:rsidRPr="00B874A4">
        <w:rPr>
          <w:rStyle w:val="Hyperlink"/>
          <w:rFonts w:ascii="Arial" w:hAnsi="Arial" w:cs="Arial"/>
          <w:lang w:val="fr-FR"/>
        </w:rPr>
        <w:fldChar w:fldCharType="end"/>
      </w:r>
      <w:r w:rsidRPr="00B874A4">
        <w:rPr>
          <w:rFonts w:ascii="Arial" w:hAnsi="Arial" w:cs="Arial"/>
          <w:lang w:val="fr-FR"/>
        </w:rPr>
        <w:t xml:space="preserve">   </w:t>
      </w:r>
    </w:p>
  </w:footnote>
  <w:footnote w:id="8">
    <w:p w14:paraId="4161F166" w14:textId="77777777" w:rsidR="00400134" w:rsidRPr="00B874A4" w:rsidRDefault="00400134" w:rsidP="0011593E">
      <w:pPr>
        <w:pStyle w:val="FootnoteText"/>
        <w:rPr>
          <w:rFonts w:ascii="Arial" w:hAnsi="Arial" w:cs="Arial"/>
          <w:lang w:val="fr-FR"/>
        </w:rPr>
      </w:pPr>
      <w:r w:rsidRPr="00B874A4">
        <w:rPr>
          <w:rStyle w:val="FootnoteReference"/>
          <w:rFonts w:ascii="Arial" w:hAnsi="Arial" w:cs="Arial"/>
        </w:rPr>
        <w:footnoteRef/>
      </w:r>
      <w:r w:rsidRPr="00B874A4">
        <w:rPr>
          <w:rFonts w:ascii="Arial" w:hAnsi="Arial" w:cs="Arial"/>
          <w:lang w:val="fr-FR"/>
        </w:rPr>
        <w:t xml:space="preserve"> Guillaume Chassaing, </w:t>
      </w:r>
      <w:r w:rsidRPr="00B874A4">
        <w:rPr>
          <w:rFonts w:ascii="Arial" w:hAnsi="Arial" w:cs="Arial"/>
          <w:i/>
          <w:iCs/>
          <w:lang w:val="fr-FR"/>
        </w:rPr>
        <w:t>Asile : 2047 demandeurs en 2019</w:t>
      </w:r>
      <w:r w:rsidRPr="00B874A4">
        <w:rPr>
          <w:rFonts w:ascii="Arial" w:hAnsi="Arial" w:cs="Arial"/>
          <w:lang w:val="fr-FR"/>
        </w:rPr>
        <w:t xml:space="preserve">, Le Quotidien, 11 février 2020, disponible sur : https://ronnendesch.lu/wp-content/uploads/2020/02/Le-Quotidien_E-Paper-Ausgabe_Le-Quotidien_Dienstag-11-Februar-2020.pdf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D7334"/>
    <w:multiLevelType w:val="hybridMultilevel"/>
    <w:tmpl w:val="1D327F34"/>
    <w:lvl w:ilvl="0" w:tplc="0409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D147301"/>
    <w:multiLevelType w:val="hybridMultilevel"/>
    <w:tmpl w:val="2FB6DB6A"/>
    <w:lvl w:ilvl="0" w:tplc="F5E4EF6C">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327CCC"/>
    <w:multiLevelType w:val="hybridMultilevel"/>
    <w:tmpl w:val="3E7EB5AE"/>
    <w:lvl w:ilvl="0" w:tplc="2A569D84">
      <w:start w:val="1"/>
      <w:numFmt w:val="upperLetter"/>
      <w:pStyle w:val="Heading2"/>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937177881">
    <w:abstractNumId w:val="1"/>
  </w:num>
  <w:num w:numId="2" w16cid:durableId="2139376353">
    <w:abstractNumId w:val="2"/>
  </w:num>
  <w:num w:numId="3" w16cid:durableId="746221988">
    <w:abstractNumId w:val="0"/>
  </w:num>
  <w:num w:numId="4" w16cid:durableId="158813881">
    <w:abstractNumId w:val="2"/>
    <w:lvlOverride w:ilvl="0">
      <w:startOverride w:val="3"/>
    </w:lvlOverride>
  </w:num>
  <w:num w:numId="5" w16cid:durableId="1276519052">
    <w:abstractNumId w:val="2"/>
  </w:num>
  <w:num w:numId="6" w16cid:durableId="418331666">
    <w:abstractNumId w:val="2"/>
    <w:lvlOverride w:ilvl="0">
      <w:startOverride w:val="26"/>
    </w:lvlOverride>
  </w:num>
  <w:num w:numId="7" w16cid:durableId="1009334274">
    <w:abstractNumId w:val="2"/>
    <w:lvlOverride w:ilvl="0">
      <w:startOverride w:val="28"/>
    </w:lvlOverride>
  </w:num>
  <w:num w:numId="8" w16cid:durableId="110325226">
    <w:abstractNumId w:val="2"/>
  </w:num>
  <w:num w:numId="9" w16cid:durableId="1839072692">
    <w:abstractNumId w:val="2"/>
    <w:lvlOverride w:ilvl="0">
      <w:startOverride w:val="33"/>
    </w:lvlOverride>
  </w:num>
  <w:num w:numId="10" w16cid:durableId="1937706203">
    <w:abstractNumId w:val="2"/>
    <w:lvlOverride w:ilvl="0">
      <w:startOverride w:val="35"/>
    </w:lvlOverride>
  </w:num>
  <w:num w:numId="11" w16cid:durableId="166094535">
    <w:abstractNumId w:val="2"/>
    <w:lvlOverride w:ilvl="0">
      <w:startOverride w:val="44"/>
    </w:lvlOverride>
  </w:num>
  <w:num w:numId="12" w16cid:durableId="1093823367">
    <w:abstractNumId w:val="2"/>
    <w:lvlOverride w:ilvl="0">
      <w:startOverride w:val="20"/>
    </w:lvlOverride>
  </w:num>
  <w:num w:numId="13" w16cid:durableId="1475952218">
    <w:abstractNumId w:val="2"/>
    <w:lvlOverride w:ilvl="0">
      <w:startOverride w:val="12"/>
    </w:lvlOverride>
  </w:num>
  <w:num w:numId="14" w16cid:durableId="1808860762">
    <w:abstractNumId w:val="2"/>
    <w:lvlOverride w:ilvl="0">
      <w:startOverride w:val="17"/>
    </w:lvlOverride>
  </w:num>
  <w:num w:numId="15" w16cid:durableId="1511216134">
    <w:abstractNumId w:val="2"/>
    <w:lvlOverride w:ilvl="0">
      <w:startOverride w:val="32"/>
    </w:lvlOverride>
  </w:num>
  <w:num w:numId="16" w16cid:durableId="725759232">
    <w:abstractNumId w:val="2"/>
    <w:lvlOverride w:ilvl="0">
      <w:startOverride w:val="37"/>
    </w:lvlOverride>
  </w:num>
  <w:num w:numId="17" w16cid:durableId="1725370552">
    <w:abstractNumId w:val="2"/>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ilbert Pregno">
    <w15:presenceInfo w15:providerId="Windows Live" w15:userId="d5ee814a82e650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ctiveWritingStyle w:appName="MSWord" w:lang="fr-FR" w:vendorID="64" w:dllVersion="6" w:nlCheck="1" w:checkStyle="0"/>
  <w:activeWritingStyle w:appName="MSWord" w:lang="de-DE" w:vendorID="64" w:dllVersion="6" w:nlCheck="1" w:checkStyle="0"/>
  <w:activeWritingStyle w:appName="MSWord" w:lang="en-US" w:vendorID="64" w:dllVersion="6" w:nlCheck="1" w:checkStyle="1"/>
  <w:activeWritingStyle w:appName="MSWord" w:lang="fr-FR" w:vendorID="64" w:dllVersion="0" w:nlCheck="1" w:checkStyle="0"/>
  <w:activeWritingStyle w:appName="MSWord" w:lang="en-US" w:vendorID="64" w:dllVersion="0" w:nlCheck="1" w:checkStyle="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081"/>
    <w:rsid w:val="00025C4F"/>
    <w:rsid w:val="00062A88"/>
    <w:rsid w:val="00077BB5"/>
    <w:rsid w:val="000C344C"/>
    <w:rsid w:val="000E723B"/>
    <w:rsid w:val="00103A53"/>
    <w:rsid w:val="00106D54"/>
    <w:rsid w:val="00113F8D"/>
    <w:rsid w:val="0011593E"/>
    <w:rsid w:val="00123397"/>
    <w:rsid w:val="00123EE6"/>
    <w:rsid w:val="00126805"/>
    <w:rsid w:val="001435E2"/>
    <w:rsid w:val="00182690"/>
    <w:rsid w:val="001871D7"/>
    <w:rsid w:val="001946C6"/>
    <w:rsid w:val="001A0002"/>
    <w:rsid w:val="001A2A6B"/>
    <w:rsid w:val="001A78A2"/>
    <w:rsid w:val="001F659E"/>
    <w:rsid w:val="00202169"/>
    <w:rsid w:val="00216222"/>
    <w:rsid w:val="0022094C"/>
    <w:rsid w:val="002333DE"/>
    <w:rsid w:val="00262B79"/>
    <w:rsid w:val="002B0C57"/>
    <w:rsid w:val="002C4F7A"/>
    <w:rsid w:val="002D6B38"/>
    <w:rsid w:val="002F5C52"/>
    <w:rsid w:val="003016FA"/>
    <w:rsid w:val="00312889"/>
    <w:rsid w:val="0033100B"/>
    <w:rsid w:val="00332D0B"/>
    <w:rsid w:val="003774CA"/>
    <w:rsid w:val="0038320E"/>
    <w:rsid w:val="00385910"/>
    <w:rsid w:val="003909B9"/>
    <w:rsid w:val="003B4078"/>
    <w:rsid w:val="003C23B5"/>
    <w:rsid w:val="003C4F8A"/>
    <w:rsid w:val="003D0ECD"/>
    <w:rsid w:val="003D650D"/>
    <w:rsid w:val="003D71D8"/>
    <w:rsid w:val="00400134"/>
    <w:rsid w:val="00402E35"/>
    <w:rsid w:val="00440940"/>
    <w:rsid w:val="00450C9A"/>
    <w:rsid w:val="00471A2A"/>
    <w:rsid w:val="004C7DA9"/>
    <w:rsid w:val="004F5C0E"/>
    <w:rsid w:val="0050719B"/>
    <w:rsid w:val="005245E8"/>
    <w:rsid w:val="00524B02"/>
    <w:rsid w:val="00525C14"/>
    <w:rsid w:val="00547C58"/>
    <w:rsid w:val="005D2220"/>
    <w:rsid w:val="00644043"/>
    <w:rsid w:val="006567C7"/>
    <w:rsid w:val="00661EA1"/>
    <w:rsid w:val="006B55FD"/>
    <w:rsid w:val="00702196"/>
    <w:rsid w:val="00754CCA"/>
    <w:rsid w:val="0076412B"/>
    <w:rsid w:val="0077135E"/>
    <w:rsid w:val="00781197"/>
    <w:rsid w:val="007A3BC3"/>
    <w:rsid w:val="007B3E0D"/>
    <w:rsid w:val="007B5CA7"/>
    <w:rsid w:val="007B794E"/>
    <w:rsid w:val="007C0A02"/>
    <w:rsid w:val="007C5D11"/>
    <w:rsid w:val="007E36ED"/>
    <w:rsid w:val="007E7231"/>
    <w:rsid w:val="007E7B75"/>
    <w:rsid w:val="00826FE9"/>
    <w:rsid w:val="00846E2C"/>
    <w:rsid w:val="00850A40"/>
    <w:rsid w:val="008547F1"/>
    <w:rsid w:val="0086220F"/>
    <w:rsid w:val="008A6F86"/>
    <w:rsid w:val="008C2990"/>
    <w:rsid w:val="008C2A10"/>
    <w:rsid w:val="008D7869"/>
    <w:rsid w:val="0090075C"/>
    <w:rsid w:val="00903569"/>
    <w:rsid w:val="009059C1"/>
    <w:rsid w:val="00916011"/>
    <w:rsid w:val="00953C64"/>
    <w:rsid w:val="00960374"/>
    <w:rsid w:val="00991931"/>
    <w:rsid w:val="0099726A"/>
    <w:rsid w:val="009C568B"/>
    <w:rsid w:val="009F5900"/>
    <w:rsid w:val="009F7D04"/>
    <w:rsid w:val="00A13D54"/>
    <w:rsid w:val="00A5492F"/>
    <w:rsid w:val="00A665F3"/>
    <w:rsid w:val="00A722A0"/>
    <w:rsid w:val="00AA591B"/>
    <w:rsid w:val="00AD4412"/>
    <w:rsid w:val="00AE2515"/>
    <w:rsid w:val="00B038C8"/>
    <w:rsid w:val="00B16484"/>
    <w:rsid w:val="00B31FE4"/>
    <w:rsid w:val="00B55762"/>
    <w:rsid w:val="00B626AE"/>
    <w:rsid w:val="00B67A28"/>
    <w:rsid w:val="00B80ADD"/>
    <w:rsid w:val="00B82B99"/>
    <w:rsid w:val="00B874A4"/>
    <w:rsid w:val="00BB729D"/>
    <w:rsid w:val="00BC792C"/>
    <w:rsid w:val="00BD0F73"/>
    <w:rsid w:val="00BE5435"/>
    <w:rsid w:val="00C019C6"/>
    <w:rsid w:val="00C0719D"/>
    <w:rsid w:val="00C40081"/>
    <w:rsid w:val="00C82EAB"/>
    <w:rsid w:val="00D06B92"/>
    <w:rsid w:val="00D33C6C"/>
    <w:rsid w:val="00D34F36"/>
    <w:rsid w:val="00D7784C"/>
    <w:rsid w:val="00D96F82"/>
    <w:rsid w:val="00DB6C4D"/>
    <w:rsid w:val="00DF660F"/>
    <w:rsid w:val="00E332B8"/>
    <w:rsid w:val="00E34F7A"/>
    <w:rsid w:val="00E45E41"/>
    <w:rsid w:val="00E63AA6"/>
    <w:rsid w:val="00E70DA9"/>
    <w:rsid w:val="00E96D4E"/>
    <w:rsid w:val="00EB487F"/>
    <w:rsid w:val="00EB52F1"/>
    <w:rsid w:val="00EE546D"/>
    <w:rsid w:val="00EF0A1E"/>
    <w:rsid w:val="00EF39E0"/>
    <w:rsid w:val="00F040A8"/>
    <w:rsid w:val="00F04329"/>
    <w:rsid w:val="00F234A4"/>
    <w:rsid w:val="00F70615"/>
    <w:rsid w:val="00F80E24"/>
    <w:rsid w:val="00FA04C4"/>
    <w:rsid w:val="00FE19B9"/>
    <w:rsid w:val="00FE45F9"/>
    <w:rsid w:val="00FE5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54EC8"/>
  <w15:docId w15:val="{8203C8DA-62AF-453F-97E5-A9F5A8A02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524B02"/>
    <w:pPr>
      <w:numPr>
        <w:numId w:val="1"/>
      </w:numPr>
      <w:outlineLvl w:val="0"/>
    </w:pPr>
    <w:rPr>
      <w:rFonts w:ascii="Arial" w:hAnsi="Arial" w:cs="Arial"/>
      <w:b/>
      <w:sz w:val="24"/>
      <w:szCs w:val="24"/>
      <w:u w:val="single"/>
      <w:lang w:val="fr-FR"/>
    </w:rPr>
  </w:style>
  <w:style w:type="paragraph" w:styleId="Heading2">
    <w:name w:val="heading 2"/>
    <w:basedOn w:val="ListParagraph"/>
    <w:next w:val="Normal"/>
    <w:link w:val="Heading2Char"/>
    <w:uiPriority w:val="9"/>
    <w:unhideWhenUsed/>
    <w:qFormat/>
    <w:rsid w:val="00123397"/>
    <w:pPr>
      <w:numPr>
        <w:numId w:val="8"/>
      </w:numPr>
      <w:jc w:val="both"/>
      <w:outlineLvl w:val="1"/>
    </w:pPr>
    <w:rPr>
      <w:rFonts w:ascii="Arial" w:hAnsi="Arial" w:cs="Arial"/>
      <w:b/>
      <w:sz w:val="24"/>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00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081"/>
    <w:rPr>
      <w:rFonts w:ascii="Tahoma" w:hAnsi="Tahoma" w:cs="Tahoma"/>
      <w:sz w:val="16"/>
      <w:szCs w:val="16"/>
    </w:rPr>
  </w:style>
  <w:style w:type="paragraph" w:styleId="ListParagraph">
    <w:name w:val="List Paragraph"/>
    <w:basedOn w:val="Normal"/>
    <w:uiPriority w:val="34"/>
    <w:qFormat/>
    <w:rsid w:val="00C40081"/>
    <w:pPr>
      <w:ind w:left="720"/>
      <w:contextualSpacing/>
    </w:pPr>
  </w:style>
  <w:style w:type="character" w:styleId="CommentReference">
    <w:name w:val="annotation reference"/>
    <w:basedOn w:val="DefaultParagraphFont"/>
    <w:unhideWhenUsed/>
    <w:rsid w:val="001946C6"/>
    <w:rPr>
      <w:sz w:val="16"/>
      <w:szCs w:val="16"/>
    </w:rPr>
  </w:style>
  <w:style w:type="paragraph" w:styleId="CommentText">
    <w:name w:val="annotation text"/>
    <w:basedOn w:val="Normal"/>
    <w:link w:val="CommentTextChar"/>
    <w:uiPriority w:val="99"/>
    <w:unhideWhenUsed/>
    <w:rsid w:val="001946C6"/>
    <w:pPr>
      <w:spacing w:line="240" w:lineRule="auto"/>
    </w:pPr>
    <w:rPr>
      <w:sz w:val="20"/>
      <w:szCs w:val="20"/>
    </w:rPr>
  </w:style>
  <w:style w:type="character" w:customStyle="1" w:styleId="CommentTextChar">
    <w:name w:val="Comment Text Char"/>
    <w:basedOn w:val="DefaultParagraphFont"/>
    <w:link w:val="CommentText"/>
    <w:uiPriority w:val="99"/>
    <w:rsid w:val="001946C6"/>
    <w:rPr>
      <w:sz w:val="20"/>
      <w:szCs w:val="20"/>
    </w:rPr>
  </w:style>
  <w:style w:type="paragraph" w:styleId="CommentSubject">
    <w:name w:val="annotation subject"/>
    <w:basedOn w:val="CommentText"/>
    <w:next w:val="CommentText"/>
    <w:link w:val="CommentSubjectChar"/>
    <w:uiPriority w:val="99"/>
    <w:semiHidden/>
    <w:unhideWhenUsed/>
    <w:rsid w:val="001946C6"/>
    <w:rPr>
      <w:b/>
      <w:bCs/>
    </w:rPr>
  </w:style>
  <w:style w:type="character" w:customStyle="1" w:styleId="CommentSubjectChar">
    <w:name w:val="Comment Subject Char"/>
    <w:basedOn w:val="CommentTextChar"/>
    <w:link w:val="CommentSubject"/>
    <w:uiPriority w:val="99"/>
    <w:semiHidden/>
    <w:rsid w:val="001946C6"/>
    <w:rPr>
      <w:b/>
      <w:bCs/>
      <w:sz w:val="20"/>
      <w:szCs w:val="20"/>
    </w:rPr>
  </w:style>
  <w:style w:type="paragraph" w:styleId="FootnoteText">
    <w:name w:val="footnote text"/>
    <w:aliases w:val="5_G,fn,Footnotes,Footnote ak,ft,fn cafc,Footnote Text Char1,fn Char Char,footnote text Char Char,Footnotes Char Char,Footnote ak Char Char,Footnote Text Char1 Char,fn Char1 Char,footnote text Char1 Char,footnote text,C,Char"/>
    <w:basedOn w:val="Normal"/>
    <w:link w:val="FootnoteTextChar"/>
    <w:uiPriority w:val="99"/>
    <w:unhideWhenUsed/>
    <w:qFormat/>
    <w:rsid w:val="000C344C"/>
    <w:pPr>
      <w:spacing w:after="0" w:line="240" w:lineRule="auto"/>
    </w:pPr>
    <w:rPr>
      <w:sz w:val="20"/>
      <w:szCs w:val="20"/>
    </w:rPr>
  </w:style>
  <w:style w:type="character" w:customStyle="1" w:styleId="FootnoteTextChar">
    <w:name w:val="Footnote Text Char"/>
    <w:aliases w:val="5_G Char,fn Char,Footnotes Char,Footnote ak Char,ft Char,fn cafc Char,Footnote Text Char1 Char1,fn Char Char Char,footnote text Char Char Char,Footnotes Char Char Char,Footnote ak Char Char Char,Footnote Text Char1 Char Char,C Char"/>
    <w:basedOn w:val="DefaultParagraphFont"/>
    <w:link w:val="FootnoteText"/>
    <w:uiPriority w:val="99"/>
    <w:rsid w:val="000C344C"/>
    <w:rPr>
      <w:sz w:val="20"/>
      <w:szCs w:val="20"/>
    </w:rPr>
  </w:style>
  <w:style w:type="character" w:styleId="FootnoteReference">
    <w:name w:val="footnote reference"/>
    <w:aliases w:val="4_G,Ref,de nota al pie,Texto de nota al pie,Appel note de bas de page,Footnotes refss,Footnote number,referencia nota al pie,BVI fnr,f,16 Point,Superscript 6 Point,Ref. de nota al pi,Appel note de bas de...,Ref. de nota al pie 2"/>
    <w:basedOn w:val="DefaultParagraphFont"/>
    <w:link w:val="4GCharChar"/>
    <w:uiPriority w:val="99"/>
    <w:unhideWhenUsed/>
    <w:qFormat/>
    <w:rsid w:val="000C344C"/>
    <w:rPr>
      <w:vertAlign w:val="superscript"/>
    </w:rPr>
  </w:style>
  <w:style w:type="character" w:styleId="Hyperlink">
    <w:name w:val="Hyperlink"/>
    <w:basedOn w:val="DefaultParagraphFont"/>
    <w:uiPriority w:val="99"/>
    <w:unhideWhenUsed/>
    <w:rsid w:val="003909B9"/>
    <w:rPr>
      <w:color w:val="0000FF" w:themeColor="hyperlink"/>
      <w:u w:val="single"/>
    </w:rPr>
  </w:style>
  <w:style w:type="paragraph" w:styleId="Header">
    <w:name w:val="header"/>
    <w:basedOn w:val="Normal"/>
    <w:link w:val="HeaderChar"/>
    <w:uiPriority w:val="99"/>
    <w:unhideWhenUsed/>
    <w:rsid w:val="002F5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C52"/>
  </w:style>
  <w:style w:type="paragraph" w:styleId="Footer">
    <w:name w:val="footer"/>
    <w:basedOn w:val="Normal"/>
    <w:link w:val="FooterChar"/>
    <w:uiPriority w:val="99"/>
    <w:unhideWhenUsed/>
    <w:rsid w:val="002F5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C52"/>
  </w:style>
  <w:style w:type="character" w:customStyle="1" w:styleId="Heading2Char">
    <w:name w:val="Heading 2 Char"/>
    <w:basedOn w:val="DefaultParagraphFont"/>
    <w:link w:val="Heading2"/>
    <w:uiPriority w:val="9"/>
    <w:rsid w:val="00123397"/>
    <w:rPr>
      <w:rFonts w:ascii="Arial" w:hAnsi="Arial" w:cs="Arial"/>
      <w:b/>
      <w:sz w:val="24"/>
      <w:szCs w:val="24"/>
      <w:lang w:val="fr-FR"/>
    </w:rPr>
  </w:style>
  <w:style w:type="paragraph" w:customStyle="1" w:styleId="4GCharChar">
    <w:name w:val="4_G Char Char"/>
    <w:aliases w:val="Appel note de bas de page Char Char,Appel note de bas de page Char Char Char Char Char Char Char Char Char Char Char Char Char Char Char Char Char Char Char Char"/>
    <w:basedOn w:val="Normal"/>
    <w:link w:val="FootnoteReference"/>
    <w:uiPriority w:val="99"/>
    <w:rsid w:val="00385910"/>
    <w:pPr>
      <w:spacing w:after="0" w:line="240" w:lineRule="auto"/>
      <w:jc w:val="both"/>
    </w:pPr>
    <w:rPr>
      <w:vertAlign w:val="superscript"/>
    </w:rPr>
  </w:style>
  <w:style w:type="character" w:customStyle="1" w:styleId="markedcontent">
    <w:name w:val="markedcontent"/>
    <w:basedOn w:val="DefaultParagraphFont"/>
    <w:rsid w:val="00385910"/>
  </w:style>
  <w:style w:type="character" w:customStyle="1" w:styleId="Heading1Char">
    <w:name w:val="Heading 1 Char"/>
    <w:basedOn w:val="DefaultParagraphFont"/>
    <w:link w:val="Heading1"/>
    <w:uiPriority w:val="9"/>
    <w:rsid w:val="00524B02"/>
    <w:rPr>
      <w:rFonts w:ascii="Arial" w:hAnsi="Arial" w:cs="Arial"/>
      <w:b/>
      <w:sz w:val="24"/>
      <w:szCs w:val="24"/>
      <w:u w:val="single"/>
      <w:lang w:val="fr-FR"/>
    </w:rPr>
  </w:style>
  <w:style w:type="table" w:styleId="TableGrid">
    <w:name w:val="Table Grid"/>
    <w:basedOn w:val="TableNormal"/>
    <w:uiPriority w:val="39"/>
    <w:rsid w:val="00524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E546D"/>
    <w:pPr>
      <w:keepNext/>
      <w:keepLines/>
      <w:numPr>
        <w:numId w:val="0"/>
      </w:numPr>
      <w:spacing w:before="240" w:after="0" w:line="259" w:lineRule="auto"/>
      <w:contextualSpacing w:val="0"/>
      <w:outlineLvl w:val="9"/>
    </w:pPr>
    <w:rPr>
      <w:rFonts w:asciiTheme="majorHAnsi" w:eastAsiaTheme="majorEastAsia" w:hAnsiTheme="majorHAnsi" w:cstheme="majorBidi"/>
      <w:b w:val="0"/>
      <w:color w:val="365F91" w:themeColor="accent1" w:themeShade="BF"/>
      <w:sz w:val="32"/>
      <w:szCs w:val="32"/>
      <w:u w:val="none"/>
      <w:lang w:val="en-US"/>
    </w:rPr>
  </w:style>
  <w:style w:type="paragraph" w:styleId="TOC1">
    <w:name w:val="toc 1"/>
    <w:basedOn w:val="Normal"/>
    <w:next w:val="Normal"/>
    <w:autoRedefine/>
    <w:uiPriority w:val="39"/>
    <w:unhideWhenUsed/>
    <w:rsid w:val="00EE546D"/>
    <w:pPr>
      <w:spacing w:after="100"/>
    </w:pPr>
  </w:style>
  <w:style w:type="paragraph" w:styleId="TOC2">
    <w:name w:val="toc 2"/>
    <w:basedOn w:val="Normal"/>
    <w:next w:val="Normal"/>
    <w:autoRedefine/>
    <w:uiPriority w:val="39"/>
    <w:unhideWhenUsed/>
    <w:rsid w:val="00EE546D"/>
    <w:pPr>
      <w:spacing w:after="100"/>
      <w:ind w:left="220"/>
    </w:pPr>
  </w:style>
  <w:style w:type="character" w:styleId="FollowedHyperlink">
    <w:name w:val="FollowedHyperlink"/>
    <w:basedOn w:val="DefaultParagraphFont"/>
    <w:uiPriority w:val="99"/>
    <w:semiHidden/>
    <w:unhideWhenUsed/>
    <w:rsid w:val="00450C9A"/>
    <w:rPr>
      <w:color w:val="800080" w:themeColor="followedHyperlink"/>
      <w:u w:val="single"/>
    </w:rPr>
  </w:style>
  <w:style w:type="paragraph" w:styleId="Revision">
    <w:name w:val="Revision"/>
    <w:hidden/>
    <w:uiPriority w:val="99"/>
    <w:semiHidden/>
    <w:rsid w:val="00B557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12322">
      <w:bodyDiv w:val="1"/>
      <w:marLeft w:val="0"/>
      <w:marRight w:val="0"/>
      <w:marTop w:val="0"/>
      <w:marBottom w:val="0"/>
      <w:divBdr>
        <w:top w:val="none" w:sz="0" w:space="0" w:color="auto"/>
        <w:left w:val="none" w:sz="0" w:space="0" w:color="auto"/>
        <w:bottom w:val="none" w:sz="0" w:space="0" w:color="auto"/>
        <w:right w:val="none" w:sz="0" w:space="0" w:color="auto"/>
      </w:divBdr>
    </w:div>
    <w:div w:id="1554924289">
      <w:bodyDiv w:val="1"/>
      <w:marLeft w:val="0"/>
      <w:marRight w:val="0"/>
      <w:marTop w:val="0"/>
      <w:marBottom w:val="0"/>
      <w:divBdr>
        <w:top w:val="none" w:sz="0" w:space="0" w:color="auto"/>
        <w:left w:val="none" w:sz="0" w:space="0" w:color="auto"/>
        <w:bottom w:val="none" w:sz="0" w:space="0" w:color="auto"/>
        <w:right w:val="none" w:sz="0" w:space="0" w:color="auto"/>
      </w:divBdr>
    </w:div>
    <w:div w:id="192672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cdh.public.lu/dam-assets/dossiers_th%C3%A9matiques/prison/avis/2022/avis-sur-le-projet-de-rglement-grand-ducal-portant-organisation-des-rgimes-internes-des-centres-pnitentiaires-2-le-projet-de-rglement-grand-ducal-portant-organisation-des-rgimes-de-dtention-pnale-pour-mineurs.pdf" TargetMode="External"/><Relationship Id="rId18" Type="http://schemas.openxmlformats.org/officeDocument/2006/relationships/hyperlink" Target="https://www.chd.lu/fr/dossier/7992" TargetMode="External"/><Relationship Id="rId26" Type="http://schemas.openxmlformats.org/officeDocument/2006/relationships/hyperlink" Target="https://wdocs-pub.chd.lu/docs/exped/0130/017/260179.pdf" TargetMode="External"/><Relationship Id="rId39" Type="http://schemas.openxmlformats.org/officeDocument/2006/relationships/hyperlink" Target="https://wp.unil.ch/space/files/2022/05/Aebi-Cocco-Molnar-Tiago_2022_Prisons-and-Prisoners-in-Europe-2021_Key-Findings-SPACE-I_-220404.pdf" TargetMode="External"/><Relationship Id="rId21" Type="http://schemas.openxmlformats.org/officeDocument/2006/relationships/hyperlink" Target="https://ccdh.public.lu/content/dam/ccdh/dossiers_th%C3%A9matiques/traite_des_%C3%AAtres_humains/rapports/Rapport-TEH3-03122021-FINAL.pdf" TargetMode="External"/><Relationship Id="rId34" Type="http://schemas.openxmlformats.org/officeDocument/2006/relationships/hyperlink" Target="https://7fbd6c04-47c2-4b9a-859a-d3933d784078.filesusr.com/ugd/837f1b_37a91b149f724724bef3564c8b2c59a7.pdf" TargetMode="External"/><Relationship Id="rId42" Type="http://schemas.openxmlformats.org/officeDocument/2006/relationships/hyperlink" Target="https://search.coe.int/cm/Pages/result_details.aspx?ObjectId=09000016805c9de8"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docs-pub.chd.lu/docs/exped/0130/017/260179.pdf" TargetMode="External"/><Relationship Id="rId29" Type="http://schemas.openxmlformats.org/officeDocument/2006/relationships/hyperlink" Target="https://www.chd.lu/fr/dossier/7994" TargetMode="External"/><Relationship Id="rId11" Type="http://schemas.openxmlformats.org/officeDocument/2006/relationships/hyperlink" Target="https://data.legilux.public.lu/filestore/eli/etat/projet/pr/20220032/doc/1/fr/1/pdf/manifestation/eli-etat-projet-pr-20220032-doc-1-fr-1-pdf-manifestation.pdf" TargetMode="External"/><Relationship Id="rId24" Type="http://schemas.openxmlformats.org/officeDocument/2006/relationships/hyperlink" Target="https://data.legilux.public.lu/filestore/eli/etat/projet/pr/20220162/doc/1/fr/1/pdf/manifestation/eli-etat-projet-pr-20220162-doc-1-fr-1-pdf-manifestation.pdf" TargetMode="External"/><Relationship Id="rId32" Type="http://schemas.openxmlformats.org/officeDocument/2006/relationships/hyperlink" Target="https://ronnendesch.lu/wp-content/uploads/2019/10/De%CC%81f-Recommandations-.pdf" TargetMode="External"/><Relationship Id="rId37" Type="http://schemas.openxmlformats.org/officeDocument/2006/relationships/hyperlink" Target="https://ccdh.public.lu/dam-assets/dossiers_th%C3%A9matiques/traite_des_%C3%AAtres_humains/rapports/Rapport-TEH3-03122021-FINAL.pdf" TargetMode="External"/><Relationship Id="rId40" Type="http://schemas.openxmlformats.org/officeDocument/2006/relationships/hyperlink" Target="https://justice.public.lu/fr/publications/juridictions-judiciaires/rapports-juridictions-judiciaires-2021.html" TargetMode="External"/><Relationship Id="rId45" Type="http://schemas.openxmlformats.org/officeDocument/2006/relationships/hyperlink" Target="https://wdocs-pub.chd.lu/docs/exped/0123/143/247432.pdf" TargetMode="External"/><Relationship Id="rId5" Type="http://schemas.openxmlformats.org/officeDocument/2006/relationships/webSettings" Target="webSettings.xml"/><Relationship Id="rId15" Type="http://schemas.openxmlformats.org/officeDocument/2006/relationships/hyperlink" Target="https://ccdh.public.lu/dam-assets/dossiers_th%C3%A9matiques/prison/avis/2022/avis-sur-le-projet-de-rglement-grand-ducal-portant-organisation-des-rgimes-internes-des-centres-pnitentiaires-2-le-projet-de-rglement-grand-ducal-portant-organisation-des-rgimes-de-dtention-pnale-pour-mineurs.pdf" TargetMode="External"/><Relationship Id="rId23" Type="http://schemas.openxmlformats.org/officeDocument/2006/relationships/hyperlink" Target="https://maee.gouvernement.lu/dam-assets/directions/d1/pan-entreprises-et-droits-de-l-homme/2020-2022/PAN-LU-entreprises-et-DH-2020-2022-FR.pdf" TargetMode="External"/><Relationship Id="rId28" Type="http://schemas.openxmlformats.org/officeDocument/2006/relationships/hyperlink" Target="https://data.legilux.public.lu/filestore/eli/etat/projet/pr/20220032/evenement/avis/2/doc/1/fr/1/pdf/manifestation/eli-etat-projet-pr-20220032-evenement-avis-2-doc-1-fr-1-pdf-manifestation.pdf" TargetMode="External"/><Relationship Id="rId36" Type="http://schemas.openxmlformats.org/officeDocument/2006/relationships/hyperlink" Target="https://legilux.public.lu/eli/etat/leg/rgd/2016/11/17/n2/jo" TargetMode="External"/><Relationship Id="rId49" Type="http://schemas.openxmlformats.org/officeDocument/2006/relationships/theme" Target="theme/theme1.xml"/><Relationship Id="rId10" Type="http://schemas.openxmlformats.org/officeDocument/2006/relationships/hyperlink" Target="https://ccdh.public.lu/dam-assets/dossiers_th%C3%A9matiques/prison/avis/2022/avis-sur-le-projet-de-rglement-grand-ducal-portant-organisation-des-rgimes-internes-des-centres-pnitentiaires-2-le-projet-de-rglement-grand-ducal-portant-organisation-des-rgimes-de-dtention-pnale-pour-mineurs.pdf" TargetMode="External"/><Relationship Id="rId19" Type="http://schemas.openxmlformats.org/officeDocument/2006/relationships/hyperlink" Target="https://ccdh.public.lu/dam-assets/avis/2017/Rapport-TEH-CCDH-final.pdf" TargetMode="External"/><Relationship Id="rId31" Type="http://schemas.openxmlformats.org/officeDocument/2006/relationships/hyperlink" Target="https://www.passerell.lu/_files/ugd/837f1b_32a41938201641f29a2d810341ddc6ee.pdf" TargetMode="External"/><Relationship Id="rId44" Type="http://schemas.openxmlformats.org/officeDocument/2006/relationships/hyperlink" Target="https://data.legilux.public.lu/filestore/eli/etat/projet/pr/20160233/doc/1/fr/1/pdf/manifestation/eli-etat-projet-pr-20160233-doc-1-fr-1-pdf-manifestation.pdf" TargetMode="External"/><Relationship Id="rId4" Type="http://schemas.openxmlformats.org/officeDocument/2006/relationships/settings" Target="settings.xml"/><Relationship Id="rId9" Type="http://schemas.openxmlformats.org/officeDocument/2006/relationships/hyperlink" Target="https://data.legilux.public.lu/filestore/eli/etat/projet/pr/20160233/doc/1/fr/1/pdf/manifestation/eli-etat-projet-pr-20160233-doc-1-fr-1-pdf-manifestation.pdf" TargetMode="External"/><Relationship Id="rId14" Type="http://schemas.openxmlformats.org/officeDocument/2006/relationships/hyperlink" Target="https://data.legilux.public.lu/filestore/eli/etat/projet/pr/20160233/doc/1/fr/1/pdf/manifestation/eli-etat-projet-pr-20160233-doc-1-fr-1-pdf-manifestation.pdf" TargetMode="External"/><Relationship Id="rId22" Type="http://schemas.openxmlformats.org/officeDocument/2006/relationships/hyperlink" Target="https://ccdh.public.lu/content/dam/ccdh/dossiers_th%C3%A9matiques/traite_des_%C3%AAtres_humains/rapports/Rapport-TEH3-03122021-FINAL.pdf" TargetMode="External"/><Relationship Id="rId27" Type="http://schemas.openxmlformats.org/officeDocument/2006/relationships/hyperlink" Target="https://data.legilux.public.lu/filestore/eli/etat/projet/pr/20220032/evenement/avis/3/doc/1/fr/1/pdf/manifestation/eli-etat-projet-pr-20220032-evenement-avis-3-doc-1-fr-1-pdf-manifestation.pdf" TargetMode="External"/><Relationship Id="rId30" Type="http://schemas.openxmlformats.org/officeDocument/2006/relationships/hyperlink" Target="https://ccdh.public.lu/content/dam/ccdh/dossiers_th%C3%A9matiques/protection_de_la_jeunesse/avis/avis-ccdh-pl-7994-asp-final.pdf" TargetMode="External"/><Relationship Id="rId35" Type="http://schemas.openxmlformats.org/officeDocument/2006/relationships/hyperlink" Target="https://www.passerell.lu/_files/ugd/837f1b_aae95c32ff6e4fa89c8992dc96107282.pdf" TargetMode="External"/><Relationship Id="rId43" Type="http://schemas.openxmlformats.org/officeDocument/2006/relationships/hyperlink" Target="https://data.legilux.public.lu/filestore/eli/etat/projet/pr/20160233/doc/1/fr/1/pdf/manifestation/eli-etat-projet-pr-20160233-doc-1-fr-1-pdf-manifestation.pdf" TargetMode="External"/><Relationship Id="rId48" Type="http://schemas.microsoft.com/office/2011/relationships/people" Target="peop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ombudsman.lu/uploads/RV/RV16%20-%20Rapport.pdf" TargetMode="External"/><Relationship Id="rId17" Type="http://schemas.openxmlformats.org/officeDocument/2006/relationships/hyperlink" Target="https://www.chd.lu/fr/dossier/7991" TargetMode="External"/><Relationship Id="rId25" Type="http://schemas.openxmlformats.org/officeDocument/2006/relationships/hyperlink" Target="https://ccdh.public.lu/content/dam/ccdh/dossiers_th%C3%A9matiques/traite_des_%C3%AAtres_humains/rapports/Rapport-TEH3-03122021-FINAL.pdf" TargetMode="External"/><Relationship Id="rId33" Type="http://schemas.openxmlformats.org/officeDocument/2006/relationships/hyperlink" Target="https://www.lfr.lu/_files/ugd/a35505_6045a5a449c5488e8e8e64518e226e71.pdf" TargetMode="External"/><Relationship Id="rId38" Type="http://schemas.openxmlformats.org/officeDocument/2006/relationships/hyperlink" Target="https://ccdh.public.lu/content/dam/ccdh/dossiers_th%C3%A9matiques/traite_des_%C3%AAtres_humains/rapports/Rapport-TEH3-03122021-FINAL.pdf" TargetMode="External"/><Relationship Id="rId46" Type="http://schemas.openxmlformats.org/officeDocument/2006/relationships/footer" Target="footer1.xml"/><Relationship Id="rId20" Type="http://schemas.openxmlformats.org/officeDocument/2006/relationships/hyperlink" Target="https://ccdh.public.lu/dam-assets/avis/2019/CCDH-2e-Rapport-sur-la-traite-des-etres-humains-FINAL-.pdf" TargetMode="External"/><Relationship Id="rId41" Type="http://schemas.openxmlformats.org/officeDocument/2006/relationships/hyperlink" Target="https://docstore.ohchr.org/SelfServices/FilesHandler.ashx?enc=6QkG1d%2fPPRiCAqhKb7yhsrdB0H1l5979OVGGB%2bWPAXjdnG1mwFFfPYGIlNfb%2f6T%2fL9ORicQZIltH3HDVNbn0qMauR%2fdvdrxvDGd2fm6iY%2btoUXweTGCGhH78%2bTlaIPoq"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rm.coe.int/reponse-du-luxembourg-au-questionnaire-sur-la-mise-en-oeuvre-de-la-con/1680a363d1" TargetMode="External"/><Relationship Id="rId1" Type="http://schemas.openxmlformats.org/officeDocument/2006/relationships/hyperlink" Target="https://rm.coe.int/reponse-du-luxembourg-au-questionnaire-sur-la-mise-en-oeuvre-de-la-con/1680a363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75FA5-A81A-4FA9-AE77-1E6F6460A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9235</Words>
  <Characters>52644</Characters>
  <Application>Microsoft Office Word</Application>
  <DocSecurity>4</DocSecurity>
  <Lines>438</Lines>
  <Paragraphs>123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CTIE</Company>
  <LinksUpToDate>false</LinksUpToDate>
  <CharactersWithSpaces>61756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CCDH</dc:creator>
  <cp:lastModifiedBy>Javier Leoz Invernon</cp:lastModifiedBy>
  <cp:revision>2</cp:revision>
  <dcterms:created xsi:type="dcterms:W3CDTF">2023-03-31T10:35:00Z</dcterms:created>
  <dcterms:modified xsi:type="dcterms:W3CDTF">2023-03-31T10:35:00Z</dcterms:modified>
</cp:coreProperties>
</file>