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EF9E5" w14:textId="7CF01A20" w:rsidR="00D87E9B" w:rsidRPr="008A6370" w:rsidRDefault="2942AFF6" w:rsidP="006063BB">
      <w:pPr>
        <w:spacing w:line="480" w:lineRule="auto"/>
        <w:jc w:val="center"/>
        <w:rPr>
          <w:b/>
          <w:bCs/>
          <w:u w:val="single"/>
        </w:rPr>
      </w:pPr>
      <w:r w:rsidRPr="008A6370">
        <w:rPr>
          <w:b/>
          <w:bCs/>
          <w:u w:val="single"/>
        </w:rPr>
        <w:t>LGBT Foundation Submission to 77</w:t>
      </w:r>
      <w:r w:rsidRPr="008A6370">
        <w:rPr>
          <w:b/>
          <w:bCs/>
          <w:u w:val="single"/>
          <w:vertAlign w:val="superscript"/>
        </w:rPr>
        <w:t>th</w:t>
      </w:r>
      <w:r w:rsidRPr="008A6370">
        <w:rPr>
          <w:b/>
          <w:bCs/>
          <w:u w:val="single"/>
        </w:rPr>
        <w:t xml:space="preserve"> Session</w:t>
      </w:r>
      <w:r w:rsidR="2E98BC33" w:rsidRPr="008A6370">
        <w:rPr>
          <w:b/>
          <w:bCs/>
          <w:u w:val="single"/>
        </w:rPr>
        <w:t xml:space="preserve"> – UK Implementation of </w:t>
      </w:r>
      <w:r w:rsidR="4226F557" w:rsidRPr="008A6370">
        <w:rPr>
          <w:b/>
          <w:bCs/>
          <w:u w:val="single"/>
        </w:rPr>
        <w:t>International Covenant on Economic, Social and Cultural Rights</w:t>
      </w:r>
    </w:p>
    <w:p w14:paraId="3964A3EE" w14:textId="77777777" w:rsidR="007B3C7E" w:rsidRPr="007B3C7E" w:rsidRDefault="007B3C7E" w:rsidP="007B3C7E">
      <w:pPr>
        <w:spacing w:line="480" w:lineRule="auto"/>
        <w:rPr>
          <w:b/>
          <w:bCs/>
          <w:u w:val="single"/>
          <w:lang w:val="en-GB"/>
        </w:rPr>
      </w:pPr>
      <w:r w:rsidRPr="007B3C7E">
        <w:rPr>
          <w:b/>
          <w:bCs/>
          <w:u w:val="single"/>
          <w:lang w:val="en-GB"/>
        </w:rPr>
        <w:t>Introduction </w:t>
      </w:r>
    </w:p>
    <w:p w14:paraId="2A0CDABD" w14:textId="36FC82B1" w:rsidR="007B3C7E" w:rsidRPr="006F5353" w:rsidRDefault="007B3C7E" w:rsidP="007B3C7E">
      <w:pPr>
        <w:spacing w:line="480" w:lineRule="auto"/>
        <w:rPr>
          <w:lang w:val="en-GB"/>
        </w:rPr>
      </w:pPr>
      <w:r w:rsidRPr="006F5353">
        <w:rPr>
          <w:lang w:val="en-GB"/>
        </w:rPr>
        <w:t>LGBT Foundation is a national LGBTQ+ health and wellbeing charity, working to improve access to services and reduce barriers for the communities we serve. We are responding to the UN Human Rights Commit</w:t>
      </w:r>
      <w:r w:rsidR="00294C05">
        <w:rPr>
          <w:lang w:val="en-GB"/>
        </w:rPr>
        <w:t>t</w:t>
      </w:r>
      <w:r w:rsidRPr="006F5353">
        <w:rPr>
          <w:lang w:val="en-GB"/>
        </w:rPr>
        <w:t xml:space="preserve">ee's call for evidence on the implementation of the International Covenant on </w:t>
      </w:r>
      <w:r w:rsidR="00294C05" w:rsidRPr="00294C05">
        <w:rPr>
          <w:lang w:val="en-GB"/>
        </w:rPr>
        <w:t xml:space="preserve">Economic, Social and Cultural Rights </w:t>
      </w:r>
      <w:r w:rsidRPr="006F5353">
        <w:rPr>
          <w:lang w:val="en-GB"/>
        </w:rPr>
        <w:t>in the UK</w:t>
      </w:r>
      <w:r w:rsidR="00667E55">
        <w:rPr>
          <w:lang w:val="en-GB"/>
        </w:rPr>
        <w:t xml:space="preserve"> for review in the 77</w:t>
      </w:r>
      <w:r w:rsidR="00667E55" w:rsidRPr="00667E55">
        <w:rPr>
          <w:vertAlign w:val="superscript"/>
          <w:lang w:val="en-GB"/>
        </w:rPr>
        <w:t>th</w:t>
      </w:r>
      <w:r w:rsidR="00667E55">
        <w:rPr>
          <w:lang w:val="en-GB"/>
        </w:rPr>
        <w:t xml:space="preserve"> Session </w:t>
      </w:r>
      <w:r w:rsidR="00CA1D1B">
        <w:rPr>
          <w:lang w:val="en-GB"/>
        </w:rPr>
        <w:t xml:space="preserve">(10 February </w:t>
      </w:r>
      <w:r w:rsidR="00A73461">
        <w:rPr>
          <w:lang w:val="en-GB"/>
        </w:rPr>
        <w:t xml:space="preserve">to 28 February 2025) </w:t>
      </w:r>
      <w:r w:rsidRPr="006F5353">
        <w:rPr>
          <w:lang w:val="en-GB"/>
        </w:rPr>
        <w:t>as it pertains to LGBTQ+ communities.  </w:t>
      </w:r>
    </w:p>
    <w:p w14:paraId="4A3055E2" w14:textId="77777777" w:rsidR="007B3C7E" w:rsidRPr="007B3C7E" w:rsidRDefault="007B3C7E" w:rsidP="007B3C7E">
      <w:pPr>
        <w:spacing w:line="480" w:lineRule="auto"/>
        <w:rPr>
          <w:b/>
          <w:bCs/>
          <w:u w:val="single"/>
          <w:lang w:val="en-GB"/>
        </w:rPr>
      </w:pPr>
      <w:r w:rsidRPr="007B3C7E">
        <w:rPr>
          <w:b/>
          <w:bCs/>
          <w:u w:val="single"/>
          <w:lang w:val="en-GB"/>
        </w:rPr>
        <w:t>Executive Summary </w:t>
      </w:r>
    </w:p>
    <w:p w14:paraId="3B5B950C" w14:textId="628ECABC" w:rsidR="007B3C7E" w:rsidRPr="006F5353" w:rsidRDefault="007B3C7E" w:rsidP="007B3C7E">
      <w:pPr>
        <w:numPr>
          <w:ilvl w:val="0"/>
          <w:numId w:val="1"/>
        </w:numPr>
        <w:spacing w:line="480" w:lineRule="auto"/>
        <w:rPr>
          <w:lang w:val="en-GB"/>
        </w:rPr>
      </w:pPr>
      <w:r w:rsidRPr="006F5353">
        <w:rPr>
          <w:lang w:val="en-GB"/>
        </w:rPr>
        <w:t>Significant issues remain for LGBTQ+ people</w:t>
      </w:r>
      <w:r w:rsidR="009D1264" w:rsidRPr="006F5353">
        <w:rPr>
          <w:lang w:val="en-GB"/>
        </w:rPr>
        <w:t xml:space="preserve"> in</w:t>
      </w:r>
      <w:r w:rsidRPr="006F5353">
        <w:rPr>
          <w:lang w:val="en-GB"/>
        </w:rPr>
        <w:t xml:space="preserve"> the UK</w:t>
      </w:r>
      <w:r w:rsidR="00B435C7">
        <w:rPr>
          <w:lang w:val="en-GB"/>
        </w:rPr>
        <w:t xml:space="preserve"> as it pertains to </w:t>
      </w:r>
      <w:r w:rsidR="00184CAA">
        <w:rPr>
          <w:lang w:val="en-GB"/>
        </w:rPr>
        <w:t xml:space="preserve">the rights to safe and productive </w:t>
      </w:r>
      <w:r w:rsidR="003675CE">
        <w:rPr>
          <w:lang w:val="en-GB"/>
        </w:rPr>
        <w:t>employment, as well as access to timely and effective health care.</w:t>
      </w:r>
    </w:p>
    <w:p w14:paraId="07798821" w14:textId="11440622" w:rsidR="008261CF" w:rsidRDefault="002A0236" w:rsidP="00BF0F64">
      <w:pPr>
        <w:numPr>
          <w:ilvl w:val="0"/>
          <w:numId w:val="3"/>
        </w:numPr>
        <w:spacing w:line="480" w:lineRule="auto"/>
        <w:rPr>
          <w:lang w:val="en-GB"/>
        </w:rPr>
      </w:pPr>
      <w:r w:rsidRPr="008261CF">
        <w:rPr>
          <w:lang w:val="en-GB"/>
        </w:rPr>
        <w:t>Many of</w:t>
      </w:r>
      <w:r w:rsidR="007B3C7E" w:rsidRPr="008261CF">
        <w:rPr>
          <w:lang w:val="en-GB"/>
        </w:rPr>
        <w:t xml:space="preserve"> these issues are either directly caused by</w:t>
      </w:r>
      <w:r w:rsidR="006D28D6" w:rsidRPr="008261CF">
        <w:rPr>
          <w:lang w:val="en-GB"/>
        </w:rPr>
        <w:t xml:space="preserve"> </w:t>
      </w:r>
      <w:r w:rsidRPr="008261CF">
        <w:rPr>
          <w:lang w:val="en-GB"/>
        </w:rPr>
        <w:t>historical actions</w:t>
      </w:r>
      <w:r w:rsidR="007B3C7E" w:rsidRPr="008261CF">
        <w:rPr>
          <w:lang w:val="en-GB"/>
        </w:rPr>
        <w:t xml:space="preserve"> taken by </w:t>
      </w:r>
      <w:r w:rsidR="006D28D6" w:rsidRPr="008261CF">
        <w:rPr>
          <w:lang w:val="en-GB"/>
        </w:rPr>
        <w:t xml:space="preserve">the </w:t>
      </w:r>
      <w:r w:rsidR="007B3C7E" w:rsidRPr="008261CF">
        <w:rPr>
          <w:lang w:val="en-GB"/>
        </w:rPr>
        <w:t>UK government and its representatives (such as the rise in anti-trans rhetoric</w:t>
      </w:r>
      <w:r w:rsidR="008261CF" w:rsidRPr="008261CF">
        <w:rPr>
          <w:lang w:val="en-GB"/>
        </w:rPr>
        <w:t xml:space="preserve"> or </w:t>
      </w:r>
      <w:r w:rsidR="007B3C7E" w:rsidRPr="008261CF">
        <w:rPr>
          <w:lang w:val="en-GB"/>
        </w:rPr>
        <w:t xml:space="preserve">the unacceptable state of gender-affirming </w:t>
      </w:r>
      <w:r w:rsidRPr="008261CF">
        <w:rPr>
          <w:lang w:val="en-GB"/>
        </w:rPr>
        <w:t>healthcare) or</w:t>
      </w:r>
      <w:r w:rsidR="00FE4ED8" w:rsidRPr="008261CF">
        <w:rPr>
          <w:lang w:val="en-GB"/>
        </w:rPr>
        <w:t xml:space="preserve"> </w:t>
      </w:r>
      <w:r w:rsidR="001737A1" w:rsidRPr="008261CF">
        <w:rPr>
          <w:lang w:val="en-GB"/>
        </w:rPr>
        <w:t xml:space="preserve">LGBTQ+ harassment </w:t>
      </w:r>
      <w:r w:rsidR="008261CF">
        <w:rPr>
          <w:lang w:val="en-GB"/>
        </w:rPr>
        <w:t xml:space="preserve">in the </w:t>
      </w:r>
      <w:r w:rsidR="001737A1" w:rsidRPr="008261CF">
        <w:rPr>
          <w:lang w:val="en-GB"/>
        </w:rPr>
        <w:t xml:space="preserve">workplace </w:t>
      </w:r>
      <w:r w:rsidR="008261CF">
        <w:rPr>
          <w:lang w:val="en-GB"/>
        </w:rPr>
        <w:t xml:space="preserve">or </w:t>
      </w:r>
      <w:r w:rsidR="007402D9">
        <w:rPr>
          <w:lang w:val="en-GB"/>
        </w:rPr>
        <w:t xml:space="preserve">in </w:t>
      </w:r>
      <w:r w:rsidR="008261CF">
        <w:rPr>
          <w:lang w:val="en-GB"/>
        </w:rPr>
        <w:t>health</w:t>
      </w:r>
      <w:r w:rsidR="007402D9">
        <w:rPr>
          <w:lang w:val="en-GB"/>
        </w:rPr>
        <w:t xml:space="preserve"> or social </w:t>
      </w:r>
      <w:r w:rsidR="008261CF">
        <w:rPr>
          <w:lang w:val="en-GB"/>
        </w:rPr>
        <w:t xml:space="preserve">care settings </w:t>
      </w:r>
      <w:r w:rsidR="001737A1" w:rsidRPr="008261CF">
        <w:rPr>
          <w:lang w:val="en-GB"/>
        </w:rPr>
        <w:t xml:space="preserve">by </w:t>
      </w:r>
      <w:r>
        <w:rPr>
          <w:lang w:val="en-GB"/>
        </w:rPr>
        <w:t xml:space="preserve">staff </w:t>
      </w:r>
      <w:r w:rsidRPr="008261CF">
        <w:rPr>
          <w:lang w:val="en-GB"/>
        </w:rPr>
        <w:t>or</w:t>
      </w:r>
      <w:r w:rsidR="008261CF">
        <w:rPr>
          <w:lang w:val="en-GB"/>
        </w:rPr>
        <w:t xml:space="preserve"> other</w:t>
      </w:r>
      <w:r w:rsidR="001737A1" w:rsidRPr="008261CF">
        <w:rPr>
          <w:lang w:val="en-GB"/>
        </w:rPr>
        <w:t xml:space="preserve"> members of the public</w:t>
      </w:r>
      <w:r w:rsidR="007B3C7E" w:rsidRPr="008261CF">
        <w:rPr>
          <w:lang w:val="en-GB"/>
        </w:rPr>
        <w:t xml:space="preserve"> </w:t>
      </w:r>
      <w:r w:rsidR="008261CF">
        <w:rPr>
          <w:lang w:val="en-GB"/>
        </w:rPr>
        <w:t>that inhibit access to timely and effective health care interventions.</w:t>
      </w:r>
    </w:p>
    <w:p w14:paraId="7B2B0CC7" w14:textId="597DD0C0" w:rsidR="007B3C7E" w:rsidRPr="008261CF" w:rsidRDefault="007B3C7E" w:rsidP="008261CF">
      <w:pPr>
        <w:spacing w:line="480" w:lineRule="auto"/>
        <w:ind w:left="360"/>
        <w:rPr>
          <w:lang w:val="en-GB"/>
        </w:rPr>
      </w:pPr>
      <w:r w:rsidRPr="008261CF">
        <w:rPr>
          <w:lang w:val="en-GB"/>
        </w:rPr>
        <w:t xml:space="preserve">The UN Human Rights Committee’s review of the implementation of the </w:t>
      </w:r>
      <w:r w:rsidR="008261CF" w:rsidRPr="008261CF">
        <w:rPr>
          <w:lang w:val="en-GB"/>
        </w:rPr>
        <w:t>International Covenant on Economic, Social and Cultural Rights</w:t>
      </w:r>
      <w:r w:rsidR="008261CF">
        <w:rPr>
          <w:lang w:val="en-GB"/>
        </w:rPr>
        <w:t xml:space="preserve"> </w:t>
      </w:r>
      <w:r w:rsidRPr="008261CF">
        <w:rPr>
          <w:lang w:val="en-GB"/>
        </w:rPr>
        <w:t xml:space="preserve">in the UK is a welcome opportunity for international recognition of the importance of maintaining a high standard of </w:t>
      </w:r>
      <w:r w:rsidRPr="008261CF">
        <w:rPr>
          <w:lang w:val="en-GB"/>
        </w:rPr>
        <w:lastRenderedPageBreak/>
        <w:t xml:space="preserve">LGBTQ+ inclusion in society. It is hoped that recommendations given by the UNHRC </w:t>
      </w:r>
      <w:r w:rsidR="000416A5">
        <w:rPr>
          <w:lang w:val="en-GB"/>
        </w:rPr>
        <w:t xml:space="preserve">can augment </w:t>
      </w:r>
      <w:r w:rsidR="007402D9">
        <w:rPr>
          <w:lang w:val="en-GB"/>
        </w:rPr>
        <w:t>the growing</w:t>
      </w:r>
      <w:r w:rsidR="000D65ED">
        <w:rPr>
          <w:lang w:val="en-GB"/>
        </w:rPr>
        <w:t xml:space="preserve"> chorus of </w:t>
      </w:r>
      <w:r w:rsidR="000416A5">
        <w:rPr>
          <w:lang w:val="en-GB"/>
        </w:rPr>
        <w:t xml:space="preserve">community </w:t>
      </w:r>
      <w:r w:rsidR="000D65ED">
        <w:rPr>
          <w:lang w:val="en-GB"/>
        </w:rPr>
        <w:t>voices calling on the</w:t>
      </w:r>
      <w:r w:rsidRPr="008261CF">
        <w:rPr>
          <w:lang w:val="en-GB"/>
        </w:rPr>
        <w:t xml:space="preserve"> UK government </w:t>
      </w:r>
      <w:r w:rsidR="000D65ED">
        <w:rPr>
          <w:lang w:val="en-GB"/>
        </w:rPr>
        <w:t>and other public institutions to affect positive changes for the UK’s</w:t>
      </w:r>
      <w:r w:rsidRPr="008261CF">
        <w:rPr>
          <w:lang w:val="en-GB"/>
        </w:rPr>
        <w:t xml:space="preserve"> LGBTQ+</w:t>
      </w:r>
      <w:r w:rsidR="007402D9">
        <w:rPr>
          <w:lang w:val="en-GB"/>
        </w:rPr>
        <w:t xml:space="preserve"> communities</w:t>
      </w:r>
      <w:r w:rsidR="008261CF">
        <w:rPr>
          <w:lang w:val="en-GB"/>
        </w:rPr>
        <w:t>.</w:t>
      </w:r>
    </w:p>
    <w:p w14:paraId="46786BCF" w14:textId="086866DF" w:rsidR="00684B08" w:rsidRPr="00684B08" w:rsidRDefault="00684B08" w:rsidP="00684B08">
      <w:pPr>
        <w:spacing w:line="480" w:lineRule="auto"/>
        <w:rPr>
          <w:b/>
          <w:bCs/>
          <w:u w:val="single"/>
        </w:rPr>
      </w:pPr>
      <w:r w:rsidRPr="00684B08">
        <w:rPr>
          <w:b/>
          <w:bCs/>
          <w:u w:val="single"/>
        </w:rPr>
        <w:t xml:space="preserve">Article 3 – Expansion of </w:t>
      </w:r>
      <w:r w:rsidR="00AB5127" w:rsidRPr="00684B08">
        <w:rPr>
          <w:b/>
          <w:bCs/>
          <w:u w:val="single"/>
        </w:rPr>
        <w:t>Definition</w:t>
      </w:r>
    </w:p>
    <w:p w14:paraId="7CFA07A9" w14:textId="7B93829F" w:rsidR="00850C97" w:rsidRDefault="00AB5127" w:rsidP="00684B08">
      <w:pPr>
        <w:spacing w:line="480" w:lineRule="auto"/>
      </w:pPr>
      <w:r>
        <w:t>Article</w:t>
      </w:r>
      <w:r w:rsidR="00684B08">
        <w:t xml:space="preserve"> 3 of the covenant states that “The States Parties to the present Covenant undertake to ensure the equal right of men and women to the enjoyment of all economic, social and cultural rights set forth in the present Covenant.”</w:t>
      </w:r>
    </w:p>
    <w:p w14:paraId="0450D8F5" w14:textId="0593B97A" w:rsidR="00684B08" w:rsidRDefault="00684B08" w:rsidP="00684B08">
      <w:pPr>
        <w:spacing w:line="480" w:lineRule="auto"/>
      </w:pPr>
      <w:r>
        <w:t>Throughout this document</w:t>
      </w:r>
      <w:r w:rsidR="0001748A">
        <w:t xml:space="preserve"> and the UN’s broader work, </w:t>
      </w:r>
      <w:r w:rsidR="00C424BA">
        <w:t xml:space="preserve">we implore that </w:t>
      </w:r>
      <w:r w:rsidR="0001748A">
        <w:t>this definition is broadened to include all trans, non-binary, and other gender non-</w:t>
      </w:r>
      <w:r w:rsidR="00C424BA">
        <w:t>conforming</w:t>
      </w:r>
      <w:r w:rsidR="0001748A">
        <w:t xml:space="preserve"> individuals</w:t>
      </w:r>
      <w:r w:rsidR="00AB5127">
        <w:t xml:space="preserve"> as they are also entitled to all </w:t>
      </w:r>
      <w:r w:rsidR="00AB5127" w:rsidRPr="00AB5127">
        <w:t>economic, social</w:t>
      </w:r>
      <w:r w:rsidR="00BB1313">
        <w:t>,</w:t>
      </w:r>
      <w:r w:rsidR="00AB5127" w:rsidRPr="00AB5127">
        <w:t xml:space="preserve"> and cultural rights set forth in the present Covenant.</w:t>
      </w:r>
    </w:p>
    <w:p w14:paraId="08A30569" w14:textId="5E1DE578" w:rsidR="00092012" w:rsidRPr="007D57E9" w:rsidRDefault="00092012" w:rsidP="00684B08">
      <w:pPr>
        <w:spacing w:line="480" w:lineRule="auto"/>
        <w:rPr>
          <w:b/>
          <w:bCs/>
          <w:u w:val="single"/>
        </w:rPr>
      </w:pPr>
      <w:r w:rsidRPr="007D57E9">
        <w:rPr>
          <w:b/>
          <w:bCs/>
          <w:u w:val="single"/>
        </w:rPr>
        <w:t xml:space="preserve">Full &amp; Productive </w:t>
      </w:r>
      <w:r w:rsidR="007D57E9" w:rsidRPr="007D57E9">
        <w:rPr>
          <w:b/>
          <w:bCs/>
          <w:u w:val="single"/>
        </w:rPr>
        <w:t>Employment</w:t>
      </w:r>
      <w:r w:rsidRPr="007D57E9">
        <w:rPr>
          <w:b/>
          <w:bCs/>
          <w:u w:val="single"/>
        </w:rPr>
        <w:t xml:space="preserve"> Including</w:t>
      </w:r>
      <w:r w:rsidR="007D57E9" w:rsidRPr="007D57E9">
        <w:rPr>
          <w:b/>
          <w:bCs/>
          <w:u w:val="single"/>
        </w:rPr>
        <w:t xml:space="preserve"> Safe Healthy Working Conditions</w:t>
      </w:r>
    </w:p>
    <w:p w14:paraId="2C078E63" w14:textId="4868346F" w:rsidR="00D87E9B" w:rsidRPr="005A451F" w:rsidRDefault="001439F8" w:rsidP="003357F0">
      <w:pPr>
        <w:spacing w:line="480" w:lineRule="auto"/>
        <w:rPr>
          <w:i/>
          <w:iCs/>
        </w:rPr>
      </w:pPr>
      <w:r w:rsidRPr="005A451F">
        <w:rPr>
          <w:i/>
          <w:iCs/>
        </w:rPr>
        <w:t xml:space="preserve">Article 6.2 </w:t>
      </w:r>
      <w:r w:rsidR="0077154B" w:rsidRPr="005A451F">
        <w:rPr>
          <w:i/>
          <w:iCs/>
        </w:rPr>
        <w:t>- The steps to be taken by a State Party to the present Covenant to achieve the full realization of this right shall include technical and vocational guidance and training programmes, policies and techniques to achieve steady economic, social and cultural development and full and productive employment under conditions safeguarding fundamental political and economic freedoms to the individual.</w:t>
      </w:r>
    </w:p>
    <w:p w14:paraId="6744E2AD" w14:textId="3E31D7ED" w:rsidR="005A451F" w:rsidRDefault="005A451F" w:rsidP="003357F0">
      <w:pPr>
        <w:spacing w:line="480" w:lineRule="auto"/>
        <w:rPr>
          <w:i/>
          <w:iCs/>
        </w:rPr>
      </w:pPr>
      <w:r w:rsidRPr="005A451F">
        <w:rPr>
          <w:i/>
          <w:iCs/>
        </w:rPr>
        <w:t xml:space="preserve">Article 7 </w:t>
      </w:r>
      <w:r>
        <w:rPr>
          <w:i/>
          <w:iCs/>
        </w:rPr>
        <w:t xml:space="preserve">- </w:t>
      </w:r>
      <w:r w:rsidRPr="005A451F">
        <w:rPr>
          <w:i/>
          <w:iCs/>
        </w:rPr>
        <w:t xml:space="preserve">The States Parties to the present Covenant recognize the right of everyone to the enjoyment of just and favourable conditions of work which </w:t>
      </w:r>
      <w:proofErr w:type="gramStart"/>
      <w:r w:rsidRPr="005A451F">
        <w:rPr>
          <w:i/>
          <w:iCs/>
        </w:rPr>
        <w:t>ensure, in particular</w:t>
      </w:r>
      <w:proofErr w:type="gramEnd"/>
      <w:r w:rsidRPr="005A451F">
        <w:rPr>
          <w:i/>
          <w:iCs/>
        </w:rPr>
        <w:t>:</w:t>
      </w:r>
    </w:p>
    <w:p w14:paraId="70FCCBE2" w14:textId="77777777" w:rsidR="00374D71" w:rsidRPr="00374D71" w:rsidRDefault="00374D71" w:rsidP="00374D71">
      <w:pPr>
        <w:spacing w:line="480" w:lineRule="auto"/>
        <w:rPr>
          <w:i/>
          <w:iCs/>
          <w:lang w:val="en-GB"/>
        </w:rPr>
      </w:pPr>
      <w:r w:rsidRPr="00374D71">
        <w:rPr>
          <w:i/>
          <w:iCs/>
          <w:lang w:val="en-GB"/>
        </w:rPr>
        <w:lastRenderedPageBreak/>
        <w:t xml:space="preserve">(ii) A decent living for themselves and their families in accordance with the provisions of the present </w:t>
      </w:r>
      <w:proofErr w:type="gramStart"/>
      <w:r w:rsidRPr="00374D71">
        <w:rPr>
          <w:i/>
          <w:iCs/>
          <w:lang w:val="en-GB"/>
        </w:rPr>
        <w:t>Covenant;</w:t>
      </w:r>
      <w:proofErr w:type="gramEnd"/>
    </w:p>
    <w:p w14:paraId="693F9DC3" w14:textId="0F3F270F" w:rsidR="00374D71" w:rsidRPr="005A451F" w:rsidRDefault="00374D71" w:rsidP="00374D71">
      <w:pPr>
        <w:spacing w:line="480" w:lineRule="auto"/>
        <w:rPr>
          <w:i/>
          <w:iCs/>
        </w:rPr>
      </w:pPr>
      <w:r w:rsidRPr="00374D71">
        <w:rPr>
          <w:i/>
          <w:iCs/>
          <w:lang w:val="en-GB"/>
        </w:rPr>
        <w:t>(b) Safe and healthy working conditions</w:t>
      </w:r>
    </w:p>
    <w:p w14:paraId="74D2C7FE" w14:textId="21B3E301" w:rsidR="005A451F" w:rsidRDefault="005A451F" w:rsidP="005A451F">
      <w:pPr>
        <w:spacing w:line="480" w:lineRule="auto"/>
      </w:pPr>
      <w:r>
        <w:t>In recent years an increasingly robust evidence base has highlighted significant inequalities experienced by LGBTQ+</w:t>
      </w:r>
      <w:r w:rsidR="00BB1313">
        <w:t xml:space="preserve"> people</w:t>
      </w:r>
      <w:r>
        <w:t xml:space="preserve"> within employment, namely harassment by both staff and members of the public. Consequently</w:t>
      </w:r>
      <w:r w:rsidR="00D15697">
        <w:t>,</w:t>
      </w:r>
      <w:r>
        <w:t xml:space="preserve"> full and productive employmen</w:t>
      </w:r>
      <w:r w:rsidR="00374D71">
        <w:t>t, as well as safe and healthy working conditions as outlined in articles 6 &amp; 7 of the covenant</w:t>
      </w:r>
      <w:r w:rsidR="00BB1313">
        <w:t>,</w:t>
      </w:r>
      <w:r w:rsidR="00374D71">
        <w:t xml:space="preserve"> are</w:t>
      </w:r>
      <w:r>
        <w:t xml:space="preserve"> out of reach for the </w:t>
      </w:r>
      <w:proofErr w:type="gramStart"/>
      <w:r>
        <w:t>U.K’s</w:t>
      </w:r>
      <w:proofErr w:type="gramEnd"/>
      <w:r>
        <w:t xml:space="preserve"> LGBTQ+ communities</w:t>
      </w:r>
      <w:r w:rsidR="00374D71">
        <w:t>.</w:t>
      </w:r>
    </w:p>
    <w:p w14:paraId="54594707" w14:textId="71F75080" w:rsidR="00076180" w:rsidRPr="000E7F51" w:rsidRDefault="000E7F51" w:rsidP="005A451F">
      <w:pPr>
        <w:spacing w:line="480" w:lineRule="auto"/>
        <w:rPr>
          <w:b/>
          <w:bCs/>
        </w:rPr>
      </w:pPr>
      <w:r w:rsidRPr="000E7F51">
        <w:rPr>
          <w:b/>
          <w:bCs/>
        </w:rPr>
        <w:t>LGBTQ+ Phobia Within the NHS</w:t>
      </w:r>
    </w:p>
    <w:p w14:paraId="7CD0B4BC" w14:textId="185BA132" w:rsidR="000E7F51" w:rsidRDefault="000E7F51" w:rsidP="005A451F">
      <w:pPr>
        <w:spacing w:line="480" w:lineRule="auto"/>
      </w:pPr>
      <w:r>
        <w:t>As the UK’s largest employer</w:t>
      </w:r>
      <w:r w:rsidR="009F11F0">
        <w:t xml:space="preserve"> with approximately </w:t>
      </w:r>
      <w:r w:rsidR="004845F1">
        <w:t>1.4</w:t>
      </w:r>
      <w:r w:rsidR="009F11F0">
        <w:t xml:space="preserve"> million employees, the </w:t>
      </w:r>
      <w:r w:rsidR="006D7034">
        <w:t xml:space="preserve">experiences of LGBTQ+ </w:t>
      </w:r>
      <w:r w:rsidR="002E6425">
        <w:t>staff within the National Health Service (</w:t>
      </w:r>
      <w:proofErr w:type="gramStart"/>
      <w:r w:rsidR="002E6425">
        <w:t xml:space="preserve">NHS) </w:t>
      </w:r>
      <w:r w:rsidR="006D7034">
        <w:t xml:space="preserve"> </w:t>
      </w:r>
      <w:r w:rsidR="00D15697">
        <w:t>are</w:t>
      </w:r>
      <w:proofErr w:type="gramEnd"/>
      <w:r w:rsidR="006D7034">
        <w:t xml:space="preserve"> a strong case study in the barriers community members face to achieving full and productive employment.</w:t>
      </w:r>
      <w:r w:rsidR="008565FE">
        <w:t xml:space="preserve"> In 2023, the NHS confederation published </w:t>
      </w:r>
      <w:r w:rsidR="00F7156E">
        <w:t>a guide</w:t>
      </w:r>
      <w:r w:rsidR="00F7156E">
        <w:rPr>
          <w:rStyle w:val="FootnoteReference"/>
        </w:rPr>
        <w:footnoteReference w:id="1"/>
      </w:r>
      <w:r w:rsidR="00F7156E">
        <w:t xml:space="preserve"> on how to support trans and non-binary healthcare </w:t>
      </w:r>
      <w:r w:rsidR="00953CD1">
        <w:t>staff. In this document they reported that 55</w:t>
      </w:r>
      <w:r w:rsidR="00272F4E">
        <w:t xml:space="preserve"> per cent</w:t>
      </w:r>
      <w:r w:rsidR="00953CD1">
        <w:t xml:space="preserve"> of t</w:t>
      </w:r>
      <w:r w:rsidR="00A65651">
        <w:t>rans and non-binary staff had experienced transphobia during employment within the NHS in England.</w:t>
      </w:r>
      <w:r w:rsidR="00272F4E">
        <w:t xml:space="preserve"> The most common </w:t>
      </w:r>
      <w:r w:rsidR="00365459">
        <w:t>examples</w:t>
      </w:r>
      <w:r w:rsidR="00272F4E">
        <w:t xml:space="preserve"> of transphobia included:</w:t>
      </w:r>
    </w:p>
    <w:p w14:paraId="06D994FE" w14:textId="077CDB31" w:rsidR="00272F4E" w:rsidRDefault="00272F4E" w:rsidP="00272F4E">
      <w:pPr>
        <w:pStyle w:val="ListParagraph"/>
        <w:numPr>
          <w:ilvl w:val="0"/>
          <w:numId w:val="4"/>
        </w:numPr>
        <w:spacing w:line="480" w:lineRule="auto"/>
      </w:pPr>
      <w:r w:rsidRPr="00272F4E">
        <w:t xml:space="preserve">negative or stereotypical assumptions about </w:t>
      </w:r>
      <w:r w:rsidR="007E3D22">
        <w:t>one’s</w:t>
      </w:r>
      <w:r w:rsidRPr="00272F4E">
        <w:t xml:space="preserve"> gender identity’ (47 per cent), </w:t>
      </w:r>
    </w:p>
    <w:p w14:paraId="732A337D" w14:textId="5D289978" w:rsidR="00272F4E" w:rsidRDefault="00272F4E" w:rsidP="00272F4E">
      <w:pPr>
        <w:pStyle w:val="ListParagraph"/>
        <w:numPr>
          <w:ilvl w:val="0"/>
          <w:numId w:val="4"/>
        </w:numPr>
        <w:spacing w:line="480" w:lineRule="auto"/>
      </w:pPr>
      <w:r w:rsidRPr="00272F4E">
        <w:t>derogatory language (41 per cent)</w:t>
      </w:r>
    </w:p>
    <w:p w14:paraId="262C2B08" w14:textId="7994755E" w:rsidR="00272F4E" w:rsidRDefault="00272F4E" w:rsidP="00272F4E">
      <w:pPr>
        <w:pStyle w:val="ListParagraph"/>
        <w:numPr>
          <w:ilvl w:val="0"/>
          <w:numId w:val="4"/>
        </w:numPr>
        <w:spacing w:line="480" w:lineRule="auto"/>
      </w:pPr>
      <w:r w:rsidRPr="00272F4E">
        <w:t>bullying on the grounds of gender identity (14 per cent)</w:t>
      </w:r>
    </w:p>
    <w:p w14:paraId="11DF72AF" w14:textId="77777777" w:rsidR="00EC66A8" w:rsidRDefault="00EC66A8" w:rsidP="00272F4E">
      <w:pPr>
        <w:pStyle w:val="ListParagraph"/>
        <w:numPr>
          <w:ilvl w:val="0"/>
          <w:numId w:val="4"/>
        </w:numPr>
        <w:spacing w:line="480" w:lineRule="auto"/>
      </w:pPr>
      <w:r w:rsidRPr="00EC66A8">
        <w:lastRenderedPageBreak/>
        <w:t xml:space="preserve">4.8 per cent of trans staff have faced physical violence at work from managers compared to 0.7 per cent of cis-gendered staff, </w:t>
      </w:r>
    </w:p>
    <w:p w14:paraId="6F30E30B" w14:textId="183A487B" w:rsidR="00EC66A8" w:rsidRDefault="00EC66A8" w:rsidP="00272F4E">
      <w:pPr>
        <w:pStyle w:val="ListParagraph"/>
        <w:numPr>
          <w:ilvl w:val="0"/>
          <w:numId w:val="4"/>
        </w:numPr>
        <w:spacing w:line="480" w:lineRule="auto"/>
      </w:pPr>
      <w:r w:rsidRPr="00EC66A8">
        <w:t>15 per cent of trans staff have faced bullying, harassment and abuse by managers compared to 10 per cent of cis</w:t>
      </w:r>
      <w:r w:rsidR="007E3D22">
        <w:t>-gendered</w:t>
      </w:r>
      <w:r w:rsidRPr="00EC66A8">
        <w:t xml:space="preserve"> staff.</w:t>
      </w:r>
    </w:p>
    <w:p w14:paraId="1660AB67" w14:textId="5BAC322C" w:rsidR="00EC66A8" w:rsidRDefault="002D5854" w:rsidP="00EC66A8">
      <w:pPr>
        <w:spacing w:line="480" w:lineRule="auto"/>
      </w:pPr>
      <w:r>
        <w:t xml:space="preserve">The report </w:t>
      </w:r>
      <w:r w:rsidR="009035A2">
        <w:t>states</w:t>
      </w:r>
      <w:r>
        <w:t xml:space="preserve"> that “</w:t>
      </w:r>
      <w:r w:rsidRPr="00A1410E">
        <w:rPr>
          <w:i/>
          <w:iCs/>
        </w:rPr>
        <w:t>around 70 per cent of trans and non-binary respondents declined to report their experiences to supervisors, due to lack of awareness of complaints processes, lack of confidence that the issue would be addressed, fear of repercussions from managers and a lack of basic understanding from colleagues, meaning that discrimination is often not recognised as such</w:t>
      </w:r>
      <w:r w:rsidRPr="002D5854">
        <w:t>.</w:t>
      </w:r>
      <w:r>
        <w:t>”</w:t>
      </w:r>
    </w:p>
    <w:p w14:paraId="122037B0" w14:textId="2B269335" w:rsidR="008B769A" w:rsidRDefault="000836E4" w:rsidP="008B769A">
      <w:pPr>
        <w:spacing w:line="480" w:lineRule="auto"/>
        <w:rPr>
          <w:lang w:val="en-GB"/>
        </w:rPr>
      </w:pPr>
      <w:r>
        <w:t>The annual NHS staff su</w:t>
      </w:r>
      <w:r w:rsidR="008B769A">
        <w:t xml:space="preserve">rvey results </w:t>
      </w:r>
      <w:r w:rsidR="008B769A">
        <w:rPr>
          <w:rStyle w:val="FootnoteReference"/>
        </w:rPr>
        <w:footnoteReference w:id="2"/>
      </w:r>
      <w:r w:rsidR="00A1410E">
        <w:t xml:space="preserve"> </w:t>
      </w:r>
      <w:r w:rsidR="008B769A">
        <w:t xml:space="preserve">released in March 2024 also highlighted that </w:t>
      </w:r>
      <w:r w:rsidR="008B769A" w:rsidRPr="00A1410E">
        <w:rPr>
          <w:i/>
          <w:iCs/>
        </w:rPr>
        <w:t>“</w:t>
      </w:r>
      <w:r w:rsidR="008B769A" w:rsidRPr="00A1410E">
        <w:rPr>
          <w:i/>
          <w:iCs/>
          <w:lang w:val="en-GB"/>
        </w:rPr>
        <w:t>around one in five LGBTQ+ NHS Staff reported personally experiencing physical violence at work. This is significantly higher than for heterosexual staff.</w:t>
      </w:r>
      <w:r w:rsidR="00A1410E">
        <w:rPr>
          <w:i/>
          <w:iCs/>
          <w:lang w:val="en-GB"/>
        </w:rPr>
        <w:t>”</w:t>
      </w:r>
      <w:r w:rsidR="008B769A" w:rsidRPr="008B769A">
        <w:rPr>
          <w:lang w:val="en-GB"/>
        </w:rPr>
        <w:t> </w:t>
      </w:r>
    </w:p>
    <w:p w14:paraId="2424A98B" w14:textId="5F8F372D" w:rsidR="00441C45" w:rsidRPr="00441C45" w:rsidRDefault="00441C45" w:rsidP="008B769A">
      <w:pPr>
        <w:spacing w:line="480" w:lineRule="auto"/>
        <w:rPr>
          <w:b/>
          <w:bCs/>
          <w:lang w:val="en-GB"/>
        </w:rPr>
      </w:pPr>
      <w:r w:rsidRPr="00441C45">
        <w:rPr>
          <w:b/>
          <w:bCs/>
          <w:lang w:val="en-GB"/>
        </w:rPr>
        <w:t>LGBTQ+ Phobia in Broader Work Settings</w:t>
      </w:r>
    </w:p>
    <w:p w14:paraId="449D2FDE" w14:textId="7B66A48E" w:rsidR="00093C29" w:rsidRDefault="00093C29" w:rsidP="008B769A">
      <w:pPr>
        <w:spacing w:line="480" w:lineRule="auto"/>
        <w:rPr>
          <w:lang w:val="en-GB"/>
        </w:rPr>
      </w:pPr>
      <w:r>
        <w:rPr>
          <w:lang w:val="en-GB"/>
        </w:rPr>
        <w:t xml:space="preserve">Beyond the NHS, </w:t>
      </w:r>
      <w:r w:rsidR="00E81A6E">
        <w:rPr>
          <w:lang w:val="en-GB"/>
        </w:rPr>
        <w:t xml:space="preserve">LGBTQ+ experiences in employment often feature experiences of </w:t>
      </w:r>
      <w:r w:rsidR="00DB28DF">
        <w:rPr>
          <w:lang w:val="en-GB"/>
        </w:rPr>
        <w:t>hostility</w:t>
      </w:r>
      <w:r w:rsidR="00C243F8">
        <w:rPr>
          <w:lang w:val="en-GB"/>
        </w:rPr>
        <w:t xml:space="preserve"> or </w:t>
      </w:r>
      <w:r w:rsidR="00DB28DF">
        <w:rPr>
          <w:lang w:val="en-GB"/>
        </w:rPr>
        <w:t xml:space="preserve">a lack of </w:t>
      </w:r>
      <w:r w:rsidR="00E42D2B">
        <w:rPr>
          <w:lang w:val="en-GB"/>
        </w:rPr>
        <w:t>psychological</w:t>
      </w:r>
      <w:r w:rsidR="00DB28DF">
        <w:rPr>
          <w:lang w:val="en-GB"/>
        </w:rPr>
        <w:t xml:space="preserve"> safety</w:t>
      </w:r>
      <w:r w:rsidR="00641E1C">
        <w:rPr>
          <w:lang w:val="en-GB"/>
        </w:rPr>
        <w:t>, often resulting in LGBTQ+ people hiding their identit</w:t>
      </w:r>
      <w:r w:rsidR="00C243F8">
        <w:rPr>
          <w:lang w:val="en-GB"/>
        </w:rPr>
        <w:t>ies</w:t>
      </w:r>
      <w:r w:rsidR="00641E1C">
        <w:rPr>
          <w:lang w:val="en-GB"/>
        </w:rPr>
        <w:t xml:space="preserve"> in the workplace.</w:t>
      </w:r>
    </w:p>
    <w:p w14:paraId="0292E131" w14:textId="6E29FC1B" w:rsidR="00BC1704" w:rsidRPr="009F4459" w:rsidRDefault="00CB0466" w:rsidP="009F4459">
      <w:pPr>
        <w:pStyle w:val="ListParagraph"/>
        <w:numPr>
          <w:ilvl w:val="0"/>
          <w:numId w:val="6"/>
        </w:numPr>
        <w:spacing w:line="480" w:lineRule="auto"/>
        <w:rPr>
          <w:b/>
          <w:bCs/>
          <w:lang w:val="en-GB"/>
        </w:rPr>
      </w:pPr>
      <w:r w:rsidRPr="00CB0466">
        <w:t>One in eight trans people (12</w:t>
      </w:r>
      <w:r w:rsidR="0088231F">
        <w:t xml:space="preserve"> per cent</w:t>
      </w:r>
      <w:r w:rsidRPr="00CB0466">
        <w:t>) have been physically attacked by customers or colleagues in the last year because of being trans.</w:t>
      </w:r>
      <w:r w:rsidRPr="009F4459">
        <w:rPr>
          <w:rFonts w:ascii="Arial" w:hAnsi="Arial" w:cs="Arial"/>
        </w:rPr>
        <w:t>​</w:t>
      </w:r>
      <w:r w:rsidR="00921C42">
        <w:rPr>
          <w:rStyle w:val="FootnoteReference"/>
          <w:rFonts w:ascii="Arial" w:hAnsi="Arial" w:cs="Arial"/>
        </w:rPr>
        <w:footnoteReference w:id="3"/>
      </w:r>
    </w:p>
    <w:p w14:paraId="112A6C87" w14:textId="5BB990D1" w:rsidR="000836E4" w:rsidRPr="004261D9" w:rsidRDefault="00BC1704" w:rsidP="00EC66A8">
      <w:pPr>
        <w:pStyle w:val="ListParagraph"/>
        <w:numPr>
          <w:ilvl w:val="0"/>
          <w:numId w:val="6"/>
        </w:numPr>
        <w:spacing w:line="480" w:lineRule="auto"/>
        <w:rPr>
          <w:lang w:val="en-GB"/>
        </w:rPr>
      </w:pPr>
      <w:r w:rsidRPr="00BC1704">
        <w:lastRenderedPageBreak/>
        <w:t>Trans workers were least likely to feel psychologically safe (able to be accepted, valued, and able to voice concerns) at work. Almost 1 in 5 (18</w:t>
      </w:r>
      <w:r w:rsidR="0088231F">
        <w:t xml:space="preserve"> per cent</w:t>
      </w:r>
      <w:r w:rsidRPr="00BC1704">
        <w:t>) said they felt psychologically unsafe at work compared with 16</w:t>
      </w:r>
      <w:r w:rsidR="0088231F">
        <w:t xml:space="preserve"> per cent</w:t>
      </w:r>
      <w:r w:rsidRPr="00BC1704">
        <w:t xml:space="preserve"> of LGB+ workers and 10</w:t>
      </w:r>
      <w:r w:rsidR="0088231F">
        <w:t xml:space="preserve"> per cent</w:t>
      </w:r>
      <w:r w:rsidRPr="00BC1704">
        <w:t xml:space="preserve"> of heterosexual workers.</w:t>
      </w:r>
      <w:r w:rsidRPr="00BC1704">
        <w:rPr>
          <w:rFonts w:ascii="Arial" w:hAnsi="Arial" w:cs="Arial"/>
        </w:rPr>
        <w:t>​</w:t>
      </w:r>
      <w:r w:rsidR="000C78A3">
        <w:rPr>
          <w:rStyle w:val="FootnoteReference"/>
          <w:rFonts w:ascii="Arial" w:hAnsi="Arial" w:cs="Arial"/>
        </w:rPr>
        <w:footnoteReference w:id="4"/>
      </w:r>
    </w:p>
    <w:p w14:paraId="25127421" w14:textId="5D5CE5DD" w:rsidR="004261D9" w:rsidRPr="00E02894" w:rsidRDefault="00E42D2B" w:rsidP="00EC66A8">
      <w:pPr>
        <w:pStyle w:val="ListParagraph"/>
        <w:numPr>
          <w:ilvl w:val="0"/>
          <w:numId w:val="6"/>
        </w:numPr>
        <w:spacing w:line="480" w:lineRule="auto"/>
        <w:rPr>
          <w:lang w:val="en-GB"/>
        </w:rPr>
      </w:pPr>
      <w:r w:rsidRPr="00E42D2B">
        <w:t>The most common places where cisgender respondents had avoided being open about their sexual orientation were on public transport (65</w:t>
      </w:r>
      <w:r w:rsidR="0088231F">
        <w:t xml:space="preserve"> per cent</w:t>
      </w:r>
      <w:r w:rsidRPr="00E42D2B">
        <w:t>) and in the workplace (56</w:t>
      </w:r>
      <w:r w:rsidR="0088231F">
        <w:t xml:space="preserve"> per cent</w:t>
      </w:r>
      <w:r w:rsidRPr="00E42D2B">
        <w:t>).</w:t>
      </w:r>
      <w:r w:rsidRPr="00E42D2B">
        <w:rPr>
          <w:rFonts w:ascii="Arial" w:hAnsi="Arial" w:cs="Arial"/>
        </w:rPr>
        <w:t>​</w:t>
      </w:r>
      <w:r>
        <w:rPr>
          <w:rStyle w:val="FootnoteReference"/>
          <w:rFonts w:ascii="Arial" w:hAnsi="Arial" w:cs="Arial"/>
        </w:rPr>
        <w:footnoteReference w:id="5"/>
      </w:r>
    </w:p>
    <w:p w14:paraId="110DB508" w14:textId="43F055E8" w:rsidR="00E02894" w:rsidRDefault="00E02894" w:rsidP="00AE2B03">
      <w:pPr>
        <w:spacing w:line="480" w:lineRule="auto"/>
        <w:rPr>
          <w:lang w:val="en-GB"/>
        </w:rPr>
      </w:pPr>
      <w:r>
        <w:rPr>
          <w:lang w:val="en-GB"/>
        </w:rPr>
        <w:t>New</w:t>
      </w:r>
      <w:r w:rsidR="00163D10">
        <w:rPr>
          <w:lang w:val="en-GB"/>
        </w:rPr>
        <w:t xml:space="preserve"> guidance by the UK’s Equality &amp; Human Right</w:t>
      </w:r>
      <w:r>
        <w:rPr>
          <w:lang w:val="en-GB"/>
        </w:rPr>
        <w:t xml:space="preserve"> </w:t>
      </w:r>
      <w:r w:rsidR="00163D10">
        <w:rPr>
          <w:lang w:val="en-GB"/>
        </w:rPr>
        <w:t xml:space="preserve">Commission (EHRC) </w:t>
      </w:r>
      <w:r w:rsidR="00AE2B03">
        <w:rPr>
          <w:lang w:val="en-GB"/>
        </w:rPr>
        <w:t>(</w:t>
      </w:r>
      <w:r w:rsidR="00956207">
        <w:rPr>
          <w:lang w:val="en-GB"/>
        </w:rPr>
        <w:t>updated 26 September 2024</w:t>
      </w:r>
      <w:r w:rsidR="00AC001B">
        <w:rPr>
          <w:lang w:val="en-GB"/>
        </w:rPr>
        <w:t>)</w:t>
      </w:r>
      <w:r w:rsidR="00AC001B">
        <w:rPr>
          <w:rStyle w:val="FootnoteReference"/>
          <w:lang w:val="en-GB"/>
        </w:rPr>
        <w:footnoteReference w:id="6"/>
      </w:r>
      <w:r w:rsidR="00956207">
        <w:rPr>
          <w:lang w:val="en-GB"/>
        </w:rPr>
        <w:t xml:space="preserve"> outlines </w:t>
      </w:r>
      <w:r w:rsidR="005B53A4" w:rsidRPr="005B53A4">
        <w:rPr>
          <w:lang w:val="en-GB"/>
        </w:rPr>
        <w:t>employers' legal obligations to take reasonable steps to prevent sexual harassment of their workers</w:t>
      </w:r>
      <w:r w:rsidR="00A468C1">
        <w:rPr>
          <w:lang w:val="en-GB"/>
        </w:rPr>
        <w:t>, including recognition that</w:t>
      </w:r>
      <w:r w:rsidR="00F67125">
        <w:rPr>
          <w:lang w:val="en-GB"/>
        </w:rPr>
        <w:t>:</w:t>
      </w:r>
    </w:p>
    <w:p w14:paraId="4939F3FC" w14:textId="653B7DE5" w:rsidR="00896DDD" w:rsidRPr="00485B7C" w:rsidRDefault="00896DDD" w:rsidP="00485B7C">
      <w:pPr>
        <w:pStyle w:val="ListParagraph"/>
        <w:numPr>
          <w:ilvl w:val="0"/>
          <w:numId w:val="10"/>
        </w:numPr>
        <w:spacing w:line="480" w:lineRule="auto"/>
        <w:rPr>
          <w:i/>
          <w:iCs/>
        </w:rPr>
      </w:pPr>
      <w:r w:rsidRPr="00485B7C">
        <w:rPr>
          <w:i/>
          <w:iCs/>
          <w:lang w:val="en-GB"/>
        </w:rPr>
        <w:t>“</w:t>
      </w:r>
      <w:r w:rsidRPr="00485B7C">
        <w:rPr>
          <w:i/>
          <w:iCs/>
        </w:rPr>
        <w:t xml:space="preserve">An individual can experience unwanted conduct from someone of the same or a different </w:t>
      </w:r>
      <w:r w:rsidR="00934CF2" w:rsidRPr="00485B7C">
        <w:rPr>
          <w:i/>
          <w:iCs/>
        </w:rPr>
        <w:t>"</w:t>
      </w:r>
      <w:r w:rsidRPr="00485B7C">
        <w:rPr>
          <w:i/>
          <w:iCs/>
        </w:rPr>
        <w:t>sex.”</w:t>
      </w:r>
      <w:r w:rsidR="00A33896" w:rsidRPr="00485B7C">
        <w:rPr>
          <w:i/>
          <w:iCs/>
        </w:rPr>
        <w:t xml:space="preserve"> and </w:t>
      </w:r>
    </w:p>
    <w:p w14:paraId="0369590B" w14:textId="1F44A291" w:rsidR="00934CF2" w:rsidRPr="00485B7C" w:rsidRDefault="00934CF2" w:rsidP="00934CF2">
      <w:pPr>
        <w:pStyle w:val="ListParagraph"/>
        <w:numPr>
          <w:ilvl w:val="0"/>
          <w:numId w:val="10"/>
        </w:numPr>
        <w:spacing w:line="480" w:lineRule="auto"/>
        <w:rPr>
          <w:i/>
          <w:iCs/>
          <w:lang w:val="en-GB"/>
        </w:rPr>
      </w:pPr>
      <w:r w:rsidRPr="00485B7C">
        <w:rPr>
          <w:i/>
          <w:iCs/>
          <w:lang w:val="en-GB"/>
        </w:rPr>
        <w:t>“The third type of harassment occurs when a worker is subjected to unwanted conduct</w:t>
      </w:r>
      <w:r w:rsidR="00485B7C">
        <w:rPr>
          <w:i/>
          <w:iCs/>
          <w:lang w:val="en-GB"/>
        </w:rPr>
        <w:t xml:space="preserve"> </w:t>
      </w:r>
      <w:r w:rsidRPr="00485B7C">
        <w:rPr>
          <w:i/>
          <w:iCs/>
          <w:lang w:val="en-GB"/>
        </w:rPr>
        <w:t>related to gender reassignment …</w:t>
      </w:r>
      <w:r w:rsidRPr="00485B7C">
        <w:rPr>
          <w:rFonts w:ascii="Roboto" w:hAnsi="Roboto"/>
          <w:color w:val="3B5052"/>
          <w:sz w:val="27"/>
          <w:szCs w:val="27"/>
          <w:shd w:val="clear" w:color="auto" w:fill="FFFFFF"/>
        </w:rPr>
        <w:t xml:space="preserve"> </w:t>
      </w:r>
      <w:r w:rsidRPr="00485B7C">
        <w:rPr>
          <w:i/>
          <w:iCs/>
        </w:rPr>
        <w:t>To be protected from gender reassignment discrimination, you do not need to have undergone any medical treatment or surgery to change from your birth sex to your preferred gender.”</w:t>
      </w:r>
    </w:p>
    <w:p w14:paraId="342B9166" w14:textId="16C95FD0" w:rsidR="00AC001B" w:rsidRPr="00934CF2" w:rsidRDefault="00AC001B" w:rsidP="00934CF2">
      <w:pPr>
        <w:spacing w:line="480" w:lineRule="auto"/>
        <w:rPr>
          <w:lang w:val="en-GB"/>
        </w:rPr>
      </w:pPr>
      <w:r>
        <w:t xml:space="preserve">While this </w:t>
      </w:r>
      <w:r w:rsidR="003536AD">
        <w:t xml:space="preserve">updated guidance </w:t>
      </w:r>
      <w:r>
        <w:t xml:space="preserve">is welcome, </w:t>
      </w:r>
      <w:r w:rsidR="003536AD">
        <w:t xml:space="preserve">its </w:t>
      </w:r>
      <w:r>
        <w:t xml:space="preserve">implementation </w:t>
      </w:r>
      <w:r w:rsidR="003536AD">
        <w:t xml:space="preserve">will be key to affecting positive change, particularly for </w:t>
      </w:r>
      <w:r w:rsidR="00EB6782">
        <w:t>LGBTQ+ staff, who often feel unable</w:t>
      </w:r>
      <w:r w:rsidR="00516114">
        <w:t xml:space="preserve"> or unsafe</w:t>
      </w:r>
      <w:r w:rsidR="00EB6782">
        <w:t xml:space="preserve"> to report harassment in the workplace</w:t>
      </w:r>
      <w:r w:rsidR="00516114">
        <w:t>.</w:t>
      </w:r>
    </w:p>
    <w:p w14:paraId="207648C7" w14:textId="00436ABC" w:rsidR="005A451F" w:rsidRDefault="001F1DAD" w:rsidP="003357F0">
      <w:pPr>
        <w:spacing w:line="480" w:lineRule="auto"/>
        <w:rPr>
          <w:b/>
          <w:bCs/>
        </w:rPr>
      </w:pPr>
      <w:r>
        <w:rPr>
          <w:b/>
          <w:bCs/>
        </w:rPr>
        <w:lastRenderedPageBreak/>
        <w:t xml:space="preserve">England &amp; </w:t>
      </w:r>
      <w:r w:rsidR="006D6D50">
        <w:rPr>
          <w:b/>
          <w:bCs/>
        </w:rPr>
        <w:t>Wales Census</w:t>
      </w:r>
      <w:r>
        <w:rPr>
          <w:b/>
          <w:bCs/>
        </w:rPr>
        <w:t xml:space="preserve"> 2021 </w:t>
      </w:r>
      <w:r w:rsidR="006D6D50">
        <w:rPr>
          <w:b/>
          <w:bCs/>
        </w:rPr>
        <w:t xml:space="preserve">and </w:t>
      </w:r>
      <w:r w:rsidR="00F5025B" w:rsidRPr="00F5025B">
        <w:rPr>
          <w:b/>
          <w:bCs/>
        </w:rPr>
        <w:t>Less Secure Employment</w:t>
      </w:r>
    </w:p>
    <w:p w14:paraId="0500DFA9" w14:textId="737427D9" w:rsidR="00FC3989" w:rsidRDefault="00AA73AA" w:rsidP="003357F0">
      <w:pPr>
        <w:spacing w:line="480" w:lineRule="auto"/>
      </w:pPr>
      <w:r>
        <w:t>In 2021, t</w:t>
      </w:r>
      <w:r w:rsidR="00F5025B">
        <w:t xml:space="preserve">he England &amp; Wales Census </w:t>
      </w:r>
      <w:r w:rsidR="000B0574">
        <w:t>collected sexual orientation and gender identity data for the first time. Within the data set</w:t>
      </w:r>
      <w:r w:rsidR="005048D4">
        <w:t xml:space="preserve">, the </w:t>
      </w:r>
      <w:r w:rsidR="00375E7C">
        <w:t xml:space="preserve">occupation </w:t>
      </w:r>
      <w:r w:rsidR="005A6BC3">
        <w:t>classification data</w:t>
      </w:r>
      <w:r w:rsidR="00746ED0">
        <w:t xml:space="preserve"> indicated that </w:t>
      </w:r>
      <w:r w:rsidR="00FC02C5">
        <w:t>21</w:t>
      </w:r>
      <w:r w:rsidR="0088231F">
        <w:t xml:space="preserve"> per cent</w:t>
      </w:r>
      <w:r w:rsidR="00FC02C5">
        <w:t xml:space="preserve"> of trans and gender diverse respondents worked in category 9</w:t>
      </w:r>
      <w:r w:rsidR="00375E7C">
        <w:t xml:space="preserve"> (</w:t>
      </w:r>
      <w:r w:rsidR="00FC02C5">
        <w:t>elementary occupations</w:t>
      </w:r>
      <w:r w:rsidR="00A71A03">
        <w:t xml:space="preserve">; </w:t>
      </w:r>
      <w:r w:rsidR="00804B89">
        <w:t>the lowest classification of employment types)</w:t>
      </w:r>
      <w:r w:rsidR="00FC02C5">
        <w:t>, compared to 10</w:t>
      </w:r>
      <w:r w:rsidR="0088231F">
        <w:t xml:space="preserve"> per cent</w:t>
      </w:r>
      <w:r w:rsidR="00FC02C5">
        <w:t xml:space="preserve"> of cis-gendered </w:t>
      </w:r>
      <w:r w:rsidR="0088231F">
        <w:t>respondents</w:t>
      </w:r>
      <w:r w:rsidR="00804B89">
        <w:t>. When this is expanded to cater for category 7 (</w:t>
      </w:r>
      <w:r w:rsidR="00A71A03">
        <w:t>s</w:t>
      </w:r>
      <w:r w:rsidR="00804B89">
        <w:t xml:space="preserve">ales &amp; </w:t>
      </w:r>
      <w:r w:rsidR="00A71A03">
        <w:t>c</w:t>
      </w:r>
      <w:r w:rsidR="00804B89">
        <w:t xml:space="preserve">ustomer </w:t>
      </w:r>
      <w:r w:rsidR="00A71A03">
        <w:t>s</w:t>
      </w:r>
      <w:r w:rsidR="00804B89">
        <w:t xml:space="preserve">ervice) and </w:t>
      </w:r>
      <w:r w:rsidR="0088231F">
        <w:t>category</w:t>
      </w:r>
      <w:r w:rsidR="00804B89">
        <w:t xml:space="preserve"> 8 (</w:t>
      </w:r>
      <w:r w:rsidR="0088231F">
        <w:t>p</w:t>
      </w:r>
      <w:r w:rsidR="0088231F" w:rsidRPr="0088231F">
        <w:t>rocess, plant, machine operatives</w:t>
      </w:r>
      <w:r w:rsidR="0088231F">
        <w:t>), 41 per cent of trans respondents work in these categories, compared to 25 per cent of cis-gendered respondents</w:t>
      </w:r>
      <w:r w:rsidR="00AD0ABB">
        <w:t xml:space="preserve">. The lower category occupations are often associated with more </w:t>
      </w:r>
      <w:r w:rsidR="00921B6F">
        <w:t>unfavorable</w:t>
      </w:r>
      <w:r w:rsidR="00AD0ABB">
        <w:t xml:space="preserve"> working contracts </w:t>
      </w:r>
      <w:r w:rsidR="00921B6F">
        <w:t>and</w:t>
      </w:r>
      <w:r w:rsidR="00AD0ABB">
        <w:t xml:space="preserve"> conditions (</w:t>
      </w:r>
      <w:r w:rsidR="00921B6F">
        <w:t>including</w:t>
      </w:r>
      <w:r w:rsidR="00AD0ABB">
        <w:t xml:space="preserve"> access to sick </w:t>
      </w:r>
      <w:r w:rsidR="00A71A03">
        <w:t>pay, annual</w:t>
      </w:r>
      <w:r w:rsidR="00921B6F">
        <w:t xml:space="preserve"> leave, </w:t>
      </w:r>
      <w:r w:rsidR="009853BA">
        <w:t>&amp; maternity pay</w:t>
      </w:r>
      <w:r w:rsidR="005A6BC3">
        <w:t>)</w:t>
      </w:r>
      <w:r w:rsidR="009853BA">
        <w:t>, unstable</w:t>
      </w:r>
      <w:r w:rsidR="003B6546">
        <w:t xml:space="preserve"> or infrequent </w:t>
      </w:r>
      <w:r w:rsidR="009853BA">
        <w:t>working hours</w:t>
      </w:r>
      <w:r w:rsidR="003B6546">
        <w:t>,</w:t>
      </w:r>
      <w:r w:rsidR="005A6BC3">
        <w:t xml:space="preserve"> lower wages/remuneration</w:t>
      </w:r>
      <w:r w:rsidR="00D551F3">
        <w:t>,</w:t>
      </w:r>
      <w:r w:rsidR="003B6546">
        <w:t xml:space="preserve"> and</w:t>
      </w:r>
      <w:r w:rsidR="00A71A03">
        <w:t xml:space="preserve"> </w:t>
      </w:r>
      <w:r w:rsidR="00611295">
        <w:t>limited</w:t>
      </w:r>
      <w:r w:rsidR="005A6BC3">
        <w:t xml:space="preserve"> </w:t>
      </w:r>
      <w:r w:rsidR="00A71A03">
        <w:t xml:space="preserve">access </w:t>
      </w:r>
      <w:r w:rsidR="000E6CA5">
        <w:t>to other</w:t>
      </w:r>
      <w:r w:rsidR="003B6546">
        <w:t xml:space="preserve"> </w:t>
      </w:r>
      <w:r w:rsidR="00935A5D">
        <w:t>workplace</w:t>
      </w:r>
      <w:r w:rsidR="003B6546">
        <w:t xml:space="preserve"> protections.</w:t>
      </w:r>
    </w:p>
    <w:p w14:paraId="0784E173" w14:textId="77777777" w:rsidR="00FC3989" w:rsidRDefault="00FC3989">
      <w:r>
        <w:br w:type="page"/>
      </w:r>
    </w:p>
    <w:p w14:paraId="7F4CB60D" w14:textId="2B0108D1" w:rsidR="00F5025B" w:rsidRDefault="00234475" w:rsidP="003357F0">
      <w:pPr>
        <w:spacing w:line="480" w:lineRule="auto"/>
        <w:rPr>
          <w:b/>
          <w:bCs/>
          <w:u w:val="single"/>
        </w:rPr>
      </w:pPr>
      <w:r w:rsidRPr="007B141C">
        <w:rPr>
          <w:b/>
          <w:bCs/>
          <w:u w:val="single"/>
        </w:rPr>
        <w:lastRenderedPageBreak/>
        <w:t xml:space="preserve">LGBTQ+ </w:t>
      </w:r>
      <w:r w:rsidR="00FC3989" w:rsidRPr="007B141C">
        <w:rPr>
          <w:b/>
          <w:bCs/>
          <w:u w:val="single"/>
        </w:rPr>
        <w:t xml:space="preserve">Access to </w:t>
      </w:r>
      <w:r w:rsidR="007B141C" w:rsidRPr="007B141C">
        <w:rPr>
          <w:b/>
          <w:bCs/>
          <w:u w:val="single"/>
        </w:rPr>
        <w:t>Physical &amp; Mental Health</w:t>
      </w:r>
      <w:r w:rsidR="007B141C">
        <w:rPr>
          <w:b/>
          <w:bCs/>
          <w:u w:val="single"/>
        </w:rPr>
        <w:t xml:space="preserve"> Services</w:t>
      </w:r>
    </w:p>
    <w:p w14:paraId="54F03AA7" w14:textId="133ECC5B" w:rsidR="00290BE0" w:rsidRPr="00F40A58" w:rsidRDefault="00290BE0" w:rsidP="003357F0">
      <w:pPr>
        <w:spacing w:line="480" w:lineRule="auto"/>
        <w:rPr>
          <w:i/>
          <w:iCs/>
        </w:rPr>
      </w:pPr>
      <w:r w:rsidRPr="00F40A58">
        <w:rPr>
          <w:i/>
          <w:iCs/>
        </w:rPr>
        <w:t xml:space="preserve">Article 12 - </w:t>
      </w:r>
      <w:r w:rsidR="00F40A58" w:rsidRPr="00F40A58">
        <w:rPr>
          <w:i/>
          <w:iCs/>
        </w:rPr>
        <w:t>1. The States Parties to the present Covenant recognize the right of everyone to the enjoyment of the highest attainable standard of physical and mental health.</w:t>
      </w:r>
    </w:p>
    <w:p w14:paraId="0B3DEDFA" w14:textId="63BC96D4" w:rsidR="00F40A58" w:rsidRPr="00F40A58" w:rsidRDefault="00F40A58" w:rsidP="003357F0">
      <w:pPr>
        <w:spacing w:line="480" w:lineRule="auto"/>
        <w:rPr>
          <w:i/>
          <w:iCs/>
        </w:rPr>
      </w:pPr>
      <w:r w:rsidRPr="00F40A58">
        <w:rPr>
          <w:i/>
          <w:iCs/>
        </w:rPr>
        <w:t>2. The steps to be taken by the States Parties to the present Covenant to achieve the full realization of this right shall include those necessary for:</w:t>
      </w:r>
    </w:p>
    <w:p w14:paraId="00282BBF" w14:textId="087031F1" w:rsidR="00F40A58" w:rsidRDefault="00F40A58" w:rsidP="003357F0">
      <w:pPr>
        <w:spacing w:line="480" w:lineRule="auto"/>
        <w:rPr>
          <w:i/>
          <w:iCs/>
        </w:rPr>
      </w:pPr>
      <w:r w:rsidRPr="00F40A58">
        <w:rPr>
          <w:i/>
          <w:iCs/>
        </w:rPr>
        <w:t xml:space="preserve">(d) The creation of conditions which would </w:t>
      </w:r>
      <w:proofErr w:type="gramStart"/>
      <w:r w:rsidRPr="00F40A58">
        <w:rPr>
          <w:i/>
          <w:iCs/>
        </w:rPr>
        <w:t>assure to</w:t>
      </w:r>
      <w:proofErr w:type="gramEnd"/>
      <w:r w:rsidRPr="00F40A58">
        <w:rPr>
          <w:i/>
          <w:iCs/>
        </w:rPr>
        <w:t xml:space="preserve"> all medical service and medical attention in the event of sickness.</w:t>
      </w:r>
    </w:p>
    <w:p w14:paraId="3ACD1E68" w14:textId="58326279" w:rsidR="00F40A58" w:rsidRDefault="00C71B92" w:rsidP="00C71B92">
      <w:pPr>
        <w:spacing w:line="480" w:lineRule="auto"/>
      </w:pPr>
      <w:r>
        <w:t xml:space="preserve">The previous UK government acknowledged that </w:t>
      </w:r>
      <w:r>
        <w:t>“LGBT people continue to face significant barriers</w:t>
      </w:r>
      <w:r w:rsidR="00593982">
        <w:t xml:space="preserve"> </w:t>
      </w:r>
      <w:r w:rsidR="00593982" w:rsidRPr="00593982">
        <w:t>to full participation in public life (including) … the NHS</w:t>
      </w:r>
      <w:r w:rsidR="00593982">
        <w:t>”</w:t>
      </w:r>
      <w:r w:rsidR="00BE734E">
        <w:rPr>
          <w:rStyle w:val="FootnoteReference"/>
        </w:rPr>
        <w:footnoteReference w:id="7"/>
      </w:r>
      <w:r w:rsidR="001B5526">
        <w:t>, however</w:t>
      </w:r>
      <w:r w:rsidR="004E3E17">
        <w:t xml:space="preserve"> LGBTQ+ communities remain absent from core health inequality strategies, including NHS England’s Core20PLUS5 strategy, which aims to reduce healthcare inequalities for communities known to experience worse health outcomes</w:t>
      </w:r>
      <w:r w:rsidR="00BA5264">
        <w:t xml:space="preserve">; </w:t>
      </w:r>
      <w:r w:rsidR="00D43CBA">
        <w:t>absences in key health policies</w:t>
      </w:r>
      <w:r w:rsidR="00BA5264">
        <w:t xml:space="preserve"> </w:t>
      </w:r>
      <w:r w:rsidR="00D43CBA">
        <w:t>prevents</w:t>
      </w:r>
      <w:r w:rsidR="00BA5264">
        <w:t xml:space="preserve"> LGBTQ+ </w:t>
      </w:r>
      <w:r w:rsidR="00D43CBA">
        <w:t xml:space="preserve">people </w:t>
      </w:r>
      <w:r w:rsidR="00BA5264">
        <w:t>from enjoying the highest attainable standard of physical and mental health</w:t>
      </w:r>
      <w:r w:rsidR="004E3E17">
        <w:t xml:space="preserve">. This is despite worse health outcomes in clinical priority areas, </w:t>
      </w:r>
      <w:r w:rsidR="00C660DC">
        <w:t>and LGBTQ+ people being</w:t>
      </w:r>
      <w:r w:rsidR="004E3E17">
        <w:t xml:space="preserve"> routinely prevented timely care and kept sicker for longer, causing greater loss of productivity, and ultimately, loss of life.</w:t>
      </w:r>
    </w:p>
    <w:p w14:paraId="605587DA" w14:textId="77777777" w:rsidR="00B454FB" w:rsidRDefault="00B454FB">
      <w:pPr>
        <w:rPr>
          <w:b/>
          <w:bCs/>
        </w:rPr>
      </w:pPr>
      <w:r>
        <w:rPr>
          <w:b/>
          <w:bCs/>
        </w:rPr>
        <w:br w:type="page"/>
      </w:r>
    </w:p>
    <w:p w14:paraId="09DEE5C1" w14:textId="2F87EF5E" w:rsidR="00B454FB" w:rsidRPr="00B454FB" w:rsidRDefault="0058299B" w:rsidP="00294756">
      <w:pPr>
        <w:spacing w:line="480" w:lineRule="auto"/>
        <w:rPr>
          <w:b/>
          <w:bCs/>
        </w:rPr>
      </w:pPr>
      <w:r>
        <w:rPr>
          <w:b/>
          <w:bCs/>
        </w:rPr>
        <w:lastRenderedPageBreak/>
        <w:t xml:space="preserve">LGBTQ+ </w:t>
      </w:r>
      <w:r w:rsidR="00B454FB" w:rsidRPr="00B454FB">
        <w:rPr>
          <w:b/>
          <w:bCs/>
        </w:rPr>
        <w:t xml:space="preserve">Barrers to Accessing Primary </w:t>
      </w:r>
      <w:r w:rsidR="00B454FB">
        <w:rPr>
          <w:b/>
          <w:bCs/>
        </w:rPr>
        <w:t xml:space="preserve">&amp; Secondary </w:t>
      </w:r>
      <w:r>
        <w:rPr>
          <w:b/>
          <w:bCs/>
        </w:rPr>
        <w:t>Health Care Services</w:t>
      </w:r>
    </w:p>
    <w:p w14:paraId="730D0985" w14:textId="13710187" w:rsidR="00DC4BF8" w:rsidRDefault="0044614C" w:rsidP="00294756">
      <w:pPr>
        <w:spacing w:line="480" w:lineRule="auto"/>
      </w:pPr>
      <w:r>
        <w:t>Barriers to timely care can be illustrated by GP registration rates where 7</w:t>
      </w:r>
      <w:r w:rsidR="00D15697">
        <w:t xml:space="preserve"> per cent</w:t>
      </w:r>
      <w:r>
        <w:t xml:space="preserve"> of LGBTQ+ people are not registered with a GP; jumping to 17</w:t>
      </w:r>
      <w:r w:rsidR="00D15697">
        <w:t xml:space="preserve"> per cent</w:t>
      </w:r>
      <w:r>
        <w:t xml:space="preserve"> of LGBTQ+ people aged 25 – 34</w:t>
      </w:r>
      <w:r>
        <w:t>.</w:t>
      </w:r>
      <w:r w:rsidR="00FB3514">
        <w:rPr>
          <w:rStyle w:val="FootnoteReference"/>
        </w:rPr>
        <w:footnoteReference w:id="8"/>
      </w:r>
      <w:r w:rsidR="00294756">
        <w:t xml:space="preserve"> </w:t>
      </w:r>
      <w:r w:rsidR="00294756">
        <w:t>This is indicative of the discrimination experienced</w:t>
      </w:r>
      <w:r w:rsidR="00294756">
        <w:t xml:space="preserve"> </w:t>
      </w:r>
      <w:r w:rsidR="00294756">
        <w:t>by many of our community members and the exclusion of LGBTQ+ communities more generally from public health policies.</w:t>
      </w:r>
      <w:r w:rsidR="00294756">
        <w:t xml:space="preserve"> </w:t>
      </w:r>
      <w:r w:rsidR="00C10DD8">
        <w:t>Other areas of inequalities include</w:t>
      </w:r>
      <w:r w:rsidR="00DC4BF8">
        <w:t>:</w:t>
      </w:r>
    </w:p>
    <w:p w14:paraId="1DC0F436" w14:textId="4C7382CD" w:rsidR="006A1983" w:rsidRDefault="00C10DD8" w:rsidP="00153776">
      <w:pPr>
        <w:pStyle w:val="ListParagraph"/>
        <w:numPr>
          <w:ilvl w:val="0"/>
          <w:numId w:val="8"/>
        </w:numPr>
        <w:spacing w:line="480" w:lineRule="auto"/>
      </w:pPr>
      <w:r>
        <w:t xml:space="preserve">those </w:t>
      </w:r>
      <w:r w:rsidR="00B454FB">
        <w:t>experienced within</w:t>
      </w:r>
      <w:r>
        <w:t xml:space="preserve"> maternity services, particularly for trans and non-binary patients. Within a LGBT Foundation study, “</w:t>
      </w:r>
      <w:r w:rsidRPr="00C10DD8">
        <w:t>30</w:t>
      </w:r>
      <w:r w:rsidR="00D15697">
        <w:t xml:space="preserve"> per cent</w:t>
      </w:r>
      <w:r w:rsidRPr="00C10DD8">
        <w:t xml:space="preserve"> of our ITEMS sample reported accessing no NHS or private support during their pregnancy or pregnancies. This percentage rose to 46</w:t>
      </w:r>
      <w:r w:rsidR="00D15697">
        <w:t xml:space="preserve"> per cent</w:t>
      </w:r>
      <w:r w:rsidRPr="00C10DD8">
        <w:t xml:space="preserve"> when looking at trans and non-binary birth parents of </w:t>
      </w:r>
      <w:proofErr w:type="spellStart"/>
      <w:r w:rsidRPr="00C10DD8">
        <w:t>colour</w:t>
      </w:r>
      <w:proofErr w:type="spellEnd"/>
      <w:r w:rsidRPr="00C10DD8">
        <w:t>.</w:t>
      </w:r>
      <w:r w:rsidR="004B388D">
        <w:rPr>
          <w:rStyle w:val="FootnoteReference"/>
        </w:rPr>
        <w:footnoteReference w:id="9"/>
      </w:r>
      <w:r w:rsidR="001027B5">
        <w:t xml:space="preserve"> </w:t>
      </w:r>
    </w:p>
    <w:p w14:paraId="2E0D1CE0" w14:textId="3448ADD9" w:rsidR="00A14DDE" w:rsidRDefault="00153776" w:rsidP="00A14DDE">
      <w:pPr>
        <w:pStyle w:val="ListParagraph"/>
        <w:numPr>
          <w:ilvl w:val="0"/>
          <w:numId w:val="8"/>
        </w:numPr>
        <w:spacing w:after="0" w:line="480" w:lineRule="auto"/>
        <w:ind w:left="760" w:hanging="357"/>
      </w:pPr>
      <w:r w:rsidRPr="00153776">
        <w:t>15</w:t>
      </w:r>
      <w:r w:rsidR="00D15697">
        <w:t xml:space="preserve"> per cent</w:t>
      </w:r>
      <w:r w:rsidRPr="00153776">
        <w:t xml:space="preserve"> of eligible LB+ women haven’t had a cervical screening test compared to 7</w:t>
      </w:r>
      <w:r w:rsidR="00D15697">
        <w:t xml:space="preserve"> per cent</w:t>
      </w:r>
      <w:r w:rsidRPr="00153776">
        <w:t xml:space="preserve"> of non-LB+ peers, due in part to misinformation about their risk.</w:t>
      </w:r>
      <w:r w:rsidR="00F75E79">
        <w:rPr>
          <w:rStyle w:val="FootnoteReference"/>
        </w:rPr>
        <w:footnoteReference w:id="10"/>
      </w:r>
    </w:p>
    <w:p w14:paraId="3585DAB3" w14:textId="233D8634" w:rsidR="00064B56" w:rsidRDefault="00064B56" w:rsidP="00A14DDE">
      <w:pPr>
        <w:pStyle w:val="ListParagraph"/>
        <w:numPr>
          <w:ilvl w:val="0"/>
          <w:numId w:val="8"/>
        </w:numPr>
        <w:spacing w:after="0" w:line="480" w:lineRule="auto"/>
        <w:ind w:left="760" w:hanging="357"/>
      </w:pPr>
      <w:r w:rsidRPr="00064B56">
        <w:t>16</w:t>
      </w:r>
      <w:r w:rsidR="00D15697">
        <w:t xml:space="preserve"> per cent</w:t>
      </w:r>
      <w:r w:rsidRPr="00064B56">
        <w:t xml:space="preserve"> of </w:t>
      </w:r>
      <w:r>
        <w:t>(LGBT</w:t>
      </w:r>
      <w:r w:rsidR="005A4E1D">
        <w:t xml:space="preserve">) </w:t>
      </w:r>
      <w:r w:rsidRPr="00064B56">
        <w:t>survey respondents who accessed or tried to access public health services had a negative experience because of their sexual orientation, and at least 38</w:t>
      </w:r>
      <w:r w:rsidR="00D15697">
        <w:t xml:space="preserve"> per cent</w:t>
      </w:r>
      <w:r w:rsidRPr="00064B56">
        <w:t xml:space="preserve"> had a negative experience because of their gender identity</w:t>
      </w:r>
      <w:r>
        <w:t>.</w:t>
      </w:r>
      <w:r w:rsidR="005A4E1D">
        <w:rPr>
          <w:rStyle w:val="FootnoteReference"/>
        </w:rPr>
        <w:footnoteReference w:id="11"/>
      </w:r>
    </w:p>
    <w:p w14:paraId="60724F4E" w14:textId="58EA6069" w:rsidR="00A14DDE" w:rsidRDefault="00A14DDE" w:rsidP="005A4E1D">
      <w:pPr>
        <w:pStyle w:val="ListParagraph"/>
        <w:numPr>
          <w:ilvl w:val="0"/>
          <w:numId w:val="8"/>
        </w:numPr>
        <w:spacing w:after="0" w:line="480" w:lineRule="auto"/>
        <w:ind w:left="760" w:hanging="357"/>
      </w:pPr>
      <w:r w:rsidRPr="00A14DDE">
        <w:t>78</w:t>
      </w:r>
      <w:r w:rsidR="00D15697">
        <w:t xml:space="preserve"> per cent</w:t>
      </w:r>
      <w:r w:rsidRPr="00A14DDE">
        <w:t xml:space="preserve"> of LGBT Foundation service users experience suicidal ideation prior to accessing services of which </w:t>
      </w:r>
      <w:r w:rsidR="00ED250E">
        <w:t>one</w:t>
      </w:r>
      <w:r w:rsidRPr="00A14DDE">
        <w:t xml:space="preserve"> in every </w:t>
      </w:r>
      <w:r w:rsidR="00ED250E">
        <w:t>four</w:t>
      </w:r>
      <w:r w:rsidRPr="00A14DDE">
        <w:t xml:space="preserve"> said no-one else knew about these thoughts.</w:t>
      </w:r>
    </w:p>
    <w:p w14:paraId="138A6631" w14:textId="7B50A90D" w:rsidR="0044614C" w:rsidRDefault="00622003" w:rsidP="005A4E1D">
      <w:pPr>
        <w:spacing w:after="0" w:line="480" w:lineRule="auto"/>
      </w:pPr>
      <w:r>
        <w:lastRenderedPageBreak/>
        <w:t xml:space="preserve">Avoidance of these services is often </w:t>
      </w:r>
      <w:proofErr w:type="gramStart"/>
      <w:r>
        <w:t>as a result of</w:t>
      </w:r>
      <w:proofErr w:type="gramEnd"/>
      <w:r>
        <w:t xml:space="preserve"> previous negative experiences within healthcare settings.</w:t>
      </w:r>
    </w:p>
    <w:p w14:paraId="2F3AF4AE" w14:textId="0A0ADEC6" w:rsidR="00033FF8" w:rsidRDefault="007D3AC7" w:rsidP="007D3AC7">
      <w:pPr>
        <w:spacing w:line="480" w:lineRule="auto"/>
        <w:jc w:val="center"/>
      </w:pPr>
      <w:r w:rsidRPr="007D3AC7">
        <w:rPr>
          <w:i/>
          <w:iCs/>
        </w:rPr>
        <w:t>“When I suffered from depression after having my baby a midwife</w:t>
      </w:r>
      <w:r w:rsidRPr="007D3AC7">
        <w:rPr>
          <w:i/>
          <w:iCs/>
        </w:rPr>
        <w:t xml:space="preserve"> </w:t>
      </w:r>
      <w:r w:rsidRPr="007D3AC7">
        <w:rPr>
          <w:i/>
          <w:iCs/>
        </w:rPr>
        <w:t>suggested it was because ‘deep down I knew I didn’t want to transition</w:t>
      </w:r>
      <w:r w:rsidRPr="007D3AC7">
        <w:rPr>
          <w:i/>
          <w:iCs/>
        </w:rPr>
        <w:t xml:space="preserve"> </w:t>
      </w:r>
      <w:r w:rsidRPr="007D3AC7">
        <w:rPr>
          <w:i/>
          <w:iCs/>
        </w:rPr>
        <w:t>anymore’ this was deeply unhelpful and made me feel even worse.”</w:t>
      </w:r>
      <w:r>
        <w:t xml:space="preserve"> </w:t>
      </w:r>
      <w:r w:rsidR="00400C7D">
        <w:t xml:space="preserve">- </w:t>
      </w:r>
      <w:r>
        <w:t>Trans Male respondent to ITEMS Research Project survey</w:t>
      </w:r>
      <w:r w:rsidR="003B76F3">
        <w:rPr>
          <w:rStyle w:val="FootnoteReference"/>
        </w:rPr>
        <w:footnoteReference w:id="12"/>
      </w:r>
    </w:p>
    <w:p w14:paraId="3EFEE222" w14:textId="4FF14484" w:rsidR="000C26DC" w:rsidRDefault="000C26DC" w:rsidP="000C26DC">
      <w:pPr>
        <w:spacing w:line="480" w:lineRule="auto"/>
        <w:jc w:val="center"/>
      </w:pPr>
      <w:r w:rsidRPr="00400C7D">
        <w:rPr>
          <w:i/>
          <w:iCs/>
        </w:rPr>
        <w:t>“I was told that my diagnosis of Polycystic</w:t>
      </w:r>
      <w:r w:rsidRPr="00400C7D">
        <w:rPr>
          <w:i/>
          <w:iCs/>
        </w:rPr>
        <w:t xml:space="preserve"> </w:t>
      </w:r>
      <w:r w:rsidRPr="00400C7D">
        <w:rPr>
          <w:i/>
          <w:iCs/>
        </w:rPr>
        <w:t>Ovary Syndrome (PCOS) has less of an impact on me because I am a gay woman, so my fertility isn’t as much of a concern to me as I won’t conceive naturally.”</w:t>
      </w:r>
      <w:r>
        <w:t xml:space="preserve"> </w:t>
      </w:r>
      <w:r w:rsidR="00400C7D">
        <w:t xml:space="preserve">- </w:t>
      </w:r>
      <w:r>
        <w:t>LGBTQ+ NHS Patien</w:t>
      </w:r>
      <w:r>
        <w:t>t</w:t>
      </w:r>
      <w:r w:rsidR="00805DBB">
        <w:rPr>
          <w:rStyle w:val="FootnoteReference"/>
        </w:rPr>
        <w:footnoteReference w:id="13"/>
      </w:r>
    </w:p>
    <w:p w14:paraId="4D518799" w14:textId="75DE539E" w:rsidR="00400C7D" w:rsidRPr="00400C7D" w:rsidRDefault="00400C7D" w:rsidP="000C26DC">
      <w:pPr>
        <w:spacing w:line="480" w:lineRule="auto"/>
        <w:jc w:val="center"/>
        <w:rPr>
          <w:i/>
          <w:iCs/>
        </w:rPr>
      </w:pPr>
      <w:r w:rsidRPr="00400C7D">
        <w:rPr>
          <w:i/>
          <w:iCs/>
        </w:rPr>
        <w:t>“</w:t>
      </w:r>
      <w:r w:rsidRPr="00400C7D">
        <w:rPr>
          <w:i/>
          <w:iCs/>
        </w:rPr>
        <w:t>The assumption that I’m straight and cis is awkward and uncomfortable. When I’ve stated that I’m both in a queer [women loving women] relationship and don’t want to have children</w:t>
      </w:r>
      <w:r w:rsidR="008424D9">
        <w:rPr>
          <w:i/>
          <w:iCs/>
        </w:rPr>
        <w:t>,</w:t>
      </w:r>
      <w:r w:rsidRPr="00400C7D">
        <w:rPr>
          <w:i/>
          <w:iCs/>
        </w:rPr>
        <w:t xml:space="preserve"> a doctor has said that well I might change my mind ‘get with a man and have a baby in the </w:t>
      </w:r>
      <w:proofErr w:type="gramStart"/>
      <w:r w:rsidRPr="00400C7D">
        <w:rPr>
          <w:i/>
          <w:iCs/>
        </w:rPr>
        <w:t>future</w:t>
      </w:r>
      <w:r w:rsidRPr="00400C7D">
        <w:rPr>
          <w:i/>
          <w:iCs/>
        </w:rPr>
        <w:t>‘</w:t>
      </w:r>
      <w:r>
        <w:rPr>
          <w:i/>
          <w:iCs/>
        </w:rPr>
        <w:t xml:space="preserve"> </w:t>
      </w:r>
      <w:r w:rsidRPr="00400C7D">
        <w:rPr>
          <w:i/>
          <w:iCs/>
        </w:rPr>
        <w:t>and</w:t>
      </w:r>
      <w:proofErr w:type="gramEnd"/>
      <w:r w:rsidRPr="00400C7D">
        <w:rPr>
          <w:i/>
          <w:iCs/>
        </w:rPr>
        <w:t xml:space="preserve"> so therefore refused me treatment.</w:t>
      </w:r>
      <w:r w:rsidRPr="00400C7D">
        <w:rPr>
          <w:i/>
          <w:iCs/>
        </w:rPr>
        <w:t>”</w:t>
      </w:r>
      <w:r>
        <w:rPr>
          <w:i/>
          <w:iCs/>
        </w:rPr>
        <w:t xml:space="preserve"> - </w:t>
      </w:r>
      <w:r>
        <w:t>LGBTQ+ NHS Patient</w:t>
      </w:r>
      <w:r>
        <w:rPr>
          <w:rStyle w:val="FootnoteReference"/>
        </w:rPr>
        <w:footnoteReference w:id="14"/>
      </w:r>
    </w:p>
    <w:p w14:paraId="57F653FF" w14:textId="0C57397D" w:rsidR="00D46C57" w:rsidRPr="00465FE3" w:rsidRDefault="00D46C57" w:rsidP="00252A6E">
      <w:pPr>
        <w:spacing w:line="480" w:lineRule="auto"/>
      </w:pPr>
      <w:r w:rsidRPr="00465FE3">
        <w:t>It is</w:t>
      </w:r>
      <w:r w:rsidR="00465FE3">
        <w:t xml:space="preserve"> therefore</w:t>
      </w:r>
      <w:r w:rsidRPr="00465FE3">
        <w:t xml:space="preserve"> not surprising that</w:t>
      </w:r>
      <w:r w:rsidR="00465FE3" w:rsidRPr="00465FE3">
        <w:t xml:space="preserve"> </w:t>
      </w:r>
      <w:r w:rsidR="00465FE3">
        <w:t>o</w:t>
      </w:r>
      <w:r w:rsidR="00465FE3" w:rsidRPr="00465FE3">
        <w:t>nly 56</w:t>
      </w:r>
      <w:r w:rsidR="00D15697">
        <w:t xml:space="preserve"> per cent</w:t>
      </w:r>
      <w:r w:rsidR="00465FE3" w:rsidRPr="00465FE3">
        <w:t xml:space="preserve"> of patients report that their needs</w:t>
      </w:r>
      <w:r w:rsidR="00465FE3" w:rsidRPr="00465FE3">
        <w:t xml:space="preserve"> </w:t>
      </w:r>
      <w:r w:rsidR="00465FE3" w:rsidRPr="00465FE3">
        <w:t>as an LGBTQ+ person were</w:t>
      </w:r>
      <w:r w:rsidR="008424D9">
        <w:t xml:space="preserve"> being </w:t>
      </w:r>
      <w:r w:rsidR="00465FE3" w:rsidRPr="00465FE3">
        <w:t>met by their GP,</w:t>
      </w:r>
      <w:r w:rsidR="00465FE3">
        <w:t xml:space="preserve"> </w:t>
      </w:r>
      <w:r w:rsidR="00465FE3" w:rsidRPr="00465FE3">
        <w:t>with 17</w:t>
      </w:r>
      <w:r w:rsidR="00D15697">
        <w:t xml:space="preserve"> per cent</w:t>
      </w:r>
      <w:r w:rsidR="00465FE3" w:rsidRPr="00465FE3">
        <w:t xml:space="preserve"> experiencing discrimination (rising</w:t>
      </w:r>
      <w:r w:rsidR="00465FE3" w:rsidRPr="00465FE3">
        <w:t xml:space="preserve"> </w:t>
      </w:r>
      <w:r w:rsidR="00465FE3" w:rsidRPr="00465FE3">
        <w:t>to 25</w:t>
      </w:r>
      <w:r w:rsidR="00D15697">
        <w:t xml:space="preserve"> per cent</w:t>
      </w:r>
      <w:r w:rsidR="00465FE3" w:rsidRPr="00465FE3">
        <w:t xml:space="preserve"> for trans and non-binary people) from</w:t>
      </w:r>
      <w:r w:rsidR="00465FE3" w:rsidRPr="00465FE3">
        <w:t xml:space="preserve"> </w:t>
      </w:r>
      <w:r w:rsidR="00465FE3" w:rsidRPr="00465FE3">
        <w:t>their GP Surgery.</w:t>
      </w:r>
      <w:r w:rsidR="00465FE3">
        <w:rPr>
          <w:rStyle w:val="FootnoteReference"/>
        </w:rPr>
        <w:footnoteReference w:id="15"/>
      </w:r>
      <w:r w:rsidR="00252A6E">
        <w:t xml:space="preserve"> </w:t>
      </w:r>
      <w:r w:rsidR="00252A6E">
        <w:t>These negative experiences lead to fear and hesitancy to be open in other settings like social care. In the National LGBT Survey (2018), 28</w:t>
      </w:r>
      <w:r w:rsidR="00D15697">
        <w:t xml:space="preserve"> per cent</w:t>
      </w:r>
      <w:r w:rsidR="00252A6E">
        <w:t xml:space="preserve"> of respondents were not open about </w:t>
      </w:r>
      <w:r w:rsidR="00252A6E">
        <w:lastRenderedPageBreak/>
        <w:t>being LGBTQ+</w:t>
      </w:r>
      <w:r w:rsidR="00252A6E">
        <w:t xml:space="preserve"> </w:t>
      </w:r>
      <w:r w:rsidR="00252A6E">
        <w:t>with care staff. Of those that were open to staff,</w:t>
      </w:r>
      <w:r w:rsidR="00252A6E">
        <w:t xml:space="preserve"> </w:t>
      </w:r>
      <w:r w:rsidR="00252A6E">
        <w:t>23</w:t>
      </w:r>
      <w:r w:rsidR="00D15697">
        <w:t xml:space="preserve"> per cent</w:t>
      </w:r>
      <w:r w:rsidR="00252A6E">
        <w:t xml:space="preserve"> said that doing so had a negative effect on their care.</w:t>
      </w:r>
    </w:p>
    <w:p w14:paraId="2E027043" w14:textId="200152FA" w:rsidR="00400C7D" w:rsidRPr="00B454FB" w:rsidRDefault="00400C7D" w:rsidP="00400C7D">
      <w:pPr>
        <w:spacing w:line="480" w:lineRule="auto"/>
        <w:rPr>
          <w:b/>
          <w:bCs/>
        </w:rPr>
      </w:pPr>
      <w:r>
        <w:rPr>
          <w:b/>
          <w:bCs/>
        </w:rPr>
        <w:t xml:space="preserve">LGBTQ+ </w:t>
      </w:r>
      <w:r w:rsidRPr="00B454FB">
        <w:rPr>
          <w:b/>
          <w:bCs/>
        </w:rPr>
        <w:t xml:space="preserve">Barrers to Accessing </w:t>
      </w:r>
      <w:r>
        <w:rPr>
          <w:b/>
          <w:bCs/>
        </w:rPr>
        <w:t>Social</w:t>
      </w:r>
      <w:r>
        <w:rPr>
          <w:b/>
          <w:bCs/>
        </w:rPr>
        <w:t xml:space="preserve"> Care Services</w:t>
      </w:r>
    </w:p>
    <w:p w14:paraId="73BCB6A0" w14:textId="7467CDDA" w:rsidR="00622003" w:rsidRDefault="00F37AB7" w:rsidP="00B14B4D">
      <w:pPr>
        <w:spacing w:line="480" w:lineRule="auto"/>
      </w:pPr>
      <w:r>
        <w:t xml:space="preserve">Poor experiences in mainstream health and social care services often mean that LGBTQ+ </w:t>
      </w:r>
      <w:r>
        <w:t>p</w:t>
      </w:r>
      <w:r>
        <w:t xml:space="preserve">eople avoid accessing support; in instances of abuse, </w:t>
      </w:r>
      <w:r w:rsidR="008A125B">
        <w:t xml:space="preserve">this means that </w:t>
      </w:r>
      <w:r>
        <w:t>these experiences often</w:t>
      </w:r>
      <w:r>
        <w:t xml:space="preserve"> </w:t>
      </w:r>
      <w:r>
        <w:t>go unreported</w:t>
      </w:r>
      <w:r>
        <w:t>.</w:t>
      </w:r>
      <w:r w:rsidR="00B14B4D">
        <w:t xml:space="preserve"> </w:t>
      </w:r>
      <w:r w:rsidR="00B14B4D">
        <w:t>Almost one in four LGBT people (23</w:t>
      </w:r>
      <w:r w:rsidR="00D15697">
        <w:t xml:space="preserve"> per cent</w:t>
      </w:r>
      <w:r w:rsidR="00B14B4D">
        <w:t>) have witnessed discrimination by healthcare staff, many in the last</w:t>
      </w:r>
      <w:r w:rsidR="00B14B4D">
        <w:t xml:space="preserve"> </w:t>
      </w:r>
      <w:r w:rsidR="00B14B4D">
        <w:t>year alone.</w:t>
      </w:r>
      <w:r w:rsidR="00B14B4D">
        <w:rPr>
          <w:rStyle w:val="FootnoteReference"/>
        </w:rPr>
        <w:footnoteReference w:id="16"/>
      </w:r>
      <w:r w:rsidR="00A4783A">
        <w:t xml:space="preserve"> </w:t>
      </w:r>
      <w:r w:rsidR="001859F9">
        <w:t xml:space="preserve"> Negative experiences in other care settings </w:t>
      </w:r>
      <w:r w:rsidR="002F0172">
        <w:t>include</w:t>
      </w:r>
      <w:r w:rsidR="001859F9">
        <w:t>:</w:t>
      </w:r>
    </w:p>
    <w:p w14:paraId="62C9FA66" w14:textId="7A32FFAD" w:rsidR="001859F9" w:rsidRDefault="00873F75" w:rsidP="005508C1">
      <w:pPr>
        <w:pStyle w:val="ListParagraph"/>
        <w:numPr>
          <w:ilvl w:val="0"/>
          <w:numId w:val="9"/>
        </w:numPr>
        <w:spacing w:line="480" w:lineRule="auto"/>
      </w:pPr>
      <w:r>
        <w:t>19</w:t>
      </w:r>
      <w:r w:rsidR="00D15697">
        <w:t xml:space="preserve"> per cent</w:t>
      </w:r>
      <w:r>
        <w:t xml:space="preserve"> of LB+</w:t>
      </w:r>
      <w:r>
        <w:t xml:space="preserve"> </w:t>
      </w:r>
      <w:r>
        <w:t>women survivors</w:t>
      </w:r>
      <w:r>
        <w:t xml:space="preserve"> </w:t>
      </w:r>
      <w:r>
        <w:t>of domestic abuse</w:t>
      </w:r>
      <w:r>
        <w:t xml:space="preserve"> </w:t>
      </w:r>
      <w:r>
        <w:t>report not seeking</w:t>
      </w:r>
      <w:r>
        <w:t xml:space="preserve"> </w:t>
      </w:r>
      <w:r>
        <w:t xml:space="preserve">help </w:t>
      </w:r>
      <w:r w:rsidR="002F0172">
        <w:t>from services</w:t>
      </w:r>
      <w:r>
        <w:t xml:space="preserve"> because of fears of</w:t>
      </w:r>
      <w:r>
        <w:t xml:space="preserve"> </w:t>
      </w:r>
      <w:r>
        <w:t>not being believed</w:t>
      </w:r>
      <w:r>
        <w:t>.</w:t>
      </w:r>
      <w:r w:rsidR="00D01646">
        <w:rPr>
          <w:rStyle w:val="FootnoteReference"/>
        </w:rPr>
        <w:footnoteReference w:id="17"/>
      </w:r>
    </w:p>
    <w:p w14:paraId="1F52BBE3" w14:textId="1BC37707" w:rsidR="00266D3B" w:rsidRDefault="00A938E0" w:rsidP="005508C1">
      <w:pPr>
        <w:pStyle w:val="ListParagraph"/>
        <w:numPr>
          <w:ilvl w:val="0"/>
          <w:numId w:val="9"/>
        </w:numPr>
        <w:spacing w:line="480" w:lineRule="auto"/>
      </w:pPr>
      <w:r w:rsidRPr="00A938E0">
        <w:t>87</w:t>
      </w:r>
      <w:r w:rsidR="00D15697">
        <w:t xml:space="preserve"> per cent</w:t>
      </w:r>
      <w:r w:rsidRPr="00A938E0">
        <w:t xml:space="preserve"> of LGBTQ+ sexual violence survivors had not reported their most significant experience of sexual violence to the police, with half not doing so for fear of not being taken seriously</w:t>
      </w:r>
      <w:r>
        <w:t>.</w:t>
      </w:r>
      <w:r w:rsidR="00B05117">
        <w:rPr>
          <w:rStyle w:val="FootnoteReference"/>
        </w:rPr>
        <w:footnoteReference w:id="18"/>
      </w:r>
    </w:p>
    <w:p w14:paraId="7DA2C262" w14:textId="36B7AD8F" w:rsidR="005563C1" w:rsidRDefault="005563C1" w:rsidP="005508C1">
      <w:pPr>
        <w:pStyle w:val="ListParagraph"/>
        <w:numPr>
          <w:ilvl w:val="0"/>
          <w:numId w:val="9"/>
        </w:numPr>
        <w:spacing w:line="480" w:lineRule="auto"/>
      </w:pPr>
      <w:r w:rsidRPr="005563C1">
        <w:t>26</w:t>
      </w:r>
      <w:r w:rsidR="00D15697">
        <w:t xml:space="preserve"> per cent</w:t>
      </w:r>
      <w:r w:rsidRPr="005563C1">
        <w:t xml:space="preserve"> of LGBTQ+ people report sexual health services as ‘not easy’ to access, increasing to 31</w:t>
      </w:r>
      <w:r w:rsidR="00D15697">
        <w:t xml:space="preserve"> per cent</w:t>
      </w:r>
      <w:r w:rsidRPr="005563C1">
        <w:t xml:space="preserve"> for lesbians and 35</w:t>
      </w:r>
      <w:r w:rsidR="00D15697">
        <w:t xml:space="preserve"> per cent</w:t>
      </w:r>
      <w:r w:rsidRPr="005563C1">
        <w:t xml:space="preserve"> for trans people.</w:t>
      </w:r>
      <w:r w:rsidR="008F4E53">
        <w:rPr>
          <w:rStyle w:val="FootnoteReference"/>
        </w:rPr>
        <w:footnoteReference w:id="19"/>
      </w:r>
    </w:p>
    <w:p w14:paraId="15E0D033" w14:textId="7BBB2898" w:rsidR="00345FAE" w:rsidRDefault="00345FAE" w:rsidP="005508C1">
      <w:pPr>
        <w:pStyle w:val="ListParagraph"/>
        <w:numPr>
          <w:ilvl w:val="0"/>
          <w:numId w:val="9"/>
        </w:numPr>
        <w:spacing w:line="480" w:lineRule="auto"/>
      </w:pPr>
      <w:r w:rsidRPr="00345FAE">
        <w:t>47</w:t>
      </w:r>
      <w:r w:rsidR="00D15697">
        <w:t xml:space="preserve"> per cent</w:t>
      </w:r>
      <w:r w:rsidRPr="00345FAE">
        <w:t xml:space="preserve"> of LGBT Foundation service users have experienced abuse, of which 68</w:t>
      </w:r>
      <w:r w:rsidR="00D15697">
        <w:t xml:space="preserve"> per cent</w:t>
      </w:r>
      <w:r w:rsidRPr="00345FAE">
        <w:t xml:space="preserve"> have never reported it and 63</w:t>
      </w:r>
      <w:r w:rsidR="00D15697">
        <w:t xml:space="preserve"> per cent</w:t>
      </w:r>
      <w:r w:rsidRPr="00345FAE">
        <w:t xml:space="preserve"> have never accessed support to process their experience.</w:t>
      </w:r>
    </w:p>
    <w:p w14:paraId="53EAA99E" w14:textId="00C62F58" w:rsidR="00E52C4E" w:rsidRPr="001E5F42" w:rsidRDefault="00E646D5" w:rsidP="001E5F42">
      <w:pPr>
        <w:pStyle w:val="ListParagraph"/>
        <w:spacing w:line="480" w:lineRule="auto"/>
        <w:jc w:val="center"/>
      </w:pPr>
      <w:r w:rsidRPr="001E5F42">
        <w:lastRenderedPageBreak/>
        <w:t>“</w:t>
      </w:r>
      <w:r w:rsidRPr="001E5F42">
        <w:rPr>
          <w:rFonts w:ascii="Aptos" w:eastAsia="Times New Roman" w:hAnsi="Aptos" w:cs="Calibri"/>
          <w:i/>
          <w:iCs/>
          <w:lang w:eastAsia="en-GB"/>
        </w:rPr>
        <w:t>The staff in the home very rarely gave us any time alone together and on one</w:t>
      </w:r>
      <w:r w:rsidR="001E5F42">
        <w:rPr>
          <w:rFonts w:ascii="Aptos" w:eastAsia="Times New Roman" w:hAnsi="Aptos" w:cs="Calibri"/>
          <w:i/>
          <w:iCs/>
          <w:lang w:eastAsia="en-GB"/>
        </w:rPr>
        <w:t xml:space="preserve"> </w:t>
      </w:r>
      <w:r w:rsidRPr="001E5F42">
        <w:rPr>
          <w:rFonts w:ascii="Aptos" w:eastAsia="Times New Roman" w:hAnsi="Aptos" w:cs="Calibri"/>
          <w:i/>
          <w:iCs/>
          <w:lang w:eastAsia="en-GB"/>
        </w:rPr>
        <w:t>occasion Arthur was taken seriously ill and transferred to hospital without them notifying me. The man I love could have died and I wouldn't have been there or even known</w:t>
      </w:r>
      <w:r w:rsidRPr="001E5F42">
        <w:rPr>
          <w:rFonts w:ascii="Aptos" w:eastAsia="Times New Roman" w:hAnsi="Aptos" w:cs="Calibri"/>
          <w:i/>
          <w:iCs/>
          <w:lang w:eastAsia="en-GB"/>
        </w:rPr>
        <w:t>”</w:t>
      </w:r>
      <w:r w:rsidR="001E5F42" w:rsidRPr="001E5F42">
        <w:rPr>
          <w:rFonts w:ascii="Aptos" w:eastAsia="Times New Roman" w:hAnsi="Aptos" w:cs="Calibri"/>
          <w:i/>
          <w:iCs/>
          <w:lang w:eastAsia="en-GB"/>
        </w:rPr>
        <w:t xml:space="preserve"> – </w:t>
      </w:r>
      <w:r w:rsidR="0029551C">
        <w:rPr>
          <w:rFonts w:ascii="Aptos" w:eastAsia="Times New Roman" w:hAnsi="Aptos" w:cs="Calibri"/>
          <w:i/>
          <w:iCs/>
          <w:lang w:eastAsia="en-GB"/>
        </w:rPr>
        <w:t xml:space="preserve">Gay Man </w:t>
      </w:r>
      <w:r w:rsidR="001E5F42" w:rsidRPr="001E5F42">
        <w:rPr>
          <w:rFonts w:ascii="Aptos" w:eastAsia="Times New Roman" w:hAnsi="Aptos" w:cs="Calibri"/>
          <w:i/>
          <w:iCs/>
          <w:lang w:eastAsia="en-GB"/>
        </w:rPr>
        <w:t>Respondent</w:t>
      </w:r>
      <w:r w:rsidR="001E5F42">
        <w:rPr>
          <w:rFonts w:ascii="Aptos" w:eastAsia="Times New Roman" w:hAnsi="Aptos" w:cs="Calibri"/>
          <w:i/>
          <w:iCs/>
          <w:lang w:eastAsia="en-GB"/>
        </w:rPr>
        <w:t xml:space="preserve">, Age UK Safe </w:t>
      </w:r>
      <w:proofErr w:type="gramStart"/>
      <w:r w:rsidR="001E5F42">
        <w:rPr>
          <w:rFonts w:ascii="Aptos" w:eastAsia="Times New Roman" w:hAnsi="Aptos" w:cs="Calibri"/>
          <w:i/>
          <w:iCs/>
          <w:lang w:eastAsia="en-GB"/>
        </w:rPr>
        <w:t>To</w:t>
      </w:r>
      <w:proofErr w:type="gramEnd"/>
      <w:r w:rsidR="001E5F42">
        <w:rPr>
          <w:rFonts w:ascii="Aptos" w:eastAsia="Times New Roman" w:hAnsi="Aptos" w:cs="Calibri"/>
          <w:i/>
          <w:iCs/>
          <w:lang w:eastAsia="en-GB"/>
        </w:rPr>
        <w:t xml:space="preserve"> Be Me Report</w:t>
      </w:r>
      <w:r w:rsidR="001E5F42">
        <w:rPr>
          <w:rStyle w:val="FootnoteReference"/>
          <w:rFonts w:ascii="Aptos" w:eastAsia="Times New Roman" w:hAnsi="Aptos" w:cs="Calibri"/>
          <w:i/>
          <w:iCs/>
          <w:lang w:eastAsia="en-GB"/>
        </w:rPr>
        <w:footnoteReference w:id="20"/>
      </w:r>
    </w:p>
    <w:p w14:paraId="3642B6CC" w14:textId="46B0BA2B" w:rsidR="00914F45" w:rsidRPr="00914F45" w:rsidRDefault="00914F45" w:rsidP="00A4783A">
      <w:pPr>
        <w:spacing w:line="480" w:lineRule="auto"/>
        <w:rPr>
          <w:b/>
          <w:bCs/>
        </w:rPr>
      </w:pPr>
      <w:r w:rsidRPr="00914F45">
        <w:rPr>
          <w:b/>
          <w:bCs/>
        </w:rPr>
        <w:t xml:space="preserve">Long Wait Times </w:t>
      </w:r>
      <w:r w:rsidR="0029551C" w:rsidRPr="00914F45">
        <w:rPr>
          <w:b/>
          <w:bCs/>
        </w:rPr>
        <w:t>for</w:t>
      </w:r>
      <w:r w:rsidRPr="00914F45">
        <w:rPr>
          <w:b/>
          <w:bCs/>
        </w:rPr>
        <w:t xml:space="preserve"> Gender Affirming Care</w:t>
      </w:r>
    </w:p>
    <w:p w14:paraId="4A41849A" w14:textId="1B36661C" w:rsidR="002C2A72" w:rsidRDefault="00914F45" w:rsidP="00A4783A">
      <w:pPr>
        <w:spacing w:line="480" w:lineRule="auto"/>
      </w:pPr>
      <w:r>
        <w:t>A</w:t>
      </w:r>
      <w:r w:rsidR="00A4783A">
        <w:t xml:space="preserve"> lack of accessible gender affirming care results in poorer mental and </w:t>
      </w:r>
      <w:r w:rsidR="00A4783A">
        <w:t>p</w:t>
      </w:r>
      <w:r w:rsidR="00A4783A">
        <w:t xml:space="preserve">hysical health for trans and non-binary communities’, even impacting economic potential. </w:t>
      </w:r>
      <w:r w:rsidR="002C2A72">
        <w:t xml:space="preserve">Studies </w:t>
      </w:r>
      <w:r w:rsidR="00DC2275">
        <w:t xml:space="preserve">by </w:t>
      </w:r>
      <w:proofErr w:type="spellStart"/>
      <w:r w:rsidR="00DC2275">
        <w:t>Transactual</w:t>
      </w:r>
      <w:proofErr w:type="spellEnd"/>
      <w:r w:rsidR="00DC2275">
        <w:t xml:space="preserve"> </w:t>
      </w:r>
      <w:r w:rsidR="002C2A72">
        <w:t>have reported that</w:t>
      </w:r>
      <w:r w:rsidR="00DC2275">
        <w:rPr>
          <w:rStyle w:val="FootnoteReference"/>
        </w:rPr>
        <w:footnoteReference w:id="21"/>
      </w:r>
      <w:r w:rsidR="002C2A72">
        <w:t>:</w:t>
      </w:r>
    </w:p>
    <w:p w14:paraId="3FDB8501" w14:textId="77777777" w:rsidR="002C2A72" w:rsidRDefault="00A4783A" w:rsidP="002C2A72">
      <w:pPr>
        <w:pStyle w:val="ListParagraph"/>
        <w:numPr>
          <w:ilvl w:val="0"/>
          <w:numId w:val="11"/>
        </w:numPr>
        <w:spacing w:line="480" w:lineRule="auto"/>
      </w:pPr>
      <w:r>
        <w:t>63</w:t>
      </w:r>
      <w:r w:rsidR="00D15697">
        <w:t xml:space="preserve"> per cent</w:t>
      </w:r>
      <w:r>
        <w:t xml:space="preserve"> of people said long waiting</w:t>
      </w:r>
      <w:r>
        <w:t xml:space="preserve"> </w:t>
      </w:r>
      <w:r>
        <w:t>lists for gender affirming care impacted their ability to work; itself</w:t>
      </w:r>
      <w:r>
        <w:t xml:space="preserve"> </w:t>
      </w:r>
      <w:r>
        <w:t>a known risk factor for common mental health disorders.</w:t>
      </w:r>
      <w:r>
        <w:t xml:space="preserve"> </w:t>
      </w:r>
    </w:p>
    <w:p w14:paraId="54DA2B4A" w14:textId="1E045262" w:rsidR="00DC2275" w:rsidRPr="00DC2275" w:rsidRDefault="00DC2275" w:rsidP="00DC2275">
      <w:pPr>
        <w:spacing w:line="480" w:lineRule="auto"/>
        <w:jc w:val="center"/>
        <w:rPr>
          <w:i/>
          <w:iCs/>
        </w:rPr>
      </w:pPr>
      <w:r w:rsidRPr="00DC2275">
        <w:rPr>
          <w:i/>
          <w:iCs/>
        </w:rPr>
        <w:t>“My chest dysphoria was debilitating. I struggled with eating disorders and never wanted people to look at me. Having to wait for something I needed so badly was terrible for my mental health. It felt like the wait would never end and I’d have to be miserable forever”</w:t>
      </w:r>
    </w:p>
    <w:p w14:paraId="4B1DD7CA" w14:textId="77777777" w:rsidR="002C2A72" w:rsidRDefault="00A4783A" w:rsidP="002C2A72">
      <w:pPr>
        <w:pStyle w:val="ListParagraph"/>
        <w:numPr>
          <w:ilvl w:val="0"/>
          <w:numId w:val="11"/>
        </w:numPr>
        <w:spacing w:line="480" w:lineRule="auto"/>
      </w:pPr>
      <w:r>
        <w:t>Waiting</w:t>
      </w:r>
      <w:r>
        <w:t xml:space="preserve"> </w:t>
      </w:r>
      <w:r>
        <w:t>times for surgeries, an often-essential part of transition, are severely impacted by a lack of commissioning, with the average waiting</w:t>
      </w:r>
      <w:r>
        <w:t xml:space="preserve"> </w:t>
      </w:r>
      <w:r>
        <w:t xml:space="preserve">time for phalloplasty being 8+ years. </w:t>
      </w:r>
    </w:p>
    <w:p w14:paraId="770B41D4" w14:textId="7012DE4F" w:rsidR="000D142B" w:rsidRPr="000D142B" w:rsidRDefault="000D142B" w:rsidP="000D142B">
      <w:pPr>
        <w:spacing w:line="480" w:lineRule="auto"/>
        <w:jc w:val="center"/>
        <w:rPr>
          <w:i/>
          <w:iCs/>
        </w:rPr>
      </w:pPr>
      <w:r w:rsidRPr="000D142B">
        <w:rPr>
          <w:i/>
          <w:iCs/>
        </w:rPr>
        <w:t xml:space="preserve">“I was told I’d been referred for surgery six months after starting HRT. … I was told in every appointment … that, after that appointment, that same referral could be sent. … It took years for them to SEND the referral after saying they would. I spent more years waiting to be </w:t>
      </w:r>
      <w:r w:rsidRPr="000D142B">
        <w:rPr>
          <w:i/>
          <w:iCs/>
        </w:rPr>
        <w:lastRenderedPageBreak/>
        <w:t>contacted by the surgeon ... I was promised surgery in 2015. Not just the referral, but that the surgery would happen before 2016. I still haven’t had it</w:t>
      </w:r>
      <w:r w:rsidRPr="000D142B">
        <w:rPr>
          <w:i/>
          <w:iCs/>
        </w:rPr>
        <w:t>.”</w:t>
      </w:r>
    </w:p>
    <w:p w14:paraId="4A62FB50" w14:textId="036029F6" w:rsidR="002C2A72" w:rsidRDefault="00E02D0D" w:rsidP="002C2A72">
      <w:pPr>
        <w:pStyle w:val="ListParagraph"/>
        <w:numPr>
          <w:ilvl w:val="0"/>
          <w:numId w:val="11"/>
        </w:numPr>
        <w:spacing w:line="480" w:lineRule="auto"/>
      </w:pPr>
      <w:r w:rsidRPr="00E02D0D">
        <w:t>Fewer than 15% of those referred to a GIC after 2017 had attended a first appointment.</w:t>
      </w:r>
      <w:r>
        <w:t xml:space="preserve"> </w:t>
      </w:r>
    </w:p>
    <w:p w14:paraId="117F08CB" w14:textId="524FFB90" w:rsidR="00A4783A" w:rsidRPr="00F40A58" w:rsidRDefault="00A4783A" w:rsidP="002C2A72">
      <w:pPr>
        <w:spacing w:line="480" w:lineRule="auto"/>
      </w:pPr>
      <w:r>
        <w:t>Everyone deserves appropriate</w:t>
      </w:r>
      <w:r>
        <w:t xml:space="preserve"> </w:t>
      </w:r>
      <w:r>
        <w:t>and high-quality care, and yet LGBTQ+ people cannot trust that the</w:t>
      </w:r>
      <w:r>
        <w:t xml:space="preserve"> </w:t>
      </w:r>
      <w:r>
        <w:t>NHS and social care services will be there for them when they need it.</w:t>
      </w:r>
    </w:p>
    <w:sectPr w:rsidR="00A4783A" w:rsidRPr="00F40A5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14C8E" w14:textId="77777777" w:rsidR="00AA14D3" w:rsidRDefault="00AA14D3" w:rsidP="00F7156E">
      <w:pPr>
        <w:spacing w:after="0" w:line="240" w:lineRule="auto"/>
      </w:pPr>
      <w:r>
        <w:separator/>
      </w:r>
    </w:p>
  </w:endnote>
  <w:endnote w:type="continuationSeparator" w:id="0">
    <w:p w14:paraId="24D90746" w14:textId="77777777" w:rsidR="00AA14D3" w:rsidRDefault="00AA14D3" w:rsidP="00F71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730CC" w14:textId="6BC401C1" w:rsidR="0052175F" w:rsidRDefault="0052175F">
    <w:pPr>
      <w:pStyle w:val="Footer"/>
    </w:pPr>
    <w:r>
      <w:rPr>
        <w:lang w:val="en-GB"/>
      </w:rPr>
      <w:t xml:space="preserve">Page </w:t>
    </w:r>
    <w:r>
      <w:rPr>
        <w:b/>
        <w:bCs/>
      </w:rPr>
      <w:fldChar w:fldCharType="begin"/>
    </w:r>
    <w:r>
      <w:rPr>
        <w:b/>
        <w:bCs/>
      </w:rPr>
      <w:instrText>PAGE  \* Arabic  \* MERGEFORMAT</w:instrText>
    </w:r>
    <w:r>
      <w:rPr>
        <w:b/>
        <w:bCs/>
      </w:rPr>
      <w:fldChar w:fldCharType="separate"/>
    </w:r>
    <w:r>
      <w:rPr>
        <w:b/>
        <w:bCs/>
        <w:lang w:val="en-GB"/>
      </w:rPr>
      <w:t>1</w:t>
    </w:r>
    <w:r>
      <w:rPr>
        <w:b/>
        <w:bCs/>
      </w:rPr>
      <w:fldChar w:fldCharType="end"/>
    </w:r>
    <w:r>
      <w:rPr>
        <w:lang w:val="en-GB"/>
      </w:rPr>
      <w:t xml:space="preserve"> of </w:t>
    </w:r>
    <w:r>
      <w:rPr>
        <w:b/>
        <w:bCs/>
      </w:rPr>
      <w:fldChar w:fldCharType="begin"/>
    </w:r>
    <w:r>
      <w:rPr>
        <w:b/>
        <w:bCs/>
      </w:rPr>
      <w:instrText>NUMPAGES  \* Arabic  \* MERGEFORMAT</w:instrText>
    </w:r>
    <w:r>
      <w:rPr>
        <w:b/>
        <w:bCs/>
      </w:rPr>
      <w:fldChar w:fldCharType="separate"/>
    </w:r>
    <w:r>
      <w:rPr>
        <w:b/>
        <w:bCs/>
        <w:lang w:val="en-GB"/>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E2287" w14:textId="77777777" w:rsidR="00AA14D3" w:rsidRDefault="00AA14D3" w:rsidP="00F7156E">
      <w:pPr>
        <w:spacing w:after="0" w:line="240" w:lineRule="auto"/>
      </w:pPr>
      <w:r>
        <w:separator/>
      </w:r>
    </w:p>
  </w:footnote>
  <w:footnote w:type="continuationSeparator" w:id="0">
    <w:p w14:paraId="04D3D33E" w14:textId="77777777" w:rsidR="00AA14D3" w:rsidRDefault="00AA14D3" w:rsidP="00F7156E">
      <w:pPr>
        <w:spacing w:after="0" w:line="240" w:lineRule="auto"/>
      </w:pPr>
      <w:r>
        <w:continuationSeparator/>
      </w:r>
    </w:p>
  </w:footnote>
  <w:footnote w:id="1">
    <w:p w14:paraId="3DD82F1F" w14:textId="002B6477" w:rsidR="00F7156E" w:rsidRPr="00F7156E" w:rsidRDefault="00F7156E">
      <w:pPr>
        <w:pStyle w:val="FootnoteText"/>
        <w:rPr>
          <w:lang w:val="en-GB"/>
        </w:rPr>
      </w:pPr>
      <w:r>
        <w:rPr>
          <w:rStyle w:val="FootnoteReference"/>
        </w:rPr>
        <w:footnoteRef/>
      </w:r>
      <w:r>
        <w:t xml:space="preserve"> </w:t>
      </w:r>
      <w:hyperlink r:id="rId1" w:history="1">
        <w:r w:rsidRPr="00F7156E">
          <w:rPr>
            <w:rStyle w:val="Hyperlink"/>
          </w:rPr>
          <w:t>Leading-for-all-supporting-trans-non-binary-healthcare-staff-Sept-23.pdf</w:t>
        </w:r>
      </w:hyperlink>
    </w:p>
  </w:footnote>
  <w:footnote w:id="2">
    <w:p w14:paraId="04B1A1C3" w14:textId="49DC8AB1" w:rsidR="008B769A" w:rsidRPr="008B769A" w:rsidRDefault="008B769A">
      <w:pPr>
        <w:pStyle w:val="FootnoteText"/>
        <w:rPr>
          <w:lang w:val="en-GB"/>
        </w:rPr>
      </w:pPr>
      <w:r>
        <w:rPr>
          <w:rStyle w:val="FootnoteReference"/>
        </w:rPr>
        <w:footnoteRef/>
      </w:r>
      <w:r>
        <w:t xml:space="preserve"> </w:t>
      </w:r>
      <w:hyperlink r:id="rId2" w:history="1">
        <w:r w:rsidRPr="008B769A">
          <w:rPr>
            <w:rStyle w:val="Hyperlink"/>
          </w:rPr>
          <w:t>The LGBTQ+ staff experience gap | NHS Employers</w:t>
        </w:r>
      </w:hyperlink>
    </w:p>
  </w:footnote>
  <w:footnote w:id="3">
    <w:p w14:paraId="6E5B9C07" w14:textId="3949B8F9" w:rsidR="00921C42" w:rsidRPr="00921C42" w:rsidRDefault="00921C42">
      <w:pPr>
        <w:pStyle w:val="FootnoteText"/>
        <w:rPr>
          <w:lang w:val="en-GB"/>
        </w:rPr>
      </w:pPr>
      <w:r>
        <w:rPr>
          <w:rStyle w:val="FootnoteReference"/>
        </w:rPr>
        <w:footnoteRef/>
      </w:r>
      <w:r>
        <w:t xml:space="preserve"> </w:t>
      </w:r>
      <w:hyperlink r:id="rId3" w:history="1">
        <w:r w:rsidRPr="00921C42">
          <w:rPr>
            <w:rStyle w:val="Hyperlink"/>
          </w:rPr>
          <w:t>LGBT in Britain - Work Report (2018) | Stonewall</w:t>
        </w:r>
      </w:hyperlink>
    </w:p>
  </w:footnote>
  <w:footnote w:id="4">
    <w:p w14:paraId="5AA96AC6" w14:textId="1ECD9BD3" w:rsidR="000C78A3" w:rsidRPr="000C78A3" w:rsidRDefault="000C78A3">
      <w:pPr>
        <w:pStyle w:val="FootnoteText"/>
        <w:rPr>
          <w:lang w:val="en-GB"/>
        </w:rPr>
      </w:pPr>
      <w:r>
        <w:rPr>
          <w:rStyle w:val="FootnoteReference"/>
        </w:rPr>
        <w:footnoteRef/>
      </w:r>
      <w:r>
        <w:t xml:space="preserve"> </w:t>
      </w:r>
      <w:hyperlink r:id="rId4" w:history="1">
        <w:r w:rsidRPr="000C78A3">
          <w:rPr>
            <w:rStyle w:val="Hyperlink"/>
          </w:rPr>
          <w:t>LGBT+ workers experience higher levels of conflict at work, shows new report</w:t>
        </w:r>
      </w:hyperlink>
    </w:p>
  </w:footnote>
  <w:footnote w:id="5">
    <w:p w14:paraId="003766F9" w14:textId="44D70C7B" w:rsidR="00E42D2B" w:rsidRPr="00E42D2B" w:rsidRDefault="00E42D2B">
      <w:pPr>
        <w:pStyle w:val="FootnoteText"/>
        <w:rPr>
          <w:lang w:val="en-GB"/>
        </w:rPr>
      </w:pPr>
      <w:r>
        <w:rPr>
          <w:rStyle w:val="FootnoteReference"/>
        </w:rPr>
        <w:footnoteRef/>
      </w:r>
      <w:r>
        <w:t xml:space="preserve"> </w:t>
      </w:r>
      <w:r w:rsidR="008F4E53" w:rsidRPr="008F4E53">
        <w:rPr>
          <w:rStyle w:val="Hyperlink"/>
        </w:rPr>
        <w:t xml:space="preserve">UK Government, </w:t>
      </w:r>
      <w:hyperlink r:id="rId5" w:history="1">
        <w:r w:rsidR="008F4E53" w:rsidRPr="00E42D2B">
          <w:rPr>
            <w:rStyle w:val="Hyperlink"/>
          </w:rPr>
          <w:t>National LGBT Survey: Summa</w:t>
        </w:r>
        <w:r w:rsidR="008F4E53" w:rsidRPr="00E42D2B">
          <w:rPr>
            <w:rStyle w:val="Hyperlink"/>
          </w:rPr>
          <w:t>r</w:t>
        </w:r>
        <w:r w:rsidR="008F4E53" w:rsidRPr="00E42D2B">
          <w:rPr>
            <w:rStyle w:val="Hyperlink"/>
          </w:rPr>
          <w:t>y report</w:t>
        </w:r>
      </w:hyperlink>
    </w:p>
  </w:footnote>
  <w:footnote w:id="6">
    <w:p w14:paraId="761C6EC8" w14:textId="6A4A2B1D" w:rsidR="00AC001B" w:rsidRPr="00AC001B" w:rsidRDefault="00AC001B">
      <w:pPr>
        <w:pStyle w:val="FootnoteText"/>
        <w:rPr>
          <w:lang w:val="en-GB"/>
        </w:rPr>
      </w:pPr>
      <w:r>
        <w:rPr>
          <w:rStyle w:val="FootnoteReference"/>
        </w:rPr>
        <w:footnoteRef/>
      </w:r>
      <w:r>
        <w:t xml:space="preserve"> </w:t>
      </w:r>
      <w:hyperlink r:id="rId6" w:history="1">
        <w:r w:rsidRPr="00AC001B">
          <w:rPr>
            <w:rStyle w:val="Hyperlink"/>
          </w:rPr>
          <w:t>Sexual harassment and harassment at work: technical guidance | EHRC</w:t>
        </w:r>
      </w:hyperlink>
    </w:p>
  </w:footnote>
  <w:footnote w:id="7">
    <w:p w14:paraId="76B623AB" w14:textId="463FF070" w:rsidR="00BE734E" w:rsidRPr="00BE734E" w:rsidRDefault="00BE734E">
      <w:pPr>
        <w:pStyle w:val="FootnoteText"/>
        <w:rPr>
          <w:lang w:val="en-GB"/>
        </w:rPr>
      </w:pPr>
      <w:r>
        <w:rPr>
          <w:rStyle w:val="FootnoteReference"/>
        </w:rPr>
        <w:footnoteRef/>
      </w:r>
      <w:r w:rsidRPr="00FB3514">
        <w:rPr>
          <w:rStyle w:val="Hyperlink"/>
        </w:rPr>
        <w:t xml:space="preserve">UK Government  </w:t>
      </w:r>
      <w:hyperlink r:id="rId7" w:history="1">
        <w:r w:rsidRPr="00BE734E">
          <w:rPr>
            <w:rStyle w:val="Hyperlink"/>
          </w:rPr>
          <w:t>LGBT Action Plan</w:t>
        </w:r>
      </w:hyperlink>
      <w:r w:rsidR="001B5526" w:rsidRPr="00FB3514">
        <w:rPr>
          <w:rStyle w:val="Hyperlink"/>
        </w:rPr>
        <w:t xml:space="preserve"> 2018</w:t>
      </w:r>
    </w:p>
  </w:footnote>
  <w:footnote w:id="8">
    <w:p w14:paraId="7C5DF391" w14:textId="55E535ED" w:rsidR="00FB3514" w:rsidRPr="00FB3514" w:rsidRDefault="00FB3514">
      <w:pPr>
        <w:pStyle w:val="FootnoteText"/>
        <w:rPr>
          <w:lang w:val="en-GB"/>
        </w:rPr>
      </w:pPr>
      <w:r>
        <w:rPr>
          <w:rStyle w:val="FootnoteReference"/>
        </w:rPr>
        <w:footnoteRef/>
      </w:r>
      <w:r>
        <w:t xml:space="preserve"> </w:t>
      </w:r>
      <w:hyperlink r:id="rId8" w:history="1">
        <w:r w:rsidRPr="00FB3514">
          <w:rPr>
            <w:rStyle w:val="Hyperlink"/>
            <w:lang w:val="en-GB"/>
          </w:rPr>
          <w:t>LGBT Foundation LGBTQ+ Patient Experience Survey Report 2022</w:t>
        </w:r>
      </w:hyperlink>
    </w:p>
  </w:footnote>
  <w:footnote w:id="9">
    <w:p w14:paraId="5B682195" w14:textId="787F4F23" w:rsidR="004B388D" w:rsidRPr="001027B5" w:rsidRDefault="004B388D">
      <w:pPr>
        <w:pStyle w:val="FootnoteText"/>
        <w:rPr>
          <w:rStyle w:val="Hyperlink"/>
        </w:rPr>
      </w:pPr>
      <w:r>
        <w:rPr>
          <w:rStyle w:val="FootnoteReference"/>
        </w:rPr>
        <w:footnoteRef/>
      </w:r>
      <w:r>
        <w:t xml:space="preserve"> </w:t>
      </w:r>
      <w:r w:rsidRPr="001027B5">
        <w:rPr>
          <w:rStyle w:val="Hyperlink"/>
        </w:rPr>
        <w:t xml:space="preserve">LGBT Foundation </w:t>
      </w:r>
      <w:r w:rsidR="001027B5" w:rsidRPr="001027B5">
        <w:rPr>
          <w:rStyle w:val="Hyperlink"/>
        </w:rPr>
        <w:t>ITEMS research project</w:t>
      </w:r>
      <w:r w:rsidR="001027B5" w:rsidRPr="001027B5">
        <w:rPr>
          <w:rStyle w:val="Hyperlink"/>
        </w:rPr>
        <w:t>/</w:t>
      </w:r>
      <w:hyperlink r:id="rId9" w:history="1">
        <w:r w:rsidRPr="004B388D">
          <w:rPr>
            <w:rStyle w:val="Hyperlink"/>
          </w:rPr>
          <w:t>Trans Pregnancy Survey</w:t>
        </w:r>
      </w:hyperlink>
      <w:r w:rsidR="001027B5" w:rsidRPr="001027B5">
        <w:rPr>
          <w:rStyle w:val="Hyperlink"/>
        </w:rPr>
        <w:t xml:space="preserve"> 2022</w:t>
      </w:r>
    </w:p>
  </w:footnote>
  <w:footnote w:id="10">
    <w:p w14:paraId="35384888" w14:textId="0B48E735" w:rsidR="00F75E79" w:rsidRPr="00F75E79" w:rsidRDefault="00F75E79">
      <w:pPr>
        <w:pStyle w:val="FootnoteText"/>
        <w:rPr>
          <w:rStyle w:val="Hyperlink"/>
        </w:rPr>
      </w:pPr>
      <w:r>
        <w:rPr>
          <w:rStyle w:val="FootnoteReference"/>
        </w:rPr>
        <w:footnoteRef/>
      </w:r>
      <w:r>
        <w:t xml:space="preserve"> </w:t>
      </w:r>
      <w:hyperlink r:id="rId10" w:history="1">
        <w:r w:rsidRPr="00F75E79">
          <w:rPr>
            <w:rStyle w:val="Hyperlink"/>
          </w:rPr>
          <w:t>Addressing inequalities in LGBT cancer screening coverage – PHE Screening</w:t>
        </w:r>
      </w:hyperlink>
      <w:r w:rsidRPr="00F75E79">
        <w:rPr>
          <w:rStyle w:val="Hyperlink"/>
        </w:rPr>
        <w:t xml:space="preserve"> 2019</w:t>
      </w:r>
    </w:p>
  </w:footnote>
  <w:footnote w:id="11">
    <w:p w14:paraId="3798C656" w14:textId="12365503" w:rsidR="005A4E1D" w:rsidRPr="005A4E1D" w:rsidRDefault="005A4E1D">
      <w:pPr>
        <w:pStyle w:val="FootnoteText"/>
        <w:rPr>
          <w:lang w:val="en-GB"/>
        </w:rPr>
      </w:pPr>
      <w:r>
        <w:rPr>
          <w:rStyle w:val="FootnoteReference"/>
        </w:rPr>
        <w:footnoteRef/>
      </w:r>
      <w:r>
        <w:t xml:space="preserve"> </w:t>
      </w:r>
      <w:hyperlink r:id="rId11" w:history="1">
        <w:r w:rsidRPr="005A4E1D">
          <w:rPr>
            <w:rStyle w:val="Hyperlink"/>
          </w:rPr>
          <w:t>LGBT Action Plan</w:t>
        </w:r>
      </w:hyperlink>
      <w:r w:rsidRPr="005A4E1D">
        <w:rPr>
          <w:rStyle w:val="Hyperlink"/>
        </w:rPr>
        <w:t xml:space="preserve"> 2018</w:t>
      </w:r>
    </w:p>
  </w:footnote>
  <w:footnote w:id="12">
    <w:p w14:paraId="2B258A10" w14:textId="3B935E73" w:rsidR="003B76F3" w:rsidRPr="003B76F3" w:rsidRDefault="003B76F3">
      <w:pPr>
        <w:pStyle w:val="FootnoteText"/>
        <w:rPr>
          <w:lang w:val="en-GB"/>
        </w:rPr>
      </w:pPr>
      <w:r>
        <w:rPr>
          <w:rStyle w:val="FootnoteReference"/>
        </w:rPr>
        <w:footnoteRef/>
      </w:r>
      <w:r>
        <w:t xml:space="preserve"> </w:t>
      </w:r>
      <w:r w:rsidRPr="001027B5">
        <w:rPr>
          <w:rStyle w:val="Hyperlink"/>
        </w:rPr>
        <w:t>LGBT Foundation ITEMS research project/</w:t>
      </w:r>
      <w:hyperlink r:id="rId12" w:history="1">
        <w:r w:rsidRPr="004B388D">
          <w:rPr>
            <w:rStyle w:val="Hyperlink"/>
          </w:rPr>
          <w:t>Trans Pregnancy Survey</w:t>
        </w:r>
      </w:hyperlink>
      <w:r w:rsidRPr="001027B5">
        <w:rPr>
          <w:rStyle w:val="Hyperlink"/>
        </w:rPr>
        <w:t xml:space="preserve"> 2022</w:t>
      </w:r>
    </w:p>
  </w:footnote>
  <w:footnote w:id="13">
    <w:p w14:paraId="3A686C17" w14:textId="6CFB06C8" w:rsidR="00805DBB" w:rsidRPr="00805DBB" w:rsidRDefault="00805DBB">
      <w:pPr>
        <w:pStyle w:val="FootnoteText"/>
        <w:rPr>
          <w:lang w:val="en-GB"/>
        </w:rPr>
      </w:pPr>
      <w:r w:rsidRPr="00465FE3">
        <w:rPr>
          <w:rStyle w:val="FootnoteReference"/>
        </w:rPr>
        <w:footnoteRef/>
      </w:r>
      <w:r w:rsidR="00465FE3" w:rsidRPr="00465FE3">
        <w:rPr>
          <w:vertAlign w:val="superscript"/>
        </w:rPr>
        <w:t>, 14, 15</w:t>
      </w:r>
      <w:r w:rsidR="00465FE3">
        <w:t xml:space="preserve"> </w:t>
      </w:r>
      <w:hyperlink r:id="rId13" w:history="1">
        <w:r w:rsidRPr="00FB3514">
          <w:rPr>
            <w:rStyle w:val="Hyperlink"/>
            <w:lang w:val="en-GB"/>
          </w:rPr>
          <w:t>LGBT Foun</w:t>
        </w:r>
        <w:r w:rsidRPr="00FB3514">
          <w:rPr>
            <w:rStyle w:val="Hyperlink"/>
            <w:lang w:val="en-GB"/>
          </w:rPr>
          <w:t>d</w:t>
        </w:r>
        <w:r w:rsidRPr="00FB3514">
          <w:rPr>
            <w:rStyle w:val="Hyperlink"/>
            <w:lang w:val="en-GB"/>
          </w:rPr>
          <w:t>ation LGBTQ+ Patient Experience Survey Report 2022</w:t>
        </w:r>
      </w:hyperlink>
    </w:p>
  </w:footnote>
  <w:footnote w:id="14">
    <w:p w14:paraId="4FB8650E" w14:textId="599E7A5A" w:rsidR="00400C7D" w:rsidRPr="00400C7D" w:rsidRDefault="00400C7D">
      <w:pPr>
        <w:pStyle w:val="FootnoteText"/>
        <w:rPr>
          <w:lang w:val="en-GB"/>
        </w:rPr>
      </w:pPr>
    </w:p>
  </w:footnote>
  <w:footnote w:id="15">
    <w:p w14:paraId="0681EA5E" w14:textId="3130F40B" w:rsidR="00465FE3" w:rsidRPr="00465FE3" w:rsidRDefault="00465FE3">
      <w:pPr>
        <w:pStyle w:val="FootnoteText"/>
        <w:rPr>
          <w:lang w:val="en-GB"/>
        </w:rPr>
      </w:pPr>
    </w:p>
  </w:footnote>
  <w:footnote w:id="16">
    <w:p w14:paraId="741D0F97" w14:textId="11C44BDC" w:rsidR="00B14B4D" w:rsidRPr="00B14B4D" w:rsidRDefault="00B14B4D">
      <w:pPr>
        <w:pStyle w:val="FootnoteText"/>
        <w:rPr>
          <w:lang w:val="en-GB"/>
        </w:rPr>
      </w:pPr>
      <w:r>
        <w:rPr>
          <w:rStyle w:val="FootnoteReference"/>
        </w:rPr>
        <w:footnoteRef/>
      </w:r>
      <w:r>
        <w:t xml:space="preserve"> </w:t>
      </w:r>
      <w:hyperlink r:id="rId14" w:history="1">
        <w:r w:rsidRPr="00921C42">
          <w:rPr>
            <w:rStyle w:val="Hyperlink"/>
          </w:rPr>
          <w:t>LGBT in Britain - Work Report (2018) | Stonewall</w:t>
        </w:r>
      </w:hyperlink>
    </w:p>
  </w:footnote>
  <w:footnote w:id="17">
    <w:p w14:paraId="7F81F1B8" w14:textId="46B7D691" w:rsidR="00D01646" w:rsidRPr="00D01646" w:rsidRDefault="00D01646">
      <w:pPr>
        <w:pStyle w:val="FootnoteText"/>
        <w:rPr>
          <w:lang w:val="en-GB"/>
        </w:rPr>
      </w:pPr>
      <w:r>
        <w:rPr>
          <w:rStyle w:val="FootnoteReference"/>
        </w:rPr>
        <w:footnoteRef/>
      </w:r>
      <w:r>
        <w:t xml:space="preserve"> </w:t>
      </w:r>
      <w:hyperlink r:id="rId15" w:history="1">
        <w:r w:rsidR="005A32E1" w:rsidRPr="005A32E1">
          <w:rPr>
            <w:rStyle w:val="Hyperlink"/>
            <w:lang w:val="en-GB"/>
          </w:rPr>
          <w:t xml:space="preserve">Galop, An Isolated Place – LGBT+ Domestic Abuse Survivors Access </w:t>
        </w:r>
        <w:proofErr w:type="gramStart"/>
        <w:r w:rsidR="005A32E1" w:rsidRPr="005A32E1">
          <w:rPr>
            <w:rStyle w:val="Hyperlink"/>
            <w:lang w:val="en-GB"/>
          </w:rPr>
          <w:t>To</w:t>
        </w:r>
        <w:proofErr w:type="gramEnd"/>
        <w:r w:rsidR="005A32E1" w:rsidRPr="005A32E1">
          <w:rPr>
            <w:rStyle w:val="Hyperlink"/>
            <w:lang w:val="en-GB"/>
          </w:rPr>
          <w:t xml:space="preserve"> Support Report 2023</w:t>
        </w:r>
      </w:hyperlink>
    </w:p>
  </w:footnote>
  <w:footnote w:id="18">
    <w:p w14:paraId="45FEC027" w14:textId="574AF81E" w:rsidR="00B05117" w:rsidRPr="00B05117" w:rsidRDefault="00B05117">
      <w:pPr>
        <w:pStyle w:val="FootnoteText"/>
        <w:rPr>
          <w:lang w:val="en-GB"/>
        </w:rPr>
      </w:pPr>
      <w:r>
        <w:rPr>
          <w:rStyle w:val="FootnoteReference"/>
        </w:rPr>
        <w:footnoteRef/>
      </w:r>
      <w:r>
        <w:t xml:space="preserve"> </w:t>
      </w:r>
      <w:hyperlink r:id="rId16" w:history="1">
        <w:r w:rsidRPr="00183D1C">
          <w:rPr>
            <w:rStyle w:val="Hyperlink"/>
            <w:lang w:val="en-GB"/>
          </w:rPr>
          <w:t>Galop</w:t>
        </w:r>
        <w:r w:rsidR="00183D1C" w:rsidRPr="00183D1C">
          <w:rPr>
            <w:rStyle w:val="Hyperlink"/>
            <w:lang w:val="en-GB"/>
          </w:rPr>
          <w:t>,</w:t>
        </w:r>
        <w:r w:rsidRPr="00183D1C">
          <w:rPr>
            <w:rStyle w:val="Hyperlink"/>
            <w:lang w:val="en-GB"/>
          </w:rPr>
          <w:t xml:space="preserve"> </w:t>
        </w:r>
        <w:r w:rsidR="00183D1C" w:rsidRPr="00183D1C">
          <w:rPr>
            <w:rStyle w:val="Hyperlink"/>
            <w:lang w:val="en-GB"/>
          </w:rPr>
          <w:t>Hate Crime Report 2021</w:t>
        </w:r>
      </w:hyperlink>
    </w:p>
  </w:footnote>
  <w:footnote w:id="19">
    <w:p w14:paraId="094F484A" w14:textId="7CC94CAE" w:rsidR="008F4E53" w:rsidRPr="008F4E53" w:rsidRDefault="008F4E53">
      <w:pPr>
        <w:pStyle w:val="FootnoteText"/>
        <w:rPr>
          <w:lang w:val="en-GB"/>
        </w:rPr>
      </w:pPr>
      <w:r>
        <w:rPr>
          <w:rStyle w:val="FootnoteReference"/>
        </w:rPr>
        <w:footnoteRef/>
      </w:r>
      <w:r>
        <w:t xml:space="preserve"> </w:t>
      </w:r>
      <w:r w:rsidRPr="008F4E53">
        <w:rPr>
          <w:rStyle w:val="Hyperlink"/>
        </w:rPr>
        <w:t xml:space="preserve">UK Government, </w:t>
      </w:r>
      <w:hyperlink r:id="rId17" w:history="1">
        <w:r w:rsidRPr="00E42D2B">
          <w:rPr>
            <w:rStyle w:val="Hyperlink"/>
          </w:rPr>
          <w:t>National LGBT Survey: Summary report</w:t>
        </w:r>
      </w:hyperlink>
    </w:p>
  </w:footnote>
  <w:footnote w:id="20">
    <w:p w14:paraId="7EA8A60B" w14:textId="49D1D7E7" w:rsidR="001E5F42" w:rsidRPr="001E5F42" w:rsidRDefault="001E5F42">
      <w:pPr>
        <w:pStyle w:val="FootnoteText"/>
        <w:rPr>
          <w:lang w:val="en-GB"/>
        </w:rPr>
      </w:pPr>
      <w:r>
        <w:rPr>
          <w:rStyle w:val="FootnoteReference"/>
        </w:rPr>
        <w:footnoteRef/>
      </w:r>
      <w:r>
        <w:t xml:space="preserve"> </w:t>
      </w:r>
      <w:hyperlink r:id="rId18" w:history="1">
        <w:r w:rsidRPr="00706897">
          <w:rPr>
            <w:rStyle w:val="Hyperlink"/>
          </w:rPr>
          <w:t xml:space="preserve">Age UK, Safe to Be Me Report </w:t>
        </w:r>
        <w:r w:rsidR="00706897" w:rsidRPr="00706897">
          <w:rPr>
            <w:rStyle w:val="Hyperlink"/>
          </w:rPr>
          <w:t>2021</w:t>
        </w:r>
      </w:hyperlink>
    </w:p>
  </w:footnote>
  <w:footnote w:id="21">
    <w:p w14:paraId="10F80C4D" w14:textId="77777777" w:rsidR="00DC2275" w:rsidRPr="00E02D0D" w:rsidRDefault="00DC2275" w:rsidP="00DC2275">
      <w:pPr>
        <w:pStyle w:val="FootnoteText"/>
        <w:rPr>
          <w:lang w:val="en-GB"/>
        </w:rPr>
      </w:pPr>
      <w:r>
        <w:rPr>
          <w:rStyle w:val="FootnoteReference"/>
        </w:rPr>
        <w:footnoteRef/>
      </w:r>
      <w:r>
        <w:t xml:space="preserve"> </w:t>
      </w:r>
      <w:hyperlink r:id="rId19" w:history="1">
        <w:proofErr w:type="spellStart"/>
        <w:r w:rsidRPr="00E02D0D">
          <w:rPr>
            <w:rStyle w:val="Hyperlink"/>
            <w:lang w:val="en-GB"/>
          </w:rPr>
          <w:t>Transactual</w:t>
        </w:r>
        <w:proofErr w:type="spellEnd"/>
        <w:r w:rsidRPr="00E02D0D">
          <w:rPr>
            <w:rStyle w:val="Hyperlink"/>
            <w:lang w:val="en-GB"/>
          </w:rPr>
          <w:t>, Transition Access Survey 2022</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53B1B"/>
    <w:multiLevelType w:val="hybridMultilevel"/>
    <w:tmpl w:val="52DE8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0A2DD4"/>
    <w:multiLevelType w:val="multilevel"/>
    <w:tmpl w:val="D8F4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9357E0"/>
    <w:multiLevelType w:val="multilevel"/>
    <w:tmpl w:val="D8D02C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C527B3F"/>
    <w:multiLevelType w:val="hybridMultilevel"/>
    <w:tmpl w:val="FBA6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60C78"/>
    <w:multiLevelType w:val="hybridMultilevel"/>
    <w:tmpl w:val="1C346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1262BD"/>
    <w:multiLevelType w:val="multilevel"/>
    <w:tmpl w:val="6140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FC7E6A"/>
    <w:multiLevelType w:val="multilevel"/>
    <w:tmpl w:val="1640E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F7000D"/>
    <w:multiLevelType w:val="hybridMultilevel"/>
    <w:tmpl w:val="50DCA18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630B6BAF"/>
    <w:multiLevelType w:val="hybridMultilevel"/>
    <w:tmpl w:val="8B70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933C9F"/>
    <w:multiLevelType w:val="multilevel"/>
    <w:tmpl w:val="9A7C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538269C"/>
    <w:multiLevelType w:val="hybridMultilevel"/>
    <w:tmpl w:val="CEB0C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7752199">
    <w:abstractNumId w:val="9"/>
  </w:num>
  <w:num w:numId="2" w16cid:durableId="1104108577">
    <w:abstractNumId w:val="5"/>
  </w:num>
  <w:num w:numId="3" w16cid:durableId="745414824">
    <w:abstractNumId w:val="1"/>
  </w:num>
  <w:num w:numId="4" w16cid:durableId="1308439367">
    <w:abstractNumId w:val="10"/>
  </w:num>
  <w:num w:numId="5" w16cid:durableId="1122966693">
    <w:abstractNumId w:val="6"/>
  </w:num>
  <w:num w:numId="6" w16cid:durableId="62458012">
    <w:abstractNumId w:val="0"/>
  </w:num>
  <w:num w:numId="7" w16cid:durableId="1942373921">
    <w:abstractNumId w:val="2"/>
  </w:num>
  <w:num w:numId="8" w16cid:durableId="1666739683">
    <w:abstractNumId w:val="7"/>
  </w:num>
  <w:num w:numId="9" w16cid:durableId="1114131211">
    <w:abstractNumId w:val="3"/>
  </w:num>
  <w:num w:numId="10" w16cid:durableId="968977667">
    <w:abstractNumId w:val="8"/>
  </w:num>
  <w:num w:numId="11" w16cid:durableId="69888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9A82BB"/>
    <w:rsid w:val="0001748A"/>
    <w:rsid w:val="00033FF8"/>
    <w:rsid w:val="000416A5"/>
    <w:rsid w:val="0004175B"/>
    <w:rsid w:val="00064B56"/>
    <w:rsid w:val="00076180"/>
    <w:rsid w:val="000836E4"/>
    <w:rsid w:val="00092012"/>
    <w:rsid w:val="00093C29"/>
    <w:rsid w:val="000B0574"/>
    <w:rsid w:val="000C26DC"/>
    <w:rsid w:val="000C78A3"/>
    <w:rsid w:val="000D142B"/>
    <w:rsid w:val="000D65ED"/>
    <w:rsid w:val="000E6CA5"/>
    <w:rsid w:val="000E7F51"/>
    <w:rsid w:val="001027B5"/>
    <w:rsid w:val="001439F8"/>
    <w:rsid w:val="00153776"/>
    <w:rsid w:val="00163D10"/>
    <w:rsid w:val="001737A1"/>
    <w:rsid w:val="00183D1C"/>
    <w:rsid w:val="00184CAA"/>
    <w:rsid w:val="001859F9"/>
    <w:rsid w:val="001B5526"/>
    <w:rsid w:val="001E5F42"/>
    <w:rsid w:val="001F1DAD"/>
    <w:rsid w:val="00234475"/>
    <w:rsid w:val="00252A6E"/>
    <w:rsid w:val="00266D3B"/>
    <w:rsid w:val="00272F4E"/>
    <w:rsid w:val="00290BE0"/>
    <w:rsid w:val="00294756"/>
    <w:rsid w:val="00294C05"/>
    <w:rsid w:val="0029551C"/>
    <w:rsid w:val="002A0236"/>
    <w:rsid w:val="002A17AC"/>
    <w:rsid w:val="002A3858"/>
    <w:rsid w:val="002C2A72"/>
    <w:rsid w:val="002D5854"/>
    <w:rsid w:val="002E6425"/>
    <w:rsid w:val="002F0172"/>
    <w:rsid w:val="003357F0"/>
    <w:rsid w:val="00345FAE"/>
    <w:rsid w:val="003536AD"/>
    <w:rsid w:val="003570C3"/>
    <w:rsid w:val="00365459"/>
    <w:rsid w:val="003675CE"/>
    <w:rsid w:val="00374D71"/>
    <w:rsid w:val="00375E7C"/>
    <w:rsid w:val="003904AA"/>
    <w:rsid w:val="00392E60"/>
    <w:rsid w:val="003B6546"/>
    <w:rsid w:val="003B76F3"/>
    <w:rsid w:val="003E5CBF"/>
    <w:rsid w:val="003F149F"/>
    <w:rsid w:val="00400C7D"/>
    <w:rsid w:val="004261D9"/>
    <w:rsid w:val="00441C45"/>
    <w:rsid w:val="0044614C"/>
    <w:rsid w:val="00465FE3"/>
    <w:rsid w:val="004845F1"/>
    <w:rsid w:val="00485B7C"/>
    <w:rsid w:val="004B2DC1"/>
    <w:rsid w:val="004B388D"/>
    <w:rsid w:val="004E3E17"/>
    <w:rsid w:val="005048D4"/>
    <w:rsid w:val="00516114"/>
    <w:rsid w:val="0052175F"/>
    <w:rsid w:val="005563C1"/>
    <w:rsid w:val="0058299B"/>
    <w:rsid w:val="00593982"/>
    <w:rsid w:val="005A32E1"/>
    <w:rsid w:val="005A451F"/>
    <w:rsid w:val="005A4E1D"/>
    <w:rsid w:val="005A6BC3"/>
    <w:rsid w:val="005B53A4"/>
    <w:rsid w:val="005F6F70"/>
    <w:rsid w:val="006063BB"/>
    <w:rsid w:val="00611166"/>
    <w:rsid w:val="00611295"/>
    <w:rsid w:val="0061660E"/>
    <w:rsid w:val="00622003"/>
    <w:rsid w:val="00641E1C"/>
    <w:rsid w:val="00667E55"/>
    <w:rsid w:val="00684B08"/>
    <w:rsid w:val="006925F8"/>
    <w:rsid w:val="006A1983"/>
    <w:rsid w:val="006D28D6"/>
    <w:rsid w:val="006D6D50"/>
    <w:rsid w:val="006D7034"/>
    <w:rsid w:val="006D77EC"/>
    <w:rsid w:val="006F5353"/>
    <w:rsid w:val="00706897"/>
    <w:rsid w:val="007402D9"/>
    <w:rsid w:val="00746ED0"/>
    <w:rsid w:val="00756ABC"/>
    <w:rsid w:val="0077154B"/>
    <w:rsid w:val="007968B7"/>
    <w:rsid w:val="0079780A"/>
    <w:rsid w:val="007B141C"/>
    <w:rsid w:val="007B3C7E"/>
    <w:rsid w:val="007D3AC7"/>
    <w:rsid w:val="007D57E9"/>
    <w:rsid w:val="007E0BF1"/>
    <w:rsid w:val="007E3D22"/>
    <w:rsid w:val="00804B89"/>
    <w:rsid w:val="00805DBB"/>
    <w:rsid w:val="008261CF"/>
    <w:rsid w:val="008424D9"/>
    <w:rsid w:val="00850C97"/>
    <w:rsid w:val="008565FE"/>
    <w:rsid w:val="00873F75"/>
    <w:rsid w:val="0088231F"/>
    <w:rsid w:val="00887AA4"/>
    <w:rsid w:val="00896DDD"/>
    <w:rsid w:val="008A125B"/>
    <w:rsid w:val="008A6370"/>
    <w:rsid w:val="008B769A"/>
    <w:rsid w:val="008F4E53"/>
    <w:rsid w:val="008F67B6"/>
    <w:rsid w:val="009035A2"/>
    <w:rsid w:val="00914F45"/>
    <w:rsid w:val="00921B6F"/>
    <w:rsid w:val="00921C42"/>
    <w:rsid w:val="00934CF2"/>
    <w:rsid w:val="00935A5D"/>
    <w:rsid w:val="00953CD1"/>
    <w:rsid w:val="00956207"/>
    <w:rsid w:val="009853BA"/>
    <w:rsid w:val="009D1264"/>
    <w:rsid w:val="009F11F0"/>
    <w:rsid w:val="009F4459"/>
    <w:rsid w:val="00A1410E"/>
    <w:rsid w:val="00A14DDE"/>
    <w:rsid w:val="00A33896"/>
    <w:rsid w:val="00A468C1"/>
    <w:rsid w:val="00A4783A"/>
    <w:rsid w:val="00A65651"/>
    <w:rsid w:val="00A71A03"/>
    <w:rsid w:val="00A73461"/>
    <w:rsid w:val="00A938E0"/>
    <w:rsid w:val="00AA14D3"/>
    <w:rsid w:val="00AA3E47"/>
    <w:rsid w:val="00AA73AA"/>
    <w:rsid w:val="00AB5127"/>
    <w:rsid w:val="00AB527F"/>
    <w:rsid w:val="00AC001B"/>
    <w:rsid w:val="00AD0ABB"/>
    <w:rsid w:val="00AE2B03"/>
    <w:rsid w:val="00AE7008"/>
    <w:rsid w:val="00B05117"/>
    <w:rsid w:val="00B14B4D"/>
    <w:rsid w:val="00B435C7"/>
    <w:rsid w:val="00B454FB"/>
    <w:rsid w:val="00BA5264"/>
    <w:rsid w:val="00BB1313"/>
    <w:rsid w:val="00BC1704"/>
    <w:rsid w:val="00BE734E"/>
    <w:rsid w:val="00BE7D3E"/>
    <w:rsid w:val="00C10DD8"/>
    <w:rsid w:val="00C243F8"/>
    <w:rsid w:val="00C424BA"/>
    <w:rsid w:val="00C660DC"/>
    <w:rsid w:val="00C71B92"/>
    <w:rsid w:val="00CA1D1B"/>
    <w:rsid w:val="00CA66AD"/>
    <w:rsid w:val="00CB0466"/>
    <w:rsid w:val="00D01646"/>
    <w:rsid w:val="00D15697"/>
    <w:rsid w:val="00D43CBA"/>
    <w:rsid w:val="00D46C57"/>
    <w:rsid w:val="00D551F3"/>
    <w:rsid w:val="00D80F66"/>
    <w:rsid w:val="00D87E9B"/>
    <w:rsid w:val="00DA6EE0"/>
    <w:rsid w:val="00DB28DF"/>
    <w:rsid w:val="00DC2275"/>
    <w:rsid w:val="00DC4BF8"/>
    <w:rsid w:val="00DF7BEA"/>
    <w:rsid w:val="00E02894"/>
    <w:rsid w:val="00E02D0D"/>
    <w:rsid w:val="00E14004"/>
    <w:rsid w:val="00E15B3E"/>
    <w:rsid w:val="00E42D2B"/>
    <w:rsid w:val="00E52C4E"/>
    <w:rsid w:val="00E646D5"/>
    <w:rsid w:val="00E66A83"/>
    <w:rsid w:val="00E81A6E"/>
    <w:rsid w:val="00E94166"/>
    <w:rsid w:val="00EB4DBA"/>
    <w:rsid w:val="00EB6782"/>
    <w:rsid w:val="00EC66A8"/>
    <w:rsid w:val="00ED250E"/>
    <w:rsid w:val="00F37AB7"/>
    <w:rsid w:val="00F40A58"/>
    <w:rsid w:val="00F5025B"/>
    <w:rsid w:val="00F5783C"/>
    <w:rsid w:val="00F67125"/>
    <w:rsid w:val="00F7156E"/>
    <w:rsid w:val="00F75E79"/>
    <w:rsid w:val="00FB3514"/>
    <w:rsid w:val="00FC02C5"/>
    <w:rsid w:val="00FC1B48"/>
    <w:rsid w:val="00FC3989"/>
    <w:rsid w:val="00FD0384"/>
    <w:rsid w:val="00FE4ED8"/>
    <w:rsid w:val="00FF743B"/>
    <w:rsid w:val="0318B2B0"/>
    <w:rsid w:val="2942AFF6"/>
    <w:rsid w:val="2E98BC33"/>
    <w:rsid w:val="4226F557"/>
    <w:rsid w:val="509A82BB"/>
    <w:rsid w:val="58A448F3"/>
    <w:rsid w:val="5A483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A82BB"/>
  <w15:chartTrackingRefBased/>
  <w15:docId w15:val="{F018BC2A-E13D-482B-AAD9-739E9CB2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noteText">
    <w:name w:val="footnote text"/>
    <w:basedOn w:val="Normal"/>
    <w:link w:val="FootnoteTextChar"/>
    <w:uiPriority w:val="99"/>
    <w:semiHidden/>
    <w:unhideWhenUsed/>
    <w:rsid w:val="00F715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156E"/>
    <w:rPr>
      <w:sz w:val="20"/>
      <w:szCs w:val="20"/>
    </w:rPr>
  </w:style>
  <w:style w:type="character" w:styleId="FootnoteReference">
    <w:name w:val="footnote reference"/>
    <w:basedOn w:val="DefaultParagraphFont"/>
    <w:uiPriority w:val="99"/>
    <w:semiHidden/>
    <w:unhideWhenUsed/>
    <w:rsid w:val="00F7156E"/>
    <w:rPr>
      <w:vertAlign w:val="superscript"/>
    </w:rPr>
  </w:style>
  <w:style w:type="character" w:styleId="Hyperlink">
    <w:name w:val="Hyperlink"/>
    <w:basedOn w:val="DefaultParagraphFont"/>
    <w:uiPriority w:val="99"/>
    <w:unhideWhenUsed/>
    <w:rsid w:val="00F7156E"/>
    <w:rPr>
      <w:color w:val="467886" w:themeColor="hyperlink"/>
      <w:u w:val="single"/>
    </w:rPr>
  </w:style>
  <w:style w:type="character" w:styleId="UnresolvedMention">
    <w:name w:val="Unresolved Mention"/>
    <w:basedOn w:val="DefaultParagraphFont"/>
    <w:uiPriority w:val="99"/>
    <w:semiHidden/>
    <w:unhideWhenUsed/>
    <w:rsid w:val="00F7156E"/>
    <w:rPr>
      <w:color w:val="605E5C"/>
      <w:shd w:val="clear" w:color="auto" w:fill="E1DFDD"/>
    </w:rPr>
  </w:style>
  <w:style w:type="paragraph" w:styleId="ListParagraph">
    <w:name w:val="List Paragraph"/>
    <w:basedOn w:val="Normal"/>
    <w:uiPriority w:val="34"/>
    <w:qFormat/>
    <w:rsid w:val="00272F4E"/>
    <w:pPr>
      <w:ind w:left="720"/>
      <w:contextualSpacing/>
    </w:pPr>
  </w:style>
  <w:style w:type="paragraph" w:styleId="Header">
    <w:name w:val="header"/>
    <w:basedOn w:val="Normal"/>
    <w:link w:val="HeaderChar"/>
    <w:uiPriority w:val="99"/>
    <w:unhideWhenUsed/>
    <w:rsid w:val="005217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75F"/>
  </w:style>
  <w:style w:type="paragraph" w:styleId="Footer">
    <w:name w:val="footer"/>
    <w:basedOn w:val="Normal"/>
    <w:link w:val="FooterChar"/>
    <w:uiPriority w:val="99"/>
    <w:unhideWhenUsed/>
    <w:rsid w:val="005217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75F"/>
  </w:style>
  <w:style w:type="character" w:styleId="FollowedHyperlink">
    <w:name w:val="FollowedHyperlink"/>
    <w:basedOn w:val="DefaultParagraphFont"/>
    <w:uiPriority w:val="99"/>
    <w:semiHidden/>
    <w:unhideWhenUsed/>
    <w:rsid w:val="005563C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86914">
      <w:bodyDiv w:val="1"/>
      <w:marLeft w:val="0"/>
      <w:marRight w:val="0"/>
      <w:marTop w:val="0"/>
      <w:marBottom w:val="0"/>
      <w:divBdr>
        <w:top w:val="none" w:sz="0" w:space="0" w:color="auto"/>
        <w:left w:val="none" w:sz="0" w:space="0" w:color="auto"/>
        <w:bottom w:val="none" w:sz="0" w:space="0" w:color="auto"/>
        <w:right w:val="none" w:sz="0" w:space="0" w:color="auto"/>
      </w:divBdr>
    </w:div>
    <w:div w:id="182599944">
      <w:bodyDiv w:val="1"/>
      <w:marLeft w:val="0"/>
      <w:marRight w:val="0"/>
      <w:marTop w:val="0"/>
      <w:marBottom w:val="0"/>
      <w:divBdr>
        <w:top w:val="none" w:sz="0" w:space="0" w:color="auto"/>
        <w:left w:val="none" w:sz="0" w:space="0" w:color="auto"/>
        <w:bottom w:val="none" w:sz="0" w:space="0" w:color="auto"/>
        <w:right w:val="none" w:sz="0" w:space="0" w:color="auto"/>
      </w:divBdr>
    </w:div>
    <w:div w:id="299578599">
      <w:bodyDiv w:val="1"/>
      <w:marLeft w:val="0"/>
      <w:marRight w:val="0"/>
      <w:marTop w:val="0"/>
      <w:marBottom w:val="0"/>
      <w:divBdr>
        <w:top w:val="none" w:sz="0" w:space="0" w:color="auto"/>
        <w:left w:val="none" w:sz="0" w:space="0" w:color="auto"/>
        <w:bottom w:val="none" w:sz="0" w:space="0" w:color="auto"/>
        <w:right w:val="none" w:sz="0" w:space="0" w:color="auto"/>
      </w:divBdr>
    </w:div>
    <w:div w:id="308217654">
      <w:bodyDiv w:val="1"/>
      <w:marLeft w:val="0"/>
      <w:marRight w:val="0"/>
      <w:marTop w:val="0"/>
      <w:marBottom w:val="0"/>
      <w:divBdr>
        <w:top w:val="none" w:sz="0" w:space="0" w:color="auto"/>
        <w:left w:val="none" w:sz="0" w:space="0" w:color="auto"/>
        <w:bottom w:val="none" w:sz="0" w:space="0" w:color="auto"/>
        <w:right w:val="none" w:sz="0" w:space="0" w:color="auto"/>
      </w:divBdr>
    </w:div>
    <w:div w:id="529953912">
      <w:bodyDiv w:val="1"/>
      <w:marLeft w:val="0"/>
      <w:marRight w:val="0"/>
      <w:marTop w:val="0"/>
      <w:marBottom w:val="0"/>
      <w:divBdr>
        <w:top w:val="none" w:sz="0" w:space="0" w:color="auto"/>
        <w:left w:val="none" w:sz="0" w:space="0" w:color="auto"/>
        <w:bottom w:val="none" w:sz="0" w:space="0" w:color="auto"/>
        <w:right w:val="none" w:sz="0" w:space="0" w:color="auto"/>
      </w:divBdr>
    </w:div>
    <w:div w:id="1196038150">
      <w:bodyDiv w:val="1"/>
      <w:marLeft w:val="0"/>
      <w:marRight w:val="0"/>
      <w:marTop w:val="0"/>
      <w:marBottom w:val="0"/>
      <w:divBdr>
        <w:top w:val="none" w:sz="0" w:space="0" w:color="auto"/>
        <w:left w:val="none" w:sz="0" w:space="0" w:color="auto"/>
        <w:bottom w:val="none" w:sz="0" w:space="0" w:color="auto"/>
        <w:right w:val="none" w:sz="0" w:space="0" w:color="auto"/>
      </w:divBdr>
    </w:div>
    <w:div w:id="1479031777">
      <w:bodyDiv w:val="1"/>
      <w:marLeft w:val="0"/>
      <w:marRight w:val="0"/>
      <w:marTop w:val="0"/>
      <w:marBottom w:val="0"/>
      <w:divBdr>
        <w:top w:val="none" w:sz="0" w:space="0" w:color="auto"/>
        <w:left w:val="none" w:sz="0" w:space="0" w:color="auto"/>
        <w:bottom w:val="none" w:sz="0" w:space="0" w:color="auto"/>
        <w:right w:val="none" w:sz="0" w:space="0" w:color="auto"/>
      </w:divBdr>
    </w:div>
    <w:div w:id="1515804710">
      <w:bodyDiv w:val="1"/>
      <w:marLeft w:val="0"/>
      <w:marRight w:val="0"/>
      <w:marTop w:val="0"/>
      <w:marBottom w:val="0"/>
      <w:divBdr>
        <w:top w:val="none" w:sz="0" w:space="0" w:color="auto"/>
        <w:left w:val="none" w:sz="0" w:space="0" w:color="auto"/>
        <w:bottom w:val="none" w:sz="0" w:space="0" w:color="auto"/>
        <w:right w:val="none" w:sz="0" w:space="0" w:color="auto"/>
      </w:divBdr>
    </w:div>
    <w:div w:id="1597134211">
      <w:bodyDiv w:val="1"/>
      <w:marLeft w:val="0"/>
      <w:marRight w:val="0"/>
      <w:marTop w:val="0"/>
      <w:marBottom w:val="0"/>
      <w:divBdr>
        <w:top w:val="none" w:sz="0" w:space="0" w:color="auto"/>
        <w:left w:val="none" w:sz="0" w:space="0" w:color="auto"/>
        <w:bottom w:val="none" w:sz="0" w:space="0" w:color="auto"/>
        <w:right w:val="none" w:sz="0" w:space="0" w:color="auto"/>
      </w:divBdr>
    </w:div>
    <w:div w:id="1812938424">
      <w:bodyDiv w:val="1"/>
      <w:marLeft w:val="0"/>
      <w:marRight w:val="0"/>
      <w:marTop w:val="0"/>
      <w:marBottom w:val="0"/>
      <w:divBdr>
        <w:top w:val="none" w:sz="0" w:space="0" w:color="auto"/>
        <w:left w:val="none" w:sz="0" w:space="0" w:color="auto"/>
        <w:bottom w:val="none" w:sz="0" w:space="0" w:color="auto"/>
        <w:right w:val="none" w:sz="0" w:space="0" w:color="auto"/>
      </w:divBdr>
    </w:div>
    <w:div w:id="2002780605">
      <w:bodyDiv w:val="1"/>
      <w:marLeft w:val="0"/>
      <w:marRight w:val="0"/>
      <w:marTop w:val="0"/>
      <w:marBottom w:val="0"/>
      <w:divBdr>
        <w:top w:val="none" w:sz="0" w:space="0" w:color="auto"/>
        <w:left w:val="none" w:sz="0" w:space="0" w:color="auto"/>
        <w:bottom w:val="none" w:sz="0" w:space="0" w:color="auto"/>
        <w:right w:val="none" w:sz="0" w:space="0" w:color="auto"/>
      </w:divBdr>
    </w:div>
    <w:div w:id="205403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lgbt.foundation/wp-content/uploads/2023/10/LGBTQ-Patient-Experiences-in-Primary-Care.pdf" TargetMode="External"/><Relationship Id="rId13" Type="http://schemas.openxmlformats.org/officeDocument/2006/relationships/hyperlink" Target="https://lgbt.foundation/wp-content/uploads/2023/10/LGBTQ-Patient-Experiences-in-Primary-Care.pdf" TargetMode="External"/><Relationship Id="rId18" Type="http://schemas.openxmlformats.org/officeDocument/2006/relationships/hyperlink" Target="https://www.ageuk.org.uk/siteassets/documents/booklets/safe_to_be_me.pdf" TargetMode="External"/><Relationship Id="rId3" Type="http://schemas.openxmlformats.org/officeDocument/2006/relationships/hyperlink" Target="https://www.stonewall.org.uk/resources/lgbt-britain-work-report-2018" TargetMode="External"/><Relationship Id="rId7" Type="http://schemas.openxmlformats.org/officeDocument/2006/relationships/hyperlink" Target="https://assets.publishing.service.gov.uk/media/5b39e91ee5274a0bbef01fd5/GEO-LGBT-Action-Plan.pdf" TargetMode="External"/><Relationship Id="rId12" Type="http://schemas.openxmlformats.org/officeDocument/2006/relationships/hyperlink" Target="https://lgbt.foundation/wp-content/uploads/2024/01/ITEMS20final.pdf" TargetMode="External"/><Relationship Id="rId17" Type="http://schemas.openxmlformats.org/officeDocument/2006/relationships/hyperlink" Target="https://assets.publishing.service.gov.uk/government/uploads/system/uploads/attachment_data/file/722314/GEO-LGBT-Survey-Report.pdf" TargetMode="External"/><Relationship Id="rId2" Type="http://schemas.openxmlformats.org/officeDocument/2006/relationships/hyperlink" Target="https://www.nhsemployers.org/articles/lgbtq-staff-experience-gap" TargetMode="External"/><Relationship Id="rId16" Type="http://schemas.openxmlformats.org/officeDocument/2006/relationships/hyperlink" Target="https://galop.org.uk/wp-content/uploads/2021/06/Galop-Hate-Crime-Report-2021-1.pdf" TargetMode="External"/><Relationship Id="rId1" Type="http://schemas.openxmlformats.org/officeDocument/2006/relationships/hyperlink" Target="https://www.nhsconfed.org/system/files/2023-09/Leading-for-all-supporting-trans-non-binary-healthcare-staff-Sept-23.pdf" TargetMode="External"/><Relationship Id="rId6" Type="http://schemas.openxmlformats.org/officeDocument/2006/relationships/hyperlink" Target="https://www.equalityhumanrights.com/guidance/sexual-harassment-and-harassment-work-technical-guidance" TargetMode="External"/><Relationship Id="rId11" Type="http://schemas.openxmlformats.org/officeDocument/2006/relationships/hyperlink" Target="https://assets.publishing.service.gov.uk/media/5b39e91ee5274a0bbef01fd5/GEO-LGBT-Action-Plan.pdf" TargetMode="External"/><Relationship Id="rId5" Type="http://schemas.openxmlformats.org/officeDocument/2006/relationships/hyperlink" Target="https://assets.publishing.service.gov.uk/government/uploads/system/uploads/attachment_data/file/722314/GEO-LGBT-Survey-Report.pdf" TargetMode="External"/><Relationship Id="rId15" Type="http://schemas.openxmlformats.org/officeDocument/2006/relationships/hyperlink" Target="https://galop.org.uk/wp-content/uploads/2023/06/Galop_A4_IsolatedPlace_Report_2023_Final.pdf" TargetMode="External"/><Relationship Id="rId10" Type="http://schemas.openxmlformats.org/officeDocument/2006/relationships/hyperlink" Target="https://phescreening.blog.gov.uk/2019/03/15/addressing-inequalities-in-lgbt-cancer-screening-coverage/" TargetMode="External"/><Relationship Id="rId19" Type="http://schemas.openxmlformats.org/officeDocument/2006/relationships/hyperlink" Target="https://transactual.org.uk/transition-access-22/" TargetMode="External"/><Relationship Id="rId4" Type="http://schemas.openxmlformats.org/officeDocument/2006/relationships/hyperlink" Target="https://www.bath.ac.uk/announcements/lgbt-workers-experience-higher-levels-of-conflict-at-work-shows-new-report/" TargetMode="External"/><Relationship Id="rId9" Type="http://schemas.openxmlformats.org/officeDocument/2006/relationships/hyperlink" Target="https://lgbt.foundation/wp-content/uploads/2024/01/ITEMS20final.pdf" TargetMode="External"/><Relationship Id="rId14" Type="http://schemas.openxmlformats.org/officeDocument/2006/relationships/hyperlink" Target="https://www.stonewall.org.uk/resources/lgbt-britain-work-report-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BDD45-E41D-4789-B4BA-CB71B3022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2208</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Montrose-Moss</dc:creator>
  <cp:keywords/>
  <dc:description/>
  <cp:lastModifiedBy>Tom Montrose-Moss</cp:lastModifiedBy>
  <cp:revision>2</cp:revision>
  <dcterms:created xsi:type="dcterms:W3CDTF">2025-01-09T16:38:00Z</dcterms:created>
  <dcterms:modified xsi:type="dcterms:W3CDTF">2025-01-09T16:38:00Z</dcterms:modified>
</cp:coreProperties>
</file>