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78AE" w14:textId="1026493A" w:rsidR="00080248" w:rsidRPr="00C34B89" w:rsidRDefault="00080248" w:rsidP="00080248">
      <w:pPr>
        <w:pStyle w:val="Sinespaciado"/>
        <w:jc w:val="center"/>
        <w:rPr>
          <w:b/>
          <w:bCs/>
          <w:lang w:val="en-US"/>
        </w:rPr>
      </w:pPr>
      <w:r w:rsidRPr="00C34B89">
        <w:rPr>
          <w:b/>
          <w:bCs/>
          <w:lang w:val="en-US"/>
        </w:rPr>
        <w:t>ALTERNATIVE REPORT TO</w:t>
      </w:r>
    </w:p>
    <w:p w14:paraId="4CBEE9CB" w14:textId="046B21C0" w:rsidR="003F2B57" w:rsidRPr="003F2B57" w:rsidRDefault="00080248" w:rsidP="003F2B57">
      <w:pPr>
        <w:pStyle w:val="Sinespaciado"/>
        <w:jc w:val="center"/>
        <w:rPr>
          <w:b/>
          <w:bCs/>
          <w:lang w:val="en-US"/>
        </w:rPr>
      </w:pPr>
      <w:r w:rsidRPr="00C34B89">
        <w:rPr>
          <w:b/>
          <w:bCs/>
          <w:lang w:val="en-US"/>
        </w:rPr>
        <w:t xml:space="preserve"> </w:t>
      </w:r>
      <w:r w:rsidR="003F2B57" w:rsidRPr="003F2B57">
        <w:rPr>
          <w:b/>
          <w:bCs/>
          <w:lang w:val="en-US"/>
        </w:rPr>
        <w:t xml:space="preserve">CEDAW - Convention for the Elimination of all forms of Discrimination against </w:t>
      </w:r>
      <w:r w:rsidR="003F2B57">
        <w:rPr>
          <w:b/>
          <w:bCs/>
          <w:lang w:val="en-US"/>
        </w:rPr>
        <w:t>w</w:t>
      </w:r>
      <w:r w:rsidR="003F2B57" w:rsidRPr="003F2B57">
        <w:rPr>
          <w:b/>
          <w:bCs/>
          <w:lang w:val="en-US"/>
        </w:rPr>
        <w:t>omen</w:t>
      </w:r>
    </w:p>
    <w:p w14:paraId="7CA59BAC" w14:textId="531BEAF5" w:rsidR="008D3D34" w:rsidRPr="00C34B89" w:rsidRDefault="003F2B57" w:rsidP="003F2B57">
      <w:pPr>
        <w:pStyle w:val="Sinespaciado"/>
        <w:jc w:val="center"/>
        <w:rPr>
          <w:b/>
          <w:bCs/>
          <w:lang w:val="en-US"/>
        </w:rPr>
      </w:pPr>
      <w:r w:rsidRPr="003F2B57">
        <w:rPr>
          <w:b/>
          <w:bCs/>
          <w:lang w:val="en-US"/>
        </w:rPr>
        <w:t>86 Session (09 Oct. 2023 - 27 Oct. 2023)</w:t>
      </w:r>
    </w:p>
    <w:p w14:paraId="00002D59" w14:textId="77777777" w:rsidR="00080248" w:rsidRPr="00C34B89" w:rsidRDefault="00080248" w:rsidP="00080248">
      <w:pPr>
        <w:pStyle w:val="Sinespaciado"/>
        <w:jc w:val="center"/>
        <w:rPr>
          <w:b/>
          <w:bCs/>
          <w:lang w:val="en-US"/>
        </w:rPr>
      </w:pPr>
    </w:p>
    <w:p w14:paraId="44DDAFA8" w14:textId="6B235BFE" w:rsidR="00080248" w:rsidRPr="00C34B89" w:rsidRDefault="00DF40B3" w:rsidP="00080248">
      <w:pPr>
        <w:pStyle w:val="Sinespaciado"/>
        <w:jc w:val="center"/>
        <w:rPr>
          <w:b/>
          <w:bCs/>
          <w:lang w:val="en-US"/>
        </w:rPr>
      </w:pPr>
      <w:r w:rsidRPr="00C34B89">
        <w:rPr>
          <w:b/>
          <w:bCs/>
          <w:lang w:val="en-US"/>
        </w:rPr>
        <w:t xml:space="preserve">Labor report, prepared by: </w:t>
      </w:r>
    </w:p>
    <w:p w14:paraId="435479D5" w14:textId="77777777" w:rsidR="0021312E" w:rsidRPr="00C34B89" w:rsidRDefault="0021312E" w:rsidP="00080248">
      <w:pPr>
        <w:pStyle w:val="Sinespaciado"/>
        <w:jc w:val="center"/>
        <w:rPr>
          <w:b/>
          <w:bCs/>
          <w:lang w:val="en-US"/>
        </w:rPr>
      </w:pPr>
    </w:p>
    <w:p w14:paraId="0FE31BB0" w14:textId="77777777" w:rsidR="00C34B89" w:rsidRPr="00FA0496" w:rsidRDefault="00C34B89" w:rsidP="00C34B89">
      <w:pPr>
        <w:pStyle w:val="Sinespaciado"/>
        <w:jc w:val="center"/>
        <w:rPr>
          <w:b/>
          <w:bCs/>
          <w:lang w:val="es-MX"/>
        </w:rPr>
      </w:pPr>
      <w:r w:rsidRPr="00FA0496">
        <w:rPr>
          <w:b/>
          <w:bCs/>
          <w:lang w:val="es-MX"/>
        </w:rPr>
        <w:t>Asociación de Trabajadoras del Hogar, a Domicilio y de Maquila ATRAHDOM</w:t>
      </w:r>
    </w:p>
    <w:p w14:paraId="16A9D7DA" w14:textId="77777777" w:rsidR="00C34B89" w:rsidRPr="00FA0496" w:rsidRDefault="00C34B89" w:rsidP="00C34B89">
      <w:pPr>
        <w:pStyle w:val="Sinespaciado"/>
        <w:jc w:val="center"/>
        <w:rPr>
          <w:b/>
          <w:bCs/>
          <w:lang w:val="es-MX"/>
        </w:rPr>
      </w:pPr>
      <w:r w:rsidRPr="00FA0496">
        <w:rPr>
          <w:b/>
          <w:bCs/>
          <w:lang w:val="es-MX"/>
        </w:rPr>
        <w:t>Sindicato de Trabajadoras Domésticas de Maquila, Nexas y Conexas, SITRADOM</w:t>
      </w:r>
    </w:p>
    <w:p w14:paraId="0CCA806B" w14:textId="77777777" w:rsidR="00C34B89" w:rsidRPr="00FA0496" w:rsidRDefault="00C34B89" w:rsidP="00C34B89">
      <w:pPr>
        <w:pStyle w:val="Sinespaciado"/>
        <w:jc w:val="center"/>
        <w:rPr>
          <w:b/>
          <w:bCs/>
          <w:lang w:val="es-MX"/>
        </w:rPr>
      </w:pPr>
      <w:r w:rsidRPr="00FA0496">
        <w:rPr>
          <w:b/>
          <w:bCs/>
          <w:lang w:val="es-MX"/>
        </w:rPr>
        <w:t>Sindicato de Trabajadoras Domésticas, Similares y a Cuenta propia, SITRADOMSA</w:t>
      </w:r>
    </w:p>
    <w:p w14:paraId="1C8C102B" w14:textId="008306FE" w:rsidR="00080248" w:rsidRPr="00C34B89" w:rsidRDefault="00080248" w:rsidP="00080248">
      <w:pPr>
        <w:pStyle w:val="Sinespaciado"/>
        <w:jc w:val="center"/>
        <w:rPr>
          <w:b/>
          <w:bCs/>
          <w:lang w:val="es-MX"/>
        </w:rPr>
      </w:pPr>
    </w:p>
    <w:p w14:paraId="1753A77E" w14:textId="77777777" w:rsidR="00606CB9" w:rsidRPr="00C34B89" w:rsidRDefault="00606CB9" w:rsidP="00080248">
      <w:pPr>
        <w:pStyle w:val="Sinespaciado"/>
        <w:jc w:val="both"/>
        <w:rPr>
          <w:b/>
          <w:bCs/>
        </w:rPr>
      </w:pPr>
    </w:p>
    <w:p w14:paraId="6BF12E51" w14:textId="767F7979" w:rsidR="00EA0584" w:rsidRPr="00C34B89" w:rsidRDefault="00606CB9" w:rsidP="00080248">
      <w:pPr>
        <w:pStyle w:val="Sinespaciado"/>
        <w:jc w:val="both"/>
        <w:rPr>
          <w:lang w:val="en-US"/>
        </w:rPr>
      </w:pPr>
      <w:r w:rsidRPr="00C34B89">
        <w:rPr>
          <w:lang w:val="en-US"/>
        </w:rPr>
        <w:t xml:space="preserve">ATRAHDOM- is an association, legally constituted in November 2009 and which has Consultative Status with the Economic and Social Council of the United Nations Organization since 2021. It is a national reference organization on the issue of labor rights of working women. </w:t>
      </w:r>
    </w:p>
    <w:p w14:paraId="637F7F15" w14:textId="77777777" w:rsidR="002164E0" w:rsidRPr="00C34B89" w:rsidRDefault="002164E0" w:rsidP="002164E0">
      <w:pPr>
        <w:pStyle w:val="Sinespaciado"/>
        <w:jc w:val="both"/>
        <w:rPr>
          <w:lang w:val="en-US"/>
        </w:rPr>
      </w:pPr>
      <w:r w:rsidRPr="00C34B89">
        <w:rPr>
          <w:lang w:val="en-US"/>
        </w:rPr>
        <w:t xml:space="preserve">ATRAHDOM has submitted reports to: </w:t>
      </w:r>
    </w:p>
    <w:p w14:paraId="2D3B2C8C" w14:textId="77777777" w:rsidR="002164E0" w:rsidRPr="00FA0496" w:rsidRDefault="002164E0"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4-11-2014, ICESCR report session</w:t>
      </w:r>
    </w:p>
    <w:p w14:paraId="5228C5D5" w14:textId="77777777" w:rsidR="002164E0" w:rsidRPr="00FA0496" w:rsidRDefault="002164E0"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6-11-2017, CEDAW session</w:t>
      </w:r>
    </w:p>
    <w:p w14:paraId="013A6775" w14:textId="77777777" w:rsidR="002164E0" w:rsidRPr="00FA0496" w:rsidRDefault="002164E0"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8-11-2017, UPR session</w:t>
      </w:r>
    </w:p>
    <w:p w14:paraId="389F9645" w14:textId="77777777" w:rsidR="002164E0" w:rsidRPr="00C34B89" w:rsidRDefault="002164E0" w:rsidP="002164E0">
      <w:pPr>
        <w:pStyle w:val="Prrafodelista"/>
        <w:numPr>
          <w:ilvl w:val="0"/>
          <w:numId w:val="17"/>
        </w:numPr>
        <w:spacing w:after="0" w:line="240" w:lineRule="auto"/>
        <w:rPr>
          <w:rFonts w:eastAsia="Times New Roman" w:cs="Times New Roman"/>
          <w:szCs w:val="24"/>
          <w:lang w:val="en-US" w:eastAsia="es-GT"/>
        </w:rPr>
      </w:pPr>
      <w:r w:rsidRPr="00C34B89">
        <w:rPr>
          <w:rFonts w:eastAsia="Times New Roman" w:cs="Times New Roman"/>
          <w:szCs w:val="24"/>
          <w:lang w:val="en-US" w:eastAsia="es-GT"/>
        </w:rPr>
        <w:t>In June and November 2020, an alternative mid-term monitoring report was presented to CEDAW</w:t>
      </w:r>
    </w:p>
    <w:p w14:paraId="5D54B9B2" w14:textId="77777777" w:rsidR="002164E0" w:rsidRPr="00C34B89" w:rsidRDefault="002164E0" w:rsidP="002164E0">
      <w:pPr>
        <w:pStyle w:val="Prrafodelista"/>
        <w:numPr>
          <w:ilvl w:val="0"/>
          <w:numId w:val="17"/>
        </w:numPr>
        <w:spacing w:after="0" w:line="240" w:lineRule="auto"/>
        <w:rPr>
          <w:rFonts w:eastAsia="Times New Roman" w:cs="Times New Roman"/>
          <w:szCs w:val="24"/>
          <w:lang w:val="en-US" w:eastAsia="es-GT"/>
        </w:rPr>
      </w:pPr>
      <w:r w:rsidRPr="00C34B89">
        <w:rPr>
          <w:rFonts w:eastAsia="Times New Roman" w:cs="Times New Roman"/>
          <w:szCs w:val="24"/>
          <w:lang w:val="en-US" w:eastAsia="es-GT"/>
        </w:rPr>
        <w:t xml:space="preserve">2- 2019 I present a report on the State's failure to comply with the Committee's recommendations. </w:t>
      </w:r>
    </w:p>
    <w:p w14:paraId="33B2C077" w14:textId="40BCC930" w:rsidR="007A59F2" w:rsidRPr="00FA0496" w:rsidRDefault="007A59F2"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7-07-22 UPR report presentation</w:t>
      </w:r>
    </w:p>
    <w:p w14:paraId="3110ACDE" w14:textId="77777777" w:rsidR="002164E0" w:rsidRPr="00FA0496" w:rsidRDefault="002164E0" w:rsidP="002164E0">
      <w:pPr>
        <w:pStyle w:val="Sinespaciado"/>
        <w:ind w:left="360"/>
        <w:jc w:val="both"/>
        <w:rPr>
          <w:b/>
          <w:bCs/>
          <w:lang w:val="es-MX"/>
        </w:rPr>
      </w:pPr>
    </w:p>
    <w:p w14:paraId="33F13616" w14:textId="64DA9846" w:rsidR="002164E0" w:rsidRPr="00FA0496" w:rsidRDefault="002164E0" w:rsidP="002164E0">
      <w:pPr>
        <w:pStyle w:val="Sinespaciado"/>
        <w:jc w:val="both"/>
        <w:rPr>
          <w:b/>
          <w:bCs/>
          <w:lang w:val="es-MX"/>
        </w:rPr>
      </w:pPr>
      <w:r w:rsidRPr="00FA0496">
        <w:rPr>
          <w:b/>
          <w:bCs/>
        </w:rPr>
        <w:t>Maritza Velasquez</w:t>
      </w:r>
    </w:p>
    <w:p w14:paraId="47B4BF8F" w14:textId="10DF3602" w:rsidR="002164E0" w:rsidRPr="00FA0496" w:rsidRDefault="002164E0" w:rsidP="002164E0">
      <w:pPr>
        <w:pStyle w:val="Sinespaciado"/>
        <w:jc w:val="both"/>
        <w:rPr>
          <w:b/>
          <w:bCs/>
          <w:lang w:val="es-MX"/>
        </w:rPr>
      </w:pPr>
      <w:r w:rsidRPr="00FA0496">
        <w:rPr>
          <w:b/>
          <w:bCs/>
        </w:rPr>
        <w:t>President and Legal Representative - ATRAHDOM</w:t>
      </w:r>
    </w:p>
    <w:p w14:paraId="7C25BB6B" w14:textId="03944DC7" w:rsidR="002164E0" w:rsidRPr="00FA0496" w:rsidRDefault="00000000" w:rsidP="002164E0">
      <w:pPr>
        <w:pStyle w:val="Sinespaciado"/>
        <w:jc w:val="both"/>
        <w:rPr>
          <w:b/>
          <w:bCs/>
          <w:lang w:val="es-MX"/>
        </w:rPr>
      </w:pPr>
      <w:hyperlink r:id="rId8" w:history="1">
        <w:r w:rsidR="002164E0" w:rsidRPr="00FA0496">
          <w:rPr>
            <w:rStyle w:val="Hipervnculo"/>
            <w:b/>
            <w:bCs/>
            <w:color w:val="auto"/>
          </w:rPr>
          <w:t>coordinacion@atrahdom.org</w:t>
        </w:r>
      </w:hyperlink>
    </w:p>
    <w:p w14:paraId="731D8F2F" w14:textId="77777777" w:rsidR="002164E0" w:rsidRPr="00FA0496" w:rsidRDefault="002164E0" w:rsidP="002164E0">
      <w:pPr>
        <w:pStyle w:val="Sinespaciado"/>
        <w:jc w:val="both"/>
        <w:rPr>
          <w:b/>
          <w:bCs/>
          <w:lang w:val="es-MX"/>
        </w:rPr>
      </w:pPr>
      <w:r w:rsidRPr="00FA0496">
        <w:rPr>
          <w:b/>
          <w:bCs/>
        </w:rPr>
        <w:t>502 22532382</w:t>
      </w:r>
    </w:p>
    <w:p w14:paraId="164155A6" w14:textId="77777777" w:rsidR="002164E0" w:rsidRPr="00FA0496" w:rsidRDefault="002164E0" w:rsidP="00080248">
      <w:pPr>
        <w:pStyle w:val="Sinespaciado"/>
        <w:jc w:val="both"/>
        <w:rPr>
          <w:lang w:val="es-MX"/>
        </w:rPr>
      </w:pPr>
    </w:p>
    <w:p w14:paraId="551B8836" w14:textId="77777777" w:rsidR="002164E0" w:rsidRPr="00C34B89" w:rsidRDefault="002164E0" w:rsidP="002164E0">
      <w:pPr>
        <w:pStyle w:val="Sinespaciado"/>
        <w:jc w:val="both"/>
        <w:rPr>
          <w:lang w:val="en-US"/>
        </w:rPr>
      </w:pPr>
      <w:r w:rsidRPr="00C34B89">
        <w:rPr>
          <w:b/>
          <w:bCs/>
          <w:lang w:val="en-US"/>
        </w:rPr>
        <w:t>SITRADOM-</w:t>
      </w:r>
      <w:r w:rsidRPr="00C34B89">
        <w:rPr>
          <w:lang w:val="en-US"/>
        </w:rPr>
        <w:t xml:space="preserve"> is the second union legally constituted in February 2018, in a union, unionized organization of support to domestic work and workers in the maquila. </w:t>
      </w:r>
    </w:p>
    <w:p w14:paraId="1CBFC954" w14:textId="77777777" w:rsidR="002164E0" w:rsidRPr="00C34B89" w:rsidRDefault="002164E0" w:rsidP="002164E0">
      <w:pPr>
        <w:pStyle w:val="Sinespaciado"/>
        <w:jc w:val="both"/>
        <w:rPr>
          <w:b/>
          <w:bCs/>
          <w:lang w:val="en-US"/>
        </w:rPr>
      </w:pPr>
      <w:r w:rsidRPr="00C34B89">
        <w:rPr>
          <w:b/>
          <w:bCs/>
          <w:lang w:val="en-US"/>
        </w:rPr>
        <w:t xml:space="preserve">Susana Judith Vasquez Mejia </w:t>
      </w:r>
    </w:p>
    <w:p w14:paraId="049B573D" w14:textId="73419B45" w:rsidR="002164E0" w:rsidRPr="00C34B89" w:rsidRDefault="002164E0" w:rsidP="002164E0">
      <w:pPr>
        <w:pStyle w:val="Sinespaciado"/>
        <w:jc w:val="both"/>
        <w:rPr>
          <w:b/>
          <w:bCs/>
          <w:lang w:val="en-US"/>
        </w:rPr>
      </w:pPr>
      <w:r w:rsidRPr="00C34B89">
        <w:rPr>
          <w:b/>
          <w:bCs/>
          <w:lang w:val="en-US"/>
        </w:rPr>
        <w:t>Secretary of Labor</w:t>
      </w:r>
    </w:p>
    <w:p w14:paraId="566E69B8" w14:textId="4A005ABC" w:rsidR="002164E0" w:rsidRPr="00C34B89" w:rsidRDefault="00000000" w:rsidP="002164E0">
      <w:pPr>
        <w:pStyle w:val="Sinespaciado"/>
        <w:jc w:val="both"/>
        <w:rPr>
          <w:b/>
          <w:bCs/>
          <w:lang w:val="en-US"/>
        </w:rPr>
      </w:pPr>
      <w:hyperlink r:id="rId9" w:history="1">
        <w:r w:rsidR="00533755" w:rsidRPr="00C34B89">
          <w:rPr>
            <w:rStyle w:val="Hipervnculo"/>
            <w:b/>
            <w:bCs/>
            <w:color w:val="auto"/>
            <w:lang w:val="en-US"/>
          </w:rPr>
          <w:t>secretariatrabajo@sitradom.org</w:t>
        </w:r>
      </w:hyperlink>
      <w:r w:rsidR="00533755" w:rsidRPr="00C34B89">
        <w:rPr>
          <w:b/>
          <w:bCs/>
          <w:lang w:val="en-US"/>
        </w:rPr>
        <w:t xml:space="preserve"> </w:t>
      </w:r>
    </w:p>
    <w:p w14:paraId="4151278C" w14:textId="48357EA5" w:rsidR="002164E0" w:rsidRPr="00C34B89" w:rsidRDefault="002164E0" w:rsidP="00080248">
      <w:pPr>
        <w:pStyle w:val="Sinespaciado"/>
        <w:jc w:val="both"/>
        <w:rPr>
          <w:b/>
          <w:bCs/>
          <w:lang w:val="en-US"/>
        </w:rPr>
      </w:pPr>
      <w:r w:rsidRPr="00C34B89">
        <w:rPr>
          <w:b/>
          <w:bCs/>
          <w:lang w:val="en-US"/>
        </w:rPr>
        <w:t>502 22329329</w:t>
      </w:r>
    </w:p>
    <w:p w14:paraId="405B004A" w14:textId="77777777" w:rsidR="002164E0" w:rsidRPr="00C34B89" w:rsidRDefault="002164E0" w:rsidP="00080248">
      <w:pPr>
        <w:pStyle w:val="Sinespaciado"/>
        <w:jc w:val="both"/>
        <w:rPr>
          <w:lang w:val="en-US"/>
        </w:rPr>
      </w:pPr>
    </w:p>
    <w:p w14:paraId="1D174C32" w14:textId="4E2FCED5" w:rsidR="00EA0584" w:rsidRPr="00C34B89" w:rsidRDefault="00EA0584" w:rsidP="00080248">
      <w:pPr>
        <w:pStyle w:val="Sinespaciado"/>
        <w:jc w:val="both"/>
        <w:rPr>
          <w:lang w:val="en-US"/>
        </w:rPr>
      </w:pPr>
      <w:r w:rsidRPr="00C34B89">
        <w:rPr>
          <w:b/>
          <w:bCs/>
          <w:lang w:val="en-US"/>
        </w:rPr>
        <w:t>SITRADOMSA-</w:t>
      </w:r>
      <w:r w:rsidRPr="00C34B89">
        <w:rPr>
          <w:lang w:val="en-US"/>
        </w:rPr>
        <w:t xml:space="preserve"> is the first union of domestic </w:t>
      </w:r>
      <w:r w:rsidR="00C34B89" w:rsidRPr="00C34B89">
        <w:rPr>
          <w:lang w:val="en-US"/>
        </w:rPr>
        <w:t>workers, legally</w:t>
      </w:r>
      <w:r w:rsidRPr="00C34B89">
        <w:rPr>
          <w:lang w:val="en-US"/>
        </w:rPr>
        <w:t xml:space="preserve"> constituted in September 2011, is a national trade union reference organization on the issue of domestic workers' rights. In coordination with ATRAHDOM, they have submitted alternative reports of CEDAW 2017 and ESCR 2014.</w:t>
      </w:r>
    </w:p>
    <w:p w14:paraId="13535F89" w14:textId="77777777" w:rsidR="002164E0" w:rsidRPr="00C34B89" w:rsidRDefault="002164E0" w:rsidP="002164E0">
      <w:pPr>
        <w:pStyle w:val="Sinespaciado"/>
        <w:jc w:val="both"/>
        <w:rPr>
          <w:b/>
          <w:bCs/>
          <w:lang w:val="en-US"/>
        </w:rPr>
      </w:pPr>
      <w:r w:rsidRPr="00C34B89">
        <w:rPr>
          <w:b/>
          <w:bCs/>
          <w:lang w:val="en-US"/>
        </w:rPr>
        <w:t>Floridalma Contreras Vasquez</w:t>
      </w:r>
    </w:p>
    <w:p w14:paraId="0084D374" w14:textId="77777777" w:rsidR="002164E0" w:rsidRPr="00C34B89" w:rsidRDefault="002164E0" w:rsidP="002164E0">
      <w:pPr>
        <w:pStyle w:val="Sinespaciado"/>
        <w:jc w:val="both"/>
        <w:rPr>
          <w:b/>
          <w:bCs/>
          <w:lang w:val="en-US"/>
        </w:rPr>
      </w:pPr>
      <w:r w:rsidRPr="00C34B89">
        <w:rPr>
          <w:b/>
          <w:bCs/>
          <w:lang w:val="en-US"/>
        </w:rPr>
        <w:t xml:space="preserve">Secretary of Training and Education </w:t>
      </w:r>
    </w:p>
    <w:p w14:paraId="02B0C3F7" w14:textId="77777777" w:rsidR="002164E0" w:rsidRPr="00C34B89" w:rsidRDefault="00000000" w:rsidP="002164E0">
      <w:pPr>
        <w:pStyle w:val="Sinespaciado"/>
        <w:jc w:val="both"/>
        <w:rPr>
          <w:b/>
          <w:bCs/>
          <w:lang w:val="en-US"/>
        </w:rPr>
      </w:pPr>
      <w:hyperlink r:id="rId10" w:history="1">
        <w:r w:rsidR="002164E0" w:rsidRPr="00C34B89">
          <w:rPr>
            <w:rStyle w:val="Hipervnculo"/>
            <w:b/>
            <w:bCs/>
            <w:color w:val="auto"/>
            <w:lang w:val="en-US"/>
          </w:rPr>
          <w:t>Sitradomsa2010@gmail.com</w:t>
        </w:r>
      </w:hyperlink>
      <w:r w:rsidR="002164E0" w:rsidRPr="00C34B89">
        <w:rPr>
          <w:b/>
          <w:bCs/>
          <w:lang w:val="en-US"/>
        </w:rPr>
        <w:t xml:space="preserve"> </w:t>
      </w:r>
    </w:p>
    <w:p w14:paraId="3E67E261" w14:textId="32648240" w:rsidR="00EA0584" w:rsidRPr="00C34B89" w:rsidRDefault="00EA0584" w:rsidP="00080248">
      <w:pPr>
        <w:pStyle w:val="Sinespaciado"/>
        <w:jc w:val="both"/>
        <w:rPr>
          <w:lang w:val="en-US"/>
        </w:rPr>
      </w:pPr>
    </w:p>
    <w:p w14:paraId="45C8CB07" w14:textId="77777777" w:rsidR="00501E1E" w:rsidRPr="00C34B89" w:rsidRDefault="00501E1E" w:rsidP="00080248">
      <w:pPr>
        <w:pStyle w:val="Sinespaciado"/>
        <w:jc w:val="both"/>
        <w:rPr>
          <w:lang w:val="en-US"/>
        </w:rPr>
      </w:pPr>
    </w:p>
    <w:p w14:paraId="1B4FC28A" w14:textId="7400FD51" w:rsidR="00BE40DC" w:rsidRPr="00C34B89" w:rsidRDefault="00DF40B3" w:rsidP="00080248">
      <w:pPr>
        <w:pStyle w:val="Sinespaciado"/>
        <w:jc w:val="center"/>
        <w:rPr>
          <w:rFonts w:cs="Times New Roman"/>
          <w:b/>
          <w:bCs/>
          <w:szCs w:val="24"/>
          <w:lang w:val="en-US"/>
        </w:rPr>
      </w:pPr>
      <w:r w:rsidRPr="00C34B89">
        <w:rPr>
          <w:rFonts w:cs="Times New Roman"/>
          <w:b/>
          <w:bCs/>
          <w:szCs w:val="24"/>
          <w:lang w:val="en-US"/>
        </w:rPr>
        <w:t>Introduction</w:t>
      </w:r>
    </w:p>
    <w:p w14:paraId="46638C4E" w14:textId="61506209" w:rsidR="000A4795" w:rsidRPr="00C34B89" w:rsidRDefault="000A4795" w:rsidP="00D159F8">
      <w:pPr>
        <w:pStyle w:val="Sinespaciado"/>
        <w:jc w:val="center"/>
        <w:rPr>
          <w:rFonts w:cs="Times New Roman"/>
          <w:b/>
          <w:bCs/>
          <w:szCs w:val="24"/>
          <w:lang w:val="en-US"/>
        </w:rPr>
      </w:pPr>
      <w:r w:rsidRPr="00C34B89">
        <w:rPr>
          <w:rFonts w:cs="Times New Roman"/>
          <w:b/>
          <w:bCs/>
          <w:szCs w:val="24"/>
          <w:lang w:val="en-US"/>
        </w:rPr>
        <w:t>Current situation of labour rights in general in Guatemala</w:t>
      </w:r>
    </w:p>
    <w:p w14:paraId="63CDEED3" w14:textId="77777777" w:rsidR="00E467B5" w:rsidRPr="00C34B89" w:rsidRDefault="00E467B5" w:rsidP="00080248">
      <w:pPr>
        <w:pStyle w:val="Sinespaciado"/>
        <w:jc w:val="both"/>
        <w:rPr>
          <w:rFonts w:cs="Times New Roman"/>
          <w:b/>
          <w:bCs/>
          <w:szCs w:val="24"/>
          <w:lang w:val="en-US"/>
        </w:rPr>
      </w:pPr>
    </w:p>
    <w:p w14:paraId="3226EA01" w14:textId="7DBAE0E7" w:rsidR="00FA40FA" w:rsidRPr="00C34B89" w:rsidRDefault="00FA40FA" w:rsidP="00FA40FA">
      <w:pPr>
        <w:pStyle w:val="Prrafodelista"/>
        <w:numPr>
          <w:ilvl w:val="0"/>
          <w:numId w:val="9"/>
        </w:numPr>
        <w:jc w:val="both"/>
        <w:rPr>
          <w:rFonts w:cs="Times New Roman"/>
          <w:lang w:val="en-US"/>
        </w:rPr>
      </w:pPr>
      <w:r w:rsidRPr="00C34B89">
        <w:rPr>
          <w:rFonts w:cs="Times New Roman"/>
          <w:lang w:val="en-US"/>
        </w:rPr>
        <w:t xml:space="preserve">Guatemala has historically faced serious corruption problems due to collusion by governments and economically privileged sectors, as well as organized crime.  The ineffectiveness of State institutions, mainly the legislative and judicial institutions, has generated a lack of confidence in the population. Leaving as structural </w:t>
      </w:r>
      <w:r w:rsidR="00DD047C" w:rsidRPr="00C34B89">
        <w:rPr>
          <w:rFonts w:cs="Times New Roman"/>
          <w:lang w:val="en-US"/>
        </w:rPr>
        <w:t>effects; economic</w:t>
      </w:r>
      <w:r w:rsidRPr="00C34B89">
        <w:rPr>
          <w:rFonts w:cs="Times New Roman"/>
          <w:lang w:val="en-US"/>
        </w:rPr>
        <w:t xml:space="preserve"> and social inequality that keeps a large part of the population living in poverty and extreme poverty, with high rates of generalized insecurity. Meanwhile, crime has been a persistent problem with high homicide rates and gang-related violence, organized crime operating from prisons, making it impossible to support families that depend on a venture in MSMEs. </w:t>
      </w:r>
    </w:p>
    <w:p w14:paraId="19EBF4B8" w14:textId="3648E94D" w:rsidR="00FA40FA" w:rsidRPr="00C34B89" w:rsidRDefault="00DD047C" w:rsidP="00FA40FA">
      <w:pPr>
        <w:pStyle w:val="Prrafodelista"/>
        <w:jc w:val="both"/>
        <w:rPr>
          <w:rFonts w:cs="Times New Roman"/>
          <w:lang w:val="en-US"/>
        </w:rPr>
      </w:pPr>
      <w:r w:rsidRPr="00C34B89">
        <w:rPr>
          <w:rFonts w:cs="Times New Roman"/>
          <w:lang w:val="en-US"/>
        </w:rPr>
        <w:t>Regarding</w:t>
      </w:r>
      <w:r w:rsidR="00FA40FA" w:rsidRPr="00C34B89">
        <w:rPr>
          <w:rFonts w:cs="Times New Roman"/>
          <w:lang w:val="en-US"/>
        </w:rPr>
        <w:t xml:space="preserve"> the Human Rights of Women Human Rights Defenders, in vulnerable sectors, such as women, indigenous people, youth, there is a constant concern about the violation of fundamental rights and freedoms in cases of intimidation and abuse of power, sometimes reaching the persecution of defenders as in the case</w:t>
      </w:r>
      <w:r>
        <w:rPr>
          <w:rFonts w:cs="Times New Roman"/>
          <w:lang w:val="en-US"/>
        </w:rPr>
        <w:t>s</w:t>
      </w:r>
      <w:r w:rsidR="00FA40FA" w:rsidRPr="00C34B89">
        <w:rPr>
          <w:rFonts w:cs="Times New Roman"/>
          <w:lang w:val="en-US"/>
        </w:rPr>
        <w:t xml:space="preserve"> of murders of </w:t>
      </w:r>
      <w:r>
        <w:rPr>
          <w:rFonts w:cs="Times New Roman"/>
          <w:lang w:val="en-US"/>
        </w:rPr>
        <w:t xml:space="preserve">trade </w:t>
      </w:r>
      <w:r w:rsidR="00FA40FA" w:rsidRPr="00C34B89">
        <w:rPr>
          <w:rFonts w:cs="Times New Roman"/>
          <w:lang w:val="en-US"/>
        </w:rPr>
        <w:t>union leaders.</w:t>
      </w:r>
    </w:p>
    <w:p w14:paraId="0C17EDD8" w14:textId="1A21B7D0" w:rsidR="00FA40FA" w:rsidRPr="00C34B89" w:rsidRDefault="00FA40FA" w:rsidP="00FA40FA">
      <w:pPr>
        <w:pStyle w:val="Prrafodelista"/>
        <w:jc w:val="both"/>
        <w:rPr>
          <w:rFonts w:cs="Times New Roman"/>
          <w:lang w:val="en-US"/>
        </w:rPr>
      </w:pPr>
      <w:r w:rsidRPr="00C34B89">
        <w:rPr>
          <w:rFonts w:cs="Times New Roman"/>
          <w:lang w:val="en-US"/>
        </w:rPr>
        <w:t xml:space="preserve">Since 2022, 63% of Guatemalans are in a situation of multidimensional poverty, due to famine, as a result of livelihoods impacted by Covid-19, climate change, the lack of attention of governments, despite the fact that remittances from migrants represent 20% of Gross Domestic Product, apparently attenuates this reality. </w:t>
      </w:r>
    </w:p>
    <w:p w14:paraId="0D0C3763" w14:textId="08622544" w:rsidR="00FA40FA" w:rsidRPr="00C34B89" w:rsidRDefault="00FA40FA" w:rsidP="00FA40FA">
      <w:pPr>
        <w:pStyle w:val="Prrafodelista"/>
        <w:jc w:val="both"/>
        <w:rPr>
          <w:rFonts w:cs="Times New Roman"/>
          <w:lang w:val="en-US"/>
        </w:rPr>
      </w:pPr>
      <w:r w:rsidRPr="00C34B89">
        <w:rPr>
          <w:rFonts w:cs="Times New Roman"/>
          <w:lang w:val="en-US"/>
        </w:rPr>
        <w:t xml:space="preserve">Neoliberal policies are still in force in Guatemala and are reflected in the National Decent Employment Policy that does not represent the interests of the working population, an issue that is not part of any agenda such as the Legislative agenda or the government programs of the current administration, nor of the parties in electoral contest for the </w:t>
      </w:r>
      <w:r w:rsidR="00B31BBB">
        <w:rPr>
          <w:rFonts w:cs="Times New Roman"/>
          <w:lang w:val="en-US"/>
        </w:rPr>
        <w:t xml:space="preserve">2024-2028 </w:t>
      </w:r>
      <w:r w:rsidRPr="00C34B89">
        <w:rPr>
          <w:rFonts w:cs="Times New Roman"/>
          <w:lang w:val="en-US"/>
        </w:rPr>
        <w:t>period.</w:t>
      </w:r>
    </w:p>
    <w:p w14:paraId="28B5821F" w14:textId="781486DF" w:rsidR="00FA40FA" w:rsidRPr="00C34B89" w:rsidRDefault="00FA40FA" w:rsidP="00FA40FA">
      <w:pPr>
        <w:pStyle w:val="Prrafodelista"/>
        <w:jc w:val="both"/>
        <w:rPr>
          <w:rFonts w:cs="Times New Roman"/>
          <w:lang w:val="en-US"/>
        </w:rPr>
      </w:pPr>
      <w:r w:rsidRPr="00C34B89">
        <w:rPr>
          <w:rFonts w:cs="Times New Roman"/>
          <w:lang w:val="en-US"/>
        </w:rPr>
        <w:t>In this electoral context, both political parties do not mention in their speeches the programs to recognize and implement the collective rights of indigenous peoples.</w:t>
      </w:r>
    </w:p>
    <w:p w14:paraId="1D02CCEC" w14:textId="155A43B5" w:rsidR="006C5F37" w:rsidRPr="00C34B89" w:rsidRDefault="00FA40FA" w:rsidP="006C5F37">
      <w:pPr>
        <w:pStyle w:val="Prrafodelista"/>
        <w:jc w:val="both"/>
        <w:rPr>
          <w:rFonts w:cs="Times New Roman"/>
          <w:lang w:val="en-US"/>
        </w:rPr>
      </w:pPr>
      <w:r w:rsidRPr="00C34B89">
        <w:rPr>
          <w:rFonts w:cs="Times New Roman"/>
          <w:lang w:val="en-US"/>
        </w:rPr>
        <w:t xml:space="preserve">The Congress of the Republic will have less indigenous men and women in the next legislature, but 20% more women than the </w:t>
      </w:r>
      <w:r w:rsidR="003450CF">
        <w:rPr>
          <w:rFonts w:cs="Times New Roman"/>
          <w:lang w:val="en-US"/>
        </w:rPr>
        <w:t xml:space="preserve">concluding </w:t>
      </w:r>
      <w:r w:rsidRPr="00C34B89">
        <w:rPr>
          <w:rFonts w:cs="Times New Roman"/>
          <w:lang w:val="en-US"/>
        </w:rPr>
        <w:t xml:space="preserve">legislative period. </w:t>
      </w:r>
    </w:p>
    <w:p w14:paraId="2C3C2276" w14:textId="6EC2A9CC" w:rsidR="00EC78E8" w:rsidRPr="00C34B89" w:rsidRDefault="00C064B6" w:rsidP="006C5F37">
      <w:pPr>
        <w:pStyle w:val="Prrafodelista"/>
        <w:jc w:val="both"/>
        <w:rPr>
          <w:rFonts w:cs="Times New Roman"/>
          <w:lang w:val="en-US"/>
        </w:rPr>
      </w:pPr>
      <w:r w:rsidRPr="00C34B89">
        <w:rPr>
          <w:rFonts w:cs="Times New Roman"/>
          <w:b/>
          <w:bCs/>
          <w:lang w:val="en-US"/>
        </w:rPr>
        <w:t xml:space="preserve">Political Electoral Context: </w:t>
      </w:r>
      <w:r w:rsidRPr="00C34B89">
        <w:rPr>
          <w:rFonts w:cs="Times New Roman"/>
          <w:szCs w:val="24"/>
          <w:lang w:val="en-US"/>
        </w:rPr>
        <w:t xml:space="preserve">On June 25, 60.52% of voters voted in the country's presidential elections. Of these voters, up to 24.38% could be interpreted as a </w:t>
      </w:r>
      <w:r w:rsidR="00C57584" w:rsidRPr="00C34B89">
        <w:rPr>
          <w:rFonts w:cs="Times New Roman"/>
          <w:szCs w:val="24"/>
          <w:lang w:val="en-US"/>
        </w:rPr>
        <w:t>protest</w:t>
      </w:r>
      <w:r w:rsidRPr="00C34B89">
        <w:rPr>
          <w:rFonts w:cs="Times New Roman"/>
          <w:szCs w:val="24"/>
          <w:lang w:val="en-US"/>
        </w:rPr>
        <w:t xml:space="preserve"> </w:t>
      </w:r>
      <w:r w:rsidR="00C57584">
        <w:rPr>
          <w:rFonts w:cs="Times New Roman"/>
          <w:szCs w:val="24"/>
          <w:lang w:val="en-US"/>
        </w:rPr>
        <w:t xml:space="preserve">towards </w:t>
      </w:r>
      <w:r w:rsidRPr="00C34B89">
        <w:rPr>
          <w:rFonts w:cs="Times New Roman"/>
          <w:szCs w:val="24"/>
          <w:lang w:val="en-US"/>
        </w:rPr>
        <w:t xml:space="preserve">the current state of Guatemalan politics, which 17.38% of them expressed their discontent by casting a null vote for presidency and vice presidency. This null vote ranked first, outperforming all candidates by nearly 10 percent. In addition, 6.99% of the votes were blank. Despite widespread discontent, preliminary results announced by the Supreme Electoral Tribunal indicated that presidential candidates Sandra Torres (15.86 percent) and Bernardo Arévalo (11.77 percent) would advance to the runoff election in August. Surprising to many, since Arevalo ranked eighth in the last major poll, </w:t>
      </w:r>
      <w:r w:rsidR="00C57584">
        <w:rPr>
          <w:rFonts w:cs="Times New Roman"/>
          <w:szCs w:val="24"/>
          <w:lang w:val="en-US"/>
        </w:rPr>
        <w:t>Movimiento Semilla</w:t>
      </w:r>
      <w:r w:rsidRPr="00C34B89">
        <w:rPr>
          <w:rFonts w:cs="Times New Roman"/>
          <w:szCs w:val="24"/>
          <w:lang w:val="en-US"/>
        </w:rPr>
        <w:t xml:space="preserve">, a progressive party that openly rejects corruption, denounces the democratic setback. On the other hand, Torres has run three times in the presidential elections having qualified for the second round. On July 1, the </w:t>
      </w:r>
      <w:r w:rsidRPr="00C34B89">
        <w:rPr>
          <w:rFonts w:cs="Times New Roman"/>
          <w:szCs w:val="24"/>
          <w:lang w:val="en-US"/>
        </w:rPr>
        <w:lastRenderedPageBreak/>
        <w:t xml:space="preserve">Constitutional Court (CC) suspended the announcement of the results, requesting that the votes be verified. Politically motivated complaints have affected electoral integrity and legal certainty. Nine disgruntled parties, including; Vamos, UNE, which represents Torres, and Valor, associated with Zury Ríos, daughter of former dictator Efraín Ríos Montt, filed legal complaints and publicly alleged that there was "fraud", asking that the elections be repeated, </w:t>
      </w:r>
      <w:r w:rsidR="006C5F37" w:rsidRPr="00C34B89">
        <w:rPr>
          <w:rFonts w:cs="Times New Roman"/>
          <w:lang w:val="en-US"/>
        </w:rPr>
        <w:t xml:space="preserve">despite the fact that the Supreme Court of Justice issued a resolution on July 10, confirming compliance with the CC ruling and provisionally rejecting the appeals to suspend the process.  however, the votes were counted behind closed doors at the facilities of the Parque de la Industria, corroborating that there was no </w:t>
      </w:r>
      <w:r w:rsidR="00B404B7" w:rsidRPr="00C34B89">
        <w:rPr>
          <w:rFonts w:cs="Times New Roman"/>
          <w:lang w:val="en-US"/>
        </w:rPr>
        <w:t>fraud,</w:t>
      </w:r>
      <w:r w:rsidR="006C5F37" w:rsidRPr="00C34B89">
        <w:rPr>
          <w:rFonts w:cs="Times New Roman"/>
          <w:lang w:val="en-US"/>
        </w:rPr>
        <w:t xml:space="preserve"> and the result of the June 25 elections was made official</w:t>
      </w:r>
      <w:r w:rsidR="00AD0348" w:rsidRPr="00FA0496">
        <w:rPr>
          <w:rStyle w:val="Refdenotaalpie"/>
          <w:rFonts w:cs="Times New Roman"/>
        </w:rPr>
        <w:footnoteReference w:id="1"/>
      </w:r>
      <w:r w:rsidR="006C5F37" w:rsidRPr="00C34B89">
        <w:rPr>
          <w:rFonts w:cs="Times New Roman"/>
          <w:lang w:val="en-US"/>
        </w:rPr>
        <w:t>. At the time of preparation of this report, the Supreme Electoral Tribunal has formalized the second round of elections scheduled for August 20.</w:t>
      </w:r>
    </w:p>
    <w:p w14:paraId="79178611" w14:textId="760774E8" w:rsidR="006C5F37" w:rsidRPr="00C34B89" w:rsidRDefault="00EC78E8" w:rsidP="006C5F37">
      <w:pPr>
        <w:pStyle w:val="Prrafodelista"/>
        <w:jc w:val="both"/>
        <w:rPr>
          <w:rFonts w:cs="Times New Roman"/>
          <w:lang w:val="en-US"/>
        </w:rPr>
      </w:pPr>
      <w:r w:rsidRPr="00C34B89">
        <w:rPr>
          <w:rFonts w:cs="Times New Roman"/>
          <w:lang w:val="en-US"/>
        </w:rPr>
        <w:t xml:space="preserve">The second round of voting took place in a civic and peaceful environment, resulting in the majority election of Movimiento Semilla with approx. 60% of the valid votes. This result has given positive reactions from the population and reactions against by the </w:t>
      </w:r>
      <w:r w:rsidR="00B404B7">
        <w:rPr>
          <w:rFonts w:cs="Times New Roman"/>
          <w:lang w:val="en-US"/>
        </w:rPr>
        <w:t>Ministerio Público (General Attorney)</w:t>
      </w:r>
      <w:r w:rsidRPr="00C34B89">
        <w:rPr>
          <w:rFonts w:cs="Times New Roman"/>
          <w:lang w:val="en-US"/>
        </w:rPr>
        <w:t xml:space="preserve">, in search of criminally sanctioning the voting receiving boards, the registrar of citizens and electoral prosecutors involved. These acts demonstrate influence peddling by exercising abuse of authority in the absence of acceptance of official results, a situation that generates social instability and undermines the rule of law. </w:t>
      </w:r>
      <w:r w:rsidR="00F20FE2" w:rsidRPr="00C34B89">
        <w:rPr>
          <w:rFonts w:cs="Times New Roman"/>
          <w:lang w:val="en-US"/>
        </w:rPr>
        <w:t>Even though</w:t>
      </w:r>
      <w:r w:rsidRPr="00C34B89">
        <w:rPr>
          <w:rFonts w:cs="Times New Roman"/>
          <w:lang w:val="en-US"/>
        </w:rPr>
        <w:t xml:space="preserve"> the Washington Office on Latin America, the Organization of American States and the European Union Electoral Observation Mission call on the Guatemalan authorities to respect the results</w:t>
      </w:r>
      <w:r w:rsidR="006C5F37" w:rsidRPr="00FA0496">
        <w:rPr>
          <w:rStyle w:val="Refdenotaalpie"/>
          <w:rFonts w:cs="Times New Roman"/>
        </w:rPr>
        <w:footnoteReference w:id="2"/>
      </w:r>
      <w:r w:rsidR="006C5F37" w:rsidRPr="00C34B89">
        <w:rPr>
          <w:rFonts w:cs="Times New Roman"/>
          <w:lang w:val="en-US"/>
        </w:rPr>
        <w:t>.</w:t>
      </w:r>
    </w:p>
    <w:p w14:paraId="77E30E94" w14:textId="4B69A00D" w:rsidR="00D159F8" w:rsidRPr="00FA0496" w:rsidRDefault="00D159F8" w:rsidP="00D159F8">
      <w:pPr>
        <w:pStyle w:val="Sinespaciado"/>
        <w:numPr>
          <w:ilvl w:val="0"/>
          <w:numId w:val="9"/>
        </w:numPr>
        <w:jc w:val="both"/>
        <w:rPr>
          <w:rFonts w:cs="Times New Roman"/>
          <w:b/>
          <w:bCs/>
          <w:szCs w:val="24"/>
          <w:lang w:val="es-MX"/>
        </w:rPr>
      </w:pPr>
      <w:r w:rsidRPr="00FA0496">
        <w:rPr>
          <w:rFonts w:cs="Times New Roman"/>
          <w:b/>
          <w:bCs/>
          <w:szCs w:val="24"/>
        </w:rPr>
        <w:t xml:space="preserve">Employability: </w:t>
      </w:r>
    </w:p>
    <w:p w14:paraId="6ECCE507" w14:textId="6084BC36" w:rsidR="00E443B4" w:rsidRPr="00C34B89" w:rsidRDefault="00EA113C" w:rsidP="00E443B4">
      <w:pPr>
        <w:pStyle w:val="NormalWeb"/>
        <w:shd w:val="clear" w:color="auto" w:fill="FFFFFF"/>
        <w:spacing w:before="0" w:beforeAutospacing="0" w:after="0" w:afterAutospacing="0"/>
        <w:ind w:left="714"/>
        <w:jc w:val="both"/>
        <w:textAlignment w:val="baseline"/>
        <w:rPr>
          <w:lang w:val="en-US"/>
        </w:rPr>
      </w:pPr>
      <w:r w:rsidRPr="00C34B89">
        <w:rPr>
          <w:lang w:val="en-US"/>
        </w:rPr>
        <w:t xml:space="preserve">Of the 6.9 million employed people in the country, around 2 million 566 thousand are women, equivalent to 37% of the total, according to the most recent National Employment and Income Survey (ENEI) corresponding to 2022.   In the metropolitan urban area, 8.2% are women and 11.1% are men; in the rest of the city, 10.7% are women and 15.7% are men; while in rural areas, 18.3% are women and 36.1% men. The wage gap between men and women is according to the ENEI-2022, is Q2 thousand 849 monthly; but when observing data by sex, the average of men is Q3 thousand 142.70 and that of women, Q2 thousand 335.20, a figure that represents Q807.5 less (25.7%). The Guatemalan labor market has faced several challenges, in which, according to ECLAC, informality has been strengthened in the last quarter without labor benefits and social protection, due to the scarce generation of full employment, in the decline of investments in the productive and service </w:t>
      </w:r>
      <w:r w:rsidR="00CC4B61" w:rsidRPr="00C34B89">
        <w:rPr>
          <w:lang w:val="en-US"/>
        </w:rPr>
        <w:t>sector</w:t>
      </w:r>
      <w:r w:rsidR="00CC4B61">
        <w:rPr>
          <w:lang w:val="en-US"/>
        </w:rPr>
        <w:t>s, also</w:t>
      </w:r>
      <w:r w:rsidRPr="00C34B89">
        <w:rPr>
          <w:lang w:val="en-US"/>
        </w:rPr>
        <w:t xml:space="preserve"> the lack of compliance with labor regulations. </w:t>
      </w:r>
    </w:p>
    <w:p w14:paraId="6C7C8D91" w14:textId="576CA929" w:rsidR="008B6D7C" w:rsidRPr="00C34B89" w:rsidRDefault="002E4087" w:rsidP="00E12958">
      <w:pPr>
        <w:pStyle w:val="NormalWeb"/>
        <w:shd w:val="clear" w:color="auto" w:fill="FFFFFF"/>
        <w:spacing w:before="0" w:beforeAutospacing="0" w:after="0" w:afterAutospacing="0"/>
        <w:ind w:left="714"/>
        <w:jc w:val="both"/>
        <w:textAlignment w:val="baseline"/>
        <w:rPr>
          <w:lang w:val="en-US"/>
        </w:rPr>
      </w:pPr>
      <w:r w:rsidRPr="00C34B89">
        <w:rPr>
          <w:lang w:val="en-US"/>
        </w:rPr>
        <w:t xml:space="preserve">At the level of Central America after Costa Rica, Guatemala has one of the best salaries, which before the cost of basic baskets is minimal which makes it difficult for the population to cover basic needs, despite the fact that two economic districts of minimum wage were created. In the maquila industry and export sector, they earn less than agricultural workers. While in this agricultural sector it is part of the low-paid </w:t>
      </w:r>
      <w:r w:rsidRPr="00C34B89">
        <w:rPr>
          <w:lang w:val="en-US"/>
        </w:rPr>
        <w:lastRenderedPageBreak/>
        <w:t xml:space="preserve">informality, they face poor working conditions, lack of social protections, especially for women workers in the countryside. These circumstances generate inequality and poverty, which negatively affect the quality of life of workers; the employer-oriented sector, with the close support of the Ministry of Labour and Social Welfare, achieved the ratification of ILO Convention 175, which has set in motion the implementation of part-time work, in which it manages to evade responsibilities for compliance with payroll payments, salaries, monthly payments, benefits, social security payments,  arguing that they do it part-time and that with these actions they have managed to swell the ranks of unemployment, job insecurity, increased poverty and malnutrition. Convention 175 has been used as a legal tool, which delegitimizes the historical achievements of the labor </w:t>
      </w:r>
      <w:r w:rsidR="00CC4B61" w:rsidRPr="00C34B89">
        <w:rPr>
          <w:lang w:val="en-US"/>
        </w:rPr>
        <w:t>sector,</w:t>
      </w:r>
      <w:r w:rsidRPr="00C34B89">
        <w:rPr>
          <w:lang w:val="en-US"/>
        </w:rPr>
        <w:t xml:space="preserve"> but the aggravating factor is that it does not allow job stability for most families in the low employability index.</w:t>
      </w:r>
    </w:p>
    <w:p w14:paraId="1F919639" w14:textId="73533114" w:rsidR="0099305B" w:rsidRPr="00C34B89" w:rsidRDefault="00FA40FA" w:rsidP="00757F77">
      <w:pPr>
        <w:pStyle w:val="NormalWeb"/>
        <w:numPr>
          <w:ilvl w:val="0"/>
          <w:numId w:val="9"/>
        </w:numPr>
        <w:shd w:val="clear" w:color="auto" w:fill="FFFFFF"/>
        <w:spacing w:after="0" w:afterAutospacing="0"/>
        <w:jc w:val="both"/>
        <w:textAlignment w:val="baseline"/>
        <w:rPr>
          <w:lang w:val="en-US"/>
        </w:rPr>
      </w:pPr>
      <w:r w:rsidRPr="00C34B89">
        <w:rPr>
          <w:b/>
          <w:bCs/>
          <w:lang w:val="en-US"/>
        </w:rPr>
        <w:t xml:space="preserve">Wages versus food and nutrition security. </w:t>
      </w:r>
      <w:r w:rsidR="0099305B" w:rsidRPr="00C34B89">
        <w:rPr>
          <w:lang w:val="en-US"/>
        </w:rPr>
        <w:t xml:space="preserve">In 2023, it was established in the National Salary Commission, under the instructions of the President of the Republic, that the joint commissions of salaries by district and economic activity were set in 2021 by governmental agreement 285-2021, defining parameters that set minimum wages, which only with the 7% increase in wages set Economic District 1 for the department of Guatemala,  </w:t>
      </w:r>
      <w:r w:rsidR="007C5482">
        <w:rPr>
          <w:lang w:val="en-US"/>
        </w:rPr>
        <w:t>stating</w:t>
      </w:r>
      <w:r w:rsidR="0099305B" w:rsidRPr="00C34B89">
        <w:rPr>
          <w:lang w:val="en-US"/>
        </w:rPr>
        <w:t xml:space="preserve"> that for agricultural activities a monthly salary of Q. 3,323.60, non-agricultural activities Q.3,426.38, and activities in the export industry and maquila Q. 3,143.54 monthly, while for Economic District 2 for the rest of the departments that would be only 4% increase to the minimum wage,  agricultural activities Q.3,237.53, non-agricultural activities Q. 3,327.56, and in the activities of the export industry and the maquila Q. 3,062.63 in all includes the Q. 250.00 monthly incentive bonus, while the costs of the basic baskets are: </w:t>
      </w:r>
    </w:p>
    <w:p w14:paraId="7D3BF2B9" w14:textId="36563F05" w:rsidR="0099305B" w:rsidRPr="00C34B89" w:rsidRDefault="0099305B" w:rsidP="0099305B">
      <w:pPr>
        <w:pStyle w:val="NormalWeb"/>
        <w:shd w:val="clear" w:color="auto" w:fill="FFFFFF"/>
        <w:spacing w:before="0" w:beforeAutospacing="0" w:after="0" w:afterAutospacing="0"/>
        <w:ind w:left="720"/>
        <w:jc w:val="both"/>
        <w:textAlignment w:val="baseline"/>
        <w:rPr>
          <w:sz w:val="22"/>
          <w:szCs w:val="22"/>
          <w:lang w:val="en-US"/>
        </w:rPr>
      </w:pPr>
      <w:r w:rsidRPr="00C34B89">
        <w:rPr>
          <w:sz w:val="22"/>
          <w:szCs w:val="22"/>
          <w:lang w:val="en-US"/>
        </w:rPr>
        <w:t xml:space="preserve">According to the National Institute of Statistics (INE), the acquisition cost of the Basic Food Basket (CBA) as of April 2023 was </w:t>
      </w:r>
      <w:r w:rsidRPr="00C34B89">
        <w:rPr>
          <w:rStyle w:val="Textoennegrita"/>
          <w:sz w:val="22"/>
          <w:szCs w:val="22"/>
          <w:bdr w:val="none" w:sz="0" w:space="0" w:color="auto" w:frame="1"/>
          <w:lang w:val="en-US"/>
        </w:rPr>
        <w:t xml:space="preserve">Q.3,726.11. </w:t>
      </w:r>
      <w:r w:rsidRPr="00C34B89">
        <w:rPr>
          <w:sz w:val="22"/>
          <w:szCs w:val="22"/>
          <w:lang w:val="en-US"/>
        </w:rPr>
        <w:t xml:space="preserve">The acquisition cost of the Expanded Basket (AC) as of April 2023 was </w:t>
      </w:r>
      <w:r w:rsidRPr="00C34B89">
        <w:rPr>
          <w:rStyle w:val="Textoennegrita"/>
          <w:sz w:val="22"/>
          <w:szCs w:val="22"/>
          <w:bdr w:val="none" w:sz="0" w:space="0" w:color="auto" w:frame="1"/>
          <w:lang w:val="en-US"/>
        </w:rPr>
        <w:t>Q.8,603.35,</w:t>
      </w:r>
      <w:r w:rsidRPr="00C34B89">
        <w:rPr>
          <w:sz w:val="22"/>
          <w:szCs w:val="22"/>
          <w:lang w:val="en-US"/>
        </w:rPr>
        <w:t xml:space="preserve"> and in its calculation the percentage of food consumption (43.31%) result of the ENCOVI 2014 has been updated. </w:t>
      </w:r>
    </w:p>
    <w:p w14:paraId="1AB3089D" w14:textId="222B3353" w:rsidR="0099305B" w:rsidRPr="00C34B89" w:rsidRDefault="007C5482" w:rsidP="0099305B">
      <w:pPr>
        <w:pStyle w:val="NormalWeb"/>
        <w:shd w:val="clear" w:color="auto" w:fill="FFFFFF"/>
        <w:spacing w:before="0" w:beforeAutospacing="0" w:after="0" w:afterAutospacing="0"/>
        <w:ind w:left="720"/>
        <w:jc w:val="both"/>
        <w:textAlignment w:val="baseline"/>
        <w:rPr>
          <w:lang w:val="en-US"/>
        </w:rPr>
      </w:pPr>
      <w:r>
        <w:rPr>
          <w:lang w:val="en-US"/>
        </w:rPr>
        <w:t xml:space="preserve">Therefore </w:t>
      </w:r>
      <w:r w:rsidR="0099305B" w:rsidRPr="00C34B89">
        <w:rPr>
          <w:lang w:val="en-US"/>
        </w:rPr>
        <w:t xml:space="preserve">is no nutritional food security based on wages and the costs of basic food baskets, in </w:t>
      </w:r>
      <w:r w:rsidR="0099305B" w:rsidRPr="00C34B89">
        <w:rPr>
          <w:shd w:val="clear" w:color="auto" w:fill="FFFFFF"/>
          <w:lang w:val="en-US"/>
        </w:rPr>
        <w:t xml:space="preserve">Guatemala, 59% of its 18 million inhabitants live below the poverty line and about 20% try to survive in conditions of extreme poverty, according to data from various international and local organizations. </w:t>
      </w:r>
      <w:r w:rsidR="0099305B" w:rsidRPr="00C34B89">
        <w:rPr>
          <w:lang w:val="en-US"/>
        </w:rPr>
        <w:t xml:space="preserve">Guatemalan health authorities recorded 8,682 new cases of acute malnutrition, representing an increase of 2,988 cases (52%) more than the 5,694 reported in 2022 through April. 57% of malnourished </w:t>
      </w:r>
      <w:r>
        <w:rPr>
          <w:lang w:val="en-US"/>
        </w:rPr>
        <w:t xml:space="preserve">minors </w:t>
      </w:r>
      <w:r w:rsidR="0099305B" w:rsidRPr="00C34B89">
        <w:rPr>
          <w:lang w:val="en-US"/>
        </w:rPr>
        <w:t>are children and 63% of global cases range from the ages of 12 to 24 months. Therefore, wages are not a guarantee of food survival in the sector of women workers in the countryside and the maquila sector, as in service work such as that of domestic workers.</w:t>
      </w:r>
    </w:p>
    <w:p w14:paraId="1E4E3794" w14:textId="32D64632" w:rsidR="00A60248" w:rsidRPr="00C34B89" w:rsidRDefault="00175BE6" w:rsidP="0099305B">
      <w:pPr>
        <w:pStyle w:val="NormalWeb"/>
        <w:shd w:val="clear" w:color="auto" w:fill="FFFFFF"/>
        <w:spacing w:before="0" w:beforeAutospacing="0" w:after="0" w:afterAutospacing="0"/>
        <w:ind w:left="720"/>
        <w:jc w:val="both"/>
        <w:textAlignment w:val="baseline"/>
        <w:rPr>
          <w:lang w:val="en-US"/>
        </w:rPr>
      </w:pPr>
      <w:r w:rsidRPr="00C34B89">
        <w:rPr>
          <w:lang w:val="en-US"/>
        </w:rPr>
        <w:t>During the electoral campaign process, the World Food Program designated to the Vice Ministry of Food and Nutritional Security VISAN, of the Ministry of Agriculture, Livestock and Food MAGA, the food was delivered to Municipalities</w:t>
      </w:r>
      <w:r w:rsidR="00552AA1">
        <w:rPr>
          <w:lang w:val="en-US"/>
        </w:rPr>
        <w:t xml:space="preserve"> and these local authorities made use of said food</w:t>
      </w:r>
      <w:r w:rsidRPr="00C34B89">
        <w:rPr>
          <w:lang w:val="en-US"/>
        </w:rPr>
        <w:t xml:space="preserve"> with the aim of being destined to electoral campaign, instead of going to the population with malnutrition index, affected by climate change,  unemployment, inhabitants of the dry corridor (Huehuetenango, Quiché, Baja Verapaz, El Progreso, Zacapa and Chiquimula) or affected by seasonal hunger. They did not receive the 20 million quetzal</w:t>
      </w:r>
      <w:r w:rsidR="00442AE6">
        <w:rPr>
          <w:lang w:val="en-US"/>
        </w:rPr>
        <w:t>e</w:t>
      </w:r>
      <w:r w:rsidRPr="00C34B89">
        <w:rPr>
          <w:lang w:val="en-US"/>
        </w:rPr>
        <w:t xml:space="preserve">s invested in food, acquired in December 2022 as a result </w:t>
      </w:r>
      <w:r w:rsidRPr="00C34B89">
        <w:rPr>
          <w:lang w:val="en-US"/>
        </w:rPr>
        <w:lastRenderedPageBreak/>
        <w:t>of Hurricane Julia. ATRAHDOM requested 250 food rations from VISAN in September 2022, which were denied to families in San Cristóbal Verapaz.</w:t>
      </w:r>
    </w:p>
    <w:p w14:paraId="4A0E86F1" w14:textId="152D5691" w:rsidR="004A715A" w:rsidRPr="00C34B89" w:rsidRDefault="009C1091" w:rsidP="004A715A">
      <w:pPr>
        <w:pStyle w:val="NormalWeb"/>
        <w:numPr>
          <w:ilvl w:val="0"/>
          <w:numId w:val="9"/>
        </w:numPr>
        <w:shd w:val="clear" w:color="auto" w:fill="FFFFFF"/>
        <w:spacing w:before="0" w:beforeAutospacing="0" w:after="0" w:afterAutospacing="0"/>
        <w:jc w:val="both"/>
        <w:textAlignment w:val="baseline"/>
        <w:rPr>
          <w:lang w:val="en-US"/>
        </w:rPr>
      </w:pPr>
      <w:r w:rsidRPr="00C34B89">
        <w:rPr>
          <w:b/>
          <w:bCs/>
          <w:lang w:val="en-US"/>
        </w:rPr>
        <w:t xml:space="preserve">Economic Development </w:t>
      </w:r>
      <w:r w:rsidR="001A0636">
        <w:rPr>
          <w:b/>
          <w:bCs/>
          <w:lang w:val="en-US"/>
        </w:rPr>
        <w:t>i</w:t>
      </w:r>
      <w:r w:rsidRPr="00C34B89">
        <w:rPr>
          <w:b/>
          <w:bCs/>
          <w:lang w:val="en-US"/>
        </w:rPr>
        <w:t xml:space="preserve">n the face of unemployment, the reactivation of the country's economy, </w:t>
      </w:r>
      <w:r w:rsidR="00E24EB2" w:rsidRPr="00C34B89">
        <w:rPr>
          <w:lang w:val="en-US"/>
        </w:rPr>
        <w:t xml:space="preserve">through the Guatemala Adelante programme, although the inclusion of social sectors is manifested, is not a guarantee of the inclusion of vulnerable sectors of women in the development of the country's economy, since with the programmes </w:t>
      </w:r>
      <w:r w:rsidR="00E24EB2" w:rsidRPr="00C34B89">
        <w:rPr>
          <w:i/>
          <w:iCs/>
          <w:lang w:val="en-US"/>
        </w:rPr>
        <w:t xml:space="preserve">to strengthen the country's macroeconomy,  development of strategic infrastructure, rural development, investment challenges, promotion of legal certainty, promotion of a favorable business climate, institutional strengthening and digitalization of state processes, employment generation, strengthening of human capital and local development, promotion of the tourism sector, promotion and strengthening of entrepreneurship, formalization of the economy, strengthening of MSMEs,  </w:t>
      </w:r>
      <w:r w:rsidR="00E24EB2" w:rsidRPr="00C34B89">
        <w:rPr>
          <w:lang w:val="en-US"/>
        </w:rPr>
        <w:t xml:space="preserve">The plans established for women entrepreneurs to have access to private equity funds have not been implemented, subject to a series of forms and obstacles to access the funds designated for this process in small enterprises. </w:t>
      </w:r>
      <w:r w:rsidR="001A0636" w:rsidRPr="00C34B89">
        <w:rPr>
          <w:lang w:val="en-US"/>
        </w:rPr>
        <w:t>So,</w:t>
      </w:r>
      <w:r w:rsidR="00E24EB2" w:rsidRPr="00C34B89">
        <w:rPr>
          <w:lang w:val="en-US"/>
        </w:rPr>
        <w:t xml:space="preserve"> the ways that the current government seeks to promote development has evidently been destined to strengthen the parties that the central authorities decide and not in itself the unemployed women. </w:t>
      </w:r>
    </w:p>
    <w:p w14:paraId="1A3ACF9D" w14:textId="77777777" w:rsidR="004A715A" w:rsidRPr="00C34B89" w:rsidRDefault="004A715A" w:rsidP="004A715A">
      <w:pPr>
        <w:pStyle w:val="NormalWeb"/>
        <w:shd w:val="clear" w:color="auto" w:fill="FFFFFF"/>
        <w:spacing w:before="0" w:beforeAutospacing="0" w:after="0" w:afterAutospacing="0"/>
        <w:ind w:left="720"/>
        <w:jc w:val="both"/>
        <w:textAlignment w:val="baseline"/>
        <w:rPr>
          <w:lang w:val="en-US"/>
        </w:rPr>
      </w:pPr>
    </w:p>
    <w:p w14:paraId="45471A61" w14:textId="1E590C5B" w:rsidR="00464C69" w:rsidRPr="00C34B89" w:rsidRDefault="004A715A" w:rsidP="004A715A">
      <w:pPr>
        <w:pStyle w:val="NormalWeb"/>
        <w:shd w:val="clear" w:color="auto" w:fill="FFFFFF"/>
        <w:spacing w:before="0" w:beforeAutospacing="0" w:after="0" w:afterAutospacing="0"/>
        <w:ind w:left="720"/>
        <w:jc w:val="both"/>
        <w:textAlignment w:val="baseline"/>
        <w:rPr>
          <w:lang w:val="en-US"/>
        </w:rPr>
      </w:pPr>
      <w:r w:rsidRPr="00C34B89">
        <w:rPr>
          <w:lang w:val="en-US"/>
        </w:rPr>
        <w:t>Guatemala has an average unemployment rate of 2.7% among young people aged 16 to 24 nationwide; according to a report by the International Labour Organization. "The National Youth Survey (ENJU) shows that the average age at which young people start working is 16 years. It also indicates that 35% get their first job through a friend and 25% thanks to a family member. 3% own their own business and only 2.5% get a job through newspaper ads... Young people between 16 and 24 years old, is the group with more challenges to be employed, this is because the group of adults of 25 years or more, is four times less than young people... 3 million people are unemployed, mostly young people. Of the total unemployed, 46% are men and 54% are women."</w:t>
      </w:r>
      <w:sdt>
        <w:sdtPr>
          <w:id w:val="-1363657810"/>
          <w:citation/>
        </w:sdtPr>
        <w:sdtContent>
          <w:r>
            <w:fldChar w:fldCharType="begin"/>
          </w:r>
          <w:r w:rsidRPr="00C34B89">
            <w:rPr>
              <w:lang w:val="en-US"/>
            </w:rPr>
            <w:instrText xml:space="preserve"> CITATION deL17 \l 2058 </w:instrText>
          </w:r>
          <w:r>
            <w:fldChar w:fldCharType="separate"/>
          </w:r>
          <w:r w:rsidR="00E34831">
            <w:rPr>
              <w:noProof/>
              <w:lang w:val="en-US"/>
            </w:rPr>
            <w:t xml:space="preserve"> </w:t>
          </w:r>
          <w:r w:rsidR="00E34831" w:rsidRPr="00E34831">
            <w:rPr>
              <w:noProof/>
              <w:lang w:val="en-US"/>
            </w:rPr>
            <w:t>(de León, 2017)</w:t>
          </w:r>
          <w:r>
            <w:fldChar w:fldCharType="end"/>
          </w:r>
        </w:sdtContent>
      </w:sdt>
    </w:p>
    <w:p w14:paraId="16D4135B" w14:textId="32BA0D92" w:rsidR="00F617DC" w:rsidRPr="00C34B89" w:rsidRDefault="00F617DC" w:rsidP="004A715A">
      <w:pPr>
        <w:pStyle w:val="NormalWeb"/>
        <w:shd w:val="clear" w:color="auto" w:fill="FFFFFF"/>
        <w:spacing w:before="0" w:beforeAutospacing="0" w:after="0" w:afterAutospacing="0"/>
        <w:ind w:left="720"/>
        <w:jc w:val="both"/>
        <w:textAlignment w:val="baseline"/>
        <w:rPr>
          <w:lang w:val="en-US"/>
        </w:rPr>
      </w:pPr>
      <w:r w:rsidRPr="00C34B89">
        <w:rPr>
          <w:lang w:val="en-US"/>
        </w:rPr>
        <w:t>Evidently there is a lack of projection of economic development for young people and women, which generates violence and migration, stigmas that allow youth, especially women, to remain backward and be involved with organized crime.</w:t>
      </w:r>
    </w:p>
    <w:p w14:paraId="22766C96" w14:textId="77777777" w:rsidR="004A715A" w:rsidRPr="00C34B89" w:rsidRDefault="004A715A" w:rsidP="004A715A">
      <w:pPr>
        <w:pStyle w:val="NormalWeb"/>
        <w:shd w:val="clear" w:color="auto" w:fill="FFFFFF"/>
        <w:spacing w:before="0" w:beforeAutospacing="0" w:after="0" w:afterAutospacing="0"/>
        <w:ind w:left="720"/>
        <w:jc w:val="both"/>
        <w:textAlignment w:val="baseline"/>
        <w:rPr>
          <w:lang w:val="en-US"/>
        </w:rPr>
      </w:pPr>
    </w:p>
    <w:p w14:paraId="5C0C32BD" w14:textId="35B1A9AA" w:rsidR="00CE69F6" w:rsidRPr="00C34B89" w:rsidRDefault="002865FD" w:rsidP="00CE69F6">
      <w:pPr>
        <w:pStyle w:val="Sinespaciado"/>
        <w:numPr>
          <w:ilvl w:val="0"/>
          <w:numId w:val="9"/>
        </w:numPr>
        <w:jc w:val="both"/>
        <w:rPr>
          <w:rFonts w:cs="Times New Roman"/>
          <w:iCs/>
          <w:szCs w:val="24"/>
          <w:lang w:val="en-US"/>
        </w:rPr>
      </w:pPr>
      <w:r w:rsidRPr="00C34B89">
        <w:rPr>
          <w:rFonts w:cs="Times New Roman"/>
          <w:iCs/>
          <w:szCs w:val="24"/>
          <w:lang w:val="en-US"/>
        </w:rPr>
        <w:t>The Ministry of Labor and Social Welfare to promote the PNED 2017-2032, maintains the Employment Offices and implements job fairs at the national level, which are at the discretion of the companies for the selection of vacant positions in the departments, said places that are not sufficient in the face of the demand for employment and to which a profile of requirements for hiring is assigned,  which ends up being an obstacle in the discriminatory way of selecting those hired. Additionally, recruitment in international jobs is being promoted in 19 countries, in which the same selection profile is applied.</w:t>
      </w:r>
    </w:p>
    <w:p w14:paraId="4DC2A60D" w14:textId="1C672927" w:rsidR="00585DD1" w:rsidRPr="00C34B89" w:rsidRDefault="00763BD7" w:rsidP="00773758">
      <w:pPr>
        <w:pStyle w:val="Sinespaciado"/>
        <w:numPr>
          <w:ilvl w:val="0"/>
          <w:numId w:val="9"/>
        </w:numPr>
        <w:ind w:left="708"/>
        <w:jc w:val="both"/>
        <w:rPr>
          <w:rFonts w:cs="Times New Roman"/>
          <w:lang w:val="en-US"/>
        </w:rPr>
      </w:pPr>
      <w:r w:rsidRPr="00C34B89">
        <w:rPr>
          <w:rFonts w:cs="Times New Roman"/>
          <w:b/>
          <w:bCs/>
          <w:szCs w:val="24"/>
          <w:lang w:val="en-US"/>
        </w:rPr>
        <w:t xml:space="preserve">Occupational health and social security: </w:t>
      </w:r>
      <w:r w:rsidR="0097149F" w:rsidRPr="00C34B89">
        <w:rPr>
          <w:rFonts w:cs="Times New Roman"/>
          <w:lang w:val="en-US"/>
        </w:rPr>
        <w:t xml:space="preserve"> In the case of domestic workers, the Guatemalan Social Security Institute IGSS maintains the prevention programme for domestic workers, which deals only with accidents, maternity and healthy children, there is no extension to prevention coverage, such as care for common illness, nor is access to contributions to the old-age and survivors' disability programme allowed.  </w:t>
      </w:r>
      <w:r w:rsidR="0097149F" w:rsidRPr="00C34B89">
        <w:rPr>
          <w:rFonts w:cs="Times New Roman"/>
          <w:lang w:val="en-US"/>
        </w:rPr>
        <w:lastRenderedPageBreak/>
        <w:t xml:space="preserve">therefore, the PRECAPI program in the IGSS for domestic workers urgently requires a better restructuring for its efficient operation, so that the lack of financial support remains the main obstacle within the Institute, since the government does not increase the subsidy to make the program functional for </w:t>
      </w:r>
      <w:r w:rsidR="007D5FF7" w:rsidRPr="00C34B89">
        <w:rPr>
          <w:rFonts w:cs="Times New Roman"/>
          <w:lang w:val="en-US"/>
        </w:rPr>
        <w:t>workers, that</w:t>
      </w:r>
      <w:r w:rsidR="0097149F" w:rsidRPr="00C34B89">
        <w:rPr>
          <w:rFonts w:cs="Times New Roman"/>
          <w:lang w:val="en-US"/>
        </w:rPr>
        <w:t xml:space="preserve"> exceed 340 thousand women in Guatemala according to the National Institute of Statistics. </w:t>
      </w:r>
    </w:p>
    <w:p w14:paraId="626711E8" w14:textId="46058A45" w:rsidR="00D16255" w:rsidRPr="00C34B89" w:rsidRDefault="00D16255" w:rsidP="00585DD1">
      <w:pPr>
        <w:pStyle w:val="Sinespaciado"/>
        <w:ind w:left="708"/>
        <w:jc w:val="both"/>
        <w:rPr>
          <w:rFonts w:cs="Times New Roman"/>
          <w:lang w:val="en-US"/>
        </w:rPr>
      </w:pPr>
      <w:r w:rsidRPr="00C34B89">
        <w:rPr>
          <w:rFonts w:cs="Times New Roman"/>
          <w:lang w:val="en-US"/>
        </w:rPr>
        <w:t xml:space="preserve">The labor sector in the textile maquila continues to be one of the areas in which labor rights are violated to a greater extent and the one in which more female labor is hired. A little more than half of the jobs generated by the </w:t>
      </w:r>
      <w:r w:rsidR="007D5FF7">
        <w:rPr>
          <w:rFonts w:cs="Times New Roman"/>
          <w:lang w:val="en-US"/>
        </w:rPr>
        <w:t>garment</w:t>
      </w:r>
      <w:r w:rsidRPr="00C34B89">
        <w:rPr>
          <w:rFonts w:cs="Times New Roman"/>
          <w:lang w:val="en-US"/>
        </w:rPr>
        <w:t xml:space="preserve"> sector (55%) are made up of women, who in addition to being full-time workers, generally play roles of mothers and heads of </w:t>
      </w:r>
      <w:r w:rsidR="007D5FF7">
        <w:rPr>
          <w:rFonts w:cs="Times New Roman"/>
          <w:lang w:val="en-US"/>
        </w:rPr>
        <w:t xml:space="preserve"> households</w:t>
      </w:r>
      <w:r w:rsidRPr="00FA0496">
        <w:rPr>
          <w:rStyle w:val="Refdenotaalpie"/>
          <w:rFonts w:cs="Times New Roman"/>
        </w:rPr>
        <w:footnoteReference w:id="3"/>
      </w:r>
      <w:r w:rsidRPr="00C34B89">
        <w:rPr>
          <w:rFonts w:cs="Times New Roman"/>
          <w:lang w:val="en-US"/>
        </w:rPr>
        <w:t>.</w:t>
      </w:r>
    </w:p>
    <w:p w14:paraId="062E13D1" w14:textId="5A59B88B" w:rsidR="008B6D7C" w:rsidRPr="00C34B89" w:rsidRDefault="00B7786B" w:rsidP="008B6D7C">
      <w:pPr>
        <w:pStyle w:val="Prrafodelista"/>
        <w:shd w:val="clear" w:color="auto" w:fill="FFFFFF" w:themeFill="background1"/>
        <w:jc w:val="both"/>
        <w:rPr>
          <w:rFonts w:eastAsia="Times New Roman" w:cstheme="minorHAnsi"/>
          <w:szCs w:val="24"/>
          <w:lang w:val="en-US" w:eastAsia="es-GT"/>
        </w:rPr>
      </w:pPr>
      <w:r w:rsidRPr="00C34B89">
        <w:rPr>
          <w:lang w:val="en-US"/>
        </w:rPr>
        <w:t xml:space="preserve">The Apparel and Textiles Association - </w:t>
      </w:r>
      <w:r w:rsidRPr="00C34B89">
        <w:rPr>
          <w:rFonts w:eastAsia="Times New Roman" w:cstheme="minorHAnsi"/>
          <w:szCs w:val="24"/>
          <w:lang w:val="en-US" w:eastAsia="es-GT"/>
        </w:rPr>
        <w:t xml:space="preserve">VESTEX received a request on May 15, 2020 from the National Council of Textile Organizations, the textile employer of the United States, not to close the maquilas, during the beginning of the Covid-19 pandemic, the Ministry of Economy was instructed by President Giammattei not to close all garment operating factories in the note of the National Council of Textile Organizations. This information caused the factories involved in the petition letter not to be closed, so several companies were dedicated to manufacturing 80 million masks, but they were private negotiations. The president of VESTEX in statements to the press acknowledged that there were infections for not having closed, but it meant maintaining production and jobs. </w:t>
      </w:r>
      <w:r w:rsidR="00A9102E" w:rsidRPr="00C34B89">
        <w:rPr>
          <w:rFonts w:eastAsia="Times New Roman" w:cstheme="minorHAnsi"/>
          <w:szCs w:val="24"/>
          <w:lang w:val="en-US" w:eastAsia="es-GT"/>
        </w:rPr>
        <w:t>So,</w:t>
      </w:r>
      <w:r w:rsidRPr="00C34B89">
        <w:rPr>
          <w:rFonts w:eastAsia="Times New Roman" w:cstheme="minorHAnsi"/>
          <w:szCs w:val="24"/>
          <w:lang w:val="en-US" w:eastAsia="es-GT"/>
        </w:rPr>
        <w:t xml:space="preserve"> in the first two weeks of May, 250 cases were reported in two maquilas: Texpia II, owned by SA-E, and KP. The real figures never transpired. As of August 2020, the maquil</w:t>
      </w:r>
      <w:r w:rsidR="00A9102E">
        <w:rPr>
          <w:rFonts w:eastAsia="Times New Roman" w:cstheme="minorHAnsi"/>
          <w:szCs w:val="24"/>
          <w:lang w:val="en-US" w:eastAsia="es-GT"/>
        </w:rPr>
        <w:t>a</w:t>
      </w:r>
      <w:r w:rsidRPr="00C34B89">
        <w:rPr>
          <w:rFonts w:eastAsia="Times New Roman" w:cstheme="minorHAnsi"/>
          <w:szCs w:val="24"/>
          <w:lang w:val="en-US" w:eastAsia="es-GT"/>
        </w:rPr>
        <w:t xml:space="preserve"> clothing sector in Guatemala was the most competitive in northern Central America, according to VESTEX because it attended contracts that neighboring countries could not attend. For two reasons; El Salvador did not consider the maquila an essential industry and Honduras prioritized sanitary clothing and masks, but this production was not significant for improving the conditions of workers in terms of wages and health care, since the IGSS prioritized the effects of COVID-19 by reducing care in the case of maternity. Despite the maintenance of active jobs, there were no guarantees of improvement in working conditions or wages, nor unemployment bonus benefits in case of dismissals. ATRAHDOM conducted a study on the effects of COVID19 on working women, which shows who were not beneficiaries of the bonds that the government implemented, through loans requested to face the crisis.</w:t>
      </w:r>
      <w:sdt>
        <w:sdtPr>
          <w:rPr>
            <w:rFonts w:eastAsia="Times New Roman" w:cstheme="minorHAnsi"/>
            <w:szCs w:val="24"/>
            <w:lang w:eastAsia="es-GT"/>
          </w:rPr>
          <w:id w:val="642324096"/>
          <w:citation/>
        </w:sdtPr>
        <w:sdtContent>
          <w:r w:rsidR="000A18C7">
            <w:rPr>
              <w:rFonts w:eastAsia="Times New Roman" w:cstheme="minorHAnsi"/>
              <w:szCs w:val="24"/>
              <w:lang w:eastAsia="es-GT"/>
            </w:rPr>
            <w:fldChar w:fldCharType="begin"/>
          </w:r>
          <w:r w:rsidR="000A18C7" w:rsidRPr="00C34B89">
            <w:rPr>
              <w:rFonts w:eastAsia="Times New Roman" w:cstheme="minorHAnsi"/>
              <w:szCs w:val="24"/>
              <w:lang w:val="en-US" w:eastAsia="es-GT"/>
            </w:rPr>
            <w:instrText xml:space="preserve"> CITATION ATR21 \l 2058 </w:instrText>
          </w:r>
          <w:r w:rsidR="000A18C7">
            <w:rPr>
              <w:rFonts w:eastAsia="Times New Roman" w:cstheme="minorHAnsi"/>
              <w:szCs w:val="24"/>
              <w:lang w:eastAsia="es-GT"/>
            </w:rPr>
            <w:fldChar w:fldCharType="separate"/>
          </w:r>
          <w:r w:rsidR="00E34831">
            <w:rPr>
              <w:rFonts w:eastAsia="Times New Roman" w:cstheme="minorHAnsi"/>
              <w:noProof/>
              <w:szCs w:val="24"/>
              <w:lang w:val="en-US" w:eastAsia="es-GT"/>
            </w:rPr>
            <w:t xml:space="preserve"> </w:t>
          </w:r>
          <w:r w:rsidR="00E34831" w:rsidRPr="00E34831">
            <w:rPr>
              <w:rFonts w:eastAsia="Times New Roman" w:cstheme="minorHAnsi"/>
              <w:noProof/>
              <w:szCs w:val="24"/>
              <w:lang w:val="en-US" w:eastAsia="es-GT"/>
            </w:rPr>
            <w:t>(ATRAHDOM, 2021)</w:t>
          </w:r>
          <w:r w:rsidR="000A18C7">
            <w:rPr>
              <w:rFonts w:eastAsia="Times New Roman" w:cstheme="minorHAnsi"/>
              <w:szCs w:val="24"/>
              <w:lang w:eastAsia="es-GT"/>
            </w:rPr>
            <w:fldChar w:fldCharType="end"/>
          </w:r>
        </w:sdtContent>
      </w:sdt>
    </w:p>
    <w:p w14:paraId="31DA4D73" w14:textId="1DE7D308" w:rsidR="00867719" w:rsidRPr="00C34B89" w:rsidRDefault="00867719" w:rsidP="008B6D7C">
      <w:pPr>
        <w:pStyle w:val="Prrafodelista"/>
        <w:shd w:val="clear" w:color="auto" w:fill="FFFFFF" w:themeFill="background1"/>
        <w:jc w:val="both"/>
        <w:rPr>
          <w:rFonts w:eastAsia="Times New Roman" w:cstheme="minorHAnsi"/>
          <w:szCs w:val="24"/>
          <w:lang w:val="en-US" w:eastAsia="es-GT"/>
        </w:rPr>
      </w:pPr>
      <w:r w:rsidRPr="00C34B89">
        <w:rPr>
          <w:rFonts w:eastAsia="Times New Roman" w:cstheme="minorHAnsi"/>
          <w:szCs w:val="24"/>
          <w:lang w:val="en-US" w:eastAsia="es-GT"/>
        </w:rPr>
        <w:t xml:space="preserve">Likewise, the Ministry of Labor did not generate programs accessible to the capacities of workers for reporting undue dismissals and non-payment of wages and benefits during the pandemic; SITRADOMSA has evidence of cases without attention or favorable resolution to the dismissals of domestic workers. </w:t>
      </w:r>
    </w:p>
    <w:p w14:paraId="3D3E77BB" w14:textId="134DE9B0" w:rsidR="00C35036" w:rsidRPr="00C34B89" w:rsidRDefault="00597751" w:rsidP="0090111D">
      <w:pPr>
        <w:pStyle w:val="Prrafodelista"/>
        <w:numPr>
          <w:ilvl w:val="0"/>
          <w:numId w:val="9"/>
        </w:numPr>
        <w:shd w:val="clear" w:color="auto" w:fill="FFFFFF" w:themeFill="background1"/>
        <w:spacing w:after="0" w:line="240" w:lineRule="auto"/>
        <w:jc w:val="both"/>
        <w:rPr>
          <w:rFonts w:cstheme="minorHAnsi"/>
          <w:i/>
          <w:szCs w:val="24"/>
          <w:lang w:val="en-US"/>
        </w:rPr>
      </w:pPr>
      <w:r w:rsidRPr="00C34B89">
        <w:rPr>
          <w:rFonts w:cs="Times New Roman"/>
          <w:b/>
          <w:bCs/>
          <w:szCs w:val="24"/>
          <w:lang w:val="en-US"/>
        </w:rPr>
        <w:t xml:space="preserve">Irregular migration: </w:t>
      </w:r>
      <w:r w:rsidR="00763BD7" w:rsidRPr="00C34B89">
        <w:rPr>
          <w:lang w:val="en-US"/>
        </w:rPr>
        <w:t xml:space="preserve">during </w:t>
      </w:r>
      <w:r w:rsidR="00763BD7" w:rsidRPr="00C34B89">
        <w:rPr>
          <w:rFonts w:cs="Times New Roman"/>
          <w:szCs w:val="24"/>
          <w:lang w:val="en-US"/>
        </w:rPr>
        <w:t xml:space="preserve">2023 the situation of irregular migration has strengthened with the passage of massive migrations of Central Americans, pushed by poverty, violence, organized crime, so data from the Guatemalan Institute of Migration (IGM) indicate that the country has received 116 flights with people deported from the United </w:t>
      </w:r>
      <w:r w:rsidR="00763BD7" w:rsidRPr="00C34B89">
        <w:rPr>
          <w:rFonts w:cs="Times New Roman"/>
          <w:szCs w:val="24"/>
          <w:lang w:val="en-US"/>
        </w:rPr>
        <w:lastRenderedPageBreak/>
        <w:t xml:space="preserve">States, specifically 13,649 migrants, most of the deportations have been executed under the immediate expulsion rule in force in the country governed by Joe Biden. For its part, Mexico has sent 31 flights with 4,077 Guatemalan citizens who were detained in their attempt to reach the United States, according to the same source. </w:t>
      </w:r>
      <w:r w:rsidR="00763BD7" w:rsidRPr="00C34B89">
        <w:rPr>
          <w:rFonts w:eastAsia="Times New Roman" w:cs="Times New Roman"/>
          <w:szCs w:val="24"/>
          <w:lang w:val="en-US" w:eastAsia="es-GT"/>
        </w:rPr>
        <w:t xml:space="preserve">In addition, Mexico has also repatriated 7,895 people by land through 257 buses that entered Guatemala through the border of Tecún Umán, in the </w:t>
      </w:r>
      <w:r w:rsidR="002E1513">
        <w:rPr>
          <w:rFonts w:eastAsia="Times New Roman" w:cs="Times New Roman"/>
          <w:szCs w:val="24"/>
          <w:lang w:val="en-US" w:eastAsia="es-GT"/>
        </w:rPr>
        <w:t>bordering</w:t>
      </w:r>
      <w:r w:rsidR="00763BD7" w:rsidRPr="00C34B89">
        <w:rPr>
          <w:rFonts w:eastAsia="Times New Roman" w:cs="Times New Roman"/>
          <w:szCs w:val="24"/>
          <w:lang w:val="en-US" w:eastAsia="es-GT"/>
        </w:rPr>
        <w:t xml:space="preserve"> department of San Marcos in the west of the country. According to immigration authorities, most returnees are from Quiché and Huehuetenango, two departments in the northwest of the country where their population, mostly indigenous, lives in conditions of extreme poverty.</w:t>
      </w:r>
      <w:r w:rsidR="00763BD7" w:rsidRPr="00C34B89">
        <w:rPr>
          <w:rFonts w:cs="Times New Roman"/>
          <w:szCs w:val="24"/>
          <w:lang w:val="en-US"/>
        </w:rPr>
        <w:t xml:space="preserve"> While there are </w:t>
      </w:r>
      <w:r w:rsidR="00763BD7" w:rsidRPr="00C34B89">
        <w:rPr>
          <w:rFonts w:eastAsia="Times New Roman" w:cs="Times New Roman"/>
          <w:szCs w:val="24"/>
          <w:lang w:val="en-US" w:eastAsia="es-GT"/>
        </w:rPr>
        <w:t xml:space="preserve">2,400 Guatemalan minors in deportations, </w:t>
      </w:r>
      <w:r w:rsidR="00763BD7" w:rsidRPr="00C34B89">
        <w:rPr>
          <w:rFonts w:cs="Times New Roman"/>
          <w:szCs w:val="24"/>
          <w:lang w:val="en-US"/>
        </w:rPr>
        <w:t xml:space="preserve">statistics detail that 1,329 of the returned minors under 18 had undertaken the journey to the United States without the company of an adult. </w:t>
      </w:r>
      <w:r w:rsidR="00763BD7" w:rsidRPr="00C34B89">
        <w:rPr>
          <w:rFonts w:eastAsia="Times New Roman" w:cs="Times New Roman"/>
          <w:szCs w:val="24"/>
          <w:lang w:val="en-US" w:eastAsia="es-GT"/>
        </w:rPr>
        <w:t>Compared to 2022, the United States expelled 40,713 Guatemalans, a 128 percent increase compared to 2021, when 17,806 people were deported. Every year some 300,000 Guatemalans try to emigrate to the United States in search of better living conditions to flee the poverty and violence that plague the Central American country, according to expert estimates</w:t>
      </w:r>
      <w:r w:rsidR="00763BD7" w:rsidRPr="00FA0496">
        <w:rPr>
          <w:rStyle w:val="Refdenotaalpie"/>
        </w:rPr>
        <w:footnoteReference w:id="4"/>
      </w:r>
      <w:r w:rsidR="00763BD7" w:rsidRPr="00C34B89">
        <w:rPr>
          <w:rFonts w:eastAsia="Times New Roman" w:cs="Times New Roman"/>
          <w:szCs w:val="24"/>
          <w:lang w:val="en-US" w:eastAsia="es-GT"/>
        </w:rPr>
        <w:t>.</w:t>
      </w:r>
    </w:p>
    <w:p w14:paraId="0C00B01B" w14:textId="5F954321" w:rsidR="008162C6" w:rsidRPr="00C34B89" w:rsidRDefault="008162C6" w:rsidP="008162C6">
      <w:pPr>
        <w:pStyle w:val="Prrafodelista"/>
        <w:shd w:val="clear" w:color="auto" w:fill="FFFFFF" w:themeFill="background1"/>
        <w:spacing w:after="0" w:line="240" w:lineRule="auto"/>
        <w:jc w:val="both"/>
        <w:rPr>
          <w:rFonts w:cstheme="minorHAnsi"/>
          <w:i/>
          <w:szCs w:val="24"/>
          <w:lang w:val="en-US"/>
        </w:rPr>
      </w:pPr>
      <w:r w:rsidRPr="00C34B89">
        <w:rPr>
          <w:rFonts w:cs="Times New Roman"/>
          <w:szCs w:val="24"/>
          <w:lang w:val="en-US"/>
        </w:rPr>
        <w:t xml:space="preserve">There is evidence in Tejutla, San Marcos, by local authorities, about young people who decide to migrate irregularly in search of a job and better salary for the economic development of their families, so, having graduated from high school, they are only hired as labor in agriculture, while these young people prefer to work in economic activities related to their studies. In addition, there are no ongoing local programmes to alert young women not to migrate irregularly as they may be victims of trafficking, </w:t>
      </w:r>
      <w:r w:rsidR="006213D2" w:rsidRPr="00C34B89">
        <w:rPr>
          <w:rFonts w:cs="Times New Roman"/>
          <w:szCs w:val="24"/>
          <w:lang w:val="en-US"/>
        </w:rPr>
        <w:t>slavery,</w:t>
      </w:r>
      <w:r w:rsidRPr="00C34B89">
        <w:rPr>
          <w:rFonts w:cs="Times New Roman"/>
          <w:szCs w:val="24"/>
          <w:lang w:val="en-US"/>
        </w:rPr>
        <w:t xml:space="preserve"> and sexual exploitation.</w:t>
      </w:r>
    </w:p>
    <w:p w14:paraId="3FAC1D99" w14:textId="26BE1223" w:rsidR="00C35036" w:rsidRPr="00C34B89" w:rsidRDefault="004C710A" w:rsidP="0090111D">
      <w:pPr>
        <w:pStyle w:val="Prrafodelista"/>
        <w:numPr>
          <w:ilvl w:val="0"/>
          <w:numId w:val="9"/>
        </w:numPr>
        <w:shd w:val="clear" w:color="auto" w:fill="FFFFFF" w:themeFill="background1"/>
        <w:spacing w:after="0" w:line="240" w:lineRule="auto"/>
        <w:jc w:val="both"/>
        <w:rPr>
          <w:rFonts w:cstheme="minorHAnsi"/>
          <w:i/>
          <w:szCs w:val="24"/>
          <w:lang w:val="en-US"/>
        </w:rPr>
      </w:pPr>
      <w:r w:rsidRPr="00C34B89">
        <w:rPr>
          <w:rFonts w:cs="Times New Roman"/>
          <w:b/>
          <w:bCs/>
          <w:szCs w:val="24"/>
          <w:lang w:val="en-US"/>
        </w:rPr>
        <w:t>National Policy for the Promotion and Integral Development of Women (PNPDIM) and the Equal Opportunities Plan</w:t>
      </w:r>
      <w:r w:rsidR="00AB6074">
        <w:rPr>
          <w:rFonts w:cs="Times New Roman"/>
          <w:b/>
          <w:bCs/>
          <w:szCs w:val="24"/>
          <w:lang w:val="en-US"/>
        </w:rPr>
        <w:t xml:space="preserve"> PEO</w:t>
      </w:r>
      <w:r w:rsidRPr="00C34B89">
        <w:rPr>
          <w:rFonts w:cs="Times New Roman"/>
          <w:b/>
          <w:bCs/>
          <w:szCs w:val="24"/>
          <w:lang w:val="en-US"/>
        </w:rPr>
        <w:t xml:space="preserve"> 2008-2023: The PNPDIM </w:t>
      </w:r>
      <w:r w:rsidR="00C35036" w:rsidRPr="00C34B89">
        <w:rPr>
          <w:rFonts w:cstheme="minorHAnsi"/>
          <w:i/>
          <w:szCs w:val="24"/>
          <w:lang w:val="en-US"/>
        </w:rPr>
        <w:t>is a cross-cutting policy that constitutes the instrument that articulates in its content, statements of international instruments on women's human rights, ratified by the State of Guatemala, the Peace Agreements and the Law on the Promotion and Integral Dignification of Women. The latter establishes that the State must guarantee the integral development of women through a public policy, taking into account the multiculturalism of the nation</w:t>
      </w:r>
      <w:r w:rsidR="00C35036" w:rsidRPr="00FA0496">
        <w:rPr>
          <w:rStyle w:val="Refdenotaalpie"/>
          <w:rFonts w:cstheme="minorHAnsi"/>
          <w:i/>
          <w:szCs w:val="24"/>
        </w:rPr>
        <w:footnoteReference w:id="5"/>
      </w:r>
      <w:r w:rsidR="00C35036" w:rsidRPr="00C34B89">
        <w:rPr>
          <w:rFonts w:cstheme="minorHAnsi"/>
          <w:i/>
          <w:szCs w:val="24"/>
          <w:lang w:val="en-US"/>
        </w:rPr>
        <w:t xml:space="preserve">. </w:t>
      </w:r>
    </w:p>
    <w:p w14:paraId="7A9BAB8B" w14:textId="11CA4717" w:rsidR="006D0FED" w:rsidRDefault="00566CE4" w:rsidP="00C35036">
      <w:pPr>
        <w:pStyle w:val="Prrafodelista"/>
        <w:shd w:val="clear" w:color="auto" w:fill="FFFFFF" w:themeFill="background1"/>
        <w:jc w:val="both"/>
        <w:rPr>
          <w:rFonts w:cstheme="minorHAnsi"/>
          <w:szCs w:val="24"/>
          <w:lang w:val="en-US"/>
        </w:rPr>
      </w:pPr>
      <w:r w:rsidRPr="00C34B89">
        <w:rPr>
          <w:rFonts w:cs="Times New Roman"/>
          <w:szCs w:val="24"/>
          <w:lang w:val="en-US"/>
        </w:rPr>
        <w:t>In its 12 axes, No. 9 addresses the Labor issue, "</w:t>
      </w:r>
      <w:r w:rsidR="00C35036" w:rsidRPr="00C34B89">
        <w:rPr>
          <w:rFonts w:cstheme="minorHAnsi"/>
          <w:i/>
          <w:szCs w:val="24"/>
          <w:lang w:val="en-US"/>
        </w:rPr>
        <w:t xml:space="preserve">Fulfillment of women's labor rights and support the generation of decent employment opportunities, which improve their quality of life. States Parties shall take all appropriate measures to eliminate discrimination against women in the field of employment in order to ensure, on a basis of equality of men and women, the same rights;  for </w:t>
      </w:r>
      <w:r w:rsidR="00D56C4C" w:rsidRPr="00C34B89">
        <w:rPr>
          <w:rFonts w:cs="Times New Roman"/>
          <w:szCs w:val="24"/>
          <w:lang w:val="en-US"/>
        </w:rPr>
        <w:t xml:space="preserve">Guatemalan women, which establishes the linkage for its implementation of 21 State institutions and some semi-autonomous ones, in which there is a lack of coordination and dissemination to publicize the Government's policy in favor of women and </w:t>
      </w:r>
      <w:r w:rsidRPr="00C34B89">
        <w:rPr>
          <w:rFonts w:cstheme="minorHAnsi"/>
          <w:szCs w:val="24"/>
          <w:lang w:val="en-US"/>
        </w:rPr>
        <w:t xml:space="preserve">that each institution is linked to its implementation. There is a lack of verification of the mandate of the Presidential Secretariat for Women (SEPREM) within the policy to advise and coordinate with the </w:t>
      </w:r>
      <w:r w:rsidRPr="00C34B89">
        <w:rPr>
          <w:rFonts w:cstheme="minorHAnsi"/>
          <w:szCs w:val="24"/>
          <w:lang w:val="en-US"/>
        </w:rPr>
        <w:lastRenderedPageBreak/>
        <w:t>various government institutions for the achievement of the goals. There is a clear lack of coordination and advice with the Ministry of Labour and Social Security to follow up on the objectives of the policy in favour of working women during the 15 years of the instrument and the plan of opportunities, which is why the various Governments have not followed up properly.</w:t>
      </w:r>
    </w:p>
    <w:p w14:paraId="293BD844" w14:textId="1840421C" w:rsidR="007F53A4" w:rsidRDefault="007F53A4" w:rsidP="00C35036">
      <w:pPr>
        <w:pStyle w:val="Prrafodelista"/>
        <w:shd w:val="clear" w:color="auto" w:fill="FFFFFF" w:themeFill="background1"/>
        <w:jc w:val="both"/>
        <w:rPr>
          <w:rFonts w:cs="Times New Roman"/>
          <w:szCs w:val="24"/>
          <w:lang w:val="en-US"/>
        </w:rPr>
      </w:pPr>
    </w:p>
    <w:p w14:paraId="7434DBAC" w14:textId="77777777" w:rsidR="007F53A4" w:rsidRDefault="007F53A4">
      <w:pPr>
        <w:rPr>
          <w:rFonts w:cs="Times New Roman"/>
          <w:szCs w:val="24"/>
          <w:lang w:val="en-US"/>
        </w:rPr>
      </w:pPr>
      <w:r>
        <w:rPr>
          <w:rFonts w:cs="Times New Roman"/>
          <w:szCs w:val="24"/>
          <w:lang w:val="en-US"/>
        </w:rPr>
        <w:br w:type="page"/>
      </w:r>
    </w:p>
    <w:p w14:paraId="3B103DF1" w14:textId="7EA0D075" w:rsidR="007F320D" w:rsidRPr="00FA0496" w:rsidRDefault="000E335E" w:rsidP="00080248">
      <w:pPr>
        <w:pStyle w:val="Sinespaciado"/>
        <w:jc w:val="center"/>
        <w:rPr>
          <w:rFonts w:cs="Times New Roman"/>
          <w:b/>
          <w:bCs/>
          <w:szCs w:val="24"/>
          <w:lang w:val="es-MX"/>
        </w:rPr>
      </w:pPr>
      <w:r w:rsidRPr="00FA0496">
        <w:rPr>
          <w:rFonts w:cs="Times New Roman"/>
          <w:b/>
          <w:bCs/>
          <w:szCs w:val="24"/>
        </w:rPr>
        <w:lastRenderedPageBreak/>
        <w:t>Recommendations</w:t>
      </w:r>
    </w:p>
    <w:p w14:paraId="7A6A175B" w14:textId="77777777" w:rsidR="00476EDA" w:rsidRPr="00FA0496" w:rsidRDefault="00476EDA" w:rsidP="00080248">
      <w:pPr>
        <w:pStyle w:val="Sinespaciado"/>
        <w:jc w:val="center"/>
        <w:rPr>
          <w:rFonts w:cs="Times New Roman"/>
          <w:b/>
          <w:bCs/>
          <w:szCs w:val="24"/>
          <w:lang w:val="es-MX"/>
        </w:rPr>
      </w:pPr>
    </w:p>
    <w:p w14:paraId="79F796CA" w14:textId="4DCF8570" w:rsidR="00307238" w:rsidRPr="00C34B89" w:rsidRDefault="00844261" w:rsidP="00A13769">
      <w:pPr>
        <w:pStyle w:val="Sinespaciado"/>
        <w:numPr>
          <w:ilvl w:val="0"/>
          <w:numId w:val="25"/>
        </w:numPr>
        <w:jc w:val="both"/>
        <w:rPr>
          <w:rFonts w:cs="Times New Roman"/>
          <w:b/>
          <w:bCs/>
          <w:szCs w:val="24"/>
          <w:lang w:val="en-US"/>
        </w:rPr>
      </w:pPr>
      <w:r w:rsidRPr="00C34B89">
        <w:rPr>
          <w:rFonts w:cs="Times New Roman"/>
          <w:szCs w:val="24"/>
          <w:lang w:val="en-US"/>
        </w:rPr>
        <w:t xml:space="preserve">It is recommended that the State of Guatemala, through the Ministry of Labor and Social Welfare, carry out the necessary reforms and expansion of the National Decent Employment Policy 2017-2032 point 4.8 on Gender Equity, establishing the procedures, </w:t>
      </w:r>
      <w:r w:rsidR="0003393A" w:rsidRPr="00C34B89">
        <w:rPr>
          <w:rFonts w:cs="Times New Roman"/>
          <w:szCs w:val="24"/>
          <w:lang w:val="en-US"/>
        </w:rPr>
        <w:t>implementation,</w:t>
      </w:r>
      <w:r w:rsidRPr="00C34B89">
        <w:rPr>
          <w:rFonts w:cs="Times New Roman"/>
          <w:szCs w:val="24"/>
          <w:lang w:val="en-US"/>
        </w:rPr>
        <w:t xml:space="preserve"> and scope on the application of gender e</w:t>
      </w:r>
      <w:r w:rsidR="0003393A">
        <w:rPr>
          <w:rFonts w:cs="Times New Roman"/>
          <w:szCs w:val="24"/>
          <w:lang w:val="en-US"/>
        </w:rPr>
        <w:t>quality</w:t>
      </w:r>
      <w:r w:rsidRPr="00C34B89">
        <w:rPr>
          <w:rFonts w:cs="Times New Roman"/>
          <w:szCs w:val="24"/>
          <w:lang w:val="en-US"/>
        </w:rPr>
        <w:t xml:space="preserve"> in said policy. It is recommended that the National Wage Commission implement the reforms to Regulation 1319 of 1968, reforms in its article No. 5 include subsection i) on representativeness and participation with gender equity, including social and trade union organizations of working women.</w:t>
      </w:r>
    </w:p>
    <w:p w14:paraId="1B3019F5" w14:textId="22AE1B97" w:rsidR="00775A11" w:rsidRPr="00C34B89" w:rsidRDefault="005E411C" w:rsidP="00DC379B">
      <w:pPr>
        <w:pStyle w:val="Sinespaciado"/>
        <w:numPr>
          <w:ilvl w:val="0"/>
          <w:numId w:val="25"/>
        </w:numPr>
        <w:jc w:val="both"/>
        <w:rPr>
          <w:rFonts w:cs="Times New Roman"/>
          <w:szCs w:val="24"/>
          <w:lang w:val="en-US"/>
        </w:rPr>
      </w:pPr>
      <w:r w:rsidRPr="00C34B89">
        <w:rPr>
          <w:rFonts w:cs="Times New Roman"/>
          <w:szCs w:val="24"/>
          <w:lang w:val="en-US"/>
        </w:rPr>
        <w:t>It is recommended that the State of Guatemala, through the Ministry of Economy, create a special coordination commission with organizations of women entrepreneurs, to enable access to seed capital funds, aimed at the investment of their ventures, also grant accompaniment and technical-administrative advice to entrepreneurs.</w:t>
      </w:r>
    </w:p>
    <w:p w14:paraId="653675FD" w14:textId="7BA8B994" w:rsidR="00D8052E" w:rsidRPr="00C34B89" w:rsidRDefault="004E423F" w:rsidP="00D8052E">
      <w:pPr>
        <w:pStyle w:val="Sinespaciado"/>
        <w:numPr>
          <w:ilvl w:val="0"/>
          <w:numId w:val="25"/>
        </w:numPr>
        <w:rPr>
          <w:rFonts w:cs="Times New Roman"/>
          <w:szCs w:val="24"/>
          <w:lang w:val="en-US"/>
        </w:rPr>
      </w:pPr>
      <w:r w:rsidRPr="00C34B89">
        <w:rPr>
          <w:rFonts w:cs="Times New Roman"/>
          <w:szCs w:val="24"/>
          <w:lang w:val="en-US"/>
        </w:rPr>
        <w:t>It is recommended that the National Council for Occupational Health and Safety incorporate a special annexed commission to address the health situation of women workers in the service, field, export and maquila sectors.</w:t>
      </w:r>
    </w:p>
    <w:p w14:paraId="3860DC5D" w14:textId="65479A3C" w:rsidR="00307238" w:rsidRPr="0003393A" w:rsidRDefault="00D8052E" w:rsidP="00D8052E">
      <w:pPr>
        <w:pStyle w:val="Sinespaciado"/>
        <w:numPr>
          <w:ilvl w:val="0"/>
          <w:numId w:val="25"/>
        </w:numPr>
        <w:rPr>
          <w:rFonts w:cs="Times New Roman"/>
          <w:szCs w:val="24"/>
          <w:lang w:val="en-US"/>
        </w:rPr>
      </w:pPr>
      <w:r w:rsidRPr="0003393A">
        <w:rPr>
          <w:rFonts w:cs="Times New Roman"/>
          <w:szCs w:val="24"/>
          <w:lang w:val="en-US"/>
        </w:rPr>
        <w:t>It is recommended that the State of Guatemala seek to minimize irregular migration through prevention and the opening of opportunities for socio-economic development for women in border areas with Mexico.</w:t>
      </w:r>
    </w:p>
    <w:p w14:paraId="436ED767" w14:textId="531CCBF3" w:rsidR="00775A11" w:rsidRPr="00C34B89" w:rsidRDefault="00A13769" w:rsidP="00A13769">
      <w:pPr>
        <w:pStyle w:val="Sinespaciado"/>
        <w:numPr>
          <w:ilvl w:val="0"/>
          <w:numId w:val="25"/>
        </w:numPr>
        <w:rPr>
          <w:rFonts w:cs="Times New Roman"/>
          <w:szCs w:val="24"/>
          <w:lang w:val="en-US"/>
        </w:rPr>
      </w:pPr>
      <w:r w:rsidRPr="00C34B89">
        <w:rPr>
          <w:rFonts w:cs="Times New Roman"/>
          <w:szCs w:val="24"/>
          <w:lang w:val="en-US"/>
        </w:rPr>
        <w:t>It is recommended that the Government of Guatemala, through the Presidential Secretariat for Women, seek coordination with women's civil society organizations and trade unions for reforms and updates to axis 9 of the National Policy for the Advancement and Integral Development of Women, in coordination with the Ministry of Labour and Social Security.</w:t>
      </w:r>
    </w:p>
    <w:p w14:paraId="72B3E387" w14:textId="4F3C813E" w:rsidR="00A13769" w:rsidRPr="00C34B89" w:rsidRDefault="00A13769" w:rsidP="00A13769">
      <w:pPr>
        <w:pStyle w:val="Sinespaciado"/>
        <w:numPr>
          <w:ilvl w:val="0"/>
          <w:numId w:val="25"/>
        </w:numPr>
        <w:rPr>
          <w:rFonts w:cs="Times New Roman"/>
          <w:szCs w:val="24"/>
          <w:lang w:val="en-US"/>
        </w:rPr>
      </w:pPr>
      <w:r w:rsidRPr="00C34B89">
        <w:rPr>
          <w:rFonts w:cs="Times New Roman"/>
          <w:szCs w:val="24"/>
          <w:lang w:val="en-US"/>
        </w:rPr>
        <w:t>It is recommended to the Congress of the Republic the immediate ratification of Convention 189 on decent work for domestic work through its initiative of law 4981 and its implementation through the implementing regulations.</w:t>
      </w:r>
    </w:p>
    <w:p w14:paraId="134F751E" w14:textId="7CA82D2E" w:rsidR="006F3CAC" w:rsidRPr="00C34B89" w:rsidRDefault="00DC379B" w:rsidP="006F3CAC">
      <w:pPr>
        <w:pStyle w:val="Sinespaciado"/>
        <w:numPr>
          <w:ilvl w:val="0"/>
          <w:numId w:val="25"/>
        </w:numPr>
        <w:rPr>
          <w:rFonts w:cs="Times New Roman"/>
          <w:szCs w:val="24"/>
          <w:lang w:val="en-US"/>
        </w:rPr>
      </w:pPr>
      <w:r w:rsidRPr="00C34B89">
        <w:rPr>
          <w:rFonts w:cs="Times New Roman"/>
          <w:szCs w:val="24"/>
          <w:lang w:val="en-US"/>
        </w:rPr>
        <w:t xml:space="preserve">It is recommended that the State of Guatemala, through the Ministry of Labour and Social Welfare, and the Ministry of Foreign Affairs, immediately implement the route of ILO Convention 190 on the cessation of violence and harassment in the world of work, for its ratification and enforcement.  </w:t>
      </w:r>
      <w:r w:rsidR="0003393A" w:rsidRPr="00C34B89">
        <w:rPr>
          <w:rFonts w:cs="Times New Roman"/>
          <w:szCs w:val="24"/>
          <w:lang w:val="en-US"/>
        </w:rPr>
        <w:t>To</w:t>
      </w:r>
      <w:r w:rsidRPr="00C34B89">
        <w:rPr>
          <w:rFonts w:cs="Times New Roman"/>
          <w:szCs w:val="24"/>
          <w:lang w:val="en-US"/>
        </w:rPr>
        <w:t xml:space="preserve"> minimize workplace violence and sexual harassment of vulnerable sectors in the workplace. </w:t>
      </w:r>
    </w:p>
    <w:p w14:paraId="4917A89E" w14:textId="0CF15EDC" w:rsidR="00A13769" w:rsidRPr="00C34B89" w:rsidRDefault="00A13769" w:rsidP="00DC379B">
      <w:pPr>
        <w:pStyle w:val="Sinespaciado"/>
        <w:numPr>
          <w:ilvl w:val="0"/>
          <w:numId w:val="25"/>
        </w:numPr>
        <w:rPr>
          <w:rFonts w:cs="Times New Roman"/>
          <w:szCs w:val="24"/>
          <w:lang w:val="en-US"/>
        </w:rPr>
      </w:pPr>
      <w:r w:rsidRPr="00C34B89">
        <w:rPr>
          <w:rFonts w:cs="Times New Roman"/>
          <w:szCs w:val="24"/>
          <w:lang w:val="en-US"/>
        </w:rPr>
        <w:t xml:space="preserve">It is recommended that the Guatemalan Social Security Institute carry out the prompt and necessary reforms to the special pension programme for domestic workers - PRECAPI, which will allow domestic workers access to contributions and access to health care, </w:t>
      </w:r>
      <w:r w:rsidR="0003393A" w:rsidRPr="00C34B89">
        <w:rPr>
          <w:rFonts w:cs="Times New Roman"/>
          <w:szCs w:val="24"/>
          <w:lang w:val="en-US"/>
        </w:rPr>
        <w:t>protection,</w:t>
      </w:r>
      <w:r w:rsidRPr="00C34B89">
        <w:rPr>
          <w:rFonts w:cs="Times New Roman"/>
          <w:szCs w:val="24"/>
          <w:lang w:val="en-US"/>
        </w:rPr>
        <w:t xml:space="preserve"> and provision. </w:t>
      </w:r>
    </w:p>
    <w:p w14:paraId="22593F67" w14:textId="78800C74" w:rsidR="008A3724" w:rsidRPr="00C34B89" w:rsidRDefault="008A3724" w:rsidP="00DC379B">
      <w:pPr>
        <w:pStyle w:val="Sinespaciado"/>
        <w:numPr>
          <w:ilvl w:val="0"/>
          <w:numId w:val="25"/>
        </w:numPr>
        <w:rPr>
          <w:rFonts w:cs="Times New Roman"/>
          <w:szCs w:val="24"/>
          <w:lang w:val="en-US"/>
        </w:rPr>
      </w:pPr>
      <w:r w:rsidRPr="00C34B89">
        <w:rPr>
          <w:rFonts w:cs="Times New Roman"/>
          <w:szCs w:val="24"/>
          <w:lang w:val="en-US"/>
        </w:rPr>
        <w:t>It is recommended that the State of Guatemala reform the regulations of semi-autonomous institutions, which have joint and tripartite commissions, for the creation of special commissions in favour of women and youth.</w:t>
      </w:r>
    </w:p>
    <w:p w14:paraId="0FA51846" w14:textId="39586F03" w:rsidR="008A3724" w:rsidRPr="00C34B89" w:rsidRDefault="008A3724" w:rsidP="00DC379B">
      <w:pPr>
        <w:pStyle w:val="Sinespaciado"/>
        <w:numPr>
          <w:ilvl w:val="0"/>
          <w:numId w:val="25"/>
        </w:numPr>
        <w:rPr>
          <w:rFonts w:cs="Times New Roman"/>
          <w:szCs w:val="24"/>
          <w:lang w:val="en-US"/>
        </w:rPr>
      </w:pPr>
      <w:r w:rsidRPr="00C34B89">
        <w:rPr>
          <w:rFonts w:cs="Times New Roman"/>
          <w:szCs w:val="24"/>
          <w:lang w:val="en-US"/>
        </w:rPr>
        <w:t>It is recommended to the President of the Republic of Guatemala to appoint a consultation commission to address the issue of Food and Nutritional Security for the working population, within the National Wage Commission.</w:t>
      </w:r>
    </w:p>
    <w:p w14:paraId="1FDEE9FE" w14:textId="63D2AFC3" w:rsidR="005262F4" w:rsidRPr="00C34B89" w:rsidRDefault="005262F4" w:rsidP="00DC379B">
      <w:pPr>
        <w:pStyle w:val="Sinespaciado"/>
        <w:numPr>
          <w:ilvl w:val="0"/>
          <w:numId w:val="25"/>
        </w:numPr>
        <w:rPr>
          <w:rFonts w:cs="Times New Roman"/>
          <w:szCs w:val="24"/>
          <w:lang w:val="en-US"/>
        </w:rPr>
      </w:pPr>
      <w:r w:rsidRPr="00C34B89">
        <w:rPr>
          <w:rFonts w:cs="Times New Roman"/>
          <w:szCs w:val="24"/>
          <w:lang w:val="en-US"/>
        </w:rPr>
        <w:t>It is recommended that the Congress of the Republic repeal article 139 of the Labour Code, Decree 330, amended 14-41, on the co-working of women in the countryside.</w:t>
      </w:r>
    </w:p>
    <w:p w14:paraId="2E75F711" w14:textId="77777777" w:rsidR="008B6D7C" w:rsidRPr="00C34B89" w:rsidRDefault="008B6D7C" w:rsidP="00080248">
      <w:pPr>
        <w:pStyle w:val="Sinespaciado"/>
        <w:jc w:val="center"/>
        <w:rPr>
          <w:rFonts w:cs="Times New Roman"/>
          <w:b/>
          <w:bCs/>
          <w:szCs w:val="24"/>
          <w:lang w:val="en-US"/>
        </w:rPr>
      </w:pPr>
    </w:p>
    <w:sdt>
      <w:sdtPr>
        <w:rPr>
          <w:rFonts w:cs="Times New Roman"/>
          <w:szCs w:val="24"/>
          <w:lang w:val="es-ES"/>
        </w:rPr>
        <w:id w:val="-296616503"/>
        <w:docPartObj>
          <w:docPartGallery w:val="Bibliographies"/>
          <w:docPartUnique/>
        </w:docPartObj>
      </w:sdtPr>
      <w:sdtEndPr>
        <w:rPr>
          <w:lang w:val="es-GT"/>
        </w:rPr>
      </w:sdtEndPr>
      <w:sdtContent>
        <w:p w14:paraId="74CB7F92" w14:textId="081DB804" w:rsidR="007167F7" w:rsidRPr="00C34B89" w:rsidRDefault="007167F7" w:rsidP="00080248">
          <w:pPr>
            <w:pStyle w:val="Sinespaciado"/>
            <w:rPr>
              <w:rFonts w:cs="Times New Roman"/>
              <w:b/>
              <w:bCs/>
              <w:szCs w:val="24"/>
              <w:lang w:val="en-US"/>
            </w:rPr>
          </w:pPr>
          <w:r w:rsidRPr="00C34B89">
            <w:rPr>
              <w:rFonts w:cs="Times New Roman"/>
              <w:b/>
              <w:bCs/>
              <w:szCs w:val="24"/>
              <w:lang w:val="en-US"/>
            </w:rPr>
            <w:t>Bibliography</w:t>
          </w:r>
        </w:p>
        <w:sdt>
          <w:sdtPr>
            <w:rPr>
              <w:rFonts w:cs="Times New Roman"/>
              <w:szCs w:val="24"/>
            </w:rPr>
            <w:id w:val="111145805"/>
            <w:bibliography/>
          </w:sdtPr>
          <w:sdtContent>
            <w:p w14:paraId="626CE9A5" w14:textId="77777777" w:rsidR="00E34831" w:rsidRDefault="007167F7" w:rsidP="00E34831">
              <w:pPr>
                <w:pStyle w:val="Bibliografa"/>
                <w:ind w:left="720" w:hanging="720"/>
                <w:rPr>
                  <w:noProof/>
                  <w:szCs w:val="24"/>
                  <w:lang w:val="en-US"/>
                </w:rPr>
              </w:pPr>
              <w:r w:rsidRPr="00FA0496">
                <w:rPr>
                  <w:rFonts w:cs="Times New Roman"/>
                  <w:szCs w:val="24"/>
                </w:rPr>
                <w:fldChar w:fldCharType="begin"/>
              </w:r>
              <w:r w:rsidRPr="00C34B89">
                <w:rPr>
                  <w:rFonts w:cs="Times New Roman"/>
                  <w:szCs w:val="24"/>
                  <w:lang w:val="en-US"/>
                </w:rPr>
                <w:instrText>BIBLIOGRAPHY</w:instrText>
              </w:r>
              <w:r w:rsidRPr="00FA0496">
                <w:rPr>
                  <w:rFonts w:cs="Times New Roman"/>
                  <w:szCs w:val="24"/>
                </w:rPr>
                <w:fldChar w:fldCharType="separate"/>
              </w:r>
              <w:r w:rsidR="00E34831">
                <w:rPr>
                  <w:noProof/>
                  <w:lang w:val="en-US"/>
                </w:rPr>
                <w:t xml:space="preserve">Acuerdo Gubernativo 1319. (1968, abril 9). </w:t>
              </w:r>
              <w:r w:rsidR="00E34831">
                <w:rPr>
                  <w:i/>
                  <w:iCs/>
                  <w:noProof/>
                  <w:lang w:val="en-US"/>
                </w:rPr>
                <w:t>Reglamento de la Comisión Nacional del Salario</w:t>
              </w:r>
              <w:r w:rsidR="00E34831">
                <w:rPr>
                  <w:noProof/>
                  <w:lang w:val="en-US"/>
                </w:rPr>
                <w:t>. Guatemala.</w:t>
              </w:r>
            </w:p>
            <w:p w14:paraId="074C5CF9" w14:textId="77777777" w:rsidR="00E34831" w:rsidRDefault="00E34831" w:rsidP="00E34831">
              <w:pPr>
                <w:pStyle w:val="Bibliografa"/>
                <w:ind w:left="720" w:hanging="720"/>
                <w:rPr>
                  <w:noProof/>
                  <w:lang w:val="en-US"/>
                </w:rPr>
              </w:pPr>
              <w:r>
                <w:rPr>
                  <w:noProof/>
                  <w:lang w:val="en-US"/>
                </w:rPr>
                <w:t xml:space="preserve">ATRAHDOM. (2021). </w:t>
              </w:r>
              <w:r>
                <w:rPr>
                  <w:i/>
                  <w:iCs/>
                  <w:noProof/>
                  <w:lang w:val="en-US"/>
                </w:rPr>
                <w:t>Desigualdades y afectaciones generadas por el Covid-19 en la vida de las mujeres trabajadoras, en sectores laborales vulnerables en Guatemala, 2020-2021.</w:t>
              </w:r>
              <w:r>
                <w:rPr>
                  <w:noProof/>
                  <w:lang w:val="en-US"/>
                </w:rPr>
                <w:t xml:space="preserve"> Retrieved from ATRAHDOM: https://atrahdom.org/2021/12/02/desigualdades-y-afectaciones-generadas-por-el-covid-19-en-la-vida-de-las-mujeres-trabajadoras-en-sectores-laborales-vulnerables-en-guatemala-2020-2021/</w:t>
              </w:r>
            </w:p>
            <w:p w14:paraId="179783DE" w14:textId="77777777" w:rsidR="00E34831" w:rsidRDefault="00E34831" w:rsidP="00E34831">
              <w:pPr>
                <w:pStyle w:val="Bibliografa"/>
                <w:ind w:left="720" w:hanging="720"/>
                <w:rPr>
                  <w:noProof/>
                  <w:lang w:val="en-US"/>
                </w:rPr>
              </w:pPr>
              <w:r>
                <w:rPr>
                  <w:noProof/>
                  <w:lang w:val="en-US"/>
                </w:rPr>
                <w:t xml:space="preserve">Bolaños, R. M. (2023, marzo 8). En Guatemala las mujeres trabajan igual que los hombres, pero ganan mucho menos. </w:t>
              </w:r>
              <w:r>
                <w:rPr>
                  <w:i/>
                  <w:iCs/>
                  <w:noProof/>
                  <w:lang w:val="en-US"/>
                </w:rPr>
                <w:t>Prensa Libre</w:t>
              </w:r>
              <w:r>
                <w:rPr>
                  <w:noProof/>
                  <w:lang w:val="en-US"/>
                </w:rPr>
                <w:t>. Retrieved from https://www.prensalibre.com/economia/las-mujeres-trabajan-al-lado-de-los-hombres-pero-aun-ganan-mucho-menos-que-ellos/</w:t>
              </w:r>
            </w:p>
            <w:p w14:paraId="2AAA9319" w14:textId="77777777" w:rsidR="00E34831" w:rsidRDefault="00E34831" w:rsidP="00E34831">
              <w:pPr>
                <w:pStyle w:val="Bibliografa"/>
                <w:ind w:left="720" w:hanging="720"/>
                <w:rPr>
                  <w:noProof/>
                  <w:lang w:val="en-US"/>
                </w:rPr>
              </w:pPr>
              <w:r>
                <w:rPr>
                  <w:noProof/>
                  <w:lang w:val="en-US"/>
                </w:rPr>
                <w:t xml:space="preserve">de León, C. (2017). </w:t>
              </w:r>
              <w:r>
                <w:rPr>
                  <w:i/>
                  <w:iCs/>
                  <w:noProof/>
                  <w:lang w:val="en-US"/>
                </w:rPr>
                <w:t xml:space="preserve">El desempleo en Guatemala </w:t>
              </w:r>
              <w:r>
                <w:rPr>
                  <w:noProof/>
                  <w:lang w:val="en-US"/>
                </w:rPr>
                <w:t>. Retrieved from República.gt: https://republica.gt/columna-de-opinion/2017-5-9-11-0-46-el-desempleo-en-guatemala</w:t>
              </w:r>
            </w:p>
            <w:p w14:paraId="6CD9E971" w14:textId="77777777" w:rsidR="00E34831" w:rsidRDefault="00E34831" w:rsidP="00E34831">
              <w:pPr>
                <w:pStyle w:val="Bibliografa"/>
                <w:ind w:left="720" w:hanging="720"/>
                <w:rPr>
                  <w:noProof/>
                  <w:lang w:val="en-US"/>
                </w:rPr>
              </w:pPr>
              <w:r>
                <w:rPr>
                  <w:noProof/>
                  <w:lang w:val="en-US"/>
                </w:rPr>
                <w:t xml:space="preserve">EFE. (2023, mayo 8). Guatemala contabiliza 6 niños muertos por desnutrición hasta abril de 2023. </w:t>
              </w:r>
              <w:r>
                <w:rPr>
                  <w:i/>
                  <w:iCs/>
                  <w:noProof/>
                  <w:lang w:val="en-US"/>
                </w:rPr>
                <w:t>Swissinfo</w:t>
              </w:r>
              <w:r>
                <w:rPr>
                  <w:noProof/>
                  <w:lang w:val="en-US"/>
                </w:rPr>
                <w:t>. Retrieved from https://www.swissinfo.ch/spa/guatemala-desnutrici%C3%B3n_guatemala-contabiliza-6-ni%C3%B1os-muertos-por-desnutrici%C3%B3n-hasta-abril-de-2023/48496558#:~:text=Guatemala%20contabiliza%206%20ni%C3%B1os%20muertos%20por%20desnutrici%C3%B3n%20hasta%20abril%20d</w:t>
              </w:r>
            </w:p>
            <w:p w14:paraId="7EDD7933" w14:textId="77777777" w:rsidR="00E34831" w:rsidRDefault="00E34831" w:rsidP="00E34831">
              <w:pPr>
                <w:pStyle w:val="Bibliografa"/>
                <w:ind w:left="720" w:hanging="720"/>
                <w:rPr>
                  <w:noProof/>
                  <w:lang w:val="en-US"/>
                </w:rPr>
              </w:pPr>
              <w:r>
                <w:rPr>
                  <w:noProof/>
                  <w:lang w:val="en-US"/>
                </w:rPr>
                <w:t xml:space="preserve">EFE. (2023). Más de 25 mil guatemaltecos han sido deportados de Estados Unidos y México en lo que va del 2023. </w:t>
              </w:r>
              <w:r>
                <w:rPr>
                  <w:i/>
                  <w:iCs/>
                  <w:noProof/>
                  <w:lang w:val="en-US"/>
                </w:rPr>
                <w:t>Prensa Libre</w:t>
              </w:r>
              <w:r>
                <w:rPr>
                  <w:noProof/>
                  <w:lang w:val="en-US"/>
                </w:rPr>
                <w:t>. Retrieved from https://www.prensalibre.com/guatemala/migrantes/mas-de-25-mil-guatemaltecos-han-sido-deportados-de-estados-unidos-y-mexico-en-lo-que-va-del-2023-breaking/</w:t>
              </w:r>
            </w:p>
            <w:p w14:paraId="117FA220" w14:textId="77777777" w:rsidR="00E34831" w:rsidRDefault="00E34831" w:rsidP="00E34831">
              <w:pPr>
                <w:pStyle w:val="Bibliografa"/>
                <w:ind w:left="720" w:hanging="720"/>
                <w:rPr>
                  <w:noProof/>
                  <w:lang w:val="en-US"/>
                </w:rPr>
              </w:pPr>
              <w:r>
                <w:rPr>
                  <w:noProof/>
                  <w:lang w:val="en-US"/>
                </w:rPr>
                <w:t xml:space="preserve">INE. (2023). </w:t>
              </w:r>
              <w:r>
                <w:rPr>
                  <w:i/>
                  <w:iCs/>
                  <w:noProof/>
                  <w:lang w:val="en-US"/>
                </w:rPr>
                <w:t>Resultados de la Canasta Básica Alimentaria (CBA) y Ampliada (CA) al mes de abril de 2023. .</w:t>
              </w:r>
              <w:r>
                <w:rPr>
                  <w:noProof/>
                  <w:lang w:val="en-US"/>
                </w:rPr>
                <w:t xml:space="preserve"> Instituto Nacional de Estadística, Guatemala. Retrieved from https://www.ine.gob.gt/2023/05/08/4357/</w:t>
              </w:r>
            </w:p>
            <w:p w14:paraId="687B5E32" w14:textId="77777777" w:rsidR="00E34831" w:rsidRDefault="00E34831" w:rsidP="00E34831">
              <w:pPr>
                <w:pStyle w:val="Bibliografa"/>
                <w:ind w:left="720" w:hanging="720"/>
                <w:rPr>
                  <w:noProof/>
                  <w:lang w:val="en-US"/>
                </w:rPr>
              </w:pPr>
              <w:r>
                <w:rPr>
                  <w:noProof/>
                  <w:lang w:val="en-US"/>
                </w:rPr>
                <w:t xml:space="preserve">Instituto de Investigaciones Económicas y Sociales. (2023, Enero-Marzo). </w:t>
              </w:r>
              <w:r>
                <w:rPr>
                  <w:i/>
                  <w:iCs/>
                  <w:noProof/>
                  <w:lang w:val="en-US"/>
                </w:rPr>
                <w:t>Revista Economía</w:t>
              </w:r>
              <w:r>
                <w:rPr>
                  <w:noProof/>
                  <w:lang w:val="en-US"/>
                </w:rPr>
                <w:t>. Retrieved from https://iies.usac.edu.gt/wp-content/uploads/2023/03/Revista-Economia-num.-235-enero-marzo-2023.pdf</w:t>
              </w:r>
            </w:p>
            <w:p w14:paraId="5FD98352" w14:textId="77777777" w:rsidR="00E34831" w:rsidRDefault="00E34831" w:rsidP="00E34831">
              <w:pPr>
                <w:pStyle w:val="Bibliografa"/>
                <w:ind w:left="720" w:hanging="720"/>
                <w:rPr>
                  <w:noProof/>
                  <w:lang w:val="en-US"/>
                </w:rPr>
              </w:pPr>
              <w:r>
                <w:rPr>
                  <w:noProof/>
                  <w:lang w:val="en-US"/>
                </w:rPr>
                <w:t xml:space="preserve">Ministerio de Trabajo y Previsión Social. (2017). </w:t>
              </w:r>
              <w:r>
                <w:rPr>
                  <w:i/>
                  <w:iCs/>
                  <w:noProof/>
                  <w:lang w:val="en-US"/>
                </w:rPr>
                <w:t>Política Nacional de Empleo Digno 2017-2032.</w:t>
              </w:r>
              <w:r>
                <w:rPr>
                  <w:noProof/>
                  <w:lang w:val="en-US"/>
                </w:rPr>
                <w:t xml:space="preserve"> Guatemala.</w:t>
              </w:r>
            </w:p>
            <w:p w14:paraId="368FD4DB" w14:textId="77777777" w:rsidR="00E34831" w:rsidRDefault="00E34831" w:rsidP="00E34831">
              <w:pPr>
                <w:pStyle w:val="Bibliografa"/>
                <w:ind w:left="720" w:hanging="720"/>
                <w:rPr>
                  <w:noProof/>
                  <w:lang w:val="en-US"/>
                </w:rPr>
              </w:pPr>
              <w:r>
                <w:rPr>
                  <w:noProof/>
                  <w:lang w:val="en-US"/>
                </w:rPr>
                <w:t xml:space="preserve">Ministerio de Trabajo y Previsión Social. (2023). </w:t>
              </w:r>
              <w:r>
                <w:rPr>
                  <w:i/>
                  <w:iCs/>
                  <w:noProof/>
                  <w:lang w:val="en-US"/>
                </w:rPr>
                <w:t>Salario Mínimo establecido para 2023</w:t>
              </w:r>
              <w:r>
                <w:rPr>
                  <w:noProof/>
                  <w:lang w:val="en-US"/>
                </w:rPr>
                <w:t>. Retrieved from https://www.mintrabajo.gob.gt/index.php/noticias/466-salario-minimo-establecido-para-2023</w:t>
              </w:r>
            </w:p>
            <w:p w14:paraId="46E596E5" w14:textId="77777777" w:rsidR="00E34831" w:rsidRDefault="00E34831" w:rsidP="00E34831">
              <w:pPr>
                <w:pStyle w:val="Bibliografa"/>
                <w:ind w:left="720" w:hanging="720"/>
                <w:rPr>
                  <w:noProof/>
                  <w:lang w:val="en-US"/>
                </w:rPr>
              </w:pPr>
              <w:r>
                <w:rPr>
                  <w:noProof/>
                  <w:lang w:val="en-US"/>
                </w:rPr>
                <w:lastRenderedPageBreak/>
                <w:t xml:space="preserve">Secretaría Presidencial de la Mujer. (2009). </w:t>
              </w:r>
              <w:r>
                <w:rPr>
                  <w:i/>
                  <w:iCs/>
                  <w:noProof/>
                  <w:lang w:val="en-US"/>
                </w:rPr>
                <w:t>Política Nacional de Promoción y Desarrollo Integral de las Mujeres y Plan de Equidad de Oportunidades.</w:t>
              </w:r>
              <w:r>
                <w:rPr>
                  <w:noProof/>
                  <w:lang w:val="en-US"/>
                </w:rPr>
                <w:t xml:space="preserve"> Guatemala. Retrieved from http://www.segeplan.gob.gt/downloads/clearinghouse/politicas_publicas/Derechos%20Humanos/Politica%20Promoci%C3%B3n%20%20y%20desarrollo%20Mujeres%202008-2023.pdf</w:t>
              </w:r>
            </w:p>
            <w:p w14:paraId="70DAB803" w14:textId="77777777" w:rsidR="00E34831" w:rsidRDefault="00E34831" w:rsidP="00E34831">
              <w:pPr>
                <w:pStyle w:val="Bibliografa"/>
                <w:ind w:left="720" w:hanging="720"/>
                <w:rPr>
                  <w:noProof/>
                  <w:lang w:val="en-US"/>
                </w:rPr>
              </w:pPr>
              <w:r>
                <w:rPr>
                  <w:noProof/>
                  <w:lang w:val="en-US"/>
                </w:rPr>
                <w:t xml:space="preserve">TSE. (2023). </w:t>
              </w:r>
              <w:r>
                <w:rPr>
                  <w:i/>
                  <w:iCs/>
                  <w:noProof/>
                  <w:lang w:val="en-US"/>
                </w:rPr>
                <w:t>TSE declara validez de las elecciones del 25 de junio y convoca a segunda vuelta</w:t>
              </w:r>
              <w:r>
                <w:rPr>
                  <w:noProof/>
                  <w:lang w:val="en-US"/>
                </w:rPr>
                <w:t>. Retrieved from https://www.tse.org.gt/index.php/comunicacion/noticias/880-tse-declara-validez-de-las-elecciones-del-25-de-junio-y-convoca-a-segunda-vuelta</w:t>
              </w:r>
            </w:p>
            <w:p w14:paraId="3DE9F27C" w14:textId="017211EC" w:rsidR="007167F7" w:rsidRPr="00FA0496" w:rsidRDefault="007167F7" w:rsidP="00E34831">
              <w:pPr>
                <w:pStyle w:val="Sinespaciado"/>
                <w:jc w:val="both"/>
                <w:rPr>
                  <w:rFonts w:cs="Times New Roman"/>
                  <w:szCs w:val="24"/>
                </w:rPr>
              </w:pPr>
              <w:r w:rsidRPr="00FA0496">
                <w:rPr>
                  <w:rFonts w:cs="Times New Roman"/>
                  <w:b/>
                  <w:bCs/>
                  <w:szCs w:val="24"/>
                </w:rPr>
                <w:fldChar w:fldCharType="end"/>
              </w:r>
            </w:p>
          </w:sdtContent>
        </w:sdt>
      </w:sdtContent>
    </w:sdt>
    <w:sectPr w:rsidR="007167F7" w:rsidRPr="00FA0496" w:rsidSect="007D720A">
      <w:headerReference w:type="default" r:id="rId11"/>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F6659" w14:textId="77777777" w:rsidR="00502A2D" w:rsidRDefault="00502A2D" w:rsidP="007C4E5F">
      <w:pPr>
        <w:spacing w:after="0" w:line="240" w:lineRule="auto"/>
      </w:pPr>
      <w:r>
        <w:separator/>
      </w:r>
    </w:p>
  </w:endnote>
  <w:endnote w:type="continuationSeparator" w:id="0">
    <w:p w14:paraId="1709CC7B" w14:textId="77777777" w:rsidR="00502A2D" w:rsidRDefault="00502A2D" w:rsidP="007C4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altName w:val="Montserrat"/>
    <w:charset w:val="00"/>
    <w:family w:val="auto"/>
    <w:pitch w:val="variable"/>
    <w:sig w:usb0="2000020F" w:usb1="00000003" w:usb2="00000000" w:usb3="00000000" w:csb0="00000197" w:csb1="00000000"/>
  </w:font>
  <w:font w:name="Frutiger Light Condensed">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482BE" w14:textId="77777777" w:rsidR="00502A2D" w:rsidRDefault="00502A2D" w:rsidP="007C4E5F">
      <w:pPr>
        <w:spacing w:after="0" w:line="240" w:lineRule="auto"/>
      </w:pPr>
      <w:r>
        <w:separator/>
      </w:r>
    </w:p>
  </w:footnote>
  <w:footnote w:type="continuationSeparator" w:id="0">
    <w:p w14:paraId="4C834A68" w14:textId="77777777" w:rsidR="00502A2D" w:rsidRDefault="00502A2D" w:rsidP="007C4E5F">
      <w:pPr>
        <w:spacing w:after="0" w:line="240" w:lineRule="auto"/>
      </w:pPr>
      <w:r>
        <w:continuationSeparator/>
      </w:r>
    </w:p>
  </w:footnote>
  <w:footnote w:id="1">
    <w:p w14:paraId="12CBB9F1" w14:textId="19BA0C7B" w:rsidR="00AD0348" w:rsidRPr="00396744" w:rsidRDefault="00AD0348">
      <w:pPr>
        <w:pStyle w:val="Textonotapie"/>
        <w:rPr>
          <w:lang w:val="en-US"/>
        </w:rPr>
      </w:pPr>
      <w:r>
        <w:rPr>
          <w:rStyle w:val="Refdenotaalpie"/>
        </w:rPr>
        <w:footnoteRef/>
      </w:r>
      <w:r w:rsidRPr="00C34B89">
        <w:rPr>
          <w:lang w:val="en-US"/>
        </w:rPr>
        <w:t xml:space="preserve"> </w:t>
      </w:r>
      <w:sdt>
        <w:sdtPr>
          <w:rPr>
            <w:lang w:val="en-US"/>
          </w:rPr>
          <w:id w:val="-1424260134"/>
          <w:citation/>
        </w:sdtPr>
        <w:sdtContent>
          <w:r>
            <w:fldChar w:fldCharType="begin"/>
          </w:r>
          <w:r w:rsidRPr="00C34B89">
            <w:rPr>
              <w:lang w:val="en-US"/>
            </w:rPr>
            <w:instrText xml:space="preserve"> CITATION TSE23 \l 4106 </w:instrText>
          </w:r>
          <w:r>
            <w:fldChar w:fldCharType="separate"/>
          </w:r>
          <w:r w:rsidR="00E34831" w:rsidRPr="00E34831">
            <w:rPr>
              <w:noProof/>
              <w:lang w:val="en-US"/>
            </w:rPr>
            <w:t>(TSE, 2023)</w:t>
          </w:r>
          <w:r>
            <w:fldChar w:fldCharType="end"/>
          </w:r>
        </w:sdtContent>
      </w:sdt>
    </w:p>
  </w:footnote>
  <w:footnote w:id="2">
    <w:p w14:paraId="6ED23039" w14:textId="25E7F3A4" w:rsidR="006C5F37" w:rsidRPr="00533755" w:rsidRDefault="006C5F37">
      <w:pPr>
        <w:pStyle w:val="Textonotapie"/>
        <w:rPr>
          <w:lang w:val="en-US"/>
        </w:rPr>
      </w:pPr>
      <w:r>
        <w:rPr>
          <w:rStyle w:val="Refdenotaalpie"/>
        </w:rPr>
        <w:footnoteRef/>
      </w:r>
      <w:r w:rsidRPr="00C34B89">
        <w:rPr>
          <w:lang w:val="en-US"/>
        </w:rPr>
        <w:t xml:space="preserve"> Wola: https://www.wola.org/es/analisis/cinco-cosas-sobre-elecciones-guatemala-2/</w:t>
      </w:r>
    </w:p>
  </w:footnote>
  <w:footnote w:id="3">
    <w:p w14:paraId="189B5B4C" w14:textId="77777777" w:rsidR="00D16255" w:rsidRPr="00C34B89" w:rsidRDefault="00D16255" w:rsidP="00D16255">
      <w:pPr>
        <w:pStyle w:val="Textonotapie"/>
        <w:rPr>
          <w:lang w:val="en-US"/>
        </w:rPr>
      </w:pPr>
      <w:r>
        <w:rPr>
          <w:rStyle w:val="Refdenotaalpie"/>
        </w:rPr>
        <w:footnoteRef/>
      </w:r>
      <w:r w:rsidRPr="00C34B89">
        <w:rPr>
          <w:lang w:val="en-US"/>
        </w:rPr>
        <w:t xml:space="preserve">  </w:t>
      </w:r>
      <w:r w:rsidRPr="00C34B89">
        <w:rPr>
          <w:sz w:val="18"/>
          <w:szCs w:val="18"/>
          <w:lang w:val="en-US"/>
        </w:rPr>
        <w:t xml:space="preserve">COVERCO, EMIH, PASE, Sergio Chávez and Maquila Solidarity Network. An approximation to the living wage in the maquila sector in Central America. October 2013.  </w:t>
      </w:r>
    </w:p>
  </w:footnote>
  <w:footnote w:id="4">
    <w:p w14:paraId="21A50184" w14:textId="289EC56B" w:rsidR="00763BD7" w:rsidRPr="00C34B89" w:rsidRDefault="00763BD7">
      <w:pPr>
        <w:pStyle w:val="Textonotapie"/>
        <w:rPr>
          <w:lang w:val="en-US"/>
        </w:rPr>
      </w:pPr>
      <w:r>
        <w:rPr>
          <w:rStyle w:val="Refdenotaalpie"/>
        </w:rPr>
        <w:footnoteRef/>
      </w:r>
      <w:r w:rsidRPr="00C34B89">
        <w:rPr>
          <w:lang w:val="en-US"/>
        </w:rPr>
        <w:t xml:space="preserve"> https://www.prensalibre.com/guatemala/migrantes/mas-de-25-mil-guatemaltecos-han-sido-deportados-de-estados-unidos-y-mexico-en-lo-que-va-del-2023-breaking/</w:t>
      </w:r>
    </w:p>
  </w:footnote>
  <w:footnote w:id="5">
    <w:p w14:paraId="5F17A580" w14:textId="0138E88E" w:rsidR="00C35036" w:rsidRPr="00C34B89" w:rsidRDefault="00C35036">
      <w:pPr>
        <w:pStyle w:val="Textonotapie"/>
        <w:rPr>
          <w:lang w:val="en-US"/>
        </w:rPr>
      </w:pPr>
      <w:r>
        <w:rPr>
          <w:rStyle w:val="Refdenotaalpie"/>
        </w:rPr>
        <w:footnoteRef/>
      </w:r>
      <w:r w:rsidRPr="00C34B89">
        <w:rPr>
          <w:lang w:val="en-US"/>
        </w:rPr>
        <w:t>http://www.segeplan.gob.gt/downloads/clearinghouse/politicas_publicas/Derechos%20Humanos/Politica%20Promoci%C3%B3n%20%20y%20desarrollo%20Mujeres%202008-2023.pdf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86BB2" w14:textId="1738CDAC" w:rsidR="0021312E" w:rsidRDefault="001F1FD9" w:rsidP="0021312E">
    <w:pPr>
      <w:pStyle w:val="Encabezado"/>
      <w:jc w:val="center"/>
    </w:pPr>
    <w:r>
      <w:rPr>
        <w:noProof/>
      </w:rPr>
      <w:drawing>
        <wp:anchor distT="0" distB="0" distL="114300" distR="114300" simplePos="0" relativeHeight="251662336" behindDoc="0" locked="0" layoutInCell="1" allowOverlap="1" wp14:anchorId="009D6788" wp14:editId="088809F4">
          <wp:simplePos x="0" y="0"/>
          <wp:positionH relativeFrom="column">
            <wp:posOffset>2088392</wp:posOffset>
          </wp:positionH>
          <wp:positionV relativeFrom="paragraph">
            <wp:posOffset>-327328</wp:posOffset>
          </wp:positionV>
          <wp:extent cx="1683985" cy="633909"/>
          <wp:effectExtent l="0" t="0" r="0" b="0"/>
          <wp:wrapNone/>
          <wp:docPr id="786941678" name="Imagen 1" descr="Text&#10;&#10;Auto-generated description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41678" name="Imagen 1" descr="Text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683985" cy="63390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05427A22" wp14:editId="1D04AC07">
          <wp:simplePos x="0" y="0"/>
          <wp:positionH relativeFrom="column">
            <wp:posOffset>561889</wp:posOffset>
          </wp:positionH>
          <wp:positionV relativeFrom="paragraph">
            <wp:posOffset>-242570</wp:posOffset>
          </wp:positionV>
          <wp:extent cx="1366914" cy="549110"/>
          <wp:effectExtent l="0" t="0" r="5080" b="3810"/>
          <wp:wrapNone/>
          <wp:docPr id="126769929" name="Imagen 2" descr="Image containing Text&#10;&#10;Automatically generated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9929" name="Imagen 2" descr="Imagen que contiene Tex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366914" cy="5491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51885B44" wp14:editId="189F0753">
          <wp:simplePos x="0" y="0"/>
          <wp:positionH relativeFrom="column">
            <wp:posOffset>4099219</wp:posOffset>
          </wp:positionH>
          <wp:positionV relativeFrom="paragraph">
            <wp:posOffset>-326312</wp:posOffset>
          </wp:positionV>
          <wp:extent cx="660388" cy="675564"/>
          <wp:effectExtent l="0" t="0" r="6985" b="0"/>
          <wp:wrapNone/>
          <wp:docPr id="1435436966" name="Imagen 1" descr="Diagram&#10;&#10;Automatically generated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36966" name="Imagen 1" descr="Diagrama&#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660388" cy="675564"/>
                  </a:xfrm>
                  <a:prstGeom prst="rect">
                    <a:avLst/>
                  </a:prstGeom>
                </pic:spPr>
              </pic:pic>
            </a:graphicData>
          </a:graphic>
          <wp14:sizeRelH relativeFrom="margin">
            <wp14:pctWidth>0</wp14:pctWidth>
          </wp14:sizeRelH>
          <wp14:sizeRelV relativeFrom="margin">
            <wp14:pctHeight>0</wp14:pctHeight>
          </wp14:sizeRelV>
        </wp:anchor>
      </w:drawing>
    </w:r>
  </w:p>
  <w:p w14:paraId="1B2C212A" w14:textId="039015B7" w:rsidR="0021312E" w:rsidRDefault="0021312E" w:rsidP="0021312E">
    <w:pPr>
      <w:pStyle w:val="Encabezado"/>
      <w:pBdr>
        <w:bottom w:val="single" w:sz="12" w:space="1" w:color="auto"/>
      </w:pBdr>
      <w:jc w:val="center"/>
    </w:pPr>
  </w:p>
  <w:p w14:paraId="395F8037" w14:textId="12DD5202" w:rsidR="00080248" w:rsidRDefault="000802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57E73"/>
    <w:multiLevelType w:val="hybridMultilevel"/>
    <w:tmpl w:val="5CEAE7FE"/>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abstractNum w:abstractNumId="1" w15:restartNumberingAfterBreak="0">
    <w:nsid w:val="0F11343B"/>
    <w:multiLevelType w:val="hybridMultilevel"/>
    <w:tmpl w:val="CEFC1E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14750E97"/>
    <w:multiLevelType w:val="hybridMultilevel"/>
    <w:tmpl w:val="F44CA1E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19476046"/>
    <w:multiLevelType w:val="hybridMultilevel"/>
    <w:tmpl w:val="D284C5FE"/>
    <w:lvl w:ilvl="0" w:tplc="01C2B29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DD64E1A"/>
    <w:multiLevelType w:val="hybridMultilevel"/>
    <w:tmpl w:val="C3FE7C38"/>
    <w:lvl w:ilvl="0" w:tplc="02DABD60">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1FAC46DB"/>
    <w:multiLevelType w:val="hybridMultilevel"/>
    <w:tmpl w:val="A0FEE002"/>
    <w:lvl w:ilvl="0" w:tplc="8506A1A4">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24A05206"/>
    <w:multiLevelType w:val="hybridMultilevel"/>
    <w:tmpl w:val="39EA2D76"/>
    <w:lvl w:ilvl="0" w:tplc="100A0003">
      <w:start w:val="1"/>
      <w:numFmt w:val="bullet"/>
      <w:lvlText w:val="o"/>
      <w:lvlJc w:val="left"/>
      <w:pPr>
        <w:ind w:left="1776" w:hanging="360"/>
      </w:pPr>
      <w:rPr>
        <w:rFonts w:ascii="Courier New" w:hAnsi="Courier New" w:cs="Courier New" w:hint="default"/>
      </w:rPr>
    </w:lvl>
    <w:lvl w:ilvl="1" w:tplc="100A0003" w:tentative="1">
      <w:start w:val="1"/>
      <w:numFmt w:val="bullet"/>
      <w:lvlText w:val="o"/>
      <w:lvlJc w:val="left"/>
      <w:pPr>
        <w:ind w:left="2496" w:hanging="360"/>
      </w:pPr>
      <w:rPr>
        <w:rFonts w:ascii="Courier New" w:hAnsi="Courier New" w:cs="Courier New" w:hint="default"/>
      </w:rPr>
    </w:lvl>
    <w:lvl w:ilvl="2" w:tplc="100A0005" w:tentative="1">
      <w:start w:val="1"/>
      <w:numFmt w:val="bullet"/>
      <w:lvlText w:val=""/>
      <w:lvlJc w:val="left"/>
      <w:pPr>
        <w:ind w:left="3216" w:hanging="360"/>
      </w:pPr>
      <w:rPr>
        <w:rFonts w:ascii="Wingdings" w:hAnsi="Wingdings" w:hint="default"/>
      </w:rPr>
    </w:lvl>
    <w:lvl w:ilvl="3" w:tplc="100A0001" w:tentative="1">
      <w:start w:val="1"/>
      <w:numFmt w:val="bullet"/>
      <w:lvlText w:val=""/>
      <w:lvlJc w:val="left"/>
      <w:pPr>
        <w:ind w:left="3936" w:hanging="360"/>
      </w:pPr>
      <w:rPr>
        <w:rFonts w:ascii="Symbol" w:hAnsi="Symbol" w:hint="default"/>
      </w:rPr>
    </w:lvl>
    <w:lvl w:ilvl="4" w:tplc="100A0003" w:tentative="1">
      <w:start w:val="1"/>
      <w:numFmt w:val="bullet"/>
      <w:lvlText w:val="o"/>
      <w:lvlJc w:val="left"/>
      <w:pPr>
        <w:ind w:left="4656" w:hanging="360"/>
      </w:pPr>
      <w:rPr>
        <w:rFonts w:ascii="Courier New" w:hAnsi="Courier New" w:cs="Courier New" w:hint="default"/>
      </w:rPr>
    </w:lvl>
    <w:lvl w:ilvl="5" w:tplc="100A0005" w:tentative="1">
      <w:start w:val="1"/>
      <w:numFmt w:val="bullet"/>
      <w:lvlText w:val=""/>
      <w:lvlJc w:val="left"/>
      <w:pPr>
        <w:ind w:left="5376" w:hanging="360"/>
      </w:pPr>
      <w:rPr>
        <w:rFonts w:ascii="Wingdings" w:hAnsi="Wingdings" w:hint="default"/>
      </w:rPr>
    </w:lvl>
    <w:lvl w:ilvl="6" w:tplc="100A0001" w:tentative="1">
      <w:start w:val="1"/>
      <w:numFmt w:val="bullet"/>
      <w:lvlText w:val=""/>
      <w:lvlJc w:val="left"/>
      <w:pPr>
        <w:ind w:left="6096" w:hanging="360"/>
      </w:pPr>
      <w:rPr>
        <w:rFonts w:ascii="Symbol" w:hAnsi="Symbol" w:hint="default"/>
      </w:rPr>
    </w:lvl>
    <w:lvl w:ilvl="7" w:tplc="100A0003" w:tentative="1">
      <w:start w:val="1"/>
      <w:numFmt w:val="bullet"/>
      <w:lvlText w:val="o"/>
      <w:lvlJc w:val="left"/>
      <w:pPr>
        <w:ind w:left="6816" w:hanging="360"/>
      </w:pPr>
      <w:rPr>
        <w:rFonts w:ascii="Courier New" w:hAnsi="Courier New" w:cs="Courier New" w:hint="default"/>
      </w:rPr>
    </w:lvl>
    <w:lvl w:ilvl="8" w:tplc="100A0005" w:tentative="1">
      <w:start w:val="1"/>
      <w:numFmt w:val="bullet"/>
      <w:lvlText w:val=""/>
      <w:lvlJc w:val="left"/>
      <w:pPr>
        <w:ind w:left="7536" w:hanging="360"/>
      </w:pPr>
      <w:rPr>
        <w:rFonts w:ascii="Wingdings" w:hAnsi="Wingdings" w:hint="default"/>
      </w:rPr>
    </w:lvl>
  </w:abstractNum>
  <w:abstractNum w:abstractNumId="7" w15:restartNumberingAfterBreak="0">
    <w:nsid w:val="262344B8"/>
    <w:multiLevelType w:val="hybridMultilevel"/>
    <w:tmpl w:val="2ADEFA60"/>
    <w:lvl w:ilvl="0" w:tplc="0B7E2A88">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26B0578E"/>
    <w:multiLevelType w:val="hybridMultilevel"/>
    <w:tmpl w:val="4732A8F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28D125DD"/>
    <w:multiLevelType w:val="hybridMultilevel"/>
    <w:tmpl w:val="8494B9E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2B7A194D"/>
    <w:multiLevelType w:val="hybridMultilevel"/>
    <w:tmpl w:val="6C601AC0"/>
    <w:lvl w:ilvl="0" w:tplc="031CC0BE">
      <w:start w:val="1"/>
      <w:numFmt w:val="bullet"/>
      <w:lvlText w:val=""/>
      <w:lvlJc w:val="left"/>
      <w:pPr>
        <w:ind w:left="720" w:hanging="360"/>
      </w:pPr>
      <w:rPr>
        <w:rFonts w:ascii="Symbol" w:hAnsi="Symbol" w:hint="default"/>
        <w:strike w:val="0"/>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2CBFBEEF"/>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DB123A5"/>
    <w:multiLevelType w:val="hybridMultilevel"/>
    <w:tmpl w:val="D284C5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CBC29E2"/>
    <w:multiLevelType w:val="hybridMultilevel"/>
    <w:tmpl w:val="9F16B6B4"/>
    <w:lvl w:ilvl="0" w:tplc="41F6D23E">
      <w:start w:val="1"/>
      <w:numFmt w:val="decimal"/>
      <w:lvlText w:val="%1."/>
      <w:lvlJc w:val="left"/>
      <w:pPr>
        <w:ind w:left="720" w:hanging="360"/>
      </w:pPr>
      <w:rPr>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409C5E79"/>
    <w:multiLevelType w:val="hybridMultilevel"/>
    <w:tmpl w:val="002632C2"/>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5" w15:restartNumberingAfterBreak="0">
    <w:nsid w:val="40E012A5"/>
    <w:multiLevelType w:val="hybridMultilevel"/>
    <w:tmpl w:val="0304FDEA"/>
    <w:lvl w:ilvl="0" w:tplc="41F6D23E">
      <w:start w:val="1"/>
      <w:numFmt w:val="decimal"/>
      <w:lvlText w:val="%1."/>
      <w:lvlJc w:val="left"/>
      <w:pPr>
        <w:ind w:left="720" w:hanging="360"/>
      </w:pPr>
      <w:rPr>
        <w:strike w:val="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47A133A4"/>
    <w:multiLevelType w:val="hybridMultilevel"/>
    <w:tmpl w:val="166EEECE"/>
    <w:lvl w:ilvl="0" w:tplc="E84E8112">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49F15762"/>
    <w:multiLevelType w:val="hybridMultilevel"/>
    <w:tmpl w:val="5EA65E4A"/>
    <w:lvl w:ilvl="0" w:tplc="0A0E2734">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50EB1DE6"/>
    <w:multiLevelType w:val="hybridMultilevel"/>
    <w:tmpl w:val="54E8E344"/>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5A390B5B"/>
    <w:multiLevelType w:val="hybridMultilevel"/>
    <w:tmpl w:val="007E59E2"/>
    <w:lvl w:ilvl="0" w:tplc="41F6D23E">
      <w:start w:val="1"/>
      <w:numFmt w:val="decimal"/>
      <w:lvlText w:val="%1."/>
      <w:lvlJc w:val="left"/>
      <w:pPr>
        <w:ind w:left="720" w:hanging="360"/>
      </w:pPr>
      <w:rPr>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67796162"/>
    <w:multiLevelType w:val="hybridMultilevel"/>
    <w:tmpl w:val="EC5C050C"/>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75337129"/>
    <w:multiLevelType w:val="hybridMultilevel"/>
    <w:tmpl w:val="0A9A125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755C5CD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5F91901"/>
    <w:multiLevelType w:val="hybridMultilevel"/>
    <w:tmpl w:val="57AA6F9C"/>
    <w:lvl w:ilvl="0" w:tplc="85A2FB46">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76625CDE"/>
    <w:multiLevelType w:val="hybridMultilevel"/>
    <w:tmpl w:val="1ABE402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 w15:restartNumberingAfterBreak="0">
    <w:nsid w:val="79B312CF"/>
    <w:multiLevelType w:val="hybridMultilevel"/>
    <w:tmpl w:val="CEFC1E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34212946">
    <w:abstractNumId w:val="18"/>
  </w:num>
  <w:num w:numId="2" w16cid:durableId="1402559774">
    <w:abstractNumId w:val="2"/>
  </w:num>
  <w:num w:numId="3" w16cid:durableId="1742174656">
    <w:abstractNumId w:val="23"/>
  </w:num>
  <w:num w:numId="4" w16cid:durableId="39790308">
    <w:abstractNumId w:val="5"/>
  </w:num>
  <w:num w:numId="5" w16cid:durableId="653534006">
    <w:abstractNumId w:val="4"/>
  </w:num>
  <w:num w:numId="6" w16cid:durableId="612400285">
    <w:abstractNumId w:val="16"/>
  </w:num>
  <w:num w:numId="7" w16cid:durableId="685205493">
    <w:abstractNumId w:val="17"/>
  </w:num>
  <w:num w:numId="8" w16cid:durableId="469054674">
    <w:abstractNumId w:val="7"/>
  </w:num>
  <w:num w:numId="9" w16cid:durableId="1978144205">
    <w:abstractNumId w:val="3"/>
  </w:num>
  <w:num w:numId="10" w16cid:durableId="1132404399">
    <w:abstractNumId w:val="20"/>
  </w:num>
  <w:num w:numId="11" w16cid:durableId="1822844601">
    <w:abstractNumId w:val="1"/>
  </w:num>
  <w:num w:numId="12" w16cid:durableId="676228044">
    <w:abstractNumId w:val="15"/>
  </w:num>
  <w:num w:numId="13" w16cid:durableId="61145168">
    <w:abstractNumId w:val="13"/>
  </w:num>
  <w:num w:numId="14" w16cid:durableId="1616134246">
    <w:abstractNumId w:val="19"/>
  </w:num>
  <w:num w:numId="15" w16cid:durableId="337082517">
    <w:abstractNumId w:val="10"/>
  </w:num>
  <w:num w:numId="16" w16cid:durableId="132406852">
    <w:abstractNumId w:val="9"/>
  </w:num>
  <w:num w:numId="17" w16cid:durableId="1873688662">
    <w:abstractNumId w:val="24"/>
  </w:num>
  <w:num w:numId="18" w16cid:durableId="448359578">
    <w:abstractNumId w:val="6"/>
  </w:num>
  <w:num w:numId="19" w16cid:durableId="1308782672">
    <w:abstractNumId w:val="25"/>
  </w:num>
  <w:num w:numId="20" w16cid:durableId="1490361247">
    <w:abstractNumId w:val="22"/>
  </w:num>
  <w:num w:numId="21" w16cid:durableId="54553355">
    <w:abstractNumId w:val="11"/>
  </w:num>
  <w:num w:numId="22" w16cid:durableId="1242136241">
    <w:abstractNumId w:val="0"/>
  </w:num>
  <w:num w:numId="23" w16cid:durableId="901522924">
    <w:abstractNumId w:val="21"/>
  </w:num>
  <w:num w:numId="24" w16cid:durableId="593248135">
    <w:abstractNumId w:val="12"/>
  </w:num>
  <w:num w:numId="25" w16cid:durableId="408506127">
    <w:abstractNumId w:val="8"/>
  </w:num>
  <w:num w:numId="26" w16cid:durableId="9204800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51"/>
    <w:rsid w:val="0000149E"/>
    <w:rsid w:val="00005B87"/>
    <w:rsid w:val="000161E0"/>
    <w:rsid w:val="0002141C"/>
    <w:rsid w:val="00022FCA"/>
    <w:rsid w:val="000237CA"/>
    <w:rsid w:val="00025B4D"/>
    <w:rsid w:val="00026E49"/>
    <w:rsid w:val="000271C8"/>
    <w:rsid w:val="00030176"/>
    <w:rsid w:val="0003393A"/>
    <w:rsid w:val="00037AA1"/>
    <w:rsid w:val="00041611"/>
    <w:rsid w:val="00041C16"/>
    <w:rsid w:val="00046EF0"/>
    <w:rsid w:val="00063A5E"/>
    <w:rsid w:val="000644C4"/>
    <w:rsid w:val="000720B7"/>
    <w:rsid w:val="0007240E"/>
    <w:rsid w:val="0007522B"/>
    <w:rsid w:val="00076402"/>
    <w:rsid w:val="00080248"/>
    <w:rsid w:val="000803F4"/>
    <w:rsid w:val="00082093"/>
    <w:rsid w:val="0008387C"/>
    <w:rsid w:val="0009401A"/>
    <w:rsid w:val="000A18C7"/>
    <w:rsid w:val="000A4795"/>
    <w:rsid w:val="000B19DD"/>
    <w:rsid w:val="000E335E"/>
    <w:rsid w:val="000E4077"/>
    <w:rsid w:val="000E4440"/>
    <w:rsid w:val="00101CBE"/>
    <w:rsid w:val="0010562B"/>
    <w:rsid w:val="0011145E"/>
    <w:rsid w:val="00112C0B"/>
    <w:rsid w:val="00112D0C"/>
    <w:rsid w:val="001239A6"/>
    <w:rsid w:val="00142265"/>
    <w:rsid w:val="001573A5"/>
    <w:rsid w:val="00171244"/>
    <w:rsid w:val="00171B42"/>
    <w:rsid w:val="0017341A"/>
    <w:rsid w:val="00175BE6"/>
    <w:rsid w:val="0018051C"/>
    <w:rsid w:val="001839A9"/>
    <w:rsid w:val="001851A0"/>
    <w:rsid w:val="001A0636"/>
    <w:rsid w:val="001C185C"/>
    <w:rsid w:val="001C3A29"/>
    <w:rsid w:val="001D0D47"/>
    <w:rsid w:val="001F1FD9"/>
    <w:rsid w:val="0021312E"/>
    <w:rsid w:val="002164E0"/>
    <w:rsid w:val="00275BBD"/>
    <w:rsid w:val="00284C2A"/>
    <w:rsid w:val="002865FD"/>
    <w:rsid w:val="002920EB"/>
    <w:rsid w:val="00297A07"/>
    <w:rsid w:val="002A643E"/>
    <w:rsid w:val="002B0B92"/>
    <w:rsid w:val="002B115A"/>
    <w:rsid w:val="002B13C2"/>
    <w:rsid w:val="002B2831"/>
    <w:rsid w:val="002C1197"/>
    <w:rsid w:val="002C36AF"/>
    <w:rsid w:val="002C774C"/>
    <w:rsid w:val="002D746E"/>
    <w:rsid w:val="002E1513"/>
    <w:rsid w:val="002E1DE9"/>
    <w:rsid w:val="002E4087"/>
    <w:rsid w:val="002F20E6"/>
    <w:rsid w:val="002F22D8"/>
    <w:rsid w:val="003032B9"/>
    <w:rsid w:val="0030626C"/>
    <w:rsid w:val="00307238"/>
    <w:rsid w:val="00307D29"/>
    <w:rsid w:val="00314690"/>
    <w:rsid w:val="00344F35"/>
    <w:rsid w:val="003450CF"/>
    <w:rsid w:val="003559D7"/>
    <w:rsid w:val="003566DF"/>
    <w:rsid w:val="00363B23"/>
    <w:rsid w:val="003660E6"/>
    <w:rsid w:val="00370FC9"/>
    <w:rsid w:val="00375DD3"/>
    <w:rsid w:val="00380E5A"/>
    <w:rsid w:val="00385EF4"/>
    <w:rsid w:val="00390D19"/>
    <w:rsid w:val="00396744"/>
    <w:rsid w:val="003A3591"/>
    <w:rsid w:val="003C5283"/>
    <w:rsid w:val="003C78E8"/>
    <w:rsid w:val="003E4B09"/>
    <w:rsid w:val="003F0208"/>
    <w:rsid w:val="003F2B57"/>
    <w:rsid w:val="00413030"/>
    <w:rsid w:val="004159FA"/>
    <w:rsid w:val="00415F7C"/>
    <w:rsid w:val="00416A56"/>
    <w:rsid w:val="00425729"/>
    <w:rsid w:val="00442AE6"/>
    <w:rsid w:val="0044487B"/>
    <w:rsid w:val="004478FF"/>
    <w:rsid w:val="00457669"/>
    <w:rsid w:val="00464C69"/>
    <w:rsid w:val="00476EDA"/>
    <w:rsid w:val="00480CD4"/>
    <w:rsid w:val="004A3F3D"/>
    <w:rsid w:val="004A715A"/>
    <w:rsid w:val="004B3E24"/>
    <w:rsid w:val="004C23FB"/>
    <w:rsid w:val="004C710A"/>
    <w:rsid w:val="004D07BD"/>
    <w:rsid w:val="004D5511"/>
    <w:rsid w:val="004D5B4F"/>
    <w:rsid w:val="004E423F"/>
    <w:rsid w:val="00501E1E"/>
    <w:rsid w:val="00502A2D"/>
    <w:rsid w:val="00507C06"/>
    <w:rsid w:val="00511AEF"/>
    <w:rsid w:val="00515EE3"/>
    <w:rsid w:val="005262F4"/>
    <w:rsid w:val="00527B33"/>
    <w:rsid w:val="00530964"/>
    <w:rsid w:val="00533755"/>
    <w:rsid w:val="0053490B"/>
    <w:rsid w:val="00541303"/>
    <w:rsid w:val="00545EDA"/>
    <w:rsid w:val="00552A6F"/>
    <w:rsid w:val="00552AA1"/>
    <w:rsid w:val="00566CE4"/>
    <w:rsid w:val="00572CB3"/>
    <w:rsid w:val="00576D84"/>
    <w:rsid w:val="005851BE"/>
    <w:rsid w:val="00585DD1"/>
    <w:rsid w:val="00592C81"/>
    <w:rsid w:val="00597751"/>
    <w:rsid w:val="005C7830"/>
    <w:rsid w:val="005D5941"/>
    <w:rsid w:val="005D62CD"/>
    <w:rsid w:val="005E411C"/>
    <w:rsid w:val="005E4C62"/>
    <w:rsid w:val="005E5AA3"/>
    <w:rsid w:val="005F4CB3"/>
    <w:rsid w:val="006052A4"/>
    <w:rsid w:val="00606CB9"/>
    <w:rsid w:val="006213D2"/>
    <w:rsid w:val="00623B2C"/>
    <w:rsid w:val="00623CA3"/>
    <w:rsid w:val="006337D3"/>
    <w:rsid w:val="00634795"/>
    <w:rsid w:val="00640420"/>
    <w:rsid w:val="00672832"/>
    <w:rsid w:val="00675CAD"/>
    <w:rsid w:val="006A1686"/>
    <w:rsid w:val="006A75FD"/>
    <w:rsid w:val="006C11D7"/>
    <w:rsid w:val="006C5F37"/>
    <w:rsid w:val="006D0FED"/>
    <w:rsid w:val="006F3CAC"/>
    <w:rsid w:val="006F52E0"/>
    <w:rsid w:val="006F5975"/>
    <w:rsid w:val="00705871"/>
    <w:rsid w:val="00705E91"/>
    <w:rsid w:val="007167F7"/>
    <w:rsid w:val="00724982"/>
    <w:rsid w:val="007369EF"/>
    <w:rsid w:val="0074057E"/>
    <w:rsid w:val="00740B0B"/>
    <w:rsid w:val="00743B8F"/>
    <w:rsid w:val="007505C8"/>
    <w:rsid w:val="00752BAA"/>
    <w:rsid w:val="00754488"/>
    <w:rsid w:val="0076035C"/>
    <w:rsid w:val="00763BD7"/>
    <w:rsid w:val="0077524A"/>
    <w:rsid w:val="00775A11"/>
    <w:rsid w:val="007778DD"/>
    <w:rsid w:val="00787C22"/>
    <w:rsid w:val="007973AE"/>
    <w:rsid w:val="007A59F2"/>
    <w:rsid w:val="007C4E5F"/>
    <w:rsid w:val="007C5482"/>
    <w:rsid w:val="007C7B6A"/>
    <w:rsid w:val="007D0413"/>
    <w:rsid w:val="007D164F"/>
    <w:rsid w:val="007D4C18"/>
    <w:rsid w:val="007D5FF7"/>
    <w:rsid w:val="007D720A"/>
    <w:rsid w:val="007D7266"/>
    <w:rsid w:val="007F320D"/>
    <w:rsid w:val="007F53A4"/>
    <w:rsid w:val="008162C6"/>
    <w:rsid w:val="008166AE"/>
    <w:rsid w:val="00824A9A"/>
    <w:rsid w:val="00843600"/>
    <w:rsid w:val="00844261"/>
    <w:rsid w:val="00857E86"/>
    <w:rsid w:val="00867719"/>
    <w:rsid w:val="00890703"/>
    <w:rsid w:val="00897673"/>
    <w:rsid w:val="008A0448"/>
    <w:rsid w:val="008A3724"/>
    <w:rsid w:val="008A5C4E"/>
    <w:rsid w:val="008B6D7C"/>
    <w:rsid w:val="008C0806"/>
    <w:rsid w:val="008C7A05"/>
    <w:rsid w:val="008D3D34"/>
    <w:rsid w:val="008D7DC3"/>
    <w:rsid w:val="008E43A5"/>
    <w:rsid w:val="008F4BCE"/>
    <w:rsid w:val="009174F4"/>
    <w:rsid w:val="00921FB9"/>
    <w:rsid w:val="00931956"/>
    <w:rsid w:val="00933406"/>
    <w:rsid w:val="00935FEB"/>
    <w:rsid w:val="00947670"/>
    <w:rsid w:val="00955674"/>
    <w:rsid w:val="009645D7"/>
    <w:rsid w:val="0097149F"/>
    <w:rsid w:val="00982567"/>
    <w:rsid w:val="00982CEA"/>
    <w:rsid w:val="00987EAB"/>
    <w:rsid w:val="0099305B"/>
    <w:rsid w:val="009C1091"/>
    <w:rsid w:val="009C1715"/>
    <w:rsid w:val="009C51C3"/>
    <w:rsid w:val="009C5884"/>
    <w:rsid w:val="009C640F"/>
    <w:rsid w:val="009C7A03"/>
    <w:rsid w:val="009D4495"/>
    <w:rsid w:val="009E58C8"/>
    <w:rsid w:val="009E7CCE"/>
    <w:rsid w:val="009F2707"/>
    <w:rsid w:val="00A12A08"/>
    <w:rsid w:val="00A13769"/>
    <w:rsid w:val="00A203AF"/>
    <w:rsid w:val="00A2510E"/>
    <w:rsid w:val="00A26BE8"/>
    <w:rsid w:val="00A401AF"/>
    <w:rsid w:val="00A60248"/>
    <w:rsid w:val="00A73E9B"/>
    <w:rsid w:val="00A77E2C"/>
    <w:rsid w:val="00A8296D"/>
    <w:rsid w:val="00A9102E"/>
    <w:rsid w:val="00AB1C9A"/>
    <w:rsid w:val="00AB53E8"/>
    <w:rsid w:val="00AB6074"/>
    <w:rsid w:val="00AC32D2"/>
    <w:rsid w:val="00AC353D"/>
    <w:rsid w:val="00AC4C0E"/>
    <w:rsid w:val="00AD00DE"/>
    <w:rsid w:val="00AD0348"/>
    <w:rsid w:val="00B008A7"/>
    <w:rsid w:val="00B07B09"/>
    <w:rsid w:val="00B12E9E"/>
    <w:rsid w:val="00B201D5"/>
    <w:rsid w:val="00B25C85"/>
    <w:rsid w:val="00B31BBB"/>
    <w:rsid w:val="00B35C07"/>
    <w:rsid w:val="00B404B7"/>
    <w:rsid w:val="00B46985"/>
    <w:rsid w:val="00B55FBF"/>
    <w:rsid w:val="00B61CC2"/>
    <w:rsid w:val="00B62814"/>
    <w:rsid w:val="00B7786B"/>
    <w:rsid w:val="00B80447"/>
    <w:rsid w:val="00B92C6F"/>
    <w:rsid w:val="00BA05FE"/>
    <w:rsid w:val="00BA2634"/>
    <w:rsid w:val="00BA350C"/>
    <w:rsid w:val="00BA5758"/>
    <w:rsid w:val="00BB2F28"/>
    <w:rsid w:val="00BB3DB8"/>
    <w:rsid w:val="00BD5B3C"/>
    <w:rsid w:val="00BE30F7"/>
    <w:rsid w:val="00BE40DC"/>
    <w:rsid w:val="00BF4B6A"/>
    <w:rsid w:val="00C05581"/>
    <w:rsid w:val="00C064B6"/>
    <w:rsid w:val="00C1784A"/>
    <w:rsid w:val="00C306D7"/>
    <w:rsid w:val="00C34B89"/>
    <w:rsid w:val="00C35036"/>
    <w:rsid w:val="00C42825"/>
    <w:rsid w:val="00C4431B"/>
    <w:rsid w:val="00C57584"/>
    <w:rsid w:val="00C75A4A"/>
    <w:rsid w:val="00C95726"/>
    <w:rsid w:val="00C97AA9"/>
    <w:rsid w:val="00CB7B11"/>
    <w:rsid w:val="00CC3182"/>
    <w:rsid w:val="00CC3B16"/>
    <w:rsid w:val="00CC4B61"/>
    <w:rsid w:val="00CE1322"/>
    <w:rsid w:val="00CE5FD7"/>
    <w:rsid w:val="00CE69F6"/>
    <w:rsid w:val="00D159F8"/>
    <w:rsid w:val="00D16255"/>
    <w:rsid w:val="00D303CA"/>
    <w:rsid w:val="00D47F57"/>
    <w:rsid w:val="00D52298"/>
    <w:rsid w:val="00D53783"/>
    <w:rsid w:val="00D56C4C"/>
    <w:rsid w:val="00D634A8"/>
    <w:rsid w:val="00D8052E"/>
    <w:rsid w:val="00D8606E"/>
    <w:rsid w:val="00D95186"/>
    <w:rsid w:val="00DA1D8F"/>
    <w:rsid w:val="00DA2BF6"/>
    <w:rsid w:val="00DA6044"/>
    <w:rsid w:val="00DB39F1"/>
    <w:rsid w:val="00DB5B06"/>
    <w:rsid w:val="00DC379B"/>
    <w:rsid w:val="00DC5C50"/>
    <w:rsid w:val="00DC6AAF"/>
    <w:rsid w:val="00DD047C"/>
    <w:rsid w:val="00DD19C2"/>
    <w:rsid w:val="00DD6635"/>
    <w:rsid w:val="00DE2A31"/>
    <w:rsid w:val="00DE5F90"/>
    <w:rsid w:val="00DF39DB"/>
    <w:rsid w:val="00DF40B3"/>
    <w:rsid w:val="00DF4E53"/>
    <w:rsid w:val="00E000CC"/>
    <w:rsid w:val="00E12958"/>
    <w:rsid w:val="00E24EB2"/>
    <w:rsid w:val="00E272B4"/>
    <w:rsid w:val="00E34831"/>
    <w:rsid w:val="00E443B4"/>
    <w:rsid w:val="00E4642D"/>
    <w:rsid w:val="00E467B5"/>
    <w:rsid w:val="00E578FA"/>
    <w:rsid w:val="00E636E7"/>
    <w:rsid w:val="00E93D19"/>
    <w:rsid w:val="00E94F54"/>
    <w:rsid w:val="00EA0123"/>
    <w:rsid w:val="00EA0584"/>
    <w:rsid w:val="00EA10B3"/>
    <w:rsid w:val="00EA113C"/>
    <w:rsid w:val="00EB5A98"/>
    <w:rsid w:val="00EB6C09"/>
    <w:rsid w:val="00EB7E45"/>
    <w:rsid w:val="00EC78E8"/>
    <w:rsid w:val="00EE2284"/>
    <w:rsid w:val="00EE7A07"/>
    <w:rsid w:val="00EF04E7"/>
    <w:rsid w:val="00F02A2B"/>
    <w:rsid w:val="00F05EA6"/>
    <w:rsid w:val="00F143D5"/>
    <w:rsid w:val="00F20FE2"/>
    <w:rsid w:val="00F21A05"/>
    <w:rsid w:val="00F21AB4"/>
    <w:rsid w:val="00F22E70"/>
    <w:rsid w:val="00F24361"/>
    <w:rsid w:val="00F27FAF"/>
    <w:rsid w:val="00F311D5"/>
    <w:rsid w:val="00F32D22"/>
    <w:rsid w:val="00F41D71"/>
    <w:rsid w:val="00F5160D"/>
    <w:rsid w:val="00F5283D"/>
    <w:rsid w:val="00F617DC"/>
    <w:rsid w:val="00F67227"/>
    <w:rsid w:val="00F74166"/>
    <w:rsid w:val="00F8155C"/>
    <w:rsid w:val="00F83E3C"/>
    <w:rsid w:val="00F847BF"/>
    <w:rsid w:val="00F957FD"/>
    <w:rsid w:val="00FA0496"/>
    <w:rsid w:val="00FA13E3"/>
    <w:rsid w:val="00FA2E11"/>
    <w:rsid w:val="00FA40FA"/>
    <w:rsid w:val="00FB0CA7"/>
    <w:rsid w:val="00FB3285"/>
    <w:rsid w:val="00FB6E19"/>
    <w:rsid w:val="00FC1703"/>
    <w:rsid w:val="00FC1DA2"/>
    <w:rsid w:val="00FC317F"/>
    <w:rsid w:val="00FC3410"/>
    <w:rsid w:val="00FC535E"/>
    <w:rsid w:val="00FC56D3"/>
    <w:rsid w:val="00FC72DA"/>
    <w:rsid w:val="00FE0BA9"/>
    <w:rsid w:val="00FF790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EEA2A"/>
  <w15:docId w15:val="{CA881FF8-F55A-4236-A1E7-3BF0015D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67F7"/>
    <w:pPr>
      <w:keepNext/>
      <w:keepLines/>
      <w:spacing w:before="240" w:after="0"/>
      <w:outlineLvl w:val="0"/>
    </w:pPr>
    <w:rPr>
      <w:rFonts w:asciiTheme="majorHAnsi" w:eastAsiaTheme="majorEastAsia" w:hAnsiTheme="majorHAnsi" w:cstheme="majorBidi"/>
      <w:color w:val="2F5496" w:themeColor="accent1" w:themeShade="BF"/>
      <w:sz w:val="32"/>
      <w:szCs w:val="32"/>
      <w:lang w:eastAsia="es-GT"/>
    </w:rPr>
  </w:style>
  <w:style w:type="paragraph" w:styleId="Ttulo2">
    <w:name w:val="heading 2"/>
    <w:basedOn w:val="Normal"/>
    <w:link w:val="Ttulo2Car"/>
    <w:uiPriority w:val="9"/>
    <w:qFormat/>
    <w:rsid w:val="00FB0CA7"/>
    <w:pPr>
      <w:spacing w:before="100" w:beforeAutospacing="1" w:after="100" w:afterAutospacing="1" w:line="240" w:lineRule="auto"/>
      <w:outlineLvl w:val="1"/>
    </w:pPr>
    <w:rPr>
      <w:rFonts w:eastAsia="Times New Roman" w:cs="Times New Roman"/>
      <w:b/>
      <w:bCs/>
      <w:sz w:val="36"/>
      <w:szCs w:val="36"/>
      <w:lang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97751"/>
    <w:pPr>
      <w:ind w:left="720"/>
      <w:contextualSpacing/>
    </w:pPr>
  </w:style>
  <w:style w:type="character" w:customStyle="1" w:styleId="Ttulo1Car">
    <w:name w:val="Título 1 Car"/>
    <w:basedOn w:val="Fuentedeprrafopredeter"/>
    <w:link w:val="Ttulo1"/>
    <w:uiPriority w:val="9"/>
    <w:rsid w:val="007167F7"/>
    <w:rPr>
      <w:rFonts w:asciiTheme="majorHAnsi" w:eastAsiaTheme="majorEastAsia" w:hAnsiTheme="majorHAnsi" w:cstheme="majorBidi"/>
      <w:color w:val="2F5496" w:themeColor="accent1" w:themeShade="BF"/>
      <w:sz w:val="32"/>
      <w:szCs w:val="32"/>
      <w:lang w:eastAsia="es-GT"/>
    </w:rPr>
  </w:style>
  <w:style w:type="paragraph" w:styleId="Bibliografa">
    <w:name w:val="Bibliography"/>
    <w:basedOn w:val="Normal"/>
    <w:next w:val="Normal"/>
    <w:uiPriority w:val="37"/>
    <w:unhideWhenUsed/>
    <w:rsid w:val="007167F7"/>
  </w:style>
  <w:style w:type="table" w:styleId="Tablaconcuadrcula">
    <w:name w:val="Table Grid"/>
    <w:basedOn w:val="Tablanormal"/>
    <w:uiPriority w:val="39"/>
    <w:rsid w:val="009E5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E58C8"/>
    <w:pPr>
      <w:spacing w:after="200"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7C4E5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C4E5F"/>
    <w:rPr>
      <w:sz w:val="20"/>
      <w:szCs w:val="20"/>
    </w:rPr>
  </w:style>
  <w:style w:type="character" w:styleId="Refdenotaalpie">
    <w:name w:val="footnote reference"/>
    <w:basedOn w:val="Fuentedeprrafopredeter"/>
    <w:uiPriority w:val="99"/>
    <w:semiHidden/>
    <w:unhideWhenUsed/>
    <w:rsid w:val="007C4E5F"/>
    <w:rPr>
      <w:vertAlign w:val="superscript"/>
    </w:rPr>
  </w:style>
  <w:style w:type="character" w:styleId="Hipervnculo">
    <w:name w:val="Hyperlink"/>
    <w:basedOn w:val="Fuentedeprrafopredeter"/>
    <w:uiPriority w:val="99"/>
    <w:unhideWhenUsed/>
    <w:rsid w:val="00D303CA"/>
    <w:rPr>
      <w:color w:val="0563C1" w:themeColor="hyperlink"/>
      <w:u w:val="single"/>
    </w:rPr>
  </w:style>
  <w:style w:type="character" w:customStyle="1" w:styleId="Mencinsinresolver1">
    <w:name w:val="Mención sin resolver1"/>
    <w:basedOn w:val="Fuentedeprrafopredeter"/>
    <w:uiPriority w:val="99"/>
    <w:semiHidden/>
    <w:unhideWhenUsed/>
    <w:rsid w:val="00D303CA"/>
    <w:rPr>
      <w:color w:val="605E5C"/>
      <w:shd w:val="clear" w:color="auto" w:fill="E1DFDD"/>
    </w:rPr>
  </w:style>
  <w:style w:type="paragraph" w:styleId="Textodeglobo">
    <w:name w:val="Balloon Text"/>
    <w:basedOn w:val="Normal"/>
    <w:link w:val="TextodegloboCar"/>
    <w:uiPriority w:val="99"/>
    <w:semiHidden/>
    <w:unhideWhenUsed/>
    <w:rsid w:val="00DF4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F40B3"/>
    <w:rPr>
      <w:rFonts w:ascii="Tahoma" w:hAnsi="Tahoma" w:cs="Tahoma"/>
      <w:sz w:val="16"/>
      <w:szCs w:val="16"/>
    </w:rPr>
  </w:style>
  <w:style w:type="paragraph" w:styleId="Sinespaciado">
    <w:name w:val="No Spacing"/>
    <w:uiPriority w:val="1"/>
    <w:qFormat/>
    <w:rsid w:val="00DF40B3"/>
    <w:pPr>
      <w:spacing w:after="0" w:line="240" w:lineRule="auto"/>
    </w:pPr>
  </w:style>
  <w:style w:type="character" w:styleId="Refdecomentario">
    <w:name w:val="annotation reference"/>
    <w:basedOn w:val="Fuentedeprrafopredeter"/>
    <w:uiPriority w:val="99"/>
    <w:semiHidden/>
    <w:unhideWhenUsed/>
    <w:rsid w:val="00026E49"/>
    <w:rPr>
      <w:sz w:val="16"/>
      <w:szCs w:val="16"/>
    </w:rPr>
  </w:style>
  <w:style w:type="paragraph" w:styleId="Textocomentario">
    <w:name w:val="annotation text"/>
    <w:basedOn w:val="Normal"/>
    <w:link w:val="TextocomentarioCar"/>
    <w:uiPriority w:val="99"/>
    <w:unhideWhenUsed/>
    <w:rsid w:val="00026E49"/>
    <w:pPr>
      <w:spacing w:line="240" w:lineRule="auto"/>
    </w:pPr>
    <w:rPr>
      <w:sz w:val="20"/>
      <w:szCs w:val="20"/>
    </w:rPr>
  </w:style>
  <w:style w:type="character" w:customStyle="1" w:styleId="TextocomentarioCar">
    <w:name w:val="Texto comentario Car"/>
    <w:basedOn w:val="Fuentedeprrafopredeter"/>
    <w:link w:val="Textocomentario"/>
    <w:uiPriority w:val="99"/>
    <w:rsid w:val="00026E49"/>
    <w:rPr>
      <w:sz w:val="20"/>
      <w:szCs w:val="20"/>
    </w:rPr>
  </w:style>
  <w:style w:type="paragraph" w:styleId="Asuntodelcomentario">
    <w:name w:val="annotation subject"/>
    <w:basedOn w:val="Textocomentario"/>
    <w:next w:val="Textocomentario"/>
    <w:link w:val="AsuntodelcomentarioCar"/>
    <w:uiPriority w:val="99"/>
    <w:semiHidden/>
    <w:unhideWhenUsed/>
    <w:rsid w:val="00026E49"/>
    <w:rPr>
      <w:b/>
      <w:bCs/>
    </w:rPr>
  </w:style>
  <w:style w:type="character" w:customStyle="1" w:styleId="AsuntodelcomentarioCar">
    <w:name w:val="Asunto del comentario Car"/>
    <w:basedOn w:val="TextocomentarioCar"/>
    <w:link w:val="Asuntodelcomentario"/>
    <w:uiPriority w:val="99"/>
    <w:semiHidden/>
    <w:rsid w:val="00026E49"/>
    <w:rPr>
      <w:b/>
      <w:bCs/>
      <w:sz w:val="20"/>
      <w:szCs w:val="20"/>
    </w:rPr>
  </w:style>
  <w:style w:type="character" w:styleId="Mencinsinresolver">
    <w:name w:val="Unresolved Mention"/>
    <w:basedOn w:val="Fuentedeprrafopredeter"/>
    <w:uiPriority w:val="99"/>
    <w:semiHidden/>
    <w:unhideWhenUsed/>
    <w:rsid w:val="00501E1E"/>
    <w:rPr>
      <w:color w:val="605E5C"/>
      <w:shd w:val="clear" w:color="auto" w:fill="E1DFDD"/>
    </w:rPr>
  </w:style>
  <w:style w:type="character" w:customStyle="1" w:styleId="highlight">
    <w:name w:val="highlight"/>
    <w:basedOn w:val="Fuentedeprrafopredeter"/>
    <w:rsid w:val="001C3A29"/>
  </w:style>
  <w:style w:type="paragraph" w:styleId="Encabezado">
    <w:name w:val="header"/>
    <w:basedOn w:val="Normal"/>
    <w:link w:val="EncabezadoCar"/>
    <w:uiPriority w:val="99"/>
    <w:unhideWhenUsed/>
    <w:rsid w:val="000802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0248"/>
  </w:style>
  <w:style w:type="paragraph" w:styleId="Piedepgina">
    <w:name w:val="footer"/>
    <w:basedOn w:val="Normal"/>
    <w:link w:val="PiedepginaCar"/>
    <w:uiPriority w:val="99"/>
    <w:unhideWhenUsed/>
    <w:rsid w:val="000802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0248"/>
  </w:style>
  <w:style w:type="character" w:customStyle="1" w:styleId="Ttulo2Car">
    <w:name w:val="Título 2 Car"/>
    <w:basedOn w:val="Fuentedeprrafopredeter"/>
    <w:link w:val="Ttulo2"/>
    <w:uiPriority w:val="9"/>
    <w:rsid w:val="00FB0CA7"/>
    <w:rPr>
      <w:rFonts w:eastAsia="Times New Roman" w:cs="Times New Roman"/>
      <w:b/>
      <w:bCs/>
      <w:sz w:val="36"/>
      <w:szCs w:val="36"/>
      <w:lang w:eastAsia="es-GT"/>
    </w:rPr>
  </w:style>
  <w:style w:type="character" w:customStyle="1" w:styleId="metatext">
    <w:name w:val="meta_text"/>
    <w:basedOn w:val="Fuentedeprrafopredeter"/>
    <w:rsid w:val="00FB0CA7"/>
  </w:style>
  <w:style w:type="paragraph" w:styleId="NormalWeb">
    <w:name w:val="Normal (Web)"/>
    <w:basedOn w:val="Normal"/>
    <w:uiPriority w:val="99"/>
    <w:unhideWhenUsed/>
    <w:rsid w:val="000E4077"/>
    <w:pPr>
      <w:spacing w:before="100" w:beforeAutospacing="1" w:after="100" w:afterAutospacing="1" w:line="240" w:lineRule="auto"/>
    </w:pPr>
    <w:rPr>
      <w:rFonts w:eastAsia="Times New Roman" w:cs="Times New Roman"/>
      <w:szCs w:val="24"/>
      <w:lang w:eastAsia="es-GT"/>
    </w:rPr>
  </w:style>
  <w:style w:type="character" w:styleId="Textoennegrita">
    <w:name w:val="Strong"/>
    <w:basedOn w:val="Fuentedeprrafopredeter"/>
    <w:uiPriority w:val="22"/>
    <w:qFormat/>
    <w:rsid w:val="000E4077"/>
    <w:rPr>
      <w:b/>
      <w:bCs/>
    </w:rPr>
  </w:style>
  <w:style w:type="paragraph" w:customStyle="1" w:styleId="Default">
    <w:name w:val="Default"/>
    <w:rsid w:val="00E24EB2"/>
    <w:pPr>
      <w:autoSpaceDE w:val="0"/>
      <w:autoSpaceDN w:val="0"/>
      <w:adjustRightInd w:val="0"/>
      <w:spacing w:after="0" w:line="240" w:lineRule="auto"/>
    </w:pPr>
    <w:rPr>
      <w:rFonts w:ascii="Montserrat" w:hAnsi="Montserrat" w:cs="Montserrat"/>
      <w:color w:val="000000"/>
      <w:szCs w:val="24"/>
    </w:rPr>
  </w:style>
  <w:style w:type="character" w:customStyle="1" w:styleId="A2">
    <w:name w:val="A2"/>
    <w:uiPriority w:val="99"/>
    <w:rsid w:val="00933406"/>
    <w:rPr>
      <w:rFonts w:cs="Frutiger Light Condensed"/>
      <w:color w:val="000000"/>
      <w:sz w:val="13"/>
      <w:szCs w:val="13"/>
    </w:rPr>
  </w:style>
  <w:style w:type="character" w:styleId="nfasis">
    <w:name w:val="Emphasis"/>
    <w:basedOn w:val="Fuentedeprrafopredeter"/>
    <w:uiPriority w:val="20"/>
    <w:qFormat/>
    <w:rsid w:val="00C064B6"/>
    <w:rPr>
      <w:i/>
      <w:iCs/>
    </w:rPr>
  </w:style>
  <w:style w:type="paragraph" w:styleId="Revisin">
    <w:name w:val="Revision"/>
    <w:hidden/>
    <w:uiPriority w:val="99"/>
    <w:semiHidden/>
    <w:rsid w:val="008D3D34"/>
    <w:pPr>
      <w:spacing w:after="0" w:line="240" w:lineRule="auto"/>
    </w:pPr>
  </w:style>
  <w:style w:type="character" w:styleId="Hipervnculovisitado">
    <w:name w:val="FollowedHyperlink"/>
    <w:basedOn w:val="Fuentedeprrafopredeter"/>
    <w:uiPriority w:val="99"/>
    <w:semiHidden/>
    <w:unhideWhenUsed/>
    <w:rsid w:val="00B46985"/>
    <w:rPr>
      <w:color w:val="954F72" w:themeColor="followedHyperlink"/>
      <w:u w:val="single"/>
    </w:rPr>
  </w:style>
  <w:style w:type="character" w:styleId="Textodelmarcadordeposicin">
    <w:name w:val="Placeholder Text"/>
    <w:basedOn w:val="Fuentedeprrafopredeter"/>
    <w:uiPriority w:val="99"/>
    <w:semiHidden/>
    <w:rsid w:val="00C34B8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2770">
      <w:bodyDiv w:val="1"/>
      <w:marLeft w:val="0"/>
      <w:marRight w:val="0"/>
      <w:marTop w:val="0"/>
      <w:marBottom w:val="0"/>
      <w:divBdr>
        <w:top w:val="none" w:sz="0" w:space="0" w:color="auto"/>
        <w:left w:val="none" w:sz="0" w:space="0" w:color="auto"/>
        <w:bottom w:val="none" w:sz="0" w:space="0" w:color="auto"/>
        <w:right w:val="none" w:sz="0" w:space="0" w:color="auto"/>
      </w:divBdr>
    </w:div>
    <w:div w:id="159589497">
      <w:bodyDiv w:val="1"/>
      <w:marLeft w:val="0"/>
      <w:marRight w:val="0"/>
      <w:marTop w:val="0"/>
      <w:marBottom w:val="0"/>
      <w:divBdr>
        <w:top w:val="none" w:sz="0" w:space="0" w:color="auto"/>
        <w:left w:val="none" w:sz="0" w:space="0" w:color="auto"/>
        <w:bottom w:val="none" w:sz="0" w:space="0" w:color="auto"/>
        <w:right w:val="none" w:sz="0" w:space="0" w:color="auto"/>
      </w:divBdr>
    </w:div>
    <w:div w:id="163790470">
      <w:bodyDiv w:val="1"/>
      <w:marLeft w:val="0"/>
      <w:marRight w:val="0"/>
      <w:marTop w:val="0"/>
      <w:marBottom w:val="0"/>
      <w:divBdr>
        <w:top w:val="none" w:sz="0" w:space="0" w:color="auto"/>
        <w:left w:val="none" w:sz="0" w:space="0" w:color="auto"/>
        <w:bottom w:val="none" w:sz="0" w:space="0" w:color="auto"/>
        <w:right w:val="none" w:sz="0" w:space="0" w:color="auto"/>
      </w:divBdr>
    </w:div>
    <w:div w:id="211623616">
      <w:bodyDiv w:val="1"/>
      <w:marLeft w:val="0"/>
      <w:marRight w:val="0"/>
      <w:marTop w:val="0"/>
      <w:marBottom w:val="0"/>
      <w:divBdr>
        <w:top w:val="none" w:sz="0" w:space="0" w:color="auto"/>
        <w:left w:val="none" w:sz="0" w:space="0" w:color="auto"/>
        <w:bottom w:val="none" w:sz="0" w:space="0" w:color="auto"/>
        <w:right w:val="none" w:sz="0" w:space="0" w:color="auto"/>
      </w:divBdr>
    </w:div>
    <w:div w:id="232743646">
      <w:bodyDiv w:val="1"/>
      <w:marLeft w:val="0"/>
      <w:marRight w:val="0"/>
      <w:marTop w:val="0"/>
      <w:marBottom w:val="0"/>
      <w:divBdr>
        <w:top w:val="none" w:sz="0" w:space="0" w:color="auto"/>
        <w:left w:val="none" w:sz="0" w:space="0" w:color="auto"/>
        <w:bottom w:val="none" w:sz="0" w:space="0" w:color="auto"/>
        <w:right w:val="none" w:sz="0" w:space="0" w:color="auto"/>
      </w:divBdr>
      <w:divsChild>
        <w:div w:id="1125543670">
          <w:marLeft w:val="0"/>
          <w:marRight w:val="0"/>
          <w:marTop w:val="0"/>
          <w:marBottom w:val="0"/>
          <w:divBdr>
            <w:top w:val="none" w:sz="0" w:space="0" w:color="auto"/>
            <w:left w:val="none" w:sz="0" w:space="0" w:color="auto"/>
            <w:bottom w:val="none" w:sz="0" w:space="0" w:color="auto"/>
            <w:right w:val="none" w:sz="0" w:space="0" w:color="auto"/>
          </w:divBdr>
          <w:divsChild>
            <w:div w:id="1895194088">
              <w:marLeft w:val="0"/>
              <w:marRight w:val="0"/>
              <w:marTop w:val="0"/>
              <w:marBottom w:val="0"/>
              <w:divBdr>
                <w:top w:val="none" w:sz="0" w:space="0" w:color="auto"/>
                <w:left w:val="none" w:sz="0" w:space="0" w:color="auto"/>
                <w:bottom w:val="none" w:sz="0" w:space="0" w:color="auto"/>
                <w:right w:val="none" w:sz="0" w:space="0" w:color="auto"/>
              </w:divBdr>
              <w:divsChild>
                <w:div w:id="1811480796">
                  <w:marLeft w:val="0"/>
                  <w:marRight w:val="240"/>
                  <w:marTop w:val="0"/>
                  <w:marBottom w:val="0"/>
                  <w:divBdr>
                    <w:top w:val="none" w:sz="0" w:space="0" w:color="auto"/>
                    <w:left w:val="none" w:sz="0" w:space="0" w:color="auto"/>
                    <w:bottom w:val="none" w:sz="0" w:space="0" w:color="auto"/>
                    <w:right w:val="none" w:sz="0" w:space="0" w:color="auto"/>
                  </w:divBdr>
                  <w:divsChild>
                    <w:div w:id="258219632">
                      <w:marLeft w:val="0"/>
                      <w:marRight w:val="90"/>
                      <w:marTop w:val="0"/>
                      <w:marBottom w:val="0"/>
                      <w:divBdr>
                        <w:top w:val="none" w:sz="0" w:space="0" w:color="auto"/>
                        <w:left w:val="none" w:sz="0" w:space="0" w:color="auto"/>
                        <w:bottom w:val="none" w:sz="0" w:space="0" w:color="auto"/>
                        <w:right w:val="none" w:sz="0" w:space="0" w:color="auto"/>
                      </w:divBdr>
                    </w:div>
                    <w:div w:id="997998940">
                      <w:marLeft w:val="0"/>
                      <w:marRight w:val="90"/>
                      <w:marTop w:val="0"/>
                      <w:marBottom w:val="0"/>
                      <w:divBdr>
                        <w:top w:val="none" w:sz="0" w:space="0" w:color="auto"/>
                        <w:left w:val="none" w:sz="0" w:space="0" w:color="auto"/>
                        <w:bottom w:val="none" w:sz="0" w:space="0" w:color="auto"/>
                        <w:right w:val="none" w:sz="0" w:space="0" w:color="auto"/>
                      </w:divBdr>
                    </w:div>
                    <w:div w:id="1076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540065">
      <w:bodyDiv w:val="1"/>
      <w:marLeft w:val="0"/>
      <w:marRight w:val="0"/>
      <w:marTop w:val="0"/>
      <w:marBottom w:val="0"/>
      <w:divBdr>
        <w:top w:val="none" w:sz="0" w:space="0" w:color="auto"/>
        <w:left w:val="none" w:sz="0" w:space="0" w:color="auto"/>
        <w:bottom w:val="none" w:sz="0" w:space="0" w:color="auto"/>
        <w:right w:val="none" w:sz="0" w:space="0" w:color="auto"/>
      </w:divBdr>
    </w:div>
    <w:div w:id="259804420">
      <w:bodyDiv w:val="1"/>
      <w:marLeft w:val="0"/>
      <w:marRight w:val="0"/>
      <w:marTop w:val="0"/>
      <w:marBottom w:val="0"/>
      <w:divBdr>
        <w:top w:val="none" w:sz="0" w:space="0" w:color="auto"/>
        <w:left w:val="none" w:sz="0" w:space="0" w:color="auto"/>
        <w:bottom w:val="none" w:sz="0" w:space="0" w:color="auto"/>
        <w:right w:val="none" w:sz="0" w:space="0" w:color="auto"/>
      </w:divBdr>
    </w:div>
    <w:div w:id="303042697">
      <w:bodyDiv w:val="1"/>
      <w:marLeft w:val="0"/>
      <w:marRight w:val="0"/>
      <w:marTop w:val="0"/>
      <w:marBottom w:val="0"/>
      <w:divBdr>
        <w:top w:val="none" w:sz="0" w:space="0" w:color="auto"/>
        <w:left w:val="none" w:sz="0" w:space="0" w:color="auto"/>
        <w:bottom w:val="none" w:sz="0" w:space="0" w:color="auto"/>
        <w:right w:val="none" w:sz="0" w:space="0" w:color="auto"/>
      </w:divBdr>
    </w:div>
    <w:div w:id="305672430">
      <w:bodyDiv w:val="1"/>
      <w:marLeft w:val="0"/>
      <w:marRight w:val="0"/>
      <w:marTop w:val="0"/>
      <w:marBottom w:val="0"/>
      <w:divBdr>
        <w:top w:val="none" w:sz="0" w:space="0" w:color="auto"/>
        <w:left w:val="none" w:sz="0" w:space="0" w:color="auto"/>
        <w:bottom w:val="none" w:sz="0" w:space="0" w:color="auto"/>
        <w:right w:val="none" w:sz="0" w:space="0" w:color="auto"/>
      </w:divBdr>
    </w:div>
    <w:div w:id="360862687">
      <w:bodyDiv w:val="1"/>
      <w:marLeft w:val="0"/>
      <w:marRight w:val="0"/>
      <w:marTop w:val="0"/>
      <w:marBottom w:val="0"/>
      <w:divBdr>
        <w:top w:val="none" w:sz="0" w:space="0" w:color="auto"/>
        <w:left w:val="none" w:sz="0" w:space="0" w:color="auto"/>
        <w:bottom w:val="none" w:sz="0" w:space="0" w:color="auto"/>
        <w:right w:val="none" w:sz="0" w:space="0" w:color="auto"/>
      </w:divBdr>
    </w:div>
    <w:div w:id="438763815">
      <w:bodyDiv w:val="1"/>
      <w:marLeft w:val="0"/>
      <w:marRight w:val="0"/>
      <w:marTop w:val="0"/>
      <w:marBottom w:val="0"/>
      <w:divBdr>
        <w:top w:val="none" w:sz="0" w:space="0" w:color="auto"/>
        <w:left w:val="none" w:sz="0" w:space="0" w:color="auto"/>
        <w:bottom w:val="none" w:sz="0" w:space="0" w:color="auto"/>
        <w:right w:val="none" w:sz="0" w:space="0" w:color="auto"/>
      </w:divBdr>
    </w:div>
    <w:div w:id="472674774">
      <w:bodyDiv w:val="1"/>
      <w:marLeft w:val="0"/>
      <w:marRight w:val="0"/>
      <w:marTop w:val="0"/>
      <w:marBottom w:val="0"/>
      <w:divBdr>
        <w:top w:val="none" w:sz="0" w:space="0" w:color="auto"/>
        <w:left w:val="none" w:sz="0" w:space="0" w:color="auto"/>
        <w:bottom w:val="none" w:sz="0" w:space="0" w:color="auto"/>
        <w:right w:val="none" w:sz="0" w:space="0" w:color="auto"/>
      </w:divBdr>
    </w:div>
    <w:div w:id="486283184">
      <w:bodyDiv w:val="1"/>
      <w:marLeft w:val="0"/>
      <w:marRight w:val="0"/>
      <w:marTop w:val="0"/>
      <w:marBottom w:val="0"/>
      <w:divBdr>
        <w:top w:val="none" w:sz="0" w:space="0" w:color="auto"/>
        <w:left w:val="none" w:sz="0" w:space="0" w:color="auto"/>
        <w:bottom w:val="none" w:sz="0" w:space="0" w:color="auto"/>
        <w:right w:val="none" w:sz="0" w:space="0" w:color="auto"/>
      </w:divBdr>
    </w:div>
    <w:div w:id="487598073">
      <w:bodyDiv w:val="1"/>
      <w:marLeft w:val="0"/>
      <w:marRight w:val="0"/>
      <w:marTop w:val="0"/>
      <w:marBottom w:val="0"/>
      <w:divBdr>
        <w:top w:val="none" w:sz="0" w:space="0" w:color="auto"/>
        <w:left w:val="none" w:sz="0" w:space="0" w:color="auto"/>
        <w:bottom w:val="none" w:sz="0" w:space="0" w:color="auto"/>
        <w:right w:val="none" w:sz="0" w:space="0" w:color="auto"/>
      </w:divBdr>
    </w:div>
    <w:div w:id="488251433">
      <w:bodyDiv w:val="1"/>
      <w:marLeft w:val="0"/>
      <w:marRight w:val="0"/>
      <w:marTop w:val="0"/>
      <w:marBottom w:val="0"/>
      <w:divBdr>
        <w:top w:val="none" w:sz="0" w:space="0" w:color="auto"/>
        <w:left w:val="none" w:sz="0" w:space="0" w:color="auto"/>
        <w:bottom w:val="none" w:sz="0" w:space="0" w:color="auto"/>
        <w:right w:val="none" w:sz="0" w:space="0" w:color="auto"/>
      </w:divBdr>
    </w:div>
    <w:div w:id="492062674">
      <w:bodyDiv w:val="1"/>
      <w:marLeft w:val="0"/>
      <w:marRight w:val="0"/>
      <w:marTop w:val="0"/>
      <w:marBottom w:val="0"/>
      <w:divBdr>
        <w:top w:val="none" w:sz="0" w:space="0" w:color="auto"/>
        <w:left w:val="none" w:sz="0" w:space="0" w:color="auto"/>
        <w:bottom w:val="none" w:sz="0" w:space="0" w:color="auto"/>
        <w:right w:val="none" w:sz="0" w:space="0" w:color="auto"/>
      </w:divBdr>
    </w:div>
    <w:div w:id="516162097">
      <w:bodyDiv w:val="1"/>
      <w:marLeft w:val="0"/>
      <w:marRight w:val="0"/>
      <w:marTop w:val="0"/>
      <w:marBottom w:val="0"/>
      <w:divBdr>
        <w:top w:val="none" w:sz="0" w:space="0" w:color="auto"/>
        <w:left w:val="none" w:sz="0" w:space="0" w:color="auto"/>
        <w:bottom w:val="none" w:sz="0" w:space="0" w:color="auto"/>
        <w:right w:val="none" w:sz="0" w:space="0" w:color="auto"/>
      </w:divBdr>
    </w:div>
    <w:div w:id="553198484">
      <w:bodyDiv w:val="1"/>
      <w:marLeft w:val="0"/>
      <w:marRight w:val="0"/>
      <w:marTop w:val="0"/>
      <w:marBottom w:val="0"/>
      <w:divBdr>
        <w:top w:val="none" w:sz="0" w:space="0" w:color="auto"/>
        <w:left w:val="none" w:sz="0" w:space="0" w:color="auto"/>
        <w:bottom w:val="none" w:sz="0" w:space="0" w:color="auto"/>
        <w:right w:val="none" w:sz="0" w:space="0" w:color="auto"/>
      </w:divBdr>
      <w:divsChild>
        <w:div w:id="1572428921">
          <w:marLeft w:val="0"/>
          <w:marRight w:val="0"/>
          <w:marTop w:val="0"/>
          <w:marBottom w:val="0"/>
          <w:divBdr>
            <w:top w:val="none" w:sz="0" w:space="0" w:color="auto"/>
            <w:left w:val="none" w:sz="0" w:space="0" w:color="auto"/>
            <w:bottom w:val="none" w:sz="0" w:space="0" w:color="auto"/>
            <w:right w:val="none" w:sz="0" w:space="0" w:color="auto"/>
          </w:divBdr>
        </w:div>
        <w:div w:id="466894056">
          <w:marLeft w:val="0"/>
          <w:marRight w:val="4590"/>
          <w:marTop w:val="0"/>
          <w:marBottom w:val="0"/>
          <w:divBdr>
            <w:top w:val="none" w:sz="0" w:space="0" w:color="auto"/>
            <w:left w:val="none" w:sz="0" w:space="0" w:color="auto"/>
            <w:bottom w:val="none" w:sz="0" w:space="0" w:color="auto"/>
            <w:right w:val="none" w:sz="0" w:space="0" w:color="auto"/>
          </w:divBdr>
          <w:divsChild>
            <w:div w:id="628316839">
              <w:marLeft w:val="0"/>
              <w:marRight w:val="0"/>
              <w:marTop w:val="0"/>
              <w:marBottom w:val="480"/>
              <w:divBdr>
                <w:top w:val="none" w:sz="0" w:space="0" w:color="auto"/>
                <w:left w:val="none" w:sz="0" w:space="0" w:color="auto"/>
                <w:bottom w:val="none" w:sz="0" w:space="0" w:color="auto"/>
                <w:right w:val="none" w:sz="0" w:space="0" w:color="auto"/>
              </w:divBdr>
            </w:div>
            <w:div w:id="158001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565818">
      <w:bodyDiv w:val="1"/>
      <w:marLeft w:val="0"/>
      <w:marRight w:val="0"/>
      <w:marTop w:val="0"/>
      <w:marBottom w:val="0"/>
      <w:divBdr>
        <w:top w:val="none" w:sz="0" w:space="0" w:color="auto"/>
        <w:left w:val="none" w:sz="0" w:space="0" w:color="auto"/>
        <w:bottom w:val="none" w:sz="0" w:space="0" w:color="auto"/>
        <w:right w:val="none" w:sz="0" w:space="0" w:color="auto"/>
      </w:divBdr>
    </w:div>
    <w:div w:id="620848092">
      <w:bodyDiv w:val="1"/>
      <w:marLeft w:val="0"/>
      <w:marRight w:val="0"/>
      <w:marTop w:val="0"/>
      <w:marBottom w:val="0"/>
      <w:divBdr>
        <w:top w:val="none" w:sz="0" w:space="0" w:color="auto"/>
        <w:left w:val="none" w:sz="0" w:space="0" w:color="auto"/>
        <w:bottom w:val="none" w:sz="0" w:space="0" w:color="auto"/>
        <w:right w:val="none" w:sz="0" w:space="0" w:color="auto"/>
      </w:divBdr>
    </w:div>
    <w:div w:id="631524024">
      <w:bodyDiv w:val="1"/>
      <w:marLeft w:val="0"/>
      <w:marRight w:val="0"/>
      <w:marTop w:val="0"/>
      <w:marBottom w:val="0"/>
      <w:divBdr>
        <w:top w:val="none" w:sz="0" w:space="0" w:color="auto"/>
        <w:left w:val="none" w:sz="0" w:space="0" w:color="auto"/>
        <w:bottom w:val="none" w:sz="0" w:space="0" w:color="auto"/>
        <w:right w:val="none" w:sz="0" w:space="0" w:color="auto"/>
      </w:divBdr>
    </w:div>
    <w:div w:id="660739781">
      <w:bodyDiv w:val="1"/>
      <w:marLeft w:val="0"/>
      <w:marRight w:val="0"/>
      <w:marTop w:val="0"/>
      <w:marBottom w:val="0"/>
      <w:divBdr>
        <w:top w:val="none" w:sz="0" w:space="0" w:color="auto"/>
        <w:left w:val="none" w:sz="0" w:space="0" w:color="auto"/>
        <w:bottom w:val="none" w:sz="0" w:space="0" w:color="auto"/>
        <w:right w:val="none" w:sz="0" w:space="0" w:color="auto"/>
      </w:divBdr>
    </w:div>
    <w:div w:id="677656804">
      <w:bodyDiv w:val="1"/>
      <w:marLeft w:val="0"/>
      <w:marRight w:val="0"/>
      <w:marTop w:val="0"/>
      <w:marBottom w:val="0"/>
      <w:divBdr>
        <w:top w:val="none" w:sz="0" w:space="0" w:color="auto"/>
        <w:left w:val="none" w:sz="0" w:space="0" w:color="auto"/>
        <w:bottom w:val="none" w:sz="0" w:space="0" w:color="auto"/>
        <w:right w:val="none" w:sz="0" w:space="0" w:color="auto"/>
      </w:divBdr>
    </w:div>
    <w:div w:id="711266201">
      <w:bodyDiv w:val="1"/>
      <w:marLeft w:val="0"/>
      <w:marRight w:val="0"/>
      <w:marTop w:val="0"/>
      <w:marBottom w:val="0"/>
      <w:divBdr>
        <w:top w:val="none" w:sz="0" w:space="0" w:color="auto"/>
        <w:left w:val="none" w:sz="0" w:space="0" w:color="auto"/>
        <w:bottom w:val="none" w:sz="0" w:space="0" w:color="auto"/>
        <w:right w:val="none" w:sz="0" w:space="0" w:color="auto"/>
      </w:divBdr>
    </w:div>
    <w:div w:id="722366846">
      <w:bodyDiv w:val="1"/>
      <w:marLeft w:val="0"/>
      <w:marRight w:val="0"/>
      <w:marTop w:val="0"/>
      <w:marBottom w:val="0"/>
      <w:divBdr>
        <w:top w:val="none" w:sz="0" w:space="0" w:color="auto"/>
        <w:left w:val="none" w:sz="0" w:space="0" w:color="auto"/>
        <w:bottom w:val="none" w:sz="0" w:space="0" w:color="auto"/>
        <w:right w:val="none" w:sz="0" w:space="0" w:color="auto"/>
      </w:divBdr>
    </w:div>
    <w:div w:id="733940647">
      <w:bodyDiv w:val="1"/>
      <w:marLeft w:val="0"/>
      <w:marRight w:val="0"/>
      <w:marTop w:val="0"/>
      <w:marBottom w:val="0"/>
      <w:divBdr>
        <w:top w:val="none" w:sz="0" w:space="0" w:color="auto"/>
        <w:left w:val="none" w:sz="0" w:space="0" w:color="auto"/>
        <w:bottom w:val="none" w:sz="0" w:space="0" w:color="auto"/>
        <w:right w:val="none" w:sz="0" w:space="0" w:color="auto"/>
      </w:divBdr>
    </w:div>
    <w:div w:id="779959586">
      <w:bodyDiv w:val="1"/>
      <w:marLeft w:val="0"/>
      <w:marRight w:val="0"/>
      <w:marTop w:val="0"/>
      <w:marBottom w:val="0"/>
      <w:divBdr>
        <w:top w:val="none" w:sz="0" w:space="0" w:color="auto"/>
        <w:left w:val="none" w:sz="0" w:space="0" w:color="auto"/>
        <w:bottom w:val="none" w:sz="0" w:space="0" w:color="auto"/>
        <w:right w:val="none" w:sz="0" w:space="0" w:color="auto"/>
      </w:divBdr>
    </w:div>
    <w:div w:id="785202545">
      <w:bodyDiv w:val="1"/>
      <w:marLeft w:val="0"/>
      <w:marRight w:val="0"/>
      <w:marTop w:val="0"/>
      <w:marBottom w:val="0"/>
      <w:divBdr>
        <w:top w:val="none" w:sz="0" w:space="0" w:color="auto"/>
        <w:left w:val="none" w:sz="0" w:space="0" w:color="auto"/>
        <w:bottom w:val="none" w:sz="0" w:space="0" w:color="auto"/>
        <w:right w:val="none" w:sz="0" w:space="0" w:color="auto"/>
      </w:divBdr>
    </w:div>
    <w:div w:id="873075246">
      <w:bodyDiv w:val="1"/>
      <w:marLeft w:val="0"/>
      <w:marRight w:val="0"/>
      <w:marTop w:val="0"/>
      <w:marBottom w:val="0"/>
      <w:divBdr>
        <w:top w:val="none" w:sz="0" w:space="0" w:color="auto"/>
        <w:left w:val="none" w:sz="0" w:space="0" w:color="auto"/>
        <w:bottom w:val="none" w:sz="0" w:space="0" w:color="auto"/>
        <w:right w:val="none" w:sz="0" w:space="0" w:color="auto"/>
      </w:divBdr>
    </w:div>
    <w:div w:id="880634371">
      <w:bodyDiv w:val="1"/>
      <w:marLeft w:val="0"/>
      <w:marRight w:val="0"/>
      <w:marTop w:val="0"/>
      <w:marBottom w:val="0"/>
      <w:divBdr>
        <w:top w:val="none" w:sz="0" w:space="0" w:color="auto"/>
        <w:left w:val="none" w:sz="0" w:space="0" w:color="auto"/>
        <w:bottom w:val="none" w:sz="0" w:space="0" w:color="auto"/>
        <w:right w:val="none" w:sz="0" w:space="0" w:color="auto"/>
      </w:divBdr>
    </w:div>
    <w:div w:id="893850934">
      <w:bodyDiv w:val="1"/>
      <w:marLeft w:val="0"/>
      <w:marRight w:val="0"/>
      <w:marTop w:val="0"/>
      <w:marBottom w:val="0"/>
      <w:divBdr>
        <w:top w:val="none" w:sz="0" w:space="0" w:color="auto"/>
        <w:left w:val="none" w:sz="0" w:space="0" w:color="auto"/>
        <w:bottom w:val="none" w:sz="0" w:space="0" w:color="auto"/>
        <w:right w:val="none" w:sz="0" w:space="0" w:color="auto"/>
      </w:divBdr>
    </w:div>
    <w:div w:id="975719253">
      <w:bodyDiv w:val="1"/>
      <w:marLeft w:val="0"/>
      <w:marRight w:val="0"/>
      <w:marTop w:val="0"/>
      <w:marBottom w:val="0"/>
      <w:divBdr>
        <w:top w:val="none" w:sz="0" w:space="0" w:color="auto"/>
        <w:left w:val="none" w:sz="0" w:space="0" w:color="auto"/>
        <w:bottom w:val="none" w:sz="0" w:space="0" w:color="auto"/>
        <w:right w:val="none" w:sz="0" w:space="0" w:color="auto"/>
      </w:divBdr>
    </w:div>
    <w:div w:id="1022323921">
      <w:bodyDiv w:val="1"/>
      <w:marLeft w:val="0"/>
      <w:marRight w:val="0"/>
      <w:marTop w:val="0"/>
      <w:marBottom w:val="0"/>
      <w:divBdr>
        <w:top w:val="none" w:sz="0" w:space="0" w:color="auto"/>
        <w:left w:val="none" w:sz="0" w:space="0" w:color="auto"/>
        <w:bottom w:val="none" w:sz="0" w:space="0" w:color="auto"/>
        <w:right w:val="none" w:sz="0" w:space="0" w:color="auto"/>
      </w:divBdr>
    </w:div>
    <w:div w:id="1051491562">
      <w:bodyDiv w:val="1"/>
      <w:marLeft w:val="0"/>
      <w:marRight w:val="0"/>
      <w:marTop w:val="0"/>
      <w:marBottom w:val="0"/>
      <w:divBdr>
        <w:top w:val="none" w:sz="0" w:space="0" w:color="auto"/>
        <w:left w:val="none" w:sz="0" w:space="0" w:color="auto"/>
        <w:bottom w:val="none" w:sz="0" w:space="0" w:color="auto"/>
        <w:right w:val="none" w:sz="0" w:space="0" w:color="auto"/>
      </w:divBdr>
    </w:div>
    <w:div w:id="1054886319">
      <w:bodyDiv w:val="1"/>
      <w:marLeft w:val="0"/>
      <w:marRight w:val="0"/>
      <w:marTop w:val="0"/>
      <w:marBottom w:val="0"/>
      <w:divBdr>
        <w:top w:val="none" w:sz="0" w:space="0" w:color="auto"/>
        <w:left w:val="none" w:sz="0" w:space="0" w:color="auto"/>
        <w:bottom w:val="none" w:sz="0" w:space="0" w:color="auto"/>
        <w:right w:val="none" w:sz="0" w:space="0" w:color="auto"/>
      </w:divBdr>
    </w:div>
    <w:div w:id="1062750393">
      <w:bodyDiv w:val="1"/>
      <w:marLeft w:val="0"/>
      <w:marRight w:val="0"/>
      <w:marTop w:val="0"/>
      <w:marBottom w:val="0"/>
      <w:divBdr>
        <w:top w:val="none" w:sz="0" w:space="0" w:color="auto"/>
        <w:left w:val="none" w:sz="0" w:space="0" w:color="auto"/>
        <w:bottom w:val="none" w:sz="0" w:space="0" w:color="auto"/>
        <w:right w:val="none" w:sz="0" w:space="0" w:color="auto"/>
      </w:divBdr>
    </w:div>
    <w:div w:id="1077627100">
      <w:bodyDiv w:val="1"/>
      <w:marLeft w:val="0"/>
      <w:marRight w:val="0"/>
      <w:marTop w:val="0"/>
      <w:marBottom w:val="0"/>
      <w:divBdr>
        <w:top w:val="none" w:sz="0" w:space="0" w:color="auto"/>
        <w:left w:val="none" w:sz="0" w:space="0" w:color="auto"/>
        <w:bottom w:val="none" w:sz="0" w:space="0" w:color="auto"/>
        <w:right w:val="none" w:sz="0" w:space="0" w:color="auto"/>
      </w:divBdr>
    </w:div>
    <w:div w:id="1084570527">
      <w:bodyDiv w:val="1"/>
      <w:marLeft w:val="0"/>
      <w:marRight w:val="0"/>
      <w:marTop w:val="0"/>
      <w:marBottom w:val="0"/>
      <w:divBdr>
        <w:top w:val="none" w:sz="0" w:space="0" w:color="auto"/>
        <w:left w:val="none" w:sz="0" w:space="0" w:color="auto"/>
        <w:bottom w:val="none" w:sz="0" w:space="0" w:color="auto"/>
        <w:right w:val="none" w:sz="0" w:space="0" w:color="auto"/>
      </w:divBdr>
    </w:div>
    <w:div w:id="1086029179">
      <w:bodyDiv w:val="1"/>
      <w:marLeft w:val="0"/>
      <w:marRight w:val="0"/>
      <w:marTop w:val="0"/>
      <w:marBottom w:val="0"/>
      <w:divBdr>
        <w:top w:val="none" w:sz="0" w:space="0" w:color="auto"/>
        <w:left w:val="none" w:sz="0" w:space="0" w:color="auto"/>
        <w:bottom w:val="none" w:sz="0" w:space="0" w:color="auto"/>
        <w:right w:val="none" w:sz="0" w:space="0" w:color="auto"/>
      </w:divBdr>
    </w:div>
    <w:div w:id="1088312841">
      <w:bodyDiv w:val="1"/>
      <w:marLeft w:val="0"/>
      <w:marRight w:val="0"/>
      <w:marTop w:val="0"/>
      <w:marBottom w:val="0"/>
      <w:divBdr>
        <w:top w:val="none" w:sz="0" w:space="0" w:color="auto"/>
        <w:left w:val="none" w:sz="0" w:space="0" w:color="auto"/>
        <w:bottom w:val="none" w:sz="0" w:space="0" w:color="auto"/>
        <w:right w:val="none" w:sz="0" w:space="0" w:color="auto"/>
      </w:divBdr>
    </w:div>
    <w:div w:id="1113793848">
      <w:bodyDiv w:val="1"/>
      <w:marLeft w:val="0"/>
      <w:marRight w:val="0"/>
      <w:marTop w:val="0"/>
      <w:marBottom w:val="0"/>
      <w:divBdr>
        <w:top w:val="none" w:sz="0" w:space="0" w:color="auto"/>
        <w:left w:val="none" w:sz="0" w:space="0" w:color="auto"/>
        <w:bottom w:val="none" w:sz="0" w:space="0" w:color="auto"/>
        <w:right w:val="none" w:sz="0" w:space="0" w:color="auto"/>
      </w:divBdr>
    </w:div>
    <w:div w:id="1173684558">
      <w:bodyDiv w:val="1"/>
      <w:marLeft w:val="0"/>
      <w:marRight w:val="0"/>
      <w:marTop w:val="0"/>
      <w:marBottom w:val="0"/>
      <w:divBdr>
        <w:top w:val="none" w:sz="0" w:space="0" w:color="auto"/>
        <w:left w:val="none" w:sz="0" w:space="0" w:color="auto"/>
        <w:bottom w:val="none" w:sz="0" w:space="0" w:color="auto"/>
        <w:right w:val="none" w:sz="0" w:space="0" w:color="auto"/>
      </w:divBdr>
    </w:div>
    <w:div w:id="1231959824">
      <w:bodyDiv w:val="1"/>
      <w:marLeft w:val="0"/>
      <w:marRight w:val="0"/>
      <w:marTop w:val="0"/>
      <w:marBottom w:val="0"/>
      <w:divBdr>
        <w:top w:val="none" w:sz="0" w:space="0" w:color="auto"/>
        <w:left w:val="none" w:sz="0" w:space="0" w:color="auto"/>
        <w:bottom w:val="none" w:sz="0" w:space="0" w:color="auto"/>
        <w:right w:val="none" w:sz="0" w:space="0" w:color="auto"/>
      </w:divBdr>
    </w:div>
    <w:div w:id="1242787230">
      <w:bodyDiv w:val="1"/>
      <w:marLeft w:val="0"/>
      <w:marRight w:val="0"/>
      <w:marTop w:val="0"/>
      <w:marBottom w:val="0"/>
      <w:divBdr>
        <w:top w:val="none" w:sz="0" w:space="0" w:color="auto"/>
        <w:left w:val="none" w:sz="0" w:space="0" w:color="auto"/>
        <w:bottom w:val="none" w:sz="0" w:space="0" w:color="auto"/>
        <w:right w:val="none" w:sz="0" w:space="0" w:color="auto"/>
      </w:divBdr>
    </w:div>
    <w:div w:id="1289311392">
      <w:bodyDiv w:val="1"/>
      <w:marLeft w:val="0"/>
      <w:marRight w:val="0"/>
      <w:marTop w:val="0"/>
      <w:marBottom w:val="0"/>
      <w:divBdr>
        <w:top w:val="none" w:sz="0" w:space="0" w:color="auto"/>
        <w:left w:val="none" w:sz="0" w:space="0" w:color="auto"/>
        <w:bottom w:val="none" w:sz="0" w:space="0" w:color="auto"/>
        <w:right w:val="none" w:sz="0" w:space="0" w:color="auto"/>
      </w:divBdr>
    </w:div>
    <w:div w:id="1342663604">
      <w:bodyDiv w:val="1"/>
      <w:marLeft w:val="0"/>
      <w:marRight w:val="0"/>
      <w:marTop w:val="0"/>
      <w:marBottom w:val="0"/>
      <w:divBdr>
        <w:top w:val="none" w:sz="0" w:space="0" w:color="auto"/>
        <w:left w:val="none" w:sz="0" w:space="0" w:color="auto"/>
        <w:bottom w:val="none" w:sz="0" w:space="0" w:color="auto"/>
        <w:right w:val="none" w:sz="0" w:space="0" w:color="auto"/>
      </w:divBdr>
    </w:div>
    <w:div w:id="1358190777">
      <w:bodyDiv w:val="1"/>
      <w:marLeft w:val="0"/>
      <w:marRight w:val="0"/>
      <w:marTop w:val="0"/>
      <w:marBottom w:val="0"/>
      <w:divBdr>
        <w:top w:val="none" w:sz="0" w:space="0" w:color="auto"/>
        <w:left w:val="none" w:sz="0" w:space="0" w:color="auto"/>
        <w:bottom w:val="none" w:sz="0" w:space="0" w:color="auto"/>
        <w:right w:val="none" w:sz="0" w:space="0" w:color="auto"/>
      </w:divBdr>
    </w:div>
    <w:div w:id="1364358994">
      <w:bodyDiv w:val="1"/>
      <w:marLeft w:val="0"/>
      <w:marRight w:val="0"/>
      <w:marTop w:val="0"/>
      <w:marBottom w:val="0"/>
      <w:divBdr>
        <w:top w:val="none" w:sz="0" w:space="0" w:color="auto"/>
        <w:left w:val="none" w:sz="0" w:space="0" w:color="auto"/>
        <w:bottom w:val="none" w:sz="0" w:space="0" w:color="auto"/>
        <w:right w:val="none" w:sz="0" w:space="0" w:color="auto"/>
      </w:divBdr>
    </w:div>
    <w:div w:id="1376125269">
      <w:bodyDiv w:val="1"/>
      <w:marLeft w:val="0"/>
      <w:marRight w:val="0"/>
      <w:marTop w:val="0"/>
      <w:marBottom w:val="0"/>
      <w:divBdr>
        <w:top w:val="none" w:sz="0" w:space="0" w:color="auto"/>
        <w:left w:val="none" w:sz="0" w:space="0" w:color="auto"/>
        <w:bottom w:val="none" w:sz="0" w:space="0" w:color="auto"/>
        <w:right w:val="none" w:sz="0" w:space="0" w:color="auto"/>
      </w:divBdr>
    </w:div>
    <w:div w:id="1484421779">
      <w:bodyDiv w:val="1"/>
      <w:marLeft w:val="0"/>
      <w:marRight w:val="0"/>
      <w:marTop w:val="0"/>
      <w:marBottom w:val="0"/>
      <w:divBdr>
        <w:top w:val="none" w:sz="0" w:space="0" w:color="auto"/>
        <w:left w:val="none" w:sz="0" w:space="0" w:color="auto"/>
        <w:bottom w:val="none" w:sz="0" w:space="0" w:color="auto"/>
        <w:right w:val="none" w:sz="0" w:space="0" w:color="auto"/>
      </w:divBdr>
    </w:div>
    <w:div w:id="1497064623">
      <w:bodyDiv w:val="1"/>
      <w:marLeft w:val="0"/>
      <w:marRight w:val="0"/>
      <w:marTop w:val="0"/>
      <w:marBottom w:val="0"/>
      <w:divBdr>
        <w:top w:val="none" w:sz="0" w:space="0" w:color="auto"/>
        <w:left w:val="none" w:sz="0" w:space="0" w:color="auto"/>
        <w:bottom w:val="none" w:sz="0" w:space="0" w:color="auto"/>
        <w:right w:val="none" w:sz="0" w:space="0" w:color="auto"/>
      </w:divBdr>
    </w:div>
    <w:div w:id="1556114190">
      <w:bodyDiv w:val="1"/>
      <w:marLeft w:val="0"/>
      <w:marRight w:val="0"/>
      <w:marTop w:val="0"/>
      <w:marBottom w:val="0"/>
      <w:divBdr>
        <w:top w:val="none" w:sz="0" w:space="0" w:color="auto"/>
        <w:left w:val="none" w:sz="0" w:space="0" w:color="auto"/>
        <w:bottom w:val="none" w:sz="0" w:space="0" w:color="auto"/>
        <w:right w:val="none" w:sz="0" w:space="0" w:color="auto"/>
      </w:divBdr>
    </w:div>
    <w:div w:id="1564173127">
      <w:bodyDiv w:val="1"/>
      <w:marLeft w:val="0"/>
      <w:marRight w:val="0"/>
      <w:marTop w:val="0"/>
      <w:marBottom w:val="0"/>
      <w:divBdr>
        <w:top w:val="none" w:sz="0" w:space="0" w:color="auto"/>
        <w:left w:val="none" w:sz="0" w:space="0" w:color="auto"/>
        <w:bottom w:val="none" w:sz="0" w:space="0" w:color="auto"/>
        <w:right w:val="none" w:sz="0" w:space="0" w:color="auto"/>
      </w:divBdr>
    </w:div>
    <w:div w:id="1588071042">
      <w:bodyDiv w:val="1"/>
      <w:marLeft w:val="0"/>
      <w:marRight w:val="0"/>
      <w:marTop w:val="0"/>
      <w:marBottom w:val="0"/>
      <w:divBdr>
        <w:top w:val="none" w:sz="0" w:space="0" w:color="auto"/>
        <w:left w:val="none" w:sz="0" w:space="0" w:color="auto"/>
        <w:bottom w:val="none" w:sz="0" w:space="0" w:color="auto"/>
        <w:right w:val="none" w:sz="0" w:space="0" w:color="auto"/>
      </w:divBdr>
    </w:div>
    <w:div w:id="1596286537">
      <w:bodyDiv w:val="1"/>
      <w:marLeft w:val="0"/>
      <w:marRight w:val="0"/>
      <w:marTop w:val="0"/>
      <w:marBottom w:val="0"/>
      <w:divBdr>
        <w:top w:val="none" w:sz="0" w:space="0" w:color="auto"/>
        <w:left w:val="none" w:sz="0" w:space="0" w:color="auto"/>
        <w:bottom w:val="none" w:sz="0" w:space="0" w:color="auto"/>
        <w:right w:val="none" w:sz="0" w:space="0" w:color="auto"/>
      </w:divBdr>
    </w:div>
    <w:div w:id="1692800306">
      <w:bodyDiv w:val="1"/>
      <w:marLeft w:val="0"/>
      <w:marRight w:val="0"/>
      <w:marTop w:val="0"/>
      <w:marBottom w:val="0"/>
      <w:divBdr>
        <w:top w:val="none" w:sz="0" w:space="0" w:color="auto"/>
        <w:left w:val="none" w:sz="0" w:space="0" w:color="auto"/>
        <w:bottom w:val="none" w:sz="0" w:space="0" w:color="auto"/>
        <w:right w:val="none" w:sz="0" w:space="0" w:color="auto"/>
      </w:divBdr>
    </w:div>
    <w:div w:id="1708141304">
      <w:bodyDiv w:val="1"/>
      <w:marLeft w:val="0"/>
      <w:marRight w:val="0"/>
      <w:marTop w:val="0"/>
      <w:marBottom w:val="0"/>
      <w:divBdr>
        <w:top w:val="none" w:sz="0" w:space="0" w:color="auto"/>
        <w:left w:val="none" w:sz="0" w:space="0" w:color="auto"/>
        <w:bottom w:val="none" w:sz="0" w:space="0" w:color="auto"/>
        <w:right w:val="none" w:sz="0" w:space="0" w:color="auto"/>
      </w:divBdr>
    </w:div>
    <w:div w:id="1753425088">
      <w:bodyDiv w:val="1"/>
      <w:marLeft w:val="0"/>
      <w:marRight w:val="0"/>
      <w:marTop w:val="0"/>
      <w:marBottom w:val="0"/>
      <w:divBdr>
        <w:top w:val="none" w:sz="0" w:space="0" w:color="auto"/>
        <w:left w:val="none" w:sz="0" w:space="0" w:color="auto"/>
        <w:bottom w:val="none" w:sz="0" w:space="0" w:color="auto"/>
        <w:right w:val="none" w:sz="0" w:space="0" w:color="auto"/>
      </w:divBdr>
    </w:div>
    <w:div w:id="1759211071">
      <w:bodyDiv w:val="1"/>
      <w:marLeft w:val="0"/>
      <w:marRight w:val="0"/>
      <w:marTop w:val="0"/>
      <w:marBottom w:val="0"/>
      <w:divBdr>
        <w:top w:val="none" w:sz="0" w:space="0" w:color="auto"/>
        <w:left w:val="none" w:sz="0" w:space="0" w:color="auto"/>
        <w:bottom w:val="none" w:sz="0" w:space="0" w:color="auto"/>
        <w:right w:val="none" w:sz="0" w:space="0" w:color="auto"/>
      </w:divBdr>
    </w:div>
    <w:div w:id="1768454164">
      <w:bodyDiv w:val="1"/>
      <w:marLeft w:val="0"/>
      <w:marRight w:val="0"/>
      <w:marTop w:val="0"/>
      <w:marBottom w:val="0"/>
      <w:divBdr>
        <w:top w:val="none" w:sz="0" w:space="0" w:color="auto"/>
        <w:left w:val="none" w:sz="0" w:space="0" w:color="auto"/>
        <w:bottom w:val="none" w:sz="0" w:space="0" w:color="auto"/>
        <w:right w:val="none" w:sz="0" w:space="0" w:color="auto"/>
      </w:divBdr>
    </w:div>
    <w:div w:id="1792281010">
      <w:bodyDiv w:val="1"/>
      <w:marLeft w:val="0"/>
      <w:marRight w:val="0"/>
      <w:marTop w:val="0"/>
      <w:marBottom w:val="0"/>
      <w:divBdr>
        <w:top w:val="none" w:sz="0" w:space="0" w:color="auto"/>
        <w:left w:val="none" w:sz="0" w:space="0" w:color="auto"/>
        <w:bottom w:val="none" w:sz="0" w:space="0" w:color="auto"/>
        <w:right w:val="none" w:sz="0" w:space="0" w:color="auto"/>
      </w:divBdr>
    </w:div>
    <w:div w:id="1801878376">
      <w:bodyDiv w:val="1"/>
      <w:marLeft w:val="0"/>
      <w:marRight w:val="0"/>
      <w:marTop w:val="0"/>
      <w:marBottom w:val="0"/>
      <w:divBdr>
        <w:top w:val="none" w:sz="0" w:space="0" w:color="auto"/>
        <w:left w:val="none" w:sz="0" w:space="0" w:color="auto"/>
        <w:bottom w:val="none" w:sz="0" w:space="0" w:color="auto"/>
        <w:right w:val="none" w:sz="0" w:space="0" w:color="auto"/>
      </w:divBdr>
    </w:div>
    <w:div w:id="1813985392">
      <w:bodyDiv w:val="1"/>
      <w:marLeft w:val="0"/>
      <w:marRight w:val="0"/>
      <w:marTop w:val="0"/>
      <w:marBottom w:val="0"/>
      <w:divBdr>
        <w:top w:val="none" w:sz="0" w:space="0" w:color="auto"/>
        <w:left w:val="none" w:sz="0" w:space="0" w:color="auto"/>
        <w:bottom w:val="none" w:sz="0" w:space="0" w:color="auto"/>
        <w:right w:val="none" w:sz="0" w:space="0" w:color="auto"/>
      </w:divBdr>
    </w:div>
    <w:div w:id="1814445462">
      <w:bodyDiv w:val="1"/>
      <w:marLeft w:val="0"/>
      <w:marRight w:val="0"/>
      <w:marTop w:val="0"/>
      <w:marBottom w:val="0"/>
      <w:divBdr>
        <w:top w:val="none" w:sz="0" w:space="0" w:color="auto"/>
        <w:left w:val="none" w:sz="0" w:space="0" w:color="auto"/>
        <w:bottom w:val="none" w:sz="0" w:space="0" w:color="auto"/>
        <w:right w:val="none" w:sz="0" w:space="0" w:color="auto"/>
      </w:divBdr>
    </w:div>
    <w:div w:id="1866361982">
      <w:bodyDiv w:val="1"/>
      <w:marLeft w:val="0"/>
      <w:marRight w:val="0"/>
      <w:marTop w:val="0"/>
      <w:marBottom w:val="0"/>
      <w:divBdr>
        <w:top w:val="none" w:sz="0" w:space="0" w:color="auto"/>
        <w:left w:val="none" w:sz="0" w:space="0" w:color="auto"/>
        <w:bottom w:val="none" w:sz="0" w:space="0" w:color="auto"/>
        <w:right w:val="none" w:sz="0" w:space="0" w:color="auto"/>
      </w:divBdr>
      <w:divsChild>
        <w:div w:id="1042831183">
          <w:marLeft w:val="0"/>
          <w:marRight w:val="0"/>
          <w:marTop w:val="0"/>
          <w:marBottom w:val="0"/>
          <w:divBdr>
            <w:top w:val="none" w:sz="0" w:space="0" w:color="auto"/>
            <w:left w:val="none" w:sz="0" w:space="0" w:color="auto"/>
            <w:bottom w:val="none" w:sz="0" w:space="0" w:color="auto"/>
            <w:right w:val="none" w:sz="0" w:space="0" w:color="auto"/>
          </w:divBdr>
        </w:div>
        <w:div w:id="182986540">
          <w:marLeft w:val="0"/>
          <w:marRight w:val="0"/>
          <w:marTop w:val="0"/>
          <w:marBottom w:val="0"/>
          <w:divBdr>
            <w:top w:val="none" w:sz="0" w:space="0" w:color="auto"/>
            <w:left w:val="none" w:sz="0" w:space="0" w:color="auto"/>
            <w:bottom w:val="none" w:sz="0" w:space="0" w:color="auto"/>
            <w:right w:val="none" w:sz="0" w:space="0" w:color="auto"/>
          </w:divBdr>
        </w:div>
        <w:div w:id="1629236247">
          <w:marLeft w:val="0"/>
          <w:marRight w:val="0"/>
          <w:marTop w:val="0"/>
          <w:marBottom w:val="0"/>
          <w:divBdr>
            <w:top w:val="none" w:sz="0" w:space="0" w:color="auto"/>
            <w:left w:val="none" w:sz="0" w:space="0" w:color="auto"/>
            <w:bottom w:val="none" w:sz="0" w:space="0" w:color="auto"/>
            <w:right w:val="none" w:sz="0" w:space="0" w:color="auto"/>
          </w:divBdr>
        </w:div>
        <w:div w:id="145510135">
          <w:marLeft w:val="0"/>
          <w:marRight w:val="0"/>
          <w:marTop w:val="0"/>
          <w:marBottom w:val="0"/>
          <w:divBdr>
            <w:top w:val="none" w:sz="0" w:space="0" w:color="auto"/>
            <w:left w:val="none" w:sz="0" w:space="0" w:color="auto"/>
            <w:bottom w:val="none" w:sz="0" w:space="0" w:color="auto"/>
            <w:right w:val="none" w:sz="0" w:space="0" w:color="auto"/>
          </w:divBdr>
        </w:div>
      </w:divsChild>
    </w:div>
    <w:div w:id="1882399896">
      <w:bodyDiv w:val="1"/>
      <w:marLeft w:val="0"/>
      <w:marRight w:val="0"/>
      <w:marTop w:val="0"/>
      <w:marBottom w:val="0"/>
      <w:divBdr>
        <w:top w:val="none" w:sz="0" w:space="0" w:color="auto"/>
        <w:left w:val="none" w:sz="0" w:space="0" w:color="auto"/>
        <w:bottom w:val="none" w:sz="0" w:space="0" w:color="auto"/>
        <w:right w:val="none" w:sz="0" w:space="0" w:color="auto"/>
      </w:divBdr>
    </w:div>
    <w:div w:id="1925450885">
      <w:bodyDiv w:val="1"/>
      <w:marLeft w:val="0"/>
      <w:marRight w:val="0"/>
      <w:marTop w:val="0"/>
      <w:marBottom w:val="0"/>
      <w:divBdr>
        <w:top w:val="none" w:sz="0" w:space="0" w:color="auto"/>
        <w:left w:val="none" w:sz="0" w:space="0" w:color="auto"/>
        <w:bottom w:val="none" w:sz="0" w:space="0" w:color="auto"/>
        <w:right w:val="none" w:sz="0" w:space="0" w:color="auto"/>
      </w:divBdr>
    </w:div>
    <w:div w:id="1988702617">
      <w:bodyDiv w:val="1"/>
      <w:marLeft w:val="0"/>
      <w:marRight w:val="0"/>
      <w:marTop w:val="0"/>
      <w:marBottom w:val="0"/>
      <w:divBdr>
        <w:top w:val="none" w:sz="0" w:space="0" w:color="auto"/>
        <w:left w:val="none" w:sz="0" w:space="0" w:color="auto"/>
        <w:bottom w:val="none" w:sz="0" w:space="0" w:color="auto"/>
        <w:right w:val="none" w:sz="0" w:space="0" w:color="auto"/>
      </w:divBdr>
    </w:div>
    <w:div w:id="2012218356">
      <w:bodyDiv w:val="1"/>
      <w:marLeft w:val="0"/>
      <w:marRight w:val="0"/>
      <w:marTop w:val="0"/>
      <w:marBottom w:val="0"/>
      <w:divBdr>
        <w:top w:val="none" w:sz="0" w:space="0" w:color="auto"/>
        <w:left w:val="none" w:sz="0" w:space="0" w:color="auto"/>
        <w:bottom w:val="none" w:sz="0" w:space="0" w:color="auto"/>
        <w:right w:val="none" w:sz="0" w:space="0" w:color="auto"/>
      </w:divBdr>
    </w:div>
    <w:div w:id="2033724501">
      <w:bodyDiv w:val="1"/>
      <w:marLeft w:val="0"/>
      <w:marRight w:val="0"/>
      <w:marTop w:val="0"/>
      <w:marBottom w:val="0"/>
      <w:divBdr>
        <w:top w:val="none" w:sz="0" w:space="0" w:color="auto"/>
        <w:left w:val="none" w:sz="0" w:space="0" w:color="auto"/>
        <w:bottom w:val="none" w:sz="0" w:space="0" w:color="auto"/>
        <w:right w:val="none" w:sz="0" w:space="0" w:color="auto"/>
      </w:divBdr>
    </w:div>
    <w:div w:id="2094620492">
      <w:bodyDiv w:val="1"/>
      <w:marLeft w:val="0"/>
      <w:marRight w:val="0"/>
      <w:marTop w:val="0"/>
      <w:marBottom w:val="0"/>
      <w:divBdr>
        <w:top w:val="none" w:sz="0" w:space="0" w:color="auto"/>
        <w:left w:val="none" w:sz="0" w:space="0" w:color="auto"/>
        <w:bottom w:val="none" w:sz="0" w:space="0" w:color="auto"/>
        <w:right w:val="none" w:sz="0" w:space="0" w:color="auto"/>
      </w:divBdr>
    </w:div>
    <w:div w:id="2116976353">
      <w:bodyDiv w:val="1"/>
      <w:marLeft w:val="0"/>
      <w:marRight w:val="0"/>
      <w:marTop w:val="0"/>
      <w:marBottom w:val="0"/>
      <w:divBdr>
        <w:top w:val="none" w:sz="0" w:space="0" w:color="auto"/>
        <w:left w:val="none" w:sz="0" w:space="0" w:color="auto"/>
        <w:bottom w:val="none" w:sz="0" w:space="0" w:color="auto"/>
        <w:right w:val="none" w:sz="0" w:space="0" w:color="auto"/>
      </w:divBdr>
    </w:div>
    <w:div w:id="2117285633">
      <w:bodyDiv w:val="1"/>
      <w:marLeft w:val="0"/>
      <w:marRight w:val="0"/>
      <w:marTop w:val="0"/>
      <w:marBottom w:val="0"/>
      <w:divBdr>
        <w:top w:val="none" w:sz="0" w:space="0" w:color="auto"/>
        <w:left w:val="none" w:sz="0" w:space="0" w:color="auto"/>
        <w:bottom w:val="none" w:sz="0" w:space="0" w:color="auto"/>
        <w:right w:val="none" w:sz="0" w:space="0" w:color="auto"/>
      </w:divBdr>
    </w:div>
    <w:div w:id="213571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ordinacion@atrahdom.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itradomsa2010@gmail.com" TargetMode="External"/><Relationship Id="rId4" Type="http://schemas.openxmlformats.org/officeDocument/2006/relationships/settings" Target="settings.xml"/><Relationship Id="rId9" Type="http://schemas.openxmlformats.org/officeDocument/2006/relationships/hyperlink" Target="mailto:secretariatrabajo@sitradom.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TSE23</b:Tag>
    <b:SourceType>InternetSite</b:SourceType>
    <b:Guid>{D5419CBE-1E31-4183-A8BE-115FFE506C2C}</b:Guid>
    <b:Title>TSE declara validez de las elecciones del 25 de junio y convoca a segunda vuelta</b:Title>
    <b:Year>2023</b:Year>
    <b:URL>https://www.tse.org.gt/index.php/comunicacion/noticias/880-tse-declara-validez-de-las-elecciones-del-25-de-junio-y-convoca-a-segunda-vuelta</b:URL>
    <b:Author>
      <b:Author>
        <b:Corporate>TSE</b:Corporate>
      </b:Author>
    </b:Author>
    <b:RefOrder>3</b:RefOrder>
  </b:Source>
  <b:Source>
    <b:Tag>deL17</b:Tag>
    <b:SourceType>InternetSite</b:SourceType>
    <b:Guid>{D54690AE-EAAD-4730-8CB5-9012FD5619EE}</b:Guid>
    <b:Title>El desempleo en Guatemala </b:Title>
    <b:InternetSiteTitle>República.gt</b:InternetSiteTitle>
    <b:Year>2017</b:Year>
    <b:URL>https://republica.gt/columna-de-opinion/2017-5-9-11-0-46-el-desempleo-en-guatemala</b:URL>
    <b:Author>
      <b:Author>
        <b:NameList>
          <b:Person>
            <b:Last>de León</b:Last>
            <b:First>Carlos</b:First>
          </b:Person>
        </b:NameList>
      </b:Author>
    </b:Author>
    <b:RefOrder>1</b:RefOrder>
  </b:Source>
  <b:Source>
    <b:Tag>ATR21</b:Tag>
    <b:SourceType>InternetSite</b:SourceType>
    <b:Guid>{A6977337-9795-4604-AAF4-F09ACED202DA}</b:Guid>
    <b:Author>
      <b:Author>
        <b:Corporate>ATRAHDOM</b:Corporate>
      </b:Author>
    </b:Author>
    <b:Title>Desigualdades y afectaciones generadas por el Covid-19 en la vida de las mujeres trabajadoras, en sectores laborales vulnerables en Guatemala, 2020-2021.</b:Title>
    <b:InternetSiteTitle>ATRAHDOM</b:InternetSiteTitle>
    <b:Year>2021</b:Year>
    <b:URL>https://atrahdom.org/2021/12/02/desigualdades-y-afectaciones-generadas-por-el-covid-19-en-la-vida-de-las-mujeres-trabajadoras-en-sectores-laborales-vulnerables-en-guatemala-2020-2021/</b:URL>
    <b:RefOrder>2</b:RefOrder>
  </b:Source>
  <b:Source>
    <b:Tag>Acu68</b:Tag>
    <b:SourceType>Misc</b:SourceType>
    <b:Guid>{3E0E6D76-222E-406E-94DC-B503DD23591A}</b:Guid>
    <b:Title>Acuerdo Gubernativo 1319</b:Title>
    <b:Year>1968</b:Year>
    <b:Month>abril</b:Month>
    <b:Day>9</b:Day>
    <b:City>Guatemala</b:City>
    <b:PublicationTitle>Reglamento de la Comisión Nacional del Salario</b:PublicationTitle>
    <b:RefOrder>4</b:RefOrder>
  </b:Source>
  <b:Source>
    <b:Tag>Min17</b:Tag>
    <b:SourceType>Book</b:SourceType>
    <b:Guid>{CBDC8910-4D92-4511-A089-B9E6C044D06A}</b:Guid>
    <b:Author>
      <b:Author>
        <b:Corporate>Ministerio de Trabajo y Previsión Social</b:Corporate>
      </b:Author>
    </b:Author>
    <b:Title>Política Nacional de Empleo Digno 2017-2032</b:Title>
    <b:Year>2017</b:Year>
    <b:City>Guatemala</b:City>
    <b:RefOrder>5</b:RefOrder>
  </b:Source>
  <b:Source>
    <b:Tag>Sec09</b:Tag>
    <b:SourceType>Book</b:SourceType>
    <b:Guid>{8A9EE917-34A8-4AA5-868B-3D5DFAA68A2D}</b:Guid>
    <b:Title>Política Nacional de Promoción y Desarrollo Integral de las Mujeres y Plan de Equidad de Oportunidades</b:Title>
    <b:Year>2009</b:Year>
    <b:City>Guatemala</b:City>
    <b:Author>
      <b:Author>
        <b:Corporate>Secretaría Presidencial de la Mujer</b:Corporate>
      </b:Author>
    </b:Author>
    <b:URL>http://www.segeplan.gob.gt/downloads/clearinghouse/politicas_publicas/Derechos%20Humanos/Politica%20Promoci%C3%B3n%20%20y%20desarrollo%20Mujeres%202008-2023.pdf</b:URL>
    <b:RefOrder>6</b:RefOrder>
  </b:Source>
  <b:Source>
    <b:Tag>EFE23</b:Tag>
    <b:SourceType>ArticleInAPeriodical</b:SourceType>
    <b:Guid>{F6ED4E76-4864-485F-95BE-EBAFC10429EE}</b:Guid>
    <b:Title>Más de 25 mil guatemaltecos han sido deportados de Estados Unidos y México en lo que va del 2023</b:Title>
    <b:Year>2023</b:Year>
    <b:Author>
      <b:Author>
        <b:Corporate>EFE</b:Corporate>
      </b:Author>
    </b:Author>
    <b:PeriodicalTitle>Prensa Libre</b:PeriodicalTitle>
    <b:URL>https://www.prensalibre.com/guatemala/migrantes/mas-de-25-mil-guatemaltecos-han-sido-deportados-de-estados-unidos-y-mexico-en-lo-que-va-del-2023-breaking/</b:URL>
    <b:RefOrder>7</b:RefOrder>
  </b:Source>
  <b:Source>
    <b:Tag>Bol23</b:Tag>
    <b:SourceType>ArticleInAPeriodical</b:SourceType>
    <b:Guid>{AD89B78F-4BEF-4AD4-82A0-4D9582EB0CDE}</b:Guid>
    <b:Title>En Guatemala las mujeres trabajan igual que los hombres, pero ganan mucho menos</b:Title>
    <b:PeriodicalTitle>Prensa Libre</b:PeriodicalTitle>
    <b:Year>2023</b:Year>
    <b:Month>marzo</b:Month>
    <b:Day>8</b:Day>
    <b:Author>
      <b:Author>
        <b:NameList>
          <b:Person>
            <b:Last>Bolaños</b:Last>
            <b:Middle>María</b:Middle>
            <b:First>Rosa</b:First>
          </b:Person>
        </b:NameList>
      </b:Author>
    </b:Author>
    <b:URL>https://www.prensalibre.com/economia/las-mujeres-trabajan-al-lado-de-los-hombres-pero-aun-ganan-mucho-menos-que-ellos/</b:URL>
    <b:RefOrder>8</b:RefOrder>
  </b:Source>
  <b:Source>
    <b:Tag>EFE231</b:Tag>
    <b:SourceType>ArticleInAPeriodical</b:SourceType>
    <b:Guid>{184102A5-A9DD-48F4-9E8B-1A6D309F00ED}</b:Guid>
    <b:Title>Guatemala contabiliza 6 niños muertos por desnutrición hasta abril de 2023</b:Title>
    <b:PeriodicalTitle>Swissinfo</b:PeriodicalTitle>
    <b:Year>2023</b:Year>
    <b:Month>mayo</b:Month>
    <b:Day>8</b:Day>
    <b:Author>
      <b:Author>
        <b:Corporate>EFE</b:Corporate>
      </b:Author>
    </b:Author>
    <b:URL>https://www.swissinfo.ch/spa/guatemala-desnutrici%C3%B3n_guatemala-contabiliza-6-ni%C3%B1os-muertos-por-desnutrici%C3%B3n-hasta-abril-de-2023/48496558#:~:text=Guatemala%20contabiliza%206%20ni%C3%B1os%20muertos%20por%20desnutrici%C3%B3n%20hasta%20abril%20d</b:URL>
    <b:RefOrder>9</b:RefOrder>
  </b:Source>
  <b:Source>
    <b:Tag>INE23</b:Tag>
    <b:SourceType>Report</b:SourceType>
    <b:Guid>{6A445932-2AE9-40AC-8AD5-BB1D77FEA372}</b:Guid>
    <b:Title>Resultados de la Canasta Básica Alimentaria (CBA) y Ampliada (CA) al mes de abril de 2023. </b:Title>
    <b:Year>2023</b:Year>
    <b:City>Guatemala</b:City>
    <b:Author>
      <b:Author>
        <b:Corporate>INE</b:Corporate>
      </b:Author>
    </b:Author>
    <b:Institution>Instituto Nacional de Estadística</b:Institution>
    <b:URL>https://www.ine.gob.gt/2023/05/08/4357/</b:URL>
    <b:RefOrder>10</b:RefOrder>
  </b:Source>
  <b:Source>
    <b:Tag>Min23</b:Tag>
    <b:SourceType>InternetSite</b:SourceType>
    <b:Guid>{771503F1-3159-4733-855B-8866055789A8}</b:Guid>
    <b:Title>Salario Mínimo establecido para 2023</b:Title>
    <b:Year>2023</b:Year>
    <b:City>Guatemala</b:City>
    <b:Author>
      <b:Author>
        <b:Corporate>Ministerio de Trabajo y Previsión Social</b:Corporate>
      </b:Author>
    </b:Author>
    <b:URL>https://www.mintrabajo.gob.gt/index.php/noticias/466-salario-minimo-establecido-para-2023</b:URL>
    <b:RefOrder>11</b:RefOrder>
  </b:Source>
  <b:Source>
    <b:Tag>Ins231</b:Tag>
    <b:SourceType>JournalArticle</b:SourceType>
    <b:Guid>{3BF17A0E-2412-4C9F-8686-E2223F2D7057}</b:Guid>
    <b:Year>2023</b:Year>
    <b:Month>Enero-Marzo</b:Month>
    <b:URL>https://iies.usac.edu.gt/wp-content/uploads/2023/03/Revista-Economia-num.-235-enero-marzo-2023.pdf</b:URL>
    <b:Author>
      <b:Author>
        <b:Corporate>Instituto de Investigaciones Económicas y Sociales</b:Corporate>
      </b:Author>
    </b:Author>
    <b:JournalName>Revista Economía</b:JournalName>
    <b:City>Guatemala</b:City>
    <b:RefOrder>12</b:RefOrder>
  </b:Source>
</b:Sources>
</file>

<file path=customXml/itemProps1.xml><?xml version="1.0" encoding="utf-8"?>
<ds:datastoreItem xmlns:ds="http://schemas.openxmlformats.org/officeDocument/2006/customXml" ds:itemID="{4E05A45F-C7D3-4C22-938D-FA623C55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11</Pages>
  <Words>4403</Words>
  <Characters>24220</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Amory Marroquin</dc:creator>
  <cp:lastModifiedBy>Maritza Velasquez</cp:lastModifiedBy>
  <cp:revision>23</cp:revision>
  <cp:lastPrinted>2022-09-25T16:45:00Z</cp:lastPrinted>
  <dcterms:created xsi:type="dcterms:W3CDTF">2023-08-30T22:20:00Z</dcterms:created>
  <dcterms:modified xsi:type="dcterms:W3CDTF">2023-09-04T20:29:00Z</dcterms:modified>
</cp:coreProperties>
</file>