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6" w14:textId="58649551" w:rsidR="001F4463" w:rsidRDefault="00F17EBD" w:rsidP="00F17EBD">
      <w:pPr>
        <w:shd w:val="clear" w:color="auto" w:fill="FFFFFF"/>
        <w:spacing w:before="240" w:after="240"/>
        <w:jc w:val="center"/>
        <w:rPr>
          <w:b/>
          <w:sz w:val="32"/>
          <w:szCs w:val="32"/>
          <w:lang w:val="en-US"/>
        </w:rPr>
      </w:pPr>
      <w:r>
        <w:rPr>
          <w:b/>
          <w:noProof/>
          <w:sz w:val="32"/>
          <w:szCs w:val="32"/>
        </w:rPr>
        <w:drawing>
          <wp:inline distT="0" distB="0" distL="0" distR="0" wp14:anchorId="25C136C5" wp14:editId="45D02F08">
            <wp:extent cx="5180552" cy="854016"/>
            <wp:effectExtent l="0" t="0" r="127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 transforma.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80552" cy="854016"/>
                    </a:xfrm>
                    <a:prstGeom prst="rect">
                      <a:avLst/>
                    </a:prstGeom>
                  </pic:spPr>
                </pic:pic>
              </a:graphicData>
            </a:graphic>
          </wp:inline>
        </w:drawing>
      </w:r>
    </w:p>
    <w:p w14:paraId="76F73BED" w14:textId="77777777" w:rsidR="00F17EBD" w:rsidRPr="00000C1B" w:rsidRDefault="00F17EBD" w:rsidP="00F17EBD">
      <w:pPr>
        <w:shd w:val="clear" w:color="auto" w:fill="FFFFFF"/>
        <w:spacing w:before="240" w:after="240"/>
        <w:jc w:val="center"/>
        <w:rPr>
          <w:b/>
          <w:sz w:val="32"/>
          <w:szCs w:val="32"/>
          <w:lang w:val="en-US"/>
        </w:rPr>
      </w:pPr>
    </w:p>
    <w:p w14:paraId="12FC9FB1" w14:textId="77777777" w:rsidR="00F31FAC" w:rsidRDefault="00F31FAC">
      <w:pPr>
        <w:shd w:val="clear" w:color="auto" w:fill="FFFFFF"/>
        <w:spacing w:before="240" w:after="240"/>
        <w:jc w:val="center"/>
        <w:rPr>
          <w:b/>
          <w:sz w:val="32"/>
          <w:szCs w:val="32"/>
          <w:lang w:val="en-US"/>
        </w:rPr>
      </w:pPr>
    </w:p>
    <w:p w14:paraId="00000007" w14:textId="5BDB9C00" w:rsidR="001F4463" w:rsidRDefault="00665134">
      <w:pPr>
        <w:shd w:val="clear" w:color="auto" w:fill="FFFFFF"/>
        <w:spacing w:before="240" w:after="240"/>
        <w:jc w:val="center"/>
        <w:rPr>
          <w:b/>
          <w:sz w:val="32"/>
          <w:szCs w:val="32"/>
        </w:rPr>
      </w:pPr>
      <w:r>
        <w:rPr>
          <w:b/>
          <w:sz w:val="32"/>
          <w:szCs w:val="32"/>
        </w:rPr>
        <w:t xml:space="preserve">LIST OF ISSUES SUBMITTED TO THE WORKING GROUP ON NORTH MACEDONIA </w:t>
      </w:r>
    </w:p>
    <w:p w14:paraId="00000008" w14:textId="77777777" w:rsidR="001F4463" w:rsidRDefault="00665134">
      <w:pPr>
        <w:shd w:val="clear" w:color="auto" w:fill="FFFFFF"/>
        <w:spacing w:before="240" w:after="240"/>
        <w:jc w:val="center"/>
        <w:rPr>
          <w:b/>
          <w:sz w:val="32"/>
          <w:szCs w:val="32"/>
        </w:rPr>
      </w:pPr>
      <w:r>
        <w:rPr>
          <w:b/>
          <w:sz w:val="32"/>
          <w:szCs w:val="32"/>
        </w:rPr>
        <w:t>UNITED NATIONS COMMITTEE ON ECONOMIC, SOCIAL AND CULTURAL RIGHTS (5</w:t>
      </w:r>
      <w:r>
        <w:rPr>
          <w:b/>
          <w:sz w:val="20"/>
          <w:szCs w:val="20"/>
        </w:rPr>
        <w:t xml:space="preserve">th </w:t>
      </w:r>
      <w:r>
        <w:rPr>
          <w:b/>
          <w:sz w:val="32"/>
          <w:szCs w:val="32"/>
        </w:rPr>
        <w:t>CYCLE)</w:t>
      </w:r>
    </w:p>
    <w:p w14:paraId="00000009" w14:textId="77777777" w:rsidR="001F4463" w:rsidRDefault="00665134">
      <w:pPr>
        <w:shd w:val="clear" w:color="auto" w:fill="FFFFFF"/>
        <w:spacing w:before="240" w:after="240"/>
        <w:jc w:val="center"/>
        <w:rPr>
          <w:b/>
          <w:sz w:val="32"/>
          <w:szCs w:val="32"/>
        </w:rPr>
      </w:pPr>
      <w:r>
        <w:rPr>
          <w:b/>
          <w:sz w:val="32"/>
          <w:szCs w:val="32"/>
        </w:rPr>
        <w:t xml:space="preserve"> 77</w:t>
      </w:r>
      <w:r>
        <w:rPr>
          <w:b/>
          <w:sz w:val="20"/>
          <w:szCs w:val="20"/>
        </w:rPr>
        <w:t xml:space="preserve">th </w:t>
      </w:r>
      <w:r>
        <w:rPr>
          <w:b/>
          <w:sz w:val="32"/>
          <w:szCs w:val="32"/>
        </w:rPr>
        <w:t>session (10 - 28 February 2025)</w:t>
      </w:r>
    </w:p>
    <w:p w14:paraId="0000000A" w14:textId="77777777" w:rsidR="001F4463" w:rsidRDefault="00665134">
      <w:pPr>
        <w:shd w:val="clear" w:color="auto" w:fill="FFFFFF"/>
        <w:spacing w:before="240" w:after="240"/>
        <w:jc w:val="center"/>
        <w:rPr>
          <w:b/>
          <w:sz w:val="32"/>
          <w:szCs w:val="32"/>
        </w:rPr>
      </w:pPr>
      <w:r>
        <w:rPr>
          <w:b/>
          <w:sz w:val="32"/>
          <w:szCs w:val="32"/>
        </w:rPr>
        <w:t>by</w:t>
      </w:r>
    </w:p>
    <w:p w14:paraId="0000000B" w14:textId="77777777" w:rsidR="001F4463" w:rsidRDefault="00665134">
      <w:pPr>
        <w:shd w:val="clear" w:color="auto" w:fill="FFFFFF"/>
        <w:spacing w:before="240" w:after="240"/>
        <w:jc w:val="center"/>
        <w:rPr>
          <w:b/>
          <w:sz w:val="32"/>
          <w:szCs w:val="32"/>
        </w:rPr>
      </w:pPr>
      <w:r>
        <w:rPr>
          <w:b/>
          <w:sz w:val="32"/>
          <w:szCs w:val="32"/>
        </w:rPr>
        <w:t>Main submitting organisation: Coalition sexual and health rights of marginalised communities MARGINS</w:t>
      </w:r>
    </w:p>
    <w:p w14:paraId="0000000C" w14:textId="77777777" w:rsidR="001F4463" w:rsidRDefault="00665134">
      <w:pPr>
        <w:shd w:val="clear" w:color="auto" w:fill="FFFFFF"/>
        <w:spacing w:before="240" w:after="240"/>
        <w:jc w:val="center"/>
        <w:rPr>
          <w:b/>
          <w:sz w:val="32"/>
          <w:szCs w:val="32"/>
        </w:rPr>
      </w:pPr>
      <w:r>
        <w:rPr>
          <w:b/>
          <w:sz w:val="32"/>
          <w:szCs w:val="32"/>
        </w:rPr>
        <w:t>Other submitting organisations: Ekvalis, HERA, Helsinki Committee for Human Rights, and TransFormA</w:t>
      </w:r>
    </w:p>
    <w:p w14:paraId="0000000D" w14:textId="77777777" w:rsidR="001F4463" w:rsidRDefault="001F4463">
      <w:pPr>
        <w:shd w:val="clear" w:color="auto" w:fill="FFFFFF"/>
        <w:spacing w:before="240" w:after="240"/>
        <w:jc w:val="center"/>
        <w:rPr>
          <w:b/>
          <w:sz w:val="32"/>
          <w:szCs w:val="32"/>
        </w:rPr>
      </w:pPr>
    </w:p>
    <w:p w14:paraId="0000000E" w14:textId="77777777" w:rsidR="001F4463" w:rsidRDefault="00665134">
      <w:pPr>
        <w:shd w:val="clear" w:color="auto" w:fill="FFFFFF"/>
        <w:spacing w:before="240" w:after="240"/>
        <w:jc w:val="center"/>
        <w:rPr>
          <w:b/>
          <w:sz w:val="32"/>
          <w:szCs w:val="32"/>
          <w:lang w:val="en-US"/>
        </w:rPr>
      </w:pPr>
      <w:r>
        <w:rPr>
          <w:b/>
          <w:sz w:val="32"/>
          <w:szCs w:val="32"/>
        </w:rPr>
        <w:t>Submitted on 27 November 2024</w:t>
      </w:r>
    </w:p>
    <w:p w14:paraId="306167DE" w14:textId="77777777" w:rsidR="00F31FAC" w:rsidRDefault="00F31FAC">
      <w:pPr>
        <w:shd w:val="clear" w:color="auto" w:fill="FFFFFF"/>
        <w:spacing w:before="240" w:after="240"/>
        <w:jc w:val="center"/>
        <w:rPr>
          <w:b/>
          <w:sz w:val="32"/>
          <w:szCs w:val="32"/>
          <w:lang w:val="en-US"/>
        </w:rPr>
      </w:pPr>
    </w:p>
    <w:p w14:paraId="120A2FE3" w14:textId="77777777" w:rsidR="00F31FAC" w:rsidRDefault="00F31FAC">
      <w:pPr>
        <w:shd w:val="clear" w:color="auto" w:fill="FFFFFF"/>
        <w:spacing w:before="240" w:after="240"/>
        <w:jc w:val="center"/>
        <w:rPr>
          <w:b/>
          <w:sz w:val="32"/>
          <w:szCs w:val="32"/>
          <w:lang w:val="en-US"/>
        </w:rPr>
      </w:pPr>
    </w:p>
    <w:p w14:paraId="2AF3E67D" w14:textId="77777777" w:rsidR="00F31FAC" w:rsidRDefault="00F31FAC">
      <w:pPr>
        <w:shd w:val="clear" w:color="auto" w:fill="FFFFFF"/>
        <w:spacing w:before="240" w:after="240"/>
        <w:jc w:val="center"/>
        <w:rPr>
          <w:b/>
          <w:sz w:val="32"/>
          <w:szCs w:val="32"/>
          <w:lang w:val="en-US"/>
        </w:rPr>
      </w:pPr>
    </w:p>
    <w:p w14:paraId="0000000F" w14:textId="30F0F225" w:rsidR="001F4463" w:rsidRPr="00F31FAC" w:rsidRDefault="00F31FAC" w:rsidP="00F31FAC">
      <w:pPr>
        <w:shd w:val="clear" w:color="auto" w:fill="FFFFFF"/>
        <w:spacing w:before="240" w:after="240"/>
        <w:jc w:val="center"/>
        <w:rPr>
          <w:b/>
          <w:sz w:val="32"/>
          <w:szCs w:val="32"/>
          <w:lang w:val="en-US"/>
        </w:rPr>
      </w:pPr>
      <w:r>
        <w:rPr>
          <w:b/>
          <w:sz w:val="32"/>
          <w:szCs w:val="32"/>
          <w:lang w:val="en-US"/>
        </w:rPr>
        <w:t>Skopje, 2024</w:t>
      </w:r>
    </w:p>
    <w:p w14:paraId="0000001A" w14:textId="12374FC9" w:rsidR="001F4463" w:rsidRPr="00F31FAC" w:rsidRDefault="00665134" w:rsidP="00F31FAC">
      <w:pPr>
        <w:shd w:val="clear" w:color="auto" w:fill="FFFFFF"/>
        <w:spacing w:before="240" w:after="240"/>
        <w:jc w:val="both"/>
        <w:rPr>
          <w:b/>
        </w:rPr>
      </w:pPr>
      <w:bookmarkStart w:id="0" w:name="_24l7epo00l0f" w:colFirst="0" w:colLast="0"/>
      <w:bookmarkStart w:id="1" w:name="_svk0rbuuccb5" w:colFirst="0" w:colLast="0"/>
      <w:bookmarkEnd w:id="0"/>
      <w:bookmarkEnd w:id="1"/>
      <w:r>
        <w:rPr>
          <w:b/>
          <w:sz w:val="26"/>
          <w:szCs w:val="26"/>
          <w:shd w:val="clear" w:color="auto" w:fill="CFE2F3"/>
        </w:rPr>
        <w:lastRenderedPageBreak/>
        <w:t xml:space="preserve">Introduction </w:t>
      </w:r>
    </w:p>
    <w:p w14:paraId="0000001B" w14:textId="77777777" w:rsidR="001F4463" w:rsidRDefault="001F4463"/>
    <w:p w14:paraId="0000001C" w14:textId="77777777" w:rsidR="001F4463" w:rsidRDefault="00665134">
      <w:pPr>
        <w:numPr>
          <w:ilvl w:val="0"/>
          <w:numId w:val="9"/>
        </w:numPr>
        <w:jc w:val="both"/>
      </w:pPr>
      <w:r>
        <w:rPr>
          <w:b/>
        </w:rPr>
        <w:t xml:space="preserve">Main submitting organisation: </w:t>
      </w:r>
      <w:r>
        <w:rPr>
          <w:b/>
          <w:u w:val="single"/>
        </w:rPr>
        <w:t>The Coalition Sexual and Health Rights of Marginalised Communities MARGINS (Coalition Margins)</w:t>
      </w:r>
      <w:r>
        <w:t xml:space="preserve"> was founded in 2007 as a non-formal joint platform, resulting from the joint efforts of several civil society organisations HOPS – Healthy Options Project Skopje, HERA- Health Education and Research Association, IZBOR – Strumica and EGAL. Since 2011, the Coalition has been registered as an individual entity - an NGO whose members are HOPS – Healthy Options Project Skopje, HERA - Health Education and Research Association, IZBOR – Strumica, EGAL, STAR-STAR and Stronger Together. Since then, MARGINS has been working on equal access and enjoyment of human rights of marginalised communities (sex workers, people living with HIV, people who use drugs, marginalised women and LGBT people) and better life quality in different social spheres.</w:t>
      </w:r>
    </w:p>
    <w:p w14:paraId="0000001D" w14:textId="77777777" w:rsidR="001F4463" w:rsidRDefault="00665134">
      <w:pPr>
        <w:ind w:left="720"/>
        <w:jc w:val="both"/>
        <w:rPr>
          <w:b/>
        </w:rPr>
      </w:pPr>
      <w:r>
        <w:rPr>
          <w:b/>
        </w:rPr>
        <w:t xml:space="preserve"> </w:t>
      </w:r>
    </w:p>
    <w:p w14:paraId="0000001E" w14:textId="77777777" w:rsidR="001F4463" w:rsidRDefault="00665134">
      <w:pPr>
        <w:ind w:left="720"/>
        <w:jc w:val="both"/>
      </w:pPr>
      <w:r>
        <w:rPr>
          <w:b/>
        </w:rPr>
        <w:t xml:space="preserve">Contacts: </w:t>
      </w:r>
      <w:r>
        <w:t xml:space="preserve">Biljana Ginova, </w:t>
      </w:r>
      <w:hyperlink r:id="rId8">
        <w:r>
          <w:rPr>
            <w:color w:val="1155CC"/>
            <w:u w:val="single"/>
          </w:rPr>
          <w:t>bginova@gmail.com</w:t>
        </w:r>
      </w:hyperlink>
      <w:r>
        <w:t xml:space="preserve">, Natasa Boskova, </w:t>
      </w:r>
      <w:hyperlink r:id="rId9">
        <w:r>
          <w:rPr>
            <w:color w:val="1155CC"/>
            <w:u w:val="single"/>
          </w:rPr>
          <w:t>natasa.boskova@gmail.com</w:t>
        </w:r>
      </w:hyperlink>
      <w:r>
        <w:t xml:space="preserve">. </w:t>
      </w:r>
    </w:p>
    <w:p w14:paraId="0000001F" w14:textId="77777777" w:rsidR="001F4463" w:rsidRDefault="00665134">
      <w:pPr>
        <w:ind w:left="720"/>
        <w:jc w:val="both"/>
      </w:pPr>
      <w:r>
        <w:t xml:space="preserve"> </w:t>
      </w:r>
    </w:p>
    <w:p w14:paraId="00000020" w14:textId="77777777" w:rsidR="001F4463" w:rsidRDefault="00665134">
      <w:pPr>
        <w:numPr>
          <w:ilvl w:val="0"/>
          <w:numId w:val="6"/>
        </w:numPr>
        <w:jc w:val="both"/>
      </w:pPr>
      <w:r>
        <w:rPr>
          <w:b/>
        </w:rPr>
        <w:t xml:space="preserve">Other submitting organisations: </w:t>
      </w:r>
    </w:p>
    <w:p w14:paraId="00000021" w14:textId="77777777" w:rsidR="001F4463" w:rsidRDefault="00665134">
      <w:pPr>
        <w:spacing w:before="240" w:after="240"/>
        <w:ind w:left="720"/>
        <w:jc w:val="both"/>
      </w:pPr>
      <w:r>
        <w:rPr>
          <w:b/>
          <w:u w:val="single"/>
        </w:rPr>
        <w:t>Ekvalis</w:t>
      </w:r>
      <w:r>
        <w:rPr>
          <w:b/>
        </w:rPr>
        <w:t xml:space="preserve"> </w:t>
      </w:r>
      <w:r>
        <w:t xml:space="preserve">is a non-governmental organisation founded in 2017 and specifically works with LGBTIQ+ young people and is focused on providing platforms and places for the safe expression of youth with diverse gender identities and sexual orientations, supports LGBTIQ+ community members in gaining soft skills, training them on how to use tools for the social and political transformation of the systems, increases their self-esteem and boost of confidence which are fundamental for their prospering. Ekvalis works on providing a supportive environment for LGBTIQ+ youth and gender minorities through educational programs, facilitation of safe spaces and their mutual co-creation, coalition building, awareness-raising campaigns and advocacy. </w:t>
      </w:r>
    </w:p>
    <w:p w14:paraId="00000022" w14:textId="77777777" w:rsidR="001F4463" w:rsidRDefault="00665134">
      <w:pPr>
        <w:spacing w:before="240" w:after="240"/>
        <w:ind w:firstLine="720"/>
        <w:jc w:val="both"/>
        <w:rPr>
          <w:highlight w:val="yellow"/>
        </w:rPr>
      </w:pPr>
      <w:r>
        <w:rPr>
          <w:b/>
        </w:rPr>
        <w:t>Contact</w:t>
      </w:r>
      <w:r>
        <w:t xml:space="preserve">: Angel Dimitrievski, </w:t>
      </w:r>
      <w:hyperlink r:id="rId10">
        <w:r>
          <w:rPr>
            <w:color w:val="1155CC"/>
            <w:u w:val="single"/>
          </w:rPr>
          <w:t>angel_dimitrievski@ekvalis.org.mk</w:t>
        </w:r>
      </w:hyperlink>
      <w:r>
        <w:t xml:space="preserve">. </w:t>
      </w:r>
    </w:p>
    <w:p w14:paraId="00000023" w14:textId="77777777" w:rsidR="001F4463" w:rsidRDefault="001F4463">
      <w:pPr>
        <w:ind w:left="720"/>
        <w:jc w:val="both"/>
        <w:rPr>
          <w:b/>
          <w:u w:val="single"/>
        </w:rPr>
      </w:pPr>
    </w:p>
    <w:p w14:paraId="00000024" w14:textId="77777777" w:rsidR="001F4463" w:rsidRDefault="00665134">
      <w:pPr>
        <w:ind w:left="720"/>
        <w:jc w:val="both"/>
      </w:pPr>
      <w:r>
        <w:rPr>
          <w:b/>
          <w:u w:val="single"/>
        </w:rPr>
        <w:t>Helsinki Committee for Human Rights</w:t>
      </w:r>
      <w:r>
        <w:t xml:space="preserve"> is a civil society organisation funded in 1994. The Committee monitors the situation with human rights, provides legal assistance, and co-operates with other organisations and state bodies for the purpose of improving the promotion, respect and protection of human rights and freedoms. The Committee’s goal is the protection and promotion of the human rights and freedoms guaranteed by the Constitution of the Republic of North Macedonia, the international instruments and the Helsinki Final Act from 1975, as well as building democratic conditions in which they can be exercised based on the rule of law. The Committee sets off from the premise that all people should have the possibility to enjoy and practice their basic rights and freedoms and should be able to protect them in case of violation or limitation. This is the basis of the rule of law, human rights and democracy.</w:t>
      </w:r>
    </w:p>
    <w:p w14:paraId="00000025" w14:textId="77777777" w:rsidR="001F4463" w:rsidRDefault="001F4463">
      <w:pPr>
        <w:ind w:left="720"/>
        <w:jc w:val="both"/>
        <w:rPr>
          <w:b/>
        </w:rPr>
      </w:pPr>
    </w:p>
    <w:p w14:paraId="00000026" w14:textId="77777777" w:rsidR="001F4463" w:rsidRDefault="00665134">
      <w:pPr>
        <w:ind w:left="720"/>
        <w:jc w:val="both"/>
      </w:pPr>
      <w:r>
        <w:rPr>
          <w:b/>
        </w:rPr>
        <w:lastRenderedPageBreak/>
        <w:t xml:space="preserve">Contact: </w:t>
      </w:r>
      <w:r>
        <w:t xml:space="preserve">Ljubomir Faizov, </w:t>
      </w:r>
      <w:hyperlink r:id="rId11">
        <w:r>
          <w:rPr>
            <w:color w:val="1155CC"/>
            <w:u w:val="single"/>
          </w:rPr>
          <w:t>ljubomir.faizov@lgbti.mk</w:t>
        </w:r>
      </w:hyperlink>
      <w:r>
        <w:t xml:space="preserve">. </w:t>
      </w:r>
    </w:p>
    <w:p w14:paraId="00000027" w14:textId="77777777" w:rsidR="001F4463" w:rsidRDefault="001F4463">
      <w:pPr>
        <w:ind w:left="720"/>
        <w:jc w:val="both"/>
        <w:rPr>
          <w:b/>
        </w:rPr>
      </w:pPr>
    </w:p>
    <w:p w14:paraId="00000028" w14:textId="77777777" w:rsidR="001F4463" w:rsidRDefault="00665134">
      <w:pPr>
        <w:spacing w:before="240" w:after="240"/>
        <w:ind w:left="720"/>
        <w:jc w:val="both"/>
      </w:pPr>
      <w:r>
        <w:rPr>
          <w:b/>
          <w:u w:val="single"/>
        </w:rPr>
        <w:t>HERA – Health Education and Research Association</w:t>
      </w:r>
      <w:r>
        <w:t xml:space="preserve"> was founded in 2000 as an organisation of medical students to raise public awareness of HIV and AIDS and to provide psycho-social support and access to treatment for People Living with HIV. HERA’s mission is to create strong partnerships with young people, women and socio-vulnerable communities in advancing gender equality in North Macedonia and by providing continuous and comprehensive care against gender-based violence to make sure its citizens enjoy their reproductive freedoms. HERA works in the following 3 strategic pillars, including 1) Youth participation, 2) Sexual and reproductive care, and 3) Gender-based violence. The main target groups of HERA are young people, women and marginalised and poor communities, with a special focus on Roma, LGBTI, persons with disabilities and survivors of violence. Through its stationary and mobile services, HERA covers more than 6,000 clients a year, particularly persons who are at social risk. </w:t>
      </w:r>
    </w:p>
    <w:p w14:paraId="00000029" w14:textId="77777777" w:rsidR="001F4463" w:rsidRDefault="00665134">
      <w:pPr>
        <w:spacing w:before="240" w:after="240"/>
        <w:ind w:firstLine="720"/>
        <w:jc w:val="both"/>
        <w:rPr>
          <w:b/>
          <w:highlight w:val="yellow"/>
        </w:rPr>
      </w:pPr>
      <w:r>
        <w:rPr>
          <w:b/>
        </w:rPr>
        <w:t>Contact</w:t>
      </w:r>
      <w:r>
        <w:t xml:space="preserve">: Vesna Turmakovska, </w:t>
      </w:r>
      <w:hyperlink r:id="rId12">
        <w:r>
          <w:rPr>
            <w:color w:val="1155CC"/>
            <w:u w:val="single"/>
          </w:rPr>
          <w:t>vesna.turmakovska@hera.org.mk</w:t>
        </w:r>
      </w:hyperlink>
      <w:r>
        <w:t xml:space="preserve">. </w:t>
      </w:r>
    </w:p>
    <w:p w14:paraId="0000002A" w14:textId="77777777" w:rsidR="001F4463" w:rsidRDefault="001F4463">
      <w:pPr>
        <w:ind w:left="720"/>
        <w:jc w:val="both"/>
        <w:rPr>
          <w:highlight w:val="yellow"/>
        </w:rPr>
      </w:pPr>
    </w:p>
    <w:p w14:paraId="0000002B" w14:textId="77777777" w:rsidR="001F4463" w:rsidRDefault="00665134">
      <w:pPr>
        <w:ind w:left="720"/>
        <w:jc w:val="both"/>
      </w:pPr>
      <w:r>
        <w:rPr>
          <w:b/>
          <w:u w:val="single"/>
        </w:rPr>
        <w:t>TransFormA</w:t>
      </w:r>
      <w:r>
        <w:rPr>
          <w:u w:val="single"/>
        </w:rPr>
        <w:t xml:space="preserve"> </w:t>
      </w:r>
      <w:r>
        <w:t>is a collective of transgender individuals dedicated to advocating for the rights and dignified representation of the transgender community. The initiative was founded with the primary goals of uniting transgender individuals and working towards legal recognition of gender and social acceptance.</w:t>
      </w:r>
    </w:p>
    <w:p w14:paraId="0000002C" w14:textId="77777777" w:rsidR="001F4463" w:rsidRDefault="00665134">
      <w:pPr>
        <w:jc w:val="both"/>
      </w:pPr>
      <w:r>
        <w:t xml:space="preserve"> </w:t>
      </w:r>
    </w:p>
    <w:p w14:paraId="0000002D" w14:textId="77777777" w:rsidR="001F4463" w:rsidRDefault="00665134">
      <w:pPr>
        <w:ind w:left="720"/>
        <w:jc w:val="both"/>
        <w:rPr>
          <w:highlight w:val="yellow"/>
        </w:rPr>
      </w:pPr>
      <w:r>
        <w:rPr>
          <w:b/>
        </w:rPr>
        <w:t>Contacts</w:t>
      </w:r>
      <w:r>
        <w:t xml:space="preserve">: Lila Milikj, </w:t>
      </w:r>
      <w:hyperlink r:id="rId13">
        <w:r>
          <w:rPr>
            <w:color w:val="1155CC"/>
            <w:u w:val="single"/>
          </w:rPr>
          <w:t>milikjlila1984@gmail.com</w:t>
        </w:r>
      </w:hyperlink>
      <w:r>
        <w:t>.</w:t>
      </w:r>
    </w:p>
    <w:p w14:paraId="0000002E" w14:textId="77777777" w:rsidR="001F4463" w:rsidRDefault="00665134">
      <w:pPr>
        <w:ind w:left="720"/>
        <w:jc w:val="both"/>
      </w:pPr>
      <w:r>
        <w:t xml:space="preserve"> </w:t>
      </w:r>
    </w:p>
    <w:p w14:paraId="0000002F" w14:textId="77777777" w:rsidR="001F4463" w:rsidRDefault="00665134">
      <w:pPr>
        <w:numPr>
          <w:ilvl w:val="0"/>
          <w:numId w:val="1"/>
        </w:numPr>
        <w:jc w:val="both"/>
      </w:pPr>
      <w:r>
        <w:t>We have prepared this report to offer the United Nations Committee on Economic, Social and Cultural Rights more precise insights into the limitations in accessing rights faced by lesbian, gay men, bisexual, transgender, intersex, and queer (LGBTIQ+) people in North Macedonia, as well as to highlight the State's (non)compliance with its obligations.</w:t>
      </w:r>
    </w:p>
    <w:p w14:paraId="00000030" w14:textId="77777777" w:rsidR="001F4463" w:rsidRDefault="00665134">
      <w:pPr>
        <w:ind w:left="720"/>
        <w:jc w:val="both"/>
      </w:pPr>
      <w:r>
        <w:t xml:space="preserve"> </w:t>
      </w:r>
    </w:p>
    <w:p w14:paraId="00000031" w14:textId="77777777" w:rsidR="001F4463" w:rsidRDefault="00665134">
      <w:pPr>
        <w:numPr>
          <w:ilvl w:val="0"/>
          <w:numId w:val="7"/>
        </w:numPr>
        <w:jc w:val="both"/>
      </w:pPr>
      <w:r>
        <w:t>This report aims to provide insight into the experiences of LGBTIQ+ people as one of the key disadvantaged populations, especially considering that the State did not facilitate a comprehensive consultation process, thus neglecting the opportunity to incorporate the community's concerns into its submission.</w:t>
      </w:r>
    </w:p>
    <w:p w14:paraId="00000032" w14:textId="77777777" w:rsidR="001F4463" w:rsidRDefault="00665134">
      <w:pPr>
        <w:ind w:left="720"/>
        <w:jc w:val="both"/>
      </w:pPr>
      <w:r>
        <w:t xml:space="preserve"> </w:t>
      </w:r>
    </w:p>
    <w:p w14:paraId="00000033" w14:textId="77777777" w:rsidR="001F4463" w:rsidRDefault="00665134">
      <w:pPr>
        <w:numPr>
          <w:ilvl w:val="0"/>
          <w:numId w:val="8"/>
        </w:numPr>
        <w:jc w:val="both"/>
      </w:pPr>
      <w:r>
        <w:t>The report draws upon a comprehensive analysis of human rights violations, incorporating findings from the extensive monitoring efforts undertaken by Coalition Margins and TransFormA. Additionally, it combines knowledge from direct support provided to survivors and research and analysis reports authored by Coalition Margins and other institutions and LGBTIQ+ organisations.</w:t>
      </w:r>
    </w:p>
    <w:p w14:paraId="00000034" w14:textId="77777777" w:rsidR="001F4463" w:rsidRDefault="001F4463"/>
    <w:p w14:paraId="00000035" w14:textId="77777777" w:rsidR="001F4463" w:rsidRDefault="001F4463">
      <w:pPr>
        <w:rPr>
          <w:color w:val="0000FF"/>
        </w:rPr>
      </w:pPr>
    </w:p>
    <w:p w14:paraId="00000036" w14:textId="77777777" w:rsidR="001F4463" w:rsidRDefault="001F4463">
      <w:pPr>
        <w:rPr>
          <w:color w:val="0000FF"/>
        </w:rPr>
      </w:pPr>
    </w:p>
    <w:p w14:paraId="00000037" w14:textId="77777777" w:rsidR="001F4463" w:rsidRDefault="00665134">
      <w:pPr>
        <w:rPr>
          <w:b/>
          <w:sz w:val="26"/>
          <w:szCs w:val="26"/>
          <w:shd w:val="clear" w:color="auto" w:fill="CFE2F3"/>
        </w:rPr>
      </w:pPr>
      <w:r>
        <w:rPr>
          <w:b/>
          <w:sz w:val="26"/>
          <w:szCs w:val="26"/>
          <w:shd w:val="clear" w:color="auto" w:fill="CFE2F3"/>
        </w:rPr>
        <w:lastRenderedPageBreak/>
        <w:t>Update on Implementation of Recommendations from the CESCR V. Cycle (2016)</w:t>
      </w:r>
    </w:p>
    <w:p w14:paraId="00000038" w14:textId="77777777" w:rsidR="001F4463" w:rsidRDefault="001F4463">
      <w:pPr>
        <w:rPr>
          <w:color w:val="0000FF"/>
        </w:rPr>
      </w:pPr>
    </w:p>
    <w:p w14:paraId="00000039" w14:textId="77777777" w:rsidR="001F4463" w:rsidRDefault="00665134">
      <w:pPr>
        <w:numPr>
          <w:ilvl w:val="0"/>
          <w:numId w:val="4"/>
        </w:numPr>
        <w:jc w:val="both"/>
      </w:pPr>
      <w:r>
        <w:t>In 2016, CESCR</w:t>
      </w:r>
      <w:r>
        <w:rPr>
          <w:vertAlign w:val="superscript"/>
        </w:rPr>
        <w:footnoteReference w:id="1"/>
      </w:r>
      <w:r>
        <w:t xml:space="preserve"> recommended the State to explicitly prohibit SOGI-based discrimination, ensure equal access to benefits for same-sex couples, combat negative stereotypes and stigmatisation of LGBTI individuals through textbook revisions and public awareness campaigns, and promptly investigate and prosecute acts of violence against LGBTI people. Partial progress has been made with including SOGI as protected grounds in the new 2020 Law on Prevention and Protection of Discrimination (LPPD). However, textbook revisions were put on hold due to anti-gender opposition and lack of political will, and mandatory LGBTIQ-focused training for state officers remains unimplemented. Same-sex couples lack recognition and rights equivalent to married couples in North Macedonia, and no public awareness campaign has been implemented by the State. </w:t>
      </w:r>
    </w:p>
    <w:p w14:paraId="0000003A" w14:textId="77777777" w:rsidR="001F4463" w:rsidRDefault="00665134">
      <w:pPr>
        <w:numPr>
          <w:ilvl w:val="0"/>
          <w:numId w:val="4"/>
        </w:numPr>
        <w:jc w:val="both"/>
      </w:pPr>
      <w:r>
        <w:t>CESCR</w:t>
      </w:r>
      <w:r>
        <w:rPr>
          <w:vertAlign w:val="superscript"/>
        </w:rPr>
        <w:footnoteReference w:id="2"/>
      </w:r>
      <w:r>
        <w:t xml:space="preserve"> also urged the State to improve school education by providing age-appropriate, human-rights-based education on sexual and reproductive health. The State prolongs the implementation of this initiative.</w:t>
      </w:r>
    </w:p>
    <w:p w14:paraId="0000003B" w14:textId="77777777" w:rsidR="001F4463" w:rsidRDefault="00665134">
      <w:pPr>
        <w:numPr>
          <w:ilvl w:val="0"/>
          <w:numId w:val="4"/>
        </w:numPr>
        <w:jc w:val="both"/>
      </w:pPr>
      <w:r>
        <w:t>Furthermore, CESCR</w:t>
      </w:r>
      <w:r>
        <w:rPr>
          <w:vertAlign w:val="superscript"/>
        </w:rPr>
        <w:footnoteReference w:id="3"/>
      </w:r>
      <w:r>
        <w:t xml:space="preserve"> specifically urged MK to ratify the Optional Protocol to the International Covenant on Economic, Social and Cultural Rights, yet the State has neither signed nor ratified this Protocol.</w:t>
      </w:r>
    </w:p>
    <w:p w14:paraId="0000003C" w14:textId="77777777" w:rsidR="001F4463" w:rsidRDefault="00665134">
      <w:pPr>
        <w:numPr>
          <w:ilvl w:val="0"/>
          <w:numId w:val="4"/>
        </w:numPr>
        <w:jc w:val="both"/>
      </w:pPr>
      <w:r>
        <w:t>In the State Party's report</w:t>
      </w:r>
      <w:r>
        <w:rPr>
          <w:vertAlign w:val="superscript"/>
        </w:rPr>
        <w:footnoteReference w:id="4"/>
      </w:r>
      <w:r>
        <w:t xml:space="preserve"> for this cycle of CESCR, the state failed to provide a comprehensive response on the implementation of received recommendations, mentioning only the adoption of the LPPD. Additionally, the report noted a 2017 training on access to justice for LGBTI individuals. Still, it did not explain why this module has not been integrated into the regular curricula of the academy for prosecutors and judges or the police academy.</w:t>
      </w:r>
    </w:p>
    <w:p w14:paraId="0000003D" w14:textId="77777777" w:rsidR="001F4463" w:rsidRDefault="001F4463">
      <w:pPr>
        <w:ind w:left="720"/>
        <w:jc w:val="both"/>
      </w:pPr>
    </w:p>
    <w:p w14:paraId="0000003E" w14:textId="77777777" w:rsidR="001F4463" w:rsidRDefault="001F4463">
      <w:pPr>
        <w:rPr>
          <w:color w:val="0000FF"/>
        </w:rPr>
      </w:pPr>
    </w:p>
    <w:p w14:paraId="0000003F" w14:textId="77777777" w:rsidR="001F4463" w:rsidRDefault="00665134">
      <w:pPr>
        <w:rPr>
          <w:b/>
          <w:sz w:val="26"/>
          <w:szCs w:val="26"/>
          <w:shd w:val="clear" w:color="auto" w:fill="CFE2F3"/>
        </w:rPr>
      </w:pPr>
      <w:r>
        <w:rPr>
          <w:b/>
          <w:sz w:val="26"/>
          <w:szCs w:val="26"/>
          <w:shd w:val="clear" w:color="auto" w:fill="CFE2F3"/>
        </w:rPr>
        <w:t xml:space="preserve">General context </w:t>
      </w:r>
    </w:p>
    <w:p w14:paraId="00000040" w14:textId="77777777" w:rsidR="001F4463" w:rsidRDefault="001F4463">
      <w:pPr>
        <w:rPr>
          <w:b/>
          <w:i/>
          <w:shd w:val="clear" w:color="auto" w:fill="CFE2F3"/>
        </w:rPr>
      </w:pPr>
    </w:p>
    <w:p w14:paraId="00000041" w14:textId="77777777" w:rsidR="001F4463" w:rsidRDefault="00665134">
      <w:pPr>
        <w:numPr>
          <w:ilvl w:val="0"/>
          <w:numId w:val="4"/>
        </w:numPr>
        <w:jc w:val="both"/>
      </w:pPr>
      <w:r>
        <w:t xml:space="preserve">Since the last CESCR cycle in 2016, North Macedonia has made limited progress in advancing the rights of LGBTIQ individuals and the broader human rights agenda. Although there have been some legal advancements, such as the 2018 Amendments to the Criminal Code recognising SOGI as protected categories of hate crimes, and the 2021 Law on Prevention and Protection of Violence Against Women and Domestic Violence, significant gaps remain. The 2020 LPPD has not been fully harmonised with </w:t>
      </w:r>
      <w:r>
        <w:lastRenderedPageBreak/>
        <w:t>other legislation, including the Labour Relations Law, which has yet to formally incorporate these protected characteristics. Additionally, in November 2024, the state began a process to remove SOGI as protected categories against discrimination from the existing Law on Primary Education.</w:t>
      </w:r>
      <w:r>
        <w:rPr>
          <w:vertAlign w:val="superscript"/>
        </w:rPr>
        <w:footnoteReference w:id="5"/>
      </w:r>
    </w:p>
    <w:p w14:paraId="00000042" w14:textId="77777777" w:rsidR="001F4463" w:rsidRDefault="00665134">
      <w:pPr>
        <w:numPr>
          <w:ilvl w:val="0"/>
          <w:numId w:val="4"/>
        </w:numPr>
        <w:jc w:val="both"/>
      </w:pPr>
      <w:r>
        <w:t>In the 4th UPR Cycle (2024), North Macedonia failed to support key recommendations, specifically calling for concrete actions for the protection and inclusion of LGBTIQ people.</w:t>
      </w:r>
      <w:r>
        <w:rPr>
          <w:vertAlign w:val="superscript"/>
        </w:rPr>
        <w:footnoteReference w:id="6"/>
      </w:r>
      <w:r>
        <w:t xml:space="preserve"> This includes the recommendation for incorporating a comprehensive definition of hate speech in the Criminal Code that explicitly recognizes sexual orientation and gender identity as protected categories and the recommendation to establish a fast, transparent, and accessible legal gender recognition process based on self-determination. The decision to note these key recommendations is contrary to the international standards as well as the judgement by the European Court for Human Rights (</w:t>
      </w:r>
      <w:r>
        <w:rPr>
          <w:i/>
        </w:rPr>
        <w:t>Case 29683/16, X v. FYROM</w:t>
      </w:r>
      <w:r>
        <w:t>).</w:t>
      </w:r>
      <w:r>
        <w:rPr>
          <w:vertAlign w:val="superscript"/>
        </w:rPr>
        <w:footnoteReference w:id="7"/>
      </w:r>
    </w:p>
    <w:p w14:paraId="00000043" w14:textId="77777777" w:rsidR="001F4463" w:rsidRDefault="00665134">
      <w:pPr>
        <w:numPr>
          <w:ilvl w:val="0"/>
          <w:numId w:val="4"/>
        </w:numPr>
        <w:jc w:val="both"/>
      </w:pPr>
      <w:r>
        <w:t>The rise of anti-gender movements,</w:t>
      </w:r>
      <w:r>
        <w:rPr>
          <w:vertAlign w:val="superscript"/>
        </w:rPr>
        <w:footnoteReference w:id="8"/>
      </w:r>
      <w:r>
        <w:t xml:space="preserve"> driven by members from religious institutions, political groups, and local authorities, has negatively impacted the enjoyment of social, economic, and cultural rights of LGBTIQ people in North Macedonia. These movements have spread intolerance and targeted both individuals and organisations advocating for LGBTIQ rights. As a result, key legislation, including the Gender Equality Law, amendments to the Civil Registry Law regulating legal gender recognition, as well as educational reforms have been delayed or blocked. This has led to increased stigma, discrimination, and intolerance against LGBTIQ people.</w:t>
      </w:r>
    </w:p>
    <w:p w14:paraId="00000044" w14:textId="77777777" w:rsidR="001F4463" w:rsidRDefault="00665134">
      <w:pPr>
        <w:numPr>
          <w:ilvl w:val="0"/>
          <w:numId w:val="4"/>
        </w:numPr>
        <w:jc w:val="both"/>
      </w:pPr>
      <w:r>
        <w:t>Research studies in the country paint a concerning picture of the level of acceptance and tolerance towards LGBTI people. One report indicated that 81% of respondents expressed intolerance to have an LGBTI person as their neighbour.</w:t>
      </w:r>
      <w:r>
        <w:rPr>
          <w:vertAlign w:val="superscript"/>
        </w:rPr>
        <w:footnoteReference w:id="9"/>
      </w:r>
      <w:r>
        <w:t xml:space="preserve"> Moreover, data from the European Social Survey revealed that 61% of respondents (highest in Europe) admitted they would feel ashamed if a close family member were identified as a gay man or a lesbian. Additionally, only 24% (lowest in Europe) of those surveyed agreed that gay men and lesbians should have the freedom to live their lives as they wish.</w:t>
      </w:r>
      <w:r>
        <w:rPr>
          <w:vertAlign w:val="superscript"/>
        </w:rPr>
        <w:footnoteReference w:id="10"/>
      </w:r>
    </w:p>
    <w:p w14:paraId="00000045" w14:textId="77777777" w:rsidR="001F4463" w:rsidRDefault="00665134">
      <w:pPr>
        <w:numPr>
          <w:ilvl w:val="0"/>
          <w:numId w:val="4"/>
        </w:numPr>
        <w:jc w:val="both"/>
      </w:pPr>
      <w:r>
        <w:lastRenderedPageBreak/>
        <w:t>In the recently published Rainbow Index by ILGA Europe, North Macedonia ranks 31st</w:t>
      </w:r>
      <w:r>
        <w:rPr>
          <w:vertAlign w:val="superscript"/>
        </w:rPr>
        <w:footnoteReference w:id="11"/>
      </w:r>
      <w:r>
        <w:t xml:space="preserve"> out of 49 evaluated countries. It is the lowest-ranked Western Balkan country with just 30.5% of the laws ILGA Europe evaluated in place (the EU average is 50%). </w:t>
      </w:r>
    </w:p>
    <w:p w14:paraId="00000046" w14:textId="77777777" w:rsidR="001F4463" w:rsidRDefault="001F4463">
      <w:pPr>
        <w:rPr>
          <w:b/>
        </w:rPr>
      </w:pPr>
    </w:p>
    <w:p w14:paraId="00000047" w14:textId="77777777" w:rsidR="001F4463" w:rsidRDefault="001F4463">
      <w:pPr>
        <w:rPr>
          <w:b/>
          <w:i/>
        </w:rPr>
      </w:pPr>
    </w:p>
    <w:p w14:paraId="00000048" w14:textId="77777777" w:rsidR="001F4463" w:rsidRDefault="00665134">
      <w:pPr>
        <w:rPr>
          <w:b/>
          <w:sz w:val="26"/>
          <w:szCs w:val="26"/>
          <w:shd w:val="clear" w:color="auto" w:fill="CFE2F3"/>
        </w:rPr>
      </w:pPr>
      <w:r>
        <w:rPr>
          <w:b/>
          <w:sz w:val="26"/>
          <w:szCs w:val="26"/>
          <w:shd w:val="clear" w:color="auto" w:fill="CFE2F3"/>
        </w:rPr>
        <w:t>Cross-cutting issue: Limited access to legal gender recognition (LGR) based on self-determination (Article 1) as a barrier to enjoyment of the Covenant, particularly access to work (Articles 6, 7), social security (Article 9), health (Article 11) housing (Article 12), and education (Articles 13, 14)</w:t>
      </w:r>
    </w:p>
    <w:p w14:paraId="00000049" w14:textId="77777777" w:rsidR="001F4463" w:rsidRDefault="001F4463">
      <w:pPr>
        <w:jc w:val="both"/>
      </w:pPr>
    </w:p>
    <w:p w14:paraId="0000004A" w14:textId="77777777" w:rsidR="001F4463" w:rsidRDefault="00665134">
      <w:pPr>
        <w:numPr>
          <w:ilvl w:val="0"/>
          <w:numId w:val="4"/>
        </w:numPr>
        <w:jc w:val="both"/>
      </w:pPr>
      <w:r>
        <w:t>In November 2018, the Ministry of Justice established a working group to facilitate legal gender recognition (LGR) for transgender people. Shortly thereafter, in January 2019, the European Court of Human Rights (ECtHR) ruled on the case of X v. FYROM (</w:t>
      </w:r>
      <w:r>
        <w:rPr>
          <w:i/>
        </w:rPr>
        <w:t>Case 29683/16</w:t>
      </w:r>
      <w:r>
        <w:t>),</w:t>
      </w:r>
      <w:r>
        <w:rPr>
          <w:vertAlign w:val="superscript"/>
        </w:rPr>
        <w:footnoteReference w:id="12"/>
      </w:r>
      <w:r>
        <w:t xml:space="preserve"> providing essential guidance to the working group. The ECtHR stressed the need for an LGR that is "quick, transparent, and accessible." Civil Society Organisations (CSOs) representing the transgender community participated in the working group's discussions, voicing the community's concerns. Although the draft law did not fully adopt the principle of self-determination, it was nonetheless accepted by the transgender community. The Ministry of Justice proposed the draft law, and it was subsequently adopted by the Government in April 2021.</w:t>
      </w:r>
      <w:r>
        <w:rPr>
          <w:vertAlign w:val="superscript"/>
        </w:rPr>
        <w:footnoteReference w:id="13"/>
      </w:r>
    </w:p>
    <w:p w14:paraId="0000004B" w14:textId="77777777" w:rsidR="001F4463" w:rsidRDefault="00665134">
      <w:pPr>
        <w:numPr>
          <w:ilvl w:val="0"/>
          <w:numId w:val="4"/>
        </w:numPr>
        <w:jc w:val="both"/>
      </w:pPr>
      <w:r>
        <w:t>However, in March 2022, under pressure from anti-gender groups that sent over 400 letters with false information on gender identity to MPs and government officials, the government withdrew the draft law from Parliamentary procedures,</w:t>
      </w:r>
      <w:r>
        <w:rPr>
          <w:vertAlign w:val="superscript"/>
        </w:rPr>
        <w:footnoteReference w:id="14"/>
      </w:r>
      <w:r>
        <w:t xml:space="preserve"> failing to meet their obligations to the ECtHR and international mechanisms. The Ministry of Justice then formed a new working group to draft a new Law on Civil Registry. At first, the CSOs working on trans rights were not invited to the task force, but they were included after pressure on the institution. However, in the end, only partial amendments to the Law were adopted, those related to the rights of undocumented people, leaving behind transgender people without appropriate protection. As of June 2024, the newly established government has not reconstituted the working group or addressed the issue.</w:t>
      </w:r>
    </w:p>
    <w:p w14:paraId="0000004C" w14:textId="77777777" w:rsidR="001F4463" w:rsidRDefault="00665134">
      <w:pPr>
        <w:numPr>
          <w:ilvl w:val="0"/>
          <w:numId w:val="4"/>
        </w:numPr>
        <w:jc w:val="both"/>
      </w:pPr>
      <w:r>
        <w:t xml:space="preserve">As of September 2024, 21 individuals have updated their documents despite the current legal ambiguity and lack of an LGR law. Of these, only five accessed LGR based on self-determination, while the other 16 have undergone partial or complete gender reassignment processes. This situation highlights the State's failure to uphold the principle of self-determination for all applicants. By continuing this practice, the State </w:t>
      </w:r>
      <w:r>
        <w:lastRenderedPageBreak/>
        <w:t>pathologised transgender people, contrary to its obligations under WHO ICD-11,</w:t>
      </w:r>
      <w:r>
        <w:rPr>
          <w:vertAlign w:val="superscript"/>
        </w:rPr>
        <w:footnoteReference w:id="15"/>
      </w:r>
      <w:r>
        <w:t xml:space="preserve"> even though, in General comment No. 22 (2016), CESCR has recognised that </w:t>
      </w:r>
      <w:r>
        <w:rPr>
          <w:i/>
        </w:rPr>
        <w:t>“[l]aws and policies that indirectly perpetuate coercive medical practices, including [...] hormonal therapy, as well as surgery or sterilisation requirements for legal recognition of one’s gender identity, constitute additional violations of the obligation to respect.”</w:t>
      </w:r>
      <w:r>
        <w:rPr>
          <w:vertAlign w:val="superscript"/>
        </w:rPr>
        <w:footnoteReference w:id="16"/>
      </w:r>
      <w:r>
        <w:t xml:space="preserve"> </w:t>
      </w:r>
    </w:p>
    <w:p w14:paraId="0000004D" w14:textId="77777777" w:rsidR="001F4463" w:rsidRDefault="00665134">
      <w:pPr>
        <w:numPr>
          <w:ilvl w:val="0"/>
          <w:numId w:val="4"/>
        </w:numPr>
        <w:jc w:val="both"/>
      </w:pPr>
      <w:r>
        <w:t>Transgender people face significant barriers to accessing the rights protected under the Covenant due to the absence of accurate gender markers on personal documents. These barriers pervade daily life, affecting interactions with banks, employers, education institutions, healthcare providers, and other state institutions. The need to repeatedly explain and defend their identity in these settings often leads to stress, humiliation, and a sense of vulnerability.</w:t>
      </w:r>
      <w:r>
        <w:rPr>
          <w:vertAlign w:val="superscript"/>
        </w:rPr>
        <w:footnoteReference w:id="17"/>
      </w:r>
      <w:r>
        <w:t xml:space="preserve"> This exclusion and discrimination result in many transgender individuals avoiding essential services like medical care, struggling to secure employment, and refraining from using bank accounts.</w:t>
      </w:r>
      <w:r>
        <w:rPr>
          <w:vertAlign w:val="superscript"/>
        </w:rPr>
        <w:footnoteReference w:id="18"/>
      </w:r>
      <w:r>
        <w:t xml:space="preserve"> A more detailed overview of the barriers transgender (also LGBTQI+) people encounter in accessing selected Covenant rights will be provided in the following chapters.</w:t>
      </w:r>
    </w:p>
    <w:p w14:paraId="0000004E" w14:textId="77777777" w:rsidR="001F4463" w:rsidRDefault="001F4463">
      <w:pPr>
        <w:ind w:left="720"/>
        <w:jc w:val="both"/>
      </w:pPr>
    </w:p>
    <w:p w14:paraId="0000004F" w14:textId="77777777" w:rsidR="001F4463" w:rsidRDefault="00665134">
      <w:pPr>
        <w:jc w:val="both"/>
        <w:rPr>
          <w:b/>
        </w:rPr>
      </w:pPr>
      <w:r>
        <w:rPr>
          <w:b/>
        </w:rPr>
        <w:t xml:space="preserve">Recommended Questions </w:t>
      </w:r>
    </w:p>
    <w:p w14:paraId="00000050" w14:textId="77777777" w:rsidR="001F4463" w:rsidRDefault="00665134">
      <w:pPr>
        <w:numPr>
          <w:ilvl w:val="0"/>
          <w:numId w:val="2"/>
        </w:numPr>
        <w:jc w:val="both"/>
        <w:rPr>
          <w:b/>
        </w:rPr>
      </w:pPr>
      <w:r>
        <w:rPr>
          <w:b/>
        </w:rPr>
        <w:t>What concrete measures is North Macedonia planning to implement to address the lack of quick, transparent, and accessible LGR procedure based on self-determination as a significant barrier to transgender people's enjoyment of Covenant rights?</w:t>
      </w:r>
    </w:p>
    <w:p w14:paraId="00000051" w14:textId="77777777" w:rsidR="001F4463" w:rsidRDefault="001F4463">
      <w:pPr>
        <w:jc w:val="both"/>
        <w:rPr>
          <w:b/>
          <w:highlight w:val="yellow"/>
        </w:rPr>
      </w:pPr>
    </w:p>
    <w:p w14:paraId="00000052" w14:textId="77777777" w:rsidR="001F4463" w:rsidRDefault="00665134">
      <w:pPr>
        <w:jc w:val="both"/>
        <w:rPr>
          <w:b/>
        </w:rPr>
      </w:pPr>
      <w:r>
        <w:rPr>
          <w:b/>
        </w:rPr>
        <w:t xml:space="preserve">Suggested Recommendations </w:t>
      </w:r>
    </w:p>
    <w:p w14:paraId="00000053" w14:textId="77777777" w:rsidR="001F4463" w:rsidRDefault="00665134">
      <w:pPr>
        <w:numPr>
          <w:ilvl w:val="0"/>
          <w:numId w:val="3"/>
        </w:numPr>
        <w:jc w:val="both"/>
        <w:rPr>
          <w:b/>
        </w:rPr>
      </w:pPr>
      <w:r>
        <w:rPr>
          <w:b/>
        </w:rPr>
        <w:t xml:space="preserve">The State to adopt and implement an efficient administrative procedure for legal gender recognition, ensuring it is quick, transparent, accessible, and in line with the principle of self-determination. </w:t>
      </w:r>
    </w:p>
    <w:p w14:paraId="00000054" w14:textId="77777777" w:rsidR="001F4463" w:rsidRDefault="00665134">
      <w:pPr>
        <w:numPr>
          <w:ilvl w:val="0"/>
          <w:numId w:val="3"/>
        </w:numPr>
        <w:jc w:val="both"/>
        <w:rPr>
          <w:b/>
        </w:rPr>
      </w:pPr>
      <w:r>
        <w:rPr>
          <w:b/>
        </w:rPr>
        <w:t>The State should mandate training programs for state officials across all sectors to ensure the ethical treatment of transgender people, aiming to reduce the daily distress and harassment they face.</w:t>
      </w:r>
    </w:p>
    <w:p w14:paraId="00000055" w14:textId="77777777" w:rsidR="001F4463" w:rsidRDefault="001F4463">
      <w:pPr>
        <w:rPr>
          <w:shd w:val="clear" w:color="auto" w:fill="CFE2F3"/>
        </w:rPr>
      </w:pPr>
    </w:p>
    <w:p w14:paraId="00000056" w14:textId="77777777" w:rsidR="001F4463" w:rsidRDefault="001F4463">
      <w:pPr>
        <w:rPr>
          <w:shd w:val="clear" w:color="auto" w:fill="CFE2F3"/>
          <w:lang w:val="en-US"/>
        </w:rPr>
      </w:pPr>
    </w:p>
    <w:p w14:paraId="6B41CC5B" w14:textId="77777777" w:rsidR="00F31FAC" w:rsidRDefault="00F31FAC">
      <w:pPr>
        <w:rPr>
          <w:shd w:val="clear" w:color="auto" w:fill="CFE2F3"/>
          <w:lang w:val="en-US"/>
        </w:rPr>
      </w:pPr>
    </w:p>
    <w:p w14:paraId="61C61281" w14:textId="77777777" w:rsidR="00F31FAC" w:rsidRDefault="00F31FAC">
      <w:pPr>
        <w:rPr>
          <w:shd w:val="clear" w:color="auto" w:fill="CFE2F3"/>
          <w:lang w:val="en-US"/>
        </w:rPr>
      </w:pPr>
    </w:p>
    <w:p w14:paraId="2A77C332" w14:textId="77777777" w:rsidR="00F31FAC" w:rsidRDefault="00F31FAC">
      <w:pPr>
        <w:rPr>
          <w:shd w:val="clear" w:color="auto" w:fill="CFE2F3"/>
          <w:lang w:val="en-US"/>
        </w:rPr>
      </w:pPr>
    </w:p>
    <w:p w14:paraId="314D26EA" w14:textId="77777777" w:rsidR="00F31FAC" w:rsidRDefault="00F31FAC">
      <w:pPr>
        <w:rPr>
          <w:shd w:val="clear" w:color="auto" w:fill="CFE2F3"/>
          <w:lang w:val="en-US"/>
        </w:rPr>
      </w:pPr>
    </w:p>
    <w:p w14:paraId="1B5CE0BE" w14:textId="77777777" w:rsidR="00F31FAC" w:rsidRPr="00F31FAC" w:rsidRDefault="00F31FAC">
      <w:pPr>
        <w:rPr>
          <w:shd w:val="clear" w:color="auto" w:fill="CFE2F3"/>
          <w:lang w:val="en-US"/>
        </w:rPr>
      </w:pPr>
    </w:p>
    <w:p w14:paraId="00000058" w14:textId="6EFC9680" w:rsidR="001F4463" w:rsidRDefault="00665134">
      <w:pPr>
        <w:rPr>
          <w:b/>
          <w:sz w:val="26"/>
          <w:szCs w:val="26"/>
          <w:shd w:val="clear" w:color="auto" w:fill="CFE2F3"/>
          <w:lang w:val="en-US"/>
        </w:rPr>
      </w:pPr>
      <w:r>
        <w:rPr>
          <w:b/>
          <w:sz w:val="26"/>
          <w:szCs w:val="26"/>
          <w:shd w:val="clear" w:color="auto" w:fill="CFE2F3"/>
        </w:rPr>
        <w:lastRenderedPageBreak/>
        <w:t>Rights to work and to favourable conditions of work (Articles 6, 7)</w:t>
      </w:r>
    </w:p>
    <w:p w14:paraId="7C7BA6E7" w14:textId="77777777" w:rsidR="00F31FAC" w:rsidRPr="00F31FAC" w:rsidRDefault="00F31FAC">
      <w:pPr>
        <w:rPr>
          <w:b/>
          <w:sz w:val="26"/>
          <w:szCs w:val="26"/>
          <w:lang w:val="en-US"/>
        </w:rPr>
      </w:pPr>
    </w:p>
    <w:p w14:paraId="00000059" w14:textId="77777777" w:rsidR="001F4463" w:rsidRDefault="00665134">
      <w:pPr>
        <w:numPr>
          <w:ilvl w:val="0"/>
          <w:numId w:val="4"/>
        </w:numPr>
        <w:jc w:val="both"/>
      </w:pPr>
      <w:r>
        <w:t>The State has failed to amend the Law on Labour Relations to align it with the Law on Prevention and Protection of Discrimination,</w:t>
      </w:r>
      <w:r>
        <w:rPr>
          <w:vertAlign w:val="superscript"/>
        </w:rPr>
        <w:footnoteReference w:id="19"/>
      </w:r>
      <w:r>
        <w:t xml:space="preserve"> specifically by recognising sexual orientation and gender identity as protected grounds against discrimination in employment.</w:t>
      </w:r>
    </w:p>
    <w:p w14:paraId="0000005A" w14:textId="77777777" w:rsidR="001F4463" w:rsidRDefault="00665134">
      <w:pPr>
        <w:numPr>
          <w:ilvl w:val="0"/>
          <w:numId w:val="4"/>
        </w:numPr>
        <w:jc w:val="both"/>
      </w:pPr>
      <w:r>
        <w:t>Currently, the Law on Labour Relations</w:t>
      </w:r>
      <w:r>
        <w:rPr>
          <w:vertAlign w:val="superscript"/>
        </w:rPr>
        <w:footnoteReference w:id="20"/>
      </w:r>
      <w:r>
        <w:t xml:space="preserve"> only recognises "sexual inclination" as a protected category. This term does not guarantee the same protection as "sexual orientation" because it may be viewed as a personal preference rather than an inherent aspect of identity. As a result, this terminology undermines the recognition of sexual orientation (and gender identity) as fundamental grounds for legal protection.</w:t>
      </w:r>
    </w:p>
    <w:p w14:paraId="0000005B" w14:textId="77777777" w:rsidR="001F4463" w:rsidRDefault="00665134">
      <w:pPr>
        <w:numPr>
          <w:ilvl w:val="0"/>
          <w:numId w:val="4"/>
        </w:numPr>
        <w:jc w:val="both"/>
      </w:pPr>
      <w:r>
        <w:t>According to the May 2024 survey by the European Union Agency for Fundamental Rights (FRA),</w:t>
      </w:r>
      <w:r>
        <w:rPr>
          <w:vertAlign w:val="superscript"/>
        </w:rPr>
        <w:footnoteReference w:id="21"/>
      </w:r>
      <w:r>
        <w:t xml:space="preserve"> 27 percent of LGBTIQ people in North Macedonia experienced discrimination while seeking employment or at work within the past 12 months. This is particularly alarming given that nearly half (47 percent) of respondents always hide or disguise their LGBTIQ identity at work. Only 14 percent of respondents in North Macedonia are open about being LGBTIQ at work. Additionally, 49 percent reported always or often experiencing a general negative attitude at work against people due to their LGBTIQ identity within the past five years.</w:t>
      </w:r>
    </w:p>
    <w:p w14:paraId="0000005C" w14:textId="77777777" w:rsidR="001F4463" w:rsidRDefault="00665134">
      <w:pPr>
        <w:numPr>
          <w:ilvl w:val="0"/>
          <w:numId w:val="4"/>
        </w:numPr>
        <w:jc w:val="both"/>
      </w:pPr>
      <w:r>
        <w:t>A recent World Bank study</w:t>
      </w:r>
      <w:r>
        <w:rPr>
          <w:vertAlign w:val="superscript"/>
        </w:rPr>
        <w:footnoteReference w:id="22"/>
      </w:r>
      <w:r>
        <w:t xml:space="preserve"> found that SOGIESC-based exclusion in the labour market resulted in an annual economic loss of US$64 million, equivalent to 0.51 percent of North Macedonia's 2021 GDP. Additionally, this exclusion led to a fiscal loss of $17 million annually, or 0.13 percent of GDP. The study also revealed that the unemployment rate among LGBTI persons was higher than that of the general population.</w:t>
      </w:r>
    </w:p>
    <w:p w14:paraId="0000005D" w14:textId="77777777" w:rsidR="001F4463" w:rsidRDefault="00665134">
      <w:pPr>
        <w:numPr>
          <w:ilvl w:val="0"/>
          <w:numId w:val="4"/>
        </w:numPr>
        <w:jc w:val="both"/>
      </w:pPr>
      <w:r>
        <w:t>In 2022, Coalition Margins documented a case of discrimination against a transgender woman by State officials. Specifically, a Roma transgender woman seeking employment information at the Employment Agency was denied service and subjected to ridicule and inappropriate questions about her gender identity and appearance. This case presents intersectional discrimination.</w:t>
      </w:r>
      <w:r>
        <w:rPr>
          <w:vertAlign w:val="superscript"/>
        </w:rPr>
        <w:footnoteReference w:id="23"/>
      </w:r>
    </w:p>
    <w:p w14:paraId="0000005E" w14:textId="77777777" w:rsidR="001F4463" w:rsidRPr="00F31FAC" w:rsidRDefault="00665134">
      <w:pPr>
        <w:numPr>
          <w:ilvl w:val="0"/>
          <w:numId w:val="4"/>
        </w:numPr>
        <w:jc w:val="both"/>
      </w:pPr>
      <w:r>
        <w:t xml:space="preserve">In 2023, Coalition Margins documented a case involving a trans woman who experienced ongoing harassment at her workplace due to her gender identity. She was </w:t>
      </w:r>
      <w:r>
        <w:lastRenderedPageBreak/>
        <w:t>forced to wear male work clothes, mocked by her supervisor, and transferred to a lower-performing unit. She was then threatened with dismissal if her work performance did not improve. However, since a lawyer from Coalition Margins filed a warning against the employer, she has not reported any further mistreatment.</w:t>
      </w:r>
    </w:p>
    <w:p w14:paraId="0000005F" w14:textId="77777777" w:rsidR="001F4463" w:rsidRPr="00F31FAC" w:rsidRDefault="001F4463">
      <w:pPr>
        <w:rPr>
          <w:i/>
          <w:lang w:val="en-US"/>
        </w:rPr>
      </w:pPr>
    </w:p>
    <w:p w14:paraId="00000060" w14:textId="77777777" w:rsidR="001F4463" w:rsidRDefault="00665134">
      <w:pPr>
        <w:jc w:val="both"/>
        <w:rPr>
          <w:b/>
        </w:rPr>
      </w:pPr>
      <w:r>
        <w:rPr>
          <w:b/>
        </w:rPr>
        <w:t>Recommended Questions</w:t>
      </w:r>
    </w:p>
    <w:p w14:paraId="00000061" w14:textId="77777777" w:rsidR="001F4463" w:rsidRDefault="00665134">
      <w:pPr>
        <w:numPr>
          <w:ilvl w:val="0"/>
          <w:numId w:val="2"/>
        </w:numPr>
        <w:jc w:val="both"/>
        <w:rPr>
          <w:b/>
        </w:rPr>
      </w:pPr>
      <w:r>
        <w:rPr>
          <w:b/>
        </w:rPr>
        <w:t xml:space="preserve">What concrete measures is North Macedonia planning to take to protect the rights and dignity of LGBTIQ people and combat workplace discrimination against LGBTIQ people? </w:t>
      </w:r>
    </w:p>
    <w:p w14:paraId="00000062" w14:textId="77777777" w:rsidR="001F4463" w:rsidRDefault="00665134">
      <w:pPr>
        <w:numPr>
          <w:ilvl w:val="0"/>
          <w:numId w:val="2"/>
        </w:numPr>
        <w:jc w:val="both"/>
        <w:rPr>
          <w:b/>
        </w:rPr>
      </w:pPr>
      <w:r>
        <w:rPr>
          <w:b/>
        </w:rPr>
        <w:t>How does the State intend to mitigate the significant economic and fiscal losses associated with SOGIESC-based exclusion in the labour market?</w:t>
      </w:r>
    </w:p>
    <w:p w14:paraId="00000063" w14:textId="77777777" w:rsidR="001F4463" w:rsidRDefault="001F4463">
      <w:pPr>
        <w:jc w:val="both"/>
        <w:rPr>
          <w:b/>
          <w:highlight w:val="yellow"/>
        </w:rPr>
      </w:pPr>
    </w:p>
    <w:p w14:paraId="00000064" w14:textId="77777777" w:rsidR="001F4463" w:rsidRDefault="00665134">
      <w:pPr>
        <w:jc w:val="both"/>
        <w:rPr>
          <w:b/>
        </w:rPr>
      </w:pPr>
      <w:r>
        <w:rPr>
          <w:b/>
        </w:rPr>
        <w:t xml:space="preserve">Suggested Recommendations </w:t>
      </w:r>
    </w:p>
    <w:p w14:paraId="00000065" w14:textId="77777777" w:rsidR="001F4463" w:rsidRDefault="00665134">
      <w:pPr>
        <w:numPr>
          <w:ilvl w:val="0"/>
          <w:numId w:val="3"/>
        </w:numPr>
        <w:jc w:val="both"/>
        <w:rPr>
          <w:b/>
        </w:rPr>
      </w:pPr>
      <w:r>
        <w:rPr>
          <w:b/>
        </w:rPr>
        <w:t xml:space="preserve">The State should amend the Law on Labour Relations to explicitly recognise sexual orientation, gender identity and expression and sex characteristics as protected grounds against discrimination at work and in the process of employment. </w:t>
      </w:r>
    </w:p>
    <w:p w14:paraId="00000066" w14:textId="77777777" w:rsidR="001F4463" w:rsidRDefault="001F4463">
      <w:pPr>
        <w:ind w:left="720"/>
        <w:jc w:val="both"/>
        <w:rPr>
          <w:b/>
        </w:rPr>
      </w:pPr>
    </w:p>
    <w:p w14:paraId="00000067" w14:textId="77777777" w:rsidR="001F4463" w:rsidRDefault="001F4463"/>
    <w:p w14:paraId="00000068" w14:textId="77777777" w:rsidR="001F4463" w:rsidRDefault="00665134">
      <w:pPr>
        <w:rPr>
          <w:b/>
          <w:sz w:val="26"/>
          <w:szCs w:val="26"/>
          <w:shd w:val="clear" w:color="auto" w:fill="CFE2F3"/>
        </w:rPr>
      </w:pPr>
      <w:r>
        <w:rPr>
          <w:b/>
          <w:sz w:val="26"/>
          <w:szCs w:val="26"/>
          <w:shd w:val="clear" w:color="auto" w:fill="CFE2F3"/>
        </w:rPr>
        <w:t>Right to housing (Article 11)</w:t>
      </w:r>
    </w:p>
    <w:p w14:paraId="00000069" w14:textId="77777777" w:rsidR="001F4463" w:rsidRDefault="001F4463">
      <w:pPr>
        <w:rPr>
          <w:b/>
          <w:shd w:val="clear" w:color="auto" w:fill="CFE2F3"/>
        </w:rPr>
      </w:pPr>
    </w:p>
    <w:p w14:paraId="0000006A" w14:textId="77777777" w:rsidR="001F4463" w:rsidRDefault="00665134">
      <w:pPr>
        <w:numPr>
          <w:ilvl w:val="0"/>
          <w:numId w:val="4"/>
        </w:numPr>
        <w:jc w:val="both"/>
      </w:pPr>
      <w:r>
        <w:t>The Safe House, operating since December 2016, is the only shelter for LGBTIQ+ individuals at risk of homelessness and violence. Its funding sustainability is uncertain due to limited donor support. After obtaining the social service provider licence in 2021, the shelter signed an agreement with the Ministry of Social Policy, Demography and Youth (known at the time as the Ministry of Labor and Social Policy) for funding based on the number of beneficiaries that state recognises as survivors of gender-based violence (GBV). However, this funding model has shown not to be effective, as many LGBTI individuals do not report violence due to distrust in state institutions, fear of victimisation, and stigmatisation. Additionally, the Ministry and Centers for Social Work often fail to recognise GBV against LGBTI individuals, further limiting access to shelter services.</w:t>
      </w:r>
    </w:p>
    <w:p w14:paraId="0000006B" w14:textId="77777777" w:rsidR="001F4463" w:rsidRDefault="00665134">
      <w:pPr>
        <w:numPr>
          <w:ilvl w:val="0"/>
          <w:numId w:val="4"/>
        </w:numPr>
        <w:jc w:val="both"/>
      </w:pPr>
      <w:r>
        <w:t>Through direct work with LGBTIQ+ youth, Ekvalis has identified housing challenges and risks of homelessness within the LGBTIQ+ community. Some young beneficiaries of Ekvalis live with parents or guardians but experience deprivation of basic needs such as food, hygiene, social activities, and internet access. This deprivation, often as a punishment for their gender identity or sexual orientation, highlights the unrecognised housing crisis faced by LGBTIQ+ people.</w:t>
      </w:r>
    </w:p>
    <w:p w14:paraId="0000006C" w14:textId="77777777" w:rsidR="001F4463" w:rsidRDefault="001F4463">
      <w:pPr>
        <w:rPr>
          <w:i/>
          <w:color w:val="1155CC"/>
          <w:highlight w:val="yellow"/>
        </w:rPr>
      </w:pPr>
    </w:p>
    <w:p w14:paraId="0000006D" w14:textId="77777777" w:rsidR="001F4463" w:rsidRDefault="00665134">
      <w:pPr>
        <w:jc w:val="both"/>
        <w:rPr>
          <w:b/>
        </w:rPr>
      </w:pPr>
      <w:r>
        <w:rPr>
          <w:b/>
        </w:rPr>
        <w:t>Recommended Question</w:t>
      </w:r>
    </w:p>
    <w:p w14:paraId="0000006E" w14:textId="77777777" w:rsidR="001F4463" w:rsidRDefault="00665134">
      <w:pPr>
        <w:numPr>
          <w:ilvl w:val="0"/>
          <w:numId w:val="5"/>
        </w:numPr>
        <w:rPr>
          <w:b/>
        </w:rPr>
      </w:pPr>
      <w:r>
        <w:rPr>
          <w:b/>
        </w:rPr>
        <w:t>What concrete measures is the State going to take to ensure sustainable funding for shelters providing services to LGBTIQ+ survivors of violence?</w:t>
      </w:r>
    </w:p>
    <w:p w14:paraId="0000006F" w14:textId="77777777" w:rsidR="001F4463" w:rsidRDefault="001F4463">
      <w:pPr>
        <w:rPr>
          <w:b/>
        </w:rPr>
      </w:pPr>
    </w:p>
    <w:p w14:paraId="00000070" w14:textId="77777777" w:rsidR="001F4463" w:rsidRDefault="001F4463"/>
    <w:p w14:paraId="00000071" w14:textId="77777777" w:rsidR="001F4463" w:rsidRDefault="00665134">
      <w:pPr>
        <w:rPr>
          <w:b/>
          <w:sz w:val="26"/>
          <w:szCs w:val="26"/>
          <w:shd w:val="clear" w:color="auto" w:fill="CFE2F3"/>
        </w:rPr>
      </w:pPr>
      <w:r>
        <w:rPr>
          <w:b/>
          <w:sz w:val="26"/>
          <w:szCs w:val="26"/>
          <w:shd w:val="clear" w:color="auto" w:fill="CFE2F3"/>
        </w:rPr>
        <w:lastRenderedPageBreak/>
        <w:t>Right to health (Article 12)</w:t>
      </w:r>
    </w:p>
    <w:p w14:paraId="00000072" w14:textId="77777777" w:rsidR="001F4463" w:rsidRDefault="001F4463"/>
    <w:p w14:paraId="00000073" w14:textId="77777777" w:rsidR="001F4463" w:rsidRDefault="00665134">
      <w:pPr>
        <w:numPr>
          <w:ilvl w:val="0"/>
          <w:numId w:val="4"/>
        </w:numPr>
        <w:jc w:val="both"/>
      </w:pPr>
      <w:r>
        <w:t>CEDAW</w:t>
      </w:r>
      <w:r>
        <w:rPr>
          <w:vertAlign w:val="superscript"/>
        </w:rPr>
        <w:footnoteReference w:id="24"/>
      </w:r>
      <w:r>
        <w:t xml:space="preserve"> called upon the State to address the stigma faced by LGBTI individuals in accessing healthcare, including sexual and reproductive health services. However, no initiatives have been reported by the State to address this issue.</w:t>
      </w:r>
    </w:p>
    <w:p w14:paraId="00000074" w14:textId="77777777" w:rsidR="001F4463" w:rsidRDefault="00665134">
      <w:pPr>
        <w:numPr>
          <w:ilvl w:val="0"/>
          <w:numId w:val="4"/>
        </w:numPr>
        <w:jc w:val="both"/>
      </w:pPr>
      <w:r>
        <w:t>According to the May 2024 FRA survey,</w:t>
      </w:r>
      <w:r>
        <w:rPr>
          <w:vertAlign w:val="superscript"/>
        </w:rPr>
        <w:footnoteReference w:id="25"/>
      </w:r>
      <w:r>
        <w:t xml:space="preserve"> 17 percent of LGBTIQ people in North Macedonia experienced discrimination when using healthcare or social services in the 12 months prior to the survey. Based on the same survey, 36 percent of LGBTIQ people encountered difficulties when accessing mental healthcare services, 35 percent when accessing sexual healthcare services, and 51 percent encountered difficulties when seeking other medical care.</w:t>
      </w:r>
    </w:p>
    <w:p w14:paraId="00000075" w14:textId="77777777" w:rsidR="001F4463" w:rsidRDefault="00665134">
      <w:pPr>
        <w:numPr>
          <w:ilvl w:val="0"/>
          <w:numId w:val="4"/>
        </w:numPr>
        <w:jc w:val="both"/>
      </w:pPr>
      <w:r>
        <w:t>The transgender community faces significant challenges accessing healthcare. There is a shortage of medical professionals, including psychologists, psychiatrists, and endocrinologists, equipped to provide specialised care to transgender people. While hormone therapy is accessible through public funding for transgender women, transgender men must cover the costs themselves. Additionally, medical gender-affirming procedures are unavailable via state health and can be obtained only in private clinics or abroad.</w:t>
      </w:r>
    </w:p>
    <w:p w14:paraId="00000076" w14:textId="77777777" w:rsidR="001F4463" w:rsidRDefault="00665134">
      <w:pPr>
        <w:numPr>
          <w:ilvl w:val="0"/>
          <w:numId w:val="4"/>
        </w:numPr>
        <w:jc w:val="both"/>
      </w:pPr>
      <w:r>
        <w:t>A recent analysis by TransFormA</w:t>
      </w:r>
      <w:r>
        <w:rPr>
          <w:vertAlign w:val="superscript"/>
        </w:rPr>
        <w:footnoteReference w:id="26"/>
      </w:r>
      <w:r>
        <w:t xml:space="preserve"> found that all respondents believe transgender people are not accepted by the healthcare system, and 14 out of 15 reported facing different treatment, discomfort, and condemnation from healthcare professionals. Additionally, 11 out of 15 choose not to disclose their gender identity to healthcare providers, even when necessary. Furthermore, 9 out of 15 avoid medical exams due to feelings of shame, fear of discrimination, and to avoid unpleasant questions from healthcare staff.</w:t>
      </w:r>
    </w:p>
    <w:p w14:paraId="00000077" w14:textId="77777777" w:rsidR="001F4463" w:rsidRDefault="00665134">
      <w:pPr>
        <w:numPr>
          <w:ilvl w:val="0"/>
          <w:numId w:val="4"/>
        </w:numPr>
        <w:jc w:val="both"/>
      </w:pPr>
      <w:r>
        <w:t>In 2019, the Ministry of Health established a working group to draft a plan for advancing health care for transgender people. This group operated until January 2020. However, with the onset of the Covid-19 crisis and subsequent changes in leadership within the Ministry, the working group ceased its activities. Unfortunately, there is currently no apparent political commitment to reinitiate these efforts.</w:t>
      </w:r>
    </w:p>
    <w:p w14:paraId="00000078" w14:textId="77777777" w:rsidR="001F4463" w:rsidRDefault="00665134">
      <w:pPr>
        <w:numPr>
          <w:ilvl w:val="0"/>
          <w:numId w:val="4"/>
        </w:numPr>
        <w:jc w:val="both"/>
      </w:pPr>
      <w:r>
        <w:t xml:space="preserve">Despite legal provisions for free healthcare services for survivors of violence, clinics and hospitals still charge fees for checkups, injury examinations, treatment, and documentation, creating barriers to essential care. Access is further complicated by the need for certification from authorities. The three referral centres established in 2019 in Skopje, Tetovo, and Kumanovo to support victims of sexual violence and rape are nonfunctional due to inadequate financing and poor integration into the healthcare </w:t>
      </w:r>
      <w:r>
        <w:lastRenderedPageBreak/>
        <w:t>system, contrary to Istanbul Convention standards. GREVIO</w:t>
      </w:r>
      <w:r>
        <w:rPr>
          <w:vertAlign w:val="superscript"/>
        </w:rPr>
        <w:footnoteReference w:id="27"/>
      </w:r>
      <w:r>
        <w:t xml:space="preserve"> has urged North Macedonia to create functional rape crisis centres that offer immediate medical care, trauma support, forensic examinations, and psychological assistance. Additionally, there is a lack of such centres in other regions of the country.</w:t>
      </w:r>
    </w:p>
    <w:p w14:paraId="00000079" w14:textId="77777777" w:rsidR="001F4463" w:rsidRDefault="00665134">
      <w:pPr>
        <w:numPr>
          <w:ilvl w:val="0"/>
          <w:numId w:val="4"/>
        </w:numPr>
        <w:jc w:val="both"/>
      </w:pPr>
      <w:r>
        <w:t xml:space="preserve">Several governmental health programs regulate treatment for specific diagnoses and preventive care. However, the budget for these programs was 10% cut compared to last year's, jeopardising the response to various illnesses. There is a trend of reducing or insignificantly increasing funds for health programs without an evidence-based approach and consultation with experts and civil society. Additionally, no progress has been made in revising the list of medicines covered by the Health Insurance Fund, leading to high out-of-pocket payments by patients. </w:t>
      </w:r>
    </w:p>
    <w:p w14:paraId="0000007A" w14:textId="77777777" w:rsidR="001F4463" w:rsidRDefault="00665134">
      <w:pPr>
        <w:numPr>
          <w:ilvl w:val="0"/>
          <w:numId w:val="4"/>
        </w:numPr>
        <w:jc w:val="both"/>
      </w:pPr>
      <w:r>
        <w:t>The National HIV Prevention Program's funding for 2024 remains at 100 million denars, the same as in 2022, despite 90 additional patients now receiving treatment. Prevention funding was not restored after a 40% cut in 2022, despite government promises. This historical budgeting fails to account for the rise in HIV patients and hinders progress in reaching the UN General Assembly targets by 2025.</w:t>
      </w:r>
    </w:p>
    <w:p w14:paraId="0000007B" w14:textId="77777777" w:rsidR="001F4463" w:rsidRDefault="00665134">
      <w:pPr>
        <w:numPr>
          <w:ilvl w:val="0"/>
          <w:numId w:val="4"/>
        </w:numPr>
        <w:jc w:val="both"/>
      </w:pPr>
      <w:r>
        <w:t>In 2023, the Ministry of Health formed a working group of health experts, civil society organisations, and community representatives to develop a comprehensive HIV Strategy for 2023-2030. Although a draft of this strategy was prepared, it has not yet been adopted.</w:t>
      </w:r>
    </w:p>
    <w:p w14:paraId="0000007C" w14:textId="77777777" w:rsidR="001F4463" w:rsidRDefault="00665134">
      <w:pPr>
        <w:numPr>
          <w:ilvl w:val="0"/>
          <w:numId w:val="4"/>
        </w:numPr>
        <w:jc w:val="both"/>
      </w:pPr>
      <w:r>
        <w:t>In 2022, Coalition Margins documented a case where a person living with HIV was denied dental services. A legal proceeding was initiated to seek protection against discrimination. Although the court did not find evidence of discrimination, it failed to consider the vulnerability of individuals living with HIV. In its judgement, the court discussed criminal liability for the transmission of HIV and the right of doctors to protect themselves.</w:t>
      </w:r>
    </w:p>
    <w:p w14:paraId="0000007D" w14:textId="77777777" w:rsidR="001F4463" w:rsidRDefault="001F4463">
      <w:pPr>
        <w:rPr>
          <w:i/>
          <w:color w:val="1155CC"/>
          <w:highlight w:val="yellow"/>
        </w:rPr>
      </w:pPr>
    </w:p>
    <w:p w14:paraId="0000007E" w14:textId="77777777" w:rsidR="001F4463" w:rsidRDefault="00665134">
      <w:pPr>
        <w:jc w:val="both"/>
        <w:rPr>
          <w:b/>
        </w:rPr>
      </w:pPr>
      <w:r>
        <w:rPr>
          <w:b/>
        </w:rPr>
        <w:t>Recommended Questions</w:t>
      </w:r>
    </w:p>
    <w:p w14:paraId="0000007F" w14:textId="77777777" w:rsidR="001F4463" w:rsidRDefault="00665134">
      <w:pPr>
        <w:numPr>
          <w:ilvl w:val="0"/>
          <w:numId w:val="2"/>
        </w:numPr>
        <w:jc w:val="both"/>
        <w:rPr>
          <w:b/>
        </w:rPr>
      </w:pPr>
      <w:r>
        <w:rPr>
          <w:b/>
        </w:rPr>
        <w:t>What concrete measures is the State planning to take to address the discrimination and stigma faced by LGBTIQ individuals, particularly transgender people, in accessing healthcare services, including mental, sexual, trans-specific and reproductive health care?</w:t>
      </w:r>
    </w:p>
    <w:p w14:paraId="00000080" w14:textId="77777777" w:rsidR="001F4463" w:rsidRDefault="00665134">
      <w:pPr>
        <w:numPr>
          <w:ilvl w:val="0"/>
          <w:numId w:val="2"/>
        </w:numPr>
        <w:jc w:val="both"/>
        <w:rPr>
          <w:b/>
        </w:rPr>
      </w:pPr>
      <w:r>
        <w:rPr>
          <w:b/>
        </w:rPr>
        <w:t>What steps is the State planning to take to ensure that the recommendations of GREVIO are addressed, specifically regarding the operationalisation of the referral centres for sexual violence and the establishment of a clear pathway for victims in regions lacking these centres?</w:t>
      </w:r>
    </w:p>
    <w:p w14:paraId="00000081" w14:textId="77777777" w:rsidR="001F4463" w:rsidRDefault="00665134">
      <w:pPr>
        <w:numPr>
          <w:ilvl w:val="0"/>
          <w:numId w:val="2"/>
        </w:numPr>
        <w:rPr>
          <w:b/>
        </w:rPr>
      </w:pPr>
      <w:r>
        <w:rPr>
          <w:b/>
        </w:rPr>
        <w:t xml:space="preserve">What measures is the State planning to take to address the barriers LGBTIQ+ individuals face in reporting and documenting gender-based violence, including the lack of recognition of such violence by state institutions? </w:t>
      </w:r>
    </w:p>
    <w:p w14:paraId="00000082" w14:textId="77777777" w:rsidR="001F4463" w:rsidRDefault="001F4463">
      <w:pPr>
        <w:jc w:val="both"/>
        <w:rPr>
          <w:b/>
          <w:highlight w:val="yellow"/>
        </w:rPr>
      </w:pPr>
    </w:p>
    <w:p w14:paraId="43B2131E" w14:textId="77777777" w:rsidR="00F31FAC" w:rsidRDefault="00F31FAC">
      <w:pPr>
        <w:jc w:val="both"/>
        <w:rPr>
          <w:b/>
          <w:lang w:val="en-US"/>
        </w:rPr>
      </w:pPr>
    </w:p>
    <w:p w14:paraId="520FE84B" w14:textId="77777777" w:rsidR="00F31FAC" w:rsidRDefault="00F31FAC">
      <w:pPr>
        <w:jc w:val="both"/>
        <w:rPr>
          <w:b/>
          <w:lang w:val="en-US"/>
        </w:rPr>
      </w:pPr>
    </w:p>
    <w:p w14:paraId="00000083" w14:textId="219451B9" w:rsidR="001F4463" w:rsidRDefault="00665134">
      <w:pPr>
        <w:jc w:val="both"/>
        <w:rPr>
          <w:b/>
        </w:rPr>
      </w:pPr>
      <w:r>
        <w:rPr>
          <w:b/>
        </w:rPr>
        <w:lastRenderedPageBreak/>
        <w:t xml:space="preserve">Suggested Recommendations </w:t>
      </w:r>
    </w:p>
    <w:p w14:paraId="00000084" w14:textId="77777777" w:rsidR="001F4463" w:rsidRDefault="00665134">
      <w:pPr>
        <w:numPr>
          <w:ilvl w:val="0"/>
          <w:numId w:val="3"/>
        </w:numPr>
        <w:jc w:val="both"/>
        <w:rPr>
          <w:b/>
        </w:rPr>
      </w:pPr>
      <w:r>
        <w:rPr>
          <w:b/>
        </w:rPr>
        <w:t>The State to re-establish the Ministry of Health’s working group to develop and implement a comprehensive plan for advancing healthcare services for transgender people. This plan should include training healthcare professionals, ensuring access to specialised care, and expanding public funding for gender-affirming treatments to be inclusive of all transgender people.</w:t>
      </w:r>
    </w:p>
    <w:p w14:paraId="00000085" w14:textId="77777777" w:rsidR="001F4463" w:rsidRDefault="00665134">
      <w:pPr>
        <w:numPr>
          <w:ilvl w:val="0"/>
          <w:numId w:val="3"/>
        </w:numPr>
        <w:jc w:val="both"/>
        <w:rPr>
          <w:b/>
        </w:rPr>
      </w:pPr>
      <w:r>
        <w:rPr>
          <w:b/>
        </w:rPr>
        <w:t>The State should adopt and fully support the implementation of a comprehensive HIV Strategy for 2023-2030, ensuring that it effectively addresses the rise in HIV diagnoses and aligns with UN General Assembly targets.</w:t>
      </w:r>
    </w:p>
    <w:p w14:paraId="00000086" w14:textId="77777777" w:rsidR="001F4463" w:rsidRDefault="001F4463"/>
    <w:p w14:paraId="00000087" w14:textId="77777777" w:rsidR="001F4463" w:rsidRDefault="001F4463"/>
    <w:p w14:paraId="00000088" w14:textId="77777777" w:rsidR="001F4463" w:rsidRDefault="00665134">
      <w:pPr>
        <w:rPr>
          <w:b/>
          <w:sz w:val="26"/>
          <w:szCs w:val="26"/>
          <w:shd w:val="clear" w:color="auto" w:fill="CFE2F3"/>
        </w:rPr>
      </w:pPr>
      <w:r>
        <w:rPr>
          <w:b/>
          <w:sz w:val="26"/>
          <w:szCs w:val="26"/>
          <w:shd w:val="clear" w:color="auto" w:fill="CFE2F3"/>
        </w:rPr>
        <w:t xml:space="preserve">Education (Right to education, Article 13, 14) </w:t>
      </w:r>
    </w:p>
    <w:p w14:paraId="00000089" w14:textId="77777777" w:rsidR="001F4463" w:rsidRDefault="001F4463"/>
    <w:p w14:paraId="0000008A" w14:textId="77777777" w:rsidR="001F4463" w:rsidRDefault="00665134">
      <w:pPr>
        <w:numPr>
          <w:ilvl w:val="0"/>
          <w:numId w:val="4"/>
        </w:numPr>
        <w:jc w:val="both"/>
      </w:pPr>
      <w:r>
        <w:t xml:space="preserve">North Macedonia has received recommendations from CESCR (2016) and the UPR to remove discriminatory references to gender and gender identity from high school and university textbooks. The State has not acted upon this recommendation. One of the former Ministers of Education initiated a comprehensive approach to address this issue by proposing a new Law on primary and secondary education textbooks and other teaching and didactic materials. However, this effort encountered obstacles stemming from anti-gender initiatives, stopping progress. The proposed law also aimed to prevent discrimination and establish mechanisms for addressing incidents of discrimination when they occur. </w:t>
      </w:r>
    </w:p>
    <w:p w14:paraId="0000008B" w14:textId="77777777" w:rsidR="001F4463" w:rsidRDefault="00665134">
      <w:pPr>
        <w:numPr>
          <w:ilvl w:val="0"/>
          <w:numId w:val="4"/>
        </w:numPr>
        <w:jc w:val="both"/>
      </w:pPr>
      <w:r>
        <w:t>In collaboration with the Network for Protection Against Discrimination, Coalition Margins is pursuing a court case of discrimination against the author and the Faculty of Psychology that published a textbook containing misogynistic, homophobic, and transphobic content. The textbook is an integral part of the formal mandatory curriculum for psychology students and is still in use. The case has been pending at the first instance court since 2021.</w:t>
      </w:r>
    </w:p>
    <w:p w14:paraId="0000008C" w14:textId="77777777" w:rsidR="001F4463" w:rsidRDefault="00665134">
      <w:pPr>
        <w:numPr>
          <w:ilvl w:val="0"/>
          <w:numId w:val="4"/>
        </w:numPr>
        <w:jc w:val="both"/>
      </w:pPr>
      <w:r>
        <w:t>In 2018, CEDAW</w:t>
      </w:r>
      <w:r>
        <w:rPr>
          <w:vertAlign w:val="superscript"/>
        </w:rPr>
        <w:footnoteReference w:id="28"/>
      </w:r>
      <w:r>
        <w:t xml:space="preserve"> urged North Macedonia to “(i)ntegrate into the school curricula mandatory, age-appropriate sexuality education, including education on sexual and reproductive health and rights, ensuring that teachers play a substantial role in combating gender stereotypes,” in line with its general recommendation No. 36 (2017) on girls' and women's rights to education. Despite some pilot programs in recent years, the State has not implemented this curriculum in mandatory education. Opposition from anti-gender groups, coupled with a lack of political will, has slowed educational reforms. While comprehensive sexuality education is included as an elective in the new primary school framework, it is not fully implemented. Furthermore, the National Strategy for integrating comprehensive sexual education into formal education remains unadopted due to these ongoing challenges.</w:t>
      </w:r>
    </w:p>
    <w:p w14:paraId="0000008D" w14:textId="77777777" w:rsidR="001F4463" w:rsidRDefault="00665134">
      <w:pPr>
        <w:numPr>
          <w:ilvl w:val="0"/>
          <w:numId w:val="4"/>
        </w:numPr>
        <w:jc w:val="both"/>
      </w:pPr>
      <w:r>
        <w:t xml:space="preserve">Survey data shows a concerning disparity in the prevalence of peer bullying between LGBTI and heterosexual students aged 13 and 15. LGBTI boys reported experiencing </w:t>
      </w:r>
      <w:r>
        <w:lastRenderedPageBreak/>
        <w:t>peer bullying in school two or more times in the last 30 days at a rate of 23%, compared to 6% of their heterosexual peers. Similarly, 15% of LGBTI girls faced frequent bullying, in contrast to 7% of heterosexual girls. Cyberbullying, including sending offensive messages and sharing unauthorised photos and videos on social media, was reported by 29% of LGBTI boys and 14% of LGBTI girls, compared to 10% and 11% of heterosexual students.</w:t>
      </w:r>
      <w:r>
        <w:rPr>
          <w:vertAlign w:val="superscript"/>
        </w:rPr>
        <w:footnoteReference w:id="29"/>
      </w:r>
      <w:r>
        <w:t xml:space="preserve"> </w:t>
      </w:r>
    </w:p>
    <w:p w14:paraId="00000090" w14:textId="6167AC8A" w:rsidR="001F4463" w:rsidRPr="00F31FAC" w:rsidRDefault="00665134" w:rsidP="00F31FAC">
      <w:pPr>
        <w:numPr>
          <w:ilvl w:val="0"/>
          <w:numId w:val="4"/>
        </w:numPr>
        <w:jc w:val="both"/>
      </w:pPr>
      <w:r>
        <w:t>Schools have not been able to create safe spaces for LGBTIQ+ students or properly deal with bullying based on sexual orientation, gender identity and expression. When LGBTIQ+ students face bullying and report it, they often end up being moved from their environment, not always by choice. Instead of addressing the root causes and dealing with the bullying, schools expect LGBTIQ+ students to make changes. This directly affects their academic and educational progress.</w:t>
      </w:r>
    </w:p>
    <w:p w14:paraId="00000091" w14:textId="77777777" w:rsidR="001F4463" w:rsidRDefault="001F4463"/>
    <w:p w14:paraId="00000092" w14:textId="77777777" w:rsidR="001F4463" w:rsidRDefault="00665134">
      <w:pPr>
        <w:jc w:val="both"/>
        <w:rPr>
          <w:b/>
        </w:rPr>
      </w:pPr>
      <w:r>
        <w:rPr>
          <w:b/>
        </w:rPr>
        <w:t>Recommended Questions</w:t>
      </w:r>
    </w:p>
    <w:p w14:paraId="00000093" w14:textId="77777777" w:rsidR="001F4463" w:rsidRDefault="00665134">
      <w:pPr>
        <w:numPr>
          <w:ilvl w:val="0"/>
          <w:numId w:val="2"/>
        </w:numPr>
        <w:jc w:val="both"/>
        <w:rPr>
          <w:b/>
        </w:rPr>
      </w:pPr>
      <w:r>
        <w:rPr>
          <w:b/>
        </w:rPr>
        <w:t>Can the State clarify what specific measures will be taken to remove discriminatory content related to gender and gender identity from high school and university textbooks?</w:t>
      </w:r>
    </w:p>
    <w:p w14:paraId="00000094" w14:textId="77777777" w:rsidR="001F4463" w:rsidRDefault="00665134">
      <w:pPr>
        <w:numPr>
          <w:ilvl w:val="0"/>
          <w:numId w:val="2"/>
        </w:numPr>
        <w:jc w:val="both"/>
        <w:rPr>
          <w:b/>
        </w:rPr>
      </w:pPr>
      <w:r>
        <w:rPr>
          <w:b/>
        </w:rPr>
        <w:t>What specific measures will the State take to prevent bullying based on sexual orientation and gender identity in schools, ensuring safe environments for LGBTIQ+ students?</w:t>
      </w:r>
    </w:p>
    <w:p w14:paraId="00000095" w14:textId="77777777" w:rsidR="001F4463" w:rsidRDefault="001F4463">
      <w:pPr>
        <w:jc w:val="both"/>
        <w:rPr>
          <w:b/>
          <w:highlight w:val="yellow"/>
        </w:rPr>
      </w:pPr>
    </w:p>
    <w:p w14:paraId="00000096" w14:textId="77777777" w:rsidR="001F4463" w:rsidRDefault="00665134">
      <w:pPr>
        <w:jc w:val="both"/>
        <w:rPr>
          <w:b/>
        </w:rPr>
      </w:pPr>
      <w:r>
        <w:rPr>
          <w:b/>
        </w:rPr>
        <w:t xml:space="preserve">Suggested Recommendations </w:t>
      </w:r>
    </w:p>
    <w:p w14:paraId="00000097" w14:textId="77777777" w:rsidR="001F4463" w:rsidRDefault="00665134">
      <w:pPr>
        <w:numPr>
          <w:ilvl w:val="0"/>
          <w:numId w:val="3"/>
        </w:numPr>
        <w:jc w:val="both"/>
        <w:rPr>
          <w:b/>
        </w:rPr>
      </w:pPr>
      <w:r>
        <w:rPr>
          <w:b/>
        </w:rPr>
        <w:t>The State should adopt and implement the Law on Education Textbooks and Teaching Materials, incorporating an accountability mechanism to prevent and address incidents of discrimination.</w:t>
      </w:r>
    </w:p>
    <w:p w14:paraId="00000098" w14:textId="77777777" w:rsidR="001F4463" w:rsidRDefault="00665134">
      <w:pPr>
        <w:numPr>
          <w:ilvl w:val="0"/>
          <w:numId w:val="3"/>
        </w:numPr>
        <w:jc w:val="both"/>
        <w:rPr>
          <w:b/>
        </w:rPr>
      </w:pPr>
      <w:r>
        <w:rPr>
          <w:b/>
        </w:rPr>
        <w:t>The State should implement age-appropriate comprehensive sexuality education for all students in primary and secondary schools, with a clear timeline and accountability to ensure timely rollout.</w:t>
      </w:r>
    </w:p>
    <w:p w14:paraId="00000099" w14:textId="77777777" w:rsidR="001F4463" w:rsidRDefault="001F4463">
      <w:pPr>
        <w:ind w:left="720"/>
        <w:jc w:val="both"/>
        <w:rPr>
          <w:b/>
        </w:rPr>
      </w:pPr>
    </w:p>
    <w:p w14:paraId="0000009A" w14:textId="77777777" w:rsidR="001F4463" w:rsidRDefault="001F4463"/>
    <w:p w14:paraId="0000009B" w14:textId="77777777" w:rsidR="001F4463" w:rsidRDefault="00665134">
      <w:pPr>
        <w:rPr>
          <w:b/>
          <w:sz w:val="26"/>
          <w:szCs w:val="26"/>
          <w:shd w:val="clear" w:color="auto" w:fill="CFE2F3"/>
        </w:rPr>
      </w:pPr>
      <w:r>
        <w:rPr>
          <w:b/>
          <w:sz w:val="26"/>
          <w:szCs w:val="26"/>
          <w:shd w:val="clear" w:color="auto" w:fill="CFE2F3"/>
        </w:rPr>
        <w:t>Scientific Progress (Article 15)</w:t>
      </w:r>
    </w:p>
    <w:p w14:paraId="0000009C" w14:textId="77777777" w:rsidR="001F4463" w:rsidRDefault="001F4463">
      <w:pPr>
        <w:rPr>
          <w:b/>
          <w:sz w:val="26"/>
          <w:szCs w:val="26"/>
          <w:shd w:val="clear" w:color="auto" w:fill="CFE2F3"/>
        </w:rPr>
      </w:pPr>
    </w:p>
    <w:p w14:paraId="0000009D" w14:textId="77777777" w:rsidR="001F4463" w:rsidRDefault="00665134">
      <w:pPr>
        <w:numPr>
          <w:ilvl w:val="0"/>
          <w:numId w:val="4"/>
        </w:numPr>
        <w:jc w:val="both"/>
      </w:pPr>
      <w:r>
        <w:t>In North Macedonia, there is no ban on conversion therapy. A small-scale 2022 survey revealed that 20% of respondents had experienced conversion therapy, with 38% undergoing it in psychotherapy with professionals like psychologists, psychiatrists, or therapists. Religious and family contexts were each cited by 23%, and 8% mentioned general practitioners.</w:t>
      </w:r>
      <w:r>
        <w:rPr>
          <w:vertAlign w:val="superscript"/>
        </w:rPr>
        <w:footnoteReference w:id="30"/>
      </w:r>
      <w:r>
        <w:t xml:space="preserve"> The survey highlights that conversion therapy often occurs through psychological or religious counselling and family pressure, yet it remains largely overlooked by both the state and professional associations of psychologists. </w:t>
      </w:r>
    </w:p>
    <w:p w14:paraId="0000009E" w14:textId="77777777" w:rsidR="001F4463" w:rsidRDefault="001F4463">
      <w:pPr>
        <w:rPr>
          <w:color w:val="0000FF"/>
        </w:rPr>
      </w:pPr>
    </w:p>
    <w:p w14:paraId="0000009F" w14:textId="77777777" w:rsidR="001F4463" w:rsidRDefault="00665134">
      <w:pPr>
        <w:jc w:val="both"/>
        <w:rPr>
          <w:b/>
        </w:rPr>
      </w:pPr>
      <w:r>
        <w:rPr>
          <w:b/>
        </w:rPr>
        <w:lastRenderedPageBreak/>
        <w:t>Recommended Question</w:t>
      </w:r>
    </w:p>
    <w:p w14:paraId="000000A0" w14:textId="77777777" w:rsidR="001F4463" w:rsidRDefault="00665134">
      <w:pPr>
        <w:numPr>
          <w:ilvl w:val="0"/>
          <w:numId w:val="2"/>
        </w:numPr>
        <w:jc w:val="both"/>
        <w:rPr>
          <w:b/>
        </w:rPr>
      </w:pPr>
      <w:r>
        <w:rPr>
          <w:b/>
        </w:rPr>
        <w:t>What steps is the State taking to investigate and regulate the practice of conversion therapy, particularly when performed by licensed psychologists, psychiatrists, or other healthcare professionals?</w:t>
      </w:r>
    </w:p>
    <w:p w14:paraId="000000A1" w14:textId="77777777" w:rsidR="001F4463" w:rsidRDefault="001F4463">
      <w:pPr>
        <w:jc w:val="both"/>
        <w:rPr>
          <w:b/>
          <w:highlight w:val="yellow"/>
        </w:rPr>
      </w:pPr>
    </w:p>
    <w:p w14:paraId="000000A2" w14:textId="77777777" w:rsidR="001F4463" w:rsidRDefault="00665134">
      <w:pPr>
        <w:jc w:val="both"/>
        <w:rPr>
          <w:b/>
          <w:highlight w:val="yellow"/>
        </w:rPr>
      </w:pPr>
      <w:r>
        <w:rPr>
          <w:b/>
        </w:rPr>
        <w:t>Suggested Recommendation</w:t>
      </w:r>
    </w:p>
    <w:p w14:paraId="000000A3" w14:textId="77777777" w:rsidR="001F4463" w:rsidRDefault="00665134">
      <w:pPr>
        <w:numPr>
          <w:ilvl w:val="0"/>
          <w:numId w:val="3"/>
        </w:numPr>
        <w:jc w:val="both"/>
        <w:rPr>
          <w:b/>
        </w:rPr>
      </w:pPr>
      <w:r>
        <w:rPr>
          <w:b/>
        </w:rPr>
        <w:t xml:space="preserve">The State should consider enacting a legal ban on conversion therapy, specifically prohibiting its practice by licensed healthcare and mental health professionals. </w:t>
      </w:r>
    </w:p>
    <w:p w14:paraId="000000A4" w14:textId="77777777" w:rsidR="001F4463" w:rsidRDefault="00665134">
      <w:pPr>
        <w:numPr>
          <w:ilvl w:val="0"/>
          <w:numId w:val="3"/>
        </w:numPr>
        <w:jc w:val="both"/>
        <w:rPr>
          <w:b/>
        </w:rPr>
      </w:pPr>
      <w:r>
        <w:rPr>
          <w:b/>
        </w:rPr>
        <w:t>The State should implement awareness-raising campaigns to educate the public and families about the harm associated with conversion therapy practices.</w:t>
      </w:r>
    </w:p>
    <w:p w14:paraId="000000A5" w14:textId="77777777" w:rsidR="001F4463" w:rsidRDefault="001F4463">
      <w:pPr>
        <w:rPr>
          <w:color w:val="0000FF"/>
        </w:rPr>
      </w:pPr>
    </w:p>
    <w:sectPr w:rsidR="001F4463">
      <w:head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8B5F80" w14:textId="77777777" w:rsidR="006D4CE2" w:rsidRDefault="006D4CE2">
      <w:pPr>
        <w:spacing w:line="240" w:lineRule="auto"/>
      </w:pPr>
      <w:r>
        <w:separator/>
      </w:r>
    </w:p>
  </w:endnote>
  <w:endnote w:type="continuationSeparator" w:id="0">
    <w:p w14:paraId="1832469F" w14:textId="77777777" w:rsidR="006D4CE2" w:rsidRDefault="006D4C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6CC32E" w14:textId="77777777" w:rsidR="006D4CE2" w:rsidRDefault="006D4CE2">
      <w:pPr>
        <w:spacing w:line="240" w:lineRule="auto"/>
      </w:pPr>
      <w:r>
        <w:separator/>
      </w:r>
    </w:p>
  </w:footnote>
  <w:footnote w:type="continuationSeparator" w:id="0">
    <w:p w14:paraId="2A37B26B" w14:textId="77777777" w:rsidR="006D4CE2" w:rsidRDefault="006D4CE2">
      <w:pPr>
        <w:spacing w:line="240" w:lineRule="auto"/>
      </w:pPr>
      <w:r>
        <w:continuationSeparator/>
      </w:r>
    </w:p>
  </w:footnote>
  <w:footnote w:id="1">
    <w:p w14:paraId="000000A6" w14:textId="77777777" w:rsidR="001F4463" w:rsidRDefault="00665134">
      <w:pPr>
        <w:spacing w:line="240" w:lineRule="auto"/>
        <w:rPr>
          <w:sz w:val="20"/>
          <w:szCs w:val="20"/>
        </w:rPr>
      </w:pPr>
      <w:r>
        <w:rPr>
          <w:vertAlign w:val="superscript"/>
        </w:rPr>
        <w:footnoteRef/>
      </w:r>
      <w:r>
        <w:rPr>
          <w:sz w:val="20"/>
          <w:szCs w:val="20"/>
        </w:rPr>
        <w:t xml:space="preserve"> United Nations Economic and Social Council (2016). </w:t>
      </w:r>
      <w:r>
        <w:rPr>
          <w:i/>
          <w:sz w:val="20"/>
          <w:szCs w:val="20"/>
        </w:rPr>
        <w:t>Concluding observations on the combined second to fourth periodic reports of the former Yugoslav Republic of Macedonia</w:t>
      </w:r>
      <w:r>
        <w:rPr>
          <w:sz w:val="20"/>
          <w:szCs w:val="20"/>
        </w:rPr>
        <w:t xml:space="preserve">. </w:t>
      </w:r>
      <w:r>
        <w:rPr>
          <w:i/>
          <w:sz w:val="20"/>
          <w:szCs w:val="20"/>
        </w:rPr>
        <w:t>E/C.12/MKD/CO/2-4.</w:t>
      </w:r>
      <w:r>
        <w:rPr>
          <w:sz w:val="20"/>
          <w:szCs w:val="20"/>
        </w:rPr>
        <w:t xml:space="preserve"> Available at: </w:t>
      </w:r>
      <w:hyperlink r:id="rId1">
        <w:r>
          <w:rPr>
            <w:color w:val="1155CC"/>
            <w:sz w:val="20"/>
            <w:szCs w:val="20"/>
            <w:u w:val="single"/>
          </w:rPr>
          <w:t>https://bit.ly/3PO6HoQ</w:t>
        </w:r>
      </w:hyperlink>
      <w:r>
        <w:rPr>
          <w:sz w:val="20"/>
          <w:szCs w:val="20"/>
        </w:rPr>
        <w:t xml:space="preserve">. </w:t>
      </w:r>
    </w:p>
  </w:footnote>
  <w:footnote w:id="2">
    <w:p w14:paraId="000000A7" w14:textId="77777777" w:rsidR="001F4463" w:rsidRDefault="00665134">
      <w:pPr>
        <w:spacing w:line="240" w:lineRule="auto"/>
        <w:rPr>
          <w:sz w:val="20"/>
          <w:szCs w:val="20"/>
        </w:rPr>
      </w:pPr>
      <w:r>
        <w:rPr>
          <w:vertAlign w:val="superscript"/>
        </w:rPr>
        <w:footnoteRef/>
      </w:r>
      <w:r>
        <w:rPr>
          <w:sz w:val="20"/>
          <w:szCs w:val="20"/>
        </w:rPr>
        <w:t xml:space="preserve"> Ibid. </w:t>
      </w:r>
    </w:p>
  </w:footnote>
  <w:footnote w:id="3">
    <w:p w14:paraId="000000A8" w14:textId="77777777" w:rsidR="001F4463" w:rsidRDefault="00665134">
      <w:pPr>
        <w:spacing w:line="240" w:lineRule="auto"/>
        <w:rPr>
          <w:sz w:val="20"/>
          <w:szCs w:val="20"/>
        </w:rPr>
      </w:pPr>
      <w:r>
        <w:rPr>
          <w:vertAlign w:val="superscript"/>
        </w:rPr>
        <w:footnoteRef/>
      </w:r>
      <w:r>
        <w:rPr>
          <w:sz w:val="20"/>
          <w:szCs w:val="20"/>
        </w:rPr>
        <w:t xml:space="preserve"> Ibid. </w:t>
      </w:r>
    </w:p>
  </w:footnote>
  <w:footnote w:id="4">
    <w:p w14:paraId="000000A9" w14:textId="77777777" w:rsidR="001F4463" w:rsidRDefault="00665134">
      <w:pPr>
        <w:spacing w:line="240" w:lineRule="auto"/>
        <w:rPr>
          <w:sz w:val="20"/>
          <w:szCs w:val="20"/>
        </w:rPr>
      </w:pPr>
      <w:r>
        <w:rPr>
          <w:vertAlign w:val="superscript"/>
        </w:rPr>
        <w:footnoteRef/>
      </w:r>
      <w:r>
        <w:rPr>
          <w:sz w:val="20"/>
          <w:szCs w:val="20"/>
        </w:rPr>
        <w:t xml:space="preserve"> United Nations Economic and Social Council (2023). </w:t>
      </w:r>
      <w:r>
        <w:rPr>
          <w:i/>
          <w:sz w:val="20"/>
          <w:szCs w:val="20"/>
        </w:rPr>
        <w:t>Fifth periodic report submitted by North Macedonia under articles 16 and 17 of the Covenant, due in 2021*</w:t>
      </w:r>
      <w:r>
        <w:rPr>
          <w:sz w:val="20"/>
          <w:szCs w:val="20"/>
        </w:rPr>
        <w:t xml:space="preserve">. </w:t>
      </w:r>
      <w:r>
        <w:rPr>
          <w:i/>
          <w:sz w:val="20"/>
          <w:szCs w:val="20"/>
        </w:rPr>
        <w:t>E/C.12/MKD/5.</w:t>
      </w:r>
      <w:r>
        <w:rPr>
          <w:sz w:val="20"/>
          <w:szCs w:val="20"/>
        </w:rPr>
        <w:t xml:space="preserve"> Available at: </w:t>
      </w:r>
      <w:hyperlink r:id="rId2">
        <w:r>
          <w:rPr>
            <w:color w:val="1155CC"/>
            <w:sz w:val="20"/>
            <w:szCs w:val="20"/>
            <w:u w:val="single"/>
          </w:rPr>
          <w:t>https://bit.ly/4dCaAGR</w:t>
        </w:r>
      </w:hyperlink>
      <w:r>
        <w:rPr>
          <w:sz w:val="20"/>
          <w:szCs w:val="20"/>
        </w:rPr>
        <w:t xml:space="preserve">. </w:t>
      </w:r>
    </w:p>
  </w:footnote>
  <w:footnote w:id="5">
    <w:p w14:paraId="000000C1" w14:textId="77777777" w:rsidR="001F4463" w:rsidRDefault="00665134">
      <w:pPr>
        <w:spacing w:line="240" w:lineRule="auto"/>
        <w:rPr>
          <w:sz w:val="20"/>
          <w:szCs w:val="20"/>
        </w:rPr>
      </w:pPr>
      <w:r>
        <w:rPr>
          <w:vertAlign w:val="superscript"/>
        </w:rPr>
        <w:footnoteRef/>
      </w:r>
      <w:r>
        <w:rPr>
          <w:sz w:val="20"/>
          <w:szCs w:val="20"/>
        </w:rPr>
        <w:t xml:space="preserve"> Radio Free Europe. </w:t>
      </w:r>
      <w:r>
        <w:rPr>
          <w:i/>
          <w:sz w:val="20"/>
          <w:szCs w:val="20"/>
        </w:rPr>
        <w:t xml:space="preserve">Legal changes in education will set back the fight against discrimination. </w:t>
      </w:r>
      <w:r>
        <w:rPr>
          <w:sz w:val="20"/>
          <w:szCs w:val="20"/>
        </w:rPr>
        <w:t xml:space="preserve">Available at: </w:t>
      </w:r>
      <w:hyperlink r:id="rId3">
        <w:r>
          <w:rPr>
            <w:color w:val="1155CC"/>
            <w:sz w:val="20"/>
            <w:szCs w:val="20"/>
            <w:u w:val="single"/>
          </w:rPr>
          <w:t>https://bit.ly/4hY7nEz</w:t>
        </w:r>
      </w:hyperlink>
      <w:r>
        <w:rPr>
          <w:sz w:val="20"/>
          <w:szCs w:val="20"/>
        </w:rPr>
        <w:t xml:space="preserve">. </w:t>
      </w:r>
    </w:p>
  </w:footnote>
  <w:footnote w:id="6">
    <w:p w14:paraId="000000BD" w14:textId="77777777" w:rsidR="001F4463" w:rsidRDefault="00665134">
      <w:pPr>
        <w:spacing w:line="240" w:lineRule="auto"/>
        <w:rPr>
          <w:sz w:val="20"/>
          <w:szCs w:val="20"/>
        </w:rPr>
      </w:pPr>
      <w:r>
        <w:rPr>
          <w:vertAlign w:val="superscript"/>
        </w:rPr>
        <w:footnoteRef/>
      </w:r>
      <w:r>
        <w:rPr>
          <w:sz w:val="20"/>
          <w:szCs w:val="20"/>
        </w:rPr>
        <w:t xml:space="preserve"> United Nations General Assembly (2024). </w:t>
      </w:r>
      <w:r>
        <w:rPr>
          <w:i/>
          <w:sz w:val="20"/>
          <w:szCs w:val="20"/>
        </w:rPr>
        <w:t>Report of the Working Group on the Universal Periodic Review* North Macedonia</w:t>
      </w:r>
      <w:r>
        <w:rPr>
          <w:sz w:val="20"/>
          <w:szCs w:val="20"/>
        </w:rPr>
        <w:t xml:space="preserve">. Available at: </w:t>
      </w:r>
      <w:hyperlink r:id="rId4">
        <w:r>
          <w:rPr>
            <w:color w:val="1155CC"/>
            <w:sz w:val="20"/>
            <w:szCs w:val="20"/>
            <w:u w:val="single"/>
          </w:rPr>
          <w:t>https://bit.ly/3zhT3oS</w:t>
        </w:r>
      </w:hyperlink>
      <w:r>
        <w:rPr>
          <w:sz w:val="20"/>
          <w:szCs w:val="20"/>
        </w:rPr>
        <w:t xml:space="preserve"> and</w:t>
      </w:r>
      <w:r>
        <w:rPr>
          <w:i/>
          <w:sz w:val="20"/>
          <w:szCs w:val="20"/>
        </w:rPr>
        <w:t xml:space="preserve"> Addendum - Views on conclusions and/or recommendations, voluntary commitments and replies presented by the State under review. </w:t>
      </w:r>
      <w:r>
        <w:rPr>
          <w:sz w:val="20"/>
          <w:szCs w:val="20"/>
        </w:rPr>
        <w:t xml:space="preserve">Available at: </w:t>
      </w:r>
      <w:hyperlink r:id="rId5">
        <w:r>
          <w:rPr>
            <w:color w:val="1155CC"/>
            <w:sz w:val="20"/>
            <w:szCs w:val="20"/>
            <w:u w:val="single"/>
          </w:rPr>
          <w:t>https://bit.ly/3ZymYUu</w:t>
        </w:r>
      </w:hyperlink>
      <w:r>
        <w:rPr>
          <w:sz w:val="20"/>
          <w:szCs w:val="20"/>
        </w:rPr>
        <w:t xml:space="preserve">. </w:t>
      </w:r>
    </w:p>
  </w:footnote>
  <w:footnote w:id="7">
    <w:p w14:paraId="000000BE" w14:textId="77777777" w:rsidR="001F4463" w:rsidRDefault="00665134">
      <w:pPr>
        <w:spacing w:line="240" w:lineRule="auto"/>
        <w:rPr>
          <w:sz w:val="20"/>
          <w:szCs w:val="20"/>
        </w:rPr>
      </w:pPr>
      <w:r>
        <w:rPr>
          <w:vertAlign w:val="superscript"/>
        </w:rPr>
        <w:footnoteRef/>
      </w:r>
      <w:r>
        <w:rPr>
          <w:sz w:val="20"/>
          <w:szCs w:val="20"/>
        </w:rPr>
        <w:t xml:space="preserve"> European Court of Human Rights, (2019). </w:t>
      </w:r>
      <w:r>
        <w:rPr>
          <w:i/>
          <w:sz w:val="20"/>
          <w:szCs w:val="20"/>
        </w:rPr>
        <w:t>Judgement on the merits and just satisfaction delivered by a Chamber. X v. The Former Yugoslav Republic of Macedonia, No. 29683/16 § 44, ECHR 1999-II.</w:t>
      </w:r>
      <w:r>
        <w:rPr>
          <w:sz w:val="20"/>
          <w:szCs w:val="20"/>
        </w:rPr>
        <w:t xml:space="preserve"> Available at:</w:t>
      </w:r>
      <w:hyperlink r:id="rId6">
        <w:r>
          <w:rPr>
            <w:sz w:val="20"/>
            <w:szCs w:val="20"/>
          </w:rPr>
          <w:t xml:space="preserve"> </w:t>
        </w:r>
      </w:hyperlink>
      <w:hyperlink r:id="rId7">
        <w:r>
          <w:rPr>
            <w:color w:val="1155CC"/>
            <w:sz w:val="20"/>
            <w:szCs w:val="20"/>
            <w:u w:val="single"/>
          </w:rPr>
          <w:t>https://bit.ly/3r4SLgP</w:t>
        </w:r>
      </w:hyperlink>
      <w:r>
        <w:rPr>
          <w:sz w:val="20"/>
          <w:szCs w:val="20"/>
        </w:rPr>
        <w:t>.</w:t>
      </w:r>
    </w:p>
  </w:footnote>
  <w:footnote w:id="8">
    <w:p w14:paraId="000000BC" w14:textId="77777777" w:rsidR="001F4463" w:rsidRDefault="00665134">
      <w:pPr>
        <w:spacing w:line="240" w:lineRule="auto"/>
        <w:rPr>
          <w:sz w:val="20"/>
          <w:szCs w:val="20"/>
        </w:rPr>
      </w:pPr>
      <w:r>
        <w:rPr>
          <w:vertAlign w:val="superscript"/>
        </w:rPr>
        <w:footnoteRef/>
      </w:r>
      <w:r>
        <w:rPr>
          <w:sz w:val="20"/>
          <w:szCs w:val="20"/>
        </w:rPr>
        <w:t xml:space="preserve"> We have included a more detailed overview of the anti-gender initiatives and their impact in our submission for the 4th UPR cycle. Available at: </w:t>
      </w:r>
      <w:hyperlink r:id="rId8">
        <w:r>
          <w:rPr>
            <w:color w:val="1155CC"/>
            <w:sz w:val="20"/>
            <w:szCs w:val="20"/>
            <w:u w:val="single"/>
          </w:rPr>
          <w:t>https://bit.ly/3TAKXhO</w:t>
        </w:r>
      </w:hyperlink>
      <w:r>
        <w:rPr>
          <w:sz w:val="20"/>
          <w:szCs w:val="20"/>
        </w:rPr>
        <w:t xml:space="preserve"> (JS2 - Joint Submission 2). </w:t>
      </w:r>
    </w:p>
  </w:footnote>
  <w:footnote w:id="9">
    <w:p w14:paraId="000000BA" w14:textId="77777777" w:rsidR="001F4463" w:rsidRDefault="00665134">
      <w:pPr>
        <w:spacing w:line="240" w:lineRule="auto"/>
        <w:rPr>
          <w:sz w:val="20"/>
          <w:szCs w:val="20"/>
        </w:rPr>
      </w:pPr>
      <w:r>
        <w:rPr>
          <w:vertAlign w:val="superscript"/>
        </w:rPr>
        <w:footnoteRef/>
      </w:r>
      <w:r>
        <w:rPr>
          <w:sz w:val="20"/>
          <w:szCs w:val="20"/>
        </w:rPr>
        <w:t xml:space="preserve"> Macedonian Centre for International Cooperation. </w:t>
      </w:r>
      <w:r>
        <w:rPr>
          <w:i/>
          <w:sz w:val="20"/>
          <w:szCs w:val="20"/>
        </w:rPr>
        <w:t>Tolerance and values among citizens.</w:t>
      </w:r>
      <w:r>
        <w:rPr>
          <w:sz w:val="20"/>
          <w:szCs w:val="20"/>
        </w:rPr>
        <w:t xml:space="preserve"> Available at: </w:t>
      </w:r>
      <w:hyperlink r:id="rId9">
        <w:r>
          <w:rPr>
            <w:color w:val="1155CC"/>
            <w:sz w:val="20"/>
            <w:szCs w:val="20"/>
            <w:u w:val="single"/>
          </w:rPr>
          <w:t>https://bit.ly/466ToFT</w:t>
        </w:r>
      </w:hyperlink>
      <w:r>
        <w:rPr>
          <w:sz w:val="20"/>
          <w:szCs w:val="20"/>
        </w:rPr>
        <w:t xml:space="preserve">. </w:t>
      </w:r>
    </w:p>
  </w:footnote>
  <w:footnote w:id="10">
    <w:p w14:paraId="000000BB" w14:textId="77777777" w:rsidR="001F4463" w:rsidRDefault="00665134">
      <w:pPr>
        <w:spacing w:line="240" w:lineRule="auto"/>
        <w:rPr>
          <w:sz w:val="20"/>
          <w:szCs w:val="20"/>
        </w:rPr>
      </w:pPr>
      <w:r>
        <w:rPr>
          <w:vertAlign w:val="superscript"/>
        </w:rPr>
        <w:footnoteRef/>
      </w:r>
      <w:r>
        <w:rPr>
          <w:sz w:val="20"/>
          <w:szCs w:val="20"/>
        </w:rPr>
        <w:t xml:space="preserve"> European Social Survey. </w:t>
      </w:r>
      <w:r>
        <w:rPr>
          <w:i/>
          <w:sz w:val="20"/>
          <w:szCs w:val="20"/>
        </w:rPr>
        <w:t>Ideological attitudes and attitudes towards climate change.</w:t>
      </w:r>
      <w:r>
        <w:rPr>
          <w:sz w:val="20"/>
          <w:szCs w:val="20"/>
        </w:rPr>
        <w:t xml:space="preserve"> Available at: </w:t>
      </w:r>
      <w:hyperlink r:id="rId10">
        <w:r>
          <w:rPr>
            <w:color w:val="1155CC"/>
            <w:sz w:val="20"/>
            <w:szCs w:val="20"/>
            <w:u w:val="single"/>
          </w:rPr>
          <w:t>https://bit.ly/3EQyDT5</w:t>
        </w:r>
      </w:hyperlink>
      <w:r>
        <w:rPr>
          <w:sz w:val="20"/>
          <w:szCs w:val="20"/>
        </w:rPr>
        <w:t xml:space="preserve">. </w:t>
      </w:r>
    </w:p>
  </w:footnote>
  <w:footnote w:id="11">
    <w:p w14:paraId="000000BF" w14:textId="77777777" w:rsidR="001F4463" w:rsidRDefault="00665134">
      <w:pPr>
        <w:spacing w:line="240" w:lineRule="auto"/>
        <w:rPr>
          <w:sz w:val="20"/>
          <w:szCs w:val="20"/>
        </w:rPr>
      </w:pPr>
      <w:r>
        <w:rPr>
          <w:vertAlign w:val="superscript"/>
        </w:rPr>
        <w:footnoteRef/>
      </w:r>
      <w:r>
        <w:rPr>
          <w:sz w:val="20"/>
          <w:szCs w:val="20"/>
        </w:rPr>
        <w:t xml:space="preserve"> ILGA Europe. </w:t>
      </w:r>
      <w:r>
        <w:rPr>
          <w:i/>
          <w:sz w:val="20"/>
          <w:szCs w:val="20"/>
        </w:rPr>
        <w:t xml:space="preserve">Rainbow Map and Index 2024. </w:t>
      </w:r>
      <w:r>
        <w:rPr>
          <w:sz w:val="20"/>
          <w:szCs w:val="20"/>
        </w:rPr>
        <w:t xml:space="preserve">Available at: </w:t>
      </w:r>
      <w:hyperlink r:id="rId11">
        <w:r>
          <w:rPr>
            <w:color w:val="1155CC"/>
            <w:sz w:val="20"/>
            <w:szCs w:val="20"/>
            <w:u w:val="single"/>
          </w:rPr>
          <w:t>https://bit.ly/4eb4fCT</w:t>
        </w:r>
      </w:hyperlink>
      <w:r>
        <w:rPr>
          <w:sz w:val="20"/>
          <w:szCs w:val="20"/>
        </w:rPr>
        <w:t xml:space="preserve">. </w:t>
      </w:r>
    </w:p>
  </w:footnote>
  <w:footnote w:id="12">
    <w:p w14:paraId="000000C3" w14:textId="77777777" w:rsidR="001F4463" w:rsidRDefault="00665134">
      <w:pPr>
        <w:spacing w:line="240" w:lineRule="auto"/>
        <w:rPr>
          <w:sz w:val="20"/>
          <w:szCs w:val="20"/>
        </w:rPr>
      </w:pPr>
      <w:r>
        <w:rPr>
          <w:vertAlign w:val="superscript"/>
        </w:rPr>
        <w:footnoteRef/>
      </w:r>
      <w:r>
        <w:rPr>
          <w:sz w:val="20"/>
          <w:szCs w:val="20"/>
        </w:rPr>
        <w:t xml:space="preserve"> Ibid, paragraphs 31, 32, 56, 61 and 70.</w:t>
      </w:r>
    </w:p>
  </w:footnote>
  <w:footnote w:id="13">
    <w:p w14:paraId="000000C2" w14:textId="77777777" w:rsidR="001F4463" w:rsidRDefault="00665134">
      <w:pPr>
        <w:spacing w:line="240" w:lineRule="auto"/>
        <w:rPr>
          <w:sz w:val="20"/>
          <w:szCs w:val="20"/>
        </w:rPr>
      </w:pPr>
      <w:r>
        <w:rPr>
          <w:vertAlign w:val="superscript"/>
        </w:rPr>
        <w:footnoteRef/>
      </w:r>
      <w:r>
        <w:rPr>
          <w:sz w:val="20"/>
          <w:szCs w:val="20"/>
        </w:rPr>
        <w:t xml:space="preserve"> Balkan Insight. </w:t>
      </w:r>
      <w:r>
        <w:rPr>
          <w:i/>
          <w:sz w:val="20"/>
          <w:szCs w:val="20"/>
        </w:rPr>
        <w:t>North Macedonia to Recognise Identity of Transgender People</w:t>
      </w:r>
      <w:r>
        <w:rPr>
          <w:sz w:val="20"/>
          <w:szCs w:val="20"/>
        </w:rPr>
        <w:t>, available at:</w:t>
      </w:r>
      <w:hyperlink r:id="rId12">
        <w:r>
          <w:rPr>
            <w:sz w:val="20"/>
            <w:szCs w:val="20"/>
          </w:rPr>
          <w:t xml:space="preserve"> </w:t>
        </w:r>
      </w:hyperlink>
      <w:hyperlink r:id="rId13">
        <w:r>
          <w:rPr>
            <w:color w:val="1155CC"/>
            <w:sz w:val="20"/>
            <w:szCs w:val="20"/>
            <w:u w:val="single"/>
          </w:rPr>
          <w:t>https://bit.ly/3P2Ms5r</w:t>
        </w:r>
      </w:hyperlink>
      <w:r>
        <w:rPr>
          <w:sz w:val="20"/>
          <w:szCs w:val="20"/>
        </w:rPr>
        <w:t>.</w:t>
      </w:r>
    </w:p>
  </w:footnote>
  <w:footnote w:id="14">
    <w:p w14:paraId="000000AA" w14:textId="77777777" w:rsidR="001F4463" w:rsidRDefault="00665134">
      <w:pPr>
        <w:spacing w:line="240" w:lineRule="auto"/>
        <w:rPr>
          <w:sz w:val="20"/>
          <w:szCs w:val="20"/>
        </w:rPr>
      </w:pPr>
      <w:r>
        <w:rPr>
          <w:vertAlign w:val="superscript"/>
        </w:rPr>
        <w:footnoteRef/>
      </w:r>
      <w:r>
        <w:rPr>
          <w:sz w:val="20"/>
          <w:szCs w:val="20"/>
        </w:rPr>
        <w:t xml:space="preserve"> Government of the Republic of North Macedonia. </w:t>
      </w:r>
      <w:r>
        <w:rPr>
          <w:i/>
          <w:sz w:val="20"/>
          <w:szCs w:val="20"/>
        </w:rPr>
        <w:t>Press release from the 32nd session of the government. (The Government decided to redraw the draft law for Civil Registry).</w:t>
      </w:r>
      <w:r>
        <w:rPr>
          <w:sz w:val="20"/>
          <w:szCs w:val="20"/>
        </w:rPr>
        <w:t xml:space="preserve"> Available at:</w:t>
      </w:r>
      <w:hyperlink r:id="rId14">
        <w:r>
          <w:rPr>
            <w:sz w:val="20"/>
            <w:szCs w:val="20"/>
          </w:rPr>
          <w:t xml:space="preserve"> </w:t>
        </w:r>
      </w:hyperlink>
      <w:hyperlink r:id="rId15">
        <w:r>
          <w:rPr>
            <w:color w:val="1155CC"/>
            <w:sz w:val="20"/>
            <w:szCs w:val="20"/>
            <w:u w:val="single"/>
          </w:rPr>
          <w:t>https://bit.ly/3PvykSm</w:t>
        </w:r>
      </w:hyperlink>
      <w:r>
        <w:rPr>
          <w:sz w:val="20"/>
          <w:szCs w:val="20"/>
        </w:rPr>
        <w:t>.</w:t>
      </w:r>
    </w:p>
  </w:footnote>
  <w:footnote w:id="15">
    <w:p w14:paraId="000000AD" w14:textId="77777777" w:rsidR="001F4463" w:rsidRDefault="00665134">
      <w:pPr>
        <w:spacing w:line="240" w:lineRule="auto"/>
        <w:rPr>
          <w:sz w:val="20"/>
          <w:szCs w:val="20"/>
        </w:rPr>
      </w:pPr>
      <w:r>
        <w:rPr>
          <w:vertAlign w:val="superscript"/>
        </w:rPr>
        <w:footnoteRef/>
      </w:r>
      <w:r>
        <w:rPr>
          <w:sz w:val="20"/>
          <w:szCs w:val="20"/>
        </w:rPr>
        <w:t xml:space="preserve"> The State has not begun the implementation of the last International Classification of Diseases – ICD11, which removed transgender identities from the chapter on mental and behavioural disorders. The State was supposed to start reporting on the implementation in 2022.</w:t>
      </w:r>
    </w:p>
  </w:footnote>
  <w:footnote w:id="16">
    <w:p w14:paraId="000000AE" w14:textId="77777777" w:rsidR="001F4463" w:rsidRDefault="00665134">
      <w:pPr>
        <w:spacing w:line="240" w:lineRule="auto"/>
        <w:rPr>
          <w:sz w:val="20"/>
          <w:szCs w:val="20"/>
        </w:rPr>
      </w:pPr>
      <w:r>
        <w:rPr>
          <w:vertAlign w:val="superscript"/>
        </w:rPr>
        <w:footnoteRef/>
      </w:r>
      <w:r>
        <w:rPr>
          <w:sz w:val="20"/>
          <w:szCs w:val="20"/>
        </w:rPr>
        <w:t xml:space="preserve"> United Nations Economic and Social Council (2016). </w:t>
      </w:r>
      <w:r>
        <w:rPr>
          <w:i/>
          <w:sz w:val="20"/>
          <w:szCs w:val="20"/>
        </w:rPr>
        <w:t xml:space="preserve">General comment No. 22 (2016) on the right to sexual and reproductive health (article 12 of the International Covenant on Economic, Social and Cultural Rights), E/C.12/GC/22. </w:t>
      </w:r>
      <w:r>
        <w:rPr>
          <w:sz w:val="20"/>
          <w:szCs w:val="20"/>
        </w:rPr>
        <w:t xml:space="preserve">Available at: </w:t>
      </w:r>
      <w:hyperlink r:id="rId16">
        <w:r>
          <w:rPr>
            <w:color w:val="1155CC"/>
            <w:sz w:val="20"/>
            <w:szCs w:val="20"/>
            <w:u w:val="single"/>
          </w:rPr>
          <w:t>https://bit.ly/3LYCsZW</w:t>
        </w:r>
      </w:hyperlink>
      <w:r>
        <w:rPr>
          <w:sz w:val="20"/>
          <w:szCs w:val="20"/>
        </w:rPr>
        <w:t xml:space="preserve">. </w:t>
      </w:r>
    </w:p>
  </w:footnote>
  <w:footnote w:id="17">
    <w:p w14:paraId="000000AB" w14:textId="77777777" w:rsidR="001F4463" w:rsidRDefault="00665134">
      <w:pPr>
        <w:spacing w:line="240" w:lineRule="auto"/>
        <w:rPr>
          <w:sz w:val="20"/>
          <w:szCs w:val="20"/>
        </w:rPr>
      </w:pPr>
      <w:r>
        <w:rPr>
          <w:vertAlign w:val="superscript"/>
        </w:rPr>
        <w:footnoteRef/>
      </w:r>
      <w:r>
        <w:rPr>
          <w:sz w:val="20"/>
          <w:szCs w:val="20"/>
        </w:rPr>
        <w:t xml:space="preserve"> Dimitrov, S., 2018. </w:t>
      </w:r>
      <w:r>
        <w:rPr>
          <w:i/>
          <w:sz w:val="20"/>
          <w:szCs w:val="20"/>
        </w:rPr>
        <w:t xml:space="preserve">Transgender experience: identities, bodies, violence and socialisation. </w:t>
      </w:r>
      <w:r>
        <w:rPr>
          <w:sz w:val="20"/>
          <w:szCs w:val="20"/>
        </w:rPr>
        <w:t>Coalition Margins. Available at:</w:t>
      </w:r>
      <w:hyperlink r:id="rId17">
        <w:r>
          <w:rPr>
            <w:sz w:val="20"/>
            <w:szCs w:val="20"/>
          </w:rPr>
          <w:t xml:space="preserve"> </w:t>
        </w:r>
      </w:hyperlink>
      <w:hyperlink r:id="rId18">
        <w:r>
          <w:rPr>
            <w:color w:val="1155CC"/>
            <w:sz w:val="20"/>
            <w:szCs w:val="20"/>
            <w:u w:val="single"/>
          </w:rPr>
          <w:t>https://bit.ly/3Rt8T6A</w:t>
        </w:r>
      </w:hyperlink>
      <w:r>
        <w:rPr>
          <w:sz w:val="20"/>
          <w:szCs w:val="20"/>
        </w:rPr>
        <w:t>.</w:t>
      </w:r>
    </w:p>
  </w:footnote>
  <w:footnote w:id="18">
    <w:p w14:paraId="000000AC" w14:textId="77777777" w:rsidR="001F4463" w:rsidRDefault="00665134">
      <w:pPr>
        <w:spacing w:line="240" w:lineRule="auto"/>
        <w:rPr>
          <w:sz w:val="20"/>
          <w:szCs w:val="20"/>
        </w:rPr>
      </w:pPr>
      <w:r>
        <w:rPr>
          <w:vertAlign w:val="superscript"/>
        </w:rPr>
        <w:footnoteRef/>
      </w:r>
      <w:r>
        <w:rPr>
          <w:sz w:val="20"/>
          <w:szCs w:val="20"/>
        </w:rPr>
        <w:t xml:space="preserve"> Ibid. </w:t>
      </w:r>
    </w:p>
  </w:footnote>
  <w:footnote w:id="19">
    <w:p w14:paraId="000000B0" w14:textId="77777777" w:rsidR="001F4463" w:rsidRDefault="00665134">
      <w:pPr>
        <w:spacing w:line="240" w:lineRule="auto"/>
        <w:rPr>
          <w:sz w:val="20"/>
          <w:szCs w:val="20"/>
        </w:rPr>
      </w:pPr>
      <w:r>
        <w:rPr>
          <w:vertAlign w:val="superscript"/>
        </w:rPr>
        <w:footnoteRef/>
      </w:r>
      <w:r>
        <w:rPr>
          <w:sz w:val="20"/>
          <w:szCs w:val="20"/>
        </w:rPr>
        <w:t xml:space="preserve"> Official Gazette of Republic of North Macedonia No.258/2020. </w:t>
      </w:r>
      <w:r>
        <w:rPr>
          <w:i/>
          <w:sz w:val="20"/>
          <w:szCs w:val="20"/>
        </w:rPr>
        <w:t>Law on Prevention and Protection of Discrimination.</w:t>
      </w:r>
      <w:r>
        <w:rPr>
          <w:sz w:val="20"/>
          <w:szCs w:val="20"/>
        </w:rPr>
        <w:t xml:space="preserve"> Available at: </w:t>
      </w:r>
      <w:hyperlink r:id="rId19">
        <w:r>
          <w:rPr>
            <w:color w:val="1155CC"/>
            <w:sz w:val="20"/>
            <w:szCs w:val="20"/>
            <w:u w:val="single"/>
          </w:rPr>
          <w:t>bit.ly/44zAeqI</w:t>
        </w:r>
      </w:hyperlink>
      <w:r>
        <w:rPr>
          <w:sz w:val="20"/>
          <w:szCs w:val="20"/>
        </w:rPr>
        <w:t xml:space="preserve">. </w:t>
      </w:r>
    </w:p>
  </w:footnote>
  <w:footnote w:id="20">
    <w:p w14:paraId="000000B1" w14:textId="77777777" w:rsidR="001F4463" w:rsidRDefault="00665134">
      <w:pPr>
        <w:spacing w:line="240" w:lineRule="auto"/>
        <w:rPr>
          <w:sz w:val="20"/>
          <w:szCs w:val="20"/>
        </w:rPr>
      </w:pPr>
      <w:r>
        <w:rPr>
          <w:vertAlign w:val="superscript"/>
        </w:rPr>
        <w:footnoteRef/>
      </w:r>
      <w:r>
        <w:rPr>
          <w:sz w:val="20"/>
          <w:szCs w:val="20"/>
        </w:rPr>
        <w:t xml:space="preserve"> Official Gazette of Republic of North Macedonia No.62/05, 106/08, 161/08, 114/09, 130/09, 50/10, 52/10, 124/10, 47/11, 11/12, 39/12, 13/13, 25/13, 170/13, 187/13, 113/14, 20/15, 33/15, 72/15, 129/15, 27/16, 120/18. </w:t>
      </w:r>
      <w:r>
        <w:rPr>
          <w:i/>
          <w:sz w:val="20"/>
          <w:szCs w:val="20"/>
        </w:rPr>
        <w:t>Law on Labour Relations.</w:t>
      </w:r>
      <w:r>
        <w:rPr>
          <w:sz w:val="20"/>
          <w:szCs w:val="20"/>
        </w:rPr>
        <w:t xml:space="preserve"> Available at: </w:t>
      </w:r>
      <w:hyperlink r:id="rId20">
        <w:r>
          <w:rPr>
            <w:color w:val="1155CC"/>
            <w:sz w:val="20"/>
            <w:szCs w:val="20"/>
            <w:u w:val="single"/>
          </w:rPr>
          <w:t>https://bit.ly/3ytyyoJ</w:t>
        </w:r>
      </w:hyperlink>
      <w:r>
        <w:rPr>
          <w:sz w:val="20"/>
          <w:szCs w:val="20"/>
        </w:rPr>
        <w:t xml:space="preserve">.  </w:t>
      </w:r>
    </w:p>
  </w:footnote>
  <w:footnote w:id="21">
    <w:p w14:paraId="000000B2" w14:textId="77777777" w:rsidR="001F4463" w:rsidRDefault="00665134">
      <w:pPr>
        <w:spacing w:line="240" w:lineRule="auto"/>
        <w:rPr>
          <w:sz w:val="20"/>
          <w:szCs w:val="20"/>
        </w:rPr>
      </w:pPr>
      <w:r>
        <w:rPr>
          <w:vertAlign w:val="superscript"/>
        </w:rPr>
        <w:footnoteRef/>
      </w:r>
      <w:r>
        <w:rPr>
          <w:sz w:val="20"/>
          <w:szCs w:val="20"/>
        </w:rPr>
        <w:t xml:space="preserve"> European Union Agency for Fundamental Rights, 2024. </w:t>
      </w:r>
      <w:r>
        <w:rPr>
          <w:i/>
          <w:sz w:val="20"/>
          <w:szCs w:val="20"/>
        </w:rPr>
        <w:t xml:space="preserve">LGBTIQ equality at a crossroads – Progress and challenges. </w:t>
      </w:r>
      <w:r>
        <w:rPr>
          <w:sz w:val="20"/>
          <w:szCs w:val="20"/>
        </w:rPr>
        <w:t xml:space="preserve">Available at: </w:t>
      </w:r>
      <w:hyperlink r:id="rId21">
        <w:r>
          <w:rPr>
            <w:color w:val="1155CC"/>
            <w:sz w:val="20"/>
            <w:szCs w:val="20"/>
            <w:u w:val="single"/>
          </w:rPr>
          <w:t>https://bit.ly/46DOK38</w:t>
        </w:r>
      </w:hyperlink>
      <w:r>
        <w:rPr>
          <w:sz w:val="20"/>
          <w:szCs w:val="20"/>
        </w:rPr>
        <w:t xml:space="preserve">. </w:t>
      </w:r>
    </w:p>
  </w:footnote>
  <w:footnote w:id="22">
    <w:p w14:paraId="000000AF" w14:textId="77777777" w:rsidR="001F4463" w:rsidRDefault="00665134">
      <w:pPr>
        <w:spacing w:line="240" w:lineRule="auto"/>
        <w:rPr>
          <w:sz w:val="20"/>
          <w:szCs w:val="20"/>
        </w:rPr>
      </w:pPr>
      <w:r>
        <w:rPr>
          <w:vertAlign w:val="superscript"/>
        </w:rPr>
        <w:footnoteRef/>
      </w:r>
      <w:r>
        <w:rPr>
          <w:sz w:val="20"/>
          <w:szCs w:val="20"/>
        </w:rPr>
        <w:t xml:space="preserve"> Flores, Andrew; Koehler, Dominik; Lucchetti, Leonardo; Cortez, Clifton; Djindjić, Jovana; Kuzmanov, Lidija. 2023. </w:t>
      </w:r>
      <w:r>
        <w:rPr>
          <w:i/>
          <w:sz w:val="20"/>
          <w:szCs w:val="20"/>
        </w:rPr>
        <w:t>The Economic Cost of Exclusion Based on Sexual Orientation, Gender Identity and Expression, and Sex Characteristics in the Labor Market in the Republic of North Macedonia</w:t>
      </w:r>
      <w:r>
        <w:rPr>
          <w:sz w:val="20"/>
          <w:szCs w:val="20"/>
        </w:rPr>
        <w:t xml:space="preserve">. World Bank. Available at: </w:t>
      </w:r>
      <w:hyperlink r:id="rId22">
        <w:r>
          <w:rPr>
            <w:color w:val="1155CC"/>
            <w:sz w:val="20"/>
            <w:szCs w:val="20"/>
            <w:u w:val="single"/>
          </w:rPr>
          <w:t>http://hdl.handle.net/10986/40380</w:t>
        </w:r>
      </w:hyperlink>
      <w:r>
        <w:rPr>
          <w:sz w:val="20"/>
          <w:szCs w:val="20"/>
        </w:rPr>
        <w:t xml:space="preserve">. </w:t>
      </w:r>
    </w:p>
  </w:footnote>
  <w:footnote w:id="23">
    <w:p w14:paraId="000000B8" w14:textId="77777777" w:rsidR="001F4463" w:rsidRDefault="00665134">
      <w:pPr>
        <w:spacing w:line="240" w:lineRule="auto"/>
        <w:rPr>
          <w:sz w:val="20"/>
          <w:szCs w:val="20"/>
        </w:rPr>
      </w:pPr>
      <w:r>
        <w:rPr>
          <w:vertAlign w:val="superscript"/>
        </w:rPr>
        <w:footnoteRef/>
      </w:r>
      <w:r>
        <w:rPr>
          <w:sz w:val="20"/>
          <w:szCs w:val="20"/>
        </w:rPr>
        <w:t xml:space="preserve"> Coalition Margins. </w:t>
      </w:r>
      <w:r>
        <w:rPr>
          <w:i/>
          <w:sz w:val="20"/>
          <w:szCs w:val="20"/>
        </w:rPr>
        <w:t xml:space="preserve">Report of the human rights violations based on documented cases by Coalition Margins. </w:t>
      </w:r>
      <w:r>
        <w:rPr>
          <w:sz w:val="20"/>
          <w:szCs w:val="20"/>
        </w:rPr>
        <w:t>Available at:</w:t>
      </w:r>
      <w:hyperlink r:id="rId23">
        <w:r>
          <w:rPr>
            <w:sz w:val="20"/>
            <w:szCs w:val="20"/>
          </w:rPr>
          <w:t xml:space="preserve"> </w:t>
        </w:r>
      </w:hyperlink>
      <w:hyperlink r:id="rId24">
        <w:r>
          <w:rPr>
            <w:color w:val="1155CC"/>
            <w:sz w:val="20"/>
            <w:szCs w:val="20"/>
            <w:u w:val="single"/>
          </w:rPr>
          <w:t>https://bit.ly/45hzTcJ</w:t>
        </w:r>
      </w:hyperlink>
      <w:r>
        <w:rPr>
          <w:sz w:val="20"/>
          <w:szCs w:val="20"/>
        </w:rPr>
        <w:t>.</w:t>
      </w:r>
    </w:p>
  </w:footnote>
  <w:footnote w:id="24">
    <w:p w14:paraId="000000B3" w14:textId="77777777" w:rsidR="001F4463" w:rsidRDefault="00665134">
      <w:pPr>
        <w:spacing w:line="240" w:lineRule="auto"/>
        <w:rPr>
          <w:sz w:val="20"/>
          <w:szCs w:val="20"/>
        </w:rPr>
      </w:pPr>
      <w:r>
        <w:rPr>
          <w:vertAlign w:val="superscript"/>
        </w:rPr>
        <w:footnoteRef/>
      </w:r>
      <w:r>
        <w:rPr>
          <w:sz w:val="20"/>
          <w:szCs w:val="20"/>
        </w:rPr>
        <w:t xml:space="preserve"> United Nations Convention on the Elimination of All Forms of Discrimination against Women. </w:t>
      </w:r>
      <w:r>
        <w:rPr>
          <w:i/>
          <w:sz w:val="20"/>
          <w:szCs w:val="20"/>
        </w:rPr>
        <w:t>Concluding observations on the sixth periodic report of the former Yugoslav Republic of Macedonia. CEDAW/C/MKD/CO/6.</w:t>
      </w:r>
      <w:r>
        <w:rPr>
          <w:sz w:val="20"/>
          <w:szCs w:val="20"/>
        </w:rPr>
        <w:t xml:space="preserve"> Available at:</w:t>
      </w:r>
      <w:hyperlink r:id="rId25">
        <w:r>
          <w:rPr>
            <w:sz w:val="20"/>
            <w:szCs w:val="20"/>
          </w:rPr>
          <w:t xml:space="preserve"> </w:t>
        </w:r>
      </w:hyperlink>
      <w:hyperlink r:id="rId26">
        <w:r>
          <w:rPr>
            <w:color w:val="1155CC"/>
            <w:sz w:val="20"/>
            <w:szCs w:val="20"/>
            <w:u w:val="single"/>
          </w:rPr>
          <w:t>https://bit.ly/3wA4Au6</w:t>
        </w:r>
      </w:hyperlink>
      <w:r>
        <w:rPr>
          <w:sz w:val="20"/>
          <w:szCs w:val="20"/>
        </w:rPr>
        <w:t xml:space="preserve">. </w:t>
      </w:r>
    </w:p>
  </w:footnote>
  <w:footnote w:id="25">
    <w:p w14:paraId="000000B6" w14:textId="77777777" w:rsidR="001F4463" w:rsidRDefault="00665134">
      <w:pPr>
        <w:spacing w:line="240" w:lineRule="auto"/>
        <w:rPr>
          <w:sz w:val="20"/>
          <w:szCs w:val="20"/>
        </w:rPr>
      </w:pPr>
      <w:r>
        <w:rPr>
          <w:vertAlign w:val="superscript"/>
        </w:rPr>
        <w:footnoteRef/>
      </w:r>
      <w:r>
        <w:rPr>
          <w:sz w:val="20"/>
          <w:szCs w:val="20"/>
        </w:rPr>
        <w:t xml:space="preserve"> European Union Agency for Fundamental Rights, 2024. </w:t>
      </w:r>
      <w:r>
        <w:rPr>
          <w:i/>
          <w:sz w:val="20"/>
          <w:szCs w:val="20"/>
        </w:rPr>
        <w:t xml:space="preserve">LGBTIQ equality at a crossroads – Progress and challenges. </w:t>
      </w:r>
      <w:r>
        <w:rPr>
          <w:sz w:val="20"/>
          <w:szCs w:val="20"/>
        </w:rPr>
        <w:t xml:space="preserve">Available at: </w:t>
      </w:r>
      <w:hyperlink r:id="rId27">
        <w:r>
          <w:rPr>
            <w:color w:val="1155CC"/>
            <w:sz w:val="20"/>
            <w:szCs w:val="20"/>
            <w:u w:val="single"/>
          </w:rPr>
          <w:t>https://bit.ly/46DOK38</w:t>
        </w:r>
      </w:hyperlink>
      <w:r>
        <w:rPr>
          <w:sz w:val="20"/>
          <w:szCs w:val="20"/>
        </w:rPr>
        <w:t xml:space="preserve">. </w:t>
      </w:r>
    </w:p>
  </w:footnote>
  <w:footnote w:id="26">
    <w:p w14:paraId="000000B4" w14:textId="77777777" w:rsidR="001F4463" w:rsidRDefault="00665134">
      <w:pPr>
        <w:spacing w:line="240" w:lineRule="auto"/>
        <w:rPr>
          <w:i/>
          <w:sz w:val="20"/>
          <w:szCs w:val="20"/>
        </w:rPr>
      </w:pPr>
      <w:r>
        <w:rPr>
          <w:vertAlign w:val="superscript"/>
        </w:rPr>
        <w:footnoteRef/>
      </w:r>
      <w:r>
        <w:rPr>
          <w:sz w:val="20"/>
          <w:szCs w:val="20"/>
        </w:rPr>
        <w:t xml:space="preserve"> TransFormA. </w:t>
      </w:r>
      <w:r>
        <w:rPr>
          <w:i/>
          <w:sz w:val="20"/>
          <w:szCs w:val="20"/>
        </w:rPr>
        <w:t>Analysis of the accessibility and availability of healthcare services for transgender</w:t>
      </w:r>
    </w:p>
    <w:p w14:paraId="000000B5" w14:textId="77777777" w:rsidR="001F4463" w:rsidRDefault="00665134">
      <w:pPr>
        <w:spacing w:line="240" w:lineRule="auto"/>
        <w:rPr>
          <w:sz w:val="20"/>
          <w:szCs w:val="20"/>
        </w:rPr>
      </w:pPr>
      <w:r>
        <w:rPr>
          <w:i/>
          <w:sz w:val="20"/>
          <w:szCs w:val="20"/>
        </w:rPr>
        <w:t xml:space="preserve">people in the Republic of North Macedonia. </w:t>
      </w:r>
      <w:r>
        <w:rPr>
          <w:sz w:val="20"/>
          <w:szCs w:val="20"/>
        </w:rPr>
        <w:t xml:space="preserve">Available at: </w:t>
      </w:r>
      <w:hyperlink r:id="rId28">
        <w:r>
          <w:rPr>
            <w:color w:val="1155CC"/>
            <w:sz w:val="20"/>
            <w:szCs w:val="20"/>
            <w:u w:val="single"/>
          </w:rPr>
          <w:t>https://bit.ly/3XuqIDO</w:t>
        </w:r>
      </w:hyperlink>
      <w:r>
        <w:rPr>
          <w:sz w:val="20"/>
          <w:szCs w:val="20"/>
        </w:rPr>
        <w:t xml:space="preserve">. </w:t>
      </w:r>
    </w:p>
  </w:footnote>
  <w:footnote w:id="27">
    <w:p w14:paraId="000000B7" w14:textId="77777777" w:rsidR="001F4463" w:rsidRDefault="00665134">
      <w:pPr>
        <w:spacing w:line="240" w:lineRule="auto"/>
        <w:rPr>
          <w:sz w:val="20"/>
          <w:szCs w:val="20"/>
        </w:rPr>
      </w:pPr>
      <w:r>
        <w:rPr>
          <w:vertAlign w:val="superscript"/>
        </w:rPr>
        <w:footnoteRef/>
      </w:r>
      <w:r>
        <w:rPr>
          <w:sz w:val="20"/>
          <w:szCs w:val="20"/>
        </w:rPr>
        <w:t xml:space="preserve"> Council of Europe, Group of Experts on Action against Violence against Women and Domestic Violence (GREVIO). </w:t>
      </w:r>
      <w:r>
        <w:rPr>
          <w:i/>
          <w:sz w:val="20"/>
          <w:szCs w:val="20"/>
        </w:rPr>
        <w:t>Baseline Evaluation Report North Macedonia.</w:t>
      </w:r>
      <w:r>
        <w:rPr>
          <w:sz w:val="20"/>
          <w:szCs w:val="20"/>
        </w:rPr>
        <w:t xml:space="preserve"> Available at: </w:t>
      </w:r>
      <w:hyperlink r:id="rId29">
        <w:r>
          <w:rPr>
            <w:color w:val="1155CC"/>
            <w:sz w:val="20"/>
            <w:szCs w:val="20"/>
            <w:u w:val="single"/>
          </w:rPr>
          <w:t>https://bit.ly/3YGdjck</w:t>
        </w:r>
      </w:hyperlink>
      <w:r>
        <w:rPr>
          <w:sz w:val="20"/>
          <w:szCs w:val="20"/>
        </w:rPr>
        <w:t xml:space="preserve">. </w:t>
      </w:r>
    </w:p>
  </w:footnote>
  <w:footnote w:id="28">
    <w:p w14:paraId="000000B9" w14:textId="77777777" w:rsidR="001F4463" w:rsidRDefault="00665134">
      <w:pPr>
        <w:spacing w:line="240" w:lineRule="auto"/>
        <w:rPr>
          <w:sz w:val="20"/>
          <w:szCs w:val="20"/>
        </w:rPr>
      </w:pPr>
      <w:r>
        <w:rPr>
          <w:vertAlign w:val="superscript"/>
        </w:rPr>
        <w:footnoteRef/>
      </w:r>
      <w:r>
        <w:rPr>
          <w:sz w:val="20"/>
          <w:szCs w:val="20"/>
        </w:rPr>
        <w:t xml:space="preserve"> United Nations Convention on the Elimination of All Forms of Discrimination against Women. </w:t>
      </w:r>
      <w:r>
        <w:rPr>
          <w:i/>
          <w:sz w:val="20"/>
          <w:szCs w:val="20"/>
        </w:rPr>
        <w:t>Concluding observations on the sixth periodic report of the former Yugoslav Republic of Macedonia. CEDAW/C/MKD/CO/6.</w:t>
      </w:r>
      <w:r>
        <w:rPr>
          <w:sz w:val="20"/>
          <w:szCs w:val="20"/>
        </w:rPr>
        <w:t xml:space="preserve"> Available at:</w:t>
      </w:r>
      <w:hyperlink r:id="rId30">
        <w:r>
          <w:rPr>
            <w:sz w:val="20"/>
            <w:szCs w:val="20"/>
          </w:rPr>
          <w:t xml:space="preserve"> </w:t>
        </w:r>
      </w:hyperlink>
      <w:hyperlink r:id="rId31">
        <w:r>
          <w:rPr>
            <w:color w:val="1155CC"/>
            <w:sz w:val="20"/>
            <w:szCs w:val="20"/>
            <w:u w:val="single"/>
          </w:rPr>
          <w:t>https://bit.ly/3wA4Au6</w:t>
        </w:r>
      </w:hyperlink>
      <w:r>
        <w:rPr>
          <w:sz w:val="20"/>
          <w:szCs w:val="20"/>
        </w:rPr>
        <w:t xml:space="preserve">. </w:t>
      </w:r>
    </w:p>
  </w:footnote>
  <w:footnote w:id="29">
    <w:p w14:paraId="000000C4" w14:textId="77777777" w:rsidR="001F4463" w:rsidRDefault="00665134">
      <w:pPr>
        <w:spacing w:line="240" w:lineRule="auto"/>
        <w:rPr>
          <w:sz w:val="20"/>
          <w:szCs w:val="20"/>
        </w:rPr>
      </w:pPr>
      <w:r>
        <w:rPr>
          <w:vertAlign w:val="superscript"/>
        </w:rPr>
        <w:footnoteRef/>
      </w:r>
      <w:r>
        <w:rPr>
          <w:sz w:val="20"/>
          <w:szCs w:val="20"/>
        </w:rPr>
        <w:t xml:space="preserve"> Kjostarova Unkovska, L., Coalition Margins, 2019. </w:t>
      </w:r>
      <w:r>
        <w:rPr>
          <w:i/>
          <w:sz w:val="20"/>
          <w:szCs w:val="20"/>
        </w:rPr>
        <w:t xml:space="preserve">Inequalities in the health and rights of LGBT youth aged 13 and 15 in North Macedonia. </w:t>
      </w:r>
      <w:r>
        <w:rPr>
          <w:sz w:val="20"/>
          <w:szCs w:val="20"/>
        </w:rPr>
        <w:t xml:space="preserve">Available at: </w:t>
      </w:r>
      <w:hyperlink r:id="rId32">
        <w:r>
          <w:rPr>
            <w:color w:val="1155CC"/>
            <w:sz w:val="20"/>
            <w:szCs w:val="20"/>
            <w:u w:val="single"/>
          </w:rPr>
          <w:t>https://bit.ly/3Oa957Y</w:t>
        </w:r>
      </w:hyperlink>
      <w:r>
        <w:rPr>
          <w:sz w:val="20"/>
          <w:szCs w:val="20"/>
        </w:rPr>
        <w:t xml:space="preserve">. </w:t>
      </w:r>
    </w:p>
  </w:footnote>
  <w:footnote w:id="30">
    <w:p w14:paraId="000000C0" w14:textId="77777777" w:rsidR="001F4463" w:rsidRDefault="00665134">
      <w:pPr>
        <w:spacing w:line="240" w:lineRule="auto"/>
        <w:rPr>
          <w:sz w:val="20"/>
          <w:szCs w:val="20"/>
        </w:rPr>
      </w:pPr>
      <w:r>
        <w:rPr>
          <w:vertAlign w:val="superscript"/>
        </w:rPr>
        <w:footnoteRef/>
      </w:r>
      <w:r>
        <w:rPr>
          <w:sz w:val="20"/>
          <w:szCs w:val="20"/>
        </w:rPr>
        <w:t xml:space="preserve"> Coalition Margins, 2022.</w:t>
      </w:r>
      <w:r>
        <w:rPr>
          <w:i/>
          <w:sz w:val="20"/>
          <w:szCs w:val="20"/>
        </w:rPr>
        <w:t xml:space="preserve"> The hidden forms of conversion therapy. </w:t>
      </w:r>
      <w:r>
        <w:rPr>
          <w:sz w:val="20"/>
          <w:szCs w:val="20"/>
        </w:rPr>
        <w:t xml:space="preserve">Available at: </w:t>
      </w:r>
      <w:hyperlink r:id="rId33">
        <w:r>
          <w:rPr>
            <w:color w:val="1155CC"/>
            <w:sz w:val="20"/>
            <w:szCs w:val="20"/>
            <w:u w:val="single"/>
          </w:rPr>
          <w:t>https://bit.ly/3zrRsN5</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7C9BB" w14:textId="1BC68207" w:rsidR="00000C1B" w:rsidRDefault="00000C1B" w:rsidP="00000C1B">
    <w:pPr>
      <w:pStyle w:val="Header"/>
      <w:jc w:val="center"/>
    </w:pPr>
  </w:p>
  <w:p w14:paraId="71B56E00" w14:textId="77777777" w:rsidR="00000C1B" w:rsidRDefault="00000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A55A2"/>
    <w:multiLevelType w:val="multilevel"/>
    <w:tmpl w:val="D6F89D44"/>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52A1789"/>
    <w:multiLevelType w:val="multilevel"/>
    <w:tmpl w:val="1BE2F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294B72"/>
    <w:multiLevelType w:val="multilevel"/>
    <w:tmpl w:val="2836F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46453D9"/>
    <w:multiLevelType w:val="multilevel"/>
    <w:tmpl w:val="EA4279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46C9441A"/>
    <w:multiLevelType w:val="multilevel"/>
    <w:tmpl w:val="CD7EDC68"/>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4E600D11"/>
    <w:multiLevelType w:val="multilevel"/>
    <w:tmpl w:val="1430C7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5347FBF"/>
    <w:multiLevelType w:val="multilevel"/>
    <w:tmpl w:val="23B07008"/>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6AF91904"/>
    <w:multiLevelType w:val="multilevel"/>
    <w:tmpl w:val="C5B43A3A"/>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75AC17C3"/>
    <w:multiLevelType w:val="multilevel"/>
    <w:tmpl w:val="83EA1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41148585">
    <w:abstractNumId w:val="7"/>
  </w:num>
  <w:num w:numId="2" w16cid:durableId="1747536936">
    <w:abstractNumId w:val="1"/>
  </w:num>
  <w:num w:numId="3" w16cid:durableId="18285860">
    <w:abstractNumId w:val="5"/>
  </w:num>
  <w:num w:numId="4" w16cid:durableId="120535140">
    <w:abstractNumId w:val="2"/>
  </w:num>
  <w:num w:numId="5" w16cid:durableId="2142579013">
    <w:abstractNumId w:val="8"/>
  </w:num>
  <w:num w:numId="6" w16cid:durableId="929658414">
    <w:abstractNumId w:val="4"/>
  </w:num>
  <w:num w:numId="7" w16cid:durableId="1171289414">
    <w:abstractNumId w:val="0"/>
  </w:num>
  <w:num w:numId="8" w16cid:durableId="906496056">
    <w:abstractNumId w:val="6"/>
  </w:num>
  <w:num w:numId="9" w16cid:durableId="395322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F4463"/>
    <w:rsid w:val="00000C1B"/>
    <w:rsid w:val="001F4463"/>
    <w:rsid w:val="00665134"/>
    <w:rsid w:val="006D4CE2"/>
    <w:rsid w:val="00807F0F"/>
    <w:rsid w:val="00B73B5E"/>
    <w:rsid w:val="00F17EBD"/>
    <w:rsid w:val="00F31FAC"/>
  </w:rsids>
  <m:mathPr>
    <m:mathFont m:val="Cambria Math"/>
    <m:brkBin m:val="before"/>
    <m:brkBinSub m:val="--"/>
    <m:smallFrac m:val="0"/>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77E0D"/>
  <w15:docId w15:val="{1DB3A219-6DFC-43A1-8CD8-BB2C44070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mk-MK" w:eastAsia="mk-MK"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00C1B"/>
    <w:pPr>
      <w:tabs>
        <w:tab w:val="center" w:pos="4513"/>
        <w:tab w:val="right" w:pos="9026"/>
      </w:tabs>
      <w:spacing w:line="240" w:lineRule="auto"/>
    </w:pPr>
  </w:style>
  <w:style w:type="character" w:customStyle="1" w:styleId="HeaderChar">
    <w:name w:val="Header Char"/>
    <w:basedOn w:val="DefaultParagraphFont"/>
    <w:link w:val="Header"/>
    <w:uiPriority w:val="99"/>
    <w:rsid w:val="00000C1B"/>
  </w:style>
  <w:style w:type="paragraph" w:styleId="Footer">
    <w:name w:val="footer"/>
    <w:basedOn w:val="Normal"/>
    <w:link w:val="FooterChar"/>
    <w:uiPriority w:val="99"/>
    <w:unhideWhenUsed/>
    <w:rsid w:val="00000C1B"/>
    <w:pPr>
      <w:tabs>
        <w:tab w:val="center" w:pos="4513"/>
        <w:tab w:val="right" w:pos="9026"/>
      </w:tabs>
      <w:spacing w:line="240" w:lineRule="auto"/>
    </w:pPr>
  </w:style>
  <w:style w:type="character" w:customStyle="1" w:styleId="FooterChar">
    <w:name w:val="Footer Char"/>
    <w:basedOn w:val="DefaultParagraphFont"/>
    <w:link w:val="Footer"/>
    <w:uiPriority w:val="99"/>
    <w:rsid w:val="00000C1B"/>
  </w:style>
  <w:style w:type="paragraph" w:styleId="BalloonText">
    <w:name w:val="Balloon Text"/>
    <w:basedOn w:val="Normal"/>
    <w:link w:val="BalloonTextChar"/>
    <w:uiPriority w:val="99"/>
    <w:semiHidden/>
    <w:unhideWhenUsed/>
    <w:rsid w:val="00000C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C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bginova@gmail.com" TargetMode="External"/><Relationship Id="rId13" Type="http://schemas.openxmlformats.org/officeDocument/2006/relationships/hyperlink" Target="mailto:milikjlila1984@gmail.com"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vesna.turmakovska@hera.org.mk"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jubomir.faizov@lgbti.m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ngel_dimitrievski@ekvalis.org.mk"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natasa.boskova@gmail.com"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bit.ly/3P2Ms5r" TargetMode="External"/><Relationship Id="rId18" Type="http://schemas.openxmlformats.org/officeDocument/2006/relationships/hyperlink" Target="https://bit.ly/3Rt8T6A" TargetMode="External"/><Relationship Id="rId26" Type="http://schemas.openxmlformats.org/officeDocument/2006/relationships/hyperlink" Target="https://bit.ly/3wA4Au6" TargetMode="External"/><Relationship Id="rId3" Type="http://schemas.openxmlformats.org/officeDocument/2006/relationships/hyperlink" Target="https://bit.ly/4hY7nEz" TargetMode="External"/><Relationship Id="rId21" Type="http://schemas.openxmlformats.org/officeDocument/2006/relationships/hyperlink" Target="https://bit.ly/46DOK38" TargetMode="External"/><Relationship Id="rId7" Type="http://schemas.openxmlformats.org/officeDocument/2006/relationships/hyperlink" Target="https://bit.ly/3r4SLgP" TargetMode="External"/><Relationship Id="rId12" Type="http://schemas.openxmlformats.org/officeDocument/2006/relationships/hyperlink" Target="https://bit.ly/3P2Ms5r" TargetMode="External"/><Relationship Id="rId17" Type="http://schemas.openxmlformats.org/officeDocument/2006/relationships/hyperlink" Target="https://bit.ly/3Rt8T6A" TargetMode="External"/><Relationship Id="rId25" Type="http://schemas.openxmlformats.org/officeDocument/2006/relationships/hyperlink" Target="https://bit.ly/3wA4Au6" TargetMode="External"/><Relationship Id="rId33" Type="http://schemas.openxmlformats.org/officeDocument/2006/relationships/hyperlink" Target="https://bit.ly/3zrRsN5" TargetMode="External"/><Relationship Id="rId2" Type="http://schemas.openxmlformats.org/officeDocument/2006/relationships/hyperlink" Target="https://bit.ly/4dCaAGR" TargetMode="External"/><Relationship Id="rId16" Type="http://schemas.openxmlformats.org/officeDocument/2006/relationships/hyperlink" Target="https://bit.ly/3LYCsZW" TargetMode="External"/><Relationship Id="rId20" Type="http://schemas.openxmlformats.org/officeDocument/2006/relationships/hyperlink" Target="https://bit.ly/3ytyyoJ" TargetMode="External"/><Relationship Id="rId29" Type="http://schemas.openxmlformats.org/officeDocument/2006/relationships/hyperlink" Target="https://bit.ly/3YGdjck" TargetMode="External"/><Relationship Id="rId1" Type="http://schemas.openxmlformats.org/officeDocument/2006/relationships/hyperlink" Target="https://bit.ly/3PO6HoQ" TargetMode="External"/><Relationship Id="rId6" Type="http://schemas.openxmlformats.org/officeDocument/2006/relationships/hyperlink" Target="https://bit.ly/3r4SLgP" TargetMode="External"/><Relationship Id="rId11" Type="http://schemas.openxmlformats.org/officeDocument/2006/relationships/hyperlink" Target="https://bit.ly/4eb4fCT" TargetMode="External"/><Relationship Id="rId24" Type="http://schemas.openxmlformats.org/officeDocument/2006/relationships/hyperlink" Target="https://bit.ly/45hzTcJ" TargetMode="External"/><Relationship Id="rId32" Type="http://schemas.openxmlformats.org/officeDocument/2006/relationships/hyperlink" Target="https://bit.ly/3Oa957Y" TargetMode="External"/><Relationship Id="rId5" Type="http://schemas.openxmlformats.org/officeDocument/2006/relationships/hyperlink" Target="https://bit.ly/3ZymYUu" TargetMode="External"/><Relationship Id="rId15" Type="http://schemas.openxmlformats.org/officeDocument/2006/relationships/hyperlink" Target="https://bit.ly/3PvykSm" TargetMode="External"/><Relationship Id="rId23" Type="http://schemas.openxmlformats.org/officeDocument/2006/relationships/hyperlink" Target="https://bit.ly/45hzTcJ" TargetMode="External"/><Relationship Id="rId28" Type="http://schemas.openxmlformats.org/officeDocument/2006/relationships/hyperlink" Target="https://bit.ly/3XuqIDO" TargetMode="External"/><Relationship Id="rId10" Type="http://schemas.openxmlformats.org/officeDocument/2006/relationships/hyperlink" Target="https://bit.ly/3EQyDT5" TargetMode="External"/><Relationship Id="rId19" Type="http://schemas.openxmlformats.org/officeDocument/2006/relationships/hyperlink" Target="http://bit.ly/44zAeqI" TargetMode="External"/><Relationship Id="rId31" Type="http://schemas.openxmlformats.org/officeDocument/2006/relationships/hyperlink" Target="https://bit.ly/3wA4Au6" TargetMode="External"/><Relationship Id="rId4" Type="http://schemas.openxmlformats.org/officeDocument/2006/relationships/hyperlink" Target="https://bit.ly/3zhT3oS" TargetMode="External"/><Relationship Id="rId9" Type="http://schemas.openxmlformats.org/officeDocument/2006/relationships/hyperlink" Target="https://bit.ly/466ToFT" TargetMode="External"/><Relationship Id="rId14" Type="http://schemas.openxmlformats.org/officeDocument/2006/relationships/hyperlink" Target="https://bit.ly/3PvykSm" TargetMode="External"/><Relationship Id="rId22" Type="http://schemas.openxmlformats.org/officeDocument/2006/relationships/hyperlink" Target="http://hdl.handle.net/10986/40380" TargetMode="External"/><Relationship Id="rId27" Type="http://schemas.openxmlformats.org/officeDocument/2006/relationships/hyperlink" Target="https://bit.ly/46DOK38" TargetMode="External"/><Relationship Id="rId30" Type="http://schemas.openxmlformats.org/officeDocument/2006/relationships/hyperlink" Target="https://bit.ly/3wA4Au6" TargetMode="External"/><Relationship Id="rId8" Type="http://schemas.openxmlformats.org/officeDocument/2006/relationships/hyperlink" Target="https://bit.ly/3TAKXh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2024-11-27T14:32:39+00:00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5F4D4F9-649F-4D61-961E-DBBEA67F16EF}"/>
</file>

<file path=customXml/itemProps2.xml><?xml version="1.0" encoding="utf-8"?>
<ds:datastoreItem xmlns:ds="http://schemas.openxmlformats.org/officeDocument/2006/customXml" ds:itemID="{16451A22-A60E-4B13-8992-02BD48FBCF78}"/>
</file>

<file path=customXml/itemProps3.xml><?xml version="1.0" encoding="utf-8"?>
<ds:datastoreItem xmlns:ds="http://schemas.openxmlformats.org/officeDocument/2006/customXml" ds:itemID="{2AB469D6-E0FE-409A-816A-5CC345992953}"/>
</file>

<file path=docProps/app.xml><?xml version="1.0" encoding="utf-8"?>
<Properties xmlns="http://schemas.openxmlformats.org/officeDocument/2006/extended-properties" xmlns:vt="http://schemas.openxmlformats.org/officeDocument/2006/docPropsVTypes">
  <Template>Normal.dotm</Template>
  <TotalTime>18</TotalTime>
  <Pages>14</Pages>
  <Words>4626</Words>
  <Characters>26370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Biljana Ginova</cp:lastModifiedBy>
  <cp:revision>4</cp:revision>
  <dcterms:created xsi:type="dcterms:W3CDTF">2024-11-27T10:37:00Z</dcterms:created>
  <dcterms:modified xsi:type="dcterms:W3CDTF">2024-11-27T10:56:00Z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