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6B112" w14:textId="2F828906" w:rsidR="00585E0D" w:rsidRPr="006A5E75" w:rsidRDefault="00585E0D" w:rsidP="00BD4374">
      <w:pPr>
        <w:widowControl w:val="0"/>
        <w:autoSpaceDE w:val="0"/>
        <w:autoSpaceDN w:val="0"/>
        <w:adjustRightInd w:val="0"/>
        <w:spacing w:line="259" w:lineRule="auto"/>
        <w:rPr>
          <w:rFonts w:asciiTheme="majorHAnsi" w:hAnsiTheme="majorHAnsi" w:cstheme="majorHAnsi"/>
          <w:b/>
          <w:bCs/>
          <w:color w:val="434343"/>
        </w:rPr>
      </w:pPr>
    </w:p>
    <w:p w14:paraId="2DEC7FAC" w14:textId="77777777" w:rsidR="00585E0D" w:rsidRPr="006A5E75" w:rsidRDefault="00585E0D" w:rsidP="00BD4374">
      <w:pPr>
        <w:widowControl w:val="0"/>
        <w:autoSpaceDE w:val="0"/>
        <w:autoSpaceDN w:val="0"/>
        <w:adjustRightInd w:val="0"/>
        <w:spacing w:line="259" w:lineRule="auto"/>
        <w:rPr>
          <w:rFonts w:asciiTheme="majorHAnsi" w:hAnsiTheme="majorHAnsi" w:cstheme="majorHAnsi"/>
          <w:b/>
          <w:bCs/>
          <w:color w:val="434343"/>
        </w:rPr>
      </w:pPr>
    </w:p>
    <w:p w14:paraId="4AAD3BDF" w14:textId="0D91A24F" w:rsidR="00585E0D" w:rsidRPr="006A5E75" w:rsidRDefault="00585E0D" w:rsidP="00BD4374">
      <w:pPr>
        <w:widowControl w:val="0"/>
        <w:autoSpaceDE w:val="0"/>
        <w:autoSpaceDN w:val="0"/>
        <w:adjustRightInd w:val="0"/>
        <w:spacing w:line="259" w:lineRule="auto"/>
        <w:rPr>
          <w:rFonts w:asciiTheme="majorHAnsi" w:hAnsiTheme="majorHAnsi" w:cstheme="majorHAnsi"/>
          <w:b/>
          <w:bCs/>
          <w:color w:val="434343"/>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470"/>
        <w:gridCol w:w="5492"/>
      </w:tblGrid>
      <w:tr w:rsidR="00585E0D" w:rsidRPr="00211051" w14:paraId="11F184A1" w14:textId="77777777" w:rsidTr="006D459A">
        <w:tc>
          <w:tcPr>
            <w:tcW w:w="4470" w:type="dxa"/>
          </w:tcPr>
          <w:p w14:paraId="202441EA" w14:textId="1530567F" w:rsidR="00585E0D" w:rsidRPr="00211051" w:rsidRDefault="00585E0D" w:rsidP="00BD4374">
            <w:pPr>
              <w:widowControl w:val="0"/>
              <w:autoSpaceDE w:val="0"/>
              <w:autoSpaceDN w:val="0"/>
              <w:adjustRightInd w:val="0"/>
              <w:spacing w:line="259" w:lineRule="auto"/>
              <w:rPr>
                <w:rFonts w:asciiTheme="majorHAnsi" w:hAnsiTheme="majorHAnsi" w:cstheme="majorHAnsi"/>
                <w:b/>
                <w:bCs/>
                <w:color w:val="434343"/>
              </w:rPr>
            </w:pPr>
            <w:r w:rsidRPr="00211051">
              <w:rPr>
                <w:rFonts w:asciiTheme="majorHAnsi" w:hAnsiTheme="majorHAnsi" w:cstheme="majorHAnsi"/>
                <w:noProof/>
                <w:lang w:val="en-GB" w:eastAsia="en-GB"/>
              </w:rPr>
              <w:drawing>
                <wp:anchor distT="0" distB="0" distL="114300" distR="114300" simplePos="0" relativeHeight="251660288" behindDoc="1" locked="0" layoutInCell="1" allowOverlap="1" wp14:anchorId="63D384C5" wp14:editId="3FB72DE0">
                  <wp:simplePos x="0" y="0"/>
                  <wp:positionH relativeFrom="column">
                    <wp:posOffset>19050</wp:posOffset>
                  </wp:positionH>
                  <wp:positionV relativeFrom="paragraph">
                    <wp:posOffset>0</wp:posOffset>
                  </wp:positionV>
                  <wp:extent cx="1772920" cy="1150620"/>
                  <wp:effectExtent l="0" t="0" r="0" b="0"/>
                  <wp:wrapTight wrapText="bothSides">
                    <wp:wrapPolygon edited="0">
                      <wp:start x="0" y="0"/>
                      <wp:lineTo x="0" y="21099"/>
                      <wp:lineTo x="21352" y="21099"/>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2920" cy="1150620"/>
                          </a:xfrm>
                          <a:prstGeom prst="rect">
                            <a:avLst/>
                          </a:prstGeom>
                          <a:noFill/>
                        </pic:spPr>
                      </pic:pic>
                    </a:graphicData>
                  </a:graphic>
                  <wp14:sizeRelH relativeFrom="margin">
                    <wp14:pctWidth>0</wp14:pctWidth>
                  </wp14:sizeRelH>
                  <wp14:sizeRelV relativeFrom="margin">
                    <wp14:pctHeight>0</wp14:pctHeight>
                  </wp14:sizeRelV>
                </wp:anchor>
              </w:drawing>
            </w:r>
          </w:p>
        </w:tc>
        <w:tc>
          <w:tcPr>
            <w:tcW w:w="5492" w:type="dxa"/>
            <w:vMerge w:val="restart"/>
          </w:tcPr>
          <w:p w14:paraId="776E440F" w14:textId="77777777" w:rsidR="007076C3" w:rsidRPr="00211051" w:rsidRDefault="007076C3" w:rsidP="007076C3">
            <w:pPr>
              <w:widowControl w:val="0"/>
              <w:autoSpaceDE w:val="0"/>
              <w:autoSpaceDN w:val="0"/>
              <w:adjustRightInd w:val="0"/>
              <w:spacing w:line="259" w:lineRule="auto"/>
              <w:rPr>
                <w:rFonts w:asciiTheme="majorHAnsi" w:hAnsiTheme="majorHAnsi" w:cstheme="majorHAnsi"/>
                <w:sz w:val="72"/>
              </w:rPr>
            </w:pPr>
            <w:r w:rsidRPr="00211051">
              <w:rPr>
                <w:rFonts w:asciiTheme="majorHAnsi" w:hAnsiTheme="majorHAnsi" w:cstheme="majorHAnsi"/>
                <w:sz w:val="72"/>
              </w:rPr>
              <w:t xml:space="preserve">Committee </w:t>
            </w:r>
          </w:p>
          <w:p w14:paraId="5C35E87C" w14:textId="77777777" w:rsidR="007076C3" w:rsidRPr="00211051" w:rsidRDefault="007076C3" w:rsidP="007076C3">
            <w:pPr>
              <w:widowControl w:val="0"/>
              <w:autoSpaceDE w:val="0"/>
              <w:autoSpaceDN w:val="0"/>
              <w:adjustRightInd w:val="0"/>
              <w:spacing w:line="259" w:lineRule="auto"/>
              <w:rPr>
                <w:rFonts w:asciiTheme="majorHAnsi" w:hAnsiTheme="majorHAnsi" w:cstheme="majorHAnsi"/>
                <w:b/>
                <w:bCs/>
                <w:color w:val="434343"/>
                <w:sz w:val="72"/>
              </w:rPr>
            </w:pPr>
            <w:r w:rsidRPr="00211051">
              <w:rPr>
                <w:rFonts w:asciiTheme="majorHAnsi" w:hAnsiTheme="majorHAnsi" w:cstheme="majorHAnsi"/>
                <w:sz w:val="72"/>
              </w:rPr>
              <w:t>on the Elimination of Discrimination against Women</w:t>
            </w:r>
          </w:p>
          <w:p w14:paraId="1B24D2C3" w14:textId="77777777" w:rsidR="007076C3" w:rsidRPr="00211051" w:rsidRDefault="007076C3" w:rsidP="007076C3">
            <w:pPr>
              <w:widowControl w:val="0"/>
              <w:autoSpaceDE w:val="0"/>
              <w:autoSpaceDN w:val="0"/>
              <w:adjustRightInd w:val="0"/>
              <w:spacing w:line="259" w:lineRule="auto"/>
              <w:rPr>
                <w:rFonts w:asciiTheme="majorHAnsi" w:hAnsiTheme="majorHAnsi" w:cstheme="majorHAnsi"/>
              </w:rPr>
            </w:pPr>
          </w:p>
          <w:p w14:paraId="6EB64406" w14:textId="77777777" w:rsidR="007076C3" w:rsidRPr="00211051" w:rsidRDefault="007076C3" w:rsidP="007076C3">
            <w:pPr>
              <w:widowControl w:val="0"/>
              <w:autoSpaceDE w:val="0"/>
              <w:autoSpaceDN w:val="0"/>
              <w:adjustRightInd w:val="0"/>
              <w:spacing w:line="259" w:lineRule="auto"/>
              <w:rPr>
                <w:rFonts w:asciiTheme="majorHAnsi" w:hAnsiTheme="majorHAnsi" w:cstheme="majorHAnsi"/>
                <w:b/>
                <w:sz w:val="72"/>
              </w:rPr>
            </w:pPr>
            <w:r w:rsidRPr="00211051">
              <w:rPr>
                <w:rFonts w:asciiTheme="majorHAnsi" w:hAnsiTheme="majorHAnsi" w:cstheme="majorHAnsi"/>
                <w:b/>
                <w:sz w:val="72"/>
              </w:rPr>
              <w:t>United Arab Emirates</w:t>
            </w:r>
          </w:p>
          <w:p w14:paraId="615C9B6E" w14:textId="77777777" w:rsidR="007076C3" w:rsidRPr="00211051" w:rsidRDefault="007076C3" w:rsidP="007076C3">
            <w:pPr>
              <w:widowControl w:val="0"/>
              <w:autoSpaceDE w:val="0"/>
              <w:autoSpaceDN w:val="0"/>
              <w:adjustRightInd w:val="0"/>
              <w:spacing w:line="259" w:lineRule="auto"/>
              <w:rPr>
                <w:rFonts w:asciiTheme="majorHAnsi" w:hAnsiTheme="majorHAnsi" w:cstheme="majorHAnsi"/>
                <w:b/>
              </w:rPr>
            </w:pPr>
          </w:p>
          <w:p w14:paraId="38C3B18A" w14:textId="77777777" w:rsidR="007076C3" w:rsidRPr="00211051" w:rsidRDefault="007076C3" w:rsidP="007076C3">
            <w:pPr>
              <w:widowControl w:val="0"/>
              <w:autoSpaceDE w:val="0"/>
              <w:autoSpaceDN w:val="0"/>
              <w:adjustRightInd w:val="0"/>
              <w:spacing w:line="259" w:lineRule="auto"/>
              <w:rPr>
                <w:rFonts w:asciiTheme="majorHAnsi" w:hAnsiTheme="majorHAnsi" w:cstheme="majorHAnsi"/>
              </w:rPr>
            </w:pPr>
          </w:p>
          <w:p w14:paraId="467EC829" w14:textId="77777777" w:rsidR="007076C3" w:rsidRPr="00211051" w:rsidRDefault="007076C3" w:rsidP="007076C3">
            <w:pPr>
              <w:widowControl w:val="0"/>
              <w:autoSpaceDE w:val="0"/>
              <w:autoSpaceDN w:val="0"/>
              <w:adjustRightInd w:val="0"/>
              <w:spacing w:line="259" w:lineRule="auto"/>
              <w:rPr>
                <w:rFonts w:asciiTheme="majorHAnsi" w:hAnsiTheme="majorHAnsi" w:cstheme="majorHAnsi"/>
              </w:rPr>
            </w:pPr>
          </w:p>
          <w:p w14:paraId="6C63DE12" w14:textId="08D9C509" w:rsidR="007076C3" w:rsidRPr="00211051" w:rsidRDefault="008E2AF9" w:rsidP="007076C3">
            <w:pPr>
              <w:widowControl w:val="0"/>
              <w:autoSpaceDE w:val="0"/>
              <w:autoSpaceDN w:val="0"/>
              <w:adjustRightInd w:val="0"/>
              <w:spacing w:line="259" w:lineRule="auto"/>
              <w:rPr>
                <w:rFonts w:asciiTheme="majorHAnsi" w:hAnsiTheme="majorHAnsi" w:cstheme="majorHAnsi"/>
                <w:b/>
                <w:bCs/>
                <w:color w:val="434343"/>
              </w:rPr>
            </w:pPr>
            <w:r w:rsidRPr="00211051">
              <w:rPr>
                <w:rFonts w:asciiTheme="majorHAnsi" w:hAnsiTheme="majorHAnsi" w:cstheme="majorHAnsi"/>
                <w:sz w:val="40"/>
              </w:rPr>
              <w:t xml:space="preserve">82nd Session </w:t>
            </w:r>
            <w:r w:rsidRPr="00211051">
              <w:rPr>
                <w:rFonts w:asciiTheme="majorHAnsi" w:hAnsiTheme="majorHAnsi" w:cstheme="majorHAnsi"/>
                <w:sz w:val="40"/>
              </w:rPr>
              <w:br/>
              <w:t>(13 June – 1 July 2022)</w:t>
            </w:r>
          </w:p>
          <w:p w14:paraId="4E4B59CA" w14:textId="77777777" w:rsidR="007076C3" w:rsidRPr="00211051" w:rsidRDefault="007076C3" w:rsidP="007076C3">
            <w:pPr>
              <w:widowControl w:val="0"/>
              <w:autoSpaceDE w:val="0"/>
              <w:autoSpaceDN w:val="0"/>
              <w:adjustRightInd w:val="0"/>
              <w:spacing w:line="259" w:lineRule="auto"/>
              <w:rPr>
                <w:rFonts w:asciiTheme="majorHAnsi" w:hAnsiTheme="majorHAnsi" w:cstheme="majorHAnsi"/>
                <w:b/>
                <w:bCs/>
                <w:color w:val="434343"/>
              </w:rPr>
            </w:pPr>
          </w:p>
          <w:p w14:paraId="2A0160F6" w14:textId="75E17D22" w:rsidR="00585E0D" w:rsidRPr="00211051" w:rsidRDefault="00585E0D" w:rsidP="007076C3">
            <w:pPr>
              <w:widowControl w:val="0"/>
              <w:autoSpaceDE w:val="0"/>
              <w:autoSpaceDN w:val="0"/>
              <w:adjustRightInd w:val="0"/>
              <w:spacing w:line="259" w:lineRule="auto"/>
              <w:rPr>
                <w:rFonts w:asciiTheme="majorHAnsi" w:hAnsiTheme="majorHAnsi" w:cstheme="majorHAnsi"/>
                <w:b/>
                <w:bCs/>
                <w:color w:val="434343"/>
              </w:rPr>
            </w:pPr>
          </w:p>
        </w:tc>
      </w:tr>
      <w:tr w:rsidR="00585E0D" w:rsidRPr="00211051" w14:paraId="58C7E56C" w14:textId="77777777" w:rsidTr="006D459A">
        <w:tc>
          <w:tcPr>
            <w:tcW w:w="4470" w:type="dxa"/>
          </w:tcPr>
          <w:p w14:paraId="2DFB13E1" w14:textId="08DD0A67" w:rsidR="00585E0D" w:rsidRPr="00211051" w:rsidRDefault="00585E0D" w:rsidP="00BD4374">
            <w:pPr>
              <w:widowControl w:val="0"/>
              <w:autoSpaceDE w:val="0"/>
              <w:autoSpaceDN w:val="0"/>
              <w:adjustRightInd w:val="0"/>
              <w:spacing w:line="259" w:lineRule="auto"/>
              <w:rPr>
                <w:rFonts w:asciiTheme="majorHAnsi" w:hAnsiTheme="majorHAnsi" w:cstheme="majorHAnsi"/>
                <w:b/>
                <w:bCs/>
                <w:color w:val="434343"/>
              </w:rPr>
            </w:pPr>
          </w:p>
          <w:p w14:paraId="76DC3636" w14:textId="744C9DD1" w:rsidR="00585E0D" w:rsidRPr="00211051" w:rsidRDefault="00585E0D" w:rsidP="00BD4374">
            <w:pPr>
              <w:widowControl w:val="0"/>
              <w:autoSpaceDE w:val="0"/>
              <w:autoSpaceDN w:val="0"/>
              <w:adjustRightInd w:val="0"/>
              <w:spacing w:line="259" w:lineRule="auto"/>
              <w:rPr>
                <w:rFonts w:asciiTheme="majorHAnsi" w:hAnsiTheme="majorHAnsi" w:cstheme="majorHAnsi"/>
                <w:b/>
                <w:bCs/>
                <w:color w:val="434343"/>
              </w:rPr>
            </w:pPr>
          </w:p>
          <w:p w14:paraId="74532049" w14:textId="77777777" w:rsidR="004677AE" w:rsidRPr="00211051" w:rsidRDefault="004677AE" w:rsidP="00BD4374">
            <w:pPr>
              <w:widowControl w:val="0"/>
              <w:autoSpaceDE w:val="0"/>
              <w:autoSpaceDN w:val="0"/>
              <w:adjustRightInd w:val="0"/>
              <w:spacing w:line="259" w:lineRule="auto"/>
              <w:rPr>
                <w:rFonts w:asciiTheme="majorHAnsi" w:hAnsiTheme="majorHAnsi" w:cstheme="majorHAnsi"/>
                <w:b/>
                <w:bCs/>
                <w:color w:val="434343"/>
              </w:rPr>
            </w:pPr>
          </w:p>
          <w:p w14:paraId="25FF7ECC" w14:textId="77777777" w:rsidR="004677AE" w:rsidRPr="00211051" w:rsidRDefault="004677AE" w:rsidP="00BD4374">
            <w:pPr>
              <w:widowControl w:val="0"/>
              <w:autoSpaceDE w:val="0"/>
              <w:autoSpaceDN w:val="0"/>
              <w:adjustRightInd w:val="0"/>
              <w:spacing w:line="259" w:lineRule="auto"/>
              <w:rPr>
                <w:rFonts w:asciiTheme="majorHAnsi" w:hAnsiTheme="majorHAnsi" w:cstheme="majorHAnsi"/>
                <w:b/>
                <w:bCs/>
                <w:color w:val="434343"/>
              </w:rPr>
            </w:pPr>
          </w:p>
          <w:p w14:paraId="70FCD9DE" w14:textId="33A87906" w:rsidR="004677AE" w:rsidRPr="00211051" w:rsidRDefault="004677AE" w:rsidP="00BD4374">
            <w:pPr>
              <w:widowControl w:val="0"/>
              <w:autoSpaceDE w:val="0"/>
              <w:autoSpaceDN w:val="0"/>
              <w:adjustRightInd w:val="0"/>
              <w:spacing w:line="259" w:lineRule="auto"/>
              <w:rPr>
                <w:rFonts w:asciiTheme="majorHAnsi" w:hAnsiTheme="majorHAnsi" w:cstheme="majorHAnsi"/>
                <w:b/>
                <w:bCs/>
                <w:color w:val="434343"/>
              </w:rPr>
            </w:pPr>
          </w:p>
          <w:p w14:paraId="28945DA4" w14:textId="77777777" w:rsidR="004677AE" w:rsidRPr="00211051" w:rsidRDefault="004677AE" w:rsidP="00BD4374">
            <w:pPr>
              <w:widowControl w:val="0"/>
              <w:autoSpaceDE w:val="0"/>
              <w:autoSpaceDN w:val="0"/>
              <w:adjustRightInd w:val="0"/>
              <w:spacing w:line="259" w:lineRule="auto"/>
              <w:rPr>
                <w:rFonts w:asciiTheme="majorHAnsi" w:hAnsiTheme="majorHAnsi" w:cstheme="majorHAnsi"/>
                <w:b/>
                <w:bCs/>
                <w:color w:val="434343"/>
              </w:rPr>
            </w:pPr>
          </w:p>
          <w:p w14:paraId="336EF628" w14:textId="77777777" w:rsidR="004677AE" w:rsidRPr="00211051" w:rsidRDefault="004677AE" w:rsidP="00BD4374">
            <w:pPr>
              <w:widowControl w:val="0"/>
              <w:autoSpaceDE w:val="0"/>
              <w:autoSpaceDN w:val="0"/>
              <w:adjustRightInd w:val="0"/>
              <w:spacing w:line="259" w:lineRule="auto"/>
              <w:rPr>
                <w:rFonts w:asciiTheme="majorHAnsi" w:hAnsiTheme="majorHAnsi" w:cstheme="majorHAnsi"/>
                <w:b/>
                <w:bCs/>
                <w:color w:val="434343"/>
              </w:rPr>
            </w:pPr>
          </w:p>
          <w:p w14:paraId="540B4F3F" w14:textId="2FDD9966" w:rsidR="004677AE" w:rsidRPr="00211051" w:rsidRDefault="00091D8C" w:rsidP="00BD4374">
            <w:pPr>
              <w:widowControl w:val="0"/>
              <w:autoSpaceDE w:val="0"/>
              <w:autoSpaceDN w:val="0"/>
              <w:adjustRightInd w:val="0"/>
              <w:spacing w:line="259" w:lineRule="auto"/>
              <w:rPr>
                <w:rFonts w:asciiTheme="majorHAnsi" w:hAnsiTheme="majorHAnsi" w:cstheme="majorHAnsi"/>
                <w:b/>
                <w:bCs/>
                <w:color w:val="434343"/>
              </w:rPr>
            </w:pPr>
            <w:r w:rsidRPr="00211051">
              <w:rPr>
                <w:rFonts w:asciiTheme="majorHAnsi" w:hAnsiTheme="majorHAnsi" w:cstheme="majorHAnsi"/>
                <w:b/>
                <w:bCs/>
                <w:noProof/>
                <w:color w:val="434343"/>
                <w:lang w:val="en-GB" w:eastAsia="en-GB"/>
              </w:rPr>
              <w:drawing>
                <wp:anchor distT="0" distB="0" distL="114300" distR="114300" simplePos="0" relativeHeight="251661312" behindDoc="0" locked="0" layoutInCell="1" allowOverlap="1" wp14:anchorId="6486515E" wp14:editId="462E5489">
                  <wp:simplePos x="0" y="0"/>
                  <wp:positionH relativeFrom="column">
                    <wp:posOffset>0</wp:posOffset>
                  </wp:positionH>
                  <wp:positionV relativeFrom="paragraph">
                    <wp:posOffset>229870</wp:posOffset>
                  </wp:positionV>
                  <wp:extent cx="2470150" cy="825500"/>
                  <wp:effectExtent l="0" t="0" r="0" b="12700"/>
                  <wp:wrapTight wrapText="bothSides">
                    <wp:wrapPolygon edited="0">
                      <wp:start x="0" y="0"/>
                      <wp:lineTo x="0" y="21268"/>
                      <wp:lineTo x="21322" y="21268"/>
                      <wp:lineTo x="21322" y="0"/>
                      <wp:lineTo x="0" y="0"/>
                    </wp:wrapPolygon>
                  </wp:wrapTight>
                  <wp:docPr id="3" name="Picture 3" descr="C:\Users\AntoniaKirkland\AppData\Local\Microsoft\Windows\INetCache\Content.Word\EN-ENG_Core_with_Tag-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toniaKirkland\AppData\Local\Microsoft\Windows\INetCache\Content.Word\EN-ENG_Core_with_Tag-Color.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0150" cy="8255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A976160" w14:textId="3B829FDB" w:rsidR="004677AE" w:rsidRPr="00211051" w:rsidRDefault="004677AE" w:rsidP="00BD4374">
            <w:pPr>
              <w:widowControl w:val="0"/>
              <w:autoSpaceDE w:val="0"/>
              <w:autoSpaceDN w:val="0"/>
              <w:adjustRightInd w:val="0"/>
              <w:spacing w:line="259" w:lineRule="auto"/>
              <w:rPr>
                <w:rFonts w:asciiTheme="majorHAnsi" w:hAnsiTheme="majorHAnsi" w:cstheme="majorHAnsi"/>
                <w:b/>
                <w:bCs/>
                <w:color w:val="434343"/>
              </w:rPr>
            </w:pPr>
          </w:p>
          <w:p w14:paraId="1D3B5E37" w14:textId="45F3AA6B" w:rsidR="00BA5F27" w:rsidRPr="00211051" w:rsidRDefault="00BA5F27" w:rsidP="00BD4374">
            <w:pPr>
              <w:widowControl w:val="0"/>
              <w:autoSpaceDE w:val="0"/>
              <w:autoSpaceDN w:val="0"/>
              <w:adjustRightInd w:val="0"/>
              <w:spacing w:line="259" w:lineRule="auto"/>
              <w:rPr>
                <w:rFonts w:asciiTheme="majorHAnsi" w:hAnsiTheme="majorHAnsi" w:cstheme="majorHAnsi"/>
                <w:b/>
                <w:bCs/>
                <w:color w:val="434343"/>
              </w:rPr>
            </w:pPr>
          </w:p>
          <w:p w14:paraId="7979BDFF" w14:textId="3A4F40C1" w:rsidR="004677AE" w:rsidRPr="00211051" w:rsidRDefault="004677AE" w:rsidP="00BD4374">
            <w:pPr>
              <w:widowControl w:val="0"/>
              <w:autoSpaceDE w:val="0"/>
              <w:autoSpaceDN w:val="0"/>
              <w:adjustRightInd w:val="0"/>
              <w:spacing w:line="259" w:lineRule="auto"/>
              <w:rPr>
                <w:rFonts w:asciiTheme="majorHAnsi" w:hAnsiTheme="majorHAnsi" w:cstheme="majorHAnsi"/>
                <w:b/>
                <w:bCs/>
                <w:color w:val="434343"/>
              </w:rPr>
            </w:pPr>
          </w:p>
        </w:tc>
        <w:tc>
          <w:tcPr>
            <w:tcW w:w="5492" w:type="dxa"/>
            <w:vMerge/>
          </w:tcPr>
          <w:p w14:paraId="4E7AD19A" w14:textId="77777777" w:rsidR="00585E0D" w:rsidRPr="00211051" w:rsidRDefault="00585E0D" w:rsidP="00BD4374">
            <w:pPr>
              <w:widowControl w:val="0"/>
              <w:autoSpaceDE w:val="0"/>
              <w:autoSpaceDN w:val="0"/>
              <w:adjustRightInd w:val="0"/>
              <w:spacing w:line="259" w:lineRule="auto"/>
              <w:rPr>
                <w:rFonts w:asciiTheme="majorHAnsi" w:hAnsiTheme="majorHAnsi" w:cstheme="majorHAnsi"/>
                <w:b/>
                <w:bCs/>
                <w:color w:val="434343"/>
              </w:rPr>
            </w:pPr>
          </w:p>
        </w:tc>
      </w:tr>
      <w:tr w:rsidR="00585E0D" w:rsidRPr="00211051" w14:paraId="49010652" w14:textId="77777777" w:rsidTr="006D459A">
        <w:tc>
          <w:tcPr>
            <w:tcW w:w="4470" w:type="dxa"/>
          </w:tcPr>
          <w:p w14:paraId="61E0CCC5" w14:textId="033A6FAF" w:rsidR="00585E0D" w:rsidRPr="00211051" w:rsidRDefault="00585E0D" w:rsidP="00BD4374">
            <w:pPr>
              <w:widowControl w:val="0"/>
              <w:autoSpaceDE w:val="0"/>
              <w:autoSpaceDN w:val="0"/>
              <w:adjustRightInd w:val="0"/>
              <w:spacing w:line="259" w:lineRule="auto"/>
              <w:rPr>
                <w:rFonts w:asciiTheme="majorHAnsi" w:hAnsiTheme="majorHAnsi" w:cstheme="majorHAnsi"/>
                <w:b/>
                <w:bCs/>
                <w:color w:val="434343"/>
              </w:rPr>
            </w:pPr>
          </w:p>
          <w:p w14:paraId="07B95055" w14:textId="73DB2DD7" w:rsidR="00585E0D" w:rsidRPr="00211051" w:rsidRDefault="00091D8C" w:rsidP="00BD4374">
            <w:pPr>
              <w:widowControl w:val="0"/>
              <w:autoSpaceDE w:val="0"/>
              <w:autoSpaceDN w:val="0"/>
              <w:adjustRightInd w:val="0"/>
              <w:spacing w:line="259" w:lineRule="auto"/>
              <w:rPr>
                <w:rFonts w:asciiTheme="majorHAnsi" w:hAnsiTheme="majorHAnsi" w:cstheme="majorHAnsi"/>
                <w:b/>
                <w:bCs/>
                <w:color w:val="434343"/>
              </w:rPr>
            </w:pPr>
            <w:r w:rsidRPr="00211051">
              <w:rPr>
                <w:rFonts w:asciiTheme="majorHAnsi" w:hAnsiTheme="majorHAnsi" w:cstheme="majorHAnsi"/>
                <w:b/>
                <w:noProof/>
                <w:lang w:val="en-GB" w:eastAsia="en-GB"/>
              </w:rPr>
              <w:drawing>
                <wp:anchor distT="0" distB="0" distL="114300" distR="114300" simplePos="0" relativeHeight="251658240" behindDoc="1" locked="0" layoutInCell="1" allowOverlap="1" wp14:anchorId="4FB04D79" wp14:editId="092003A8">
                  <wp:simplePos x="0" y="0"/>
                  <wp:positionH relativeFrom="margin">
                    <wp:posOffset>0</wp:posOffset>
                  </wp:positionH>
                  <wp:positionV relativeFrom="paragraph">
                    <wp:posOffset>2237105</wp:posOffset>
                  </wp:positionV>
                  <wp:extent cx="2154555" cy="860425"/>
                  <wp:effectExtent l="0" t="0" r="4445" b="3175"/>
                  <wp:wrapTight wrapText="bothSides">
                    <wp:wrapPolygon edited="0">
                      <wp:start x="0" y="0"/>
                      <wp:lineTo x="0" y="21042"/>
                      <wp:lineTo x="21390" y="21042"/>
                      <wp:lineTo x="21390" y="0"/>
                      <wp:lineTo x="0" y="0"/>
                    </wp:wrapPolygon>
                  </wp:wrapTight>
                  <wp:docPr id="2" name="Picture 2" descr="ISI 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I Logo-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4555" cy="860425"/>
                          </a:xfrm>
                          <a:prstGeom prst="rect">
                            <a:avLst/>
                          </a:prstGeom>
                          <a:noFill/>
                        </pic:spPr>
                      </pic:pic>
                    </a:graphicData>
                  </a:graphic>
                  <wp14:sizeRelH relativeFrom="page">
                    <wp14:pctWidth>0</wp14:pctWidth>
                  </wp14:sizeRelH>
                  <wp14:sizeRelV relativeFrom="page">
                    <wp14:pctHeight>0</wp14:pctHeight>
                  </wp14:sizeRelV>
                </wp:anchor>
              </w:drawing>
            </w:r>
          </w:p>
        </w:tc>
        <w:tc>
          <w:tcPr>
            <w:tcW w:w="5492" w:type="dxa"/>
            <w:vMerge/>
          </w:tcPr>
          <w:p w14:paraId="6B4B7629" w14:textId="6383BE1C" w:rsidR="00585E0D" w:rsidRPr="00211051" w:rsidRDefault="00585E0D" w:rsidP="00BD4374">
            <w:pPr>
              <w:widowControl w:val="0"/>
              <w:autoSpaceDE w:val="0"/>
              <w:autoSpaceDN w:val="0"/>
              <w:adjustRightInd w:val="0"/>
              <w:spacing w:line="259" w:lineRule="auto"/>
              <w:rPr>
                <w:rFonts w:asciiTheme="majorHAnsi" w:hAnsiTheme="majorHAnsi" w:cstheme="majorHAnsi"/>
                <w:b/>
                <w:bCs/>
                <w:color w:val="434343"/>
              </w:rPr>
            </w:pPr>
          </w:p>
        </w:tc>
      </w:tr>
    </w:tbl>
    <w:p w14:paraId="59A69C1D" w14:textId="1CDB81A0" w:rsidR="00AF2A8C" w:rsidRPr="00211051" w:rsidRDefault="00AF2A8C" w:rsidP="00BD4374">
      <w:pPr>
        <w:widowControl w:val="0"/>
        <w:autoSpaceDE w:val="0"/>
        <w:autoSpaceDN w:val="0"/>
        <w:adjustRightInd w:val="0"/>
        <w:spacing w:line="259" w:lineRule="auto"/>
        <w:rPr>
          <w:rFonts w:asciiTheme="majorHAnsi" w:hAnsiTheme="majorHAnsi" w:cstheme="majorHAnsi"/>
          <w:b/>
          <w:bCs/>
          <w:color w:val="434343"/>
        </w:rPr>
      </w:pPr>
    </w:p>
    <w:p w14:paraId="35D53390" w14:textId="2D9713C4" w:rsidR="00B75C49" w:rsidRPr="00211051" w:rsidRDefault="00B75C49" w:rsidP="00BD4374">
      <w:pPr>
        <w:spacing w:line="259" w:lineRule="auto"/>
        <w:rPr>
          <w:rFonts w:asciiTheme="majorHAnsi" w:hAnsiTheme="majorHAnsi" w:cstheme="majorHAnsi"/>
          <w:b/>
          <w:bCs/>
          <w:color w:val="434343"/>
        </w:rPr>
      </w:pPr>
      <w:r w:rsidRPr="00211051">
        <w:rPr>
          <w:rFonts w:asciiTheme="majorHAnsi" w:hAnsiTheme="majorHAnsi" w:cstheme="majorHAnsi"/>
        </w:rPr>
        <w:lastRenderedPageBreak/>
        <w:t xml:space="preserve">Committee on the </w:t>
      </w:r>
      <w:r w:rsidR="00F1713B" w:rsidRPr="00211051">
        <w:rPr>
          <w:rFonts w:asciiTheme="majorHAnsi" w:hAnsiTheme="majorHAnsi" w:cstheme="majorHAnsi"/>
        </w:rPr>
        <w:t xml:space="preserve">Elimination of Discrimination against Women </w:t>
      </w:r>
    </w:p>
    <w:p w14:paraId="35D53391" w14:textId="56DE7CFB" w:rsidR="00B75C49" w:rsidRPr="00211051" w:rsidRDefault="00B75C49"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Human </w:t>
      </w:r>
      <w:r w:rsidR="003B0E56" w:rsidRPr="00211051">
        <w:rPr>
          <w:rFonts w:asciiTheme="majorHAnsi" w:hAnsiTheme="majorHAnsi" w:cstheme="majorHAnsi"/>
        </w:rPr>
        <w:t>Rights Treaties Division (HRTD)</w:t>
      </w:r>
    </w:p>
    <w:p w14:paraId="35D53392" w14:textId="77777777" w:rsidR="00B75C49" w:rsidRPr="00211051" w:rsidRDefault="00B75C49"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Office of the United Nations High Commis</w:t>
      </w:r>
      <w:r w:rsidR="003B0E56" w:rsidRPr="00211051">
        <w:rPr>
          <w:rFonts w:asciiTheme="majorHAnsi" w:hAnsiTheme="majorHAnsi" w:cstheme="majorHAnsi"/>
        </w:rPr>
        <w:t>sioner for Human Rights (OHCHR)</w:t>
      </w:r>
    </w:p>
    <w:p w14:paraId="35D53393" w14:textId="77777777" w:rsidR="00B75C49" w:rsidRPr="00211051" w:rsidRDefault="00B75C49" w:rsidP="00BD4374">
      <w:pPr>
        <w:widowControl w:val="0"/>
        <w:autoSpaceDE w:val="0"/>
        <w:autoSpaceDN w:val="0"/>
        <w:adjustRightInd w:val="0"/>
        <w:spacing w:line="259" w:lineRule="auto"/>
        <w:rPr>
          <w:rFonts w:asciiTheme="majorHAnsi" w:hAnsiTheme="majorHAnsi" w:cstheme="majorHAnsi"/>
          <w:lang w:val="fr-FR"/>
        </w:rPr>
      </w:pPr>
      <w:r w:rsidRPr="00211051">
        <w:rPr>
          <w:rFonts w:asciiTheme="majorHAnsi" w:hAnsiTheme="majorHAnsi" w:cstheme="majorHAnsi"/>
          <w:lang w:val="fr-FR"/>
        </w:rPr>
        <w:t>Pal</w:t>
      </w:r>
      <w:r w:rsidR="003B0E56" w:rsidRPr="00211051">
        <w:rPr>
          <w:rFonts w:asciiTheme="majorHAnsi" w:hAnsiTheme="majorHAnsi" w:cstheme="majorHAnsi"/>
          <w:lang w:val="fr-FR"/>
        </w:rPr>
        <w:t>ais Wilson - 52, rue des Pâquis</w:t>
      </w:r>
    </w:p>
    <w:p w14:paraId="35D53394" w14:textId="77777777" w:rsidR="00B75C49" w:rsidRPr="00211051" w:rsidRDefault="00B75C49" w:rsidP="00BD4374">
      <w:pPr>
        <w:widowControl w:val="0"/>
        <w:autoSpaceDE w:val="0"/>
        <w:autoSpaceDN w:val="0"/>
        <w:adjustRightInd w:val="0"/>
        <w:spacing w:line="259" w:lineRule="auto"/>
        <w:rPr>
          <w:rFonts w:asciiTheme="majorHAnsi" w:hAnsiTheme="majorHAnsi" w:cstheme="majorHAnsi"/>
          <w:lang w:val="fr-FR"/>
        </w:rPr>
      </w:pPr>
      <w:r w:rsidRPr="00211051">
        <w:rPr>
          <w:rFonts w:asciiTheme="majorHAnsi" w:hAnsiTheme="majorHAnsi" w:cstheme="majorHAnsi"/>
          <w:lang w:val="fr-FR"/>
        </w:rPr>
        <w:t xml:space="preserve">CH-1201 Geneva </w:t>
      </w:r>
    </w:p>
    <w:p w14:paraId="35D53395" w14:textId="77777777" w:rsidR="00B75C49" w:rsidRPr="00211051" w:rsidRDefault="00B75C49"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Switzerland</w:t>
      </w:r>
    </w:p>
    <w:p w14:paraId="35D53396" w14:textId="3616B2C5" w:rsidR="00B75C49" w:rsidRPr="00211051" w:rsidRDefault="00B75C49"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By E-mail:</w:t>
      </w:r>
      <w:r w:rsidR="00056759" w:rsidRPr="00211051">
        <w:rPr>
          <w:rFonts w:asciiTheme="majorHAnsi" w:hAnsiTheme="majorHAnsi" w:cstheme="majorHAnsi"/>
        </w:rPr>
        <w:t xml:space="preserve"> </w:t>
      </w:r>
      <w:hyperlink r:id="rId14" w:history="1">
        <w:r w:rsidR="00C52FC8" w:rsidRPr="00211051">
          <w:rPr>
            <w:rStyle w:val="Hyperlink"/>
            <w:rFonts w:asciiTheme="majorHAnsi" w:hAnsiTheme="majorHAnsi" w:cstheme="majorHAnsi"/>
          </w:rPr>
          <w:t>cedaw@ohchr.org</w:t>
        </w:r>
      </w:hyperlink>
      <w:r w:rsidRPr="00211051">
        <w:rPr>
          <w:rFonts w:asciiTheme="majorHAnsi" w:hAnsiTheme="majorHAnsi" w:cstheme="majorHAnsi"/>
        </w:rPr>
        <w:t xml:space="preserve"> </w:t>
      </w:r>
    </w:p>
    <w:p w14:paraId="35D53398" w14:textId="77777777" w:rsidR="004A1347" w:rsidRPr="00211051" w:rsidRDefault="004A1347" w:rsidP="00BD4374">
      <w:pPr>
        <w:widowControl w:val="0"/>
        <w:autoSpaceDE w:val="0"/>
        <w:autoSpaceDN w:val="0"/>
        <w:adjustRightInd w:val="0"/>
        <w:spacing w:line="259" w:lineRule="auto"/>
        <w:rPr>
          <w:rFonts w:asciiTheme="majorHAnsi" w:hAnsiTheme="majorHAnsi" w:cstheme="majorHAnsi"/>
        </w:rPr>
      </w:pPr>
    </w:p>
    <w:p w14:paraId="36752AA6" w14:textId="08919606" w:rsidR="00C52FC8" w:rsidRPr="00211051" w:rsidRDefault="00B75C49" w:rsidP="00A72CF0">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Re</w:t>
      </w:r>
      <w:r w:rsidR="00D92D5F" w:rsidRPr="00211051">
        <w:rPr>
          <w:rFonts w:asciiTheme="majorHAnsi" w:hAnsiTheme="majorHAnsi" w:cstheme="majorHAnsi"/>
        </w:rPr>
        <w:t xml:space="preserve">: </w:t>
      </w:r>
      <w:r w:rsidR="0081718F" w:rsidRPr="00211051">
        <w:rPr>
          <w:rFonts w:asciiTheme="majorHAnsi" w:hAnsiTheme="majorHAnsi" w:cstheme="majorHAnsi"/>
        </w:rPr>
        <w:t>United Arab Emirates</w:t>
      </w:r>
      <w:r w:rsidR="004A1347" w:rsidRPr="00211051">
        <w:rPr>
          <w:rFonts w:asciiTheme="majorHAnsi" w:hAnsiTheme="majorHAnsi" w:cstheme="majorHAnsi"/>
        </w:rPr>
        <w:t xml:space="preserve"> – </w:t>
      </w:r>
      <w:r w:rsidR="00A72CF0" w:rsidRPr="00211051">
        <w:rPr>
          <w:rFonts w:asciiTheme="majorHAnsi" w:hAnsiTheme="majorHAnsi" w:cstheme="majorHAnsi"/>
        </w:rPr>
        <w:t>82nd Session (13 June – 1 July 2022)</w:t>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p>
    <w:p w14:paraId="19CF481C" w14:textId="51CC3275" w:rsidR="00201EFB" w:rsidRPr="00211051" w:rsidRDefault="00C52FC8"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00B75C49" w:rsidRPr="00211051">
        <w:rPr>
          <w:rFonts w:asciiTheme="majorHAnsi" w:hAnsiTheme="majorHAnsi" w:cstheme="majorHAnsi"/>
        </w:rPr>
        <w:tab/>
      </w:r>
      <w:r w:rsidR="00C45FFA" w:rsidRPr="00211051">
        <w:rPr>
          <w:rFonts w:asciiTheme="majorHAnsi" w:hAnsiTheme="majorHAnsi" w:cstheme="majorHAnsi"/>
        </w:rPr>
        <w:tab/>
      </w:r>
      <w:r w:rsidR="00C45FFA" w:rsidRPr="00211051">
        <w:rPr>
          <w:rFonts w:asciiTheme="majorHAnsi" w:hAnsiTheme="majorHAnsi" w:cstheme="majorHAnsi"/>
        </w:rPr>
        <w:tab/>
        <w:t xml:space="preserve">   </w:t>
      </w:r>
      <w:r w:rsidR="00222439" w:rsidRPr="00211051">
        <w:rPr>
          <w:rFonts w:asciiTheme="majorHAnsi" w:hAnsiTheme="majorHAnsi" w:cstheme="majorHAnsi"/>
        </w:rPr>
        <w:t xml:space="preserve">   </w:t>
      </w:r>
      <w:r w:rsidR="00A72CF0" w:rsidRPr="00211051">
        <w:rPr>
          <w:rFonts w:asciiTheme="majorHAnsi" w:hAnsiTheme="majorHAnsi" w:cstheme="majorHAnsi"/>
        </w:rPr>
        <w:t>16</w:t>
      </w:r>
      <w:r w:rsidR="000D334F" w:rsidRPr="00211051">
        <w:rPr>
          <w:rFonts w:asciiTheme="majorHAnsi" w:hAnsiTheme="majorHAnsi" w:cstheme="majorHAnsi"/>
        </w:rPr>
        <w:t xml:space="preserve"> </w:t>
      </w:r>
      <w:r w:rsidR="00A72CF0" w:rsidRPr="00211051">
        <w:rPr>
          <w:rFonts w:asciiTheme="majorHAnsi" w:hAnsiTheme="majorHAnsi" w:cstheme="majorHAnsi"/>
        </w:rPr>
        <w:t>May</w:t>
      </w:r>
      <w:r w:rsidR="005E4141" w:rsidRPr="00211051">
        <w:rPr>
          <w:rFonts w:asciiTheme="majorHAnsi" w:hAnsiTheme="majorHAnsi" w:cstheme="majorHAnsi"/>
        </w:rPr>
        <w:t xml:space="preserve"> </w:t>
      </w:r>
      <w:r w:rsidR="008E673D" w:rsidRPr="00211051">
        <w:rPr>
          <w:rFonts w:asciiTheme="majorHAnsi" w:hAnsiTheme="majorHAnsi" w:cstheme="majorHAnsi"/>
        </w:rPr>
        <w:t>20</w:t>
      </w:r>
      <w:r w:rsidR="006D459A" w:rsidRPr="00211051">
        <w:rPr>
          <w:rFonts w:asciiTheme="majorHAnsi" w:hAnsiTheme="majorHAnsi" w:cstheme="majorHAnsi"/>
        </w:rPr>
        <w:t>2</w:t>
      </w:r>
      <w:r w:rsidR="00A72CF0" w:rsidRPr="00211051">
        <w:rPr>
          <w:rFonts w:asciiTheme="majorHAnsi" w:hAnsiTheme="majorHAnsi" w:cstheme="majorHAnsi"/>
        </w:rPr>
        <w:t>2</w:t>
      </w:r>
    </w:p>
    <w:p w14:paraId="40908864" w14:textId="6F7A5386" w:rsidR="00150DFA" w:rsidRPr="00211051" w:rsidRDefault="00150DFA"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Distinguished Committee Members,</w:t>
      </w:r>
    </w:p>
    <w:p w14:paraId="530CCCC2" w14:textId="77777777" w:rsidR="00150DFA" w:rsidRPr="00211051" w:rsidRDefault="00150DFA" w:rsidP="00BD4374">
      <w:pPr>
        <w:widowControl w:val="0"/>
        <w:autoSpaceDE w:val="0"/>
        <w:autoSpaceDN w:val="0"/>
        <w:adjustRightInd w:val="0"/>
        <w:spacing w:line="259" w:lineRule="auto"/>
        <w:rPr>
          <w:rFonts w:asciiTheme="majorHAnsi" w:hAnsiTheme="majorHAnsi" w:cstheme="majorHAnsi"/>
        </w:rPr>
      </w:pPr>
    </w:p>
    <w:p w14:paraId="3BD5F71E" w14:textId="21968676" w:rsidR="00E72779" w:rsidRPr="00211051" w:rsidRDefault="00AF1D62" w:rsidP="002F300A">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We respectfully submit this letter in advance of the Committee on the Elimination of Discrimination against Women’s (</w:t>
      </w:r>
      <w:r w:rsidR="0054780A">
        <w:rPr>
          <w:rFonts w:asciiTheme="majorHAnsi" w:hAnsiTheme="majorHAnsi" w:cstheme="majorHAnsi"/>
        </w:rPr>
        <w:t>Committee</w:t>
      </w:r>
      <w:r w:rsidRPr="00211051">
        <w:rPr>
          <w:rFonts w:asciiTheme="majorHAnsi" w:hAnsiTheme="majorHAnsi" w:cstheme="majorHAnsi"/>
        </w:rPr>
        <w:t xml:space="preserve">) </w:t>
      </w:r>
      <w:r w:rsidR="00A72CF0" w:rsidRPr="00211051">
        <w:rPr>
          <w:rFonts w:asciiTheme="majorHAnsi" w:hAnsiTheme="majorHAnsi" w:cstheme="majorHAnsi"/>
        </w:rPr>
        <w:t>review</w:t>
      </w:r>
      <w:r w:rsidRPr="00211051">
        <w:rPr>
          <w:rFonts w:asciiTheme="majorHAnsi" w:hAnsiTheme="majorHAnsi" w:cstheme="majorHAnsi"/>
        </w:rPr>
        <w:t xml:space="preserve"> o</w:t>
      </w:r>
      <w:r w:rsidR="00A72CF0" w:rsidRPr="00211051">
        <w:rPr>
          <w:rFonts w:asciiTheme="majorHAnsi" w:hAnsiTheme="majorHAnsi" w:cstheme="majorHAnsi"/>
        </w:rPr>
        <w:t>f</w:t>
      </w:r>
      <w:r w:rsidRPr="00211051">
        <w:rPr>
          <w:rFonts w:asciiTheme="majorHAnsi" w:hAnsiTheme="majorHAnsi" w:cstheme="majorHAnsi"/>
        </w:rPr>
        <w:t xml:space="preserve"> </w:t>
      </w:r>
      <w:r w:rsidR="0081718F" w:rsidRPr="00211051">
        <w:rPr>
          <w:rFonts w:asciiTheme="majorHAnsi" w:hAnsiTheme="majorHAnsi" w:cstheme="majorHAnsi"/>
        </w:rPr>
        <w:t xml:space="preserve">United Arab Emirates </w:t>
      </w:r>
      <w:r w:rsidRPr="00211051">
        <w:rPr>
          <w:rFonts w:asciiTheme="majorHAnsi" w:hAnsiTheme="majorHAnsi" w:cstheme="majorHAnsi"/>
        </w:rPr>
        <w:t>at its</w:t>
      </w:r>
      <w:r w:rsidR="001512FC" w:rsidRPr="00211051">
        <w:rPr>
          <w:rFonts w:asciiTheme="majorHAnsi" w:hAnsiTheme="majorHAnsi" w:cstheme="majorHAnsi"/>
        </w:rPr>
        <w:t xml:space="preserve"> </w:t>
      </w:r>
      <w:r w:rsidR="0081718F" w:rsidRPr="00211051">
        <w:rPr>
          <w:rFonts w:asciiTheme="majorHAnsi" w:hAnsiTheme="majorHAnsi" w:cstheme="majorHAnsi"/>
        </w:rPr>
        <w:t>8</w:t>
      </w:r>
      <w:r w:rsidR="00A72CF0" w:rsidRPr="00211051">
        <w:rPr>
          <w:rFonts w:asciiTheme="majorHAnsi" w:hAnsiTheme="majorHAnsi" w:cstheme="majorHAnsi"/>
        </w:rPr>
        <w:t>2</w:t>
      </w:r>
      <w:r w:rsidR="00A72CF0" w:rsidRPr="00211051">
        <w:rPr>
          <w:rFonts w:asciiTheme="majorHAnsi" w:hAnsiTheme="majorHAnsi" w:cstheme="majorHAnsi"/>
          <w:vertAlign w:val="superscript"/>
        </w:rPr>
        <w:t>nd</w:t>
      </w:r>
      <w:r w:rsidR="00A72CF0" w:rsidRPr="00211051">
        <w:rPr>
          <w:rFonts w:asciiTheme="majorHAnsi" w:hAnsiTheme="majorHAnsi" w:cstheme="majorHAnsi"/>
        </w:rPr>
        <w:t xml:space="preserve"> </w:t>
      </w:r>
      <w:r w:rsidRPr="00211051">
        <w:rPr>
          <w:rFonts w:asciiTheme="majorHAnsi" w:hAnsiTheme="majorHAnsi" w:cstheme="majorHAnsi"/>
        </w:rPr>
        <w:t xml:space="preserve">session </w:t>
      </w:r>
      <w:r w:rsidR="00A72CF0" w:rsidRPr="00211051">
        <w:rPr>
          <w:rFonts w:asciiTheme="majorHAnsi" w:hAnsiTheme="majorHAnsi" w:cstheme="majorHAnsi"/>
        </w:rPr>
        <w:t>(13 June – 1 July 2022)</w:t>
      </w:r>
      <w:r w:rsidRPr="00211051">
        <w:rPr>
          <w:rFonts w:asciiTheme="majorHAnsi" w:hAnsiTheme="majorHAnsi" w:cstheme="majorHAnsi"/>
        </w:rPr>
        <w:t xml:space="preserve">.  The </w:t>
      </w:r>
      <w:r w:rsidR="00E62A2F" w:rsidRPr="00211051">
        <w:rPr>
          <w:rFonts w:asciiTheme="majorHAnsi" w:hAnsiTheme="majorHAnsi" w:cstheme="majorHAnsi"/>
        </w:rPr>
        <w:t>co-</w:t>
      </w:r>
      <w:r w:rsidR="00994BAD" w:rsidRPr="00211051">
        <w:rPr>
          <w:rFonts w:asciiTheme="majorHAnsi" w:hAnsiTheme="majorHAnsi" w:cstheme="majorHAnsi"/>
        </w:rPr>
        <w:t xml:space="preserve">submitting </w:t>
      </w:r>
      <w:r w:rsidR="0065198E" w:rsidRPr="00211051">
        <w:rPr>
          <w:rFonts w:asciiTheme="majorHAnsi" w:hAnsiTheme="majorHAnsi" w:cstheme="majorHAnsi"/>
        </w:rPr>
        <w:t>organizations</w:t>
      </w:r>
      <w:r w:rsidR="00994BAD" w:rsidRPr="00211051">
        <w:rPr>
          <w:rFonts w:asciiTheme="majorHAnsi" w:hAnsiTheme="majorHAnsi" w:cstheme="majorHAnsi"/>
        </w:rPr>
        <w:t xml:space="preserve"> </w:t>
      </w:r>
      <w:r w:rsidR="00E62A2F" w:rsidRPr="00211051">
        <w:rPr>
          <w:rFonts w:asciiTheme="majorHAnsi" w:hAnsiTheme="majorHAnsi" w:cstheme="majorHAnsi"/>
        </w:rPr>
        <w:t xml:space="preserve">are </w:t>
      </w:r>
      <w:r w:rsidRPr="00211051">
        <w:rPr>
          <w:rFonts w:asciiTheme="majorHAnsi" w:hAnsiTheme="majorHAnsi" w:cstheme="majorHAnsi"/>
        </w:rPr>
        <w:t>great</w:t>
      </w:r>
      <w:r w:rsidR="00D74CD1" w:rsidRPr="00211051">
        <w:rPr>
          <w:rFonts w:asciiTheme="majorHAnsi" w:hAnsiTheme="majorHAnsi" w:cstheme="majorHAnsi"/>
        </w:rPr>
        <w:t xml:space="preserve">ly concerned about </w:t>
      </w:r>
      <w:r w:rsidR="00994BAD" w:rsidRPr="00211051">
        <w:rPr>
          <w:rFonts w:asciiTheme="majorHAnsi" w:hAnsiTheme="majorHAnsi" w:cstheme="majorHAnsi"/>
        </w:rPr>
        <w:t xml:space="preserve">prevailing </w:t>
      </w:r>
      <w:r w:rsidR="00D74CD1" w:rsidRPr="00211051">
        <w:rPr>
          <w:rFonts w:asciiTheme="majorHAnsi" w:hAnsiTheme="majorHAnsi" w:cstheme="majorHAnsi"/>
        </w:rPr>
        <w:t>gender</w:t>
      </w:r>
      <w:r w:rsidRPr="00211051">
        <w:rPr>
          <w:rFonts w:asciiTheme="majorHAnsi" w:hAnsiTheme="majorHAnsi" w:cstheme="majorHAnsi"/>
        </w:rPr>
        <w:t xml:space="preserve"> discrimination against </w:t>
      </w:r>
      <w:r w:rsidR="007D4191" w:rsidRPr="00211051">
        <w:rPr>
          <w:rFonts w:asciiTheme="majorHAnsi" w:hAnsiTheme="majorHAnsi" w:cstheme="majorHAnsi"/>
        </w:rPr>
        <w:t>Emirati</w:t>
      </w:r>
      <w:r w:rsidR="002D34AF" w:rsidRPr="00211051">
        <w:rPr>
          <w:rFonts w:asciiTheme="majorHAnsi" w:hAnsiTheme="majorHAnsi" w:cstheme="majorHAnsi"/>
        </w:rPr>
        <w:t xml:space="preserve"> </w:t>
      </w:r>
      <w:r w:rsidRPr="00211051">
        <w:rPr>
          <w:rFonts w:asciiTheme="majorHAnsi" w:hAnsiTheme="majorHAnsi" w:cstheme="majorHAnsi"/>
        </w:rPr>
        <w:t>women</w:t>
      </w:r>
      <w:r w:rsidR="00E62A2F" w:rsidRPr="00211051">
        <w:rPr>
          <w:rFonts w:asciiTheme="majorHAnsi" w:hAnsiTheme="majorHAnsi" w:cstheme="majorHAnsi"/>
        </w:rPr>
        <w:t>,</w:t>
      </w:r>
      <w:r w:rsidR="002D34AF" w:rsidRPr="00211051">
        <w:rPr>
          <w:rFonts w:asciiTheme="majorHAnsi" w:hAnsiTheme="majorHAnsi" w:cstheme="majorHAnsi"/>
        </w:rPr>
        <w:t xml:space="preserve"> who are </w:t>
      </w:r>
      <w:r w:rsidR="00C7401C" w:rsidRPr="00211051">
        <w:rPr>
          <w:rFonts w:asciiTheme="majorHAnsi" w:hAnsiTheme="majorHAnsi" w:cstheme="majorHAnsi"/>
        </w:rPr>
        <w:t>denied the right</w:t>
      </w:r>
      <w:r w:rsidR="002D34AF" w:rsidRPr="00211051">
        <w:rPr>
          <w:rFonts w:asciiTheme="majorHAnsi" w:hAnsiTheme="majorHAnsi" w:cstheme="majorHAnsi"/>
        </w:rPr>
        <w:t xml:space="preserve"> to </w:t>
      </w:r>
      <w:r w:rsidR="00C7401C" w:rsidRPr="00211051">
        <w:rPr>
          <w:rFonts w:asciiTheme="majorHAnsi" w:hAnsiTheme="majorHAnsi" w:cstheme="majorHAnsi"/>
        </w:rPr>
        <w:t xml:space="preserve">confer nationality </w:t>
      </w:r>
      <w:r w:rsidR="002D34AF" w:rsidRPr="00211051">
        <w:rPr>
          <w:rFonts w:asciiTheme="majorHAnsi" w:hAnsiTheme="majorHAnsi" w:cstheme="majorHAnsi"/>
        </w:rPr>
        <w:t>on their children and spouses</w:t>
      </w:r>
      <w:r w:rsidR="00E62A2F" w:rsidRPr="00211051">
        <w:rPr>
          <w:rFonts w:asciiTheme="majorHAnsi" w:hAnsiTheme="majorHAnsi" w:cstheme="majorHAnsi"/>
        </w:rPr>
        <w:t xml:space="preserve"> </w:t>
      </w:r>
      <w:r w:rsidR="00C7401C" w:rsidRPr="00211051">
        <w:rPr>
          <w:rFonts w:asciiTheme="majorHAnsi" w:hAnsiTheme="majorHAnsi" w:cstheme="majorHAnsi"/>
        </w:rPr>
        <w:t>on an equal basis with men</w:t>
      </w:r>
      <w:r w:rsidR="00E62A2F" w:rsidRPr="00211051">
        <w:rPr>
          <w:rFonts w:asciiTheme="majorHAnsi" w:hAnsiTheme="majorHAnsi" w:cstheme="majorHAnsi"/>
        </w:rPr>
        <w:t>,</w:t>
      </w:r>
      <w:r w:rsidR="00C7401C" w:rsidRPr="00211051">
        <w:rPr>
          <w:rFonts w:asciiTheme="majorHAnsi" w:hAnsiTheme="majorHAnsi" w:cstheme="majorHAnsi"/>
        </w:rPr>
        <w:t xml:space="preserve"> </w:t>
      </w:r>
      <w:r w:rsidR="002D34AF" w:rsidRPr="00211051">
        <w:rPr>
          <w:rFonts w:asciiTheme="majorHAnsi" w:hAnsiTheme="majorHAnsi" w:cstheme="majorHAnsi"/>
        </w:rPr>
        <w:t>with severe consequences for women and their families</w:t>
      </w:r>
      <w:r w:rsidR="004C60D3" w:rsidRPr="00211051">
        <w:rPr>
          <w:rFonts w:asciiTheme="majorHAnsi" w:hAnsiTheme="majorHAnsi" w:cstheme="majorHAnsi"/>
        </w:rPr>
        <w:t xml:space="preserve">. We are particularly concerned by the government’s </w:t>
      </w:r>
      <w:r w:rsidR="00E72779" w:rsidRPr="00211051">
        <w:rPr>
          <w:rFonts w:asciiTheme="majorHAnsi" w:hAnsiTheme="majorHAnsi" w:cstheme="majorHAnsi"/>
        </w:rPr>
        <w:t xml:space="preserve">response to the CEDAW Committee regarding the nationality law in its most recent Response to the List of Issues, which illustrates an unwillingness to take action to amend the law </w:t>
      </w:r>
      <w:r w:rsidR="00DC53D3" w:rsidRPr="00211051">
        <w:rPr>
          <w:rFonts w:asciiTheme="majorHAnsi" w:hAnsiTheme="majorHAnsi" w:cstheme="majorHAnsi"/>
        </w:rPr>
        <w:t xml:space="preserve">to eliminate the discrimination, </w:t>
      </w:r>
      <w:r w:rsidR="00E72779" w:rsidRPr="00211051">
        <w:rPr>
          <w:rFonts w:asciiTheme="majorHAnsi" w:hAnsiTheme="majorHAnsi" w:cstheme="majorHAnsi"/>
        </w:rPr>
        <w:t>in line with its CEDAW obligations</w:t>
      </w:r>
      <w:r w:rsidR="00150DFA" w:rsidRPr="00211051">
        <w:rPr>
          <w:rFonts w:asciiTheme="majorHAnsi" w:hAnsiTheme="majorHAnsi" w:cstheme="majorHAnsi"/>
        </w:rPr>
        <w:t>.</w:t>
      </w:r>
      <w:r w:rsidR="00716CFA" w:rsidRPr="00211051">
        <w:rPr>
          <w:rFonts w:asciiTheme="majorHAnsi" w:hAnsiTheme="majorHAnsi" w:cstheme="majorHAnsi"/>
        </w:rPr>
        <w:t xml:space="preserve"> </w:t>
      </w:r>
    </w:p>
    <w:p w14:paraId="3DE316B7" w14:textId="77777777" w:rsidR="00E72779" w:rsidRPr="00211051" w:rsidRDefault="00E72779" w:rsidP="002F300A">
      <w:pPr>
        <w:widowControl w:val="0"/>
        <w:autoSpaceDE w:val="0"/>
        <w:autoSpaceDN w:val="0"/>
        <w:adjustRightInd w:val="0"/>
        <w:spacing w:line="259" w:lineRule="auto"/>
        <w:rPr>
          <w:rFonts w:asciiTheme="majorHAnsi" w:hAnsiTheme="majorHAnsi" w:cstheme="majorHAnsi"/>
        </w:rPr>
      </w:pPr>
    </w:p>
    <w:p w14:paraId="04B10550" w14:textId="5BF8A847" w:rsidR="0078547D" w:rsidRPr="00211051" w:rsidRDefault="00C7401C" w:rsidP="002F300A">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T</w:t>
      </w:r>
      <w:r w:rsidR="00670B06" w:rsidRPr="00211051">
        <w:rPr>
          <w:rFonts w:asciiTheme="majorHAnsi" w:hAnsiTheme="majorHAnsi" w:cstheme="majorHAnsi"/>
        </w:rPr>
        <w:t xml:space="preserve">his letter will focus on violations of women’s nationality rights in </w:t>
      </w:r>
      <w:r w:rsidR="007D4191" w:rsidRPr="00211051">
        <w:rPr>
          <w:rFonts w:asciiTheme="majorHAnsi" w:hAnsiTheme="majorHAnsi" w:cstheme="majorHAnsi"/>
        </w:rPr>
        <w:t>the United Arab Emirates</w:t>
      </w:r>
      <w:r w:rsidR="00F0048F" w:rsidRPr="00211051">
        <w:rPr>
          <w:rFonts w:asciiTheme="majorHAnsi" w:hAnsiTheme="majorHAnsi" w:cstheme="majorHAnsi"/>
        </w:rPr>
        <w:t xml:space="preserve"> (UAE)</w:t>
      </w:r>
      <w:r w:rsidR="00670B06" w:rsidRPr="00211051">
        <w:rPr>
          <w:rFonts w:asciiTheme="majorHAnsi" w:hAnsiTheme="majorHAnsi" w:cstheme="majorHAnsi"/>
        </w:rPr>
        <w:t xml:space="preserve"> in direct violation of Article</w:t>
      </w:r>
      <w:r w:rsidR="00D1205A" w:rsidRPr="00211051">
        <w:rPr>
          <w:rFonts w:asciiTheme="majorHAnsi" w:hAnsiTheme="majorHAnsi" w:cstheme="majorHAnsi"/>
        </w:rPr>
        <w:t>s</w:t>
      </w:r>
      <w:r w:rsidR="00670B06" w:rsidRPr="00211051">
        <w:rPr>
          <w:rFonts w:asciiTheme="majorHAnsi" w:hAnsiTheme="majorHAnsi" w:cstheme="majorHAnsi"/>
        </w:rPr>
        <w:t xml:space="preserve"> 2 (</w:t>
      </w:r>
      <w:r w:rsidR="00F54D57" w:rsidRPr="00211051">
        <w:rPr>
          <w:rFonts w:asciiTheme="majorHAnsi" w:hAnsiTheme="majorHAnsi" w:cstheme="majorHAnsi"/>
        </w:rPr>
        <w:t xml:space="preserve">non-discrimination including in </w:t>
      </w:r>
      <w:r w:rsidR="00C80E03" w:rsidRPr="00211051">
        <w:rPr>
          <w:rFonts w:asciiTheme="majorHAnsi" w:hAnsiTheme="majorHAnsi" w:cstheme="majorHAnsi"/>
        </w:rPr>
        <w:t xml:space="preserve">law and </w:t>
      </w:r>
      <w:r w:rsidR="00F54D57" w:rsidRPr="00211051">
        <w:rPr>
          <w:rFonts w:asciiTheme="majorHAnsi" w:hAnsiTheme="majorHAnsi" w:cstheme="majorHAnsi"/>
        </w:rPr>
        <w:t>policy measures</w:t>
      </w:r>
      <w:r w:rsidR="00670B06" w:rsidRPr="00211051">
        <w:rPr>
          <w:rFonts w:asciiTheme="majorHAnsi" w:hAnsiTheme="majorHAnsi" w:cstheme="majorHAnsi"/>
        </w:rPr>
        <w:t xml:space="preserve">) and 9 (nationality), </w:t>
      </w:r>
      <w:r w:rsidRPr="00211051">
        <w:rPr>
          <w:rFonts w:asciiTheme="majorHAnsi" w:hAnsiTheme="majorHAnsi" w:cstheme="majorHAnsi"/>
        </w:rPr>
        <w:t>resulting in further violations of</w:t>
      </w:r>
      <w:r w:rsidR="00670B06" w:rsidRPr="00211051">
        <w:rPr>
          <w:rFonts w:asciiTheme="majorHAnsi" w:hAnsiTheme="majorHAnsi" w:cstheme="majorHAnsi"/>
        </w:rPr>
        <w:t xml:space="preserve"> article</w:t>
      </w:r>
      <w:r w:rsidRPr="00211051">
        <w:rPr>
          <w:rFonts w:asciiTheme="majorHAnsi" w:hAnsiTheme="majorHAnsi" w:cstheme="majorHAnsi"/>
        </w:rPr>
        <w:t>s</w:t>
      </w:r>
      <w:r w:rsidR="00670B06" w:rsidRPr="00211051">
        <w:rPr>
          <w:rFonts w:asciiTheme="majorHAnsi" w:hAnsiTheme="majorHAnsi" w:cstheme="majorHAnsi"/>
        </w:rPr>
        <w:t xml:space="preserve"> </w:t>
      </w:r>
      <w:r w:rsidR="00590785" w:rsidRPr="00211051">
        <w:rPr>
          <w:rFonts w:asciiTheme="majorHAnsi" w:hAnsiTheme="majorHAnsi" w:cstheme="majorHAnsi"/>
        </w:rPr>
        <w:t>3 (</w:t>
      </w:r>
      <w:r w:rsidR="00F52483" w:rsidRPr="00211051">
        <w:rPr>
          <w:rFonts w:asciiTheme="majorHAnsi" w:hAnsiTheme="majorHAnsi" w:cstheme="majorHAnsi"/>
        </w:rPr>
        <w:t>g</w:t>
      </w:r>
      <w:r w:rsidR="00590785" w:rsidRPr="00211051">
        <w:rPr>
          <w:rFonts w:asciiTheme="majorHAnsi" w:hAnsiTheme="majorHAnsi" w:cstheme="majorHAnsi"/>
        </w:rPr>
        <w:t xml:space="preserve">uarantee of </w:t>
      </w:r>
      <w:r w:rsidR="00F52483" w:rsidRPr="00211051">
        <w:rPr>
          <w:rFonts w:asciiTheme="majorHAnsi" w:hAnsiTheme="majorHAnsi" w:cstheme="majorHAnsi"/>
        </w:rPr>
        <w:t xml:space="preserve">basic human rights </w:t>
      </w:r>
      <w:r w:rsidR="00590785" w:rsidRPr="00211051">
        <w:rPr>
          <w:rFonts w:asciiTheme="majorHAnsi" w:hAnsiTheme="majorHAnsi" w:cstheme="majorHAnsi"/>
        </w:rPr>
        <w:t xml:space="preserve">and </w:t>
      </w:r>
      <w:r w:rsidR="00F52483" w:rsidRPr="00211051">
        <w:rPr>
          <w:rFonts w:asciiTheme="majorHAnsi" w:hAnsiTheme="majorHAnsi" w:cstheme="majorHAnsi"/>
        </w:rPr>
        <w:t>fundamental freedoms</w:t>
      </w:r>
      <w:r w:rsidR="00590785" w:rsidRPr="00211051">
        <w:rPr>
          <w:rFonts w:asciiTheme="majorHAnsi" w:hAnsiTheme="majorHAnsi" w:cstheme="majorHAnsi"/>
        </w:rPr>
        <w:t xml:space="preserve">), </w:t>
      </w:r>
      <w:r w:rsidR="00F52483" w:rsidRPr="00211051">
        <w:rPr>
          <w:rFonts w:asciiTheme="majorHAnsi" w:hAnsiTheme="majorHAnsi" w:cstheme="majorHAnsi"/>
        </w:rPr>
        <w:t>5-a (</w:t>
      </w:r>
      <w:r w:rsidR="00F52483" w:rsidRPr="00211051">
        <w:rPr>
          <w:rFonts w:asciiTheme="majorHAnsi" w:hAnsiTheme="majorHAnsi" w:cstheme="majorHAnsi"/>
          <w:color w:val="000000"/>
          <w:shd w:val="clear" w:color="auto" w:fill="FFFFFF"/>
        </w:rPr>
        <w:t>eliminating prejudices and customary and all other practices</w:t>
      </w:r>
      <w:r w:rsidR="00F52483" w:rsidRPr="00211051">
        <w:rPr>
          <w:rFonts w:asciiTheme="majorHAnsi" w:hAnsiTheme="majorHAnsi" w:cstheme="majorHAnsi"/>
        </w:rPr>
        <w:t xml:space="preserve">), </w:t>
      </w:r>
      <w:r w:rsidR="00590785" w:rsidRPr="00211051">
        <w:rPr>
          <w:rFonts w:asciiTheme="majorHAnsi" w:hAnsiTheme="majorHAnsi" w:cstheme="majorHAnsi"/>
        </w:rPr>
        <w:t>13-a and b (</w:t>
      </w:r>
      <w:r w:rsidR="00F52483" w:rsidRPr="00211051">
        <w:rPr>
          <w:rFonts w:asciiTheme="majorHAnsi" w:hAnsiTheme="majorHAnsi" w:cstheme="majorHAnsi"/>
        </w:rPr>
        <w:t xml:space="preserve">economic </w:t>
      </w:r>
      <w:r w:rsidR="00590785" w:rsidRPr="00211051">
        <w:rPr>
          <w:rFonts w:asciiTheme="majorHAnsi" w:hAnsiTheme="majorHAnsi" w:cstheme="majorHAnsi"/>
        </w:rPr>
        <w:t xml:space="preserve">and </w:t>
      </w:r>
      <w:r w:rsidR="00F52483" w:rsidRPr="00211051">
        <w:rPr>
          <w:rFonts w:asciiTheme="majorHAnsi" w:hAnsiTheme="majorHAnsi" w:cstheme="majorHAnsi"/>
        </w:rPr>
        <w:t>social benefits</w:t>
      </w:r>
      <w:r w:rsidR="00590785" w:rsidRPr="00211051">
        <w:rPr>
          <w:rFonts w:asciiTheme="majorHAnsi" w:hAnsiTheme="majorHAnsi" w:cstheme="majorHAnsi"/>
        </w:rPr>
        <w:t>), and 16-1 b and d (</w:t>
      </w:r>
      <w:r w:rsidR="00F52483" w:rsidRPr="00211051">
        <w:rPr>
          <w:rFonts w:asciiTheme="majorHAnsi" w:hAnsiTheme="majorHAnsi" w:cstheme="majorHAnsi"/>
        </w:rPr>
        <w:t xml:space="preserve">marriage </w:t>
      </w:r>
      <w:r w:rsidR="00590785" w:rsidRPr="00211051">
        <w:rPr>
          <w:rFonts w:asciiTheme="majorHAnsi" w:hAnsiTheme="majorHAnsi" w:cstheme="majorHAnsi"/>
        </w:rPr>
        <w:t xml:space="preserve">and </w:t>
      </w:r>
      <w:r w:rsidR="00F52483" w:rsidRPr="00211051">
        <w:rPr>
          <w:rFonts w:asciiTheme="majorHAnsi" w:hAnsiTheme="majorHAnsi" w:cstheme="majorHAnsi"/>
        </w:rPr>
        <w:t>family life</w:t>
      </w:r>
      <w:r w:rsidR="00590785" w:rsidRPr="00211051">
        <w:rPr>
          <w:rFonts w:asciiTheme="majorHAnsi" w:hAnsiTheme="majorHAnsi" w:cstheme="majorHAnsi"/>
        </w:rPr>
        <w:t xml:space="preserve">) </w:t>
      </w:r>
      <w:r w:rsidR="00670B06" w:rsidRPr="00211051">
        <w:rPr>
          <w:rFonts w:asciiTheme="majorHAnsi" w:hAnsiTheme="majorHAnsi" w:cstheme="majorHAnsi"/>
        </w:rPr>
        <w:t xml:space="preserve">of the </w:t>
      </w:r>
      <w:r w:rsidR="00E56117" w:rsidRPr="00211051">
        <w:rPr>
          <w:rFonts w:asciiTheme="majorHAnsi" w:hAnsiTheme="majorHAnsi" w:cstheme="majorHAnsi"/>
        </w:rPr>
        <w:t>C</w:t>
      </w:r>
      <w:r w:rsidR="00670B06" w:rsidRPr="00211051">
        <w:rPr>
          <w:rFonts w:asciiTheme="majorHAnsi" w:hAnsiTheme="majorHAnsi" w:cstheme="majorHAnsi"/>
        </w:rPr>
        <w:t>onvention on the Elimination of All Forms of Discrimination against Women.</w:t>
      </w:r>
      <w:r w:rsidR="00AF2A8C" w:rsidRPr="00211051">
        <w:rPr>
          <w:rFonts w:asciiTheme="majorHAnsi" w:hAnsiTheme="majorHAnsi" w:cstheme="majorHAnsi"/>
        </w:rPr>
        <w:t xml:space="preserve"> </w:t>
      </w:r>
      <w:r w:rsidR="004C60D3" w:rsidRPr="00211051">
        <w:rPr>
          <w:rFonts w:asciiTheme="majorHAnsi" w:hAnsiTheme="majorHAnsi" w:cstheme="majorHAnsi"/>
        </w:rPr>
        <w:t xml:space="preserve">The failure of the government to </w:t>
      </w:r>
      <w:r w:rsidR="00AD3EA1" w:rsidRPr="00211051">
        <w:rPr>
          <w:rFonts w:asciiTheme="majorHAnsi" w:hAnsiTheme="majorHAnsi" w:cstheme="majorHAnsi"/>
        </w:rPr>
        <w:t xml:space="preserve">eliminate the discriminatory inheritance law and </w:t>
      </w:r>
      <w:r w:rsidR="004C60D3" w:rsidRPr="00211051">
        <w:rPr>
          <w:rFonts w:asciiTheme="majorHAnsi" w:hAnsiTheme="majorHAnsi" w:cstheme="majorHAnsi"/>
        </w:rPr>
        <w:t xml:space="preserve">actively combat </w:t>
      </w:r>
      <w:r w:rsidR="002F300A" w:rsidRPr="00211051">
        <w:rPr>
          <w:rFonts w:asciiTheme="majorHAnsi" w:hAnsiTheme="majorHAnsi" w:cstheme="majorHAnsi"/>
        </w:rPr>
        <w:t>the harmful practice of female genital mutilation</w:t>
      </w:r>
      <w:r w:rsidR="003430C7" w:rsidRPr="00211051">
        <w:rPr>
          <w:rFonts w:asciiTheme="majorHAnsi" w:hAnsiTheme="majorHAnsi" w:cstheme="majorHAnsi"/>
        </w:rPr>
        <w:t xml:space="preserve"> in the UAE</w:t>
      </w:r>
      <w:r w:rsidR="002F300A" w:rsidRPr="00211051">
        <w:rPr>
          <w:rFonts w:asciiTheme="majorHAnsi" w:hAnsiTheme="majorHAnsi" w:cstheme="majorHAnsi"/>
        </w:rPr>
        <w:t xml:space="preserve">, in violation of Article 2(f) (abolishing discriminatory laws and practices), </w:t>
      </w:r>
      <w:r w:rsidR="00DC53D3" w:rsidRPr="00211051">
        <w:rPr>
          <w:rFonts w:asciiTheme="majorHAnsi" w:hAnsiTheme="majorHAnsi" w:cstheme="majorHAnsi"/>
        </w:rPr>
        <w:t>is</w:t>
      </w:r>
      <w:r w:rsidR="002F300A" w:rsidRPr="00211051">
        <w:rPr>
          <w:rFonts w:asciiTheme="majorHAnsi" w:hAnsiTheme="majorHAnsi" w:cstheme="majorHAnsi"/>
        </w:rPr>
        <w:t xml:space="preserve"> also of great concern.</w:t>
      </w:r>
    </w:p>
    <w:p w14:paraId="40EEB2C2" w14:textId="765263C7" w:rsidR="00DD7A27" w:rsidRPr="00211051" w:rsidRDefault="00DD7A27" w:rsidP="00BD4374">
      <w:pPr>
        <w:widowControl w:val="0"/>
        <w:autoSpaceDE w:val="0"/>
        <w:autoSpaceDN w:val="0"/>
        <w:adjustRightInd w:val="0"/>
        <w:spacing w:line="259" w:lineRule="auto"/>
        <w:rPr>
          <w:rFonts w:asciiTheme="majorHAnsi" w:hAnsiTheme="majorHAnsi" w:cstheme="majorHAnsi"/>
        </w:rPr>
      </w:pPr>
    </w:p>
    <w:p w14:paraId="1D462D00" w14:textId="2EC3FAE6" w:rsidR="00DD7A27" w:rsidRPr="00211051" w:rsidRDefault="00DD7A27"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The </w:t>
      </w:r>
      <w:hyperlink r:id="rId15" w:history="1">
        <w:r w:rsidRPr="00211051">
          <w:rPr>
            <w:rStyle w:val="Hyperlink"/>
            <w:rFonts w:asciiTheme="majorHAnsi" w:hAnsiTheme="majorHAnsi" w:cstheme="majorHAnsi"/>
          </w:rPr>
          <w:t>Global Campaign for Equal Nationality Rights</w:t>
        </w:r>
      </w:hyperlink>
      <w:r w:rsidR="00AF2A8C" w:rsidRPr="00211051">
        <w:rPr>
          <w:rFonts w:asciiTheme="majorHAnsi" w:hAnsiTheme="majorHAnsi" w:cstheme="majorHAnsi"/>
        </w:rPr>
        <w:t xml:space="preserve"> </w:t>
      </w:r>
      <w:r w:rsidRPr="00211051">
        <w:rPr>
          <w:rFonts w:asciiTheme="majorHAnsi" w:hAnsiTheme="majorHAnsi" w:cstheme="majorHAnsi"/>
        </w:rPr>
        <w:t>mob</w:t>
      </w:r>
      <w:r w:rsidR="00231C6B" w:rsidRPr="00211051">
        <w:rPr>
          <w:rFonts w:asciiTheme="majorHAnsi" w:hAnsiTheme="majorHAnsi" w:cstheme="majorHAnsi"/>
        </w:rPr>
        <w:t>ilizes international action to end gender discrimination</w:t>
      </w:r>
      <w:r w:rsidRPr="00211051">
        <w:rPr>
          <w:rFonts w:asciiTheme="majorHAnsi" w:hAnsiTheme="majorHAnsi" w:cstheme="majorHAnsi"/>
        </w:rPr>
        <w:t xml:space="preserve"> </w:t>
      </w:r>
      <w:r w:rsidR="00231C6B" w:rsidRPr="00211051">
        <w:rPr>
          <w:rFonts w:asciiTheme="majorHAnsi" w:hAnsiTheme="majorHAnsi" w:cstheme="majorHAnsi"/>
        </w:rPr>
        <w:t>in</w:t>
      </w:r>
      <w:r w:rsidRPr="00211051">
        <w:rPr>
          <w:rFonts w:asciiTheme="majorHAnsi" w:hAnsiTheme="majorHAnsi" w:cstheme="majorHAnsi"/>
        </w:rPr>
        <w:t xml:space="preserve"> nationality laws through its coalition of national and international organizations and activists. </w:t>
      </w:r>
      <w:r w:rsidR="007D4191" w:rsidRPr="00211051">
        <w:rPr>
          <w:rFonts w:asciiTheme="majorHAnsi" w:hAnsiTheme="majorHAnsi" w:cstheme="majorHAnsi"/>
        </w:rPr>
        <w:t xml:space="preserve">Steering Committee members include Equality Now, Equal Rights Trust, </w:t>
      </w:r>
      <w:r w:rsidR="00211051" w:rsidRPr="00211051">
        <w:rPr>
          <w:rFonts w:asciiTheme="majorHAnsi" w:hAnsiTheme="majorHAnsi" w:cstheme="majorHAnsi"/>
        </w:rPr>
        <w:t xml:space="preserve">Family Frontiers, </w:t>
      </w:r>
      <w:r w:rsidR="007D4191" w:rsidRPr="00211051">
        <w:rPr>
          <w:rFonts w:asciiTheme="majorHAnsi" w:hAnsiTheme="majorHAnsi" w:cstheme="majorHAnsi"/>
        </w:rPr>
        <w:t xml:space="preserve">the Institute on Statelessness and Inclusion, </w:t>
      </w:r>
      <w:r w:rsidR="00211051" w:rsidRPr="00211051">
        <w:rPr>
          <w:rFonts w:asciiTheme="majorHAnsi" w:hAnsiTheme="majorHAnsi" w:cstheme="majorHAnsi"/>
        </w:rPr>
        <w:t xml:space="preserve">Nationality </w:t>
      </w:r>
      <w:proofErr w:type="gramStart"/>
      <w:r w:rsidR="00211051" w:rsidRPr="00211051">
        <w:rPr>
          <w:rFonts w:asciiTheme="majorHAnsi" w:hAnsiTheme="majorHAnsi" w:cstheme="majorHAnsi"/>
        </w:rPr>
        <w:t>For</w:t>
      </w:r>
      <w:proofErr w:type="gramEnd"/>
      <w:r w:rsidR="00211051" w:rsidRPr="00211051">
        <w:rPr>
          <w:rFonts w:asciiTheme="majorHAnsi" w:hAnsiTheme="majorHAnsi" w:cstheme="majorHAnsi"/>
        </w:rPr>
        <w:t xml:space="preserve"> All, </w:t>
      </w:r>
      <w:r w:rsidR="007D4191" w:rsidRPr="00211051">
        <w:rPr>
          <w:rFonts w:asciiTheme="majorHAnsi" w:hAnsiTheme="majorHAnsi" w:cstheme="majorHAnsi"/>
        </w:rPr>
        <w:t xml:space="preserve">Women’s Learning Partnership, and Women’s Refugee Commission, which houses the Global Campaign. </w:t>
      </w:r>
      <w:r w:rsidR="005D6499" w:rsidRPr="00211051">
        <w:rPr>
          <w:rFonts w:asciiTheme="majorHAnsi" w:hAnsiTheme="majorHAnsi" w:cstheme="majorHAnsi"/>
        </w:rPr>
        <w:t xml:space="preserve">The </w:t>
      </w:r>
      <w:hyperlink r:id="rId16" w:history="1">
        <w:r w:rsidR="005D6499" w:rsidRPr="00211051">
          <w:rPr>
            <w:rStyle w:val="Hyperlink"/>
            <w:rFonts w:asciiTheme="majorHAnsi" w:hAnsiTheme="majorHAnsi" w:cstheme="majorHAnsi"/>
          </w:rPr>
          <w:t xml:space="preserve">Institute on Statelessness </w:t>
        </w:r>
        <w:r w:rsidR="005D6499" w:rsidRPr="00211051">
          <w:rPr>
            <w:rStyle w:val="Hyperlink"/>
            <w:rFonts w:asciiTheme="majorHAnsi" w:hAnsiTheme="majorHAnsi" w:cstheme="majorHAnsi"/>
          </w:rPr>
          <w:lastRenderedPageBreak/>
          <w:t>and Inclusion</w:t>
        </w:r>
      </w:hyperlink>
      <w:r w:rsidR="005D6499" w:rsidRPr="00211051">
        <w:rPr>
          <w:rFonts w:asciiTheme="majorHAnsi" w:hAnsiTheme="majorHAnsi" w:cstheme="majorHAnsi"/>
        </w:rPr>
        <w:t xml:space="preserve"> (the Institute) is an independent non-profit </w:t>
      </w:r>
      <w:r w:rsidR="0065198E" w:rsidRPr="00211051">
        <w:rPr>
          <w:rFonts w:asciiTheme="majorHAnsi" w:hAnsiTheme="majorHAnsi" w:cstheme="majorHAnsi"/>
        </w:rPr>
        <w:t>organization</w:t>
      </w:r>
      <w:r w:rsidR="005D6499" w:rsidRPr="00211051">
        <w:rPr>
          <w:rFonts w:asciiTheme="majorHAnsi" w:hAnsiTheme="majorHAnsi" w:cstheme="majorHAnsi"/>
        </w:rPr>
        <w:t xml:space="preserve"> dedicated to promoting an integrated, human rights-based response to the injustice of statelessness and exclusion.</w:t>
      </w:r>
      <w:r w:rsidR="00B36664" w:rsidRPr="00211051">
        <w:rPr>
          <w:rFonts w:asciiTheme="majorHAnsi" w:hAnsiTheme="majorHAnsi" w:cstheme="majorHAnsi"/>
        </w:rPr>
        <w:t xml:space="preserve"> </w:t>
      </w:r>
      <w:hyperlink r:id="rId17" w:history="1">
        <w:r w:rsidR="00211051" w:rsidRPr="00211051">
          <w:rPr>
            <w:rStyle w:val="Hyperlink"/>
            <w:rFonts w:asciiTheme="majorHAnsi" w:hAnsiTheme="majorHAnsi" w:cstheme="majorHAnsi"/>
          </w:rPr>
          <w:t>Equality Now</w:t>
        </w:r>
      </w:hyperlink>
      <w:r w:rsidR="00211051" w:rsidRPr="00211051">
        <w:rPr>
          <w:rFonts w:asciiTheme="majorHAnsi" w:hAnsiTheme="majorHAnsi" w:cstheme="majorHAnsi"/>
        </w:rPr>
        <w:t xml:space="preserve"> is an international human rights organization working to achieve legal and systemic change that addresses violence and discrimination against all women and girls around the world.</w:t>
      </w:r>
    </w:p>
    <w:p w14:paraId="2DB4D289" w14:textId="6E4E9C3A" w:rsidR="00336D0F" w:rsidRPr="00211051" w:rsidRDefault="00336D0F" w:rsidP="00BD4374">
      <w:pPr>
        <w:widowControl w:val="0"/>
        <w:autoSpaceDE w:val="0"/>
        <w:autoSpaceDN w:val="0"/>
        <w:adjustRightInd w:val="0"/>
        <w:spacing w:line="259" w:lineRule="auto"/>
        <w:rPr>
          <w:rFonts w:asciiTheme="majorHAnsi" w:hAnsiTheme="majorHAnsi" w:cstheme="majorHAnsi"/>
        </w:rPr>
      </w:pPr>
    </w:p>
    <w:p w14:paraId="2822F0F9" w14:textId="1289CEC5" w:rsidR="00D12DE2" w:rsidRPr="00211051" w:rsidRDefault="00D12DE2"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b/>
          <w:i/>
        </w:rPr>
        <w:t xml:space="preserve">The Government’s </w:t>
      </w:r>
      <w:r w:rsidRPr="00211051">
        <w:rPr>
          <w:rFonts w:asciiTheme="majorHAnsi" w:hAnsiTheme="majorHAnsi" w:cstheme="majorHAnsi"/>
          <w:b/>
          <w:bCs/>
          <w:i/>
          <w:iCs/>
        </w:rPr>
        <w:t>Response to the List of Issues</w:t>
      </w:r>
      <w:r w:rsidR="006A5E75" w:rsidRPr="00211051">
        <w:rPr>
          <w:rFonts w:asciiTheme="majorHAnsi" w:hAnsiTheme="majorHAnsi" w:cstheme="majorHAnsi"/>
          <w:b/>
          <w:bCs/>
          <w:i/>
          <w:iCs/>
        </w:rPr>
        <w:t xml:space="preserve"> pertaining to nationality rights</w:t>
      </w:r>
    </w:p>
    <w:p w14:paraId="0D212433" w14:textId="0331668E" w:rsidR="00C91AED" w:rsidRPr="00211051" w:rsidRDefault="00885F9A" w:rsidP="00BD4374">
      <w:pPr>
        <w:widowControl w:val="0"/>
        <w:autoSpaceDE w:val="0"/>
        <w:autoSpaceDN w:val="0"/>
        <w:adjustRightInd w:val="0"/>
        <w:spacing w:line="259" w:lineRule="auto"/>
        <w:rPr>
          <w:rFonts w:asciiTheme="majorHAnsi" w:hAnsiTheme="majorHAnsi" w:cstheme="majorHAnsi"/>
          <w:b/>
          <w:i/>
        </w:rPr>
      </w:pPr>
      <w:r w:rsidRPr="00211051">
        <w:rPr>
          <w:rFonts w:asciiTheme="majorHAnsi" w:hAnsiTheme="majorHAnsi" w:cstheme="majorHAnsi"/>
          <w:bCs/>
          <w:iCs/>
        </w:rPr>
        <w:t>Following the</w:t>
      </w:r>
      <w:r w:rsidR="00C91AED" w:rsidRPr="00211051">
        <w:rPr>
          <w:rFonts w:asciiTheme="majorHAnsi" w:hAnsiTheme="majorHAnsi" w:cstheme="majorHAnsi"/>
          <w:bCs/>
          <w:iCs/>
        </w:rPr>
        <w:t xml:space="preserve"> Committee’s request</w:t>
      </w:r>
      <w:r w:rsidR="0033776C" w:rsidRPr="00211051">
        <w:rPr>
          <w:rFonts w:asciiTheme="majorHAnsi" w:hAnsiTheme="majorHAnsi" w:cstheme="majorHAnsi"/>
          <w:bCs/>
          <w:iCs/>
        </w:rPr>
        <w:t xml:space="preserve"> for the government to </w:t>
      </w:r>
      <w:r w:rsidRPr="00211051">
        <w:rPr>
          <w:rFonts w:asciiTheme="majorHAnsi" w:hAnsiTheme="majorHAnsi" w:cstheme="majorHAnsi"/>
          <w:bCs/>
          <w:iCs/>
        </w:rPr>
        <w:t xml:space="preserve">“provide information on concrete steps taken to continue to adapt national legislation to grant </w:t>
      </w:r>
      <w:r w:rsidR="00F92CFA" w:rsidRPr="00211051">
        <w:rPr>
          <w:rFonts w:asciiTheme="majorHAnsi" w:hAnsiTheme="majorHAnsi" w:cstheme="majorHAnsi"/>
          <w:bCs/>
          <w:iCs/>
        </w:rPr>
        <w:t>Emirati women the same rights as Emirati men to acquire, change and retain their nationality and to confer it on their children and foreign spouse</w:t>
      </w:r>
      <w:r w:rsidR="0033776C" w:rsidRPr="00211051">
        <w:rPr>
          <w:rFonts w:asciiTheme="majorHAnsi" w:hAnsiTheme="majorHAnsi" w:cstheme="majorHAnsi"/>
          <w:bCs/>
          <w:iCs/>
        </w:rPr>
        <w:t>,</w:t>
      </w:r>
      <w:r w:rsidRPr="00211051">
        <w:rPr>
          <w:rFonts w:asciiTheme="majorHAnsi" w:hAnsiTheme="majorHAnsi" w:cstheme="majorHAnsi"/>
          <w:bCs/>
          <w:iCs/>
        </w:rPr>
        <w:t>”</w:t>
      </w:r>
      <w:r w:rsidR="0033776C" w:rsidRPr="00211051">
        <w:rPr>
          <w:rFonts w:asciiTheme="majorHAnsi" w:hAnsiTheme="majorHAnsi" w:cstheme="majorHAnsi"/>
          <w:bCs/>
          <w:iCs/>
        </w:rPr>
        <w:t xml:space="preserve"> the government</w:t>
      </w:r>
      <w:r w:rsidRPr="00211051">
        <w:rPr>
          <w:rFonts w:asciiTheme="majorHAnsi" w:hAnsiTheme="majorHAnsi" w:cstheme="majorHAnsi"/>
          <w:bCs/>
          <w:iCs/>
        </w:rPr>
        <w:t>’s response solely consisted of reiterating</w:t>
      </w:r>
      <w:r w:rsidR="0033776C" w:rsidRPr="00211051">
        <w:rPr>
          <w:rFonts w:asciiTheme="majorHAnsi" w:hAnsiTheme="majorHAnsi" w:cstheme="majorHAnsi"/>
          <w:bCs/>
          <w:iCs/>
        </w:rPr>
        <w:t xml:space="preserve"> the status of </w:t>
      </w:r>
      <w:r w:rsidR="00FC19FD" w:rsidRPr="00211051">
        <w:rPr>
          <w:rFonts w:asciiTheme="majorHAnsi" w:hAnsiTheme="majorHAnsi" w:cstheme="majorHAnsi"/>
          <w:bCs/>
          <w:iCs/>
        </w:rPr>
        <w:t>the current law</w:t>
      </w:r>
      <w:r w:rsidR="00D96126" w:rsidRPr="00211051">
        <w:rPr>
          <w:rFonts w:asciiTheme="majorHAnsi" w:hAnsiTheme="majorHAnsi" w:cstheme="majorHAnsi"/>
          <w:bCs/>
          <w:iCs/>
        </w:rPr>
        <w:t xml:space="preserve"> (Federal Law No. </w:t>
      </w:r>
      <w:r w:rsidR="00D96126" w:rsidRPr="00211051">
        <w:rPr>
          <w:rFonts w:asciiTheme="majorHAnsi" w:hAnsiTheme="majorHAnsi" w:cstheme="majorHAnsi"/>
          <w:color w:val="000000"/>
        </w:rPr>
        <w:t>17 for 1972 Concerning Nationality, Passports and Amendments thereof (updated 1975, 2012 and 2017)</w:t>
      </w:r>
      <w:r w:rsidR="00FC19FD" w:rsidRPr="00211051">
        <w:rPr>
          <w:rFonts w:asciiTheme="majorHAnsi" w:hAnsiTheme="majorHAnsi" w:cstheme="majorHAnsi"/>
          <w:bCs/>
          <w:iCs/>
        </w:rPr>
        <w:t xml:space="preserve">, which </w:t>
      </w:r>
      <w:r w:rsidR="00D96126" w:rsidRPr="00211051">
        <w:rPr>
          <w:rFonts w:asciiTheme="majorHAnsi" w:hAnsiTheme="majorHAnsi" w:cstheme="majorHAnsi"/>
          <w:bCs/>
          <w:iCs/>
        </w:rPr>
        <w:t xml:space="preserve">still </w:t>
      </w:r>
      <w:r w:rsidR="00FC19FD" w:rsidRPr="00211051">
        <w:rPr>
          <w:rFonts w:asciiTheme="majorHAnsi" w:hAnsiTheme="majorHAnsi" w:cstheme="majorHAnsi"/>
          <w:bCs/>
          <w:iCs/>
        </w:rPr>
        <w:t xml:space="preserve">denies women </w:t>
      </w:r>
      <w:r w:rsidR="00C151C0" w:rsidRPr="00211051">
        <w:rPr>
          <w:rFonts w:asciiTheme="majorHAnsi" w:hAnsiTheme="majorHAnsi" w:cstheme="majorHAnsi"/>
          <w:bCs/>
          <w:iCs/>
        </w:rPr>
        <w:t xml:space="preserve">equal </w:t>
      </w:r>
      <w:r w:rsidR="00FC19FD" w:rsidRPr="00211051">
        <w:rPr>
          <w:rFonts w:asciiTheme="majorHAnsi" w:hAnsiTheme="majorHAnsi" w:cstheme="majorHAnsi"/>
          <w:bCs/>
          <w:iCs/>
        </w:rPr>
        <w:t>nationality rights</w:t>
      </w:r>
      <w:r w:rsidR="00C151C0" w:rsidRPr="00211051">
        <w:rPr>
          <w:rFonts w:asciiTheme="majorHAnsi" w:hAnsiTheme="majorHAnsi" w:cstheme="majorHAnsi"/>
          <w:bCs/>
          <w:iCs/>
        </w:rPr>
        <w:t>.</w:t>
      </w:r>
      <w:r w:rsidR="00D01CD2" w:rsidRPr="00211051">
        <w:rPr>
          <w:rFonts w:asciiTheme="majorHAnsi" w:hAnsiTheme="majorHAnsi" w:cstheme="majorHAnsi"/>
          <w:bCs/>
          <w:iCs/>
        </w:rPr>
        <w:t xml:space="preserve"> (CEDAW/C/ARE/RQ/4</w:t>
      </w:r>
      <w:r w:rsidR="00FC4016" w:rsidRPr="00211051">
        <w:rPr>
          <w:rFonts w:asciiTheme="majorHAnsi" w:hAnsiTheme="majorHAnsi" w:cstheme="majorHAnsi"/>
          <w:bCs/>
          <w:iCs/>
        </w:rPr>
        <w:t>, para. 14</w:t>
      </w:r>
      <w:r w:rsidR="00D01CD2" w:rsidRPr="00211051">
        <w:rPr>
          <w:rFonts w:asciiTheme="majorHAnsi" w:hAnsiTheme="majorHAnsi" w:cstheme="majorHAnsi"/>
          <w:bCs/>
          <w:iCs/>
        </w:rPr>
        <w:t>)</w:t>
      </w:r>
      <w:r w:rsidR="00C151C0" w:rsidRPr="00211051">
        <w:rPr>
          <w:rFonts w:asciiTheme="majorHAnsi" w:hAnsiTheme="majorHAnsi" w:cstheme="majorHAnsi"/>
          <w:bCs/>
          <w:iCs/>
        </w:rPr>
        <w:t xml:space="preserve"> The government’s </w:t>
      </w:r>
      <w:r w:rsidRPr="00211051">
        <w:rPr>
          <w:rFonts w:asciiTheme="majorHAnsi" w:hAnsiTheme="majorHAnsi" w:cstheme="majorHAnsi"/>
          <w:bCs/>
          <w:iCs/>
        </w:rPr>
        <w:t xml:space="preserve">failure to provide additional information regarding the Committee’s inquiry demonstrates a lack of willingness to take action to address gender discrimination in the nationality law. </w:t>
      </w:r>
    </w:p>
    <w:p w14:paraId="0AF1EBE5" w14:textId="77777777" w:rsidR="00D12DE2" w:rsidRPr="00211051" w:rsidRDefault="00D12DE2" w:rsidP="00BD4374">
      <w:pPr>
        <w:widowControl w:val="0"/>
        <w:autoSpaceDE w:val="0"/>
        <w:autoSpaceDN w:val="0"/>
        <w:adjustRightInd w:val="0"/>
        <w:spacing w:line="259" w:lineRule="auto"/>
        <w:rPr>
          <w:rFonts w:asciiTheme="majorHAnsi" w:hAnsiTheme="majorHAnsi" w:cstheme="majorHAnsi"/>
          <w:b/>
          <w:i/>
        </w:rPr>
      </w:pPr>
    </w:p>
    <w:p w14:paraId="46E268A4" w14:textId="25923117" w:rsidR="004304BC" w:rsidRPr="00211051" w:rsidRDefault="004304BC" w:rsidP="00BD4374">
      <w:pPr>
        <w:widowControl w:val="0"/>
        <w:autoSpaceDE w:val="0"/>
        <w:autoSpaceDN w:val="0"/>
        <w:adjustRightInd w:val="0"/>
        <w:spacing w:line="259" w:lineRule="auto"/>
        <w:rPr>
          <w:rFonts w:asciiTheme="majorHAnsi" w:hAnsiTheme="majorHAnsi" w:cstheme="majorHAnsi"/>
          <w:b/>
          <w:i/>
        </w:rPr>
      </w:pPr>
      <w:r w:rsidRPr="00211051">
        <w:rPr>
          <w:rFonts w:asciiTheme="majorHAnsi" w:hAnsiTheme="majorHAnsi" w:cstheme="majorHAnsi"/>
          <w:b/>
          <w:i/>
        </w:rPr>
        <w:t xml:space="preserve">The Committee’s previous review of </w:t>
      </w:r>
      <w:r w:rsidR="00231C6B" w:rsidRPr="00211051">
        <w:rPr>
          <w:rFonts w:asciiTheme="majorHAnsi" w:hAnsiTheme="majorHAnsi" w:cstheme="majorHAnsi"/>
          <w:b/>
          <w:i/>
        </w:rPr>
        <w:t>United Arab Emirates</w:t>
      </w:r>
      <w:r w:rsidR="006A5E75" w:rsidRPr="00211051">
        <w:rPr>
          <w:rFonts w:asciiTheme="majorHAnsi" w:hAnsiTheme="majorHAnsi" w:cstheme="majorHAnsi"/>
          <w:b/>
          <w:i/>
        </w:rPr>
        <w:t xml:space="preserve"> pertaining to nationality rights </w:t>
      </w:r>
    </w:p>
    <w:p w14:paraId="5FA63636" w14:textId="4F182D95" w:rsidR="007D4191" w:rsidRPr="00211051" w:rsidRDefault="004304BC"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In its previous Concluding Observations following its review of </w:t>
      </w:r>
      <w:r w:rsidR="00231C6B" w:rsidRPr="00211051">
        <w:rPr>
          <w:rFonts w:asciiTheme="majorHAnsi" w:hAnsiTheme="majorHAnsi" w:cstheme="majorHAnsi"/>
        </w:rPr>
        <w:t>the United Arab Emirates</w:t>
      </w:r>
      <w:r w:rsidRPr="00211051">
        <w:rPr>
          <w:rFonts w:asciiTheme="majorHAnsi" w:hAnsiTheme="majorHAnsi" w:cstheme="majorHAnsi"/>
        </w:rPr>
        <w:t xml:space="preserve"> in </w:t>
      </w:r>
      <w:r w:rsidR="00231C6B" w:rsidRPr="00211051">
        <w:rPr>
          <w:rFonts w:asciiTheme="majorHAnsi" w:hAnsiTheme="majorHAnsi" w:cstheme="majorHAnsi"/>
        </w:rPr>
        <w:t>November 2015</w:t>
      </w:r>
      <w:r w:rsidR="00814BDD" w:rsidRPr="00211051">
        <w:rPr>
          <w:rFonts w:asciiTheme="majorHAnsi" w:hAnsiTheme="majorHAnsi" w:cstheme="majorHAnsi"/>
        </w:rPr>
        <w:t>,</w:t>
      </w:r>
      <w:r w:rsidRPr="00211051">
        <w:rPr>
          <w:rFonts w:asciiTheme="majorHAnsi" w:hAnsiTheme="majorHAnsi" w:cstheme="majorHAnsi"/>
        </w:rPr>
        <w:t xml:space="preserve"> the Committee </w:t>
      </w:r>
      <w:r w:rsidR="00231C6B" w:rsidRPr="00211051">
        <w:rPr>
          <w:rFonts w:asciiTheme="majorHAnsi" w:hAnsiTheme="majorHAnsi" w:cstheme="majorHAnsi"/>
        </w:rPr>
        <w:t xml:space="preserve">reiterated its recommendation regarding women’s inability to confer </w:t>
      </w:r>
      <w:r w:rsidRPr="00211051">
        <w:rPr>
          <w:rFonts w:asciiTheme="majorHAnsi" w:hAnsiTheme="majorHAnsi" w:cstheme="majorHAnsi"/>
        </w:rPr>
        <w:t xml:space="preserve">citizenship </w:t>
      </w:r>
      <w:r w:rsidR="00231C6B" w:rsidRPr="00211051">
        <w:rPr>
          <w:rFonts w:asciiTheme="majorHAnsi" w:hAnsiTheme="majorHAnsi" w:cstheme="majorHAnsi"/>
        </w:rPr>
        <w:t>on</w:t>
      </w:r>
      <w:r w:rsidRPr="00211051">
        <w:rPr>
          <w:rFonts w:asciiTheme="majorHAnsi" w:hAnsiTheme="majorHAnsi" w:cstheme="majorHAnsi"/>
        </w:rPr>
        <w:t xml:space="preserve"> their children and </w:t>
      </w:r>
      <w:r w:rsidR="00231C6B" w:rsidRPr="00211051">
        <w:rPr>
          <w:rFonts w:asciiTheme="majorHAnsi" w:hAnsiTheme="majorHAnsi" w:cstheme="majorHAnsi"/>
        </w:rPr>
        <w:t>non-citizen</w:t>
      </w:r>
      <w:r w:rsidRPr="00211051">
        <w:rPr>
          <w:rFonts w:asciiTheme="majorHAnsi" w:hAnsiTheme="majorHAnsi" w:cstheme="majorHAnsi"/>
        </w:rPr>
        <w:t xml:space="preserve"> </w:t>
      </w:r>
      <w:r w:rsidR="00814BDD" w:rsidRPr="00211051">
        <w:rPr>
          <w:rFonts w:asciiTheme="majorHAnsi" w:hAnsiTheme="majorHAnsi" w:cstheme="majorHAnsi"/>
        </w:rPr>
        <w:t>spouses</w:t>
      </w:r>
      <w:r w:rsidR="00231C6B" w:rsidRPr="00211051">
        <w:rPr>
          <w:rFonts w:asciiTheme="majorHAnsi" w:hAnsiTheme="majorHAnsi" w:cstheme="majorHAnsi"/>
        </w:rPr>
        <w:t xml:space="preserve"> on an equal basis with men</w:t>
      </w:r>
      <w:r w:rsidR="00307253" w:rsidRPr="00211051">
        <w:rPr>
          <w:rFonts w:asciiTheme="majorHAnsi" w:hAnsiTheme="majorHAnsi" w:cstheme="majorHAnsi"/>
        </w:rPr>
        <w:t>, stating</w:t>
      </w:r>
      <w:r w:rsidRPr="00211051">
        <w:rPr>
          <w:rFonts w:asciiTheme="majorHAnsi" w:hAnsiTheme="majorHAnsi" w:cstheme="majorHAnsi"/>
        </w:rPr>
        <w:t xml:space="preserve">: </w:t>
      </w:r>
    </w:p>
    <w:p w14:paraId="268C60E7" w14:textId="77777777" w:rsidR="007D4191" w:rsidRPr="00211051" w:rsidRDefault="007D4191" w:rsidP="00BD4374">
      <w:pPr>
        <w:widowControl w:val="0"/>
        <w:autoSpaceDE w:val="0"/>
        <w:autoSpaceDN w:val="0"/>
        <w:adjustRightInd w:val="0"/>
        <w:spacing w:line="259" w:lineRule="auto"/>
        <w:rPr>
          <w:rFonts w:asciiTheme="majorHAnsi" w:hAnsiTheme="majorHAnsi" w:cstheme="majorHAnsi"/>
        </w:rPr>
      </w:pPr>
    </w:p>
    <w:p w14:paraId="207C96B3" w14:textId="39A524F7" w:rsidR="007D4191" w:rsidRPr="00211051" w:rsidRDefault="004304BC" w:rsidP="00BD4374">
      <w:pPr>
        <w:widowControl w:val="0"/>
        <w:autoSpaceDE w:val="0"/>
        <w:autoSpaceDN w:val="0"/>
        <w:adjustRightInd w:val="0"/>
        <w:spacing w:line="259" w:lineRule="auto"/>
        <w:rPr>
          <w:rFonts w:asciiTheme="majorHAnsi" w:hAnsiTheme="majorHAnsi" w:cstheme="majorHAnsi"/>
          <w:bCs/>
        </w:rPr>
      </w:pPr>
      <w:r w:rsidRPr="00211051">
        <w:rPr>
          <w:rFonts w:asciiTheme="majorHAnsi" w:hAnsiTheme="majorHAnsi" w:cstheme="majorHAnsi"/>
        </w:rPr>
        <w:t>“</w:t>
      </w:r>
      <w:r w:rsidR="00F0048F" w:rsidRPr="00211051">
        <w:rPr>
          <w:rFonts w:asciiTheme="majorHAnsi" w:hAnsiTheme="majorHAnsi" w:cstheme="majorHAnsi"/>
          <w:i/>
          <w:iCs/>
        </w:rPr>
        <w:t>[…] G</w:t>
      </w:r>
      <w:r w:rsidR="007D4191" w:rsidRPr="00211051">
        <w:rPr>
          <w:rFonts w:asciiTheme="majorHAnsi" w:hAnsiTheme="majorHAnsi" w:cstheme="majorHAnsi"/>
          <w:i/>
          <w:iCs/>
        </w:rPr>
        <w:t>rant Emirati women the same rights as Emirati men to acquire, change and retain their nationality and to confer it on their children and foreign spouse. In this regard, it recommends that the State party revise its national law, withdraw its reservation to article 9 of the Convention and ratify the 1951 Convention relating to the Status of Refugees and the 1967 Protocol thereto, the 1954 Convention relating to the Status of Stateless Persons and the 1961 Convention on the Reduction of Statelessness (see CEDAW/C/ARE/CO/1, para. 33). The Committee also recommends that the State party regularize the situation of stateless families and ensure their right to a nationality without discrimination</w:t>
      </w:r>
      <w:r w:rsidR="007D4191" w:rsidRPr="00211051">
        <w:rPr>
          <w:rFonts w:asciiTheme="majorHAnsi" w:hAnsiTheme="majorHAnsi" w:cstheme="majorHAnsi"/>
        </w:rPr>
        <w:t xml:space="preserve">.” </w:t>
      </w:r>
      <w:r w:rsidRPr="00211051">
        <w:rPr>
          <w:rFonts w:asciiTheme="majorHAnsi" w:hAnsiTheme="majorHAnsi" w:cstheme="majorHAnsi"/>
          <w:bCs/>
        </w:rPr>
        <w:t>(</w:t>
      </w:r>
      <w:r w:rsidR="007D4191" w:rsidRPr="00211051">
        <w:rPr>
          <w:rFonts w:asciiTheme="majorHAnsi" w:hAnsiTheme="majorHAnsi" w:cstheme="majorHAnsi"/>
          <w:bCs/>
        </w:rPr>
        <w:t>CEDAW/C/ARE/CO/2-3</w:t>
      </w:r>
      <w:r w:rsidR="00307253" w:rsidRPr="00211051">
        <w:rPr>
          <w:rFonts w:asciiTheme="majorHAnsi" w:hAnsiTheme="majorHAnsi" w:cstheme="majorHAnsi"/>
          <w:bCs/>
        </w:rPr>
        <w:t>, para. 36</w:t>
      </w:r>
      <w:r w:rsidR="007076C3" w:rsidRPr="00211051">
        <w:rPr>
          <w:rFonts w:asciiTheme="majorHAnsi" w:hAnsiTheme="majorHAnsi" w:cstheme="majorHAnsi"/>
          <w:bCs/>
        </w:rPr>
        <w:t>)</w:t>
      </w:r>
    </w:p>
    <w:p w14:paraId="3ECFA4F0" w14:textId="77777777" w:rsidR="007D4191" w:rsidRPr="00211051" w:rsidRDefault="007D4191" w:rsidP="00BD4374">
      <w:pPr>
        <w:widowControl w:val="0"/>
        <w:autoSpaceDE w:val="0"/>
        <w:autoSpaceDN w:val="0"/>
        <w:adjustRightInd w:val="0"/>
        <w:spacing w:line="259" w:lineRule="auto"/>
        <w:rPr>
          <w:rFonts w:asciiTheme="majorHAnsi" w:hAnsiTheme="majorHAnsi" w:cstheme="majorHAnsi"/>
          <w:bCs/>
        </w:rPr>
      </w:pPr>
    </w:p>
    <w:p w14:paraId="641593B6" w14:textId="1FBE727B" w:rsidR="004304BC" w:rsidRPr="00211051" w:rsidRDefault="004304BC"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Several other UN </w:t>
      </w:r>
      <w:proofErr w:type="gramStart"/>
      <w:r w:rsidRPr="00211051">
        <w:rPr>
          <w:rFonts w:asciiTheme="majorHAnsi" w:hAnsiTheme="majorHAnsi" w:cstheme="majorHAnsi"/>
        </w:rPr>
        <w:t>treaty</w:t>
      </w:r>
      <w:proofErr w:type="gramEnd"/>
      <w:r w:rsidRPr="00211051">
        <w:rPr>
          <w:rFonts w:asciiTheme="majorHAnsi" w:hAnsiTheme="majorHAnsi" w:cstheme="majorHAnsi"/>
        </w:rPr>
        <w:t xml:space="preserve"> monitoring bodies, including the Committee on the Rights of the Child (CRC)</w:t>
      </w:r>
      <w:r w:rsidR="007D4191" w:rsidRPr="00211051">
        <w:rPr>
          <w:rFonts w:asciiTheme="majorHAnsi" w:hAnsiTheme="majorHAnsi" w:cstheme="majorHAnsi"/>
        </w:rPr>
        <w:t xml:space="preserve"> and the Committee on the Elimination of Racial Discrim</w:t>
      </w:r>
      <w:r w:rsidR="00231C6B" w:rsidRPr="00211051">
        <w:rPr>
          <w:rFonts w:asciiTheme="majorHAnsi" w:hAnsiTheme="majorHAnsi" w:cstheme="majorHAnsi"/>
        </w:rPr>
        <w:t>in</w:t>
      </w:r>
      <w:r w:rsidR="007D4191" w:rsidRPr="00211051">
        <w:rPr>
          <w:rFonts w:asciiTheme="majorHAnsi" w:hAnsiTheme="majorHAnsi" w:cstheme="majorHAnsi"/>
        </w:rPr>
        <w:t>ation</w:t>
      </w:r>
      <w:r w:rsidRPr="00211051">
        <w:rPr>
          <w:rFonts w:asciiTheme="majorHAnsi" w:hAnsiTheme="majorHAnsi" w:cstheme="majorHAnsi"/>
        </w:rPr>
        <w:t xml:space="preserve">, have also addressed this issue in their most recent reviews of </w:t>
      </w:r>
      <w:r w:rsidR="007D4191" w:rsidRPr="00211051">
        <w:rPr>
          <w:rFonts w:asciiTheme="majorHAnsi" w:hAnsiTheme="majorHAnsi" w:cstheme="majorHAnsi"/>
        </w:rPr>
        <w:t>the UAE’s</w:t>
      </w:r>
      <w:r w:rsidRPr="00211051">
        <w:rPr>
          <w:rFonts w:asciiTheme="majorHAnsi" w:hAnsiTheme="majorHAnsi" w:cstheme="majorHAnsi"/>
        </w:rPr>
        <w:t xml:space="preserve"> implementation of their respective human rights treaties. Furthermore, the issue of gender discrimination in its nationality law</w:t>
      </w:r>
      <w:r w:rsidR="00814BDD" w:rsidRPr="00211051">
        <w:rPr>
          <w:rFonts w:asciiTheme="majorHAnsi" w:hAnsiTheme="majorHAnsi" w:cstheme="majorHAnsi"/>
        </w:rPr>
        <w:t>s</w:t>
      </w:r>
      <w:r w:rsidRPr="00211051">
        <w:rPr>
          <w:rFonts w:asciiTheme="majorHAnsi" w:hAnsiTheme="majorHAnsi" w:cstheme="majorHAnsi"/>
        </w:rPr>
        <w:t xml:space="preserve"> has been addressed by the Human Rights Council and member states during </w:t>
      </w:r>
      <w:r w:rsidR="007D4191" w:rsidRPr="00211051">
        <w:rPr>
          <w:rFonts w:asciiTheme="majorHAnsi" w:hAnsiTheme="majorHAnsi" w:cstheme="majorHAnsi"/>
        </w:rPr>
        <w:t>UAE’s</w:t>
      </w:r>
      <w:r w:rsidRPr="00211051">
        <w:rPr>
          <w:rFonts w:asciiTheme="majorHAnsi" w:hAnsiTheme="majorHAnsi" w:cstheme="majorHAnsi"/>
        </w:rPr>
        <w:t xml:space="preserve"> previous Universal Periodic Review</w:t>
      </w:r>
      <w:r w:rsidR="00F0048F" w:rsidRPr="00211051">
        <w:rPr>
          <w:rFonts w:asciiTheme="majorHAnsi" w:hAnsiTheme="majorHAnsi" w:cstheme="majorHAnsi"/>
        </w:rPr>
        <w:t xml:space="preserve"> (UPR)</w:t>
      </w:r>
      <w:r w:rsidRPr="00211051">
        <w:rPr>
          <w:rFonts w:asciiTheme="majorHAnsi" w:hAnsiTheme="majorHAnsi" w:cstheme="majorHAnsi"/>
        </w:rPr>
        <w:t>.</w:t>
      </w:r>
      <w:r w:rsidR="00F0048F" w:rsidRPr="00211051">
        <w:rPr>
          <w:rFonts w:asciiTheme="majorHAnsi" w:hAnsiTheme="majorHAnsi" w:cstheme="majorHAnsi"/>
        </w:rPr>
        <w:t xml:space="preserve"> In the last UPR cycle, the UAE received three recommendations regarding the amendment and implementation of laws to guarantee equality.</w:t>
      </w:r>
      <w:r w:rsidRPr="00211051">
        <w:rPr>
          <w:rFonts w:asciiTheme="majorHAnsi" w:hAnsiTheme="majorHAnsi" w:cstheme="majorHAnsi"/>
        </w:rPr>
        <w:t xml:space="preserve"> All of these human rights mechanisms, as well as yours, have urged </w:t>
      </w:r>
      <w:r w:rsidR="007D4191" w:rsidRPr="00211051">
        <w:rPr>
          <w:rFonts w:asciiTheme="majorHAnsi" w:hAnsiTheme="majorHAnsi" w:cstheme="majorHAnsi"/>
        </w:rPr>
        <w:t>the UAE</w:t>
      </w:r>
      <w:r w:rsidRPr="00211051">
        <w:rPr>
          <w:rFonts w:asciiTheme="majorHAnsi" w:hAnsiTheme="majorHAnsi" w:cstheme="majorHAnsi"/>
        </w:rPr>
        <w:t xml:space="preserve"> to amend its </w:t>
      </w:r>
      <w:r w:rsidR="00F0048F" w:rsidRPr="00211051">
        <w:rPr>
          <w:rFonts w:asciiTheme="majorHAnsi" w:hAnsiTheme="majorHAnsi" w:cstheme="majorHAnsi"/>
        </w:rPr>
        <w:t>gender</w:t>
      </w:r>
      <w:r w:rsidR="00307253" w:rsidRPr="00211051">
        <w:rPr>
          <w:rFonts w:asciiTheme="majorHAnsi" w:hAnsiTheme="majorHAnsi" w:cstheme="majorHAnsi"/>
        </w:rPr>
        <w:t>-</w:t>
      </w:r>
      <w:r w:rsidR="00F0048F" w:rsidRPr="00211051">
        <w:rPr>
          <w:rFonts w:asciiTheme="majorHAnsi" w:hAnsiTheme="majorHAnsi" w:cstheme="majorHAnsi"/>
        </w:rPr>
        <w:t xml:space="preserve">discriminatory </w:t>
      </w:r>
      <w:r w:rsidRPr="00211051">
        <w:rPr>
          <w:rFonts w:asciiTheme="majorHAnsi" w:hAnsiTheme="majorHAnsi" w:cstheme="majorHAnsi"/>
        </w:rPr>
        <w:t>nationality law</w:t>
      </w:r>
      <w:r w:rsidR="00814BDD" w:rsidRPr="00211051">
        <w:rPr>
          <w:rFonts w:asciiTheme="majorHAnsi" w:hAnsiTheme="majorHAnsi" w:cstheme="majorHAnsi"/>
        </w:rPr>
        <w:t>s</w:t>
      </w:r>
      <w:r w:rsidRPr="00211051">
        <w:rPr>
          <w:rFonts w:asciiTheme="majorHAnsi" w:hAnsiTheme="majorHAnsi" w:cstheme="majorHAnsi"/>
        </w:rPr>
        <w:t xml:space="preserve">. </w:t>
      </w:r>
    </w:p>
    <w:p w14:paraId="34060C62" w14:textId="77777777" w:rsidR="00EA030E" w:rsidRPr="00211051" w:rsidRDefault="00EA030E" w:rsidP="00BD4374">
      <w:pPr>
        <w:pStyle w:val="NormalWeb"/>
        <w:shd w:val="clear" w:color="auto" w:fill="FFFFFF"/>
        <w:spacing w:before="0" w:beforeAutospacing="0" w:after="0" w:afterAutospacing="0" w:line="259" w:lineRule="auto"/>
        <w:rPr>
          <w:rFonts w:asciiTheme="majorHAnsi" w:eastAsia="Times New Roman,SimSun" w:hAnsiTheme="majorHAnsi" w:cstheme="majorHAnsi"/>
          <w:i/>
          <w:iCs/>
        </w:rPr>
      </w:pPr>
    </w:p>
    <w:p w14:paraId="6CCFA424" w14:textId="5151B68E" w:rsidR="00D57162" w:rsidRPr="00211051" w:rsidRDefault="00B75776" w:rsidP="00BD4374">
      <w:pPr>
        <w:pStyle w:val="NormalWeb"/>
        <w:shd w:val="clear" w:color="auto" w:fill="FFFFFF"/>
        <w:spacing w:before="0" w:beforeAutospacing="0" w:after="0" w:afterAutospacing="0" w:line="259" w:lineRule="auto"/>
        <w:rPr>
          <w:rFonts w:asciiTheme="majorHAnsi" w:hAnsiTheme="majorHAnsi" w:cstheme="majorHAnsi"/>
          <w:b/>
          <w:color w:val="000000"/>
        </w:rPr>
      </w:pPr>
      <w:r w:rsidRPr="00211051">
        <w:rPr>
          <w:rFonts w:asciiTheme="majorHAnsi" w:eastAsia="Times New Roman,SimSun" w:hAnsiTheme="majorHAnsi" w:cstheme="majorHAnsi"/>
          <w:b/>
          <w:i/>
          <w:iCs/>
        </w:rPr>
        <w:t>United Arab Emirates</w:t>
      </w:r>
      <w:r w:rsidR="00231C6B" w:rsidRPr="00211051">
        <w:rPr>
          <w:rFonts w:asciiTheme="majorHAnsi" w:eastAsia="Times New Roman,SimSun" w:hAnsiTheme="majorHAnsi" w:cstheme="majorHAnsi"/>
          <w:b/>
          <w:i/>
          <w:iCs/>
        </w:rPr>
        <w:t>’</w:t>
      </w:r>
      <w:r w:rsidR="00EA030E" w:rsidRPr="00211051">
        <w:rPr>
          <w:rFonts w:asciiTheme="majorHAnsi" w:eastAsia="Times New Roman,SimSun" w:hAnsiTheme="majorHAnsi" w:cstheme="majorHAnsi"/>
          <w:b/>
          <w:i/>
          <w:iCs/>
        </w:rPr>
        <w:t xml:space="preserve"> Gender Discriminatory </w:t>
      </w:r>
      <w:r w:rsidR="00D57162" w:rsidRPr="00211051">
        <w:rPr>
          <w:rFonts w:asciiTheme="majorHAnsi" w:eastAsia="Times New Roman,SimSun" w:hAnsiTheme="majorHAnsi" w:cstheme="majorHAnsi"/>
          <w:b/>
          <w:i/>
          <w:iCs/>
        </w:rPr>
        <w:t xml:space="preserve">Nationality </w:t>
      </w:r>
      <w:r w:rsidR="00EA030E" w:rsidRPr="00211051">
        <w:rPr>
          <w:rFonts w:asciiTheme="majorHAnsi" w:eastAsia="Times New Roman,SimSun" w:hAnsiTheme="majorHAnsi" w:cstheme="majorHAnsi"/>
          <w:b/>
          <w:i/>
          <w:iCs/>
        </w:rPr>
        <w:t>Law</w:t>
      </w:r>
      <w:r w:rsidR="00D57162" w:rsidRPr="00211051">
        <w:rPr>
          <w:rFonts w:asciiTheme="majorHAnsi" w:eastAsia="Times New Roman,SimSun" w:hAnsiTheme="majorHAnsi" w:cstheme="majorHAnsi"/>
          <w:b/>
          <w:i/>
          <w:iCs/>
        </w:rPr>
        <w:t xml:space="preserve">               </w:t>
      </w:r>
      <w:r w:rsidR="00D57162" w:rsidRPr="00211051">
        <w:rPr>
          <w:rFonts w:asciiTheme="majorHAnsi" w:eastAsia="Times New Roman,SimSun" w:hAnsiTheme="majorHAnsi" w:cstheme="majorHAnsi"/>
          <w:b/>
        </w:rPr>
        <w:t xml:space="preserve"> </w:t>
      </w:r>
    </w:p>
    <w:p w14:paraId="78FA2F4A" w14:textId="6C872849" w:rsidR="00B75776" w:rsidRPr="00211051" w:rsidRDefault="00B75776" w:rsidP="00BD4374">
      <w:pPr>
        <w:spacing w:line="259" w:lineRule="auto"/>
        <w:rPr>
          <w:rFonts w:asciiTheme="majorHAnsi" w:hAnsiTheme="majorHAnsi" w:cstheme="majorHAnsi"/>
        </w:rPr>
      </w:pPr>
      <w:r w:rsidRPr="00211051">
        <w:rPr>
          <w:rFonts w:asciiTheme="majorHAnsi" w:hAnsiTheme="majorHAnsi" w:cstheme="majorHAnsi"/>
        </w:rPr>
        <w:t>The UAE</w:t>
      </w:r>
      <w:r w:rsidR="00766369" w:rsidRPr="00211051">
        <w:rPr>
          <w:rFonts w:asciiTheme="majorHAnsi" w:hAnsiTheme="majorHAnsi" w:cstheme="majorHAnsi"/>
        </w:rPr>
        <w:t xml:space="preserve"> is one of 25 countries globally that deny women the right to con</w:t>
      </w:r>
      <w:r w:rsidR="00AF2A29" w:rsidRPr="00211051">
        <w:rPr>
          <w:rFonts w:asciiTheme="majorHAnsi" w:hAnsiTheme="majorHAnsi" w:cstheme="majorHAnsi"/>
        </w:rPr>
        <w:t>f</w:t>
      </w:r>
      <w:r w:rsidR="00766369" w:rsidRPr="00211051">
        <w:rPr>
          <w:rFonts w:asciiTheme="majorHAnsi" w:hAnsiTheme="majorHAnsi" w:cstheme="majorHAnsi"/>
        </w:rPr>
        <w:t xml:space="preserve">er nationality on their children on an equal basis with men, and one of </w:t>
      </w:r>
      <w:r w:rsidR="00231C6B" w:rsidRPr="00211051">
        <w:rPr>
          <w:rFonts w:asciiTheme="majorHAnsi" w:hAnsiTheme="majorHAnsi" w:cstheme="majorHAnsi"/>
        </w:rPr>
        <w:t>approximately</w:t>
      </w:r>
      <w:r w:rsidR="00766369" w:rsidRPr="00211051">
        <w:rPr>
          <w:rFonts w:asciiTheme="majorHAnsi" w:hAnsiTheme="majorHAnsi" w:cstheme="majorHAnsi"/>
        </w:rPr>
        <w:t xml:space="preserve"> fifty countries to deny women the </w:t>
      </w:r>
      <w:r w:rsidR="00766369" w:rsidRPr="00211051">
        <w:rPr>
          <w:rFonts w:asciiTheme="majorHAnsi" w:hAnsiTheme="majorHAnsi" w:cstheme="majorHAnsi"/>
        </w:rPr>
        <w:lastRenderedPageBreak/>
        <w:t xml:space="preserve">right to acquire, change, or retain their nationality or confer nationality on spouses on an equal basis with men. </w:t>
      </w:r>
      <w:r w:rsidRPr="00211051">
        <w:rPr>
          <w:rFonts w:asciiTheme="majorHAnsi" w:hAnsiTheme="majorHAnsi" w:cstheme="majorHAnsi"/>
          <w:color w:val="3F3F3F"/>
        </w:rPr>
        <w:t xml:space="preserve">Article </w:t>
      </w:r>
      <w:r w:rsidRPr="00211051">
        <w:rPr>
          <w:rFonts w:asciiTheme="majorHAnsi" w:hAnsiTheme="majorHAnsi" w:cstheme="majorHAnsi"/>
        </w:rPr>
        <w:t>2 of the United Arab Emirates: Federal Law No. 17 for 1972 Concerning Nationality</w:t>
      </w:r>
      <w:r w:rsidR="00307253" w:rsidRPr="00211051">
        <w:rPr>
          <w:rStyle w:val="FootnoteReference"/>
          <w:rFonts w:asciiTheme="majorHAnsi" w:hAnsiTheme="majorHAnsi" w:cstheme="majorHAnsi"/>
        </w:rPr>
        <w:footnoteReference w:id="1"/>
      </w:r>
      <w:r w:rsidRPr="00211051">
        <w:rPr>
          <w:rFonts w:asciiTheme="majorHAnsi" w:hAnsiTheme="majorHAnsi" w:cstheme="majorHAnsi"/>
        </w:rPr>
        <w:t xml:space="preserve"> states that a citizen is: </w:t>
      </w:r>
    </w:p>
    <w:p w14:paraId="30F51BDA" w14:textId="77777777" w:rsidR="00B75776" w:rsidRPr="00211051" w:rsidRDefault="00B75776" w:rsidP="00BD4374">
      <w:pPr>
        <w:pStyle w:val="ListParagraph"/>
        <w:spacing w:line="259" w:lineRule="auto"/>
        <w:rPr>
          <w:rFonts w:asciiTheme="majorHAnsi" w:hAnsiTheme="majorHAnsi" w:cstheme="majorHAnsi"/>
        </w:rPr>
      </w:pPr>
    </w:p>
    <w:p w14:paraId="463A3850" w14:textId="77777777" w:rsidR="00B75776" w:rsidRPr="00211051" w:rsidRDefault="00B75776" w:rsidP="00BD4374">
      <w:pPr>
        <w:pStyle w:val="ListParagraph"/>
        <w:spacing w:line="259" w:lineRule="auto"/>
        <w:rPr>
          <w:rFonts w:asciiTheme="majorHAnsi" w:hAnsiTheme="majorHAnsi" w:cstheme="majorHAnsi"/>
          <w:i/>
          <w:iCs/>
        </w:rPr>
      </w:pPr>
      <w:r w:rsidRPr="00211051">
        <w:rPr>
          <w:rFonts w:asciiTheme="majorHAnsi" w:hAnsiTheme="majorHAnsi" w:cstheme="majorHAnsi"/>
          <w:i/>
          <w:iCs/>
        </w:rPr>
        <w:t>B. Anyone born in the country or abroad to a father who is a citizen by law.</w:t>
      </w:r>
    </w:p>
    <w:p w14:paraId="428F1ECB" w14:textId="77777777" w:rsidR="00B75776" w:rsidRPr="00211051" w:rsidRDefault="00B75776" w:rsidP="00BD4374">
      <w:pPr>
        <w:pStyle w:val="ListParagraph"/>
        <w:spacing w:line="259" w:lineRule="auto"/>
        <w:rPr>
          <w:rFonts w:asciiTheme="majorHAnsi" w:hAnsiTheme="majorHAnsi" w:cstheme="majorHAnsi"/>
          <w:i/>
          <w:iCs/>
        </w:rPr>
      </w:pPr>
      <w:r w:rsidRPr="00211051">
        <w:rPr>
          <w:rFonts w:asciiTheme="majorHAnsi" w:hAnsiTheme="majorHAnsi" w:cstheme="majorHAnsi"/>
          <w:i/>
          <w:iCs/>
        </w:rPr>
        <w:t xml:space="preserve">C. Anyone born in the country or abroad to a mother who is a citizen by law, whose fatherhood is not substantiated. </w:t>
      </w:r>
    </w:p>
    <w:p w14:paraId="079D2166" w14:textId="77777777" w:rsidR="00B75776" w:rsidRPr="00211051" w:rsidRDefault="00B75776" w:rsidP="00BD4374">
      <w:pPr>
        <w:pStyle w:val="ListParagraph"/>
        <w:spacing w:line="259" w:lineRule="auto"/>
        <w:rPr>
          <w:rFonts w:asciiTheme="majorHAnsi" w:hAnsiTheme="majorHAnsi" w:cstheme="majorHAnsi"/>
          <w:i/>
          <w:iCs/>
        </w:rPr>
      </w:pPr>
      <w:r w:rsidRPr="00211051">
        <w:rPr>
          <w:rFonts w:asciiTheme="majorHAnsi" w:hAnsiTheme="majorHAnsi" w:cstheme="majorHAnsi"/>
          <w:i/>
          <w:iCs/>
        </w:rPr>
        <w:t>D. Anyone born in the country or abroad to a mother who is a citizen by law, whose father is unknown or without nationality.</w:t>
      </w:r>
    </w:p>
    <w:p w14:paraId="3216FCC1" w14:textId="77777777" w:rsidR="00B75776" w:rsidRPr="00211051" w:rsidRDefault="00B75776" w:rsidP="00BD4374">
      <w:pPr>
        <w:pStyle w:val="ListParagraph"/>
        <w:spacing w:line="259" w:lineRule="auto"/>
        <w:rPr>
          <w:rFonts w:asciiTheme="majorHAnsi" w:hAnsiTheme="majorHAnsi" w:cstheme="majorHAnsi"/>
        </w:rPr>
      </w:pPr>
    </w:p>
    <w:p w14:paraId="593A970F" w14:textId="1BD8A8C1" w:rsidR="00B75776" w:rsidRPr="00211051" w:rsidRDefault="00B75776" w:rsidP="00BD4374">
      <w:pPr>
        <w:shd w:val="clear" w:color="auto" w:fill="FFFFFF"/>
        <w:spacing w:after="240" w:line="259" w:lineRule="auto"/>
        <w:rPr>
          <w:rFonts w:asciiTheme="majorHAnsi" w:hAnsiTheme="majorHAnsi" w:cstheme="majorHAnsi"/>
          <w:color w:val="000000"/>
        </w:rPr>
      </w:pPr>
      <w:r w:rsidRPr="00211051">
        <w:rPr>
          <w:rFonts w:asciiTheme="majorHAnsi" w:hAnsiTheme="majorHAnsi" w:cstheme="majorHAnsi"/>
        </w:rPr>
        <w:t xml:space="preserve">In 2017, </w:t>
      </w:r>
      <w:r w:rsidR="00F0048F" w:rsidRPr="00211051">
        <w:rPr>
          <w:rFonts w:asciiTheme="majorHAnsi" w:hAnsiTheme="majorHAnsi" w:cstheme="majorHAnsi"/>
        </w:rPr>
        <w:t xml:space="preserve">partial </w:t>
      </w:r>
      <w:r w:rsidRPr="00211051">
        <w:rPr>
          <w:rFonts w:asciiTheme="majorHAnsi" w:hAnsiTheme="majorHAnsi" w:cstheme="majorHAnsi"/>
        </w:rPr>
        <w:t xml:space="preserve">reforms were enacted </w:t>
      </w:r>
      <w:r w:rsidR="00231C6B" w:rsidRPr="00211051">
        <w:rPr>
          <w:rFonts w:asciiTheme="majorHAnsi" w:hAnsiTheme="majorHAnsi" w:cstheme="majorHAnsi"/>
        </w:rPr>
        <w:t xml:space="preserve">by decree </w:t>
      </w:r>
      <w:r w:rsidRPr="00211051">
        <w:rPr>
          <w:rFonts w:asciiTheme="majorHAnsi" w:hAnsiTheme="majorHAnsi" w:cstheme="majorHAnsi"/>
        </w:rPr>
        <w:t xml:space="preserve">permitting </w:t>
      </w:r>
      <w:r w:rsidR="005D2633" w:rsidRPr="00211051">
        <w:rPr>
          <w:rFonts w:asciiTheme="majorHAnsi" w:hAnsiTheme="majorHAnsi" w:cstheme="majorHAnsi"/>
        </w:rPr>
        <w:t xml:space="preserve">the naturalization of the children of </w:t>
      </w:r>
      <w:r w:rsidRPr="00211051">
        <w:rPr>
          <w:rFonts w:asciiTheme="majorHAnsi" w:hAnsiTheme="majorHAnsi" w:cstheme="majorHAnsi"/>
        </w:rPr>
        <w:t xml:space="preserve">Emirati women </w:t>
      </w:r>
      <w:r w:rsidR="005D2633" w:rsidRPr="00211051">
        <w:rPr>
          <w:rFonts w:asciiTheme="majorHAnsi" w:hAnsiTheme="majorHAnsi" w:cstheme="majorHAnsi"/>
        </w:rPr>
        <w:t xml:space="preserve">and </w:t>
      </w:r>
      <w:r w:rsidR="00231C6B" w:rsidRPr="00211051">
        <w:rPr>
          <w:rFonts w:asciiTheme="majorHAnsi" w:hAnsiTheme="majorHAnsi" w:cstheme="majorHAnsi"/>
        </w:rPr>
        <w:t xml:space="preserve">non-citizen </w:t>
      </w:r>
      <w:r w:rsidR="005D2633" w:rsidRPr="00211051">
        <w:rPr>
          <w:rFonts w:asciiTheme="majorHAnsi" w:hAnsiTheme="majorHAnsi" w:cstheme="majorHAnsi"/>
        </w:rPr>
        <w:t>fathers</w:t>
      </w:r>
      <w:r w:rsidRPr="00211051">
        <w:rPr>
          <w:rFonts w:asciiTheme="majorHAnsi" w:hAnsiTheme="majorHAnsi" w:cstheme="majorHAnsi"/>
        </w:rPr>
        <w:t xml:space="preserve"> </w:t>
      </w:r>
      <w:r w:rsidR="005D2633" w:rsidRPr="00211051">
        <w:rPr>
          <w:rFonts w:asciiTheme="majorHAnsi" w:hAnsiTheme="majorHAnsi" w:cstheme="majorHAnsi"/>
        </w:rPr>
        <w:t>after the child ha</w:t>
      </w:r>
      <w:r w:rsidR="00A31ECC" w:rsidRPr="00211051">
        <w:rPr>
          <w:rFonts w:asciiTheme="majorHAnsi" w:hAnsiTheme="majorHAnsi" w:cstheme="majorHAnsi"/>
        </w:rPr>
        <w:t>s</w:t>
      </w:r>
      <w:r w:rsidR="005D2633" w:rsidRPr="00211051">
        <w:rPr>
          <w:rFonts w:asciiTheme="majorHAnsi" w:hAnsiTheme="majorHAnsi" w:cstheme="majorHAnsi"/>
        </w:rPr>
        <w:t xml:space="preserve"> reached</w:t>
      </w:r>
      <w:r w:rsidRPr="00211051">
        <w:rPr>
          <w:rFonts w:asciiTheme="majorHAnsi" w:hAnsiTheme="majorHAnsi" w:cstheme="majorHAnsi"/>
        </w:rPr>
        <w:t xml:space="preserve"> six years of age </w:t>
      </w:r>
      <w:r w:rsidRPr="00211051">
        <w:rPr>
          <w:rFonts w:asciiTheme="majorHAnsi" w:hAnsiTheme="majorHAnsi" w:cstheme="majorHAnsi"/>
          <w:iCs/>
        </w:rPr>
        <w:t xml:space="preserve">if the </w:t>
      </w:r>
      <w:r w:rsidR="005D2633" w:rsidRPr="00211051">
        <w:rPr>
          <w:rFonts w:asciiTheme="majorHAnsi" w:hAnsiTheme="majorHAnsi" w:cstheme="majorHAnsi"/>
          <w:iCs/>
        </w:rPr>
        <w:t>child</w:t>
      </w:r>
      <w:r w:rsidRPr="00211051">
        <w:rPr>
          <w:rFonts w:asciiTheme="majorHAnsi" w:hAnsiTheme="majorHAnsi" w:cstheme="majorHAnsi"/>
          <w:iCs/>
        </w:rPr>
        <w:t xml:space="preserve"> </w:t>
      </w:r>
      <w:r w:rsidR="005D2633" w:rsidRPr="00211051">
        <w:rPr>
          <w:rFonts w:asciiTheme="majorHAnsi" w:hAnsiTheme="majorHAnsi" w:cstheme="majorHAnsi"/>
          <w:iCs/>
        </w:rPr>
        <w:t>meets</w:t>
      </w:r>
      <w:r w:rsidRPr="00211051">
        <w:rPr>
          <w:rFonts w:asciiTheme="majorHAnsi" w:hAnsiTheme="majorHAnsi" w:cstheme="majorHAnsi"/>
          <w:iCs/>
        </w:rPr>
        <w:t xml:space="preserve"> conditions</w:t>
      </w:r>
      <w:r w:rsidR="00231C6B" w:rsidRPr="00211051">
        <w:rPr>
          <w:rFonts w:asciiTheme="majorHAnsi" w:hAnsiTheme="majorHAnsi" w:cstheme="majorHAnsi"/>
          <w:iCs/>
        </w:rPr>
        <w:t xml:space="preserve"> included in the Implementation Regulation</w:t>
      </w:r>
      <w:r w:rsidRPr="00211051">
        <w:rPr>
          <w:rFonts w:asciiTheme="majorHAnsi" w:hAnsiTheme="majorHAnsi" w:cstheme="majorHAnsi"/>
        </w:rPr>
        <w:t>.</w:t>
      </w:r>
      <w:r w:rsidR="00307253" w:rsidRPr="00211051">
        <w:rPr>
          <w:rStyle w:val="FootnoteReference"/>
          <w:rFonts w:asciiTheme="majorHAnsi" w:hAnsiTheme="majorHAnsi" w:cstheme="majorHAnsi"/>
        </w:rPr>
        <w:footnoteReference w:id="2"/>
      </w:r>
      <w:r w:rsidR="00231C6B" w:rsidRPr="00211051">
        <w:rPr>
          <w:rFonts w:asciiTheme="majorHAnsi" w:hAnsiTheme="majorHAnsi" w:cstheme="majorHAnsi"/>
        </w:rPr>
        <w:t xml:space="preserve"> </w:t>
      </w:r>
      <w:r w:rsidR="00307253" w:rsidRPr="00211051">
        <w:rPr>
          <w:rFonts w:asciiTheme="majorHAnsi" w:hAnsiTheme="majorHAnsi" w:cstheme="majorHAnsi"/>
        </w:rPr>
        <w:t>While a step forward, t</w:t>
      </w:r>
      <w:r w:rsidRPr="00211051">
        <w:rPr>
          <w:rFonts w:asciiTheme="majorHAnsi" w:hAnsiTheme="majorHAnsi" w:cstheme="majorHAnsi"/>
        </w:rPr>
        <w:t xml:space="preserve">his </w:t>
      </w:r>
      <w:r w:rsidR="00307253" w:rsidRPr="00211051">
        <w:rPr>
          <w:rFonts w:asciiTheme="majorHAnsi" w:hAnsiTheme="majorHAnsi" w:cstheme="majorHAnsi"/>
        </w:rPr>
        <w:t xml:space="preserve">still </w:t>
      </w:r>
      <w:r w:rsidR="00231C6B" w:rsidRPr="00211051">
        <w:rPr>
          <w:rFonts w:asciiTheme="majorHAnsi" w:hAnsiTheme="majorHAnsi" w:cstheme="majorHAnsi"/>
        </w:rPr>
        <w:t>contravenes</w:t>
      </w:r>
      <w:r w:rsidRPr="00211051">
        <w:rPr>
          <w:rFonts w:asciiTheme="majorHAnsi" w:hAnsiTheme="majorHAnsi" w:cstheme="majorHAnsi"/>
        </w:rPr>
        <w:t xml:space="preserve"> international human rights law, as </w:t>
      </w:r>
      <w:r w:rsidR="00BD4374" w:rsidRPr="00211051">
        <w:rPr>
          <w:rFonts w:asciiTheme="majorHAnsi" w:hAnsiTheme="majorHAnsi" w:cstheme="majorHAnsi"/>
        </w:rPr>
        <w:t>the law continues to discriminate</w:t>
      </w:r>
      <w:r w:rsidRPr="00211051">
        <w:rPr>
          <w:rFonts w:asciiTheme="majorHAnsi" w:hAnsiTheme="majorHAnsi" w:cstheme="majorHAnsi"/>
        </w:rPr>
        <w:t xml:space="preserve"> </w:t>
      </w:r>
      <w:r w:rsidR="00BD4374" w:rsidRPr="00211051">
        <w:rPr>
          <w:rFonts w:asciiTheme="majorHAnsi" w:hAnsiTheme="majorHAnsi" w:cstheme="majorHAnsi"/>
        </w:rPr>
        <w:t>against women</w:t>
      </w:r>
      <w:r w:rsidR="00633C36" w:rsidRPr="00211051">
        <w:rPr>
          <w:rFonts w:asciiTheme="majorHAnsi" w:hAnsiTheme="majorHAnsi" w:cstheme="majorHAnsi"/>
        </w:rPr>
        <w:t xml:space="preserve"> by denying </w:t>
      </w:r>
      <w:r w:rsidR="00A31ECC" w:rsidRPr="00211051">
        <w:rPr>
          <w:rFonts w:asciiTheme="majorHAnsi" w:hAnsiTheme="majorHAnsi" w:cstheme="majorHAnsi"/>
        </w:rPr>
        <w:t>them the equal right to confer nationality upon their children</w:t>
      </w:r>
      <w:r w:rsidR="00307253" w:rsidRPr="00211051">
        <w:rPr>
          <w:rFonts w:asciiTheme="majorHAnsi" w:hAnsiTheme="majorHAnsi" w:cstheme="majorHAnsi"/>
        </w:rPr>
        <w:t xml:space="preserve"> and spouses</w:t>
      </w:r>
      <w:r w:rsidRPr="00211051">
        <w:rPr>
          <w:rFonts w:asciiTheme="majorHAnsi" w:hAnsiTheme="majorHAnsi" w:cstheme="majorHAnsi"/>
        </w:rPr>
        <w:t>. Furthermore, a mother’s transmission of nationality according to this decree is neither automatic nor non-discretionary, as required under international standards.</w:t>
      </w:r>
      <w:r w:rsidRPr="00211051">
        <w:rPr>
          <w:rStyle w:val="FootnoteReference"/>
          <w:rFonts w:asciiTheme="majorHAnsi" w:eastAsia="Malgun Gothic" w:hAnsiTheme="majorHAnsi" w:cstheme="majorHAnsi"/>
          <w:sz w:val="24"/>
        </w:rPr>
        <w:footnoteReference w:id="3"/>
      </w:r>
      <w:r w:rsidR="00307253" w:rsidRPr="00211051">
        <w:rPr>
          <w:rFonts w:asciiTheme="majorHAnsi" w:hAnsiTheme="majorHAnsi" w:cstheme="majorHAnsi"/>
        </w:rPr>
        <w:t xml:space="preserve"> Furthermore, the UAE Constitution contains no provisions regarding prohibition of discrimination on the basis of gender.</w:t>
      </w:r>
    </w:p>
    <w:p w14:paraId="37C1F976" w14:textId="72D50F83" w:rsidR="00B75776" w:rsidRPr="00211051" w:rsidRDefault="00B75776" w:rsidP="00BD4374">
      <w:pPr>
        <w:spacing w:line="259" w:lineRule="auto"/>
        <w:rPr>
          <w:rFonts w:asciiTheme="majorHAnsi" w:hAnsiTheme="majorHAnsi" w:cstheme="majorHAnsi"/>
          <w:b/>
          <w:bCs/>
        </w:rPr>
      </w:pPr>
      <w:r w:rsidRPr="00211051">
        <w:rPr>
          <w:rFonts w:asciiTheme="majorHAnsi" w:hAnsiTheme="majorHAnsi" w:cstheme="majorHAnsi"/>
        </w:rPr>
        <w:t xml:space="preserve">As Emirati nationality law does not have a </w:t>
      </w:r>
      <w:r w:rsidR="00A31ECC" w:rsidRPr="00211051">
        <w:rPr>
          <w:rFonts w:asciiTheme="majorHAnsi" w:hAnsiTheme="majorHAnsi" w:cstheme="majorHAnsi"/>
        </w:rPr>
        <w:t xml:space="preserve">general </w:t>
      </w:r>
      <w:r w:rsidRPr="00211051">
        <w:rPr>
          <w:rFonts w:asciiTheme="majorHAnsi" w:hAnsiTheme="majorHAnsi" w:cstheme="majorHAnsi"/>
        </w:rPr>
        <w:t>provision that would entitle a child born on its territory a nationality if it would otherwise be born stateless, the discriminatory nature of Emirati nationality law also puts children at heightened risk of statelessness</w:t>
      </w:r>
      <w:r w:rsidR="00A31ECC" w:rsidRPr="00211051">
        <w:rPr>
          <w:rFonts w:asciiTheme="majorHAnsi" w:hAnsiTheme="majorHAnsi" w:cstheme="majorHAnsi"/>
        </w:rPr>
        <w:t xml:space="preserve"> when a child cannot obtain the nationality of the father</w:t>
      </w:r>
      <w:r w:rsidRPr="00211051">
        <w:rPr>
          <w:rFonts w:asciiTheme="majorHAnsi" w:hAnsiTheme="majorHAnsi" w:cstheme="majorHAnsi"/>
        </w:rPr>
        <w:t>.</w:t>
      </w:r>
      <w:r w:rsidRPr="00211051">
        <w:rPr>
          <w:rStyle w:val="FootnoteReference"/>
          <w:rFonts w:asciiTheme="majorHAnsi" w:eastAsia="Malgun Gothic" w:hAnsiTheme="majorHAnsi" w:cstheme="majorHAnsi"/>
          <w:sz w:val="24"/>
        </w:rPr>
        <w:footnoteReference w:id="4"/>
      </w:r>
      <w:r w:rsidRPr="00211051">
        <w:rPr>
          <w:rFonts w:asciiTheme="majorHAnsi" w:hAnsiTheme="majorHAnsi" w:cstheme="majorHAnsi"/>
        </w:rPr>
        <w:t xml:space="preserve">  With a substantial number of stateless individuals in the country, this is a particular problem</w:t>
      </w:r>
      <w:r w:rsidR="00A31ECC" w:rsidRPr="00211051">
        <w:rPr>
          <w:rFonts w:asciiTheme="majorHAnsi" w:hAnsiTheme="majorHAnsi" w:cstheme="majorHAnsi"/>
        </w:rPr>
        <w:t>. I</w:t>
      </w:r>
      <w:r w:rsidRPr="00211051">
        <w:rPr>
          <w:rFonts w:asciiTheme="majorHAnsi" w:hAnsiTheme="majorHAnsi" w:cstheme="majorHAnsi"/>
        </w:rPr>
        <w:t xml:space="preserve">f the father is stateless, the child will then become stateless regardless of the status of the mother.  In order to transfer nationality to their children, unless the father is stateless, </w:t>
      </w:r>
      <w:r w:rsidR="00A31ECC" w:rsidRPr="00211051">
        <w:rPr>
          <w:rFonts w:asciiTheme="majorHAnsi" w:hAnsiTheme="majorHAnsi" w:cstheme="majorHAnsi"/>
        </w:rPr>
        <w:t>the mother has</w:t>
      </w:r>
      <w:r w:rsidRPr="00211051">
        <w:rPr>
          <w:rFonts w:asciiTheme="majorHAnsi" w:hAnsiTheme="majorHAnsi" w:cstheme="majorHAnsi"/>
        </w:rPr>
        <w:t xml:space="preserve"> to actively demonstrate that the father is unknown or that fatherhood was not substantiated, which can be very difficult to do, especially in a culture where having children outside of wedlock is often not accepted and may lead to stigmati</w:t>
      </w:r>
      <w:r w:rsidR="00A31ECC" w:rsidRPr="00211051">
        <w:rPr>
          <w:rFonts w:asciiTheme="majorHAnsi" w:hAnsiTheme="majorHAnsi" w:cstheme="majorHAnsi"/>
        </w:rPr>
        <w:t>z</w:t>
      </w:r>
      <w:r w:rsidRPr="00211051">
        <w:rPr>
          <w:rFonts w:asciiTheme="majorHAnsi" w:hAnsiTheme="majorHAnsi" w:cstheme="majorHAnsi"/>
        </w:rPr>
        <w:t>ation</w:t>
      </w:r>
      <w:r w:rsidR="007076C3" w:rsidRPr="00211051">
        <w:rPr>
          <w:rFonts w:asciiTheme="majorHAnsi" w:hAnsiTheme="majorHAnsi" w:cstheme="majorHAnsi"/>
        </w:rPr>
        <w:t xml:space="preserve"> and even criminal charges</w:t>
      </w:r>
      <w:r w:rsidRPr="00211051">
        <w:rPr>
          <w:rFonts w:asciiTheme="majorHAnsi" w:hAnsiTheme="majorHAnsi" w:cstheme="majorHAnsi"/>
        </w:rPr>
        <w:t xml:space="preserve">, further exacerbating the risk that their children will remain stateless.  Therefore, even though the child in theory </w:t>
      </w:r>
      <w:r w:rsidR="007076C3" w:rsidRPr="00211051">
        <w:rPr>
          <w:rFonts w:asciiTheme="majorHAnsi" w:hAnsiTheme="majorHAnsi" w:cstheme="majorHAnsi"/>
        </w:rPr>
        <w:t>may be able to acquire</w:t>
      </w:r>
      <w:r w:rsidRPr="00211051">
        <w:rPr>
          <w:rFonts w:asciiTheme="majorHAnsi" w:hAnsiTheme="majorHAnsi" w:cstheme="majorHAnsi"/>
        </w:rPr>
        <w:t xml:space="preserve"> nationality at </w:t>
      </w:r>
      <w:r w:rsidR="007076C3" w:rsidRPr="00211051">
        <w:rPr>
          <w:rFonts w:asciiTheme="majorHAnsi" w:hAnsiTheme="majorHAnsi" w:cstheme="majorHAnsi"/>
        </w:rPr>
        <w:t>six years old</w:t>
      </w:r>
      <w:r w:rsidRPr="00211051">
        <w:rPr>
          <w:rFonts w:asciiTheme="majorHAnsi" w:hAnsiTheme="majorHAnsi" w:cstheme="majorHAnsi"/>
        </w:rPr>
        <w:t xml:space="preserve">, </w:t>
      </w:r>
      <w:r w:rsidR="007076C3" w:rsidRPr="00211051">
        <w:rPr>
          <w:rFonts w:asciiTheme="majorHAnsi" w:hAnsiTheme="majorHAnsi" w:cstheme="majorHAnsi"/>
        </w:rPr>
        <w:t>they may have been rendered</w:t>
      </w:r>
      <w:r w:rsidRPr="00211051">
        <w:rPr>
          <w:rFonts w:asciiTheme="majorHAnsi" w:hAnsiTheme="majorHAnsi" w:cstheme="majorHAnsi"/>
        </w:rPr>
        <w:t xml:space="preserve"> stateless </w:t>
      </w:r>
      <w:r w:rsidR="007076C3" w:rsidRPr="00211051">
        <w:rPr>
          <w:rFonts w:asciiTheme="majorHAnsi" w:hAnsiTheme="majorHAnsi" w:cstheme="majorHAnsi"/>
        </w:rPr>
        <w:t>since birth</w:t>
      </w:r>
      <w:r w:rsidR="00A31ECC" w:rsidRPr="00211051">
        <w:rPr>
          <w:rFonts w:asciiTheme="majorHAnsi" w:hAnsiTheme="majorHAnsi" w:cstheme="majorHAnsi"/>
        </w:rPr>
        <w:t>, without access</w:t>
      </w:r>
      <w:r w:rsidR="007076C3" w:rsidRPr="00211051">
        <w:rPr>
          <w:rFonts w:asciiTheme="majorHAnsi" w:hAnsiTheme="majorHAnsi" w:cstheme="majorHAnsi"/>
        </w:rPr>
        <w:t xml:space="preserve"> to fundamental human rights including freedom of movement</w:t>
      </w:r>
      <w:r w:rsidRPr="00211051">
        <w:rPr>
          <w:rFonts w:asciiTheme="majorHAnsi" w:hAnsiTheme="majorHAnsi" w:cstheme="majorHAnsi"/>
        </w:rPr>
        <w:t xml:space="preserve">.   </w:t>
      </w:r>
    </w:p>
    <w:p w14:paraId="278BE3A2" w14:textId="77777777" w:rsidR="00B75776" w:rsidRPr="00211051" w:rsidRDefault="00B75776" w:rsidP="00BD4374">
      <w:pPr>
        <w:pStyle w:val="ListParagraph"/>
        <w:spacing w:line="259" w:lineRule="auto"/>
        <w:rPr>
          <w:rFonts w:asciiTheme="majorHAnsi" w:hAnsiTheme="majorHAnsi" w:cstheme="majorHAnsi"/>
          <w:b/>
          <w:bCs/>
        </w:rPr>
      </w:pPr>
    </w:p>
    <w:p w14:paraId="3CA8876F" w14:textId="39AA58A7" w:rsidR="00B75776" w:rsidRPr="00211051" w:rsidRDefault="00B75776" w:rsidP="00BD4374">
      <w:pPr>
        <w:spacing w:line="259" w:lineRule="auto"/>
        <w:rPr>
          <w:rFonts w:asciiTheme="majorHAnsi" w:hAnsiTheme="majorHAnsi" w:cstheme="majorHAnsi"/>
        </w:rPr>
      </w:pPr>
      <w:r w:rsidRPr="00211051">
        <w:rPr>
          <w:rFonts w:asciiTheme="majorHAnsi" w:hAnsiTheme="majorHAnsi" w:cstheme="majorHAnsi"/>
        </w:rPr>
        <w:t>The Nationality Law also discriminates on the basis of gender with regard to the conferral of nationality on non-</w:t>
      </w:r>
      <w:r w:rsidR="00BD4374" w:rsidRPr="00211051">
        <w:rPr>
          <w:rFonts w:asciiTheme="majorHAnsi" w:hAnsiTheme="majorHAnsi" w:cstheme="majorHAnsi"/>
        </w:rPr>
        <w:t>citizen</w:t>
      </w:r>
      <w:r w:rsidRPr="00211051">
        <w:rPr>
          <w:rFonts w:asciiTheme="majorHAnsi" w:hAnsiTheme="majorHAnsi" w:cstheme="majorHAnsi"/>
        </w:rPr>
        <w:t xml:space="preserve"> spouses. Article 3 of the Nationality Law enshrines the right of Emirati men to confer nationality on foreign spouses, a right that is denied </w:t>
      </w:r>
      <w:r w:rsidR="00A31ECC" w:rsidRPr="00211051">
        <w:rPr>
          <w:rFonts w:asciiTheme="majorHAnsi" w:hAnsiTheme="majorHAnsi" w:cstheme="majorHAnsi"/>
        </w:rPr>
        <w:t xml:space="preserve">to </w:t>
      </w:r>
      <w:r w:rsidRPr="00211051">
        <w:rPr>
          <w:rFonts w:asciiTheme="majorHAnsi" w:hAnsiTheme="majorHAnsi" w:cstheme="majorHAnsi"/>
        </w:rPr>
        <w:t>Emirati women.</w:t>
      </w:r>
      <w:r w:rsidRPr="00211051">
        <w:rPr>
          <w:rStyle w:val="FootnoteReference"/>
          <w:rFonts w:asciiTheme="majorHAnsi" w:eastAsia="Malgun Gothic" w:hAnsiTheme="majorHAnsi" w:cstheme="majorHAnsi"/>
          <w:sz w:val="24"/>
        </w:rPr>
        <w:footnoteReference w:id="5"/>
      </w:r>
      <w:r w:rsidRPr="00211051">
        <w:rPr>
          <w:rFonts w:asciiTheme="majorHAnsi" w:hAnsiTheme="majorHAnsi" w:cstheme="majorHAnsi"/>
        </w:rPr>
        <w:t xml:space="preserve"> Women’s inability </w:t>
      </w:r>
      <w:r w:rsidRPr="00211051">
        <w:rPr>
          <w:rFonts w:asciiTheme="majorHAnsi" w:hAnsiTheme="majorHAnsi" w:cstheme="majorHAnsi"/>
        </w:rPr>
        <w:lastRenderedPageBreak/>
        <w:t xml:space="preserve">to equally confer nationality on spouses </w:t>
      </w:r>
      <w:r w:rsidR="006D459A" w:rsidRPr="00211051">
        <w:rPr>
          <w:rFonts w:asciiTheme="majorHAnsi" w:hAnsiTheme="majorHAnsi" w:cstheme="majorHAnsi"/>
        </w:rPr>
        <w:t xml:space="preserve">and children </w:t>
      </w:r>
      <w:r w:rsidRPr="00211051">
        <w:rPr>
          <w:rFonts w:asciiTheme="majorHAnsi" w:hAnsiTheme="majorHAnsi" w:cstheme="majorHAnsi"/>
        </w:rPr>
        <w:t>also further entrenches traditional stereotypes regarding the primacy of the male spouse’s legal identity. Affected families have suffered through lack of access to social services and equal economic opportunities.</w:t>
      </w:r>
    </w:p>
    <w:p w14:paraId="28606F0A" w14:textId="77777777" w:rsidR="00B75776" w:rsidRPr="00211051" w:rsidRDefault="00B75776" w:rsidP="00BD4374">
      <w:pPr>
        <w:pStyle w:val="ListParagraph"/>
        <w:spacing w:line="259" w:lineRule="auto"/>
        <w:rPr>
          <w:rFonts w:asciiTheme="majorHAnsi" w:hAnsiTheme="majorHAnsi" w:cstheme="majorHAnsi"/>
        </w:rPr>
      </w:pPr>
    </w:p>
    <w:p w14:paraId="16909193" w14:textId="6AD55083" w:rsidR="00B75776" w:rsidRPr="00211051" w:rsidRDefault="00B75776" w:rsidP="00BD4374">
      <w:pPr>
        <w:spacing w:line="259" w:lineRule="auto"/>
        <w:rPr>
          <w:rFonts w:asciiTheme="majorHAnsi" w:hAnsiTheme="majorHAnsi" w:cstheme="majorHAnsi"/>
        </w:rPr>
      </w:pPr>
      <w:r w:rsidRPr="00211051">
        <w:rPr>
          <w:rFonts w:asciiTheme="majorHAnsi" w:hAnsiTheme="majorHAnsi" w:cstheme="majorHAnsi"/>
        </w:rPr>
        <w:t xml:space="preserve">Despite the creation of the National Strategy for the Advancement of Women in the UAE, </w:t>
      </w:r>
      <w:r w:rsidR="00F769CE" w:rsidRPr="00211051">
        <w:rPr>
          <w:rFonts w:asciiTheme="majorHAnsi" w:hAnsiTheme="majorHAnsi" w:cstheme="majorHAnsi"/>
        </w:rPr>
        <w:t xml:space="preserve">which aims to promote gender equality and the empowerment of women and girls at all levels, </w:t>
      </w:r>
      <w:r w:rsidR="00307253" w:rsidRPr="00211051">
        <w:rPr>
          <w:rFonts w:asciiTheme="majorHAnsi" w:hAnsiTheme="majorHAnsi" w:cstheme="majorHAnsi"/>
        </w:rPr>
        <w:t xml:space="preserve">since 2017 </w:t>
      </w:r>
      <w:r w:rsidRPr="00211051">
        <w:rPr>
          <w:rFonts w:asciiTheme="majorHAnsi" w:hAnsiTheme="majorHAnsi" w:cstheme="majorHAnsi"/>
        </w:rPr>
        <w:t>there has been no</w:t>
      </w:r>
      <w:r w:rsidR="00A31ECC" w:rsidRPr="00211051">
        <w:rPr>
          <w:rFonts w:asciiTheme="majorHAnsi" w:hAnsiTheme="majorHAnsi" w:cstheme="majorHAnsi"/>
        </w:rPr>
        <w:t xml:space="preserve"> </w:t>
      </w:r>
      <w:r w:rsidR="00307253" w:rsidRPr="00211051">
        <w:rPr>
          <w:rFonts w:asciiTheme="majorHAnsi" w:hAnsiTheme="majorHAnsi" w:cstheme="majorHAnsi"/>
        </w:rPr>
        <w:t>action taken to</w:t>
      </w:r>
      <w:r w:rsidRPr="00211051">
        <w:rPr>
          <w:rFonts w:asciiTheme="majorHAnsi" w:hAnsiTheme="majorHAnsi" w:cstheme="majorHAnsi"/>
        </w:rPr>
        <w:t xml:space="preserve"> remove existing discrimination </w:t>
      </w:r>
      <w:r w:rsidR="00F769CE" w:rsidRPr="00211051">
        <w:rPr>
          <w:rFonts w:asciiTheme="majorHAnsi" w:hAnsiTheme="majorHAnsi" w:cstheme="majorHAnsi"/>
        </w:rPr>
        <w:t>and uphold women’s substantive equality</w:t>
      </w:r>
      <w:r w:rsidRPr="00211051">
        <w:rPr>
          <w:rFonts w:asciiTheme="majorHAnsi" w:hAnsiTheme="majorHAnsi" w:cstheme="majorHAnsi"/>
        </w:rPr>
        <w:t xml:space="preserve"> in</w:t>
      </w:r>
      <w:r w:rsidR="00F769CE" w:rsidRPr="00211051">
        <w:rPr>
          <w:rFonts w:asciiTheme="majorHAnsi" w:hAnsiTheme="majorHAnsi" w:cstheme="majorHAnsi"/>
        </w:rPr>
        <w:t xml:space="preserve"> the</w:t>
      </w:r>
      <w:r w:rsidRPr="00211051">
        <w:rPr>
          <w:rFonts w:asciiTheme="majorHAnsi" w:hAnsiTheme="majorHAnsi" w:cstheme="majorHAnsi"/>
        </w:rPr>
        <w:t xml:space="preserve"> nationality law. </w:t>
      </w:r>
    </w:p>
    <w:p w14:paraId="778AA8FE" w14:textId="59E0E768" w:rsidR="00B500A8" w:rsidRPr="00211051" w:rsidRDefault="00B500A8" w:rsidP="00BD4374">
      <w:pPr>
        <w:widowControl w:val="0"/>
        <w:autoSpaceDE w:val="0"/>
        <w:autoSpaceDN w:val="0"/>
        <w:adjustRightInd w:val="0"/>
        <w:spacing w:line="259" w:lineRule="auto"/>
        <w:rPr>
          <w:rFonts w:asciiTheme="majorHAnsi" w:hAnsiTheme="majorHAnsi" w:cstheme="majorHAnsi"/>
        </w:rPr>
      </w:pPr>
    </w:p>
    <w:p w14:paraId="241A7094" w14:textId="0811B725" w:rsidR="00EA030E" w:rsidRPr="00211051" w:rsidRDefault="00EA030E" w:rsidP="00BD4374">
      <w:pPr>
        <w:widowControl w:val="0"/>
        <w:autoSpaceDE w:val="0"/>
        <w:autoSpaceDN w:val="0"/>
        <w:adjustRightInd w:val="0"/>
        <w:spacing w:line="259" w:lineRule="auto"/>
        <w:rPr>
          <w:rFonts w:asciiTheme="majorHAnsi" w:hAnsiTheme="majorHAnsi" w:cstheme="majorHAnsi"/>
          <w:b/>
          <w:i/>
        </w:rPr>
      </w:pPr>
      <w:r w:rsidRPr="00211051">
        <w:rPr>
          <w:rFonts w:asciiTheme="majorHAnsi" w:hAnsiTheme="majorHAnsi" w:cstheme="majorHAnsi"/>
          <w:b/>
          <w:i/>
        </w:rPr>
        <w:t>The Impact of Gender Discriminatory Nationality Laws</w:t>
      </w:r>
    </w:p>
    <w:p w14:paraId="553E271E" w14:textId="00520F4E" w:rsidR="00307253" w:rsidRPr="00211051" w:rsidRDefault="00307253"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G</w:t>
      </w:r>
      <w:r w:rsidR="007251BE" w:rsidRPr="00211051">
        <w:rPr>
          <w:rFonts w:asciiTheme="majorHAnsi" w:hAnsiTheme="majorHAnsi" w:cstheme="majorHAnsi"/>
        </w:rPr>
        <w:t xml:space="preserve">ender discrimination in </w:t>
      </w:r>
      <w:r w:rsidR="009E3C59" w:rsidRPr="00211051">
        <w:rPr>
          <w:rFonts w:asciiTheme="majorHAnsi" w:hAnsiTheme="majorHAnsi" w:cstheme="majorHAnsi"/>
        </w:rPr>
        <w:t xml:space="preserve">the </w:t>
      </w:r>
      <w:r w:rsidR="00F769CE" w:rsidRPr="00211051">
        <w:rPr>
          <w:rFonts w:asciiTheme="majorHAnsi" w:hAnsiTheme="majorHAnsi" w:cstheme="majorHAnsi"/>
        </w:rPr>
        <w:t>UAE’s</w:t>
      </w:r>
      <w:r w:rsidR="007251BE" w:rsidRPr="00211051">
        <w:rPr>
          <w:rFonts w:asciiTheme="majorHAnsi" w:hAnsiTheme="majorHAnsi" w:cstheme="majorHAnsi"/>
        </w:rPr>
        <w:t xml:space="preserve"> </w:t>
      </w:r>
      <w:r w:rsidR="00652566" w:rsidRPr="00211051">
        <w:rPr>
          <w:rFonts w:asciiTheme="majorHAnsi" w:hAnsiTheme="majorHAnsi" w:cstheme="majorHAnsi"/>
        </w:rPr>
        <w:t xml:space="preserve">nationality law </w:t>
      </w:r>
      <w:r w:rsidR="00A0303A" w:rsidRPr="00211051">
        <w:rPr>
          <w:rFonts w:asciiTheme="majorHAnsi" w:hAnsiTheme="majorHAnsi" w:cstheme="majorHAnsi"/>
        </w:rPr>
        <w:t xml:space="preserve">also </w:t>
      </w:r>
      <w:r w:rsidR="007251BE" w:rsidRPr="00211051">
        <w:rPr>
          <w:rFonts w:asciiTheme="majorHAnsi" w:hAnsiTheme="majorHAnsi" w:cstheme="majorHAnsi"/>
        </w:rPr>
        <w:t xml:space="preserve">results in </w:t>
      </w:r>
      <w:r w:rsidR="00652566" w:rsidRPr="00211051">
        <w:rPr>
          <w:rFonts w:asciiTheme="majorHAnsi" w:hAnsiTheme="majorHAnsi" w:cstheme="majorHAnsi"/>
        </w:rPr>
        <w:t>wide-ranging</w:t>
      </w:r>
      <w:r w:rsidR="007251BE" w:rsidRPr="00211051">
        <w:rPr>
          <w:rFonts w:asciiTheme="majorHAnsi" w:hAnsiTheme="majorHAnsi" w:cstheme="majorHAnsi"/>
        </w:rPr>
        <w:t xml:space="preserve"> human rights violations and hardships faced by </w:t>
      </w:r>
      <w:r w:rsidR="00F769CE" w:rsidRPr="00211051">
        <w:rPr>
          <w:rFonts w:asciiTheme="majorHAnsi" w:hAnsiTheme="majorHAnsi" w:cstheme="majorHAnsi"/>
        </w:rPr>
        <w:t>Emirati</w:t>
      </w:r>
      <w:r w:rsidR="007251BE" w:rsidRPr="00211051">
        <w:rPr>
          <w:rFonts w:asciiTheme="majorHAnsi" w:hAnsiTheme="majorHAnsi" w:cstheme="majorHAnsi"/>
        </w:rPr>
        <w:t xml:space="preserve"> women and their families. Gender discrimination in the </w:t>
      </w:r>
      <w:r w:rsidR="00E62A2F" w:rsidRPr="00211051">
        <w:rPr>
          <w:rFonts w:asciiTheme="majorHAnsi" w:hAnsiTheme="majorHAnsi" w:cstheme="majorHAnsi"/>
        </w:rPr>
        <w:t>n</w:t>
      </w:r>
      <w:r w:rsidR="007251BE" w:rsidRPr="00211051">
        <w:rPr>
          <w:rFonts w:asciiTheme="majorHAnsi" w:hAnsiTheme="majorHAnsi" w:cstheme="majorHAnsi"/>
        </w:rPr>
        <w:t xml:space="preserve">ationality </w:t>
      </w:r>
      <w:r w:rsidR="00E62A2F" w:rsidRPr="00211051">
        <w:rPr>
          <w:rFonts w:asciiTheme="majorHAnsi" w:hAnsiTheme="majorHAnsi" w:cstheme="majorHAnsi"/>
        </w:rPr>
        <w:t>l</w:t>
      </w:r>
      <w:r w:rsidR="007251BE" w:rsidRPr="00211051">
        <w:rPr>
          <w:rFonts w:asciiTheme="majorHAnsi" w:hAnsiTheme="majorHAnsi" w:cstheme="majorHAnsi"/>
        </w:rPr>
        <w:t xml:space="preserve">aw </w:t>
      </w:r>
      <w:r w:rsidR="00CB2A8E" w:rsidRPr="00211051">
        <w:rPr>
          <w:rFonts w:asciiTheme="majorHAnsi" w:hAnsiTheme="majorHAnsi" w:cstheme="majorHAnsi"/>
        </w:rPr>
        <w:t>jeopardizes</w:t>
      </w:r>
      <w:r w:rsidR="007251BE" w:rsidRPr="00211051">
        <w:rPr>
          <w:rFonts w:asciiTheme="majorHAnsi" w:hAnsiTheme="majorHAnsi" w:cstheme="majorHAnsi"/>
        </w:rPr>
        <w:t xml:space="preserve"> </w:t>
      </w:r>
      <w:r w:rsidR="00652566" w:rsidRPr="00211051">
        <w:rPr>
          <w:rFonts w:asciiTheme="majorHAnsi" w:hAnsiTheme="majorHAnsi" w:cstheme="majorHAnsi"/>
        </w:rPr>
        <w:t xml:space="preserve">family unity, </w:t>
      </w:r>
      <w:r w:rsidR="00E62A2F" w:rsidRPr="00211051">
        <w:rPr>
          <w:rFonts w:asciiTheme="majorHAnsi" w:hAnsiTheme="majorHAnsi" w:cstheme="majorHAnsi"/>
        </w:rPr>
        <w:t xml:space="preserve">and </w:t>
      </w:r>
      <w:r w:rsidR="004304BC" w:rsidRPr="00211051">
        <w:rPr>
          <w:rFonts w:asciiTheme="majorHAnsi" w:hAnsiTheme="majorHAnsi" w:cstheme="majorHAnsi"/>
        </w:rPr>
        <w:t>undermines</w:t>
      </w:r>
      <w:r w:rsidR="00E62A2F" w:rsidRPr="00211051">
        <w:rPr>
          <w:rFonts w:asciiTheme="majorHAnsi" w:hAnsiTheme="majorHAnsi" w:cstheme="majorHAnsi"/>
        </w:rPr>
        <w:t xml:space="preserve"> affected persons’ </w:t>
      </w:r>
      <w:r w:rsidR="00F769CE" w:rsidRPr="00211051">
        <w:rPr>
          <w:rFonts w:asciiTheme="majorHAnsi" w:hAnsiTheme="majorHAnsi" w:cstheme="majorHAnsi"/>
        </w:rPr>
        <w:t xml:space="preserve">equal </w:t>
      </w:r>
      <w:r w:rsidR="00E62A2F" w:rsidRPr="00211051">
        <w:rPr>
          <w:rFonts w:asciiTheme="majorHAnsi" w:hAnsiTheme="majorHAnsi" w:cstheme="majorHAnsi"/>
        </w:rPr>
        <w:t xml:space="preserve">access to </w:t>
      </w:r>
      <w:r w:rsidR="00CB2A8E" w:rsidRPr="00211051">
        <w:rPr>
          <w:rFonts w:asciiTheme="majorHAnsi" w:hAnsiTheme="majorHAnsi" w:cstheme="majorHAnsi"/>
        </w:rPr>
        <w:t xml:space="preserve">education, </w:t>
      </w:r>
      <w:r w:rsidR="007251BE" w:rsidRPr="00211051">
        <w:rPr>
          <w:rFonts w:asciiTheme="majorHAnsi" w:hAnsiTheme="majorHAnsi" w:cstheme="majorHAnsi"/>
        </w:rPr>
        <w:t xml:space="preserve">healthcare, </w:t>
      </w:r>
      <w:r w:rsidR="00E62A2F" w:rsidRPr="00211051">
        <w:rPr>
          <w:rFonts w:asciiTheme="majorHAnsi" w:hAnsiTheme="majorHAnsi" w:cstheme="majorHAnsi"/>
        </w:rPr>
        <w:t>formal employment,</w:t>
      </w:r>
      <w:r w:rsidR="007251BE" w:rsidRPr="00211051">
        <w:rPr>
          <w:rFonts w:asciiTheme="majorHAnsi" w:hAnsiTheme="majorHAnsi" w:cstheme="majorHAnsi"/>
        </w:rPr>
        <w:t xml:space="preserve"> financial </w:t>
      </w:r>
      <w:r w:rsidR="00E62A2F" w:rsidRPr="00211051">
        <w:rPr>
          <w:rFonts w:asciiTheme="majorHAnsi" w:hAnsiTheme="majorHAnsi" w:cstheme="majorHAnsi"/>
        </w:rPr>
        <w:t>services</w:t>
      </w:r>
      <w:r w:rsidR="007251BE" w:rsidRPr="00211051">
        <w:rPr>
          <w:rFonts w:asciiTheme="majorHAnsi" w:hAnsiTheme="majorHAnsi" w:cstheme="majorHAnsi"/>
        </w:rPr>
        <w:t xml:space="preserve">, </w:t>
      </w:r>
      <w:r w:rsidR="00E62A2F" w:rsidRPr="00211051">
        <w:rPr>
          <w:rFonts w:asciiTheme="majorHAnsi" w:hAnsiTheme="majorHAnsi" w:cstheme="majorHAnsi"/>
        </w:rPr>
        <w:t>inheritance, property rights, and freedom of movement.</w:t>
      </w:r>
      <w:r w:rsidR="00A0303A" w:rsidRPr="00211051">
        <w:rPr>
          <w:rFonts w:asciiTheme="majorHAnsi" w:hAnsiTheme="majorHAnsi" w:cstheme="majorHAnsi"/>
        </w:rPr>
        <w:t xml:space="preserve"> </w:t>
      </w:r>
      <w:r w:rsidR="009E3C59" w:rsidRPr="00211051">
        <w:rPr>
          <w:rFonts w:asciiTheme="majorHAnsi" w:hAnsiTheme="majorHAnsi" w:cstheme="majorHAnsi"/>
        </w:rPr>
        <w:t>As discussed above, g</w:t>
      </w:r>
      <w:r w:rsidRPr="00211051">
        <w:rPr>
          <w:rFonts w:asciiTheme="majorHAnsi" w:hAnsiTheme="majorHAnsi" w:cstheme="majorHAnsi"/>
        </w:rPr>
        <w:t xml:space="preserve">ender discrimination in the nationality law can also render affected persons stateless. </w:t>
      </w:r>
    </w:p>
    <w:p w14:paraId="6E48ADE1" w14:textId="77777777" w:rsidR="00307253" w:rsidRPr="00211051" w:rsidRDefault="00307253" w:rsidP="00BD4374">
      <w:pPr>
        <w:widowControl w:val="0"/>
        <w:autoSpaceDE w:val="0"/>
        <w:autoSpaceDN w:val="0"/>
        <w:adjustRightInd w:val="0"/>
        <w:spacing w:line="259" w:lineRule="auto"/>
        <w:rPr>
          <w:rFonts w:asciiTheme="majorHAnsi" w:hAnsiTheme="majorHAnsi" w:cstheme="majorHAnsi"/>
        </w:rPr>
      </w:pPr>
    </w:p>
    <w:p w14:paraId="107281A3" w14:textId="19AF15A1" w:rsidR="00A0303A" w:rsidRPr="00211051" w:rsidRDefault="00A0303A"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During </w:t>
      </w:r>
      <w:r w:rsidR="00307253" w:rsidRPr="00211051">
        <w:rPr>
          <w:rFonts w:asciiTheme="majorHAnsi" w:hAnsiTheme="majorHAnsi" w:cstheme="majorHAnsi"/>
        </w:rPr>
        <w:t xml:space="preserve">the </w:t>
      </w:r>
      <w:r w:rsidRPr="00211051">
        <w:rPr>
          <w:rFonts w:asciiTheme="majorHAnsi" w:hAnsiTheme="majorHAnsi" w:cstheme="majorHAnsi"/>
        </w:rPr>
        <w:t>COVID-19</w:t>
      </w:r>
      <w:r w:rsidR="00307253" w:rsidRPr="00211051">
        <w:rPr>
          <w:rFonts w:asciiTheme="majorHAnsi" w:hAnsiTheme="majorHAnsi" w:cstheme="majorHAnsi"/>
        </w:rPr>
        <w:t xml:space="preserve"> pandemic</w:t>
      </w:r>
      <w:r w:rsidRPr="00211051">
        <w:rPr>
          <w:rFonts w:asciiTheme="majorHAnsi" w:hAnsiTheme="majorHAnsi" w:cstheme="majorHAnsi"/>
        </w:rPr>
        <w:t xml:space="preserve">, </w:t>
      </w:r>
      <w:r w:rsidR="00307253" w:rsidRPr="00211051">
        <w:rPr>
          <w:rFonts w:asciiTheme="majorHAnsi" w:hAnsiTheme="majorHAnsi" w:cstheme="majorHAnsi"/>
        </w:rPr>
        <w:t>gender-</w:t>
      </w:r>
      <w:r w:rsidRPr="00211051">
        <w:rPr>
          <w:rFonts w:asciiTheme="majorHAnsi" w:hAnsiTheme="majorHAnsi" w:cstheme="majorHAnsi"/>
        </w:rPr>
        <w:t xml:space="preserve">discriminatory </w:t>
      </w:r>
      <w:r w:rsidR="00307253" w:rsidRPr="00211051">
        <w:rPr>
          <w:rFonts w:asciiTheme="majorHAnsi" w:hAnsiTheme="majorHAnsi" w:cstheme="majorHAnsi"/>
        </w:rPr>
        <w:t xml:space="preserve">nationality </w:t>
      </w:r>
      <w:r w:rsidRPr="00211051">
        <w:rPr>
          <w:rFonts w:asciiTheme="majorHAnsi" w:hAnsiTheme="majorHAnsi" w:cstheme="majorHAnsi"/>
        </w:rPr>
        <w:t xml:space="preserve">laws has </w:t>
      </w:r>
      <w:r w:rsidR="00307253" w:rsidRPr="00211051">
        <w:rPr>
          <w:rFonts w:asciiTheme="majorHAnsi" w:hAnsiTheme="majorHAnsi" w:cstheme="majorHAnsi"/>
        </w:rPr>
        <w:t>exacerbated the vulnerability of affected families in many countries</w:t>
      </w:r>
      <w:r w:rsidRPr="00211051">
        <w:rPr>
          <w:rFonts w:asciiTheme="majorHAnsi" w:hAnsiTheme="majorHAnsi" w:cstheme="majorHAnsi"/>
        </w:rPr>
        <w:t xml:space="preserve">, as </w:t>
      </w:r>
      <w:r w:rsidR="00633C36" w:rsidRPr="00211051">
        <w:rPr>
          <w:rFonts w:asciiTheme="majorHAnsi" w:hAnsiTheme="majorHAnsi" w:cstheme="majorHAnsi"/>
        </w:rPr>
        <w:t xml:space="preserve">some </w:t>
      </w:r>
      <w:r w:rsidRPr="00211051">
        <w:rPr>
          <w:rFonts w:asciiTheme="majorHAnsi" w:hAnsiTheme="majorHAnsi" w:cstheme="majorHAnsi"/>
        </w:rPr>
        <w:t>non-citizen</w:t>
      </w:r>
      <w:r w:rsidR="00633C36" w:rsidRPr="00211051">
        <w:rPr>
          <w:rFonts w:asciiTheme="majorHAnsi" w:hAnsiTheme="majorHAnsi" w:cstheme="majorHAnsi"/>
        </w:rPr>
        <w:t xml:space="preserve"> children and spouses of female citizens</w:t>
      </w:r>
      <w:r w:rsidRPr="00211051">
        <w:rPr>
          <w:rFonts w:asciiTheme="majorHAnsi" w:hAnsiTheme="majorHAnsi" w:cstheme="majorHAnsi"/>
        </w:rPr>
        <w:t xml:space="preserve"> have been denied </w:t>
      </w:r>
      <w:r w:rsidR="00791244" w:rsidRPr="00211051">
        <w:rPr>
          <w:rFonts w:asciiTheme="majorHAnsi" w:hAnsiTheme="majorHAnsi" w:cstheme="majorHAnsi"/>
        </w:rPr>
        <w:t xml:space="preserve">equal access to </w:t>
      </w:r>
      <w:r w:rsidRPr="00211051">
        <w:rPr>
          <w:rFonts w:asciiTheme="majorHAnsi" w:hAnsiTheme="majorHAnsi" w:cstheme="majorHAnsi"/>
        </w:rPr>
        <w:t xml:space="preserve">healthcare, emergency relief, and economic stimulus packages, and many have </w:t>
      </w:r>
      <w:r w:rsidR="00791244" w:rsidRPr="00211051">
        <w:rPr>
          <w:rFonts w:asciiTheme="majorHAnsi" w:hAnsiTheme="majorHAnsi" w:cstheme="majorHAnsi"/>
        </w:rPr>
        <w:t>suffered from family separation</w:t>
      </w:r>
      <w:r w:rsidRPr="00211051">
        <w:rPr>
          <w:rFonts w:asciiTheme="majorHAnsi" w:hAnsiTheme="majorHAnsi" w:cstheme="majorHAnsi"/>
        </w:rPr>
        <w:t>.</w:t>
      </w:r>
      <w:r w:rsidRPr="00211051">
        <w:rPr>
          <w:rStyle w:val="FootnoteReference"/>
          <w:rFonts w:asciiTheme="majorHAnsi" w:hAnsiTheme="majorHAnsi" w:cstheme="majorHAnsi"/>
          <w:sz w:val="24"/>
        </w:rPr>
        <w:footnoteReference w:id="6"/>
      </w:r>
      <w:r w:rsidR="00633C36" w:rsidRPr="00211051">
        <w:rPr>
          <w:rFonts w:asciiTheme="majorHAnsi" w:hAnsiTheme="majorHAnsi" w:cstheme="majorHAnsi"/>
        </w:rPr>
        <w:t xml:space="preserve"> The submitting organizations would therefore encourage the CEDAW Committee to raise with the Emirati government whether the children and spouses of Emirati women have access to the same COVID</w:t>
      </w:r>
      <w:r w:rsidR="00876970" w:rsidRPr="00211051">
        <w:rPr>
          <w:rFonts w:asciiTheme="majorHAnsi" w:hAnsiTheme="majorHAnsi" w:cstheme="majorHAnsi"/>
        </w:rPr>
        <w:t>-19</w:t>
      </w:r>
      <w:r w:rsidR="00633C36" w:rsidRPr="00211051">
        <w:rPr>
          <w:rFonts w:asciiTheme="majorHAnsi" w:hAnsiTheme="majorHAnsi" w:cstheme="majorHAnsi"/>
        </w:rPr>
        <w:t xml:space="preserve"> relief benefits as the families of Emirati men. </w:t>
      </w:r>
      <w:r w:rsidRPr="00211051">
        <w:rPr>
          <w:rFonts w:asciiTheme="majorHAnsi" w:hAnsiTheme="majorHAnsi" w:cstheme="majorHAnsi"/>
        </w:rPr>
        <w:t xml:space="preserve"> </w:t>
      </w:r>
    </w:p>
    <w:p w14:paraId="2CAABF6C" w14:textId="77777777" w:rsidR="00A0303A" w:rsidRPr="00211051" w:rsidRDefault="00A0303A" w:rsidP="00BD4374">
      <w:pPr>
        <w:widowControl w:val="0"/>
        <w:autoSpaceDE w:val="0"/>
        <w:autoSpaceDN w:val="0"/>
        <w:adjustRightInd w:val="0"/>
        <w:spacing w:line="259" w:lineRule="auto"/>
        <w:rPr>
          <w:rFonts w:asciiTheme="majorHAnsi" w:hAnsiTheme="majorHAnsi" w:cstheme="majorHAnsi"/>
        </w:rPr>
      </w:pPr>
    </w:p>
    <w:p w14:paraId="44D4A369" w14:textId="644A3A7D" w:rsidR="007251BE" w:rsidRPr="00211051" w:rsidRDefault="000A2115"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The denial of equal nationality rights leads to both the denial of proof of legal identity and the denial of the right to </w:t>
      </w:r>
      <w:r w:rsidR="002A1966" w:rsidRPr="00211051">
        <w:rPr>
          <w:rFonts w:asciiTheme="majorHAnsi" w:hAnsiTheme="majorHAnsi" w:cstheme="majorHAnsi"/>
        </w:rPr>
        <w:t xml:space="preserve">a </w:t>
      </w:r>
      <w:r w:rsidRPr="00211051">
        <w:rPr>
          <w:rFonts w:asciiTheme="majorHAnsi" w:hAnsiTheme="majorHAnsi" w:cstheme="majorHAnsi"/>
        </w:rPr>
        <w:t xml:space="preserve">nationality. </w:t>
      </w:r>
      <w:r w:rsidR="007251BE" w:rsidRPr="00211051">
        <w:rPr>
          <w:rFonts w:asciiTheme="majorHAnsi" w:hAnsiTheme="majorHAnsi" w:cstheme="majorHAnsi"/>
        </w:rPr>
        <w:t xml:space="preserve">Furthermore, </w:t>
      </w:r>
      <w:r w:rsidR="00E62A2F" w:rsidRPr="00211051">
        <w:rPr>
          <w:rFonts w:asciiTheme="majorHAnsi" w:hAnsiTheme="majorHAnsi" w:cstheme="majorHAnsi"/>
        </w:rPr>
        <w:t xml:space="preserve">discrimination in </w:t>
      </w:r>
      <w:r w:rsidR="00F769CE" w:rsidRPr="00211051">
        <w:rPr>
          <w:rFonts w:asciiTheme="majorHAnsi" w:hAnsiTheme="majorHAnsi" w:cstheme="majorHAnsi"/>
        </w:rPr>
        <w:t>the UAE’s</w:t>
      </w:r>
      <w:r w:rsidR="00E62A2F" w:rsidRPr="00211051">
        <w:rPr>
          <w:rFonts w:asciiTheme="majorHAnsi" w:hAnsiTheme="majorHAnsi" w:cstheme="majorHAnsi"/>
        </w:rPr>
        <w:t xml:space="preserve"> nationality law</w:t>
      </w:r>
      <w:r w:rsidR="009F5A2E" w:rsidRPr="00211051">
        <w:rPr>
          <w:rFonts w:asciiTheme="majorHAnsi" w:hAnsiTheme="majorHAnsi" w:cstheme="majorHAnsi"/>
        </w:rPr>
        <w:t>s</w:t>
      </w:r>
      <w:r w:rsidR="007251BE" w:rsidRPr="00211051">
        <w:rPr>
          <w:rFonts w:asciiTheme="majorHAnsi" w:hAnsiTheme="majorHAnsi" w:cstheme="majorHAnsi"/>
        </w:rPr>
        <w:t xml:space="preserve"> inhibit</w:t>
      </w:r>
      <w:r w:rsidR="00E62A2F" w:rsidRPr="00211051">
        <w:rPr>
          <w:rFonts w:asciiTheme="majorHAnsi" w:hAnsiTheme="majorHAnsi" w:cstheme="majorHAnsi"/>
        </w:rPr>
        <w:t>s</w:t>
      </w:r>
      <w:r w:rsidR="007251BE" w:rsidRPr="00211051">
        <w:rPr>
          <w:rFonts w:asciiTheme="majorHAnsi" w:hAnsiTheme="majorHAnsi" w:cstheme="majorHAnsi"/>
        </w:rPr>
        <w:t xml:space="preserve"> women’s ability, in practice, to freely choose a spouse</w:t>
      </w:r>
      <w:r w:rsidR="004304BC" w:rsidRPr="00211051">
        <w:rPr>
          <w:rFonts w:asciiTheme="majorHAnsi" w:hAnsiTheme="majorHAnsi" w:cstheme="majorHAnsi"/>
        </w:rPr>
        <w:t>,</w:t>
      </w:r>
      <w:r w:rsidR="007251BE" w:rsidRPr="00211051">
        <w:rPr>
          <w:rFonts w:asciiTheme="majorHAnsi" w:hAnsiTheme="majorHAnsi" w:cstheme="majorHAnsi"/>
        </w:rPr>
        <w:t xml:space="preserve"> in violation of </w:t>
      </w:r>
      <w:r w:rsidR="009F5A2E" w:rsidRPr="00211051">
        <w:rPr>
          <w:rFonts w:asciiTheme="majorHAnsi" w:hAnsiTheme="majorHAnsi" w:cstheme="majorHAnsi"/>
        </w:rPr>
        <w:t xml:space="preserve">CEDAW </w:t>
      </w:r>
      <w:r w:rsidR="007251BE" w:rsidRPr="00211051">
        <w:rPr>
          <w:rFonts w:asciiTheme="majorHAnsi" w:hAnsiTheme="majorHAnsi" w:cstheme="majorHAnsi"/>
        </w:rPr>
        <w:t>Article 16</w:t>
      </w:r>
      <w:r w:rsidR="00E62A2F" w:rsidRPr="00211051">
        <w:rPr>
          <w:rFonts w:asciiTheme="majorHAnsi" w:hAnsiTheme="majorHAnsi" w:cstheme="majorHAnsi"/>
        </w:rPr>
        <w:t xml:space="preserve">, </w:t>
      </w:r>
      <w:r w:rsidR="007251BE" w:rsidRPr="00211051">
        <w:rPr>
          <w:rFonts w:asciiTheme="majorHAnsi" w:hAnsiTheme="majorHAnsi" w:cstheme="majorHAnsi"/>
        </w:rPr>
        <w:t>further entrench</w:t>
      </w:r>
      <w:r w:rsidR="009F5A2E" w:rsidRPr="00211051">
        <w:rPr>
          <w:rFonts w:asciiTheme="majorHAnsi" w:hAnsiTheme="majorHAnsi" w:cstheme="majorHAnsi"/>
        </w:rPr>
        <w:t>ing</w:t>
      </w:r>
      <w:r w:rsidR="007251BE" w:rsidRPr="00211051">
        <w:rPr>
          <w:rFonts w:asciiTheme="majorHAnsi" w:hAnsiTheme="majorHAnsi" w:cstheme="majorHAnsi"/>
        </w:rPr>
        <w:t xml:space="preserve"> traditional stereotypes regarding the primacy of male legal identity</w:t>
      </w:r>
      <w:r w:rsidR="00E62A2F" w:rsidRPr="00211051">
        <w:rPr>
          <w:rFonts w:asciiTheme="majorHAnsi" w:hAnsiTheme="majorHAnsi" w:cstheme="majorHAnsi"/>
        </w:rPr>
        <w:t>,</w:t>
      </w:r>
      <w:r w:rsidR="0093257C" w:rsidRPr="00211051">
        <w:rPr>
          <w:rFonts w:asciiTheme="majorHAnsi" w:hAnsiTheme="majorHAnsi" w:cstheme="majorHAnsi"/>
        </w:rPr>
        <w:t xml:space="preserve"> </w:t>
      </w:r>
      <w:r w:rsidR="00E62A2F" w:rsidRPr="00211051">
        <w:rPr>
          <w:rFonts w:asciiTheme="majorHAnsi" w:hAnsiTheme="majorHAnsi" w:cstheme="majorHAnsi"/>
        </w:rPr>
        <w:t>and contribut</w:t>
      </w:r>
      <w:r w:rsidR="009F5A2E" w:rsidRPr="00211051">
        <w:rPr>
          <w:rFonts w:asciiTheme="majorHAnsi" w:hAnsiTheme="majorHAnsi" w:cstheme="majorHAnsi"/>
        </w:rPr>
        <w:t>ing</w:t>
      </w:r>
      <w:r w:rsidR="00E62A2F" w:rsidRPr="00211051">
        <w:rPr>
          <w:rFonts w:asciiTheme="majorHAnsi" w:hAnsiTheme="majorHAnsi" w:cstheme="majorHAnsi"/>
        </w:rPr>
        <w:t xml:space="preserve"> to women’s inequality within the family</w:t>
      </w:r>
      <w:r w:rsidR="004304BC" w:rsidRPr="00211051">
        <w:rPr>
          <w:rFonts w:asciiTheme="majorHAnsi" w:hAnsiTheme="majorHAnsi" w:cstheme="majorHAnsi"/>
        </w:rPr>
        <w:t xml:space="preserve"> and society at large</w:t>
      </w:r>
      <w:r w:rsidR="007251BE" w:rsidRPr="00211051">
        <w:rPr>
          <w:rFonts w:asciiTheme="majorHAnsi" w:hAnsiTheme="majorHAnsi" w:cstheme="majorHAnsi"/>
        </w:rPr>
        <w:t>.</w:t>
      </w:r>
      <w:r w:rsidR="00E62A2F" w:rsidRPr="00211051">
        <w:rPr>
          <w:rStyle w:val="FootnoteReference"/>
          <w:rFonts w:asciiTheme="majorHAnsi" w:hAnsiTheme="majorHAnsi" w:cstheme="majorHAnsi"/>
          <w:sz w:val="24"/>
        </w:rPr>
        <w:footnoteReference w:id="7"/>
      </w:r>
      <w:r w:rsidR="007251BE" w:rsidRPr="00211051">
        <w:rPr>
          <w:rFonts w:asciiTheme="majorHAnsi" w:hAnsiTheme="majorHAnsi" w:cstheme="majorHAnsi"/>
        </w:rPr>
        <w:t xml:space="preserve"> </w:t>
      </w:r>
      <w:r w:rsidR="009F5A2E" w:rsidRPr="00211051">
        <w:rPr>
          <w:rFonts w:asciiTheme="majorHAnsi" w:hAnsiTheme="majorHAnsi" w:cstheme="majorHAnsi"/>
        </w:rPr>
        <w:t xml:space="preserve">Further entrenchment of such stereotypes is in breach of </w:t>
      </w:r>
      <w:r w:rsidR="00F769CE" w:rsidRPr="00211051">
        <w:rPr>
          <w:rFonts w:asciiTheme="majorHAnsi" w:hAnsiTheme="majorHAnsi" w:cstheme="majorHAnsi"/>
        </w:rPr>
        <w:t>the UAE’s</w:t>
      </w:r>
      <w:r w:rsidR="009F5A2E" w:rsidRPr="00211051">
        <w:rPr>
          <w:rFonts w:asciiTheme="majorHAnsi" w:hAnsiTheme="majorHAnsi" w:cstheme="majorHAnsi"/>
        </w:rPr>
        <w:t xml:space="preserve"> obligations under CEDAW Article 5(a).</w:t>
      </w:r>
    </w:p>
    <w:p w14:paraId="51961A52" w14:textId="77777777" w:rsidR="007251BE" w:rsidRPr="00211051" w:rsidRDefault="007251BE" w:rsidP="00BD4374">
      <w:pPr>
        <w:widowControl w:val="0"/>
        <w:autoSpaceDE w:val="0"/>
        <w:autoSpaceDN w:val="0"/>
        <w:adjustRightInd w:val="0"/>
        <w:spacing w:line="259" w:lineRule="auto"/>
        <w:rPr>
          <w:rFonts w:asciiTheme="majorHAnsi" w:hAnsiTheme="majorHAnsi" w:cstheme="majorHAnsi"/>
        </w:rPr>
      </w:pPr>
    </w:p>
    <w:p w14:paraId="6D64698A" w14:textId="07DB5DF6" w:rsidR="00807AAF" w:rsidRPr="00211051" w:rsidRDefault="009F5A2E"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D</w:t>
      </w:r>
      <w:r w:rsidR="00807AAF" w:rsidRPr="00211051">
        <w:rPr>
          <w:rFonts w:asciiTheme="majorHAnsi" w:hAnsiTheme="majorHAnsi" w:cstheme="majorHAnsi"/>
        </w:rPr>
        <w:t xml:space="preserve">iscrimination against </w:t>
      </w:r>
      <w:r w:rsidR="00F769CE" w:rsidRPr="00211051">
        <w:rPr>
          <w:rFonts w:asciiTheme="majorHAnsi" w:hAnsiTheme="majorHAnsi" w:cstheme="majorHAnsi"/>
        </w:rPr>
        <w:t>Emirati</w:t>
      </w:r>
      <w:r w:rsidR="00807AAF" w:rsidRPr="00211051">
        <w:rPr>
          <w:rFonts w:asciiTheme="majorHAnsi" w:hAnsiTheme="majorHAnsi" w:cstheme="majorHAnsi"/>
        </w:rPr>
        <w:t xml:space="preserve"> women in the </w:t>
      </w:r>
      <w:r w:rsidR="00E62A2F" w:rsidRPr="00211051">
        <w:rPr>
          <w:rFonts w:asciiTheme="majorHAnsi" w:hAnsiTheme="majorHAnsi" w:cstheme="majorHAnsi"/>
        </w:rPr>
        <w:t>n</w:t>
      </w:r>
      <w:r w:rsidR="00807AAF" w:rsidRPr="00211051">
        <w:rPr>
          <w:rFonts w:asciiTheme="majorHAnsi" w:hAnsiTheme="majorHAnsi" w:cstheme="majorHAnsi"/>
        </w:rPr>
        <w:t xml:space="preserve">ationality </w:t>
      </w:r>
      <w:r w:rsidR="00E62A2F" w:rsidRPr="00211051">
        <w:rPr>
          <w:rFonts w:asciiTheme="majorHAnsi" w:hAnsiTheme="majorHAnsi" w:cstheme="majorHAnsi"/>
        </w:rPr>
        <w:t>l</w:t>
      </w:r>
      <w:r w:rsidR="00807AAF" w:rsidRPr="00211051">
        <w:rPr>
          <w:rFonts w:asciiTheme="majorHAnsi" w:hAnsiTheme="majorHAnsi" w:cstheme="majorHAnsi"/>
        </w:rPr>
        <w:t>aw</w:t>
      </w:r>
      <w:r w:rsidRPr="00211051">
        <w:rPr>
          <w:rFonts w:asciiTheme="majorHAnsi" w:hAnsiTheme="majorHAnsi" w:cstheme="majorHAnsi"/>
        </w:rPr>
        <w:t>s</w:t>
      </w:r>
      <w:r w:rsidR="00807AAF" w:rsidRPr="00211051">
        <w:rPr>
          <w:rFonts w:asciiTheme="majorHAnsi" w:hAnsiTheme="majorHAnsi" w:cstheme="majorHAnsi"/>
        </w:rPr>
        <w:t xml:space="preserve"> </w:t>
      </w:r>
      <w:r w:rsidR="00E62A2F" w:rsidRPr="00211051">
        <w:rPr>
          <w:rFonts w:asciiTheme="majorHAnsi" w:hAnsiTheme="majorHAnsi" w:cstheme="majorHAnsi"/>
        </w:rPr>
        <w:t>also contributes to</w:t>
      </w:r>
      <w:r w:rsidR="00807AAF" w:rsidRPr="00211051">
        <w:rPr>
          <w:rFonts w:asciiTheme="majorHAnsi" w:hAnsiTheme="majorHAnsi" w:cstheme="majorHAnsi"/>
        </w:rPr>
        <w:t xml:space="preserve"> gender-based </w:t>
      </w:r>
      <w:r w:rsidR="00807AAF" w:rsidRPr="00211051">
        <w:rPr>
          <w:rFonts w:asciiTheme="majorHAnsi" w:hAnsiTheme="majorHAnsi" w:cstheme="majorHAnsi"/>
        </w:rPr>
        <w:lastRenderedPageBreak/>
        <w:t>violence</w:t>
      </w:r>
      <w:r w:rsidRPr="00211051">
        <w:rPr>
          <w:rFonts w:asciiTheme="majorHAnsi" w:hAnsiTheme="majorHAnsi" w:cstheme="majorHAnsi"/>
        </w:rPr>
        <w:t>,</w:t>
      </w:r>
      <w:r w:rsidR="00807AAF" w:rsidRPr="00211051">
        <w:rPr>
          <w:rFonts w:asciiTheme="majorHAnsi" w:hAnsiTheme="majorHAnsi" w:cstheme="majorHAnsi"/>
        </w:rPr>
        <w:t xml:space="preserve"> as </w:t>
      </w:r>
      <w:r w:rsidRPr="00211051">
        <w:rPr>
          <w:rFonts w:asciiTheme="majorHAnsi" w:hAnsiTheme="majorHAnsi" w:cstheme="majorHAnsi"/>
        </w:rPr>
        <w:t>recognized</w:t>
      </w:r>
      <w:r w:rsidR="00807AAF" w:rsidRPr="00211051">
        <w:rPr>
          <w:rFonts w:asciiTheme="majorHAnsi" w:hAnsiTheme="majorHAnsi" w:cstheme="majorHAnsi"/>
        </w:rPr>
        <w:t xml:space="preserve"> in CEDAW General Comment No. 19. Preventing </w:t>
      </w:r>
      <w:r w:rsidR="00E62A2F" w:rsidRPr="00211051">
        <w:rPr>
          <w:rFonts w:asciiTheme="majorHAnsi" w:hAnsiTheme="majorHAnsi" w:cstheme="majorHAnsi"/>
        </w:rPr>
        <w:t xml:space="preserve">affected </w:t>
      </w:r>
      <w:r w:rsidR="00807AAF" w:rsidRPr="00211051">
        <w:rPr>
          <w:rFonts w:asciiTheme="majorHAnsi" w:hAnsiTheme="majorHAnsi" w:cstheme="majorHAnsi"/>
        </w:rPr>
        <w:t xml:space="preserve">women from family stability, and their children from </w:t>
      </w:r>
      <w:r w:rsidR="00791244" w:rsidRPr="00211051">
        <w:rPr>
          <w:rFonts w:asciiTheme="majorHAnsi" w:hAnsiTheme="majorHAnsi" w:cstheme="majorHAnsi"/>
        </w:rPr>
        <w:t xml:space="preserve">equal access to </w:t>
      </w:r>
      <w:r w:rsidR="00807AAF" w:rsidRPr="00211051">
        <w:rPr>
          <w:rFonts w:asciiTheme="majorHAnsi" w:hAnsiTheme="majorHAnsi" w:cstheme="majorHAnsi"/>
        </w:rPr>
        <w:t xml:space="preserve">citizenship, stable residency, education and healthcare, and </w:t>
      </w:r>
      <w:r w:rsidR="00766369" w:rsidRPr="00211051">
        <w:rPr>
          <w:rFonts w:asciiTheme="majorHAnsi" w:hAnsiTheme="majorHAnsi" w:cstheme="majorHAnsi"/>
        </w:rPr>
        <w:t xml:space="preserve">social services </w:t>
      </w:r>
      <w:r w:rsidR="00807AAF" w:rsidRPr="00211051">
        <w:rPr>
          <w:rFonts w:asciiTheme="majorHAnsi" w:hAnsiTheme="majorHAnsi" w:cstheme="majorHAnsi"/>
        </w:rPr>
        <w:t xml:space="preserve">on equal basis with </w:t>
      </w:r>
      <w:r w:rsidR="00F769CE" w:rsidRPr="00211051">
        <w:rPr>
          <w:rFonts w:asciiTheme="majorHAnsi" w:hAnsiTheme="majorHAnsi" w:cstheme="majorHAnsi"/>
        </w:rPr>
        <w:t>Emirati</w:t>
      </w:r>
      <w:r w:rsidR="004304BC" w:rsidRPr="00211051">
        <w:rPr>
          <w:rFonts w:asciiTheme="majorHAnsi" w:hAnsiTheme="majorHAnsi" w:cstheme="majorHAnsi"/>
        </w:rPr>
        <w:t xml:space="preserve"> </w:t>
      </w:r>
      <w:r w:rsidR="00807AAF" w:rsidRPr="00211051">
        <w:rPr>
          <w:rFonts w:asciiTheme="majorHAnsi" w:hAnsiTheme="majorHAnsi" w:cstheme="majorHAnsi"/>
        </w:rPr>
        <w:t>men is a form of legally-sanctioned gender-based violence, depriv</w:t>
      </w:r>
      <w:r w:rsidR="00CB2A8E" w:rsidRPr="00211051">
        <w:rPr>
          <w:rFonts w:asciiTheme="majorHAnsi" w:hAnsiTheme="majorHAnsi" w:cstheme="majorHAnsi"/>
        </w:rPr>
        <w:t>ing</w:t>
      </w:r>
      <w:r w:rsidR="00807AAF" w:rsidRPr="00211051">
        <w:rPr>
          <w:rFonts w:asciiTheme="majorHAnsi" w:hAnsiTheme="majorHAnsi" w:cstheme="majorHAnsi"/>
        </w:rPr>
        <w:t xml:space="preserve"> </w:t>
      </w:r>
      <w:r w:rsidR="00F769CE" w:rsidRPr="00211051">
        <w:rPr>
          <w:rFonts w:asciiTheme="majorHAnsi" w:hAnsiTheme="majorHAnsi" w:cstheme="majorHAnsi"/>
        </w:rPr>
        <w:t>Emirati</w:t>
      </w:r>
      <w:r w:rsidR="00807AAF" w:rsidRPr="00211051">
        <w:rPr>
          <w:rFonts w:asciiTheme="majorHAnsi" w:hAnsiTheme="majorHAnsi" w:cstheme="majorHAnsi"/>
        </w:rPr>
        <w:t xml:space="preserve"> women of equal protection under the law.</w:t>
      </w:r>
      <w:r w:rsidR="00807AAF" w:rsidRPr="00211051">
        <w:rPr>
          <w:rStyle w:val="FootnoteReference"/>
          <w:rFonts w:asciiTheme="majorHAnsi" w:hAnsiTheme="majorHAnsi" w:cstheme="majorHAnsi"/>
          <w:sz w:val="24"/>
        </w:rPr>
        <w:footnoteReference w:id="8"/>
      </w:r>
      <w:r w:rsidR="00807AAF" w:rsidRPr="00211051">
        <w:rPr>
          <w:rFonts w:asciiTheme="majorHAnsi" w:hAnsiTheme="majorHAnsi" w:cstheme="majorHAnsi"/>
        </w:rPr>
        <w:t xml:space="preserve"> </w:t>
      </w:r>
    </w:p>
    <w:p w14:paraId="7B010A44" w14:textId="28EA292A" w:rsidR="00B36664" w:rsidRPr="00211051" w:rsidRDefault="00B36664" w:rsidP="00BD4374">
      <w:pPr>
        <w:widowControl w:val="0"/>
        <w:autoSpaceDE w:val="0"/>
        <w:autoSpaceDN w:val="0"/>
        <w:adjustRightInd w:val="0"/>
        <w:spacing w:line="259" w:lineRule="auto"/>
        <w:rPr>
          <w:rFonts w:asciiTheme="majorHAnsi" w:hAnsiTheme="majorHAnsi" w:cstheme="majorHAnsi"/>
        </w:rPr>
      </w:pPr>
    </w:p>
    <w:p w14:paraId="3A39F857" w14:textId="1D5D7846" w:rsidR="003F04D4" w:rsidRPr="00211051" w:rsidRDefault="003F04D4" w:rsidP="00BD4374">
      <w:pPr>
        <w:widowControl w:val="0"/>
        <w:autoSpaceDE w:val="0"/>
        <w:autoSpaceDN w:val="0"/>
        <w:adjustRightInd w:val="0"/>
        <w:spacing w:line="259" w:lineRule="auto"/>
        <w:rPr>
          <w:rFonts w:asciiTheme="majorHAnsi" w:hAnsiTheme="majorHAnsi" w:cstheme="majorHAnsi"/>
          <w:b/>
          <w:i/>
        </w:rPr>
      </w:pPr>
      <w:r w:rsidRPr="00211051">
        <w:rPr>
          <w:rFonts w:asciiTheme="majorHAnsi" w:hAnsiTheme="majorHAnsi" w:cstheme="majorHAnsi"/>
          <w:b/>
          <w:i/>
        </w:rPr>
        <w:t xml:space="preserve">Discriminatory </w:t>
      </w:r>
      <w:r w:rsidR="00370D5B" w:rsidRPr="00211051">
        <w:rPr>
          <w:rFonts w:asciiTheme="majorHAnsi" w:hAnsiTheme="majorHAnsi" w:cstheme="majorHAnsi"/>
          <w:b/>
          <w:i/>
        </w:rPr>
        <w:t xml:space="preserve">Laws, Including on </w:t>
      </w:r>
      <w:r w:rsidRPr="00211051">
        <w:rPr>
          <w:rFonts w:asciiTheme="majorHAnsi" w:hAnsiTheme="majorHAnsi" w:cstheme="majorHAnsi"/>
          <w:b/>
          <w:i/>
        </w:rPr>
        <w:t>I</w:t>
      </w:r>
      <w:r w:rsidR="00370D5B" w:rsidRPr="00211051">
        <w:rPr>
          <w:rFonts w:asciiTheme="majorHAnsi" w:hAnsiTheme="majorHAnsi" w:cstheme="majorHAnsi"/>
          <w:b/>
          <w:i/>
        </w:rPr>
        <w:t>nheritance</w:t>
      </w:r>
    </w:p>
    <w:p w14:paraId="35017DF9" w14:textId="54E2F38A" w:rsidR="007D3E1D" w:rsidRPr="00211051" w:rsidRDefault="007D3E1D" w:rsidP="00BD4374">
      <w:pPr>
        <w:widowControl w:val="0"/>
        <w:autoSpaceDE w:val="0"/>
        <w:autoSpaceDN w:val="0"/>
        <w:adjustRightInd w:val="0"/>
        <w:spacing w:line="259" w:lineRule="auto"/>
        <w:rPr>
          <w:rFonts w:asciiTheme="majorHAnsi" w:hAnsiTheme="majorHAnsi" w:cstheme="majorHAnsi"/>
        </w:rPr>
      </w:pPr>
    </w:p>
    <w:p w14:paraId="277C9C40" w14:textId="589C12EA" w:rsidR="00542FE2" w:rsidRPr="00211051" w:rsidRDefault="008977A0"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In response to the Committee’s request for the government to provide </w:t>
      </w:r>
      <w:r w:rsidR="00B84AC6" w:rsidRPr="00211051">
        <w:rPr>
          <w:rFonts w:asciiTheme="majorHAnsi" w:hAnsiTheme="majorHAnsi" w:cstheme="majorHAnsi"/>
        </w:rPr>
        <w:t xml:space="preserve">information on measures taken to repeal discriminatory provisions related to inheritance, the government’s response </w:t>
      </w:r>
      <w:r w:rsidR="006A5E75" w:rsidRPr="00211051">
        <w:rPr>
          <w:rFonts w:asciiTheme="majorHAnsi" w:hAnsiTheme="majorHAnsi" w:cstheme="majorHAnsi"/>
        </w:rPr>
        <w:t>sought to justify</w:t>
      </w:r>
      <w:r w:rsidR="00B84AC6" w:rsidRPr="00211051">
        <w:rPr>
          <w:rFonts w:asciiTheme="majorHAnsi" w:hAnsiTheme="majorHAnsi" w:cstheme="majorHAnsi"/>
        </w:rPr>
        <w:t xml:space="preserve"> gender discriminatory inheritance provisions by relying on gender stereotypes that ascribe to men the responsibility to provide for female relatives</w:t>
      </w:r>
      <w:r w:rsidR="00B65A29" w:rsidRPr="00211051">
        <w:rPr>
          <w:rFonts w:asciiTheme="majorHAnsi" w:hAnsiTheme="majorHAnsi" w:cstheme="majorHAnsi"/>
        </w:rPr>
        <w:t>, who are presumed to be economically dependent on male relatives</w:t>
      </w:r>
      <w:r w:rsidR="00542FE2" w:rsidRPr="00211051">
        <w:rPr>
          <w:rFonts w:asciiTheme="majorHAnsi" w:hAnsiTheme="majorHAnsi" w:cstheme="majorHAnsi"/>
        </w:rPr>
        <w:t>:</w:t>
      </w:r>
    </w:p>
    <w:p w14:paraId="768E712C" w14:textId="77777777" w:rsidR="006A5E75" w:rsidRPr="00211051" w:rsidRDefault="006A5E75" w:rsidP="00BD4374">
      <w:pPr>
        <w:widowControl w:val="0"/>
        <w:autoSpaceDE w:val="0"/>
        <w:autoSpaceDN w:val="0"/>
        <w:adjustRightInd w:val="0"/>
        <w:spacing w:line="259" w:lineRule="auto"/>
        <w:rPr>
          <w:rFonts w:asciiTheme="majorHAnsi" w:hAnsiTheme="majorHAnsi" w:cstheme="majorHAnsi"/>
        </w:rPr>
      </w:pPr>
    </w:p>
    <w:p w14:paraId="19035230" w14:textId="216CF9D9" w:rsidR="00542FE2" w:rsidRPr="00211051" w:rsidRDefault="00542FE2" w:rsidP="00542FE2">
      <w:pPr>
        <w:widowControl w:val="0"/>
        <w:autoSpaceDE w:val="0"/>
        <w:autoSpaceDN w:val="0"/>
        <w:adjustRightInd w:val="0"/>
        <w:spacing w:line="259" w:lineRule="auto"/>
        <w:ind w:left="720"/>
        <w:rPr>
          <w:rFonts w:asciiTheme="majorHAnsi" w:hAnsiTheme="majorHAnsi" w:cstheme="majorHAnsi"/>
        </w:rPr>
      </w:pPr>
      <w:r w:rsidRPr="00211051">
        <w:rPr>
          <w:rFonts w:asciiTheme="majorHAnsi" w:hAnsiTheme="majorHAnsi" w:cstheme="majorHAnsi"/>
          <w:i/>
          <w:iCs/>
        </w:rPr>
        <w:t>“The rationale for the difference is that the male is responsible for supporting his wife and their children. When a female heir is the sister of a mail heir, the latter has a duty to support her and her children. Despite the shortfall in her inheritance as compared to that of her brother, whose inheritance is double, she is in a more fortunate and privileged position in that her inheritance is free from obligatory expenses; it is net and can be saved in order to protect her from threats or adversity.”</w:t>
      </w:r>
      <w:r w:rsidR="00B65A29" w:rsidRPr="00211051">
        <w:rPr>
          <w:rFonts w:asciiTheme="majorHAnsi" w:hAnsiTheme="majorHAnsi" w:cstheme="majorHAnsi"/>
        </w:rPr>
        <w:t xml:space="preserve"> </w:t>
      </w:r>
      <w:r w:rsidR="00DD7CAC" w:rsidRPr="00211051">
        <w:rPr>
          <w:rFonts w:asciiTheme="majorHAnsi" w:hAnsiTheme="majorHAnsi" w:cstheme="majorHAnsi"/>
        </w:rPr>
        <w:t>(CEDAW/C/ARE/RQ/4</w:t>
      </w:r>
      <w:r w:rsidR="006D34B1" w:rsidRPr="00211051">
        <w:rPr>
          <w:rFonts w:asciiTheme="majorHAnsi" w:hAnsiTheme="majorHAnsi" w:cstheme="majorHAnsi"/>
        </w:rPr>
        <w:t>, para. 22</w:t>
      </w:r>
      <w:r w:rsidR="00DD7CAC" w:rsidRPr="00211051">
        <w:rPr>
          <w:rFonts w:asciiTheme="majorHAnsi" w:hAnsiTheme="majorHAnsi" w:cstheme="majorHAnsi"/>
        </w:rPr>
        <w:t xml:space="preserve">) </w:t>
      </w:r>
    </w:p>
    <w:p w14:paraId="2BD9E800" w14:textId="77777777" w:rsidR="00542FE2" w:rsidRPr="00211051" w:rsidRDefault="00542FE2" w:rsidP="00BD4374">
      <w:pPr>
        <w:widowControl w:val="0"/>
        <w:autoSpaceDE w:val="0"/>
        <w:autoSpaceDN w:val="0"/>
        <w:adjustRightInd w:val="0"/>
        <w:spacing w:line="259" w:lineRule="auto"/>
        <w:rPr>
          <w:rFonts w:asciiTheme="majorHAnsi" w:hAnsiTheme="majorHAnsi" w:cstheme="majorHAnsi"/>
        </w:rPr>
      </w:pPr>
    </w:p>
    <w:p w14:paraId="4BA8396A" w14:textId="193802EC" w:rsidR="007D3E1D" w:rsidRPr="00211051" w:rsidRDefault="00B65A29"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In the Committee’s </w:t>
      </w:r>
      <w:r w:rsidR="003F04D4" w:rsidRPr="00211051">
        <w:rPr>
          <w:rFonts w:asciiTheme="majorHAnsi" w:hAnsiTheme="majorHAnsi" w:cstheme="majorHAnsi"/>
        </w:rPr>
        <w:t>previous Concluding Observations,</w:t>
      </w:r>
      <w:r w:rsidR="007D3E1D" w:rsidRPr="00211051">
        <w:rPr>
          <w:rFonts w:asciiTheme="majorHAnsi" w:hAnsiTheme="majorHAnsi" w:cstheme="majorHAnsi"/>
        </w:rPr>
        <w:t xml:space="preserve"> </w:t>
      </w:r>
      <w:r w:rsidR="003F04D4" w:rsidRPr="00211051">
        <w:rPr>
          <w:rFonts w:asciiTheme="majorHAnsi" w:hAnsiTheme="majorHAnsi" w:cstheme="majorHAnsi"/>
          <w:i/>
        </w:rPr>
        <w:t>the Committee called</w:t>
      </w:r>
      <w:r w:rsidR="007D3E1D" w:rsidRPr="00211051">
        <w:rPr>
          <w:rFonts w:asciiTheme="majorHAnsi" w:hAnsiTheme="majorHAnsi" w:cstheme="majorHAnsi"/>
          <w:i/>
        </w:rPr>
        <w:t xml:space="preserve"> upon the State party </w:t>
      </w:r>
      <w:r w:rsidR="003F04D4" w:rsidRPr="00211051">
        <w:rPr>
          <w:rFonts w:asciiTheme="majorHAnsi" w:hAnsiTheme="majorHAnsi" w:cstheme="majorHAnsi"/>
          <w:i/>
        </w:rPr>
        <w:t>“</w:t>
      </w:r>
      <w:r w:rsidR="007D3E1D" w:rsidRPr="00211051">
        <w:rPr>
          <w:rFonts w:asciiTheme="majorHAnsi" w:hAnsiTheme="majorHAnsi" w:cstheme="majorHAnsi"/>
          <w:i/>
        </w:rPr>
        <w:t xml:space="preserve">to repeal as a matter of priority all legal provisions that continue to discriminate against women, including those contained in the Penal Code and the Personal Status Law. </w:t>
      </w:r>
      <w:r w:rsidR="007D3E1D" w:rsidRPr="00211051">
        <w:rPr>
          <w:rFonts w:asciiTheme="majorHAnsi" w:hAnsiTheme="majorHAnsi" w:cstheme="majorHAnsi"/>
          <w:bCs/>
        </w:rPr>
        <w:t>(CEDAW/C/ARE/CO/2-3</w:t>
      </w:r>
      <w:r w:rsidR="003F04D4" w:rsidRPr="00211051">
        <w:rPr>
          <w:rFonts w:asciiTheme="majorHAnsi" w:hAnsiTheme="majorHAnsi" w:cstheme="majorHAnsi"/>
          <w:bCs/>
        </w:rPr>
        <w:t>, para. 14</w:t>
      </w:r>
      <w:r w:rsidR="007D3E1D" w:rsidRPr="00211051">
        <w:rPr>
          <w:rFonts w:asciiTheme="majorHAnsi" w:hAnsiTheme="majorHAnsi" w:cstheme="majorHAnsi"/>
          <w:bCs/>
        </w:rPr>
        <w:t>)</w:t>
      </w:r>
      <w:r w:rsidR="00D96126" w:rsidRPr="00211051">
        <w:rPr>
          <w:rFonts w:asciiTheme="majorHAnsi" w:hAnsiTheme="majorHAnsi" w:cstheme="majorHAnsi"/>
          <w:bCs/>
        </w:rPr>
        <w:t>.</w:t>
      </w:r>
      <w:r w:rsidR="00370D5B" w:rsidRPr="00211051">
        <w:rPr>
          <w:rFonts w:asciiTheme="majorHAnsi" w:hAnsiTheme="majorHAnsi" w:cstheme="majorHAnsi"/>
          <w:bCs/>
        </w:rPr>
        <w:t xml:space="preserve">  </w:t>
      </w:r>
      <w:r w:rsidR="00370D5B" w:rsidRPr="00211051">
        <w:rPr>
          <w:rFonts w:asciiTheme="majorHAnsi" w:hAnsiTheme="majorHAnsi" w:cstheme="majorHAnsi"/>
        </w:rPr>
        <w:t>Article 334 of the Federal Law No. 28 of 2005 on Personal Status prescribes that males inherit twice as much as females where there are both male and female heirs.</w:t>
      </w:r>
      <w:r w:rsidR="00370D5B" w:rsidRPr="00211051">
        <w:rPr>
          <w:rStyle w:val="FootnoteReference"/>
          <w:rFonts w:asciiTheme="majorHAnsi" w:hAnsiTheme="majorHAnsi" w:cstheme="majorHAnsi"/>
        </w:rPr>
        <w:footnoteReference w:id="9"/>
      </w:r>
      <w:r w:rsidR="00370D5B" w:rsidRPr="00211051">
        <w:rPr>
          <w:rFonts w:asciiTheme="majorHAnsi" w:hAnsiTheme="majorHAnsi" w:cstheme="majorHAnsi"/>
        </w:rPr>
        <w:t xml:space="preserve">  </w:t>
      </w:r>
      <w:r w:rsidR="00370D5B" w:rsidRPr="00211051">
        <w:rPr>
          <w:rFonts w:asciiTheme="majorHAnsi" w:hAnsiTheme="majorHAnsi" w:cstheme="majorHAnsi"/>
          <w:bCs/>
        </w:rPr>
        <w:t>This and other</w:t>
      </w:r>
      <w:r w:rsidR="005845F4" w:rsidRPr="00211051">
        <w:rPr>
          <w:rFonts w:asciiTheme="majorHAnsi" w:hAnsiTheme="majorHAnsi" w:cstheme="majorHAnsi"/>
          <w:bCs/>
        </w:rPr>
        <w:t xml:space="preserve"> discriminatory provisions</w:t>
      </w:r>
      <w:r w:rsidR="00370D5B" w:rsidRPr="00211051">
        <w:rPr>
          <w:rFonts w:asciiTheme="majorHAnsi" w:hAnsiTheme="majorHAnsi" w:cstheme="majorHAnsi"/>
          <w:bCs/>
        </w:rPr>
        <w:t xml:space="preserve"> should be amended or repealed so that women are no longer discriminated against in matters of</w:t>
      </w:r>
      <w:r w:rsidR="005845F4" w:rsidRPr="00211051">
        <w:rPr>
          <w:rFonts w:asciiTheme="majorHAnsi" w:hAnsiTheme="majorHAnsi" w:cstheme="majorHAnsi"/>
          <w:bCs/>
        </w:rPr>
        <w:t xml:space="preserve"> inheritance or</w:t>
      </w:r>
      <w:r w:rsidR="00370D5B" w:rsidRPr="00211051">
        <w:rPr>
          <w:rFonts w:asciiTheme="majorHAnsi" w:hAnsiTheme="majorHAnsi" w:cstheme="majorHAnsi"/>
          <w:bCs/>
        </w:rPr>
        <w:t xml:space="preserve"> any other aspect of their family, personal status or public life. </w:t>
      </w:r>
    </w:p>
    <w:p w14:paraId="5257CA99" w14:textId="77777777" w:rsidR="007D3E1D" w:rsidRPr="00211051" w:rsidRDefault="007D3E1D" w:rsidP="00BD4374">
      <w:pPr>
        <w:widowControl w:val="0"/>
        <w:autoSpaceDE w:val="0"/>
        <w:autoSpaceDN w:val="0"/>
        <w:adjustRightInd w:val="0"/>
        <w:spacing w:line="259" w:lineRule="auto"/>
        <w:rPr>
          <w:rFonts w:asciiTheme="majorHAnsi" w:hAnsiTheme="majorHAnsi" w:cstheme="majorHAnsi"/>
        </w:rPr>
      </w:pPr>
    </w:p>
    <w:p w14:paraId="115C2854" w14:textId="0729EFB8" w:rsidR="00B36664" w:rsidRPr="00211051" w:rsidRDefault="00B36664" w:rsidP="00B36664">
      <w:pPr>
        <w:rPr>
          <w:rFonts w:asciiTheme="majorHAnsi" w:hAnsiTheme="majorHAnsi" w:cstheme="majorHAnsi"/>
          <w:i/>
        </w:rPr>
      </w:pPr>
      <w:r w:rsidRPr="00211051">
        <w:rPr>
          <w:rFonts w:asciiTheme="majorHAnsi" w:hAnsiTheme="majorHAnsi" w:cstheme="majorHAnsi"/>
          <w:b/>
          <w:bCs/>
          <w:i/>
          <w:color w:val="000000"/>
        </w:rPr>
        <w:t>Action to address Female Genital Mutilation (FGM)</w:t>
      </w:r>
      <w:r w:rsidR="007D3E1D" w:rsidRPr="00211051">
        <w:rPr>
          <w:rFonts w:asciiTheme="majorHAnsi" w:hAnsiTheme="majorHAnsi" w:cstheme="majorHAnsi"/>
          <w:b/>
          <w:bCs/>
          <w:i/>
          <w:color w:val="000000"/>
        </w:rPr>
        <w:t xml:space="preserve"> in the United Arab Emirates</w:t>
      </w:r>
    </w:p>
    <w:p w14:paraId="26B5C9FD" w14:textId="63417B8C" w:rsidR="009939E1" w:rsidRPr="00211051" w:rsidRDefault="00B36664" w:rsidP="00B36664">
      <w:pPr>
        <w:rPr>
          <w:rFonts w:asciiTheme="majorHAnsi" w:hAnsiTheme="majorHAnsi" w:cstheme="majorHAnsi"/>
        </w:rPr>
      </w:pPr>
      <w:r w:rsidRPr="00211051">
        <w:rPr>
          <w:rFonts w:asciiTheme="majorHAnsi" w:hAnsiTheme="majorHAnsi" w:cstheme="majorHAnsi"/>
        </w:rPr>
        <w:br/>
      </w:r>
      <w:r w:rsidR="006D34B1" w:rsidRPr="00211051">
        <w:rPr>
          <w:rFonts w:asciiTheme="majorHAnsi" w:hAnsiTheme="majorHAnsi" w:cstheme="majorHAnsi"/>
        </w:rPr>
        <w:t>In response to the Committee’s request for the government to provide information on</w:t>
      </w:r>
      <w:r w:rsidR="00B253DE" w:rsidRPr="00211051">
        <w:rPr>
          <w:rFonts w:asciiTheme="majorHAnsi" w:hAnsiTheme="majorHAnsi" w:cstheme="majorHAnsi"/>
        </w:rPr>
        <w:t xml:space="preserve"> legislative and other</w:t>
      </w:r>
      <w:r w:rsidR="006D34B1" w:rsidRPr="00211051">
        <w:rPr>
          <w:rFonts w:asciiTheme="majorHAnsi" w:hAnsiTheme="majorHAnsi" w:cstheme="majorHAnsi"/>
        </w:rPr>
        <w:t xml:space="preserve"> measures taken to</w:t>
      </w:r>
      <w:r w:rsidR="00B253DE" w:rsidRPr="00211051">
        <w:rPr>
          <w:rFonts w:asciiTheme="majorHAnsi" w:hAnsiTheme="majorHAnsi" w:cstheme="majorHAnsi"/>
        </w:rPr>
        <w:t xml:space="preserve"> eliminate female genital mutilation (FGM), the government </w:t>
      </w:r>
      <w:r w:rsidR="00644099" w:rsidRPr="00211051">
        <w:rPr>
          <w:rFonts w:asciiTheme="majorHAnsi" w:hAnsiTheme="majorHAnsi" w:cstheme="majorHAnsi"/>
        </w:rPr>
        <w:t>refus</w:t>
      </w:r>
      <w:r w:rsidR="006A5E75" w:rsidRPr="00211051">
        <w:rPr>
          <w:rFonts w:asciiTheme="majorHAnsi" w:hAnsiTheme="majorHAnsi" w:cstheme="majorHAnsi"/>
        </w:rPr>
        <w:t>ed</w:t>
      </w:r>
      <w:r w:rsidR="00644099" w:rsidRPr="00211051">
        <w:rPr>
          <w:rFonts w:asciiTheme="majorHAnsi" w:hAnsiTheme="majorHAnsi" w:cstheme="majorHAnsi"/>
        </w:rPr>
        <w:t xml:space="preserve"> to acknowledge the persistence of the practice</w:t>
      </w:r>
      <w:r w:rsidR="00C579F9" w:rsidRPr="00211051">
        <w:rPr>
          <w:rFonts w:asciiTheme="majorHAnsi" w:hAnsiTheme="majorHAnsi" w:cstheme="majorHAnsi"/>
        </w:rPr>
        <w:t xml:space="preserve"> and </w:t>
      </w:r>
      <w:r w:rsidR="006A5E75" w:rsidRPr="00211051">
        <w:rPr>
          <w:rFonts w:asciiTheme="majorHAnsi" w:hAnsiTheme="majorHAnsi" w:cstheme="majorHAnsi"/>
        </w:rPr>
        <w:t>demonstrated</w:t>
      </w:r>
      <w:r w:rsidR="00644099" w:rsidRPr="00211051">
        <w:rPr>
          <w:rFonts w:asciiTheme="majorHAnsi" w:hAnsiTheme="majorHAnsi" w:cstheme="majorHAnsi"/>
        </w:rPr>
        <w:t xml:space="preserve"> its willingness to combat it:</w:t>
      </w:r>
    </w:p>
    <w:p w14:paraId="675F3BAF" w14:textId="77777777" w:rsidR="006A5E75" w:rsidRPr="00211051" w:rsidRDefault="006A5E75" w:rsidP="00B36664">
      <w:pPr>
        <w:rPr>
          <w:rFonts w:asciiTheme="majorHAnsi" w:hAnsiTheme="majorHAnsi" w:cstheme="majorHAnsi"/>
          <w:color w:val="000000"/>
        </w:rPr>
      </w:pPr>
    </w:p>
    <w:p w14:paraId="164D63B1" w14:textId="6088B949" w:rsidR="009939E1" w:rsidRPr="00211051" w:rsidRDefault="00644099" w:rsidP="00644099">
      <w:pPr>
        <w:ind w:left="720"/>
        <w:rPr>
          <w:rFonts w:asciiTheme="majorHAnsi" w:hAnsiTheme="majorHAnsi" w:cstheme="majorHAnsi"/>
          <w:color w:val="000000"/>
        </w:rPr>
      </w:pPr>
      <w:r w:rsidRPr="00211051">
        <w:rPr>
          <w:rFonts w:asciiTheme="majorHAnsi" w:hAnsiTheme="majorHAnsi" w:cstheme="majorHAnsi"/>
          <w:i/>
          <w:iCs/>
          <w:color w:val="000000"/>
        </w:rPr>
        <w:t>“</w:t>
      </w:r>
      <w:r w:rsidR="009939E1" w:rsidRPr="00211051">
        <w:rPr>
          <w:rFonts w:asciiTheme="majorHAnsi" w:hAnsiTheme="majorHAnsi" w:cstheme="majorHAnsi"/>
          <w:i/>
          <w:iCs/>
          <w:color w:val="000000"/>
        </w:rPr>
        <w:t xml:space="preserve">With regard to legislative and other measures adopted to eradicate harmful practices: such procedures are not performed at medical </w:t>
      </w:r>
      <w:proofErr w:type="spellStart"/>
      <w:r w:rsidR="009939E1" w:rsidRPr="00211051">
        <w:rPr>
          <w:rFonts w:asciiTheme="majorHAnsi" w:hAnsiTheme="majorHAnsi" w:cstheme="majorHAnsi"/>
          <w:i/>
          <w:iCs/>
          <w:color w:val="000000"/>
        </w:rPr>
        <w:t>centres</w:t>
      </w:r>
      <w:proofErr w:type="spellEnd"/>
      <w:r w:rsidR="009939E1" w:rsidRPr="00211051">
        <w:rPr>
          <w:rFonts w:asciiTheme="majorHAnsi" w:hAnsiTheme="majorHAnsi" w:cstheme="majorHAnsi"/>
          <w:i/>
          <w:iCs/>
          <w:color w:val="000000"/>
        </w:rPr>
        <w:t xml:space="preserve"> or hospitals. They have not been reported among members of society, and no complaint to that effect has been received. That traditional practice has died as a result of sociocultural progress.</w:t>
      </w:r>
      <w:r w:rsidRPr="00211051">
        <w:rPr>
          <w:rFonts w:asciiTheme="majorHAnsi" w:hAnsiTheme="majorHAnsi" w:cstheme="majorHAnsi"/>
          <w:i/>
          <w:iCs/>
          <w:color w:val="000000"/>
        </w:rPr>
        <w:t>”</w:t>
      </w:r>
      <w:r w:rsidR="008E3DC6" w:rsidRPr="00211051">
        <w:rPr>
          <w:rFonts w:asciiTheme="majorHAnsi" w:hAnsiTheme="majorHAnsi" w:cstheme="majorHAnsi"/>
          <w:color w:val="000000"/>
        </w:rPr>
        <w:t xml:space="preserve"> (</w:t>
      </w:r>
      <w:r w:rsidR="008E3DC6" w:rsidRPr="00211051">
        <w:rPr>
          <w:rFonts w:asciiTheme="majorHAnsi" w:hAnsiTheme="majorHAnsi" w:cstheme="majorHAnsi"/>
        </w:rPr>
        <w:t>CEDAW/C/ARE/RQ/4, para. 8)</w:t>
      </w:r>
    </w:p>
    <w:p w14:paraId="2DD7DDE6" w14:textId="77777777" w:rsidR="009939E1" w:rsidRPr="00211051" w:rsidRDefault="009939E1" w:rsidP="00B36664">
      <w:pPr>
        <w:rPr>
          <w:rFonts w:asciiTheme="majorHAnsi" w:hAnsiTheme="majorHAnsi" w:cstheme="majorHAnsi"/>
          <w:color w:val="000000"/>
        </w:rPr>
      </w:pPr>
    </w:p>
    <w:p w14:paraId="1B086E99" w14:textId="74397B8A" w:rsidR="00B36664" w:rsidRPr="00211051" w:rsidRDefault="009939E1" w:rsidP="00B36664">
      <w:pPr>
        <w:rPr>
          <w:rFonts w:asciiTheme="majorHAnsi" w:hAnsiTheme="majorHAnsi" w:cstheme="majorHAnsi"/>
        </w:rPr>
      </w:pPr>
      <w:r w:rsidRPr="00211051">
        <w:rPr>
          <w:rFonts w:asciiTheme="majorHAnsi" w:hAnsiTheme="majorHAnsi" w:cstheme="majorHAnsi"/>
          <w:color w:val="000000"/>
        </w:rPr>
        <w:lastRenderedPageBreak/>
        <w:t>While t</w:t>
      </w:r>
      <w:r w:rsidR="00B36664" w:rsidRPr="00211051">
        <w:rPr>
          <w:rFonts w:asciiTheme="majorHAnsi" w:hAnsiTheme="majorHAnsi" w:cstheme="majorHAnsi"/>
          <w:color w:val="000000"/>
        </w:rPr>
        <w:t>here is currently no data available on the nation-wide prevalence of FGM in the UAE, small-scale studies and independent research have indicated a fairly high prevalence of FGM within the sample of women surveyed.</w:t>
      </w:r>
      <w:r w:rsidR="00497B32">
        <w:rPr>
          <w:rFonts w:asciiTheme="majorHAnsi" w:hAnsiTheme="majorHAnsi" w:cstheme="majorHAnsi"/>
          <w:color w:val="000000"/>
        </w:rPr>
        <w:t xml:space="preserve"> Though the practice of FGM is banned in state hospitals and clinics as noted by the government, independent research studies have shown that FGM is continuing to take place, carried out by traditional practitioners as well as in private hospitals and clinics.</w:t>
      </w:r>
      <w:r w:rsidR="00B36664" w:rsidRPr="00211051">
        <w:rPr>
          <w:rFonts w:asciiTheme="majorHAnsi" w:hAnsiTheme="majorHAnsi" w:cstheme="majorHAnsi"/>
          <w:color w:val="000000"/>
        </w:rPr>
        <w:t xml:space="preserve"> A 2011 survey of 100 Emirati women found that 34% of respondents had undergone FGM.</w:t>
      </w:r>
      <w:r w:rsidR="00C87A39">
        <w:rPr>
          <w:rStyle w:val="FootnoteReference"/>
          <w:rFonts w:cstheme="majorHAnsi"/>
          <w:color w:val="000000"/>
        </w:rPr>
        <w:footnoteReference w:id="10"/>
      </w:r>
      <w:r w:rsidR="00B36664" w:rsidRPr="00211051">
        <w:rPr>
          <w:rFonts w:asciiTheme="majorHAnsi" w:hAnsiTheme="majorHAnsi" w:cstheme="majorHAnsi"/>
          <w:color w:val="000000"/>
        </w:rPr>
        <w:t xml:space="preserve"> In April 2020, the available evidence on FGM in the UAE was sign</w:t>
      </w:r>
      <w:r w:rsidR="007D3E1D" w:rsidRPr="00211051">
        <w:rPr>
          <w:rFonts w:asciiTheme="majorHAnsi" w:hAnsiTheme="majorHAnsi" w:cstheme="majorHAnsi"/>
          <w:color w:val="000000"/>
        </w:rPr>
        <w:t>i</w:t>
      </w:r>
      <w:r w:rsidR="00B36664" w:rsidRPr="00211051">
        <w:rPr>
          <w:rFonts w:asciiTheme="majorHAnsi" w:hAnsiTheme="majorHAnsi" w:cstheme="majorHAnsi"/>
          <w:color w:val="000000"/>
        </w:rPr>
        <w:t xml:space="preserve">ficantly enhanced by the publication of a new study which surveyed 1035 persons in Abu Dhabi (of which 831 were women). </w:t>
      </w:r>
      <w:r w:rsidR="00497B32">
        <w:rPr>
          <w:rFonts w:asciiTheme="majorHAnsi" w:hAnsiTheme="majorHAnsi" w:cstheme="majorHAnsi"/>
          <w:color w:val="000000"/>
        </w:rPr>
        <w:t xml:space="preserve">Of the persons surveyed, 62.5% were Emirati nationals, while the remaining were from other Arab countries, Asia, Africa, Europe and the Americas. </w:t>
      </w:r>
      <w:r w:rsidR="00B36664" w:rsidRPr="00211051">
        <w:rPr>
          <w:rFonts w:asciiTheme="majorHAnsi" w:hAnsiTheme="majorHAnsi" w:cstheme="majorHAnsi"/>
          <w:color w:val="000000"/>
        </w:rPr>
        <w:t>The study found an FGM prevalence rate of 41.4% amongst the female participants of the study.</w:t>
      </w:r>
      <w:r w:rsidR="00497B32">
        <w:rPr>
          <w:rFonts w:asciiTheme="majorHAnsi" w:hAnsiTheme="majorHAnsi" w:cstheme="majorHAnsi"/>
          <w:color w:val="000000"/>
        </w:rPr>
        <w:t xml:space="preserve"> It found that FGM prevalence was</w:t>
      </w:r>
      <w:r w:rsidR="00B36664" w:rsidRPr="00211051">
        <w:rPr>
          <w:rFonts w:asciiTheme="majorHAnsi" w:hAnsiTheme="majorHAnsi" w:cstheme="majorHAnsi"/>
          <w:color w:val="000000"/>
        </w:rPr>
        <w:t xml:space="preserve"> </w:t>
      </w:r>
      <w:r w:rsidR="00497B32">
        <w:rPr>
          <w:rFonts w:asciiTheme="majorHAnsi" w:hAnsiTheme="majorHAnsi" w:cstheme="majorHAnsi"/>
          <w:color w:val="000000"/>
        </w:rPr>
        <w:t xml:space="preserve">highest amongst women from GCC nations (54.5%) and UAE (51.9%) respectively. </w:t>
      </w:r>
      <w:r w:rsidR="00B36664" w:rsidRPr="00211051">
        <w:rPr>
          <w:rFonts w:asciiTheme="majorHAnsi" w:hAnsiTheme="majorHAnsi" w:cstheme="majorHAnsi"/>
          <w:color w:val="000000"/>
          <w:shd w:val="clear" w:color="auto" w:fill="FFFFFF"/>
        </w:rPr>
        <w:t>It also found that the most common type of FGM performed in the UAE was Type 1 (partial or total removal of the clitoris and/or the clitoral hood).</w:t>
      </w:r>
      <w:r w:rsidR="00497B32">
        <w:rPr>
          <w:rFonts w:asciiTheme="majorHAnsi" w:hAnsiTheme="majorHAnsi" w:cstheme="majorHAnsi"/>
          <w:color w:val="000000"/>
          <w:shd w:val="clear" w:color="auto" w:fill="FFFFFF"/>
        </w:rPr>
        <w:t xml:space="preserve"> 13.7% of the participants’ daughters had also undergone FGM. </w:t>
      </w:r>
      <w:r w:rsidR="00C87A39">
        <w:rPr>
          <w:rStyle w:val="FootnoteReference"/>
          <w:rFonts w:cstheme="majorHAnsi"/>
          <w:color w:val="000000"/>
          <w:shd w:val="clear" w:color="auto" w:fill="FFFFFF"/>
        </w:rPr>
        <w:footnoteReference w:id="11"/>
      </w:r>
      <w:r w:rsidR="00B36664" w:rsidRPr="00211051">
        <w:rPr>
          <w:rFonts w:asciiTheme="majorHAnsi" w:hAnsiTheme="majorHAnsi" w:cstheme="majorHAnsi"/>
          <w:color w:val="000000"/>
          <w:shd w:val="clear" w:color="auto" w:fill="FFFFFF"/>
        </w:rPr>
        <w:t xml:space="preserve"> However, the lack of national data on FGM in the country means that is difficult to determine whether the practice of FGM is spread throughout the country, to identify areas/communities where prevalence is highest, and to design </w:t>
      </w:r>
      <w:r w:rsidR="00B36664" w:rsidRPr="00211051">
        <w:rPr>
          <w:rFonts w:asciiTheme="majorHAnsi" w:hAnsiTheme="majorHAnsi" w:cstheme="majorHAnsi"/>
          <w:color w:val="000000"/>
        </w:rPr>
        <w:t>prevention and protection interventions to effectively tackle FGM and provide care for survivors. </w:t>
      </w:r>
      <w:r w:rsidR="00B36664" w:rsidRPr="00211051">
        <w:rPr>
          <w:rFonts w:asciiTheme="majorHAnsi" w:hAnsiTheme="majorHAnsi" w:cstheme="majorHAnsi"/>
        </w:rPr>
        <w:br/>
      </w:r>
    </w:p>
    <w:p w14:paraId="67FF6DDC" w14:textId="4C1646F3" w:rsidR="00B36664" w:rsidRPr="00211051" w:rsidRDefault="00B36664" w:rsidP="007D3E1D">
      <w:pPr>
        <w:jc w:val="both"/>
        <w:textAlignment w:val="baseline"/>
        <w:rPr>
          <w:rFonts w:asciiTheme="majorHAnsi" w:hAnsiTheme="majorHAnsi" w:cstheme="majorHAnsi"/>
          <w:color w:val="000000"/>
        </w:rPr>
      </w:pPr>
      <w:r w:rsidRPr="00211051">
        <w:rPr>
          <w:rFonts w:asciiTheme="majorHAnsi" w:hAnsiTheme="majorHAnsi" w:cstheme="majorHAnsi"/>
          <w:color w:val="000000"/>
          <w:shd w:val="clear" w:color="auto" w:fill="FFFFFF"/>
        </w:rPr>
        <w:t>FGM is not specifically prohibited by law in the UAE. Article 2(f) of CEDAW obliges States Parties to undertake all appropriate measures, including legislation, to modify or abolish existing laws, regulations, customs and practices that constitute discrimination against women. </w:t>
      </w:r>
    </w:p>
    <w:p w14:paraId="32CA5781" w14:textId="76454817" w:rsidR="00807AAF" w:rsidRPr="00211051" w:rsidRDefault="00807AAF" w:rsidP="00BD4374">
      <w:pPr>
        <w:widowControl w:val="0"/>
        <w:autoSpaceDE w:val="0"/>
        <w:autoSpaceDN w:val="0"/>
        <w:adjustRightInd w:val="0"/>
        <w:spacing w:line="259" w:lineRule="auto"/>
        <w:rPr>
          <w:rFonts w:asciiTheme="majorHAnsi" w:hAnsiTheme="majorHAnsi" w:cstheme="majorHAnsi"/>
        </w:rPr>
      </w:pPr>
    </w:p>
    <w:p w14:paraId="6BBDBBE1" w14:textId="6987E0B7" w:rsidR="004D7435" w:rsidRPr="00211051" w:rsidRDefault="004D7435" w:rsidP="00BD4374">
      <w:pPr>
        <w:widowControl w:val="0"/>
        <w:autoSpaceDE w:val="0"/>
        <w:autoSpaceDN w:val="0"/>
        <w:adjustRightInd w:val="0"/>
        <w:spacing w:line="259" w:lineRule="auto"/>
        <w:rPr>
          <w:rFonts w:asciiTheme="majorHAnsi" w:hAnsiTheme="majorHAnsi" w:cstheme="majorHAnsi"/>
          <w:b/>
          <w:i/>
          <w:iCs/>
        </w:rPr>
      </w:pPr>
      <w:r w:rsidRPr="00211051">
        <w:rPr>
          <w:rFonts w:asciiTheme="majorHAnsi" w:hAnsiTheme="majorHAnsi" w:cstheme="majorHAnsi"/>
          <w:b/>
          <w:i/>
          <w:iCs/>
        </w:rPr>
        <w:t xml:space="preserve">Suggested </w:t>
      </w:r>
      <w:r w:rsidR="00644099" w:rsidRPr="00211051">
        <w:rPr>
          <w:rFonts w:asciiTheme="majorHAnsi" w:hAnsiTheme="majorHAnsi" w:cstheme="majorHAnsi"/>
          <w:b/>
          <w:i/>
          <w:iCs/>
        </w:rPr>
        <w:t>Recommendations</w:t>
      </w:r>
      <w:r w:rsidRPr="00211051">
        <w:rPr>
          <w:rFonts w:asciiTheme="majorHAnsi" w:hAnsiTheme="majorHAnsi" w:cstheme="majorHAnsi"/>
          <w:b/>
          <w:i/>
          <w:iCs/>
        </w:rPr>
        <w:t xml:space="preserve"> for the State Party</w:t>
      </w:r>
    </w:p>
    <w:p w14:paraId="68DD9533" w14:textId="77777777" w:rsidR="004D7435" w:rsidRPr="00211051" w:rsidRDefault="004D7435" w:rsidP="00BD4374">
      <w:pPr>
        <w:widowControl w:val="0"/>
        <w:autoSpaceDE w:val="0"/>
        <w:autoSpaceDN w:val="0"/>
        <w:adjustRightInd w:val="0"/>
        <w:spacing w:line="259" w:lineRule="auto"/>
        <w:rPr>
          <w:rFonts w:asciiTheme="majorHAnsi" w:hAnsiTheme="majorHAnsi" w:cstheme="majorHAnsi"/>
        </w:rPr>
      </w:pPr>
    </w:p>
    <w:p w14:paraId="212E2946" w14:textId="622D8665" w:rsidR="00EA030E" w:rsidRPr="00211051" w:rsidRDefault="00EA030E" w:rsidP="00BD4374">
      <w:pPr>
        <w:widowControl w:val="0"/>
        <w:autoSpaceDE w:val="0"/>
        <w:autoSpaceDN w:val="0"/>
        <w:adjustRightInd w:val="0"/>
        <w:spacing w:line="259" w:lineRule="auto"/>
        <w:rPr>
          <w:rFonts w:asciiTheme="majorHAnsi" w:hAnsiTheme="majorHAnsi" w:cstheme="majorHAnsi"/>
          <w:color w:val="000000"/>
        </w:rPr>
      </w:pPr>
      <w:r w:rsidRPr="00211051">
        <w:rPr>
          <w:rFonts w:asciiTheme="majorHAnsi" w:hAnsiTheme="majorHAnsi" w:cstheme="majorHAnsi"/>
        </w:rPr>
        <w:t xml:space="preserve">In the context of the issues raised in this submission, and drawing the Committee’s attention in particular to </w:t>
      </w:r>
      <w:r w:rsidR="00F769CE" w:rsidRPr="00211051">
        <w:rPr>
          <w:rFonts w:asciiTheme="majorHAnsi" w:hAnsiTheme="majorHAnsi" w:cstheme="majorHAnsi"/>
        </w:rPr>
        <w:t>the UAE’s</w:t>
      </w:r>
      <w:r w:rsidRPr="00211051">
        <w:rPr>
          <w:rFonts w:asciiTheme="majorHAnsi" w:hAnsiTheme="majorHAnsi" w:cstheme="majorHAnsi"/>
        </w:rPr>
        <w:t xml:space="preserve"> failure to implement the previous recommendations of the Committee and other human rights mechanisms, the co-submitting </w:t>
      </w:r>
      <w:r w:rsidR="000E457B" w:rsidRPr="00211051">
        <w:rPr>
          <w:rFonts w:asciiTheme="majorHAnsi" w:hAnsiTheme="majorHAnsi" w:cstheme="majorHAnsi"/>
        </w:rPr>
        <w:t>organizations</w:t>
      </w:r>
      <w:r w:rsidRPr="00211051">
        <w:rPr>
          <w:rFonts w:asciiTheme="majorHAnsi" w:hAnsiTheme="majorHAnsi" w:cstheme="majorHAnsi"/>
        </w:rPr>
        <w:t xml:space="preserve"> </w:t>
      </w:r>
      <w:r w:rsidR="004D7435" w:rsidRPr="00211051">
        <w:rPr>
          <w:rFonts w:asciiTheme="majorHAnsi" w:hAnsiTheme="majorHAnsi" w:cstheme="majorHAnsi"/>
        </w:rPr>
        <w:t xml:space="preserve">respectfully </w:t>
      </w:r>
      <w:r w:rsidR="00FB0B3C" w:rsidRPr="00211051">
        <w:rPr>
          <w:rFonts w:asciiTheme="majorHAnsi" w:hAnsiTheme="majorHAnsi" w:cstheme="majorHAnsi"/>
          <w:color w:val="000000"/>
        </w:rPr>
        <w:t>urge the Committee to call on the government of the United Arab Emirates to:</w:t>
      </w:r>
    </w:p>
    <w:p w14:paraId="5BD6300F" w14:textId="42FE8FE2" w:rsidR="00FB0B3C" w:rsidRPr="00211051" w:rsidRDefault="00FB0B3C" w:rsidP="00BD4374">
      <w:pPr>
        <w:widowControl w:val="0"/>
        <w:autoSpaceDE w:val="0"/>
        <w:autoSpaceDN w:val="0"/>
        <w:adjustRightInd w:val="0"/>
        <w:spacing w:line="259" w:lineRule="auto"/>
        <w:rPr>
          <w:rFonts w:asciiTheme="majorHAnsi" w:hAnsiTheme="majorHAnsi" w:cstheme="majorHAnsi"/>
          <w:color w:val="000000"/>
        </w:rPr>
      </w:pPr>
    </w:p>
    <w:p w14:paraId="312B0DF2" w14:textId="3F0AB319" w:rsidR="00FB0B3C" w:rsidRPr="00211051" w:rsidRDefault="00FB0B3C" w:rsidP="00FB0B3C">
      <w:pPr>
        <w:pStyle w:val="ListParagraph"/>
        <w:numPr>
          <w:ilvl w:val="0"/>
          <w:numId w:val="10"/>
        </w:numPr>
        <w:spacing w:after="160" w:line="259" w:lineRule="auto"/>
        <w:jc w:val="both"/>
        <w:rPr>
          <w:rFonts w:asciiTheme="majorHAnsi" w:hAnsiTheme="majorHAnsi" w:cstheme="majorHAnsi"/>
        </w:rPr>
      </w:pPr>
      <w:r w:rsidRPr="00211051">
        <w:rPr>
          <w:rFonts w:asciiTheme="majorHAnsi" w:hAnsiTheme="majorHAnsi" w:cstheme="majorHAnsi"/>
        </w:rPr>
        <w:t xml:space="preserve">Reform </w:t>
      </w:r>
      <w:r w:rsidRPr="00211051">
        <w:rPr>
          <w:rFonts w:asciiTheme="majorHAnsi" w:hAnsiTheme="majorHAnsi" w:cstheme="majorHAnsi"/>
          <w:bCs/>
        </w:rPr>
        <w:t xml:space="preserve">the Nationality Code </w:t>
      </w:r>
      <w:r w:rsidRPr="00211051">
        <w:rPr>
          <w:rFonts w:asciiTheme="majorHAnsi" w:hAnsiTheme="majorHAnsi" w:cstheme="majorHAnsi"/>
        </w:rPr>
        <w:t>to uphold the right of Emirati women to confer nationality on their child and noncitizen spouse on an equal basis with Emirati men</w:t>
      </w:r>
      <w:r w:rsidR="00644099" w:rsidRPr="00211051">
        <w:rPr>
          <w:rFonts w:asciiTheme="majorHAnsi" w:hAnsiTheme="majorHAnsi" w:cstheme="majorHAnsi"/>
        </w:rPr>
        <w:t>;</w:t>
      </w:r>
    </w:p>
    <w:p w14:paraId="2857A772" w14:textId="0F840BE4" w:rsidR="00FB0B3C" w:rsidRPr="00211051" w:rsidRDefault="00FB0B3C" w:rsidP="00FB0B3C">
      <w:pPr>
        <w:pStyle w:val="ListParagraph"/>
        <w:numPr>
          <w:ilvl w:val="0"/>
          <w:numId w:val="10"/>
        </w:numPr>
        <w:spacing w:after="160" w:line="259" w:lineRule="auto"/>
        <w:jc w:val="both"/>
        <w:rPr>
          <w:rFonts w:asciiTheme="majorHAnsi" w:hAnsiTheme="majorHAnsi" w:cstheme="majorHAnsi"/>
        </w:rPr>
      </w:pPr>
      <w:r w:rsidRPr="00211051">
        <w:rPr>
          <w:rFonts w:asciiTheme="majorHAnsi" w:hAnsiTheme="majorHAnsi" w:cstheme="majorHAnsi"/>
        </w:rPr>
        <w:t>R</w:t>
      </w:r>
      <w:r w:rsidR="0052328D" w:rsidRPr="00211051">
        <w:rPr>
          <w:rFonts w:asciiTheme="majorHAnsi" w:hAnsiTheme="majorHAnsi" w:cstheme="majorHAnsi"/>
        </w:rPr>
        <w:t xml:space="preserve">epeal or amend all sex discriminatory legislation, including specific laws such as Article 334 of the Federal Law No. 28 of 2005 on Personal Status which allows </w:t>
      </w:r>
      <w:r w:rsidR="0052328D" w:rsidRPr="00211051">
        <w:rPr>
          <w:rFonts w:asciiTheme="majorHAnsi" w:hAnsiTheme="majorHAnsi" w:cstheme="majorHAnsi"/>
          <w:i/>
        </w:rPr>
        <w:t>de jure</w:t>
      </w:r>
      <w:r w:rsidR="0052328D" w:rsidRPr="00211051">
        <w:rPr>
          <w:rFonts w:asciiTheme="majorHAnsi" w:hAnsiTheme="majorHAnsi" w:cstheme="majorHAnsi"/>
        </w:rPr>
        <w:t xml:space="preserve"> discrimination in inheritance</w:t>
      </w:r>
      <w:r w:rsidR="00644099" w:rsidRPr="00211051">
        <w:rPr>
          <w:rFonts w:asciiTheme="majorHAnsi" w:hAnsiTheme="majorHAnsi" w:cstheme="majorHAnsi"/>
        </w:rPr>
        <w:t>; and</w:t>
      </w:r>
    </w:p>
    <w:p w14:paraId="3EA91C51" w14:textId="34C302BE" w:rsidR="007D3E1D" w:rsidRPr="00211051" w:rsidRDefault="00FB0B3C" w:rsidP="00FB0B3C">
      <w:pPr>
        <w:pStyle w:val="ListParagraph"/>
        <w:numPr>
          <w:ilvl w:val="0"/>
          <w:numId w:val="10"/>
        </w:numPr>
        <w:spacing w:after="160" w:line="259" w:lineRule="auto"/>
        <w:jc w:val="both"/>
        <w:rPr>
          <w:rFonts w:asciiTheme="majorHAnsi" w:hAnsiTheme="majorHAnsi" w:cstheme="majorHAnsi"/>
        </w:rPr>
      </w:pPr>
      <w:r w:rsidRPr="00211051">
        <w:rPr>
          <w:rFonts w:asciiTheme="majorHAnsi" w:hAnsiTheme="majorHAnsi" w:cstheme="majorHAnsi"/>
          <w:color w:val="000000"/>
        </w:rPr>
        <w:t>Enact and implement a comprehensive law that prohibits FGM and r</w:t>
      </w:r>
      <w:r w:rsidR="007D3E1D" w:rsidRPr="00211051">
        <w:rPr>
          <w:rFonts w:asciiTheme="majorHAnsi" w:hAnsiTheme="majorHAnsi" w:cstheme="majorHAnsi"/>
          <w:color w:val="000000"/>
        </w:rPr>
        <w:t>aise public awareness of the unacceptability of FGM under any circumstances</w:t>
      </w:r>
    </w:p>
    <w:p w14:paraId="7DFEFAD0" w14:textId="77777777" w:rsidR="00C45FFA" w:rsidRPr="00211051" w:rsidRDefault="00C45FFA" w:rsidP="00BD4374">
      <w:pPr>
        <w:widowControl w:val="0"/>
        <w:autoSpaceDE w:val="0"/>
        <w:autoSpaceDN w:val="0"/>
        <w:adjustRightInd w:val="0"/>
        <w:spacing w:line="259" w:lineRule="auto"/>
        <w:rPr>
          <w:rFonts w:asciiTheme="majorHAnsi" w:hAnsiTheme="majorHAnsi" w:cstheme="majorHAnsi"/>
        </w:rPr>
      </w:pPr>
    </w:p>
    <w:p w14:paraId="63507A54" w14:textId="762B80F4" w:rsidR="006A61D2" w:rsidRPr="00211051" w:rsidRDefault="006A61D2"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 xml:space="preserve">Thank you very much for your kind attention, and please do not hesitate to contact us if we can </w:t>
      </w:r>
      <w:r w:rsidRPr="00211051">
        <w:rPr>
          <w:rFonts w:asciiTheme="majorHAnsi" w:hAnsiTheme="majorHAnsi" w:cstheme="majorHAnsi"/>
        </w:rPr>
        <w:lastRenderedPageBreak/>
        <w:t>provide further information.</w:t>
      </w:r>
    </w:p>
    <w:p w14:paraId="47E1B423" w14:textId="4C190AB5" w:rsidR="00884428" w:rsidRPr="00211051" w:rsidRDefault="005E4141"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noProof/>
          <w:lang w:val="en-GB" w:eastAsia="en-GB"/>
        </w:rPr>
        <w:drawing>
          <wp:anchor distT="0" distB="0" distL="114300" distR="114300" simplePos="0" relativeHeight="251656192" behindDoc="1" locked="0" layoutInCell="1" allowOverlap="1" wp14:anchorId="3C8C7579" wp14:editId="77BC9A64">
            <wp:simplePos x="0" y="0"/>
            <wp:positionH relativeFrom="column">
              <wp:posOffset>0</wp:posOffset>
            </wp:positionH>
            <wp:positionV relativeFrom="paragraph">
              <wp:posOffset>-1270</wp:posOffset>
            </wp:positionV>
            <wp:extent cx="1932305" cy="698500"/>
            <wp:effectExtent l="0" t="0" r="0" b="6350"/>
            <wp:wrapTight wrapText="bothSides">
              <wp:wrapPolygon edited="0">
                <wp:start x="0" y="0"/>
                <wp:lineTo x="0" y="21207"/>
                <wp:lineTo x="21295" y="21207"/>
                <wp:lineTo x="2129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932305" cy="698500"/>
                    </a:xfrm>
                    <a:prstGeom prst="rect">
                      <a:avLst/>
                    </a:prstGeom>
                  </pic:spPr>
                </pic:pic>
              </a:graphicData>
            </a:graphic>
            <wp14:sizeRelH relativeFrom="page">
              <wp14:pctWidth>0</wp14:pctWidth>
            </wp14:sizeRelH>
            <wp14:sizeRelV relativeFrom="page">
              <wp14:pctHeight>0</wp14:pctHeight>
            </wp14:sizeRelV>
          </wp:anchor>
        </w:drawing>
      </w:r>
    </w:p>
    <w:p w14:paraId="0E2CE448" w14:textId="2B2B15F2" w:rsidR="00884428" w:rsidRPr="00211051" w:rsidRDefault="00884428" w:rsidP="00BD4374">
      <w:pPr>
        <w:widowControl w:val="0"/>
        <w:autoSpaceDE w:val="0"/>
        <w:autoSpaceDN w:val="0"/>
        <w:adjustRightInd w:val="0"/>
        <w:spacing w:line="259" w:lineRule="auto"/>
        <w:rPr>
          <w:rFonts w:asciiTheme="majorHAnsi" w:hAnsiTheme="majorHAnsi" w:cstheme="majorHAnsi"/>
        </w:rPr>
      </w:pPr>
    </w:p>
    <w:p w14:paraId="23EC385C" w14:textId="67EE3661" w:rsidR="005E4141" w:rsidRPr="00211051" w:rsidRDefault="005E4141" w:rsidP="00BD4374">
      <w:pPr>
        <w:widowControl w:val="0"/>
        <w:autoSpaceDE w:val="0"/>
        <w:autoSpaceDN w:val="0"/>
        <w:adjustRightInd w:val="0"/>
        <w:spacing w:line="259" w:lineRule="auto"/>
        <w:rPr>
          <w:rFonts w:asciiTheme="majorHAnsi" w:hAnsiTheme="majorHAnsi" w:cstheme="majorHAnsi"/>
        </w:rPr>
      </w:pPr>
    </w:p>
    <w:p w14:paraId="17EC3333" w14:textId="77777777" w:rsidR="005E4141" w:rsidRPr="00211051" w:rsidRDefault="005E4141" w:rsidP="00BD4374">
      <w:pPr>
        <w:widowControl w:val="0"/>
        <w:autoSpaceDE w:val="0"/>
        <w:autoSpaceDN w:val="0"/>
        <w:adjustRightInd w:val="0"/>
        <w:spacing w:line="259" w:lineRule="auto"/>
        <w:rPr>
          <w:rFonts w:asciiTheme="majorHAnsi" w:hAnsiTheme="majorHAnsi" w:cstheme="majorHAnsi"/>
        </w:rPr>
      </w:pPr>
    </w:p>
    <w:p w14:paraId="7C5B7524" w14:textId="28384F04" w:rsidR="00884428" w:rsidRPr="00211051" w:rsidRDefault="00884428"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Catherine Harrington</w:t>
      </w:r>
      <w:r w:rsidR="00A55B79" w:rsidRPr="00211051">
        <w:rPr>
          <w:rFonts w:asciiTheme="majorHAnsi" w:hAnsiTheme="majorHAnsi" w:cstheme="majorHAnsi"/>
        </w:rPr>
        <w:tab/>
      </w:r>
      <w:r w:rsidR="00A55B79" w:rsidRPr="00211051">
        <w:rPr>
          <w:rFonts w:asciiTheme="majorHAnsi" w:hAnsiTheme="majorHAnsi" w:cstheme="majorHAnsi"/>
        </w:rPr>
        <w:tab/>
      </w:r>
      <w:r w:rsidR="00A55B79" w:rsidRPr="00211051">
        <w:rPr>
          <w:rFonts w:asciiTheme="majorHAnsi" w:hAnsiTheme="majorHAnsi" w:cstheme="majorHAnsi"/>
        </w:rPr>
        <w:tab/>
      </w:r>
      <w:r w:rsidR="00A55B79" w:rsidRPr="00211051">
        <w:rPr>
          <w:rFonts w:asciiTheme="majorHAnsi" w:hAnsiTheme="majorHAnsi" w:cstheme="majorHAnsi"/>
        </w:rPr>
        <w:tab/>
      </w:r>
      <w:r w:rsidR="00A55B79" w:rsidRPr="00211051">
        <w:rPr>
          <w:rFonts w:asciiTheme="majorHAnsi" w:hAnsiTheme="majorHAnsi" w:cstheme="majorHAnsi"/>
        </w:rPr>
        <w:tab/>
      </w:r>
      <w:r w:rsidR="00A55B79" w:rsidRPr="00211051">
        <w:rPr>
          <w:rFonts w:asciiTheme="majorHAnsi" w:hAnsiTheme="majorHAnsi" w:cstheme="majorHAnsi"/>
        </w:rPr>
        <w:tab/>
      </w:r>
      <w:r w:rsidRPr="00211051">
        <w:rPr>
          <w:rFonts w:asciiTheme="majorHAnsi" w:hAnsiTheme="majorHAnsi" w:cstheme="majorHAnsi"/>
        </w:rPr>
        <w:br/>
        <w:t>Campaign Manager</w:t>
      </w:r>
      <w:r w:rsidR="00A55B79" w:rsidRPr="00211051">
        <w:rPr>
          <w:rFonts w:asciiTheme="majorHAnsi" w:hAnsiTheme="majorHAnsi" w:cstheme="majorHAnsi"/>
        </w:rPr>
        <w:tab/>
      </w:r>
      <w:r w:rsidR="00A55B79" w:rsidRPr="00211051">
        <w:rPr>
          <w:rFonts w:asciiTheme="majorHAnsi" w:hAnsiTheme="majorHAnsi" w:cstheme="majorHAnsi"/>
        </w:rPr>
        <w:tab/>
      </w:r>
      <w:r w:rsidR="00A55B79" w:rsidRPr="00211051">
        <w:rPr>
          <w:rFonts w:asciiTheme="majorHAnsi" w:hAnsiTheme="majorHAnsi" w:cstheme="majorHAnsi"/>
        </w:rPr>
        <w:tab/>
      </w:r>
      <w:r w:rsidR="00A55B79" w:rsidRPr="00211051">
        <w:rPr>
          <w:rFonts w:asciiTheme="majorHAnsi" w:hAnsiTheme="majorHAnsi" w:cstheme="majorHAnsi"/>
        </w:rPr>
        <w:tab/>
      </w:r>
      <w:r w:rsidR="00A55B79" w:rsidRPr="00211051">
        <w:rPr>
          <w:rFonts w:asciiTheme="majorHAnsi" w:hAnsiTheme="majorHAnsi" w:cstheme="majorHAnsi"/>
        </w:rPr>
        <w:tab/>
      </w:r>
      <w:r w:rsidR="00A55B79" w:rsidRPr="00211051">
        <w:rPr>
          <w:rFonts w:asciiTheme="majorHAnsi" w:hAnsiTheme="majorHAnsi" w:cstheme="majorHAnsi"/>
        </w:rPr>
        <w:tab/>
      </w:r>
    </w:p>
    <w:p w14:paraId="2531239C" w14:textId="575C7BB2" w:rsidR="006A61D2" w:rsidRPr="00211051" w:rsidRDefault="00A55B79" w:rsidP="00BD4374">
      <w:pPr>
        <w:widowControl w:val="0"/>
        <w:autoSpaceDE w:val="0"/>
        <w:autoSpaceDN w:val="0"/>
        <w:adjustRightInd w:val="0"/>
        <w:spacing w:line="259" w:lineRule="auto"/>
        <w:rPr>
          <w:rFonts w:asciiTheme="majorHAnsi" w:hAnsiTheme="majorHAnsi" w:cstheme="majorHAnsi"/>
        </w:rPr>
      </w:pPr>
      <w:r w:rsidRPr="00211051">
        <w:rPr>
          <w:rFonts w:asciiTheme="majorHAnsi" w:hAnsiTheme="majorHAnsi" w:cstheme="majorHAnsi"/>
        </w:rPr>
        <w:t>Global Campaign for</w:t>
      </w:r>
      <w:r w:rsidR="006A61D2" w:rsidRPr="00211051">
        <w:rPr>
          <w:rFonts w:asciiTheme="majorHAnsi" w:hAnsiTheme="majorHAnsi" w:cstheme="majorHAnsi"/>
        </w:rPr>
        <w:t xml:space="preserve"> </w:t>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tab/>
      </w:r>
      <w:r w:rsidRPr="00211051">
        <w:rPr>
          <w:rFonts w:asciiTheme="majorHAnsi" w:hAnsiTheme="majorHAnsi" w:cstheme="majorHAnsi"/>
        </w:rPr>
        <w:br/>
        <w:t xml:space="preserve">Equal </w:t>
      </w:r>
      <w:r w:rsidR="006A61D2" w:rsidRPr="00211051">
        <w:rPr>
          <w:rFonts w:asciiTheme="majorHAnsi" w:hAnsiTheme="majorHAnsi" w:cstheme="majorHAnsi"/>
        </w:rPr>
        <w:t>Nationality Rights</w:t>
      </w:r>
    </w:p>
    <w:p w14:paraId="3127FAF8" w14:textId="43051E71" w:rsidR="00182B2A" w:rsidRPr="006A5E75" w:rsidRDefault="00EA030E" w:rsidP="00BD4374">
      <w:pPr>
        <w:tabs>
          <w:tab w:val="left" w:pos="2995"/>
        </w:tabs>
        <w:spacing w:line="259" w:lineRule="auto"/>
        <w:rPr>
          <w:rFonts w:asciiTheme="majorHAnsi" w:hAnsiTheme="majorHAnsi" w:cstheme="majorHAnsi"/>
        </w:rPr>
      </w:pPr>
      <w:r w:rsidRPr="00211051">
        <w:rPr>
          <w:rFonts w:asciiTheme="majorHAnsi" w:hAnsiTheme="majorHAnsi" w:cstheme="majorHAnsi"/>
        </w:rPr>
        <w:t>For and on behalf of all co-submitting organi</w:t>
      </w:r>
      <w:r w:rsidR="00A1063A" w:rsidRPr="00211051">
        <w:rPr>
          <w:rFonts w:asciiTheme="majorHAnsi" w:hAnsiTheme="majorHAnsi" w:cstheme="majorHAnsi"/>
        </w:rPr>
        <w:t>z</w:t>
      </w:r>
      <w:r w:rsidRPr="00211051">
        <w:rPr>
          <w:rFonts w:asciiTheme="majorHAnsi" w:hAnsiTheme="majorHAnsi" w:cstheme="majorHAnsi"/>
        </w:rPr>
        <w:t>ations</w:t>
      </w:r>
    </w:p>
    <w:sectPr w:rsidR="00182B2A" w:rsidRPr="006A5E75" w:rsidSect="00994BAD">
      <w:headerReference w:type="default" r:id="rId19"/>
      <w:footerReference w:type="even" r:id="rId20"/>
      <w:footerReference w:type="default" r:id="rId21"/>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04FB6" w14:textId="77777777" w:rsidR="00820FF7" w:rsidRDefault="00820FF7" w:rsidP="00044638">
      <w:r>
        <w:separator/>
      </w:r>
    </w:p>
  </w:endnote>
  <w:endnote w:type="continuationSeparator" w:id="0">
    <w:p w14:paraId="24724CE0" w14:textId="77777777" w:rsidR="00820FF7" w:rsidRDefault="00820FF7" w:rsidP="0004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Lucida Grande">
    <w:altName w:val="Segoe UI"/>
    <w:charset w:val="00"/>
    <w:family w:val="swiss"/>
    <w:pitch w:val="variable"/>
    <w:sig w:usb0="E1000AEF" w:usb1="5000A1FF" w:usb2="00000000" w:usb3="00000000" w:csb0="000001BF" w:csb1="00000000"/>
  </w:font>
  <w:font w:name="Traditional Arabic">
    <w:charset w:val="B2"/>
    <w:family w:val="roman"/>
    <w:pitch w:val="variable"/>
    <w:sig w:usb0="00002003" w:usb1="80000000" w:usb2="00000008" w:usb3="00000000" w:csb0="00000041" w:csb1="00000000"/>
  </w:font>
  <w:font w:name="Californian FB">
    <w:panose1 w:val="0207040306080B030204"/>
    <w:charset w:val="00"/>
    <w:family w:val="roman"/>
    <w:pitch w:val="variable"/>
    <w:sig w:usb0="00000003" w:usb1="00000000" w:usb2="00000000" w:usb3="00000000" w:csb0="00000001" w:csb1="00000000"/>
  </w:font>
  <w:font w:name="Alegreya Sans">
    <w:altName w:val="Calibri"/>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SimSun">
    <w:altName w:val="Times New Roman"/>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533D2" w14:textId="77777777" w:rsidR="007076C3" w:rsidRDefault="007076C3" w:rsidP="005441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D533D3" w14:textId="77777777" w:rsidR="007076C3" w:rsidRPr="00C30502" w:rsidRDefault="007076C3">
    <w:pPr>
      <w:pStyle w:val="Footer"/>
      <w:rPr>
        <w:rFonts w:asciiTheme="majorBidi" w:hAnsiTheme="majorBidi" w:cstheme="majorBidi"/>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533D4" w14:textId="13DEFB18" w:rsidR="007076C3" w:rsidRPr="00934B74" w:rsidRDefault="007076C3" w:rsidP="00934B74">
    <w:pPr>
      <w:jc w:val="center"/>
      <w:rPr>
        <w:sz w:val="22"/>
        <w:szCs w:val="22"/>
      </w:rPr>
    </w:pPr>
    <w:r w:rsidRPr="00934B74">
      <w:rPr>
        <w:sz w:val="22"/>
        <w:szCs w:val="22"/>
      </w:rPr>
      <w:fldChar w:fldCharType="begin"/>
    </w:r>
    <w:r w:rsidRPr="00934B74">
      <w:rPr>
        <w:sz w:val="22"/>
        <w:szCs w:val="22"/>
      </w:rPr>
      <w:instrText xml:space="preserve">PAGE  </w:instrText>
    </w:r>
    <w:r w:rsidRPr="00934B74">
      <w:rPr>
        <w:sz w:val="22"/>
        <w:szCs w:val="22"/>
      </w:rPr>
      <w:fldChar w:fldCharType="separate"/>
    </w:r>
    <w:r w:rsidR="00F35C13">
      <w:rPr>
        <w:noProof/>
        <w:sz w:val="22"/>
        <w:szCs w:val="22"/>
      </w:rPr>
      <w:t>1</w:t>
    </w:r>
    <w:r w:rsidRPr="00934B74">
      <w:rPr>
        <w:sz w:val="22"/>
        <w:szCs w:val="22"/>
      </w:rPr>
      <w:fldChar w:fldCharType="end"/>
    </w:r>
  </w:p>
  <w:p w14:paraId="35D533D5" w14:textId="77777777" w:rsidR="007076C3" w:rsidRDefault="00707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9D221" w14:textId="77777777" w:rsidR="00820FF7" w:rsidRDefault="00820FF7" w:rsidP="00044638">
      <w:r>
        <w:separator/>
      </w:r>
    </w:p>
  </w:footnote>
  <w:footnote w:type="continuationSeparator" w:id="0">
    <w:p w14:paraId="0AE05BE7" w14:textId="77777777" w:rsidR="00820FF7" w:rsidRDefault="00820FF7" w:rsidP="00044638">
      <w:r>
        <w:continuationSeparator/>
      </w:r>
    </w:p>
  </w:footnote>
  <w:footnote w:id="1">
    <w:p w14:paraId="182158A8" w14:textId="5AA46CF4" w:rsidR="007076C3" w:rsidRPr="00307253" w:rsidRDefault="007076C3" w:rsidP="00876970">
      <w:pPr>
        <w:pStyle w:val="FootnoteText"/>
        <w:spacing w:line="240" w:lineRule="auto"/>
        <w:ind w:left="0" w:right="1138" w:firstLine="0"/>
        <w:rPr>
          <w:lang w:val="en-US"/>
        </w:rPr>
      </w:pPr>
      <w:r>
        <w:rPr>
          <w:rStyle w:val="FootnoteReference"/>
        </w:rPr>
        <w:footnoteRef/>
      </w:r>
      <w:r>
        <w:t xml:space="preserve"> </w:t>
      </w:r>
      <w:r>
        <w:rPr>
          <w:lang w:val="en-US"/>
        </w:rPr>
        <w:t xml:space="preserve">Available at: </w:t>
      </w:r>
      <w:hyperlink r:id="rId1" w:history="1">
        <w:r w:rsidRPr="00A00286">
          <w:rPr>
            <w:rStyle w:val="Hyperlink"/>
          </w:rPr>
          <w:t>https://elaws.moj.gov.ae/UAE-MOJ_LC-En/00_NATIONALITY/UAE-LC-En_1972-11-18_00017_Kait.html?val=EL1</w:t>
        </w:r>
      </w:hyperlink>
      <w:r>
        <w:t xml:space="preserve">. See also: </w:t>
      </w:r>
      <w:r w:rsidRPr="00934B74">
        <w:t xml:space="preserve">UN High Commissioner for Refugees (UNHCR), Background Note on Gender Equality, Nationality Laws and Statelessness 2020, 14 July 2020, available at: </w:t>
      </w:r>
      <w:hyperlink r:id="rId2" w:history="1">
        <w:r w:rsidRPr="00934B74">
          <w:rPr>
            <w:rStyle w:val="Hyperlink"/>
          </w:rPr>
          <w:t>https://www.refworld.org/docid/5f0d7b934.html</w:t>
        </w:r>
      </w:hyperlink>
    </w:p>
  </w:footnote>
  <w:footnote w:id="2">
    <w:p w14:paraId="562E2A99" w14:textId="7D3969D1" w:rsidR="007076C3" w:rsidRPr="00307253" w:rsidRDefault="007076C3">
      <w:pPr>
        <w:pStyle w:val="FootnoteText"/>
        <w:rPr>
          <w:lang w:val="en-US"/>
        </w:rPr>
      </w:pPr>
      <w:r>
        <w:rPr>
          <w:rStyle w:val="FootnoteReference"/>
        </w:rPr>
        <w:footnoteRef/>
      </w:r>
      <w:r>
        <w:t xml:space="preserve"> </w:t>
      </w:r>
      <w:r>
        <w:rPr>
          <w:lang w:val="en-US"/>
        </w:rPr>
        <w:t xml:space="preserve">Ibid. N.B. The Implementing Regulations do not seem to be available online.  </w:t>
      </w:r>
    </w:p>
  </w:footnote>
  <w:footnote w:id="3">
    <w:p w14:paraId="0175A92D" w14:textId="2F289FD2" w:rsidR="007076C3" w:rsidRPr="00A572B7" w:rsidRDefault="007076C3" w:rsidP="00633C36">
      <w:pPr>
        <w:pStyle w:val="FootnoteText"/>
        <w:ind w:left="0" w:firstLine="0"/>
      </w:pPr>
      <w:r w:rsidRPr="00A572B7">
        <w:rPr>
          <w:rStyle w:val="FootnoteReference"/>
        </w:rPr>
        <w:footnoteRef/>
      </w:r>
      <w:r w:rsidRPr="00A572B7">
        <w:t xml:space="preserve"> See </w:t>
      </w:r>
      <w:r w:rsidRPr="00A572B7">
        <w:rPr>
          <w:rFonts w:cs="Helvetica"/>
        </w:rPr>
        <w:t>UN High Commissioner for Refugees (UNHCR),</w:t>
      </w:r>
      <w:r w:rsidRPr="00A572B7">
        <w:rPr>
          <w:rStyle w:val="apple-converted-space"/>
          <w:rFonts w:cs="Helvetica"/>
        </w:rPr>
        <w:t> </w:t>
      </w:r>
      <w:r w:rsidRPr="00A572B7">
        <w:rPr>
          <w:rFonts w:cs="Helvetica"/>
          <w:i/>
          <w:iCs/>
        </w:rPr>
        <w:t>Good Practices Paper - Action 3: Removing Gender Discrimination from Nationality Laws</w:t>
      </w:r>
      <w:r w:rsidRPr="00A572B7">
        <w:rPr>
          <w:rFonts w:cs="Helvetica"/>
        </w:rPr>
        <w:t xml:space="preserve">, 6 March 2015, available at: </w:t>
      </w:r>
      <w:hyperlink r:id="rId3" w:history="1">
        <w:r w:rsidRPr="00934B74">
          <w:rPr>
            <w:rStyle w:val="Hyperlink"/>
            <w:rFonts w:cs="Helvetica"/>
          </w:rPr>
          <w:t>http://www.refworld.org/docid/54f8377d4.html</w:t>
        </w:r>
      </w:hyperlink>
    </w:p>
  </w:footnote>
  <w:footnote w:id="4">
    <w:p w14:paraId="58D9C41D" w14:textId="77777777" w:rsidR="007076C3" w:rsidRPr="00A53140" w:rsidRDefault="007076C3" w:rsidP="007076C3">
      <w:pPr>
        <w:pStyle w:val="FootnoteText"/>
        <w:tabs>
          <w:tab w:val="clear" w:pos="1021"/>
          <w:tab w:val="right" w:pos="0"/>
        </w:tabs>
        <w:ind w:left="0" w:firstLine="0"/>
        <w:rPr>
          <w:rFonts w:cstheme="majorBidi"/>
          <w:szCs w:val="18"/>
        </w:rPr>
      </w:pPr>
      <w:r w:rsidRPr="00A53140">
        <w:rPr>
          <w:rStyle w:val="FootnoteReference"/>
          <w:rFonts w:cstheme="majorBidi"/>
          <w:szCs w:val="18"/>
        </w:rPr>
        <w:footnoteRef/>
      </w:r>
      <w:r w:rsidRPr="00A53140">
        <w:rPr>
          <w:rFonts w:cstheme="majorBidi"/>
          <w:szCs w:val="18"/>
        </w:rPr>
        <w:t xml:space="preserve"> For more information see UNHCR, Background Note on Gender Equality, Nationality Laws and Statelessness 2016, 8 March 2016, available at: </w:t>
      </w:r>
      <w:hyperlink r:id="rId4" w:history="1">
        <w:r w:rsidRPr="00A53140">
          <w:rPr>
            <w:rStyle w:val="Hyperlink"/>
            <w:rFonts w:cstheme="majorBidi"/>
            <w:szCs w:val="18"/>
          </w:rPr>
          <w:t>http://www.refworld.org/docid/56de83ca4.html</w:t>
        </w:r>
      </w:hyperlink>
      <w:r w:rsidRPr="00A53140">
        <w:rPr>
          <w:rFonts w:cstheme="majorBidi"/>
          <w:szCs w:val="18"/>
        </w:rPr>
        <w:t xml:space="preserve"> </w:t>
      </w:r>
    </w:p>
  </w:footnote>
  <w:footnote w:id="5">
    <w:p w14:paraId="35456720" w14:textId="4F79464D" w:rsidR="007076C3" w:rsidRPr="00BD4374" w:rsidRDefault="007076C3" w:rsidP="00BD4374">
      <w:pPr>
        <w:rPr>
          <w:rFonts w:ascii="Times New Roman" w:hAnsi="Times New Roman" w:cs="Times New Roman"/>
          <w:sz w:val="18"/>
          <w:szCs w:val="18"/>
        </w:rPr>
      </w:pPr>
      <w:r w:rsidRPr="00BD4374">
        <w:rPr>
          <w:rStyle w:val="FootnoteReference"/>
          <w:rFonts w:cs="Times New Roman"/>
          <w:szCs w:val="18"/>
        </w:rPr>
        <w:footnoteRef/>
      </w:r>
      <w:r w:rsidRPr="00BD4374">
        <w:rPr>
          <w:rFonts w:ascii="Times New Roman" w:hAnsi="Times New Roman" w:cs="Times New Roman"/>
          <w:sz w:val="18"/>
          <w:szCs w:val="18"/>
        </w:rPr>
        <w:t xml:space="preserve"> Article 3 As amended by </w:t>
      </w:r>
      <w:r w:rsidRPr="00BD4374">
        <w:rPr>
          <w:rFonts w:ascii="Times New Roman" w:hAnsi="Times New Roman" w:cs="Times New Roman"/>
          <w:bCs/>
          <w:color w:val="000000"/>
          <w:sz w:val="18"/>
          <w:szCs w:val="18"/>
        </w:rPr>
        <w:t>Decree-Law no. 16/2017 dated 18/09/2017</w:t>
      </w:r>
      <w:r w:rsidRPr="00BD4374">
        <w:rPr>
          <w:rFonts w:ascii="Times New Roman" w:hAnsi="Times New Roman" w:cs="Times New Roman"/>
          <w:sz w:val="18"/>
          <w:szCs w:val="18"/>
        </w:rPr>
        <w:t>:</w:t>
      </w:r>
    </w:p>
    <w:p w14:paraId="551EC01A" w14:textId="77777777" w:rsidR="007076C3" w:rsidRPr="00BD4374" w:rsidRDefault="007076C3" w:rsidP="00BD4374">
      <w:pPr>
        <w:ind w:firstLine="216"/>
        <w:rPr>
          <w:rFonts w:ascii="Times New Roman" w:hAnsi="Times New Roman" w:cs="Times New Roman"/>
          <w:color w:val="000000"/>
          <w:sz w:val="18"/>
          <w:szCs w:val="18"/>
        </w:rPr>
      </w:pPr>
      <w:r w:rsidRPr="00BD4374">
        <w:rPr>
          <w:rFonts w:ascii="Times New Roman" w:hAnsi="Times New Roman" w:cs="Times New Roman"/>
          <w:color w:val="000000"/>
          <w:sz w:val="18"/>
          <w:szCs w:val="18"/>
        </w:rPr>
        <w:t>1- A foreign woman married to a UAE National may be granted the nationality by citizenship after the lapse of seven years from the date of submission of the application to the Authority in case they got one child or more. Said period shall be increased to ten years should there be no children, provided that the marriage is actually ongoing, and according to the provisions of the present Decree-Law.</w:t>
      </w:r>
    </w:p>
    <w:p w14:paraId="7646F127" w14:textId="35AB2259" w:rsidR="007076C3" w:rsidRPr="00BD4374" w:rsidRDefault="007076C3" w:rsidP="00BD4374">
      <w:pPr>
        <w:ind w:firstLine="216"/>
        <w:rPr>
          <w:rFonts w:ascii="Times New Roman" w:hAnsi="Times New Roman" w:cs="Times New Roman"/>
          <w:color w:val="000000"/>
          <w:sz w:val="27"/>
          <w:szCs w:val="27"/>
        </w:rPr>
      </w:pPr>
      <w:bookmarkStart w:id="0" w:name="Anchor115"/>
      <w:bookmarkEnd w:id="0"/>
      <w:r w:rsidRPr="00BD4374">
        <w:rPr>
          <w:rFonts w:ascii="Times New Roman" w:hAnsi="Times New Roman" w:cs="Times New Roman"/>
          <w:color w:val="000000"/>
          <w:sz w:val="18"/>
          <w:szCs w:val="18"/>
        </w:rPr>
        <w:t>2- Subject to the provisions of paragraph (1) of the present Article, if the husband dies or is divorced before the expiry of the period referred to in Clause (1) of this Article, and if the wife has one or more children of said husband, she may be granted the nationality after the lapse of the period as long as she remained a widow or divorcee or got married to a national after her husband's death or the divorce and maintained her residence in the State.</w:t>
      </w:r>
    </w:p>
  </w:footnote>
  <w:footnote w:id="6">
    <w:p w14:paraId="783DB65B" w14:textId="1B3B0AE2" w:rsidR="007076C3" w:rsidRPr="00A0303A" w:rsidRDefault="007076C3" w:rsidP="007076C3">
      <w:pPr>
        <w:pStyle w:val="FootnoteText"/>
        <w:ind w:left="0" w:firstLine="0"/>
        <w:rPr>
          <w:lang w:val="en-US"/>
        </w:rPr>
      </w:pPr>
      <w:r>
        <w:rPr>
          <w:rStyle w:val="FootnoteReference"/>
        </w:rPr>
        <w:footnoteRef/>
      </w:r>
      <w:r>
        <w:t xml:space="preserve"> See the Joint Statement in Solidarity with the Stateless- An urgent call to states, donors and other stakeholders to promote and protect the right of stateless persons in their COVID-19 response, 2020, available at: </w:t>
      </w:r>
      <w:r w:rsidRPr="00BE6AE5">
        <w:t>https://files.institutesi.org/Joint_Statement_in_Solidarity_with_the_Stateless.pdf</w:t>
      </w:r>
    </w:p>
  </w:footnote>
  <w:footnote w:id="7">
    <w:p w14:paraId="0366E171" w14:textId="3F903A44" w:rsidR="007076C3" w:rsidRPr="00E62A2F" w:rsidRDefault="007076C3" w:rsidP="00305C6C">
      <w:pPr>
        <w:pStyle w:val="FootnoteText"/>
        <w:tabs>
          <w:tab w:val="clear" w:pos="1021"/>
          <w:tab w:val="right" w:pos="0"/>
          <w:tab w:val="left" w:pos="8820"/>
        </w:tabs>
        <w:ind w:left="0" w:firstLine="0"/>
      </w:pPr>
      <w:r>
        <w:rPr>
          <w:rStyle w:val="FootnoteReference"/>
        </w:rPr>
        <w:footnoteRef/>
      </w:r>
      <w:r>
        <w:t xml:space="preserve"> Global Campaign for Equal Nationality Rights – UNHCR, “CEDAW Quick Reference Guide: Statelessness and Human Rights Treaties,” 2017, available at: </w:t>
      </w:r>
      <w:hyperlink r:id="rId5" w:history="1">
        <w:r w:rsidRPr="00C13518">
          <w:rPr>
            <w:rStyle w:val="Hyperlink"/>
          </w:rPr>
          <w:t>http://equalnationalityrights.org/images/zdocs/CEDAW-Quick-Reference-Guide.pdf</w:t>
        </w:r>
      </w:hyperlink>
    </w:p>
  </w:footnote>
  <w:footnote w:id="8">
    <w:p w14:paraId="39380758" w14:textId="7530D4C6" w:rsidR="007076C3" w:rsidRPr="00E56117" w:rsidRDefault="007076C3" w:rsidP="00807AAF">
      <w:pPr>
        <w:pStyle w:val="FootnoteText"/>
        <w:ind w:left="0" w:right="0" w:firstLine="0"/>
        <w:jc w:val="both"/>
      </w:pPr>
      <w:r>
        <w:rPr>
          <w:rStyle w:val="FootnoteReference"/>
        </w:rPr>
        <w:footnoteRef/>
      </w:r>
      <w:r>
        <w:t xml:space="preserve"> </w:t>
      </w:r>
      <w:r w:rsidRPr="00E56117">
        <w:rPr>
          <w:i/>
          <w:iCs/>
        </w:rPr>
        <w:t>See</w:t>
      </w:r>
      <w:r>
        <w:t xml:space="preserve"> Comm. </w:t>
      </w:r>
      <w:r w:rsidRPr="00E56117">
        <w:t>on the Elimination of All Forms of Discrimination against Women</w:t>
      </w:r>
      <w:r>
        <w:t>, General Recommendation No. 19, Violence against W</w:t>
      </w:r>
      <w:r w:rsidRPr="003912E0">
        <w:t>omen</w:t>
      </w:r>
      <w:r>
        <w:t>, Paragraph 1, 4, 6, 7-e and f, and 8 (11</w:t>
      </w:r>
      <w:r w:rsidRPr="00884428">
        <w:rPr>
          <w:vertAlign w:val="superscript"/>
        </w:rPr>
        <w:t>th</w:t>
      </w:r>
      <w:r w:rsidRPr="003912E0">
        <w:t xml:space="preserve"> session, 1992)</w:t>
      </w:r>
    </w:p>
  </w:footnote>
  <w:footnote w:id="9">
    <w:p w14:paraId="37E0382E" w14:textId="6AF95DFE" w:rsidR="00370D5B" w:rsidRPr="003F04D4" w:rsidRDefault="00370D5B" w:rsidP="00934B74">
      <w:pPr>
        <w:pStyle w:val="FootnoteText"/>
        <w:ind w:left="0" w:firstLine="0"/>
        <w:rPr>
          <w:lang w:val="en-US"/>
        </w:rPr>
      </w:pPr>
      <w:r>
        <w:rPr>
          <w:rStyle w:val="FootnoteReference"/>
        </w:rPr>
        <w:footnoteRef/>
      </w:r>
      <w:r w:rsidR="00934B74">
        <w:t xml:space="preserve"> Available at:</w:t>
      </w:r>
      <w:r>
        <w:t xml:space="preserve"> </w:t>
      </w:r>
      <w:hyperlink r:id="rId6" w:anchor="Anchor6" w:history="1">
        <w:r w:rsidR="00934B74" w:rsidRPr="00934B74">
          <w:rPr>
            <w:rStyle w:val="Hyperlink"/>
          </w:rPr>
          <w:t>https://elaws.moj.gov.ae/UAE-MOJ_LC-En/00_PERSONAL STATUS/UAE-LC-En_2005-11-19_00028_Kait.html?val=EL1&amp;Words=Personal Status - Anchor6</w:t>
        </w:r>
      </w:hyperlink>
    </w:p>
  </w:footnote>
  <w:footnote w:id="10">
    <w:p w14:paraId="19231B90" w14:textId="3AF13F92" w:rsidR="00C87A39" w:rsidRPr="006B41FF" w:rsidRDefault="00C87A39" w:rsidP="006B41FF">
      <w:pPr>
        <w:pStyle w:val="Default"/>
        <w:rPr>
          <w:rFonts w:ascii="Alegreya Sans" w:hAnsi="Alegreya Sans" w:cs="Alegreya Sans"/>
        </w:rPr>
      </w:pPr>
      <w:r>
        <w:rPr>
          <w:rStyle w:val="FootnoteReference"/>
        </w:rPr>
        <w:footnoteRef/>
      </w:r>
      <w:r>
        <w:t xml:space="preserve"> </w:t>
      </w:r>
      <w:r w:rsidRPr="00C87A39">
        <w:rPr>
          <w:rFonts w:ascii="Alegreya Sans" w:hAnsi="Alegreya Sans" w:cs="Alegreya Sans"/>
          <w:sz w:val="16"/>
          <w:szCs w:val="16"/>
        </w:rPr>
        <w:t xml:space="preserve">Wafa Al </w:t>
      </w:r>
      <w:proofErr w:type="spellStart"/>
      <w:r w:rsidRPr="00C87A39">
        <w:rPr>
          <w:rFonts w:ascii="Alegreya Sans" w:hAnsi="Alegreya Sans" w:cs="Alegreya Sans"/>
          <w:sz w:val="16"/>
          <w:szCs w:val="16"/>
        </w:rPr>
        <w:t>Marzouqi</w:t>
      </w:r>
      <w:proofErr w:type="spellEnd"/>
      <w:r w:rsidRPr="00C87A39">
        <w:rPr>
          <w:rFonts w:ascii="Alegreya Sans" w:hAnsi="Alegreya Sans" w:cs="Alegreya Sans"/>
          <w:sz w:val="16"/>
          <w:szCs w:val="16"/>
        </w:rPr>
        <w:t xml:space="preserve">, Fatal Traditions: Female Circumcision in the UAE, Desert Dawn, February 2011. Available at </w:t>
      </w:r>
      <w:r w:rsidRPr="00C87A39">
        <w:rPr>
          <w:rFonts w:ascii="Alegreya Sans" w:hAnsi="Alegreya Sans" w:cs="Alegreya Sans"/>
          <w:sz w:val="16"/>
          <w:szCs w:val="16"/>
          <w:u w:val="single"/>
        </w:rPr>
        <w:t xml:space="preserve">https://issuu.com/awatifghaith/docs/ desertdawn22.1-january_2011 </w:t>
      </w:r>
    </w:p>
  </w:footnote>
  <w:footnote w:id="11">
    <w:p w14:paraId="3558CB0B" w14:textId="2144D3DB" w:rsidR="00C87A39" w:rsidRPr="006B41FF" w:rsidRDefault="00C87A39" w:rsidP="00C87A39">
      <w:pPr>
        <w:pStyle w:val="FootnoteText"/>
        <w:ind w:left="0" w:firstLine="0"/>
        <w:rPr>
          <w:lang w:val="en-US"/>
        </w:rPr>
      </w:pPr>
      <w:r>
        <w:rPr>
          <w:rStyle w:val="FootnoteReference"/>
        </w:rPr>
        <w:footnoteRef/>
      </w:r>
      <w:r>
        <w:t xml:space="preserve"> </w:t>
      </w:r>
      <w:proofErr w:type="spellStart"/>
      <w:r>
        <w:rPr>
          <w:sz w:val="20"/>
        </w:rPr>
        <w:t>Shamsa</w:t>
      </w:r>
      <w:proofErr w:type="spellEnd"/>
      <w:r>
        <w:rPr>
          <w:sz w:val="20"/>
        </w:rPr>
        <w:t xml:space="preserve"> Al </w:t>
      </w:r>
      <w:proofErr w:type="spellStart"/>
      <w:r>
        <w:rPr>
          <w:sz w:val="20"/>
        </w:rPr>
        <w:t>Awar</w:t>
      </w:r>
      <w:proofErr w:type="spellEnd"/>
      <w:r>
        <w:rPr>
          <w:sz w:val="20"/>
        </w:rPr>
        <w:t xml:space="preserve">, </w:t>
      </w:r>
      <w:proofErr w:type="spellStart"/>
      <w:r>
        <w:rPr>
          <w:sz w:val="20"/>
        </w:rPr>
        <w:t>Moamar</w:t>
      </w:r>
      <w:proofErr w:type="spellEnd"/>
      <w:r>
        <w:rPr>
          <w:sz w:val="20"/>
        </w:rPr>
        <w:t xml:space="preserve"> Al-</w:t>
      </w:r>
      <w:proofErr w:type="spellStart"/>
      <w:r>
        <w:rPr>
          <w:sz w:val="20"/>
        </w:rPr>
        <w:t>Jefout</w:t>
      </w:r>
      <w:proofErr w:type="spellEnd"/>
      <w:r>
        <w:rPr>
          <w:sz w:val="20"/>
        </w:rPr>
        <w:t xml:space="preserve">, Nawal Osman, </w:t>
      </w:r>
      <w:proofErr w:type="spellStart"/>
      <w:r>
        <w:rPr>
          <w:sz w:val="20"/>
        </w:rPr>
        <w:t>Zuhur</w:t>
      </w:r>
      <w:proofErr w:type="spellEnd"/>
      <w:r>
        <w:rPr>
          <w:sz w:val="20"/>
        </w:rPr>
        <w:t xml:space="preserve"> </w:t>
      </w:r>
      <w:proofErr w:type="spellStart"/>
      <w:r>
        <w:rPr>
          <w:sz w:val="20"/>
        </w:rPr>
        <w:t>Balayah</w:t>
      </w:r>
      <w:proofErr w:type="spellEnd"/>
      <w:r>
        <w:rPr>
          <w:sz w:val="20"/>
        </w:rPr>
        <w:t xml:space="preserve">, </w:t>
      </w:r>
      <w:proofErr w:type="spellStart"/>
      <w:r>
        <w:rPr>
          <w:sz w:val="20"/>
        </w:rPr>
        <w:t>Nourah</w:t>
      </w:r>
      <w:proofErr w:type="spellEnd"/>
      <w:r>
        <w:rPr>
          <w:sz w:val="20"/>
        </w:rPr>
        <w:t xml:space="preserve"> Al </w:t>
      </w:r>
      <w:proofErr w:type="spellStart"/>
      <w:r>
        <w:rPr>
          <w:sz w:val="20"/>
        </w:rPr>
        <w:t>Kindi</w:t>
      </w:r>
      <w:proofErr w:type="spellEnd"/>
      <w:r>
        <w:rPr>
          <w:sz w:val="20"/>
        </w:rPr>
        <w:t xml:space="preserve"> &amp; Teodora </w:t>
      </w:r>
      <w:proofErr w:type="spellStart"/>
      <w:r>
        <w:rPr>
          <w:sz w:val="20"/>
        </w:rPr>
        <w:t>Ucenic</w:t>
      </w:r>
      <w:proofErr w:type="spellEnd"/>
      <w:r>
        <w:rPr>
          <w:sz w:val="20"/>
        </w:rPr>
        <w:t xml:space="preserve">, Prevalence, knowledge, attitude and practices of female genital mutilation and cutting (FGM/C) among United Arab Emirates population, 79 BMC Women’s Health 20 (2020), available at https://bmcwomenshealth.biomedcentral.com/articles/10.1186/s12905-020-00949-z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ABF44" w14:textId="1E249320" w:rsidR="007076C3" w:rsidRDefault="007076C3">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BCA6D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E0A0E86"/>
    <w:multiLevelType w:val="hybridMultilevel"/>
    <w:tmpl w:val="F8624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732A28"/>
    <w:multiLevelType w:val="multilevel"/>
    <w:tmpl w:val="02F6E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227E1C"/>
    <w:multiLevelType w:val="hybridMultilevel"/>
    <w:tmpl w:val="EE6EA1F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FE3356"/>
    <w:multiLevelType w:val="multilevel"/>
    <w:tmpl w:val="2F5A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400309"/>
    <w:multiLevelType w:val="multilevel"/>
    <w:tmpl w:val="5D88C2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4369E0"/>
    <w:multiLevelType w:val="hybridMultilevel"/>
    <w:tmpl w:val="8214A928"/>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74B63806"/>
    <w:multiLevelType w:val="hybridMultilevel"/>
    <w:tmpl w:val="A502ECA0"/>
    <w:lvl w:ilvl="0" w:tplc="F94C8534">
      <w:start w:val="1"/>
      <w:numFmt w:val="decimal"/>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15747853">
    <w:abstractNumId w:val="1"/>
  </w:num>
  <w:num w:numId="2" w16cid:durableId="531113024">
    <w:abstractNumId w:val="2"/>
  </w:num>
  <w:num w:numId="3" w16cid:durableId="402223946">
    <w:abstractNumId w:val="9"/>
  </w:num>
  <w:num w:numId="4" w16cid:durableId="1791515189">
    <w:abstractNumId w:val="0"/>
  </w:num>
  <w:num w:numId="5" w16cid:durableId="360934858">
    <w:abstractNumId w:val="3"/>
  </w:num>
  <w:num w:numId="6" w16cid:durableId="1935164690">
    <w:abstractNumId w:val="8"/>
  </w:num>
  <w:num w:numId="7" w16cid:durableId="1994528466">
    <w:abstractNumId w:val="4"/>
  </w:num>
  <w:num w:numId="8" w16cid:durableId="1879468480">
    <w:abstractNumId w:val="7"/>
    <w:lvlOverride w:ilvl="0">
      <w:lvl w:ilvl="0">
        <w:numFmt w:val="decimal"/>
        <w:lvlText w:val="%1."/>
        <w:lvlJc w:val="left"/>
      </w:lvl>
    </w:lvlOverride>
  </w:num>
  <w:num w:numId="9" w16cid:durableId="1140923086">
    <w:abstractNumId w:val="6"/>
  </w:num>
  <w:num w:numId="10" w16cid:durableId="1283340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B15"/>
    <w:rsid w:val="00005355"/>
    <w:rsid w:val="000169DD"/>
    <w:rsid w:val="000242B0"/>
    <w:rsid w:val="00042B80"/>
    <w:rsid w:val="00044638"/>
    <w:rsid w:val="00044E60"/>
    <w:rsid w:val="00045800"/>
    <w:rsid w:val="000474FF"/>
    <w:rsid w:val="00052C14"/>
    <w:rsid w:val="000541DD"/>
    <w:rsid w:val="00056759"/>
    <w:rsid w:val="00057993"/>
    <w:rsid w:val="00060879"/>
    <w:rsid w:val="000639F5"/>
    <w:rsid w:val="0006601A"/>
    <w:rsid w:val="000806E6"/>
    <w:rsid w:val="00085243"/>
    <w:rsid w:val="000904E1"/>
    <w:rsid w:val="00091D8C"/>
    <w:rsid w:val="00097368"/>
    <w:rsid w:val="000A2115"/>
    <w:rsid w:val="000B420F"/>
    <w:rsid w:val="000C27E5"/>
    <w:rsid w:val="000C5A6D"/>
    <w:rsid w:val="000C7796"/>
    <w:rsid w:val="000D1F6C"/>
    <w:rsid w:val="000D334F"/>
    <w:rsid w:val="000E0238"/>
    <w:rsid w:val="000E0FEE"/>
    <w:rsid w:val="000E457B"/>
    <w:rsid w:val="000E7906"/>
    <w:rsid w:val="000F5A57"/>
    <w:rsid w:val="001005E2"/>
    <w:rsid w:val="0010740B"/>
    <w:rsid w:val="00107D42"/>
    <w:rsid w:val="00107FF4"/>
    <w:rsid w:val="001146C8"/>
    <w:rsid w:val="0011606A"/>
    <w:rsid w:val="0012631F"/>
    <w:rsid w:val="00134690"/>
    <w:rsid w:val="00136ABB"/>
    <w:rsid w:val="00140838"/>
    <w:rsid w:val="00143352"/>
    <w:rsid w:val="0014775C"/>
    <w:rsid w:val="00150DFA"/>
    <w:rsid w:val="001511AE"/>
    <w:rsid w:val="001512FC"/>
    <w:rsid w:val="001517B1"/>
    <w:rsid w:val="00151FCF"/>
    <w:rsid w:val="00152088"/>
    <w:rsid w:val="0016077E"/>
    <w:rsid w:val="00163052"/>
    <w:rsid w:val="001704EE"/>
    <w:rsid w:val="00175746"/>
    <w:rsid w:val="00182B2A"/>
    <w:rsid w:val="00185256"/>
    <w:rsid w:val="00185946"/>
    <w:rsid w:val="001911BF"/>
    <w:rsid w:val="00192BD8"/>
    <w:rsid w:val="001B4DC7"/>
    <w:rsid w:val="001C31EA"/>
    <w:rsid w:val="001C4B8A"/>
    <w:rsid w:val="001C5C76"/>
    <w:rsid w:val="001D2156"/>
    <w:rsid w:val="001E3FFE"/>
    <w:rsid w:val="00201CC1"/>
    <w:rsid w:val="00201EFB"/>
    <w:rsid w:val="002049A0"/>
    <w:rsid w:val="00204F57"/>
    <w:rsid w:val="0021032B"/>
    <w:rsid w:val="00211051"/>
    <w:rsid w:val="00211A53"/>
    <w:rsid w:val="00222439"/>
    <w:rsid w:val="00226631"/>
    <w:rsid w:val="00230182"/>
    <w:rsid w:val="00231C6B"/>
    <w:rsid w:val="002322C7"/>
    <w:rsid w:val="00234602"/>
    <w:rsid w:val="0023510C"/>
    <w:rsid w:val="00236EDA"/>
    <w:rsid w:val="00237753"/>
    <w:rsid w:val="002459AF"/>
    <w:rsid w:val="00252A0A"/>
    <w:rsid w:val="00270991"/>
    <w:rsid w:val="00273C23"/>
    <w:rsid w:val="0029414E"/>
    <w:rsid w:val="00295968"/>
    <w:rsid w:val="00296B67"/>
    <w:rsid w:val="00296FA1"/>
    <w:rsid w:val="002A1966"/>
    <w:rsid w:val="002B2768"/>
    <w:rsid w:val="002B41EE"/>
    <w:rsid w:val="002C1152"/>
    <w:rsid w:val="002C61DE"/>
    <w:rsid w:val="002D34AF"/>
    <w:rsid w:val="002F300A"/>
    <w:rsid w:val="00300219"/>
    <w:rsid w:val="00302CB5"/>
    <w:rsid w:val="00305C6C"/>
    <w:rsid w:val="00307253"/>
    <w:rsid w:val="003151B8"/>
    <w:rsid w:val="00322FEB"/>
    <w:rsid w:val="00325ED4"/>
    <w:rsid w:val="00326133"/>
    <w:rsid w:val="00327FA3"/>
    <w:rsid w:val="00332ACB"/>
    <w:rsid w:val="00336D0F"/>
    <w:rsid w:val="003373C4"/>
    <w:rsid w:val="0033776C"/>
    <w:rsid w:val="003430C7"/>
    <w:rsid w:val="003436E9"/>
    <w:rsid w:val="00350948"/>
    <w:rsid w:val="0035283D"/>
    <w:rsid w:val="0035590F"/>
    <w:rsid w:val="00356CF5"/>
    <w:rsid w:val="00362BC4"/>
    <w:rsid w:val="0036627F"/>
    <w:rsid w:val="00370657"/>
    <w:rsid w:val="00370D5B"/>
    <w:rsid w:val="003806F3"/>
    <w:rsid w:val="00380C4F"/>
    <w:rsid w:val="003912E0"/>
    <w:rsid w:val="00394ECE"/>
    <w:rsid w:val="003963F8"/>
    <w:rsid w:val="00397828"/>
    <w:rsid w:val="003A28F9"/>
    <w:rsid w:val="003A7361"/>
    <w:rsid w:val="003B0E56"/>
    <w:rsid w:val="003B2C08"/>
    <w:rsid w:val="003B542B"/>
    <w:rsid w:val="003B72C7"/>
    <w:rsid w:val="003C0F7D"/>
    <w:rsid w:val="003D4D8F"/>
    <w:rsid w:val="003F04D4"/>
    <w:rsid w:val="003F57C7"/>
    <w:rsid w:val="003F70AA"/>
    <w:rsid w:val="00404CD1"/>
    <w:rsid w:val="00421272"/>
    <w:rsid w:val="004225E2"/>
    <w:rsid w:val="004304BC"/>
    <w:rsid w:val="00436AB4"/>
    <w:rsid w:val="00441E9B"/>
    <w:rsid w:val="00450A2E"/>
    <w:rsid w:val="00452873"/>
    <w:rsid w:val="00453168"/>
    <w:rsid w:val="004575EE"/>
    <w:rsid w:val="00461780"/>
    <w:rsid w:val="004677AE"/>
    <w:rsid w:val="00467DB5"/>
    <w:rsid w:val="00470D2D"/>
    <w:rsid w:val="004967A8"/>
    <w:rsid w:val="00497B32"/>
    <w:rsid w:val="004A1347"/>
    <w:rsid w:val="004A49A6"/>
    <w:rsid w:val="004B2D5D"/>
    <w:rsid w:val="004C0461"/>
    <w:rsid w:val="004C5782"/>
    <w:rsid w:val="004C60D3"/>
    <w:rsid w:val="004C7EF2"/>
    <w:rsid w:val="004D58BA"/>
    <w:rsid w:val="004D7435"/>
    <w:rsid w:val="004D7DBC"/>
    <w:rsid w:val="004E365A"/>
    <w:rsid w:val="004E587E"/>
    <w:rsid w:val="005039DB"/>
    <w:rsid w:val="00504014"/>
    <w:rsid w:val="005053FE"/>
    <w:rsid w:val="00513A7B"/>
    <w:rsid w:val="0052328D"/>
    <w:rsid w:val="005304DF"/>
    <w:rsid w:val="005334DE"/>
    <w:rsid w:val="00533CEB"/>
    <w:rsid w:val="00534B1B"/>
    <w:rsid w:val="0054025A"/>
    <w:rsid w:val="00542FE2"/>
    <w:rsid w:val="0054410B"/>
    <w:rsid w:val="00546339"/>
    <w:rsid w:val="0054743C"/>
    <w:rsid w:val="0054780A"/>
    <w:rsid w:val="005510B0"/>
    <w:rsid w:val="00564B4F"/>
    <w:rsid w:val="00565DCF"/>
    <w:rsid w:val="00567F9E"/>
    <w:rsid w:val="00574FED"/>
    <w:rsid w:val="005845F4"/>
    <w:rsid w:val="005859A4"/>
    <w:rsid w:val="00585E0D"/>
    <w:rsid w:val="00590785"/>
    <w:rsid w:val="00590EF8"/>
    <w:rsid w:val="00591FF4"/>
    <w:rsid w:val="005A0468"/>
    <w:rsid w:val="005A161F"/>
    <w:rsid w:val="005A5519"/>
    <w:rsid w:val="005A7A7C"/>
    <w:rsid w:val="005B0E40"/>
    <w:rsid w:val="005B2825"/>
    <w:rsid w:val="005C06D6"/>
    <w:rsid w:val="005D0CF1"/>
    <w:rsid w:val="005D2633"/>
    <w:rsid w:val="005D3CC8"/>
    <w:rsid w:val="005D6499"/>
    <w:rsid w:val="005E4141"/>
    <w:rsid w:val="005F2D12"/>
    <w:rsid w:val="006221E7"/>
    <w:rsid w:val="00625838"/>
    <w:rsid w:val="00633C36"/>
    <w:rsid w:val="006371FE"/>
    <w:rsid w:val="00641BD5"/>
    <w:rsid w:val="00644099"/>
    <w:rsid w:val="0065198E"/>
    <w:rsid w:val="00652566"/>
    <w:rsid w:val="006621C3"/>
    <w:rsid w:val="00662638"/>
    <w:rsid w:val="00670B06"/>
    <w:rsid w:val="006750B3"/>
    <w:rsid w:val="00681EF7"/>
    <w:rsid w:val="0069005D"/>
    <w:rsid w:val="00692535"/>
    <w:rsid w:val="0069268D"/>
    <w:rsid w:val="00695B05"/>
    <w:rsid w:val="006A2B15"/>
    <w:rsid w:val="006A3DA0"/>
    <w:rsid w:val="006A4BA4"/>
    <w:rsid w:val="006A5E75"/>
    <w:rsid w:val="006A61D2"/>
    <w:rsid w:val="006B1BF4"/>
    <w:rsid w:val="006B29D4"/>
    <w:rsid w:val="006B41FF"/>
    <w:rsid w:val="006B661A"/>
    <w:rsid w:val="006D177C"/>
    <w:rsid w:val="006D34B1"/>
    <w:rsid w:val="006D459A"/>
    <w:rsid w:val="006E22BD"/>
    <w:rsid w:val="007076C3"/>
    <w:rsid w:val="00710CCE"/>
    <w:rsid w:val="007116A6"/>
    <w:rsid w:val="007163F8"/>
    <w:rsid w:val="00716CFA"/>
    <w:rsid w:val="00721A09"/>
    <w:rsid w:val="00724F1F"/>
    <w:rsid w:val="007251BE"/>
    <w:rsid w:val="0074364A"/>
    <w:rsid w:val="007448BC"/>
    <w:rsid w:val="00753235"/>
    <w:rsid w:val="007562BA"/>
    <w:rsid w:val="00764E34"/>
    <w:rsid w:val="00766369"/>
    <w:rsid w:val="00774126"/>
    <w:rsid w:val="0078547D"/>
    <w:rsid w:val="007902E5"/>
    <w:rsid w:val="00790610"/>
    <w:rsid w:val="00791244"/>
    <w:rsid w:val="00793C82"/>
    <w:rsid w:val="007A0858"/>
    <w:rsid w:val="007A0DA4"/>
    <w:rsid w:val="007B3967"/>
    <w:rsid w:val="007B7EFF"/>
    <w:rsid w:val="007C22BB"/>
    <w:rsid w:val="007C329C"/>
    <w:rsid w:val="007C363D"/>
    <w:rsid w:val="007C64C2"/>
    <w:rsid w:val="007D0075"/>
    <w:rsid w:val="007D24A7"/>
    <w:rsid w:val="007D3E1D"/>
    <w:rsid w:val="007D4191"/>
    <w:rsid w:val="007E26FA"/>
    <w:rsid w:val="007F2DC4"/>
    <w:rsid w:val="007F574B"/>
    <w:rsid w:val="007F6E72"/>
    <w:rsid w:val="00807AAF"/>
    <w:rsid w:val="00814BDD"/>
    <w:rsid w:val="00816BA1"/>
    <w:rsid w:val="0081718F"/>
    <w:rsid w:val="00820FF7"/>
    <w:rsid w:val="00821E39"/>
    <w:rsid w:val="00826E76"/>
    <w:rsid w:val="00837363"/>
    <w:rsid w:val="00846DB1"/>
    <w:rsid w:val="008535A9"/>
    <w:rsid w:val="00853756"/>
    <w:rsid w:val="00857798"/>
    <w:rsid w:val="00864005"/>
    <w:rsid w:val="00867202"/>
    <w:rsid w:val="00872498"/>
    <w:rsid w:val="00876970"/>
    <w:rsid w:val="00881FA1"/>
    <w:rsid w:val="00884428"/>
    <w:rsid w:val="0088514D"/>
    <w:rsid w:val="00885F9A"/>
    <w:rsid w:val="008977A0"/>
    <w:rsid w:val="008A3676"/>
    <w:rsid w:val="008C05CF"/>
    <w:rsid w:val="008C7024"/>
    <w:rsid w:val="008D01EE"/>
    <w:rsid w:val="008E0BC2"/>
    <w:rsid w:val="008E2766"/>
    <w:rsid w:val="008E2AF9"/>
    <w:rsid w:val="008E3DC6"/>
    <w:rsid w:val="008E61D0"/>
    <w:rsid w:val="008E673D"/>
    <w:rsid w:val="008E67C7"/>
    <w:rsid w:val="008F359E"/>
    <w:rsid w:val="00905BDF"/>
    <w:rsid w:val="00906506"/>
    <w:rsid w:val="0093257C"/>
    <w:rsid w:val="00934B74"/>
    <w:rsid w:val="00935075"/>
    <w:rsid w:val="009403CC"/>
    <w:rsid w:val="00940D72"/>
    <w:rsid w:val="00953CE2"/>
    <w:rsid w:val="00963093"/>
    <w:rsid w:val="009630FF"/>
    <w:rsid w:val="00966799"/>
    <w:rsid w:val="00972B2C"/>
    <w:rsid w:val="00972D21"/>
    <w:rsid w:val="00981112"/>
    <w:rsid w:val="00986474"/>
    <w:rsid w:val="0099300D"/>
    <w:rsid w:val="009939E1"/>
    <w:rsid w:val="00994BAD"/>
    <w:rsid w:val="009A43F5"/>
    <w:rsid w:val="009C1D72"/>
    <w:rsid w:val="009C5564"/>
    <w:rsid w:val="009C6D2F"/>
    <w:rsid w:val="009E3C59"/>
    <w:rsid w:val="009F2AC8"/>
    <w:rsid w:val="009F5A2E"/>
    <w:rsid w:val="00A00525"/>
    <w:rsid w:val="00A0303A"/>
    <w:rsid w:val="00A0342A"/>
    <w:rsid w:val="00A04BE1"/>
    <w:rsid w:val="00A04F58"/>
    <w:rsid w:val="00A07218"/>
    <w:rsid w:val="00A1063A"/>
    <w:rsid w:val="00A15E0C"/>
    <w:rsid w:val="00A23A7E"/>
    <w:rsid w:val="00A26407"/>
    <w:rsid w:val="00A26C67"/>
    <w:rsid w:val="00A31ECC"/>
    <w:rsid w:val="00A3277D"/>
    <w:rsid w:val="00A41234"/>
    <w:rsid w:val="00A41C45"/>
    <w:rsid w:val="00A43416"/>
    <w:rsid w:val="00A43C92"/>
    <w:rsid w:val="00A55B79"/>
    <w:rsid w:val="00A567AF"/>
    <w:rsid w:val="00A667E2"/>
    <w:rsid w:val="00A72CF0"/>
    <w:rsid w:val="00A7480B"/>
    <w:rsid w:val="00A90135"/>
    <w:rsid w:val="00A957A4"/>
    <w:rsid w:val="00A9681E"/>
    <w:rsid w:val="00AA3227"/>
    <w:rsid w:val="00AA593A"/>
    <w:rsid w:val="00AB2DE9"/>
    <w:rsid w:val="00AB41AF"/>
    <w:rsid w:val="00AB5220"/>
    <w:rsid w:val="00AB6E33"/>
    <w:rsid w:val="00AC0597"/>
    <w:rsid w:val="00AC6269"/>
    <w:rsid w:val="00AC6AEE"/>
    <w:rsid w:val="00AD3EA1"/>
    <w:rsid w:val="00AE361A"/>
    <w:rsid w:val="00AE5FA0"/>
    <w:rsid w:val="00AF1D62"/>
    <w:rsid w:val="00AF2A29"/>
    <w:rsid w:val="00AF2A8C"/>
    <w:rsid w:val="00B03580"/>
    <w:rsid w:val="00B207DD"/>
    <w:rsid w:val="00B22E43"/>
    <w:rsid w:val="00B253DE"/>
    <w:rsid w:val="00B36664"/>
    <w:rsid w:val="00B4277B"/>
    <w:rsid w:val="00B43772"/>
    <w:rsid w:val="00B500A8"/>
    <w:rsid w:val="00B51367"/>
    <w:rsid w:val="00B53D19"/>
    <w:rsid w:val="00B55315"/>
    <w:rsid w:val="00B561C2"/>
    <w:rsid w:val="00B56BD2"/>
    <w:rsid w:val="00B60CEC"/>
    <w:rsid w:val="00B62AB1"/>
    <w:rsid w:val="00B65A29"/>
    <w:rsid w:val="00B66C64"/>
    <w:rsid w:val="00B75776"/>
    <w:rsid w:val="00B75C49"/>
    <w:rsid w:val="00B82438"/>
    <w:rsid w:val="00B84AC6"/>
    <w:rsid w:val="00B9339F"/>
    <w:rsid w:val="00BA5F27"/>
    <w:rsid w:val="00BB1E48"/>
    <w:rsid w:val="00BB2CDC"/>
    <w:rsid w:val="00BC3470"/>
    <w:rsid w:val="00BC7C27"/>
    <w:rsid w:val="00BD4374"/>
    <w:rsid w:val="00BD44C0"/>
    <w:rsid w:val="00BD4CFF"/>
    <w:rsid w:val="00BD696A"/>
    <w:rsid w:val="00BE1AEA"/>
    <w:rsid w:val="00BE70F9"/>
    <w:rsid w:val="00BF26F3"/>
    <w:rsid w:val="00C00BCC"/>
    <w:rsid w:val="00C00EDB"/>
    <w:rsid w:val="00C0196A"/>
    <w:rsid w:val="00C04D22"/>
    <w:rsid w:val="00C12375"/>
    <w:rsid w:val="00C151C0"/>
    <w:rsid w:val="00C30502"/>
    <w:rsid w:val="00C30A6B"/>
    <w:rsid w:val="00C33BB3"/>
    <w:rsid w:val="00C34C63"/>
    <w:rsid w:val="00C424FF"/>
    <w:rsid w:val="00C45FFA"/>
    <w:rsid w:val="00C47997"/>
    <w:rsid w:val="00C50CAD"/>
    <w:rsid w:val="00C52FC8"/>
    <w:rsid w:val="00C579F9"/>
    <w:rsid w:val="00C7401C"/>
    <w:rsid w:val="00C74BB6"/>
    <w:rsid w:val="00C80E03"/>
    <w:rsid w:val="00C85BA6"/>
    <w:rsid w:val="00C8637F"/>
    <w:rsid w:val="00C87A39"/>
    <w:rsid w:val="00C90DC9"/>
    <w:rsid w:val="00C91AED"/>
    <w:rsid w:val="00CA27D8"/>
    <w:rsid w:val="00CA729D"/>
    <w:rsid w:val="00CB2A8E"/>
    <w:rsid w:val="00CB301D"/>
    <w:rsid w:val="00CC1FEE"/>
    <w:rsid w:val="00CC22CC"/>
    <w:rsid w:val="00CC6BC5"/>
    <w:rsid w:val="00CD1203"/>
    <w:rsid w:val="00CD37BC"/>
    <w:rsid w:val="00CD4895"/>
    <w:rsid w:val="00CD76BF"/>
    <w:rsid w:val="00CE48D8"/>
    <w:rsid w:val="00CF55BC"/>
    <w:rsid w:val="00D00029"/>
    <w:rsid w:val="00D00D3B"/>
    <w:rsid w:val="00D01CD2"/>
    <w:rsid w:val="00D044B7"/>
    <w:rsid w:val="00D1205A"/>
    <w:rsid w:val="00D12DE2"/>
    <w:rsid w:val="00D13079"/>
    <w:rsid w:val="00D22E6B"/>
    <w:rsid w:val="00D23616"/>
    <w:rsid w:val="00D23EFC"/>
    <w:rsid w:val="00D303DC"/>
    <w:rsid w:val="00D30955"/>
    <w:rsid w:val="00D30DFD"/>
    <w:rsid w:val="00D321D3"/>
    <w:rsid w:val="00D34953"/>
    <w:rsid w:val="00D41682"/>
    <w:rsid w:val="00D55BE0"/>
    <w:rsid w:val="00D57162"/>
    <w:rsid w:val="00D578DD"/>
    <w:rsid w:val="00D57DA7"/>
    <w:rsid w:val="00D71114"/>
    <w:rsid w:val="00D74CD1"/>
    <w:rsid w:val="00D82D69"/>
    <w:rsid w:val="00D9165C"/>
    <w:rsid w:val="00D92D5F"/>
    <w:rsid w:val="00D96126"/>
    <w:rsid w:val="00D961C7"/>
    <w:rsid w:val="00DB2F02"/>
    <w:rsid w:val="00DB7F64"/>
    <w:rsid w:val="00DC53D3"/>
    <w:rsid w:val="00DC6EFE"/>
    <w:rsid w:val="00DC7CEB"/>
    <w:rsid w:val="00DD442B"/>
    <w:rsid w:val="00DD7A27"/>
    <w:rsid w:val="00DD7CAC"/>
    <w:rsid w:val="00DE1509"/>
    <w:rsid w:val="00DE18E7"/>
    <w:rsid w:val="00DE25D8"/>
    <w:rsid w:val="00DE34D5"/>
    <w:rsid w:val="00DE41E0"/>
    <w:rsid w:val="00DF584A"/>
    <w:rsid w:val="00E051DD"/>
    <w:rsid w:val="00E0600D"/>
    <w:rsid w:val="00E0669F"/>
    <w:rsid w:val="00E14353"/>
    <w:rsid w:val="00E15DCA"/>
    <w:rsid w:val="00E17E6D"/>
    <w:rsid w:val="00E207BB"/>
    <w:rsid w:val="00E326B2"/>
    <w:rsid w:val="00E36371"/>
    <w:rsid w:val="00E56117"/>
    <w:rsid w:val="00E62A2F"/>
    <w:rsid w:val="00E70E86"/>
    <w:rsid w:val="00E718BC"/>
    <w:rsid w:val="00E72779"/>
    <w:rsid w:val="00E75517"/>
    <w:rsid w:val="00E820C1"/>
    <w:rsid w:val="00E82A82"/>
    <w:rsid w:val="00E83FFE"/>
    <w:rsid w:val="00E91F90"/>
    <w:rsid w:val="00E932EC"/>
    <w:rsid w:val="00E97BBA"/>
    <w:rsid w:val="00EA030E"/>
    <w:rsid w:val="00EA0727"/>
    <w:rsid w:val="00EA0F67"/>
    <w:rsid w:val="00EC5FC2"/>
    <w:rsid w:val="00ED7372"/>
    <w:rsid w:val="00EE141C"/>
    <w:rsid w:val="00EE55FB"/>
    <w:rsid w:val="00EE687B"/>
    <w:rsid w:val="00EE6B5E"/>
    <w:rsid w:val="00EF41D2"/>
    <w:rsid w:val="00F0048F"/>
    <w:rsid w:val="00F05BDF"/>
    <w:rsid w:val="00F1088B"/>
    <w:rsid w:val="00F11F1B"/>
    <w:rsid w:val="00F13333"/>
    <w:rsid w:val="00F1713B"/>
    <w:rsid w:val="00F262CD"/>
    <w:rsid w:val="00F2672B"/>
    <w:rsid w:val="00F30354"/>
    <w:rsid w:val="00F35C13"/>
    <w:rsid w:val="00F5153F"/>
    <w:rsid w:val="00F52483"/>
    <w:rsid w:val="00F54D57"/>
    <w:rsid w:val="00F61564"/>
    <w:rsid w:val="00F62645"/>
    <w:rsid w:val="00F71836"/>
    <w:rsid w:val="00F743ED"/>
    <w:rsid w:val="00F769CE"/>
    <w:rsid w:val="00F9186B"/>
    <w:rsid w:val="00F92CFA"/>
    <w:rsid w:val="00F9381A"/>
    <w:rsid w:val="00F94466"/>
    <w:rsid w:val="00FB0B3C"/>
    <w:rsid w:val="00FB359E"/>
    <w:rsid w:val="00FC19FD"/>
    <w:rsid w:val="00FC3E71"/>
    <w:rsid w:val="00FC4016"/>
    <w:rsid w:val="00FC4993"/>
    <w:rsid w:val="00FE01C3"/>
    <w:rsid w:val="00FE3785"/>
    <w:rsid w:val="00FE543D"/>
    <w:rsid w:val="00FE7123"/>
    <w:rsid w:val="00FF321C"/>
    <w:rsid w:val="12A99E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5D5338F"/>
  <w15:docId w15:val="{D0DA149F-6E01-4B27-A287-CB55DB3B4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imes New Roman" w:hAnsi="Cambria"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E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4_G"/>
    <w:link w:val="4GCharCharChar"/>
    <w:uiPriority w:val="99"/>
    <w:qFormat/>
    <w:rsid w:val="00044638"/>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ft,Char"/>
    <w:basedOn w:val="Normal"/>
    <w:link w:val="FootnoteTextChar"/>
    <w:uiPriority w:val="99"/>
    <w:qFormat/>
    <w:rsid w:val="00044638"/>
    <w:pPr>
      <w:tabs>
        <w:tab w:val="right" w:pos="1021"/>
      </w:tabs>
      <w:suppressAutoHyphens/>
      <w:spacing w:line="220" w:lineRule="exact"/>
      <w:ind w:left="1134" w:right="1134" w:hanging="1134"/>
    </w:pPr>
    <w:rPr>
      <w:rFonts w:ascii="Times New Roman" w:eastAsia="Malgun Gothic" w:hAnsi="Times New Roman" w:cs="Times New Roman"/>
      <w:sz w:val="18"/>
      <w:szCs w:val="20"/>
      <w:lang w:val="en-GB"/>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44638"/>
    <w:rPr>
      <w:rFonts w:ascii="Times New Roman" w:eastAsia="Malgun Gothic" w:hAnsi="Times New Roman" w:cs="Times New Roman"/>
      <w:sz w:val="18"/>
      <w:szCs w:val="20"/>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44638"/>
    <w:pPr>
      <w:spacing w:after="160" w:line="240" w:lineRule="exact"/>
      <w:jc w:val="both"/>
    </w:pPr>
    <w:rPr>
      <w:rFonts w:ascii="Times New Roman" w:hAnsi="Times New Roman" w:cs="Times New Roman"/>
      <w:sz w:val="18"/>
      <w:szCs w:val="20"/>
      <w:vertAlign w:val="superscript"/>
      <w:lang w:val="x-none" w:eastAsia="x-none"/>
    </w:rPr>
  </w:style>
  <w:style w:type="paragraph" w:styleId="NormalWeb">
    <w:name w:val="Normal (Web)"/>
    <w:basedOn w:val="Normal"/>
    <w:uiPriority w:val="99"/>
    <w:unhideWhenUsed/>
    <w:rsid w:val="007E26FA"/>
    <w:pPr>
      <w:spacing w:before="100" w:beforeAutospacing="1" w:after="100" w:afterAutospacing="1"/>
    </w:pPr>
    <w:rPr>
      <w:rFonts w:ascii="Times New Roman" w:hAnsi="Times New Roman" w:cs="Times New Roman"/>
    </w:rPr>
  </w:style>
  <w:style w:type="paragraph" w:styleId="ListParagraph">
    <w:name w:val="List Paragraph"/>
    <w:aliases w:val="Numbered list,Paragraphe de liste du rapport,List Paragraph (numbered (a)),Table of contents numbered,List ParagraphCxSpLast,List ParagraphCxSpLastCxSpLast,List ParagraphCxSpLastCxSpLastCxSpLast,Bullets,List Paragraph2"/>
    <w:basedOn w:val="Normal"/>
    <w:link w:val="ListParagraphChar"/>
    <w:uiPriority w:val="34"/>
    <w:qFormat/>
    <w:rsid w:val="00327FA3"/>
    <w:pPr>
      <w:ind w:left="720"/>
      <w:contextualSpacing/>
    </w:pPr>
  </w:style>
  <w:style w:type="character" w:styleId="CommentReference">
    <w:name w:val="annotation reference"/>
    <w:basedOn w:val="DefaultParagraphFont"/>
    <w:uiPriority w:val="99"/>
    <w:semiHidden/>
    <w:unhideWhenUsed/>
    <w:rsid w:val="00966799"/>
    <w:rPr>
      <w:sz w:val="18"/>
      <w:szCs w:val="18"/>
    </w:rPr>
  </w:style>
  <w:style w:type="paragraph" w:styleId="CommentText">
    <w:name w:val="annotation text"/>
    <w:basedOn w:val="Normal"/>
    <w:link w:val="CommentTextChar"/>
    <w:uiPriority w:val="99"/>
    <w:semiHidden/>
    <w:unhideWhenUsed/>
    <w:rsid w:val="00966799"/>
  </w:style>
  <w:style w:type="character" w:customStyle="1" w:styleId="CommentTextChar">
    <w:name w:val="Comment Text Char"/>
    <w:basedOn w:val="DefaultParagraphFont"/>
    <w:link w:val="CommentText"/>
    <w:uiPriority w:val="99"/>
    <w:semiHidden/>
    <w:rsid w:val="00966799"/>
  </w:style>
  <w:style w:type="paragraph" w:styleId="CommentSubject">
    <w:name w:val="annotation subject"/>
    <w:basedOn w:val="CommentText"/>
    <w:next w:val="CommentText"/>
    <w:link w:val="CommentSubjectChar"/>
    <w:uiPriority w:val="99"/>
    <w:semiHidden/>
    <w:unhideWhenUsed/>
    <w:rsid w:val="00966799"/>
    <w:rPr>
      <w:b/>
      <w:bCs/>
      <w:sz w:val="20"/>
      <w:szCs w:val="20"/>
    </w:rPr>
  </w:style>
  <w:style w:type="character" w:customStyle="1" w:styleId="CommentSubjectChar">
    <w:name w:val="Comment Subject Char"/>
    <w:basedOn w:val="CommentTextChar"/>
    <w:link w:val="CommentSubject"/>
    <w:uiPriority w:val="99"/>
    <w:semiHidden/>
    <w:rsid w:val="00966799"/>
    <w:rPr>
      <w:b/>
      <w:bCs/>
      <w:sz w:val="20"/>
      <w:szCs w:val="20"/>
    </w:rPr>
  </w:style>
  <w:style w:type="paragraph" w:styleId="Revision">
    <w:name w:val="Revision"/>
    <w:hidden/>
    <w:uiPriority w:val="99"/>
    <w:semiHidden/>
    <w:rsid w:val="00966799"/>
    <w:rPr>
      <w:sz w:val="24"/>
      <w:szCs w:val="24"/>
    </w:rPr>
  </w:style>
  <w:style w:type="paragraph" w:styleId="BalloonText">
    <w:name w:val="Balloon Text"/>
    <w:basedOn w:val="Normal"/>
    <w:link w:val="BalloonTextChar"/>
    <w:uiPriority w:val="99"/>
    <w:semiHidden/>
    <w:unhideWhenUsed/>
    <w:rsid w:val="009667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6799"/>
    <w:rPr>
      <w:rFonts w:ascii="Lucida Grande" w:hAnsi="Lucida Grande" w:cs="Lucida Grande"/>
      <w:sz w:val="18"/>
      <w:szCs w:val="18"/>
    </w:rPr>
  </w:style>
  <w:style w:type="character" w:styleId="Hyperlink">
    <w:name w:val="Hyperlink"/>
    <w:basedOn w:val="DefaultParagraphFont"/>
    <w:unhideWhenUsed/>
    <w:rsid w:val="001C31EA"/>
    <w:rPr>
      <w:color w:val="0000FF"/>
      <w:u w:val="single"/>
    </w:rPr>
  </w:style>
  <w:style w:type="paragraph" w:styleId="EndnoteText">
    <w:name w:val="endnote text"/>
    <w:basedOn w:val="Normal"/>
    <w:link w:val="EndnoteTextChar"/>
    <w:uiPriority w:val="99"/>
    <w:semiHidden/>
    <w:unhideWhenUsed/>
    <w:rsid w:val="00574FED"/>
    <w:rPr>
      <w:sz w:val="20"/>
      <w:szCs w:val="20"/>
    </w:rPr>
  </w:style>
  <w:style w:type="character" w:customStyle="1" w:styleId="EndnoteTextChar">
    <w:name w:val="Endnote Text Char"/>
    <w:basedOn w:val="DefaultParagraphFont"/>
    <w:link w:val="EndnoteText"/>
    <w:uiPriority w:val="99"/>
    <w:semiHidden/>
    <w:rsid w:val="00574FED"/>
    <w:rPr>
      <w:sz w:val="20"/>
      <w:szCs w:val="20"/>
    </w:rPr>
  </w:style>
  <w:style w:type="character" w:styleId="EndnoteReference">
    <w:name w:val="endnote reference"/>
    <w:basedOn w:val="DefaultParagraphFont"/>
    <w:uiPriority w:val="99"/>
    <w:semiHidden/>
    <w:unhideWhenUsed/>
    <w:rsid w:val="00574FED"/>
    <w:rPr>
      <w:vertAlign w:val="superscript"/>
    </w:rPr>
  </w:style>
  <w:style w:type="paragraph" w:customStyle="1" w:styleId="Default">
    <w:name w:val="Default"/>
    <w:rsid w:val="00574FED"/>
    <w:pPr>
      <w:autoSpaceDE w:val="0"/>
      <w:autoSpaceDN w:val="0"/>
      <w:adjustRightInd w:val="0"/>
    </w:pPr>
    <w:rPr>
      <w:rFonts w:ascii="Times New Roman" w:hAnsi="Times New Roman" w:cs="Times New Roman"/>
      <w:color w:val="000000"/>
      <w:sz w:val="24"/>
      <w:szCs w:val="24"/>
    </w:rPr>
  </w:style>
  <w:style w:type="paragraph" w:customStyle="1" w:styleId="SingleTxtGA">
    <w:name w:val="_ Single Txt_GA"/>
    <w:basedOn w:val="Normal"/>
    <w:rsid w:val="00826E76"/>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hAnsi="Times New Roman" w:cs="Traditional Arabic"/>
      <w:sz w:val="20"/>
      <w:szCs w:val="30"/>
    </w:rPr>
  </w:style>
  <w:style w:type="character" w:styleId="FollowedHyperlink">
    <w:name w:val="FollowedHyperlink"/>
    <w:basedOn w:val="DefaultParagraphFont"/>
    <w:uiPriority w:val="99"/>
    <w:semiHidden/>
    <w:unhideWhenUsed/>
    <w:rsid w:val="001E3FFE"/>
    <w:rPr>
      <w:color w:val="800080"/>
      <w:u w:val="single"/>
    </w:rPr>
  </w:style>
  <w:style w:type="paragraph" w:styleId="Header">
    <w:name w:val="header"/>
    <w:basedOn w:val="Normal"/>
    <w:link w:val="HeaderChar"/>
    <w:uiPriority w:val="99"/>
    <w:unhideWhenUsed/>
    <w:rsid w:val="00F62645"/>
    <w:pPr>
      <w:tabs>
        <w:tab w:val="center" w:pos="4680"/>
        <w:tab w:val="right" w:pos="9360"/>
      </w:tabs>
    </w:pPr>
  </w:style>
  <w:style w:type="character" w:customStyle="1" w:styleId="HeaderChar">
    <w:name w:val="Header Char"/>
    <w:basedOn w:val="DefaultParagraphFont"/>
    <w:link w:val="Header"/>
    <w:uiPriority w:val="99"/>
    <w:rsid w:val="00F62645"/>
    <w:rPr>
      <w:sz w:val="24"/>
      <w:szCs w:val="24"/>
    </w:rPr>
  </w:style>
  <w:style w:type="paragraph" w:styleId="Footer">
    <w:name w:val="footer"/>
    <w:basedOn w:val="Normal"/>
    <w:link w:val="FooterChar"/>
    <w:uiPriority w:val="99"/>
    <w:unhideWhenUsed/>
    <w:rsid w:val="00F62645"/>
    <w:pPr>
      <w:tabs>
        <w:tab w:val="center" w:pos="4680"/>
        <w:tab w:val="right" w:pos="9360"/>
      </w:tabs>
    </w:pPr>
  </w:style>
  <w:style w:type="character" w:customStyle="1" w:styleId="FooterChar">
    <w:name w:val="Footer Char"/>
    <w:basedOn w:val="DefaultParagraphFont"/>
    <w:link w:val="Footer"/>
    <w:uiPriority w:val="99"/>
    <w:rsid w:val="00F62645"/>
    <w:rPr>
      <w:sz w:val="24"/>
      <w:szCs w:val="24"/>
    </w:rPr>
  </w:style>
  <w:style w:type="character" w:styleId="PageNumber">
    <w:name w:val="page number"/>
    <w:basedOn w:val="DefaultParagraphFont"/>
    <w:uiPriority w:val="99"/>
    <w:semiHidden/>
    <w:unhideWhenUsed/>
    <w:rsid w:val="00D30955"/>
  </w:style>
  <w:style w:type="paragraph" w:customStyle="1" w:styleId="SingleTxtG">
    <w:name w:val="_ Single Txt_G"/>
    <w:basedOn w:val="Normal"/>
    <w:rsid w:val="00B82438"/>
    <w:pPr>
      <w:suppressAutoHyphens/>
      <w:spacing w:after="120" w:line="240" w:lineRule="atLeast"/>
      <w:ind w:left="1134" w:right="1134"/>
      <w:jc w:val="both"/>
    </w:pPr>
    <w:rPr>
      <w:rFonts w:ascii="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C7401C"/>
    <w:rPr>
      <w:color w:val="808080"/>
      <w:shd w:val="clear" w:color="auto" w:fill="E6E6E6"/>
    </w:rPr>
  </w:style>
  <w:style w:type="character" w:customStyle="1" w:styleId="UnresolvedMention2">
    <w:name w:val="Unresolved Mention2"/>
    <w:basedOn w:val="DefaultParagraphFont"/>
    <w:uiPriority w:val="99"/>
    <w:semiHidden/>
    <w:unhideWhenUsed/>
    <w:rsid w:val="005E4141"/>
    <w:rPr>
      <w:color w:val="808080"/>
      <w:shd w:val="clear" w:color="auto" w:fill="E6E6E6"/>
    </w:rPr>
  </w:style>
  <w:style w:type="character" w:customStyle="1" w:styleId="UnresolvedMention3">
    <w:name w:val="Unresolved Mention3"/>
    <w:basedOn w:val="DefaultParagraphFont"/>
    <w:uiPriority w:val="99"/>
    <w:semiHidden/>
    <w:unhideWhenUsed/>
    <w:rsid w:val="005D6499"/>
    <w:rPr>
      <w:color w:val="808080"/>
      <w:shd w:val="clear" w:color="auto" w:fill="E6E6E6"/>
    </w:rPr>
  </w:style>
  <w:style w:type="character" w:customStyle="1" w:styleId="A0">
    <w:name w:val="A0"/>
    <w:uiPriority w:val="99"/>
    <w:rsid w:val="004575EE"/>
    <w:rPr>
      <w:rFonts w:cs="Californian FB"/>
      <w:color w:val="000000"/>
      <w:sz w:val="22"/>
      <w:szCs w:val="22"/>
    </w:rPr>
  </w:style>
  <w:style w:type="paragraph" w:customStyle="1" w:styleId="SingleTxt">
    <w:name w:val="__Single Txt"/>
    <w:basedOn w:val="Normal"/>
    <w:rsid w:val="00D416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0"/>
      <w:lang w:val="en-GB"/>
    </w:rPr>
  </w:style>
  <w:style w:type="character" w:customStyle="1" w:styleId="apple-converted-space">
    <w:name w:val="apple-converted-space"/>
    <w:basedOn w:val="DefaultParagraphFont"/>
    <w:rsid w:val="00237753"/>
  </w:style>
  <w:style w:type="table" w:styleId="TableGrid">
    <w:name w:val="Table Grid"/>
    <w:basedOn w:val="TableNormal"/>
    <w:uiPriority w:val="59"/>
    <w:rsid w:val="00585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C0196A"/>
    <w:rPr>
      <w:color w:val="808080"/>
      <w:shd w:val="clear" w:color="auto" w:fill="E6E6E6"/>
    </w:rPr>
  </w:style>
  <w:style w:type="character" w:styleId="SubtleReference">
    <w:name w:val="Subtle Reference"/>
    <w:basedOn w:val="DefaultParagraphFont"/>
    <w:uiPriority w:val="31"/>
    <w:qFormat/>
    <w:rsid w:val="00C0196A"/>
    <w:rPr>
      <w:smallCaps/>
      <w:color w:val="5A5A5A" w:themeColor="text1" w:themeTint="A5"/>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uiPriority w:val="99"/>
    <w:rsid w:val="00B75776"/>
    <w:pPr>
      <w:autoSpaceDE w:val="0"/>
      <w:autoSpaceDN w:val="0"/>
      <w:spacing w:after="160" w:line="240" w:lineRule="exact"/>
      <w:jc w:val="both"/>
    </w:pPr>
    <w:rPr>
      <w:rFonts w:asciiTheme="minorHAnsi" w:eastAsiaTheme="minorHAnsi" w:hAnsiTheme="minorHAnsi" w:cstheme="minorBidi"/>
      <w:sz w:val="22"/>
      <w:szCs w:val="22"/>
      <w:vertAlign w:val="superscript"/>
    </w:rPr>
  </w:style>
  <w:style w:type="character" w:customStyle="1" w:styleId="ListParagraphChar">
    <w:name w:val="List Paragraph Char"/>
    <w:aliases w:val="Numbered list Char,Paragraphe de liste du rapport Char,List Paragraph (numbered (a)) Char,Table of contents numbered Char,List ParagraphCxSpLast Char,List ParagraphCxSpLastCxSpLast Char,List ParagraphCxSpLastCxSpLastCxSpLast Char"/>
    <w:link w:val="ListParagraph"/>
    <w:uiPriority w:val="34"/>
    <w:locked/>
    <w:rsid w:val="00B75776"/>
    <w:rPr>
      <w:sz w:val="24"/>
      <w:szCs w:val="24"/>
    </w:rPr>
  </w:style>
  <w:style w:type="character" w:customStyle="1" w:styleId="UnresolvedMention5">
    <w:name w:val="Unresolved Mention5"/>
    <w:basedOn w:val="DefaultParagraphFont"/>
    <w:uiPriority w:val="99"/>
    <w:semiHidden/>
    <w:unhideWhenUsed/>
    <w:rsid w:val="00F0048F"/>
    <w:rPr>
      <w:color w:val="605E5C"/>
      <w:shd w:val="clear" w:color="auto" w:fill="E1DFDD"/>
    </w:rPr>
  </w:style>
  <w:style w:type="character" w:styleId="UnresolvedMention">
    <w:name w:val="Unresolved Mention"/>
    <w:basedOn w:val="DefaultParagraphFont"/>
    <w:uiPriority w:val="99"/>
    <w:semiHidden/>
    <w:unhideWhenUsed/>
    <w:rsid w:val="00211051"/>
    <w:rPr>
      <w:color w:val="605E5C"/>
      <w:shd w:val="clear" w:color="auto" w:fill="E1DFDD"/>
    </w:rPr>
  </w:style>
  <w:style w:type="character" w:customStyle="1" w:styleId="A12">
    <w:name w:val="A12"/>
    <w:uiPriority w:val="99"/>
    <w:rsid w:val="00C87A39"/>
    <w:rPr>
      <w:rFonts w:cs="Alegreya Sans"/>
      <w:color w:val="000000"/>
      <w:sz w:val="16"/>
      <w:szCs w:val="16"/>
    </w:rPr>
  </w:style>
  <w:style w:type="character" w:customStyle="1" w:styleId="A7">
    <w:name w:val="A7"/>
    <w:uiPriority w:val="99"/>
    <w:rsid w:val="00C87A39"/>
    <w:rPr>
      <w:rFonts w:cs="Alegreya Sans"/>
      <w:color w:val="000000"/>
      <w:sz w:val="16"/>
      <w:szCs w:val="1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240782">
      <w:bodyDiv w:val="1"/>
      <w:marLeft w:val="0"/>
      <w:marRight w:val="0"/>
      <w:marTop w:val="0"/>
      <w:marBottom w:val="0"/>
      <w:divBdr>
        <w:top w:val="none" w:sz="0" w:space="0" w:color="auto"/>
        <w:left w:val="none" w:sz="0" w:space="0" w:color="auto"/>
        <w:bottom w:val="none" w:sz="0" w:space="0" w:color="auto"/>
        <w:right w:val="none" w:sz="0" w:space="0" w:color="auto"/>
      </w:divBdr>
    </w:div>
    <w:div w:id="668868919">
      <w:bodyDiv w:val="1"/>
      <w:marLeft w:val="0"/>
      <w:marRight w:val="0"/>
      <w:marTop w:val="0"/>
      <w:marBottom w:val="0"/>
      <w:divBdr>
        <w:top w:val="none" w:sz="0" w:space="0" w:color="auto"/>
        <w:left w:val="none" w:sz="0" w:space="0" w:color="auto"/>
        <w:bottom w:val="none" w:sz="0" w:space="0" w:color="auto"/>
        <w:right w:val="none" w:sz="0" w:space="0" w:color="auto"/>
      </w:divBdr>
    </w:div>
    <w:div w:id="958997580">
      <w:bodyDiv w:val="1"/>
      <w:marLeft w:val="0"/>
      <w:marRight w:val="0"/>
      <w:marTop w:val="0"/>
      <w:marBottom w:val="0"/>
      <w:divBdr>
        <w:top w:val="none" w:sz="0" w:space="0" w:color="auto"/>
        <w:left w:val="none" w:sz="0" w:space="0" w:color="auto"/>
        <w:bottom w:val="none" w:sz="0" w:space="0" w:color="auto"/>
        <w:right w:val="none" w:sz="0" w:space="0" w:color="auto"/>
      </w:divBdr>
    </w:div>
    <w:div w:id="1037002132">
      <w:bodyDiv w:val="1"/>
      <w:marLeft w:val="0"/>
      <w:marRight w:val="0"/>
      <w:marTop w:val="0"/>
      <w:marBottom w:val="0"/>
      <w:divBdr>
        <w:top w:val="none" w:sz="0" w:space="0" w:color="auto"/>
        <w:left w:val="none" w:sz="0" w:space="0" w:color="auto"/>
        <w:bottom w:val="none" w:sz="0" w:space="0" w:color="auto"/>
        <w:right w:val="none" w:sz="0" w:space="0" w:color="auto"/>
      </w:divBdr>
      <w:divsChild>
        <w:div w:id="851528981">
          <w:marLeft w:val="0"/>
          <w:marRight w:val="0"/>
          <w:marTop w:val="0"/>
          <w:marBottom w:val="0"/>
          <w:divBdr>
            <w:top w:val="none" w:sz="0" w:space="0" w:color="auto"/>
            <w:left w:val="none" w:sz="0" w:space="0" w:color="auto"/>
            <w:bottom w:val="none" w:sz="0" w:space="0" w:color="auto"/>
            <w:right w:val="none" w:sz="0" w:space="0" w:color="auto"/>
          </w:divBdr>
        </w:div>
      </w:divsChild>
    </w:div>
    <w:div w:id="1242252171">
      <w:bodyDiv w:val="1"/>
      <w:marLeft w:val="0"/>
      <w:marRight w:val="0"/>
      <w:marTop w:val="0"/>
      <w:marBottom w:val="0"/>
      <w:divBdr>
        <w:top w:val="none" w:sz="0" w:space="0" w:color="auto"/>
        <w:left w:val="none" w:sz="0" w:space="0" w:color="auto"/>
        <w:bottom w:val="none" w:sz="0" w:space="0" w:color="auto"/>
        <w:right w:val="none" w:sz="0" w:space="0" w:color="auto"/>
      </w:divBdr>
    </w:div>
    <w:div w:id="1415474410">
      <w:bodyDiv w:val="1"/>
      <w:marLeft w:val="0"/>
      <w:marRight w:val="0"/>
      <w:marTop w:val="0"/>
      <w:marBottom w:val="0"/>
      <w:divBdr>
        <w:top w:val="none" w:sz="0" w:space="0" w:color="auto"/>
        <w:left w:val="none" w:sz="0" w:space="0" w:color="auto"/>
        <w:bottom w:val="none" w:sz="0" w:space="0" w:color="auto"/>
        <w:right w:val="none" w:sz="0" w:space="0" w:color="auto"/>
      </w:divBdr>
      <w:divsChild>
        <w:div w:id="196939225">
          <w:marLeft w:val="0"/>
          <w:marRight w:val="0"/>
          <w:marTop w:val="80"/>
          <w:marBottom w:val="0"/>
          <w:divBdr>
            <w:top w:val="none" w:sz="0" w:space="0" w:color="auto"/>
            <w:left w:val="none" w:sz="0" w:space="0" w:color="auto"/>
            <w:bottom w:val="none" w:sz="0" w:space="0" w:color="auto"/>
            <w:right w:val="none" w:sz="0" w:space="0" w:color="auto"/>
          </w:divBdr>
        </w:div>
        <w:div w:id="1112478336">
          <w:marLeft w:val="0"/>
          <w:marRight w:val="0"/>
          <w:marTop w:val="80"/>
          <w:marBottom w:val="0"/>
          <w:divBdr>
            <w:top w:val="none" w:sz="0" w:space="0" w:color="auto"/>
            <w:left w:val="none" w:sz="0" w:space="0" w:color="auto"/>
            <w:bottom w:val="none" w:sz="0" w:space="0" w:color="auto"/>
            <w:right w:val="none" w:sz="0" w:space="0" w:color="auto"/>
          </w:divBdr>
        </w:div>
      </w:divsChild>
    </w:div>
    <w:div w:id="1683237174">
      <w:bodyDiv w:val="1"/>
      <w:marLeft w:val="0"/>
      <w:marRight w:val="0"/>
      <w:marTop w:val="0"/>
      <w:marBottom w:val="0"/>
      <w:divBdr>
        <w:top w:val="none" w:sz="0" w:space="0" w:color="auto"/>
        <w:left w:val="none" w:sz="0" w:space="0" w:color="auto"/>
        <w:bottom w:val="none" w:sz="0" w:space="0" w:color="auto"/>
        <w:right w:val="none" w:sz="0" w:space="0" w:color="auto"/>
      </w:divBdr>
      <w:divsChild>
        <w:div w:id="2072389540">
          <w:marLeft w:val="0"/>
          <w:marRight w:val="0"/>
          <w:marTop w:val="0"/>
          <w:marBottom w:val="0"/>
          <w:divBdr>
            <w:top w:val="none" w:sz="0" w:space="0" w:color="auto"/>
            <w:left w:val="none" w:sz="0" w:space="0" w:color="auto"/>
            <w:bottom w:val="none" w:sz="0" w:space="0" w:color="auto"/>
            <w:right w:val="none" w:sz="0" w:space="0" w:color="auto"/>
          </w:divBdr>
        </w:div>
      </w:divsChild>
    </w:div>
    <w:div w:id="174352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equalitynow.org/" TargetMode="External"/><Relationship Id="rId2" Type="http://schemas.openxmlformats.org/officeDocument/2006/relationships/customXml" Target="../customXml/item2.xml"/><Relationship Id="rId16" Type="http://schemas.openxmlformats.org/officeDocument/2006/relationships/hyperlink" Target="http://www.institutesi.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equalnationalityrights.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refworld.org/docid/54f8377d4.html" TargetMode="External"/><Relationship Id="rId2" Type="http://schemas.openxmlformats.org/officeDocument/2006/relationships/hyperlink" Target="https://www.refworld.org/docid/5f0d7b934.html" TargetMode="External"/><Relationship Id="rId1" Type="http://schemas.openxmlformats.org/officeDocument/2006/relationships/hyperlink" Target="https://elaws.moj.gov.ae/UAE-MOJ_LC-En/00_NATIONALITY/UAE-LC-En_1972-11-18_00017_Kait.html?val=EL1" TargetMode="External"/><Relationship Id="rId6" Type="http://schemas.openxmlformats.org/officeDocument/2006/relationships/hyperlink" Target="https://elaws.moj.gov.ae/UAE-MOJ_LC-En/00_PERSONAL%20STATUS/UAE-LC-En_2005-11-19_00028_Kait.html?val=EL1&amp;Words=Personal%20Status" TargetMode="External"/><Relationship Id="rId5" Type="http://schemas.openxmlformats.org/officeDocument/2006/relationships/hyperlink" Target="http://equalnationalityrights.org/images/zdocs/CEDAW-Quick-Reference-Guide.pdf" TargetMode="External"/><Relationship Id="rId4" Type="http://schemas.openxmlformats.org/officeDocument/2006/relationships/hyperlink" Target="http://www.refworld.org/docid/56de83ca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29EE9-EC78-40B2-8C5E-D64C5D0F1C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E0D97C-C669-41D6-9A2D-25A8411CEA60}">
  <ds:schemaRefs>
    <ds:schemaRef ds:uri="http://schemas.microsoft.com/sharepoint/v3/contenttype/forms"/>
  </ds:schemaRefs>
</ds:datastoreItem>
</file>

<file path=customXml/itemProps3.xml><?xml version="1.0" encoding="utf-8"?>
<ds:datastoreItem xmlns:ds="http://schemas.openxmlformats.org/officeDocument/2006/customXml" ds:itemID="{00FB85BD-CD23-4185-9BCE-8F11B9A36508}"/>
</file>

<file path=customXml/itemProps4.xml><?xml version="1.0" encoding="utf-8"?>
<ds:datastoreItem xmlns:ds="http://schemas.openxmlformats.org/officeDocument/2006/customXml" ds:itemID="{7B7E9E8F-DB72-3042-A8F5-E00897AE4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2586</Words>
  <Characters>14742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Gelman</dc:creator>
  <cp:lastModifiedBy>Catherine Harrington</cp:lastModifiedBy>
  <cp:revision>2</cp:revision>
  <cp:lastPrinted>2021-01-29T17:26:00Z</cp:lastPrinted>
  <dcterms:created xsi:type="dcterms:W3CDTF">2022-05-16T20:15:00Z</dcterms:created>
  <dcterms:modified xsi:type="dcterms:W3CDTF">2022-05-16T20:15:00Z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