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tabs>
          <w:tab w:val="left" w:pos="1300"/>
          <w:tab w:val="left" w:pos="2600"/>
          <w:tab w:val="left" w:pos="3900"/>
          <w:tab w:val="left" w:pos="5200"/>
          <w:tab w:val="left" w:pos="6500"/>
          <w:tab w:val="left" w:pos="7800"/>
          <w:tab w:val="left" w:pos="9100"/>
        </w:tabs>
        <w:rPr>
          <w:sz w:val="40"/>
          <w:szCs w:val="40"/>
        </w:rPr>
      </w:pPr>
      <w:r>
        <w:rPr>
          <w:sz w:val="40"/>
          <w:szCs w:val="40"/>
          <w:rtl w:val="0"/>
          <w:lang w:val="en-US"/>
        </w:rPr>
        <w:t>Pittsburgh-Matanzas Sister Cities Partnership</w:t>
      </w:r>
    </w:p>
    <w:p>
      <w:pPr>
        <w:pStyle w:val="Title"/>
        <w:tabs>
          <w:tab w:val="left" w:pos="1300"/>
          <w:tab w:val="left" w:pos="2600"/>
          <w:tab w:val="left" w:pos="3900"/>
          <w:tab w:val="left" w:pos="5200"/>
          <w:tab w:val="left" w:pos="6500"/>
          <w:tab w:val="left" w:pos="7800"/>
          <w:tab w:val="left" w:pos="9100"/>
        </w:tabs>
        <w:rPr>
          <w:sz w:val="40"/>
          <w:szCs w:val="40"/>
        </w:rPr>
      </w:pPr>
    </w:p>
    <w:p>
      <w:pPr>
        <w:pStyle w:val="Title"/>
        <w:tabs>
          <w:tab w:val="left" w:pos="1300"/>
          <w:tab w:val="left" w:pos="2600"/>
          <w:tab w:val="left" w:pos="3900"/>
          <w:tab w:val="left" w:pos="5200"/>
          <w:tab w:val="left" w:pos="6500"/>
          <w:tab w:val="left" w:pos="7800"/>
          <w:tab w:val="left" w:pos="9100"/>
        </w:tabs>
        <w:rPr>
          <w:sz w:val="32"/>
          <w:szCs w:val="32"/>
        </w:rPr>
      </w:pPr>
      <w:r>
        <w:rPr>
          <w:sz w:val="32"/>
          <w:szCs w:val="32"/>
          <w:rtl w:val="0"/>
          <w:lang w:val="en-US"/>
        </w:rPr>
        <w:t>Contribution to the presentation of the Report of the Republic of Cub at the 117th session of the CEDR</w:t>
      </w:r>
    </w:p>
    <w:p>
      <w:pPr>
        <w:pStyle w:val="Body"/>
        <w:bidi w:val="0"/>
        <w:rPr>
          <w:b w:val="1"/>
          <w:bCs w:val="1"/>
          <w:sz w:val="26"/>
          <w:szCs w:val="26"/>
        </w:rPr>
      </w:pPr>
      <w:r>
        <w:rPr>
          <w:b w:val="1"/>
          <w:bCs w:val="1"/>
          <w:rtl w:val="0"/>
          <w:lang w:val="en-US"/>
        </w:rPr>
        <w:t>Name of the organization:</w:t>
      </w:r>
      <w:r>
        <w:rPr>
          <w:rtl w:val="0"/>
        </w:rPr>
        <w:t xml:space="preserve"> </w:t>
      </w:r>
      <w:r>
        <w:rPr>
          <w:b w:val="1"/>
          <w:bCs w:val="1"/>
          <w:sz w:val="26"/>
          <w:szCs w:val="26"/>
          <w:rtl w:val="0"/>
          <w:lang w:val="en-US"/>
        </w:rPr>
        <w:t>Pittsburgh-Matanzas Sister Cities Partnership</w:t>
      </w:r>
    </w:p>
    <w:p>
      <w:pPr>
        <w:pStyle w:val="Body"/>
        <w:bidi w:val="0"/>
        <w:rPr>
          <w:sz w:val="26"/>
          <w:szCs w:val="26"/>
        </w:rPr>
      </w:pPr>
      <w:r>
        <w:rPr>
          <w:b w:val="1"/>
          <w:bCs w:val="1"/>
          <w:sz w:val="26"/>
          <w:szCs w:val="26"/>
          <w:rtl w:val="0"/>
          <w:lang w:val="en-US"/>
        </w:rPr>
        <w:t xml:space="preserve">Description of the organization: </w:t>
      </w:r>
      <w:r>
        <w:rPr>
          <w:sz w:val="26"/>
          <w:szCs w:val="26"/>
          <w:rtl w:val="0"/>
          <w:lang w:val="en-US"/>
        </w:rPr>
        <w:t>The Pittsburgh-Matanzas Sister Cities is a non-profit collaboration of community, civic society organizations, elected representatives, universities, and individuals who wish to create sustainable relationships with counterparts in Matanzas, Cuba,  incorporated in 1992 .</w:t>
      </w:r>
    </w:p>
    <w:p>
      <w:pPr>
        <w:pStyle w:val="Body"/>
        <w:bidi w:val="0"/>
        <w:rPr>
          <w:sz w:val="26"/>
          <w:szCs w:val="26"/>
        </w:rPr>
      </w:pPr>
      <w:r>
        <w:rPr>
          <w:sz w:val="26"/>
          <w:szCs w:val="26"/>
          <w:rtl w:val="0"/>
          <w:lang w:val="en-US"/>
        </w:rPr>
        <w:t>For over thirty years we have taken thousands of US citizens to Cuba to meet the Cuban people, who share interests. One of the major interests is the unique history of Matanzas as a major slave port in the 1800</w:t>
      </w:r>
      <w:r>
        <w:rPr>
          <w:sz w:val="26"/>
          <w:szCs w:val="26"/>
          <w:rtl w:val="0"/>
          <w:lang w:val="en-US"/>
        </w:rPr>
        <w:t>’</w:t>
      </w:r>
      <w:r>
        <w:rPr>
          <w:sz w:val="26"/>
          <w:szCs w:val="26"/>
          <w:rtl w:val="0"/>
          <w:lang w:val="en-US"/>
        </w:rPr>
        <w:t xml:space="preserve">s, and the African diaspora in Pittsburgh. </w:t>
      </w:r>
    </w:p>
    <w:p>
      <w:pPr>
        <w:pStyle w:val="Body"/>
        <w:bidi w:val="0"/>
        <w:rPr>
          <w:sz w:val="26"/>
          <w:szCs w:val="26"/>
        </w:rPr>
      </w:pPr>
      <w:r>
        <w:rPr>
          <w:sz w:val="26"/>
          <w:szCs w:val="26"/>
          <w:rtl w:val="0"/>
          <w:lang w:val="en-US"/>
        </w:rPr>
        <w:t>When we first started interacting with our Cuban neighbors, whereas the history or Matanzas was well known to Cubans, it was not shared much with tourists, all Cuban people seemed to believe that all of humanity began in Africa, and shared some DNA with Africa, especially after Angola.</w:t>
      </w:r>
    </w:p>
    <w:p>
      <w:pPr>
        <w:pStyle w:val="Body"/>
        <w:bidi w:val="0"/>
        <w:rPr>
          <w:sz w:val="26"/>
          <w:szCs w:val="26"/>
        </w:rPr>
      </w:pPr>
      <w:r>
        <w:rPr>
          <w:sz w:val="26"/>
          <w:szCs w:val="26"/>
          <w:rtl w:val="0"/>
          <w:lang w:val="en-US"/>
        </w:rPr>
        <w:t>However, over the years we have witnessed a transformation in Cuba lifting up the contributions people of color have made to liberation struggles worldwide, and we have embarked on a joint effort to preserve, restore and expand Triunvirato, the plantation where Carlota, a slave, first led a rebellion that sparked rebellions island wide. Our goals are to create and capture the voices of those enslaved, not as victims but the heroic aspirations to reject slavery, and all the inequities that keep people from being able to live in equal opportunity.</w:t>
      </w:r>
    </w:p>
    <w:p>
      <w:pPr>
        <w:pStyle w:val="Body"/>
        <w:bidi w:val="0"/>
      </w:pPr>
      <w:r>
        <w:rPr>
          <w:sz w:val="26"/>
          <w:szCs w:val="26"/>
          <w:rtl w:val="0"/>
          <w:lang w:val="en-US"/>
        </w:rPr>
        <w:t>We welcome this opportunity to stand with the people of Cuba in building a better world, and share their efforts to create a just society despite suffering an illegal blockade by the USA determined to subjugate them.</w:t>
      </w:r>
    </w:p>
    <w:sectPr>
      <w:headerReference w:type="default" r:id="rId4"/>
      <w:footerReference w:type="default" r:id="rId5"/>
      <w:pgSz w:w="12240" w:h="15840" w:orient="portrait"/>
      <w:pgMar w:top="1440" w:right="1440" w:bottom="1440" w:left="1440" w:header="480" w:footer="48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le">
    <w:name w:val="Title"/>
    <w:next w:val="Title"/>
    <w:pPr>
      <w:keepNext w:val="0"/>
      <w:keepLines w:val="1"/>
      <w:pageBreakBefore w:val="0"/>
      <w:widowControl w:val="1"/>
      <w:shd w:val="clear" w:color="auto" w:fill="auto"/>
      <w:suppressAutoHyphens w:val="0"/>
      <w:bidi w:val="0"/>
      <w:spacing w:before="0" w:after="120" w:line="240" w:lineRule="auto"/>
      <w:ind w:left="0" w:right="0" w:firstLine="0"/>
      <w:jc w:val="center"/>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40" w:line="312"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7"/>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21_Simple_Report">
  <a:themeElements>
    <a:clrScheme name="21_Simple_Report">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21_Simple_Report">
      <a:majorFont>
        <a:latin typeface="Helvetica Neue"/>
        <a:ea typeface="Helvetica Neue"/>
        <a:cs typeface="Helvetica Neue"/>
      </a:majorFont>
      <a:minorFont>
        <a:latin typeface="Helvetica Neue"/>
        <a:ea typeface="Helvetica Neue"/>
        <a:cs typeface="Helvetica Neue"/>
      </a:minorFont>
    </a:fontScheme>
    <a:fmtScheme name="21_Simple_Repor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30000"/>
          </a:lnSpc>
          <a:spcBef>
            <a:spcPts val="1200"/>
          </a:spcBef>
          <a:spcAft>
            <a:spcPts val="0"/>
          </a:spcAft>
          <a:buClrTx/>
          <a:buSzTx/>
          <a:buFontTx/>
          <a:buNone/>
          <a:tabLst/>
          <a:defRPr b="0" baseline="0" cap="none" i="0" spc="36" strike="noStrike" sz="12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