
<file path=[Content_Types].xml><?xml version="1.0" encoding="utf-8"?>
<Types xmlns="http://schemas.openxmlformats.org/package/2006/content-types">
  <Default Extension="gif" ContentType="image/gi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13826C" w14:textId="77777777" w:rsidR="00301AF8" w:rsidRDefault="00301AF8">
      <w:pPr>
        <w:spacing w:after="0" w:line="276" w:lineRule="auto"/>
        <w:jc w:val="right"/>
        <w:rPr>
          <w:rFonts w:ascii="Times New Roman" w:eastAsia="Times New Roman" w:hAnsi="Times New Roman" w:cs="Times New Roman"/>
          <w:sz w:val="22"/>
          <w:szCs w:val="22"/>
        </w:rPr>
      </w:pPr>
    </w:p>
    <w:p w14:paraId="3C7F440C" w14:textId="77777777" w:rsidR="00301AF8" w:rsidRDefault="00000000">
      <w:pPr>
        <w:spacing w:after="0" w:line="276" w:lineRule="auto"/>
        <w:jc w:val="right"/>
        <w:rPr>
          <w:rFonts w:ascii="Times New Roman" w:eastAsia="Times New Roman" w:hAnsi="Times New Roman" w:cs="Times New Roman"/>
          <w:sz w:val="22"/>
          <w:szCs w:val="22"/>
        </w:rPr>
      </w:pPr>
      <w:sdt>
        <w:sdtPr>
          <w:tag w:val="goog_rdk_0"/>
          <w:id w:val="-1839153594"/>
        </w:sdtPr>
        <w:sdtContent/>
      </w:sdt>
      <w:sdt>
        <w:sdtPr>
          <w:tag w:val="goog_rdk_1"/>
          <w:id w:val="-697778074"/>
        </w:sdtPr>
        <w:sdtContent/>
      </w:sdt>
      <w:r>
        <w:rPr>
          <w:rFonts w:ascii="Times New Roman" w:eastAsia="Times New Roman" w:hAnsi="Times New Roman" w:cs="Times New Roman"/>
          <w:sz w:val="22"/>
          <w:szCs w:val="22"/>
        </w:rPr>
        <w:t xml:space="preserve">Lima, 23 de agosto de 2024 </w:t>
      </w:r>
    </w:p>
    <w:p w14:paraId="79625FE4" w14:textId="77777777" w:rsidR="00301AF8" w:rsidRDefault="00301AF8">
      <w:pPr>
        <w:spacing w:after="0" w:line="276" w:lineRule="auto"/>
        <w:jc w:val="both"/>
        <w:rPr>
          <w:rFonts w:ascii="Times New Roman" w:eastAsia="Times New Roman" w:hAnsi="Times New Roman" w:cs="Times New Roman"/>
          <w:b/>
          <w:sz w:val="22"/>
          <w:szCs w:val="22"/>
        </w:rPr>
      </w:pPr>
    </w:p>
    <w:p w14:paraId="4E059E5F" w14:textId="77777777" w:rsidR="00301AF8" w:rsidRDefault="00000000">
      <w:pPr>
        <w:spacing w:after="0" w:line="276" w:lineRule="auto"/>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Secretaria del Comité para la Eliminación de la Discriminación contra la Mujer</w:t>
      </w:r>
    </w:p>
    <w:p w14:paraId="489975C2" w14:textId="77777777" w:rsidR="00301AF8" w:rsidRDefault="00000000">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Oficina del Alto Comisionado de Naciones Unidas</w:t>
      </w:r>
    </w:p>
    <w:p w14:paraId="424765BF" w14:textId="77777777" w:rsidR="00301AF8" w:rsidRDefault="00301AF8">
      <w:pPr>
        <w:spacing w:after="0" w:line="276" w:lineRule="auto"/>
        <w:jc w:val="both"/>
        <w:rPr>
          <w:rFonts w:ascii="Times New Roman" w:eastAsia="Times New Roman" w:hAnsi="Times New Roman" w:cs="Times New Roman"/>
          <w:sz w:val="22"/>
          <w:szCs w:val="22"/>
        </w:rPr>
      </w:pPr>
    </w:p>
    <w:p w14:paraId="48173B29" w14:textId="77777777" w:rsidR="00301AF8" w:rsidRDefault="00000000">
      <w:pPr>
        <w:spacing w:after="0" w:line="276" w:lineRule="auto"/>
        <w:ind w:left="3969"/>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Re: Informe alternativo del seguimiento de las observaciones finales sobre el noveno informe periódico del Perú para la revisión del Estado peruano por el Comité para la Eliminación de la Discriminación contra la Mujer</w:t>
      </w:r>
    </w:p>
    <w:p w14:paraId="3E456784" w14:textId="77777777" w:rsidR="00301AF8" w:rsidRDefault="00301AF8">
      <w:pPr>
        <w:spacing w:after="0" w:line="276" w:lineRule="auto"/>
        <w:jc w:val="right"/>
        <w:rPr>
          <w:rFonts w:ascii="Times New Roman" w:eastAsia="Times New Roman" w:hAnsi="Times New Roman" w:cs="Times New Roman"/>
          <w:sz w:val="22"/>
          <w:szCs w:val="22"/>
        </w:rPr>
      </w:pPr>
    </w:p>
    <w:p w14:paraId="07A101B5" w14:textId="77777777" w:rsidR="00301AF8" w:rsidRDefault="00000000">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Distinguidas miembros del Comité para la Eliminación de la Discriminación contra la Mujer:  </w:t>
      </w:r>
    </w:p>
    <w:p w14:paraId="46CB2C8F" w14:textId="77777777" w:rsidR="00301AF8" w:rsidRDefault="00301AF8">
      <w:pPr>
        <w:spacing w:after="0" w:line="276" w:lineRule="auto"/>
        <w:jc w:val="both"/>
        <w:rPr>
          <w:rFonts w:ascii="Times New Roman" w:eastAsia="Times New Roman" w:hAnsi="Times New Roman" w:cs="Times New Roman"/>
          <w:sz w:val="22"/>
          <w:szCs w:val="22"/>
        </w:rPr>
      </w:pPr>
    </w:p>
    <w:p w14:paraId="7B793F70" w14:textId="77777777" w:rsidR="00301AF8" w:rsidRDefault="00000000">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Es grato dirigirnos a ustedes como representantes de distintas Organizaciones No Gubernamentales (en adelante, ONGs) feministas, que realizan actividades en promoción y protección de los derechos humanos de las niñas, mujeres en su diversidad</w:t>
      </w:r>
      <w:r>
        <w:rPr>
          <w:rFonts w:ascii="Times New Roman" w:eastAsia="Times New Roman" w:hAnsi="Times New Roman" w:cs="Times New Roman"/>
          <w:sz w:val="22"/>
          <w:szCs w:val="22"/>
          <w:vertAlign w:val="superscript"/>
        </w:rPr>
        <w:footnoteReference w:id="1"/>
      </w:r>
      <w:r>
        <w:rPr>
          <w:rFonts w:ascii="Times New Roman" w:eastAsia="Times New Roman" w:hAnsi="Times New Roman" w:cs="Times New Roman"/>
          <w:sz w:val="22"/>
          <w:szCs w:val="22"/>
        </w:rPr>
        <w:t xml:space="preserve">, y diferentes poblaciones en situación de vulnerabilidad en el Perú, a fin de contribuir al trabajo del Comité para la Eliminación de la Discriminación contra la Mujer (en adelante, “Comité” o “CEDAW”), mediante esta comunicación que aporta información al seguimiento de las Observaciones finales sobre el noveno informe periódico del Perú (en adelante, Observaciones Finales). </w:t>
      </w:r>
    </w:p>
    <w:p w14:paraId="7583B58D" w14:textId="77777777" w:rsidR="00301AF8" w:rsidRDefault="00301AF8">
      <w:pPr>
        <w:spacing w:after="0" w:line="276" w:lineRule="auto"/>
        <w:jc w:val="both"/>
        <w:rPr>
          <w:rFonts w:ascii="Times New Roman" w:eastAsia="Times New Roman" w:hAnsi="Times New Roman" w:cs="Times New Roman"/>
          <w:sz w:val="22"/>
          <w:szCs w:val="22"/>
        </w:rPr>
      </w:pPr>
    </w:p>
    <w:p w14:paraId="58D8EAD1" w14:textId="77777777" w:rsidR="00301AF8" w:rsidRDefault="00000000">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En tal sentido, el propósito de esta comunicación es brindar información al Comité sobre la recomendación contenida en el párrafo 24.a</w:t>
      </w:r>
      <w:r>
        <w:rPr>
          <w:rFonts w:ascii="Times New Roman" w:eastAsia="Times New Roman" w:hAnsi="Times New Roman" w:cs="Times New Roman"/>
          <w:sz w:val="22"/>
          <w:szCs w:val="22"/>
          <w:vertAlign w:val="superscript"/>
        </w:rPr>
        <w:footnoteReference w:id="2"/>
      </w:r>
      <w:r>
        <w:rPr>
          <w:rFonts w:ascii="Times New Roman" w:eastAsia="Times New Roman" w:hAnsi="Times New Roman" w:cs="Times New Roman"/>
          <w:sz w:val="22"/>
          <w:szCs w:val="22"/>
        </w:rPr>
        <w:t>, de violencia de género contra las mujeres en el país, misma que será abordada con relación a la recomendación del párrafo 18.a, sobre la integridad del Ministerio de la Mujer y Poblaciones Vulnerables (en adelante, MIMP), sobre el cual este honorable Comité ha mostrado su preocupación desde 1996, cuando recomendó al Estado peruano que el “órgano creado para coordinar las actividades sobre los derechos de la mujer se fortaleciera política y administrativamente a  fin de coordinar las políticas públicas destinadas a mejorar la situación y la posición de la mujer”</w:t>
      </w:r>
      <w:r>
        <w:rPr>
          <w:rFonts w:ascii="Times New Roman" w:eastAsia="Times New Roman" w:hAnsi="Times New Roman" w:cs="Times New Roman"/>
          <w:sz w:val="22"/>
          <w:szCs w:val="22"/>
          <w:vertAlign w:val="superscript"/>
        </w:rPr>
        <w:footnoteReference w:id="3"/>
      </w:r>
      <w:r>
        <w:rPr>
          <w:rFonts w:ascii="Times New Roman" w:eastAsia="Times New Roman" w:hAnsi="Times New Roman" w:cs="Times New Roman"/>
          <w:sz w:val="22"/>
          <w:szCs w:val="22"/>
        </w:rPr>
        <w:t xml:space="preserve">. No obstante, luego de más de 27 años de creación institucional, el MIMP ve amenazada su existencia, debido a su posible fusión con el Ministerio de Desarrollo e Inclusión Social (en adelante, MIDIS). </w:t>
      </w:r>
    </w:p>
    <w:p w14:paraId="14B532DD" w14:textId="77777777" w:rsidR="00301AF8" w:rsidRDefault="00301AF8">
      <w:pPr>
        <w:spacing w:after="0" w:line="276" w:lineRule="auto"/>
        <w:jc w:val="both"/>
        <w:rPr>
          <w:rFonts w:ascii="Times New Roman" w:eastAsia="Times New Roman" w:hAnsi="Times New Roman" w:cs="Times New Roman"/>
          <w:sz w:val="22"/>
          <w:szCs w:val="22"/>
        </w:rPr>
      </w:pPr>
    </w:p>
    <w:p w14:paraId="066D0116" w14:textId="77777777" w:rsidR="00301AF8" w:rsidRDefault="00000000">
      <w:pPr>
        <w:numPr>
          <w:ilvl w:val="0"/>
          <w:numId w:val="1"/>
        </w:numPr>
        <w:pBdr>
          <w:top w:val="nil"/>
          <w:left w:val="nil"/>
          <w:bottom w:val="nil"/>
          <w:right w:val="nil"/>
          <w:between w:val="nil"/>
        </w:pBdr>
        <w:spacing w:after="0" w:line="276" w:lineRule="auto"/>
        <w:ind w:left="426" w:hanging="425"/>
        <w:jc w:val="both"/>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Rol fundamental del MIMP en la prevención y atención de la violencia de género</w:t>
      </w:r>
    </w:p>
    <w:p w14:paraId="1ECF5055" w14:textId="77777777" w:rsidR="00301AF8" w:rsidRDefault="00301AF8">
      <w:pPr>
        <w:spacing w:after="0" w:line="276" w:lineRule="auto"/>
        <w:jc w:val="both"/>
        <w:rPr>
          <w:rFonts w:ascii="Times New Roman" w:eastAsia="Times New Roman" w:hAnsi="Times New Roman" w:cs="Times New Roman"/>
          <w:sz w:val="22"/>
          <w:szCs w:val="22"/>
        </w:rPr>
      </w:pPr>
    </w:p>
    <w:p w14:paraId="12498E38" w14:textId="77777777" w:rsidR="00301AF8" w:rsidRDefault="00000000">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El MIMP es el principal mecanismo nacional para la aplicación de la Convención sobre la Eliminación de Todas las Formas de Discriminación contra la Mujer</w:t>
      </w:r>
      <w:r>
        <w:rPr>
          <w:rFonts w:ascii="Times New Roman" w:eastAsia="Times New Roman" w:hAnsi="Times New Roman" w:cs="Times New Roman"/>
          <w:sz w:val="22"/>
          <w:szCs w:val="22"/>
          <w:vertAlign w:val="superscript"/>
        </w:rPr>
        <w:footnoteReference w:id="4"/>
      </w:r>
      <w:r>
        <w:rPr>
          <w:rFonts w:ascii="Times New Roman" w:eastAsia="Times New Roman" w:hAnsi="Times New Roman" w:cs="Times New Roman"/>
          <w:sz w:val="22"/>
          <w:szCs w:val="22"/>
        </w:rPr>
        <w:t xml:space="preserve"> (en adelante, Convención), puesto que, entre sus competencias, tiene la protección de los derechos de las mujeres, la promoción y fortalecimiento de la transversalización del enfoque de género en el Estado, y la prevención, protección, atención y erradicación de la violencia contra las mujeres y los integrantes del grupo familiar, promoviendo la recuperación de las personas afectadas</w:t>
      </w:r>
      <w:r>
        <w:rPr>
          <w:rFonts w:ascii="Times New Roman" w:eastAsia="Times New Roman" w:hAnsi="Times New Roman" w:cs="Times New Roman"/>
          <w:sz w:val="22"/>
          <w:szCs w:val="22"/>
          <w:vertAlign w:val="superscript"/>
        </w:rPr>
        <w:footnoteReference w:id="5"/>
      </w:r>
      <w:r>
        <w:rPr>
          <w:rFonts w:ascii="Times New Roman" w:eastAsia="Times New Roman" w:hAnsi="Times New Roman" w:cs="Times New Roman"/>
          <w:sz w:val="22"/>
          <w:szCs w:val="22"/>
        </w:rPr>
        <w:t xml:space="preserve">. </w:t>
      </w:r>
    </w:p>
    <w:p w14:paraId="2AE1BCCF" w14:textId="77777777" w:rsidR="00301AF8" w:rsidRDefault="00301AF8">
      <w:pPr>
        <w:spacing w:after="0" w:line="276" w:lineRule="auto"/>
        <w:jc w:val="both"/>
        <w:rPr>
          <w:rFonts w:ascii="Times New Roman" w:eastAsia="Times New Roman" w:hAnsi="Times New Roman" w:cs="Times New Roman"/>
          <w:sz w:val="22"/>
          <w:szCs w:val="22"/>
        </w:rPr>
      </w:pPr>
    </w:p>
    <w:p w14:paraId="31150919" w14:textId="77777777" w:rsidR="00301AF8" w:rsidRDefault="00000000">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Desde su creación, el MIMP</w:t>
      </w:r>
      <w:r>
        <w:rPr>
          <w:rFonts w:ascii="Times New Roman" w:eastAsia="Times New Roman" w:hAnsi="Times New Roman" w:cs="Times New Roman"/>
          <w:sz w:val="22"/>
          <w:szCs w:val="22"/>
          <w:vertAlign w:val="superscript"/>
        </w:rPr>
        <w:footnoteReference w:id="6"/>
      </w:r>
      <w:r>
        <w:rPr>
          <w:rFonts w:ascii="Times New Roman" w:eastAsia="Times New Roman" w:hAnsi="Times New Roman" w:cs="Times New Roman"/>
          <w:sz w:val="22"/>
          <w:szCs w:val="22"/>
        </w:rPr>
        <w:t xml:space="preserve"> ha desempeñado un rol fundamental en la promoción y defensa de los derechos de las mujeres, con énfasis en la atención la violencia de género, y en la formulación de políticas nacionales multisectoriales para la igualdad de género. Por lo que, el MIMP ha liderado la aprobación de las principales normas en el ordenamiento jurídico interno, destinadas a la prevención, atención y sanción de la violencia de género en los distintos ámbitos en los cuales se desarrollan las mujeres en su diversidad, destacándose sus siguientes obligaciones:</w:t>
      </w:r>
    </w:p>
    <w:p w14:paraId="0F0ACAE5" w14:textId="77777777" w:rsidR="00301AF8" w:rsidRDefault="00301AF8">
      <w:pPr>
        <w:spacing w:after="0" w:line="276" w:lineRule="auto"/>
        <w:jc w:val="both"/>
        <w:rPr>
          <w:rFonts w:ascii="Times New Roman" w:eastAsia="Times New Roman" w:hAnsi="Times New Roman" w:cs="Times New Roman"/>
          <w:sz w:val="22"/>
          <w:szCs w:val="22"/>
        </w:rPr>
      </w:pPr>
    </w:p>
    <w:p w14:paraId="2C165942" w14:textId="77777777" w:rsidR="00301AF8" w:rsidRDefault="00000000">
      <w:pPr>
        <w:numPr>
          <w:ilvl w:val="0"/>
          <w:numId w:val="2"/>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El MIMP lidera el seguimiento y evaluación de la Política Nacional de Igualdad de Género, que reconoce como problema público la “discriminación estructural contra las mujeres” y establece como primer objetivo prioritario para su atención: “reducir la violencia hacia las mujeres”</w:t>
      </w:r>
      <w:r>
        <w:rPr>
          <w:rFonts w:ascii="Times New Roman" w:eastAsia="Times New Roman" w:hAnsi="Times New Roman" w:cs="Times New Roman"/>
          <w:color w:val="000000"/>
          <w:sz w:val="22"/>
          <w:szCs w:val="22"/>
          <w:vertAlign w:val="superscript"/>
        </w:rPr>
        <w:t xml:space="preserve"> </w:t>
      </w:r>
      <w:r>
        <w:rPr>
          <w:rFonts w:ascii="Times New Roman" w:eastAsia="Times New Roman" w:hAnsi="Times New Roman" w:cs="Times New Roman"/>
          <w:color w:val="000000"/>
          <w:sz w:val="22"/>
          <w:szCs w:val="22"/>
          <w:vertAlign w:val="superscript"/>
        </w:rPr>
        <w:footnoteReference w:id="7"/>
      </w:r>
      <w:r>
        <w:rPr>
          <w:rFonts w:ascii="Times New Roman" w:eastAsia="Times New Roman" w:hAnsi="Times New Roman" w:cs="Times New Roman"/>
          <w:color w:val="000000"/>
          <w:sz w:val="22"/>
          <w:szCs w:val="22"/>
        </w:rPr>
        <w:t>.</w:t>
      </w:r>
    </w:p>
    <w:p w14:paraId="706AF6F1" w14:textId="77777777" w:rsidR="00301AF8" w:rsidRDefault="00000000">
      <w:pPr>
        <w:numPr>
          <w:ilvl w:val="0"/>
          <w:numId w:val="2"/>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Según la Ley Nº 30364, Ley para prevenir, sancionar y erradicar la violencia contra las mujeres y los integrantes del grupo familiar, el MIMP es responsable de la defensa de las víctimas de violencia contra las mujeres o integrantes del grupo familiar, complementariamente con el Ministerio de Justicia y Derechos Humanos</w:t>
      </w:r>
      <w:r>
        <w:rPr>
          <w:rFonts w:ascii="Times New Roman" w:eastAsia="Times New Roman" w:hAnsi="Times New Roman" w:cs="Times New Roman"/>
          <w:color w:val="000000"/>
          <w:sz w:val="22"/>
          <w:szCs w:val="22"/>
          <w:vertAlign w:val="superscript"/>
        </w:rPr>
        <w:footnoteReference w:id="8"/>
      </w:r>
      <w:r>
        <w:rPr>
          <w:rFonts w:ascii="Times New Roman" w:eastAsia="Times New Roman" w:hAnsi="Times New Roman" w:cs="Times New Roman"/>
          <w:color w:val="000000"/>
          <w:sz w:val="22"/>
          <w:szCs w:val="22"/>
        </w:rPr>
        <w:t>.</w:t>
      </w:r>
    </w:p>
    <w:p w14:paraId="52905DB5" w14:textId="77777777" w:rsidR="00301AF8" w:rsidRDefault="00000000">
      <w:pPr>
        <w:numPr>
          <w:ilvl w:val="0"/>
          <w:numId w:val="2"/>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El MIMP tiene a su cargo el funcionamiento del Programa Nacional para la Prevención y Erradicación de la Violencia contra las Mujeres e Integrantes del Grupo Familiar – AURORA, destinado a “implementar y promover servicios especializados de prevención de la violencia contra las mujeres, integrantes del grupo familiar y personas afectadas por violencia sexual, así como de atención y de protección a las víctimas”</w:t>
      </w:r>
      <w:r>
        <w:rPr>
          <w:rFonts w:ascii="Times New Roman" w:eastAsia="Times New Roman" w:hAnsi="Times New Roman" w:cs="Times New Roman"/>
          <w:color w:val="000000"/>
          <w:sz w:val="22"/>
          <w:szCs w:val="22"/>
          <w:vertAlign w:val="superscript"/>
        </w:rPr>
        <w:footnoteReference w:id="9"/>
      </w:r>
      <w:r>
        <w:rPr>
          <w:rFonts w:ascii="Times New Roman" w:eastAsia="Times New Roman" w:hAnsi="Times New Roman" w:cs="Times New Roman"/>
          <w:color w:val="000000"/>
          <w:sz w:val="22"/>
          <w:szCs w:val="22"/>
        </w:rPr>
        <w:t>.</w:t>
      </w:r>
    </w:p>
    <w:p w14:paraId="0767C0CC" w14:textId="77777777" w:rsidR="00301AF8" w:rsidRDefault="00301AF8">
      <w:pPr>
        <w:spacing w:after="0" w:line="276" w:lineRule="auto"/>
        <w:jc w:val="both"/>
        <w:rPr>
          <w:rFonts w:ascii="Times New Roman" w:eastAsia="Times New Roman" w:hAnsi="Times New Roman" w:cs="Times New Roman"/>
          <w:sz w:val="22"/>
          <w:szCs w:val="22"/>
        </w:rPr>
      </w:pPr>
    </w:p>
    <w:p w14:paraId="325C15FF" w14:textId="77777777" w:rsidR="00301AF8" w:rsidRDefault="00000000">
      <w:pPr>
        <w:numPr>
          <w:ilvl w:val="0"/>
          <w:numId w:val="1"/>
        </w:numPr>
        <w:pBdr>
          <w:top w:val="nil"/>
          <w:left w:val="nil"/>
          <w:bottom w:val="nil"/>
          <w:right w:val="nil"/>
          <w:between w:val="nil"/>
        </w:pBdr>
        <w:spacing w:after="0" w:line="276" w:lineRule="auto"/>
        <w:ind w:left="426" w:hanging="425"/>
        <w:jc w:val="both"/>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 xml:space="preserve">Ataques sistemáticos a la integridad del MIMP y el riesgo de su desaparición </w:t>
      </w:r>
    </w:p>
    <w:p w14:paraId="11C4A0D8" w14:textId="77777777" w:rsidR="00301AF8" w:rsidRDefault="00301AF8">
      <w:pPr>
        <w:spacing w:after="0" w:line="276" w:lineRule="auto"/>
        <w:jc w:val="both"/>
        <w:rPr>
          <w:rFonts w:ascii="Times New Roman" w:eastAsia="Times New Roman" w:hAnsi="Times New Roman" w:cs="Times New Roman"/>
          <w:sz w:val="22"/>
          <w:szCs w:val="22"/>
        </w:rPr>
      </w:pPr>
    </w:p>
    <w:p w14:paraId="3F5B43B4" w14:textId="77777777" w:rsidR="00301AF8" w:rsidRDefault="00000000">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Vinculado a lo anterior, el Poder Ejecutivo lejos de mejorar los mecanismos de seguimiento a la aplicación efectiva de las normativas antes presentadas, y cumplir con sus obligaciones convencionales destinadas a evitar la regresividad al respeto y garantía de los derechos humanos de las mujeres en su diversidad, el 28 de julio de 2024, la presidenta de la República del Perú </w:t>
      </w:r>
      <w:r>
        <w:rPr>
          <w:rFonts w:ascii="Times New Roman" w:eastAsia="Times New Roman" w:hAnsi="Times New Roman" w:cs="Times New Roman"/>
          <w:sz w:val="22"/>
          <w:szCs w:val="22"/>
        </w:rPr>
        <w:lastRenderedPageBreak/>
        <w:t>anunció la fusión de dos ministerios</w:t>
      </w:r>
      <w:r>
        <w:rPr>
          <w:rFonts w:ascii="Times New Roman" w:eastAsia="Times New Roman" w:hAnsi="Times New Roman" w:cs="Times New Roman"/>
          <w:sz w:val="22"/>
          <w:szCs w:val="22"/>
          <w:vertAlign w:val="superscript"/>
        </w:rPr>
        <w:footnoteReference w:id="10"/>
      </w:r>
      <w:r>
        <w:rPr>
          <w:rFonts w:ascii="Times New Roman" w:eastAsia="Times New Roman" w:hAnsi="Times New Roman" w:cs="Times New Roman"/>
          <w:sz w:val="22"/>
          <w:szCs w:val="22"/>
        </w:rPr>
        <w:t>, el MIMP y el Ministerio de Desarrollo e Inclusión Social (en adelante, MIDIS)</w:t>
      </w:r>
      <w:r>
        <w:rPr>
          <w:rFonts w:ascii="Times New Roman" w:eastAsia="Times New Roman" w:hAnsi="Times New Roman" w:cs="Times New Roman"/>
          <w:sz w:val="22"/>
          <w:szCs w:val="22"/>
          <w:vertAlign w:val="superscript"/>
        </w:rPr>
        <w:footnoteReference w:id="11"/>
      </w:r>
      <w:r>
        <w:rPr>
          <w:rFonts w:ascii="Times New Roman" w:eastAsia="Times New Roman" w:hAnsi="Times New Roman" w:cs="Times New Roman"/>
          <w:sz w:val="22"/>
          <w:szCs w:val="22"/>
        </w:rPr>
        <w:t xml:space="preserve">. </w:t>
      </w:r>
    </w:p>
    <w:p w14:paraId="2B4123F0" w14:textId="77777777" w:rsidR="00301AF8" w:rsidRDefault="00301AF8">
      <w:pPr>
        <w:spacing w:after="0" w:line="276" w:lineRule="auto"/>
        <w:jc w:val="both"/>
        <w:rPr>
          <w:rFonts w:ascii="Times New Roman" w:eastAsia="Times New Roman" w:hAnsi="Times New Roman" w:cs="Times New Roman"/>
          <w:sz w:val="22"/>
          <w:szCs w:val="22"/>
        </w:rPr>
      </w:pPr>
    </w:p>
    <w:p w14:paraId="7D0C75F7" w14:textId="77777777" w:rsidR="00301AF8" w:rsidRDefault="00000000">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Según la Presidencia del Consejo de Ministros, esta fusión busca ser sustentada en el supuesto incremento de la eficacia del Estado para evitar la duplicidad de funciones entre sectores y reducir el gasto público</w:t>
      </w:r>
      <w:r>
        <w:rPr>
          <w:rFonts w:ascii="Times New Roman" w:eastAsia="Times New Roman" w:hAnsi="Times New Roman" w:cs="Times New Roman"/>
          <w:sz w:val="22"/>
          <w:szCs w:val="22"/>
          <w:vertAlign w:val="superscript"/>
        </w:rPr>
        <w:footnoteReference w:id="12"/>
      </w:r>
      <w:r>
        <w:rPr>
          <w:rFonts w:ascii="Times New Roman" w:eastAsia="Times New Roman" w:hAnsi="Times New Roman" w:cs="Times New Roman"/>
          <w:sz w:val="22"/>
          <w:szCs w:val="22"/>
        </w:rPr>
        <w:t>. No obstante, el Poder Ejecutivo ignoraría el importante rol del MIMP en la atención de la violencia de género</w:t>
      </w:r>
      <w:r>
        <w:rPr>
          <w:rFonts w:ascii="Times New Roman" w:eastAsia="Times New Roman" w:hAnsi="Times New Roman" w:cs="Times New Roman"/>
          <w:sz w:val="22"/>
          <w:szCs w:val="22"/>
          <w:vertAlign w:val="superscript"/>
        </w:rPr>
        <w:footnoteReference w:id="13"/>
      </w:r>
      <w:r>
        <w:rPr>
          <w:rFonts w:ascii="Times New Roman" w:eastAsia="Times New Roman" w:hAnsi="Times New Roman" w:cs="Times New Roman"/>
          <w:sz w:val="22"/>
          <w:szCs w:val="22"/>
        </w:rPr>
        <w:t xml:space="preserve"> y la transversalización del enfoque de género</w:t>
      </w:r>
      <w:r>
        <w:rPr>
          <w:rFonts w:ascii="Times New Roman" w:eastAsia="Times New Roman" w:hAnsi="Times New Roman" w:cs="Times New Roman"/>
          <w:sz w:val="22"/>
          <w:szCs w:val="22"/>
          <w:vertAlign w:val="superscript"/>
        </w:rPr>
        <w:footnoteReference w:id="14"/>
      </w:r>
      <w:r>
        <w:rPr>
          <w:rFonts w:ascii="Times New Roman" w:eastAsia="Times New Roman" w:hAnsi="Times New Roman" w:cs="Times New Roman"/>
          <w:sz w:val="22"/>
          <w:szCs w:val="22"/>
        </w:rPr>
        <w:t>; mientras que el MIDIS contribuye a la erradicación de la pobreza extrema y la desnutrición crónica infantil, promoviendo el acceso a los servicios de salud y educación de calidad, ejecutando la Política Nacional de Desarrollo e Inclusión Social al 2030</w:t>
      </w:r>
      <w:r>
        <w:rPr>
          <w:rFonts w:ascii="Times New Roman" w:eastAsia="Times New Roman" w:hAnsi="Times New Roman" w:cs="Times New Roman"/>
          <w:sz w:val="22"/>
          <w:szCs w:val="22"/>
          <w:vertAlign w:val="superscript"/>
        </w:rPr>
        <w:footnoteReference w:id="15"/>
      </w:r>
      <w:r>
        <w:rPr>
          <w:rFonts w:ascii="Times New Roman" w:eastAsia="Times New Roman" w:hAnsi="Times New Roman" w:cs="Times New Roman"/>
          <w:sz w:val="22"/>
          <w:szCs w:val="22"/>
        </w:rPr>
        <w:t>.</w:t>
      </w:r>
    </w:p>
    <w:p w14:paraId="62168561" w14:textId="77777777" w:rsidR="00301AF8" w:rsidRDefault="00301AF8">
      <w:pPr>
        <w:spacing w:after="0"/>
        <w:jc w:val="both"/>
        <w:rPr>
          <w:rFonts w:ascii="Times New Roman" w:eastAsia="Times New Roman" w:hAnsi="Times New Roman" w:cs="Times New Roman"/>
          <w:sz w:val="22"/>
          <w:szCs w:val="22"/>
        </w:rPr>
      </w:pPr>
    </w:p>
    <w:p w14:paraId="1507D5CC" w14:textId="77777777" w:rsidR="00301AF8" w:rsidRDefault="00000000">
      <w:pPr>
        <w:numPr>
          <w:ilvl w:val="1"/>
          <w:numId w:val="1"/>
        </w:numPr>
        <w:pBdr>
          <w:top w:val="nil"/>
          <w:left w:val="nil"/>
          <w:bottom w:val="nil"/>
          <w:right w:val="nil"/>
          <w:between w:val="nil"/>
        </w:pBdr>
        <w:spacing w:after="0"/>
        <w:ind w:left="284" w:hanging="284"/>
        <w:jc w:val="both"/>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Ataques sistemáticos a la integridad del MIMP</w:t>
      </w:r>
    </w:p>
    <w:p w14:paraId="68A1BABD" w14:textId="77777777" w:rsidR="00301AF8" w:rsidRDefault="00301AF8">
      <w:pPr>
        <w:spacing w:after="0"/>
        <w:ind w:left="360"/>
        <w:jc w:val="both"/>
        <w:rPr>
          <w:rFonts w:ascii="Times New Roman" w:eastAsia="Times New Roman" w:hAnsi="Times New Roman" w:cs="Times New Roman"/>
          <w:sz w:val="22"/>
          <w:szCs w:val="22"/>
        </w:rPr>
      </w:pPr>
    </w:p>
    <w:p w14:paraId="1F85D761" w14:textId="77777777" w:rsidR="00301AF8" w:rsidRDefault="00000000">
      <w:pPr>
        <w:spacing w:after="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La fusión del MIMP y el MIDIS no es una decisión que se sustentaría en la reducción del gasto público, ya que, el MIMP es uno de los ministerios con menor presupuesto para la ejecución de sus actividades en el país y, según lo ha reiterado este distinguido Comité, el MIMP requiere ir “incrementando sustancialmente los recursos humanos y financieros destinados al cumplimiento de su mandato relativo a la aplicación de políticas y leyes en pro de la igualdad de género, promover la descentralización de las políticas públicas de adelanto de la mujer, y mejorar la coordinación de todas las ramas y niveles de gobierno mediante una presupuestación eficaz con perspectiva de género”</w:t>
      </w:r>
      <w:r>
        <w:rPr>
          <w:rFonts w:ascii="Times New Roman" w:eastAsia="Times New Roman" w:hAnsi="Times New Roman" w:cs="Times New Roman"/>
          <w:sz w:val="22"/>
          <w:szCs w:val="22"/>
          <w:vertAlign w:val="superscript"/>
        </w:rPr>
        <w:footnoteReference w:id="16"/>
      </w:r>
      <w:r>
        <w:rPr>
          <w:rFonts w:ascii="Times New Roman" w:eastAsia="Times New Roman" w:hAnsi="Times New Roman" w:cs="Times New Roman"/>
          <w:sz w:val="22"/>
          <w:szCs w:val="22"/>
        </w:rPr>
        <w:t xml:space="preserve">.   </w:t>
      </w:r>
    </w:p>
    <w:p w14:paraId="6CA45B3C" w14:textId="77777777" w:rsidR="00301AF8" w:rsidRDefault="00301AF8">
      <w:pPr>
        <w:spacing w:after="0"/>
        <w:jc w:val="both"/>
        <w:rPr>
          <w:rFonts w:ascii="Times New Roman" w:eastAsia="Times New Roman" w:hAnsi="Times New Roman" w:cs="Times New Roman"/>
          <w:sz w:val="22"/>
          <w:szCs w:val="22"/>
        </w:rPr>
      </w:pPr>
    </w:p>
    <w:p w14:paraId="784CF312" w14:textId="77777777" w:rsidR="00301AF8" w:rsidRDefault="00000000">
      <w:pPr>
        <w:spacing w:after="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esa línea, esta fusión hace parte de una arremetida hacia la agenda de los derechos humanos de las mujeres, así como, la imposición de una agenda conservadora y fundamentalista, que viene siendo impulsada y liderada desde el Poder Legislativo, y es respaldada por el Poder Ejecutivo, a través de esta iniciativa y la constante omisión de sus funciones al no observar proyectos de ley que fortalecen la desigualdad de género y la violencia hacia las mujeres en su diversidad en el Perú. </w:t>
      </w:r>
    </w:p>
    <w:p w14:paraId="3B15F77F" w14:textId="77777777" w:rsidR="00301AF8" w:rsidRDefault="00301AF8">
      <w:pPr>
        <w:spacing w:after="0"/>
        <w:jc w:val="both"/>
        <w:rPr>
          <w:rFonts w:ascii="Times New Roman" w:eastAsia="Times New Roman" w:hAnsi="Times New Roman" w:cs="Times New Roman"/>
          <w:sz w:val="22"/>
          <w:szCs w:val="22"/>
        </w:rPr>
      </w:pPr>
    </w:p>
    <w:p w14:paraId="54C483A6" w14:textId="77777777" w:rsidR="00301AF8" w:rsidRDefault="00000000">
      <w:pPr>
        <w:spacing w:after="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Los referidos ataques del Poder Legislativo están vinculados a iniciativas legislativas que buscan cambiar el nombre del MIMP por el de “Ministerio de la Familia y Poblaciones Vulnerables”</w:t>
      </w:r>
      <w:r>
        <w:rPr>
          <w:rFonts w:ascii="Times New Roman" w:eastAsia="Times New Roman" w:hAnsi="Times New Roman" w:cs="Times New Roman"/>
          <w:sz w:val="22"/>
          <w:szCs w:val="22"/>
          <w:vertAlign w:val="superscript"/>
        </w:rPr>
        <w:footnoteReference w:id="17"/>
      </w:r>
      <w:r>
        <w:rPr>
          <w:rFonts w:ascii="Times New Roman" w:eastAsia="Times New Roman" w:hAnsi="Times New Roman" w:cs="Times New Roman"/>
          <w:sz w:val="22"/>
          <w:szCs w:val="22"/>
        </w:rPr>
        <w:t xml:space="preserve">, a fin de no solo eliminar la mención expresa de “mujeres” en el nombre de la citada institución, sino también erradicar todas las competencias del MIMP que estén orientadas a la atención específica de las mujeres en su diversidad, violencia de género y la transversalización del enfoque de género. Lo anterior tiene sustento en la presentación de las siguientes iniciativas legislativas que representan medidas regresivas para los derechos humanos de las mujeres en el Perú: </w:t>
      </w:r>
    </w:p>
    <w:p w14:paraId="11FB6035" w14:textId="77777777" w:rsidR="00301AF8" w:rsidRDefault="00301AF8">
      <w:pPr>
        <w:spacing w:after="0"/>
        <w:jc w:val="both"/>
        <w:rPr>
          <w:rFonts w:ascii="Times New Roman" w:eastAsia="Times New Roman" w:hAnsi="Times New Roman" w:cs="Times New Roman"/>
          <w:sz w:val="22"/>
          <w:szCs w:val="22"/>
        </w:rPr>
      </w:pPr>
    </w:p>
    <w:p w14:paraId="73A6901E" w14:textId="77777777" w:rsidR="00301AF8" w:rsidRDefault="00000000">
      <w:pPr>
        <w:numPr>
          <w:ilvl w:val="0"/>
          <w:numId w:val="2"/>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Dictamen del Proyecto de Ley Nº 7579, Ley que reconoce el derecho de los padres de familia a elegir la educación sexual que reciben sus hijos, este proyecto vulnera los derechos humanos de las niñas, niños y adolescentes, entre ellos el acceso universal a la educación sexual integral, así como su derecho a recibir información, opinar y a participar</w:t>
      </w:r>
      <w:r>
        <w:rPr>
          <w:rFonts w:ascii="Times New Roman" w:eastAsia="Times New Roman" w:hAnsi="Times New Roman" w:cs="Times New Roman"/>
          <w:color w:val="000000"/>
          <w:sz w:val="22"/>
          <w:szCs w:val="22"/>
          <w:vertAlign w:val="superscript"/>
        </w:rPr>
        <w:footnoteReference w:id="18"/>
      </w:r>
      <w:r>
        <w:rPr>
          <w:rFonts w:ascii="Times New Roman" w:eastAsia="Times New Roman" w:hAnsi="Times New Roman" w:cs="Times New Roman"/>
          <w:color w:val="000000"/>
          <w:sz w:val="22"/>
          <w:szCs w:val="22"/>
        </w:rPr>
        <w:t>.</w:t>
      </w:r>
    </w:p>
    <w:p w14:paraId="57F3B7F2" w14:textId="77777777" w:rsidR="00301AF8" w:rsidRDefault="00000000">
      <w:pPr>
        <w:numPr>
          <w:ilvl w:val="0"/>
          <w:numId w:val="2"/>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Dictamen del Proyecto de Ley 07427, Ley que Deja sin efecto el Decreto Supremo 013-2023-MIMP, que dispone la implementación del oficial para la igualdad en las entidades públicas, a fin de dejar sin efecto la capacitación obligatoria en enfoque de género para la prevención de la violencia y discriminación por género en la Administración Pública</w:t>
      </w:r>
      <w:r>
        <w:rPr>
          <w:rFonts w:ascii="Times New Roman" w:eastAsia="Times New Roman" w:hAnsi="Times New Roman" w:cs="Times New Roman"/>
          <w:color w:val="000000"/>
          <w:sz w:val="22"/>
          <w:szCs w:val="22"/>
          <w:vertAlign w:val="superscript"/>
        </w:rPr>
        <w:footnoteReference w:id="19"/>
      </w:r>
      <w:r>
        <w:rPr>
          <w:rFonts w:ascii="Times New Roman" w:eastAsia="Times New Roman" w:hAnsi="Times New Roman" w:cs="Times New Roman"/>
          <w:color w:val="000000"/>
          <w:sz w:val="22"/>
          <w:szCs w:val="22"/>
        </w:rPr>
        <w:t>.</w:t>
      </w:r>
    </w:p>
    <w:p w14:paraId="3BE4B23B" w14:textId="77777777" w:rsidR="00301AF8" w:rsidRDefault="00000000">
      <w:pPr>
        <w:numPr>
          <w:ilvl w:val="0"/>
          <w:numId w:val="2"/>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Proyecto de Ley Nº 7146, Ley que promueve las escuelas de padres en las instituciones educación básica regular pública y privada, que limitará la libertad de asociación de las Asociaciones de Padres de Familia y de las ONGs, solo por recibir fondos de cooperación internacional y capacitar sobre el enfoque de igualdad de género</w:t>
      </w:r>
      <w:r>
        <w:rPr>
          <w:rFonts w:ascii="Times New Roman" w:eastAsia="Times New Roman" w:hAnsi="Times New Roman" w:cs="Times New Roman"/>
          <w:color w:val="000000"/>
          <w:sz w:val="22"/>
          <w:szCs w:val="22"/>
          <w:vertAlign w:val="superscript"/>
        </w:rPr>
        <w:footnoteReference w:id="20"/>
      </w:r>
      <w:r>
        <w:rPr>
          <w:rFonts w:ascii="Times New Roman" w:eastAsia="Times New Roman" w:hAnsi="Times New Roman" w:cs="Times New Roman"/>
          <w:color w:val="000000"/>
          <w:sz w:val="22"/>
          <w:szCs w:val="22"/>
        </w:rPr>
        <w:t>.</w:t>
      </w:r>
    </w:p>
    <w:p w14:paraId="4F9649D0" w14:textId="77777777" w:rsidR="00301AF8" w:rsidRDefault="00000000">
      <w:pPr>
        <w:numPr>
          <w:ilvl w:val="0"/>
          <w:numId w:val="2"/>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Dictamen del P</w:t>
      </w:r>
      <w:hyperlink r:id="rId8" w:anchor="/expediente/2021/3038">
        <w:r>
          <w:rPr>
            <w:rFonts w:ascii="Times New Roman" w:eastAsia="Times New Roman" w:hAnsi="Times New Roman" w:cs="Times New Roman"/>
            <w:color w:val="000000"/>
            <w:sz w:val="22"/>
            <w:szCs w:val="22"/>
          </w:rPr>
          <w:t>royecto de Ley N° 3038</w:t>
        </w:r>
      </w:hyperlink>
      <w:r>
        <w:rPr>
          <w:rFonts w:ascii="Times New Roman" w:eastAsia="Times New Roman" w:hAnsi="Times New Roman" w:cs="Times New Roman"/>
          <w:color w:val="000000"/>
          <w:sz w:val="22"/>
          <w:szCs w:val="22"/>
        </w:rPr>
        <w:t>, Ley que incorpora el enfoque transversal de la familia en las políticas públicas nacionales, a fin de solo reconocer a las familias tradicionales</w:t>
      </w:r>
      <w:r>
        <w:rPr>
          <w:rFonts w:ascii="Times New Roman" w:eastAsia="Times New Roman" w:hAnsi="Times New Roman" w:cs="Times New Roman"/>
          <w:color w:val="000000"/>
          <w:sz w:val="22"/>
          <w:szCs w:val="22"/>
          <w:vertAlign w:val="superscript"/>
        </w:rPr>
        <w:footnoteReference w:id="21"/>
      </w:r>
      <w:r>
        <w:rPr>
          <w:rFonts w:ascii="Times New Roman" w:eastAsia="Times New Roman" w:hAnsi="Times New Roman" w:cs="Times New Roman"/>
          <w:color w:val="000000"/>
          <w:sz w:val="22"/>
          <w:szCs w:val="22"/>
        </w:rPr>
        <w:t>.</w:t>
      </w:r>
    </w:p>
    <w:p w14:paraId="539A9C3C" w14:textId="77777777" w:rsidR="00301AF8" w:rsidRDefault="00000000">
      <w:pPr>
        <w:numPr>
          <w:ilvl w:val="0"/>
          <w:numId w:val="2"/>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Proyecto de Ley Nº 7349, Ley de adopción desde el vientre materno en casos de embarazos no planeados, que obstruirá el acceso al aborto terapéutico y promoverá las maternidades forzadas, sin atender los abortos clandestinos que dice evitar</w:t>
      </w:r>
      <w:r>
        <w:rPr>
          <w:rFonts w:ascii="Times New Roman" w:eastAsia="Times New Roman" w:hAnsi="Times New Roman" w:cs="Times New Roman"/>
          <w:color w:val="000000"/>
          <w:sz w:val="22"/>
          <w:szCs w:val="22"/>
          <w:vertAlign w:val="superscript"/>
        </w:rPr>
        <w:footnoteReference w:id="22"/>
      </w:r>
      <w:r>
        <w:rPr>
          <w:rFonts w:ascii="Times New Roman" w:eastAsia="Times New Roman" w:hAnsi="Times New Roman" w:cs="Times New Roman"/>
          <w:color w:val="000000"/>
          <w:sz w:val="22"/>
          <w:szCs w:val="22"/>
        </w:rPr>
        <w:t>.</w:t>
      </w:r>
    </w:p>
    <w:p w14:paraId="6D68844F" w14:textId="77777777" w:rsidR="00301AF8" w:rsidRDefault="00000000">
      <w:pPr>
        <w:numPr>
          <w:ilvl w:val="0"/>
          <w:numId w:val="2"/>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Proyecto de Ley Nº 01520, Ley que promueve la protección del Embarazo, de la Madre Gestante, del Niño por Nacer y de su Entorno Familiar, </w:t>
      </w:r>
      <w:r>
        <w:rPr>
          <w:rFonts w:ascii="Times New Roman" w:eastAsia="Times New Roman" w:hAnsi="Times New Roman" w:cs="Times New Roman"/>
          <w:sz w:val="22"/>
          <w:szCs w:val="22"/>
        </w:rPr>
        <w:t>aprobado p</w:t>
      </w:r>
      <w:r>
        <w:rPr>
          <w:rFonts w:ascii="Times New Roman" w:eastAsia="Times New Roman" w:hAnsi="Times New Roman" w:cs="Times New Roman"/>
          <w:color w:val="000000"/>
          <w:sz w:val="22"/>
          <w:szCs w:val="22"/>
        </w:rPr>
        <w:t>or la Ley Nº 32000</w:t>
      </w:r>
      <w:r>
        <w:rPr>
          <w:rFonts w:ascii="Times New Roman" w:eastAsia="Times New Roman" w:hAnsi="Times New Roman" w:cs="Times New Roman"/>
          <w:color w:val="000000"/>
          <w:sz w:val="22"/>
          <w:szCs w:val="22"/>
          <w:vertAlign w:val="superscript"/>
        </w:rPr>
        <w:footnoteReference w:id="23"/>
      </w:r>
      <w:r>
        <w:rPr>
          <w:rFonts w:ascii="Times New Roman" w:eastAsia="Times New Roman" w:hAnsi="Times New Roman" w:cs="Times New Roman"/>
          <w:color w:val="000000"/>
          <w:sz w:val="22"/>
          <w:szCs w:val="22"/>
        </w:rPr>
        <w:t>; y, Proyecto de Ley Nº 785, Ley que reconoce derechos al concebido, aprobado por la Ley Nº 31935</w:t>
      </w:r>
      <w:r>
        <w:rPr>
          <w:rFonts w:ascii="Times New Roman" w:eastAsia="Times New Roman" w:hAnsi="Times New Roman" w:cs="Times New Roman"/>
          <w:color w:val="000000"/>
          <w:sz w:val="22"/>
          <w:szCs w:val="22"/>
          <w:vertAlign w:val="superscript"/>
        </w:rPr>
        <w:footnoteReference w:id="24"/>
      </w:r>
      <w:r>
        <w:rPr>
          <w:rFonts w:ascii="Times New Roman" w:eastAsia="Times New Roman" w:hAnsi="Times New Roman" w:cs="Times New Roman"/>
          <w:color w:val="000000"/>
          <w:sz w:val="22"/>
          <w:szCs w:val="22"/>
        </w:rPr>
        <w:t xml:space="preserve">, que tienen como propósito obstruir el derecho de acceso al aborto terapéutico, contrario a las recomendaciones del párrafo 38 de las Observaciones Finales. </w:t>
      </w:r>
    </w:p>
    <w:p w14:paraId="5DA8B4B9" w14:textId="77777777" w:rsidR="00301AF8" w:rsidRDefault="00000000">
      <w:pPr>
        <w:numPr>
          <w:ilvl w:val="0"/>
          <w:numId w:val="2"/>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Proyecto de Ley N° 03464, Ley que precisa el correcto uso del lenguaje inclusivo evitando el desdoblamiento del lenguaje para referirse a hombres y mujeres en textos escolares, </w:t>
      </w:r>
      <w:r>
        <w:rPr>
          <w:rFonts w:ascii="Times New Roman" w:eastAsia="Times New Roman" w:hAnsi="Times New Roman" w:cs="Times New Roman"/>
          <w:color w:val="000000"/>
          <w:sz w:val="22"/>
          <w:szCs w:val="22"/>
        </w:rPr>
        <w:lastRenderedPageBreak/>
        <w:t xml:space="preserve">aprobado por la Ley Nº 32003, </w:t>
      </w:r>
      <w:r>
        <w:rPr>
          <w:rFonts w:ascii="Times New Roman" w:eastAsia="Times New Roman" w:hAnsi="Times New Roman" w:cs="Times New Roman"/>
          <w:sz w:val="22"/>
          <w:szCs w:val="22"/>
        </w:rPr>
        <w:t>para eliminar</w:t>
      </w:r>
      <w:r>
        <w:rPr>
          <w:rFonts w:ascii="Times New Roman" w:eastAsia="Times New Roman" w:hAnsi="Times New Roman" w:cs="Times New Roman"/>
          <w:color w:val="000000"/>
          <w:sz w:val="22"/>
          <w:szCs w:val="22"/>
        </w:rPr>
        <w:t xml:space="preserve"> el lenguaje inclusivo de todas las comunicaciones del Estado peruano</w:t>
      </w:r>
      <w:r>
        <w:rPr>
          <w:rFonts w:ascii="Times New Roman" w:eastAsia="Times New Roman" w:hAnsi="Times New Roman" w:cs="Times New Roman"/>
          <w:color w:val="000000"/>
          <w:sz w:val="22"/>
          <w:szCs w:val="22"/>
          <w:vertAlign w:val="superscript"/>
        </w:rPr>
        <w:footnoteReference w:id="25"/>
      </w:r>
      <w:r>
        <w:rPr>
          <w:rFonts w:ascii="Times New Roman" w:eastAsia="Times New Roman" w:hAnsi="Times New Roman" w:cs="Times New Roman"/>
          <w:color w:val="000000"/>
          <w:sz w:val="22"/>
          <w:szCs w:val="22"/>
        </w:rPr>
        <w:t xml:space="preserve">. </w:t>
      </w:r>
    </w:p>
    <w:p w14:paraId="2C29F7F2" w14:textId="77777777" w:rsidR="00301AF8" w:rsidRDefault="00301AF8">
      <w:pPr>
        <w:spacing w:after="0"/>
        <w:jc w:val="both"/>
        <w:rPr>
          <w:rFonts w:ascii="Times New Roman" w:eastAsia="Times New Roman" w:hAnsi="Times New Roman" w:cs="Times New Roman"/>
          <w:sz w:val="22"/>
          <w:szCs w:val="22"/>
        </w:rPr>
      </w:pPr>
    </w:p>
    <w:p w14:paraId="6119D77A" w14:textId="77777777" w:rsidR="00301AF8" w:rsidRDefault="00000000">
      <w:pPr>
        <w:spacing w:after="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Aunado a lo anterior, en octubre del 2023, el Poder Ejecutivo aprobó el Decreto Supremo Nº 010-2023-MIMP</w:t>
      </w:r>
      <w:r>
        <w:rPr>
          <w:rFonts w:ascii="Times New Roman" w:eastAsia="Times New Roman" w:hAnsi="Times New Roman" w:cs="Times New Roman"/>
          <w:sz w:val="22"/>
          <w:szCs w:val="22"/>
          <w:vertAlign w:val="superscript"/>
        </w:rPr>
        <w:footnoteReference w:id="26"/>
      </w:r>
      <w:r>
        <w:rPr>
          <w:rFonts w:ascii="Times New Roman" w:eastAsia="Times New Roman" w:hAnsi="Times New Roman" w:cs="Times New Roman"/>
          <w:sz w:val="22"/>
          <w:szCs w:val="22"/>
        </w:rPr>
        <w:t>, que modificó y debilitó la estructura del MIMP</w:t>
      </w:r>
      <w:r>
        <w:rPr>
          <w:rFonts w:ascii="Times New Roman" w:eastAsia="Times New Roman" w:hAnsi="Times New Roman" w:cs="Times New Roman"/>
          <w:sz w:val="22"/>
          <w:szCs w:val="22"/>
          <w:vertAlign w:val="superscript"/>
        </w:rPr>
        <w:footnoteReference w:id="27"/>
      </w:r>
      <w:r>
        <w:rPr>
          <w:rFonts w:ascii="Times New Roman" w:eastAsia="Times New Roman" w:hAnsi="Times New Roman" w:cs="Times New Roman"/>
          <w:sz w:val="22"/>
          <w:szCs w:val="22"/>
        </w:rPr>
        <w:t>, al convertir la “Dirección de Transversalización del Enfoque de Género” —autoridad técnico normativa encargada de  transversalizar el enfoque de género en las políticas públicas</w:t>
      </w:r>
      <w:r>
        <w:rPr>
          <w:rFonts w:ascii="Times New Roman" w:eastAsia="Times New Roman" w:hAnsi="Times New Roman" w:cs="Times New Roman"/>
          <w:sz w:val="22"/>
          <w:szCs w:val="22"/>
          <w:vertAlign w:val="superscript"/>
        </w:rPr>
        <w:footnoteReference w:id="28"/>
      </w:r>
      <w:r>
        <w:rPr>
          <w:rFonts w:ascii="Times New Roman" w:eastAsia="Times New Roman" w:hAnsi="Times New Roman" w:cs="Times New Roman"/>
          <w:sz w:val="22"/>
          <w:szCs w:val="22"/>
        </w:rPr>
        <w:t>— en una unidad orgánica de la “Dirección General de Igualdad de Género y no Discriminación”, a fin de impulsar la nueva “Dirección General de Promoción y Desarrollo de la Autonomía Económica de las Mujeres”, orientada a sol promover derechos económicos, laborales y productivos</w:t>
      </w:r>
      <w:r>
        <w:rPr>
          <w:rFonts w:ascii="Times New Roman" w:eastAsia="Times New Roman" w:hAnsi="Times New Roman" w:cs="Times New Roman"/>
          <w:sz w:val="22"/>
          <w:szCs w:val="22"/>
          <w:vertAlign w:val="superscript"/>
        </w:rPr>
        <w:footnoteReference w:id="29"/>
      </w:r>
      <w:r>
        <w:rPr>
          <w:rFonts w:ascii="Times New Roman" w:eastAsia="Times New Roman" w:hAnsi="Times New Roman" w:cs="Times New Roman"/>
          <w:sz w:val="22"/>
          <w:szCs w:val="22"/>
        </w:rPr>
        <w:t xml:space="preserve">. La degradación de la referida Dirección es la materialización de una de las acciones del Estado peruano orientadas a atender las iniciativas del Poder Legislativo e ignorar la situación de vulnerabilidad que afrontan las mujeres en el país. Por ello, la probable fusión del MIMP y el MIDIS se constituye como una amenaza real para la desaparición del principal ministerio orientado a la promoción y protección del derecho de las mujeres en su diversidad a vivir una vida libre de violencia.  </w:t>
      </w:r>
    </w:p>
    <w:p w14:paraId="376C57FC" w14:textId="77777777" w:rsidR="00301AF8" w:rsidRDefault="00301AF8">
      <w:pPr>
        <w:spacing w:after="0"/>
        <w:jc w:val="both"/>
        <w:rPr>
          <w:rFonts w:ascii="Times New Roman" w:eastAsia="Times New Roman" w:hAnsi="Times New Roman" w:cs="Times New Roman"/>
          <w:sz w:val="22"/>
          <w:szCs w:val="22"/>
        </w:rPr>
      </w:pPr>
    </w:p>
    <w:p w14:paraId="52783144" w14:textId="77777777" w:rsidR="00301AF8" w:rsidRDefault="00000000">
      <w:pPr>
        <w:numPr>
          <w:ilvl w:val="1"/>
          <w:numId w:val="1"/>
        </w:numPr>
        <w:pBdr>
          <w:top w:val="nil"/>
          <w:left w:val="nil"/>
          <w:bottom w:val="nil"/>
          <w:right w:val="nil"/>
          <w:between w:val="nil"/>
        </w:pBdr>
        <w:spacing w:after="0"/>
        <w:ind w:left="284" w:hanging="284"/>
        <w:jc w:val="both"/>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Situación de desprotección para los derechos de las mujeres en su diversidad</w:t>
      </w:r>
    </w:p>
    <w:p w14:paraId="6806EBEC" w14:textId="77777777" w:rsidR="00301AF8" w:rsidRDefault="00301AF8">
      <w:pPr>
        <w:spacing w:after="0"/>
        <w:jc w:val="both"/>
        <w:rPr>
          <w:rFonts w:ascii="Times New Roman" w:eastAsia="Times New Roman" w:hAnsi="Times New Roman" w:cs="Times New Roman"/>
          <w:sz w:val="22"/>
          <w:szCs w:val="22"/>
        </w:rPr>
      </w:pPr>
    </w:p>
    <w:p w14:paraId="6C959DFD" w14:textId="77777777" w:rsidR="00301AF8" w:rsidRDefault="00000000">
      <w:pPr>
        <w:spacing w:after="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La fusión del MIMP y en MIDIS también sería una decisión del Estado peruano que ignoraría las recomendaciones realizadas por este distinguido Comité, para reforzar la capacidad estatal en la promoción y supervisión de la aplicación de las políticas de igualdad de género (párrafo 18.a, Observaciones Finales). A ello se suma que, la citada reducción del presupuesto público supondría la omisión de obligaciones convencionales por parte del Estado parte para la prevención, atención y sanción de la de violencia de género hacia las mujeres en su diversidad, más aún cuando a nivel nacional se incrementan las atenciones por violencia de género en los Centros de Emergencia Mujer (en adelante, CEM)</w:t>
      </w:r>
      <w:r>
        <w:rPr>
          <w:rFonts w:ascii="Times New Roman" w:eastAsia="Times New Roman" w:hAnsi="Times New Roman" w:cs="Times New Roman"/>
          <w:sz w:val="22"/>
          <w:szCs w:val="22"/>
          <w:vertAlign w:val="superscript"/>
        </w:rPr>
        <w:footnoteReference w:id="30"/>
      </w:r>
      <w:r>
        <w:rPr>
          <w:rFonts w:ascii="Times New Roman" w:eastAsia="Times New Roman" w:hAnsi="Times New Roman" w:cs="Times New Roman"/>
          <w:sz w:val="22"/>
          <w:szCs w:val="22"/>
        </w:rPr>
        <w:t xml:space="preserve"> a cargo del MIMP. </w:t>
      </w:r>
    </w:p>
    <w:p w14:paraId="42DAEA45" w14:textId="77777777" w:rsidR="00301AF8" w:rsidRDefault="00301AF8">
      <w:pPr>
        <w:spacing w:after="0"/>
        <w:jc w:val="both"/>
        <w:rPr>
          <w:rFonts w:ascii="Times New Roman" w:eastAsia="Times New Roman" w:hAnsi="Times New Roman" w:cs="Times New Roman"/>
          <w:sz w:val="22"/>
          <w:szCs w:val="22"/>
        </w:rPr>
      </w:pPr>
    </w:p>
    <w:p w14:paraId="635A408A" w14:textId="77777777" w:rsidR="00301AF8" w:rsidRDefault="00000000">
      <w:pPr>
        <w:spacing w:after="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En la línea de lo señalado anteriormente, se requiere considerar el particular aumento de la violencia sexual, ya que el 71,2% de los casos (21 929) atendidos en los CEM por violencia sexual fueron hacia las niñas, niños y adolescentes (2023)</w:t>
      </w:r>
      <w:r>
        <w:rPr>
          <w:rFonts w:ascii="Times New Roman" w:eastAsia="Times New Roman" w:hAnsi="Times New Roman" w:cs="Times New Roman"/>
          <w:sz w:val="22"/>
          <w:szCs w:val="22"/>
          <w:vertAlign w:val="superscript"/>
        </w:rPr>
        <w:footnoteReference w:id="31"/>
      </w:r>
      <w:r>
        <w:rPr>
          <w:rFonts w:ascii="Times New Roman" w:eastAsia="Times New Roman" w:hAnsi="Times New Roman" w:cs="Times New Roman"/>
          <w:sz w:val="22"/>
          <w:szCs w:val="22"/>
        </w:rPr>
        <w:t xml:space="preserve">. De ahí que, una muestra representativa son los indignantes casos de Condorcanqui, una provincia de Amazonas —región en la selva </w:t>
      </w:r>
      <w:r>
        <w:rPr>
          <w:rFonts w:ascii="Times New Roman" w:eastAsia="Times New Roman" w:hAnsi="Times New Roman" w:cs="Times New Roman"/>
          <w:sz w:val="22"/>
          <w:szCs w:val="22"/>
        </w:rPr>
        <w:lastRenderedPageBreak/>
        <w:t>peruana—, donde se ha denunciado que, entre el 2010 y mayo de 2024, existieron 524 casos de abuso sexual contra escolares por parte de docentes, en residencias educativas públicas. No obstante, la cifra de casos sería mayor, dado que, en el 2022 un incendio provocado en la Unidad de Gestión Educativa Local</w:t>
      </w:r>
      <w:r>
        <w:rPr>
          <w:rFonts w:ascii="Times New Roman" w:eastAsia="Times New Roman" w:hAnsi="Times New Roman" w:cs="Times New Roman"/>
          <w:sz w:val="22"/>
          <w:szCs w:val="22"/>
          <w:vertAlign w:val="superscript"/>
        </w:rPr>
        <w:footnoteReference w:id="32"/>
      </w:r>
      <w:r>
        <w:rPr>
          <w:rFonts w:ascii="Times New Roman" w:eastAsia="Times New Roman" w:hAnsi="Times New Roman" w:cs="Times New Roman"/>
          <w:sz w:val="22"/>
          <w:szCs w:val="22"/>
        </w:rPr>
        <w:t xml:space="preserve"> quemó cerca de 600 expedientes de denuncias similares</w:t>
      </w:r>
      <w:r>
        <w:rPr>
          <w:rFonts w:ascii="Times New Roman" w:eastAsia="Times New Roman" w:hAnsi="Times New Roman" w:cs="Times New Roman"/>
          <w:sz w:val="22"/>
          <w:szCs w:val="22"/>
          <w:vertAlign w:val="superscript"/>
        </w:rPr>
        <w:footnoteReference w:id="33"/>
      </w:r>
      <w:r>
        <w:rPr>
          <w:rFonts w:ascii="Times New Roman" w:eastAsia="Times New Roman" w:hAnsi="Times New Roman" w:cs="Times New Roman"/>
          <w:sz w:val="22"/>
          <w:szCs w:val="22"/>
        </w:rPr>
        <w:t xml:space="preserve">.  </w:t>
      </w:r>
    </w:p>
    <w:p w14:paraId="186AE86B" w14:textId="77777777" w:rsidR="00301AF8" w:rsidRDefault="00301AF8">
      <w:pPr>
        <w:spacing w:after="0" w:line="276" w:lineRule="auto"/>
        <w:jc w:val="both"/>
        <w:rPr>
          <w:rFonts w:ascii="Times New Roman" w:eastAsia="Times New Roman" w:hAnsi="Times New Roman" w:cs="Times New Roman"/>
          <w:sz w:val="22"/>
          <w:szCs w:val="22"/>
        </w:rPr>
      </w:pPr>
    </w:p>
    <w:p w14:paraId="58631521" w14:textId="77777777" w:rsidR="00301AF8" w:rsidRDefault="00000000">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En virtud de lo antes expuesto, se solicita al honorable Comité considerar la situación particular que afronta el Estado peruano, tras el grave contexto de protestas sociales</w:t>
      </w:r>
      <w:r>
        <w:rPr>
          <w:rFonts w:ascii="Times New Roman" w:eastAsia="Times New Roman" w:hAnsi="Times New Roman" w:cs="Times New Roman"/>
          <w:sz w:val="22"/>
          <w:szCs w:val="22"/>
          <w:vertAlign w:val="superscript"/>
        </w:rPr>
        <w:footnoteReference w:id="34"/>
      </w:r>
      <w:r>
        <w:rPr>
          <w:rFonts w:ascii="Times New Roman" w:eastAsia="Times New Roman" w:hAnsi="Times New Roman" w:cs="Times New Roman"/>
          <w:sz w:val="22"/>
          <w:szCs w:val="22"/>
        </w:rPr>
        <w:t xml:space="preserve"> y el consecuente estado de crisis política, institucional y social, que dista de ser atendido por las autoridades y es aprovechado por las mismas para emprender iniciativas contrarias a los derechos humanos de las mujeres y poblaciones en situación de vulnerabilidad, que vulneran el principio de no regresividad y el control de convencionalidad. Asimismo, es oportuno considerar que, a pesar de que en julio del 2024 el Perú recibió la visita de la Secretaría Técnica del Mecanismo de Seguimiento de la Convención Interamericana para Prevenir, Sancionar y Erradicar la Violencia contra las Mujeres</w:t>
      </w:r>
      <w:r>
        <w:rPr>
          <w:rFonts w:ascii="Times New Roman" w:eastAsia="Times New Roman" w:hAnsi="Times New Roman" w:cs="Times New Roman"/>
          <w:sz w:val="22"/>
          <w:szCs w:val="22"/>
          <w:vertAlign w:val="superscript"/>
        </w:rPr>
        <w:footnoteReference w:id="35"/>
      </w:r>
      <w:r>
        <w:rPr>
          <w:rFonts w:ascii="Times New Roman" w:eastAsia="Times New Roman" w:hAnsi="Times New Roman" w:cs="Times New Roman"/>
          <w:sz w:val="22"/>
          <w:szCs w:val="22"/>
        </w:rPr>
        <w:t xml:space="preserve"> (en adelante, MESECVI), los discursos de odio contrarios al enfoque de igualdad de género no se han detenido, ni la posible fusión del MIMP y el MIDIS.</w:t>
      </w:r>
    </w:p>
    <w:p w14:paraId="6C2E7F08" w14:textId="77777777" w:rsidR="00301AF8" w:rsidRDefault="00000000">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14:paraId="4ECC5343" w14:textId="3A3EDD45" w:rsidR="00301AF8" w:rsidRDefault="00000000">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Finalmente, en respeto de la autonomía y competencias del distinguido Comité, se espera tenga a bien pronunciarse y solicitar al Estado peruano más información vinculada a las temáticas antes presentadas, dado que, la amenaza de la fusión del MIMP y MIDIS es una iniciativa que busca ser aprobada al igual que en otros países de la región, como Argentina y Ecuador, exponiendo a las mujeres en su diversidad a graves retrocesos en el respeto y garantía de sus derechos humanos. </w:t>
      </w:r>
    </w:p>
    <w:p w14:paraId="0FA306D6" w14:textId="49DA5E45" w:rsidR="00301AF8" w:rsidRDefault="00301AF8">
      <w:pPr>
        <w:spacing w:after="0" w:line="276" w:lineRule="auto"/>
        <w:jc w:val="both"/>
        <w:rPr>
          <w:rFonts w:ascii="Times New Roman" w:eastAsia="Times New Roman" w:hAnsi="Times New Roman" w:cs="Times New Roman"/>
          <w:sz w:val="22"/>
          <w:szCs w:val="22"/>
        </w:rPr>
      </w:pPr>
    </w:p>
    <w:p w14:paraId="7C49FCE1" w14:textId="5283F739" w:rsidR="00301AF8" w:rsidRDefault="00000000">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Cordialmente,</w:t>
      </w:r>
    </w:p>
    <w:p w14:paraId="18C28AE3" w14:textId="77777777" w:rsidR="00EC7958" w:rsidRDefault="00EC7958">
      <w:pPr>
        <w:spacing w:after="0" w:line="276" w:lineRule="auto"/>
        <w:jc w:val="both"/>
        <w:rPr>
          <w:rFonts w:ascii="Times New Roman" w:eastAsia="Times New Roman" w:hAnsi="Times New Roman" w:cs="Times New Roman"/>
          <w:noProof/>
          <w:sz w:val="22"/>
          <w:szCs w:val="22"/>
        </w:rPr>
      </w:pPr>
    </w:p>
    <w:p w14:paraId="3D774C55" w14:textId="6A88AF86" w:rsidR="00301AF8" w:rsidRDefault="00EC7958">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noProof/>
          <w:sz w:val="22"/>
          <w:szCs w:val="22"/>
        </w:rPr>
        <w:drawing>
          <wp:inline distT="0" distB="0" distL="0" distR="0" wp14:anchorId="51C594EA" wp14:editId="41FA48AA">
            <wp:extent cx="5494020" cy="2824829"/>
            <wp:effectExtent l="0" t="0" r="0" b="0"/>
            <wp:docPr id="1572530367" name="Imagen 1"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530367" name="Imagen 1" descr="Interfaz de usuario gráfica, Texto, Aplicación, Correo electrónico&#10;&#10;Descripción generada automáticamente"/>
                    <pic:cNvPicPr/>
                  </pic:nvPicPr>
                  <pic:blipFill rotWithShape="1">
                    <a:blip r:embed="rId9">
                      <a:extLst>
                        <a:ext uri="{28A0092B-C50C-407E-A947-70E740481C1C}">
                          <a14:useLocalDpi xmlns:a14="http://schemas.microsoft.com/office/drawing/2010/main" val="0"/>
                        </a:ext>
                      </a:extLst>
                    </a:blip>
                    <a:srcRect r="377" b="2854"/>
                    <a:stretch/>
                  </pic:blipFill>
                  <pic:spPr bwMode="auto">
                    <a:xfrm>
                      <a:off x="0" y="0"/>
                      <a:ext cx="5497220" cy="2826474"/>
                    </a:xfrm>
                    <a:prstGeom prst="rect">
                      <a:avLst/>
                    </a:prstGeom>
                    <a:ln>
                      <a:noFill/>
                    </a:ln>
                    <a:extLst>
                      <a:ext uri="{53640926-AAD7-44D8-BBD7-CCE9431645EC}">
                        <a14:shadowObscured xmlns:a14="http://schemas.microsoft.com/office/drawing/2010/main"/>
                      </a:ext>
                    </a:extLst>
                  </pic:spPr>
                </pic:pic>
              </a:graphicData>
            </a:graphic>
          </wp:inline>
        </w:drawing>
      </w:r>
    </w:p>
    <w:p w14:paraId="348FD939" w14:textId="21E7ED13" w:rsidR="00301AF8" w:rsidRDefault="00AB37D9">
      <w:pPr>
        <w:spacing w:after="0" w:line="276" w:lineRule="auto"/>
        <w:jc w:val="both"/>
        <w:rPr>
          <w:rFonts w:ascii="Times New Roman" w:eastAsia="Times New Roman" w:hAnsi="Times New Roman" w:cs="Times New Roman"/>
          <w:sz w:val="22"/>
          <w:szCs w:val="22"/>
        </w:rPr>
      </w:pPr>
      <w:r w:rsidRPr="00AB37D9">
        <w:rPr>
          <w:rFonts w:ascii="Times New Roman" w:eastAsia="Times New Roman" w:hAnsi="Times New Roman" w:cs="Times New Roman"/>
          <w:noProof/>
          <w:sz w:val="22"/>
          <w:szCs w:val="22"/>
        </w:rPr>
        <w:lastRenderedPageBreak/>
        <w:drawing>
          <wp:inline distT="0" distB="0" distL="0" distR="0" wp14:anchorId="597EB975" wp14:editId="7897B0EC">
            <wp:extent cx="3991532" cy="5220429"/>
            <wp:effectExtent l="0" t="0" r="9525" b="0"/>
            <wp:docPr id="24944213" name="Imagen 1" descr="Diagrama,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44213" name="Imagen 1" descr="Diagrama, Carta&#10;&#10;Descripción generada automáticamente"/>
                    <pic:cNvPicPr/>
                  </pic:nvPicPr>
                  <pic:blipFill>
                    <a:blip r:embed="rId10"/>
                    <a:stretch>
                      <a:fillRect/>
                    </a:stretch>
                  </pic:blipFill>
                  <pic:spPr>
                    <a:xfrm>
                      <a:off x="0" y="0"/>
                      <a:ext cx="3991532" cy="5220429"/>
                    </a:xfrm>
                    <a:prstGeom prst="rect">
                      <a:avLst/>
                    </a:prstGeom>
                  </pic:spPr>
                </pic:pic>
              </a:graphicData>
            </a:graphic>
          </wp:inline>
        </w:drawing>
      </w:r>
    </w:p>
    <w:p w14:paraId="2F62A7F4" w14:textId="77777777" w:rsidR="00C35F0C" w:rsidRDefault="00C35F0C">
      <w:pPr>
        <w:spacing w:after="0" w:line="276" w:lineRule="auto"/>
        <w:jc w:val="both"/>
        <w:rPr>
          <w:rFonts w:ascii="Times New Roman" w:eastAsia="Times New Roman" w:hAnsi="Times New Roman" w:cs="Times New Roman"/>
          <w:sz w:val="22"/>
          <w:szCs w:val="22"/>
        </w:rPr>
      </w:pPr>
    </w:p>
    <w:p w14:paraId="73752E07" w14:textId="77777777" w:rsidR="00C35F0C" w:rsidRDefault="00C35F0C">
      <w:pPr>
        <w:spacing w:after="0" w:line="276" w:lineRule="auto"/>
        <w:jc w:val="both"/>
        <w:rPr>
          <w:rFonts w:ascii="Times New Roman" w:eastAsia="Times New Roman" w:hAnsi="Times New Roman" w:cs="Times New Roman"/>
          <w:sz w:val="22"/>
          <w:szCs w:val="22"/>
        </w:rPr>
      </w:pPr>
    </w:p>
    <w:p w14:paraId="7E3A0B34" w14:textId="77777777" w:rsidR="00C35F0C" w:rsidRDefault="00C35F0C">
      <w:pPr>
        <w:spacing w:after="0" w:line="276" w:lineRule="auto"/>
        <w:jc w:val="both"/>
        <w:rPr>
          <w:rFonts w:ascii="Times New Roman" w:eastAsia="Times New Roman" w:hAnsi="Times New Roman" w:cs="Times New Roman"/>
          <w:sz w:val="22"/>
          <w:szCs w:val="22"/>
        </w:rPr>
      </w:pPr>
    </w:p>
    <w:p w14:paraId="315DD8E2" w14:textId="77777777" w:rsidR="00C35F0C" w:rsidRDefault="00C35F0C">
      <w:pPr>
        <w:spacing w:after="0" w:line="276" w:lineRule="auto"/>
        <w:jc w:val="both"/>
        <w:rPr>
          <w:rFonts w:ascii="Times New Roman" w:eastAsia="Times New Roman" w:hAnsi="Times New Roman" w:cs="Times New Roman"/>
          <w:sz w:val="22"/>
          <w:szCs w:val="22"/>
        </w:rPr>
      </w:pPr>
    </w:p>
    <w:p w14:paraId="1A80447F" w14:textId="77777777" w:rsidR="00C35F0C" w:rsidRDefault="00C35F0C">
      <w:pPr>
        <w:spacing w:after="0" w:line="276" w:lineRule="auto"/>
        <w:jc w:val="both"/>
        <w:rPr>
          <w:rFonts w:ascii="Times New Roman" w:eastAsia="Times New Roman" w:hAnsi="Times New Roman" w:cs="Times New Roman"/>
          <w:sz w:val="22"/>
          <w:szCs w:val="22"/>
        </w:rPr>
      </w:pPr>
    </w:p>
    <w:p w14:paraId="6AF74D71" w14:textId="74B272EC" w:rsidR="00C35F0C" w:rsidRPr="00C35F0C" w:rsidRDefault="00C35F0C">
      <w:pPr>
        <w:spacing w:after="0" w:line="276" w:lineRule="auto"/>
        <w:jc w:val="both"/>
        <w:rPr>
          <w:rFonts w:ascii="Times New Roman" w:eastAsia="Times New Roman" w:hAnsi="Times New Roman" w:cs="Times New Roman"/>
          <w:b/>
          <w:bCs/>
          <w:sz w:val="22"/>
          <w:szCs w:val="22"/>
        </w:rPr>
      </w:pPr>
      <w:r w:rsidRPr="00C35F0C">
        <w:rPr>
          <w:rFonts w:ascii="Times New Roman" w:eastAsia="Times New Roman" w:hAnsi="Times New Roman" w:cs="Times New Roman"/>
          <w:b/>
          <w:bCs/>
          <w:sz w:val="22"/>
          <w:szCs w:val="22"/>
        </w:rPr>
        <w:t>IR/mm</w:t>
      </w:r>
    </w:p>
    <w:p w14:paraId="0D8D3547" w14:textId="77777777" w:rsidR="00301AF8" w:rsidRDefault="00301AF8">
      <w:pPr>
        <w:spacing w:after="0" w:line="276" w:lineRule="auto"/>
        <w:jc w:val="both"/>
        <w:rPr>
          <w:rFonts w:ascii="Times New Roman" w:eastAsia="Times New Roman" w:hAnsi="Times New Roman" w:cs="Times New Roman"/>
          <w:sz w:val="22"/>
          <w:szCs w:val="22"/>
        </w:rPr>
      </w:pPr>
    </w:p>
    <w:p w14:paraId="0A7DCDC6" w14:textId="77777777" w:rsidR="00301AF8" w:rsidRDefault="00301AF8">
      <w:pPr>
        <w:spacing w:after="0" w:line="276" w:lineRule="auto"/>
        <w:jc w:val="both"/>
        <w:rPr>
          <w:rFonts w:ascii="Times New Roman" w:eastAsia="Times New Roman" w:hAnsi="Times New Roman" w:cs="Times New Roman"/>
          <w:sz w:val="22"/>
          <w:szCs w:val="22"/>
        </w:rPr>
      </w:pPr>
    </w:p>
    <w:p w14:paraId="174BD722" w14:textId="77777777" w:rsidR="00301AF8" w:rsidRDefault="00301AF8">
      <w:pPr>
        <w:spacing w:after="0" w:line="276" w:lineRule="auto"/>
        <w:jc w:val="both"/>
        <w:rPr>
          <w:rFonts w:ascii="Times New Roman" w:eastAsia="Times New Roman" w:hAnsi="Times New Roman" w:cs="Times New Roman"/>
          <w:sz w:val="22"/>
          <w:szCs w:val="22"/>
        </w:rPr>
      </w:pPr>
    </w:p>
    <w:p w14:paraId="538901A7" w14:textId="77777777" w:rsidR="00301AF8" w:rsidRDefault="00301AF8">
      <w:pPr>
        <w:spacing w:after="0" w:line="276" w:lineRule="auto"/>
        <w:jc w:val="both"/>
        <w:rPr>
          <w:rFonts w:ascii="Times New Roman" w:eastAsia="Times New Roman" w:hAnsi="Times New Roman" w:cs="Times New Roman"/>
          <w:sz w:val="22"/>
          <w:szCs w:val="22"/>
        </w:rPr>
      </w:pPr>
    </w:p>
    <w:p w14:paraId="4A113663" w14:textId="77777777" w:rsidR="00301AF8" w:rsidRDefault="00301AF8">
      <w:pPr>
        <w:spacing w:after="0" w:line="276" w:lineRule="auto"/>
        <w:jc w:val="both"/>
        <w:rPr>
          <w:rFonts w:ascii="Times New Roman" w:eastAsia="Times New Roman" w:hAnsi="Times New Roman" w:cs="Times New Roman"/>
          <w:sz w:val="22"/>
          <w:szCs w:val="22"/>
        </w:rPr>
      </w:pPr>
    </w:p>
    <w:sectPr w:rsidR="00301AF8">
      <w:headerReference w:type="default" r:id="rId11"/>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F7A9E7" w14:textId="77777777" w:rsidR="008A0A77" w:rsidRDefault="008A0A77">
      <w:pPr>
        <w:spacing w:after="0" w:line="240" w:lineRule="auto"/>
      </w:pPr>
      <w:r>
        <w:separator/>
      </w:r>
    </w:p>
  </w:endnote>
  <w:endnote w:type="continuationSeparator" w:id="0">
    <w:p w14:paraId="1DE9AE15" w14:textId="77777777" w:rsidR="008A0A77" w:rsidRDefault="008A0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embedRegular r:id="rId1" w:fontKey="{3870C4B3-DF3D-4A38-B20F-0BA41997D85E}"/>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4747F7EE-615A-4F7C-8BF4-231318822A7B}"/>
    <w:embedBold r:id="rId3" w:fontKey="{6B85BC4B-2BD2-40DA-B8CD-44E9E64FBF74}"/>
    <w:embedItalic r:id="rId4" w:fontKey="{954155D9-E8B8-4BB7-A244-3F3F746C835A}"/>
  </w:font>
  <w:font w:name="Aptos Display">
    <w:charset w:val="00"/>
    <w:family w:val="swiss"/>
    <w:pitch w:val="variable"/>
    <w:sig w:usb0="20000287" w:usb1="00000003" w:usb2="00000000" w:usb3="00000000" w:csb0="0000019F" w:csb1="00000000"/>
    <w:embedRegular r:id="rId5" w:fontKey="{F02D07DB-C211-4361-B430-69EC8254EB5D}"/>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81288F" w14:textId="77777777" w:rsidR="008A0A77" w:rsidRDefault="008A0A77">
      <w:pPr>
        <w:spacing w:after="0" w:line="240" w:lineRule="auto"/>
      </w:pPr>
      <w:r>
        <w:separator/>
      </w:r>
    </w:p>
  </w:footnote>
  <w:footnote w:type="continuationSeparator" w:id="0">
    <w:p w14:paraId="564A7EE0" w14:textId="77777777" w:rsidR="008A0A77" w:rsidRDefault="008A0A77">
      <w:pPr>
        <w:spacing w:after="0" w:line="240" w:lineRule="auto"/>
      </w:pPr>
      <w:r>
        <w:continuationSeparator/>
      </w:r>
    </w:p>
  </w:footnote>
  <w:footnote w:id="1">
    <w:p w14:paraId="5FBE429E"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Mujeres en su diversidad: Incluye a las niñas, adolescentes, adultas y adultas mayores; mujeres indígenas, nativas, originarias, afrodescendientes y mestizas; mujeres urbanas y rurales; mujeres heterosexuales, mujeres lesbianas, bisexuales, trans e intersex; mujeres con discapacidad física o mental; mujeres migrantes, refugiadas y desplazadas internas; mujeres viviendo con VIH; mujeres privadas de libertad; mujeres que trabajan en la prostitución; entre otras. (Esta definición ha sido incluida en la Política Nacional de Igualdad de Género).</w:t>
      </w:r>
    </w:p>
  </w:footnote>
  <w:footnote w:id="2">
    <w:p w14:paraId="210E88CF"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Recomendación requerida por el Comité para el seguimiento de las observaciones finales sobre el noveno informe periódico del Perú, en el párrafo 57 de las referidas Observaciones Finales. </w:t>
      </w:r>
    </w:p>
  </w:footnote>
  <w:footnote w:id="3">
    <w:p w14:paraId="45A325C5" w14:textId="77777777" w:rsidR="00301AF8" w:rsidRPr="00833A2C"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lang w:val="pt-PT"/>
        </w:rPr>
      </w:pPr>
      <w:r w:rsidRPr="00F74B00">
        <w:rPr>
          <w:vertAlign w:val="superscript"/>
        </w:rPr>
        <w:footnoteRef/>
      </w:r>
      <w:r w:rsidRPr="00F74B00">
        <w:rPr>
          <w:rFonts w:ascii="Times New Roman" w:eastAsia="Times New Roman" w:hAnsi="Times New Roman" w:cs="Times New Roman"/>
          <w:sz w:val="18"/>
          <w:szCs w:val="18"/>
        </w:rPr>
        <w:t xml:space="preserve"> Naciones Unidas. (1996</w:t>
      </w:r>
      <w:hyperlink r:id="rId1">
        <w:r w:rsidRPr="00F74B00">
          <w:rPr>
            <w:rFonts w:ascii="Times New Roman" w:eastAsia="Times New Roman" w:hAnsi="Times New Roman" w:cs="Times New Roman"/>
            <w:sz w:val="18"/>
            <w:szCs w:val="18"/>
            <w:u w:val="single"/>
          </w:rPr>
          <w:t xml:space="preserve">). Informe del Comité para la Eliminación de la Discriminación contra la Mujer.  </w:t>
        </w:r>
        <w:r w:rsidRPr="00833A2C">
          <w:rPr>
            <w:rFonts w:ascii="Times New Roman" w:eastAsia="Times New Roman" w:hAnsi="Times New Roman" w:cs="Times New Roman"/>
            <w:sz w:val="18"/>
            <w:szCs w:val="18"/>
            <w:u w:val="single"/>
            <w:lang w:val="pt-PT"/>
          </w:rPr>
          <w:t>14º período de sesiones</w:t>
        </w:r>
      </w:hyperlink>
      <w:r w:rsidRPr="00833A2C">
        <w:rPr>
          <w:rFonts w:ascii="Times New Roman" w:eastAsia="Times New Roman" w:hAnsi="Times New Roman" w:cs="Times New Roman"/>
          <w:sz w:val="18"/>
          <w:szCs w:val="18"/>
          <w:lang w:val="pt-PT"/>
        </w:rPr>
        <w:t xml:space="preserve">. Suplemento No. 38 (A/50/38). Párr. 450. </w:t>
      </w:r>
    </w:p>
  </w:footnote>
  <w:footnote w:id="4">
    <w:p w14:paraId="1EECD5BA"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833A2C">
        <w:rPr>
          <w:rFonts w:ascii="Times New Roman" w:eastAsia="Times New Roman" w:hAnsi="Times New Roman" w:cs="Times New Roman"/>
          <w:sz w:val="18"/>
          <w:szCs w:val="18"/>
          <w:lang w:val="pt-PT"/>
        </w:rPr>
        <w:t xml:space="preserve">Comité CEDAW. </w:t>
      </w:r>
      <w:r w:rsidRPr="00F74B00">
        <w:rPr>
          <w:rFonts w:ascii="Times New Roman" w:eastAsia="Times New Roman" w:hAnsi="Times New Roman" w:cs="Times New Roman"/>
          <w:sz w:val="18"/>
          <w:szCs w:val="18"/>
        </w:rPr>
        <w:t xml:space="preserve">(2014, 24 de julio). </w:t>
      </w:r>
      <w:hyperlink r:id="rId2">
        <w:r w:rsidRPr="00F74B00">
          <w:rPr>
            <w:rFonts w:ascii="Times New Roman" w:eastAsia="Times New Roman" w:hAnsi="Times New Roman" w:cs="Times New Roman"/>
            <w:sz w:val="18"/>
            <w:szCs w:val="18"/>
            <w:u w:val="single"/>
          </w:rPr>
          <w:t>Observaciones finales sobre los informes periódicos séptimo y octavo combinados del Perú</w:t>
        </w:r>
      </w:hyperlink>
      <w:r w:rsidRPr="00F74B00">
        <w:rPr>
          <w:rFonts w:ascii="Times New Roman" w:eastAsia="Times New Roman" w:hAnsi="Times New Roman" w:cs="Times New Roman"/>
          <w:sz w:val="18"/>
          <w:szCs w:val="18"/>
        </w:rPr>
        <w:t xml:space="preserve">. CEDAW/C/PER/CO/7-8. Párr. 14. </w:t>
      </w:r>
    </w:p>
  </w:footnote>
  <w:footnote w:id="5">
    <w:p w14:paraId="7ED00E44"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MIMP. (2023, 26 de octubre). </w:t>
      </w:r>
      <w:hyperlink r:id="rId3">
        <w:r w:rsidRPr="00F74B00">
          <w:rPr>
            <w:rFonts w:ascii="Times New Roman" w:eastAsia="Times New Roman" w:hAnsi="Times New Roman" w:cs="Times New Roman"/>
            <w:sz w:val="18"/>
            <w:szCs w:val="18"/>
            <w:u w:val="single"/>
          </w:rPr>
          <w:t>Resolución Ministerial N° 362-2023-MIMP</w:t>
        </w:r>
      </w:hyperlink>
      <w:r w:rsidRPr="00F74B00">
        <w:rPr>
          <w:rFonts w:ascii="Times New Roman" w:eastAsia="Times New Roman" w:hAnsi="Times New Roman" w:cs="Times New Roman"/>
          <w:sz w:val="18"/>
          <w:szCs w:val="18"/>
        </w:rPr>
        <w:t xml:space="preserve">, Aprobación del Texto Integrado del Reglamento de Organización y Funciones. </w:t>
      </w:r>
    </w:p>
  </w:footnote>
  <w:footnote w:id="6">
    <w:p w14:paraId="0EC054C5"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w:t>
      </w:r>
      <w:hyperlink r:id="rId4">
        <w:r w:rsidRPr="00F74B00">
          <w:rPr>
            <w:rFonts w:ascii="Times New Roman" w:eastAsia="Times New Roman" w:hAnsi="Times New Roman" w:cs="Times New Roman"/>
            <w:sz w:val="18"/>
            <w:szCs w:val="18"/>
            <w:u w:val="single"/>
          </w:rPr>
          <w:t>Decreto Ley Nº 866</w:t>
        </w:r>
      </w:hyperlink>
      <w:r w:rsidRPr="00F74B00">
        <w:rPr>
          <w:rFonts w:ascii="Times New Roman" w:eastAsia="Times New Roman" w:hAnsi="Times New Roman" w:cs="Times New Roman"/>
          <w:sz w:val="18"/>
          <w:szCs w:val="18"/>
        </w:rPr>
        <w:t xml:space="preserve">. Publicado en el Diario Oficial El Peruano: 1996, 29 de octubre. </w:t>
      </w:r>
    </w:p>
  </w:footnote>
  <w:footnote w:id="7">
    <w:p w14:paraId="0380CC08"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w:t>
      </w:r>
      <w:hyperlink r:id="rId5">
        <w:r w:rsidRPr="00F74B00">
          <w:rPr>
            <w:rFonts w:ascii="Times New Roman" w:eastAsia="Times New Roman" w:hAnsi="Times New Roman" w:cs="Times New Roman"/>
            <w:sz w:val="18"/>
            <w:szCs w:val="18"/>
            <w:u w:val="single"/>
          </w:rPr>
          <w:t>Decreto Supremo N° 008-2019-MIMP</w:t>
        </w:r>
      </w:hyperlink>
      <w:r w:rsidRPr="00F74B00">
        <w:rPr>
          <w:rFonts w:ascii="Times New Roman" w:eastAsia="Times New Roman" w:hAnsi="Times New Roman" w:cs="Times New Roman"/>
          <w:sz w:val="18"/>
          <w:szCs w:val="18"/>
        </w:rPr>
        <w:t>, Decreto Supremo que aprueba la Política Nacional de Igualdad de Género. Publicado en el Diario Oficial el Peruano: 2019, 4 de abril.</w:t>
      </w:r>
    </w:p>
  </w:footnote>
  <w:footnote w:id="8">
    <w:p w14:paraId="7F2006CD"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w:t>
      </w:r>
      <w:hyperlink r:id="rId6" w:anchor="/detallenorma/H1141065">
        <w:r w:rsidRPr="00F74B00">
          <w:rPr>
            <w:rFonts w:ascii="Times New Roman" w:eastAsia="Times New Roman" w:hAnsi="Times New Roman" w:cs="Times New Roman"/>
            <w:sz w:val="18"/>
            <w:szCs w:val="18"/>
            <w:u w:val="single"/>
          </w:rPr>
          <w:t>Ley Nº 30364</w:t>
        </w:r>
      </w:hyperlink>
      <w:r w:rsidRPr="00F74B00">
        <w:rPr>
          <w:rFonts w:ascii="Times New Roman" w:eastAsia="Times New Roman" w:hAnsi="Times New Roman" w:cs="Times New Roman"/>
          <w:sz w:val="18"/>
          <w:szCs w:val="18"/>
        </w:rPr>
        <w:t xml:space="preserve">. Publicada en el Diario Oficial El Peruano: 2015, 23 de noviembre. Artículo 10. </w:t>
      </w:r>
    </w:p>
  </w:footnote>
  <w:footnote w:id="9">
    <w:p w14:paraId="0AB1D3A6"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Decreto Supremo Nº 018-2019-MIMP. Publicado en el Diario Oficial El Peruano: 2019, 12 de diciembre.Artículo 1. </w:t>
      </w:r>
    </w:p>
  </w:footnote>
  <w:footnote w:id="10">
    <w:p w14:paraId="63112D71" w14:textId="77777777" w:rsidR="00301AF8" w:rsidRPr="00F74B00" w:rsidRDefault="00000000">
      <w:pP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Congreso de la República. (2024, 28 de julio). Mensaje al Congreso tuvo una duración de cinco horas. </w:t>
      </w:r>
      <w:hyperlink r:id="rId7">
        <w:r w:rsidRPr="00F74B00">
          <w:rPr>
            <w:rFonts w:ascii="Times New Roman" w:eastAsia="Times New Roman" w:hAnsi="Times New Roman" w:cs="Times New Roman"/>
            <w:sz w:val="18"/>
            <w:szCs w:val="18"/>
            <w:u w:val="single"/>
          </w:rPr>
          <w:t>Presidenta Dina Boluarte presentó cuatro proyectos de ley y adelantó la fusión de ministerios.</w:t>
        </w:r>
      </w:hyperlink>
      <w:r w:rsidRPr="00F74B00">
        <w:rPr>
          <w:rFonts w:ascii="Times New Roman" w:eastAsia="Times New Roman" w:hAnsi="Times New Roman" w:cs="Times New Roman"/>
          <w:sz w:val="18"/>
          <w:szCs w:val="18"/>
        </w:rPr>
        <w:t xml:space="preserve"> Centro de Noticias del Congreso.</w:t>
      </w:r>
    </w:p>
  </w:footnote>
  <w:footnote w:id="11">
    <w:p w14:paraId="2509335A" w14:textId="77777777" w:rsidR="00301AF8" w:rsidRPr="00F74B00" w:rsidRDefault="00000000">
      <w:pP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Huaita, M. (2024, 13 de agosto). </w:t>
      </w:r>
      <w:hyperlink r:id="rId8">
        <w:r w:rsidRPr="00F74B00">
          <w:rPr>
            <w:rFonts w:ascii="Times New Roman" w:eastAsia="Times New Roman" w:hAnsi="Times New Roman" w:cs="Times New Roman"/>
            <w:sz w:val="18"/>
            <w:szCs w:val="18"/>
            <w:u w:val="single"/>
          </w:rPr>
          <w:t>Carta Pública a las Autoridades del Estado Peruano</w:t>
        </w:r>
      </w:hyperlink>
      <w:r w:rsidRPr="00F74B00">
        <w:rPr>
          <w:rFonts w:ascii="Times New Roman" w:eastAsia="Times New Roman" w:hAnsi="Times New Roman" w:cs="Times New Roman"/>
          <w:sz w:val="18"/>
          <w:szCs w:val="18"/>
        </w:rPr>
        <w:t xml:space="preserve">. (Agosto 2024). </w:t>
      </w:r>
    </w:p>
  </w:footnote>
  <w:footnote w:id="12">
    <w:p w14:paraId="6D03BB5D" w14:textId="77777777" w:rsidR="00301AF8" w:rsidRPr="00F74B00" w:rsidRDefault="00000000">
      <w:pP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Presidencia del Consejo de Ministros. (2024, 28 de julio). </w:t>
      </w:r>
      <w:hyperlink r:id="rId9">
        <w:r w:rsidRPr="00F74B00">
          <w:rPr>
            <w:rFonts w:ascii="Times New Roman" w:eastAsia="Times New Roman" w:hAnsi="Times New Roman" w:cs="Times New Roman"/>
            <w:sz w:val="18"/>
            <w:szCs w:val="18"/>
            <w:u w:val="single"/>
          </w:rPr>
          <w:t>Creación del Ministerio de Infraestructura y fusión de 4 sectores hará más eficiente al Estado, aseguró Premier Adrianzén</w:t>
        </w:r>
      </w:hyperlink>
      <w:r w:rsidRPr="00F74B00">
        <w:rPr>
          <w:rFonts w:ascii="Times New Roman" w:eastAsia="Times New Roman" w:hAnsi="Times New Roman" w:cs="Times New Roman"/>
          <w:sz w:val="18"/>
          <w:szCs w:val="18"/>
        </w:rPr>
        <w:t xml:space="preserve">. Nota de prensa. </w:t>
      </w:r>
    </w:p>
  </w:footnote>
  <w:footnote w:id="13">
    <w:p w14:paraId="4337DD6A" w14:textId="77777777" w:rsidR="00301AF8" w:rsidRPr="00F74B00" w:rsidRDefault="00000000">
      <w:pP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Decreto Supremo Nº 008-2021-MIMP, Decreto Supremo que aprueba la Política Nacional Multisectorial para las Niñas, Niños y Adolescentes al 2030. Publicado en el Diario Oficial el Peruano: 2021, 25 de junio.</w:t>
      </w:r>
    </w:p>
  </w:footnote>
  <w:footnote w:id="14">
    <w:p w14:paraId="51360472" w14:textId="77777777" w:rsidR="00301AF8" w:rsidRPr="00F74B00" w:rsidRDefault="00000000">
      <w:pP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Decreto Supremo N° 008-2019-MIMP, Decreto Supremo que aprueba la Política Nacional de Igualdad de Género. Publicado en el Diario Oficial el Peruano: 2019, 4 de abril. </w:t>
      </w:r>
    </w:p>
  </w:footnote>
  <w:footnote w:id="15">
    <w:p w14:paraId="20557A8F" w14:textId="77777777" w:rsidR="00301AF8" w:rsidRPr="00F74B00" w:rsidRDefault="00000000">
      <w:pP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Decreto Supremo Nº 008-2022-MIDIS, Decreto Supremo que aprueba la Política Nacional de Desarrollo e Inclusión Social al 2030. Publicado en el Diario Oficial el Peruano: 2022, 31 de diciembre. </w:t>
      </w:r>
    </w:p>
  </w:footnote>
  <w:footnote w:id="16">
    <w:p w14:paraId="0A4B7E12"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Comité CEDAW. (2014, 24 de julio). </w:t>
      </w:r>
      <w:hyperlink r:id="rId10">
        <w:r w:rsidRPr="00F74B00">
          <w:rPr>
            <w:rFonts w:ascii="Times New Roman" w:eastAsia="Times New Roman" w:hAnsi="Times New Roman" w:cs="Times New Roman"/>
            <w:sz w:val="18"/>
            <w:szCs w:val="18"/>
            <w:u w:val="single"/>
          </w:rPr>
          <w:t>Observaciones finales sobre los informes periódicos séptimo y octavo combinados del Perú</w:t>
        </w:r>
      </w:hyperlink>
      <w:r w:rsidRPr="00F74B00">
        <w:rPr>
          <w:rFonts w:ascii="Times New Roman" w:eastAsia="Times New Roman" w:hAnsi="Times New Roman" w:cs="Times New Roman"/>
          <w:sz w:val="18"/>
          <w:szCs w:val="18"/>
        </w:rPr>
        <w:t>. CEDAW/C/PER/CO/7-8. Párr. 14.</w:t>
      </w:r>
    </w:p>
  </w:footnote>
  <w:footnote w:id="17">
    <w:p w14:paraId="0D301BE9" w14:textId="77777777" w:rsidR="00301AF8" w:rsidRPr="00F74B00" w:rsidRDefault="00000000">
      <w:pPr>
        <w:spacing w:after="0"/>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Iniciativas legislativas presentadas en el Poder Legislativo: </w:t>
      </w:r>
      <w:r w:rsidRPr="00F74B00">
        <w:rPr>
          <w:rFonts w:ascii="Times New Roman" w:eastAsia="Times New Roman" w:hAnsi="Times New Roman" w:cs="Times New Roman"/>
          <w:b/>
          <w:i/>
          <w:sz w:val="18"/>
          <w:szCs w:val="18"/>
        </w:rPr>
        <w:t>i)</w:t>
      </w:r>
      <w:r w:rsidRPr="00F74B00">
        <w:rPr>
          <w:rFonts w:ascii="Times New Roman" w:eastAsia="Times New Roman" w:hAnsi="Times New Roman" w:cs="Times New Roman"/>
          <w:sz w:val="18"/>
          <w:szCs w:val="18"/>
        </w:rPr>
        <w:t xml:space="preserve"> </w:t>
      </w:r>
      <w:hyperlink r:id="rId11" w:anchor="/expediente/2021/1229">
        <w:r w:rsidRPr="00F74B00">
          <w:rPr>
            <w:rFonts w:ascii="Times New Roman" w:eastAsia="Times New Roman" w:hAnsi="Times New Roman" w:cs="Times New Roman"/>
            <w:sz w:val="18"/>
            <w:szCs w:val="18"/>
            <w:u w:val="single"/>
          </w:rPr>
          <w:t>Dictamen del Proyecto de Ley Nº 01229,</w:t>
        </w:r>
      </w:hyperlink>
      <w:r w:rsidRPr="00F74B00">
        <w:rPr>
          <w:rFonts w:ascii="Times New Roman" w:eastAsia="Times New Roman" w:hAnsi="Times New Roman" w:cs="Times New Roman"/>
          <w:sz w:val="18"/>
          <w:szCs w:val="18"/>
        </w:rPr>
        <w:t xml:space="preserve"> Ley que modifica la denominación del Ministerio de la Mujer y Poblaciones Vulnerables a Ministerio de la Familia y Población Vulnerable; y, </w:t>
      </w:r>
      <w:r w:rsidRPr="00F74B00">
        <w:rPr>
          <w:rFonts w:ascii="Times New Roman" w:eastAsia="Times New Roman" w:hAnsi="Times New Roman" w:cs="Times New Roman"/>
          <w:b/>
          <w:i/>
          <w:sz w:val="18"/>
          <w:szCs w:val="18"/>
        </w:rPr>
        <w:t>ii)</w:t>
      </w:r>
      <w:r w:rsidRPr="00F74B00">
        <w:rPr>
          <w:rFonts w:ascii="Times New Roman" w:eastAsia="Times New Roman" w:hAnsi="Times New Roman" w:cs="Times New Roman"/>
          <w:sz w:val="18"/>
          <w:szCs w:val="18"/>
        </w:rPr>
        <w:t xml:space="preserve"> </w:t>
      </w:r>
      <w:hyperlink r:id="rId12" w:anchor="/expediente/2021/8434">
        <w:r w:rsidRPr="00F74B00">
          <w:rPr>
            <w:rFonts w:ascii="Times New Roman" w:eastAsia="Times New Roman" w:hAnsi="Times New Roman" w:cs="Times New Roman"/>
            <w:sz w:val="18"/>
            <w:szCs w:val="18"/>
            <w:u w:val="single"/>
          </w:rPr>
          <w:t>Proyecto de Ley Nº 08434</w:t>
        </w:r>
      </w:hyperlink>
      <w:r w:rsidRPr="00F74B00">
        <w:rPr>
          <w:rFonts w:ascii="Times New Roman" w:eastAsia="Times New Roman" w:hAnsi="Times New Roman" w:cs="Times New Roman"/>
          <w:sz w:val="18"/>
          <w:szCs w:val="18"/>
        </w:rPr>
        <w:t>, Ley que determina el cambio de denominación del Ministerio de la Mujer y Poblaciones Vulnerables y del Ministerio de Cultura.</w:t>
      </w:r>
    </w:p>
  </w:footnote>
  <w:footnote w:id="18">
    <w:p w14:paraId="09AB62EF"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w:t>
      </w:r>
      <w:hyperlink r:id="rId13" w:anchor="/expediente/2021/7579">
        <w:r w:rsidRPr="00F74B00">
          <w:rPr>
            <w:rFonts w:ascii="Times New Roman" w:eastAsia="Times New Roman" w:hAnsi="Times New Roman" w:cs="Times New Roman"/>
            <w:sz w:val="18"/>
            <w:szCs w:val="18"/>
            <w:u w:val="single"/>
          </w:rPr>
          <w:t>Proyecto de Ley Nº 7579</w:t>
        </w:r>
      </w:hyperlink>
      <w:r w:rsidRPr="00F74B00">
        <w:rPr>
          <w:rFonts w:ascii="Times New Roman" w:eastAsia="Times New Roman" w:hAnsi="Times New Roman" w:cs="Times New Roman"/>
          <w:sz w:val="18"/>
          <w:szCs w:val="18"/>
        </w:rPr>
        <w:t>. Publicado por el Congreso de la República: 2024, 15 de abril.</w:t>
      </w:r>
    </w:p>
  </w:footnote>
  <w:footnote w:id="19">
    <w:p w14:paraId="0EFF2186"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w:t>
      </w:r>
      <w:hyperlink r:id="rId14" w:anchor="/expediente/2021/7427">
        <w:r w:rsidRPr="00F74B00">
          <w:rPr>
            <w:rFonts w:ascii="Times New Roman" w:eastAsia="Times New Roman" w:hAnsi="Times New Roman" w:cs="Times New Roman"/>
            <w:sz w:val="18"/>
            <w:szCs w:val="18"/>
            <w:u w:val="single"/>
          </w:rPr>
          <w:t>Proyecto de Ley 07427</w:t>
        </w:r>
      </w:hyperlink>
      <w:r w:rsidRPr="00F74B00">
        <w:rPr>
          <w:rFonts w:ascii="Times New Roman" w:eastAsia="Times New Roman" w:hAnsi="Times New Roman" w:cs="Times New Roman"/>
          <w:sz w:val="18"/>
          <w:szCs w:val="18"/>
        </w:rPr>
        <w:t>. Publicado por el Congreso de la República: 2024, 2 de abril.</w:t>
      </w:r>
    </w:p>
  </w:footnote>
  <w:footnote w:id="20">
    <w:p w14:paraId="6CB5DC15"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w:t>
      </w:r>
      <w:hyperlink r:id="rId15" w:anchor="/expediente/2021/7146">
        <w:r w:rsidRPr="00F74B00">
          <w:rPr>
            <w:rFonts w:ascii="Times New Roman" w:eastAsia="Times New Roman" w:hAnsi="Times New Roman" w:cs="Times New Roman"/>
            <w:sz w:val="18"/>
            <w:szCs w:val="18"/>
            <w:u w:val="single"/>
          </w:rPr>
          <w:t>Proyecto de Ley Nº 7146</w:t>
        </w:r>
      </w:hyperlink>
      <w:r w:rsidRPr="00F74B00">
        <w:rPr>
          <w:rFonts w:ascii="Times New Roman" w:eastAsia="Times New Roman" w:hAnsi="Times New Roman" w:cs="Times New Roman"/>
          <w:sz w:val="18"/>
          <w:szCs w:val="18"/>
        </w:rPr>
        <w:t xml:space="preserve">. Publicado por el Congreso de la República: 2024, 28 de febrero. </w:t>
      </w:r>
    </w:p>
  </w:footnote>
  <w:footnote w:id="21">
    <w:p w14:paraId="17C8F9A2"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w:t>
      </w:r>
      <w:hyperlink r:id="rId16" w:anchor="/expediente/2021/3038">
        <w:r w:rsidRPr="00F74B00">
          <w:rPr>
            <w:rFonts w:ascii="Times New Roman" w:eastAsia="Times New Roman" w:hAnsi="Times New Roman" w:cs="Times New Roman"/>
            <w:sz w:val="18"/>
            <w:szCs w:val="18"/>
            <w:u w:val="single"/>
          </w:rPr>
          <w:t>Proyecto de Ley N° 3038</w:t>
        </w:r>
      </w:hyperlink>
      <w:r w:rsidRPr="00F74B00">
        <w:rPr>
          <w:rFonts w:ascii="Times New Roman" w:eastAsia="Times New Roman" w:hAnsi="Times New Roman" w:cs="Times New Roman"/>
          <w:sz w:val="18"/>
          <w:szCs w:val="18"/>
        </w:rPr>
        <w:t xml:space="preserve">. Publicado por el Congreso de la República: 2022, 12 de septiembre. </w:t>
      </w:r>
    </w:p>
  </w:footnote>
  <w:footnote w:id="22">
    <w:p w14:paraId="141D73D3"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w:t>
      </w:r>
      <w:hyperlink r:id="rId17" w:anchor="/expediente/2021/7349">
        <w:r w:rsidRPr="00F74B00">
          <w:rPr>
            <w:rFonts w:ascii="Times New Roman" w:eastAsia="Times New Roman" w:hAnsi="Times New Roman" w:cs="Times New Roman"/>
            <w:sz w:val="18"/>
            <w:szCs w:val="18"/>
            <w:u w:val="single"/>
          </w:rPr>
          <w:t>Proyecto de Ley Nº 7349</w:t>
        </w:r>
      </w:hyperlink>
      <w:r w:rsidRPr="00F74B00">
        <w:rPr>
          <w:rFonts w:ascii="Times New Roman" w:eastAsia="Times New Roman" w:hAnsi="Times New Roman" w:cs="Times New Roman"/>
          <w:sz w:val="18"/>
          <w:szCs w:val="18"/>
        </w:rPr>
        <w:t xml:space="preserve">. Publicado por el Congreso de la República: 2024, 19 de marzo. </w:t>
      </w:r>
    </w:p>
  </w:footnote>
  <w:footnote w:id="23">
    <w:p w14:paraId="48F1336D"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w:t>
      </w:r>
      <w:hyperlink r:id="rId18">
        <w:r w:rsidRPr="00F74B00">
          <w:rPr>
            <w:rFonts w:ascii="Times New Roman" w:eastAsia="Times New Roman" w:hAnsi="Times New Roman" w:cs="Times New Roman"/>
            <w:sz w:val="18"/>
            <w:szCs w:val="18"/>
            <w:u w:val="single"/>
          </w:rPr>
          <w:t>Ley Nº 32000</w:t>
        </w:r>
      </w:hyperlink>
      <w:r w:rsidRPr="00F74B00">
        <w:rPr>
          <w:rFonts w:ascii="Times New Roman" w:eastAsia="Times New Roman" w:hAnsi="Times New Roman" w:cs="Times New Roman"/>
          <w:sz w:val="18"/>
          <w:szCs w:val="18"/>
        </w:rPr>
        <w:t xml:space="preserve">. Publicado en el Diario Oficial El Peruano: 2024, 12 de abril. </w:t>
      </w:r>
    </w:p>
  </w:footnote>
  <w:footnote w:id="24">
    <w:p w14:paraId="684ECB44"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Ley Nº 31935.  Publicado en el Diario Oficial El Peruano: 2023, 16 de noviembre. </w:t>
      </w:r>
    </w:p>
  </w:footnote>
  <w:footnote w:id="25">
    <w:p w14:paraId="31D8D468"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w:t>
      </w:r>
      <w:hyperlink r:id="rId19">
        <w:r w:rsidRPr="00F74B00">
          <w:rPr>
            <w:rFonts w:ascii="Times New Roman" w:eastAsia="Times New Roman" w:hAnsi="Times New Roman" w:cs="Times New Roman"/>
            <w:sz w:val="18"/>
            <w:szCs w:val="18"/>
            <w:u w:val="single"/>
          </w:rPr>
          <w:t>Ley Nº 32003</w:t>
        </w:r>
      </w:hyperlink>
      <w:r w:rsidRPr="00F74B00">
        <w:rPr>
          <w:rFonts w:ascii="Times New Roman" w:eastAsia="Times New Roman" w:hAnsi="Times New Roman" w:cs="Times New Roman"/>
          <w:sz w:val="18"/>
          <w:szCs w:val="18"/>
        </w:rPr>
        <w:t xml:space="preserve">.  Publicado en el Diario Oficial El Peruano: 2024, 19 de abril. </w:t>
      </w:r>
    </w:p>
  </w:footnote>
  <w:footnote w:id="26">
    <w:p w14:paraId="6659786A"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w:t>
      </w:r>
      <w:hyperlink r:id="rId20">
        <w:r w:rsidRPr="00F74B00">
          <w:rPr>
            <w:rFonts w:ascii="Times New Roman" w:eastAsia="Times New Roman" w:hAnsi="Times New Roman" w:cs="Times New Roman"/>
            <w:sz w:val="18"/>
            <w:szCs w:val="18"/>
            <w:u w:val="single"/>
          </w:rPr>
          <w:t>Decreto Supremo Nº 010-2023-MIMP</w:t>
        </w:r>
      </w:hyperlink>
      <w:r w:rsidRPr="00F74B00">
        <w:rPr>
          <w:rFonts w:ascii="Times New Roman" w:eastAsia="Times New Roman" w:hAnsi="Times New Roman" w:cs="Times New Roman"/>
          <w:sz w:val="18"/>
          <w:szCs w:val="18"/>
        </w:rPr>
        <w:t xml:space="preserve">. Publicado en el Diario Oficial El Peruano: 2023, 4 de octubre. </w:t>
      </w:r>
    </w:p>
  </w:footnote>
  <w:footnote w:id="27">
    <w:p w14:paraId="116D6429"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Ayarza, K. (2023, 17 de octubre). </w:t>
      </w:r>
      <w:hyperlink r:id="rId21">
        <w:r w:rsidRPr="00F74B00">
          <w:rPr>
            <w:rFonts w:ascii="Times New Roman" w:eastAsia="Times New Roman" w:hAnsi="Times New Roman" w:cs="Times New Roman"/>
            <w:sz w:val="18"/>
            <w:szCs w:val="18"/>
            <w:u w:val="single"/>
          </w:rPr>
          <w:t>Alertan de que cambios en el MIMP debilitan enfoque de género</w:t>
        </w:r>
      </w:hyperlink>
      <w:r w:rsidRPr="00F74B00">
        <w:rPr>
          <w:rFonts w:ascii="Times New Roman" w:eastAsia="Times New Roman" w:hAnsi="Times New Roman" w:cs="Times New Roman"/>
          <w:sz w:val="18"/>
          <w:szCs w:val="18"/>
        </w:rPr>
        <w:t xml:space="preserve">. La República. </w:t>
      </w:r>
    </w:p>
  </w:footnote>
  <w:footnote w:id="28">
    <w:p w14:paraId="2CA830B8"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MIMP. (s.f.). </w:t>
      </w:r>
      <w:hyperlink r:id="rId22">
        <w:r w:rsidRPr="00F74B00">
          <w:rPr>
            <w:rFonts w:ascii="Times New Roman" w:eastAsia="Times New Roman" w:hAnsi="Times New Roman" w:cs="Times New Roman"/>
            <w:sz w:val="18"/>
            <w:szCs w:val="18"/>
            <w:u w:val="single"/>
          </w:rPr>
          <w:t>Reglamento de Organización y Funciones del Ministerio de la Mujer y Poblaciones Vulnerables</w:t>
        </w:r>
      </w:hyperlink>
      <w:r w:rsidRPr="00F74B00">
        <w:rPr>
          <w:rFonts w:ascii="Times New Roman" w:eastAsia="Times New Roman" w:hAnsi="Times New Roman" w:cs="Times New Roman"/>
          <w:sz w:val="18"/>
          <w:szCs w:val="18"/>
        </w:rPr>
        <w:t xml:space="preserve"> – MIMP. Art. 78. </w:t>
      </w:r>
    </w:p>
  </w:footnote>
  <w:footnote w:id="29">
    <w:p w14:paraId="4B61C2AF"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MIMP. (2023, 26 de octubre). </w:t>
      </w:r>
      <w:hyperlink r:id="rId23">
        <w:r w:rsidRPr="00F74B00">
          <w:rPr>
            <w:rFonts w:ascii="Times New Roman" w:eastAsia="Times New Roman" w:hAnsi="Times New Roman" w:cs="Times New Roman"/>
            <w:sz w:val="18"/>
            <w:szCs w:val="18"/>
            <w:u w:val="single"/>
          </w:rPr>
          <w:t>Resolución Ministerial N° 362-2023-MIMP</w:t>
        </w:r>
      </w:hyperlink>
      <w:r w:rsidRPr="00F74B00">
        <w:rPr>
          <w:rFonts w:ascii="Times New Roman" w:eastAsia="Times New Roman" w:hAnsi="Times New Roman" w:cs="Times New Roman"/>
          <w:sz w:val="18"/>
          <w:szCs w:val="18"/>
        </w:rPr>
        <w:t>, Aprobación del Texto Integrado del Reglamento de Organización y Funciones.</w:t>
      </w:r>
    </w:p>
  </w:footnote>
  <w:footnote w:id="30">
    <w:p w14:paraId="00768420" w14:textId="77777777" w:rsidR="00301AF8" w:rsidRPr="00F74B00" w:rsidRDefault="00000000">
      <w:pPr>
        <w:spacing w:after="0" w:line="240" w:lineRule="auto"/>
        <w:rPr>
          <w:sz w:val="20"/>
          <w:szCs w:val="20"/>
        </w:rPr>
      </w:pPr>
      <w:r w:rsidRPr="00F74B00">
        <w:rPr>
          <w:vertAlign w:val="superscript"/>
        </w:rPr>
        <w:footnoteRef/>
      </w:r>
      <w:r w:rsidRPr="00F74B00">
        <w:rPr>
          <w:sz w:val="20"/>
          <w:szCs w:val="20"/>
        </w:rPr>
        <w:t xml:space="preserve"> </w:t>
      </w:r>
      <w:r w:rsidRPr="00F74B00">
        <w:rPr>
          <w:rFonts w:ascii="Times New Roman" w:eastAsia="Times New Roman" w:hAnsi="Times New Roman" w:cs="Times New Roman"/>
          <w:sz w:val="18"/>
          <w:szCs w:val="18"/>
        </w:rPr>
        <w:t>Los CEM durante el 2022 registraron la atención de 133 436 casos de violencia hacia mujeres, 41,6% por violencia psicológica, 38,6% por violencia física y 19,4% por violencia sexual. Durante el 2023, los casos de atención a mujeres ascendieron a 142 182, siendo 41% por violencia psicológica, 38,3% por violencia física y 20,4% por violencia sexual. Hasta julio de 2024, el CEM reporta la atención de 79 995 casos de violencia hacia mujeres, el 38,3% son por violencia física, el 40,8% por violencia psicológica y el 20,7% por violencia sexual. MIMP. (2024).</w:t>
      </w:r>
      <w:hyperlink r:id="rId24">
        <w:r w:rsidRPr="00F74B00">
          <w:rPr>
            <w:rFonts w:ascii="Times New Roman" w:eastAsia="Times New Roman" w:hAnsi="Times New Roman" w:cs="Times New Roman"/>
            <w:sz w:val="18"/>
            <w:szCs w:val="18"/>
          </w:rPr>
          <w:t xml:space="preserve"> </w:t>
        </w:r>
      </w:hyperlink>
      <w:hyperlink r:id="rId25">
        <w:r w:rsidRPr="00F74B00">
          <w:rPr>
            <w:rFonts w:ascii="Times New Roman" w:eastAsia="Times New Roman" w:hAnsi="Times New Roman" w:cs="Times New Roman"/>
            <w:sz w:val="18"/>
            <w:szCs w:val="18"/>
            <w:u w:val="single"/>
          </w:rPr>
          <w:t>Datos del Portal Estadístico AURORA.</w:t>
        </w:r>
      </w:hyperlink>
    </w:p>
  </w:footnote>
  <w:footnote w:id="31">
    <w:p w14:paraId="5DB77D37" w14:textId="77777777" w:rsidR="00301AF8" w:rsidRPr="00F74B00" w:rsidRDefault="00000000">
      <w:pP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MIMP. (2023). </w:t>
      </w:r>
      <w:hyperlink r:id="rId26">
        <w:r w:rsidRPr="00F74B00">
          <w:rPr>
            <w:rFonts w:ascii="Times New Roman" w:eastAsia="Times New Roman" w:hAnsi="Times New Roman" w:cs="Times New Roman"/>
            <w:sz w:val="18"/>
            <w:szCs w:val="18"/>
            <w:u w:val="single"/>
          </w:rPr>
          <w:t xml:space="preserve">Formas de la Violencia </w:t>
        </w:r>
      </w:hyperlink>
      <w:r w:rsidRPr="00F74B00">
        <w:rPr>
          <w:rFonts w:ascii="Times New Roman" w:eastAsia="Times New Roman" w:hAnsi="Times New Roman" w:cs="Times New Roman"/>
          <w:sz w:val="18"/>
          <w:szCs w:val="18"/>
        </w:rPr>
        <w:t xml:space="preserve">(Enero – Diciembre) 2023. Portal Estadístico. Programa Nacional Aurora. </w:t>
      </w:r>
    </w:p>
  </w:footnote>
  <w:footnote w:id="32">
    <w:p w14:paraId="634B8CA8" w14:textId="77777777" w:rsidR="00301AF8" w:rsidRPr="00F74B00" w:rsidRDefault="00000000">
      <w:pP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Wayka. (2024). </w:t>
      </w:r>
      <w:hyperlink r:id="rId27">
        <w:r w:rsidRPr="00F74B00">
          <w:rPr>
            <w:rFonts w:ascii="Times New Roman" w:eastAsia="Times New Roman" w:hAnsi="Times New Roman" w:cs="Times New Roman"/>
            <w:sz w:val="18"/>
            <w:szCs w:val="18"/>
            <w:u w:val="single"/>
          </w:rPr>
          <w:t>Niñas y niños Awajún: las víctimas de la indiferencia Estatal y la ausencia de recursos</w:t>
        </w:r>
      </w:hyperlink>
      <w:r w:rsidRPr="00F74B00">
        <w:rPr>
          <w:rFonts w:ascii="Times New Roman" w:eastAsia="Times New Roman" w:hAnsi="Times New Roman" w:cs="Times New Roman"/>
          <w:sz w:val="18"/>
          <w:szCs w:val="18"/>
        </w:rPr>
        <w:t xml:space="preserve">. </w:t>
      </w:r>
    </w:p>
  </w:footnote>
  <w:footnote w:id="33">
    <w:p w14:paraId="646000FD" w14:textId="77777777" w:rsidR="00301AF8" w:rsidRPr="00F74B00" w:rsidRDefault="00000000">
      <w:pP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Buenaluque, A. (2022). </w:t>
      </w:r>
      <w:hyperlink r:id="rId28">
        <w:r w:rsidRPr="00F74B00">
          <w:rPr>
            <w:rFonts w:ascii="Times New Roman" w:eastAsia="Times New Roman" w:hAnsi="Times New Roman" w:cs="Times New Roman"/>
            <w:sz w:val="18"/>
            <w:szCs w:val="18"/>
            <w:u w:val="single"/>
          </w:rPr>
          <w:t>Condorcanqui: Fuego de impunidad. Epicentro</w:t>
        </w:r>
      </w:hyperlink>
      <w:r w:rsidRPr="00F74B00">
        <w:rPr>
          <w:rFonts w:ascii="Times New Roman" w:eastAsia="Times New Roman" w:hAnsi="Times New Roman" w:cs="Times New Roman"/>
          <w:sz w:val="18"/>
          <w:szCs w:val="18"/>
        </w:rPr>
        <w:t xml:space="preserve">. </w:t>
      </w:r>
    </w:p>
  </w:footnote>
  <w:footnote w:id="34">
    <w:p w14:paraId="5212E2B2"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CIDH. (2023, 23 de abril). </w:t>
      </w:r>
      <w:hyperlink r:id="rId29">
        <w:r w:rsidRPr="00F74B00">
          <w:rPr>
            <w:rFonts w:ascii="Times New Roman" w:eastAsia="Times New Roman" w:hAnsi="Times New Roman" w:cs="Times New Roman"/>
            <w:sz w:val="18"/>
            <w:szCs w:val="18"/>
            <w:u w:val="single"/>
          </w:rPr>
          <w:t>Situación de Derechos Humanos en Perú en el contexto de las protestas sociales. </w:t>
        </w:r>
      </w:hyperlink>
    </w:p>
  </w:footnote>
  <w:footnote w:id="35">
    <w:p w14:paraId="398F9903" w14:textId="77777777" w:rsidR="00301AF8" w:rsidRPr="00F74B00" w:rsidRDefault="00000000">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F74B00">
        <w:rPr>
          <w:vertAlign w:val="superscript"/>
        </w:rPr>
        <w:footnoteRef/>
      </w:r>
      <w:r w:rsidRPr="00F74B00">
        <w:rPr>
          <w:rFonts w:ascii="Times New Roman" w:eastAsia="Times New Roman" w:hAnsi="Times New Roman" w:cs="Times New Roman"/>
          <w:sz w:val="18"/>
          <w:szCs w:val="18"/>
        </w:rPr>
        <w:t xml:space="preserve"> MESECVI-OEA CEVI. (2024, 10 de julio). </w:t>
      </w:r>
      <w:hyperlink r:id="rId30">
        <w:r w:rsidRPr="00F74B00">
          <w:rPr>
            <w:rFonts w:ascii="Times New Roman" w:eastAsia="Times New Roman" w:hAnsi="Times New Roman" w:cs="Times New Roman"/>
            <w:sz w:val="18"/>
            <w:szCs w:val="18"/>
            <w:u w:val="single"/>
          </w:rPr>
          <w:t>Hilo de X. Visita a Perú</w:t>
        </w:r>
      </w:hyperlink>
      <w:r w:rsidRPr="00F74B00">
        <w:rPr>
          <w:rFonts w:ascii="Times New Roman" w:eastAsia="Times New Roman" w:hAnsi="Times New Roman" w:cs="Times New Roman"/>
          <w:sz w:val="18"/>
          <w:szCs w:val="18"/>
        </w:rPr>
        <w:t xml:space="preserve">. Recuperado: 2024, 21 de agosto.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0D4773" w14:textId="77777777" w:rsidR="00301AF8" w:rsidRDefault="00000000">
    <w:pPr>
      <w:spacing w:after="0" w:line="276" w:lineRule="auto"/>
      <w:jc w:val="both"/>
    </w:pPr>
    <w:r>
      <w:rPr>
        <w:noProof/>
      </w:rPr>
      <w:drawing>
        <wp:anchor distT="114300" distB="114300" distL="114300" distR="114300" simplePos="0" relativeHeight="251658240" behindDoc="0" locked="0" layoutInCell="1" hidden="0" allowOverlap="1" wp14:anchorId="200A310C" wp14:editId="420850F5">
          <wp:simplePos x="0" y="0"/>
          <wp:positionH relativeFrom="column">
            <wp:posOffset>3629025</wp:posOffset>
          </wp:positionH>
          <wp:positionV relativeFrom="paragraph">
            <wp:posOffset>1</wp:posOffset>
          </wp:positionV>
          <wp:extent cx="1059766" cy="609600"/>
          <wp:effectExtent l="0" t="0" r="0" b="0"/>
          <wp:wrapNone/>
          <wp:docPr id="6" name="image5.gif"/>
          <wp:cNvGraphicFramePr/>
          <a:graphic xmlns:a="http://schemas.openxmlformats.org/drawingml/2006/main">
            <a:graphicData uri="http://schemas.openxmlformats.org/drawingml/2006/picture">
              <pic:pic xmlns:pic="http://schemas.openxmlformats.org/drawingml/2006/picture">
                <pic:nvPicPr>
                  <pic:cNvPr id="0" name="image5.gif"/>
                  <pic:cNvPicPr preferRelativeResize="0"/>
                </pic:nvPicPr>
                <pic:blipFill>
                  <a:blip r:embed="rId1"/>
                  <a:srcRect/>
                  <a:stretch>
                    <a:fillRect/>
                  </a:stretch>
                </pic:blipFill>
                <pic:spPr>
                  <a:xfrm>
                    <a:off x="0" y="0"/>
                    <a:ext cx="1059766" cy="609600"/>
                  </a:xfrm>
                  <a:prstGeom prst="rect">
                    <a:avLst/>
                  </a:prstGeom>
                  <a:ln/>
                </pic:spPr>
              </pic:pic>
            </a:graphicData>
          </a:graphic>
        </wp:anchor>
      </w:drawing>
    </w:r>
    <w:r>
      <w:rPr>
        <w:noProof/>
      </w:rPr>
      <w:drawing>
        <wp:anchor distT="114300" distB="114300" distL="114300" distR="114300" simplePos="0" relativeHeight="251659264" behindDoc="1" locked="0" layoutInCell="1" hidden="0" allowOverlap="1" wp14:anchorId="5416AF4E" wp14:editId="0550172F">
          <wp:simplePos x="0" y="0"/>
          <wp:positionH relativeFrom="column">
            <wp:posOffset>2033588</wp:posOffset>
          </wp:positionH>
          <wp:positionV relativeFrom="paragraph">
            <wp:posOffset>95251</wp:posOffset>
          </wp:positionV>
          <wp:extent cx="1406447" cy="421038"/>
          <wp:effectExtent l="0" t="0" r="0" b="0"/>
          <wp:wrapNone/>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1406447" cy="421038"/>
                  </a:xfrm>
                  <a:prstGeom prst="rect">
                    <a:avLst/>
                  </a:prstGeom>
                  <a:ln/>
                </pic:spPr>
              </pic:pic>
            </a:graphicData>
          </a:graphic>
        </wp:anchor>
      </w:drawing>
    </w:r>
    <w:r>
      <w:rPr>
        <w:noProof/>
      </w:rPr>
      <w:drawing>
        <wp:anchor distT="19050" distB="19050" distL="19050" distR="19050" simplePos="0" relativeHeight="251660288" behindDoc="1" locked="0" layoutInCell="1" hidden="0" allowOverlap="1" wp14:anchorId="6C96235D" wp14:editId="56D796F4">
          <wp:simplePos x="0" y="0"/>
          <wp:positionH relativeFrom="column">
            <wp:posOffset>-600074</wp:posOffset>
          </wp:positionH>
          <wp:positionV relativeFrom="paragraph">
            <wp:posOffset>38100</wp:posOffset>
          </wp:positionV>
          <wp:extent cx="1620446" cy="606742"/>
          <wp:effectExtent l="0" t="0" r="0" b="0"/>
          <wp:wrapNone/>
          <wp:docPr id="4" name="image3.jpg"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jpg" descr="Logotipo, nombre de la empresa&#10;&#10;Descripción generada automáticamente"/>
                  <pic:cNvPicPr preferRelativeResize="0"/>
                </pic:nvPicPr>
                <pic:blipFill>
                  <a:blip r:embed="rId3"/>
                  <a:srcRect/>
                  <a:stretch>
                    <a:fillRect/>
                  </a:stretch>
                </pic:blipFill>
                <pic:spPr>
                  <a:xfrm>
                    <a:off x="0" y="0"/>
                    <a:ext cx="1620446" cy="606742"/>
                  </a:xfrm>
                  <a:prstGeom prst="rect">
                    <a:avLst/>
                  </a:prstGeom>
                  <a:ln/>
                </pic:spPr>
              </pic:pic>
            </a:graphicData>
          </a:graphic>
        </wp:anchor>
      </w:drawing>
    </w:r>
    <w:r>
      <w:rPr>
        <w:noProof/>
      </w:rPr>
      <w:drawing>
        <wp:anchor distT="114300" distB="114300" distL="114300" distR="114300" simplePos="0" relativeHeight="251661312" behindDoc="1" locked="0" layoutInCell="1" hidden="0" allowOverlap="1" wp14:anchorId="27C6E556" wp14:editId="1458CDCA">
          <wp:simplePos x="0" y="0"/>
          <wp:positionH relativeFrom="column">
            <wp:posOffset>1028700</wp:posOffset>
          </wp:positionH>
          <wp:positionV relativeFrom="paragraph">
            <wp:posOffset>1</wp:posOffset>
          </wp:positionV>
          <wp:extent cx="829733" cy="609600"/>
          <wp:effectExtent l="0" t="0" r="0" b="0"/>
          <wp:wrapNone/>
          <wp:docPr id="2"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4"/>
                  <a:srcRect/>
                  <a:stretch>
                    <a:fillRect/>
                  </a:stretch>
                </pic:blipFill>
                <pic:spPr>
                  <a:xfrm>
                    <a:off x="0" y="0"/>
                    <a:ext cx="829733" cy="609600"/>
                  </a:xfrm>
                  <a:prstGeom prst="rect">
                    <a:avLst/>
                  </a:prstGeom>
                  <a:ln/>
                </pic:spPr>
              </pic:pic>
            </a:graphicData>
          </a:graphic>
        </wp:anchor>
      </w:drawing>
    </w:r>
    <w:r>
      <w:rPr>
        <w:noProof/>
      </w:rPr>
      <w:drawing>
        <wp:anchor distT="114300" distB="114300" distL="114300" distR="114300" simplePos="0" relativeHeight="251662336" behindDoc="0" locked="0" layoutInCell="1" hidden="0" allowOverlap="1" wp14:anchorId="2DDB850B" wp14:editId="598BB57C">
          <wp:simplePos x="0" y="0"/>
          <wp:positionH relativeFrom="column">
            <wp:posOffset>4772025</wp:posOffset>
          </wp:positionH>
          <wp:positionV relativeFrom="paragraph">
            <wp:posOffset>1</wp:posOffset>
          </wp:positionV>
          <wp:extent cx="1378857" cy="609600"/>
          <wp:effectExtent l="0" t="0" r="0" b="0"/>
          <wp:wrapNone/>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
                  <a:srcRect/>
                  <a:stretch>
                    <a:fillRect/>
                  </a:stretch>
                </pic:blipFill>
                <pic:spPr>
                  <a:xfrm>
                    <a:off x="0" y="0"/>
                    <a:ext cx="1378857" cy="609600"/>
                  </a:xfrm>
                  <a:prstGeom prst="rect">
                    <a:avLst/>
                  </a:prstGeom>
                  <a:ln/>
                </pic:spPr>
              </pic:pic>
            </a:graphicData>
          </a:graphic>
        </wp:anchor>
      </w:drawing>
    </w:r>
  </w:p>
  <w:p w14:paraId="787AF54B" w14:textId="77777777" w:rsidR="00301AF8" w:rsidRDefault="00301AF8">
    <w:pPr>
      <w:spacing w:after="0" w:line="276" w:lineRule="auto"/>
      <w:jc w:val="both"/>
    </w:pPr>
  </w:p>
  <w:p w14:paraId="20213B61" w14:textId="77777777" w:rsidR="00301AF8" w:rsidRDefault="00301AF8">
    <w:pPr>
      <w:spacing w:after="0" w:line="276" w:lineRule="auto"/>
      <w:jc w:val="both"/>
    </w:pPr>
  </w:p>
  <w:p w14:paraId="35EFB8E7" w14:textId="77777777" w:rsidR="00301AF8" w:rsidRDefault="00301AF8">
    <w:pPr>
      <w:spacing w:after="0" w:line="276" w:lineRule="auto"/>
      <w:jc w:val="both"/>
    </w:pPr>
  </w:p>
  <w:p w14:paraId="48954664" w14:textId="77777777" w:rsidR="00301AF8" w:rsidRDefault="00301AF8">
    <w:pPr>
      <w:spacing w:after="0" w:line="276" w:lineRule="aut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203674"/>
    <w:multiLevelType w:val="multilevel"/>
    <w:tmpl w:val="768651F0"/>
    <w:lvl w:ilvl="0">
      <w:start w:val="1"/>
      <w:numFmt w:val="upperRoman"/>
      <w:lvlText w:val="%1."/>
      <w:lvlJc w:val="left"/>
      <w:pPr>
        <w:ind w:left="1080" w:hanging="72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4E206C19"/>
    <w:multiLevelType w:val="multilevel"/>
    <w:tmpl w:val="B3484036"/>
    <w:lvl w:ilvl="0">
      <w:start w:val="2"/>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93746403">
    <w:abstractNumId w:val="0"/>
  </w:num>
  <w:num w:numId="2" w16cid:durableId="14355185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F8"/>
    <w:rsid w:val="00060B6D"/>
    <w:rsid w:val="00301AF8"/>
    <w:rsid w:val="004A4CE0"/>
    <w:rsid w:val="005B62C5"/>
    <w:rsid w:val="00700F26"/>
    <w:rsid w:val="007B2D97"/>
    <w:rsid w:val="007C68E2"/>
    <w:rsid w:val="00833A2C"/>
    <w:rsid w:val="00887E47"/>
    <w:rsid w:val="008A0A77"/>
    <w:rsid w:val="00964135"/>
    <w:rsid w:val="00AB37D9"/>
    <w:rsid w:val="00B365C4"/>
    <w:rsid w:val="00C35F0C"/>
    <w:rsid w:val="00E25AC1"/>
    <w:rsid w:val="00EC7958"/>
    <w:rsid w:val="00EE6F5C"/>
    <w:rsid w:val="00F74B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3D1D8"/>
  <w15:docId w15:val="{F5EAF5E0-D596-4E02-9409-768EB8D72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4"/>
        <w:szCs w:val="24"/>
        <w:lang w:val="es-PE" w:eastAsia="es-PE"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3F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3F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3F2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3F2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3F2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3F2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3F2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3F2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3F2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BB3F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BB3F2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3F2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3F2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3F2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3F2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3F2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3F2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3F2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3F2C"/>
    <w:rPr>
      <w:rFonts w:eastAsiaTheme="majorEastAsia" w:cstheme="majorBidi"/>
      <w:color w:val="272727" w:themeColor="text1" w:themeTint="D8"/>
    </w:rPr>
  </w:style>
  <w:style w:type="character" w:customStyle="1" w:styleId="TtuloCar">
    <w:name w:val="Título Car"/>
    <w:basedOn w:val="Fuentedeprrafopredeter"/>
    <w:link w:val="Ttulo"/>
    <w:uiPriority w:val="10"/>
    <w:rsid w:val="00BB3F2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Pr>
      <w:color w:val="595959"/>
      <w:sz w:val="28"/>
      <w:szCs w:val="28"/>
    </w:rPr>
  </w:style>
  <w:style w:type="character" w:customStyle="1" w:styleId="SubttuloCar">
    <w:name w:val="Subtítulo Car"/>
    <w:basedOn w:val="Fuentedeprrafopredeter"/>
    <w:link w:val="Subttulo"/>
    <w:uiPriority w:val="11"/>
    <w:rsid w:val="00BB3F2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3F2C"/>
    <w:pPr>
      <w:spacing w:before="160"/>
      <w:jc w:val="center"/>
    </w:pPr>
    <w:rPr>
      <w:i/>
      <w:iCs/>
      <w:color w:val="404040" w:themeColor="text1" w:themeTint="BF"/>
    </w:rPr>
  </w:style>
  <w:style w:type="character" w:customStyle="1" w:styleId="CitaCar">
    <w:name w:val="Cita Car"/>
    <w:basedOn w:val="Fuentedeprrafopredeter"/>
    <w:link w:val="Cita"/>
    <w:uiPriority w:val="29"/>
    <w:rsid w:val="00BB3F2C"/>
    <w:rPr>
      <w:i/>
      <w:iCs/>
      <w:color w:val="404040" w:themeColor="text1" w:themeTint="BF"/>
    </w:rPr>
  </w:style>
  <w:style w:type="paragraph" w:styleId="Prrafodelista">
    <w:name w:val="List Paragraph"/>
    <w:basedOn w:val="Normal"/>
    <w:uiPriority w:val="34"/>
    <w:qFormat/>
    <w:rsid w:val="00BB3F2C"/>
    <w:pPr>
      <w:ind w:left="720"/>
      <w:contextualSpacing/>
    </w:pPr>
  </w:style>
  <w:style w:type="character" w:styleId="nfasisintenso">
    <w:name w:val="Intense Emphasis"/>
    <w:basedOn w:val="Fuentedeprrafopredeter"/>
    <w:uiPriority w:val="21"/>
    <w:qFormat/>
    <w:rsid w:val="00BB3F2C"/>
    <w:rPr>
      <w:i/>
      <w:iCs/>
      <w:color w:val="0F4761" w:themeColor="accent1" w:themeShade="BF"/>
    </w:rPr>
  </w:style>
  <w:style w:type="paragraph" w:styleId="Citadestacada">
    <w:name w:val="Intense Quote"/>
    <w:basedOn w:val="Normal"/>
    <w:next w:val="Normal"/>
    <w:link w:val="CitadestacadaCar"/>
    <w:uiPriority w:val="30"/>
    <w:qFormat/>
    <w:rsid w:val="00BB3F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3F2C"/>
    <w:rPr>
      <w:i/>
      <w:iCs/>
      <w:color w:val="0F4761" w:themeColor="accent1" w:themeShade="BF"/>
    </w:rPr>
  </w:style>
  <w:style w:type="character" w:styleId="Referenciaintensa">
    <w:name w:val="Intense Reference"/>
    <w:basedOn w:val="Fuentedeprrafopredeter"/>
    <w:uiPriority w:val="32"/>
    <w:qFormat/>
    <w:rsid w:val="00BB3F2C"/>
    <w:rPr>
      <w:b/>
      <w:bCs/>
      <w:smallCaps/>
      <w:color w:val="0F4761" w:themeColor="accent1" w:themeShade="BF"/>
      <w:spacing w:val="5"/>
    </w:rPr>
  </w:style>
  <w:style w:type="character" w:styleId="Hipervnculo">
    <w:name w:val="Hyperlink"/>
    <w:basedOn w:val="Fuentedeprrafopredeter"/>
    <w:uiPriority w:val="99"/>
    <w:unhideWhenUsed/>
    <w:rsid w:val="0035556F"/>
    <w:rPr>
      <w:color w:val="467886" w:themeColor="hyperlink"/>
      <w:u w:val="single"/>
    </w:rPr>
  </w:style>
  <w:style w:type="character" w:styleId="Mencinsinresolver">
    <w:name w:val="Unresolved Mention"/>
    <w:basedOn w:val="Fuentedeprrafopredeter"/>
    <w:uiPriority w:val="99"/>
    <w:semiHidden/>
    <w:unhideWhenUsed/>
    <w:rsid w:val="0035556F"/>
    <w:rPr>
      <w:color w:val="605E5C"/>
      <w:shd w:val="clear" w:color="auto" w:fill="E1DFDD"/>
    </w:rPr>
  </w:style>
  <w:style w:type="character" w:styleId="Refdecomentario">
    <w:name w:val="annotation reference"/>
    <w:basedOn w:val="Fuentedeprrafopredeter"/>
    <w:uiPriority w:val="99"/>
    <w:semiHidden/>
    <w:unhideWhenUsed/>
    <w:rsid w:val="00182F1A"/>
    <w:rPr>
      <w:sz w:val="16"/>
      <w:szCs w:val="16"/>
    </w:rPr>
  </w:style>
  <w:style w:type="paragraph" w:styleId="Textocomentario">
    <w:name w:val="annotation text"/>
    <w:basedOn w:val="Normal"/>
    <w:link w:val="TextocomentarioCar"/>
    <w:uiPriority w:val="99"/>
    <w:unhideWhenUsed/>
    <w:rsid w:val="00182F1A"/>
    <w:pPr>
      <w:spacing w:line="240" w:lineRule="auto"/>
    </w:pPr>
    <w:rPr>
      <w:sz w:val="20"/>
      <w:szCs w:val="20"/>
    </w:rPr>
  </w:style>
  <w:style w:type="character" w:customStyle="1" w:styleId="TextocomentarioCar">
    <w:name w:val="Texto comentario Car"/>
    <w:basedOn w:val="Fuentedeprrafopredeter"/>
    <w:link w:val="Textocomentario"/>
    <w:uiPriority w:val="99"/>
    <w:rsid w:val="00182F1A"/>
    <w:rPr>
      <w:sz w:val="20"/>
      <w:szCs w:val="20"/>
    </w:rPr>
  </w:style>
  <w:style w:type="paragraph" w:styleId="Asuntodelcomentario">
    <w:name w:val="annotation subject"/>
    <w:basedOn w:val="Textocomentario"/>
    <w:next w:val="Textocomentario"/>
    <w:link w:val="AsuntodelcomentarioCar"/>
    <w:uiPriority w:val="99"/>
    <w:semiHidden/>
    <w:unhideWhenUsed/>
    <w:rsid w:val="00182F1A"/>
    <w:rPr>
      <w:b/>
      <w:bCs/>
    </w:rPr>
  </w:style>
  <w:style w:type="character" w:customStyle="1" w:styleId="AsuntodelcomentarioCar">
    <w:name w:val="Asunto del comentario Car"/>
    <w:basedOn w:val="TextocomentarioCar"/>
    <w:link w:val="Asuntodelcomentario"/>
    <w:uiPriority w:val="99"/>
    <w:semiHidden/>
    <w:rsid w:val="00182F1A"/>
    <w:rPr>
      <w:b/>
      <w:bCs/>
      <w:sz w:val="20"/>
      <w:szCs w:val="20"/>
    </w:rPr>
  </w:style>
  <w:style w:type="paragraph" w:styleId="Textonotapie">
    <w:name w:val="footnote text"/>
    <w:basedOn w:val="Normal"/>
    <w:link w:val="TextonotapieCar"/>
    <w:uiPriority w:val="99"/>
    <w:semiHidden/>
    <w:unhideWhenUsed/>
    <w:rsid w:val="003B013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B013A"/>
    <w:rPr>
      <w:sz w:val="20"/>
      <w:szCs w:val="20"/>
    </w:rPr>
  </w:style>
  <w:style w:type="character" w:styleId="Refdenotaalpie">
    <w:name w:val="footnote reference"/>
    <w:aliases w:val="4_G,Footnotes refss,Footnote Refernece,Appel note de bas de p.,Footnote Ref,16 Point,Superscript 6 Point,Ref,de nota al pie,Footnote number,ftref,BVI fnr,BVI fnr Car Car,BVI fnr Car,BVI fnr Car Car Car Car,Texto de nota al pie,f,f1,n"/>
    <w:basedOn w:val="Fuentedeprrafopredeter"/>
    <w:link w:val="BVIfnrCar1CarCarCarCar"/>
    <w:uiPriority w:val="99"/>
    <w:unhideWhenUsed/>
    <w:qFormat/>
    <w:rsid w:val="003B013A"/>
    <w:rPr>
      <w:vertAlign w:val="superscript"/>
    </w:rPr>
  </w:style>
  <w:style w:type="character" w:styleId="Hipervnculovisitado">
    <w:name w:val="FollowedHyperlink"/>
    <w:basedOn w:val="Fuentedeprrafopredeter"/>
    <w:uiPriority w:val="99"/>
    <w:semiHidden/>
    <w:unhideWhenUsed/>
    <w:rsid w:val="00137A83"/>
    <w:rPr>
      <w:color w:val="96607D" w:themeColor="followedHyperlink"/>
      <w:u w:val="single"/>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uiPriority w:val="99"/>
    <w:rsid w:val="00E6722E"/>
    <w:pPr>
      <w:spacing w:before="200" w:line="240" w:lineRule="exact"/>
    </w:pPr>
    <w:rPr>
      <w:vertAlign w:val="superscript"/>
    </w:rPr>
  </w:style>
  <w:style w:type="paragraph" w:styleId="Encabezado">
    <w:name w:val="header"/>
    <w:basedOn w:val="Normal"/>
    <w:link w:val="EncabezadoCar"/>
    <w:uiPriority w:val="99"/>
    <w:semiHidden/>
    <w:unhideWhenUsed/>
    <w:rsid w:val="0049126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491268"/>
  </w:style>
  <w:style w:type="paragraph" w:styleId="Piedepgina">
    <w:name w:val="footer"/>
    <w:basedOn w:val="Normal"/>
    <w:link w:val="PiedepginaCar"/>
    <w:uiPriority w:val="99"/>
    <w:semiHidden/>
    <w:unhideWhenUsed/>
    <w:rsid w:val="0049126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491268"/>
  </w:style>
  <w:style w:type="paragraph" w:styleId="NormalWeb">
    <w:name w:val="Normal (Web)"/>
    <w:basedOn w:val="Normal"/>
    <w:uiPriority w:val="99"/>
    <w:semiHidden/>
    <w:unhideWhenUsed/>
    <w:rsid w:val="00100C0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b2server.congreso.gob.pe/spley-porta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x.com/HuaitaMarcela/status/1823509912569139535/photo/1" TargetMode="External"/><Relationship Id="rId13" Type="http://schemas.openxmlformats.org/officeDocument/2006/relationships/hyperlink" Target="https://wb2server.congreso.gob.pe/spley-portal/" TargetMode="External"/><Relationship Id="rId18" Type="http://schemas.openxmlformats.org/officeDocument/2006/relationships/hyperlink" Target="https://busquedas.elperuano.pe/dispositivo/NL/2278679-2" TargetMode="External"/><Relationship Id="rId26" Type="http://schemas.openxmlformats.org/officeDocument/2006/relationships/hyperlink" Target="https://portalestadistico.aurora.gob.pe/formas-de-la-violencia-2023/" TargetMode="External"/><Relationship Id="rId3" Type="http://schemas.openxmlformats.org/officeDocument/2006/relationships/hyperlink" Target="https://www.gob.pe/institucion/mimp/informes-publicaciones/4781405-texto-integrado-del-reglamento-de-organizacion-y-funciones" TargetMode="External"/><Relationship Id="rId21" Type="http://schemas.openxmlformats.org/officeDocument/2006/relationships/hyperlink" Target="https://larepublica.pe/sociedad/2023/10/17/alertan-de-que-cambios-en-el-mimp-debilitan-enfoque-de-genero-gloria-montenegro-igualdad-congreso-del-peru-marcela-huaita-1664470" TargetMode="External"/><Relationship Id="rId7" Type="http://schemas.openxmlformats.org/officeDocument/2006/relationships/hyperlink" Target="https://comunicaciones.congreso.gob.pe/noticias/mensaje-al-congreso-tuvo-una-duracion-de/" TargetMode="External"/><Relationship Id="rId12" Type="http://schemas.openxmlformats.org/officeDocument/2006/relationships/hyperlink" Target="https://wb2server.congreso.gob.pe/spley-portal/" TargetMode="External"/><Relationship Id="rId17" Type="http://schemas.openxmlformats.org/officeDocument/2006/relationships/hyperlink" Target="https://wb2server.congreso.gob.pe/spley-portal/" TargetMode="External"/><Relationship Id="rId25" Type="http://schemas.openxmlformats.org/officeDocument/2006/relationships/hyperlink" Target="https://portalestadistico.aurora.gob.pe/tipos-de-poblacion-enero-diciembre-2024/" TargetMode="External"/><Relationship Id="rId2" Type="http://schemas.openxmlformats.org/officeDocument/2006/relationships/hyperlink" Target="https://tbinternet.ohchr.org/_layouts/15/treatybodyexternal/Download.aspx?symbolno=CEDAW%2FC%2FPER%2FCO%2F7-8&amp;Lang=es" TargetMode="External"/><Relationship Id="rId16" Type="http://schemas.openxmlformats.org/officeDocument/2006/relationships/hyperlink" Target="https://wb2server.congreso.gob.pe/spley-portal/" TargetMode="External"/><Relationship Id="rId20" Type="http://schemas.openxmlformats.org/officeDocument/2006/relationships/hyperlink" Target="https://cdn.www.gob.pe/uploads/document/file/5224966/Decreto-Supremo-010-2023-mimp.pdf?v=1696428366" TargetMode="External"/><Relationship Id="rId29" Type="http://schemas.openxmlformats.org/officeDocument/2006/relationships/hyperlink" Target="https://www.oas.org/es/cidh/informes/pdfs/2023/informe-situacionddhh-peru.pdf" TargetMode="External"/><Relationship Id="rId1" Type="http://schemas.openxmlformats.org/officeDocument/2006/relationships/hyperlink" Target="https://tbinternet.ohchr.org/_layouts/15/treatybodyexternal/Download.aspx?symbolno=A%2F50%2F38%28SUPP%29&amp;Lang=es" TargetMode="External"/><Relationship Id="rId6" Type="http://schemas.openxmlformats.org/officeDocument/2006/relationships/hyperlink" Target="https://spij.minjus.gob.pe/spij-ext-web/" TargetMode="External"/><Relationship Id="rId11" Type="http://schemas.openxmlformats.org/officeDocument/2006/relationships/hyperlink" Target="https://wb2server.congreso.gob.pe/spley-portal/" TargetMode="External"/><Relationship Id="rId24" Type="http://schemas.openxmlformats.org/officeDocument/2006/relationships/hyperlink" Target="https://portalestadistico.aurora.gob.pe/tipos-de-poblacion-enero-diciembre-2024/" TargetMode="External"/><Relationship Id="rId5" Type="http://schemas.openxmlformats.org/officeDocument/2006/relationships/hyperlink" Target="https://www.gob.pe/institucion/mimp/normas-legales/271118-008-2019-mimp" TargetMode="External"/><Relationship Id="rId15" Type="http://schemas.openxmlformats.org/officeDocument/2006/relationships/hyperlink" Target="https://wb2server.congreso.gob.pe/spley-portal/" TargetMode="External"/><Relationship Id="rId23" Type="http://schemas.openxmlformats.org/officeDocument/2006/relationships/hyperlink" Target="https://www.gob.pe/institucion/mimp/informes-publicaciones/4781405-texto-integrado-del-reglamento-de-organizacion-y-funciones" TargetMode="External"/><Relationship Id="rId28" Type="http://schemas.openxmlformats.org/officeDocument/2006/relationships/hyperlink" Target="https://epicentro.tv/condorcanqui-fuego-de-impunidad/https:/epicentro.tv/condorcanqui-fuego-de-impunidad/" TargetMode="External"/><Relationship Id="rId10" Type="http://schemas.openxmlformats.org/officeDocument/2006/relationships/hyperlink" Target="https://tbinternet.ohchr.org/_layouts/15/treatybodyexternal/Download.aspx?symbolno=CEDAW%2FC%2FPER%2FCO%2F7-8&amp;Lang=es" TargetMode="External"/><Relationship Id="rId19" Type="http://schemas.openxmlformats.org/officeDocument/2006/relationships/hyperlink" Target="https://wb2server.congreso.gob.pe/spley-portal-service/archivo/MTc3NDgy/pdf" TargetMode="External"/><Relationship Id="rId4" Type="http://schemas.openxmlformats.org/officeDocument/2006/relationships/hyperlink" Target="https://www.leyes.congreso.gob.pe/Documentos/DecretosLegislativos/00866.pdf" TargetMode="External"/><Relationship Id="rId9" Type="http://schemas.openxmlformats.org/officeDocument/2006/relationships/hyperlink" Target="https://www.gob.pe/institucion/pcm/noticias/994806-creacion-del-ministerio-de-infraestructura-y-fusion-de-4-sectores-hara-mas-eficiente-al-estado-aseguro-premier-adrianzen" TargetMode="External"/><Relationship Id="rId14" Type="http://schemas.openxmlformats.org/officeDocument/2006/relationships/hyperlink" Target="https://wb2server.congreso.gob.pe/spley-portal/" TargetMode="External"/><Relationship Id="rId22" Type="http://schemas.openxmlformats.org/officeDocument/2006/relationships/hyperlink" Target="https://www.mimp.gob.pe/files/transparencia/rof/rof-mimp.pdf" TargetMode="External"/><Relationship Id="rId27" Type="http://schemas.openxmlformats.org/officeDocument/2006/relationships/hyperlink" Target="https://wayka.pe/ninas-y-ninos-awajun-las-victimas-de-la-indiferencia-estatal-y-la-ausencia-de-recursos/" TargetMode="External"/><Relationship Id="rId30" Type="http://schemas.openxmlformats.org/officeDocument/2006/relationships/hyperlink" Target="https://x.com/MESECVI/status/1811075383929790599"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png"/><Relationship Id="rId1" Type="http://schemas.openxmlformats.org/officeDocument/2006/relationships/image" Target="media/image3.gif"/><Relationship Id="rId5" Type="http://schemas.openxmlformats.org/officeDocument/2006/relationships/image" Target="media/image7.png"/><Relationship Id="rId4" Type="http://schemas.openxmlformats.org/officeDocument/2006/relationships/image" Target="media/image6.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xba40+eL6/kNCvym7nD3iVPNtA==">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</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D9A5480-92E2-4B71-981C-253389E17739}"/>
</file>

<file path=customXml/itemProps3.xml><?xml version="1.0" encoding="utf-8"?>
<ds:datastoreItem xmlns:ds="http://schemas.openxmlformats.org/officeDocument/2006/customXml" ds:itemID="{2F694E46-E272-45FF-9EE6-1F8CD0AEDBB0}"/>
</file>

<file path=docProps/app.xml><?xml version="1.0" encoding="utf-8"?>
<Properties xmlns="http://schemas.openxmlformats.org/officeDocument/2006/extended-properties" xmlns:vt="http://schemas.openxmlformats.org/officeDocument/2006/docPropsVTypes">
  <Template>Normal</Template>
  <TotalTime>1</TotalTime>
  <Pages>7</Pages>
  <Words>2106</Words>
  <Characters>11588</Characters>
  <Application>Microsoft Office Word</Application>
  <DocSecurity>0</DocSecurity>
  <Lines>96</Lines>
  <Paragraphs>27</Paragraphs>
  <ScaleCrop>false</ScaleCrop>
  <Company/>
  <LinksUpToDate>false</LinksUpToDate>
  <CharactersWithSpaces>13667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Lesly Diaz</dc:creator>
  <cp:lastModifiedBy>Monica Mendoza</cp:lastModifiedBy>
  <cp:revision>3</cp:revision>
  <dcterms:created xsi:type="dcterms:W3CDTF">2024-08-23T15:45:00Z</dcterms:created>
  <dcterms:modified xsi:type="dcterms:W3CDTF">2024-08-23T15:54:00Z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0x010100D034B9FE2443C046918847EF43C1A177</vt:lpwstr>
  </property>
</Properties>
</file>