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806F0" w14:textId="77777777" w:rsidR="00BE0CC0" w:rsidRDefault="00604654">
      <w:pPr>
        <w:rPr>
          <w:rFonts w:ascii="Arial" w:eastAsia="Arial" w:hAnsi="Arial" w:cs="Arial"/>
          <w:b/>
          <w:sz w:val="22"/>
          <w:szCs w:val="22"/>
        </w:rPr>
      </w:pPr>
      <w:r>
        <w:rPr>
          <w:noProof/>
        </w:rPr>
        <w:drawing>
          <wp:anchor distT="0" distB="0" distL="114300" distR="114300" simplePos="0" relativeHeight="251658240" behindDoc="0" locked="0" layoutInCell="1" hidden="0" allowOverlap="1" wp14:anchorId="09C8073D" wp14:editId="09C8073E">
            <wp:simplePos x="0" y="0"/>
            <wp:positionH relativeFrom="column">
              <wp:posOffset>32386</wp:posOffset>
            </wp:positionH>
            <wp:positionV relativeFrom="paragraph">
              <wp:posOffset>0</wp:posOffset>
            </wp:positionV>
            <wp:extent cx="1516380" cy="678180"/>
            <wp:effectExtent l="0" t="0" r="0" b="0"/>
            <wp:wrapSquare wrapText="bothSides" distT="0" distB="0" distL="114300" distR="114300"/>
            <wp:docPr id="143660990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516380" cy="678180"/>
                    </a:xfrm>
                    <a:prstGeom prst="rect">
                      <a:avLst/>
                    </a:prstGeom>
                    <a:ln/>
                  </pic:spPr>
                </pic:pic>
              </a:graphicData>
            </a:graphic>
          </wp:anchor>
        </w:drawing>
      </w:r>
    </w:p>
    <w:p w14:paraId="09C806F1" w14:textId="77777777" w:rsidR="00BE0CC0" w:rsidRDefault="00BE0CC0">
      <w:pPr>
        <w:rPr>
          <w:rFonts w:ascii="Arial" w:eastAsia="Arial" w:hAnsi="Arial" w:cs="Arial"/>
          <w:b/>
          <w:sz w:val="22"/>
          <w:szCs w:val="22"/>
        </w:rPr>
      </w:pPr>
    </w:p>
    <w:p w14:paraId="09C806F2" w14:textId="77777777" w:rsidR="00BE0CC0" w:rsidRDefault="00BE0CC0">
      <w:pPr>
        <w:rPr>
          <w:rFonts w:ascii="Arial" w:eastAsia="Arial" w:hAnsi="Arial" w:cs="Arial"/>
          <w:b/>
          <w:sz w:val="22"/>
          <w:szCs w:val="22"/>
        </w:rPr>
      </w:pPr>
    </w:p>
    <w:p w14:paraId="09C806F3" w14:textId="1F6AD052" w:rsidR="00BE0CC0" w:rsidRDefault="00604654">
      <w:pPr>
        <w:rPr>
          <w:rFonts w:ascii="Arial" w:eastAsia="Arial" w:hAnsi="Arial" w:cs="Arial"/>
          <w:b/>
          <w:sz w:val="22"/>
          <w:szCs w:val="22"/>
        </w:rPr>
      </w:pPr>
      <w:r>
        <w:rPr>
          <w:rFonts w:ascii="Arial" w:eastAsia="Arial" w:hAnsi="Arial" w:cs="Arial"/>
          <w:b/>
          <w:sz w:val="22"/>
          <w:szCs w:val="22"/>
        </w:rPr>
        <w:t>Informe sobre derechos humanos de las mujeres</w:t>
      </w:r>
    </w:p>
    <w:p w14:paraId="4122B87A" w14:textId="792336C8" w:rsidR="00301089" w:rsidRDefault="00301089">
      <w:pPr>
        <w:rPr>
          <w:rFonts w:ascii="Arial" w:eastAsia="Arial" w:hAnsi="Arial" w:cs="Arial"/>
          <w:b/>
          <w:sz w:val="22"/>
          <w:szCs w:val="22"/>
        </w:rPr>
      </w:pPr>
      <w:r>
        <w:rPr>
          <w:rFonts w:ascii="Arial" w:eastAsia="Arial" w:hAnsi="Arial" w:cs="Arial"/>
          <w:b/>
          <w:sz w:val="22"/>
          <w:szCs w:val="22"/>
        </w:rPr>
        <w:t>Red Chilena contra la Violencia hacia las Mujeres</w:t>
      </w:r>
    </w:p>
    <w:p w14:paraId="09C806F5" w14:textId="77777777" w:rsidR="00BE0CC0" w:rsidRDefault="00BE0CC0">
      <w:pPr>
        <w:rPr>
          <w:rFonts w:ascii="Arial" w:eastAsia="Arial" w:hAnsi="Arial" w:cs="Arial"/>
          <w:b/>
          <w:sz w:val="22"/>
          <w:szCs w:val="22"/>
        </w:rPr>
      </w:pPr>
    </w:p>
    <w:p w14:paraId="09C806F6" w14:textId="77777777" w:rsidR="00BE0CC0" w:rsidRDefault="00604654">
      <w:pPr>
        <w:rPr>
          <w:rFonts w:ascii="Arial" w:eastAsia="Arial" w:hAnsi="Arial" w:cs="Arial"/>
          <w:b/>
          <w:sz w:val="22"/>
          <w:szCs w:val="22"/>
        </w:rPr>
      </w:pPr>
      <w:r>
        <w:rPr>
          <w:rFonts w:ascii="Arial" w:eastAsia="Arial" w:hAnsi="Arial" w:cs="Arial"/>
          <w:b/>
          <w:sz w:val="22"/>
          <w:szCs w:val="22"/>
        </w:rPr>
        <w:t>Introducción</w:t>
      </w:r>
    </w:p>
    <w:p w14:paraId="09C806F7" w14:textId="77777777" w:rsidR="00BE0CC0" w:rsidRDefault="00604654">
      <w:pPr>
        <w:jc w:val="both"/>
        <w:rPr>
          <w:rFonts w:ascii="Arial" w:eastAsia="Arial" w:hAnsi="Arial" w:cs="Arial"/>
          <w:sz w:val="22"/>
          <w:szCs w:val="22"/>
        </w:rPr>
      </w:pPr>
      <w:r>
        <w:rPr>
          <w:rFonts w:ascii="Arial" w:eastAsia="Arial" w:hAnsi="Arial" w:cs="Arial"/>
          <w:sz w:val="22"/>
          <w:szCs w:val="22"/>
        </w:rPr>
        <w:t xml:space="preserve">La Red Chilena contra la Violencia hacia las Mujeres es una articulación con más de 20 organizaciones y colectivas feministas a lo largo de todo Chile, quienes trabajan por la erradicación de la violencia hacia las mujeres en todas sus formas. Con una trayectoria que data de 1990, sus acciones y reflexiones han apuntado a develar elementos socioculturales que producen y reproducen la violencia hacia las mujeres en lugares y formas concretas. Asimismo, en determinadas ocasiones ha efectuado acciones de denuncia e incidencia pública relativas a leyes y políticas públicas implementadas por el Estado de Chile.  </w:t>
      </w:r>
    </w:p>
    <w:p w14:paraId="09C806F8" w14:textId="7F42B723" w:rsidR="00BE0CC0" w:rsidRDefault="00604654">
      <w:pPr>
        <w:jc w:val="both"/>
        <w:rPr>
          <w:rFonts w:ascii="Arial" w:eastAsia="Arial" w:hAnsi="Arial" w:cs="Arial"/>
          <w:sz w:val="22"/>
          <w:szCs w:val="22"/>
        </w:rPr>
      </w:pPr>
      <w:r>
        <w:rPr>
          <w:rFonts w:ascii="Arial" w:eastAsia="Arial" w:hAnsi="Arial" w:cs="Arial"/>
          <w:sz w:val="22"/>
          <w:szCs w:val="22"/>
        </w:rPr>
        <w:t xml:space="preserve">En el presente documento se exponen estadísticas e investigaciones </w:t>
      </w:r>
      <w:r w:rsidR="00AE451B">
        <w:rPr>
          <w:rFonts w:ascii="Arial" w:eastAsia="Arial" w:hAnsi="Arial" w:cs="Arial"/>
          <w:sz w:val="22"/>
          <w:szCs w:val="22"/>
        </w:rPr>
        <w:t>realizadas</w:t>
      </w:r>
      <w:r>
        <w:rPr>
          <w:rFonts w:ascii="Arial" w:eastAsia="Arial" w:hAnsi="Arial" w:cs="Arial"/>
          <w:sz w:val="22"/>
          <w:szCs w:val="22"/>
        </w:rPr>
        <w:t xml:space="preserve"> por esta red, información proveniente de organismos públicos, y estudios elaborados por otras organizaciones de la sociedad civil. En relación con los ejes planteados por el documento de trabajo sobre cuestiones y preguntas previas a la presentación del octavo informe periódico de Chile, se abordará lo siguiente: 1) violencia de género contra la mujer, 2) acceso de las mujeres a la justicia, </w:t>
      </w:r>
      <w:r w:rsidR="00457428">
        <w:rPr>
          <w:rFonts w:ascii="Arial" w:eastAsia="Arial" w:hAnsi="Arial" w:cs="Arial"/>
          <w:sz w:val="22"/>
          <w:szCs w:val="22"/>
        </w:rPr>
        <w:t>3</w:t>
      </w:r>
      <w:r>
        <w:rPr>
          <w:rFonts w:ascii="Arial" w:eastAsia="Arial" w:hAnsi="Arial" w:cs="Arial"/>
          <w:sz w:val="22"/>
          <w:szCs w:val="22"/>
        </w:rPr>
        <w:t xml:space="preserve">) trata de mujeres y niñas, </w:t>
      </w:r>
      <w:r w:rsidR="00457428">
        <w:rPr>
          <w:rFonts w:ascii="Arial" w:eastAsia="Arial" w:hAnsi="Arial" w:cs="Arial"/>
          <w:sz w:val="22"/>
          <w:szCs w:val="22"/>
        </w:rPr>
        <w:t>4</w:t>
      </w:r>
      <w:r>
        <w:rPr>
          <w:rFonts w:ascii="Arial" w:eastAsia="Arial" w:hAnsi="Arial" w:cs="Arial"/>
          <w:sz w:val="22"/>
          <w:szCs w:val="22"/>
        </w:rPr>
        <w:t xml:space="preserve">) salud y </w:t>
      </w:r>
      <w:r w:rsidR="00457428">
        <w:rPr>
          <w:rFonts w:ascii="Arial" w:eastAsia="Arial" w:hAnsi="Arial" w:cs="Arial"/>
          <w:sz w:val="22"/>
          <w:szCs w:val="22"/>
        </w:rPr>
        <w:t>5</w:t>
      </w:r>
      <w:r>
        <w:rPr>
          <w:rFonts w:ascii="Arial" w:eastAsia="Arial" w:hAnsi="Arial" w:cs="Arial"/>
          <w:sz w:val="22"/>
          <w:szCs w:val="22"/>
        </w:rPr>
        <w:t>) empleo.</w:t>
      </w:r>
    </w:p>
    <w:p w14:paraId="09C806F9" w14:textId="77777777" w:rsidR="00BE0CC0" w:rsidRDefault="00604654">
      <w:pPr>
        <w:jc w:val="both"/>
        <w:rPr>
          <w:rFonts w:ascii="Arial" w:eastAsia="Arial" w:hAnsi="Arial" w:cs="Arial"/>
          <w:b/>
          <w:sz w:val="22"/>
          <w:szCs w:val="22"/>
        </w:rPr>
      </w:pPr>
      <w:r>
        <w:rPr>
          <w:rFonts w:ascii="Arial" w:eastAsia="Arial" w:hAnsi="Arial" w:cs="Arial"/>
          <w:b/>
          <w:sz w:val="22"/>
          <w:szCs w:val="22"/>
        </w:rPr>
        <w:t>Violencia de género contra la mujer</w:t>
      </w:r>
    </w:p>
    <w:p w14:paraId="430B2B9E" w14:textId="173A3921" w:rsidR="004D3FD6" w:rsidRDefault="004D3FD6">
      <w:pPr>
        <w:jc w:val="both"/>
        <w:rPr>
          <w:rFonts w:ascii="Arial" w:eastAsia="Arial" w:hAnsi="Arial" w:cs="Arial"/>
          <w:sz w:val="22"/>
          <w:szCs w:val="22"/>
        </w:rPr>
      </w:pPr>
      <w:r w:rsidRPr="004D3FD6">
        <w:rPr>
          <w:rFonts w:ascii="Arial" w:eastAsia="Arial" w:hAnsi="Arial" w:cs="Arial"/>
          <w:sz w:val="22"/>
          <w:szCs w:val="22"/>
        </w:rPr>
        <w:t>Se reconoce que la promulgación de la Ley Integral contra la Violencia hacia las Mujeres en 2024 es un hito que robustece la institucionalidad de género, pero que aún debe asumir formas concretas para contribuir a su erradicación. En especial se valora el artículo asociado a Educación No Sexista para la promoción de vidas libres de violencia. Se espera que su incorporación se traduzca en medidas que apunten a transformar la cultura escolar en favor de la equidad de género, que se ejecuten modificaciones al currículum y que se implemente educación sexual integral acorde al crecimiento.</w:t>
      </w:r>
    </w:p>
    <w:p w14:paraId="09C806FB" w14:textId="3BF50D47" w:rsidR="00BE0CC0" w:rsidRDefault="00604654">
      <w:pPr>
        <w:jc w:val="both"/>
        <w:rPr>
          <w:rFonts w:ascii="Arial" w:eastAsia="Arial" w:hAnsi="Arial" w:cs="Arial"/>
          <w:sz w:val="22"/>
          <w:szCs w:val="22"/>
        </w:rPr>
      </w:pPr>
      <w:r>
        <w:rPr>
          <w:rFonts w:ascii="Arial" w:eastAsia="Arial" w:hAnsi="Arial" w:cs="Arial"/>
          <w:sz w:val="22"/>
          <w:szCs w:val="22"/>
        </w:rPr>
        <w:t xml:space="preserve">Respecto a la implementación de la Ley </w:t>
      </w:r>
      <w:proofErr w:type="spellStart"/>
      <w:r>
        <w:rPr>
          <w:rFonts w:ascii="Arial" w:eastAsia="Arial" w:hAnsi="Arial" w:cs="Arial"/>
          <w:sz w:val="22"/>
          <w:szCs w:val="22"/>
        </w:rPr>
        <w:t>N°</w:t>
      </w:r>
      <w:proofErr w:type="spellEnd"/>
      <w:r>
        <w:rPr>
          <w:rFonts w:ascii="Arial" w:eastAsia="Arial" w:hAnsi="Arial" w:cs="Arial"/>
          <w:sz w:val="22"/>
          <w:szCs w:val="22"/>
        </w:rPr>
        <w:t xml:space="preserve"> 21.212 que amplió la figura legal de femicidio en 2020, el trabajo de observación que efectúa la Red Chilena contra la Violencia hacia las Mujeres sobre femicidios consumados demuestra que el Estado aún es deficiente en su labor por identificar y sancionar estos crímenes. En la siguiente tabla se visualiza el registro que hace la organización en comparación a los crímenes formalizados y consignados por el </w:t>
      </w:r>
      <w:proofErr w:type="spellStart"/>
      <w:r>
        <w:rPr>
          <w:rFonts w:ascii="Arial" w:eastAsia="Arial" w:hAnsi="Arial" w:cs="Arial"/>
          <w:sz w:val="22"/>
          <w:szCs w:val="22"/>
        </w:rPr>
        <w:t>SernamEG</w:t>
      </w:r>
      <w:proofErr w:type="spellEnd"/>
      <w:r>
        <w:rPr>
          <w:rFonts w:ascii="Arial" w:eastAsia="Arial" w:hAnsi="Arial" w:cs="Arial"/>
          <w:sz w:val="22"/>
          <w:szCs w:val="22"/>
        </w:rPr>
        <w:t>.</w:t>
      </w:r>
    </w:p>
    <w:p w14:paraId="665F43DE" w14:textId="77777777" w:rsidR="004D3FD6" w:rsidRDefault="004D3FD6">
      <w:pPr>
        <w:jc w:val="both"/>
        <w:rPr>
          <w:rFonts w:ascii="Arial" w:eastAsia="Arial" w:hAnsi="Arial" w:cs="Arial"/>
          <w:sz w:val="22"/>
          <w:szCs w:val="22"/>
        </w:rPr>
      </w:pPr>
    </w:p>
    <w:p w14:paraId="08E707EF" w14:textId="77777777" w:rsidR="004D3FD6" w:rsidRDefault="004D3FD6">
      <w:pPr>
        <w:jc w:val="both"/>
        <w:rPr>
          <w:rFonts w:ascii="Arial" w:eastAsia="Arial" w:hAnsi="Arial" w:cs="Arial"/>
          <w:sz w:val="22"/>
          <w:szCs w:val="22"/>
        </w:rPr>
      </w:pPr>
    </w:p>
    <w:p w14:paraId="09C806FD" w14:textId="77777777" w:rsidR="00BE0CC0" w:rsidRDefault="00604654">
      <w:pPr>
        <w:jc w:val="both"/>
        <w:rPr>
          <w:rFonts w:ascii="Arial" w:eastAsia="Arial" w:hAnsi="Arial" w:cs="Arial"/>
          <w:sz w:val="22"/>
          <w:szCs w:val="22"/>
        </w:rPr>
      </w:pPr>
      <w:r>
        <w:rPr>
          <w:rFonts w:ascii="Arial" w:eastAsia="Arial" w:hAnsi="Arial" w:cs="Arial"/>
          <w:sz w:val="22"/>
          <w:szCs w:val="22"/>
        </w:rPr>
        <w:lastRenderedPageBreak/>
        <w:t>Tabla 1. Femicidios consumados entre 2020-2023</w:t>
      </w:r>
    </w:p>
    <w:tbl>
      <w:tblPr>
        <w:tblStyle w:val="a"/>
        <w:tblW w:w="6265" w:type="dxa"/>
        <w:tblInd w:w="1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4"/>
        <w:gridCol w:w="2410"/>
        <w:gridCol w:w="2491"/>
      </w:tblGrid>
      <w:tr w:rsidR="00BE0CC0" w14:paraId="09C80701" w14:textId="77777777">
        <w:tc>
          <w:tcPr>
            <w:tcW w:w="1364" w:type="dxa"/>
          </w:tcPr>
          <w:p w14:paraId="09C806FE" w14:textId="77777777" w:rsidR="00BE0CC0" w:rsidRDefault="00604654">
            <w:pPr>
              <w:jc w:val="center"/>
              <w:rPr>
                <w:rFonts w:ascii="Arial" w:eastAsia="Arial" w:hAnsi="Arial" w:cs="Arial"/>
                <w:b/>
                <w:sz w:val="22"/>
                <w:szCs w:val="22"/>
              </w:rPr>
            </w:pPr>
            <w:r>
              <w:rPr>
                <w:rFonts w:ascii="Arial" w:eastAsia="Arial" w:hAnsi="Arial" w:cs="Arial"/>
                <w:b/>
                <w:sz w:val="22"/>
                <w:szCs w:val="22"/>
              </w:rPr>
              <w:t>Año</w:t>
            </w:r>
          </w:p>
        </w:tc>
        <w:tc>
          <w:tcPr>
            <w:tcW w:w="2410" w:type="dxa"/>
          </w:tcPr>
          <w:p w14:paraId="09C806FF" w14:textId="77777777" w:rsidR="00BE0CC0" w:rsidRDefault="00604654">
            <w:pPr>
              <w:jc w:val="center"/>
              <w:rPr>
                <w:rFonts w:ascii="Arial" w:eastAsia="Arial" w:hAnsi="Arial" w:cs="Arial"/>
                <w:b/>
                <w:sz w:val="22"/>
                <w:szCs w:val="22"/>
              </w:rPr>
            </w:pPr>
            <w:r>
              <w:rPr>
                <w:rFonts w:ascii="Arial" w:eastAsia="Arial" w:hAnsi="Arial" w:cs="Arial"/>
                <w:b/>
                <w:sz w:val="22"/>
                <w:szCs w:val="22"/>
              </w:rPr>
              <w:t>Femicidios registrados por Red Chilena</w:t>
            </w:r>
          </w:p>
        </w:tc>
        <w:tc>
          <w:tcPr>
            <w:tcW w:w="2491" w:type="dxa"/>
          </w:tcPr>
          <w:p w14:paraId="09C80700" w14:textId="77777777" w:rsidR="00BE0CC0" w:rsidRDefault="00604654">
            <w:pPr>
              <w:jc w:val="center"/>
              <w:rPr>
                <w:rFonts w:ascii="Arial" w:eastAsia="Arial" w:hAnsi="Arial" w:cs="Arial"/>
                <w:b/>
                <w:sz w:val="22"/>
                <w:szCs w:val="22"/>
              </w:rPr>
            </w:pPr>
            <w:r>
              <w:rPr>
                <w:rFonts w:ascii="Arial" w:eastAsia="Arial" w:hAnsi="Arial" w:cs="Arial"/>
                <w:b/>
                <w:sz w:val="22"/>
                <w:szCs w:val="22"/>
              </w:rPr>
              <w:t xml:space="preserve">Femicidios registrados por </w:t>
            </w:r>
            <w:proofErr w:type="spellStart"/>
            <w:r>
              <w:rPr>
                <w:rFonts w:ascii="Arial" w:eastAsia="Arial" w:hAnsi="Arial" w:cs="Arial"/>
                <w:b/>
                <w:sz w:val="22"/>
                <w:szCs w:val="22"/>
              </w:rPr>
              <w:t>SernamEG</w:t>
            </w:r>
            <w:proofErr w:type="spellEnd"/>
          </w:p>
        </w:tc>
      </w:tr>
      <w:tr w:rsidR="00BE0CC0" w14:paraId="09C80705" w14:textId="77777777">
        <w:tc>
          <w:tcPr>
            <w:tcW w:w="1364" w:type="dxa"/>
          </w:tcPr>
          <w:p w14:paraId="09C80702" w14:textId="77777777" w:rsidR="00BE0CC0" w:rsidRDefault="00604654">
            <w:pPr>
              <w:jc w:val="center"/>
              <w:rPr>
                <w:rFonts w:ascii="Arial" w:eastAsia="Arial" w:hAnsi="Arial" w:cs="Arial"/>
                <w:sz w:val="22"/>
                <w:szCs w:val="22"/>
              </w:rPr>
            </w:pPr>
            <w:r>
              <w:rPr>
                <w:rFonts w:ascii="Arial" w:eastAsia="Arial" w:hAnsi="Arial" w:cs="Arial"/>
                <w:sz w:val="22"/>
                <w:szCs w:val="22"/>
              </w:rPr>
              <w:t>2020</w:t>
            </w:r>
          </w:p>
        </w:tc>
        <w:tc>
          <w:tcPr>
            <w:tcW w:w="2410" w:type="dxa"/>
          </w:tcPr>
          <w:p w14:paraId="09C80703" w14:textId="77777777" w:rsidR="00BE0CC0" w:rsidRDefault="00604654">
            <w:pPr>
              <w:jc w:val="center"/>
              <w:rPr>
                <w:rFonts w:ascii="Arial" w:eastAsia="Arial" w:hAnsi="Arial" w:cs="Arial"/>
                <w:sz w:val="22"/>
                <w:szCs w:val="22"/>
              </w:rPr>
            </w:pPr>
            <w:r>
              <w:rPr>
                <w:rFonts w:ascii="Arial" w:eastAsia="Arial" w:hAnsi="Arial" w:cs="Arial"/>
                <w:sz w:val="22"/>
                <w:szCs w:val="22"/>
              </w:rPr>
              <w:t>59</w:t>
            </w:r>
          </w:p>
        </w:tc>
        <w:tc>
          <w:tcPr>
            <w:tcW w:w="2491" w:type="dxa"/>
          </w:tcPr>
          <w:p w14:paraId="09C80704" w14:textId="77777777" w:rsidR="00BE0CC0" w:rsidRDefault="00604654">
            <w:pPr>
              <w:jc w:val="center"/>
              <w:rPr>
                <w:rFonts w:ascii="Arial" w:eastAsia="Arial" w:hAnsi="Arial" w:cs="Arial"/>
                <w:sz w:val="22"/>
                <w:szCs w:val="22"/>
              </w:rPr>
            </w:pPr>
            <w:r>
              <w:rPr>
                <w:rFonts w:ascii="Arial" w:eastAsia="Arial" w:hAnsi="Arial" w:cs="Arial"/>
                <w:sz w:val="22"/>
                <w:szCs w:val="22"/>
              </w:rPr>
              <w:t>43</w:t>
            </w:r>
          </w:p>
        </w:tc>
      </w:tr>
      <w:tr w:rsidR="00BE0CC0" w14:paraId="09C80709" w14:textId="77777777">
        <w:tc>
          <w:tcPr>
            <w:tcW w:w="1364" w:type="dxa"/>
          </w:tcPr>
          <w:p w14:paraId="09C80706" w14:textId="77777777" w:rsidR="00BE0CC0" w:rsidRDefault="00604654">
            <w:pPr>
              <w:jc w:val="center"/>
              <w:rPr>
                <w:rFonts w:ascii="Arial" w:eastAsia="Arial" w:hAnsi="Arial" w:cs="Arial"/>
                <w:sz w:val="22"/>
                <w:szCs w:val="22"/>
              </w:rPr>
            </w:pPr>
            <w:r>
              <w:rPr>
                <w:rFonts w:ascii="Arial" w:eastAsia="Arial" w:hAnsi="Arial" w:cs="Arial"/>
                <w:sz w:val="22"/>
                <w:szCs w:val="22"/>
              </w:rPr>
              <w:t>2021</w:t>
            </w:r>
          </w:p>
        </w:tc>
        <w:tc>
          <w:tcPr>
            <w:tcW w:w="2410" w:type="dxa"/>
          </w:tcPr>
          <w:p w14:paraId="09C80707" w14:textId="77777777" w:rsidR="00BE0CC0" w:rsidRDefault="00604654">
            <w:pPr>
              <w:jc w:val="center"/>
              <w:rPr>
                <w:rFonts w:ascii="Arial" w:eastAsia="Arial" w:hAnsi="Arial" w:cs="Arial"/>
                <w:sz w:val="22"/>
                <w:szCs w:val="22"/>
              </w:rPr>
            </w:pPr>
            <w:r>
              <w:rPr>
                <w:rFonts w:ascii="Arial" w:eastAsia="Arial" w:hAnsi="Arial" w:cs="Arial"/>
                <w:sz w:val="22"/>
                <w:szCs w:val="22"/>
              </w:rPr>
              <w:t>57</w:t>
            </w:r>
          </w:p>
        </w:tc>
        <w:tc>
          <w:tcPr>
            <w:tcW w:w="2491" w:type="dxa"/>
          </w:tcPr>
          <w:p w14:paraId="09C80708" w14:textId="77777777" w:rsidR="00BE0CC0" w:rsidRDefault="00604654">
            <w:pPr>
              <w:jc w:val="center"/>
              <w:rPr>
                <w:rFonts w:ascii="Arial" w:eastAsia="Arial" w:hAnsi="Arial" w:cs="Arial"/>
                <w:sz w:val="22"/>
                <w:szCs w:val="22"/>
              </w:rPr>
            </w:pPr>
            <w:r>
              <w:rPr>
                <w:rFonts w:ascii="Arial" w:eastAsia="Arial" w:hAnsi="Arial" w:cs="Arial"/>
                <w:sz w:val="22"/>
                <w:szCs w:val="22"/>
              </w:rPr>
              <w:t>44</w:t>
            </w:r>
          </w:p>
        </w:tc>
      </w:tr>
      <w:tr w:rsidR="00BE0CC0" w14:paraId="09C8070D" w14:textId="77777777">
        <w:tc>
          <w:tcPr>
            <w:tcW w:w="1364" w:type="dxa"/>
          </w:tcPr>
          <w:p w14:paraId="09C8070A" w14:textId="77777777" w:rsidR="00BE0CC0" w:rsidRDefault="00604654">
            <w:pPr>
              <w:jc w:val="center"/>
              <w:rPr>
                <w:rFonts w:ascii="Arial" w:eastAsia="Arial" w:hAnsi="Arial" w:cs="Arial"/>
                <w:sz w:val="22"/>
                <w:szCs w:val="22"/>
              </w:rPr>
            </w:pPr>
            <w:r>
              <w:rPr>
                <w:rFonts w:ascii="Arial" w:eastAsia="Arial" w:hAnsi="Arial" w:cs="Arial"/>
                <w:sz w:val="22"/>
                <w:szCs w:val="22"/>
              </w:rPr>
              <w:t>2022</w:t>
            </w:r>
          </w:p>
        </w:tc>
        <w:tc>
          <w:tcPr>
            <w:tcW w:w="2410" w:type="dxa"/>
          </w:tcPr>
          <w:p w14:paraId="09C8070B" w14:textId="77777777" w:rsidR="00BE0CC0" w:rsidRDefault="00604654">
            <w:pPr>
              <w:jc w:val="center"/>
              <w:rPr>
                <w:rFonts w:ascii="Arial" w:eastAsia="Arial" w:hAnsi="Arial" w:cs="Arial"/>
                <w:sz w:val="22"/>
                <w:szCs w:val="22"/>
              </w:rPr>
            </w:pPr>
            <w:r>
              <w:rPr>
                <w:rFonts w:ascii="Arial" w:eastAsia="Arial" w:hAnsi="Arial" w:cs="Arial"/>
                <w:sz w:val="22"/>
                <w:szCs w:val="22"/>
              </w:rPr>
              <w:t>57</w:t>
            </w:r>
          </w:p>
        </w:tc>
        <w:tc>
          <w:tcPr>
            <w:tcW w:w="2491" w:type="dxa"/>
          </w:tcPr>
          <w:p w14:paraId="09C8070C" w14:textId="77777777" w:rsidR="00BE0CC0" w:rsidRDefault="00604654">
            <w:pPr>
              <w:jc w:val="center"/>
              <w:rPr>
                <w:rFonts w:ascii="Arial" w:eastAsia="Arial" w:hAnsi="Arial" w:cs="Arial"/>
                <w:sz w:val="22"/>
                <w:szCs w:val="22"/>
              </w:rPr>
            </w:pPr>
            <w:r>
              <w:rPr>
                <w:rFonts w:ascii="Arial" w:eastAsia="Arial" w:hAnsi="Arial" w:cs="Arial"/>
                <w:sz w:val="22"/>
                <w:szCs w:val="22"/>
              </w:rPr>
              <w:t>43</w:t>
            </w:r>
          </w:p>
        </w:tc>
      </w:tr>
      <w:tr w:rsidR="00BE0CC0" w14:paraId="09C80711" w14:textId="77777777">
        <w:tc>
          <w:tcPr>
            <w:tcW w:w="1364" w:type="dxa"/>
          </w:tcPr>
          <w:p w14:paraId="09C8070E" w14:textId="77777777" w:rsidR="00BE0CC0" w:rsidRDefault="00604654">
            <w:pPr>
              <w:jc w:val="center"/>
              <w:rPr>
                <w:rFonts w:ascii="Arial" w:eastAsia="Arial" w:hAnsi="Arial" w:cs="Arial"/>
                <w:sz w:val="22"/>
                <w:szCs w:val="22"/>
              </w:rPr>
            </w:pPr>
            <w:r>
              <w:rPr>
                <w:rFonts w:ascii="Arial" w:eastAsia="Arial" w:hAnsi="Arial" w:cs="Arial"/>
                <w:sz w:val="22"/>
                <w:szCs w:val="22"/>
              </w:rPr>
              <w:t>2023</w:t>
            </w:r>
          </w:p>
        </w:tc>
        <w:tc>
          <w:tcPr>
            <w:tcW w:w="2410" w:type="dxa"/>
          </w:tcPr>
          <w:p w14:paraId="09C8070F" w14:textId="77777777" w:rsidR="00BE0CC0" w:rsidRDefault="00604654">
            <w:pPr>
              <w:jc w:val="center"/>
              <w:rPr>
                <w:rFonts w:ascii="Arial" w:eastAsia="Arial" w:hAnsi="Arial" w:cs="Arial"/>
                <w:sz w:val="22"/>
                <w:szCs w:val="22"/>
              </w:rPr>
            </w:pPr>
            <w:r>
              <w:rPr>
                <w:rFonts w:ascii="Arial" w:eastAsia="Arial" w:hAnsi="Arial" w:cs="Arial"/>
                <w:sz w:val="22"/>
                <w:szCs w:val="22"/>
              </w:rPr>
              <w:t>51</w:t>
            </w:r>
          </w:p>
        </w:tc>
        <w:tc>
          <w:tcPr>
            <w:tcW w:w="2491" w:type="dxa"/>
          </w:tcPr>
          <w:p w14:paraId="09C80710" w14:textId="77777777" w:rsidR="00BE0CC0" w:rsidRDefault="00604654">
            <w:pPr>
              <w:jc w:val="center"/>
              <w:rPr>
                <w:rFonts w:ascii="Arial" w:eastAsia="Arial" w:hAnsi="Arial" w:cs="Arial"/>
                <w:sz w:val="22"/>
                <w:szCs w:val="22"/>
              </w:rPr>
            </w:pPr>
            <w:r>
              <w:rPr>
                <w:rFonts w:ascii="Arial" w:eastAsia="Arial" w:hAnsi="Arial" w:cs="Arial"/>
                <w:sz w:val="22"/>
                <w:szCs w:val="22"/>
              </w:rPr>
              <w:t>43</w:t>
            </w:r>
          </w:p>
        </w:tc>
      </w:tr>
    </w:tbl>
    <w:p w14:paraId="09C80712" w14:textId="77777777" w:rsidR="00BE0CC0" w:rsidRDefault="00604654">
      <w:pPr>
        <w:spacing w:before="240" w:line="240" w:lineRule="auto"/>
        <w:jc w:val="center"/>
        <w:rPr>
          <w:rFonts w:ascii="Arial" w:eastAsia="Arial" w:hAnsi="Arial" w:cs="Arial"/>
          <w:sz w:val="18"/>
          <w:szCs w:val="18"/>
        </w:rPr>
      </w:pPr>
      <w:r>
        <w:rPr>
          <w:rFonts w:ascii="Arial" w:eastAsia="Arial" w:hAnsi="Arial" w:cs="Arial"/>
          <w:sz w:val="18"/>
          <w:szCs w:val="18"/>
        </w:rPr>
        <w:t xml:space="preserve">Fuente: Elaboración propia en base a datos de la Red Chilena contra la Violencia hacia las Mujeres y </w:t>
      </w:r>
      <w:proofErr w:type="spellStart"/>
      <w:r>
        <w:rPr>
          <w:rFonts w:ascii="Arial" w:eastAsia="Arial" w:hAnsi="Arial" w:cs="Arial"/>
          <w:sz w:val="18"/>
          <w:szCs w:val="18"/>
        </w:rPr>
        <w:t>SernamEG</w:t>
      </w:r>
      <w:proofErr w:type="spellEnd"/>
      <w:r>
        <w:rPr>
          <w:rFonts w:ascii="Arial" w:eastAsia="Arial" w:hAnsi="Arial" w:cs="Arial"/>
          <w:sz w:val="18"/>
          <w:szCs w:val="18"/>
        </w:rPr>
        <w:t>.</w:t>
      </w:r>
    </w:p>
    <w:p w14:paraId="09C80713" w14:textId="77777777" w:rsidR="00BE0CC0" w:rsidRDefault="00604654">
      <w:pPr>
        <w:jc w:val="both"/>
        <w:rPr>
          <w:rFonts w:ascii="Arial" w:eastAsia="Arial" w:hAnsi="Arial" w:cs="Arial"/>
          <w:sz w:val="22"/>
          <w:szCs w:val="22"/>
        </w:rPr>
      </w:pPr>
      <w:r>
        <w:rPr>
          <w:rFonts w:ascii="Arial" w:eastAsia="Arial" w:hAnsi="Arial" w:cs="Arial"/>
          <w:sz w:val="22"/>
          <w:szCs w:val="22"/>
        </w:rPr>
        <w:t>Al analizar el subregistro, se identifica principalmente falta de rigurosidad en la investigación de estos crímenes y la omisión de contextos clave para una interpretación de la ley, en especial cuando se formaliza femicidios fuera del ámbito de pareja. En particular, se ha detectado que los femicidios íntimo-familiares no son reconocidos por la justicia de forma reiterada, pues pareciera desconocerse las relaciones de poder que se producen dentro del ámbito familiar, más allá de los vínculos sexo-afectivos. Se interpreta que esta falencia deriva de la comprensión que existe desde el derecho sobre la familia como “núcleo fundamental de la sociedad” y que, en consecuencia, suprime su complejidad en tanto institución en que se reproduce la violencia de género</w:t>
      </w:r>
      <w:r>
        <w:rPr>
          <w:rFonts w:ascii="Arial" w:eastAsia="Arial" w:hAnsi="Arial" w:cs="Arial"/>
          <w:sz w:val="22"/>
          <w:szCs w:val="22"/>
          <w:vertAlign w:val="superscript"/>
        </w:rPr>
        <w:footnoteReference w:id="1"/>
      </w:r>
      <w:r>
        <w:rPr>
          <w:rFonts w:ascii="Arial" w:eastAsia="Arial" w:hAnsi="Arial" w:cs="Arial"/>
          <w:sz w:val="22"/>
          <w:szCs w:val="22"/>
        </w:rPr>
        <w:t>.</w:t>
      </w:r>
    </w:p>
    <w:p w14:paraId="09C80714" w14:textId="77777777" w:rsidR="00BE0CC0" w:rsidRDefault="00604654">
      <w:pPr>
        <w:jc w:val="both"/>
        <w:rPr>
          <w:rFonts w:ascii="Arial" w:eastAsia="Arial" w:hAnsi="Arial" w:cs="Arial"/>
          <w:b/>
          <w:sz w:val="22"/>
          <w:szCs w:val="22"/>
        </w:rPr>
      </w:pPr>
      <w:r>
        <w:rPr>
          <w:rFonts w:ascii="Arial" w:eastAsia="Arial" w:hAnsi="Arial" w:cs="Arial"/>
          <w:b/>
          <w:sz w:val="22"/>
          <w:szCs w:val="22"/>
        </w:rPr>
        <w:t>Acceso a la justicia</w:t>
      </w:r>
    </w:p>
    <w:p w14:paraId="09C80715" w14:textId="28D1D2AD" w:rsidR="00BE0CC0" w:rsidRDefault="00604654">
      <w:pPr>
        <w:jc w:val="both"/>
        <w:rPr>
          <w:rFonts w:ascii="Arial" w:eastAsia="Arial" w:hAnsi="Arial" w:cs="Arial"/>
          <w:sz w:val="22"/>
          <w:szCs w:val="22"/>
        </w:rPr>
      </w:pPr>
      <w:r>
        <w:rPr>
          <w:rFonts w:ascii="Arial" w:eastAsia="Arial" w:hAnsi="Arial" w:cs="Arial"/>
          <w:sz w:val="22"/>
          <w:szCs w:val="22"/>
        </w:rPr>
        <w:t xml:space="preserve">Las cifras evidencian que el delito de Violencia Intrafamiliar (Ley 20.066) afecta desproporcionadamente a mujeres. </w:t>
      </w:r>
      <w:r w:rsidR="00281140">
        <w:rPr>
          <w:rFonts w:ascii="Arial" w:eastAsia="Arial" w:hAnsi="Arial" w:cs="Arial"/>
          <w:sz w:val="22"/>
          <w:szCs w:val="22"/>
        </w:rPr>
        <w:t>Acorde a</w:t>
      </w:r>
      <w:r>
        <w:rPr>
          <w:rFonts w:ascii="Arial" w:eastAsia="Arial" w:hAnsi="Arial" w:cs="Arial"/>
          <w:sz w:val="22"/>
          <w:szCs w:val="22"/>
        </w:rPr>
        <w:t xml:space="preserve"> la Subsecretaría de Prevención del Delito, en 2023 se registraron 134.116 casos policiales</w:t>
      </w:r>
      <w:r w:rsidR="00350DE7">
        <w:rPr>
          <w:rFonts w:ascii="Arial" w:eastAsia="Arial" w:hAnsi="Arial" w:cs="Arial"/>
          <w:sz w:val="22"/>
          <w:szCs w:val="22"/>
        </w:rPr>
        <w:t xml:space="preserve">, </w:t>
      </w:r>
      <w:r>
        <w:rPr>
          <w:rFonts w:ascii="Arial" w:eastAsia="Arial" w:hAnsi="Arial" w:cs="Arial"/>
          <w:sz w:val="22"/>
          <w:szCs w:val="22"/>
        </w:rPr>
        <w:t>de los cuales 104.788 (78,1%) fueron denunciados por mujeres y 29.328 (21,9%) fueron denunciados por hombres</w:t>
      </w:r>
      <w:r>
        <w:rPr>
          <w:rFonts w:ascii="Arial" w:eastAsia="Arial" w:hAnsi="Arial" w:cs="Arial"/>
          <w:sz w:val="22"/>
          <w:szCs w:val="22"/>
          <w:vertAlign w:val="superscript"/>
        </w:rPr>
        <w:footnoteReference w:id="2"/>
      </w:r>
      <w:r>
        <w:rPr>
          <w:rFonts w:ascii="Arial" w:eastAsia="Arial" w:hAnsi="Arial" w:cs="Arial"/>
          <w:sz w:val="22"/>
          <w:szCs w:val="22"/>
        </w:rPr>
        <w:t xml:space="preserve">. Respecto a quienes son los responsables de las agresiones, </w:t>
      </w:r>
      <w:r w:rsidR="00281140">
        <w:rPr>
          <w:rFonts w:ascii="Arial" w:eastAsia="Arial" w:hAnsi="Arial" w:cs="Arial"/>
          <w:sz w:val="22"/>
          <w:szCs w:val="22"/>
        </w:rPr>
        <w:t>se</w:t>
      </w:r>
      <w:r>
        <w:rPr>
          <w:rFonts w:ascii="Arial" w:eastAsia="Arial" w:hAnsi="Arial" w:cs="Arial"/>
          <w:sz w:val="22"/>
          <w:szCs w:val="22"/>
        </w:rPr>
        <w:t xml:space="preserve"> señala que 64.779 (77,6%) fueron hombres y 18.672 (22,4%) mujeres. </w:t>
      </w:r>
    </w:p>
    <w:p w14:paraId="09C80716" w14:textId="34B3DA01" w:rsidR="00BE0CC0" w:rsidRDefault="00604654">
      <w:pPr>
        <w:jc w:val="both"/>
        <w:rPr>
          <w:rFonts w:ascii="Arial" w:eastAsia="Arial" w:hAnsi="Arial" w:cs="Arial"/>
          <w:sz w:val="22"/>
          <w:szCs w:val="22"/>
        </w:rPr>
      </w:pPr>
      <w:r>
        <w:rPr>
          <w:rFonts w:ascii="Arial" w:eastAsia="Arial" w:hAnsi="Arial" w:cs="Arial"/>
          <w:sz w:val="22"/>
          <w:szCs w:val="22"/>
        </w:rPr>
        <w:t>Una situación similar se observa en el caso de agresiones sexuales</w:t>
      </w:r>
      <w:r w:rsidR="00A01441">
        <w:rPr>
          <w:rFonts w:ascii="Arial" w:eastAsia="Arial" w:hAnsi="Arial" w:cs="Arial"/>
          <w:sz w:val="22"/>
          <w:szCs w:val="22"/>
        </w:rPr>
        <w:t>.</w:t>
      </w:r>
      <w:r>
        <w:rPr>
          <w:rFonts w:ascii="Arial" w:eastAsia="Arial" w:hAnsi="Arial" w:cs="Arial"/>
          <w:sz w:val="22"/>
          <w:szCs w:val="22"/>
        </w:rPr>
        <w:t xml:space="preserve"> En el año 2023, la Subsecretaría del Delito reporta que, en el caso del delito de violación, de las 4.477 víctimas identificadas, 3.865 corresponden a mujeres (86%) y 612 a hombres (14%). Entre los agresores, de un total de 1.941 personas, 1.896 son hombres (98%) y 45 mujeres (2%). En los casos de abuso y otros delitos sexuales, de un total de 14.404 víctimas, 12.495 son mujeres (86%) y 1.909 (14%) son hombres. Mientras que, entre los agresores, se reportaron 6.179 hombres (94%) y 360 mujeres (5%). </w:t>
      </w:r>
    </w:p>
    <w:p w14:paraId="09C80717" w14:textId="77777777" w:rsidR="00BE0CC0" w:rsidRDefault="00604654">
      <w:pPr>
        <w:jc w:val="both"/>
        <w:rPr>
          <w:rFonts w:ascii="Arial" w:eastAsia="Arial" w:hAnsi="Arial" w:cs="Arial"/>
          <w:sz w:val="22"/>
          <w:szCs w:val="22"/>
        </w:rPr>
      </w:pPr>
      <w:r>
        <w:rPr>
          <w:rFonts w:ascii="Arial" w:eastAsia="Arial" w:hAnsi="Arial" w:cs="Arial"/>
          <w:sz w:val="22"/>
          <w:szCs w:val="22"/>
        </w:rPr>
        <w:t xml:space="preserve">Según indican los resultados de la IV Encuesta de Violencia contra la Mujer en el ámbito Intrafamiliar y Otros Espacios (2020) realizada por la Subsecretaría de Prevención del Delito, las mujeres en Chile poseen las herramientas para reconocer la violencia cuando la </w:t>
      </w:r>
      <w:r>
        <w:rPr>
          <w:rFonts w:ascii="Arial" w:eastAsia="Arial" w:hAnsi="Arial" w:cs="Arial"/>
          <w:sz w:val="22"/>
          <w:szCs w:val="22"/>
        </w:rPr>
        <w:lastRenderedPageBreak/>
        <w:t>viven</w:t>
      </w:r>
      <w:r>
        <w:rPr>
          <w:rFonts w:ascii="Arial" w:eastAsia="Arial" w:hAnsi="Arial" w:cs="Arial"/>
          <w:sz w:val="22"/>
          <w:szCs w:val="22"/>
          <w:vertAlign w:val="superscript"/>
        </w:rPr>
        <w:footnoteReference w:id="3"/>
      </w:r>
      <w:r>
        <w:rPr>
          <w:rFonts w:ascii="Arial" w:eastAsia="Arial" w:hAnsi="Arial" w:cs="Arial"/>
          <w:sz w:val="22"/>
          <w:szCs w:val="22"/>
        </w:rPr>
        <w:t>. Sin embargo, los crímenes contra mujeres se caracterizan por ser delitos poco denunciados, en comparación a otros delitos violentos</w:t>
      </w:r>
      <w:r>
        <w:rPr>
          <w:rFonts w:ascii="Arial" w:eastAsia="Arial" w:hAnsi="Arial" w:cs="Arial"/>
          <w:sz w:val="22"/>
          <w:szCs w:val="22"/>
          <w:vertAlign w:val="superscript"/>
        </w:rPr>
        <w:footnoteReference w:id="4"/>
      </w:r>
      <w:r>
        <w:rPr>
          <w:rFonts w:ascii="Arial" w:eastAsia="Arial" w:hAnsi="Arial" w:cs="Arial"/>
          <w:sz w:val="22"/>
          <w:szCs w:val="22"/>
        </w:rPr>
        <w:t>. Entre los principales motivos indagados, se establece que está arraigado fuertemente en las mujeres que denunciar no es útil y el sentimiento de vergüenza ante la idea de contar su situación a las autoridades. </w:t>
      </w:r>
    </w:p>
    <w:p w14:paraId="09C80719" w14:textId="77777777" w:rsidR="00BE0CC0" w:rsidRDefault="00604654">
      <w:pPr>
        <w:jc w:val="both"/>
        <w:rPr>
          <w:rFonts w:ascii="Arial" w:eastAsia="Arial" w:hAnsi="Arial" w:cs="Arial"/>
          <w:sz w:val="22"/>
          <w:szCs w:val="22"/>
        </w:rPr>
      </w:pPr>
      <w:r>
        <w:rPr>
          <w:rFonts w:ascii="Arial" w:eastAsia="Arial" w:hAnsi="Arial" w:cs="Arial"/>
          <w:sz w:val="22"/>
          <w:szCs w:val="22"/>
        </w:rPr>
        <w:t>En general la gravedad de este tipo de agresiones y la magnitud de su ocurrencia sigue siendo desestimada a nivel social e institucional. En 2020, el Ministerio Público indicó que la mayoría de los procesos judiciales asociados a delitos sexuales no llegaron a término: apenas un 26% de las causas tuvo salida judicial y sólo un 7% lo hizo con una condena para el agresor. Además de inconducentes, estos procesos suelen extenderse más allá de los plazos que el mismo Poder Judicial estipula, con múltiples barreras a enfrentar para acceder efectivamente a la justicia</w:t>
      </w:r>
      <w:r>
        <w:rPr>
          <w:rFonts w:ascii="Arial" w:eastAsia="Arial" w:hAnsi="Arial" w:cs="Arial"/>
          <w:sz w:val="22"/>
          <w:szCs w:val="22"/>
          <w:vertAlign w:val="superscript"/>
        </w:rPr>
        <w:footnoteReference w:id="5"/>
      </w:r>
      <w:r>
        <w:rPr>
          <w:rFonts w:ascii="Arial" w:eastAsia="Arial" w:hAnsi="Arial" w:cs="Arial"/>
          <w:sz w:val="22"/>
          <w:szCs w:val="22"/>
        </w:rPr>
        <w:t>. </w:t>
      </w:r>
    </w:p>
    <w:p w14:paraId="09C8071A" w14:textId="3D05BCB4" w:rsidR="00BE0CC0" w:rsidRDefault="00604654">
      <w:pPr>
        <w:jc w:val="both"/>
        <w:rPr>
          <w:rFonts w:ascii="Arial" w:eastAsia="Arial" w:hAnsi="Arial" w:cs="Arial"/>
          <w:sz w:val="22"/>
          <w:szCs w:val="22"/>
        </w:rPr>
      </w:pPr>
      <w:r>
        <w:rPr>
          <w:rFonts w:ascii="Arial" w:eastAsia="Arial" w:hAnsi="Arial" w:cs="Arial"/>
          <w:sz w:val="22"/>
          <w:szCs w:val="22"/>
        </w:rPr>
        <w:t xml:space="preserve">En el mismo año, el estudio “Respuestas de Carabineros frente a denuncias realizadas por mujeres que vivieron violencia” realizado por </w:t>
      </w:r>
      <w:r w:rsidR="00BF6193">
        <w:rPr>
          <w:rFonts w:ascii="Arial" w:eastAsia="Arial" w:hAnsi="Arial" w:cs="Arial"/>
          <w:sz w:val="22"/>
          <w:szCs w:val="22"/>
        </w:rPr>
        <w:t>esta organización</w:t>
      </w:r>
      <w:r>
        <w:rPr>
          <w:rFonts w:ascii="Arial" w:eastAsia="Arial" w:hAnsi="Arial" w:cs="Arial"/>
          <w:sz w:val="22"/>
          <w:szCs w:val="22"/>
        </w:rPr>
        <w:t xml:space="preserve">, </w:t>
      </w:r>
      <w:r w:rsidR="004574C3">
        <w:rPr>
          <w:rFonts w:ascii="Arial" w:eastAsia="Arial" w:hAnsi="Arial" w:cs="Arial"/>
          <w:sz w:val="22"/>
          <w:szCs w:val="22"/>
        </w:rPr>
        <w:t>recopiló</w:t>
      </w:r>
      <w:r>
        <w:rPr>
          <w:rFonts w:ascii="Arial" w:eastAsia="Arial" w:hAnsi="Arial" w:cs="Arial"/>
          <w:sz w:val="22"/>
          <w:szCs w:val="22"/>
        </w:rPr>
        <w:t xml:space="preserve"> 205 testimonios </w:t>
      </w:r>
      <w:r w:rsidR="004574C3">
        <w:rPr>
          <w:rFonts w:ascii="Arial" w:eastAsia="Arial" w:hAnsi="Arial" w:cs="Arial"/>
          <w:sz w:val="22"/>
          <w:szCs w:val="22"/>
        </w:rPr>
        <w:t>de mujeres.</w:t>
      </w:r>
      <w:r>
        <w:rPr>
          <w:rFonts w:ascii="Arial" w:eastAsia="Arial" w:hAnsi="Arial" w:cs="Arial"/>
          <w:sz w:val="22"/>
          <w:szCs w:val="22"/>
        </w:rPr>
        <w:t xml:space="preserve"> </w:t>
      </w:r>
      <w:r w:rsidR="004574C3">
        <w:rPr>
          <w:rFonts w:ascii="Arial" w:eastAsia="Arial" w:hAnsi="Arial" w:cs="Arial"/>
          <w:sz w:val="22"/>
          <w:szCs w:val="22"/>
        </w:rPr>
        <w:t>U</w:t>
      </w:r>
      <w:r>
        <w:rPr>
          <w:rFonts w:ascii="Arial" w:eastAsia="Arial" w:hAnsi="Arial" w:cs="Arial"/>
          <w:sz w:val="22"/>
          <w:szCs w:val="22"/>
        </w:rPr>
        <w:t>n 80% de las participantes aseguró que su experiencia de denuncia a Carabineros, o intento de denuncia, fue negativa. Los relatos reflejan una serie de malas prácticas en un momento de especial vulnerabilidad: cuestionamientos, risas y burlas, minimización o naturalización de lo vivido, o de plano la denegación de la posibilidad de denuncia</w:t>
      </w:r>
      <w:r>
        <w:rPr>
          <w:rFonts w:ascii="Arial" w:eastAsia="Arial" w:hAnsi="Arial" w:cs="Arial"/>
          <w:sz w:val="22"/>
          <w:szCs w:val="22"/>
          <w:vertAlign w:val="superscript"/>
        </w:rPr>
        <w:footnoteReference w:id="6"/>
      </w:r>
      <w:r>
        <w:rPr>
          <w:rFonts w:ascii="Arial" w:eastAsia="Arial" w:hAnsi="Arial" w:cs="Arial"/>
          <w:sz w:val="22"/>
          <w:szCs w:val="22"/>
        </w:rPr>
        <w:t xml:space="preserve">. </w:t>
      </w:r>
    </w:p>
    <w:p w14:paraId="09C80721" w14:textId="6FCA7335" w:rsidR="00BE0CC0" w:rsidRDefault="004574C3">
      <w:pPr>
        <w:jc w:val="both"/>
        <w:rPr>
          <w:rFonts w:ascii="Arial" w:eastAsia="Arial" w:hAnsi="Arial" w:cs="Arial"/>
          <w:b/>
          <w:sz w:val="22"/>
          <w:szCs w:val="22"/>
        </w:rPr>
      </w:pPr>
      <w:r>
        <w:rPr>
          <w:rFonts w:ascii="Arial" w:eastAsia="Arial" w:hAnsi="Arial" w:cs="Arial"/>
          <w:sz w:val="22"/>
          <w:szCs w:val="22"/>
        </w:rPr>
        <w:t>E</w:t>
      </w:r>
      <w:r w:rsidR="00604654">
        <w:rPr>
          <w:rFonts w:ascii="Arial" w:eastAsia="Arial" w:hAnsi="Arial" w:cs="Arial"/>
          <w:sz w:val="22"/>
          <w:szCs w:val="22"/>
        </w:rPr>
        <w:t xml:space="preserve">s importante mencionar que las mujeres sordas son particularmente </w:t>
      </w:r>
      <w:r w:rsidR="004D3FD6">
        <w:rPr>
          <w:rFonts w:ascii="Arial" w:eastAsia="Arial" w:hAnsi="Arial" w:cs="Arial"/>
          <w:sz w:val="22"/>
          <w:szCs w:val="22"/>
        </w:rPr>
        <w:t>vulneradas</w:t>
      </w:r>
      <w:r w:rsidR="00604654">
        <w:rPr>
          <w:rFonts w:ascii="Arial" w:eastAsia="Arial" w:hAnsi="Arial" w:cs="Arial"/>
          <w:sz w:val="22"/>
          <w:szCs w:val="22"/>
        </w:rPr>
        <w:t xml:space="preserve">. Las </w:t>
      </w:r>
      <w:r w:rsidR="00421BCB">
        <w:rPr>
          <w:rFonts w:ascii="Arial" w:eastAsia="Arial" w:hAnsi="Arial" w:cs="Arial"/>
          <w:sz w:val="22"/>
          <w:szCs w:val="22"/>
        </w:rPr>
        <w:t>i</w:t>
      </w:r>
      <w:r w:rsidR="00604654">
        <w:rPr>
          <w:rFonts w:ascii="Arial" w:eastAsia="Arial" w:hAnsi="Arial" w:cs="Arial"/>
          <w:sz w:val="22"/>
          <w:szCs w:val="22"/>
        </w:rPr>
        <w:t>nstituciones del Estado no poseen intérpretes permanentes</w:t>
      </w:r>
      <w:r w:rsidR="00421BCB">
        <w:rPr>
          <w:rFonts w:ascii="Arial" w:eastAsia="Arial" w:hAnsi="Arial" w:cs="Arial"/>
          <w:sz w:val="22"/>
          <w:szCs w:val="22"/>
        </w:rPr>
        <w:t xml:space="preserve"> ni capacitan a funcionarias/os</w:t>
      </w:r>
      <w:r w:rsidR="00604654">
        <w:rPr>
          <w:rFonts w:ascii="Arial" w:eastAsia="Arial" w:hAnsi="Arial" w:cs="Arial"/>
          <w:sz w:val="22"/>
          <w:szCs w:val="22"/>
        </w:rPr>
        <w:t xml:space="preserve">. </w:t>
      </w:r>
      <w:r w:rsidR="00421BCB">
        <w:rPr>
          <w:rFonts w:ascii="Arial" w:eastAsia="Arial" w:hAnsi="Arial" w:cs="Arial"/>
          <w:sz w:val="22"/>
          <w:szCs w:val="22"/>
        </w:rPr>
        <w:t>L</w:t>
      </w:r>
      <w:r w:rsidR="00604654">
        <w:rPr>
          <w:rFonts w:ascii="Arial" w:eastAsia="Arial" w:hAnsi="Arial" w:cs="Arial"/>
          <w:sz w:val="22"/>
          <w:szCs w:val="22"/>
        </w:rPr>
        <w:t xml:space="preserve">as líneas telefónicas de orientación y denuncia son insuficientes, </w:t>
      </w:r>
      <w:r w:rsidR="00421BCB">
        <w:rPr>
          <w:rFonts w:ascii="Arial" w:eastAsia="Arial" w:hAnsi="Arial" w:cs="Arial"/>
          <w:sz w:val="22"/>
          <w:szCs w:val="22"/>
        </w:rPr>
        <w:t>pues</w:t>
      </w:r>
      <w:r w:rsidR="00604654">
        <w:rPr>
          <w:rFonts w:ascii="Arial" w:eastAsia="Arial" w:hAnsi="Arial" w:cs="Arial"/>
          <w:sz w:val="22"/>
          <w:szCs w:val="22"/>
        </w:rPr>
        <w:t xml:space="preserve"> no cuentan con posibilidad de videollamada para comunicación con mujeres sordas. En una línea similar, la Red Chilena contra la Violencia hacia las Mujeres quisiera expresar su preocupación por la implementación de mecanismos que posibiliten la participación de mujeres sordas organizadas en los informes elaborados por CEDAW, como es el caso de Fundación Camila</w:t>
      </w:r>
      <w:r w:rsidR="00523298">
        <w:rPr>
          <w:rFonts w:ascii="Arial" w:eastAsia="Arial" w:hAnsi="Arial" w:cs="Arial"/>
          <w:sz w:val="22"/>
          <w:szCs w:val="22"/>
        </w:rPr>
        <w:t>.</w:t>
      </w:r>
    </w:p>
    <w:p w14:paraId="09C80722" w14:textId="77777777" w:rsidR="00BE0CC0" w:rsidRDefault="00604654">
      <w:pPr>
        <w:spacing w:line="276" w:lineRule="auto"/>
        <w:jc w:val="both"/>
        <w:rPr>
          <w:rFonts w:ascii="Arial" w:eastAsia="Arial" w:hAnsi="Arial" w:cs="Arial"/>
          <w:b/>
          <w:sz w:val="22"/>
          <w:szCs w:val="22"/>
        </w:rPr>
      </w:pPr>
      <w:r>
        <w:rPr>
          <w:rFonts w:ascii="Arial" w:eastAsia="Arial" w:hAnsi="Arial" w:cs="Arial"/>
          <w:b/>
          <w:sz w:val="22"/>
          <w:szCs w:val="22"/>
        </w:rPr>
        <w:t>Trata de mujeres y niñas</w:t>
      </w:r>
    </w:p>
    <w:p w14:paraId="4A77B727" w14:textId="77777777" w:rsidR="00523298" w:rsidRDefault="00523298">
      <w:pPr>
        <w:spacing w:line="276" w:lineRule="auto"/>
        <w:jc w:val="both"/>
        <w:rPr>
          <w:rFonts w:ascii="Arial" w:eastAsia="Arial" w:hAnsi="Arial" w:cs="Arial"/>
          <w:sz w:val="22"/>
          <w:szCs w:val="22"/>
        </w:rPr>
      </w:pPr>
      <w:r>
        <w:rPr>
          <w:rFonts w:ascii="Arial" w:eastAsia="Arial" w:hAnsi="Arial" w:cs="Arial"/>
          <w:sz w:val="22"/>
          <w:szCs w:val="22"/>
        </w:rPr>
        <w:t>E</w:t>
      </w:r>
      <w:r w:rsidR="00604654">
        <w:rPr>
          <w:rFonts w:ascii="Arial" w:eastAsia="Arial" w:hAnsi="Arial" w:cs="Arial"/>
          <w:sz w:val="22"/>
          <w:szCs w:val="22"/>
        </w:rPr>
        <w:t>l delito de Explotación Sexual de Niñas, Niños y Adolescentes (ESNNA) afecta, mayoritariamente, a niñas y jóvenes. Según informa Actuar es Urgente, el año 2023 se identificó a 1.231 víctimas de este delito, de las cuales un 86% son mujeres y 14% son hombres. En términos de edades, respecto a las mujeres, 2 de cada 3 víctimas tenía entre 14 y 17 años</w:t>
      </w:r>
      <w:r w:rsidR="00604654">
        <w:rPr>
          <w:rFonts w:ascii="Arial" w:eastAsia="Arial" w:hAnsi="Arial" w:cs="Arial"/>
          <w:sz w:val="22"/>
          <w:szCs w:val="22"/>
          <w:vertAlign w:val="superscript"/>
        </w:rPr>
        <w:footnoteReference w:id="7"/>
      </w:r>
      <w:r w:rsidR="00604654">
        <w:rPr>
          <w:rFonts w:ascii="Arial" w:eastAsia="Arial" w:hAnsi="Arial" w:cs="Arial"/>
          <w:sz w:val="22"/>
          <w:szCs w:val="22"/>
        </w:rPr>
        <w:t xml:space="preserve">. </w:t>
      </w:r>
    </w:p>
    <w:p w14:paraId="1348F493" w14:textId="77777777" w:rsidR="00050266" w:rsidRPr="00050266" w:rsidRDefault="00050266" w:rsidP="00050266">
      <w:pPr>
        <w:spacing w:line="276" w:lineRule="auto"/>
        <w:jc w:val="both"/>
        <w:rPr>
          <w:rFonts w:ascii="Arial" w:eastAsia="Arial" w:hAnsi="Arial" w:cs="Arial"/>
          <w:sz w:val="22"/>
          <w:szCs w:val="22"/>
        </w:rPr>
      </w:pPr>
      <w:r w:rsidRPr="00050266">
        <w:rPr>
          <w:rFonts w:ascii="Arial" w:eastAsia="Arial" w:hAnsi="Arial" w:cs="Arial"/>
          <w:sz w:val="22"/>
          <w:szCs w:val="22"/>
        </w:rPr>
        <w:lastRenderedPageBreak/>
        <w:t>Tabla 3. Explotación Sexual de Niñas, Niños y Adolescentes por género</w:t>
      </w:r>
    </w:p>
    <w:p w14:paraId="70DB7128" w14:textId="69FCCEE8" w:rsidR="00050266" w:rsidRPr="00050266" w:rsidRDefault="00050266" w:rsidP="00050266">
      <w:pPr>
        <w:spacing w:line="276" w:lineRule="auto"/>
        <w:jc w:val="center"/>
        <w:rPr>
          <w:rFonts w:ascii="Arial" w:eastAsia="Arial" w:hAnsi="Arial" w:cs="Arial"/>
          <w:sz w:val="22"/>
          <w:szCs w:val="22"/>
        </w:rPr>
      </w:pPr>
      <w:r w:rsidRPr="00050266">
        <w:rPr>
          <w:rFonts w:ascii="Arial" w:eastAsia="Arial" w:hAnsi="Arial" w:cs="Arial"/>
          <w:noProof/>
          <w:sz w:val="22"/>
          <w:szCs w:val="22"/>
        </w:rPr>
        <w:drawing>
          <wp:inline distT="0" distB="0" distL="0" distR="0" wp14:anchorId="6D9F4C8F" wp14:editId="6373BBE9">
            <wp:extent cx="2621280" cy="952500"/>
            <wp:effectExtent l="0" t="0" r="7620" b="0"/>
            <wp:docPr id="1299635797" name="Imagen 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bl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1280" cy="952500"/>
                    </a:xfrm>
                    <a:prstGeom prst="rect">
                      <a:avLst/>
                    </a:prstGeom>
                    <a:noFill/>
                    <a:ln>
                      <a:noFill/>
                    </a:ln>
                  </pic:spPr>
                </pic:pic>
              </a:graphicData>
            </a:graphic>
          </wp:inline>
        </w:drawing>
      </w:r>
    </w:p>
    <w:p w14:paraId="2D910FDB" w14:textId="77777777" w:rsidR="00050266" w:rsidRPr="00050266" w:rsidRDefault="00050266" w:rsidP="00050266">
      <w:pPr>
        <w:spacing w:line="276" w:lineRule="auto"/>
        <w:jc w:val="center"/>
        <w:rPr>
          <w:rFonts w:ascii="Arial" w:eastAsia="Arial" w:hAnsi="Arial" w:cs="Arial"/>
          <w:sz w:val="18"/>
          <w:szCs w:val="18"/>
        </w:rPr>
      </w:pPr>
      <w:r w:rsidRPr="00050266">
        <w:rPr>
          <w:rFonts w:ascii="Arial" w:eastAsia="Arial" w:hAnsi="Arial" w:cs="Arial"/>
          <w:sz w:val="18"/>
          <w:szCs w:val="18"/>
        </w:rPr>
        <w:t>Fuente: Elaboración propia en base a datos de la Subsecretaría de la Niñez.</w:t>
      </w:r>
    </w:p>
    <w:p w14:paraId="2E62ED2C" w14:textId="660C86C2" w:rsidR="00301089" w:rsidRPr="00301089" w:rsidRDefault="00523298" w:rsidP="00301089">
      <w:pPr>
        <w:spacing w:line="276" w:lineRule="auto"/>
        <w:jc w:val="both"/>
        <w:rPr>
          <w:rFonts w:ascii="Arial" w:eastAsia="Arial" w:hAnsi="Arial" w:cs="Arial"/>
          <w:sz w:val="22"/>
          <w:szCs w:val="22"/>
        </w:rPr>
      </w:pPr>
      <w:r>
        <w:rPr>
          <w:rFonts w:ascii="Arial" w:eastAsia="Arial" w:hAnsi="Arial" w:cs="Arial"/>
          <w:sz w:val="22"/>
          <w:szCs w:val="22"/>
        </w:rPr>
        <w:t xml:space="preserve">Los </w:t>
      </w:r>
      <w:r w:rsidR="00604654">
        <w:rPr>
          <w:rFonts w:ascii="Arial" w:eastAsia="Arial" w:hAnsi="Arial" w:cs="Arial"/>
          <w:sz w:val="22"/>
          <w:szCs w:val="22"/>
        </w:rPr>
        <w:t>lugares de mayor vulnerabilidad son las residencias de protección</w:t>
      </w:r>
      <w:r w:rsidR="00604654">
        <w:rPr>
          <w:rFonts w:ascii="Arial" w:eastAsia="Arial" w:hAnsi="Arial" w:cs="Arial"/>
          <w:sz w:val="22"/>
          <w:szCs w:val="22"/>
          <w:vertAlign w:val="superscript"/>
        </w:rPr>
        <w:footnoteReference w:id="8"/>
      </w:r>
      <w:r w:rsidR="00604654">
        <w:rPr>
          <w:rFonts w:ascii="Arial" w:eastAsia="Arial" w:hAnsi="Arial" w:cs="Arial"/>
          <w:sz w:val="22"/>
          <w:szCs w:val="22"/>
        </w:rPr>
        <w:t xml:space="preserve">. </w:t>
      </w:r>
      <w:r w:rsidR="00301089" w:rsidRPr="00301089">
        <w:rPr>
          <w:rFonts w:ascii="Arial" w:eastAsia="Arial" w:hAnsi="Arial" w:cs="Arial"/>
          <w:sz w:val="22"/>
          <w:szCs w:val="22"/>
        </w:rPr>
        <w:t>La principal causa por la que niñas y adolescentes terminan bajo la tutela del Estado es haber sido víctima de agresiones sexuales, más las instituciones no cuentan con mecanismos apropiados para la reparación y el acceso a la justicia. Similar a como ocurre en otros crímenes que afectan principalmente a mujeres, los procesos judiciales tienden a ser inconducentes y presentar múltiples barreras, profundizando la vulnerabilidad en que se encuentran estas niñas y jóvenes.</w:t>
      </w:r>
    </w:p>
    <w:p w14:paraId="09C80728" w14:textId="2431765F" w:rsidR="00BE0CC0" w:rsidRDefault="00604654" w:rsidP="00301089">
      <w:pPr>
        <w:spacing w:line="276" w:lineRule="auto"/>
        <w:jc w:val="both"/>
        <w:rPr>
          <w:rFonts w:ascii="Arial" w:eastAsia="Arial" w:hAnsi="Arial" w:cs="Arial"/>
          <w:sz w:val="22"/>
          <w:szCs w:val="22"/>
        </w:rPr>
      </w:pPr>
      <w:r>
        <w:rPr>
          <w:rFonts w:ascii="Arial" w:eastAsia="Arial" w:hAnsi="Arial" w:cs="Arial"/>
          <w:sz w:val="22"/>
          <w:szCs w:val="22"/>
        </w:rPr>
        <w:t>Actuar es Urgente indica: “la debilidad de las residencias las ha convertido en un espacio de fácil captura para la explotación sexual y resulta vital levantar las alertas ante señales de riesgo de ESNNA, sin estigmatizar ni revictimizar”</w:t>
      </w:r>
      <w:r>
        <w:rPr>
          <w:rFonts w:ascii="Arial" w:eastAsia="Arial" w:hAnsi="Arial" w:cs="Arial"/>
          <w:sz w:val="22"/>
          <w:szCs w:val="22"/>
          <w:vertAlign w:val="superscript"/>
        </w:rPr>
        <w:footnoteReference w:id="9"/>
      </w:r>
      <w:r>
        <w:rPr>
          <w:rFonts w:ascii="Arial" w:eastAsia="Arial" w:hAnsi="Arial" w:cs="Arial"/>
          <w:sz w:val="22"/>
          <w:szCs w:val="22"/>
        </w:rPr>
        <w:t>. Se estima que, en 2023, Mejor Niñez levantó circulares de alerta por riesgo de Explotación Sexual por una de cada 10 niñas y adolescentes en residencias. A esta alarmante cifra se suma que, para agosto de 2023, el Poder Judicial reportó que se desconoce el paradero de 256 niños, niñas y adolescentes bajo la tutela del Estado. De estos, 166 corresponden a mujeres (64,8%) y 90 son hombres (35,1%); y en su mayoría se trata de jóvenes entre 14 y 17 años</w:t>
      </w:r>
      <w:r>
        <w:rPr>
          <w:rFonts w:ascii="Arial" w:eastAsia="Arial" w:hAnsi="Arial" w:cs="Arial"/>
          <w:sz w:val="22"/>
          <w:szCs w:val="22"/>
          <w:vertAlign w:val="superscript"/>
        </w:rPr>
        <w:footnoteReference w:id="10"/>
      </w:r>
      <w:r>
        <w:rPr>
          <w:rFonts w:ascii="Arial" w:eastAsia="Arial" w:hAnsi="Arial" w:cs="Arial"/>
          <w:sz w:val="22"/>
          <w:szCs w:val="22"/>
        </w:rPr>
        <w:t>.</w:t>
      </w:r>
    </w:p>
    <w:p w14:paraId="09C80729" w14:textId="42C7754C" w:rsidR="00BE0CC0" w:rsidRDefault="00604654">
      <w:pPr>
        <w:spacing w:after="200" w:line="276" w:lineRule="auto"/>
        <w:jc w:val="both"/>
        <w:rPr>
          <w:rFonts w:ascii="Arial" w:eastAsia="Arial" w:hAnsi="Arial" w:cs="Arial"/>
          <w:sz w:val="22"/>
          <w:szCs w:val="22"/>
        </w:rPr>
      </w:pPr>
      <w:r>
        <w:rPr>
          <w:rFonts w:ascii="Arial" w:eastAsia="Arial" w:hAnsi="Arial" w:cs="Arial"/>
          <w:sz w:val="22"/>
          <w:szCs w:val="22"/>
        </w:rPr>
        <w:t xml:space="preserve">Respecto a las mujeres víctimas de trata, el informe </w:t>
      </w:r>
      <w:r w:rsidR="00CB01F3">
        <w:rPr>
          <w:rFonts w:ascii="Arial" w:eastAsia="Arial" w:hAnsi="Arial" w:cs="Arial"/>
          <w:sz w:val="22"/>
          <w:szCs w:val="22"/>
        </w:rPr>
        <w:t>de</w:t>
      </w:r>
      <w:r>
        <w:rPr>
          <w:rFonts w:ascii="Arial" w:eastAsia="Arial" w:hAnsi="Arial" w:cs="Arial"/>
          <w:sz w:val="22"/>
          <w:szCs w:val="22"/>
        </w:rPr>
        <w:t xml:space="preserve"> la Mesa Intersectorial de Trata (2011-2022) indica que los casos judicializados en este periodo por el delito de trata suman un total de 286 víctimas, de las cuales 181 (64%) son mujeres. Es preciso problematizar dichas cifras pues solo son las causas que logran ser judicializadas. La Red Chilena contra la Violencia hacia las Mujeres es parte del Observatorio Latinoamericano sobre Tráfico y Trata de Personas - Capítulo Chileno y está en conocimiento de la dificultad en el acceso a la justicia para las víctimas de trata. </w:t>
      </w:r>
    </w:p>
    <w:p w14:paraId="09C8072A" w14:textId="12BE9121" w:rsidR="00BE0CC0" w:rsidRDefault="00604654">
      <w:pPr>
        <w:spacing w:after="200" w:line="276" w:lineRule="auto"/>
        <w:jc w:val="both"/>
        <w:rPr>
          <w:rFonts w:ascii="Arial" w:eastAsia="Arial" w:hAnsi="Arial" w:cs="Arial"/>
          <w:sz w:val="22"/>
          <w:szCs w:val="22"/>
        </w:rPr>
      </w:pPr>
      <w:r>
        <w:rPr>
          <w:rFonts w:ascii="Arial" w:eastAsia="Arial" w:hAnsi="Arial" w:cs="Arial"/>
          <w:sz w:val="22"/>
          <w:szCs w:val="22"/>
        </w:rPr>
        <w:t xml:space="preserve">Lo anterior debido a varias situaciones que configuran este delito, a mencionar: la dificultad de que las mujeres se identifiquen como víctimas; que sabiéndose víctimas logren escapar o ser rescatadas; que una vez logrado escapar de las redes de trata decidan denunciar; que la denuncia sea considerada con la gravedad de los hechos y que se activen protocolos inmediatos de acción; que </w:t>
      </w:r>
      <w:r w:rsidR="00B906BE">
        <w:rPr>
          <w:rFonts w:ascii="Arial" w:eastAsia="Arial" w:hAnsi="Arial" w:cs="Arial"/>
          <w:sz w:val="22"/>
          <w:szCs w:val="22"/>
        </w:rPr>
        <w:t>aun</w:t>
      </w:r>
      <w:r>
        <w:rPr>
          <w:rFonts w:ascii="Arial" w:eastAsia="Arial" w:hAnsi="Arial" w:cs="Arial"/>
          <w:sz w:val="22"/>
          <w:szCs w:val="22"/>
        </w:rPr>
        <w:t xml:space="preserve"> habiendo denunciado por trata, no se tipifique el delito como tráfico por desconocimiento o falta de experiencia por parte de jueces. Todo esto, sin considerar el legítimo derecho de las víctimas a no denunciar, lo que se invisibiliza en el </w:t>
      </w:r>
      <w:r>
        <w:rPr>
          <w:rFonts w:ascii="Arial" w:eastAsia="Arial" w:hAnsi="Arial" w:cs="Arial"/>
          <w:sz w:val="22"/>
          <w:szCs w:val="22"/>
        </w:rPr>
        <w:lastRenderedPageBreak/>
        <w:t>informe de Mesa Intersectorial ya mencionado, puesto que no hay cifras representativas al respecto.</w:t>
      </w:r>
    </w:p>
    <w:p w14:paraId="09C8072B" w14:textId="77256D5F" w:rsidR="00BE0CC0" w:rsidRDefault="009C3A17">
      <w:pPr>
        <w:spacing w:after="200" w:line="276" w:lineRule="auto"/>
        <w:jc w:val="both"/>
        <w:rPr>
          <w:rFonts w:ascii="Arial" w:eastAsia="Arial" w:hAnsi="Arial" w:cs="Arial"/>
          <w:sz w:val="22"/>
          <w:szCs w:val="22"/>
        </w:rPr>
      </w:pPr>
      <w:r>
        <w:rPr>
          <w:rFonts w:ascii="Arial" w:eastAsia="Arial" w:hAnsi="Arial" w:cs="Arial"/>
          <w:sz w:val="22"/>
          <w:szCs w:val="22"/>
        </w:rPr>
        <w:t xml:space="preserve">Producto de la negligencia del Estado </w:t>
      </w:r>
      <w:r w:rsidR="00AF49EB">
        <w:rPr>
          <w:rFonts w:ascii="Arial" w:eastAsia="Arial" w:hAnsi="Arial" w:cs="Arial"/>
          <w:sz w:val="22"/>
          <w:szCs w:val="22"/>
        </w:rPr>
        <w:t>en temas de trata, e</w:t>
      </w:r>
      <w:r w:rsidR="00604654">
        <w:rPr>
          <w:rFonts w:ascii="Arial" w:eastAsia="Arial" w:hAnsi="Arial" w:cs="Arial"/>
          <w:sz w:val="22"/>
          <w:szCs w:val="22"/>
        </w:rPr>
        <w:t xml:space="preserve">n muchos casos son organizaciones de la sociedad civil </w:t>
      </w:r>
      <w:r w:rsidR="00260CEC">
        <w:rPr>
          <w:rFonts w:ascii="Arial" w:eastAsia="Arial" w:hAnsi="Arial" w:cs="Arial"/>
          <w:sz w:val="22"/>
          <w:szCs w:val="22"/>
        </w:rPr>
        <w:t>qu</w:t>
      </w:r>
      <w:r w:rsidR="004473B6">
        <w:rPr>
          <w:rFonts w:ascii="Arial" w:eastAsia="Arial" w:hAnsi="Arial" w:cs="Arial"/>
          <w:sz w:val="22"/>
          <w:szCs w:val="22"/>
        </w:rPr>
        <w:t>i</w:t>
      </w:r>
      <w:r w:rsidR="00260CEC">
        <w:rPr>
          <w:rFonts w:ascii="Arial" w:eastAsia="Arial" w:hAnsi="Arial" w:cs="Arial"/>
          <w:sz w:val="22"/>
          <w:szCs w:val="22"/>
        </w:rPr>
        <w:t>e</w:t>
      </w:r>
      <w:r w:rsidR="004473B6">
        <w:rPr>
          <w:rFonts w:ascii="Arial" w:eastAsia="Arial" w:hAnsi="Arial" w:cs="Arial"/>
          <w:sz w:val="22"/>
          <w:szCs w:val="22"/>
        </w:rPr>
        <w:t>nes</w:t>
      </w:r>
      <w:r w:rsidR="00260CEC">
        <w:rPr>
          <w:rFonts w:ascii="Arial" w:eastAsia="Arial" w:hAnsi="Arial" w:cs="Arial"/>
          <w:sz w:val="22"/>
          <w:szCs w:val="22"/>
        </w:rPr>
        <w:t xml:space="preserve">, </w:t>
      </w:r>
      <w:r w:rsidR="00604654">
        <w:rPr>
          <w:rFonts w:ascii="Arial" w:eastAsia="Arial" w:hAnsi="Arial" w:cs="Arial"/>
          <w:sz w:val="22"/>
          <w:szCs w:val="22"/>
        </w:rPr>
        <w:t xml:space="preserve">sensibilizadas </w:t>
      </w:r>
      <w:r w:rsidR="00260CEC">
        <w:rPr>
          <w:rFonts w:ascii="Arial" w:eastAsia="Arial" w:hAnsi="Arial" w:cs="Arial"/>
          <w:sz w:val="22"/>
          <w:szCs w:val="22"/>
        </w:rPr>
        <w:t xml:space="preserve">y dispuestas a accionar en contra de </w:t>
      </w:r>
      <w:r w:rsidR="00604654">
        <w:rPr>
          <w:rFonts w:ascii="Arial" w:eastAsia="Arial" w:hAnsi="Arial" w:cs="Arial"/>
          <w:sz w:val="22"/>
          <w:szCs w:val="22"/>
        </w:rPr>
        <w:t>la trata de personas</w:t>
      </w:r>
      <w:r w:rsidR="004473B6">
        <w:rPr>
          <w:rFonts w:ascii="Arial" w:eastAsia="Arial" w:hAnsi="Arial" w:cs="Arial"/>
          <w:sz w:val="22"/>
          <w:szCs w:val="22"/>
        </w:rPr>
        <w:t>,</w:t>
      </w:r>
      <w:r w:rsidR="00604654">
        <w:rPr>
          <w:rFonts w:ascii="Arial" w:eastAsia="Arial" w:hAnsi="Arial" w:cs="Arial"/>
          <w:sz w:val="22"/>
          <w:szCs w:val="22"/>
        </w:rPr>
        <w:t xml:space="preserve"> </w:t>
      </w:r>
      <w:r w:rsidR="004473B6">
        <w:rPr>
          <w:rFonts w:ascii="Arial" w:eastAsia="Arial" w:hAnsi="Arial" w:cs="Arial"/>
          <w:sz w:val="22"/>
          <w:szCs w:val="22"/>
        </w:rPr>
        <w:t>hacen la recepción de la denuncia y acompañan a la víctima en su proceso de reparación. Ello incluye la generación de</w:t>
      </w:r>
      <w:r w:rsidR="00604654">
        <w:rPr>
          <w:rFonts w:ascii="Arial" w:eastAsia="Arial" w:hAnsi="Arial" w:cs="Arial"/>
          <w:sz w:val="22"/>
          <w:szCs w:val="22"/>
        </w:rPr>
        <w:t xml:space="preserve"> redes</w:t>
      </w:r>
      <w:r w:rsidR="004473B6">
        <w:rPr>
          <w:rFonts w:ascii="Arial" w:eastAsia="Arial" w:hAnsi="Arial" w:cs="Arial"/>
          <w:sz w:val="22"/>
          <w:szCs w:val="22"/>
        </w:rPr>
        <w:t xml:space="preserve"> de apoyo,</w:t>
      </w:r>
      <w:r w:rsidR="00604654">
        <w:rPr>
          <w:rFonts w:ascii="Arial" w:eastAsia="Arial" w:hAnsi="Arial" w:cs="Arial"/>
          <w:sz w:val="22"/>
          <w:szCs w:val="22"/>
        </w:rPr>
        <w:t xml:space="preserve"> </w:t>
      </w:r>
      <w:r w:rsidR="004473B6">
        <w:rPr>
          <w:rFonts w:ascii="Arial" w:eastAsia="Arial" w:hAnsi="Arial" w:cs="Arial"/>
          <w:sz w:val="22"/>
          <w:szCs w:val="22"/>
        </w:rPr>
        <w:t xml:space="preserve">colaborar </w:t>
      </w:r>
      <w:r>
        <w:rPr>
          <w:rFonts w:ascii="Arial" w:eastAsia="Arial" w:hAnsi="Arial" w:cs="Arial"/>
          <w:sz w:val="22"/>
          <w:szCs w:val="22"/>
        </w:rPr>
        <w:t xml:space="preserve">para la creación de </w:t>
      </w:r>
      <w:r w:rsidR="00604654">
        <w:rPr>
          <w:rFonts w:ascii="Arial" w:eastAsia="Arial" w:hAnsi="Arial" w:cs="Arial"/>
          <w:sz w:val="22"/>
          <w:szCs w:val="22"/>
        </w:rPr>
        <w:t>nuevos proyectos de vida y/o financiamiento para retornar a</w:t>
      </w:r>
      <w:r>
        <w:rPr>
          <w:rFonts w:ascii="Arial" w:eastAsia="Arial" w:hAnsi="Arial" w:cs="Arial"/>
          <w:sz w:val="22"/>
          <w:szCs w:val="22"/>
        </w:rPr>
        <w:t>l</w:t>
      </w:r>
      <w:r w:rsidR="00604654">
        <w:rPr>
          <w:rFonts w:ascii="Arial" w:eastAsia="Arial" w:hAnsi="Arial" w:cs="Arial"/>
          <w:sz w:val="22"/>
          <w:szCs w:val="22"/>
        </w:rPr>
        <w:t xml:space="preserve"> </w:t>
      </w:r>
      <w:r>
        <w:rPr>
          <w:rFonts w:ascii="Arial" w:eastAsia="Arial" w:hAnsi="Arial" w:cs="Arial"/>
          <w:sz w:val="22"/>
          <w:szCs w:val="22"/>
        </w:rPr>
        <w:t>país</w:t>
      </w:r>
      <w:r w:rsidR="00604654">
        <w:rPr>
          <w:rFonts w:ascii="Arial" w:eastAsia="Arial" w:hAnsi="Arial" w:cs="Arial"/>
          <w:sz w:val="22"/>
          <w:szCs w:val="22"/>
        </w:rPr>
        <w:t xml:space="preserve"> de origen</w:t>
      </w:r>
      <w:r w:rsidR="00AF49EB">
        <w:rPr>
          <w:rFonts w:ascii="Arial" w:eastAsia="Arial" w:hAnsi="Arial" w:cs="Arial"/>
          <w:sz w:val="22"/>
          <w:szCs w:val="22"/>
        </w:rPr>
        <w:t>.</w:t>
      </w:r>
    </w:p>
    <w:p w14:paraId="09C8072D" w14:textId="77777777" w:rsidR="00BE0CC0" w:rsidRDefault="00604654">
      <w:pPr>
        <w:spacing w:line="276" w:lineRule="auto"/>
        <w:jc w:val="both"/>
        <w:rPr>
          <w:rFonts w:ascii="Arial" w:eastAsia="Arial" w:hAnsi="Arial" w:cs="Arial"/>
          <w:b/>
          <w:sz w:val="22"/>
          <w:szCs w:val="22"/>
        </w:rPr>
      </w:pPr>
      <w:r>
        <w:rPr>
          <w:rFonts w:ascii="Arial" w:eastAsia="Arial" w:hAnsi="Arial" w:cs="Arial"/>
          <w:b/>
          <w:sz w:val="22"/>
          <w:szCs w:val="22"/>
        </w:rPr>
        <w:t>Salud</w:t>
      </w:r>
    </w:p>
    <w:p w14:paraId="09C8072F" w14:textId="330EDD72" w:rsidR="00BE0CC0" w:rsidRDefault="00604654">
      <w:pPr>
        <w:spacing w:line="276" w:lineRule="auto"/>
        <w:jc w:val="both"/>
        <w:rPr>
          <w:rFonts w:ascii="Arial" w:eastAsia="Arial" w:hAnsi="Arial" w:cs="Arial"/>
          <w:sz w:val="22"/>
          <w:szCs w:val="22"/>
        </w:rPr>
      </w:pPr>
      <w:r>
        <w:rPr>
          <w:rFonts w:ascii="Arial" w:eastAsia="Arial" w:hAnsi="Arial" w:cs="Arial"/>
          <w:sz w:val="22"/>
          <w:szCs w:val="22"/>
        </w:rPr>
        <w:t xml:space="preserve">En sus años de vigencia, la Ley IVE se ha caracterizado por las múltiples barreras que obstaculizan su correcta aplicación. </w:t>
      </w:r>
      <w:r w:rsidR="007E5A46">
        <w:rPr>
          <w:rFonts w:ascii="Arial" w:eastAsia="Arial" w:hAnsi="Arial" w:cs="Arial"/>
          <w:sz w:val="22"/>
          <w:szCs w:val="22"/>
        </w:rPr>
        <w:t>M</w:t>
      </w:r>
      <w:r>
        <w:rPr>
          <w:rFonts w:ascii="Arial" w:eastAsia="Arial" w:hAnsi="Arial" w:cs="Arial"/>
          <w:sz w:val="22"/>
          <w:szCs w:val="22"/>
        </w:rPr>
        <w:t xml:space="preserve">onitoreos efectuados por organizaciones feministas y de la sociedad civil -a saber: Mesa de Acción por el Aborto, Corporación Humanas y Corporación Miles- </w:t>
      </w:r>
      <w:r w:rsidR="007E5A46">
        <w:rPr>
          <w:rFonts w:ascii="Arial" w:eastAsia="Arial" w:hAnsi="Arial" w:cs="Arial"/>
          <w:sz w:val="22"/>
          <w:szCs w:val="22"/>
        </w:rPr>
        <w:t>demuestran</w:t>
      </w:r>
      <w:r>
        <w:rPr>
          <w:rFonts w:ascii="Arial" w:eastAsia="Arial" w:hAnsi="Arial" w:cs="Arial"/>
          <w:sz w:val="22"/>
          <w:szCs w:val="22"/>
        </w:rPr>
        <w:t xml:space="preserve"> desconocimiento por parte de los equipos de salud sobre cómo operan los protocolos de intervención cuando se constituye la causal o qué deben hacer para derivar. </w:t>
      </w:r>
    </w:p>
    <w:p w14:paraId="09C80731" w14:textId="25DAFE76" w:rsidR="00BE0CC0" w:rsidRDefault="007E5A46" w:rsidP="009609B9">
      <w:pPr>
        <w:spacing w:line="276" w:lineRule="auto"/>
        <w:jc w:val="both"/>
        <w:rPr>
          <w:rFonts w:ascii="Arial" w:eastAsia="Arial" w:hAnsi="Arial" w:cs="Arial"/>
          <w:sz w:val="22"/>
          <w:szCs w:val="22"/>
        </w:rPr>
      </w:pPr>
      <w:r>
        <w:rPr>
          <w:rFonts w:ascii="Arial" w:eastAsia="Arial" w:hAnsi="Arial" w:cs="Arial"/>
          <w:sz w:val="22"/>
          <w:szCs w:val="22"/>
        </w:rPr>
        <w:t>E</w:t>
      </w:r>
      <w:r w:rsidR="00604654">
        <w:rPr>
          <w:rFonts w:ascii="Arial" w:eastAsia="Arial" w:hAnsi="Arial" w:cs="Arial"/>
          <w:sz w:val="22"/>
          <w:szCs w:val="22"/>
        </w:rPr>
        <w:t xml:space="preserve">n todos estos estudios la objeción de conciencia profesional e institucional se señala como una barrera importante. </w:t>
      </w:r>
      <w:r w:rsidR="009609B9">
        <w:rPr>
          <w:rFonts w:ascii="Arial" w:eastAsia="Arial" w:hAnsi="Arial" w:cs="Arial"/>
          <w:sz w:val="22"/>
          <w:szCs w:val="22"/>
        </w:rPr>
        <w:t>En un estudio de Corporación Miles</w:t>
      </w:r>
      <w:r w:rsidR="00604654">
        <w:rPr>
          <w:rFonts w:ascii="Arial" w:eastAsia="Arial" w:hAnsi="Arial" w:cs="Arial"/>
          <w:sz w:val="22"/>
          <w:szCs w:val="22"/>
        </w:rPr>
        <w:t xml:space="preserve"> se señala que, hasta marzo de 2022, el 43% de los y las médicos obstetras del país se declararon objetores/as en la causal 3, un 23% en causal 2, y un 15% en causal 1. La causal de violación es la que presenta mayores complicaciones para su acceso, pues en 11 de los 29 establecimientos que conforman la red de hospitales públicos más de la mitad de los profesionales son objetores por esta </w:t>
      </w:r>
      <w:proofErr w:type="spellStart"/>
      <w:r w:rsidR="00604654">
        <w:rPr>
          <w:rFonts w:ascii="Arial" w:eastAsia="Arial" w:hAnsi="Arial" w:cs="Arial"/>
          <w:sz w:val="22"/>
          <w:szCs w:val="22"/>
        </w:rPr>
        <w:t>causal</w:t>
      </w:r>
      <w:proofErr w:type="spellEnd"/>
      <w:r w:rsidR="00604654">
        <w:rPr>
          <w:rFonts w:ascii="Arial" w:eastAsia="Arial" w:hAnsi="Arial" w:cs="Arial"/>
          <w:sz w:val="22"/>
          <w:szCs w:val="22"/>
          <w:vertAlign w:val="superscript"/>
        </w:rPr>
        <w:footnoteReference w:id="11"/>
      </w:r>
      <w:r w:rsidR="00604654">
        <w:rPr>
          <w:rFonts w:ascii="Arial" w:eastAsia="Arial" w:hAnsi="Arial" w:cs="Arial"/>
          <w:sz w:val="22"/>
          <w:szCs w:val="22"/>
        </w:rPr>
        <w:t>. Al respecto, en 2022, Corporación Humanas identificó cuatro localidades donde era imposible el acceso al aborto en caso de violación: Cauquenes y Constitución en la región del Maule, y Pitrufquén y Lautaro en la Araucanía</w:t>
      </w:r>
      <w:r w:rsidR="00604654">
        <w:rPr>
          <w:rFonts w:ascii="Arial" w:eastAsia="Arial" w:hAnsi="Arial" w:cs="Arial"/>
          <w:sz w:val="22"/>
          <w:szCs w:val="22"/>
          <w:vertAlign w:val="superscript"/>
        </w:rPr>
        <w:footnoteReference w:id="12"/>
      </w:r>
      <w:r w:rsidR="00604654">
        <w:rPr>
          <w:rFonts w:ascii="Arial" w:eastAsia="Arial" w:hAnsi="Arial" w:cs="Arial"/>
          <w:sz w:val="22"/>
          <w:szCs w:val="22"/>
        </w:rPr>
        <w:t>. Se observa que los monitoreos por parte del Ministerio de Salud son deficientes y por lo mismo el protocolo de derivación de casos no opera</w:t>
      </w:r>
      <w:r w:rsidR="00815A61">
        <w:rPr>
          <w:rFonts w:ascii="Arial" w:eastAsia="Arial" w:hAnsi="Arial" w:cs="Arial"/>
          <w:sz w:val="22"/>
          <w:szCs w:val="22"/>
        </w:rPr>
        <w:t xml:space="preserve"> </w:t>
      </w:r>
      <w:r w:rsidR="00604654">
        <w:rPr>
          <w:rFonts w:ascii="Arial" w:eastAsia="Arial" w:hAnsi="Arial" w:cs="Arial"/>
          <w:sz w:val="22"/>
          <w:szCs w:val="22"/>
        </w:rPr>
        <w:t>de manera óptima.</w:t>
      </w:r>
    </w:p>
    <w:p w14:paraId="09C80735" w14:textId="467D7D64" w:rsidR="00BE0CC0" w:rsidRDefault="00604654">
      <w:pPr>
        <w:spacing w:line="276" w:lineRule="auto"/>
        <w:jc w:val="both"/>
        <w:rPr>
          <w:rFonts w:ascii="Arial" w:eastAsia="Arial" w:hAnsi="Arial" w:cs="Arial"/>
          <w:b/>
          <w:sz w:val="22"/>
          <w:szCs w:val="22"/>
        </w:rPr>
      </w:pPr>
      <w:r>
        <w:rPr>
          <w:rFonts w:ascii="Arial" w:eastAsia="Arial" w:hAnsi="Arial" w:cs="Arial"/>
          <w:b/>
          <w:sz w:val="22"/>
          <w:szCs w:val="22"/>
        </w:rPr>
        <w:t>Empleo</w:t>
      </w:r>
    </w:p>
    <w:p w14:paraId="09C80736" w14:textId="77777777" w:rsidR="00BE0CC0" w:rsidRDefault="00604654">
      <w:pPr>
        <w:spacing w:line="276" w:lineRule="auto"/>
        <w:jc w:val="both"/>
        <w:rPr>
          <w:rFonts w:ascii="Arial" w:eastAsia="Arial" w:hAnsi="Arial" w:cs="Arial"/>
          <w:sz w:val="22"/>
          <w:szCs w:val="22"/>
        </w:rPr>
      </w:pPr>
      <w:r>
        <w:rPr>
          <w:rFonts w:ascii="Arial" w:eastAsia="Arial" w:hAnsi="Arial" w:cs="Arial"/>
          <w:sz w:val="22"/>
          <w:szCs w:val="22"/>
        </w:rPr>
        <w:t xml:space="preserve">Se identifica que la asignación histórica de las labores domésticas y de cuidado a las mujeres es un factor que las empobrece económicamente y coarta su autonomía. Según indican los resultados de la primera y única Encuesta de Uso del Tiempo (ENUT) que se ha implementado en Chile (2015), en promedio las mujeres dedican 41,25 horas semanales a tareas domésticas y de cuidados, en contraste a las 19,2 horas que declaran los hombres. Los datos evidencian que la carga de trabajo de las mujeres en sus hogares supera la jornada laboral actual en Chile (40 horas), cifra que aumenta en el caso de mujeres madres, dependiendo de la cantidad de hijas/os y sus edades. No obstante, es importante destacar que el sólo hecho de vivir en pareja con un hombre aumenta las horas de trabajo entre 16 </w:t>
      </w:r>
      <w:r>
        <w:rPr>
          <w:rFonts w:ascii="Arial" w:eastAsia="Arial" w:hAnsi="Arial" w:cs="Arial"/>
          <w:sz w:val="22"/>
          <w:szCs w:val="22"/>
        </w:rPr>
        <w:lastRenderedPageBreak/>
        <w:t>y 19 horas a la semana, haciendo palpable la desigualdad entre hombres y mujeres en esta materia. </w:t>
      </w:r>
    </w:p>
    <w:p w14:paraId="09C80737" w14:textId="77777777" w:rsidR="00BE0CC0" w:rsidRDefault="00604654">
      <w:pPr>
        <w:spacing w:line="276" w:lineRule="auto"/>
        <w:jc w:val="both"/>
        <w:rPr>
          <w:rFonts w:ascii="Arial" w:eastAsia="Arial" w:hAnsi="Arial" w:cs="Arial"/>
          <w:sz w:val="22"/>
          <w:szCs w:val="22"/>
        </w:rPr>
      </w:pPr>
      <w:r>
        <w:rPr>
          <w:rFonts w:ascii="Arial" w:eastAsia="Arial" w:hAnsi="Arial" w:cs="Arial"/>
          <w:sz w:val="22"/>
          <w:szCs w:val="22"/>
        </w:rPr>
        <w:t>Las horas dedicadas a labores domésticas y de cuidado tienen efectos directos en las proyecciones de ingresos de las mujeres en Chile. La pasada pandemia por COVID-19 fue un contexto que evidenció esta realidad: con altas exigencias para atender y cuidar de sus familias, muchas decidieron no retornar a sus labores asalariadas cuando aminoraron las condiciones sanitarias que lo impedían, en especial quienes tienen a su cargo a personas en situación de dependencia o hijas/os en edad escolar, debido a que los establecimientos educacionales requirieron de más tiempo para volver a la presencialidad</w:t>
      </w:r>
      <w:r>
        <w:rPr>
          <w:rFonts w:ascii="Arial" w:eastAsia="Arial" w:hAnsi="Arial" w:cs="Arial"/>
          <w:sz w:val="22"/>
          <w:szCs w:val="22"/>
          <w:vertAlign w:val="superscript"/>
        </w:rPr>
        <w:footnoteReference w:id="13"/>
      </w:r>
      <w:r>
        <w:rPr>
          <w:rFonts w:ascii="Arial" w:eastAsia="Arial" w:hAnsi="Arial" w:cs="Arial"/>
          <w:sz w:val="22"/>
          <w:szCs w:val="22"/>
        </w:rPr>
        <w:t>. </w:t>
      </w:r>
    </w:p>
    <w:p w14:paraId="09C80738" w14:textId="77777777" w:rsidR="00BE0CC0" w:rsidRDefault="00604654">
      <w:pPr>
        <w:spacing w:line="276" w:lineRule="auto"/>
        <w:jc w:val="both"/>
        <w:rPr>
          <w:rFonts w:ascii="Arial" w:eastAsia="Arial" w:hAnsi="Arial" w:cs="Arial"/>
          <w:sz w:val="22"/>
          <w:szCs w:val="22"/>
        </w:rPr>
      </w:pPr>
      <w:r>
        <w:rPr>
          <w:rFonts w:ascii="Arial" w:eastAsia="Arial" w:hAnsi="Arial" w:cs="Arial"/>
          <w:sz w:val="22"/>
          <w:szCs w:val="22"/>
        </w:rPr>
        <w:t>En consecuencia, las brechas de género en la participación laboral se acrecentaron</w:t>
      </w:r>
      <w:r>
        <w:rPr>
          <w:rFonts w:ascii="Arial" w:eastAsia="Arial" w:hAnsi="Arial" w:cs="Arial"/>
          <w:sz w:val="22"/>
          <w:szCs w:val="22"/>
          <w:vertAlign w:val="superscript"/>
        </w:rPr>
        <w:footnoteReference w:id="14"/>
      </w:r>
      <w:r>
        <w:rPr>
          <w:rFonts w:ascii="Arial" w:eastAsia="Arial" w:hAnsi="Arial" w:cs="Arial"/>
          <w:sz w:val="22"/>
          <w:szCs w:val="22"/>
        </w:rPr>
        <w:t>. Según se señaló en estudios de organismos internacionales (CEPAL, PNUD), se trataba de un retroceso de al menos diez años</w:t>
      </w:r>
      <w:r>
        <w:rPr>
          <w:rFonts w:ascii="Arial" w:eastAsia="Arial" w:hAnsi="Arial" w:cs="Arial"/>
          <w:sz w:val="22"/>
          <w:szCs w:val="22"/>
          <w:vertAlign w:val="superscript"/>
        </w:rPr>
        <w:footnoteReference w:id="15"/>
      </w:r>
      <w:r>
        <w:rPr>
          <w:rFonts w:ascii="Arial" w:eastAsia="Arial" w:hAnsi="Arial" w:cs="Arial"/>
          <w:sz w:val="22"/>
          <w:szCs w:val="22"/>
          <w:vertAlign w:val="superscript"/>
        </w:rPr>
        <w:t xml:space="preserve"> </w:t>
      </w:r>
      <w:r>
        <w:rPr>
          <w:rFonts w:ascii="Arial" w:eastAsia="Arial" w:hAnsi="Arial" w:cs="Arial"/>
          <w:sz w:val="22"/>
          <w:szCs w:val="22"/>
          <w:vertAlign w:val="superscript"/>
        </w:rPr>
        <w:footnoteReference w:id="16"/>
      </w:r>
      <w:r>
        <w:rPr>
          <w:rFonts w:ascii="Arial" w:eastAsia="Arial" w:hAnsi="Arial" w:cs="Arial"/>
          <w:sz w:val="22"/>
          <w:szCs w:val="22"/>
        </w:rPr>
        <w:t>. Sin embargo, en el último trimestre del año 2023 (octubre-diciembre), se registró una recuperación de este indicador, alcanzando niveles similares al contexto previo a la pandemia (52,6%). Pese a ello, se debe contemplar que el escenario es distinto en el sentido de que persiste el desempleo tanto para mujeres como para hombres, debido a un debilitamiento de la actividad económica a nivel país, que ha afectado la ocupación en el sector privado</w:t>
      </w:r>
      <w:r>
        <w:rPr>
          <w:rFonts w:ascii="Arial" w:eastAsia="Arial" w:hAnsi="Arial" w:cs="Arial"/>
          <w:sz w:val="22"/>
          <w:szCs w:val="22"/>
          <w:vertAlign w:val="superscript"/>
        </w:rPr>
        <w:footnoteReference w:id="17"/>
      </w:r>
      <w:r>
        <w:rPr>
          <w:rFonts w:ascii="Arial" w:eastAsia="Arial" w:hAnsi="Arial" w:cs="Arial"/>
          <w:sz w:val="22"/>
          <w:szCs w:val="22"/>
        </w:rPr>
        <w:t>.</w:t>
      </w:r>
    </w:p>
    <w:p w14:paraId="09C80739" w14:textId="77777777" w:rsidR="00BE0CC0" w:rsidRDefault="00604654">
      <w:pPr>
        <w:spacing w:line="276" w:lineRule="auto"/>
        <w:jc w:val="both"/>
        <w:rPr>
          <w:rFonts w:ascii="Arial" w:eastAsia="Arial" w:hAnsi="Arial" w:cs="Arial"/>
          <w:sz w:val="22"/>
          <w:szCs w:val="22"/>
        </w:rPr>
      </w:pPr>
      <w:r>
        <w:rPr>
          <w:rFonts w:ascii="Arial" w:eastAsia="Arial" w:hAnsi="Arial" w:cs="Arial"/>
          <w:sz w:val="22"/>
          <w:szCs w:val="22"/>
        </w:rPr>
        <w:t>La participación laboral de las mujeres también depende de quién ejerce el rol de proveedora o proveedor en la familia. En el caso de mujeres jefas de hogar, su incorporación al mercado fue pronta dada su necesidad de percibir un salario, pese a la sobrecarga de trabajo doméstico y de cuidados que significó la pandemia. En contraste, las mujeres de familias biparentales tuvieron muchos menos incentivos. Si bien algunas indicaron deseos de buscar un empleo cuando tuviesen condiciones para ello (como el retorno de la presencialidad en el sistema educativo o que sus hijas/os crezcan y sean menos dependientes)</w:t>
      </w:r>
      <w:r>
        <w:rPr>
          <w:rFonts w:ascii="Arial" w:eastAsia="Arial" w:hAnsi="Arial" w:cs="Arial"/>
          <w:sz w:val="22"/>
          <w:szCs w:val="22"/>
          <w:vertAlign w:val="superscript"/>
        </w:rPr>
        <w:footnoteReference w:id="18"/>
      </w:r>
      <w:r>
        <w:rPr>
          <w:rFonts w:ascii="Arial" w:eastAsia="Arial" w:hAnsi="Arial" w:cs="Arial"/>
          <w:sz w:val="22"/>
          <w:szCs w:val="22"/>
        </w:rPr>
        <w:t>, otras asumieron una postura más reflexiva sobre la precariedad de sus trayectorias laborales. Bajos sueldos, jornadas extensas y una alta presión fueron los motivos para optar por una distribución tradicional de los roles en sus hogares</w:t>
      </w:r>
      <w:r>
        <w:rPr>
          <w:rFonts w:ascii="Arial" w:eastAsia="Arial" w:hAnsi="Arial" w:cs="Arial"/>
          <w:sz w:val="22"/>
          <w:szCs w:val="22"/>
          <w:vertAlign w:val="superscript"/>
        </w:rPr>
        <w:footnoteReference w:id="19"/>
      </w:r>
      <w:r>
        <w:rPr>
          <w:rFonts w:ascii="Arial" w:eastAsia="Arial" w:hAnsi="Arial" w:cs="Arial"/>
          <w:sz w:val="22"/>
          <w:szCs w:val="22"/>
        </w:rPr>
        <w:t>.</w:t>
      </w:r>
    </w:p>
    <w:p w14:paraId="09C8073A" w14:textId="77777777" w:rsidR="00BE0CC0" w:rsidRDefault="00604654">
      <w:pPr>
        <w:spacing w:line="276" w:lineRule="auto"/>
        <w:jc w:val="both"/>
        <w:rPr>
          <w:rFonts w:ascii="Arial" w:eastAsia="Arial" w:hAnsi="Arial" w:cs="Arial"/>
          <w:sz w:val="22"/>
          <w:szCs w:val="22"/>
        </w:rPr>
      </w:pPr>
      <w:r>
        <w:rPr>
          <w:rFonts w:ascii="Arial" w:eastAsia="Arial" w:hAnsi="Arial" w:cs="Arial"/>
          <w:sz w:val="22"/>
          <w:szCs w:val="22"/>
        </w:rPr>
        <w:t xml:space="preserve">La autonomía económica como ideal se tensa con la realidad concreta del trabajo asalariado para las mujeres: tiende a la informalidad y la inestabilidad, con bajas proyecciones de ingresos y ausencia de protección social (que en la vejez se traduce en </w:t>
      </w:r>
      <w:r>
        <w:rPr>
          <w:rFonts w:ascii="Arial" w:eastAsia="Arial" w:hAnsi="Arial" w:cs="Arial"/>
          <w:sz w:val="22"/>
          <w:szCs w:val="22"/>
        </w:rPr>
        <w:lastRenderedPageBreak/>
        <w:t>paupérrimas pensiones). Así lo indica la evidencia previa a la pandemia</w:t>
      </w:r>
      <w:r>
        <w:rPr>
          <w:rFonts w:ascii="Arial" w:eastAsia="Arial" w:hAnsi="Arial" w:cs="Arial"/>
          <w:sz w:val="22"/>
          <w:szCs w:val="22"/>
          <w:vertAlign w:val="superscript"/>
        </w:rPr>
        <w:footnoteReference w:id="20"/>
      </w:r>
      <w:r>
        <w:rPr>
          <w:rFonts w:ascii="Arial" w:eastAsia="Arial" w:hAnsi="Arial" w:cs="Arial"/>
          <w:sz w:val="22"/>
          <w:szCs w:val="22"/>
        </w:rPr>
        <w:t>, y así lo indican cifras más recientes</w:t>
      </w:r>
      <w:r>
        <w:rPr>
          <w:rFonts w:ascii="Arial" w:eastAsia="Arial" w:hAnsi="Arial" w:cs="Arial"/>
          <w:sz w:val="22"/>
          <w:szCs w:val="22"/>
          <w:vertAlign w:val="superscript"/>
        </w:rPr>
        <w:footnoteReference w:id="21"/>
      </w:r>
      <w:r>
        <w:rPr>
          <w:rFonts w:ascii="Arial" w:eastAsia="Arial" w:hAnsi="Arial" w:cs="Arial"/>
          <w:sz w:val="22"/>
          <w:szCs w:val="22"/>
        </w:rPr>
        <w:t>. Las mujeres suelen optar por empleos de media jornada -por lo general informales- para compatibilizar sus tiempos entre trabajo remunerado y no remunerado. También porque los trabajos formales representan mayores barreras para su ingreso, en tanto las jefaturas discriminan a mujeres madres por considerarlas menos productivas (precisamente porque el peso de la crianza recae en ellas)</w:t>
      </w:r>
      <w:r>
        <w:rPr>
          <w:rFonts w:ascii="Arial" w:eastAsia="Arial" w:hAnsi="Arial" w:cs="Arial"/>
          <w:sz w:val="22"/>
          <w:szCs w:val="22"/>
          <w:vertAlign w:val="superscript"/>
        </w:rPr>
        <w:footnoteReference w:id="22"/>
      </w:r>
      <w:r>
        <w:rPr>
          <w:rFonts w:ascii="Arial" w:eastAsia="Arial" w:hAnsi="Arial" w:cs="Arial"/>
          <w:sz w:val="22"/>
          <w:szCs w:val="22"/>
        </w:rPr>
        <w:t>. Por lo mismo, en Chile, la tasa de desempleo de mujeres (que en 2023 alcanzó un promedio anual de 9,1%) es mayor que la de los hombres (que promedió un 8,4%)</w:t>
      </w:r>
      <w:r>
        <w:rPr>
          <w:rFonts w:ascii="Arial" w:eastAsia="Arial" w:hAnsi="Arial" w:cs="Arial"/>
          <w:sz w:val="22"/>
          <w:szCs w:val="22"/>
          <w:vertAlign w:val="superscript"/>
        </w:rPr>
        <w:footnoteReference w:id="23"/>
      </w:r>
      <w:r>
        <w:rPr>
          <w:rFonts w:ascii="Arial" w:eastAsia="Arial" w:hAnsi="Arial" w:cs="Arial"/>
          <w:sz w:val="22"/>
          <w:szCs w:val="22"/>
        </w:rPr>
        <w:t>.</w:t>
      </w:r>
    </w:p>
    <w:p w14:paraId="09C8073B" w14:textId="77777777" w:rsidR="00BE0CC0" w:rsidRDefault="00604654">
      <w:pPr>
        <w:spacing w:line="276" w:lineRule="auto"/>
        <w:jc w:val="both"/>
        <w:rPr>
          <w:rFonts w:ascii="Arial" w:eastAsia="Arial" w:hAnsi="Arial" w:cs="Arial"/>
          <w:sz w:val="22"/>
          <w:szCs w:val="22"/>
        </w:rPr>
      </w:pPr>
      <w:r>
        <w:rPr>
          <w:rFonts w:ascii="Arial" w:eastAsia="Arial" w:hAnsi="Arial" w:cs="Arial"/>
          <w:sz w:val="22"/>
          <w:szCs w:val="22"/>
        </w:rPr>
        <w:t>Se debe considerar que estos problemas están cruzados por una dimensión socioeconómica: si bien la participación de las mujeres que pertenecen a los tres primeros quintiles (los de menor ingreso) alcanza un 29,5%, esta aumenta considerablemente para las mujeres del primer quintil, con un 76,6%. Asimismo, el desempleo femenino en los quintiles de menores ingresos es de un 26,5%, mientras que las mujeres de ingresos más altos llegan apenas a un 3%. Esto se explica porque las mujeres con más recursos económicos compatibilizan mejor el trabajo remunerado y no remunerado, en tanto cuentan con la posibilidad de “</w:t>
      </w:r>
      <w:proofErr w:type="spellStart"/>
      <w:r>
        <w:rPr>
          <w:rFonts w:ascii="Arial" w:eastAsia="Arial" w:hAnsi="Arial" w:cs="Arial"/>
          <w:sz w:val="22"/>
          <w:szCs w:val="22"/>
        </w:rPr>
        <w:t>desfamiliarizar</w:t>
      </w:r>
      <w:proofErr w:type="spellEnd"/>
      <w:r>
        <w:rPr>
          <w:rFonts w:ascii="Arial" w:eastAsia="Arial" w:hAnsi="Arial" w:cs="Arial"/>
          <w:sz w:val="22"/>
          <w:szCs w:val="22"/>
        </w:rPr>
        <w:t>” estas últimas (al pagar una trabajadora de casa particular o una cuidadora, por ejemplo)</w:t>
      </w:r>
      <w:r>
        <w:rPr>
          <w:rFonts w:ascii="Arial" w:eastAsia="Arial" w:hAnsi="Arial" w:cs="Arial"/>
          <w:sz w:val="22"/>
          <w:szCs w:val="22"/>
          <w:vertAlign w:val="superscript"/>
        </w:rPr>
        <w:footnoteReference w:id="24"/>
      </w:r>
      <w:r>
        <w:rPr>
          <w:rFonts w:ascii="Arial" w:eastAsia="Arial" w:hAnsi="Arial" w:cs="Arial"/>
          <w:sz w:val="22"/>
          <w:szCs w:val="22"/>
        </w:rPr>
        <w:t>.</w:t>
      </w:r>
    </w:p>
    <w:p w14:paraId="09C8073C" w14:textId="5FD65C13" w:rsidR="00BE0CC0" w:rsidRDefault="00604654">
      <w:pPr>
        <w:spacing w:line="276" w:lineRule="auto"/>
        <w:jc w:val="both"/>
        <w:rPr>
          <w:rFonts w:ascii="Arial" w:eastAsia="Arial" w:hAnsi="Arial" w:cs="Arial"/>
          <w:sz w:val="22"/>
          <w:szCs w:val="22"/>
        </w:rPr>
      </w:pPr>
      <w:r>
        <w:rPr>
          <w:rFonts w:ascii="Arial" w:eastAsia="Arial" w:hAnsi="Arial" w:cs="Arial"/>
          <w:sz w:val="22"/>
          <w:szCs w:val="22"/>
        </w:rPr>
        <w:t>La evidencia presentada sugiere que la disminución de las brechas de género en la participación laboral no ha promovido una mayor autonomía financiera para las mujeres, sobre todo porque aún persiste una diferencia de -19,3 puntos porcentuales en comparación a hombres</w:t>
      </w:r>
      <w:r>
        <w:rPr>
          <w:rFonts w:ascii="Arial" w:eastAsia="Arial" w:hAnsi="Arial" w:cs="Arial"/>
          <w:sz w:val="22"/>
          <w:szCs w:val="22"/>
          <w:vertAlign w:val="superscript"/>
        </w:rPr>
        <w:footnoteReference w:id="25"/>
      </w:r>
      <w:r>
        <w:rPr>
          <w:rFonts w:ascii="Arial" w:eastAsia="Arial" w:hAnsi="Arial" w:cs="Arial"/>
          <w:sz w:val="22"/>
          <w:szCs w:val="22"/>
        </w:rPr>
        <w:t xml:space="preserve">. Observar la distribución de labores en el hogar es fundamental para comprender las dinámicas de empobrecimiento de las mujeres. Por lo mismo es lamentable que la aplicación de la ENUT se haya suspendido por tantos años, siendo recién retomada en 2023. Esperamos que sus resultados brinden una mirada más actualizada del problema, en especial considerando que las labores domésticas y de cuidado se han posicionado, </w:t>
      </w:r>
      <w:r w:rsidR="00C01795">
        <w:rPr>
          <w:rFonts w:ascii="Arial" w:eastAsia="Arial" w:hAnsi="Arial" w:cs="Arial"/>
          <w:sz w:val="22"/>
          <w:szCs w:val="22"/>
        </w:rPr>
        <w:t>en el último tiempo</w:t>
      </w:r>
      <w:r>
        <w:rPr>
          <w:rFonts w:ascii="Arial" w:eastAsia="Arial" w:hAnsi="Arial" w:cs="Arial"/>
          <w:sz w:val="22"/>
          <w:szCs w:val="22"/>
        </w:rPr>
        <w:t>, como un debate público relevante.</w:t>
      </w:r>
    </w:p>
    <w:sectPr w:rsidR="00BE0CC0">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07458" w14:textId="77777777" w:rsidR="00604654" w:rsidRDefault="00604654">
      <w:pPr>
        <w:spacing w:after="0" w:line="240" w:lineRule="auto"/>
      </w:pPr>
      <w:r>
        <w:separator/>
      </w:r>
    </w:p>
  </w:endnote>
  <w:endnote w:type="continuationSeparator" w:id="0">
    <w:p w14:paraId="3F0DC5EF" w14:textId="77777777" w:rsidR="00604654" w:rsidRDefault="00604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embedRegular r:id="rId1" w:fontKey="{9788CDC5-A8D3-44E9-BC41-178C4CC64019}"/>
    <w:embedItalic r:id="rId2" w:fontKey="{4112EFED-18D0-4BA8-BBD0-76D9FE1AB92B}"/>
  </w:font>
  <w:font w:name="Aptos Display">
    <w:charset w:val="00"/>
    <w:family w:val="swiss"/>
    <w:pitch w:val="variable"/>
    <w:sig w:usb0="20000287" w:usb1="00000003" w:usb2="00000000" w:usb3="00000000" w:csb0="0000019F" w:csb1="00000000"/>
    <w:embedRegular r:id="rId3" w:fontKey="{C6AB3811-F737-4548-B4A0-C500C2657BA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BC991" w14:textId="77777777" w:rsidR="00604654" w:rsidRDefault="00604654">
      <w:pPr>
        <w:spacing w:after="0" w:line="240" w:lineRule="auto"/>
      </w:pPr>
      <w:r>
        <w:separator/>
      </w:r>
    </w:p>
  </w:footnote>
  <w:footnote w:type="continuationSeparator" w:id="0">
    <w:p w14:paraId="72FCEA88" w14:textId="77777777" w:rsidR="00604654" w:rsidRDefault="00604654">
      <w:pPr>
        <w:spacing w:after="0" w:line="240" w:lineRule="auto"/>
      </w:pPr>
      <w:r>
        <w:continuationSeparator/>
      </w:r>
    </w:p>
  </w:footnote>
  <w:footnote w:id="1">
    <w:p w14:paraId="09C80743"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González, Herminia (2013). “La producción científica sobre la familia en Chile: Miradas desde la antropología feminista”. Revista La Ventana (vol. 4, núm. 38).</w:t>
      </w:r>
    </w:p>
  </w:footnote>
  <w:footnote w:id="2">
    <w:p w14:paraId="09C80744" w14:textId="77777777" w:rsidR="00BE0CC0" w:rsidRDefault="0060465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“Casos policiales” es un concepto técnico utilizado por la Subsecretaría de Prevención del Delito, que aúna detenciones en flagrancia con denuncias hechas en las policías.</w:t>
      </w:r>
    </w:p>
  </w:footnote>
  <w:footnote w:id="3">
    <w:p w14:paraId="09C80745" w14:textId="77777777" w:rsidR="00BE0CC0" w:rsidRDefault="0060465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Subsecretaría de Prevención del Delito (2020). IV Encuesta Nacional de Violencia Intrafamiliar y en Otros Espacios (ENVIF-VCM). </w:t>
      </w:r>
    </w:p>
  </w:footnote>
  <w:footnote w:id="4">
    <w:p w14:paraId="09C80746" w14:textId="77777777" w:rsidR="00BE0CC0" w:rsidRDefault="0060465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color w:val="000000"/>
          <w:sz w:val="20"/>
          <w:szCs w:val="20"/>
        </w:rPr>
        <w:t xml:space="preserve"> </w:t>
      </w:r>
      <w:r>
        <w:rPr>
          <w:rFonts w:ascii="Arial" w:eastAsia="Arial" w:hAnsi="Arial" w:cs="Arial"/>
          <w:color w:val="000000"/>
          <w:sz w:val="16"/>
          <w:szCs w:val="16"/>
        </w:rPr>
        <w:t>La Subsecretaría de Prevención del Delito establece como delitos violentos lo siguiente: homicidios</w:t>
      </w:r>
      <w:r>
        <w:rPr>
          <w:rFonts w:ascii="Arial" w:eastAsia="Arial" w:hAnsi="Arial" w:cs="Arial"/>
          <w:sz w:val="16"/>
          <w:szCs w:val="16"/>
        </w:rPr>
        <w:t>, femicidios, violaciones y delitos sexuales, robos con violencia o intimidación, robo por sorpresa, lesiones graves o gravísimas, lesiones menos graves, lesiones leves, violencia intrafamiliar, amenazas con armas y amenazas o riña.</w:t>
      </w:r>
    </w:p>
  </w:footnote>
  <w:footnote w:id="5">
    <w:p w14:paraId="09C8074A" w14:textId="77777777" w:rsidR="00BE0CC0" w:rsidRDefault="00604654">
      <w:pPr>
        <w:spacing w:after="0" w:line="240" w:lineRule="auto"/>
        <w:rPr>
          <w:rFonts w:ascii="Arial" w:eastAsia="Arial" w:hAnsi="Arial" w:cs="Arial"/>
          <w:sz w:val="16"/>
          <w:szCs w:val="16"/>
        </w:rPr>
      </w:pPr>
      <w:r>
        <w:rPr>
          <w:vertAlign w:val="superscript"/>
        </w:rPr>
        <w:footnoteRef/>
      </w:r>
      <w:r>
        <w:rPr>
          <w:sz w:val="20"/>
          <w:szCs w:val="20"/>
        </w:rPr>
        <w:t xml:space="preserve"> </w:t>
      </w:r>
      <w:r>
        <w:rPr>
          <w:rFonts w:ascii="Arial" w:eastAsia="Arial" w:hAnsi="Arial" w:cs="Arial"/>
          <w:sz w:val="16"/>
          <w:szCs w:val="16"/>
        </w:rPr>
        <w:t xml:space="preserve">Secretaría Técnica de Igualdad de Género y No Discriminación del Poder Judicial (2020). Acceso a la justicia de las mujeres víctimas de violencia que son usuarias del Poder Judicial. </w:t>
      </w:r>
    </w:p>
  </w:footnote>
  <w:footnote w:id="6">
    <w:p w14:paraId="09C8074B" w14:textId="77777777" w:rsidR="00BE0CC0" w:rsidRDefault="00604654">
      <w:pPr>
        <w:spacing w:after="0" w:line="240" w:lineRule="auto"/>
        <w:rPr>
          <w:rFonts w:ascii="Arial" w:eastAsia="Arial" w:hAnsi="Arial" w:cs="Arial"/>
          <w:sz w:val="16"/>
          <w:szCs w:val="16"/>
        </w:rPr>
      </w:pPr>
      <w:r>
        <w:rPr>
          <w:vertAlign w:val="superscript"/>
        </w:rPr>
        <w:footnoteRef/>
      </w:r>
      <w:r>
        <w:rPr>
          <w:sz w:val="20"/>
          <w:szCs w:val="20"/>
        </w:rPr>
        <w:t xml:space="preserve"> </w:t>
      </w:r>
      <w:r>
        <w:rPr>
          <w:rFonts w:ascii="Arial" w:eastAsia="Arial" w:hAnsi="Arial" w:cs="Arial"/>
          <w:sz w:val="16"/>
          <w:szCs w:val="16"/>
        </w:rPr>
        <w:t>Red Chilena contra la Violencia hacia las Mujeres (2020). Respuestas de Carabineros frente a denuncias realizadas por mujeres que vivieron violencia.</w:t>
      </w:r>
    </w:p>
  </w:footnote>
  <w:footnote w:id="7">
    <w:p w14:paraId="09C8074C" w14:textId="77777777" w:rsidR="00BE0CC0" w:rsidRDefault="00604654">
      <w:pPr>
        <w:spacing w:after="0" w:line="240" w:lineRule="auto"/>
        <w:rPr>
          <w:rFonts w:ascii="Arial" w:eastAsia="Arial" w:hAnsi="Arial" w:cs="Arial"/>
          <w:sz w:val="16"/>
          <w:szCs w:val="16"/>
        </w:rPr>
      </w:pPr>
      <w:r>
        <w:rPr>
          <w:vertAlign w:val="superscript"/>
        </w:rPr>
        <w:footnoteRef/>
      </w:r>
      <w:r>
        <w:rPr>
          <w:rFonts w:ascii="Arial" w:eastAsia="Arial" w:hAnsi="Arial" w:cs="Arial"/>
          <w:sz w:val="16"/>
          <w:szCs w:val="16"/>
        </w:rPr>
        <w:t xml:space="preserve"> Actuar es Urgente (2024). Boletín n°4: ¿Dónde están las niñas?</w:t>
      </w:r>
    </w:p>
  </w:footnote>
  <w:footnote w:id="8">
    <w:p w14:paraId="09C8074D" w14:textId="77777777" w:rsidR="00BE0CC0" w:rsidRPr="00000AF7" w:rsidRDefault="00604654" w:rsidP="00000AF7">
      <w:pPr>
        <w:spacing w:after="0" w:line="240" w:lineRule="auto"/>
        <w:rPr>
          <w:rFonts w:ascii="Arial" w:eastAsia="Arial" w:hAnsi="Arial" w:cs="Arial"/>
          <w:sz w:val="16"/>
          <w:szCs w:val="16"/>
        </w:rPr>
      </w:pPr>
      <w:r w:rsidRPr="00000AF7">
        <w:rPr>
          <w:rFonts w:ascii="Arial" w:hAnsi="Arial" w:cs="Arial"/>
          <w:vertAlign w:val="superscript"/>
        </w:rPr>
        <w:footnoteRef/>
      </w:r>
      <w:r w:rsidRPr="00000AF7">
        <w:rPr>
          <w:rFonts w:ascii="Arial" w:eastAsia="Arial" w:hAnsi="Arial" w:cs="Arial"/>
          <w:sz w:val="16"/>
          <w:szCs w:val="16"/>
        </w:rPr>
        <w:t xml:space="preserve"> Hogar de Cristo (2021). Del dicho al derecho: Ser niña en una residencia de protección.</w:t>
      </w:r>
    </w:p>
  </w:footnote>
  <w:footnote w:id="9">
    <w:p w14:paraId="09C8074E" w14:textId="77777777" w:rsidR="00BE0CC0" w:rsidRPr="00000AF7" w:rsidRDefault="00604654" w:rsidP="00000AF7">
      <w:pPr>
        <w:spacing w:after="0" w:line="240" w:lineRule="auto"/>
        <w:rPr>
          <w:rFonts w:ascii="Arial" w:hAnsi="Arial" w:cs="Arial"/>
          <w:sz w:val="20"/>
          <w:szCs w:val="20"/>
        </w:rPr>
      </w:pPr>
      <w:r w:rsidRPr="00000AF7">
        <w:rPr>
          <w:rFonts w:ascii="Arial" w:hAnsi="Arial" w:cs="Arial"/>
          <w:vertAlign w:val="superscript"/>
        </w:rPr>
        <w:footnoteRef/>
      </w:r>
      <w:r w:rsidRPr="00000AF7">
        <w:rPr>
          <w:rFonts w:ascii="Arial" w:eastAsia="Arial" w:hAnsi="Arial" w:cs="Arial"/>
          <w:sz w:val="16"/>
          <w:szCs w:val="16"/>
        </w:rPr>
        <w:t xml:space="preserve"> Actuar es Urgente (2024). Boletín n°4: ¿Dónde están las niñas?, p. 11.</w:t>
      </w:r>
    </w:p>
  </w:footnote>
  <w:footnote w:id="10">
    <w:p w14:paraId="09C8074F" w14:textId="77777777" w:rsidR="00BE0CC0" w:rsidRDefault="00604654" w:rsidP="00000AF7">
      <w:pPr>
        <w:spacing w:after="0" w:line="240" w:lineRule="auto"/>
        <w:jc w:val="both"/>
        <w:rPr>
          <w:rFonts w:ascii="Arial" w:eastAsia="Arial" w:hAnsi="Arial" w:cs="Arial"/>
          <w:sz w:val="16"/>
          <w:szCs w:val="16"/>
        </w:rPr>
      </w:pPr>
      <w:r w:rsidRPr="00000AF7">
        <w:rPr>
          <w:rFonts w:ascii="Arial" w:hAnsi="Arial" w:cs="Arial"/>
          <w:vertAlign w:val="superscript"/>
        </w:rPr>
        <w:footnoteRef/>
      </w:r>
      <w:r w:rsidRPr="00000AF7">
        <w:rPr>
          <w:rFonts w:ascii="Arial" w:eastAsia="Arial" w:hAnsi="Arial" w:cs="Arial"/>
          <w:sz w:val="16"/>
          <w:szCs w:val="16"/>
        </w:rPr>
        <w:t xml:space="preserve"> Informe nacional actualizado al 31 de agosto del 2023 sobre Órdenes de Búsquedas de Niños, Niñas y/o Adolescentes con medida de protección referida a ingresos residenciales.</w:t>
      </w:r>
    </w:p>
  </w:footnote>
  <w:footnote w:id="11">
    <w:p w14:paraId="09C80751"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Corporación Miles (2024). Sexto informe sobre Derechos Sexuales y Reproductivos en Chile.</w:t>
      </w:r>
    </w:p>
  </w:footnote>
  <w:footnote w:id="12">
    <w:p w14:paraId="09C80752" w14:textId="77777777" w:rsidR="00BE0CC0" w:rsidRDefault="00604654">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Arial" w:eastAsia="Arial" w:hAnsi="Arial" w:cs="Arial"/>
          <w:color w:val="000000"/>
          <w:sz w:val="16"/>
          <w:szCs w:val="16"/>
        </w:rPr>
        <w:t xml:space="preserve"> Corporación Humanas (2022). Objeción de conciencia en establecimientos de salud a cinco años de la dictación de la ley </w:t>
      </w:r>
      <w:proofErr w:type="spellStart"/>
      <w:r>
        <w:rPr>
          <w:rFonts w:ascii="Arial" w:eastAsia="Arial" w:hAnsi="Arial" w:cs="Arial"/>
          <w:color w:val="000000"/>
          <w:sz w:val="16"/>
          <w:szCs w:val="16"/>
        </w:rPr>
        <w:t>N°</w:t>
      </w:r>
      <w:proofErr w:type="spellEnd"/>
      <w:r>
        <w:rPr>
          <w:rFonts w:ascii="Arial" w:eastAsia="Arial" w:hAnsi="Arial" w:cs="Arial"/>
          <w:color w:val="000000"/>
          <w:sz w:val="16"/>
          <w:szCs w:val="16"/>
        </w:rPr>
        <w:t xml:space="preserve"> 21.030 que regula la despenalización de la interrupción voluntaria del embarazo en tres causales”.</w:t>
      </w:r>
    </w:p>
  </w:footnote>
  <w:footnote w:id="13">
    <w:p w14:paraId="09C80756"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Instituto Nacional de Estadísticas (2021). “Género y empleo: impacto de la crisis económica por Covid-19”. </w:t>
      </w:r>
    </w:p>
  </w:footnote>
  <w:footnote w:id="14">
    <w:p w14:paraId="09C80757"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Se recomienda ver el reporte “Género y mercado laboral en Chile” que elabora periódicamente el INE.</w:t>
      </w:r>
    </w:p>
  </w:footnote>
  <w:footnote w:id="15">
    <w:p w14:paraId="09C80758"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Comisión Económica para América Latina y el Caribe (2021). La autonomía económica de las mujeres en la recuperación sostenible y con igualdad.</w:t>
      </w:r>
    </w:p>
  </w:footnote>
  <w:footnote w:id="16">
    <w:p w14:paraId="09C80759"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Programa de Naciones Unidas para el Desarrollo (2022). Mujeres y retorno laboral en Chile.</w:t>
      </w:r>
    </w:p>
  </w:footnote>
  <w:footnote w:id="17">
    <w:p w14:paraId="09C8075A" w14:textId="77777777" w:rsidR="00BE0CC0" w:rsidRDefault="00604654">
      <w:pPr>
        <w:spacing w:after="0" w:line="240" w:lineRule="auto"/>
        <w:rPr>
          <w:rFonts w:ascii="Arial" w:eastAsia="Arial" w:hAnsi="Arial" w:cs="Arial"/>
          <w:sz w:val="16"/>
          <w:szCs w:val="16"/>
        </w:rPr>
      </w:pPr>
      <w:r>
        <w:rPr>
          <w:vertAlign w:val="superscript"/>
        </w:rPr>
        <w:footnoteRef/>
      </w:r>
      <w:r>
        <w:rPr>
          <w:rFonts w:ascii="Arial" w:eastAsia="Arial" w:hAnsi="Arial" w:cs="Arial"/>
          <w:sz w:val="16"/>
          <w:szCs w:val="16"/>
        </w:rPr>
        <w:t xml:space="preserve"> OCEC-UDP (2023). “Estudio anual 2023: </w:t>
      </w:r>
      <w:proofErr w:type="gramStart"/>
      <w:r>
        <w:rPr>
          <w:rFonts w:ascii="Arial" w:eastAsia="Arial" w:hAnsi="Arial" w:cs="Arial"/>
          <w:sz w:val="16"/>
          <w:szCs w:val="16"/>
        </w:rPr>
        <w:t>Zoom</w:t>
      </w:r>
      <w:proofErr w:type="gramEnd"/>
      <w:r>
        <w:rPr>
          <w:rFonts w:ascii="Arial" w:eastAsia="Arial" w:hAnsi="Arial" w:cs="Arial"/>
          <w:sz w:val="16"/>
          <w:szCs w:val="16"/>
        </w:rPr>
        <w:t xml:space="preserve"> de género”. Fundación </w:t>
      </w:r>
      <w:proofErr w:type="spellStart"/>
      <w:r>
        <w:rPr>
          <w:rFonts w:ascii="Arial" w:eastAsia="Arial" w:hAnsi="Arial" w:cs="Arial"/>
          <w:sz w:val="16"/>
          <w:szCs w:val="16"/>
        </w:rPr>
        <w:t>Chilemujeres</w:t>
      </w:r>
      <w:proofErr w:type="spellEnd"/>
      <w:r>
        <w:rPr>
          <w:rFonts w:ascii="Arial" w:eastAsia="Arial" w:hAnsi="Arial" w:cs="Arial"/>
          <w:sz w:val="16"/>
          <w:szCs w:val="16"/>
        </w:rPr>
        <w:t>, BID y Cámara de Comercio de Santiago.</w:t>
      </w:r>
    </w:p>
  </w:footnote>
  <w:footnote w:id="18">
    <w:p w14:paraId="09C8075B" w14:textId="77777777" w:rsidR="00BE0CC0" w:rsidRDefault="00604654">
      <w:pPr>
        <w:spacing w:after="0" w:line="240" w:lineRule="auto"/>
        <w:rPr>
          <w:rFonts w:ascii="Arial" w:eastAsia="Arial" w:hAnsi="Arial" w:cs="Arial"/>
          <w:sz w:val="16"/>
          <w:szCs w:val="16"/>
        </w:rPr>
      </w:pPr>
      <w:r>
        <w:rPr>
          <w:vertAlign w:val="superscript"/>
        </w:rPr>
        <w:footnoteRef/>
      </w:r>
      <w:r>
        <w:rPr>
          <w:rFonts w:ascii="Arial" w:eastAsia="Arial" w:hAnsi="Arial" w:cs="Arial"/>
          <w:sz w:val="16"/>
          <w:szCs w:val="16"/>
        </w:rPr>
        <w:t xml:space="preserve"> Informe “Impacto de la crisis del covid-19 sobre la situación económica de las mujeres en Chile” elaborado por el Banco Central para la Comisión de Hacienda del Senado en julio de 2021.</w:t>
      </w:r>
    </w:p>
  </w:footnote>
  <w:footnote w:id="19">
    <w:p w14:paraId="09C8075C"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Programa de Naciones Unidas para el Desarrollo (2022). Mujeres y retorno laboral en Chile.</w:t>
      </w:r>
    </w:p>
  </w:footnote>
  <w:footnote w:id="20">
    <w:p w14:paraId="09C8075D"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Fundación Sol (2020). “No es amor, es trabajo no pagado. Un análisis del trabajo no pagado de las mujeres en el Chile actual”.</w:t>
      </w:r>
    </w:p>
  </w:footnote>
  <w:footnote w:id="21">
    <w:p w14:paraId="09C8075E"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OCEC-UDP (2023). “Estudio anual 2023: </w:t>
      </w:r>
      <w:proofErr w:type="gramStart"/>
      <w:r>
        <w:rPr>
          <w:rFonts w:ascii="Arial" w:eastAsia="Arial" w:hAnsi="Arial" w:cs="Arial"/>
          <w:sz w:val="16"/>
          <w:szCs w:val="16"/>
        </w:rPr>
        <w:t>Zoom</w:t>
      </w:r>
      <w:proofErr w:type="gramEnd"/>
      <w:r>
        <w:rPr>
          <w:rFonts w:ascii="Arial" w:eastAsia="Arial" w:hAnsi="Arial" w:cs="Arial"/>
          <w:sz w:val="16"/>
          <w:szCs w:val="16"/>
        </w:rPr>
        <w:t xml:space="preserve"> de género”. Fundación </w:t>
      </w:r>
      <w:proofErr w:type="spellStart"/>
      <w:r>
        <w:rPr>
          <w:rFonts w:ascii="Arial" w:eastAsia="Arial" w:hAnsi="Arial" w:cs="Arial"/>
          <w:sz w:val="16"/>
          <w:szCs w:val="16"/>
        </w:rPr>
        <w:t>Chilemujeres</w:t>
      </w:r>
      <w:proofErr w:type="spellEnd"/>
      <w:r>
        <w:rPr>
          <w:rFonts w:ascii="Arial" w:eastAsia="Arial" w:hAnsi="Arial" w:cs="Arial"/>
          <w:sz w:val="16"/>
          <w:szCs w:val="16"/>
        </w:rPr>
        <w:t>, BID y Cámara de Comercio de Santiago.</w:t>
      </w:r>
    </w:p>
  </w:footnote>
  <w:footnote w:id="22">
    <w:p w14:paraId="09C8075F"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Fundación Sol (2021). “Penalización Salarial y de tiempo para madres trabajadoras: un análisis a la discriminación por maternidad”.</w:t>
      </w:r>
    </w:p>
  </w:footnote>
  <w:footnote w:id="23">
    <w:p w14:paraId="09C80760"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OCEC-UDP (2023). “Estudio anual 2023: </w:t>
      </w:r>
      <w:proofErr w:type="gramStart"/>
      <w:r>
        <w:rPr>
          <w:rFonts w:ascii="Arial" w:eastAsia="Arial" w:hAnsi="Arial" w:cs="Arial"/>
          <w:sz w:val="16"/>
          <w:szCs w:val="16"/>
        </w:rPr>
        <w:t>Zoom</w:t>
      </w:r>
      <w:proofErr w:type="gramEnd"/>
      <w:r>
        <w:rPr>
          <w:rFonts w:ascii="Arial" w:eastAsia="Arial" w:hAnsi="Arial" w:cs="Arial"/>
          <w:sz w:val="16"/>
          <w:szCs w:val="16"/>
        </w:rPr>
        <w:t xml:space="preserve"> de género”. Fundación </w:t>
      </w:r>
      <w:proofErr w:type="spellStart"/>
      <w:r>
        <w:rPr>
          <w:rFonts w:ascii="Arial" w:eastAsia="Arial" w:hAnsi="Arial" w:cs="Arial"/>
          <w:sz w:val="16"/>
          <w:szCs w:val="16"/>
        </w:rPr>
        <w:t>Chilemujeres</w:t>
      </w:r>
      <w:proofErr w:type="spellEnd"/>
      <w:r>
        <w:rPr>
          <w:rFonts w:ascii="Arial" w:eastAsia="Arial" w:hAnsi="Arial" w:cs="Arial"/>
          <w:sz w:val="16"/>
          <w:szCs w:val="16"/>
        </w:rPr>
        <w:t>, BID y Cámara de Comercio de Santiago.</w:t>
      </w:r>
    </w:p>
  </w:footnote>
  <w:footnote w:id="24">
    <w:p w14:paraId="09C80761" w14:textId="77777777" w:rsidR="00BE0CC0" w:rsidRDefault="00604654">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Fundación Sol (2021). “Penalización Salarial y de tiempo para madres trabajadoras: un análisis a la discriminación por maternidad”.</w:t>
      </w:r>
    </w:p>
  </w:footnote>
  <w:footnote w:id="25">
    <w:p w14:paraId="09C80762" w14:textId="77777777" w:rsidR="00BE0CC0" w:rsidRDefault="00604654">
      <w:pPr>
        <w:spacing w:after="0" w:line="240" w:lineRule="auto"/>
        <w:jc w:val="both"/>
        <w:rPr>
          <w:sz w:val="20"/>
          <w:szCs w:val="20"/>
        </w:rPr>
      </w:pPr>
      <w:r>
        <w:rPr>
          <w:vertAlign w:val="superscript"/>
        </w:rPr>
        <w:footnoteRef/>
      </w:r>
      <w:r>
        <w:rPr>
          <w:rFonts w:ascii="Arial" w:eastAsia="Arial" w:hAnsi="Arial" w:cs="Arial"/>
          <w:sz w:val="16"/>
          <w:szCs w:val="16"/>
        </w:rPr>
        <w:t xml:space="preserve"> OCEC-UDP (2023). “Estudio anual 2023: </w:t>
      </w:r>
      <w:proofErr w:type="gramStart"/>
      <w:r>
        <w:rPr>
          <w:rFonts w:ascii="Arial" w:eastAsia="Arial" w:hAnsi="Arial" w:cs="Arial"/>
          <w:sz w:val="16"/>
          <w:szCs w:val="16"/>
        </w:rPr>
        <w:t>Zoom</w:t>
      </w:r>
      <w:proofErr w:type="gramEnd"/>
      <w:r>
        <w:rPr>
          <w:rFonts w:ascii="Arial" w:eastAsia="Arial" w:hAnsi="Arial" w:cs="Arial"/>
          <w:sz w:val="16"/>
          <w:szCs w:val="16"/>
        </w:rPr>
        <w:t xml:space="preserve"> de género”. Fundación </w:t>
      </w:r>
      <w:proofErr w:type="spellStart"/>
      <w:r>
        <w:rPr>
          <w:rFonts w:ascii="Arial" w:eastAsia="Arial" w:hAnsi="Arial" w:cs="Arial"/>
          <w:sz w:val="16"/>
          <w:szCs w:val="16"/>
        </w:rPr>
        <w:t>Chilemujeres</w:t>
      </w:r>
      <w:proofErr w:type="spellEnd"/>
      <w:r>
        <w:rPr>
          <w:rFonts w:ascii="Arial" w:eastAsia="Arial" w:hAnsi="Arial" w:cs="Arial"/>
          <w:sz w:val="16"/>
          <w:szCs w:val="16"/>
        </w:rPr>
        <w:t>, BID y Cámara de Comercio de Santiago.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CC0"/>
    <w:rsid w:val="00000AF7"/>
    <w:rsid w:val="00050266"/>
    <w:rsid w:val="000720EE"/>
    <w:rsid w:val="00146AAF"/>
    <w:rsid w:val="001E7077"/>
    <w:rsid w:val="002019A2"/>
    <w:rsid w:val="00260CEC"/>
    <w:rsid w:val="002772FF"/>
    <w:rsid w:val="00281140"/>
    <w:rsid w:val="00301089"/>
    <w:rsid w:val="0030639F"/>
    <w:rsid w:val="00350DE7"/>
    <w:rsid w:val="00421BCB"/>
    <w:rsid w:val="004333DB"/>
    <w:rsid w:val="004473B6"/>
    <w:rsid w:val="00457428"/>
    <w:rsid w:val="004574C3"/>
    <w:rsid w:val="004D3FD6"/>
    <w:rsid w:val="00523298"/>
    <w:rsid w:val="00575052"/>
    <w:rsid w:val="00580DFF"/>
    <w:rsid w:val="00604654"/>
    <w:rsid w:val="006F5B5B"/>
    <w:rsid w:val="007E5A46"/>
    <w:rsid w:val="00815A61"/>
    <w:rsid w:val="009609B9"/>
    <w:rsid w:val="009C3A17"/>
    <w:rsid w:val="00A01441"/>
    <w:rsid w:val="00AE451B"/>
    <w:rsid w:val="00AF49EB"/>
    <w:rsid w:val="00B906BE"/>
    <w:rsid w:val="00BE0CC0"/>
    <w:rsid w:val="00BF6193"/>
    <w:rsid w:val="00C01795"/>
    <w:rsid w:val="00CB01F3"/>
    <w:rsid w:val="00ED4AE4"/>
    <w:rsid w:val="00ED4BAD"/>
    <w:rsid w:val="00EE565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806F0"/>
  <w15:docId w15:val="{2C81D0C6-AF06-4911-8D77-C494E5477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s-CL" w:eastAsia="es-C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52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523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523C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523C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523C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523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523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523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523C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352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3523C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523C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523C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523C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523C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523C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523C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523C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523C2"/>
    <w:rPr>
      <w:rFonts w:eastAsiaTheme="majorEastAsia" w:cstheme="majorBidi"/>
      <w:color w:val="272727" w:themeColor="text1" w:themeTint="D8"/>
    </w:rPr>
  </w:style>
  <w:style w:type="character" w:customStyle="1" w:styleId="TtuloCar">
    <w:name w:val="Título Car"/>
    <w:basedOn w:val="Fuentedeprrafopredeter"/>
    <w:link w:val="Ttulo"/>
    <w:uiPriority w:val="10"/>
    <w:rsid w:val="003523C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3523C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523C2"/>
    <w:pPr>
      <w:spacing w:before="160"/>
      <w:jc w:val="center"/>
    </w:pPr>
    <w:rPr>
      <w:i/>
      <w:iCs/>
      <w:color w:val="404040" w:themeColor="text1" w:themeTint="BF"/>
    </w:rPr>
  </w:style>
  <w:style w:type="character" w:customStyle="1" w:styleId="CitaCar">
    <w:name w:val="Cita Car"/>
    <w:basedOn w:val="Fuentedeprrafopredeter"/>
    <w:link w:val="Cita"/>
    <w:uiPriority w:val="29"/>
    <w:rsid w:val="003523C2"/>
    <w:rPr>
      <w:i/>
      <w:iCs/>
      <w:color w:val="404040" w:themeColor="text1" w:themeTint="BF"/>
    </w:rPr>
  </w:style>
  <w:style w:type="paragraph" w:styleId="Prrafodelista">
    <w:name w:val="List Paragraph"/>
    <w:basedOn w:val="Normal"/>
    <w:uiPriority w:val="34"/>
    <w:qFormat/>
    <w:rsid w:val="003523C2"/>
    <w:pPr>
      <w:ind w:left="720"/>
      <w:contextualSpacing/>
    </w:pPr>
  </w:style>
  <w:style w:type="character" w:styleId="nfasisintenso">
    <w:name w:val="Intense Emphasis"/>
    <w:basedOn w:val="Fuentedeprrafopredeter"/>
    <w:uiPriority w:val="21"/>
    <w:qFormat/>
    <w:rsid w:val="003523C2"/>
    <w:rPr>
      <w:i/>
      <w:iCs/>
      <w:color w:val="0F4761" w:themeColor="accent1" w:themeShade="BF"/>
    </w:rPr>
  </w:style>
  <w:style w:type="paragraph" w:styleId="Citadestacada">
    <w:name w:val="Intense Quote"/>
    <w:basedOn w:val="Normal"/>
    <w:next w:val="Normal"/>
    <w:link w:val="CitadestacadaCar"/>
    <w:uiPriority w:val="30"/>
    <w:qFormat/>
    <w:rsid w:val="003523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523C2"/>
    <w:rPr>
      <w:i/>
      <w:iCs/>
      <w:color w:val="0F4761" w:themeColor="accent1" w:themeShade="BF"/>
    </w:rPr>
  </w:style>
  <w:style w:type="character" w:styleId="Referenciaintensa">
    <w:name w:val="Intense Reference"/>
    <w:basedOn w:val="Fuentedeprrafopredeter"/>
    <w:uiPriority w:val="32"/>
    <w:qFormat/>
    <w:rsid w:val="003523C2"/>
    <w:rPr>
      <w:b/>
      <w:bCs/>
      <w:smallCaps/>
      <w:color w:val="0F4761" w:themeColor="accent1" w:themeShade="BF"/>
      <w:spacing w:val="5"/>
    </w:rPr>
  </w:style>
  <w:style w:type="table" w:styleId="Tablaconcuadrcula">
    <w:name w:val="Table Grid"/>
    <w:basedOn w:val="Tablanormal"/>
    <w:uiPriority w:val="39"/>
    <w:rsid w:val="00B94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E9610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9610E"/>
    <w:rPr>
      <w:sz w:val="20"/>
      <w:szCs w:val="20"/>
    </w:rPr>
  </w:style>
  <w:style w:type="character" w:styleId="Refdenotaalpie">
    <w:name w:val="footnote reference"/>
    <w:basedOn w:val="Fuentedeprrafopredeter"/>
    <w:uiPriority w:val="99"/>
    <w:semiHidden/>
    <w:unhideWhenUsed/>
    <w:rsid w:val="00E9610E"/>
    <w:rPr>
      <w:vertAlign w:val="superscript"/>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semiHidden/>
    <w:unhideWhenUsed/>
    <w:rsid w:val="0030108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924212">
      <w:bodyDiv w:val="1"/>
      <w:marLeft w:val="0"/>
      <w:marRight w:val="0"/>
      <w:marTop w:val="0"/>
      <w:marBottom w:val="0"/>
      <w:divBdr>
        <w:top w:val="none" w:sz="0" w:space="0" w:color="auto"/>
        <w:left w:val="none" w:sz="0" w:space="0" w:color="auto"/>
        <w:bottom w:val="none" w:sz="0" w:space="0" w:color="auto"/>
        <w:right w:val="none" w:sz="0" w:space="0" w:color="auto"/>
      </w:divBdr>
    </w:div>
    <w:div w:id="1083919832">
      <w:bodyDiv w:val="1"/>
      <w:marLeft w:val="0"/>
      <w:marRight w:val="0"/>
      <w:marTop w:val="0"/>
      <w:marBottom w:val="0"/>
      <w:divBdr>
        <w:top w:val="none" w:sz="0" w:space="0" w:color="auto"/>
        <w:left w:val="none" w:sz="0" w:space="0" w:color="auto"/>
        <w:bottom w:val="none" w:sz="0" w:space="0" w:color="auto"/>
        <w:right w:val="none" w:sz="0" w:space="0" w:color="auto"/>
      </w:divBdr>
    </w:div>
    <w:div w:id="1186362129">
      <w:bodyDiv w:val="1"/>
      <w:marLeft w:val="0"/>
      <w:marRight w:val="0"/>
      <w:marTop w:val="0"/>
      <w:marBottom w:val="0"/>
      <w:divBdr>
        <w:top w:val="none" w:sz="0" w:space="0" w:color="auto"/>
        <w:left w:val="none" w:sz="0" w:space="0" w:color="auto"/>
        <w:bottom w:val="none" w:sz="0" w:space="0" w:color="auto"/>
        <w:right w:val="none" w:sz="0" w:space="0" w:color="auto"/>
      </w:divBdr>
    </w:div>
    <w:div w:id="2121217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OT0fqYYTmLCHlpGqGcy2Yb35rw==">CgMxLjA4AHIhMTFTMlR3M3o0TnJVLUpUdDVoaGVmOTNGdElPNmhtOFNN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9E59854-9E61-4EC4-B986-D4C6390154D6}"/>
</file>

<file path=customXml/itemProps3.xml><?xml version="1.0" encoding="utf-8"?>
<ds:datastoreItem xmlns:ds="http://schemas.openxmlformats.org/officeDocument/2006/customXml" ds:itemID="{FDF1CD38-08A3-4E20-960F-1727E4945EF9}"/>
</file>

<file path=docProps/app.xml><?xml version="1.0" encoding="utf-8"?>
<Properties xmlns="http://schemas.openxmlformats.org/officeDocument/2006/extended-properties" xmlns:vt="http://schemas.openxmlformats.org/officeDocument/2006/docPropsVTypes">
  <Template>Normal</Template>
  <TotalTime>25</TotalTime>
  <Pages>7</Pages>
  <Words>2631</Words>
  <Characters>14473</Characters>
  <Application>Microsoft Office Word</Application>
  <DocSecurity>0</DocSecurity>
  <Lines>120</Lines>
  <Paragraphs>34</Paragraphs>
  <ScaleCrop>false</ScaleCrop>
  <Company/>
  <LinksUpToDate>false</LinksUpToDate>
  <CharactersWithSpaces>17070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Isadora Castillo</dc:creator>
  <cp:lastModifiedBy>Isadora Castillo</cp:lastModifiedBy>
  <cp:revision>35</cp:revision>
  <dcterms:created xsi:type="dcterms:W3CDTF">2024-09-07T21:27:00Z</dcterms:created>
  <dcterms:modified xsi:type="dcterms:W3CDTF">2024-09-09T22:08:00Z</dcterms:modified>
</cp:coreProperties>
</file>