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62E76" w:rsidRDefault="00D62E76" w:rsidP="004B7835">
      <w:pPr>
        <w:pBdr>
          <w:top w:val="nil"/>
          <w:left w:val="nil"/>
          <w:bottom w:val="nil"/>
          <w:right w:val="nil"/>
          <w:between w:val="nil"/>
        </w:pBdr>
        <w:spacing w:before="240" w:after="240" w:line="276" w:lineRule="auto"/>
        <w:rPr>
          <w:rFonts w:ascii="Cambria" w:eastAsia="Cambria" w:hAnsi="Cambria" w:cs="Cambria"/>
          <w:color w:val="000000"/>
        </w:rPr>
      </w:pPr>
    </w:p>
    <w:p w14:paraId="00000002" w14:textId="1D4E23F9" w:rsidR="00D62E76" w:rsidRDefault="00000000">
      <w:pPr>
        <w:pBdr>
          <w:top w:val="nil"/>
          <w:left w:val="nil"/>
          <w:bottom w:val="nil"/>
          <w:right w:val="nil"/>
          <w:between w:val="nil"/>
        </w:pBdr>
        <w:spacing w:before="240" w:after="240" w:line="276" w:lineRule="auto"/>
        <w:ind w:left="720" w:hanging="720"/>
        <w:jc w:val="right"/>
        <w:rPr>
          <w:rFonts w:ascii="Cambria" w:eastAsia="Cambria" w:hAnsi="Cambria" w:cs="Cambria"/>
          <w:color w:val="000000"/>
        </w:rPr>
      </w:pPr>
      <w:bookmarkStart w:id="0" w:name="_heading=h.gjdgxs" w:colFirst="0" w:colLast="0"/>
      <w:bookmarkEnd w:id="0"/>
      <w:r>
        <w:rPr>
          <w:rFonts w:ascii="Cambria" w:eastAsia="Cambria" w:hAnsi="Cambria" w:cs="Cambria"/>
          <w:color w:val="000000"/>
        </w:rPr>
        <w:t xml:space="preserve">Lima, </w:t>
      </w:r>
      <w:r w:rsidR="007C2B31">
        <w:rPr>
          <w:rFonts w:ascii="Cambria" w:eastAsia="Cambria" w:hAnsi="Cambria" w:cs="Cambria"/>
          <w:color w:val="000000"/>
        </w:rPr>
        <w:t>1</w:t>
      </w:r>
      <w:r w:rsidR="00B2494D">
        <w:rPr>
          <w:rFonts w:ascii="Cambria" w:eastAsia="Cambria" w:hAnsi="Cambria" w:cs="Cambria"/>
          <w:color w:val="000000"/>
        </w:rPr>
        <w:t>4</w:t>
      </w:r>
      <w:r>
        <w:rPr>
          <w:rFonts w:ascii="Cambria" w:eastAsia="Cambria" w:hAnsi="Cambria" w:cs="Cambria"/>
          <w:color w:val="000000"/>
        </w:rPr>
        <w:t xml:space="preserve"> de diciembre 2024</w:t>
      </w:r>
    </w:p>
    <w:p w14:paraId="00000003" w14:textId="77777777" w:rsidR="00D62E76" w:rsidRDefault="00D62E76">
      <w:pPr>
        <w:pBdr>
          <w:top w:val="nil"/>
          <w:left w:val="nil"/>
          <w:bottom w:val="nil"/>
          <w:right w:val="nil"/>
          <w:between w:val="nil"/>
        </w:pBdr>
        <w:spacing w:line="276" w:lineRule="auto"/>
        <w:jc w:val="both"/>
        <w:rPr>
          <w:rFonts w:ascii="Cambria" w:eastAsia="Cambria" w:hAnsi="Cambria" w:cs="Cambria"/>
          <w:color w:val="000000"/>
        </w:rPr>
      </w:pPr>
    </w:p>
    <w:p w14:paraId="00000004" w14:textId="77777777" w:rsidR="00D62E76" w:rsidRDefault="00000000">
      <w:p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 xml:space="preserve">Secretaría del Comité de los Derechos del Niño </w:t>
      </w:r>
    </w:p>
    <w:p w14:paraId="00000005" w14:textId="77777777" w:rsidR="00D62E76" w:rsidRDefault="00000000">
      <w:pPr>
        <w:pBdr>
          <w:top w:val="nil"/>
          <w:left w:val="nil"/>
          <w:bottom w:val="nil"/>
          <w:right w:val="nil"/>
          <w:between w:val="nil"/>
        </w:pBdr>
        <w:spacing w:after="120" w:line="276" w:lineRule="auto"/>
        <w:jc w:val="both"/>
        <w:rPr>
          <w:rFonts w:ascii="Cambria" w:eastAsia="Cambria" w:hAnsi="Cambria" w:cs="Cambria"/>
          <w:color w:val="000000"/>
        </w:rPr>
      </w:pPr>
      <w:r>
        <w:rPr>
          <w:rFonts w:ascii="Cambria" w:eastAsia="Cambria" w:hAnsi="Cambria" w:cs="Cambria"/>
          <w:color w:val="000000"/>
        </w:rPr>
        <w:t xml:space="preserve">Oficina del Alto Comisionado de </w:t>
      </w:r>
      <w:r>
        <w:rPr>
          <w:rFonts w:ascii="Cambria" w:eastAsia="Cambria" w:hAnsi="Cambria" w:cs="Cambria"/>
        </w:rPr>
        <w:t xml:space="preserve">las </w:t>
      </w:r>
      <w:r>
        <w:rPr>
          <w:rFonts w:ascii="Cambria" w:eastAsia="Cambria" w:hAnsi="Cambria" w:cs="Cambria"/>
          <w:color w:val="000000"/>
        </w:rPr>
        <w:t xml:space="preserve">Naciones Unidas </w:t>
      </w:r>
    </w:p>
    <w:p w14:paraId="00000006" w14:textId="77777777" w:rsidR="00D62E76" w:rsidRDefault="00000000">
      <w:pPr>
        <w:pBdr>
          <w:top w:val="nil"/>
          <w:left w:val="nil"/>
          <w:bottom w:val="nil"/>
          <w:right w:val="nil"/>
          <w:between w:val="nil"/>
        </w:pBdr>
        <w:spacing w:after="120" w:line="276" w:lineRule="auto"/>
        <w:jc w:val="both"/>
        <w:rPr>
          <w:rFonts w:ascii="Cambria" w:eastAsia="Cambria" w:hAnsi="Cambria" w:cs="Cambria"/>
          <w:color w:val="000000"/>
        </w:rPr>
      </w:pPr>
      <w:r>
        <w:rPr>
          <w:rFonts w:ascii="Cambria" w:eastAsia="Cambria" w:hAnsi="Cambria" w:cs="Cambria"/>
          <w:color w:val="000000"/>
        </w:rPr>
        <w:t>Palais Wilson - 52, rue des Pâquis</w:t>
      </w:r>
    </w:p>
    <w:p w14:paraId="00000007" w14:textId="77777777" w:rsidR="00D62E76" w:rsidRDefault="00000000">
      <w:pPr>
        <w:widowControl w:val="0"/>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color w:val="000000"/>
        </w:rPr>
        <w:t xml:space="preserve">CH-1201 Ginebra, Suiza </w:t>
      </w:r>
    </w:p>
    <w:p w14:paraId="00000008" w14:textId="77777777" w:rsidR="00D62E76" w:rsidRDefault="00D62E76">
      <w:pPr>
        <w:widowControl w:val="0"/>
        <w:pBdr>
          <w:top w:val="nil"/>
          <w:left w:val="nil"/>
          <w:bottom w:val="nil"/>
          <w:right w:val="nil"/>
          <w:between w:val="nil"/>
        </w:pBdr>
        <w:spacing w:line="276" w:lineRule="auto"/>
        <w:jc w:val="both"/>
        <w:rPr>
          <w:rFonts w:ascii="Cambria" w:eastAsia="Cambria" w:hAnsi="Cambria" w:cs="Cambria"/>
          <w:color w:val="000000"/>
        </w:rPr>
      </w:pPr>
    </w:p>
    <w:p w14:paraId="0000000A" w14:textId="2EFB4EAF" w:rsidR="00D62E76" w:rsidRPr="004B7835" w:rsidRDefault="00000000" w:rsidP="004B7835">
      <w:pPr>
        <w:pBdr>
          <w:top w:val="nil"/>
          <w:left w:val="nil"/>
          <w:bottom w:val="nil"/>
          <w:right w:val="nil"/>
          <w:between w:val="nil"/>
        </w:pBdr>
        <w:spacing w:after="240" w:line="276" w:lineRule="auto"/>
        <w:ind w:left="4140" w:hanging="360"/>
        <w:jc w:val="both"/>
        <w:rPr>
          <w:rFonts w:ascii="Cambria" w:eastAsia="Cambria" w:hAnsi="Cambria" w:cs="Cambria"/>
          <w:b/>
          <w:color w:val="000000"/>
        </w:rPr>
      </w:pPr>
      <w:r>
        <w:rPr>
          <w:rFonts w:ascii="Cambria" w:eastAsia="Cambria" w:hAnsi="Cambria" w:cs="Cambria"/>
          <w:b/>
          <w:color w:val="000000"/>
        </w:rPr>
        <w:t>Re: Informe alternativo para la revisión del Estado peruano en la 98° sesión del Comité de los Derechos del Niño</w:t>
      </w:r>
    </w:p>
    <w:p w14:paraId="0000000B" w14:textId="77777777" w:rsidR="00D62E76" w:rsidRDefault="00000000">
      <w:pPr>
        <w:widowControl w:val="0"/>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color w:val="000000"/>
        </w:rPr>
        <w:t xml:space="preserve">Distinguidos/as miembros del Comité de los Derechos del Niño:  </w:t>
      </w:r>
    </w:p>
    <w:p w14:paraId="0000000C" w14:textId="77777777" w:rsidR="00D62E76" w:rsidRDefault="00D62E76">
      <w:pPr>
        <w:widowControl w:val="0"/>
        <w:pBdr>
          <w:top w:val="nil"/>
          <w:left w:val="nil"/>
          <w:bottom w:val="nil"/>
          <w:right w:val="nil"/>
          <w:between w:val="nil"/>
        </w:pBdr>
        <w:spacing w:line="276" w:lineRule="auto"/>
        <w:jc w:val="both"/>
        <w:rPr>
          <w:rFonts w:ascii="Cambria" w:eastAsia="Cambria" w:hAnsi="Cambria" w:cs="Cambria"/>
          <w:color w:val="000000"/>
        </w:rPr>
      </w:pPr>
    </w:p>
    <w:p w14:paraId="0000000D" w14:textId="30002448" w:rsidR="00D62E76" w:rsidRPr="007F2CDD" w:rsidRDefault="00000000">
      <w:pPr>
        <w:pBdr>
          <w:top w:val="nil"/>
          <w:left w:val="nil"/>
          <w:bottom w:val="nil"/>
          <w:right w:val="nil"/>
          <w:between w:val="nil"/>
        </w:pBdr>
        <w:spacing w:line="276" w:lineRule="auto"/>
        <w:jc w:val="both"/>
        <w:rPr>
          <w:rFonts w:ascii="Cambria" w:eastAsia="Cambria" w:hAnsi="Cambria" w:cs="Cambria"/>
          <w:color w:val="000000" w:themeColor="text1"/>
        </w:rPr>
      </w:pPr>
      <w:r w:rsidRPr="009A023B">
        <w:rPr>
          <w:rFonts w:ascii="Cambria" w:eastAsia="Cambria" w:hAnsi="Cambria" w:cs="Cambria"/>
          <w:color w:val="000000"/>
        </w:rPr>
        <w:t xml:space="preserve">El </w:t>
      </w:r>
      <w:r w:rsidRPr="009A023B">
        <w:rPr>
          <w:rFonts w:ascii="Cambria" w:eastAsia="Cambria" w:hAnsi="Cambria" w:cs="Cambria"/>
          <w:b/>
          <w:color w:val="000000"/>
        </w:rPr>
        <w:t xml:space="preserve">Movimiento Manuela Ramos </w:t>
      </w:r>
      <w:r w:rsidRPr="009A023B">
        <w:rPr>
          <w:rFonts w:ascii="Cambria" w:eastAsia="Cambria" w:hAnsi="Cambria" w:cs="Cambria"/>
          <w:color w:val="000000"/>
        </w:rPr>
        <w:t>(</w:t>
      </w:r>
      <w:r w:rsidRPr="009A023B">
        <w:rPr>
          <w:rFonts w:ascii="Cambria" w:eastAsia="Cambria" w:hAnsi="Cambria" w:cs="Cambria"/>
          <w:i/>
          <w:color w:val="000000"/>
        </w:rPr>
        <w:t>“Manuela Ramos”</w:t>
      </w:r>
      <w:r w:rsidRPr="009A023B">
        <w:rPr>
          <w:rFonts w:ascii="Cambria" w:eastAsia="Cambria" w:hAnsi="Cambria" w:cs="Cambria"/>
          <w:color w:val="000000"/>
        </w:rPr>
        <w:t>)</w:t>
      </w:r>
      <w:r w:rsidR="004B7835">
        <w:rPr>
          <w:rStyle w:val="EndnoteReference"/>
          <w:rFonts w:ascii="Cambria" w:eastAsia="Cambria" w:hAnsi="Cambria" w:cs="Cambria"/>
          <w:color w:val="000000"/>
        </w:rPr>
        <w:endnoteReference w:id="1"/>
      </w:r>
      <w:r w:rsidR="009A023B" w:rsidRPr="009A023B">
        <w:rPr>
          <w:rFonts w:ascii="Cambria" w:eastAsia="Cambria" w:hAnsi="Cambria" w:cs="Cambria"/>
          <w:color w:val="000000"/>
        </w:rPr>
        <w:t xml:space="preserve"> y la </w:t>
      </w:r>
      <w:r w:rsidR="009A023B" w:rsidRPr="009A023B">
        <w:rPr>
          <w:rFonts w:ascii="Cambria" w:hAnsi="Cambria"/>
          <w:b/>
          <w:bCs/>
        </w:rPr>
        <w:t>Alianza SÍ Podemos</w:t>
      </w:r>
      <w:r w:rsidR="009A023B" w:rsidRPr="009A023B">
        <w:rPr>
          <w:rFonts w:ascii="Cambria" w:hAnsi="Cambria"/>
        </w:rPr>
        <w:t xml:space="preserve"> (</w:t>
      </w:r>
      <w:r w:rsidR="009A023B">
        <w:rPr>
          <w:rFonts w:ascii="Cambria" w:hAnsi="Cambria"/>
        </w:rPr>
        <w:t>“</w:t>
      </w:r>
      <w:r w:rsidR="009A023B" w:rsidRPr="009A023B">
        <w:rPr>
          <w:rFonts w:ascii="Cambria" w:hAnsi="Cambria"/>
          <w:i/>
          <w:iCs/>
        </w:rPr>
        <w:t>ASP</w:t>
      </w:r>
      <w:r w:rsidR="009A023B">
        <w:rPr>
          <w:rFonts w:ascii="Cambria" w:hAnsi="Cambria"/>
          <w:i/>
          <w:iCs/>
        </w:rPr>
        <w:t>”</w:t>
      </w:r>
      <w:r w:rsidR="009A023B" w:rsidRPr="009A023B">
        <w:rPr>
          <w:rFonts w:ascii="Cambria" w:hAnsi="Cambria"/>
        </w:rPr>
        <w:t>),</w:t>
      </w:r>
      <w:r w:rsidR="004B7835">
        <w:rPr>
          <w:rStyle w:val="EndnoteReference"/>
          <w:rFonts w:ascii="Cambria" w:hAnsi="Cambria"/>
        </w:rPr>
        <w:endnoteReference w:id="2"/>
      </w:r>
      <w:r w:rsidR="004B7835">
        <w:rPr>
          <w:rFonts w:ascii="Cambria" w:hAnsi="Cambria"/>
        </w:rPr>
        <w:t xml:space="preserve"> </w:t>
      </w:r>
      <w:r w:rsidRPr="009A023B">
        <w:rPr>
          <w:rFonts w:ascii="Cambria" w:eastAsia="Cambria" w:hAnsi="Cambria" w:cs="Cambria"/>
          <w:color w:val="000000"/>
        </w:rPr>
        <w:t>en</w:t>
      </w:r>
      <w:r>
        <w:rPr>
          <w:rFonts w:ascii="Cambria" w:eastAsia="Cambria" w:hAnsi="Cambria" w:cs="Cambria"/>
          <w:color w:val="000000"/>
        </w:rPr>
        <w:t xml:space="preserve"> el marco de la evaluación del Estado peruano, que será considerado durante la 98° </w:t>
      </w:r>
      <w:r>
        <w:rPr>
          <w:rFonts w:ascii="Cambria" w:eastAsia="Cambria" w:hAnsi="Cambria" w:cs="Cambria"/>
        </w:rPr>
        <w:t>período</w:t>
      </w:r>
      <w:r>
        <w:rPr>
          <w:rFonts w:ascii="Cambria" w:eastAsia="Cambria" w:hAnsi="Cambria" w:cs="Cambria"/>
          <w:color w:val="000000"/>
        </w:rPr>
        <w:t xml:space="preserve"> de sesiones que se celebrará entre el 13 al 31 de enero de 2025, presentamos esta comunicación</w:t>
      </w:r>
      <w:r w:rsidR="004B7835">
        <w:rPr>
          <w:rStyle w:val="EndnoteReference"/>
          <w:rFonts w:ascii="Cambria" w:eastAsia="Cambria" w:hAnsi="Cambria" w:cs="Cambria"/>
          <w:color w:val="000000"/>
        </w:rPr>
        <w:endnoteReference w:id="3"/>
      </w:r>
      <w:r>
        <w:rPr>
          <w:rFonts w:ascii="Cambria" w:eastAsia="Cambria" w:hAnsi="Cambria" w:cs="Cambria"/>
          <w:color w:val="000000"/>
        </w:rPr>
        <w:t xml:space="preserve"> al Comité de los Derechos del Niño (en adelante, </w:t>
      </w:r>
      <w:r w:rsidRPr="00B2494D">
        <w:rPr>
          <w:rFonts w:ascii="Cambria" w:eastAsia="Cambria" w:hAnsi="Cambria" w:cs="Cambria"/>
          <w:b/>
          <w:bCs/>
          <w:i/>
          <w:color w:val="000000"/>
        </w:rPr>
        <w:t>“Comité”</w:t>
      </w:r>
      <w:r>
        <w:rPr>
          <w:rFonts w:ascii="Cambria" w:eastAsia="Cambria" w:hAnsi="Cambria" w:cs="Cambria"/>
          <w:color w:val="000000"/>
        </w:rPr>
        <w:t xml:space="preserve"> o </w:t>
      </w:r>
      <w:r w:rsidRPr="00B2494D">
        <w:rPr>
          <w:rFonts w:ascii="Cambria" w:eastAsia="Cambria" w:hAnsi="Cambria" w:cs="Cambria"/>
          <w:b/>
          <w:bCs/>
          <w:i/>
          <w:color w:val="000000"/>
        </w:rPr>
        <w:t>“CDN”</w:t>
      </w:r>
      <w:r>
        <w:rPr>
          <w:rFonts w:ascii="Cambria" w:eastAsia="Cambria" w:hAnsi="Cambria" w:cs="Cambria"/>
          <w:color w:val="000000"/>
        </w:rPr>
        <w:t xml:space="preserve">) con la finalidad de aportar </w:t>
      </w:r>
      <w:r w:rsidRPr="007F2CDD">
        <w:rPr>
          <w:rFonts w:ascii="Cambria" w:eastAsia="Cambria" w:hAnsi="Cambria" w:cs="Cambria"/>
          <w:color w:val="000000" w:themeColor="text1"/>
        </w:rPr>
        <w:t>información respecto a las obligaciones del Estado para garantizar l</w:t>
      </w:r>
      <w:sdt>
        <w:sdtPr>
          <w:rPr>
            <w:color w:val="000000" w:themeColor="text1"/>
          </w:rPr>
          <w:tag w:val="goog_rdk_0"/>
          <w:id w:val="1040941828"/>
        </w:sdtPr>
        <w:sdtContent/>
      </w:sdt>
      <w:r w:rsidRPr="007F2CDD">
        <w:rPr>
          <w:rFonts w:ascii="Cambria" w:eastAsia="Cambria" w:hAnsi="Cambria" w:cs="Cambria"/>
          <w:color w:val="000000" w:themeColor="text1"/>
        </w:rPr>
        <w:t xml:space="preserve">os derechos sexuales y derechos reproductivos de los niños, niñas y adolescentes (en adelante, </w:t>
      </w:r>
      <w:r w:rsidRPr="007F2CDD">
        <w:rPr>
          <w:rFonts w:ascii="Cambria" w:eastAsia="Cambria" w:hAnsi="Cambria" w:cs="Cambria"/>
          <w:i/>
          <w:color w:val="000000" w:themeColor="text1"/>
        </w:rPr>
        <w:t>“NNA”</w:t>
      </w:r>
      <w:r w:rsidRPr="007F2CDD">
        <w:rPr>
          <w:rFonts w:ascii="Cambria" w:eastAsia="Cambria" w:hAnsi="Cambria" w:cs="Cambria"/>
          <w:color w:val="000000" w:themeColor="text1"/>
        </w:rPr>
        <w:t xml:space="preserve">) , protegidos por la Convención de los Derechos del Niño (en adelante, </w:t>
      </w:r>
      <w:r w:rsidRPr="00B2494D">
        <w:rPr>
          <w:rFonts w:ascii="Cambria" w:eastAsia="Cambria" w:hAnsi="Cambria" w:cs="Cambria"/>
          <w:b/>
          <w:bCs/>
          <w:i/>
          <w:color w:val="000000" w:themeColor="text1"/>
        </w:rPr>
        <w:t>“Convención”</w:t>
      </w:r>
      <w:r w:rsidRPr="007F2CDD">
        <w:rPr>
          <w:rFonts w:ascii="Cambria" w:eastAsia="Cambria" w:hAnsi="Cambria" w:cs="Cambria"/>
          <w:color w:val="000000" w:themeColor="text1"/>
        </w:rPr>
        <w:t>).</w:t>
      </w:r>
    </w:p>
    <w:p w14:paraId="42234065" w14:textId="5D6A3915" w:rsidR="00B2494D" w:rsidRPr="00B2494D" w:rsidRDefault="00000000" w:rsidP="00B2494D">
      <w:pPr>
        <w:pStyle w:val="Heading1"/>
        <w:spacing w:line="276" w:lineRule="auto"/>
        <w:jc w:val="both"/>
        <w:rPr>
          <w:rFonts w:ascii="Cambria" w:eastAsia="Cambria" w:hAnsi="Cambria" w:cs="Cambria"/>
          <w:color w:val="000000"/>
          <w:sz w:val="24"/>
          <w:szCs w:val="24"/>
        </w:rPr>
      </w:pPr>
      <w:r w:rsidRPr="007F2CDD">
        <w:rPr>
          <w:rFonts w:ascii="Cambria" w:eastAsia="Cambria" w:hAnsi="Cambria" w:cs="Cambria"/>
          <w:color w:val="000000" w:themeColor="text1"/>
          <w:sz w:val="24"/>
          <w:szCs w:val="24"/>
        </w:rPr>
        <w:t xml:space="preserve">En el presente informe, abordaremos en específico la vulneración de los  artículos 24, 27 y 28 de la Convención, con especial énfasis en: (i) Desafíos en el acceso a los servicios de salud sexual y salud </w:t>
      </w:r>
      <w:r>
        <w:rPr>
          <w:rFonts w:ascii="Cambria" w:eastAsia="Cambria" w:hAnsi="Cambria" w:cs="Cambria"/>
          <w:color w:val="000000"/>
          <w:sz w:val="24"/>
          <w:szCs w:val="24"/>
        </w:rPr>
        <w:t>reproductiva en el Perú, en este apartado se incluirá la violencia de género contra NNA, embarazos forzados en niñas y adolescentes, mortalidad materna y las barreras para el acceso al aborto terapéutico; (ii) Desafíos en el acceso efectivo a la educación sexual integral y, una lista de recomendaciones que Manuela Ramos sugiere, respetuosamente, al Comité en la evaluación del Estado peruano.</w:t>
      </w:r>
    </w:p>
    <w:p w14:paraId="00000010" w14:textId="77777777" w:rsidR="00D62E76" w:rsidRDefault="00000000">
      <w:pPr>
        <w:spacing w:line="276" w:lineRule="auto"/>
        <w:jc w:val="both"/>
        <w:rPr>
          <w:rFonts w:ascii="Cambria" w:eastAsia="Cambria" w:hAnsi="Cambria" w:cs="Cambria"/>
          <w:color w:val="000000"/>
        </w:rPr>
      </w:pPr>
      <w:r>
        <w:rPr>
          <w:rFonts w:ascii="Cambria" w:eastAsia="Cambria" w:hAnsi="Cambria" w:cs="Cambria"/>
          <w:color w:val="000000"/>
        </w:rPr>
        <w:t xml:space="preserve">Cordialmente, </w:t>
      </w:r>
    </w:p>
    <w:p w14:paraId="67D23A25" w14:textId="3E64D82D" w:rsidR="00671545" w:rsidRDefault="00671545" w:rsidP="00671545">
      <w:pPr>
        <w:jc w:val="both"/>
        <w:rPr>
          <w:rFonts w:asciiTheme="minorHAnsi" w:hAnsiTheme="minorHAnsi"/>
          <w:lang w:val="es-ES"/>
        </w:rPr>
      </w:pPr>
      <w:r>
        <w:rPr>
          <w:noProof/>
        </w:rPr>
        <w:drawing>
          <wp:anchor distT="0" distB="0" distL="114300" distR="114300" simplePos="0" relativeHeight="251659264" behindDoc="1" locked="0" layoutInCell="1" allowOverlap="1" wp14:anchorId="4E0144CF" wp14:editId="3DE66588">
            <wp:simplePos x="0" y="0"/>
            <wp:positionH relativeFrom="column">
              <wp:posOffset>1174115</wp:posOffset>
            </wp:positionH>
            <wp:positionV relativeFrom="paragraph">
              <wp:posOffset>56515</wp:posOffset>
            </wp:positionV>
            <wp:extent cx="813435" cy="764540"/>
            <wp:effectExtent l="100648" t="89852" r="106362" b="106363"/>
            <wp:wrapNone/>
            <wp:docPr id="1178959638" name="Imagen 2" descr="A group of black stam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59638" name="Imagen 2" descr="A group of black stamp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l="31483" t="65230" r="39027" b="4689"/>
                    <a:stretch>
                      <a:fillRect/>
                    </a:stretch>
                  </pic:blipFill>
                  <pic:spPr bwMode="auto">
                    <a:xfrm rot="-4440195">
                      <a:off x="0" y="0"/>
                      <a:ext cx="813435" cy="764540"/>
                    </a:xfrm>
                    <a:prstGeom prst="rect">
                      <a:avLst/>
                    </a:prstGeom>
                    <a:noFill/>
                  </pic:spPr>
                </pic:pic>
              </a:graphicData>
            </a:graphic>
            <wp14:sizeRelH relativeFrom="margin">
              <wp14:pctWidth>0</wp14:pctWidth>
            </wp14:sizeRelH>
            <wp14:sizeRelV relativeFrom="margin">
              <wp14:pctHeight>0</wp14:pctHeight>
            </wp14:sizeRelV>
          </wp:anchor>
        </w:drawing>
      </w:r>
    </w:p>
    <w:p w14:paraId="070D8CCA" w14:textId="77777777" w:rsidR="00671545" w:rsidRDefault="00671545" w:rsidP="00671545">
      <w:pPr>
        <w:jc w:val="both"/>
        <w:rPr>
          <w:rFonts w:asciiTheme="minorHAnsi" w:hAnsiTheme="minorHAnsi"/>
          <w:lang w:val="es-ES"/>
        </w:rPr>
      </w:pPr>
      <w:r>
        <w:rPr>
          <w:noProof/>
        </w:rPr>
        <w:drawing>
          <wp:anchor distT="0" distB="0" distL="114300" distR="114300" simplePos="0" relativeHeight="251661312" behindDoc="0" locked="0" layoutInCell="1" allowOverlap="1" wp14:anchorId="686D0B3E" wp14:editId="4AD1E0B5">
            <wp:simplePos x="0" y="0"/>
            <wp:positionH relativeFrom="column">
              <wp:posOffset>3560445</wp:posOffset>
            </wp:positionH>
            <wp:positionV relativeFrom="paragraph">
              <wp:posOffset>6350</wp:posOffset>
            </wp:positionV>
            <wp:extent cx="887150" cy="423545"/>
            <wp:effectExtent l="0" t="0" r="8255" b="0"/>
            <wp:wrapNone/>
            <wp:docPr id="7" name="Imagen 6" descr="A signature on a white background&#10;&#10;Description automatically generated">
              <a:extLst xmlns:a="http://schemas.openxmlformats.org/drawingml/2006/main">
                <a:ext uri="{FF2B5EF4-FFF2-40B4-BE49-F238E27FC236}">
                  <a16:creationId xmlns:a16="http://schemas.microsoft.com/office/drawing/2014/main" id="{9BF25AF9-EA04-4128-B138-E1272205CD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A signature on a white background&#10;&#10;Description automatically generated">
                      <a:extLst>
                        <a:ext uri="{FF2B5EF4-FFF2-40B4-BE49-F238E27FC236}">
                          <a16:creationId xmlns:a16="http://schemas.microsoft.com/office/drawing/2014/main" id="{9BF25AF9-EA04-4128-B138-E1272205CD49}"/>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887480" cy="42370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70068F46" wp14:editId="70A65279">
            <wp:simplePos x="0" y="0"/>
            <wp:positionH relativeFrom="margin">
              <wp:posOffset>635</wp:posOffset>
            </wp:positionH>
            <wp:positionV relativeFrom="paragraph">
              <wp:posOffset>125095</wp:posOffset>
            </wp:positionV>
            <wp:extent cx="1095375" cy="520065"/>
            <wp:effectExtent l="0" t="0" r="9525" b="0"/>
            <wp:wrapNone/>
            <wp:docPr id="1" name="Imagen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A close up of a signatur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5375" cy="52006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lang w:val="es-ES"/>
        </w:rPr>
        <w:tab/>
      </w:r>
      <w:r>
        <w:rPr>
          <w:rFonts w:asciiTheme="minorHAnsi" w:hAnsiTheme="minorHAnsi"/>
          <w:lang w:val="es-ES"/>
        </w:rPr>
        <w:tab/>
      </w:r>
      <w:r>
        <w:rPr>
          <w:rFonts w:asciiTheme="minorHAnsi" w:hAnsiTheme="minorHAnsi"/>
          <w:lang w:val="es-ES"/>
        </w:rPr>
        <w:tab/>
      </w:r>
      <w:r>
        <w:rPr>
          <w:rFonts w:asciiTheme="minorHAnsi" w:hAnsiTheme="minorHAnsi"/>
          <w:lang w:val="es-ES"/>
        </w:rPr>
        <w:tab/>
      </w:r>
    </w:p>
    <w:p w14:paraId="2DDED1B7" w14:textId="77777777" w:rsidR="00671545" w:rsidRDefault="00671545" w:rsidP="00671545">
      <w:pPr>
        <w:jc w:val="both"/>
        <w:rPr>
          <w:rFonts w:asciiTheme="minorHAnsi" w:hAnsiTheme="minorHAnsi"/>
          <w:lang w:val="es-ES"/>
        </w:rPr>
      </w:pPr>
    </w:p>
    <w:p w14:paraId="58201306" w14:textId="77777777" w:rsidR="00671545" w:rsidRDefault="00671545" w:rsidP="00671545">
      <w:pPr>
        <w:jc w:val="both"/>
        <w:rPr>
          <w:rFonts w:asciiTheme="minorHAnsi" w:hAnsiTheme="minorHAnsi"/>
          <w:lang w:val="es-ES"/>
        </w:rPr>
      </w:pPr>
    </w:p>
    <w:p w14:paraId="6186BA33" w14:textId="77777777" w:rsidR="00671545" w:rsidRDefault="00671545" w:rsidP="00671545">
      <w:pPr>
        <w:rPr>
          <w:rFonts w:asciiTheme="minorHAnsi" w:hAnsiTheme="minorHAnsi"/>
          <w:lang w:val="es-ES"/>
        </w:rPr>
      </w:pPr>
      <w:r>
        <w:rPr>
          <w:rFonts w:asciiTheme="minorHAnsi" w:hAnsiTheme="minorHAnsi"/>
          <w:lang w:val="es-ES"/>
        </w:rPr>
        <w:t>Carmen Espinoza Bernal                                                         Elga Prado Vásquez</w:t>
      </w:r>
    </w:p>
    <w:p w14:paraId="08A21B62" w14:textId="77777777" w:rsidR="00671545" w:rsidRDefault="00671545" w:rsidP="00671545">
      <w:pPr>
        <w:rPr>
          <w:rFonts w:asciiTheme="minorHAnsi" w:hAnsiTheme="minorHAnsi"/>
          <w:lang w:val="es-ES"/>
        </w:rPr>
      </w:pPr>
      <w:r>
        <w:rPr>
          <w:rFonts w:asciiTheme="minorHAnsi" w:hAnsiTheme="minorHAnsi"/>
          <w:lang w:val="es-ES"/>
        </w:rPr>
        <w:t xml:space="preserve">Directora                                                                        Coordinadora Alianza SI PODEMOS </w:t>
      </w:r>
    </w:p>
    <w:p w14:paraId="00000012" w14:textId="77777777" w:rsidR="00D62E76" w:rsidRDefault="00D62E76">
      <w:pPr>
        <w:tabs>
          <w:tab w:val="left" w:pos="1367"/>
        </w:tabs>
        <w:spacing w:line="276" w:lineRule="auto"/>
        <w:jc w:val="both"/>
        <w:rPr>
          <w:rFonts w:ascii="Cambria" w:eastAsia="Cambria" w:hAnsi="Cambria" w:cs="Cambria"/>
          <w:color w:val="000000"/>
        </w:rPr>
      </w:pPr>
    </w:p>
    <w:p w14:paraId="1F498A96" w14:textId="77777777" w:rsidR="007E7479" w:rsidRDefault="007E7479">
      <w:pPr>
        <w:spacing w:line="276" w:lineRule="auto"/>
        <w:jc w:val="both"/>
        <w:rPr>
          <w:rFonts w:ascii="Cambria" w:eastAsia="Cambria" w:hAnsi="Cambria" w:cs="Cambria"/>
          <w:color w:val="9900FF"/>
        </w:rPr>
      </w:pPr>
    </w:p>
    <w:p w14:paraId="00000015" w14:textId="77777777" w:rsidR="00D62E76" w:rsidRDefault="00000000">
      <w:pPr>
        <w:pStyle w:val="Heading1"/>
        <w:numPr>
          <w:ilvl w:val="0"/>
          <w:numId w:val="1"/>
        </w:numPr>
        <w:spacing w:before="0" w:line="276" w:lineRule="auto"/>
        <w:ind w:left="284" w:hanging="284"/>
        <w:jc w:val="both"/>
        <w:rPr>
          <w:rFonts w:ascii="Cambria" w:eastAsia="Cambria" w:hAnsi="Cambria" w:cs="Cambria"/>
          <w:b/>
          <w:color w:val="000000"/>
          <w:sz w:val="24"/>
          <w:szCs w:val="24"/>
        </w:rPr>
      </w:pPr>
      <w:r>
        <w:rPr>
          <w:rFonts w:ascii="Cambria" w:eastAsia="Cambria" w:hAnsi="Cambria" w:cs="Cambria"/>
          <w:b/>
          <w:color w:val="000000"/>
          <w:sz w:val="24"/>
          <w:szCs w:val="24"/>
        </w:rPr>
        <w:t>INTRODUCCIÓN</w:t>
      </w:r>
    </w:p>
    <w:p w14:paraId="00000016" w14:textId="77777777" w:rsidR="00D62E76" w:rsidRDefault="00000000">
      <w:pPr>
        <w:spacing w:line="276" w:lineRule="auto"/>
        <w:ind w:firstLine="720"/>
        <w:jc w:val="both"/>
        <w:rPr>
          <w:rFonts w:ascii="Cambria" w:eastAsia="Cambria" w:hAnsi="Cambria" w:cs="Cambria"/>
          <w:i/>
          <w:color w:val="000000"/>
        </w:rPr>
      </w:pPr>
      <w:r>
        <w:rPr>
          <w:rFonts w:ascii="Cambria" w:eastAsia="Cambria" w:hAnsi="Cambria" w:cs="Cambria"/>
          <w:i/>
          <w:color w:val="000000"/>
        </w:rPr>
        <w:t>Seguimiento del Estado peruano de las recomendaciones formuladas por el Comité</w:t>
      </w:r>
    </w:p>
    <w:p w14:paraId="00000017" w14:textId="77777777" w:rsidR="00D62E76" w:rsidRDefault="00D62E76">
      <w:pPr>
        <w:spacing w:line="276" w:lineRule="auto"/>
        <w:jc w:val="both"/>
        <w:rPr>
          <w:rFonts w:ascii="Cambria" w:eastAsia="Cambria" w:hAnsi="Cambria" w:cs="Cambria"/>
          <w:color w:val="000000"/>
        </w:rPr>
      </w:pPr>
    </w:p>
    <w:p w14:paraId="00000018" w14:textId="74326DB3"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El Comité de manera reiterativa exhortó al Estado peruano dar cumplimiento a las disposiciones contenidas en la Convención. En las Observaciones Finales sobre los informes periódicos cuarto y quinto combinados del Estado peruano</w:t>
      </w:r>
      <w:r w:rsidR="004B7835">
        <w:rPr>
          <w:rStyle w:val="EndnoteReference"/>
          <w:rFonts w:ascii="Cambria" w:eastAsia="Cambria" w:hAnsi="Cambria" w:cs="Cambria"/>
          <w:color w:val="000000"/>
        </w:rPr>
        <w:endnoteReference w:id="4"/>
      </w:r>
      <w:r>
        <w:rPr>
          <w:rFonts w:ascii="Cambria" w:eastAsia="Cambria" w:hAnsi="Cambria" w:cs="Cambria"/>
          <w:color w:val="000000"/>
        </w:rPr>
        <w:t xml:space="preserve"> (en adelante, </w:t>
      </w:r>
      <w:r>
        <w:rPr>
          <w:rFonts w:ascii="Cambria" w:eastAsia="Cambria" w:hAnsi="Cambria" w:cs="Cambria"/>
          <w:i/>
          <w:color w:val="000000"/>
        </w:rPr>
        <w:t>“Observaciones Finales”</w:t>
      </w:r>
      <w:r>
        <w:rPr>
          <w:rFonts w:ascii="Cambria" w:eastAsia="Cambria" w:hAnsi="Cambria" w:cs="Cambria"/>
          <w:color w:val="000000"/>
        </w:rPr>
        <w:t>) y la Lista de cuestiones</w:t>
      </w:r>
      <w:r>
        <w:rPr>
          <w:rFonts w:ascii="Cambria" w:eastAsia="Cambria" w:hAnsi="Cambria" w:cs="Cambria"/>
        </w:rPr>
        <w:t xml:space="preserve"> previas </w:t>
      </w:r>
      <w:r>
        <w:rPr>
          <w:rFonts w:ascii="Cambria" w:eastAsia="Cambria" w:hAnsi="Cambria" w:cs="Cambria"/>
          <w:color w:val="000000"/>
        </w:rPr>
        <w:t>a la presentación de los informes periódicos sexto y séptimo combinados</w:t>
      </w:r>
      <w:r w:rsidR="004B7835">
        <w:rPr>
          <w:rStyle w:val="EndnoteReference"/>
          <w:rFonts w:ascii="Cambria" w:eastAsia="Cambria" w:hAnsi="Cambria" w:cs="Cambria"/>
          <w:color w:val="000000"/>
        </w:rPr>
        <w:endnoteReference w:id="5"/>
      </w:r>
      <w:r w:rsidR="004B7835">
        <w:rPr>
          <w:rFonts w:ascii="Cambria" w:eastAsia="Cambria" w:hAnsi="Cambria" w:cs="Cambria"/>
          <w:color w:val="000000"/>
        </w:rPr>
        <w:t xml:space="preserve"> </w:t>
      </w:r>
      <w:r>
        <w:rPr>
          <w:rFonts w:ascii="Cambria" w:eastAsia="Cambria" w:hAnsi="Cambria" w:cs="Cambria"/>
          <w:color w:val="000000"/>
        </w:rPr>
        <w:t xml:space="preserve">(en adelante, </w:t>
      </w:r>
      <w:r>
        <w:rPr>
          <w:rFonts w:ascii="Cambria" w:eastAsia="Cambria" w:hAnsi="Cambria" w:cs="Cambria"/>
          <w:i/>
          <w:color w:val="000000"/>
        </w:rPr>
        <w:t>“Lista de cuestiones”</w:t>
      </w:r>
      <w:r>
        <w:rPr>
          <w:rFonts w:ascii="Cambria" w:eastAsia="Cambria" w:hAnsi="Cambria" w:cs="Cambria"/>
          <w:color w:val="000000"/>
        </w:rPr>
        <w:t>), el Comité ha manifestado su preocupación por la elevada tasa de embarazos adolescentes, particularmente de NNA en situación de especial vulnerabilidad, la falta de acceso d</w:t>
      </w:r>
      <w:r>
        <w:rPr>
          <w:rFonts w:ascii="Cambria" w:eastAsia="Cambria" w:hAnsi="Cambria" w:cs="Cambria"/>
        </w:rPr>
        <w:t xml:space="preserve">e las/los adolescentes a servicios de salud sexual y reproductiva y de acceso a métodos anticonceptivos modernos, incluido el anticonceptivo oral de emergencia. </w:t>
      </w:r>
      <w:r>
        <w:rPr>
          <w:rFonts w:ascii="Cambria" w:eastAsia="Cambria" w:hAnsi="Cambria" w:cs="Cambria"/>
          <w:color w:val="000000"/>
        </w:rPr>
        <w:t xml:space="preserve"> Asimismo, enfatizó la necesidad de que el Estado despenalice el aborto en todas las circunstancias, y que garantice el acceso de las niñas a servicios de aborto sin peligro y de atención posterior al aborto por lo menos en los casos de violación, incesto y graves malformaciones del feto y en los casos de riesgo para la vida y la salud de la madre</w:t>
      </w:r>
      <w:r w:rsidR="004B7835">
        <w:rPr>
          <w:rStyle w:val="EndnoteReference"/>
          <w:rFonts w:ascii="Cambria" w:eastAsia="Cambria" w:hAnsi="Cambria" w:cs="Cambria"/>
          <w:color w:val="000000"/>
        </w:rPr>
        <w:endnoteReference w:id="6"/>
      </w:r>
      <w:r w:rsidR="004B7835">
        <w:rPr>
          <w:rFonts w:ascii="Cambria" w:eastAsia="Cambria" w:hAnsi="Cambria" w:cs="Cambria"/>
          <w:color w:val="000000"/>
        </w:rPr>
        <w:t>.</w:t>
      </w:r>
      <w:r>
        <w:rPr>
          <w:rFonts w:ascii="Cambria" w:eastAsia="Cambria" w:hAnsi="Cambria" w:cs="Cambria"/>
          <w:color w:val="000000"/>
        </w:rPr>
        <w:t xml:space="preserve"> </w:t>
      </w:r>
    </w:p>
    <w:p w14:paraId="00000019"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0000001A" w14:textId="297E40BB"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De igual manera, en la lista de cuestiones, el Comité hizo el llamado al Estado peruano para que proporcione información desagregada de cada uno de los apartados y que la información se presente en cuadros que permitan observar las tendencias</w:t>
      </w:r>
      <w:r w:rsidR="004B7835">
        <w:rPr>
          <w:rStyle w:val="EndnoteReference"/>
          <w:rFonts w:ascii="Cambria" w:eastAsia="Cambria" w:hAnsi="Cambria" w:cs="Cambria"/>
          <w:color w:val="000000"/>
        </w:rPr>
        <w:endnoteReference w:id="7"/>
      </w:r>
      <w:r>
        <w:rPr>
          <w:rFonts w:ascii="Cambria" w:eastAsia="Cambria" w:hAnsi="Cambria" w:cs="Cambria"/>
          <w:color w:val="000000"/>
        </w:rPr>
        <w:t>. Sin embargo, en la actualidad no se cuenta con información, por ejemplo, los casos reportados de violencia sexual no representan necesariamente la dimensión real, ya que existe un subregistro; de igual manera, en el caso de embarazo adolescente</w:t>
      </w:r>
      <w:r w:rsidR="004B7835">
        <w:rPr>
          <w:rStyle w:val="EndnoteReference"/>
          <w:rFonts w:ascii="Cambria" w:eastAsia="Cambria" w:hAnsi="Cambria" w:cs="Cambria"/>
          <w:color w:val="000000"/>
        </w:rPr>
        <w:endnoteReference w:id="8"/>
      </w:r>
      <w:r>
        <w:rPr>
          <w:rFonts w:ascii="Cambria" w:eastAsia="Cambria" w:hAnsi="Cambria" w:cs="Cambria"/>
          <w:color w:val="000000"/>
        </w:rPr>
        <w:t xml:space="preserve"> no se conoce la data desagregada por condición. </w:t>
      </w:r>
    </w:p>
    <w:p w14:paraId="0000001B" w14:textId="77777777" w:rsidR="00D62E76" w:rsidRDefault="00D62E76">
      <w:pPr>
        <w:pBdr>
          <w:top w:val="nil"/>
          <w:left w:val="nil"/>
          <w:bottom w:val="nil"/>
          <w:right w:val="nil"/>
          <w:between w:val="nil"/>
        </w:pBdr>
        <w:ind w:left="720"/>
        <w:rPr>
          <w:rFonts w:ascii="Cambria" w:eastAsia="Cambria" w:hAnsi="Cambria" w:cs="Cambria"/>
          <w:color w:val="000000"/>
        </w:rPr>
      </w:pPr>
    </w:p>
    <w:p w14:paraId="0000001C" w14:textId="77777777" w:rsidR="00D62E76" w:rsidRPr="004B7835"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A pesar de este llamado reiterativo, en el sexto y séptimo reporte del Estado peruano, no ha abordado satisfactoriamente las recomendaciones formuladas por el Comité, y no dio respuesta ni ha proporcionado información de las medidas orientadas para garantizar los derechos de NNA. Por lo que, el Estado peruano tiene la obligación imperativa de cumplir las disposiciones contenidas en la Convención, la negativa de dar cumplimiento contraviene sus compromisos internacionales asumidos. </w:t>
      </w:r>
    </w:p>
    <w:p w14:paraId="3E30D35D" w14:textId="77777777" w:rsidR="004B7835" w:rsidRDefault="004B7835" w:rsidP="004B7835">
      <w:pPr>
        <w:pStyle w:val="ListParagraph"/>
        <w:rPr>
          <w:rFonts w:ascii="Cambria" w:eastAsia="Cambria" w:hAnsi="Cambria" w:cs="Cambria"/>
        </w:rPr>
      </w:pPr>
    </w:p>
    <w:p w14:paraId="1CB2C86A" w14:textId="77777777" w:rsidR="004E45BC" w:rsidRDefault="004E45BC" w:rsidP="004B7835">
      <w:pPr>
        <w:pStyle w:val="ListParagraph"/>
        <w:rPr>
          <w:rFonts w:ascii="Cambria" w:eastAsia="Cambria" w:hAnsi="Cambria" w:cs="Cambria"/>
        </w:rPr>
      </w:pPr>
    </w:p>
    <w:p w14:paraId="718B94C6" w14:textId="77777777" w:rsidR="004E45BC" w:rsidRDefault="004E45BC" w:rsidP="004B7835">
      <w:pPr>
        <w:pStyle w:val="ListParagraph"/>
        <w:rPr>
          <w:rFonts w:ascii="Cambria" w:eastAsia="Cambria" w:hAnsi="Cambria" w:cs="Cambria"/>
        </w:rPr>
      </w:pPr>
    </w:p>
    <w:p w14:paraId="7F5CBF36" w14:textId="77777777" w:rsidR="004B7835" w:rsidRDefault="004B7835" w:rsidP="004B7835">
      <w:pPr>
        <w:pStyle w:val="ListParagraph"/>
        <w:rPr>
          <w:rFonts w:ascii="Cambria" w:eastAsia="Cambria" w:hAnsi="Cambria" w:cs="Cambria"/>
        </w:rPr>
      </w:pPr>
    </w:p>
    <w:p w14:paraId="0E620D0A" w14:textId="77777777" w:rsidR="004B7835" w:rsidRDefault="004B7835" w:rsidP="004B7835">
      <w:pPr>
        <w:pStyle w:val="ListParagraph"/>
        <w:rPr>
          <w:rFonts w:ascii="Cambria" w:eastAsia="Cambria" w:hAnsi="Cambria" w:cs="Cambria"/>
        </w:rPr>
      </w:pPr>
    </w:p>
    <w:p w14:paraId="0B2FA746" w14:textId="77777777" w:rsidR="004B7835" w:rsidRDefault="004B7835" w:rsidP="004B7835">
      <w:pPr>
        <w:pBdr>
          <w:top w:val="nil"/>
          <w:left w:val="nil"/>
          <w:bottom w:val="nil"/>
          <w:right w:val="nil"/>
          <w:between w:val="nil"/>
        </w:pBdr>
        <w:spacing w:line="276" w:lineRule="auto"/>
        <w:jc w:val="both"/>
        <w:rPr>
          <w:rFonts w:ascii="Cambria" w:eastAsia="Cambria" w:hAnsi="Cambria" w:cs="Cambria"/>
        </w:rPr>
      </w:pPr>
    </w:p>
    <w:p w14:paraId="3B48567F" w14:textId="77777777" w:rsidR="004B7835" w:rsidRDefault="004B7835" w:rsidP="004B7835">
      <w:pPr>
        <w:pBdr>
          <w:top w:val="nil"/>
          <w:left w:val="nil"/>
          <w:bottom w:val="nil"/>
          <w:right w:val="nil"/>
          <w:between w:val="nil"/>
        </w:pBdr>
        <w:spacing w:line="276" w:lineRule="auto"/>
        <w:jc w:val="both"/>
        <w:rPr>
          <w:rFonts w:ascii="Cambria" w:eastAsia="Cambria" w:hAnsi="Cambria" w:cs="Cambria"/>
        </w:rPr>
      </w:pPr>
    </w:p>
    <w:p w14:paraId="0000001D" w14:textId="77777777" w:rsidR="00D62E76" w:rsidRDefault="00D62E76">
      <w:pPr>
        <w:spacing w:line="276" w:lineRule="auto"/>
        <w:jc w:val="both"/>
        <w:rPr>
          <w:rFonts w:ascii="Cambria" w:eastAsia="Cambria" w:hAnsi="Cambria" w:cs="Cambria"/>
          <w:b/>
          <w:color w:val="000000"/>
        </w:rPr>
      </w:pPr>
    </w:p>
    <w:p w14:paraId="0000001E" w14:textId="77777777" w:rsidR="00D62E76" w:rsidRDefault="00000000">
      <w:pPr>
        <w:pStyle w:val="Heading1"/>
        <w:numPr>
          <w:ilvl w:val="0"/>
          <w:numId w:val="1"/>
        </w:numPr>
        <w:spacing w:before="0" w:line="276" w:lineRule="auto"/>
        <w:ind w:left="284" w:hanging="284"/>
        <w:jc w:val="both"/>
        <w:rPr>
          <w:rFonts w:ascii="Cambria" w:eastAsia="Cambria" w:hAnsi="Cambria" w:cs="Cambria"/>
          <w:b/>
          <w:color w:val="000000"/>
          <w:sz w:val="24"/>
          <w:szCs w:val="24"/>
        </w:rPr>
      </w:pPr>
      <w:r>
        <w:rPr>
          <w:rFonts w:ascii="Cambria" w:eastAsia="Cambria" w:hAnsi="Cambria" w:cs="Cambria"/>
          <w:b/>
          <w:color w:val="000000"/>
          <w:sz w:val="24"/>
          <w:szCs w:val="24"/>
        </w:rPr>
        <w:t xml:space="preserve">DESAFÍOS DE ACCESO A LOS SERVICIOS DE SALUD </w:t>
      </w:r>
      <w:r w:rsidRPr="007F2CDD">
        <w:rPr>
          <w:rFonts w:ascii="Cambria" w:eastAsia="Cambria" w:hAnsi="Cambria" w:cs="Cambria"/>
          <w:b/>
          <w:color w:val="000000" w:themeColor="text1"/>
          <w:sz w:val="24"/>
          <w:szCs w:val="24"/>
        </w:rPr>
        <w:t xml:space="preserve">SEXUAL Y SALUD REPRODUCTIVA </w:t>
      </w:r>
      <w:r>
        <w:rPr>
          <w:rFonts w:ascii="Cambria" w:eastAsia="Cambria" w:hAnsi="Cambria" w:cs="Cambria"/>
          <w:b/>
          <w:color w:val="000000"/>
          <w:sz w:val="24"/>
          <w:szCs w:val="24"/>
        </w:rPr>
        <w:t>EN PERÚ</w:t>
      </w:r>
    </w:p>
    <w:p w14:paraId="0000001F" w14:textId="77777777" w:rsidR="00D62E76" w:rsidRDefault="00D62E76">
      <w:pPr>
        <w:spacing w:line="276" w:lineRule="auto"/>
        <w:jc w:val="both"/>
        <w:rPr>
          <w:rFonts w:ascii="Cambria" w:eastAsia="Cambria" w:hAnsi="Cambria" w:cs="Cambria"/>
          <w:color w:val="000000"/>
        </w:rPr>
      </w:pPr>
    </w:p>
    <w:p w14:paraId="00000020" w14:textId="56319568"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El Comité en la lista de cuestiones previas señaló que el Estado debe </w:t>
      </w:r>
      <w:r>
        <w:rPr>
          <w:rFonts w:ascii="Cambria" w:eastAsia="Cambria" w:hAnsi="Cambria" w:cs="Cambria"/>
          <w:i/>
          <w:color w:val="000000"/>
        </w:rPr>
        <w:t>“proporcionar información sobre las medidas necesarias adoptadas para garantizar los servicios de salud sexual y reproductiva para adolescentes”</w:t>
      </w:r>
      <w:r w:rsidR="004B7835">
        <w:rPr>
          <w:rStyle w:val="EndnoteReference"/>
          <w:rFonts w:ascii="Cambria" w:eastAsia="Cambria" w:hAnsi="Cambria" w:cs="Cambria"/>
          <w:i/>
          <w:color w:val="000000"/>
        </w:rPr>
        <w:endnoteReference w:id="9"/>
      </w:r>
      <w:r>
        <w:rPr>
          <w:rFonts w:ascii="Cambria" w:eastAsia="Cambria" w:hAnsi="Cambria" w:cs="Cambria"/>
          <w:color w:val="000000"/>
        </w:rPr>
        <w:t xml:space="preserve"> </w:t>
      </w:r>
      <w:r w:rsidR="004B7835">
        <w:rPr>
          <w:rFonts w:ascii="Cambria" w:eastAsia="Cambria" w:hAnsi="Cambria" w:cs="Cambria"/>
          <w:color w:val="000000"/>
        </w:rPr>
        <w:t>.</w:t>
      </w:r>
      <w:r>
        <w:rPr>
          <w:rFonts w:ascii="Cambria" w:eastAsia="Cambria" w:hAnsi="Cambria" w:cs="Cambria"/>
          <w:color w:val="000000"/>
        </w:rPr>
        <w:t xml:space="preserve">De igual forma, en las Observaciones Finales, el Comité mostró su preocupación por </w:t>
      </w:r>
      <w:r>
        <w:rPr>
          <w:rFonts w:ascii="Cambria" w:eastAsia="Cambria" w:hAnsi="Cambria" w:cs="Cambria"/>
          <w:i/>
          <w:color w:val="000000"/>
        </w:rPr>
        <w:t>“la falta de acceso de los adolescentes a servicios de salud sexual y reproductiva</w:t>
      </w:r>
      <w:r w:rsidR="009F56C2">
        <w:rPr>
          <w:rFonts w:ascii="Cambria" w:eastAsia="Cambria" w:hAnsi="Cambria" w:cs="Cambria"/>
          <w:i/>
          <w:color w:val="000000"/>
        </w:rPr>
        <w:t>[…]</w:t>
      </w:r>
      <w:r>
        <w:rPr>
          <w:rFonts w:ascii="Cambria" w:eastAsia="Cambria" w:hAnsi="Cambria" w:cs="Cambria"/>
          <w:i/>
          <w:color w:val="000000"/>
        </w:rPr>
        <w:t>, y a métodos anticonceptivos modernos, incluidos los anticonceptivos de emergencia</w:t>
      </w:r>
      <w:r>
        <w:rPr>
          <w:rFonts w:ascii="Cambria" w:eastAsia="Cambria" w:hAnsi="Cambria" w:cs="Cambria"/>
          <w:color w:val="000000"/>
        </w:rPr>
        <w:t>”</w:t>
      </w:r>
      <w:r w:rsidR="004B7835">
        <w:rPr>
          <w:rStyle w:val="EndnoteReference"/>
          <w:rFonts w:ascii="Cambria" w:eastAsia="Cambria" w:hAnsi="Cambria" w:cs="Cambria"/>
          <w:color w:val="000000"/>
        </w:rPr>
        <w:endnoteReference w:id="10"/>
      </w:r>
      <w:r w:rsidR="004B7835">
        <w:rPr>
          <w:rFonts w:ascii="Cambria" w:eastAsia="Cambria" w:hAnsi="Cambria" w:cs="Cambria"/>
          <w:color w:val="000000"/>
        </w:rPr>
        <w:t xml:space="preserve">. </w:t>
      </w:r>
      <w:r>
        <w:rPr>
          <w:rFonts w:ascii="Cambria" w:eastAsia="Cambria" w:hAnsi="Cambria" w:cs="Cambria"/>
          <w:color w:val="000000"/>
        </w:rPr>
        <w:t>Por lo que, el Comité recomendó al Estado que “</w:t>
      </w:r>
      <w:r>
        <w:rPr>
          <w:rFonts w:ascii="Cambria" w:eastAsia="Cambria" w:hAnsi="Cambria" w:cs="Cambria"/>
          <w:i/>
          <w:color w:val="000000"/>
        </w:rPr>
        <w:t>garantice la disponibilidad para todos los adolescentes de servicios e información confidenciales sobre la salud reproductiva […] y el acceso efectivo a formas modernas de anticonceptivos, incluidos los anticonceptivos gratuitos de emergencia”</w:t>
      </w:r>
      <w:r w:rsidR="004B7835">
        <w:rPr>
          <w:rStyle w:val="EndnoteReference"/>
          <w:rFonts w:ascii="Cambria" w:eastAsia="Cambria" w:hAnsi="Cambria" w:cs="Cambria"/>
          <w:i/>
          <w:color w:val="000000"/>
        </w:rPr>
        <w:endnoteReference w:id="11"/>
      </w:r>
      <w:r>
        <w:rPr>
          <w:rFonts w:ascii="Cambria" w:eastAsia="Cambria" w:hAnsi="Cambria" w:cs="Cambria"/>
          <w:color w:val="000000"/>
        </w:rPr>
        <w:t>.</w:t>
      </w:r>
    </w:p>
    <w:p w14:paraId="00000021" w14:textId="77777777" w:rsidR="00D62E76" w:rsidRDefault="00D62E76">
      <w:pPr>
        <w:spacing w:line="276" w:lineRule="auto"/>
        <w:jc w:val="both"/>
        <w:rPr>
          <w:rFonts w:ascii="Cambria" w:eastAsia="Cambria" w:hAnsi="Cambria" w:cs="Cambria"/>
          <w:color w:val="000000"/>
        </w:rPr>
      </w:pPr>
    </w:p>
    <w:p w14:paraId="00000022" w14:textId="6E1456EE"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A pesar de ser una recomendación reiterativa por varios órganos de tratado, incluido el Comité de los Derechos del Niño</w:t>
      </w:r>
      <w:r w:rsidR="004B7835">
        <w:rPr>
          <w:rStyle w:val="EndnoteReference"/>
          <w:rFonts w:ascii="Cambria" w:eastAsia="Cambria" w:hAnsi="Cambria" w:cs="Cambria"/>
          <w:color w:val="000000"/>
        </w:rPr>
        <w:endnoteReference w:id="12"/>
      </w:r>
      <w:r>
        <w:rPr>
          <w:rFonts w:ascii="Cambria" w:eastAsia="Cambria" w:hAnsi="Cambria" w:cs="Cambria"/>
          <w:color w:val="000000"/>
        </w:rPr>
        <w:t>, el Estado incumplió su obligación de asegurar el acceso a los servicios de salud sexual y reproductiva (SSyR) amigables con enfoque de género, interseccional, intergeneracional e intercultural a NNA (en su diversidad) y no realizó un abordaje integral, más aún por que no considera este tipo de servicios co</w:t>
      </w:r>
      <w:r>
        <w:rPr>
          <w:rFonts w:ascii="Cambria" w:eastAsia="Cambria" w:hAnsi="Cambria" w:cs="Cambria"/>
        </w:rPr>
        <w:t>mo esenciales.</w:t>
      </w:r>
      <w:r>
        <w:rPr>
          <w:rFonts w:ascii="Cambria" w:eastAsia="Cambria" w:hAnsi="Cambria" w:cs="Cambria"/>
          <w:color w:val="000000"/>
        </w:rPr>
        <w:t xml:space="preserve"> A esto se suma las barreras de acceso de grupos </w:t>
      </w:r>
      <w:r>
        <w:rPr>
          <w:rFonts w:ascii="Cambria" w:eastAsia="Cambria" w:hAnsi="Cambria" w:cs="Cambria"/>
        </w:rPr>
        <w:t xml:space="preserve"> en situación de vulnerabilidad debido a su </w:t>
      </w:r>
      <w:r>
        <w:rPr>
          <w:rFonts w:ascii="Cambria" w:eastAsia="Cambria" w:hAnsi="Cambria" w:cs="Cambria"/>
          <w:color w:val="000000"/>
        </w:rPr>
        <w:t xml:space="preserve">condición geográfica, </w:t>
      </w:r>
      <w:r>
        <w:rPr>
          <w:rFonts w:ascii="Cambria" w:eastAsia="Cambria" w:hAnsi="Cambria" w:cs="Cambria"/>
        </w:rPr>
        <w:t>é</w:t>
      </w:r>
      <w:r>
        <w:rPr>
          <w:rFonts w:ascii="Cambria" w:eastAsia="Cambria" w:hAnsi="Cambria" w:cs="Cambria"/>
          <w:color w:val="000000"/>
        </w:rPr>
        <w:t>tnia, lengua originaria, nacionalidad, orientación sexual, identidad y expresión de género, entre otras.</w:t>
      </w:r>
    </w:p>
    <w:p w14:paraId="00000023" w14:textId="77777777" w:rsidR="00D62E76" w:rsidRDefault="00D62E76">
      <w:pPr>
        <w:pBdr>
          <w:top w:val="nil"/>
          <w:left w:val="nil"/>
          <w:bottom w:val="nil"/>
          <w:right w:val="nil"/>
          <w:between w:val="nil"/>
        </w:pBdr>
        <w:spacing w:line="276" w:lineRule="auto"/>
        <w:jc w:val="both"/>
        <w:rPr>
          <w:rFonts w:ascii="Cambria" w:eastAsia="Cambria" w:hAnsi="Cambria" w:cs="Cambria"/>
          <w:color w:val="000000"/>
        </w:rPr>
      </w:pPr>
    </w:p>
    <w:p w14:paraId="00000024" w14:textId="56E81FA9"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A esto se suma la ausencia de provisión efectiva de estos servicios durante la pandemia. Al respecto la Defensoría del Pueblo (en adelante, </w:t>
      </w:r>
      <w:r w:rsidRPr="00B2494D">
        <w:rPr>
          <w:rFonts w:ascii="Cambria" w:eastAsia="Cambria" w:hAnsi="Cambria" w:cs="Cambria"/>
          <w:b/>
          <w:bCs/>
          <w:color w:val="000000"/>
        </w:rPr>
        <w:t>“</w:t>
      </w:r>
      <w:r w:rsidRPr="00B2494D">
        <w:rPr>
          <w:rFonts w:ascii="Cambria" w:eastAsia="Cambria" w:hAnsi="Cambria" w:cs="Cambria"/>
          <w:b/>
          <w:bCs/>
          <w:i/>
          <w:color w:val="000000"/>
        </w:rPr>
        <w:t>La Defensoría”</w:t>
      </w:r>
      <w:r>
        <w:rPr>
          <w:rFonts w:ascii="Cambria" w:eastAsia="Cambria" w:hAnsi="Cambria" w:cs="Cambria"/>
          <w:color w:val="000000"/>
        </w:rPr>
        <w:t>) ha realizado una supervisión en establecimientos de salud durante la pandemia por Covid-19 y, destacó: i) la limitada atención en SSy</w:t>
      </w:r>
      <w:r>
        <w:rPr>
          <w:rFonts w:ascii="Cambria" w:eastAsia="Cambria" w:hAnsi="Cambria" w:cs="Cambria"/>
        </w:rPr>
        <w:t>R</w:t>
      </w:r>
      <w:r>
        <w:rPr>
          <w:rFonts w:ascii="Cambria" w:eastAsia="Cambria" w:hAnsi="Cambria" w:cs="Cambria"/>
          <w:color w:val="000000"/>
        </w:rPr>
        <w:t>R; ii) insuficiente capacitación y sensibilización del personal de salud sobre la importancia de garantizar la salud sexual y reproductiva;</w:t>
      </w:r>
      <w:r w:rsidR="004B7835">
        <w:rPr>
          <w:rStyle w:val="EndnoteReference"/>
          <w:rFonts w:ascii="Cambria" w:eastAsia="Cambria" w:hAnsi="Cambria" w:cs="Cambria"/>
          <w:color w:val="000000"/>
        </w:rPr>
        <w:endnoteReference w:id="13"/>
      </w:r>
      <w:r>
        <w:rPr>
          <w:rFonts w:ascii="Cambria" w:eastAsia="Cambria" w:hAnsi="Cambria" w:cs="Cambria"/>
          <w:color w:val="000000"/>
        </w:rPr>
        <w:t xml:space="preserve"> iii) los desafíos de acceso a educación sexual integral y; iv) el incremento de la tasa de embarazo adolescente, como veremos más adelante. </w:t>
      </w:r>
    </w:p>
    <w:p w14:paraId="00000026" w14:textId="77777777" w:rsidR="00D62E76" w:rsidRDefault="00D62E76">
      <w:pPr>
        <w:spacing w:line="276" w:lineRule="auto"/>
        <w:jc w:val="both"/>
        <w:rPr>
          <w:rFonts w:ascii="Cambria" w:eastAsia="Cambria" w:hAnsi="Cambria" w:cs="Cambria"/>
        </w:rPr>
      </w:pPr>
    </w:p>
    <w:p w14:paraId="00000027" w14:textId="77777777" w:rsidR="00D62E76" w:rsidRDefault="00000000">
      <w:pPr>
        <w:numPr>
          <w:ilvl w:val="0"/>
          <w:numId w:val="9"/>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 xml:space="preserve">Contexto situacional de regresividad </w:t>
      </w:r>
    </w:p>
    <w:p w14:paraId="00000028" w14:textId="77777777" w:rsidR="00D62E76" w:rsidRDefault="00D62E76">
      <w:pPr>
        <w:spacing w:line="276" w:lineRule="auto"/>
        <w:jc w:val="both"/>
        <w:rPr>
          <w:rFonts w:ascii="Cambria" w:eastAsia="Cambria" w:hAnsi="Cambria" w:cs="Cambria"/>
          <w:color w:val="000000"/>
        </w:rPr>
      </w:pPr>
    </w:p>
    <w:p w14:paraId="1DBF74B0" w14:textId="77777777" w:rsidR="00B2494D" w:rsidRPr="00B2494D"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Es importante anotar la crisis institucional </w:t>
      </w:r>
      <w:r>
        <w:rPr>
          <w:rFonts w:ascii="Cambria" w:eastAsia="Cambria" w:hAnsi="Cambria" w:cs="Cambria"/>
        </w:rPr>
        <w:t xml:space="preserve">y el marco de regresividad de los derechos humanos en el  Perú que se ha exacerbado </w:t>
      </w:r>
      <w:r>
        <w:rPr>
          <w:rFonts w:ascii="Cambria" w:eastAsia="Cambria" w:hAnsi="Cambria" w:cs="Cambria"/>
          <w:color w:val="000000"/>
        </w:rPr>
        <w:t xml:space="preserve">en los últimos años. Siendo el poder </w:t>
      </w:r>
      <w:r>
        <w:rPr>
          <w:rFonts w:ascii="Cambria" w:eastAsia="Cambria" w:hAnsi="Cambria" w:cs="Cambria"/>
          <w:color w:val="000000"/>
        </w:rPr>
        <w:lastRenderedPageBreak/>
        <w:t xml:space="preserve">Legislativo (Congreso de la </w:t>
      </w:r>
      <w:r>
        <w:rPr>
          <w:rFonts w:ascii="Cambria" w:eastAsia="Cambria" w:hAnsi="Cambria" w:cs="Cambria"/>
        </w:rPr>
        <w:t xml:space="preserve">República) </w:t>
      </w:r>
      <w:r>
        <w:rPr>
          <w:rFonts w:ascii="Cambria" w:eastAsia="Cambria" w:hAnsi="Cambria" w:cs="Cambria"/>
          <w:color w:val="000000"/>
        </w:rPr>
        <w:t>el principal promotor de iniciativas legislativas atentatorias, que tienen por propósito retroceder los derechos sexuales y</w:t>
      </w:r>
    </w:p>
    <w:p w14:paraId="0683BEC2" w14:textId="77777777" w:rsidR="00B2494D" w:rsidRPr="00B2494D" w:rsidRDefault="00B2494D" w:rsidP="00B2494D">
      <w:pPr>
        <w:pBdr>
          <w:top w:val="nil"/>
          <w:left w:val="nil"/>
          <w:bottom w:val="nil"/>
          <w:right w:val="nil"/>
          <w:between w:val="nil"/>
        </w:pBdr>
        <w:spacing w:line="276" w:lineRule="auto"/>
        <w:ind w:left="720"/>
        <w:jc w:val="both"/>
        <w:rPr>
          <w:rFonts w:ascii="Cambria" w:eastAsia="Cambria" w:hAnsi="Cambria" w:cs="Cambria"/>
        </w:rPr>
      </w:pPr>
    </w:p>
    <w:p w14:paraId="00000029" w14:textId="54EC40EE"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 reproductivos (DDSSyRR)</w:t>
      </w:r>
      <w:r w:rsidR="004B7835">
        <w:rPr>
          <w:rStyle w:val="EndnoteReference"/>
          <w:rFonts w:ascii="Cambria" w:eastAsia="Cambria" w:hAnsi="Cambria" w:cs="Cambria"/>
          <w:color w:val="000000"/>
        </w:rPr>
        <w:endnoteReference w:id="14"/>
      </w:r>
      <w:r>
        <w:rPr>
          <w:rFonts w:ascii="Cambria" w:eastAsia="Cambria" w:hAnsi="Cambria" w:cs="Cambria"/>
          <w:color w:val="000000"/>
        </w:rPr>
        <w:t>, obstaculizando el trabajo de las organizaciones de sociedad civil (OSC)</w:t>
      </w:r>
      <w:r w:rsidR="004B7835">
        <w:rPr>
          <w:rStyle w:val="EndnoteReference"/>
          <w:rFonts w:ascii="Cambria" w:eastAsia="Cambria" w:hAnsi="Cambria" w:cs="Cambria"/>
          <w:color w:val="000000"/>
        </w:rPr>
        <w:endnoteReference w:id="15"/>
      </w:r>
      <w:r w:rsidR="004B7835">
        <w:rPr>
          <w:rFonts w:ascii="Cambria" w:eastAsia="Cambria" w:hAnsi="Cambria" w:cs="Cambria"/>
          <w:color w:val="000000"/>
        </w:rPr>
        <w:t xml:space="preserve"> </w:t>
      </w:r>
      <w:r>
        <w:rPr>
          <w:rFonts w:ascii="Cambria" w:eastAsia="Cambria" w:hAnsi="Cambria" w:cs="Cambria"/>
          <w:color w:val="000000"/>
        </w:rPr>
        <w:t>y cuestionando la institucionalidad del Sistema Interamericano de Derechos Humano</w:t>
      </w:r>
      <w:r w:rsidR="004B7835">
        <w:rPr>
          <w:rFonts w:ascii="Cambria" w:eastAsia="Cambria" w:hAnsi="Cambria" w:cs="Cambria"/>
          <w:color w:val="000000"/>
        </w:rPr>
        <w:t>s</w:t>
      </w:r>
      <w:r w:rsidR="004B7835">
        <w:rPr>
          <w:rStyle w:val="EndnoteReference"/>
          <w:rFonts w:ascii="Cambria" w:eastAsia="Cambria" w:hAnsi="Cambria" w:cs="Cambria"/>
          <w:color w:val="000000"/>
        </w:rPr>
        <w:endnoteReference w:id="16"/>
      </w:r>
      <w:r w:rsidR="004B7835">
        <w:rPr>
          <w:rFonts w:ascii="Cambria" w:eastAsia="Cambria" w:hAnsi="Cambria" w:cs="Cambria"/>
          <w:color w:val="000000"/>
        </w:rPr>
        <w:t>.</w:t>
      </w:r>
    </w:p>
    <w:p w14:paraId="0000002A" w14:textId="77777777" w:rsidR="00D62E76" w:rsidRDefault="00D62E76">
      <w:pPr>
        <w:spacing w:line="276" w:lineRule="auto"/>
        <w:jc w:val="both"/>
        <w:rPr>
          <w:rFonts w:ascii="Cambria" w:eastAsia="Cambria" w:hAnsi="Cambria" w:cs="Cambria"/>
          <w:color w:val="000000"/>
        </w:rPr>
      </w:pPr>
    </w:p>
    <w:p w14:paraId="0000002B" w14:textId="66A71463"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En cuanto a la obstaculización del trabajo de las OSC, se han promovido esfuerzos desde el Congreso para aprobar leyes que tienen por finalidad la hipervigilancia de las OSC y coartar el trabajo que vienen realizado en el marco de respeto de derechos humanos. Muestra de ello, el 5 de diciemb</w:t>
      </w:r>
      <w:r>
        <w:rPr>
          <w:rFonts w:ascii="Cambria" w:eastAsia="Cambria" w:hAnsi="Cambria" w:cs="Cambria"/>
        </w:rPr>
        <w:t>re de 2024, el Congreso de la República ha agrupado seis iniciativas legislativas con el propósito de modificar la Ley N.º 27692, Ley de creación de la Agencia Peruana de Cooperación Internacional-APCI</w:t>
      </w:r>
      <w:r w:rsidR="004B7835">
        <w:rPr>
          <w:rStyle w:val="EndnoteReference"/>
          <w:rFonts w:ascii="Cambria" w:eastAsia="Cambria" w:hAnsi="Cambria" w:cs="Cambria"/>
        </w:rPr>
        <w:endnoteReference w:id="17"/>
      </w:r>
      <w:r>
        <w:rPr>
          <w:rFonts w:ascii="Cambria" w:eastAsia="Cambria" w:hAnsi="Cambria" w:cs="Cambria"/>
        </w:rPr>
        <w:t>, el 5 de junio de 2024, la Comisión de Relaciones Exteriores aprobó por mayoría el dictamen, y el proyecto de ley está próximo a aprobarse en el Congreso. Es</w:t>
      </w:r>
      <w:r>
        <w:rPr>
          <w:rFonts w:ascii="Cambria" w:eastAsia="Cambria" w:hAnsi="Cambria" w:cs="Cambria"/>
          <w:color w:val="000000"/>
        </w:rPr>
        <w:t>te tipo de acciones conculcan el derecho de asociación, participación ciudadana e impiden el ejercicio pleno de las organizaciones defensoras de derechos humanos que vienen trabajando en temas vinculados con la defensa de los derechos a la salud, educación sexual integral, como venimos trabajando en Manuela Ramos. La comunidad internacional ha manifestado la amenaza de este tipo de iniciativas</w:t>
      </w:r>
      <w:r w:rsidR="004B7835">
        <w:rPr>
          <w:rStyle w:val="EndnoteReference"/>
          <w:rFonts w:ascii="Cambria" w:eastAsia="Cambria" w:hAnsi="Cambria" w:cs="Cambria"/>
          <w:color w:val="000000"/>
        </w:rPr>
        <w:endnoteReference w:id="18"/>
      </w:r>
      <w:r>
        <w:rPr>
          <w:rFonts w:ascii="Cambria" w:eastAsia="Cambria" w:hAnsi="Cambria" w:cs="Cambria"/>
          <w:color w:val="000000"/>
        </w:rPr>
        <w:t>, como de otras que se presentaron anteriormente. Al respecto, varias Relatorías Especiales de Naciones Unidas expresaron que iniciativas legislativas que pretenden obstaculizar el trabajo de las ONGs es un efecto amedrentador</w:t>
      </w:r>
      <w:r w:rsidR="004B7835">
        <w:rPr>
          <w:rStyle w:val="EndnoteReference"/>
          <w:rFonts w:ascii="Cambria" w:eastAsia="Cambria" w:hAnsi="Cambria" w:cs="Cambria"/>
          <w:color w:val="000000"/>
        </w:rPr>
        <w:endnoteReference w:id="19"/>
      </w:r>
      <w:r w:rsidR="004B7835">
        <w:rPr>
          <w:rFonts w:ascii="Cambria" w:eastAsia="Cambria" w:hAnsi="Cambria" w:cs="Cambria"/>
          <w:color w:val="000000"/>
        </w:rPr>
        <w:t xml:space="preserve">. </w:t>
      </w:r>
      <w:r>
        <w:rPr>
          <w:rFonts w:ascii="Cambria" w:eastAsia="Cambria" w:hAnsi="Cambria" w:cs="Cambria"/>
          <w:color w:val="000000"/>
        </w:rPr>
        <w:t xml:space="preserve">A pesar de este llamado existe una alta probabilidad que sea aprobado en el Congreso. </w:t>
      </w:r>
    </w:p>
    <w:p w14:paraId="0000002C"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0000002D" w14:textId="2FA97C43" w:rsidR="00D62E76" w:rsidRPr="00B2494D"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En materia de los derechos sexuales y reproductivos. El 9 de noviembre de 2023</w:t>
      </w:r>
      <w:r w:rsidR="004B7835">
        <w:rPr>
          <w:rStyle w:val="EndnoteReference"/>
          <w:rFonts w:ascii="Cambria" w:eastAsia="Cambria" w:hAnsi="Cambria" w:cs="Cambria"/>
          <w:color w:val="000000"/>
        </w:rPr>
        <w:endnoteReference w:id="20"/>
      </w:r>
      <w:r>
        <w:rPr>
          <w:rFonts w:ascii="Cambria" w:eastAsia="Cambria" w:hAnsi="Cambria" w:cs="Cambria"/>
          <w:color w:val="000000"/>
        </w:rPr>
        <w:t>, el Congreso de la República aprobó por insistencia con 72 votos a favor el proyecto de ley N.º 785/2021-CR “Ley que reconoce derechos al concebido”</w:t>
      </w:r>
      <w:r w:rsidR="004B7835">
        <w:rPr>
          <w:rStyle w:val="EndnoteReference"/>
          <w:rFonts w:ascii="Cambria" w:eastAsia="Cambria" w:hAnsi="Cambria" w:cs="Cambria"/>
          <w:color w:val="000000"/>
        </w:rPr>
        <w:endnoteReference w:id="21"/>
      </w:r>
      <w:r>
        <w:rPr>
          <w:rFonts w:ascii="Cambria" w:eastAsia="Cambria" w:hAnsi="Cambria" w:cs="Cambria"/>
          <w:color w:val="000000"/>
        </w:rPr>
        <w:t>, que fue observada por el Ejecutivo en mayo del 2023</w:t>
      </w:r>
      <w:r w:rsidR="004B7835">
        <w:rPr>
          <w:rStyle w:val="EndnoteReference"/>
          <w:rFonts w:ascii="Cambria" w:eastAsia="Cambria" w:hAnsi="Cambria" w:cs="Cambria"/>
          <w:color w:val="000000"/>
        </w:rPr>
        <w:endnoteReference w:id="22"/>
      </w:r>
      <w:r>
        <w:rPr>
          <w:rFonts w:ascii="Cambria" w:eastAsia="Cambria" w:hAnsi="Cambria" w:cs="Cambria"/>
          <w:color w:val="000000"/>
        </w:rPr>
        <w:t>. La ley N.º 31935</w:t>
      </w:r>
      <w:r w:rsidR="004B7835">
        <w:rPr>
          <w:rStyle w:val="EndnoteReference"/>
          <w:rFonts w:ascii="Cambria" w:eastAsia="Cambria" w:hAnsi="Cambria" w:cs="Cambria"/>
          <w:color w:val="000000"/>
        </w:rPr>
        <w:endnoteReference w:id="23"/>
      </w:r>
      <w:r>
        <w:rPr>
          <w:rFonts w:ascii="Cambria" w:eastAsia="Cambria" w:hAnsi="Cambria" w:cs="Cambria"/>
          <w:color w:val="000000"/>
        </w:rPr>
        <w:t xml:space="preserve"> modifica el artículo 1 del Código Civil, que actualmente establece que la persona humana es sujeto de derecho desde el nacimiento, para que figure que la vida humana comienza con la concepción y, por lo tanto, es sujeta de derecho desde ese momento, esta iniciativa ha merecido el pronunciamiento de OSC, quiénes han manifestado su rechazo porque vulnera los derechos reproductivos de las mujeres</w:t>
      </w:r>
      <w:r w:rsidR="004B7835">
        <w:rPr>
          <w:rStyle w:val="EndnoteReference"/>
          <w:rFonts w:ascii="Cambria" w:eastAsia="Cambria" w:hAnsi="Cambria" w:cs="Cambria"/>
          <w:color w:val="000000"/>
        </w:rPr>
        <w:endnoteReference w:id="24"/>
      </w:r>
      <w:r>
        <w:rPr>
          <w:rFonts w:ascii="Cambria" w:eastAsia="Cambria" w:hAnsi="Cambria" w:cs="Cambria"/>
          <w:color w:val="000000"/>
        </w:rPr>
        <w:t>.  Asimismo, se publicó la ley N.º 32000, que reconoce al concebido como ‘niño por nacer’</w:t>
      </w:r>
      <w:r w:rsidR="004B7835">
        <w:rPr>
          <w:rStyle w:val="EndnoteReference"/>
          <w:rFonts w:ascii="Cambria" w:eastAsia="Cambria" w:hAnsi="Cambria" w:cs="Cambria"/>
          <w:color w:val="000000"/>
        </w:rPr>
        <w:endnoteReference w:id="25"/>
      </w:r>
      <w:r>
        <w:rPr>
          <w:rFonts w:ascii="Cambria" w:eastAsia="Cambria" w:hAnsi="Cambria" w:cs="Cambria"/>
          <w:color w:val="000000"/>
        </w:rPr>
        <w:t>. Este tipo de leyes dan cuenta del propósito del Congreso de restringir los derechos de las NNA y proteger los derechos al concebido como la dignidad, a la vida, a la integridad propia e independiente de la madre gestante, entre otros. A pesar de que el Comité CEDAW estableció en el caso L.C vs. Perú,</w:t>
      </w:r>
      <w:r>
        <w:rPr>
          <w:rFonts w:ascii="Cambria" w:eastAsia="Cambria" w:hAnsi="Cambria" w:cs="Cambria"/>
        </w:rPr>
        <w:t xml:space="preserve"> qué </w:t>
      </w:r>
      <w:r>
        <w:rPr>
          <w:rFonts w:ascii="Cambria" w:eastAsia="Cambria" w:hAnsi="Cambria" w:cs="Cambria"/>
          <w:color w:val="000000"/>
        </w:rPr>
        <w:t>acciones de este tipo, son discriminatoria</w:t>
      </w:r>
      <w:r w:rsidR="004B7835">
        <w:rPr>
          <w:rFonts w:ascii="Cambria" w:eastAsia="Cambria" w:hAnsi="Cambria" w:cs="Cambria"/>
          <w:color w:val="000000"/>
        </w:rPr>
        <w:t>s</w:t>
      </w:r>
      <w:r w:rsidR="004B7835">
        <w:rPr>
          <w:rStyle w:val="EndnoteReference"/>
          <w:rFonts w:ascii="Cambria" w:eastAsia="Cambria" w:hAnsi="Cambria" w:cs="Cambria"/>
          <w:color w:val="000000"/>
        </w:rPr>
        <w:endnoteReference w:id="26"/>
      </w:r>
      <w:r w:rsidR="004B7835">
        <w:rPr>
          <w:rFonts w:ascii="Cambria" w:eastAsia="Cambria" w:hAnsi="Cambria" w:cs="Cambria"/>
          <w:color w:val="000000"/>
        </w:rPr>
        <w:t>.</w:t>
      </w:r>
    </w:p>
    <w:p w14:paraId="514EEA6C" w14:textId="77777777" w:rsidR="00B2494D" w:rsidRDefault="00B2494D" w:rsidP="00B2494D">
      <w:pPr>
        <w:pBdr>
          <w:top w:val="nil"/>
          <w:left w:val="nil"/>
          <w:bottom w:val="nil"/>
          <w:right w:val="nil"/>
          <w:between w:val="nil"/>
        </w:pBdr>
        <w:spacing w:line="276" w:lineRule="auto"/>
        <w:ind w:left="720"/>
        <w:jc w:val="both"/>
        <w:rPr>
          <w:rFonts w:ascii="Cambria" w:eastAsia="Cambria" w:hAnsi="Cambria" w:cs="Cambria"/>
          <w:color w:val="000000"/>
        </w:rPr>
      </w:pPr>
    </w:p>
    <w:p w14:paraId="73844B41" w14:textId="77777777" w:rsidR="00B2494D" w:rsidRDefault="00B2494D" w:rsidP="00B2494D">
      <w:pPr>
        <w:pBdr>
          <w:top w:val="nil"/>
          <w:left w:val="nil"/>
          <w:bottom w:val="nil"/>
          <w:right w:val="nil"/>
          <w:between w:val="nil"/>
        </w:pBdr>
        <w:spacing w:line="276" w:lineRule="auto"/>
        <w:ind w:left="720"/>
        <w:jc w:val="both"/>
        <w:rPr>
          <w:rFonts w:ascii="Cambria" w:eastAsia="Cambria" w:hAnsi="Cambria" w:cs="Cambria"/>
          <w:color w:val="000000"/>
        </w:rPr>
      </w:pPr>
    </w:p>
    <w:p w14:paraId="22313856" w14:textId="77777777" w:rsidR="00B2494D" w:rsidRDefault="00B2494D" w:rsidP="00B2494D">
      <w:pPr>
        <w:pBdr>
          <w:top w:val="nil"/>
          <w:left w:val="nil"/>
          <w:bottom w:val="nil"/>
          <w:right w:val="nil"/>
          <w:between w:val="nil"/>
        </w:pBdr>
        <w:spacing w:line="276" w:lineRule="auto"/>
        <w:ind w:left="720"/>
        <w:jc w:val="both"/>
        <w:rPr>
          <w:rFonts w:ascii="Cambria" w:eastAsia="Cambria" w:hAnsi="Cambria" w:cs="Cambria"/>
        </w:rPr>
      </w:pPr>
    </w:p>
    <w:p w14:paraId="0000002E" w14:textId="77777777" w:rsidR="00D62E76" w:rsidRDefault="00D62E76">
      <w:pPr>
        <w:spacing w:line="276" w:lineRule="auto"/>
        <w:jc w:val="both"/>
        <w:rPr>
          <w:rFonts w:ascii="Cambria" w:eastAsia="Cambria" w:hAnsi="Cambria" w:cs="Cambria"/>
          <w:color w:val="000000"/>
        </w:rPr>
      </w:pPr>
    </w:p>
    <w:p w14:paraId="0000002F" w14:textId="77777777" w:rsidR="00D62E76" w:rsidRDefault="00000000">
      <w:pPr>
        <w:numPr>
          <w:ilvl w:val="0"/>
          <w:numId w:val="9"/>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Vulneración del artículo 24 de la Convención de los Derechos del Niño. Salud básica y bienestar</w:t>
      </w:r>
    </w:p>
    <w:p w14:paraId="00000030"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00000031" w14:textId="77777777" w:rsidR="00D62E76" w:rsidRDefault="00000000">
      <w:pPr>
        <w:numPr>
          <w:ilvl w:val="0"/>
          <w:numId w:val="6"/>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 xml:space="preserve">Violencia de género contra niños, niñas y adolescentes </w:t>
      </w:r>
    </w:p>
    <w:p w14:paraId="00000032" w14:textId="77777777" w:rsidR="00D62E76" w:rsidRDefault="00D62E76">
      <w:pPr>
        <w:pBdr>
          <w:top w:val="nil"/>
          <w:left w:val="nil"/>
          <w:bottom w:val="nil"/>
          <w:right w:val="nil"/>
          <w:between w:val="nil"/>
        </w:pBdr>
        <w:spacing w:line="276" w:lineRule="auto"/>
        <w:ind w:left="1080"/>
        <w:jc w:val="both"/>
        <w:rPr>
          <w:rFonts w:ascii="Cambria" w:eastAsia="Cambria" w:hAnsi="Cambria" w:cs="Cambria"/>
          <w:color w:val="000000"/>
        </w:rPr>
      </w:pPr>
    </w:p>
    <w:p w14:paraId="00000033" w14:textId="0B4B021B"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El Comité ha reiterado el derecho del NNA a no ser objeto de ninguna forma de violencia, así lo estableció en la Lista de Cuestiones al afirmar que el Estado  debe adoptar las medidas para garantizar que las denuncias de actos de violencia sean efectivas y confidenciales, y que sea establezca canales efectivos de denuncias adaptados a los niños que sean víctimas de violencia</w:t>
      </w:r>
      <w:r w:rsidR="00E82664">
        <w:rPr>
          <w:rStyle w:val="EndnoteReference"/>
          <w:rFonts w:ascii="Cambria" w:eastAsia="Cambria" w:hAnsi="Cambria" w:cs="Cambria"/>
          <w:color w:val="000000"/>
        </w:rPr>
        <w:endnoteReference w:id="27"/>
      </w:r>
      <w:r>
        <w:rPr>
          <w:rFonts w:ascii="Cambria" w:eastAsia="Cambria" w:hAnsi="Cambria" w:cs="Cambria"/>
          <w:color w:val="000000"/>
        </w:rPr>
        <w:t xml:space="preserve"> y la necesidad de eliminar las actitudes patriarcales y estereotipos de género que discriminan a las NNA en todos los ámbitos de la vida, incluido la discriminación de las niñas y adolescentes embarazadas en la esfera educativa</w:t>
      </w:r>
      <w:r w:rsidR="00E82664">
        <w:rPr>
          <w:rStyle w:val="EndnoteReference"/>
          <w:rFonts w:ascii="Cambria" w:eastAsia="Cambria" w:hAnsi="Cambria" w:cs="Cambria"/>
          <w:color w:val="000000"/>
        </w:rPr>
        <w:endnoteReference w:id="28"/>
      </w:r>
      <w:r>
        <w:rPr>
          <w:rFonts w:ascii="Cambria" w:eastAsia="Cambria" w:hAnsi="Cambria" w:cs="Cambria"/>
          <w:color w:val="000000"/>
        </w:rPr>
        <w:t>.</w:t>
      </w:r>
    </w:p>
    <w:p w14:paraId="00000034"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00000035" w14:textId="7D66254A"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El Comité solicitó al Estado</w:t>
      </w:r>
      <w:r>
        <w:rPr>
          <w:rFonts w:ascii="Cambria" w:eastAsia="Cambria" w:hAnsi="Cambria" w:cs="Cambria"/>
        </w:rPr>
        <w:t xml:space="preserve"> peruano</w:t>
      </w:r>
      <w:r>
        <w:rPr>
          <w:rFonts w:ascii="Cambria" w:eastAsia="Cambria" w:hAnsi="Cambria" w:cs="Cambria"/>
          <w:color w:val="000000"/>
        </w:rPr>
        <w:t xml:space="preserve"> indicar las medidas adoptadas para </w:t>
      </w:r>
      <w:r>
        <w:rPr>
          <w:rFonts w:ascii="Cambria" w:eastAsia="Cambria" w:hAnsi="Cambria" w:cs="Cambria"/>
          <w:i/>
          <w:color w:val="000000"/>
        </w:rPr>
        <w:t>“Abordar los altos niveles de violencia sexual y violaciones de que son víctimas los [NNA], en particular niñas, dentro del sistema escolar, con énfasis en los niños de las zonas rurales o en comunidades indígenas</w:t>
      </w:r>
      <w:r w:rsidR="00E82664">
        <w:rPr>
          <w:rFonts w:ascii="Cambria" w:eastAsia="Cambria" w:hAnsi="Cambria" w:cs="Cambria"/>
          <w:i/>
          <w:color w:val="000000"/>
        </w:rPr>
        <w:t>”</w:t>
      </w:r>
      <w:r w:rsidR="00E82664">
        <w:rPr>
          <w:rStyle w:val="EndnoteReference"/>
          <w:rFonts w:ascii="Cambria" w:eastAsia="Cambria" w:hAnsi="Cambria" w:cs="Cambria"/>
          <w:i/>
          <w:color w:val="000000"/>
        </w:rPr>
        <w:endnoteReference w:id="29"/>
      </w:r>
      <w:r>
        <w:rPr>
          <w:rFonts w:ascii="Cambria" w:eastAsia="Cambria" w:hAnsi="Cambria" w:cs="Cambria"/>
          <w:i/>
          <w:color w:val="000000"/>
        </w:rPr>
        <w:t>.</w:t>
      </w:r>
      <w:r>
        <w:rPr>
          <w:rFonts w:ascii="Cambria" w:eastAsia="Cambria" w:hAnsi="Cambria" w:cs="Cambria"/>
          <w:color w:val="000000"/>
        </w:rPr>
        <w:t xml:space="preserve"> A pesar de que el 96% de peruanos reconoce que la violencia sexual hacia las mujeres es un problema frecuente</w:t>
      </w:r>
      <w:r w:rsidR="00E82664">
        <w:rPr>
          <w:rStyle w:val="EndnoteReference"/>
          <w:rFonts w:ascii="Cambria" w:eastAsia="Cambria" w:hAnsi="Cambria" w:cs="Cambria"/>
          <w:color w:val="000000"/>
        </w:rPr>
        <w:endnoteReference w:id="30"/>
      </w:r>
      <w:r>
        <w:rPr>
          <w:rFonts w:ascii="Cambria" w:eastAsia="Cambria" w:hAnsi="Cambria" w:cs="Cambria"/>
          <w:color w:val="000000"/>
        </w:rPr>
        <w:t>, el Fondo de Población de Naciones Unidas (UNFPA) ha reportado que las atenciones por violencia sexual en niñas de 10 a 14 años en los Centros Emergencia Mujer (CEM) se triplicaron entre 2017 y 2022, con mayor proporción de incremento entre 2020 y 2021</w:t>
      </w:r>
      <w:r w:rsidR="00E82664">
        <w:rPr>
          <w:rStyle w:val="EndnoteReference"/>
          <w:rFonts w:ascii="Cambria" w:eastAsia="Cambria" w:hAnsi="Cambria" w:cs="Cambria"/>
          <w:color w:val="000000"/>
        </w:rPr>
        <w:endnoteReference w:id="31"/>
      </w:r>
      <w:r>
        <w:rPr>
          <w:rFonts w:ascii="Cambria" w:eastAsia="Cambria" w:hAnsi="Cambria" w:cs="Cambria"/>
          <w:color w:val="000000"/>
        </w:rPr>
        <w:t>. Tan solo en el 2021 hubo 7</w:t>
      </w:r>
      <w:r>
        <w:rPr>
          <w:rFonts w:ascii="Cambria" w:eastAsia="Cambria" w:hAnsi="Cambria" w:cs="Cambria"/>
        </w:rPr>
        <w:t xml:space="preserve"> </w:t>
      </w:r>
      <w:r>
        <w:rPr>
          <w:rFonts w:ascii="Cambria" w:eastAsia="Cambria" w:hAnsi="Cambria" w:cs="Cambria"/>
          <w:color w:val="000000"/>
        </w:rPr>
        <w:t>738 casos de violencia sexual  contra niñas, atendidos en CEM, representando 30% más que 2019</w:t>
      </w:r>
      <w:r w:rsidR="00E82664">
        <w:rPr>
          <w:rStyle w:val="EndnoteReference"/>
          <w:rFonts w:ascii="Cambria" w:eastAsia="Cambria" w:hAnsi="Cambria" w:cs="Cambria"/>
          <w:color w:val="000000"/>
        </w:rPr>
        <w:endnoteReference w:id="32"/>
      </w:r>
      <w:r>
        <w:rPr>
          <w:rFonts w:ascii="Cambria" w:eastAsia="Cambria" w:hAnsi="Cambria" w:cs="Cambria"/>
          <w:color w:val="000000"/>
        </w:rPr>
        <w:t>. En su oportunidad el Ministerio de la Mujer y Poblaciones Vulnerables reportó que el 34% de niñas y adolescentes entre 10 y 19 años víctimas de violación sexual resultaron embarazadas</w:t>
      </w:r>
      <w:r w:rsidR="00E82664">
        <w:rPr>
          <w:rStyle w:val="EndnoteReference"/>
          <w:rFonts w:ascii="Cambria" w:eastAsia="Cambria" w:hAnsi="Cambria" w:cs="Cambria"/>
          <w:color w:val="000000"/>
        </w:rPr>
        <w:endnoteReference w:id="33"/>
      </w:r>
      <w:r>
        <w:rPr>
          <w:rFonts w:ascii="Cambria" w:eastAsia="Cambria" w:hAnsi="Cambria" w:cs="Cambria"/>
          <w:color w:val="000000"/>
        </w:rPr>
        <w:t xml:space="preserve">. </w:t>
      </w:r>
    </w:p>
    <w:p w14:paraId="00000036" w14:textId="77777777" w:rsidR="00D62E76" w:rsidRDefault="00D62E76">
      <w:pPr>
        <w:spacing w:line="276" w:lineRule="auto"/>
        <w:jc w:val="both"/>
        <w:rPr>
          <w:rFonts w:ascii="Cambria" w:eastAsia="Cambria" w:hAnsi="Cambria" w:cs="Cambria"/>
          <w:color w:val="000000"/>
        </w:rPr>
      </w:pPr>
    </w:p>
    <w:p w14:paraId="00000037" w14:textId="3869ECDF"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Si bien el Mi</w:t>
      </w:r>
      <w:r w:rsidR="00B2494D">
        <w:rPr>
          <w:rFonts w:ascii="Cambria" w:eastAsia="Cambria" w:hAnsi="Cambria" w:cs="Cambria"/>
          <w:color w:val="000000"/>
        </w:rPr>
        <w:t>nisterio de Salud (Mi</w:t>
      </w:r>
      <w:r>
        <w:rPr>
          <w:rFonts w:ascii="Cambria" w:eastAsia="Cambria" w:hAnsi="Cambria" w:cs="Cambria"/>
          <w:color w:val="000000"/>
        </w:rPr>
        <w:t>nsa</w:t>
      </w:r>
      <w:r w:rsidR="00B2494D">
        <w:rPr>
          <w:rFonts w:ascii="Cambria" w:eastAsia="Cambria" w:hAnsi="Cambria" w:cs="Cambria"/>
          <w:color w:val="000000"/>
        </w:rPr>
        <w:t>)</w:t>
      </w:r>
      <w:r>
        <w:rPr>
          <w:rFonts w:ascii="Cambria" w:eastAsia="Cambria" w:hAnsi="Cambria" w:cs="Cambria"/>
          <w:color w:val="000000"/>
        </w:rPr>
        <w:t xml:space="preserve"> ha adoptado políticas y lineamientos de salud del adolescente</w:t>
      </w:r>
      <w:r w:rsidR="00E82664">
        <w:rPr>
          <w:rStyle w:val="EndnoteReference"/>
          <w:rFonts w:ascii="Cambria" w:eastAsia="Cambria" w:hAnsi="Cambria" w:cs="Cambria"/>
          <w:color w:val="000000"/>
        </w:rPr>
        <w:endnoteReference w:id="34"/>
      </w:r>
      <w:r>
        <w:rPr>
          <w:rFonts w:ascii="Cambria" w:eastAsia="Cambria" w:hAnsi="Cambria" w:cs="Cambria"/>
          <w:color w:val="000000"/>
        </w:rPr>
        <w:t>, que pretende fortalecer la atencion integral y diferenciada que atienda sus necesidades, en especial las relacionadas a su salud sexual y reproductiva; sin embargo, no se cuenta con protocolos especializados de atención a niñas víctimas de violencia sexual, a pesar de ser una recomendación al Estado en el marco del Cuarto Ciclo del EPU.</w:t>
      </w:r>
    </w:p>
    <w:p w14:paraId="00000038" w14:textId="77777777" w:rsidR="00D62E76" w:rsidRDefault="00D62E76">
      <w:pPr>
        <w:pBdr>
          <w:top w:val="nil"/>
          <w:left w:val="nil"/>
          <w:bottom w:val="nil"/>
          <w:right w:val="nil"/>
          <w:between w:val="nil"/>
        </w:pBdr>
        <w:ind w:left="720"/>
        <w:rPr>
          <w:rFonts w:ascii="Cambria" w:eastAsia="Cambria" w:hAnsi="Cambria" w:cs="Cambria"/>
          <w:color w:val="000000"/>
        </w:rPr>
      </w:pPr>
    </w:p>
    <w:p w14:paraId="6ECD3079" w14:textId="77777777" w:rsidR="004E45BC" w:rsidRDefault="004E45BC">
      <w:pPr>
        <w:pBdr>
          <w:top w:val="nil"/>
          <w:left w:val="nil"/>
          <w:bottom w:val="nil"/>
          <w:right w:val="nil"/>
          <w:between w:val="nil"/>
        </w:pBdr>
        <w:ind w:left="720"/>
        <w:rPr>
          <w:rFonts w:ascii="Cambria" w:eastAsia="Cambria" w:hAnsi="Cambria" w:cs="Cambria"/>
          <w:color w:val="000000"/>
        </w:rPr>
      </w:pPr>
    </w:p>
    <w:p w14:paraId="5BEB4F67" w14:textId="77777777" w:rsidR="004E45BC" w:rsidRDefault="004E45BC">
      <w:pPr>
        <w:pBdr>
          <w:top w:val="nil"/>
          <w:left w:val="nil"/>
          <w:bottom w:val="nil"/>
          <w:right w:val="nil"/>
          <w:between w:val="nil"/>
        </w:pBdr>
        <w:ind w:left="720"/>
        <w:rPr>
          <w:rFonts w:ascii="Cambria" w:eastAsia="Cambria" w:hAnsi="Cambria" w:cs="Cambria"/>
          <w:color w:val="000000"/>
        </w:rPr>
      </w:pPr>
    </w:p>
    <w:p w14:paraId="00000039" w14:textId="0D2822C9" w:rsidR="00D62E76" w:rsidRPr="00FB07F3" w:rsidRDefault="00000000" w:rsidP="00FB07F3">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Asimismo, es importante que el Estado provea el ‘kit de emergencia ante casos de violación sexual’</w:t>
      </w:r>
      <w:r w:rsidR="00E82664">
        <w:rPr>
          <w:rStyle w:val="EndnoteReference"/>
          <w:rFonts w:ascii="Cambria" w:eastAsia="Cambria" w:hAnsi="Cambria" w:cs="Cambria"/>
          <w:color w:val="000000"/>
        </w:rPr>
        <w:endnoteReference w:id="35"/>
      </w:r>
      <w:r>
        <w:rPr>
          <w:rFonts w:ascii="Cambria" w:eastAsia="Cambria" w:hAnsi="Cambria" w:cs="Cambria"/>
          <w:color w:val="000000"/>
        </w:rPr>
        <w:t xml:space="preserve">, si bien desde el 2019 se aprobó la distribución del kit a nivel nacional, todavía su distribución es insuficiente, varios establecimientos de salud no </w:t>
      </w:r>
      <w:r w:rsidRPr="00FB07F3">
        <w:rPr>
          <w:rFonts w:ascii="Cambria" w:eastAsia="Cambria" w:hAnsi="Cambria" w:cs="Cambria"/>
          <w:color w:val="000000"/>
        </w:rPr>
        <w:t>proveen este insumo a víctimas de violencia sexual</w:t>
      </w:r>
      <w:r w:rsidR="00E82664">
        <w:rPr>
          <w:rStyle w:val="EndnoteReference"/>
          <w:rFonts w:ascii="Cambria" w:eastAsia="Cambria" w:hAnsi="Cambria" w:cs="Cambria"/>
          <w:color w:val="000000"/>
        </w:rPr>
        <w:endnoteReference w:id="36"/>
      </w:r>
      <w:r w:rsidRPr="00FB07F3">
        <w:rPr>
          <w:rFonts w:ascii="Cambria" w:eastAsia="Cambria" w:hAnsi="Cambria" w:cs="Cambria"/>
          <w:color w:val="000000"/>
        </w:rPr>
        <w:t>. La negación o la escasa provisión del anticonceptivo oral de emergencia (AOE)</w:t>
      </w:r>
      <w:r w:rsidRPr="00FB07F3">
        <w:rPr>
          <w:rFonts w:ascii="Cambria" w:eastAsia="Cambria" w:hAnsi="Cambria" w:cs="Cambria"/>
          <w:color w:val="000000"/>
          <w:vertAlign w:val="superscript"/>
        </w:rPr>
        <w:t xml:space="preserve"> </w:t>
      </w:r>
      <w:r w:rsidRPr="00FB07F3">
        <w:rPr>
          <w:rFonts w:ascii="Cambria" w:eastAsia="Cambria" w:hAnsi="Cambria" w:cs="Cambria"/>
          <w:color w:val="000000"/>
        </w:rPr>
        <w:t>perpetúa la discriminación hacia las adolescentes con menores recursos económicos, a pesar que el acceso al AOE es un insumo esencial.  Según el Minsa, en 2018, 1509 niñas y adolescentes de 12 a 17 años accedieron al AOE</w:t>
      </w:r>
      <w:r w:rsidR="00E82664">
        <w:rPr>
          <w:rStyle w:val="EndnoteReference"/>
          <w:rFonts w:ascii="Cambria" w:eastAsia="Cambria" w:hAnsi="Cambria" w:cs="Cambria"/>
          <w:color w:val="000000"/>
        </w:rPr>
        <w:endnoteReference w:id="37"/>
      </w:r>
      <w:r w:rsidRPr="00FB07F3">
        <w:rPr>
          <w:rFonts w:ascii="Cambria" w:eastAsia="Cambria" w:hAnsi="Cambria" w:cs="Cambria"/>
          <w:color w:val="000000"/>
        </w:rPr>
        <w:t xml:space="preserve">. De la supervisión realizada por la Defensoría </w:t>
      </w:r>
      <w:r w:rsidRPr="00FB07F3">
        <w:rPr>
          <w:rFonts w:ascii="Cambria" w:eastAsia="Cambria" w:hAnsi="Cambria" w:cs="Cambria"/>
        </w:rPr>
        <w:t>del Pueblo, a 91 establecimientos de salud de 11 regiones del país en el 2022</w:t>
      </w:r>
      <w:r w:rsidR="00E82664">
        <w:rPr>
          <w:rStyle w:val="EndnoteReference"/>
          <w:rFonts w:ascii="Cambria" w:eastAsia="Cambria" w:hAnsi="Cambria" w:cs="Cambria"/>
        </w:rPr>
        <w:endnoteReference w:id="38"/>
      </w:r>
      <w:r w:rsidRPr="00FB07F3">
        <w:rPr>
          <w:rFonts w:ascii="Cambria" w:eastAsia="Cambria" w:hAnsi="Cambria" w:cs="Cambria"/>
        </w:rPr>
        <w:t xml:space="preserve"> pu</w:t>
      </w:r>
      <w:r w:rsidRPr="00FB07F3">
        <w:rPr>
          <w:rFonts w:ascii="Cambria" w:eastAsia="Cambria" w:hAnsi="Cambria" w:cs="Cambria"/>
          <w:color w:val="000000"/>
        </w:rPr>
        <w:t>do identificar problemas con la disponibilidad y accesibilidad a métodos de planificación familiar, sólo el 18,7% de los establecimientos entrega el AOE, el 36.3% no tiene capacitaciones para los operadores de salud en salud sexual y reproductiva de adolescentes y el 25,3% exige además la presencia de los progenitores</w:t>
      </w:r>
      <w:r w:rsidR="00E82664">
        <w:rPr>
          <w:rStyle w:val="EndnoteReference"/>
          <w:rFonts w:ascii="Cambria" w:eastAsia="Cambria" w:hAnsi="Cambria" w:cs="Cambria"/>
          <w:color w:val="000000"/>
        </w:rPr>
        <w:endnoteReference w:id="39"/>
      </w:r>
      <w:r w:rsidRPr="00FB07F3">
        <w:rPr>
          <w:rFonts w:ascii="Cambria" w:eastAsia="Cambria" w:hAnsi="Cambria" w:cs="Cambria"/>
          <w:color w:val="000000"/>
        </w:rPr>
        <w:t xml:space="preserve">. Por ello, resulta prioritario que el Estado garantice el acceso permanente a información y distribución del AOE, incluyendo a las víctimas de violencia sexual. </w:t>
      </w:r>
    </w:p>
    <w:p w14:paraId="0000003A"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0000003B" w14:textId="5C05C598"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A pesar de que el Comité indicó que el Estado debe informar sobre </w:t>
      </w:r>
      <w:r>
        <w:rPr>
          <w:rFonts w:ascii="Cambria" w:eastAsia="Cambria" w:hAnsi="Cambria" w:cs="Cambria"/>
          <w:i/>
          <w:color w:val="000000"/>
        </w:rPr>
        <w:t>“los NNA que hayan sido víctimas de violencia y descuido, como abusos sexuales entre otros, los casos que se hayan denunciado a las autoridades, investigado y enjuiciado y las sanciones impuestas a los autores”</w:t>
      </w:r>
      <w:r w:rsidR="00E82664">
        <w:rPr>
          <w:rStyle w:val="EndnoteReference"/>
          <w:rFonts w:ascii="Cambria" w:eastAsia="Cambria" w:hAnsi="Cambria" w:cs="Cambria"/>
          <w:i/>
          <w:color w:val="000000"/>
        </w:rPr>
        <w:endnoteReference w:id="40"/>
      </w:r>
      <w:r>
        <w:rPr>
          <w:rFonts w:ascii="Cambria" w:eastAsia="Cambria" w:hAnsi="Cambria" w:cs="Cambria"/>
          <w:color w:val="000000"/>
        </w:rPr>
        <w:t>. Al respecto, el Estado peruano no ha provisto de información sobre el número de NNA que se hayan beneficiado de medidas de protección como víctimas o testigos de casos de violencia (en particular de maltrato físico, abuso o explotación sexual</w:t>
      </w:r>
      <w:r w:rsidR="00E82664">
        <w:rPr>
          <w:rStyle w:val="EndnoteReference"/>
          <w:rFonts w:ascii="Cambria" w:eastAsia="Cambria" w:hAnsi="Cambria" w:cs="Cambria"/>
          <w:color w:val="000000"/>
        </w:rPr>
        <w:endnoteReference w:id="41"/>
      </w:r>
      <w:r>
        <w:rPr>
          <w:rFonts w:ascii="Cambria" w:eastAsia="Cambria" w:hAnsi="Cambria" w:cs="Cambria"/>
          <w:color w:val="000000"/>
        </w:rPr>
        <w:t>) y todavía persiste la revictimización y estereotipos de género en investigaciones y procesos judiciales.</w:t>
      </w:r>
    </w:p>
    <w:p w14:paraId="0000003C" w14:textId="77777777" w:rsidR="00D62E76" w:rsidRDefault="00D62E76">
      <w:pPr>
        <w:spacing w:line="276" w:lineRule="auto"/>
        <w:jc w:val="both"/>
        <w:rPr>
          <w:rFonts w:ascii="Cambria" w:eastAsia="Cambria" w:hAnsi="Cambria" w:cs="Cambria"/>
          <w:color w:val="000000"/>
        </w:rPr>
      </w:pPr>
    </w:p>
    <w:p w14:paraId="0000003D" w14:textId="77777777" w:rsidR="00D62E76" w:rsidRDefault="00000000">
      <w:pPr>
        <w:numPr>
          <w:ilvl w:val="0"/>
          <w:numId w:val="6"/>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Embarazo adolescente y mortalidad materna</w:t>
      </w:r>
    </w:p>
    <w:p w14:paraId="0000003E" w14:textId="77777777" w:rsidR="00D62E76" w:rsidRDefault="00D62E76">
      <w:pPr>
        <w:spacing w:line="276" w:lineRule="auto"/>
        <w:jc w:val="both"/>
        <w:rPr>
          <w:rFonts w:ascii="Cambria" w:eastAsia="Cambria" w:hAnsi="Cambria" w:cs="Cambria"/>
          <w:color w:val="000000"/>
        </w:rPr>
      </w:pPr>
    </w:p>
    <w:p w14:paraId="7E07D8FB" w14:textId="77777777" w:rsidR="004E45BC" w:rsidRPr="004E45BC"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El Comité exhortó al Estado peruano para que </w:t>
      </w:r>
      <w:r>
        <w:rPr>
          <w:rFonts w:ascii="Cambria" w:eastAsia="Cambria" w:hAnsi="Cambria" w:cs="Cambria"/>
          <w:i/>
          <w:color w:val="000000"/>
        </w:rPr>
        <w:t>“Haga frente al problema del elevado número de embarazos de adolescentes, para lo cual ha de reforzar el acceso a una educación en materia de salud sexual y reproductiva en función de la edad y los derechos de las niñas y los niños […]”</w:t>
      </w:r>
      <w:r w:rsidR="00E82664">
        <w:rPr>
          <w:rStyle w:val="EndnoteReference"/>
          <w:rFonts w:ascii="Cambria" w:eastAsia="Cambria" w:hAnsi="Cambria" w:cs="Cambria"/>
          <w:i/>
          <w:color w:val="000000"/>
        </w:rPr>
        <w:endnoteReference w:id="42"/>
      </w:r>
      <w:r>
        <w:rPr>
          <w:rFonts w:ascii="Cambria" w:eastAsia="Cambria" w:hAnsi="Cambria" w:cs="Cambria"/>
          <w:color w:val="000000"/>
        </w:rPr>
        <w:t xml:space="preserve">. En Perú, el embarazo adolescente y las maternidades forzadas representan un problema de salud pública que trae consigo una serie de repercusiones económicas, sociales para los NNA y su entorno, generando la perpetuación del círculo de la pobreza.  La Defensoría </w:t>
      </w:r>
      <w:r>
        <w:rPr>
          <w:rFonts w:ascii="Cambria" w:eastAsia="Cambria" w:hAnsi="Cambria" w:cs="Cambria"/>
        </w:rPr>
        <w:t xml:space="preserve">del Pueblo </w:t>
      </w:r>
      <w:r>
        <w:rPr>
          <w:rFonts w:ascii="Cambria" w:eastAsia="Cambria" w:hAnsi="Cambria" w:cs="Cambria"/>
          <w:color w:val="000000"/>
        </w:rPr>
        <w:t xml:space="preserve">señaló que las cifras sobre embarazo adolescente se mantienen altas, lo que afecta el ejercicio de los </w:t>
      </w:r>
    </w:p>
    <w:p w14:paraId="653C966B" w14:textId="77777777" w:rsidR="004E45BC" w:rsidRDefault="004E45BC" w:rsidP="004E45BC">
      <w:pPr>
        <w:pBdr>
          <w:top w:val="nil"/>
          <w:left w:val="nil"/>
          <w:bottom w:val="nil"/>
          <w:right w:val="nil"/>
          <w:between w:val="nil"/>
        </w:pBdr>
        <w:spacing w:line="276" w:lineRule="auto"/>
        <w:ind w:left="720"/>
        <w:jc w:val="both"/>
        <w:rPr>
          <w:rFonts w:ascii="Cambria" w:eastAsia="Cambria" w:hAnsi="Cambria" w:cs="Cambria"/>
        </w:rPr>
      </w:pPr>
    </w:p>
    <w:p w14:paraId="5BE04D5F" w14:textId="77777777" w:rsidR="004E45BC" w:rsidRPr="004E45BC" w:rsidRDefault="004E45BC" w:rsidP="004E45BC">
      <w:pPr>
        <w:pBdr>
          <w:top w:val="nil"/>
          <w:left w:val="nil"/>
          <w:bottom w:val="nil"/>
          <w:right w:val="nil"/>
          <w:between w:val="nil"/>
        </w:pBdr>
        <w:spacing w:line="276" w:lineRule="auto"/>
        <w:ind w:left="720"/>
        <w:jc w:val="both"/>
        <w:rPr>
          <w:rFonts w:ascii="Cambria" w:eastAsia="Cambria" w:hAnsi="Cambria" w:cs="Cambria"/>
        </w:rPr>
      </w:pPr>
    </w:p>
    <w:p w14:paraId="0000003F" w14:textId="0E1C0D72" w:rsidR="00D62E76" w:rsidRDefault="00000000" w:rsidP="004E45BC">
      <w:pPr>
        <w:pBdr>
          <w:top w:val="nil"/>
          <w:left w:val="nil"/>
          <w:bottom w:val="nil"/>
          <w:right w:val="nil"/>
          <w:between w:val="nil"/>
        </w:pBdr>
        <w:spacing w:line="276" w:lineRule="auto"/>
        <w:ind w:left="720"/>
        <w:jc w:val="both"/>
        <w:rPr>
          <w:rFonts w:ascii="Cambria" w:eastAsia="Cambria" w:hAnsi="Cambria" w:cs="Cambria"/>
        </w:rPr>
      </w:pPr>
      <w:r>
        <w:rPr>
          <w:rFonts w:ascii="Cambria" w:eastAsia="Cambria" w:hAnsi="Cambria" w:cs="Cambria"/>
          <w:color w:val="000000"/>
        </w:rPr>
        <w:lastRenderedPageBreak/>
        <w:t>derechos fundamentales, el desarrollo integral, las oportunidades y la integridad física y psicológica de niñas y adolescentes menores de 19 años</w:t>
      </w:r>
      <w:r w:rsidR="00E82664">
        <w:rPr>
          <w:rStyle w:val="EndnoteReference"/>
          <w:rFonts w:ascii="Cambria" w:eastAsia="Cambria" w:hAnsi="Cambria" w:cs="Cambria"/>
          <w:color w:val="000000"/>
        </w:rPr>
        <w:endnoteReference w:id="43"/>
      </w:r>
      <w:r>
        <w:rPr>
          <w:rFonts w:ascii="Cambria" w:eastAsia="Cambria" w:hAnsi="Cambria" w:cs="Cambria"/>
          <w:color w:val="000000"/>
        </w:rPr>
        <w:t xml:space="preserve">. </w:t>
      </w:r>
    </w:p>
    <w:p w14:paraId="00000040"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00000041" w14:textId="17D38DC7" w:rsidR="00D62E76" w:rsidRPr="004E45BC" w:rsidRDefault="00000000" w:rsidP="004E45BC">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En su oportunidad, el Comité</w:t>
      </w:r>
      <w:r>
        <w:rPr>
          <w:rFonts w:ascii="Cambria" w:eastAsia="Cambria" w:hAnsi="Cambria" w:cs="Cambria"/>
        </w:rPr>
        <w:t xml:space="preserve"> ha m</w:t>
      </w:r>
      <w:r>
        <w:rPr>
          <w:rFonts w:ascii="Cambria" w:eastAsia="Cambria" w:hAnsi="Cambria" w:cs="Cambria"/>
          <w:color w:val="000000"/>
        </w:rPr>
        <w:t xml:space="preserve">anifestado su preocupación por </w:t>
      </w:r>
      <w:r>
        <w:rPr>
          <w:rFonts w:ascii="Cambria" w:eastAsia="Cambria" w:hAnsi="Cambria" w:cs="Cambria"/>
          <w:i/>
          <w:color w:val="000000"/>
        </w:rPr>
        <w:t xml:space="preserve">“La elevada tasa de embarazos de adolescentes, particularmente de niñas en situaciones vulnerables y </w:t>
      </w:r>
      <w:r w:rsidRPr="004E45BC">
        <w:rPr>
          <w:rFonts w:ascii="Cambria" w:eastAsia="Cambria" w:hAnsi="Cambria" w:cs="Cambria"/>
          <w:i/>
          <w:color w:val="000000"/>
        </w:rPr>
        <w:t>marginales, incluidas las niñas que viven en la pobreza, las niñas con bajos niveles de educación y las niñas indígenas”</w:t>
      </w:r>
      <w:r w:rsidR="00E82664">
        <w:rPr>
          <w:rStyle w:val="EndnoteReference"/>
          <w:rFonts w:ascii="Cambria" w:eastAsia="Cambria" w:hAnsi="Cambria" w:cs="Cambria"/>
          <w:i/>
          <w:color w:val="000000"/>
        </w:rPr>
        <w:endnoteReference w:id="44"/>
      </w:r>
      <w:r w:rsidRPr="004E45BC">
        <w:rPr>
          <w:rFonts w:ascii="Cambria" w:eastAsia="Cambria" w:hAnsi="Cambria" w:cs="Cambria"/>
          <w:color w:val="000000"/>
        </w:rPr>
        <w:t xml:space="preserve">. La Defensoría </w:t>
      </w:r>
      <w:r w:rsidRPr="004E45BC">
        <w:rPr>
          <w:rFonts w:ascii="Cambria" w:eastAsia="Cambria" w:hAnsi="Cambria" w:cs="Cambria"/>
        </w:rPr>
        <w:t>del Pueblo</w:t>
      </w:r>
      <w:r w:rsidRPr="004E45BC">
        <w:rPr>
          <w:rFonts w:ascii="Cambria" w:eastAsia="Cambria" w:hAnsi="Cambria" w:cs="Cambria"/>
          <w:color w:val="000000"/>
        </w:rPr>
        <w:t xml:space="preserve"> ha enfatizado que la incidencia de embarazo adolescente es mayor en las regiones de Amazonía</w:t>
      </w:r>
      <w:r w:rsidR="00E82664">
        <w:rPr>
          <w:rStyle w:val="EndnoteReference"/>
          <w:rFonts w:ascii="Cambria" w:eastAsia="Cambria" w:hAnsi="Cambria" w:cs="Cambria"/>
          <w:color w:val="000000"/>
        </w:rPr>
        <w:endnoteReference w:id="45"/>
      </w:r>
      <w:r w:rsidRPr="004E45BC">
        <w:rPr>
          <w:rFonts w:ascii="Cambria" w:eastAsia="Cambria" w:hAnsi="Cambria" w:cs="Cambria"/>
          <w:color w:val="000000"/>
        </w:rPr>
        <w:t>, en efecto impacta de manera diferenciada a poblaciones en situación de</w:t>
      </w:r>
      <w:r w:rsidRPr="004E45BC">
        <w:rPr>
          <w:rFonts w:ascii="Cambria" w:eastAsia="Cambria" w:hAnsi="Cambria" w:cs="Cambria"/>
        </w:rPr>
        <w:t xml:space="preserve"> mayor </w:t>
      </w:r>
      <w:r w:rsidRPr="004E45BC">
        <w:rPr>
          <w:rFonts w:ascii="Cambria" w:eastAsia="Cambria" w:hAnsi="Cambria" w:cs="Cambria"/>
          <w:color w:val="000000"/>
        </w:rPr>
        <w:t>vulnerabilidad, como la población indígena.  Sobre el particular, el informe de Chirapaq reportó 5013 casos de niñas madres de 12 a 14 años en 2017, de las cuales 540 eran indígenas</w:t>
      </w:r>
      <w:r w:rsidR="00E82664">
        <w:rPr>
          <w:rStyle w:val="EndnoteReference"/>
          <w:rFonts w:ascii="Cambria" w:eastAsia="Cambria" w:hAnsi="Cambria" w:cs="Cambria"/>
          <w:color w:val="000000"/>
        </w:rPr>
        <w:endnoteReference w:id="46"/>
      </w:r>
      <w:r w:rsidRPr="004E45BC">
        <w:rPr>
          <w:rFonts w:ascii="Cambria" w:eastAsia="Cambria" w:hAnsi="Cambria" w:cs="Cambria"/>
          <w:color w:val="000000"/>
        </w:rPr>
        <w:t>; mientras que en el 2019, se registraron más de 370 denuncias por violación sexual a mujeres indígenas, siendo el 70% de los casos referentes a niñas y adolescentes</w:t>
      </w:r>
      <w:r w:rsidR="00E82664">
        <w:rPr>
          <w:rStyle w:val="EndnoteReference"/>
          <w:rFonts w:ascii="Cambria" w:eastAsia="Cambria" w:hAnsi="Cambria" w:cs="Cambria"/>
          <w:color w:val="000000"/>
        </w:rPr>
        <w:endnoteReference w:id="47"/>
      </w:r>
      <w:r w:rsidRPr="004E45BC">
        <w:rPr>
          <w:rFonts w:ascii="Cambria" w:eastAsia="Cambria" w:hAnsi="Cambria" w:cs="Cambria"/>
          <w:color w:val="000000"/>
        </w:rPr>
        <w:t xml:space="preserve">. </w:t>
      </w:r>
    </w:p>
    <w:p w14:paraId="00000042" w14:textId="77777777" w:rsidR="00D62E76" w:rsidRDefault="00D62E76">
      <w:pPr>
        <w:pBdr>
          <w:top w:val="nil"/>
          <w:left w:val="nil"/>
          <w:bottom w:val="nil"/>
          <w:right w:val="nil"/>
          <w:between w:val="nil"/>
        </w:pBdr>
        <w:ind w:left="720"/>
        <w:rPr>
          <w:rFonts w:ascii="Cambria" w:eastAsia="Cambria" w:hAnsi="Cambria" w:cs="Cambria"/>
          <w:color w:val="000000"/>
        </w:rPr>
      </w:pPr>
    </w:p>
    <w:p w14:paraId="00000043" w14:textId="05C57B4C"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Para conocer la dimensión real de esta problemática, el Comité pidió al Estado proporcionar información sobre el número de madres adolescentes</w:t>
      </w:r>
      <w:r w:rsidR="00E82664">
        <w:rPr>
          <w:rStyle w:val="EndnoteReference"/>
          <w:rFonts w:ascii="Cambria" w:eastAsia="Cambria" w:hAnsi="Cambria" w:cs="Cambria"/>
          <w:color w:val="000000"/>
        </w:rPr>
        <w:endnoteReference w:id="48"/>
      </w:r>
      <w:r>
        <w:rPr>
          <w:rFonts w:ascii="Cambria" w:eastAsia="Cambria" w:hAnsi="Cambria" w:cs="Cambria"/>
          <w:color w:val="000000"/>
        </w:rPr>
        <w:t>;</w:t>
      </w:r>
      <w:r>
        <w:rPr>
          <w:rFonts w:ascii="Cambria" w:eastAsia="Cambria" w:hAnsi="Cambria" w:cs="Cambria"/>
        </w:rPr>
        <w:t xml:space="preserve"> </w:t>
      </w:r>
      <w:r>
        <w:rPr>
          <w:rFonts w:ascii="Cambria" w:eastAsia="Cambria" w:hAnsi="Cambria" w:cs="Cambria"/>
          <w:color w:val="000000"/>
        </w:rPr>
        <w:t>sin embargo, no hay información pública desagregada ni actualizada, por lo que las OSC entre otros obtienen información a través de solicitudes públicas de información. De acuerdo con la Encuesta Demográfica y de Salud Familiar (ENDES), 13 de cada 100 adolescentes entre 15 a 19 años ya eran madres o se encontraban embarazadas por primera vez. En 2022, el 9,2% de las adolescentes de 15 a 19 años eran madres o estaban embarazadas por primera vez</w:t>
      </w:r>
      <w:r w:rsidR="00E82664">
        <w:rPr>
          <w:rStyle w:val="EndnoteReference"/>
          <w:rFonts w:ascii="Cambria" w:eastAsia="Cambria" w:hAnsi="Cambria" w:cs="Cambria"/>
          <w:color w:val="000000"/>
        </w:rPr>
        <w:endnoteReference w:id="49"/>
      </w:r>
      <w:r>
        <w:rPr>
          <w:rFonts w:ascii="Cambria" w:eastAsia="Cambria" w:hAnsi="Cambria" w:cs="Cambria"/>
          <w:color w:val="000000"/>
        </w:rPr>
        <w:t>; mientras que en el 2021</w:t>
      </w:r>
      <w:r w:rsidR="00E82664">
        <w:rPr>
          <w:rStyle w:val="EndnoteReference"/>
          <w:rFonts w:ascii="Cambria" w:eastAsia="Cambria" w:hAnsi="Cambria" w:cs="Cambria"/>
          <w:color w:val="000000"/>
        </w:rPr>
        <w:endnoteReference w:id="50"/>
      </w:r>
      <w:r>
        <w:rPr>
          <w:rFonts w:ascii="Cambria" w:eastAsia="Cambria" w:hAnsi="Cambria" w:cs="Cambria"/>
          <w:color w:val="000000"/>
        </w:rPr>
        <w:t>, el 8.9 % de las adolescentes entre 15 a 19 años estuvieron alguna vez embarazadas; de estas, 6,6 % ya eran madres y el 2,3 % estaban gestando por primera vez. Al respecto, el UNFPA</w:t>
      </w:r>
      <w:r w:rsidR="00E82664">
        <w:rPr>
          <w:rStyle w:val="EndnoteReference"/>
          <w:rFonts w:ascii="Cambria" w:eastAsia="Cambria" w:hAnsi="Cambria" w:cs="Cambria"/>
          <w:color w:val="000000"/>
        </w:rPr>
        <w:endnoteReference w:id="51"/>
      </w:r>
      <w:r>
        <w:rPr>
          <w:rFonts w:ascii="Cambria" w:eastAsia="Cambria" w:hAnsi="Cambria" w:cs="Cambria"/>
          <w:color w:val="000000"/>
        </w:rPr>
        <w:t xml:space="preserve">, ha señalado que </w:t>
      </w:r>
      <w:r>
        <w:rPr>
          <w:rFonts w:ascii="Cambria" w:eastAsia="Cambria" w:hAnsi="Cambria" w:cs="Cambria"/>
          <w:i/>
          <w:color w:val="000000"/>
        </w:rPr>
        <w:t>“el incremento de la maternidad de las niñas de 10 a 14 años va de la mano con un aumento de los reportes de violencia sexual […] pese a los esfuerzos para proteger a las niñas de abusos y embarazos no deseados, se sigue compitiendo con la nefasta figura del matrimonio infantil</w:t>
      </w:r>
      <w:r>
        <w:rPr>
          <w:rFonts w:ascii="Cambria" w:eastAsia="Cambria" w:hAnsi="Cambria" w:cs="Cambria"/>
          <w:color w:val="000000"/>
          <w:vertAlign w:val="superscript"/>
        </w:rPr>
        <w:t>”</w:t>
      </w:r>
      <w:r w:rsidR="00E82664">
        <w:rPr>
          <w:rStyle w:val="EndnoteReference"/>
          <w:rFonts w:ascii="Cambria" w:eastAsia="Cambria" w:hAnsi="Cambria" w:cs="Cambria"/>
          <w:color w:val="000000"/>
        </w:rPr>
        <w:endnoteReference w:id="52"/>
      </w:r>
      <w:r>
        <w:rPr>
          <w:rFonts w:ascii="Cambria" w:eastAsia="Cambria" w:hAnsi="Cambria" w:cs="Cambria"/>
          <w:color w:val="000000"/>
        </w:rPr>
        <w:t>. Asimismo, UNFPA refirió que cada año un promedio de 1500 niñas de 10 a 14 años se convierten en madres, siendo 1611 en el 2022</w:t>
      </w:r>
      <w:r w:rsidR="00E82664">
        <w:rPr>
          <w:rStyle w:val="EndnoteReference"/>
          <w:rFonts w:ascii="Cambria" w:eastAsia="Cambria" w:hAnsi="Cambria" w:cs="Cambria"/>
          <w:color w:val="000000"/>
        </w:rPr>
        <w:endnoteReference w:id="53"/>
      </w:r>
      <w:r>
        <w:rPr>
          <w:rFonts w:ascii="Cambria" w:eastAsia="Cambria" w:hAnsi="Cambria" w:cs="Cambria"/>
          <w:color w:val="000000"/>
        </w:rPr>
        <w:t>.</w:t>
      </w:r>
    </w:p>
    <w:p w14:paraId="00000044"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3C4FD74A" w14:textId="77777777" w:rsidR="004E45BC" w:rsidRPr="004E45BC"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De igual forma, el Ministerio de Salud informó que, de 2012 a enero de 2018, el Seguro Integral de Salud (SIS) financió, diariamente, el parto de 68 a 70 de menores entre el rango etáreo de 9 y 17 años</w:t>
      </w:r>
      <w:r w:rsidR="00E82664">
        <w:rPr>
          <w:rStyle w:val="EndnoteReference"/>
          <w:rFonts w:ascii="Cambria" w:eastAsia="Cambria" w:hAnsi="Cambria" w:cs="Cambria"/>
          <w:color w:val="000000"/>
        </w:rPr>
        <w:endnoteReference w:id="54"/>
      </w:r>
      <w:r>
        <w:rPr>
          <w:rFonts w:ascii="Cambria" w:eastAsia="Cambria" w:hAnsi="Cambria" w:cs="Cambria"/>
          <w:color w:val="000000"/>
        </w:rPr>
        <w:t>. A través del Sistema de Registro del Certificado de Nacido Vivo en Línea, de enero a</w:t>
      </w:r>
      <w:r>
        <w:rPr>
          <w:rFonts w:ascii="Cambria" w:eastAsia="Cambria" w:hAnsi="Cambria" w:cs="Cambria"/>
        </w:rPr>
        <w:t xml:space="preserve"> noviembre de 2024 se registró 955 </w:t>
      </w:r>
      <w:r>
        <w:rPr>
          <w:rFonts w:ascii="Cambria" w:eastAsia="Cambria" w:hAnsi="Cambria" w:cs="Cambria"/>
          <w:color w:val="000000"/>
        </w:rPr>
        <w:t>nacimientos de adolescentes menores de 14 años</w:t>
      </w:r>
      <w:r w:rsidR="00E82664">
        <w:rPr>
          <w:rStyle w:val="EndnoteReference"/>
          <w:rFonts w:ascii="Cambria" w:eastAsia="Cambria" w:hAnsi="Cambria" w:cs="Cambria"/>
          <w:color w:val="000000"/>
        </w:rPr>
        <w:endnoteReference w:id="55"/>
      </w:r>
      <w:r>
        <w:rPr>
          <w:rFonts w:ascii="Cambria" w:eastAsia="Cambria" w:hAnsi="Cambria" w:cs="Cambria"/>
          <w:color w:val="000000"/>
        </w:rPr>
        <w:t>. Mientras que, en 2023, se reportaron 1 353 nacimientos</w:t>
      </w:r>
      <w:r w:rsidR="00E82664">
        <w:rPr>
          <w:rStyle w:val="EndnoteReference"/>
          <w:rFonts w:ascii="Cambria" w:eastAsia="Cambria" w:hAnsi="Cambria" w:cs="Cambria"/>
          <w:color w:val="000000"/>
        </w:rPr>
        <w:endnoteReference w:id="56"/>
      </w:r>
      <w:r>
        <w:rPr>
          <w:rFonts w:ascii="Cambria" w:eastAsia="Cambria" w:hAnsi="Cambria" w:cs="Cambria"/>
          <w:color w:val="000000"/>
        </w:rPr>
        <w:t xml:space="preserve"> y en el 2022 se registraron 465 421 nacimientos, de los cuales 48 498 </w:t>
      </w:r>
    </w:p>
    <w:p w14:paraId="5E02FBE9" w14:textId="77777777" w:rsidR="004E45BC" w:rsidRDefault="004E45BC" w:rsidP="004E45BC">
      <w:pPr>
        <w:pStyle w:val="ListParagraph"/>
        <w:rPr>
          <w:rFonts w:ascii="Cambria" w:eastAsia="Cambria" w:hAnsi="Cambria" w:cs="Cambria"/>
          <w:color w:val="000000"/>
        </w:rPr>
      </w:pPr>
    </w:p>
    <w:p w14:paraId="05C1070E" w14:textId="77777777" w:rsidR="008C0FFF" w:rsidRDefault="008C0FFF" w:rsidP="004E45BC">
      <w:pPr>
        <w:pBdr>
          <w:top w:val="nil"/>
          <w:left w:val="nil"/>
          <w:bottom w:val="nil"/>
          <w:right w:val="nil"/>
          <w:between w:val="nil"/>
        </w:pBdr>
        <w:spacing w:line="276" w:lineRule="auto"/>
        <w:ind w:left="720"/>
        <w:jc w:val="both"/>
        <w:rPr>
          <w:rFonts w:ascii="Cambria" w:eastAsia="Cambria" w:hAnsi="Cambria" w:cs="Cambria"/>
          <w:color w:val="000000"/>
        </w:rPr>
      </w:pPr>
    </w:p>
    <w:p w14:paraId="00000045" w14:textId="72DC3A99" w:rsidR="00D62E76" w:rsidRDefault="00000000" w:rsidP="004E45BC">
      <w:pPr>
        <w:pBdr>
          <w:top w:val="nil"/>
          <w:left w:val="nil"/>
          <w:bottom w:val="nil"/>
          <w:right w:val="nil"/>
          <w:between w:val="nil"/>
        </w:pBdr>
        <w:spacing w:line="276" w:lineRule="auto"/>
        <w:ind w:left="720"/>
        <w:jc w:val="both"/>
        <w:rPr>
          <w:rFonts w:ascii="Cambria" w:eastAsia="Cambria" w:hAnsi="Cambria" w:cs="Cambria"/>
        </w:rPr>
      </w:pPr>
      <w:r>
        <w:rPr>
          <w:rFonts w:ascii="Cambria" w:eastAsia="Cambria" w:hAnsi="Cambria" w:cs="Cambria"/>
          <w:color w:val="000000"/>
        </w:rPr>
        <w:t>fueron adolescentes que tenían entre 15 a 19 años de edad</w:t>
      </w:r>
      <w:r w:rsidR="00E82664">
        <w:rPr>
          <w:rStyle w:val="EndnoteReference"/>
          <w:rFonts w:ascii="Cambria" w:eastAsia="Cambria" w:hAnsi="Cambria" w:cs="Cambria"/>
          <w:color w:val="000000"/>
        </w:rPr>
        <w:endnoteReference w:id="57"/>
      </w:r>
      <w:r>
        <w:rPr>
          <w:rFonts w:ascii="Cambria" w:eastAsia="Cambria" w:hAnsi="Cambria" w:cs="Cambria"/>
          <w:color w:val="000000"/>
        </w:rPr>
        <w:t>. Respecto a los nacidos vivos de niñas de 11 a 14 años, se reportó 1432 nacimientos vivos en 2021</w:t>
      </w:r>
      <w:r w:rsidR="00E82664">
        <w:rPr>
          <w:rStyle w:val="EndnoteReference"/>
          <w:rFonts w:ascii="Cambria" w:eastAsia="Cambria" w:hAnsi="Cambria" w:cs="Cambria"/>
          <w:color w:val="000000"/>
        </w:rPr>
        <w:endnoteReference w:id="58"/>
      </w:r>
      <w:r w:rsidR="00E82664">
        <w:rPr>
          <w:rFonts w:ascii="Cambria" w:eastAsia="Cambria" w:hAnsi="Cambria" w:cs="Cambria"/>
          <w:color w:val="000000"/>
        </w:rPr>
        <w:t xml:space="preserve"> </w:t>
      </w:r>
      <w:r>
        <w:rPr>
          <w:rFonts w:ascii="Cambria" w:eastAsia="Cambria" w:hAnsi="Cambria" w:cs="Cambria"/>
          <w:color w:val="000000"/>
        </w:rPr>
        <w:t>y 1614 en el 2022</w:t>
      </w:r>
      <w:r w:rsidR="00E82664">
        <w:rPr>
          <w:rStyle w:val="EndnoteReference"/>
          <w:rFonts w:ascii="Cambria" w:eastAsia="Cambria" w:hAnsi="Cambria" w:cs="Cambria"/>
          <w:color w:val="000000"/>
        </w:rPr>
        <w:endnoteReference w:id="59"/>
      </w:r>
      <w:r>
        <w:rPr>
          <w:rFonts w:ascii="Cambria" w:eastAsia="Cambria" w:hAnsi="Cambria" w:cs="Cambria"/>
          <w:color w:val="000000"/>
        </w:rPr>
        <w:t>.</w:t>
      </w:r>
    </w:p>
    <w:p w14:paraId="00000046" w14:textId="77777777" w:rsidR="00D62E76" w:rsidRDefault="00D62E76">
      <w:pPr>
        <w:pBdr>
          <w:top w:val="nil"/>
          <w:left w:val="nil"/>
          <w:bottom w:val="nil"/>
          <w:right w:val="nil"/>
          <w:between w:val="nil"/>
        </w:pBdr>
        <w:ind w:left="720"/>
        <w:rPr>
          <w:rFonts w:ascii="Cambria" w:eastAsia="Cambria" w:hAnsi="Cambria" w:cs="Cambria"/>
          <w:color w:val="000000"/>
        </w:rPr>
      </w:pPr>
    </w:p>
    <w:p w14:paraId="4B346491" w14:textId="77777777" w:rsidR="001F178B" w:rsidRDefault="001F178B">
      <w:pPr>
        <w:pBdr>
          <w:top w:val="nil"/>
          <w:left w:val="nil"/>
          <w:bottom w:val="nil"/>
          <w:right w:val="nil"/>
          <w:between w:val="nil"/>
        </w:pBdr>
        <w:ind w:left="720"/>
        <w:rPr>
          <w:rFonts w:ascii="Cambria" w:eastAsia="Cambria" w:hAnsi="Cambria" w:cs="Cambria"/>
          <w:color w:val="000000"/>
        </w:rPr>
      </w:pPr>
    </w:p>
    <w:p w14:paraId="00000047" w14:textId="76A56007"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A esto se suma que el Comité ha exhortado al Estado peruano que designe un presupuesto para la ejecución de sus actividades</w:t>
      </w:r>
      <w:r w:rsidR="00E82664">
        <w:rPr>
          <w:rStyle w:val="EndnoteReference"/>
          <w:rFonts w:ascii="Cambria" w:eastAsia="Cambria" w:hAnsi="Cambria" w:cs="Cambria"/>
          <w:color w:val="000000"/>
        </w:rPr>
        <w:endnoteReference w:id="60"/>
      </w:r>
      <w:r>
        <w:rPr>
          <w:rFonts w:ascii="Cambria" w:eastAsia="Cambria" w:hAnsi="Cambria" w:cs="Cambria"/>
          <w:color w:val="000000"/>
          <w:vertAlign w:val="superscript"/>
        </w:rPr>
        <w:t xml:space="preserve"> </w:t>
      </w:r>
      <w:r>
        <w:rPr>
          <w:rFonts w:ascii="Cambria" w:eastAsia="Cambria" w:hAnsi="Cambria" w:cs="Cambria"/>
        </w:rPr>
        <w:t>. Sin</w:t>
      </w:r>
      <w:r>
        <w:rPr>
          <w:rFonts w:ascii="Cambria" w:eastAsia="Cambria" w:hAnsi="Cambria" w:cs="Cambria"/>
          <w:color w:val="000000"/>
        </w:rPr>
        <w:t xml:space="preserve"> embargo, en la práctica el presupuesto designado para la prevención del embarazo adolescente es irrisorio.  Según un estudio realizado muestra que, en promedio las regiones tienen un presupuesto per cápita de S/9,3 nuevos soles (en promedio 3 dólares americanos) por adolescente, pese a que el mínimo ideal debería ser S/55 nuevos soles</w:t>
      </w:r>
      <w:r w:rsidR="00BD3967">
        <w:rPr>
          <w:rStyle w:val="EndnoteReference"/>
          <w:rFonts w:ascii="Cambria" w:eastAsia="Cambria" w:hAnsi="Cambria" w:cs="Cambria"/>
          <w:color w:val="000000"/>
        </w:rPr>
        <w:endnoteReference w:id="61"/>
      </w:r>
      <w:r w:rsidR="00BD3967">
        <w:rPr>
          <w:rFonts w:ascii="Cambria" w:eastAsia="Cambria" w:hAnsi="Cambria" w:cs="Cambria"/>
          <w:color w:val="000000"/>
        </w:rPr>
        <w:t xml:space="preserve"> </w:t>
      </w:r>
      <w:r>
        <w:rPr>
          <w:rFonts w:ascii="Cambria" w:eastAsia="Cambria" w:hAnsi="Cambria" w:cs="Cambria"/>
          <w:color w:val="000000"/>
        </w:rPr>
        <w:t xml:space="preserve">(aproximadamente 15 dólares americanos), e incluso hay algunas regiones como Amazonas, que se les asigna 0.70 céntimos de sol peruano, representando menos de 20 centavos de dólar. Y, justamente, en esta </w:t>
      </w:r>
      <w:r w:rsidRPr="007C2B31">
        <w:rPr>
          <w:rFonts w:ascii="Cambria" w:eastAsia="Cambria" w:hAnsi="Cambria" w:cs="Cambria"/>
          <w:color w:val="000000"/>
        </w:rPr>
        <w:t>región se ha presentado un mayor índice de violencia sexual como se detallará en el párrafo 3</w:t>
      </w:r>
      <w:r w:rsidR="007C2B31" w:rsidRPr="007C2B31">
        <w:rPr>
          <w:rFonts w:ascii="Cambria" w:eastAsia="Cambria" w:hAnsi="Cambria" w:cs="Cambria"/>
          <w:color w:val="000000"/>
        </w:rPr>
        <w:t>3</w:t>
      </w:r>
      <w:r w:rsidRPr="007C2B31">
        <w:rPr>
          <w:rFonts w:ascii="Cambria" w:eastAsia="Cambria" w:hAnsi="Cambria" w:cs="Cambria"/>
          <w:color w:val="000000"/>
        </w:rPr>
        <w:t>.</w:t>
      </w:r>
      <w:r>
        <w:rPr>
          <w:rFonts w:ascii="Cambria" w:eastAsia="Cambria" w:hAnsi="Cambria" w:cs="Cambria"/>
          <w:color w:val="000000"/>
        </w:rPr>
        <w:t xml:space="preserve"> En su oportunidad el UNFPA realizó una evaluación del costo económico de la maternidad adolescente y como esto tiene un impacto económico, según su estimación a partir del 2021 hasta el año 2030, el costo económico acumulado del embarazo y la maternidad en niñas y adolescentes sería no menor a US 3,135 millones de dólares americanos</w:t>
      </w:r>
      <w:r w:rsidR="00BD3967">
        <w:rPr>
          <w:rStyle w:val="EndnoteReference"/>
          <w:rFonts w:ascii="Cambria" w:eastAsia="Cambria" w:hAnsi="Cambria" w:cs="Cambria"/>
          <w:color w:val="000000"/>
        </w:rPr>
        <w:endnoteReference w:id="62"/>
      </w:r>
      <w:r w:rsidR="00BD3967">
        <w:rPr>
          <w:rFonts w:ascii="Cambria" w:eastAsia="Cambria" w:hAnsi="Cambria" w:cs="Cambria"/>
          <w:color w:val="000000"/>
        </w:rPr>
        <w:t xml:space="preserve">. </w:t>
      </w:r>
      <w:r>
        <w:rPr>
          <w:rFonts w:ascii="Cambria" w:eastAsia="Cambria" w:hAnsi="Cambria" w:cs="Cambria"/>
          <w:color w:val="000000"/>
        </w:rPr>
        <w:t>Si el Estado peruano destinar</w:t>
      </w:r>
      <w:r>
        <w:rPr>
          <w:rFonts w:ascii="Cambria" w:eastAsia="Cambria" w:hAnsi="Cambria" w:cs="Cambria"/>
        </w:rPr>
        <w:t>a</w:t>
      </w:r>
      <w:r>
        <w:rPr>
          <w:rFonts w:ascii="Cambria" w:eastAsia="Cambria" w:hAnsi="Cambria" w:cs="Cambria"/>
          <w:color w:val="000000"/>
        </w:rPr>
        <w:t xml:space="preserve"> sus esfuerzos a la prevención del embarazo adolescente, no solo evitaría proyectos de vida truncados por maternidades forzadas, sino reduciría el costo económico para la sociedad. </w:t>
      </w:r>
    </w:p>
    <w:p w14:paraId="00000048" w14:textId="77777777" w:rsidR="00D62E76" w:rsidRDefault="00D62E76">
      <w:pPr>
        <w:spacing w:line="276" w:lineRule="auto"/>
        <w:jc w:val="both"/>
        <w:rPr>
          <w:rFonts w:ascii="Cambria" w:eastAsia="Cambria" w:hAnsi="Cambria" w:cs="Cambria"/>
          <w:color w:val="000000"/>
        </w:rPr>
      </w:pPr>
    </w:p>
    <w:p w14:paraId="00000049" w14:textId="77777777" w:rsidR="00D62E76" w:rsidRDefault="00000000">
      <w:pPr>
        <w:numPr>
          <w:ilvl w:val="0"/>
          <w:numId w:val="6"/>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Mortalidad materna</w:t>
      </w:r>
    </w:p>
    <w:p w14:paraId="0000004A" w14:textId="77777777" w:rsidR="00D62E76" w:rsidRDefault="00D62E76">
      <w:pPr>
        <w:spacing w:line="276" w:lineRule="auto"/>
        <w:jc w:val="both"/>
        <w:rPr>
          <w:rFonts w:ascii="Cambria" w:eastAsia="Cambria" w:hAnsi="Cambria" w:cs="Cambria"/>
          <w:color w:val="000000"/>
        </w:rPr>
      </w:pPr>
    </w:p>
    <w:p w14:paraId="0000004B" w14:textId="1889B810"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El Comité señaló que el Estado debe </w:t>
      </w:r>
      <w:r>
        <w:rPr>
          <w:rFonts w:ascii="Cambria" w:eastAsia="Cambria" w:hAnsi="Cambria" w:cs="Cambria"/>
          <w:i/>
          <w:color w:val="000000"/>
        </w:rPr>
        <w:t>“garantizar el acceso a los servicios sanitarios esenciales […], así como programas de lucha contra la mortalidad materna y en la niñez y la mortalidad de lactantes […]”</w:t>
      </w:r>
      <w:r w:rsidR="00BD3967">
        <w:rPr>
          <w:rStyle w:val="EndnoteReference"/>
          <w:rFonts w:ascii="Cambria" w:eastAsia="Cambria" w:hAnsi="Cambria" w:cs="Cambria"/>
          <w:i/>
          <w:color w:val="000000"/>
        </w:rPr>
        <w:endnoteReference w:id="63"/>
      </w:r>
      <w:r>
        <w:rPr>
          <w:rFonts w:ascii="Cambria" w:eastAsia="Cambria" w:hAnsi="Cambria" w:cs="Cambria"/>
          <w:color w:val="000000"/>
        </w:rPr>
        <w:t>. En el país, todavía la mortalidad materna (MM) en niñas y adolescentes constituye un problema endémico y tiene un impacto diferencial en algunas zonas geográficas como la Sierra y la Selva que cuadruplican la tasa de MM en comparación con la Costa, esto primordialmente por las profundas desigualdades territoriales, socioeconómicas y la nula presencia estatal.  Según el Minsa en las zonas rurales, la hemorragia obstétrica es causante de más del 50% de los casos de MM, mientras que en las zonas urbanas representa menos del 20%</w:t>
      </w:r>
      <w:r w:rsidR="00BD3967">
        <w:rPr>
          <w:rStyle w:val="EndnoteReference"/>
          <w:rFonts w:ascii="Cambria" w:eastAsia="Cambria" w:hAnsi="Cambria" w:cs="Cambria"/>
          <w:color w:val="000000"/>
        </w:rPr>
        <w:endnoteReference w:id="64"/>
      </w:r>
      <w:r>
        <w:rPr>
          <w:rFonts w:ascii="Cambria" w:eastAsia="Cambria" w:hAnsi="Cambria" w:cs="Cambria"/>
          <w:color w:val="000000"/>
        </w:rPr>
        <w:t xml:space="preserve">. </w:t>
      </w:r>
    </w:p>
    <w:p w14:paraId="0000004C"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3E75253B" w14:textId="77777777" w:rsidR="004E45BC" w:rsidRPr="004E45BC" w:rsidRDefault="00000000" w:rsidP="004E45BC">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De acuerdo con el Minsa, entre los años 2019 y 2022, los recién nacidos vivos con bajo peso al nacer aumentaron en 53,6% en aquellas madres de 10 a 14 años y 4,3% en el rango etario de 15 a 19 años. Y según</w:t>
      </w:r>
      <w:r>
        <w:rPr>
          <w:rFonts w:ascii="Cambria" w:eastAsia="Cambria" w:hAnsi="Cambria" w:cs="Cambria"/>
        </w:rPr>
        <w:t xml:space="preserve"> la</w:t>
      </w:r>
      <w:r>
        <w:rPr>
          <w:rFonts w:ascii="Cambria" w:eastAsia="Cambria" w:hAnsi="Cambria" w:cs="Cambria"/>
          <w:color w:val="9900FF"/>
        </w:rPr>
        <w:t xml:space="preserve"> </w:t>
      </w:r>
      <w:r>
        <w:rPr>
          <w:rFonts w:ascii="Cambria" w:eastAsia="Cambria" w:hAnsi="Cambria" w:cs="Cambria"/>
          <w:color w:val="000000"/>
        </w:rPr>
        <w:t xml:space="preserve">condición del parto, en el grupo de nacidos </w:t>
      </w:r>
    </w:p>
    <w:p w14:paraId="2F223036" w14:textId="77777777" w:rsidR="004E45BC" w:rsidRDefault="004E45BC" w:rsidP="004E45BC">
      <w:pPr>
        <w:pStyle w:val="ListParagraph"/>
        <w:rPr>
          <w:rFonts w:ascii="Cambria" w:eastAsia="Cambria" w:hAnsi="Cambria" w:cs="Cambria"/>
          <w:color w:val="000000"/>
        </w:rPr>
      </w:pPr>
    </w:p>
    <w:p w14:paraId="0000004D" w14:textId="7CF42D27" w:rsidR="00D62E76" w:rsidRPr="004E45BC" w:rsidRDefault="00000000" w:rsidP="004E45BC">
      <w:pPr>
        <w:pBdr>
          <w:top w:val="nil"/>
          <w:left w:val="nil"/>
          <w:bottom w:val="nil"/>
          <w:right w:val="nil"/>
          <w:between w:val="nil"/>
        </w:pBdr>
        <w:spacing w:line="276" w:lineRule="auto"/>
        <w:ind w:left="720"/>
        <w:jc w:val="both"/>
        <w:rPr>
          <w:rFonts w:ascii="Cambria" w:eastAsia="Cambria" w:hAnsi="Cambria" w:cs="Cambria"/>
        </w:rPr>
      </w:pPr>
      <w:r>
        <w:rPr>
          <w:rFonts w:ascii="Cambria" w:eastAsia="Cambria" w:hAnsi="Cambria" w:cs="Cambria"/>
          <w:color w:val="000000"/>
        </w:rPr>
        <w:t>vivos de madres de 10 a 14 años, los partos por cesárea se incrementaron en 19,4% en el periodo de 2019 al 2022</w:t>
      </w:r>
      <w:r w:rsidR="00BD3967">
        <w:rPr>
          <w:rStyle w:val="EndnoteReference"/>
          <w:rFonts w:ascii="Cambria" w:eastAsia="Cambria" w:hAnsi="Cambria" w:cs="Cambria"/>
          <w:color w:val="000000"/>
        </w:rPr>
        <w:endnoteReference w:id="65"/>
      </w:r>
      <w:r>
        <w:rPr>
          <w:rFonts w:ascii="Cambria" w:eastAsia="Cambria" w:hAnsi="Cambria" w:cs="Cambria"/>
          <w:color w:val="000000"/>
        </w:rPr>
        <w:t>. Esto resulta alarmante más aun por el hecho de que siendo las niñas entre 10 y 14 años, son las que tienen cuatro veces más riesgo de morir durante el parto que una mujer adulta</w:t>
      </w:r>
      <w:r w:rsidR="00BD3967">
        <w:rPr>
          <w:rStyle w:val="EndnoteReference"/>
          <w:rFonts w:ascii="Cambria" w:eastAsia="Cambria" w:hAnsi="Cambria" w:cs="Cambria"/>
          <w:color w:val="000000"/>
        </w:rPr>
        <w:endnoteReference w:id="66"/>
      </w:r>
      <w:r>
        <w:rPr>
          <w:rFonts w:ascii="Cambria" w:eastAsia="Cambria" w:hAnsi="Cambria" w:cs="Cambria"/>
          <w:color w:val="000000"/>
        </w:rPr>
        <w:t>. Al respecto, el Minsa observó que el 14.9% de mujeres muertas son adolescentes entre el rango etáreo de 12 y 19 años</w:t>
      </w:r>
      <w:r w:rsidR="00BD3967">
        <w:rPr>
          <w:rStyle w:val="EndnoteReference"/>
          <w:rFonts w:ascii="Cambria" w:eastAsia="Cambria" w:hAnsi="Cambria" w:cs="Cambria"/>
          <w:color w:val="000000"/>
        </w:rPr>
        <w:endnoteReference w:id="67"/>
      </w:r>
      <w:r>
        <w:rPr>
          <w:rFonts w:ascii="Cambria" w:eastAsia="Cambria" w:hAnsi="Cambria" w:cs="Cambria"/>
          <w:color w:val="000000"/>
        </w:rPr>
        <w:t xml:space="preserve">, </w:t>
      </w:r>
      <w:r w:rsidRPr="004E45BC">
        <w:rPr>
          <w:rFonts w:ascii="Cambria" w:eastAsia="Cambria" w:hAnsi="Cambria" w:cs="Cambria"/>
          <w:color w:val="000000"/>
        </w:rPr>
        <w:t>tan solo en el 2017, se reportó 98 casos de muerte materna</w:t>
      </w:r>
      <w:r w:rsidR="00BD3967">
        <w:rPr>
          <w:rStyle w:val="EndnoteReference"/>
          <w:rFonts w:ascii="Cambria" w:eastAsia="Cambria" w:hAnsi="Cambria" w:cs="Cambria"/>
          <w:color w:val="000000"/>
        </w:rPr>
        <w:endnoteReference w:id="68"/>
      </w:r>
      <w:r w:rsidRPr="004E45BC">
        <w:rPr>
          <w:rFonts w:ascii="Cambria" w:eastAsia="Cambria" w:hAnsi="Cambria" w:cs="Cambria"/>
          <w:color w:val="000000"/>
        </w:rPr>
        <w:t>.  Entre el 2014 y 2017</w:t>
      </w:r>
      <w:r w:rsidR="004E45BC" w:rsidRPr="004E45BC">
        <w:rPr>
          <w:rFonts w:ascii="Cambria" w:eastAsia="Cambria" w:hAnsi="Cambria" w:cs="Cambria"/>
          <w:color w:val="000000"/>
        </w:rPr>
        <w:t>,</w:t>
      </w:r>
      <w:r w:rsidRPr="004E45BC">
        <w:rPr>
          <w:rFonts w:ascii="Cambria" w:eastAsia="Cambria" w:hAnsi="Cambria" w:cs="Cambria"/>
          <w:color w:val="000000"/>
        </w:rPr>
        <w:t xml:space="preserve"> el promedio de las muertes maternas en menores de 19 años constituyó el 13.8% del total de casos</w:t>
      </w:r>
      <w:r w:rsidR="00BD3967">
        <w:rPr>
          <w:rStyle w:val="EndnoteReference"/>
          <w:rFonts w:ascii="Cambria" w:eastAsia="Cambria" w:hAnsi="Cambria" w:cs="Cambria"/>
          <w:color w:val="000000"/>
        </w:rPr>
        <w:endnoteReference w:id="69"/>
      </w:r>
      <w:r w:rsidRPr="004E45BC">
        <w:rPr>
          <w:rFonts w:ascii="Cambria" w:eastAsia="Cambria" w:hAnsi="Cambria" w:cs="Cambria"/>
          <w:color w:val="000000"/>
        </w:rPr>
        <w:t xml:space="preserve">.  </w:t>
      </w:r>
    </w:p>
    <w:p w14:paraId="0000004E" w14:textId="77777777" w:rsidR="00D62E76" w:rsidRDefault="00D62E76">
      <w:pPr>
        <w:pBdr>
          <w:top w:val="nil"/>
          <w:left w:val="nil"/>
          <w:bottom w:val="nil"/>
          <w:right w:val="nil"/>
          <w:between w:val="nil"/>
        </w:pBdr>
        <w:ind w:left="720"/>
        <w:rPr>
          <w:rFonts w:ascii="Cambria" w:eastAsia="Cambria" w:hAnsi="Cambria" w:cs="Cambria"/>
          <w:color w:val="000000"/>
        </w:rPr>
      </w:pPr>
    </w:p>
    <w:p w14:paraId="0000004F" w14:textId="706EC6B6"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Finalmente, la maternidad adolescente tiene consecuencias perjudiciales en los derechos de NNA, constituyendo un mayor riesgo de mortalidad materna, siendo un factor oculto la realización de un aborto inseguro y, también representa un alza de suicidios de adolescentes</w:t>
      </w:r>
      <w:r w:rsidR="00BD3967">
        <w:rPr>
          <w:rStyle w:val="EndnoteReference"/>
          <w:rFonts w:ascii="Cambria" w:eastAsia="Cambria" w:hAnsi="Cambria" w:cs="Cambria"/>
          <w:color w:val="000000"/>
        </w:rPr>
        <w:endnoteReference w:id="70"/>
      </w:r>
      <w:r>
        <w:rPr>
          <w:rFonts w:ascii="Cambria" w:eastAsia="Cambria" w:hAnsi="Cambria" w:cs="Cambria"/>
          <w:color w:val="000000"/>
        </w:rPr>
        <w:t xml:space="preserve">. Sobre el particular, el Comité en sus Observaciones Finales (2016) mostró su preocupación por las </w:t>
      </w:r>
      <w:r>
        <w:rPr>
          <w:rFonts w:ascii="Cambria" w:eastAsia="Cambria" w:hAnsi="Cambria" w:cs="Cambria"/>
          <w:i/>
          <w:color w:val="000000"/>
        </w:rPr>
        <w:t>“elevadas tasas de suicidio y de depresión entre los adolescentes”</w:t>
      </w:r>
      <w:r w:rsidR="00890C15">
        <w:rPr>
          <w:rStyle w:val="EndnoteReference"/>
          <w:rFonts w:ascii="Cambria" w:eastAsia="Cambria" w:hAnsi="Cambria" w:cs="Cambria"/>
          <w:i/>
          <w:color w:val="000000"/>
        </w:rPr>
        <w:endnoteReference w:id="71"/>
      </w:r>
      <w:r>
        <w:rPr>
          <w:rFonts w:ascii="Cambria" w:eastAsia="Cambria" w:hAnsi="Cambria" w:cs="Cambria"/>
          <w:color w:val="000000"/>
        </w:rPr>
        <w:t xml:space="preserve"> e hizo el llamado al Estado para que </w:t>
      </w:r>
      <w:r>
        <w:rPr>
          <w:rFonts w:ascii="Cambria" w:eastAsia="Cambria" w:hAnsi="Cambria" w:cs="Cambria"/>
          <w:i/>
          <w:color w:val="000000"/>
        </w:rPr>
        <w:t>“garantice la igualdad de acceso a servicios de salud mental con miras a eliminar la prevalencia del suicidio y de la depresión entre los adolescentes”</w:t>
      </w:r>
      <w:r w:rsidR="00890C15">
        <w:rPr>
          <w:rStyle w:val="EndnoteReference"/>
          <w:rFonts w:ascii="Cambria" w:eastAsia="Cambria" w:hAnsi="Cambria" w:cs="Cambria"/>
          <w:i/>
          <w:color w:val="000000"/>
        </w:rPr>
        <w:endnoteReference w:id="72"/>
      </w:r>
      <w:r>
        <w:rPr>
          <w:rFonts w:ascii="Cambria" w:eastAsia="Cambria" w:hAnsi="Cambria" w:cs="Cambria"/>
          <w:color w:val="000000"/>
        </w:rPr>
        <w:t xml:space="preserve">. Sin embargo, todavía es un problema recurrente, según el estudio </w:t>
      </w:r>
      <w:r>
        <w:rPr>
          <w:rFonts w:ascii="Cambria" w:eastAsia="Cambria" w:hAnsi="Cambria" w:cs="Cambria"/>
          <w:i/>
          <w:color w:val="000000"/>
        </w:rPr>
        <w:t>“Impacto del embarazo luego de una violación. Argumentos para proteger la salud mental”</w:t>
      </w:r>
      <w:r>
        <w:rPr>
          <w:rFonts w:ascii="Cambria" w:eastAsia="Cambria" w:hAnsi="Cambria" w:cs="Cambria"/>
          <w:color w:val="000000"/>
        </w:rPr>
        <w:t>(2015), se estima que por lo menos el 33% de las personas que han sufrido violación presentan una condición mental crónica, una mujer que ha sufrido violencia sexual tiene 2.5 veces más probabilidad de presentar depresión que una mujer sin antecedente. Asimismo, destaca que la depresión afecta de 13% a 51% de las mujeres violadas; del 73% al 82% desarrollan miedo y ansiedad anormales; del 12% al 40% presentan trastorno de ansiedad generalizada y; del 23% al 44%  de las mujeres violadas presentan ideación suicida”</w:t>
      </w:r>
      <w:r w:rsidR="00890C15">
        <w:rPr>
          <w:rStyle w:val="EndnoteReference"/>
          <w:rFonts w:ascii="Cambria" w:eastAsia="Cambria" w:hAnsi="Cambria" w:cs="Cambria"/>
          <w:color w:val="000000"/>
        </w:rPr>
        <w:endnoteReference w:id="73"/>
      </w:r>
      <w:r>
        <w:rPr>
          <w:rFonts w:ascii="Cambria" w:eastAsia="Cambria" w:hAnsi="Cambria" w:cs="Cambria"/>
          <w:color w:val="000000"/>
        </w:rPr>
        <w:t>. Asimismo, según el Sistema Nacional de Defunciones (SINADEF), en 2022 registró 686 casos de suicidios, el 37% de estos casos involucraron a adolescentes</w:t>
      </w:r>
      <w:r w:rsidR="00890C15">
        <w:rPr>
          <w:rStyle w:val="EndnoteReference"/>
          <w:rFonts w:ascii="Cambria" w:eastAsia="Cambria" w:hAnsi="Cambria" w:cs="Cambria"/>
          <w:color w:val="000000"/>
        </w:rPr>
        <w:endnoteReference w:id="74"/>
      </w:r>
      <w:r>
        <w:rPr>
          <w:rFonts w:ascii="Cambria" w:eastAsia="Cambria" w:hAnsi="Cambria" w:cs="Cambria"/>
          <w:color w:val="000000"/>
        </w:rPr>
        <w:t>.</w:t>
      </w:r>
    </w:p>
    <w:p w14:paraId="00000050" w14:textId="77777777" w:rsidR="00D62E76" w:rsidRDefault="00D62E76">
      <w:pPr>
        <w:pBdr>
          <w:top w:val="nil"/>
          <w:left w:val="nil"/>
          <w:bottom w:val="nil"/>
          <w:right w:val="nil"/>
          <w:between w:val="nil"/>
        </w:pBdr>
        <w:spacing w:line="276" w:lineRule="auto"/>
        <w:jc w:val="both"/>
        <w:rPr>
          <w:rFonts w:ascii="Cambria" w:eastAsia="Cambria" w:hAnsi="Cambria" w:cs="Cambria"/>
          <w:color w:val="000000"/>
        </w:rPr>
      </w:pPr>
    </w:p>
    <w:p w14:paraId="00000051" w14:textId="77777777" w:rsidR="00D62E76" w:rsidRDefault="00000000">
      <w:pPr>
        <w:numPr>
          <w:ilvl w:val="0"/>
          <w:numId w:val="6"/>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 xml:space="preserve">Las barreras para el acceso al aborto terapéutico </w:t>
      </w:r>
    </w:p>
    <w:p w14:paraId="00000052" w14:textId="77777777" w:rsidR="00D62E76" w:rsidRDefault="00D62E76">
      <w:pPr>
        <w:pBdr>
          <w:top w:val="nil"/>
          <w:left w:val="nil"/>
          <w:bottom w:val="nil"/>
          <w:right w:val="nil"/>
          <w:between w:val="nil"/>
        </w:pBdr>
        <w:spacing w:line="276" w:lineRule="auto"/>
        <w:ind w:left="1080"/>
        <w:jc w:val="both"/>
        <w:rPr>
          <w:rFonts w:ascii="Cambria" w:eastAsia="Cambria" w:hAnsi="Cambria" w:cs="Cambria"/>
          <w:color w:val="000000"/>
        </w:rPr>
      </w:pPr>
    </w:p>
    <w:p w14:paraId="00000053" w14:textId="511E615C"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El Comité exhortó al Estado que </w:t>
      </w:r>
      <w:r>
        <w:rPr>
          <w:rFonts w:ascii="Cambria" w:eastAsia="Cambria" w:hAnsi="Cambria" w:cs="Cambria"/>
          <w:i/>
          <w:color w:val="000000"/>
        </w:rPr>
        <w:t>“despenalice el aborto en todas las circunstancias, garantice el acceso de las niñas a servicios de aborto sin peligro y de atención posterior al aborto por lo menos en los casos de violación, incesto y graves malformaciones del feto y en los casos de riesgo para la vida y la salud de la madre, proporcione claras orientaciones a los profesionales de la salud e información a los adolescentes sobre el aborto sin peligro y la atención después del aborto. Las opiniones de las niñas embarazadas deben ser siempre escuchadas y respetadas en relación con las decisiones que se adopten sobre el aborto</w:t>
      </w:r>
      <w:r>
        <w:rPr>
          <w:rFonts w:ascii="Cambria" w:eastAsia="Cambria" w:hAnsi="Cambria" w:cs="Cambria"/>
          <w:color w:val="000000"/>
        </w:rPr>
        <w:t>”</w:t>
      </w:r>
      <w:r w:rsidR="00890C15">
        <w:rPr>
          <w:rStyle w:val="EndnoteReference"/>
          <w:rFonts w:ascii="Cambria" w:eastAsia="Cambria" w:hAnsi="Cambria" w:cs="Cambria"/>
          <w:color w:val="000000"/>
        </w:rPr>
        <w:endnoteReference w:id="75"/>
      </w:r>
      <w:r>
        <w:rPr>
          <w:rFonts w:ascii="Cambria" w:eastAsia="Cambria" w:hAnsi="Cambria" w:cs="Cambria"/>
          <w:color w:val="000000"/>
        </w:rPr>
        <w:t>.</w:t>
      </w:r>
    </w:p>
    <w:p w14:paraId="00000054" w14:textId="77777777" w:rsidR="00D62E76" w:rsidRDefault="00D62E76">
      <w:pPr>
        <w:pBdr>
          <w:top w:val="nil"/>
          <w:left w:val="nil"/>
          <w:bottom w:val="nil"/>
          <w:right w:val="nil"/>
          <w:between w:val="nil"/>
        </w:pBdr>
        <w:spacing w:line="276" w:lineRule="auto"/>
        <w:ind w:left="1080"/>
        <w:jc w:val="both"/>
        <w:rPr>
          <w:rFonts w:ascii="Cambria" w:eastAsia="Cambria" w:hAnsi="Cambria" w:cs="Cambria"/>
          <w:color w:val="000000"/>
        </w:rPr>
      </w:pPr>
    </w:p>
    <w:p w14:paraId="00000055" w14:textId="66896624" w:rsidR="00D62E76" w:rsidRPr="004E45BC" w:rsidRDefault="00000000" w:rsidP="004E45BC">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En Perú, el aborto está permitido únicamente cuando la vida o salud de la mujer está en riesgo grave y permanente</w:t>
      </w:r>
      <w:r w:rsidR="00890C15">
        <w:rPr>
          <w:rStyle w:val="EndnoteReference"/>
          <w:rFonts w:ascii="Cambria" w:eastAsia="Cambria" w:hAnsi="Cambria" w:cs="Cambria"/>
          <w:color w:val="000000"/>
        </w:rPr>
        <w:endnoteReference w:id="76"/>
      </w:r>
      <w:r>
        <w:rPr>
          <w:rFonts w:ascii="Cambria" w:eastAsia="Cambria" w:hAnsi="Cambria" w:cs="Cambria"/>
          <w:color w:val="000000"/>
        </w:rPr>
        <w:t xml:space="preserve">, para las otras causales se encuentra penalizado, tales como en el caso de malformaciones congénitas incompatibles con la vida extrauterina, incesto y violación sexual, generando un marco de represión en contra </w:t>
      </w:r>
      <w:r w:rsidRPr="004E45BC">
        <w:rPr>
          <w:rFonts w:ascii="Cambria" w:eastAsia="Cambria" w:hAnsi="Cambria" w:cs="Cambria"/>
          <w:color w:val="000000"/>
        </w:rPr>
        <w:t xml:space="preserve">de las mujeres y en particular de niñas y adolescentes. Si bien el Estado Peruano aprobó el 27 de junio de 2014, la </w:t>
      </w:r>
      <w:r w:rsidRPr="004E45BC">
        <w:rPr>
          <w:rFonts w:ascii="Cambria" w:eastAsia="Cambria" w:hAnsi="Cambria" w:cs="Cambria"/>
          <w:i/>
          <w:color w:val="000000"/>
        </w:rPr>
        <w:t>“Guía Técnica Nacional para la estandarización del procedimiento de la Atención Integral de la gestante en la Interrupción voluntaria por Indicación Terapéutica del Embarazo”</w:t>
      </w:r>
      <w:r w:rsidR="00890C15">
        <w:rPr>
          <w:rStyle w:val="EndnoteReference"/>
          <w:rFonts w:ascii="Cambria" w:eastAsia="Cambria" w:hAnsi="Cambria" w:cs="Cambria"/>
          <w:i/>
          <w:color w:val="000000"/>
        </w:rPr>
        <w:endnoteReference w:id="77"/>
      </w:r>
      <w:r w:rsidRPr="004E45BC">
        <w:rPr>
          <w:rFonts w:ascii="Cambria" w:eastAsia="Cambria" w:hAnsi="Cambria" w:cs="Cambria"/>
          <w:color w:val="000000"/>
        </w:rPr>
        <w:t xml:space="preserve"> (en adelante, </w:t>
      </w:r>
      <w:r w:rsidRPr="004E45BC">
        <w:rPr>
          <w:rFonts w:ascii="Cambria" w:eastAsia="Cambria" w:hAnsi="Cambria" w:cs="Cambria"/>
          <w:i/>
          <w:color w:val="000000"/>
        </w:rPr>
        <w:t>“Guía Técnica”</w:t>
      </w:r>
      <w:r w:rsidRPr="004E45BC">
        <w:rPr>
          <w:rFonts w:ascii="Cambria" w:eastAsia="Cambria" w:hAnsi="Cambria" w:cs="Cambria"/>
          <w:color w:val="000000"/>
        </w:rPr>
        <w:t xml:space="preserve">), sin embargo, la misma, presenta en la práctica varias barreras, </w:t>
      </w:r>
      <w:r w:rsidRPr="004E45BC">
        <w:rPr>
          <w:rFonts w:ascii="Cambria" w:eastAsia="Cambria" w:hAnsi="Cambria" w:cs="Cambria"/>
        </w:rPr>
        <w:t>a pesar de haber transcurrido 100 años desde la adopción del aborto terapéutico</w:t>
      </w:r>
      <w:r w:rsidR="00890C15">
        <w:rPr>
          <w:rStyle w:val="EndnoteReference"/>
          <w:rFonts w:ascii="Cambria" w:eastAsia="Cambria" w:hAnsi="Cambria" w:cs="Cambria"/>
        </w:rPr>
        <w:endnoteReference w:id="78"/>
      </w:r>
      <w:r w:rsidRPr="004E45BC">
        <w:rPr>
          <w:rFonts w:ascii="Cambria" w:eastAsia="Cambria" w:hAnsi="Cambria" w:cs="Cambria"/>
          <w:color w:val="000000"/>
        </w:rPr>
        <w:t>.</w:t>
      </w:r>
    </w:p>
    <w:p w14:paraId="00000056" w14:textId="77777777" w:rsidR="00D62E76" w:rsidRDefault="00D62E76">
      <w:pPr>
        <w:pBdr>
          <w:top w:val="nil"/>
          <w:left w:val="nil"/>
          <w:bottom w:val="nil"/>
          <w:right w:val="nil"/>
          <w:between w:val="nil"/>
        </w:pBdr>
        <w:ind w:left="720"/>
        <w:rPr>
          <w:rFonts w:ascii="Cambria" w:eastAsia="Cambria" w:hAnsi="Cambria" w:cs="Cambria"/>
          <w:color w:val="000000"/>
        </w:rPr>
      </w:pPr>
    </w:p>
    <w:p w14:paraId="00000057" w14:textId="2C2B3AB0"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Asimismo, el Comité mostró su preocupación por </w:t>
      </w:r>
      <w:r>
        <w:rPr>
          <w:rFonts w:ascii="Cambria" w:eastAsia="Cambria" w:hAnsi="Cambria" w:cs="Cambria"/>
          <w:i/>
          <w:color w:val="000000"/>
        </w:rPr>
        <w:t>“el hecho que el aborto sea ilegal en casos de violación o incesto y la interpretación restrictiva del aborto terapéutico, situación que obliga a las niñas a recurrir a abortos peligrosos con riesgo para su salud y para su vida”</w:t>
      </w:r>
      <w:r w:rsidR="00890C15">
        <w:rPr>
          <w:rStyle w:val="EndnoteReference"/>
          <w:rFonts w:ascii="Cambria" w:eastAsia="Cambria" w:hAnsi="Cambria" w:cs="Cambria"/>
          <w:i/>
          <w:color w:val="000000"/>
        </w:rPr>
        <w:endnoteReference w:id="79"/>
      </w:r>
      <w:r>
        <w:rPr>
          <w:rFonts w:ascii="Cambria" w:eastAsia="Cambria" w:hAnsi="Cambria" w:cs="Cambria"/>
          <w:color w:val="000000"/>
        </w:rPr>
        <w:t xml:space="preserve">. En junio de 2023, el Comité </w:t>
      </w:r>
      <w:r>
        <w:rPr>
          <w:rFonts w:ascii="Cambria" w:eastAsia="Cambria" w:hAnsi="Cambria" w:cs="Cambria"/>
        </w:rPr>
        <w:t>declaró</w:t>
      </w:r>
      <w:r>
        <w:rPr>
          <w:rFonts w:ascii="Cambria" w:eastAsia="Cambria" w:hAnsi="Cambria" w:cs="Cambria"/>
          <w:color w:val="000000"/>
        </w:rPr>
        <w:t xml:space="preserve"> responsable al Estado peruano por las vulneraciones a los derechos de Camila (</w:t>
      </w:r>
      <w:r w:rsidRPr="00890C15">
        <w:rPr>
          <w:rFonts w:ascii="Cambria" w:eastAsia="Cambria" w:hAnsi="Cambria" w:cs="Cambria"/>
          <w:i/>
          <w:iCs/>
          <w:color w:val="000000"/>
        </w:rPr>
        <w:t>caso de Camila vs. Perú</w:t>
      </w:r>
      <w:r>
        <w:rPr>
          <w:rFonts w:ascii="Cambria" w:eastAsia="Cambria" w:hAnsi="Cambria" w:cs="Cambria"/>
          <w:color w:val="000000"/>
        </w:rPr>
        <w:t>)</w:t>
      </w:r>
      <w:r w:rsidR="00890C15">
        <w:rPr>
          <w:rStyle w:val="EndnoteReference"/>
          <w:rFonts w:ascii="Cambria" w:eastAsia="Cambria" w:hAnsi="Cambria" w:cs="Cambria"/>
          <w:color w:val="000000"/>
        </w:rPr>
        <w:endnoteReference w:id="80"/>
      </w:r>
      <w:r>
        <w:rPr>
          <w:rFonts w:ascii="Cambria" w:eastAsia="Cambria" w:hAnsi="Cambria" w:cs="Cambria"/>
          <w:color w:val="000000"/>
        </w:rPr>
        <w:t>, En el dictamen dispuso una serie de reparaciones vinculadas con la modificación de la Guía Técnica, al respecto, el Comité expresamente, señaló:</w:t>
      </w:r>
    </w:p>
    <w:p w14:paraId="00000058" w14:textId="77777777" w:rsidR="00D62E76" w:rsidRDefault="00D62E76">
      <w:pPr>
        <w:spacing w:line="276" w:lineRule="auto"/>
        <w:jc w:val="both"/>
        <w:rPr>
          <w:rFonts w:ascii="Cambria" w:eastAsia="Cambria" w:hAnsi="Cambria" w:cs="Cambria"/>
          <w:color w:val="000000"/>
        </w:rPr>
      </w:pPr>
    </w:p>
    <w:p w14:paraId="00000059" w14:textId="77777777" w:rsidR="00D62E76" w:rsidRDefault="00000000">
      <w:pPr>
        <w:pBdr>
          <w:top w:val="nil"/>
          <w:left w:val="nil"/>
          <w:bottom w:val="nil"/>
          <w:right w:val="nil"/>
          <w:between w:val="nil"/>
        </w:pBdr>
        <w:spacing w:line="276" w:lineRule="auto"/>
        <w:ind w:left="1260"/>
        <w:jc w:val="both"/>
        <w:rPr>
          <w:rFonts w:ascii="Cambria" w:eastAsia="Cambria" w:hAnsi="Cambria" w:cs="Cambria"/>
          <w:i/>
          <w:color w:val="000000"/>
        </w:rPr>
      </w:pPr>
      <w:r>
        <w:rPr>
          <w:rFonts w:ascii="Cambria" w:eastAsia="Cambria" w:hAnsi="Cambria" w:cs="Cambria"/>
          <w:i/>
          <w:color w:val="000000"/>
        </w:rPr>
        <w:t xml:space="preserve">“[…]b) asegurar el acceso a servicios de aborto seguro y cuidados postaborto para las niñas gestantes, en particular en los casos de riesgo a la vida y salud de la madre, violación o incesto; </w:t>
      </w:r>
    </w:p>
    <w:p w14:paraId="0000005A" w14:textId="77777777" w:rsidR="00D62E76" w:rsidRDefault="00000000">
      <w:pPr>
        <w:pBdr>
          <w:top w:val="nil"/>
          <w:left w:val="nil"/>
          <w:bottom w:val="nil"/>
          <w:right w:val="nil"/>
          <w:between w:val="nil"/>
        </w:pBdr>
        <w:spacing w:line="276" w:lineRule="auto"/>
        <w:ind w:left="1260"/>
        <w:jc w:val="both"/>
        <w:rPr>
          <w:rFonts w:ascii="Cambria" w:eastAsia="Cambria" w:hAnsi="Cambria" w:cs="Cambria"/>
          <w:i/>
          <w:color w:val="000000"/>
        </w:rPr>
      </w:pPr>
      <w:r>
        <w:rPr>
          <w:rFonts w:ascii="Cambria" w:eastAsia="Cambria" w:hAnsi="Cambria" w:cs="Cambria"/>
          <w:i/>
          <w:color w:val="000000"/>
        </w:rPr>
        <w:t xml:space="preserve">c) modificar la normativa reguladora del acceso al aborto terapéutico [Guía Técnica] para prever su aplicación específica en las niñas y asegurar, en particular, la debida consideración al especial riesgo para la salud y la vida que entraña el embarazo infantil; </w:t>
      </w:r>
    </w:p>
    <w:p w14:paraId="0000005B" w14:textId="68139A77" w:rsidR="00D62E76" w:rsidRDefault="00000000">
      <w:pPr>
        <w:pBdr>
          <w:top w:val="nil"/>
          <w:left w:val="nil"/>
          <w:bottom w:val="nil"/>
          <w:right w:val="nil"/>
          <w:between w:val="nil"/>
        </w:pBdr>
        <w:spacing w:line="276" w:lineRule="auto"/>
        <w:ind w:left="1260"/>
        <w:jc w:val="both"/>
        <w:rPr>
          <w:rFonts w:ascii="Cambria" w:eastAsia="Cambria" w:hAnsi="Cambria" w:cs="Cambria"/>
          <w:i/>
          <w:color w:val="000000"/>
        </w:rPr>
      </w:pPr>
      <w:r>
        <w:rPr>
          <w:rFonts w:ascii="Cambria" w:eastAsia="Cambria" w:hAnsi="Cambria" w:cs="Cambria"/>
          <w:i/>
          <w:color w:val="000000"/>
        </w:rPr>
        <w:t>d) establecer un recurso claro y expedito en caso de incumplimiento del procedimiento de la Guía Técnica relativo al acceso a la interrupción voluntaria del embarazo, y asegurar la rendición de cuentas por dicho incumplimiento [...]”</w:t>
      </w:r>
      <w:r w:rsidR="00890C15">
        <w:rPr>
          <w:rStyle w:val="EndnoteReference"/>
          <w:rFonts w:ascii="Cambria" w:eastAsia="Cambria" w:hAnsi="Cambria" w:cs="Cambria"/>
          <w:i/>
          <w:color w:val="000000"/>
        </w:rPr>
        <w:endnoteReference w:id="81"/>
      </w:r>
      <w:r>
        <w:rPr>
          <w:rFonts w:ascii="Cambria" w:eastAsia="Cambria" w:hAnsi="Cambria" w:cs="Cambria"/>
          <w:i/>
          <w:color w:val="000000"/>
        </w:rPr>
        <w:t xml:space="preserve">. </w:t>
      </w:r>
    </w:p>
    <w:p w14:paraId="0000005C" w14:textId="77777777" w:rsidR="00D62E76" w:rsidRDefault="00D62E76">
      <w:pPr>
        <w:pBdr>
          <w:top w:val="nil"/>
          <w:left w:val="nil"/>
          <w:bottom w:val="nil"/>
          <w:right w:val="nil"/>
          <w:between w:val="nil"/>
        </w:pBdr>
        <w:spacing w:line="276" w:lineRule="auto"/>
        <w:jc w:val="both"/>
        <w:rPr>
          <w:rFonts w:ascii="Cambria" w:eastAsia="Cambria" w:hAnsi="Cambria" w:cs="Cambria"/>
          <w:color w:val="000000"/>
        </w:rPr>
      </w:pPr>
    </w:p>
    <w:p w14:paraId="1B36A9CC" w14:textId="77777777" w:rsidR="004E45BC" w:rsidRPr="004E45BC" w:rsidRDefault="00000000" w:rsidP="004E45BC">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Hasta la actualidad, el Estado no ha dado cumplimiento a las reparaciones dictadas</w:t>
      </w:r>
      <w:r w:rsidR="00890C15">
        <w:rPr>
          <w:rStyle w:val="EndnoteReference"/>
          <w:rFonts w:ascii="Cambria" w:eastAsia="Cambria" w:hAnsi="Cambria" w:cs="Cambria"/>
          <w:color w:val="000000"/>
        </w:rPr>
        <w:endnoteReference w:id="82"/>
      </w:r>
      <w:r>
        <w:rPr>
          <w:rFonts w:ascii="Cambria" w:eastAsia="Cambria" w:hAnsi="Cambria" w:cs="Cambria"/>
          <w:color w:val="000000"/>
        </w:rPr>
        <w:t xml:space="preserve"> y en la práctica aun representa un desafío el acceso al aborto terapéutico</w:t>
      </w:r>
      <w:r>
        <w:rPr>
          <w:rFonts w:ascii="Cambria" w:eastAsia="Cambria" w:hAnsi="Cambria" w:cs="Cambria"/>
        </w:rPr>
        <w:t>, en particular en zonas rurales e indígenas</w:t>
      </w:r>
      <w:r>
        <w:rPr>
          <w:rFonts w:ascii="Cambria" w:eastAsia="Cambria" w:hAnsi="Cambria" w:cs="Cambria"/>
          <w:color w:val="000000"/>
        </w:rPr>
        <w:t>.  A esto se suma la ausencia de información desagregada y actualizada sobre cuántas mujeres acceden al aborto terapéutico</w:t>
      </w:r>
      <w:r w:rsidR="00890C15">
        <w:rPr>
          <w:rStyle w:val="EndnoteReference"/>
          <w:rFonts w:ascii="Cambria" w:eastAsia="Cambria" w:hAnsi="Cambria" w:cs="Cambria"/>
          <w:color w:val="000000"/>
        </w:rPr>
        <w:endnoteReference w:id="83"/>
      </w:r>
      <w:r>
        <w:rPr>
          <w:rFonts w:ascii="Cambria" w:eastAsia="Cambria" w:hAnsi="Cambria" w:cs="Cambria"/>
          <w:color w:val="000000"/>
        </w:rPr>
        <w:t xml:space="preserve">, la información obtenida se debe en suma a los esfuerzos realizados por sociedad civil entre otros. De acuerdo con el estudio exploratorio “Abortos terapéuticos realizados en el Perú entre el 2014 y 2023”, 3 846 casos de aborto terapéutico fueron reportados </w:t>
      </w:r>
    </w:p>
    <w:p w14:paraId="3A46DA6F" w14:textId="77777777" w:rsidR="004E45BC" w:rsidRPr="004E45BC" w:rsidRDefault="004E45BC" w:rsidP="004E45BC">
      <w:pPr>
        <w:pBdr>
          <w:top w:val="nil"/>
          <w:left w:val="nil"/>
          <w:bottom w:val="nil"/>
          <w:right w:val="nil"/>
          <w:between w:val="nil"/>
        </w:pBdr>
        <w:spacing w:line="276" w:lineRule="auto"/>
        <w:ind w:left="720"/>
        <w:jc w:val="both"/>
        <w:rPr>
          <w:rFonts w:ascii="Cambria" w:eastAsia="Cambria" w:hAnsi="Cambria" w:cs="Cambria"/>
        </w:rPr>
      </w:pPr>
    </w:p>
    <w:p w14:paraId="0000005D" w14:textId="1B1CC88F" w:rsidR="00D62E76" w:rsidRPr="004E45BC" w:rsidRDefault="00000000" w:rsidP="004E45BC">
      <w:pPr>
        <w:pBdr>
          <w:top w:val="nil"/>
          <w:left w:val="nil"/>
          <w:bottom w:val="nil"/>
          <w:right w:val="nil"/>
          <w:between w:val="nil"/>
        </w:pBdr>
        <w:spacing w:line="276" w:lineRule="auto"/>
        <w:ind w:left="720"/>
        <w:jc w:val="both"/>
        <w:rPr>
          <w:rFonts w:ascii="Cambria" w:eastAsia="Cambria" w:hAnsi="Cambria" w:cs="Cambria"/>
        </w:rPr>
      </w:pPr>
      <w:r>
        <w:rPr>
          <w:rFonts w:ascii="Cambria" w:eastAsia="Cambria" w:hAnsi="Cambria" w:cs="Cambria"/>
          <w:color w:val="000000"/>
        </w:rPr>
        <w:t xml:space="preserve">a nivel nacional, en 3347 se practicó el aborto terapéutico. Si bien no se observa una tendencia general clara en el índice de casos de aborto terapéutico en el periodo estudiado, se muestra un aumento de casos de 350 casos en el 2014 a 513 en </w:t>
      </w:r>
      <w:r w:rsidRPr="004E45BC">
        <w:rPr>
          <w:rFonts w:ascii="Cambria" w:eastAsia="Cambria" w:hAnsi="Cambria" w:cs="Cambria"/>
          <w:color w:val="000000"/>
        </w:rPr>
        <w:t>2023</w:t>
      </w:r>
      <w:r w:rsidR="00890C15">
        <w:rPr>
          <w:rStyle w:val="EndnoteReference"/>
          <w:rFonts w:ascii="Cambria" w:eastAsia="Cambria" w:hAnsi="Cambria" w:cs="Cambria"/>
          <w:color w:val="000000"/>
        </w:rPr>
        <w:endnoteReference w:id="84"/>
      </w:r>
      <w:r w:rsidRPr="004E45BC">
        <w:rPr>
          <w:rFonts w:ascii="Cambria" w:eastAsia="Cambria" w:hAnsi="Cambria" w:cs="Cambria"/>
          <w:color w:val="000000"/>
        </w:rPr>
        <w:t>. Mientras que Minsa, reportó que entre 2018 y 2020, 226 mujeres que accedieron a una interrupción del embarazo por indicación terapéutica, de los cuales 17 fueron practicados a mujeres menores de 20 años</w:t>
      </w:r>
      <w:r w:rsidR="00890C15">
        <w:rPr>
          <w:rStyle w:val="EndnoteReference"/>
          <w:rFonts w:ascii="Cambria" w:eastAsia="Cambria" w:hAnsi="Cambria" w:cs="Cambria"/>
          <w:color w:val="000000"/>
        </w:rPr>
        <w:endnoteReference w:id="85"/>
      </w:r>
      <w:r w:rsidRPr="004E45BC">
        <w:rPr>
          <w:rFonts w:ascii="Cambria" w:eastAsia="Cambria" w:hAnsi="Cambria" w:cs="Cambria"/>
          <w:color w:val="000000"/>
        </w:rPr>
        <w:t>. Y entre julio de 2014 al 2016, el número de mujeres que accedieron a una interrupción del embarazo por indicación terapéutica fue: 153 en el 2014, 453 en el 2015</w:t>
      </w:r>
      <w:r w:rsidR="00890C15">
        <w:rPr>
          <w:rStyle w:val="EndnoteReference"/>
          <w:rFonts w:ascii="Cambria" w:eastAsia="Cambria" w:hAnsi="Cambria" w:cs="Cambria"/>
          <w:color w:val="000000"/>
        </w:rPr>
        <w:endnoteReference w:id="86"/>
      </w:r>
      <w:r w:rsidRPr="004E45BC">
        <w:rPr>
          <w:rFonts w:ascii="Cambria" w:eastAsia="Cambria" w:hAnsi="Cambria" w:cs="Cambria"/>
          <w:color w:val="000000"/>
        </w:rPr>
        <w:t xml:space="preserve"> y 311 en el 2016</w:t>
      </w:r>
      <w:r w:rsidR="00890C15">
        <w:rPr>
          <w:rStyle w:val="EndnoteReference"/>
          <w:rFonts w:ascii="Cambria" w:eastAsia="Cambria" w:hAnsi="Cambria" w:cs="Cambria"/>
          <w:color w:val="000000"/>
        </w:rPr>
        <w:endnoteReference w:id="87"/>
      </w:r>
      <w:r w:rsidRPr="004E45BC">
        <w:rPr>
          <w:rFonts w:ascii="Cambria" w:eastAsia="Cambria" w:hAnsi="Cambria" w:cs="Cambria"/>
          <w:color w:val="000000"/>
        </w:rPr>
        <w:t>.</w:t>
      </w:r>
    </w:p>
    <w:p w14:paraId="0000005E" w14:textId="77777777" w:rsidR="00D62E76" w:rsidRDefault="00D62E76">
      <w:pPr>
        <w:pBdr>
          <w:top w:val="nil"/>
          <w:left w:val="nil"/>
          <w:bottom w:val="nil"/>
          <w:right w:val="nil"/>
          <w:between w:val="nil"/>
        </w:pBdr>
        <w:spacing w:line="276" w:lineRule="auto"/>
        <w:ind w:left="720"/>
        <w:jc w:val="both"/>
        <w:rPr>
          <w:rFonts w:ascii="Cambria" w:eastAsia="Cambria" w:hAnsi="Cambria" w:cs="Cambria"/>
        </w:rPr>
      </w:pPr>
    </w:p>
    <w:p w14:paraId="0000005F" w14:textId="5336788C"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rPr>
        <w:t>Además, el acceso al aborto terapéutico, está siendo amenazado por congresistas que buscan limitar su aplicación con intervenciones indebidas a centros médicos que aplican este protocolo</w:t>
      </w:r>
      <w:r w:rsidR="00890C15">
        <w:rPr>
          <w:rStyle w:val="EndnoteReference"/>
          <w:rFonts w:ascii="Cambria" w:eastAsia="Cambria" w:hAnsi="Cambria" w:cs="Cambria"/>
        </w:rPr>
        <w:endnoteReference w:id="88"/>
      </w:r>
      <w:r>
        <w:rPr>
          <w:rFonts w:ascii="Cambria" w:eastAsia="Cambria" w:hAnsi="Cambria" w:cs="Cambria"/>
        </w:rPr>
        <w:t xml:space="preserve">. Esta situación afecta el derecho a la salud integral, que incluye tanto la salud física como mental, y está consagrado en la Constitución Política y en los tratados internacionales de derechos humanos ratificados por el Estado peruano. Este derecho incluye la prevención de afectaciones a la salud física y mental, tal como lo ha desarrollado en su amplia jurisprudencia el Tribunal Constitucional, el cual establece que el derecho a la salud implica </w:t>
      </w:r>
      <w:r>
        <w:rPr>
          <w:rFonts w:ascii="Cambria" w:eastAsia="Cambria" w:hAnsi="Cambria" w:cs="Cambria"/>
          <w:i/>
        </w:rPr>
        <w:t>“mantener el estado de normalidad orgánica funcional, tanto física como mental, y de restablecerse cuando se presente una perturbación en la estabilidad orgánica y funcional de su ser, lo que implica, por tanto, una acción de conservación y otra de restablecimiento</w:t>
      </w:r>
      <w:r w:rsidR="00890C15">
        <w:rPr>
          <w:rFonts w:ascii="Cambria" w:eastAsia="Cambria" w:hAnsi="Cambria" w:cs="Cambria"/>
          <w:i/>
          <w:vertAlign w:val="superscript"/>
        </w:rPr>
        <w:t>”</w:t>
      </w:r>
      <w:r w:rsidR="00890C15">
        <w:rPr>
          <w:rStyle w:val="EndnoteReference"/>
          <w:rFonts w:ascii="Cambria" w:eastAsia="Cambria" w:hAnsi="Cambria" w:cs="Cambria"/>
          <w:i/>
        </w:rPr>
        <w:endnoteReference w:id="89"/>
      </w:r>
      <w:r>
        <w:rPr>
          <w:rFonts w:ascii="Cambria" w:eastAsia="Cambria" w:hAnsi="Cambria" w:cs="Cambria"/>
        </w:rPr>
        <w:t xml:space="preserve"> (fundamento 6, Exp. Nº 3208-2004-AA/TC)</w:t>
      </w:r>
      <w:r>
        <w:rPr>
          <w:rFonts w:ascii="Cambria" w:eastAsia="Cambria" w:hAnsi="Cambria" w:cs="Cambria"/>
          <w:sz w:val="16"/>
          <w:szCs w:val="16"/>
        </w:rPr>
        <w:t>.</w:t>
      </w:r>
    </w:p>
    <w:p w14:paraId="00000060" w14:textId="77777777" w:rsidR="00D62E76" w:rsidRDefault="00D62E76">
      <w:pPr>
        <w:pBdr>
          <w:top w:val="nil"/>
          <w:left w:val="nil"/>
          <w:bottom w:val="nil"/>
          <w:right w:val="nil"/>
          <w:between w:val="nil"/>
        </w:pBdr>
        <w:ind w:left="720"/>
        <w:rPr>
          <w:rFonts w:ascii="Cambria" w:eastAsia="Cambria" w:hAnsi="Cambria" w:cs="Cambria"/>
        </w:rPr>
      </w:pPr>
    </w:p>
    <w:p w14:paraId="00000061" w14:textId="6491C868"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A esto se suma, la criminalización de las mujeres por aborto y, que en su oportunidad el ilustre Comité hizo el llamado al Estado</w:t>
      </w:r>
      <w:r>
        <w:rPr>
          <w:rFonts w:ascii="Cambria" w:eastAsia="Cambria" w:hAnsi="Cambria" w:cs="Cambria"/>
        </w:rPr>
        <w:t xml:space="preserve"> por</w:t>
      </w:r>
      <w:r>
        <w:rPr>
          <w:rFonts w:ascii="Cambria" w:eastAsia="Cambria" w:hAnsi="Cambria" w:cs="Cambria"/>
          <w:color w:val="000000"/>
        </w:rPr>
        <w:t xml:space="preserve"> su prohibición absoluta</w:t>
      </w:r>
      <w:r w:rsidR="00890C15">
        <w:rPr>
          <w:rStyle w:val="EndnoteReference"/>
          <w:rFonts w:ascii="Cambria" w:eastAsia="Cambria" w:hAnsi="Cambria" w:cs="Cambria"/>
          <w:color w:val="000000"/>
        </w:rPr>
        <w:endnoteReference w:id="90"/>
      </w:r>
      <w:r>
        <w:rPr>
          <w:rFonts w:ascii="Cambria" w:eastAsia="Cambria" w:hAnsi="Cambria" w:cs="Cambria"/>
          <w:color w:val="000000"/>
        </w:rPr>
        <w:t>. Además de disposiciones inconstitucionales como el artículo 30 de la Ley General de Salud (LGS)</w:t>
      </w:r>
      <w:r w:rsidR="00890C15">
        <w:rPr>
          <w:rStyle w:val="EndnoteReference"/>
          <w:rFonts w:ascii="Cambria" w:eastAsia="Cambria" w:hAnsi="Cambria" w:cs="Cambria"/>
          <w:color w:val="000000"/>
        </w:rPr>
        <w:endnoteReference w:id="91"/>
      </w:r>
      <w:r>
        <w:rPr>
          <w:rFonts w:ascii="Cambria" w:eastAsia="Cambria" w:hAnsi="Cambria" w:cs="Cambria"/>
          <w:color w:val="000000"/>
        </w:rPr>
        <w:t>, no existe en el país un registro oficial accesible y actualizado de las personas encarceladas por aborto desagregado por edad y ubicación geográfica. Es importante acotar que la persecu</w:t>
      </w:r>
      <w:r>
        <w:rPr>
          <w:rFonts w:ascii="Cambria" w:eastAsia="Cambria" w:hAnsi="Cambria" w:cs="Cambria"/>
        </w:rPr>
        <w:t xml:space="preserve">ción y/o criminalización genera un efecto disuasivo y amedrentador </w:t>
      </w:r>
      <w:r w:rsidRPr="001F178B">
        <w:rPr>
          <w:rFonts w:ascii="Cambria" w:eastAsia="Cambria" w:hAnsi="Cambria" w:cs="Cambria"/>
          <w:i/>
          <w:iCs/>
        </w:rPr>
        <w:t>per se</w:t>
      </w:r>
      <w:r>
        <w:rPr>
          <w:rFonts w:ascii="Cambria" w:eastAsia="Cambria" w:hAnsi="Cambria" w:cs="Cambria"/>
        </w:rPr>
        <w:t xml:space="preserve"> para las mujeres, en particular adolescentes que quisieran acceder al aborto. </w:t>
      </w:r>
      <w:r>
        <w:rPr>
          <w:rFonts w:ascii="Cambria" w:eastAsia="Cambria" w:hAnsi="Cambria" w:cs="Cambria"/>
          <w:color w:val="000000"/>
        </w:rPr>
        <w:t xml:space="preserve"> </w:t>
      </w:r>
    </w:p>
    <w:p w14:paraId="00000062" w14:textId="77777777" w:rsidR="00D62E76" w:rsidRDefault="00D62E76">
      <w:pPr>
        <w:pBdr>
          <w:top w:val="nil"/>
          <w:left w:val="nil"/>
          <w:bottom w:val="nil"/>
          <w:right w:val="nil"/>
          <w:between w:val="nil"/>
        </w:pBdr>
        <w:ind w:left="720"/>
        <w:rPr>
          <w:rFonts w:ascii="Cambria" w:eastAsia="Cambria" w:hAnsi="Cambria" w:cs="Cambria"/>
          <w:color w:val="000000"/>
        </w:rPr>
      </w:pPr>
    </w:p>
    <w:p w14:paraId="0BE111A4" w14:textId="77777777" w:rsidR="004E45BC" w:rsidRPr="004E45BC"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De la escasa información, el Observatorio de Criminalidad del Ministerio Público durante el periodo 2016-2017, registró 1,158 denuncias contra adolescentes por la presunta comisión del delito de aborto</w:t>
      </w:r>
      <w:r w:rsidR="00890C15">
        <w:rPr>
          <w:rStyle w:val="EndnoteReference"/>
          <w:rFonts w:ascii="Cambria" w:eastAsia="Cambria" w:hAnsi="Cambria" w:cs="Cambria"/>
          <w:color w:val="000000"/>
        </w:rPr>
        <w:endnoteReference w:id="92"/>
      </w:r>
      <w:r>
        <w:rPr>
          <w:rFonts w:ascii="Cambria" w:eastAsia="Cambria" w:hAnsi="Cambria" w:cs="Cambria"/>
          <w:color w:val="000000"/>
        </w:rPr>
        <w:t xml:space="preserve"> y el Poder Judicial, durante el 2017 y 2018, reportó que 231 mujeres mayores de 18 años han sido procesadas por este mismo delito</w:t>
      </w:r>
      <w:r w:rsidR="00890C15">
        <w:rPr>
          <w:rStyle w:val="EndnoteReference"/>
          <w:rFonts w:ascii="Cambria" w:eastAsia="Cambria" w:hAnsi="Cambria" w:cs="Cambria"/>
          <w:color w:val="000000"/>
        </w:rPr>
        <w:endnoteReference w:id="93"/>
      </w:r>
      <w:r>
        <w:rPr>
          <w:rFonts w:ascii="Cambria" w:eastAsia="Cambria" w:hAnsi="Cambria" w:cs="Cambria"/>
          <w:color w:val="000000"/>
        </w:rPr>
        <w:t xml:space="preserve">. Según un reporte periodístico, revisaron 131 sentencias sobre delitos de aborto enviadas por 11 cortes del Poder Judicial e identificaron que entre 2016 y </w:t>
      </w:r>
    </w:p>
    <w:p w14:paraId="546E70C2" w14:textId="77777777" w:rsidR="004E45BC" w:rsidRDefault="004E45BC" w:rsidP="004E45BC">
      <w:pPr>
        <w:pStyle w:val="ListParagraph"/>
        <w:rPr>
          <w:rFonts w:ascii="Cambria" w:eastAsia="Cambria" w:hAnsi="Cambria" w:cs="Cambria"/>
          <w:color w:val="000000"/>
        </w:rPr>
      </w:pPr>
    </w:p>
    <w:p w14:paraId="1493CEAE" w14:textId="77777777" w:rsidR="004E45BC" w:rsidRPr="004E45BC" w:rsidRDefault="004E45BC" w:rsidP="004E45BC">
      <w:pPr>
        <w:pBdr>
          <w:top w:val="nil"/>
          <w:left w:val="nil"/>
          <w:bottom w:val="nil"/>
          <w:right w:val="nil"/>
          <w:between w:val="nil"/>
        </w:pBdr>
        <w:spacing w:line="276" w:lineRule="auto"/>
        <w:ind w:left="720"/>
        <w:jc w:val="both"/>
        <w:rPr>
          <w:rFonts w:ascii="Cambria" w:eastAsia="Cambria" w:hAnsi="Cambria" w:cs="Cambria"/>
        </w:rPr>
      </w:pPr>
    </w:p>
    <w:p w14:paraId="056CA6F5" w14:textId="77777777" w:rsidR="004E45BC" w:rsidRDefault="004E45BC" w:rsidP="004E45BC">
      <w:pPr>
        <w:pStyle w:val="ListParagraph"/>
        <w:rPr>
          <w:rFonts w:ascii="Cambria" w:eastAsia="Cambria" w:hAnsi="Cambria" w:cs="Cambria"/>
          <w:color w:val="000000"/>
        </w:rPr>
      </w:pPr>
    </w:p>
    <w:p w14:paraId="00000063" w14:textId="2BE89473" w:rsidR="00D62E76" w:rsidRDefault="00000000" w:rsidP="004E45BC">
      <w:pPr>
        <w:pBdr>
          <w:top w:val="nil"/>
          <w:left w:val="nil"/>
          <w:bottom w:val="nil"/>
          <w:right w:val="nil"/>
          <w:between w:val="nil"/>
        </w:pBdr>
        <w:spacing w:line="276" w:lineRule="auto"/>
        <w:ind w:left="720"/>
        <w:jc w:val="both"/>
        <w:rPr>
          <w:rFonts w:ascii="Cambria" w:eastAsia="Cambria" w:hAnsi="Cambria" w:cs="Cambria"/>
        </w:rPr>
      </w:pPr>
      <w:r>
        <w:rPr>
          <w:rFonts w:ascii="Cambria" w:eastAsia="Cambria" w:hAnsi="Cambria" w:cs="Cambria"/>
          <w:color w:val="000000"/>
        </w:rPr>
        <w:t>2021, 908 mujeres fueron denunciadas por el delito de auto aborto, y 77 mujeres fueron condenadas</w:t>
      </w:r>
      <w:r w:rsidR="00890C15">
        <w:rPr>
          <w:rStyle w:val="EndnoteReference"/>
          <w:rFonts w:ascii="Cambria" w:eastAsia="Cambria" w:hAnsi="Cambria" w:cs="Cambria"/>
          <w:color w:val="000000"/>
        </w:rPr>
        <w:endnoteReference w:id="94"/>
      </w:r>
      <w:r>
        <w:rPr>
          <w:rFonts w:ascii="Cambria" w:eastAsia="Cambria" w:hAnsi="Cambria" w:cs="Cambria"/>
          <w:color w:val="000000"/>
        </w:rPr>
        <w:t xml:space="preserve">. </w:t>
      </w:r>
    </w:p>
    <w:p w14:paraId="5E320DDD" w14:textId="77777777" w:rsidR="001F178B" w:rsidRDefault="001F178B">
      <w:pPr>
        <w:spacing w:line="276" w:lineRule="auto"/>
        <w:jc w:val="both"/>
        <w:rPr>
          <w:rFonts w:ascii="Cambria" w:eastAsia="Cambria" w:hAnsi="Cambria" w:cs="Cambria"/>
          <w:color w:val="000000"/>
        </w:rPr>
      </w:pPr>
    </w:p>
    <w:p w14:paraId="69130CDF" w14:textId="77777777" w:rsidR="001F178B" w:rsidRDefault="001F178B">
      <w:pPr>
        <w:spacing w:line="276" w:lineRule="auto"/>
        <w:jc w:val="both"/>
        <w:rPr>
          <w:rFonts w:ascii="Cambria" w:eastAsia="Cambria" w:hAnsi="Cambria" w:cs="Cambria"/>
          <w:color w:val="000000"/>
        </w:rPr>
      </w:pPr>
    </w:p>
    <w:p w14:paraId="00000065" w14:textId="77777777" w:rsidR="00D62E76" w:rsidRDefault="00000000">
      <w:pPr>
        <w:numPr>
          <w:ilvl w:val="0"/>
          <w:numId w:val="1"/>
        </w:numPr>
        <w:pBdr>
          <w:top w:val="nil"/>
          <w:left w:val="nil"/>
          <w:bottom w:val="nil"/>
          <w:right w:val="nil"/>
          <w:between w:val="nil"/>
        </w:pBdr>
        <w:spacing w:line="276" w:lineRule="auto"/>
        <w:ind w:left="360" w:hanging="360"/>
        <w:jc w:val="both"/>
        <w:rPr>
          <w:rFonts w:ascii="Cambria" w:eastAsia="Cambria" w:hAnsi="Cambria" w:cs="Cambria"/>
          <w:b/>
          <w:color w:val="000000"/>
        </w:rPr>
      </w:pPr>
      <w:r>
        <w:rPr>
          <w:rFonts w:ascii="Cambria" w:eastAsia="Cambria" w:hAnsi="Cambria" w:cs="Cambria"/>
          <w:b/>
        </w:rPr>
        <w:t>DESAFÍOS</w:t>
      </w:r>
      <w:r>
        <w:rPr>
          <w:rFonts w:ascii="Cambria" w:eastAsia="Cambria" w:hAnsi="Cambria" w:cs="Cambria"/>
          <w:b/>
          <w:color w:val="000000"/>
        </w:rPr>
        <w:t xml:space="preserve"> </w:t>
      </w:r>
      <w:r>
        <w:rPr>
          <w:rFonts w:ascii="Cambria" w:eastAsia="Cambria" w:hAnsi="Cambria" w:cs="Cambria"/>
          <w:b/>
        </w:rPr>
        <w:t xml:space="preserve"> EN EL A</w:t>
      </w:r>
      <w:r>
        <w:rPr>
          <w:rFonts w:ascii="Cambria" w:eastAsia="Cambria" w:hAnsi="Cambria" w:cs="Cambria"/>
          <w:b/>
          <w:color w:val="000000"/>
        </w:rPr>
        <w:t xml:space="preserve">CCESO EFECTIVO A LA </w:t>
      </w:r>
      <w:r>
        <w:rPr>
          <w:rFonts w:ascii="Cambria" w:eastAsia="Cambria" w:hAnsi="Cambria" w:cs="Cambria"/>
          <w:b/>
        </w:rPr>
        <w:t>EDUCACIÓN</w:t>
      </w:r>
      <w:r>
        <w:rPr>
          <w:rFonts w:ascii="Cambria" w:eastAsia="Cambria" w:hAnsi="Cambria" w:cs="Cambria"/>
          <w:b/>
          <w:color w:val="000000"/>
        </w:rPr>
        <w:t xml:space="preserve"> SEXUAL INTEGRAL</w:t>
      </w:r>
    </w:p>
    <w:p w14:paraId="00000066" w14:textId="77777777" w:rsidR="00D62E76" w:rsidRDefault="00D62E76">
      <w:pPr>
        <w:pBdr>
          <w:top w:val="nil"/>
          <w:left w:val="nil"/>
          <w:bottom w:val="nil"/>
          <w:right w:val="nil"/>
          <w:between w:val="nil"/>
        </w:pBdr>
        <w:spacing w:line="276" w:lineRule="auto"/>
        <w:ind w:left="360"/>
        <w:jc w:val="both"/>
        <w:rPr>
          <w:rFonts w:ascii="Cambria" w:eastAsia="Cambria" w:hAnsi="Cambria" w:cs="Cambria"/>
          <w:color w:val="000000"/>
        </w:rPr>
      </w:pPr>
    </w:p>
    <w:p w14:paraId="00000067" w14:textId="77777777" w:rsidR="00D62E76" w:rsidRDefault="00000000">
      <w:pPr>
        <w:numPr>
          <w:ilvl w:val="0"/>
          <w:numId w:val="10"/>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 xml:space="preserve">Vulneración del artículo 28 de la Convención de los Derechos del Niño. Educación Sexual Integral </w:t>
      </w:r>
    </w:p>
    <w:p w14:paraId="00000068" w14:textId="77777777" w:rsidR="00D62E76" w:rsidRDefault="00D62E76">
      <w:pPr>
        <w:spacing w:line="276" w:lineRule="auto"/>
        <w:jc w:val="both"/>
        <w:rPr>
          <w:rFonts w:ascii="Cambria" w:eastAsia="Cambria" w:hAnsi="Cambria" w:cs="Cambria"/>
          <w:color w:val="000000"/>
        </w:rPr>
      </w:pPr>
    </w:p>
    <w:p w14:paraId="00000069" w14:textId="448BE41C"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En las Observaciones Finales y en la Lista de Cuestiones, el Comité ha exhortado al Estado </w:t>
      </w:r>
      <w:r>
        <w:rPr>
          <w:rFonts w:ascii="Cambria" w:eastAsia="Cambria" w:hAnsi="Cambria" w:cs="Cambria"/>
        </w:rPr>
        <w:t>p</w:t>
      </w:r>
      <w:r>
        <w:rPr>
          <w:rFonts w:ascii="Cambria" w:eastAsia="Cambria" w:hAnsi="Cambria" w:cs="Cambria"/>
          <w:color w:val="000000"/>
        </w:rPr>
        <w:t>eruano para que “</w:t>
      </w:r>
      <w:r>
        <w:rPr>
          <w:rFonts w:ascii="Cambria" w:eastAsia="Cambria" w:hAnsi="Cambria" w:cs="Cambria"/>
          <w:i/>
          <w:color w:val="000000"/>
        </w:rPr>
        <w:t>aument[e] el índice de finalización de la enseñanza secundaria, sobre todo en el caso de los niños que viven en zonas rurales, los niños indígenas, los niños afroperuanos, las niñas</w:t>
      </w:r>
      <w:r>
        <w:rPr>
          <w:rFonts w:ascii="Cambria" w:eastAsia="Cambria" w:hAnsi="Cambria" w:cs="Cambria"/>
          <w:color w:val="000000"/>
        </w:rPr>
        <w:t xml:space="preserve"> </w:t>
      </w:r>
      <w:r>
        <w:rPr>
          <w:rFonts w:ascii="Cambria" w:eastAsia="Cambria" w:hAnsi="Cambria" w:cs="Cambria"/>
          <w:i/>
          <w:color w:val="000000"/>
        </w:rPr>
        <w:t>embarazadas y las madres adolescentes”</w:t>
      </w:r>
      <w:r w:rsidR="00890C15">
        <w:rPr>
          <w:rStyle w:val="EndnoteReference"/>
          <w:rFonts w:ascii="Cambria" w:eastAsia="Cambria" w:hAnsi="Cambria" w:cs="Cambria"/>
          <w:i/>
          <w:color w:val="000000"/>
        </w:rPr>
        <w:endnoteReference w:id="95"/>
      </w:r>
      <w:r>
        <w:rPr>
          <w:rFonts w:ascii="Cambria" w:eastAsia="Cambria" w:hAnsi="Cambria" w:cs="Cambria"/>
          <w:color w:val="000000"/>
        </w:rPr>
        <w:t>. Si bien el Estado peruano ha adoptado la Ley 29600, ‘Ley que fomenta la reinserción escolar por embarazo y su reglamento’, todavía las cifras de embarazo adolescente descritas previamente, especialmente en el ámbito rural, muestran una amplia brecha entre la implementaci</w:t>
      </w:r>
      <w:r>
        <w:rPr>
          <w:rFonts w:ascii="Cambria" w:eastAsia="Cambria" w:hAnsi="Cambria" w:cs="Cambria"/>
        </w:rPr>
        <w:t>ón de</w:t>
      </w:r>
      <w:r>
        <w:rPr>
          <w:rFonts w:ascii="Cambria" w:eastAsia="Cambria" w:hAnsi="Cambria" w:cs="Cambria"/>
          <w:color w:val="000000"/>
        </w:rPr>
        <w:t xml:space="preserve"> los lineamientos de la Educación Sexual Integral (ESI) y la realidad.</w:t>
      </w:r>
    </w:p>
    <w:p w14:paraId="0000006A"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0000006B" w14:textId="717C87B7"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Según la ENDES (2022) tenemos un aumento que muestra que, del total de adolescentes de 15 a 19 años de edad, el 9,2% ya estuvo alguna vez embarazada; según área de residencia, el porcentaje de adolescentes alguna vez embarazadas del área rural fue del 18,4%, mientras que en el área urbana fue de 6,8%. Asimismo, </w:t>
      </w:r>
      <w:r>
        <w:rPr>
          <w:rFonts w:ascii="Cambria" w:eastAsia="Cambria" w:hAnsi="Cambria" w:cs="Cambria"/>
          <w:highlight w:val="white"/>
        </w:rPr>
        <w:t>en la ENDES (2023) señaló que el 8,2% de adolescentes en el rango etáreo de 15 a 19 años de edad, ya estuvo alguna vez embarazada (es decir que ya son madres o que están embarazadas por primera vez) y; según el área de residencia, el porcentaje de adolescentes alguna vez embarazadas del área rural (17,1%) fue considerablemente mayor respecto del área urbana (6,1%)</w:t>
      </w:r>
      <w:r w:rsidR="00761529">
        <w:rPr>
          <w:rStyle w:val="EndnoteReference"/>
          <w:rFonts w:ascii="Cambria" w:eastAsia="Cambria" w:hAnsi="Cambria" w:cs="Cambria"/>
          <w:highlight w:val="white"/>
        </w:rPr>
        <w:endnoteReference w:id="96"/>
      </w:r>
      <w:r>
        <w:rPr>
          <w:rFonts w:ascii="Cambria" w:eastAsia="Cambria" w:hAnsi="Cambria" w:cs="Cambria"/>
          <w:highlight w:val="white"/>
        </w:rPr>
        <w:t xml:space="preserve">. </w:t>
      </w:r>
      <w:r>
        <w:rPr>
          <w:rFonts w:ascii="Cambria" w:eastAsia="Cambria" w:hAnsi="Cambria" w:cs="Cambria"/>
          <w:color w:val="000000"/>
        </w:rPr>
        <w:t>Cabe resaltar que estos lineamientos no han significado una implementación mayoritaria en las escuelas del país, mucho menos en las zonas rurales e indígenas. Esto debido principalmente a limitaciones presupuestales e institucionales, así como a la débil respuesta del Estado frente a la oposición de la Iglesia católica y sectores conservadores</w:t>
      </w:r>
      <w:r w:rsidR="00761529">
        <w:rPr>
          <w:rStyle w:val="EndnoteReference"/>
          <w:rFonts w:ascii="Cambria" w:eastAsia="Cambria" w:hAnsi="Cambria" w:cs="Cambria"/>
          <w:color w:val="000000"/>
        </w:rPr>
        <w:endnoteReference w:id="97"/>
      </w:r>
      <w:r>
        <w:rPr>
          <w:rFonts w:ascii="Cambria" w:eastAsia="Cambria" w:hAnsi="Cambria" w:cs="Cambria"/>
          <w:color w:val="000000"/>
        </w:rPr>
        <w:t>.</w:t>
      </w:r>
    </w:p>
    <w:p w14:paraId="0000006C" w14:textId="77777777" w:rsidR="00D62E76" w:rsidRDefault="00D62E76">
      <w:pPr>
        <w:pBdr>
          <w:top w:val="nil"/>
          <w:left w:val="nil"/>
          <w:bottom w:val="nil"/>
          <w:right w:val="nil"/>
          <w:between w:val="nil"/>
        </w:pBdr>
        <w:ind w:left="720"/>
        <w:rPr>
          <w:rFonts w:ascii="Cambria" w:eastAsia="Cambria" w:hAnsi="Cambria" w:cs="Cambria"/>
          <w:color w:val="000000"/>
        </w:rPr>
      </w:pPr>
    </w:p>
    <w:p w14:paraId="22C82E16" w14:textId="77777777" w:rsidR="004E45BC" w:rsidRPr="004E45BC"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En su oportunidad, la Defensoría </w:t>
      </w:r>
      <w:r>
        <w:rPr>
          <w:rFonts w:ascii="Cambria" w:eastAsia="Cambria" w:hAnsi="Cambria" w:cs="Cambria"/>
        </w:rPr>
        <w:t>del Pueblo</w:t>
      </w:r>
      <w:r>
        <w:rPr>
          <w:rFonts w:ascii="Cambria" w:eastAsia="Cambria" w:hAnsi="Cambria" w:cs="Cambria"/>
          <w:color w:val="000000"/>
        </w:rPr>
        <w:t xml:space="preserve"> ha reiterado al Estado peruano, garantizar una adecuada implementación de la ESI desde la escuela</w:t>
      </w:r>
      <w:r w:rsidR="00761529">
        <w:rPr>
          <w:rStyle w:val="EndnoteReference"/>
          <w:rFonts w:ascii="Cambria" w:eastAsia="Cambria" w:hAnsi="Cambria" w:cs="Cambria"/>
          <w:color w:val="000000"/>
        </w:rPr>
        <w:endnoteReference w:id="98"/>
      </w:r>
      <w:r>
        <w:rPr>
          <w:rFonts w:ascii="Cambria" w:eastAsia="Cambria" w:hAnsi="Cambria" w:cs="Cambria"/>
          <w:color w:val="000000"/>
        </w:rPr>
        <w:t>, pero todavía su implementación representa un desafío, a pesar de los beneficios que trae consigo para la reducción del  embarazo adolescente. De la experiencia práctica en Manuela</w:t>
      </w:r>
    </w:p>
    <w:p w14:paraId="749CB6D0" w14:textId="77777777" w:rsidR="004E45BC" w:rsidRDefault="004E45BC" w:rsidP="004E45BC">
      <w:pPr>
        <w:pStyle w:val="ListParagraph"/>
        <w:rPr>
          <w:rFonts w:ascii="Cambria" w:eastAsia="Cambria" w:hAnsi="Cambria" w:cs="Cambria"/>
          <w:color w:val="000000"/>
        </w:rPr>
      </w:pPr>
    </w:p>
    <w:p w14:paraId="78482A97" w14:textId="77777777" w:rsidR="004E45BC" w:rsidRPr="004E45BC" w:rsidRDefault="004E45BC" w:rsidP="004E45BC">
      <w:pPr>
        <w:rPr>
          <w:rFonts w:ascii="Cambria" w:eastAsia="Cambria" w:hAnsi="Cambria" w:cs="Cambria"/>
          <w:color w:val="000000"/>
        </w:rPr>
      </w:pPr>
    </w:p>
    <w:p w14:paraId="0000006D" w14:textId="3B1E4BF0" w:rsidR="00D62E76" w:rsidRPr="001F178B" w:rsidRDefault="00000000" w:rsidP="004E45BC">
      <w:pPr>
        <w:pBdr>
          <w:top w:val="nil"/>
          <w:left w:val="nil"/>
          <w:bottom w:val="nil"/>
          <w:right w:val="nil"/>
          <w:between w:val="nil"/>
        </w:pBdr>
        <w:spacing w:line="276" w:lineRule="auto"/>
        <w:ind w:left="720"/>
        <w:jc w:val="both"/>
        <w:rPr>
          <w:rFonts w:ascii="Cambria" w:eastAsia="Cambria" w:hAnsi="Cambria" w:cs="Cambria"/>
        </w:rPr>
      </w:pPr>
      <w:r>
        <w:rPr>
          <w:rFonts w:ascii="Cambria" w:eastAsia="Cambria" w:hAnsi="Cambria" w:cs="Cambria"/>
          <w:color w:val="000000"/>
        </w:rPr>
        <w:t xml:space="preserve"> Ramos, tenemos el caso del Colegio San Fernando de Ucayali, el cual logró reducir un 80% el embarazo adolescente gracias a la implementación de la Educación Sexual Integral en los contenidos de enseñanza, siendo que en 2014 se reportó 25 adolescentes embarazadas y solo 3 casos en el 2019</w:t>
      </w:r>
      <w:r w:rsidR="00761529">
        <w:rPr>
          <w:rStyle w:val="EndnoteReference"/>
          <w:rFonts w:ascii="Cambria" w:eastAsia="Cambria" w:hAnsi="Cambria" w:cs="Cambria"/>
          <w:color w:val="000000"/>
        </w:rPr>
        <w:endnoteReference w:id="99"/>
      </w:r>
      <w:r>
        <w:rPr>
          <w:rFonts w:ascii="Cambria" w:eastAsia="Cambria" w:hAnsi="Cambria" w:cs="Cambria"/>
          <w:color w:val="000000"/>
        </w:rPr>
        <w:t xml:space="preserve">. </w:t>
      </w:r>
    </w:p>
    <w:p w14:paraId="5361ED7A" w14:textId="77777777" w:rsidR="001F178B" w:rsidRDefault="001F178B" w:rsidP="001F178B">
      <w:pPr>
        <w:pStyle w:val="ListParagraph"/>
        <w:rPr>
          <w:rFonts w:ascii="Cambria" w:eastAsia="Cambria" w:hAnsi="Cambria" w:cs="Cambria"/>
        </w:rPr>
      </w:pPr>
    </w:p>
    <w:p w14:paraId="0000006E" w14:textId="77777777" w:rsidR="00D62E76" w:rsidRDefault="00D62E76" w:rsidP="001F178B">
      <w:pPr>
        <w:pBdr>
          <w:top w:val="nil"/>
          <w:left w:val="nil"/>
          <w:bottom w:val="nil"/>
          <w:right w:val="nil"/>
          <w:between w:val="nil"/>
        </w:pBdr>
        <w:rPr>
          <w:rFonts w:ascii="Cambria" w:eastAsia="Cambria" w:hAnsi="Cambria" w:cs="Cambria"/>
          <w:color w:val="000000"/>
        </w:rPr>
      </w:pPr>
    </w:p>
    <w:p w14:paraId="0000006F" w14:textId="0A994DC2"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Por otro lado, el Comité hizo el llamado al Estado </w:t>
      </w:r>
      <w:r>
        <w:rPr>
          <w:rFonts w:ascii="Cambria" w:eastAsia="Cambria" w:hAnsi="Cambria" w:cs="Cambria"/>
        </w:rPr>
        <w:t>peruano p</w:t>
      </w:r>
      <w:r>
        <w:rPr>
          <w:rFonts w:ascii="Cambria" w:eastAsia="Cambria" w:hAnsi="Cambria" w:cs="Cambria"/>
          <w:color w:val="000000"/>
        </w:rPr>
        <w:t xml:space="preserve">ara que proporcione información sobre </w:t>
      </w:r>
      <w:r>
        <w:rPr>
          <w:rFonts w:ascii="Cambria" w:eastAsia="Cambria" w:hAnsi="Cambria" w:cs="Cambria"/>
          <w:i/>
          <w:color w:val="000000"/>
        </w:rPr>
        <w:t>“los casos de intimidación, violencia, abuso sexual y acoso en las escuelas”</w:t>
      </w:r>
      <w:r w:rsidR="00761529">
        <w:rPr>
          <w:rStyle w:val="EndnoteReference"/>
          <w:rFonts w:ascii="Cambria" w:eastAsia="Cambria" w:hAnsi="Cambria" w:cs="Cambria"/>
          <w:i/>
          <w:color w:val="000000"/>
        </w:rPr>
        <w:endnoteReference w:id="100"/>
      </w:r>
      <w:r>
        <w:rPr>
          <w:rFonts w:ascii="Cambria" w:eastAsia="Cambria" w:hAnsi="Cambria" w:cs="Cambria"/>
          <w:i/>
          <w:color w:val="000000"/>
        </w:rPr>
        <w:t>.</w:t>
      </w:r>
      <w:r>
        <w:rPr>
          <w:rFonts w:ascii="Cambria" w:eastAsia="Cambria" w:hAnsi="Cambria" w:cs="Cambria"/>
          <w:color w:val="000000"/>
        </w:rPr>
        <w:t xml:space="preserve"> Sin embargo, el Estado no ha proporcionado información, por el contrario, se ha naturalizado la violencia sexual en contra de NNA en instituciones educativas. Un ejemplo es el caso de Condorcanqui</w:t>
      </w:r>
      <w:r w:rsidR="00761529">
        <w:rPr>
          <w:rStyle w:val="EndnoteReference"/>
          <w:rFonts w:ascii="Cambria" w:eastAsia="Cambria" w:hAnsi="Cambria" w:cs="Cambria"/>
          <w:color w:val="000000"/>
        </w:rPr>
        <w:endnoteReference w:id="101"/>
      </w:r>
      <w:r>
        <w:rPr>
          <w:rFonts w:ascii="Cambria" w:eastAsia="Cambria" w:hAnsi="Cambria" w:cs="Cambria"/>
          <w:color w:val="000000"/>
        </w:rPr>
        <w:t>, una provincia de Amazonas ubicada en la selva peruana, donde s</w:t>
      </w:r>
      <w:r>
        <w:rPr>
          <w:rFonts w:ascii="Cambria" w:eastAsia="Cambria" w:hAnsi="Cambria" w:cs="Cambria"/>
        </w:rPr>
        <w:t>e ha</w:t>
      </w:r>
      <w:r>
        <w:rPr>
          <w:rFonts w:ascii="Cambria" w:eastAsia="Cambria" w:hAnsi="Cambria" w:cs="Cambria"/>
          <w:color w:val="000000"/>
        </w:rPr>
        <w:t xml:space="preserve"> denunciado que, entre el 2010 y</w:t>
      </w:r>
      <w:r>
        <w:rPr>
          <w:rFonts w:ascii="Cambria" w:eastAsia="Cambria" w:hAnsi="Cambria" w:cs="Cambria"/>
        </w:rPr>
        <w:t xml:space="preserve"> noviembre</w:t>
      </w:r>
      <w:r>
        <w:rPr>
          <w:rFonts w:ascii="Cambria" w:eastAsia="Cambria" w:hAnsi="Cambria" w:cs="Cambria"/>
          <w:color w:val="9900FF"/>
        </w:rPr>
        <w:t xml:space="preserve"> </w:t>
      </w:r>
      <w:r>
        <w:rPr>
          <w:rFonts w:ascii="Cambria" w:eastAsia="Cambria" w:hAnsi="Cambria" w:cs="Cambria"/>
          <w:color w:val="000000"/>
        </w:rPr>
        <w:t>de 2024, 564 casos de abuso sexual contra estudiantes por parte de docentes o auxiliares de educación</w:t>
      </w:r>
      <w:r w:rsidR="00761529">
        <w:rPr>
          <w:rStyle w:val="EndnoteReference"/>
          <w:rFonts w:ascii="Cambria" w:eastAsia="Cambria" w:hAnsi="Cambria" w:cs="Cambria"/>
          <w:color w:val="000000"/>
        </w:rPr>
        <w:endnoteReference w:id="102"/>
      </w:r>
      <w:r>
        <w:rPr>
          <w:rFonts w:ascii="Cambria" w:eastAsia="Cambria" w:hAnsi="Cambria" w:cs="Cambria"/>
          <w:color w:val="000000"/>
        </w:rPr>
        <w:t>. No se conoce la cifra exacta de denuncias, porque en el 2022 ocurrió un incendio en la Unidad de Gestión Educativa Local (UGEL)</w:t>
      </w:r>
      <w:r w:rsidR="00761529">
        <w:rPr>
          <w:rStyle w:val="EndnoteReference"/>
          <w:rFonts w:ascii="Cambria" w:eastAsia="Cambria" w:hAnsi="Cambria" w:cs="Cambria"/>
          <w:color w:val="000000"/>
        </w:rPr>
        <w:endnoteReference w:id="103"/>
      </w:r>
      <w:r>
        <w:rPr>
          <w:rFonts w:ascii="Cambria" w:eastAsia="Cambria" w:hAnsi="Cambria" w:cs="Cambria"/>
          <w:color w:val="000000"/>
        </w:rPr>
        <w:t>, que quemó cerca de 600 expedientes de denuncias de agresión sexual entre otros</w:t>
      </w:r>
      <w:r w:rsidR="00761529">
        <w:rPr>
          <w:rStyle w:val="EndnoteReference"/>
          <w:rFonts w:ascii="Cambria" w:eastAsia="Cambria" w:hAnsi="Cambria" w:cs="Cambria"/>
          <w:color w:val="000000"/>
        </w:rPr>
        <w:endnoteReference w:id="104"/>
      </w:r>
      <w:r>
        <w:rPr>
          <w:rFonts w:ascii="Cambria" w:eastAsia="Cambria" w:hAnsi="Cambria" w:cs="Cambria"/>
          <w:color w:val="000000"/>
        </w:rPr>
        <w:t>. En vez de hacer un llamado desde el Ejecutivo para sancionar estas acciones, el ministro de Educación, Morgan Quero, manifestó “que las agresiones sexuales denunciadas contra niñas Awajún pueden ser una práctica cultural que ocurre en los pueblos amazónicos”</w:t>
      </w:r>
      <w:r w:rsidR="00761529">
        <w:rPr>
          <w:rStyle w:val="EndnoteReference"/>
          <w:rFonts w:ascii="Cambria" w:eastAsia="Cambria" w:hAnsi="Cambria" w:cs="Cambria"/>
          <w:color w:val="000000"/>
        </w:rPr>
        <w:endnoteReference w:id="105"/>
      </w:r>
      <w:r>
        <w:rPr>
          <w:rFonts w:ascii="Cambria" w:eastAsia="Cambria" w:hAnsi="Cambria" w:cs="Cambria"/>
          <w:color w:val="000000"/>
        </w:rPr>
        <w:t>.</w:t>
      </w:r>
    </w:p>
    <w:p w14:paraId="00000070" w14:textId="77777777" w:rsidR="00D62E76" w:rsidRDefault="00D62E76">
      <w:pPr>
        <w:pBdr>
          <w:top w:val="nil"/>
          <w:left w:val="nil"/>
          <w:bottom w:val="nil"/>
          <w:right w:val="nil"/>
          <w:between w:val="nil"/>
        </w:pBdr>
        <w:spacing w:line="276" w:lineRule="auto"/>
        <w:ind w:left="720"/>
        <w:jc w:val="both"/>
        <w:rPr>
          <w:rFonts w:ascii="Cambria" w:eastAsia="Cambria" w:hAnsi="Cambria" w:cs="Cambria"/>
        </w:rPr>
      </w:pPr>
    </w:p>
    <w:p w14:paraId="00000071" w14:textId="2D38CF53" w:rsidR="00D62E76" w:rsidRDefault="00000000">
      <w:pPr>
        <w:numPr>
          <w:ilvl w:val="0"/>
          <w:numId w:val="2"/>
        </w:numPr>
        <w:spacing w:line="276" w:lineRule="auto"/>
        <w:jc w:val="both"/>
        <w:rPr>
          <w:rFonts w:ascii="Cambria" w:eastAsia="Cambria" w:hAnsi="Cambria" w:cs="Cambria"/>
        </w:rPr>
      </w:pPr>
      <w:r>
        <w:rPr>
          <w:rFonts w:ascii="Cambria" w:eastAsia="Cambria" w:hAnsi="Cambria" w:cs="Cambria"/>
        </w:rPr>
        <w:t xml:space="preserve">Asimismo, la presidenta del Consejo de Mujeres Awajún ha reportado contagios de VIH por parte de docentes, señaló que </w:t>
      </w:r>
      <w:r w:rsidRPr="001F178B">
        <w:rPr>
          <w:rFonts w:ascii="Cambria" w:eastAsia="Cambria" w:hAnsi="Cambria" w:cs="Cambria"/>
          <w:i/>
          <w:iCs/>
        </w:rPr>
        <w:t>“hay cerca de 60 niñas menores de edad que estan gestando y que además tienen diagnosticado VIH”.</w:t>
      </w:r>
      <w:r>
        <w:rPr>
          <w:rFonts w:ascii="Cambria" w:eastAsia="Cambria" w:hAnsi="Cambria" w:cs="Cambria"/>
        </w:rPr>
        <w:t xml:space="preserve"> A esto se suma que en la zona de Condorcanqui se registraron 222 fallecimientos por complicaciones derivadas del </w:t>
      </w:r>
      <w:r w:rsidR="001F178B">
        <w:rPr>
          <w:rFonts w:ascii="Cambria" w:eastAsia="Cambria" w:hAnsi="Cambria" w:cs="Cambria"/>
        </w:rPr>
        <w:t>S</w:t>
      </w:r>
      <w:r>
        <w:rPr>
          <w:rFonts w:ascii="Cambria" w:eastAsia="Cambria" w:hAnsi="Cambria" w:cs="Cambria"/>
        </w:rPr>
        <w:t>ida, según información de la Red de Salud de la localidad, siendo la comunidad Awajún la más afectada, sobre todo menores de edad</w:t>
      </w:r>
      <w:r w:rsidR="00761529">
        <w:rPr>
          <w:rStyle w:val="EndnoteReference"/>
          <w:rFonts w:ascii="Cambria" w:eastAsia="Cambria" w:hAnsi="Cambria" w:cs="Cambria"/>
        </w:rPr>
        <w:endnoteReference w:id="106"/>
      </w:r>
      <w:r>
        <w:rPr>
          <w:rFonts w:ascii="Cambria" w:eastAsia="Cambria" w:hAnsi="Cambria" w:cs="Cambria"/>
        </w:rPr>
        <w:t xml:space="preserve">. </w:t>
      </w:r>
    </w:p>
    <w:p w14:paraId="00000073" w14:textId="77777777" w:rsidR="00D62E76" w:rsidRDefault="00D62E76" w:rsidP="00761529">
      <w:pPr>
        <w:pBdr>
          <w:top w:val="nil"/>
          <w:left w:val="nil"/>
          <w:bottom w:val="nil"/>
          <w:right w:val="nil"/>
          <w:between w:val="nil"/>
        </w:pBdr>
        <w:rPr>
          <w:rFonts w:ascii="Cambria" w:eastAsia="Cambria" w:hAnsi="Cambria" w:cs="Cambria"/>
          <w:color w:val="000000"/>
        </w:rPr>
      </w:pPr>
    </w:p>
    <w:p w14:paraId="00000074" w14:textId="241A95B1"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La UGEL ha registrado 80 casos de violencia sexual en el 2024 y solo en noviembre se reportó 22 casos de agresión sexual</w:t>
      </w:r>
      <w:r w:rsidR="00761529">
        <w:rPr>
          <w:rStyle w:val="EndnoteReference"/>
          <w:rFonts w:ascii="Cambria" w:eastAsia="Cambria" w:hAnsi="Cambria" w:cs="Cambria"/>
          <w:color w:val="000000"/>
        </w:rPr>
        <w:endnoteReference w:id="107"/>
      </w:r>
      <w:r>
        <w:rPr>
          <w:rFonts w:ascii="Cambria" w:eastAsia="Cambria" w:hAnsi="Cambria" w:cs="Cambria"/>
          <w:color w:val="000000"/>
        </w:rPr>
        <w:t>. Asimismo, se ha reportado que entre 2013 y 2014,</w:t>
      </w:r>
      <w:r>
        <w:rPr>
          <w:rFonts w:ascii="Cambria" w:eastAsia="Cambria" w:hAnsi="Cambria" w:cs="Cambria"/>
        </w:rPr>
        <w:t xml:space="preserve"> al menos 6 niñas, estudiantes de una institución educativa de, Huancasancos, </w:t>
      </w:r>
      <w:r>
        <w:rPr>
          <w:rFonts w:ascii="Cambria" w:eastAsia="Cambria" w:hAnsi="Cambria" w:cs="Cambria"/>
          <w:color w:val="000000"/>
        </w:rPr>
        <w:t>provincia de Huanca</w:t>
      </w:r>
      <w:r>
        <w:rPr>
          <w:rFonts w:ascii="Cambria" w:eastAsia="Cambria" w:hAnsi="Cambria" w:cs="Cambria"/>
        </w:rPr>
        <w:t>s</w:t>
      </w:r>
      <w:r>
        <w:rPr>
          <w:rFonts w:ascii="Cambria" w:eastAsia="Cambria" w:hAnsi="Cambria" w:cs="Cambria"/>
          <w:color w:val="000000"/>
        </w:rPr>
        <w:t>ancos, departamento de Ayacucho, fueron víctimas de violación sexual por parte de un docente, en el lapso de 11 años. A pesar del testimonio de constituirse el delito de violación sexual el Ministerio Público tipificó estas acciones como tocamientos indebidos</w:t>
      </w:r>
      <w:r w:rsidR="00761529">
        <w:rPr>
          <w:rStyle w:val="EndnoteReference"/>
          <w:rFonts w:ascii="Cambria" w:eastAsia="Cambria" w:hAnsi="Cambria" w:cs="Cambria"/>
          <w:color w:val="000000"/>
        </w:rPr>
        <w:endnoteReference w:id="108"/>
      </w:r>
      <w:r>
        <w:rPr>
          <w:rFonts w:ascii="Cambria" w:eastAsia="Cambria" w:hAnsi="Cambria" w:cs="Cambria"/>
          <w:color w:val="000000"/>
        </w:rPr>
        <w:t xml:space="preserve">. Desde Manuela Ramos venimos asesorando este caso y hemos identificado una investigación fiscal con irregularidades. </w:t>
      </w:r>
    </w:p>
    <w:p w14:paraId="00000075" w14:textId="77777777" w:rsidR="00D62E76" w:rsidRDefault="00D62E76">
      <w:pPr>
        <w:pBdr>
          <w:top w:val="nil"/>
          <w:left w:val="nil"/>
          <w:bottom w:val="nil"/>
          <w:right w:val="nil"/>
          <w:between w:val="nil"/>
        </w:pBdr>
        <w:ind w:left="720"/>
        <w:rPr>
          <w:rFonts w:ascii="Cambria" w:eastAsia="Cambria" w:hAnsi="Cambria" w:cs="Cambria"/>
          <w:color w:val="000000"/>
        </w:rPr>
      </w:pPr>
    </w:p>
    <w:p w14:paraId="642692BA" w14:textId="77777777" w:rsidR="004E45BC" w:rsidRPr="004E45BC" w:rsidRDefault="004E45BC" w:rsidP="004E45BC">
      <w:pPr>
        <w:pBdr>
          <w:top w:val="nil"/>
          <w:left w:val="nil"/>
          <w:bottom w:val="nil"/>
          <w:right w:val="nil"/>
          <w:between w:val="nil"/>
        </w:pBdr>
        <w:spacing w:line="276" w:lineRule="auto"/>
        <w:ind w:left="720"/>
        <w:jc w:val="both"/>
        <w:rPr>
          <w:rFonts w:ascii="Cambria" w:eastAsia="Cambria" w:hAnsi="Cambria" w:cs="Cambria"/>
        </w:rPr>
      </w:pPr>
    </w:p>
    <w:p w14:paraId="36D7D6BE" w14:textId="77777777" w:rsidR="004E45BC" w:rsidRDefault="004E45BC" w:rsidP="004E45BC">
      <w:pPr>
        <w:pStyle w:val="ListParagraph"/>
        <w:rPr>
          <w:rFonts w:ascii="Cambria" w:eastAsia="Cambria" w:hAnsi="Cambria" w:cs="Cambria"/>
          <w:color w:val="000000"/>
        </w:rPr>
      </w:pPr>
    </w:p>
    <w:p w14:paraId="00000076" w14:textId="79C8F9A8" w:rsidR="00D62E76" w:rsidRPr="004E45BC" w:rsidRDefault="00000000" w:rsidP="004E45BC">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Además, a pesar de que el Comité hizo el llamado al Estado </w:t>
      </w:r>
      <w:r>
        <w:rPr>
          <w:rFonts w:ascii="Cambria" w:eastAsia="Cambria" w:hAnsi="Cambria" w:cs="Cambria"/>
        </w:rPr>
        <w:t>peruano p</w:t>
      </w:r>
      <w:r>
        <w:rPr>
          <w:rFonts w:ascii="Cambria" w:eastAsia="Cambria" w:hAnsi="Cambria" w:cs="Cambria"/>
          <w:color w:val="000000"/>
        </w:rPr>
        <w:t xml:space="preserve">ara </w:t>
      </w:r>
      <w:r>
        <w:rPr>
          <w:rFonts w:ascii="Cambria" w:eastAsia="Cambria" w:hAnsi="Cambria" w:cs="Cambria"/>
          <w:i/>
          <w:color w:val="000000"/>
        </w:rPr>
        <w:t>“incorporar eficazmente la educación sexual integral en los planes de estudios nacionales, tanto en las escuelas públicas como en las privadas”</w:t>
      </w:r>
      <w:r w:rsidR="00761529">
        <w:rPr>
          <w:rStyle w:val="EndnoteReference"/>
          <w:rFonts w:ascii="Cambria" w:eastAsia="Cambria" w:hAnsi="Cambria" w:cs="Cambria"/>
          <w:i/>
          <w:color w:val="000000"/>
        </w:rPr>
        <w:endnoteReference w:id="109"/>
      </w:r>
      <w:r>
        <w:rPr>
          <w:rFonts w:ascii="Cambria" w:eastAsia="Cambria" w:hAnsi="Cambria" w:cs="Cambria"/>
          <w:color w:val="000000"/>
        </w:rPr>
        <w:t>, su implementación es primordialmente normativa, con el diseño de planes y programas</w:t>
      </w:r>
      <w:r w:rsidR="00761529">
        <w:rPr>
          <w:rStyle w:val="EndnoteReference"/>
          <w:rFonts w:ascii="Cambria" w:eastAsia="Cambria" w:hAnsi="Cambria" w:cs="Cambria"/>
          <w:color w:val="000000"/>
        </w:rPr>
        <w:endnoteReference w:id="110"/>
      </w:r>
      <w:r>
        <w:rPr>
          <w:rFonts w:ascii="Cambria" w:eastAsia="Cambria" w:hAnsi="Cambria" w:cs="Cambria"/>
          <w:color w:val="000000"/>
        </w:rPr>
        <w:t>, pero no se garantiza el acceso efectivo a la ESI en la Educaci</w:t>
      </w:r>
      <w:r>
        <w:rPr>
          <w:rFonts w:ascii="Cambria" w:eastAsia="Cambria" w:hAnsi="Cambria" w:cs="Cambria"/>
        </w:rPr>
        <w:t>ón Básica regular</w:t>
      </w:r>
      <w:r>
        <w:rPr>
          <w:rFonts w:ascii="Cambria" w:eastAsia="Cambria" w:hAnsi="Cambria" w:cs="Cambria"/>
          <w:color w:val="000000"/>
        </w:rPr>
        <w:t>. Al respecto, la Defensoría</w:t>
      </w:r>
      <w:r>
        <w:rPr>
          <w:rFonts w:ascii="Cambria" w:eastAsia="Cambria" w:hAnsi="Cambria" w:cs="Cambria"/>
        </w:rPr>
        <w:t xml:space="preserve"> del Pueblo </w:t>
      </w:r>
      <w:r>
        <w:rPr>
          <w:rFonts w:ascii="Cambria" w:eastAsia="Cambria" w:hAnsi="Cambria" w:cs="Cambria"/>
          <w:color w:val="000000"/>
        </w:rPr>
        <w:t xml:space="preserve">realizó una supervisión a 70 centros educativos sobre el nivel de avance de la ESI, dando como resultado que 21 (35%) instituciones educativas indicaron haber </w:t>
      </w:r>
      <w:r w:rsidRPr="004E45BC">
        <w:rPr>
          <w:rFonts w:ascii="Cambria" w:eastAsia="Cambria" w:hAnsi="Cambria" w:cs="Cambria"/>
          <w:color w:val="000000"/>
        </w:rPr>
        <w:t>recibido capacitación sobre ESI y 39 (65%) no recibieron capacitación</w:t>
      </w:r>
      <w:r w:rsidR="00761529">
        <w:rPr>
          <w:rStyle w:val="EndnoteReference"/>
          <w:rFonts w:ascii="Cambria" w:eastAsia="Cambria" w:hAnsi="Cambria" w:cs="Cambria"/>
          <w:color w:val="000000"/>
        </w:rPr>
        <w:endnoteReference w:id="111"/>
      </w:r>
      <w:r w:rsidRPr="004E45BC">
        <w:rPr>
          <w:rFonts w:ascii="Cambria" w:eastAsia="Cambria" w:hAnsi="Cambria" w:cs="Cambria"/>
          <w:color w:val="000000"/>
        </w:rPr>
        <w:t xml:space="preserve">. </w:t>
      </w:r>
    </w:p>
    <w:p w14:paraId="00000077" w14:textId="77777777" w:rsidR="00D62E76" w:rsidRDefault="00D62E76">
      <w:pPr>
        <w:pBdr>
          <w:top w:val="nil"/>
          <w:left w:val="nil"/>
          <w:bottom w:val="nil"/>
          <w:right w:val="nil"/>
          <w:between w:val="nil"/>
        </w:pBdr>
        <w:ind w:left="720"/>
        <w:rPr>
          <w:rFonts w:ascii="Cambria" w:eastAsia="Cambria" w:hAnsi="Cambria" w:cs="Cambria"/>
          <w:color w:val="000000"/>
        </w:rPr>
      </w:pPr>
    </w:p>
    <w:p w14:paraId="00000078" w14:textId="15A851AE"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 xml:space="preserve"> A esto se suma, la aprobación de leyes regresivas en materia de ESI</w:t>
      </w:r>
      <w:r w:rsidR="00761529">
        <w:rPr>
          <w:rStyle w:val="EndnoteReference"/>
          <w:rFonts w:ascii="Cambria" w:eastAsia="Cambria" w:hAnsi="Cambria" w:cs="Cambria"/>
          <w:color w:val="000000"/>
        </w:rPr>
        <w:endnoteReference w:id="112"/>
      </w:r>
      <w:r>
        <w:rPr>
          <w:rFonts w:ascii="Cambria" w:eastAsia="Cambria" w:hAnsi="Cambria" w:cs="Cambria"/>
          <w:color w:val="000000"/>
        </w:rPr>
        <w:t>. El 23 de junio de 2022, se publicó la Ley N° 31498, “Ley que impulsa la calidad de los materiales y recursos educativos en el Perú”</w:t>
      </w:r>
      <w:r w:rsidR="00761529">
        <w:rPr>
          <w:rStyle w:val="EndnoteReference"/>
          <w:rFonts w:ascii="Cambria" w:eastAsia="Cambria" w:hAnsi="Cambria" w:cs="Cambria"/>
          <w:color w:val="000000"/>
        </w:rPr>
        <w:endnoteReference w:id="113"/>
      </w:r>
      <w:r>
        <w:rPr>
          <w:rFonts w:ascii="Cambria" w:eastAsia="Cambria" w:hAnsi="Cambria" w:cs="Cambria"/>
          <w:color w:val="000000"/>
        </w:rPr>
        <w:t xml:space="preserve"> y el 30 de septiembre de 2023, se aprobó su reglamento, es una norma cuestionada por la Defensoría del Pueblo, el ente rector de educación, el Ministerio de Educación (Minedu) y organizaciones internacionales de derechos humanos</w:t>
      </w:r>
      <w:r w:rsidR="00761529">
        <w:rPr>
          <w:rStyle w:val="EndnoteReference"/>
          <w:rFonts w:ascii="Cambria" w:eastAsia="Cambria" w:hAnsi="Cambria" w:cs="Cambria"/>
          <w:color w:val="000000"/>
        </w:rPr>
        <w:endnoteReference w:id="114"/>
      </w:r>
      <w:r>
        <w:rPr>
          <w:rFonts w:ascii="Cambria" w:eastAsia="Cambria" w:hAnsi="Cambria" w:cs="Cambria"/>
          <w:color w:val="000000"/>
        </w:rPr>
        <w:t>. Esta ley pretende una mayor intervención de asociaciones de padres para intervenir, supervisar,</w:t>
      </w:r>
      <w:r>
        <w:rPr>
          <w:rFonts w:ascii="Cambria" w:eastAsia="Cambria" w:hAnsi="Cambria" w:cs="Cambria"/>
        </w:rPr>
        <w:t xml:space="preserve"> </w:t>
      </w:r>
      <w:r>
        <w:rPr>
          <w:rFonts w:ascii="Cambria" w:eastAsia="Cambria" w:hAnsi="Cambria" w:cs="Cambria"/>
          <w:color w:val="000000"/>
        </w:rPr>
        <w:t xml:space="preserve">reelaborar y vetar el Currículo Nacional de la Educación Básica (CNEB) y documentos educativos y, a su vez, cuestiona las líneas programáticas relacionadas con el enfoque de género y educación sexual integral. </w:t>
      </w:r>
    </w:p>
    <w:p w14:paraId="00000079" w14:textId="77777777" w:rsidR="00D62E76" w:rsidRDefault="00D62E76">
      <w:pPr>
        <w:pBdr>
          <w:top w:val="nil"/>
          <w:left w:val="nil"/>
          <w:bottom w:val="nil"/>
          <w:right w:val="nil"/>
          <w:between w:val="nil"/>
        </w:pBdr>
        <w:ind w:left="720"/>
        <w:rPr>
          <w:rFonts w:ascii="Cambria" w:eastAsia="Cambria" w:hAnsi="Cambria" w:cs="Cambria"/>
        </w:rPr>
      </w:pPr>
    </w:p>
    <w:p w14:paraId="0000007A" w14:textId="77777777"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rPr>
        <w:t>Además de ello, se encuentran en comisiones del Congreso de la República una serie de proyectos de ley que buscan atentar y/o eliminar el derecho a la ESI, como son:</w:t>
      </w:r>
    </w:p>
    <w:p w14:paraId="0000007B" w14:textId="77777777" w:rsidR="00D62E76" w:rsidRDefault="00D62E76">
      <w:pPr>
        <w:pBdr>
          <w:top w:val="nil"/>
          <w:left w:val="nil"/>
          <w:bottom w:val="nil"/>
          <w:right w:val="nil"/>
          <w:between w:val="nil"/>
        </w:pBdr>
        <w:ind w:left="720"/>
        <w:rPr>
          <w:rFonts w:ascii="Cambria" w:eastAsia="Cambria" w:hAnsi="Cambria" w:cs="Cambria"/>
        </w:rPr>
      </w:pPr>
    </w:p>
    <w:p w14:paraId="0000007C" w14:textId="77777777" w:rsidR="00D62E76" w:rsidRDefault="00000000">
      <w:pPr>
        <w:pBdr>
          <w:top w:val="nil"/>
          <w:left w:val="nil"/>
          <w:bottom w:val="nil"/>
          <w:right w:val="nil"/>
          <w:between w:val="nil"/>
        </w:pBdr>
        <w:spacing w:line="276" w:lineRule="auto"/>
        <w:ind w:left="720"/>
        <w:jc w:val="both"/>
        <w:rPr>
          <w:rFonts w:ascii="Cambria" w:eastAsia="Cambria" w:hAnsi="Cambria" w:cs="Cambria"/>
        </w:rPr>
      </w:pPr>
      <w:r>
        <w:rPr>
          <w:rFonts w:ascii="Cambria" w:eastAsia="Cambria" w:hAnsi="Cambria" w:cs="Cambria"/>
        </w:rPr>
        <w:t xml:space="preserve">1) Aprobados en comisiones: </w:t>
      </w:r>
    </w:p>
    <w:p w14:paraId="0000007D" w14:textId="77777777" w:rsidR="00D62E76" w:rsidRDefault="00000000">
      <w:pPr>
        <w:numPr>
          <w:ilvl w:val="0"/>
          <w:numId w:val="7"/>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rPr>
        <w:t xml:space="preserve">Proyecto de Ley N° 7579, que propone la ‘Ley que reconoce el derecho de los padres de familia a elegir la Educación Sexual que reciben sus hijos’, la cual permite a padres, madres y tutores legales exonerar a sus hijos e hijas de cursos que tengan relación con la ESI, lo que pondría en riesgo el acceso de NNA a una educación de calidad, equitativa, laica y basada en la ciencia. </w:t>
      </w:r>
    </w:p>
    <w:p w14:paraId="0000007E" w14:textId="77777777" w:rsidR="00D62E76" w:rsidRDefault="00000000">
      <w:pPr>
        <w:numPr>
          <w:ilvl w:val="0"/>
          <w:numId w:val="7"/>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rPr>
        <w:t xml:space="preserve">Proyecto de Ley N° 7146 que propone la ‘Ley que reconoce y promueve la implementación de la escuela de padres en las instituciones Educativas Públicas y Privadas de la Educación Básica Regular (EBR) y de la Educación Básica Especial (EBE)’, la cual busca prohibir que las escuelas de padres (y madres) puedan capacitarse con organizaciones especializadas en derechos  si es que estas reciben recursos económicos de fuentes cooperantes o de cualquier otra índole, tanto de recursos nacionales como internacionales. </w:t>
      </w:r>
    </w:p>
    <w:p w14:paraId="0000007F" w14:textId="77777777" w:rsidR="00D62E76" w:rsidRDefault="00000000">
      <w:pPr>
        <w:pBdr>
          <w:top w:val="nil"/>
          <w:left w:val="nil"/>
          <w:bottom w:val="nil"/>
          <w:right w:val="nil"/>
          <w:between w:val="nil"/>
        </w:pBdr>
        <w:spacing w:line="276" w:lineRule="auto"/>
        <w:ind w:left="720"/>
        <w:jc w:val="both"/>
        <w:rPr>
          <w:rFonts w:ascii="Cambria" w:eastAsia="Cambria" w:hAnsi="Cambria" w:cs="Cambria"/>
        </w:rPr>
      </w:pPr>
      <w:r>
        <w:rPr>
          <w:rFonts w:ascii="Cambria" w:eastAsia="Cambria" w:hAnsi="Cambria" w:cs="Cambria"/>
        </w:rPr>
        <w:t xml:space="preserve">2) Pendientes de debate en comisiones: </w:t>
      </w:r>
    </w:p>
    <w:p w14:paraId="65EFA43D" w14:textId="77777777" w:rsidR="004E45BC" w:rsidRDefault="00000000">
      <w:pPr>
        <w:numPr>
          <w:ilvl w:val="0"/>
          <w:numId w:val="8"/>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rPr>
        <w:t xml:space="preserve">Proyecto de Ley N° 9174, que plantea eliminar la Educación Sexual Integral (ESI) del currículo escolar en Perú, sustituyéndola por una "Educación Sexual </w:t>
      </w:r>
    </w:p>
    <w:p w14:paraId="08446CCE" w14:textId="77777777" w:rsidR="004E45BC" w:rsidRDefault="004E45BC" w:rsidP="004E45BC">
      <w:pPr>
        <w:pBdr>
          <w:top w:val="nil"/>
          <w:left w:val="nil"/>
          <w:bottom w:val="nil"/>
          <w:right w:val="nil"/>
          <w:between w:val="nil"/>
        </w:pBdr>
        <w:spacing w:line="276" w:lineRule="auto"/>
        <w:ind w:left="1440"/>
        <w:jc w:val="both"/>
        <w:rPr>
          <w:rFonts w:ascii="Cambria" w:eastAsia="Cambria" w:hAnsi="Cambria" w:cs="Cambria"/>
        </w:rPr>
      </w:pPr>
    </w:p>
    <w:p w14:paraId="00000080" w14:textId="357C9A9E" w:rsidR="00D62E76" w:rsidRDefault="00000000" w:rsidP="004E45BC">
      <w:pPr>
        <w:pBdr>
          <w:top w:val="nil"/>
          <w:left w:val="nil"/>
          <w:bottom w:val="nil"/>
          <w:right w:val="nil"/>
          <w:between w:val="nil"/>
        </w:pBdr>
        <w:spacing w:line="276" w:lineRule="auto"/>
        <w:ind w:left="1440"/>
        <w:jc w:val="both"/>
        <w:rPr>
          <w:rFonts w:ascii="Cambria" w:eastAsia="Cambria" w:hAnsi="Cambria" w:cs="Cambria"/>
        </w:rPr>
      </w:pPr>
      <w:r>
        <w:rPr>
          <w:rFonts w:ascii="Cambria" w:eastAsia="Cambria" w:hAnsi="Cambria" w:cs="Cambria"/>
        </w:rPr>
        <w:t xml:space="preserve">Científica Biológica y Ética". La iniciativa busca eliminar el enfoque de género y considera que brindar información sobre diversidad de orientaciones sexuales e identidades de género a edades tempranas puede </w:t>
      </w:r>
      <w:r>
        <w:rPr>
          <w:rFonts w:ascii="Cambria" w:eastAsia="Cambria" w:hAnsi="Cambria" w:cs="Cambria"/>
          <w:i/>
        </w:rPr>
        <w:t>“confundir a los estudiantes”</w:t>
      </w:r>
      <w:r>
        <w:rPr>
          <w:rFonts w:ascii="Cambria" w:eastAsia="Cambria" w:hAnsi="Cambria" w:cs="Cambria"/>
        </w:rPr>
        <w:t>. Además, argumenta que los padres deben tener un papel central en la educación sexual de sus hijos y se aleja de los estándares internacionales sobre ESI.</w:t>
      </w:r>
    </w:p>
    <w:p w14:paraId="7938CDD3" w14:textId="77777777" w:rsidR="001F178B" w:rsidRDefault="001F178B" w:rsidP="001F178B">
      <w:pPr>
        <w:pBdr>
          <w:top w:val="nil"/>
          <w:left w:val="nil"/>
          <w:bottom w:val="nil"/>
          <w:right w:val="nil"/>
          <w:between w:val="nil"/>
        </w:pBdr>
        <w:spacing w:line="276" w:lineRule="auto"/>
        <w:ind w:left="1440"/>
        <w:jc w:val="both"/>
        <w:rPr>
          <w:rFonts w:ascii="Cambria" w:eastAsia="Cambria" w:hAnsi="Cambria" w:cs="Cambria"/>
        </w:rPr>
      </w:pPr>
    </w:p>
    <w:p w14:paraId="00000081" w14:textId="77777777" w:rsidR="00D62E76" w:rsidRDefault="00000000">
      <w:pPr>
        <w:numPr>
          <w:ilvl w:val="0"/>
          <w:numId w:val="8"/>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rPr>
        <w:t>Proyecto de Ley N°8731, que propone la ‘Nueva Ley de Igualdad de Oportunidades entre Mujeres y hombres’ y elimina la palabra género de todas las políticas públicas, cambia la Educación Sexual Integral por “Educación Sexual”, sosteniendo que la integralidad promueve infinidad de géneros. Asimismo, establece la prohibición de capacitación a operadoras/es de derechos por parte de ONGs por supuesto futuro beneficio en procesos judiciales</w:t>
      </w:r>
    </w:p>
    <w:p w14:paraId="00000082" w14:textId="77777777" w:rsidR="00D62E76" w:rsidRDefault="00000000">
      <w:pPr>
        <w:numPr>
          <w:ilvl w:val="0"/>
          <w:numId w:val="8"/>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rPr>
        <w:t>Proyecto de Ley N° 8334, que propone la ‘Ley que modifica el artículo 71 de la Ley General de Educación’, autorizando convenios entre el ministerio de Educación o los Gobiernos Regionales con Iglesias Cristianas Evangélicas para la gestión de Instituciones Educativas Públicas de Educación Básica. Esta iniciativa legislativa busca convenios con Iglesias Cristianas Evangélicas para la gestión de instituciones educativas públicas, iniciativa que prioriza intereses particulares sobre el bienestar general y los derechos de niñas, niños y adolescentes.</w:t>
      </w:r>
    </w:p>
    <w:p w14:paraId="00000083" w14:textId="77777777" w:rsidR="00D62E76" w:rsidRDefault="00D62E76">
      <w:pPr>
        <w:pBdr>
          <w:top w:val="nil"/>
          <w:left w:val="nil"/>
          <w:bottom w:val="nil"/>
          <w:right w:val="nil"/>
          <w:between w:val="nil"/>
        </w:pBdr>
        <w:ind w:left="720"/>
        <w:rPr>
          <w:rFonts w:ascii="Cambria" w:eastAsia="Cambria" w:hAnsi="Cambria" w:cs="Cambria"/>
          <w:color w:val="000000"/>
        </w:rPr>
      </w:pPr>
    </w:p>
    <w:p w14:paraId="00000084" w14:textId="6A62CDCD"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Si bien desde la sociedad civil se promueven acciones para frenar sus efectos, existe un riesgo real que afecta la adecuada implementación de la ESI en el CNEB</w:t>
      </w:r>
      <w:r w:rsidR="00761529">
        <w:rPr>
          <w:rStyle w:val="EndnoteReference"/>
          <w:rFonts w:ascii="Cambria" w:eastAsia="Cambria" w:hAnsi="Cambria" w:cs="Cambria"/>
          <w:color w:val="000000"/>
        </w:rPr>
        <w:endnoteReference w:id="115"/>
      </w:r>
      <w:r>
        <w:rPr>
          <w:rFonts w:ascii="Cambria" w:eastAsia="Cambria" w:hAnsi="Cambria" w:cs="Cambria"/>
          <w:color w:val="000000"/>
        </w:rPr>
        <w:t>. A esto se suma que el Poder Ejecutivo no ha promovido acciones orientadas a garantizar la ESI, por el contrario, se identifica varias barreras de la implementación</w:t>
      </w:r>
      <w:r w:rsidR="00761529">
        <w:rPr>
          <w:rStyle w:val="EndnoteReference"/>
          <w:rFonts w:ascii="Cambria" w:eastAsia="Cambria" w:hAnsi="Cambria" w:cs="Cambria"/>
          <w:color w:val="000000"/>
        </w:rPr>
        <w:endnoteReference w:id="116"/>
      </w:r>
      <w:r>
        <w:rPr>
          <w:rFonts w:ascii="Cambria" w:eastAsia="Cambria" w:hAnsi="Cambria" w:cs="Cambria"/>
          <w:color w:val="000000"/>
        </w:rPr>
        <w:t xml:space="preserve">, entre ellas, </w:t>
      </w:r>
      <w:sdt>
        <w:sdtPr>
          <w:tag w:val="goog_rdk_1"/>
          <w:id w:val="1875191299"/>
        </w:sdtPr>
        <w:sdtContent/>
      </w:sdt>
      <w:r>
        <w:rPr>
          <w:rFonts w:ascii="Cambria" w:eastAsia="Cambria" w:hAnsi="Cambria" w:cs="Cambria"/>
          <w:color w:val="000000"/>
        </w:rPr>
        <w:t>destacamos</w:t>
      </w:r>
      <w:r w:rsidR="00761529">
        <w:rPr>
          <w:rStyle w:val="EndnoteReference"/>
          <w:rFonts w:ascii="Cambria" w:eastAsia="Cambria" w:hAnsi="Cambria" w:cs="Cambria"/>
          <w:color w:val="000000"/>
        </w:rPr>
        <w:endnoteReference w:id="117"/>
      </w:r>
      <w:r>
        <w:rPr>
          <w:rFonts w:ascii="Cambria" w:eastAsia="Cambria" w:hAnsi="Cambria" w:cs="Cambria"/>
          <w:color w:val="000000"/>
        </w:rPr>
        <w:t xml:space="preserve">: </w:t>
      </w:r>
    </w:p>
    <w:p w14:paraId="00000085" w14:textId="77777777" w:rsidR="00D62E76" w:rsidRDefault="00D62E76">
      <w:pPr>
        <w:pBdr>
          <w:top w:val="nil"/>
          <w:left w:val="nil"/>
          <w:bottom w:val="nil"/>
          <w:right w:val="nil"/>
          <w:between w:val="nil"/>
        </w:pBdr>
        <w:spacing w:line="276" w:lineRule="auto"/>
        <w:jc w:val="both"/>
        <w:rPr>
          <w:rFonts w:ascii="Cambria" w:eastAsia="Cambria" w:hAnsi="Cambria" w:cs="Cambria"/>
          <w:color w:val="000000"/>
        </w:rPr>
      </w:pPr>
    </w:p>
    <w:p w14:paraId="00000086" w14:textId="30AD8009" w:rsidR="00D62E76" w:rsidRPr="00620666" w:rsidRDefault="00000000">
      <w:pPr>
        <w:numPr>
          <w:ilvl w:val="0"/>
          <w:numId w:val="11"/>
        </w:numPr>
        <w:pBdr>
          <w:top w:val="nil"/>
          <w:left w:val="nil"/>
          <w:bottom w:val="nil"/>
          <w:right w:val="nil"/>
          <w:between w:val="nil"/>
        </w:pBdr>
        <w:spacing w:line="276" w:lineRule="auto"/>
        <w:ind w:left="1980" w:hanging="450"/>
        <w:jc w:val="both"/>
        <w:rPr>
          <w:rFonts w:ascii="Cambria" w:eastAsia="Cambria" w:hAnsi="Cambria" w:cs="Cambria"/>
          <w:i/>
          <w:iCs/>
          <w:color w:val="000000"/>
        </w:rPr>
      </w:pPr>
      <w:r w:rsidRPr="00620666">
        <w:rPr>
          <w:rFonts w:ascii="Cambria" w:eastAsia="Cambria" w:hAnsi="Cambria" w:cs="Cambria"/>
          <w:i/>
          <w:iCs/>
        </w:rPr>
        <w:t>“</w:t>
      </w:r>
      <w:r w:rsidRPr="00620666">
        <w:rPr>
          <w:rFonts w:ascii="Cambria" w:eastAsia="Cambria" w:hAnsi="Cambria" w:cs="Cambria"/>
          <w:i/>
          <w:iCs/>
          <w:color w:val="000000"/>
        </w:rPr>
        <w:t xml:space="preserve">La ESI se brinda desde un enfoque preventivo, con perspectiva dualista (hombre-mujer biológicos), y restrictivo de la sexualidad, </w:t>
      </w:r>
      <w:r w:rsidR="00620666" w:rsidRPr="00620666">
        <w:rPr>
          <w:rFonts w:ascii="Cambria" w:eastAsia="Cambria" w:hAnsi="Cambria" w:cs="Cambria"/>
          <w:i/>
          <w:iCs/>
          <w:color w:val="000000"/>
        </w:rPr>
        <w:t>resaltando</w:t>
      </w:r>
      <w:r w:rsidRPr="00620666">
        <w:rPr>
          <w:rFonts w:ascii="Cambria" w:eastAsia="Cambria" w:hAnsi="Cambria" w:cs="Cambria"/>
          <w:i/>
          <w:iCs/>
          <w:color w:val="000000"/>
        </w:rPr>
        <w:t xml:space="preserve"> los peligros a los que están expuestos las y los adolescentes</w:t>
      </w:r>
      <w:r w:rsidR="00D834BD" w:rsidRPr="00620666">
        <w:rPr>
          <w:rFonts w:ascii="Cambria" w:eastAsia="Cambria" w:hAnsi="Cambria" w:cs="Cambria"/>
          <w:i/>
          <w:iCs/>
          <w:color w:val="000000"/>
        </w:rPr>
        <w:t xml:space="preserve"> </w:t>
      </w:r>
      <w:r w:rsidRPr="00620666">
        <w:rPr>
          <w:rFonts w:ascii="Cambria" w:eastAsia="Cambria" w:hAnsi="Cambria" w:cs="Cambria"/>
          <w:i/>
          <w:iCs/>
          <w:color w:val="000000"/>
        </w:rPr>
        <w:t xml:space="preserve">indígenas y pueblo afroperuano en el ejercicio de su sexualidad </w:t>
      </w:r>
      <w:r w:rsidR="00D834BD" w:rsidRPr="00620666">
        <w:rPr>
          <w:rFonts w:ascii="Cambria" w:eastAsia="Cambria" w:hAnsi="Cambria" w:cs="Cambria"/>
          <w:i/>
          <w:iCs/>
          <w:color w:val="000000"/>
        </w:rPr>
        <w:t>[</w:t>
      </w:r>
      <w:r w:rsidRPr="00620666">
        <w:rPr>
          <w:rFonts w:ascii="Cambria" w:eastAsia="Cambria" w:hAnsi="Cambria" w:cs="Cambria"/>
          <w:i/>
          <w:iCs/>
          <w:color w:val="000000"/>
        </w:rPr>
        <w:t>y enfatizando en la abstinencia y la postergación del inicio sexual como mecanismos de prevención</w:t>
      </w:r>
      <w:r w:rsidR="00D834BD" w:rsidRPr="00620666">
        <w:rPr>
          <w:rFonts w:ascii="Cambria" w:eastAsia="Cambria" w:hAnsi="Cambria" w:cs="Cambria"/>
          <w:i/>
          <w:iCs/>
          <w:color w:val="000000"/>
        </w:rPr>
        <w:t>]</w:t>
      </w:r>
      <w:r w:rsidRPr="00620666">
        <w:rPr>
          <w:rFonts w:ascii="Cambria" w:eastAsia="Cambria" w:hAnsi="Cambria" w:cs="Cambria"/>
          <w:i/>
          <w:iCs/>
          <w:color w:val="000000"/>
        </w:rPr>
        <w:t xml:space="preserve">; </w:t>
      </w:r>
    </w:p>
    <w:p w14:paraId="4D733600" w14:textId="77777777" w:rsidR="004E45BC" w:rsidRDefault="00000000">
      <w:pPr>
        <w:numPr>
          <w:ilvl w:val="0"/>
          <w:numId w:val="11"/>
        </w:numPr>
        <w:pBdr>
          <w:top w:val="nil"/>
          <w:left w:val="nil"/>
          <w:bottom w:val="nil"/>
          <w:right w:val="nil"/>
          <w:between w:val="nil"/>
        </w:pBdr>
        <w:spacing w:line="276" w:lineRule="auto"/>
        <w:ind w:left="1980" w:hanging="450"/>
        <w:jc w:val="both"/>
        <w:rPr>
          <w:rFonts w:ascii="Cambria" w:eastAsia="Cambria" w:hAnsi="Cambria" w:cs="Cambria"/>
          <w:i/>
          <w:iCs/>
          <w:color w:val="000000"/>
        </w:rPr>
      </w:pPr>
      <w:r w:rsidRPr="00620666">
        <w:rPr>
          <w:rFonts w:ascii="Cambria" w:eastAsia="Cambria" w:hAnsi="Cambria" w:cs="Cambria"/>
          <w:i/>
          <w:iCs/>
          <w:color w:val="000000"/>
        </w:rPr>
        <w:t xml:space="preserve">Se evidencia que desde esta aproximación no se consideran las situaciones de violencia sexual a las que están expuestas muchas adolescentes y niñas </w:t>
      </w:r>
    </w:p>
    <w:p w14:paraId="3B2B5FB7" w14:textId="77777777" w:rsidR="004E45BC" w:rsidRDefault="004E45BC" w:rsidP="004E45BC">
      <w:pPr>
        <w:pBdr>
          <w:top w:val="nil"/>
          <w:left w:val="nil"/>
          <w:bottom w:val="nil"/>
          <w:right w:val="nil"/>
          <w:between w:val="nil"/>
        </w:pBdr>
        <w:spacing w:line="276" w:lineRule="auto"/>
        <w:ind w:left="1980"/>
        <w:jc w:val="both"/>
        <w:rPr>
          <w:rFonts w:ascii="Cambria" w:eastAsia="Cambria" w:hAnsi="Cambria" w:cs="Cambria"/>
          <w:i/>
          <w:iCs/>
          <w:color w:val="000000"/>
        </w:rPr>
      </w:pPr>
    </w:p>
    <w:p w14:paraId="228EEC5F" w14:textId="77777777" w:rsidR="004E45BC" w:rsidRDefault="004E45BC" w:rsidP="004E45BC">
      <w:pPr>
        <w:pBdr>
          <w:top w:val="nil"/>
          <w:left w:val="nil"/>
          <w:bottom w:val="nil"/>
          <w:right w:val="nil"/>
          <w:between w:val="nil"/>
        </w:pBdr>
        <w:spacing w:line="276" w:lineRule="auto"/>
        <w:ind w:left="1980"/>
        <w:jc w:val="both"/>
        <w:rPr>
          <w:rFonts w:ascii="Cambria" w:eastAsia="Cambria" w:hAnsi="Cambria" w:cs="Cambria"/>
          <w:i/>
          <w:iCs/>
          <w:color w:val="000000"/>
        </w:rPr>
      </w:pPr>
    </w:p>
    <w:p w14:paraId="00000087" w14:textId="381F4460" w:rsidR="00D62E76" w:rsidRPr="00620666" w:rsidRDefault="00000000" w:rsidP="004E45BC">
      <w:pPr>
        <w:pBdr>
          <w:top w:val="nil"/>
          <w:left w:val="nil"/>
          <w:bottom w:val="nil"/>
          <w:right w:val="nil"/>
          <w:between w:val="nil"/>
        </w:pBdr>
        <w:spacing w:line="276" w:lineRule="auto"/>
        <w:ind w:left="1980"/>
        <w:jc w:val="both"/>
        <w:rPr>
          <w:rFonts w:ascii="Cambria" w:eastAsia="Cambria" w:hAnsi="Cambria" w:cs="Cambria"/>
          <w:i/>
          <w:iCs/>
          <w:color w:val="000000"/>
        </w:rPr>
      </w:pPr>
      <w:r w:rsidRPr="00620666">
        <w:rPr>
          <w:rFonts w:ascii="Cambria" w:eastAsia="Cambria" w:hAnsi="Cambria" w:cs="Cambria"/>
          <w:i/>
          <w:iCs/>
          <w:color w:val="000000"/>
        </w:rPr>
        <w:t xml:space="preserve">indígenas, afrodescendientes, </w:t>
      </w:r>
      <w:r w:rsidR="00D834BD" w:rsidRPr="00620666">
        <w:rPr>
          <w:rFonts w:ascii="Cambria" w:eastAsia="Cambria" w:hAnsi="Cambria" w:cs="Cambria"/>
          <w:i/>
          <w:iCs/>
          <w:color w:val="000000"/>
        </w:rPr>
        <w:t>[</w:t>
      </w:r>
      <w:r w:rsidRPr="00620666">
        <w:rPr>
          <w:rFonts w:ascii="Cambria" w:eastAsia="Cambria" w:hAnsi="Cambria" w:cs="Cambria"/>
          <w:i/>
          <w:iCs/>
          <w:color w:val="000000"/>
        </w:rPr>
        <w:t>migrantes extranjeras</w:t>
      </w:r>
      <w:r w:rsidR="00D834BD" w:rsidRPr="00620666">
        <w:rPr>
          <w:rFonts w:ascii="Cambria" w:eastAsia="Cambria" w:hAnsi="Cambria" w:cs="Cambria"/>
          <w:i/>
          <w:iCs/>
          <w:color w:val="000000"/>
        </w:rPr>
        <w:t>]</w:t>
      </w:r>
      <w:r w:rsidRPr="00620666">
        <w:rPr>
          <w:rFonts w:ascii="Cambria" w:eastAsia="Cambria" w:hAnsi="Cambria" w:cs="Cambria"/>
          <w:i/>
          <w:iCs/>
          <w:color w:val="000000"/>
        </w:rPr>
        <w:t xml:space="preserve">, con discapacidad o personas </w:t>
      </w:r>
      <w:r w:rsidRPr="00620666">
        <w:rPr>
          <w:rFonts w:ascii="Cambria" w:eastAsia="Cambria" w:hAnsi="Cambria" w:cs="Cambria"/>
          <w:i/>
          <w:iCs/>
          <w:color w:val="000000" w:themeColor="text1"/>
        </w:rPr>
        <w:t xml:space="preserve">LGBTIQ+; </w:t>
      </w:r>
    </w:p>
    <w:p w14:paraId="00000088" w14:textId="77777777" w:rsidR="00D62E76" w:rsidRPr="00620666" w:rsidRDefault="00000000">
      <w:pPr>
        <w:numPr>
          <w:ilvl w:val="0"/>
          <w:numId w:val="11"/>
        </w:numPr>
        <w:pBdr>
          <w:top w:val="nil"/>
          <w:left w:val="nil"/>
          <w:bottom w:val="nil"/>
          <w:right w:val="nil"/>
          <w:between w:val="nil"/>
        </w:pBdr>
        <w:spacing w:line="276" w:lineRule="auto"/>
        <w:ind w:left="1980" w:hanging="450"/>
        <w:jc w:val="both"/>
        <w:rPr>
          <w:rFonts w:ascii="Cambria" w:eastAsia="Cambria" w:hAnsi="Cambria" w:cs="Cambria"/>
          <w:i/>
          <w:iCs/>
          <w:color w:val="000000"/>
        </w:rPr>
      </w:pPr>
      <w:r w:rsidRPr="00620666">
        <w:rPr>
          <w:rFonts w:ascii="Cambria" w:eastAsia="Cambria" w:hAnsi="Cambria" w:cs="Cambria"/>
          <w:i/>
          <w:iCs/>
          <w:color w:val="000000"/>
        </w:rPr>
        <w:t xml:space="preserve">Este enfoque enfatiza solamente lo informativo y preventivo, limitando el desarrollo de aprendizajes sobre el consentimiento, la construcción de relaciones empáticas y respetuosas, así como, la autonomía, autocuidado y la toma de decisiones responsables relacionadas a la sexualidad; </w:t>
      </w:r>
    </w:p>
    <w:p w14:paraId="00000089" w14:textId="79F81F65" w:rsidR="00D62E76" w:rsidRPr="00620666" w:rsidRDefault="00000000">
      <w:pPr>
        <w:numPr>
          <w:ilvl w:val="0"/>
          <w:numId w:val="11"/>
        </w:numPr>
        <w:pBdr>
          <w:top w:val="nil"/>
          <w:left w:val="nil"/>
          <w:bottom w:val="nil"/>
          <w:right w:val="nil"/>
          <w:between w:val="nil"/>
        </w:pBdr>
        <w:spacing w:line="276" w:lineRule="auto"/>
        <w:ind w:left="1980" w:hanging="450"/>
        <w:jc w:val="both"/>
        <w:rPr>
          <w:rFonts w:ascii="Cambria" w:eastAsia="Cambria" w:hAnsi="Cambria" w:cs="Cambria"/>
          <w:i/>
          <w:iCs/>
          <w:color w:val="000000"/>
        </w:rPr>
      </w:pPr>
      <w:r w:rsidRPr="00620666">
        <w:rPr>
          <w:rFonts w:ascii="Cambria" w:eastAsia="Cambria" w:hAnsi="Cambria" w:cs="Cambria"/>
          <w:i/>
          <w:iCs/>
          <w:color w:val="000000"/>
        </w:rPr>
        <w:t>Se evidencia que los docentes y tutores se aproximan al tema de manera esporádica y superficial,</w:t>
      </w:r>
      <w:r w:rsidR="00D834BD" w:rsidRPr="00620666">
        <w:rPr>
          <w:rFonts w:ascii="Cambria" w:eastAsia="Cambria" w:hAnsi="Cambria" w:cs="Cambria"/>
          <w:i/>
          <w:iCs/>
          <w:color w:val="000000"/>
        </w:rPr>
        <w:t xml:space="preserve"> [</w:t>
      </w:r>
      <w:r w:rsidRPr="00620666">
        <w:rPr>
          <w:rFonts w:ascii="Cambria" w:eastAsia="Cambria" w:hAnsi="Cambria" w:cs="Cambria"/>
          <w:i/>
          <w:iCs/>
          <w:color w:val="000000"/>
        </w:rPr>
        <w:t>y en algunos casos reproduciendo estereotipos o creencias culturales y confesionales</w:t>
      </w:r>
      <w:r w:rsidR="00D834BD" w:rsidRPr="00620666">
        <w:rPr>
          <w:rFonts w:ascii="Cambria" w:eastAsia="Cambria" w:hAnsi="Cambria" w:cs="Cambria"/>
          <w:i/>
          <w:iCs/>
          <w:color w:val="000000"/>
        </w:rPr>
        <w:t xml:space="preserve">] </w:t>
      </w:r>
      <w:r w:rsidRPr="00620666">
        <w:rPr>
          <w:rFonts w:ascii="Cambria" w:eastAsia="Cambria" w:hAnsi="Cambria" w:cs="Cambria"/>
          <w:i/>
          <w:iCs/>
          <w:color w:val="000000"/>
        </w:rPr>
        <w:t>al mismo tiempo que no cuentan con metodologías que les permita impartir la educación sexual integral con un enfoque de pertinencia cultural</w:t>
      </w:r>
      <w:r w:rsidR="00761529" w:rsidRPr="00620666">
        <w:rPr>
          <w:rStyle w:val="EndnoteReference"/>
          <w:rFonts w:ascii="Cambria" w:eastAsia="Cambria" w:hAnsi="Cambria" w:cs="Cambria"/>
          <w:i/>
          <w:iCs/>
          <w:color w:val="000000"/>
        </w:rPr>
        <w:endnoteReference w:id="118"/>
      </w:r>
      <w:r w:rsidRPr="00620666">
        <w:rPr>
          <w:rFonts w:ascii="Cambria" w:eastAsia="Cambria" w:hAnsi="Cambria" w:cs="Cambria"/>
          <w:i/>
          <w:iCs/>
          <w:color w:val="000000"/>
        </w:rPr>
        <w:t xml:space="preserve"> y;</w:t>
      </w:r>
    </w:p>
    <w:p w14:paraId="0000008A" w14:textId="2669C187" w:rsidR="00D62E76" w:rsidRPr="00620666" w:rsidRDefault="00000000">
      <w:pPr>
        <w:numPr>
          <w:ilvl w:val="0"/>
          <w:numId w:val="11"/>
        </w:numPr>
        <w:pBdr>
          <w:top w:val="nil"/>
          <w:left w:val="nil"/>
          <w:bottom w:val="nil"/>
          <w:right w:val="nil"/>
          <w:between w:val="nil"/>
        </w:pBdr>
        <w:spacing w:line="276" w:lineRule="auto"/>
        <w:ind w:left="1980" w:hanging="450"/>
        <w:jc w:val="both"/>
        <w:rPr>
          <w:rFonts w:ascii="Cambria" w:eastAsia="Cambria" w:hAnsi="Cambria" w:cs="Cambria"/>
          <w:i/>
          <w:iCs/>
          <w:color w:val="000000"/>
        </w:rPr>
      </w:pPr>
      <w:r w:rsidRPr="00620666">
        <w:rPr>
          <w:rFonts w:ascii="Cambria" w:eastAsia="Cambria" w:hAnsi="Cambria" w:cs="Cambria"/>
          <w:i/>
          <w:iCs/>
          <w:color w:val="000000"/>
        </w:rPr>
        <w:t>Existe evidencia sobre una práctica docente que aprovecha este tipo de espacios para reproducir estereotipos de género</w:t>
      </w:r>
      <w:r w:rsidR="00761529" w:rsidRPr="00620666">
        <w:rPr>
          <w:rStyle w:val="EndnoteReference"/>
          <w:rFonts w:ascii="Cambria" w:eastAsia="Cambria" w:hAnsi="Cambria" w:cs="Cambria"/>
          <w:i/>
          <w:iCs/>
          <w:color w:val="000000"/>
        </w:rPr>
        <w:endnoteReference w:id="119"/>
      </w:r>
      <w:r w:rsidRPr="00620666">
        <w:rPr>
          <w:rFonts w:ascii="Cambria" w:eastAsia="Cambria" w:hAnsi="Cambria" w:cs="Cambria"/>
          <w:i/>
          <w:iCs/>
          <w:color w:val="000000"/>
        </w:rPr>
        <w:t>, lo cual no solo no cumple los objetivos de la ESI, sino que además actúa en contra de las premisas desde la que esta se foment</w:t>
      </w:r>
      <w:r w:rsidR="00761529" w:rsidRPr="00620666">
        <w:rPr>
          <w:rFonts w:ascii="Cambria" w:eastAsia="Cambria" w:hAnsi="Cambria" w:cs="Cambria"/>
          <w:i/>
          <w:iCs/>
          <w:color w:val="000000"/>
        </w:rPr>
        <w:t>o</w:t>
      </w:r>
      <w:r w:rsidRPr="00620666">
        <w:rPr>
          <w:rFonts w:ascii="Cambria" w:eastAsia="Cambria" w:hAnsi="Cambria" w:cs="Cambria"/>
          <w:i/>
          <w:iCs/>
        </w:rPr>
        <w:t>”</w:t>
      </w:r>
      <w:r w:rsidRPr="00620666">
        <w:rPr>
          <w:rFonts w:ascii="Cambria" w:eastAsia="Cambria" w:hAnsi="Cambria" w:cs="Cambria"/>
          <w:i/>
          <w:iCs/>
          <w:color w:val="000000"/>
        </w:rPr>
        <w:t>.</w:t>
      </w:r>
    </w:p>
    <w:p w14:paraId="0000008B" w14:textId="77777777" w:rsidR="00D62E76" w:rsidRDefault="00D62E76">
      <w:pPr>
        <w:spacing w:line="276" w:lineRule="auto"/>
        <w:jc w:val="both"/>
        <w:rPr>
          <w:rFonts w:ascii="Cambria" w:eastAsia="Cambria" w:hAnsi="Cambria" w:cs="Cambria"/>
          <w:color w:val="000000"/>
        </w:rPr>
      </w:pPr>
    </w:p>
    <w:p w14:paraId="0000008C" w14:textId="0D40B6D0"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A esto se suma, la necesidad de dotar de un presupuesto para la ejecución de las actividades del Minedu, en la actualidad no existe una partida específica, ni se cuenta con información detallada de cuánto se gasta en material educativo sobre ESI, ni una dirección, ni una subdirección que se encargu</w:t>
      </w:r>
      <w:r>
        <w:rPr>
          <w:rFonts w:ascii="Cambria" w:eastAsia="Cambria" w:hAnsi="Cambria" w:cs="Cambria"/>
        </w:rPr>
        <w:t xml:space="preserve">e del diseño y seguimiento a la implementación de la ESI, ni indicadores para reportar su cumplimiento. </w:t>
      </w:r>
      <w:r>
        <w:rPr>
          <w:rFonts w:ascii="Cambria" w:eastAsia="Cambria" w:hAnsi="Cambria" w:cs="Cambria"/>
          <w:color w:val="000000"/>
        </w:rPr>
        <w:t>La partida presupuestaria se extrae de la Dirección General de Educación Básica Regular, mediante algunos recursos humanos, así como presupuesto dirigido a la planificación, elaboración y distribución de materiales</w:t>
      </w:r>
      <w:r w:rsidR="00761529">
        <w:rPr>
          <w:rStyle w:val="EndnoteReference"/>
          <w:rFonts w:ascii="Cambria" w:eastAsia="Cambria" w:hAnsi="Cambria" w:cs="Cambria"/>
          <w:color w:val="000000"/>
        </w:rPr>
        <w:endnoteReference w:id="120"/>
      </w:r>
      <w:r>
        <w:rPr>
          <w:rFonts w:ascii="Cambria" w:eastAsia="Cambria" w:hAnsi="Cambria" w:cs="Cambria"/>
          <w:color w:val="000000"/>
        </w:rPr>
        <w:t>. Para el año fiscal 2023, el presupuesto del sector educación ascendió a S/41,966 millones, monto que representa el 19.5% del presupuesto total</w:t>
      </w:r>
      <w:r w:rsidR="00761529">
        <w:rPr>
          <w:rStyle w:val="EndnoteReference"/>
          <w:rFonts w:ascii="Cambria" w:eastAsia="Cambria" w:hAnsi="Cambria" w:cs="Cambria"/>
          <w:color w:val="000000"/>
        </w:rPr>
        <w:endnoteReference w:id="121"/>
      </w:r>
      <w:r>
        <w:rPr>
          <w:rFonts w:ascii="Cambria" w:eastAsia="Cambria" w:hAnsi="Cambria" w:cs="Cambria"/>
          <w:color w:val="000000"/>
        </w:rPr>
        <w:t>. De acuerdo con el Minedu, del 2019 al 2023 solo se ha asignado S/. 132,000 soles anuales, destinados a cubrir gastos de recursos humanos</w:t>
      </w:r>
      <w:r w:rsidR="00761529">
        <w:rPr>
          <w:rStyle w:val="EndnoteReference"/>
          <w:rFonts w:ascii="Cambria" w:eastAsia="Cambria" w:hAnsi="Cambria" w:cs="Cambria"/>
          <w:color w:val="000000"/>
        </w:rPr>
        <w:endnoteReference w:id="122"/>
      </w:r>
      <w:r w:rsidR="00761529">
        <w:rPr>
          <w:rFonts w:ascii="Cambria" w:eastAsia="Cambria" w:hAnsi="Cambria" w:cs="Cambria"/>
          <w:color w:val="000000"/>
          <w:vertAlign w:val="superscript"/>
        </w:rPr>
        <w:t xml:space="preserve"> </w:t>
      </w:r>
      <w:r>
        <w:rPr>
          <w:rFonts w:ascii="Cambria" w:eastAsia="Cambria" w:hAnsi="Cambria" w:cs="Cambria"/>
          <w:color w:val="000000"/>
        </w:rPr>
        <w:t xml:space="preserve">y no se ejecuta el monto al 100%. </w:t>
      </w:r>
    </w:p>
    <w:p w14:paraId="0000008D" w14:textId="77777777" w:rsidR="00D62E76" w:rsidRDefault="00D62E76">
      <w:pPr>
        <w:spacing w:line="276" w:lineRule="auto"/>
        <w:jc w:val="both"/>
        <w:rPr>
          <w:rFonts w:ascii="Cambria" w:eastAsia="Cambria" w:hAnsi="Cambria" w:cs="Cambria"/>
          <w:color w:val="000000"/>
        </w:rPr>
      </w:pPr>
    </w:p>
    <w:p w14:paraId="0000008E" w14:textId="553852CC" w:rsidR="00D62E7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t>Por lo expuesto, la continua desatención de parte del Estado peruano muestra la indiferencia e incompetencia para prevenir y atender situaciones de violencia contra NNA, en particular violencia sexual y, a su vez, naturaliza la violencia al no sancionar a los responsables. Es importante destacar que, para prevenir la violencia en sus diferentes modalidades en las escuelas, es imprescindible la impartición de la ESI, sea a través de caja de herramientas</w:t>
      </w:r>
      <w:r w:rsidR="00761529">
        <w:rPr>
          <w:rStyle w:val="EndnoteReference"/>
          <w:rFonts w:ascii="Cambria" w:eastAsia="Cambria" w:hAnsi="Cambria" w:cs="Cambria"/>
          <w:color w:val="000000"/>
        </w:rPr>
        <w:endnoteReference w:id="123"/>
      </w:r>
      <w:r>
        <w:rPr>
          <w:rFonts w:ascii="Cambria" w:eastAsia="Cambria" w:hAnsi="Cambria" w:cs="Cambria"/>
          <w:color w:val="000000"/>
        </w:rPr>
        <w:t>, ya que dota de herramientas personales para el pensamiento crítico, autonomía reproductiva, autocuidado, relaciones respetuosas y sin violencia a fin de garantizar la protección de sus derechos</w:t>
      </w:r>
      <w:r w:rsidR="00761529">
        <w:rPr>
          <w:rStyle w:val="EndnoteReference"/>
          <w:rFonts w:ascii="Cambria" w:eastAsia="Cambria" w:hAnsi="Cambria" w:cs="Cambria"/>
          <w:color w:val="000000"/>
        </w:rPr>
        <w:endnoteReference w:id="124"/>
      </w:r>
      <w:r>
        <w:rPr>
          <w:rFonts w:ascii="Cambria" w:eastAsia="Cambria" w:hAnsi="Cambria" w:cs="Cambria"/>
          <w:color w:val="000000"/>
        </w:rPr>
        <w:t xml:space="preserve">. </w:t>
      </w:r>
    </w:p>
    <w:p w14:paraId="0000008F" w14:textId="77777777" w:rsidR="00D62E76" w:rsidRDefault="00D62E76">
      <w:pPr>
        <w:spacing w:line="276" w:lineRule="auto"/>
        <w:jc w:val="both"/>
        <w:rPr>
          <w:rFonts w:ascii="Cambria" w:eastAsia="Cambria" w:hAnsi="Cambria" w:cs="Cambria"/>
          <w:color w:val="000000"/>
        </w:rPr>
      </w:pPr>
    </w:p>
    <w:p w14:paraId="00000090" w14:textId="4E04A7C1" w:rsidR="00D62E76" w:rsidRPr="00620666" w:rsidRDefault="00000000">
      <w:pPr>
        <w:numPr>
          <w:ilvl w:val="0"/>
          <w:numId w:val="2"/>
        </w:numPr>
        <w:pBdr>
          <w:top w:val="nil"/>
          <w:left w:val="nil"/>
          <w:bottom w:val="nil"/>
          <w:right w:val="nil"/>
          <w:between w:val="nil"/>
        </w:pBdr>
        <w:spacing w:line="276" w:lineRule="auto"/>
        <w:jc w:val="both"/>
        <w:rPr>
          <w:rFonts w:ascii="Cambria" w:eastAsia="Cambria" w:hAnsi="Cambria" w:cs="Cambria"/>
        </w:rPr>
      </w:pPr>
      <w:r>
        <w:rPr>
          <w:rFonts w:ascii="Cambria" w:eastAsia="Cambria" w:hAnsi="Cambria" w:cs="Cambria"/>
          <w:color w:val="000000"/>
        </w:rPr>
        <w:lastRenderedPageBreak/>
        <w:t xml:space="preserve">Finalmente, las acciones emprendidas en contra de la ESI no solo vulneran el artículo 28 de la Convención sino supone el incumplimiento de decisiones emitidas por órganos de tratado, que han establecido la responsabilidad internacional del Estado peruano e hicieron el llamado para garantizar el acceso a la educación sexual integral; esto fue referido en el Dictamen del caso </w:t>
      </w:r>
      <w:r w:rsidRPr="00620666">
        <w:rPr>
          <w:rFonts w:ascii="Cambria" w:eastAsia="Cambria" w:hAnsi="Cambria" w:cs="Cambria"/>
          <w:i/>
          <w:iCs/>
          <w:color w:val="000000"/>
        </w:rPr>
        <w:t>L.C. vs. Perú</w:t>
      </w:r>
      <w:r w:rsidR="00761529">
        <w:rPr>
          <w:rStyle w:val="EndnoteReference"/>
          <w:rFonts w:ascii="Cambria" w:eastAsia="Cambria" w:hAnsi="Cambria" w:cs="Cambria"/>
          <w:color w:val="000000"/>
        </w:rPr>
        <w:endnoteReference w:id="125"/>
      </w:r>
      <w:r>
        <w:rPr>
          <w:rFonts w:ascii="Cambria" w:eastAsia="Cambria" w:hAnsi="Cambria" w:cs="Cambria"/>
          <w:color w:val="000000"/>
        </w:rPr>
        <w:t xml:space="preserve">, </w:t>
      </w:r>
      <w:r w:rsidRPr="00620666">
        <w:rPr>
          <w:rFonts w:ascii="Cambria" w:eastAsia="Cambria" w:hAnsi="Cambria" w:cs="Cambria"/>
          <w:i/>
          <w:iCs/>
          <w:color w:val="000000"/>
        </w:rPr>
        <w:t>K.L. vs Perú</w:t>
      </w:r>
      <w:r w:rsidR="00761529">
        <w:rPr>
          <w:rStyle w:val="EndnoteReference"/>
          <w:rFonts w:ascii="Cambria" w:eastAsia="Cambria" w:hAnsi="Cambria" w:cs="Cambria"/>
          <w:color w:val="000000"/>
        </w:rPr>
        <w:endnoteReference w:id="126"/>
      </w:r>
      <w:r>
        <w:rPr>
          <w:rFonts w:ascii="Cambria" w:eastAsia="Cambria" w:hAnsi="Cambria" w:cs="Cambria"/>
          <w:color w:val="000000"/>
        </w:rPr>
        <w:t xml:space="preserve"> y, recientemente, en el caso de </w:t>
      </w:r>
      <w:r w:rsidRPr="00620666">
        <w:rPr>
          <w:rFonts w:ascii="Cambria" w:eastAsia="Cambria" w:hAnsi="Cambria" w:cs="Cambria"/>
          <w:i/>
          <w:iCs/>
          <w:color w:val="000000"/>
        </w:rPr>
        <w:t>Camila vs. Perú</w:t>
      </w:r>
      <w:r w:rsidR="00BB57DD">
        <w:rPr>
          <w:rStyle w:val="EndnoteReference"/>
          <w:rFonts w:ascii="Cambria" w:eastAsia="Cambria" w:hAnsi="Cambria" w:cs="Cambria"/>
          <w:color w:val="000000"/>
        </w:rPr>
        <w:endnoteReference w:id="127"/>
      </w:r>
      <w:r>
        <w:rPr>
          <w:rFonts w:ascii="Cambria" w:eastAsia="Cambria" w:hAnsi="Cambria" w:cs="Cambria"/>
          <w:color w:val="000000"/>
        </w:rPr>
        <w:t xml:space="preserve">. En ese sentido, el Estado no sólo no ha mostrado avances significativos para garantizar la ESI, sino que se adoptaron medidas regresivas como se expuso, incumpliendo sus compromisos internacionales. </w:t>
      </w:r>
    </w:p>
    <w:p w14:paraId="4E9BE50F" w14:textId="77777777" w:rsidR="00620666" w:rsidRDefault="00620666" w:rsidP="004E45BC">
      <w:pPr>
        <w:pBdr>
          <w:top w:val="nil"/>
          <w:left w:val="nil"/>
          <w:bottom w:val="nil"/>
          <w:right w:val="nil"/>
          <w:between w:val="nil"/>
        </w:pBdr>
        <w:spacing w:line="276" w:lineRule="auto"/>
        <w:jc w:val="both"/>
        <w:rPr>
          <w:rFonts w:ascii="Cambria" w:eastAsia="Cambria" w:hAnsi="Cambria" w:cs="Cambria"/>
        </w:rPr>
      </w:pPr>
    </w:p>
    <w:p w14:paraId="00000091" w14:textId="77777777" w:rsidR="00D62E76" w:rsidRDefault="00D62E76">
      <w:pPr>
        <w:spacing w:line="276" w:lineRule="auto"/>
        <w:jc w:val="both"/>
        <w:rPr>
          <w:rFonts w:ascii="Cambria" w:eastAsia="Cambria" w:hAnsi="Cambria" w:cs="Cambria"/>
          <w:color w:val="000000"/>
        </w:rPr>
      </w:pPr>
    </w:p>
    <w:p w14:paraId="00000092" w14:textId="77777777" w:rsidR="00D62E76" w:rsidRDefault="00000000">
      <w:pPr>
        <w:pStyle w:val="Heading1"/>
        <w:numPr>
          <w:ilvl w:val="0"/>
          <w:numId w:val="1"/>
        </w:numPr>
        <w:spacing w:before="0" w:line="276" w:lineRule="auto"/>
        <w:ind w:left="426" w:hanging="426"/>
        <w:jc w:val="both"/>
        <w:rPr>
          <w:rFonts w:ascii="Cambria" w:eastAsia="Cambria" w:hAnsi="Cambria" w:cs="Cambria"/>
          <w:b/>
          <w:color w:val="000000"/>
          <w:sz w:val="24"/>
          <w:szCs w:val="24"/>
        </w:rPr>
      </w:pPr>
      <w:r>
        <w:rPr>
          <w:rFonts w:ascii="Cambria" w:eastAsia="Cambria" w:hAnsi="Cambria" w:cs="Cambria"/>
          <w:b/>
          <w:color w:val="000000"/>
          <w:sz w:val="24"/>
          <w:szCs w:val="24"/>
        </w:rPr>
        <w:t>RECOMENDACIONES DIRIGIDAS AL ESTADO PERUANO</w:t>
      </w:r>
    </w:p>
    <w:p w14:paraId="00000093" w14:textId="77777777" w:rsidR="00D62E76" w:rsidRDefault="00D62E76">
      <w:pPr>
        <w:spacing w:line="276" w:lineRule="auto"/>
        <w:jc w:val="both"/>
        <w:rPr>
          <w:rFonts w:ascii="Cambria" w:eastAsia="Cambria" w:hAnsi="Cambria" w:cs="Cambria"/>
          <w:color w:val="000000"/>
        </w:rPr>
      </w:pPr>
    </w:p>
    <w:p w14:paraId="00000094" w14:textId="77777777" w:rsidR="00D62E76" w:rsidRDefault="00000000">
      <w:pPr>
        <w:numPr>
          <w:ilvl w:val="0"/>
          <w:numId w:val="2"/>
        </w:numPr>
        <w:pBdr>
          <w:top w:val="nil"/>
          <w:left w:val="nil"/>
          <w:bottom w:val="nil"/>
          <w:right w:val="nil"/>
          <w:between w:val="nil"/>
        </w:pBdr>
        <w:tabs>
          <w:tab w:val="left" w:pos="2127"/>
        </w:tabs>
        <w:jc w:val="both"/>
        <w:rPr>
          <w:rFonts w:ascii="Cambria" w:eastAsia="Cambria" w:hAnsi="Cambria" w:cs="Cambria"/>
          <w:b/>
        </w:rPr>
      </w:pPr>
      <w:r>
        <w:rPr>
          <w:rFonts w:ascii="Cambria" w:eastAsia="Cambria" w:hAnsi="Cambria" w:cs="Cambria"/>
          <w:color w:val="000000"/>
        </w:rPr>
        <w:t>Solicitamos, respetuosamente, a este honorable Comité que recomiende al Estado peruano, lo siguiente:</w:t>
      </w:r>
    </w:p>
    <w:p w14:paraId="00000095" w14:textId="77777777" w:rsidR="00D62E76" w:rsidRDefault="00D62E76">
      <w:pPr>
        <w:spacing w:line="276" w:lineRule="auto"/>
        <w:jc w:val="both"/>
        <w:rPr>
          <w:rFonts w:ascii="Cambria" w:eastAsia="Cambria" w:hAnsi="Cambria" w:cs="Cambria"/>
          <w:color w:val="000000"/>
        </w:rPr>
      </w:pPr>
    </w:p>
    <w:p w14:paraId="00000096" w14:textId="77777777" w:rsidR="00D62E76" w:rsidRDefault="00000000">
      <w:pPr>
        <w:numPr>
          <w:ilvl w:val="0"/>
          <w:numId w:val="4"/>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Acceso a los servicios de salud sexual y reproductiva</w:t>
      </w:r>
    </w:p>
    <w:p w14:paraId="00000097" w14:textId="77777777" w:rsidR="00D62E76" w:rsidRDefault="00D62E76">
      <w:pPr>
        <w:spacing w:line="276" w:lineRule="auto"/>
        <w:jc w:val="both"/>
        <w:rPr>
          <w:rFonts w:ascii="Cambria" w:eastAsia="Cambria" w:hAnsi="Cambria" w:cs="Cambria"/>
          <w:color w:val="000000"/>
        </w:rPr>
      </w:pPr>
    </w:p>
    <w:p w14:paraId="00000098" w14:textId="452DC483"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Garantizar</w:t>
      </w:r>
      <w:r>
        <w:rPr>
          <w:rFonts w:ascii="Cambria" w:eastAsia="Cambria" w:hAnsi="Cambria" w:cs="Cambria"/>
          <w:color w:val="000000"/>
        </w:rPr>
        <w:t xml:space="preserve"> el acceso integral a los servicios de salud sexual y reproductiva a todos </w:t>
      </w:r>
      <w:r>
        <w:rPr>
          <w:rFonts w:ascii="Cambria" w:eastAsia="Cambria" w:hAnsi="Cambria" w:cs="Cambria"/>
        </w:rPr>
        <w:t>los NNA</w:t>
      </w:r>
      <w:r w:rsidR="007F2CDD">
        <w:rPr>
          <w:rFonts w:ascii="Cambria" w:eastAsia="Cambria" w:hAnsi="Cambria" w:cs="Cambria"/>
          <w:color w:val="000000"/>
        </w:rPr>
        <w:t xml:space="preserve"> sin distinción</w:t>
      </w:r>
      <w:r w:rsidR="009F56C2">
        <w:rPr>
          <w:rFonts w:ascii="Cambria" w:eastAsia="Cambria" w:hAnsi="Cambria" w:cs="Cambria"/>
          <w:color w:val="000000"/>
        </w:rPr>
        <w:t xml:space="preserve"> </w:t>
      </w:r>
      <w:r w:rsidR="009F56C2" w:rsidRPr="00A06247">
        <w:rPr>
          <w:rFonts w:ascii="Cambria" w:eastAsia="Cambria" w:hAnsi="Cambria" w:cs="Cambria"/>
          <w:color w:val="000000"/>
        </w:rPr>
        <w:t>y no condicionar la provision de servicios a la presencia de un tutor o progenitor.</w:t>
      </w:r>
    </w:p>
    <w:p w14:paraId="00000099"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Garantizar</w:t>
      </w:r>
      <w:r>
        <w:rPr>
          <w:rFonts w:ascii="Cambria" w:eastAsia="Cambria" w:hAnsi="Cambria" w:cs="Cambria"/>
          <w:color w:val="000000"/>
        </w:rPr>
        <w:t xml:space="preserve"> el acceso permanente a información y</w:t>
      </w:r>
      <w:r>
        <w:rPr>
          <w:rFonts w:ascii="Cambria" w:eastAsia="Cambria" w:hAnsi="Cambria" w:cs="Cambria"/>
        </w:rPr>
        <w:t xml:space="preserve"> a la </w:t>
      </w:r>
      <w:r>
        <w:rPr>
          <w:rFonts w:ascii="Cambria" w:eastAsia="Cambria" w:hAnsi="Cambria" w:cs="Cambria"/>
          <w:color w:val="000000"/>
        </w:rPr>
        <w:t>anticoncepción oral de emergencia (AOE) en servicios de salud públicos y privados a nivel nacional, incluyendo a las víctimas de violación sexual.</w:t>
      </w:r>
    </w:p>
    <w:p w14:paraId="0000009A"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Adoptar e implementar</w:t>
      </w:r>
      <w:r>
        <w:rPr>
          <w:rFonts w:ascii="Cambria" w:eastAsia="Cambria" w:hAnsi="Cambria" w:cs="Cambria"/>
          <w:color w:val="000000"/>
        </w:rPr>
        <w:t xml:space="preserve"> un mecanismo de articulación para la atención de casos de violencia sexual en agravio de NNA.</w:t>
      </w:r>
    </w:p>
    <w:p w14:paraId="0000009B" w14:textId="77777777" w:rsidR="00D62E76" w:rsidRDefault="00D62E76">
      <w:pPr>
        <w:spacing w:line="276" w:lineRule="auto"/>
        <w:jc w:val="both"/>
        <w:rPr>
          <w:rFonts w:ascii="Cambria" w:eastAsia="Cambria" w:hAnsi="Cambria" w:cs="Cambria"/>
          <w:color w:val="000000"/>
        </w:rPr>
      </w:pPr>
    </w:p>
    <w:p w14:paraId="0000009C" w14:textId="77777777" w:rsidR="00D62E76" w:rsidRDefault="00000000">
      <w:pPr>
        <w:numPr>
          <w:ilvl w:val="0"/>
          <w:numId w:val="4"/>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Embarazo adolescente y mortalidad materna</w:t>
      </w:r>
    </w:p>
    <w:p w14:paraId="0000009D" w14:textId="77777777" w:rsidR="00D62E76" w:rsidRDefault="00D62E76">
      <w:pPr>
        <w:spacing w:line="276" w:lineRule="auto"/>
        <w:jc w:val="both"/>
        <w:rPr>
          <w:rFonts w:ascii="Cambria" w:eastAsia="Cambria" w:hAnsi="Cambria" w:cs="Cambria"/>
          <w:color w:val="000000"/>
        </w:rPr>
      </w:pPr>
    </w:p>
    <w:p w14:paraId="0000009E" w14:textId="678796EC"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Abordar</w:t>
      </w:r>
      <w:r>
        <w:rPr>
          <w:rFonts w:ascii="Cambria" w:eastAsia="Cambria" w:hAnsi="Cambria" w:cs="Cambria"/>
          <w:color w:val="000000"/>
        </w:rPr>
        <w:t xml:space="preserve"> el problema del embarazo adolescente a través de políticas y programas que promuevan la educación sexual integral, y asegurar el acceso efectivo a los servicios y bienes de salud sexual y reproductiva</w:t>
      </w:r>
    </w:p>
    <w:p w14:paraId="0000009F"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Asignar</w:t>
      </w:r>
      <w:r>
        <w:rPr>
          <w:rFonts w:ascii="Cambria" w:eastAsia="Cambria" w:hAnsi="Cambria" w:cs="Cambria"/>
          <w:color w:val="000000"/>
        </w:rPr>
        <w:t xml:space="preserve"> un mayor presupuesto para la prevención del embarazo adolescente a nivel nacional,  </w:t>
      </w:r>
      <w:r>
        <w:rPr>
          <w:rFonts w:ascii="Cambria" w:eastAsia="Cambria" w:hAnsi="Cambria" w:cs="Cambria"/>
        </w:rPr>
        <w:t xml:space="preserve">de manera especial para </w:t>
      </w:r>
      <w:r>
        <w:rPr>
          <w:rFonts w:ascii="Cambria" w:eastAsia="Cambria" w:hAnsi="Cambria" w:cs="Cambria"/>
          <w:color w:val="000000"/>
        </w:rPr>
        <w:t>las regiones más excluidas.</w:t>
      </w:r>
    </w:p>
    <w:p w14:paraId="000000A0"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 xml:space="preserve">Adoptar </w:t>
      </w:r>
      <w:r>
        <w:rPr>
          <w:rFonts w:ascii="Cambria" w:eastAsia="Cambria" w:hAnsi="Cambria" w:cs="Cambria"/>
          <w:color w:val="000000"/>
        </w:rPr>
        <w:t>medidas a nivel interinstitucional y transversal para prevenir el embarazo de ni</w:t>
      </w:r>
      <w:r>
        <w:rPr>
          <w:rFonts w:ascii="Cambria" w:eastAsia="Cambria" w:hAnsi="Cambria" w:cs="Cambria"/>
        </w:rPr>
        <w:t>ñas y adolescentes.</w:t>
      </w:r>
    </w:p>
    <w:p w14:paraId="000000A1"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Garantizar</w:t>
      </w:r>
      <w:r>
        <w:rPr>
          <w:rFonts w:ascii="Cambria" w:eastAsia="Cambria" w:hAnsi="Cambria" w:cs="Cambria"/>
          <w:color w:val="000000"/>
        </w:rPr>
        <w:t xml:space="preserve"> medidas de prevención frente a la mortalidad y morbilidad materna en niñas y adolescentes.</w:t>
      </w:r>
    </w:p>
    <w:p w14:paraId="2F5BA9E6" w14:textId="77777777" w:rsidR="004E45BC" w:rsidRDefault="004E45BC" w:rsidP="004E45BC">
      <w:pPr>
        <w:pBdr>
          <w:top w:val="nil"/>
          <w:left w:val="nil"/>
          <w:bottom w:val="nil"/>
          <w:right w:val="nil"/>
          <w:between w:val="nil"/>
        </w:pBdr>
        <w:spacing w:line="276" w:lineRule="auto"/>
        <w:ind w:left="720"/>
        <w:jc w:val="both"/>
        <w:rPr>
          <w:rFonts w:ascii="Cambria" w:eastAsia="Cambria" w:hAnsi="Cambria" w:cs="Cambria"/>
          <w:i/>
          <w:color w:val="000000"/>
        </w:rPr>
      </w:pPr>
    </w:p>
    <w:p w14:paraId="73CFA9B2" w14:textId="77777777" w:rsidR="004E45BC" w:rsidRDefault="004E45BC" w:rsidP="004E45BC">
      <w:pPr>
        <w:pBdr>
          <w:top w:val="nil"/>
          <w:left w:val="nil"/>
          <w:bottom w:val="nil"/>
          <w:right w:val="nil"/>
          <w:between w:val="nil"/>
        </w:pBdr>
        <w:spacing w:line="276" w:lineRule="auto"/>
        <w:ind w:left="720"/>
        <w:jc w:val="both"/>
        <w:rPr>
          <w:rFonts w:ascii="Cambria" w:eastAsia="Cambria" w:hAnsi="Cambria" w:cs="Cambria"/>
          <w:color w:val="000000"/>
        </w:rPr>
      </w:pPr>
    </w:p>
    <w:p w14:paraId="000000A2" w14:textId="77777777" w:rsidR="00D62E76" w:rsidRDefault="00D62E76">
      <w:pPr>
        <w:pBdr>
          <w:top w:val="nil"/>
          <w:left w:val="nil"/>
          <w:bottom w:val="nil"/>
          <w:right w:val="nil"/>
          <w:between w:val="nil"/>
        </w:pBdr>
        <w:spacing w:line="276" w:lineRule="auto"/>
        <w:ind w:left="720"/>
        <w:jc w:val="both"/>
        <w:rPr>
          <w:rFonts w:ascii="Cambria" w:eastAsia="Cambria" w:hAnsi="Cambria" w:cs="Cambria"/>
          <w:color w:val="000000"/>
        </w:rPr>
      </w:pPr>
    </w:p>
    <w:p w14:paraId="000000A3" w14:textId="6BBFEA21" w:rsidR="00D62E76" w:rsidRDefault="00DB0539">
      <w:pPr>
        <w:numPr>
          <w:ilvl w:val="0"/>
          <w:numId w:val="4"/>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Acceso a la Educación Sexual Integral</w:t>
      </w:r>
    </w:p>
    <w:p w14:paraId="000000A4" w14:textId="77777777" w:rsidR="00D62E76" w:rsidRDefault="00D62E76">
      <w:pPr>
        <w:spacing w:line="276" w:lineRule="auto"/>
        <w:jc w:val="both"/>
        <w:rPr>
          <w:rFonts w:ascii="Cambria" w:eastAsia="Cambria" w:hAnsi="Cambria" w:cs="Cambria"/>
          <w:color w:val="000000"/>
        </w:rPr>
      </w:pPr>
    </w:p>
    <w:p w14:paraId="000000A5"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 xml:space="preserve">Implementar </w:t>
      </w:r>
      <w:r>
        <w:rPr>
          <w:rFonts w:ascii="Cambria" w:eastAsia="Cambria" w:hAnsi="Cambria" w:cs="Cambria"/>
        </w:rPr>
        <w:t>la</w:t>
      </w:r>
      <w:r>
        <w:rPr>
          <w:rFonts w:ascii="Cambria" w:eastAsia="Cambria" w:hAnsi="Cambria" w:cs="Cambria"/>
          <w:color w:val="000000"/>
        </w:rPr>
        <w:t xml:space="preserve"> Educación Sexual Integral de calidad como parte de una política nacional con carácter de ley en el Perú. Asimismo, debe </w:t>
      </w:r>
      <w:r>
        <w:rPr>
          <w:rFonts w:ascii="Cambria" w:eastAsia="Cambria" w:hAnsi="Cambria" w:cs="Cambria"/>
          <w:i/>
          <w:color w:val="000000"/>
        </w:rPr>
        <w:t>promoverse</w:t>
      </w:r>
      <w:r>
        <w:rPr>
          <w:rFonts w:ascii="Cambria" w:eastAsia="Cambria" w:hAnsi="Cambria" w:cs="Cambria"/>
          <w:color w:val="000000"/>
        </w:rPr>
        <w:t xml:space="preserve"> campañas de difusión sobre la importancia de la ESI.</w:t>
      </w:r>
    </w:p>
    <w:p w14:paraId="000000A6"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Implementar</w:t>
      </w:r>
      <w:r>
        <w:rPr>
          <w:rFonts w:ascii="Cambria" w:eastAsia="Cambria" w:hAnsi="Cambria" w:cs="Cambria"/>
          <w:color w:val="000000"/>
        </w:rPr>
        <w:t xml:space="preserve"> un sistema de seguimiento de casos de estudiantes en situación de embarazo o madres adolescentes, para dar cumplimiento de lo dispuesto en la Ley N.º 29600, Ley que fomenta la reinserción escolar por embarazo, para evitar que ninguna NNA vea afectado su proyecto de vida.</w:t>
      </w:r>
    </w:p>
    <w:p w14:paraId="000000A7"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 xml:space="preserve">Adoptar e implementar </w:t>
      </w:r>
      <w:r>
        <w:rPr>
          <w:rFonts w:ascii="Cambria" w:eastAsia="Cambria" w:hAnsi="Cambria" w:cs="Cambria"/>
          <w:color w:val="000000"/>
        </w:rPr>
        <w:t>una normativa específica sobre la ESI, relacionada a su implementación programática, presupuestaria y un sistema de monitoreo de su cumplimiento.</w:t>
      </w:r>
    </w:p>
    <w:p w14:paraId="000000A8"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Asignar</w:t>
      </w:r>
      <w:r>
        <w:rPr>
          <w:rFonts w:ascii="Cambria" w:eastAsia="Cambria" w:hAnsi="Cambria" w:cs="Cambria"/>
          <w:color w:val="000000"/>
        </w:rPr>
        <w:t xml:space="preserve"> una instancia gubernamental (sea una subdirección o unidad) que se haga responsable del avance de la implementación de la ESI</w:t>
      </w:r>
    </w:p>
    <w:p w14:paraId="000000A9"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Implementar</w:t>
      </w:r>
      <w:r>
        <w:rPr>
          <w:rFonts w:ascii="Cambria" w:eastAsia="Cambria" w:hAnsi="Cambria" w:cs="Cambria"/>
          <w:color w:val="000000"/>
        </w:rPr>
        <w:t xml:space="preserve"> el Currículo Nacional de Educación Básica y derogar la Ley N.º 31498 por ser una disposición inconstitucional e inconvencional, que constituye una amenaza a la ESI.</w:t>
      </w:r>
    </w:p>
    <w:p w14:paraId="000000AA"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Desarrollar</w:t>
      </w:r>
      <w:r>
        <w:rPr>
          <w:rFonts w:ascii="Cambria" w:eastAsia="Cambria" w:hAnsi="Cambria" w:cs="Cambria"/>
          <w:color w:val="000000"/>
        </w:rPr>
        <w:t xml:space="preserve"> un plan de capacitación y sensibilización a los docentes y auxiliares de todas las modalidades educativas, sobre el contenido del Currículo Nacional de Educación Básica, en particular los enfoques relacionados a la educación sexual integral. </w:t>
      </w:r>
    </w:p>
    <w:p w14:paraId="000000AB" w14:textId="77777777" w:rsidR="00D62E76" w:rsidRDefault="00D62E76">
      <w:pPr>
        <w:spacing w:line="276" w:lineRule="auto"/>
        <w:jc w:val="both"/>
        <w:rPr>
          <w:rFonts w:ascii="Cambria" w:eastAsia="Cambria" w:hAnsi="Cambria" w:cs="Cambria"/>
          <w:color w:val="000000"/>
        </w:rPr>
      </w:pPr>
    </w:p>
    <w:p w14:paraId="000000AC" w14:textId="77777777" w:rsidR="00D62E76" w:rsidRDefault="00000000">
      <w:pPr>
        <w:numPr>
          <w:ilvl w:val="0"/>
          <w:numId w:val="4"/>
        </w:numPr>
        <w:pBdr>
          <w:top w:val="nil"/>
          <w:left w:val="nil"/>
          <w:bottom w:val="nil"/>
          <w:right w:val="nil"/>
          <w:between w:val="nil"/>
        </w:pBdr>
        <w:spacing w:line="276" w:lineRule="auto"/>
        <w:jc w:val="both"/>
        <w:rPr>
          <w:rFonts w:ascii="Cambria" w:eastAsia="Cambria" w:hAnsi="Cambria" w:cs="Cambria"/>
          <w:b/>
          <w:color w:val="000000"/>
        </w:rPr>
      </w:pPr>
      <w:r>
        <w:rPr>
          <w:rFonts w:ascii="Cambria" w:eastAsia="Cambria" w:hAnsi="Cambria" w:cs="Cambria"/>
          <w:b/>
          <w:color w:val="000000"/>
        </w:rPr>
        <w:t>Acceso al aborto</w:t>
      </w:r>
    </w:p>
    <w:p w14:paraId="000000AD" w14:textId="77777777" w:rsidR="00D62E76" w:rsidRDefault="00D62E76">
      <w:pPr>
        <w:spacing w:line="276" w:lineRule="auto"/>
        <w:jc w:val="both"/>
        <w:rPr>
          <w:rFonts w:ascii="Cambria" w:eastAsia="Cambria" w:hAnsi="Cambria" w:cs="Cambria"/>
          <w:color w:val="000000"/>
        </w:rPr>
      </w:pPr>
    </w:p>
    <w:p w14:paraId="000000AE"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 xml:space="preserve">Capacitar </w:t>
      </w:r>
      <w:r>
        <w:rPr>
          <w:rFonts w:ascii="Cambria" w:eastAsia="Cambria" w:hAnsi="Cambria" w:cs="Cambria"/>
          <w:color w:val="000000"/>
        </w:rPr>
        <w:t>a los profesionales de la salud en temas vinculados con la salud sexual y reproductiva y en la provisión de servicios amigables a adolescentes desde un enfoque interseccional y con perspectiva de género.</w:t>
      </w:r>
    </w:p>
    <w:p w14:paraId="000000AF" w14:textId="77777777"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Despenalizar</w:t>
      </w:r>
      <w:r>
        <w:rPr>
          <w:rFonts w:ascii="Cambria" w:eastAsia="Cambria" w:hAnsi="Cambria" w:cs="Cambria"/>
          <w:color w:val="000000"/>
        </w:rPr>
        <w:t xml:space="preserve"> el aborto en casos de violación sexual, incesto y malformaciones fetales incompatibles con la vida extrauterina, como fue establecido por órganos de tratado como CEDAW en el caso </w:t>
      </w:r>
      <w:r>
        <w:rPr>
          <w:rFonts w:ascii="Cambria" w:eastAsia="Cambria" w:hAnsi="Cambria" w:cs="Cambria"/>
          <w:i/>
          <w:color w:val="000000"/>
        </w:rPr>
        <w:t>L.C vs. Perú</w:t>
      </w:r>
      <w:r>
        <w:rPr>
          <w:rFonts w:ascii="Cambria" w:eastAsia="Cambria" w:hAnsi="Cambria" w:cs="Cambria"/>
          <w:color w:val="000000"/>
        </w:rPr>
        <w:t xml:space="preserve"> (2011), Comité de los Derechos del Niño en el caso de</w:t>
      </w:r>
      <w:r>
        <w:rPr>
          <w:rFonts w:ascii="Cambria" w:eastAsia="Cambria" w:hAnsi="Cambria" w:cs="Cambria"/>
          <w:i/>
          <w:color w:val="000000"/>
        </w:rPr>
        <w:t xml:space="preserve"> Camila vs. Perú </w:t>
      </w:r>
      <w:r>
        <w:rPr>
          <w:rFonts w:ascii="Cambria" w:eastAsia="Cambria" w:hAnsi="Cambria" w:cs="Cambria"/>
          <w:color w:val="000000"/>
        </w:rPr>
        <w:t xml:space="preserve">(2023) y por el Comité de Derechos Humanos en el caso de </w:t>
      </w:r>
      <w:r>
        <w:rPr>
          <w:rFonts w:ascii="Cambria" w:eastAsia="Cambria" w:hAnsi="Cambria" w:cs="Cambria"/>
          <w:i/>
          <w:color w:val="000000"/>
        </w:rPr>
        <w:t>K.L vs. Perú</w:t>
      </w:r>
      <w:r>
        <w:rPr>
          <w:rFonts w:ascii="Cambria" w:eastAsia="Cambria" w:hAnsi="Cambria" w:cs="Cambria"/>
          <w:color w:val="000000"/>
        </w:rPr>
        <w:t xml:space="preserve"> (2005).</w:t>
      </w:r>
    </w:p>
    <w:p w14:paraId="000000B0" w14:textId="56B740E3" w:rsidR="00D62E76" w:rsidRDefault="00000000">
      <w:pPr>
        <w:numPr>
          <w:ilvl w:val="0"/>
          <w:numId w:val="5"/>
        </w:numPr>
        <w:pBdr>
          <w:top w:val="nil"/>
          <w:left w:val="nil"/>
          <w:bottom w:val="nil"/>
          <w:right w:val="nil"/>
          <w:between w:val="nil"/>
        </w:pBdr>
        <w:spacing w:line="276" w:lineRule="auto"/>
        <w:jc w:val="both"/>
        <w:rPr>
          <w:rFonts w:ascii="Cambria" w:eastAsia="Cambria" w:hAnsi="Cambria" w:cs="Cambria"/>
          <w:color w:val="000000"/>
        </w:rPr>
      </w:pPr>
      <w:r>
        <w:rPr>
          <w:rFonts w:ascii="Cambria" w:eastAsia="Cambria" w:hAnsi="Cambria" w:cs="Cambria"/>
          <w:i/>
          <w:color w:val="000000"/>
        </w:rPr>
        <w:t>Revisar</w:t>
      </w:r>
      <w:r>
        <w:rPr>
          <w:rFonts w:ascii="Cambria" w:eastAsia="Cambria" w:hAnsi="Cambria" w:cs="Cambria"/>
          <w:color w:val="000000"/>
        </w:rPr>
        <w:t xml:space="preserve"> la Guía Técnica para prever su aplicación específica en las niñas y asegurar, la debida consideración al especial riesgo para la salud y la vida que entraña el embarazo infantil; y además </w:t>
      </w:r>
      <w:r>
        <w:rPr>
          <w:rFonts w:ascii="Cambria" w:eastAsia="Cambria" w:hAnsi="Cambria" w:cs="Cambria"/>
          <w:i/>
          <w:color w:val="000000"/>
        </w:rPr>
        <w:t xml:space="preserve">establecer </w:t>
      </w:r>
      <w:r>
        <w:rPr>
          <w:rFonts w:ascii="Cambria" w:eastAsia="Cambria" w:hAnsi="Cambria" w:cs="Cambria"/>
          <w:color w:val="000000"/>
        </w:rPr>
        <w:t>un recurso claro y expedito en caso de incumplimiento del procedimiento de la Guía Técnica, esto de acuerdo a lo dispuesto por el Comité</w:t>
      </w:r>
      <w:r w:rsidR="00DB0539">
        <w:rPr>
          <w:rFonts w:ascii="Cambria" w:eastAsia="Cambria" w:hAnsi="Cambria" w:cs="Cambria"/>
          <w:color w:val="000000"/>
        </w:rPr>
        <w:t xml:space="preserve"> de los Derechos del Niño</w:t>
      </w:r>
      <w:r>
        <w:rPr>
          <w:rFonts w:ascii="Cambria" w:eastAsia="Cambria" w:hAnsi="Cambria" w:cs="Cambria"/>
          <w:color w:val="000000"/>
        </w:rPr>
        <w:t>.</w:t>
      </w:r>
    </w:p>
    <w:p w14:paraId="000000B3" w14:textId="4F2C06EF" w:rsidR="00D62E76" w:rsidRDefault="00D62E76" w:rsidP="00DB0539">
      <w:pPr>
        <w:spacing w:line="276" w:lineRule="auto"/>
        <w:jc w:val="both"/>
        <w:rPr>
          <w:rFonts w:ascii="Cambria" w:eastAsia="Cambria" w:hAnsi="Cambria" w:cs="Cambria"/>
          <w:strike/>
          <w:color w:val="000000"/>
        </w:rPr>
      </w:pPr>
    </w:p>
    <w:sectPr w:rsidR="00D62E76">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C3386" w14:textId="77777777" w:rsidR="00FD7A2A" w:rsidRDefault="00FD7A2A">
      <w:r>
        <w:separator/>
      </w:r>
    </w:p>
  </w:endnote>
  <w:endnote w:type="continuationSeparator" w:id="0">
    <w:p w14:paraId="009E3EDE" w14:textId="77777777" w:rsidR="00FD7A2A" w:rsidRDefault="00FD7A2A">
      <w:r>
        <w:continuationSeparator/>
      </w:r>
    </w:p>
  </w:endnote>
  <w:endnote w:id="1">
    <w:p w14:paraId="2B287058" w14:textId="7096998C" w:rsidR="004B7835" w:rsidRDefault="004B7835" w:rsidP="00DB0539">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El Movimiento Manuela Ramos es una organización feminista peruana que trabaja desde 1978 por los derechos de las mujeres en el Perú.</w:t>
      </w:r>
    </w:p>
  </w:endnote>
  <w:endnote w:id="2">
    <w:p w14:paraId="11EBF3E9" w14:textId="768763ED" w:rsidR="004B7835" w:rsidRPr="004B7835" w:rsidRDefault="004B7835" w:rsidP="00DB0539">
      <w:pPr>
        <w:pStyle w:val="FootnoteText"/>
        <w:ind w:left="540" w:hanging="540"/>
        <w:jc w:val="both"/>
        <w:rPr>
          <w:rFonts w:ascii="Cambria" w:hAnsi="Cambria"/>
          <w:sz w:val="16"/>
          <w:szCs w:val="16"/>
        </w:rPr>
      </w:pPr>
      <w:r>
        <w:rPr>
          <w:rStyle w:val="EndnoteReference"/>
        </w:rPr>
        <w:endnoteRef/>
      </w:r>
      <w:r>
        <w:t xml:space="preserve"> </w:t>
      </w:r>
      <w:r w:rsidRPr="009A023B">
        <w:rPr>
          <w:rFonts w:ascii="Cambria" w:hAnsi="Cambria"/>
          <w:sz w:val="16"/>
          <w:szCs w:val="16"/>
        </w:rPr>
        <w:t>La Alianza SÍ Podemos (ASP)</w:t>
      </w:r>
      <w:r>
        <w:rPr>
          <w:rFonts w:ascii="Cambria" w:hAnsi="Cambria"/>
          <w:sz w:val="16"/>
          <w:szCs w:val="16"/>
        </w:rPr>
        <w:t xml:space="preserve"> por la Educación Sexual Integral, </w:t>
      </w:r>
      <w:r w:rsidRPr="009A023B">
        <w:rPr>
          <w:rFonts w:ascii="Cambria" w:hAnsi="Cambria"/>
          <w:sz w:val="16"/>
          <w:szCs w:val="16"/>
        </w:rPr>
        <w:t>es una red interinstitucional  que nace con el objetivo de incidir y vigilar la implementación de la Educación Sexual integral (ESI) como política pública que responda al derecho universal a una educación de calidad. Esta  integrada por el Movimiento Manuela Ramos, Centro de la Mujer Flora Tristán, Instituto Peruano de Paternidad Responsable (INPPARES), Centro de Estudios de Problemas Económicos y sociales de la Juventud (CEPESJU),  Foro Educativo, Centro de Investigación en Religión y Política (CIERP),  Asociación KALLPA, Red IQ,CRESIENDO, Quinta Ola, además de personas naturales con interés en la temática.</w:t>
      </w:r>
    </w:p>
  </w:endnote>
  <w:endnote w:id="3">
    <w:p w14:paraId="107CB766" w14:textId="6DED4FBB" w:rsidR="004B7835" w:rsidRDefault="004B7835" w:rsidP="00DB0539">
      <w:pPr>
        <w:pStyle w:val="EndnoteText"/>
        <w:jc w:val="both"/>
      </w:pPr>
      <w:r>
        <w:rPr>
          <w:rStyle w:val="EndnoteReference"/>
        </w:rPr>
        <w:endnoteRef/>
      </w:r>
      <w:r>
        <w:t xml:space="preserve"> </w:t>
      </w:r>
      <w:r>
        <w:rPr>
          <w:rFonts w:ascii="Cambria" w:eastAsia="Cambria" w:hAnsi="Cambria" w:cs="Cambria"/>
          <w:sz w:val="16"/>
          <w:szCs w:val="16"/>
        </w:rPr>
        <w:t>E</w:t>
      </w:r>
      <w:r w:rsidR="00620666">
        <w:rPr>
          <w:rFonts w:ascii="Cambria" w:eastAsia="Cambria" w:hAnsi="Cambria" w:cs="Cambria"/>
          <w:sz w:val="16"/>
          <w:szCs w:val="16"/>
        </w:rPr>
        <w:t>l</w:t>
      </w:r>
      <w:r>
        <w:rPr>
          <w:rFonts w:ascii="Cambria" w:eastAsia="Cambria" w:hAnsi="Cambria" w:cs="Cambria"/>
          <w:sz w:val="16"/>
          <w:szCs w:val="16"/>
        </w:rPr>
        <w:t xml:space="preserve"> informe fue elaborado por Elida Guerra a solicitud de Manuela Ramos.</w:t>
      </w:r>
    </w:p>
  </w:endnote>
  <w:endnote w:id="4">
    <w:p w14:paraId="04104393" w14:textId="71AA143D" w:rsidR="004B7835" w:rsidRDefault="004B7835"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El Comité de los Derechos del Niño, Observaciones Finales (2016) (Perú), UN Doc. No. CRC/C/PER/CO/4-5 [en adelante, </w:t>
      </w:r>
      <w:r>
        <w:rPr>
          <w:rFonts w:ascii="Cambria" w:eastAsia="Cambria" w:hAnsi="Cambria" w:cs="Cambria"/>
          <w:i/>
          <w:color w:val="000000"/>
          <w:sz w:val="16"/>
          <w:szCs w:val="16"/>
        </w:rPr>
        <w:t>“Observaciones Finales de Perú (2016)”</w:t>
      </w:r>
      <w:r>
        <w:rPr>
          <w:rFonts w:ascii="Cambria" w:eastAsia="Cambria" w:hAnsi="Cambria" w:cs="Cambria"/>
          <w:color w:val="000000"/>
          <w:sz w:val="16"/>
          <w:szCs w:val="16"/>
        </w:rPr>
        <w:t xml:space="preserve">].  </w:t>
      </w:r>
    </w:p>
  </w:endnote>
  <w:endnote w:id="5">
    <w:p w14:paraId="2D35CB9B" w14:textId="2A871DE6" w:rsidR="004B7835" w:rsidRDefault="004B7835" w:rsidP="00DB0539">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Comité de los Derechos del Niño, Lista de cuestiones (2021) (Perú), </w:t>
      </w:r>
      <w:hyperlink r:id="rId1">
        <w:r>
          <w:rPr>
            <w:rFonts w:ascii="Cambria" w:eastAsia="Cambria" w:hAnsi="Cambria" w:cs="Cambria"/>
            <w:color w:val="000000"/>
            <w:sz w:val="16"/>
            <w:szCs w:val="16"/>
            <w:u w:val="single"/>
          </w:rPr>
          <w:t>UN Doc. CRC/C/PER/QPR/6-7</w:t>
        </w:r>
      </w:hyperlink>
      <w:r>
        <w:rPr>
          <w:rFonts w:ascii="Cambria" w:eastAsia="Cambria" w:hAnsi="Cambria" w:cs="Cambria"/>
          <w:color w:val="000000"/>
          <w:sz w:val="16"/>
          <w:szCs w:val="16"/>
        </w:rPr>
        <w:t xml:space="preserve">, 27 de octubre de 2021 [en adelante, </w:t>
      </w:r>
      <w:r>
        <w:rPr>
          <w:rFonts w:ascii="Cambria" w:eastAsia="Cambria" w:hAnsi="Cambria" w:cs="Cambria"/>
          <w:i/>
          <w:color w:val="000000"/>
          <w:sz w:val="16"/>
          <w:szCs w:val="16"/>
        </w:rPr>
        <w:t>“Comité de los Derechos del Niño, Lista de cuestiones (2021)”</w:t>
      </w:r>
      <w:r>
        <w:rPr>
          <w:rFonts w:ascii="Cambria" w:eastAsia="Cambria" w:hAnsi="Cambria" w:cs="Cambria"/>
          <w:color w:val="000000"/>
          <w:sz w:val="16"/>
          <w:szCs w:val="16"/>
        </w:rPr>
        <w:t>].</w:t>
      </w:r>
    </w:p>
  </w:endnote>
  <w:endnote w:id="6">
    <w:p w14:paraId="69E1EE45" w14:textId="4A9C554C" w:rsidR="004B7835" w:rsidRDefault="004B7835" w:rsidP="00DB0539">
      <w:pPr>
        <w:pStyle w:val="EndnoteText"/>
        <w:jc w:val="both"/>
      </w:pPr>
      <w:r>
        <w:rPr>
          <w:rStyle w:val="EndnoteReference"/>
        </w:rPr>
        <w:endnoteRef/>
      </w:r>
      <w:r>
        <w:t xml:space="preserve"> </w:t>
      </w:r>
      <w:r>
        <w:rPr>
          <w:rFonts w:ascii="Cambria" w:eastAsia="Cambria" w:hAnsi="Cambria" w:cs="Cambria"/>
          <w:color w:val="000000"/>
          <w:sz w:val="16"/>
          <w:szCs w:val="16"/>
        </w:rPr>
        <w:t>El Comité de los Derechos del Niño, Observaciones Finales de Perú (2016). Lista de cuestiones (2021).</w:t>
      </w:r>
    </w:p>
  </w:endnote>
  <w:endnote w:id="7">
    <w:p w14:paraId="5E0FB286" w14:textId="204DD6A2" w:rsidR="004B7835" w:rsidRDefault="004B7835" w:rsidP="00DB0539">
      <w:pPr>
        <w:pStyle w:val="EndnoteText"/>
        <w:jc w:val="both"/>
      </w:pPr>
      <w:r>
        <w:rPr>
          <w:rStyle w:val="EndnoteReference"/>
        </w:rPr>
        <w:endnoteRef/>
      </w:r>
      <w:r>
        <w:t xml:space="preserve"> </w:t>
      </w:r>
      <w:r>
        <w:rPr>
          <w:rFonts w:ascii="Cambria" w:eastAsia="Cambria" w:hAnsi="Cambria" w:cs="Cambria"/>
          <w:color w:val="000000"/>
          <w:sz w:val="16"/>
          <w:szCs w:val="16"/>
        </w:rPr>
        <w:t>El Comité de los Derechos del Niño, Lista de cuestiones (2021), párr. 32.</w:t>
      </w:r>
    </w:p>
  </w:endnote>
  <w:endnote w:id="8">
    <w:p w14:paraId="6B85FD87" w14:textId="4D983DAC" w:rsidR="004B7835" w:rsidRDefault="004B7835" w:rsidP="00DB0539">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El Comité señaló que el Estado debe proporcionar información sobre el número de madres adolescentes y las tasas de mortalidad materna entre NNA. Comité de los Derechos del Niño, Lista de cuestiones (2021), párr. 40 (d).</w:t>
      </w:r>
    </w:p>
  </w:endnote>
  <w:endnote w:id="9">
    <w:p w14:paraId="745B2228" w14:textId="572892FF" w:rsidR="004B7835" w:rsidRDefault="004B7835"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párr. 40 (d).</w:t>
      </w:r>
    </w:p>
  </w:endnote>
  <w:endnote w:id="10">
    <w:p w14:paraId="6AE2AD02" w14:textId="7C6423C2" w:rsidR="004B7835" w:rsidRDefault="004B7835"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Observaciones Finales (2016), párr. 55 (c).</w:t>
      </w:r>
    </w:p>
  </w:endnote>
  <w:endnote w:id="11">
    <w:p w14:paraId="3CF97709" w14:textId="7089B18A" w:rsidR="004B7835" w:rsidRDefault="004B7835" w:rsidP="00DB0539">
      <w:pPr>
        <w:pStyle w:val="EndnoteText"/>
        <w:jc w:val="both"/>
      </w:pPr>
      <w:r>
        <w:rPr>
          <w:rStyle w:val="EndnoteReference"/>
        </w:rPr>
        <w:endnoteRef/>
      </w:r>
      <w:r>
        <w:t xml:space="preserve"> </w:t>
      </w:r>
      <w:r>
        <w:rPr>
          <w:rFonts w:ascii="Cambria" w:eastAsia="Cambria" w:hAnsi="Cambria" w:cs="Cambria"/>
          <w:i/>
          <w:color w:val="000000"/>
          <w:sz w:val="16"/>
          <w:szCs w:val="16"/>
        </w:rPr>
        <w:t>Ibídem</w:t>
      </w:r>
      <w:r>
        <w:rPr>
          <w:rFonts w:ascii="Cambria" w:eastAsia="Cambria" w:hAnsi="Cambria" w:cs="Cambria"/>
          <w:color w:val="000000"/>
          <w:sz w:val="16"/>
          <w:szCs w:val="16"/>
        </w:rPr>
        <w:t>., párr. 56 (c).</w:t>
      </w:r>
    </w:p>
  </w:endnote>
  <w:endnote w:id="12">
    <w:p w14:paraId="1D57E884" w14:textId="3A756068" w:rsidR="004B7835" w:rsidRDefault="004B7835" w:rsidP="00DB0539">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En su oportunidad, esto fue mencionado por el Comité para la Eliminación de la Discriminación contra la Mujer, Comité CEDAW, Observaciones finales de Perú, 2014, párr. 33 y el Comité contra la Discriminación Racial, CERD/C/PER/CO/22-23, Observaciones finales sobre los informes periódicos 22 y 23 combinados de Perú, aprobado en su 95 periodo de sesiones (23 de abril a 11 de mayo de 2018), párr. 12.</w:t>
      </w:r>
    </w:p>
  </w:endnote>
  <w:endnote w:id="13">
    <w:p w14:paraId="221368AB" w14:textId="3495A84B" w:rsidR="004B7835" w:rsidRDefault="004B7835" w:rsidP="00DB0539">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Defensoría del Pueblo. Informe de Adjuntía N.º 013-2021-DP/ADM “</w:t>
      </w:r>
      <w:hyperlink r:id="rId2">
        <w:r>
          <w:rPr>
            <w:rFonts w:ascii="Cambria" w:eastAsia="Cambria" w:hAnsi="Cambria" w:cs="Cambria"/>
            <w:i/>
            <w:color w:val="000000"/>
            <w:sz w:val="16"/>
            <w:szCs w:val="16"/>
            <w:u w:val="single"/>
          </w:rPr>
          <w:t>Supervisión a los servicios de atención de la salud sexual y reproductiva de las mujeres en el contexto de estado de emergencia sanitaria por el COVID-19”</w:t>
        </w:r>
      </w:hyperlink>
      <w:r>
        <w:rPr>
          <w:rFonts w:ascii="Cambria" w:eastAsia="Cambria" w:hAnsi="Cambria" w:cs="Cambria"/>
          <w:color w:val="000000"/>
          <w:sz w:val="16"/>
          <w:szCs w:val="16"/>
        </w:rPr>
        <w:t xml:space="preserve">, mayo de 2021.  </w:t>
      </w:r>
    </w:p>
  </w:endnote>
  <w:endnote w:id="14">
    <w:p w14:paraId="5D72BA78" w14:textId="3D4EADE3" w:rsidR="004B7835" w:rsidRDefault="004B7835" w:rsidP="00DB0539">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El Congreso propició dos iniciativas legislativas atentatorias que ahora son leyes:  1) </w:t>
      </w:r>
      <w:r>
        <w:rPr>
          <w:rFonts w:ascii="Cambria" w:eastAsia="Cambria" w:hAnsi="Cambria" w:cs="Cambria"/>
          <w:b/>
          <w:color w:val="000000"/>
          <w:sz w:val="16"/>
          <w:szCs w:val="16"/>
        </w:rPr>
        <w:t>la ley N.º 32000</w:t>
      </w:r>
      <w:r>
        <w:rPr>
          <w:rFonts w:ascii="Cambria" w:eastAsia="Cambria" w:hAnsi="Cambria" w:cs="Cambria"/>
          <w:color w:val="000000"/>
          <w:sz w:val="16"/>
          <w:szCs w:val="16"/>
        </w:rPr>
        <w:t xml:space="preserve">, que reconoce al concebido como ‘niño por nacer’; 2) </w:t>
      </w:r>
      <w:r>
        <w:rPr>
          <w:rFonts w:ascii="Cambria" w:eastAsia="Cambria" w:hAnsi="Cambria" w:cs="Cambria"/>
          <w:b/>
          <w:color w:val="000000"/>
          <w:sz w:val="16"/>
          <w:szCs w:val="16"/>
        </w:rPr>
        <w:t>la ley N.º 31935</w:t>
      </w:r>
      <w:r>
        <w:rPr>
          <w:rFonts w:ascii="Cambria" w:eastAsia="Cambria" w:hAnsi="Cambria" w:cs="Cambria"/>
          <w:color w:val="000000"/>
          <w:sz w:val="16"/>
          <w:szCs w:val="16"/>
        </w:rPr>
        <w:t>, la cual establece que la vida humana comienza con la concepción y, por lo tanto, es sujeta de derecho desde ese momento.</w:t>
      </w:r>
    </w:p>
  </w:endnote>
  <w:endnote w:id="15">
    <w:p w14:paraId="1273125C" w14:textId="77777777" w:rsidR="004B7835" w:rsidRDefault="004B7835" w:rsidP="00DB0539">
      <w:pPr>
        <w:pBdr>
          <w:top w:val="nil"/>
          <w:left w:val="nil"/>
          <w:bottom w:val="nil"/>
          <w:right w:val="nil"/>
          <w:between w:val="nil"/>
        </w:pBdr>
        <w:ind w:left="540" w:hanging="540"/>
        <w:jc w:val="both"/>
        <w:rPr>
          <w:rFonts w:ascii="Cambria" w:eastAsia="Cambria" w:hAnsi="Cambria" w:cs="Cambria"/>
          <w:sz w:val="16"/>
          <w:szCs w:val="16"/>
        </w:rPr>
      </w:pPr>
      <w:r>
        <w:rPr>
          <w:rStyle w:val="EndnoteReference"/>
        </w:rPr>
        <w:endnoteRef/>
      </w:r>
      <w:r>
        <w:t xml:space="preserve"> </w:t>
      </w:r>
      <w:r>
        <w:rPr>
          <w:rFonts w:ascii="Cambria" w:eastAsia="Cambria" w:hAnsi="Cambria" w:cs="Cambria"/>
          <w:color w:val="000000"/>
          <w:sz w:val="16"/>
          <w:szCs w:val="16"/>
        </w:rPr>
        <w:t xml:space="preserve">Entre las iniciativas promovidas, tenemos: 1) </w:t>
      </w:r>
      <w:r>
        <w:rPr>
          <w:rFonts w:ascii="Cambria" w:eastAsia="Cambria" w:hAnsi="Cambria" w:cs="Cambria"/>
          <w:b/>
          <w:color w:val="000000"/>
          <w:sz w:val="16"/>
          <w:szCs w:val="16"/>
        </w:rPr>
        <w:t>el proyecto de ley</w:t>
      </w:r>
      <w:r>
        <w:rPr>
          <w:rFonts w:ascii="Cambria" w:eastAsia="Cambria" w:hAnsi="Cambria" w:cs="Cambria"/>
          <w:color w:val="000000"/>
          <w:sz w:val="16"/>
          <w:szCs w:val="16"/>
        </w:rPr>
        <w:t xml:space="preserve"> </w:t>
      </w:r>
      <w:r>
        <w:rPr>
          <w:rFonts w:ascii="Cambria" w:eastAsia="Cambria" w:hAnsi="Cambria" w:cs="Cambria"/>
          <w:b/>
          <w:color w:val="000000"/>
          <w:sz w:val="16"/>
          <w:szCs w:val="16"/>
        </w:rPr>
        <w:t>N.º 5909/</w:t>
      </w:r>
      <w:r>
        <w:rPr>
          <w:rFonts w:ascii="Cambria" w:eastAsia="Cambria" w:hAnsi="Cambria" w:cs="Cambria"/>
          <w:b/>
          <w:sz w:val="16"/>
          <w:szCs w:val="16"/>
        </w:rPr>
        <w:t>2023</w:t>
      </w:r>
      <w:r>
        <w:rPr>
          <w:rFonts w:ascii="Cambria" w:eastAsia="Cambria" w:hAnsi="Cambria" w:cs="Cambria"/>
          <w:sz w:val="16"/>
          <w:szCs w:val="16"/>
        </w:rPr>
        <w:t xml:space="preserve">, “Ley que fortalece la Unidad de Inteligencia Financiera del Perú”; 2) el </w:t>
      </w:r>
      <w:r>
        <w:rPr>
          <w:rFonts w:ascii="Cambria" w:eastAsia="Cambria" w:hAnsi="Cambria" w:cs="Cambria"/>
          <w:b/>
          <w:sz w:val="16"/>
          <w:szCs w:val="16"/>
        </w:rPr>
        <w:t xml:space="preserve">proyecto de ley N.º 7818/2024, </w:t>
      </w:r>
      <w:r>
        <w:rPr>
          <w:rFonts w:ascii="Cambria" w:eastAsia="Cambria" w:hAnsi="Cambria" w:cs="Cambria"/>
          <w:sz w:val="16"/>
          <w:szCs w:val="16"/>
        </w:rPr>
        <w:t xml:space="preserve">“ley que modifica el artículo 96 y 109 del decreto legislativo N° 295, decreto legislativo que aprueba el Código Civil y el artículo 410 de la ley N° 26887, Ley General de Sociedades, que regulan la disolución de asociaciones, fundaciones y sociedades”. </w:t>
      </w:r>
      <w:r>
        <w:rPr>
          <w:rFonts w:ascii="Cambria" w:eastAsia="Cambria" w:hAnsi="Cambria" w:cs="Cambria"/>
          <w:color w:val="000000"/>
          <w:sz w:val="16"/>
          <w:szCs w:val="16"/>
        </w:rPr>
        <w:t xml:space="preserve">Asimismo, el </w:t>
      </w:r>
      <w:r>
        <w:rPr>
          <w:rFonts w:ascii="Cambria" w:eastAsia="Cambria" w:hAnsi="Cambria" w:cs="Cambria"/>
          <w:sz w:val="16"/>
          <w:szCs w:val="16"/>
        </w:rPr>
        <w:t>5</w:t>
      </w:r>
      <w:r>
        <w:rPr>
          <w:rFonts w:ascii="Cambria" w:eastAsia="Cambria" w:hAnsi="Cambria" w:cs="Cambria"/>
          <w:color w:val="000000"/>
          <w:sz w:val="16"/>
          <w:szCs w:val="16"/>
        </w:rPr>
        <w:t xml:space="preserve"> de junio de 2024, la Comisión de Relaciones Exteriores aprobó el dictamen que modifica la Ley N.º 27692. Este dictamen agrupa</w:t>
      </w:r>
      <w:r>
        <w:rPr>
          <w:rFonts w:ascii="Cambria" w:eastAsia="Cambria" w:hAnsi="Cambria" w:cs="Cambria"/>
          <w:sz w:val="16"/>
          <w:szCs w:val="16"/>
        </w:rPr>
        <w:t xml:space="preserve">  seis iniciativas,  las cuales son: 1) </w:t>
      </w:r>
      <w:r>
        <w:rPr>
          <w:rFonts w:ascii="Cambria" w:eastAsia="Cambria" w:hAnsi="Cambria" w:cs="Cambria"/>
          <w:b/>
          <w:sz w:val="16"/>
          <w:szCs w:val="16"/>
        </w:rPr>
        <w:t>proyecto de Ley N.º 6162/2023-CR</w:t>
      </w:r>
      <w:r>
        <w:rPr>
          <w:rFonts w:ascii="Cambria" w:eastAsia="Cambria" w:hAnsi="Cambria" w:cs="Cambria"/>
          <w:sz w:val="16"/>
          <w:szCs w:val="16"/>
        </w:rPr>
        <w:t xml:space="preserve">; 2) </w:t>
      </w:r>
      <w:r>
        <w:rPr>
          <w:rFonts w:ascii="Cambria" w:eastAsia="Cambria" w:hAnsi="Cambria" w:cs="Cambria"/>
          <w:b/>
          <w:sz w:val="16"/>
          <w:szCs w:val="16"/>
        </w:rPr>
        <w:t>proyecto de ley N.º 6252/2023-CR</w:t>
      </w:r>
      <w:r>
        <w:rPr>
          <w:rFonts w:ascii="Cambria" w:eastAsia="Cambria" w:hAnsi="Cambria" w:cs="Cambria"/>
          <w:sz w:val="16"/>
          <w:szCs w:val="16"/>
        </w:rPr>
        <w:t xml:space="preserve">; 3) </w:t>
      </w:r>
      <w:r>
        <w:rPr>
          <w:rFonts w:ascii="Cambria" w:eastAsia="Cambria" w:hAnsi="Cambria" w:cs="Cambria"/>
          <w:b/>
          <w:sz w:val="16"/>
          <w:szCs w:val="16"/>
        </w:rPr>
        <w:t>proyecto de ley N.º 7140/2023-CR</w:t>
      </w:r>
      <w:r>
        <w:rPr>
          <w:rFonts w:ascii="Cambria" w:eastAsia="Cambria" w:hAnsi="Cambria" w:cs="Cambria"/>
          <w:sz w:val="16"/>
          <w:szCs w:val="16"/>
        </w:rPr>
        <w:t xml:space="preserve">; 4) </w:t>
      </w:r>
      <w:r>
        <w:rPr>
          <w:rFonts w:ascii="Cambria" w:eastAsia="Cambria" w:hAnsi="Cambria" w:cs="Cambria"/>
          <w:b/>
          <w:sz w:val="16"/>
          <w:szCs w:val="16"/>
        </w:rPr>
        <w:t>proyecto de ley N.º7367/2023-CR</w:t>
      </w:r>
      <w:r>
        <w:rPr>
          <w:rFonts w:ascii="Cambria" w:eastAsia="Cambria" w:hAnsi="Cambria" w:cs="Cambria"/>
          <w:sz w:val="16"/>
          <w:szCs w:val="16"/>
        </w:rPr>
        <w:t xml:space="preserve">; 5) </w:t>
      </w:r>
      <w:r>
        <w:rPr>
          <w:rFonts w:ascii="Cambria" w:eastAsia="Cambria" w:hAnsi="Cambria" w:cs="Cambria"/>
          <w:b/>
          <w:sz w:val="16"/>
          <w:szCs w:val="16"/>
        </w:rPr>
        <w:t>proyecto de ley N.º 7354/2023-CR y</w:t>
      </w:r>
      <w:r>
        <w:rPr>
          <w:rFonts w:ascii="Cambria" w:eastAsia="Cambria" w:hAnsi="Cambria" w:cs="Cambria"/>
          <w:sz w:val="16"/>
          <w:szCs w:val="16"/>
        </w:rPr>
        <w:t xml:space="preserve"> 6) </w:t>
      </w:r>
      <w:r>
        <w:rPr>
          <w:rFonts w:ascii="Cambria" w:eastAsia="Cambria" w:hAnsi="Cambria" w:cs="Cambria"/>
          <w:b/>
          <w:sz w:val="16"/>
          <w:szCs w:val="16"/>
        </w:rPr>
        <w:t>proyecto de ley N.º 7505/2023-CR</w:t>
      </w:r>
      <w:r>
        <w:rPr>
          <w:rFonts w:ascii="Cambria" w:eastAsia="Cambria" w:hAnsi="Cambria" w:cs="Cambria"/>
          <w:sz w:val="16"/>
          <w:szCs w:val="16"/>
        </w:rPr>
        <w:t xml:space="preserve">. </w:t>
      </w:r>
    </w:p>
    <w:p w14:paraId="67232B42" w14:textId="6393FF7A" w:rsidR="004B7835" w:rsidRDefault="004B7835" w:rsidP="00DB0539">
      <w:pPr>
        <w:pStyle w:val="EndnoteText"/>
        <w:ind w:left="540"/>
        <w:jc w:val="both"/>
      </w:pPr>
      <w:r>
        <w:rPr>
          <w:rFonts w:ascii="Cambria" w:eastAsia="Cambria" w:hAnsi="Cambria" w:cs="Cambria"/>
          <w:color w:val="000000"/>
          <w:sz w:val="16"/>
          <w:szCs w:val="16"/>
        </w:rPr>
        <w:t xml:space="preserve">Finalmente, el cinco de junio de 2024, el Congreso aprobó el dictamen recaído en el </w:t>
      </w:r>
      <w:r>
        <w:rPr>
          <w:rFonts w:ascii="Cambria" w:eastAsia="Cambria" w:hAnsi="Cambria" w:cs="Cambria"/>
          <w:b/>
          <w:color w:val="000000"/>
          <w:sz w:val="16"/>
          <w:szCs w:val="16"/>
        </w:rPr>
        <w:t>proyecto de ley N.º 7032/2023-CR</w:t>
      </w:r>
      <w:r>
        <w:rPr>
          <w:rFonts w:ascii="Cambria" w:eastAsia="Cambria" w:hAnsi="Cambria" w:cs="Cambria"/>
          <w:color w:val="000000"/>
          <w:sz w:val="16"/>
          <w:szCs w:val="16"/>
        </w:rPr>
        <w:t xml:space="preserve"> y </w:t>
      </w:r>
      <w:r>
        <w:rPr>
          <w:rFonts w:ascii="Cambria" w:eastAsia="Cambria" w:hAnsi="Cambria" w:cs="Cambria"/>
          <w:b/>
          <w:color w:val="000000"/>
          <w:sz w:val="16"/>
          <w:szCs w:val="16"/>
        </w:rPr>
        <w:t>N.º 7146/2023-CR</w:t>
      </w:r>
      <w:r>
        <w:rPr>
          <w:rFonts w:ascii="Cambria" w:eastAsia="Cambria" w:hAnsi="Cambria" w:cs="Cambria"/>
          <w:color w:val="000000"/>
          <w:sz w:val="16"/>
          <w:szCs w:val="16"/>
        </w:rPr>
        <w:t>, ley que promueve las Escuelas de Padres en las instituciones de Educación Básica Regular y Privada.</w:t>
      </w:r>
    </w:p>
  </w:endnote>
  <w:endnote w:id="16">
    <w:p w14:paraId="0D8FD998" w14:textId="5F768BF9" w:rsidR="004B7835" w:rsidRDefault="004B7835" w:rsidP="00DB0539">
      <w:pPr>
        <w:pStyle w:val="EndnoteText"/>
        <w:ind w:left="540" w:hanging="540"/>
        <w:jc w:val="both"/>
      </w:pPr>
      <w:r>
        <w:rPr>
          <w:rStyle w:val="EndnoteReference"/>
        </w:rPr>
        <w:endnoteRef/>
      </w:r>
      <w:r>
        <w:t xml:space="preserve"> </w:t>
      </w:r>
      <w:r>
        <w:rPr>
          <w:rFonts w:ascii="Cambria" w:eastAsia="Cambria" w:hAnsi="Cambria" w:cs="Cambria"/>
          <w:sz w:val="16"/>
          <w:szCs w:val="16"/>
        </w:rPr>
        <w:t xml:space="preserve">Muestra de ello es la promoción de iniciativas legislativas, tales como: 1) </w:t>
      </w:r>
      <w:r>
        <w:rPr>
          <w:rFonts w:ascii="Cambria" w:eastAsia="Cambria" w:hAnsi="Cambria" w:cs="Cambria"/>
          <w:b/>
          <w:sz w:val="16"/>
          <w:szCs w:val="16"/>
        </w:rPr>
        <w:t>proyecto de ley N.º 05216/2022-CR</w:t>
      </w:r>
      <w:r>
        <w:rPr>
          <w:rFonts w:ascii="Cambria" w:eastAsia="Cambria" w:hAnsi="Cambria" w:cs="Cambria"/>
          <w:sz w:val="16"/>
          <w:szCs w:val="16"/>
        </w:rPr>
        <w:t xml:space="preserve">, “ley de denuncia de la Convención Americana de Derechos Humanos”; 2) </w:t>
      </w:r>
      <w:r>
        <w:rPr>
          <w:rFonts w:ascii="Cambria" w:eastAsia="Cambria" w:hAnsi="Cambria" w:cs="Cambria"/>
          <w:b/>
          <w:sz w:val="16"/>
          <w:szCs w:val="16"/>
        </w:rPr>
        <w:t>proyecto de ley N.º 03494/2022-CR, “</w:t>
      </w:r>
      <w:r>
        <w:rPr>
          <w:rFonts w:ascii="Cambria" w:eastAsia="Cambria" w:hAnsi="Cambria" w:cs="Cambria"/>
          <w:sz w:val="16"/>
          <w:szCs w:val="16"/>
        </w:rPr>
        <w:t xml:space="preserve">ley que denuncia a la Convención Americana sobre Derechos Humanos (Pacto San José de Costa Rica) para restablecer la pena de muerte en el Perú, devolviendo así la soberanía absoluta en materia penal acerca de la pena capital en el país”; 3) </w:t>
      </w:r>
      <w:r>
        <w:rPr>
          <w:rFonts w:ascii="Cambria" w:eastAsia="Cambria" w:hAnsi="Cambria" w:cs="Cambria"/>
          <w:b/>
          <w:sz w:val="16"/>
          <w:szCs w:val="16"/>
        </w:rPr>
        <w:t xml:space="preserve">proyecto de ley N.º 05582/2022-CR, </w:t>
      </w:r>
      <w:r>
        <w:rPr>
          <w:rFonts w:ascii="Cambria" w:eastAsia="Cambria" w:hAnsi="Cambria" w:cs="Cambria"/>
          <w:sz w:val="16"/>
          <w:szCs w:val="16"/>
        </w:rPr>
        <w:t>“ley que propone declarar de interés nacional la denuncia de la Convención Americana sobre Derechos Humanos y el retiro de la competencia contenciosa de La Corte Interamericana de Derechos Humanos”</w:t>
      </w:r>
      <w:r>
        <w:rPr>
          <w:rFonts w:ascii="Cambria" w:eastAsia="Cambria" w:hAnsi="Cambria" w:cs="Cambria"/>
          <w:b/>
          <w:sz w:val="16"/>
          <w:szCs w:val="16"/>
        </w:rPr>
        <w:t>.</w:t>
      </w:r>
    </w:p>
  </w:endnote>
  <w:endnote w:id="17">
    <w:p w14:paraId="3E594ED6" w14:textId="7B91C261" w:rsidR="004B7835" w:rsidRDefault="004B7835" w:rsidP="00DB0539">
      <w:pPr>
        <w:pStyle w:val="EndnoteText"/>
        <w:ind w:left="540" w:hanging="540"/>
        <w:jc w:val="both"/>
      </w:pPr>
      <w:r>
        <w:rPr>
          <w:rStyle w:val="EndnoteReference"/>
        </w:rPr>
        <w:endnoteRef/>
      </w:r>
      <w:r>
        <w:rPr>
          <w:rFonts w:ascii="Cambria" w:eastAsia="Cambria" w:hAnsi="Cambria" w:cs="Cambria"/>
          <w:sz w:val="16"/>
          <w:szCs w:val="16"/>
        </w:rPr>
        <w:t>Congreso de la República. Dictamen de Comisión de Relaciones Exteriores. 5 de junio de 2024. Disponible en: &lt;</w:t>
      </w:r>
      <w:hyperlink r:id="rId3">
        <w:r>
          <w:rPr>
            <w:rFonts w:ascii="Cambria" w:eastAsia="Cambria" w:hAnsi="Cambria" w:cs="Cambria"/>
            <w:color w:val="1155CC"/>
            <w:sz w:val="16"/>
            <w:szCs w:val="16"/>
            <w:u w:val="single"/>
          </w:rPr>
          <w:t>https://wb2server.congreso.gob.pe/spley-portal-service/archivo/MTkzNDEw/pdf</w:t>
        </w:r>
      </w:hyperlink>
      <w:r>
        <w:rPr>
          <w:rFonts w:ascii="Cambria" w:eastAsia="Cambria" w:hAnsi="Cambria" w:cs="Cambria"/>
          <w:sz w:val="16"/>
          <w:szCs w:val="16"/>
        </w:rPr>
        <w:t>&gt; (revisado el 11 de diciembre de 2024).</w:t>
      </w:r>
    </w:p>
  </w:endnote>
  <w:endnote w:id="18">
    <w:p w14:paraId="7494F422" w14:textId="4418A2BB" w:rsidR="004B7835" w:rsidRDefault="004B7835" w:rsidP="00DB0539">
      <w:pPr>
        <w:pStyle w:val="EndnoteText"/>
        <w:ind w:left="540" w:hanging="540"/>
        <w:jc w:val="both"/>
      </w:pPr>
      <w:r>
        <w:rPr>
          <w:rStyle w:val="EndnoteReference"/>
        </w:rPr>
        <w:endnoteRef/>
      </w:r>
      <w:r>
        <w:rPr>
          <w:rFonts w:ascii="Cambria" w:eastAsia="Cambria" w:hAnsi="Cambria" w:cs="Cambria"/>
          <w:color w:val="000000"/>
          <w:sz w:val="16"/>
          <w:szCs w:val="16"/>
        </w:rPr>
        <w:t xml:space="preserve">Twitter, Post Canadá en Perú. Comunicado conjunto, Creación de APCI. Disponible en:&lt; </w:t>
      </w:r>
      <w:hyperlink r:id="rId4">
        <w:r>
          <w:rPr>
            <w:rFonts w:ascii="Cambria" w:eastAsia="Cambria" w:hAnsi="Cambria" w:cs="Cambria"/>
            <w:color w:val="467886"/>
            <w:sz w:val="16"/>
            <w:szCs w:val="16"/>
            <w:u w:val="single"/>
          </w:rPr>
          <w:t>https://x.com/CanadaenPeru/status/1800285498851864800</w:t>
        </w:r>
      </w:hyperlink>
      <w:r>
        <w:rPr>
          <w:rFonts w:ascii="Cambria" w:eastAsia="Cambria" w:hAnsi="Cambria" w:cs="Cambria"/>
          <w:color w:val="000000"/>
          <w:sz w:val="16"/>
          <w:szCs w:val="16"/>
        </w:rPr>
        <w:t>&gt; (revisado el 5 de diciembre de 2024).</w:t>
      </w:r>
    </w:p>
  </w:endnote>
  <w:endnote w:id="19">
    <w:p w14:paraId="0C58CA7B" w14:textId="672D5297" w:rsidR="004B7835" w:rsidRDefault="004B7835" w:rsidP="00DB0539">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Naciones Unidas. Mandatos de la Relatora Especial sobre los derechos a la libertad de reunión pacífica y de asociación, la Relatora Especial sobre la promoción y protección del derecho a la libertad de opinión y de expresión, la Relatora Especial sobre la situación de los defensores de derechos humanos y del Relator Especial sobre la promoción y la protección de los derechos humanos y las libertades fundamentales en la lucha contra el terrorismo.</w:t>
      </w:r>
      <w:r>
        <w:rPr>
          <w:rFonts w:ascii="Cambria" w:eastAsia="Cambria" w:hAnsi="Cambria" w:cs="Cambria"/>
          <w:i/>
          <w:color w:val="000000"/>
          <w:sz w:val="16"/>
          <w:szCs w:val="16"/>
        </w:rPr>
        <w:t xml:space="preserve"> </w:t>
      </w:r>
      <w:hyperlink r:id="rId5">
        <w:r>
          <w:rPr>
            <w:rFonts w:ascii="Cambria" w:eastAsia="Cambria" w:hAnsi="Cambria" w:cs="Cambria"/>
            <w:i/>
            <w:color w:val="000000"/>
            <w:sz w:val="16"/>
            <w:szCs w:val="16"/>
            <w:u w:val="single"/>
          </w:rPr>
          <w:t>OL PER 4/2024</w:t>
        </w:r>
      </w:hyperlink>
      <w:r>
        <w:rPr>
          <w:rFonts w:ascii="Cambria" w:eastAsia="Cambria" w:hAnsi="Cambria" w:cs="Cambria"/>
          <w:color w:val="000000"/>
          <w:sz w:val="16"/>
          <w:szCs w:val="16"/>
        </w:rPr>
        <w:t>. 19 de junio de 2024, pág. 6.</w:t>
      </w:r>
    </w:p>
  </w:endnote>
  <w:endnote w:id="20">
    <w:p w14:paraId="7B53A75A" w14:textId="1100E77E" w:rsidR="004B7835" w:rsidRDefault="004B7835"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El Peruano, </w:t>
      </w:r>
      <w:hyperlink r:id="rId6">
        <w:r>
          <w:rPr>
            <w:rFonts w:ascii="Cambria" w:eastAsia="Cambria" w:hAnsi="Cambria" w:cs="Cambria"/>
            <w:i/>
            <w:color w:val="000000"/>
            <w:sz w:val="16"/>
            <w:szCs w:val="16"/>
            <w:u w:val="single"/>
          </w:rPr>
          <w:t>“Aprueban por insistencia proyecto de ley que reconoce derechos al concebido”</w:t>
        </w:r>
      </w:hyperlink>
      <w:r>
        <w:rPr>
          <w:rFonts w:ascii="Cambria" w:eastAsia="Cambria" w:hAnsi="Cambria" w:cs="Cambria"/>
          <w:i/>
          <w:color w:val="000000"/>
          <w:sz w:val="16"/>
          <w:szCs w:val="16"/>
        </w:rPr>
        <w:t xml:space="preserve">, </w:t>
      </w:r>
      <w:r>
        <w:rPr>
          <w:rFonts w:ascii="Cambria" w:eastAsia="Cambria" w:hAnsi="Cambria" w:cs="Cambria"/>
          <w:color w:val="000000"/>
          <w:sz w:val="16"/>
          <w:szCs w:val="16"/>
        </w:rPr>
        <w:t>9 de noviembre de 2023.</w:t>
      </w:r>
    </w:p>
  </w:endnote>
  <w:endnote w:id="21">
    <w:p w14:paraId="1DA4726E" w14:textId="76C176F7" w:rsidR="004B7835" w:rsidRDefault="004B7835"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Congreso de la República. Proyecto de Ley 785/2021-CR, </w:t>
      </w:r>
      <w:hyperlink r:id="rId7">
        <w:r>
          <w:rPr>
            <w:rFonts w:ascii="Cambria" w:eastAsia="Cambria" w:hAnsi="Cambria" w:cs="Cambria"/>
            <w:i/>
            <w:color w:val="000000"/>
            <w:sz w:val="16"/>
            <w:szCs w:val="16"/>
            <w:u w:val="single"/>
          </w:rPr>
          <w:t>“Proyecto de ley que reconoce derechos al concebido”,</w:t>
        </w:r>
      </w:hyperlink>
      <w:r>
        <w:rPr>
          <w:rFonts w:ascii="Cambria" w:eastAsia="Cambria" w:hAnsi="Cambria" w:cs="Cambria"/>
          <w:color w:val="000000"/>
          <w:sz w:val="16"/>
          <w:szCs w:val="16"/>
        </w:rPr>
        <w:t xml:space="preserve"> presentado el 18 de noviembre de 2021.</w:t>
      </w:r>
    </w:p>
  </w:endnote>
  <w:endnote w:id="22">
    <w:p w14:paraId="580AEDE4" w14:textId="3A86BF4A" w:rsidR="004B7835" w:rsidRDefault="004B7835"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Varias instituciones estatales se han pronunciado mostrando su preocupación por la aprobación de esta iniciativa. Defensoría del Pueblo,</w:t>
      </w:r>
      <w:r>
        <w:rPr>
          <w:rFonts w:ascii="Cambria" w:eastAsia="Cambria" w:hAnsi="Cambria" w:cs="Cambria"/>
          <w:i/>
          <w:color w:val="000000"/>
          <w:sz w:val="16"/>
          <w:szCs w:val="16"/>
        </w:rPr>
        <w:t xml:space="preserve"> </w:t>
      </w:r>
      <w:hyperlink r:id="rId8">
        <w:r>
          <w:rPr>
            <w:rFonts w:ascii="Cambria" w:eastAsia="Cambria" w:hAnsi="Cambria" w:cs="Cambria"/>
            <w:i/>
            <w:color w:val="000000"/>
            <w:sz w:val="16"/>
            <w:szCs w:val="16"/>
            <w:u w:val="single"/>
          </w:rPr>
          <w:t>“DP expresa discrepancias con el proyecto de ley que reconoce derechos al concebido”</w:t>
        </w:r>
      </w:hyperlink>
      <w:r>
        <w:rPr>
          <w:rFonts w:ascii="Cambria" w:eastAsia="Cambria" w:hAnsi="Cambria" w:cs="Cambria"/>
          <w:color w:val="000000"/>
          <w:sz w:val="16"/>
          <w:szCs w:val="16"/>
        </w:rPr>
        <w:t xml:space="preserve">, 10 de noviembre de 2023; MIMP, November 9, 2023. Disponible en: </w:t>
      </w:r>
      <w:hyperlink r:id="rId9" w:history="1">
        <w:r w:rsidRPr="005A625A">
          <w:rPr>
            <w:rStyle w:val="Hyperlink"/>
            <w:rFonts w:ascii="Cambria" w:eastAsia="Cambria" w:hAnsi="Cambria" w:cs="Cambria"/>
            <w:sz w:val="16"/>
            <w:szCs w:val="16"/>
          </w:rPr>
          <w:t>https://x.com/MimpPeru/status/1722808058374422791?mx=2</w:t>
        </w:r>
      </w:hyperlink>
      <w:r>
        <w:rPr>
          <w:rFonts w:ascii="Cambria" w:eastAsia="Cambria" w:hAnsi="Cambria" w:cs="Cambria"/>
          <w:color w:val="000000"/>
          <w:sz w:val="16"/>
          <w:szCs w:val="16"/>
        </w:rPr>
        <w:t xml:space="preserve"> (revisado el 11 de </w:t>
      </w:r>
      <w:r w:rsidR="00620666">
        <w:rPr>
          <w:rFonts w:ascii="Cambria" w:eastAsia="Cambria" w:hAnsi="Cambria" w:cs="Cambria"/>
          <w:color w:val="000000"/>
          <w:sz w:val="16"/>
          <w:szCs w:val="16"/>
        </w:rPr>
        <w:t xml:space="preserve">diciembre </w:t>
      </w:r>
      <w:r>
        <w:rPr>
          <w:rFonts w:ascii="Cambria" w:eastAsia="Cambria" w:hAnsi="Cambria" w:cs="Cambria"/>
          <w:color w:val="000000"/>
          <w:sz w:val="16"/>
          <w:szCs w:val="16"/>
        </w:rPr>
        <w:t>de 2024).  Asimismo, MESECVI se pronunció expresando su preocupación por la aprobación de esta iniciativa. Disponible en: &lt;</w:t>
      </w:r>
      <w:hyperlink r:id="rId10">
        <w:r>
          <w:rPr>
            <w:rFonts w:ascii="Cambria" w:eastAsia="Cambria" w:hAnsi="Cambria" w:cs="Cambria"/>
            <w:color w:val="467886"/>
            <w:sz w:val="16"/>
            <w:szCs w:val="16"/>
            <w:u w:val="single"/>
          </w:rPr>
          <w:t>https://twitter.com/MESECVI/status/1723128814341882149</w:t>
        </w:r>
      </w:hyperlink>
      <w:r>
        <w:rPr>
          <w:rFonts w:ascii="Cambria" w:eastAsia="Cambria" w:hAnsi="Cambria" w:cs="Cambria"/>
          <w:color w:val="000000"/>
          <w:sz w:val="16"/>
          <w:szCs w:val="16"/>
          <w:u w:val="single"/>
        </w:rPr>
        <w:t>&gt;</w:t>
      </w:r>
      <w:r>
        <w:rPr>
          <w:rFonts w:ascii="Cambria" w:eastAsia="Cambria" w:hAnsi="Cambria" w:cs="Cambria"/>
          <w:color w:val="000000"/>
          <w:sz w:val="16"/>
          <w:szCs w:val="16"/>
        </w:rPr>
        <w:t xml:space="preserve"> (revisado el 05 de diciembre de 2024).</w:t>
      </w:r>
    </w:p>
  </w:endnote>
  <w:endnote w:id="23">
    <w:p w14:paraId="7CE5BEF4" w14:textId="517E6D4E" w:rsidR="004B7835" w:rsidRDefault="004B7835"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El Peruano, </w:t>
      </w:r>
      <w:hyperlink r:id="rId11">
        <w:r>
          <w:rPr>
            <w:rFonts w:ascii="Cambria" w:eastAsia="Cambria" w:hAnsi="Cambria" w:cs="Cambria"/>
            <w:i/>
            <w:color w:val="000000"/>
            <w:sz w:val="16"/>
            <w:szCs w:val="16"/>
            <w:u w:val="single"/>
          </w:rPr>
          <w:t>“Ley que reconoce derechos al concebido”</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15 de noviembre de 2023.</w:t>
      </w:r>
    </w:p>
  </w:endnote>
  <w:endnote w:id="24">
    <w:p w14:paraId="2F01E11E" w14:textId="73782F7B" w:rsidR="004B7835" w:rsidRDefault="004B7835"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Nota de prensa. Manuela Ramos, </w:t>
      </w:r>
      <w:hyperlink r:id="rId12">
        <w:r>
          <w:rPr>
            <w:rFonts w:ascii="Cambria" w:eastAsia="Cambria" w:hAnsi="Cambria" w:cs="Cambria"/>
            <w:i/>
            <w:color w:val="000000"/>
            <w:sz w:val="16"/>
            <w:szCs w:val="16"/>
            <w:u w:val="single"/>
          </w:rPr>
          <w:t>“Organizaciones y sociedad civil, demuestran rechazo ante proyecto de ley que busca limitar el aborto terapéutico en Perú</w:t>
        </w:r>
      </w:hyperlink>
      <w:r>
        <w:rPr>
          <w:rFonts w:ascii="Cambria" w:eastAsia="Cambria" w:hAnsi="Cambria" w:cs="Cambria"/>
          <w:i/>
          <w:color w:val="000000"/>
          <w:sz w:val="16"/>
          <w:szCs w:val="16"/>
        </w:rPr>
        <w:t>”</w:t>
      </w:r>
      <w:r>
        <w:rPr>
          <w:rFonts w:ascii="Cambria" w:eastAsia="Cambria" w:hAnsi="Cambria" w:cs="Cambria"/>
          <w:color w:val="000000"/>
          <w:sz w:val="16"/>
          <w:szCs w:val="16"/>
        </w:rPr>
        <w:t>, 19 de abril de 2023.</w:t>
      </w:r>
    </w:p>
  </w:endnote>
  <w:endnote w:id="25">
    <w:p w14:paraId="3A4EA7EA" w14:textId="250BEBB8" w:rsidR="004B7835" w:rsidRDefault="004B7835"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El Peruano, </w:t>
      </w:r>
      <w:hyperlink r:id="rId13" w:anchor=":~:text=12%2F04%2F2024%20En%2030,embarazo%20de%20la%20madre%20gestante.">
        <w:r>
          <w:rPr>
            <w:rFonts w:ascii="Cambria" w:eastAsia="Cambria" w:hAnsi="Cambria" w:cs="Cambria"/>
            <w:i/>
            <w:color w:val="000000"/>
            <w:sz w:val="16"/>
            <w:szCs w:val="16"/>
            <w:u w:val="single"/>
          </w:rPr>
          <w:t>“Ley  Nro. 32000: protegen embarazo y a la madre gestante”</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13 de abril de 2024.</w:t>
      </w:r>
    </w:p>
  </w:endnote>
  <w:endnote w:id="26">
    <w:p w14:paraId="1410F3A1" w14:textId="4AFEC414" w:rsidR="004B7835" w:rsidRDefault="004B7835"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Comité CEDAW, </w:t>
      </w:r>
      <w:r>
        <w:rPr>
          <w:rFonts w:ascii="Cambria" w:eastAsia="Cambria" w:hAnsi="Cambria" w:cs="Cambria"/>
          <w:i/>
          <w:color w:val="000000"/>
          <w:sz w:val="16"/>
          <w:szCs w:val="16"/>
        </w:rPr>
        <w:t>L.C. vs. Perú</w:t>
      </w:r>
      <w:r>
        <w:rPr>
          <w:rFonts w:ascii="Cambria" w:eastAsia="Cambria" w:hAnsi="Cambria" w:cs="Cambria"/>
          <w:color w:val="000000"/>
          <w:sz w:val="16"/>
          <w:szCs w:val="16"/>
        </w:rPr>
        <w:t xml:space="preserve">, Comunicación No. 22/2009, U.N. Doc. CEDAW/C/50/D/22/2009 (2011), párr. 8.15. En adelante [“Comité CEDAW, </w:t>
      </w:r>
      <w:r>
        <w:rPr>
          <w:rFonts w:ascii="Cambria" w:eastAsia="Cambria" w:hAnsi="Cambria" w:cs="Cambria"/>
          <w:i/>
          <w:color w:val="000000"/>
          <w:sz w:val="16"/>
          <w:szCs w:val="16"/>
        </w:rPr>
        <w:t>L.C. vs. Perú (2011)”</w:t>
      </w:r>
      <w:r>
        <w:rPr>
          <w:rFonts w:ascii="Cambria" w:eastAsia="Cambria" w:hAnsi="Cambria" w:cs="Cambria"/>
          <w:color w:val="000000"/>
          <w:sz w:val="16"/>
          <w:szCs w:val="16"/>
        </w:rPr>
        <w:t>].</w:t>
      </w:r>
    </w:p>
  </w:endnote>
  <w:endnote w:id="27">
    <w:p w14:paraId="4B22E373" w14:textId="3B811764"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(Perú), UN Doc. CRC/C/PER/QPR/6-7, párr. 17 (e).</w:t>
      </w:r>
    </w:p>
  </w:endnote>
  <w:endnote w:id="28">
    <w:p w14:paraId="579C8A38" w14:textId="17866FDB" w:rsidR="00E82664" w:rsidRDefault="00E82664" w:rsidP="00DB0539">
      <w:pPr>
        <w:pStyle w:val="EndnoteText"/>
        <w:jc w:val="both"/>
      </w:pPr>
      <w:r>
        <w:rPr>
          <w:rStyle w:val="EndnoteReference"/>
        </w:rPr>
        <w:endnoteRef/>
      </w:r>
      <w:r>
        <w:t xml:space="preserve"> </w:t>
      </w:r>
      <w:r>
        <w:rPr>
          <w:rFonts w:ascii="Cambria" w:eastAsia="Cambria" w:hAnsi="Cambria" w:cs="Cambria"/>
          <w:i/>
          <w:color w:val="000000"/>
          <w:sz w:val="16"/>
          <w:szCs w:val="16"/>
        </w:rPr>
        <w:t>Ibídem</w:t>
      </w:r>
      <w:r>
        <w:rPr>
          <w:rFonts w:ascii="Cambria" w:eastAsia="Cambria" w:hAnsi="Cambria" w:cs="Cambria"/>
          <w:color w:val="000000"/>
          <w:sz w:val="16"/>
          <w:szCs w:val="16"/>
        </w:rPr>
        <w:t>., párr. 11 (b).</w:t>
      </w:r>
    </w:p>
  </w:endnote>
  <w:endnote w:id="29">
    <w:p w14:paraId="16D87A04" w14:textId="2F56FB68" w:rsidR="00E82664" w:rsidRDefault="00E82664" w:rsidP="00DB0539">
      <w:pPr>
        <w:pStyle w:val="EndnoteText"/>
        <w:jc w:val="both"/>
      </w:pPr>
      <w:r>
        <w:rPr>
          <w:rStyle w:val="EndnoteReference"/>
        </w:rPr>
        <w:endnoteRef/>
      </w:r>
      <w:r>
        <w:t xml:space="preserve"> </w:t>
      </w:r>
      <w:r>
        <w:rPr>
          <w:rFonts w:ascii="Cambria" w:eastAsia="Cambria" w:hAnsi="Cambria" w:cs="Cambria"/>
          <w:i/>
          <w:color w:val="000000"/>
          <w:sz w:val="16"/>
          <w:szCs w:val="16"/>
        </w:rPr>
        <w:t>Ibídem</w:t>
      </w:r>
      <w:r>
        <w:rPr>
          <w:rFonts w:ascii="Cambria" w:eastAsia="Cambria" w:hAnsi="Cambria" w:cs="Cambria"/>
          <w:color w:val="000000"/>
          <w:sz w:val="16"/>
          <w:szCs w:val="16"/>
        </w:rPr>
        <w:t>., párr. 18 (d).</w:t>
      </w:r>
    </w:p>
  </w:endnote>
  <w:endnote w:id="30">
    <w:p w14:paraId="3A3D4CB4" w14:textId="1C8C3DD6"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Nota de prensa. Manuela Ramos, </w:t>
      </w:r>
      <w:hyperlink r:id="rId14">
        <w:r>
          <w:rPr>
            <w:rFonts w:ascii="Cambria" w:eastAsia="Cambria" w:hAnsi="Cambria" w:cs="Cambria"/>
            <w:i/>
            <w:color w:val="000000"/>
            <w:sz w:val="16"/>
            <w:szCs w:val="16"/>
            <w:u w:val="single"/>
          </w:rPr>
          <w:t>“La sociedad está cambiando, ¿por qué las leyes no?”</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14 de marzo de 2023. Promsex y Manuela Ramos llevaron a cabo una encuest</w:t>
      </w:r>
      <w:r w:rsidR="00604D64">
        <w:rPr>
          <w:rFonts w:ascii="Cambria" w:eastAsia="Cambria" w:hAnsi="Cambria" w:cs="Cambria"/>
          <w:color w:val="000000"/>
          <w:sz w:val="16"/>
          <w:szCs w:val="16"/>
        </w:rPr>
        <w:t>a,</w:t>
      </w:r>
      <w:r>
        <w:rPr>
          <w:rFonts w:ascii="Cambria" w:eastAsia="Cambria" w:hAnsi="Cambria" w:cs="Cambria"/>
          <w:color w:val="000000"/>
          <w:sz w:val="16"/>
          <w:szCs w:val="16"/>
        </w:rPr>
        <w:t xml:space="preserve"> denominada “Sexualidad, Reproducción y Desigualdades de Género”.</w:t>
      </w:r>
    </w:p>
  </w:endnote>
  <w:endnote w:id="31">
    <w:p w14:paraId="603B8817" w14:textId="779C9A66"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Fondo de Población de Naciones Unidas, UNFPA, </w:t>
      </w:r>
      <w:hyperlink r:id="rId15" w:history="1">
        <w:r w:rsidRPr="007F2CDD">
          <w:rPr>
            <w:rStyle w:val="Hyperlink"/>
            <w:rFonts w:ascii="Cambria" w:eastAsia="Cambria" w:hAnsi="Cambria" w:cs="Cambria"/>
            <w:i/>
            <w:iCs/>
            <w:sz w:val="16"/>
            <w:szCs w:val="16"/>
          </w:rPr>
          <w:t>“Perú: maternidad en niñas entre 10y 14 años creció 40% entre 2020 y 2022”</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20 de septiembre de 2023.</w:t>
      </w:r>
    </w:p>
  </w:endnote>
  <w:endnote w:id="32">
    <w:p w14:paraId="1C2290B7" w14:textId="60696C96"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Fondo de Población de Naciones Unidas, UNFPA. </w:t>
      </w:r>
      <w:r>
        <w:rPr>
          <w:rFonts w:ascii="Cambria" w:eastAsia="Cambria" w:hAnsi="Cambria" w:cs="Cambria"/>
          <w:i/>
          <w:color w:val="000000"/>
          <w:sz w:val="16"/>
          <w:szCs w:val="16"/>
        </w:rPr>
        <w:t>Tablero digital sobre el embarazo y la maternidad en niñas y adolescentes en el Perú</w:t>
      </w:r>
      <w:r>
        <w:rPr>
          <w:rFonts w:ascii="Cambria" w:eastAsia="Cambria" w:hAnsi="Cambria" w:cs="Cambria"/>
          <w:color w:val="000000"/>
          <w:sz w:val="16"/>
          <w:szCs w:val="16"/>
        </w:rPr>
        <w:t>. Disponible en:&lt; https://peru.unfpa.org/es/mapa-embarazo-y-maternidad-adolescentes-peru&gt; (revisado el 7 de diciembre de 2024).</w:t>
      </w:r>
    </w:p>
  </w:endnote>
  <w:endnote w:id="33">
    <w:p w14:paraId="269FF99E" w14:textId="378A8BB0"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Fondo de Población de Naciones Unidas, AECID y otros (2009). Hoja de datos, 3. Violencia contra las adolescentes.</w:t>
      </w:r>
    </w:p>
  </w:endnote>
  <w:endnote w:id="34">
    <w:p w14:paraId="1D3210CB" w14:textId="7A6DE9A5"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Entre los lineamientos, tenemos: i) Norma Técnica N.º 034-MINSA/DGSP-v.01 “Norma Técnica de Atención Integral de la Salud en la Etapa de Vida Adolescente” aprobada mediante Resolución Ministerial N.º 633-2005/MINSA de fecha 22 de agosto de 2005 y se actualizó mediante la Resolución Ministerial N.º 973-2012/MINSA de fecha 7 de diciembre de 2012; ii) mediante la Resolución Ministerial N.º 503-2012/MINSA de fecha 15 de junio de 2012 se aprobó la Norma Técnica N.º 095-MINSA/DGSP.V.01, “Norma Técnica de Salud: Criterios y Estándares de Evaluación de Servicios Diferenciados de Atención Integral de Salud para Adolescentes” y; iii) Norma Técnica 124-2016, “Norma Técnica de Salud de Planificación Familiar” aprobada mediante Resolución Ministerial N.º 652-2016/MINSA. Item 6.3 sobre orientación y consejería, entre otros lineamientos y directivas.</w:t>
      </w:r>
    </w:p>
  </w:endnote>
  <w:endnote w:id="35">
    <w:p w14:paraId="2AEF172D" w14:textId="0038E2E4"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Resolución Ministerial </w:t>
      </w:r>
      <w:r w:rsidR="00620666">
        <w:rPr>
          <w:rFonts w:ascii="Cambria" w:eastAsia="Cambria" w:hAnsi="Cambria" w:cs="Cambria"/>
          <w:color w:val="000000"/>
          <w:sz w:val="16"/>
          <w:szCs w:val="16"/>
        </w:rPr>
        <w:t xml:space="preserve">N.º </w:t>
      </w:r>
      <w:r>
        <w:rPr>
          <w:rFonts w:ascii="Cambria" w:eastAsia="Cambria" w:hAnsi="Cambria" w:cs="Cambria"/>
          <w:color w:val="000000"/>
          <w:sz w:val="16"/>
          <w:szCs w:val="16"/>
        </w:rPr>
        <w:t xml:space="preserve">227-2019/MINSA de 8 de marzo de 2019, mediante la cual se aprueba la </w:t>
      </w:r>
      <w:r>
        <w:rPr>
          <w:rFonts w:ascii="Cambria" w:eastAsia="Cambria" w:hAnsi="Cambria" w:cs="Cambria"/>
          <w:i/>
          <w:color w:val="000000"/>
          <w:sz w:val="16"/>
          <w:szCs w:val="16"/>
        </w:rPr>
        <w:t>Directiva Sanitaria No. 083-MINSA/2019/DGIESP "</w:t>
      </w:r>
      <w:hyperlink r:id="rId16">
        <w:r>
          <w:rPr>
            <w:rFonts w:ascii="Cambria" w:eastAsia="Cambria" w:hAnsi="Cambria" w:cs="Cambria"/>
            <w:i/>
            <w:color w:val="000000"/>
            <w:sz w:val="16"/>
            <w:szCs w:val="16"/>
            <w:u w:val="single"/>
          </w:rPr>
          <w:t>Directiva Sanitaria para el uso del Kit para la atención de casos de Violencia Sexual"</w:t>
        </w:r>
      </w:hyperlink>
      <w:hyperlink r:id="rId17">
        <w:r>
          <w:rPr>
            <w:rFonts w:ascii="Cambria" w:eastAsia="Cambria" w:hAnsi="Cambria" w:cs="Cambria"/>
            <w:color w:val="000000"/>
            <w:sz w:val="16"/>
            <w:szCs w:val="16"/>
            <w:u w:val="single"/>
          </w:rPr>
          <w:t>.</w:t>
        </w:r>
      </w:hyperlink>
      <w:r>
        <w:rPr>
          <w:rFonts w:ascii="Cambria" w:eastAsia="Cambria" w:hAnsi="Cambria" w:cs="Cambria"/>
          <w:color w:val="000000"/>
          <w:sz w:val="16"/>
          <w:szCs w:val="16"/>
          <w:u w:val="single"/>
        </w:rPr>
        <w:t xml:space="preserve"> </w:t>
      </w:r>
      <w:r>
        <w:rPr>
          <w:rFonts w:ascii="Cambria" w:eastAsia="Cambria" w:hAnsi="Cambria" w:cs="Cambria"/>
          <w:color w:val="000000"/>
          <w:sz w:val="16"/>
          <w:szCs w:val="16"/>
        </w:rPr>
        <w:t>Dentro del kit de emergencia esta el anticonceptivo oral de emergencia.</w:t>
      </w:r>
    </w:p>
  </w:endnote>
  <w:endnote w:id="36">
    <w:p w14:paraId="701FEF25" w14:textId="6DADEC05"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La República, ‘</w:t>
      </w:r>
      <w:hyperlink r:id="rId18">
        <w:r>
          <w:rPr>
            <w:rFonts w:ascii="Cambria" w:eastAsia="Cambria" w:hAnsi="Cambria" w:cs="Cambria"/>
            <w:i/>
            <w:color w:val="000000"/>
            <w:sz w:val="16"/>
            <w:szCs w:val="16"/>
            <w:u w:val="single"/>
          </w:rPr>
          <w:t>Aún hay trabas en entrega de la píldora del día siguiente</w:t>
        </w:r>
      </w:hyperlink>
      <w:r>
        <w:rPr>
          <w:rFonts w:ascii="Cambria" w:eastAsia="Cambria" w:hAnsi="Cambria" w:cs="Cambria"/>
          <w:i/>
          <w:color w:val="000000"/>
          <w:sz w:val="16"/>
          <w:szCs w:val="16"/>
          <w:u w:val="single"/>
        </w:rPr>
        <w:t>’</w:t>
      </w:r>
      <w:r>
        <w:rPr>
          <w:rFonts w:ascii="Cambria" w:eastAsia="Cambria" w:hAnsi="Cambria" w:cs="Cambria"/>
          <w:color w:val="000000"/>
          <w:sz w:val="16"/>
          <w:szCs w:val="16"/>
        </w:rPr>
        <w:t>, 28 de octubre de 2019.</w:t>
      </w:r>
    </w:p>
  </w:endnote>
  <w:endnote w:id="37">
    <w:p w14:paraId="514AF5AE" w14:textId="0CBBEB20"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Promsex. Respuesta del Ministerio de Salud a solicitud de información pública, mediante Oficio Nº 652-2019 de fecha 22 de marzo de 2019.</w:t>
      </w:r>
    </w:p>
  </w:endnote>
  <w:endnote w:id="38">
    <w:p w14:paraId="4FF037C8" w14:textId="3B5607F1"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Mesa de Vigilancia Ciudadana en Derechos Sexuales y Reproductivos, </w:t>
      </w:r>
      <w:hyperlink r:id="rId19">
        <w:r>
          <w:rPr>
            <w:rFonts w:ascii="Cambria" w:eastAsia="Cambria" w:hAnsi="Cambria" w:cs="Cambria"/>
            <w:i/>
            <w:color w:val="000000"/>
            <w:sz w:val="16"/>
            <w:szCs w:val="16"/>
            <w:u w:val="single"/>
          </w:rPr>
          <w:t>“Informe sobre el progreso y las brechas en la implementación de derechos, salud y justicia sexual y reproductiva en el 10 aniversario del Consenso de Montevideo en Perú”</w:t>
        </w:r>
      </w:hyperlink>
      <w:r>
        <w:rPr>
          <w:rFonts w:ascii="Cambria" w:eastAsia="Cambria" w:hAnsi="Cambria" w:cs="Cambria"/>
          <w:color w:val="000000"/>
          <w:sz w:val="16"/>
          <w:szCs w:val="16"/>
        </w:rPr>
        <w:t>, noviembre 2023.</w:t>
      </w:r>
    </w:p>
  </w:endnote>
  <w:endnote w:id="39">
    <w:p w14:paraId="2A9BDED4" w14:textId="02306B47"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Defensoría de Pueblo. </w:t>
      </w:r>
      <w:r>
        <w:rPr>
          <w:rFonts w:ascii="Cambria" w:eastAsia="Cambria" w:hAnsi="Cambria" w:cs="Cambria"/>
          <w:i/>
          <w:color w:val="000000"/>
          <w:sz w:val="16"/>
          <w:szCs w:val="16"/>
        </w:rPr>
        <w:t>“Derecho a la Salud Materna. Seguimiento de las Recomendaciones Defensoriales a Establecimientos de Salud en Arequipa, Junín, Lima, Piura y Puno”</w:t>
      </w:r>
      <w:r>
        <w:rPr>
          <w:rFonts w:ascii="Cambria" w:eastAsia="Cambria" w:hAnsi="Cambria" w:cs="Cambria"/>
          <w:color w:val="000000"/>
          <w:sz w:val="16"/>
          <w:szCs w:val="16"/>
        </w:rPr>
        <w:t>. Serie de Informes de Adjuntía -Informe N.º 001-2017-DP/ADM 2016, pág 86.</w:t>
      </w:r>
    </w:p>
  </w:endnote>
  <w:endnote w:id="40">
    <w:p w14:paraId="055E4F44" w14:textId="10D9E230"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párr. 37 (a).</w:t>
      </w:r>
    </w:p>
  </w:endnote>
  <w:endnote w:id="41">
    <w:p w14:paraId="2CCFB9E0" w14:textId="6A26835D"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Según el Ministerio Público, de enero a octubre de 2021 se registraron 649 casos de trata a nivel nacional, siendo el 45% adolescentes entre 13 y 17 años. Nota de prensa. Manuela Ramos, </w:t>
      </w:r>
      <w:hyperlink r:id="rId20">
        <w:r>
          <w:rPr>
            <w:rFonts w:ascii="Cambria" w:eastAsia="Cambria" w:hAnsi="Cambria" w:cs="Cambria"/>
            <w:i/>
            <w:color w:val="000000"/>
            <w:sz w:val="16"/>
            <w:szCs w:val="16"/>
            <w:u w:val="single"/>
          </w:rPr>
          <w:t>“Explotación sexual infantil”,</w:t>
        </w:r>
      </w:hyperlink>
      <w:r>
        <w:rPr>
          <w:rFonts w:ascii="Cambria" w:eastAsia="Cambria" w:hAnsi="Cambria" w:cs="Cambria"/>
          <w:color w:val="000000"/>
          <w:sz w:val="16"/>
          <w:szCs w:val="16"/>
        </w:rPr>
        <w:t xml:space="preserve"> 5 de abril de 2022.</w:t>
      </w:r>
    </w:p>
  </w:endnote>
  <w:endnote w:id="42">
    <w:p w14:paraId="540CAC00" w14:textId="3FD4A422"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Observaciones Finales (2016), párr. 56(a). Lista de cuestiones (2021), párr. 22.</w:t>
      </w:r>
    </w:p>
  </w:endnote>
  <w:endnote w:id="43">
    <w:p w14:paraId="6DB5CD5A" w14:textId="55E7580F"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Nota de Prensa N.º 622/OCII/DP/2022, </w:t>
      </w:r>
      <w:hyperlink r:id="rId21">
        <w:r>
          <w:rPr>
            <w:rFonts w:ascii="Cambria" w:eastAsia="Cambria" w:hAnsi="Cambria" w:cs="Cambria"/>
            <w:i/>
            <w:color w:val="000000"/>
            <w:sz w:val="16"/>
            <w:szCs w:val="16"/>
            <w:u w:val="single"/>
          </w:rPr>
          <w:t>“Defensoría del Pueblo: situación actual del embarazo en adolescentes exige un mayor acceso a salud sexual y reproductiva y educación sexual integral</w:t>
        </w:r>
      </w:hyperlink>
      <w:r>
        <w:rPr>
          <w:rFonts w:ascii="Cambria" w:eastAsia="Cambria" w:hAnsi="Cambria" w:cs="Cambria"/>
          <w:i/>
          <w:color w:val="000000"/>
          <w:sz w:val="16"/>
          <w:szCs w:val="16"/>
        </w:rPr>
        <w:t>”</w:t>
      </w:r>
      <w:r>
        <w:rPr>
          <w:rFonts w:ascii="Cambria" w:eastAsia="Cambria" w:hAnsi="Cambria" w:cs="Cambria"/>
          <w:color w:val="000000"/>
          <w:sz w:val="16"/>
          <w:szCs w:val="16"/>
        </w:rPr>
        <w:t>, 26 de septiembre de 2022.</w:t>
      </w:r>
    </w:p>
  </w:endnote>
  <w:endnote w:id="44">
    <w:p w14:paraId="6F270DB7" w14:textId="3C7DB3E3"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El Comité de los Derechos del Niño, Observaciones Finales (2016), párr. 55(a).</w:t>
      </w:r>
    </w:p>
  </w:endnote>
  <w:endnote w:id="45">
    <w:p w14:paraId="063F4AFC" w14:textId="13FBB7D4"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Nota de Prensa N.º 622/OCII/DP/2022, </w:t>
      </w:r>
      <w:hyperlink r:id="rId22">
        <w:r>
          <w:rPr>
            <w:rFonts w:ascii="Cambria" w:eastAsia="Cambria" w:hAnsi="Cambria" w:cs="Cambria"/>
            <w:i/>
            <w:color w:val="000000"/>
            <w:sz w:val="16"/>
            <w:szCs w:val="16"/>
            <w:u w:val="single"/>
          </w:rPr>
          <w:t>“Defensoría del Pueblo: situación actual del embarazo en adolescentes exige un mayor acceso a salud sexual y reproductiva y educación sexual integral</w:t>
        </w:r>
      </w:hyperlink>
      <w:r>
        <w:rPr>
          <w:rFonts w:ascii="Cambria" w:eastAsia="Cambria" w:hAnsi="Cambria" w:cs="Cambria"/>
          <w:i/>
          <w:color w:val="000000"/>
          <w:sz w:val="16"/>
          <w:szCs w:val="16"/>
        </w:rPr>
        <w:t>”</w:t>
      </w:r>
      <w:r>
        <w:rPr>
          <w:rFonts w:ascii="Cambria" w:eastAsia="Cambria" w:hAnsi="Cambria" w:cs="Cambria"/>
          <w:color w:val="000000"/>
          <w:sz w:val="16"/>
          <w:szCs w:val="16"/>
        </w:rPr>
        <w:t>, 26 de septiembre de 2022.</w:t>
      </w:r>
    </w:p>
  </w:endnote>
  <w:endnote w:id="46">
    <w:p w14:paraId="44508584" w14:textId="12C72961"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Chirapaq</w:t>
      </w:r>
      <w:r w:rsidR="00620666">
        <w:rPr>
          <w:rFonts w:ascii="Cambria" w:eastAsia="Cambria" w:hAnsi="Cambria" w:cs="Cambria"/>
          <w:color w:val="000000"/>
          <w:sz w:val="16"/>
          <w:szCs w:val="16"/>
        </w:rPr>
        <w:t>,</w:t>
      </w:r>
      <w:r>
        <w:rPr>
          <w:rFonts w:ascii="Cambria" w:eastAsia="Cambria" w:hAnsi="Cambria" w:cs="Cambria"/>
          <w:color w:val="000000"/>
          <w:sz w:val="16"/>
          <w:szCs w:val="16"/>
        </w:rPr>
        <w:t xml:space="preserve"> </w:t>
      </w:r>
      <w:hyperlink r:id="rId23">
        <w:r>
          <w:rPr>
            <w:rFonts w:ascii="Cambria" w:eastAsia="Cambria" w:hAnsi="Cambria" w:cs="Cambria"/>
            <w:i/>
            <w:color w:val="000000"/>
            <w:sz w:val="16"/>
            <w:szCs w:val="16"/>
            <w:u w:val="single"/>
          </w:rPr>
          <w:t>“Violencia sexual contra niñas y jóvenes indígenas. Reporte Nacional”</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febrero de 2021, pág. 7.</w:t>
      </w:r>
    </w:p>
  </w:endnote>
  <w:endnote w:id="47">
    <w:p w14:paraId="019DF29B" w14:textId="3B6D74AD"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Defensoría del Pueblo.</w:t>
      </w:r>
      <w:r>
        <w:rPr>
          <w:rFonts w:ascii="Cambria" w:eastAsia="Cambria" w:hAnsi="Cambria" w:cs="Cambria"/>
          <w:i/>
          <w:color w:val="000000"/>
          <w:sz w:val="16"/>
          <w:szCs w:val="16"/>
        </w:rPr>
        <w:t xml:space="preserve"> </w:t>
      </w:r>
      <w:hyperlink r:id="rId24">
        <w:r>
          <w:rPr>
            <w:rFonts w:ascii="Cambria" w:eastAsia="Cambria" w:hAnsi="Cambria" w:cs="Cambria"/>
            <w:i/>
            <w:color w:val="000000"/>
            <w:sz w:val="16"/>
            <w:szCs w:val="16"/>
            <w:u w:val="single"/>
          </w:rPr>
          <w:t xml:space="preserve">“Situación de los derechos de las mujeres indígenas en el Perú”. </w:t>
        </w:r>
      </w:hyperlink>
      <w:r>
        <w:rPr>
          <w:rFonts w:ascii="Cambria" w:eastAsia="Cambria" w:hAnsi="Cambria" w:cs="Cambria"/>
          <w:color w:val="000000"/>
          <w:sz w:val="16"/>
          <w:szCs w:val="16"/>
        </w:rPr>
        <w:t>Lima. Informe de Adjuntía N.º</w:t>
      </w:r>
      <w:r>
        <w:rPr>
          <w:rFonts w:ascii="Cambria" w:eastAsia="Cambria" w:hAnsi="Cambria" w:cs="Cambria"/>
          <w:b/>
          <w:color w:val="000000"/>
          <w:sz w:val="16"/>
          <w:szCs w:val="16"/>
        </w:rPr>
        <w:t xml:space="preserve"> </w:t>
      </w:r>
      <w:r>
        <w:rPr>
          <w:rFonts w:ascii="Cambria" w:eastAsia="Cambria" w:hAnsi="Cambria" w:cs="Cambria"/>
          <w:color w:val="000000"/>
          <w:sz w:val="16"/>
          <w:szCs w:val="16"/>
        </w:rPr>
        <w:t>002-2019-DP/AMASPPI/PPI, diciembre de 2019.</w:t>
      </w:r>
    </w:p>
  </w:endnote>
  <w:endnote w:id="48">
    <w:p w14:paraId="790D5263" w14:textId="08764C2F"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(Perú), párr. 40 (c).</w:t>
      </w:r>
    </w:p>
  </w:endnote>
  <w:endnote w:id="49">
    <w:p w14:paraId="3B0CFAB4" w14:textId="0FF55AC3"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Encuesta Demográfica de Estadística e Informática -ENDES (2022).  Instituto Nacional de Estadística e Informática -INEI, corresponde al gráfico 3.7.  Adolescentes de 15 a 19 años que son madres o que están embarazadas por primera vez, según área de residencia, 1996-2022.</w:t>
      </w:r>
    </w:p>
  </w:endnote>
  <w:endnote w:id="50">
    <w:p w14:paraId="75CBBC62" w14:textId="45C0B226"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Se encuentra disponible en: &lt;</w:t>
      </w:r>
      <w:hyperlink r:id="rId25">
        <w:r>
          <w:rPr>
            <w:rFonts w:ascii="Cambria" w:eastAsia="Cambria" w:hAnsi="Cambria" w:cs="Cambria"/>
            <w:color w:val="467886"/>
            <w:sz w:val="16"/>
            <w:szCs w:val="16"/>
            <w:u w:val="single"/>
          </w:rPr>
          <w:t>https://www.gob.pe/inei/</w:t>
        </w:r>
      </w:hyperlink>
      <w:r>
        <w:rPr>
          <w:rFonts w:ascii="Cambria" w:eastAsia="Cambria" w:hAnsi="Cambria" w:cs="Cambria"/>
          <w:color w:val="000000"/>
          <w:sz w:val="16"/>
          <w:szCs w:val="16"/>
          <w:u w:val="single"/>
        </w:rPr>
        <w:t>&gt;</w:t>
      </w:r>
      <w:r>
        <w:rPr>
          <w:rFonts w:ascii="Cambria" w:eastAsia="Cambria" w:hAnsi="Cambria" w:cs="Cambria"/>
          <w:color w:val="000000"/>
          <w:sz w:val="16"/>
          <w:szCs w:val="16"/>
        </w:rPr>
        <w:t xml:space="preserve"> (revisado el 5 de diciembre de 2024).</w:t>
      </w:r>
    </w:p>
  </w:endnote>
  <w:endnote w:id="51">
    <w:p w14:paraId="0336DF9D" w14:textId="53426250"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Fondo de Población de Naciones Unidas, UNFPA, </w:t>
      </w:r>
      <w:hyperlink r:id="rId26" w:history="1">
        <w:r w:rsidRPr="007F2CDD">
          <w:rPr>
            <w:rStyle w:val="Hyperlink"/>
            <w:rFonts w:ascii="Cambria" w:eastAsia="Cambria" w:hAnsi="Cambria" w:cs="Cambria"/>
            <w:i/>
            <w:iCs/>
            <w:sz w:val="16"/>
            <w:szCs w:val="16"/>
          </w:rPr>
          <w:t>“Perú: maternidad en niñas entre 10y 14 años creció 40% entre 2020 y 2022”</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20 de septiembre de 2023.</w:t>
      </w:r>
    </w:p>
  </w:endnote>
  <w:endnote w:id="52">
    <w:p w14:paraId="5C41CD52" w14:textId="247ACBAB"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A pesar de que, en noviembre de 2023, el Poder Ejecutivo promulgó la </w:t>
      </w:r>
      <w:r w:rsidR="00620666">
        <w:rPr>
          <w:rFonts w:ascii="Cambria" w:eastAsia="Cambria" w:hAnsi="Cambria" w:cs="Cambria"/>
          <w:color w:val="000000"/>
          <w:sz w:val="16"/>
          <w:szCs w:val="16"/>
        </w:rPr>
        <w:t>L</w:t>
      </w:r>
      <w:r>
        <w:rPr>
          <w:rFonts w:ascii="Cambria" w:eastAsia="Cambria" w:hAnsi="Cambria" w:cs="Cambria"/>
          <w:color w:val="000000"/>
          <w:sz w:val="16"/>
          <w:szCs w:val="16"/>
        </w:rPr>
        <w:t xml:space="preserve">ey N.º 31945, </w:t>
      </w:r>
      <w:r w:rsidR="00620666">
        <w:rPr>
          <w:rFonts w:ascii="Cambria" w:eastAsia="Cambria" w:hAnsi="Cambria" w:cs="Cambria"/>
          <w:color w:val="000000"/>
          <w:sz w:val="16"/>
          <w:szCs w:val="16"/>
        </w:rPr>
        <w:t>“L</w:t>
      </w:r>
      <w:r>
        <w:rPr>
          <w:rFonts w:ascii="Cambria" w:eastAsia="Cambria" w:hAnsi="Cambria" w:cs="Cambria"/>
          <w:color w:val="000000"/>
          <w:sz w:val="16"/>
          <w:szCs w:val="16"/>
        </w:rPr>
        <w:t>ey que prohíbe el matrimonio de menores de edad en el Perú</w:t>
      </w:r>
      <w:r w:rsidR="00620666">
        <w:rPr>
          <w:rFonts w:ascii="Cambria" w:eastAsia="Cambria" w:hAnsi="Cambria" w:cs="Cambria"/>
          <w:color w:val="000000"/>
          <w:sz w:val="16"/>
          <w:szCs w:val="16"/>
        </w:rPr>
        <w:t>”</w:t>
      </w:r>
      <w:r>
        <w:rPr>
          <w:rFonts w:ascii="Cambria" w:eastAsia="Cambria" w:hAnsi="Cambria" w:cs="Cambria"/>
          <w:color w:val="000000"/>
          <w:sz w:val="16"/>
          <w:szCs w:val="16"/>
        </w:rPr>
        <w:t>, todavía el Estado peruano no adopta medidas efectivas para reducir el matrimonio infantil, la violencia sexual contra NNA ni prevenir el embarazo adolescente. Congreso de la República</w:t>
      </w:r>
      <w:r>
        <w:rPr>
          <w:rFonts w:ascii="Cambria" w:eastAsia="Cambria" w:hAnsi="Cambria" w:cs="Cambria"/>
          <w:i/>
          <w:color w:val="000000"/>
          <w:sz w:val="16"/>
          <w:szCs w:val="16"/>
        </w:rPr>
        <w:t xml:space="preserve">, </w:t>
      </w:r>
      <w:hyperlink r:id="rId27">
        <w:r>
          <w:rPr>
            <w:rFonts w:ascii="Cambria" w:eastAsia="Cambria" w:hAnsi="Cambria" w:cs="Cambria"/>
            <w:i/>
            <w:color w:val="000000"/>
            <w:sz w:val="16"/>
            <w:szCs w:val="16"/>
            <w:u w:val="single"/>
          </w:rPr>
          <w:t>“Ejecutivo promulga ley que pone fin al matrimonio infantil, aprobada por el Congreso”</w:t>
        </w:r>
      </w:hyperlink>
      <w:r>
        <w:rPr>
          <w:rFonts w:ascii="Cambria" w:eastAsia="Cambria" w:hAnsi="Cambria" w:cs="Cambria"/>
          <w:color w:val="000000"/>
          <w:sz w:val="16"/>
          <w:szCs w:val="16"/>
        </w:rPr>
        <w:t>, 25 de noviembre de 2023.</w:t>
      </w:r>
    </w:p>
  </w:endnote>
  <w:endnote w:id="53">
    <w:p w14:paraId="0417B501" w14:textId="598FDBCC"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Fondo de Población de Naciones Unidas, UNFPA, </w:t>
      </w:r>
      <w:hyperlink r:id="rId28" w:history="1">
        <w:r w:rsidRPr="007F2CDD">
          <w:rPr>
            <w:rStyle w:val="Hyperlink"/>
            <w:rFonts w:ascii="Cambria" w:eastAsia="Cambria" w:hAnsi="Cambria" w:cs="Cambria"/>
            <w:i/>
            <w:iCs/>
            <w:sz w:val="16"/>
            <w:szCs w:val="16"/>
          </w:rPr>
          <w:t>“Perú: maternidad en niñas entre 10y 14 años creció 40% entre 2020 y 2022”</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20 de septiembre de 2023</w:t>
      </w:r>
    </w:p>
  </w:endnote>
  <w:endnote w:id="54">
    <w:p w14:paraId="41971223" w14:textId="38FFD002"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Nota de prensa del Ministerio de Salud, </w:t>
      </w:r>
      <w:r>
        <w:rPr>
          <w:rFonts w:ascii="Cambria" w:eastAsia="Cambria" w:hAnsi="Cambria" w:cs="Cambria"/>
          <w:i/>
          <w:color w:val="000000"/>
          <w:sz w:val="16"/>
          <w:szCs w:val="16"/>
        </w:rPr>
        <w:t>“Más de 150 mil menores embarazadas atendió el SIS a nivel nacional”</w:t>
      </w:r>
      <w:r>
        <w:rPr>
          <w:rFonts w:ascii="Cambria" w:eastAsia="Cambria" w:hAnsi="Cambria" w:cs="Cambria"/>
          <w:color w:val="000000"/>
          <w:sz w:val="16"/>
          <w:szCs w:val="16"/>
        </w:rPr>
        <w:t>, 1 de febrero de 2018.</w:t>
      </w:r>
    </w:p>
  </w:endnote>
  <w:endnote w:id="55">
    <w:p w14:paraId="40473335" w14:textId="32B789FD"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Ministerio de Salud – MINSA. </w:t>
      </w:r>
      <w:r>
        <w:rPr>
          <w:rFonts w:ascii="Cambria" w:eastAsia="Cambria" w:hAnsi="Cambria" w:cs="Cambria"/>
          <w:i/>
          <w:color w:val="000000"/>
          <w:sz w:val="16"/>
          <w:szCs w:val="16"/>
        </w:rPr>
        <w:t xml:space="preserve">Consultas dinámicas del Sistema de registro del Certificado de Nacido Vivo en Línea. </w:t>
      </w:r>
      <w:hyperlink r:id="rId29">
        <w:r>
          <w:rPr>
            <w:rFonts w:ascii="Cambria" w:eastAsia="Cambria" w:hAnsi="Cambria" w:cs="Cambria"/>
            <w:i/>
            <w:color w:val="000000"/>
            <w:sz w:val="16"/>
            <w:szCs w:val="16"/>
            <w:u w:val="single"/>
          </w:rPr>
          <w:t>Características según la madre y el rango de edad entre 11 a 14 años,</w:t>
        </w:r>
      </w:hyperlink>
      <w:r>
        <w:rPr>
          <w:rFonts w:ascii="Cambria" w:eastAsia="Cambria" w:hAnsi="Cambria" w:cs="Cambria"/>
          <w:color w:val="000000"/>
          <w:sz w:val="16"/>
          <w:szCs w:val="16"/>
        </w:rPr>
        <w:t xml:space="preserve"> 2024.</w:t>
      </w:r>
    </w:p>
  </w:endnote>
  <w:endnote w:id="56">
    <w:p w14:paraId="34936F88" w14:textId="29EFB03B"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Ministerio de Salud. Consultas dinámicas del Sistema de registro del Certificado de Nacido Vivo en Línea. </w:t>
      </w:r>
      <w:hyperlink r:id="rId30">
        <w:r>
          <w:rPr>
            <w:rFonts w:ascii="Cambria" w:eastAsia="Cambria" w:hAnsi="Cambria" w:cs="Cambria"/>
            <w:i/>
            <w:color w:val="000000"/>
            <w:sz w:val="16"/>
            <w:szCs w:val="16"/>
            <w:u w:val="single"/>
          </w:rPr>
          <w:t>Características según la madre</w:t>
        </w:r>
      </w:hyperlink>
      <w:r>
        <w:rPr>
          <w:rFonts w:ascii="Cambria" w:eastAsia="Cambria" w:hAnsi="Cambria" w:cs="Cambria"/>
          <w:i/>
          <w:color w:val="000000"/>
          <w:sz w:val="16"/>
          <w:szCs w:val="16"/>
        </w:rPr>
        <w:t xml:space="preserve">. </w:t>
      </w:r>
      <w:r>
        <w:rPr>
          <w:rFonts w:ascii="Cambria" w:eastAsia="Cambria" w:hAnsi="Cambria" w:cs="Cambria"/>
          <w:color w:val="000000"/>
          <w:sz w:val="16"/>
          <w:szCs w:val="16"/>
        </w:rPr>
        <w:t>2023.</w:t>
      </w:r>
    </w:p>
  </w:endnote>
  <w:endnote w:id="57">
    <w:p w14:paraId="1FF7BB92" w14:textId="1A91A8EA"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Ministerio de Salud. Informe estadístico del nacido vivo del INEI, corresponde al gráfico 3.11 Perú: nacidos vivos de niñas y adolescentes, 2015 -2022.</w:t>
      </w:r>
    </w:p>
  </w:endnote>
  <w:endnote w:id="58">
    <w:p w14:paraId="5B705EB3" w14:textId="620308EC"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Ministerio de Salud – MINSA. </w:t>
      </w:r>
      <w:r>
        <w:rPr>
          <w:rFonts w:ascii="Cambria" w:eastAsia="Cambria" w:hAnsi="Cambria" w:cs="Cambria"/>
          <w:i/>
          <w:color w:val="000000"/>
          <w:sz w:val="16"/>
          <w:szCs w:val="16"/>
        </w:rPr>
        <w:t xml:space="preserve">Consultas dinámicas del Sistema de registro del Certificado de Nacido Vivo en Línea.  </w:t>
      </w:r>
      <w:hyperlink r:id="rId31">
        <w:r>
          <w:rPr>
            <w:rFonts w:ascii="Cambria" w:eastAsia="Cambria" w:hAnsi="Cambria" w:cs="Cambria"/>
            <w:i/>
            <w:color w:val="000000"/>
            <w:sz w:val="16"/>
            <w:szCs w:val="16"/>
            <w:u w:val="single"/>
          </w:rPr>
          <w:t>Características según la madre y el rango de edad entre 11 y 14 años,</w:t>
        </w:r>
      </w:hyperlink>
      <w:r>
        <w:rPr>
          <w:rFonts w:ascii="Cambria" w:eastAsia="Cambria" w:hAnsi="Cambria" w:cs="Cambria"/>
          <w:color w:val="000000"/>
          <w:sz w:val="16"/>
          <w:szCs w:val="16"/>
        </w:rPr>
        <w:t xml:space="preserve"> 2021.</w:t>
      </w:r>
    </w:p>
  </w:endnote>
  <w:endnote w:id="59">
    <w:p w14:paraId="36E07D16" w14:textId="1086B31A" w:rsidR="00E82664" w:rsidRDefault="00E82664"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Nota de prensa del UNFPA. </w:t>
      </w:r>
      <w:hyperlink r:id="rId32">
        <w:r>
          <w:rPr>
            <w:rFonts w:ascii="Cambria" w:eastAsia="Cambria" w:hAnsi="Cambria" w:cs="Cambria"/>
            <w:i/>
            <w:color w:val="000000"/>
            <w:sz w:val="16"/>
            <w:szCs w:val="16"/>
            <w:u w:val="single"/>
          </w:rPr>
          <w:t>“Perú: maternidad en niñas entre 10 y 14 años creció 14% en 2022”</w:t>
        </w:r>
      </w:hyperlink>
      <w:r>
        <w:rPr>
          <w:rFonts w:ascii="Cambria" w:eastAsia="Cambria" w:hAnsi="Cambria" w:cs="Cambria"/>
          <w:color w:val="000000"/>
          <w:sz w:val="16"/>
          <w:szCs w:val="16"/>
        </w:rPr>
        <w:t xml:space="preserve">, 2 de marzo de 2023. Cabe anotar que en la Nota de prensa de la Defensoría del Pueblo, </w:t>
      </w:r>
      <w:hyperlink r:id="rId33">
        <w:r>
          <w:rPr>
            <w:rFonts w:ascii="Cambria" w:eastAsia="Cambria" w:hAnsi="Cambria" w:cs="Cambria"/>
            <w:i/>
            <w:color w:val="000000"/>
            <w:sz w:val="16"/>
            <w:szCs w:val="16"/>
            <w:u w:val="single"/>
          </w:rPr>
          <w:t>“El Estado debe fortalecer servicios de salud sexual y reproductiva”</w:t>
        </w:r>
      </w:hyperlink>
      <w:r>
        <w:rPr>
          <w:rFonts w:ascii="Cambria" w:eastAsia="Cambria" w:hAnsi="Cambria" w:cs="Cambria"/>
          <w:color w:val="000000"/>
          <w:sz w:val="16"/>
          <w:szCs w:val="16"/>
        </w:rPr>
        <w:t>, 13 de junio de 2023 se informa de 1624 nacimientos vivos.</w:t>
      </w:r>
    </w:p>
  </w:endnote>
  <w:endnote w:id="60">
    <w:p w14:paraId="75F5AF42" w14:textId="1B2A0F89" w:rsidR="00E82664" w:rsidRDefault="00E82664"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(Perú), párr. 22 (a,b)</w:t>
      </w:r>
    </w:p>
  </w:endnote>
  <w:endnote w:id="61">
    <w:p w14:paraId="09D9B2B8" w14:textId="560B2C8A" w:rsidR="00BD3967" w:rsidRDefault="00BD3967"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 xml:space="preserve">Fondo de Población de Naciones Unidas, UNFPA, </w:t>
      </w:r>
      <w:hyperlink r:id="rId34" w:history="1">
        <w:r w:rsidRPr="007F2CDD">
          <w:rPr>
            <w:rStyle w:val="Hyperlink"/>
            <w:rFonts w:ascii="Cambria" w:eastAsia="Cambria" w:hAnsi="Cambria" w:cs="Cambria"/>
            <w:i/>
            <w:iCs/>
            <w:sz w:val="16"/>
            <w:szCs w:val="16"/>
          </w:rPr>
          <w:t>“Perú: maternidad en niñas entre 10y 14 años creció 40% entre 2020 y 2022”</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20 de septiembre de 2023.</w:t>
      </w:r>
    </w:p>
  </w:endnote>
  <w:endnote w:id="62">
    <w:p w14:paraId="32BBDE7F" w14:textId="4AFEBBDF" w:rsidR="00BD3967" w:rsidRDefault="00BD3967" w:rsidP="00DB0539">
      <w:pPr>
        <w:pStyle w:val="EndnoteText"/>
        <w:jc w:val="both"/>
      </w:pPr>
      <w:r>
        <w:rPr>
          <w:rStyle w:val="EndnoteReference"/>
        </w:rPr>
        <w:endnoteRef/>
      </w:r>
      <w:r>
        <w:t xml:space="preserve"> </w:t>
      </w:r>
      <w:r>
        <w:rPr>
          <w:rFonts w:ascii="Cambria" w:eastAsia="Cambria" w:hAnsi="Cambria" w:cs="Cambria"/>
          <w:i/>
          <w:color w:val="000000"/>
          <w:sz w:val="16"/>
          <w:szCs w:val="16"/>
        </w:rPr>
        <w:t>Ibídem</w:t>
      </w:r>
      <w:r>
        <w:rPr>
          <w:rFonts w:ascii="Cambria" w:eastAsia="Cambria" w:hAnsi="Cambria" w:cs="Cambria"/>
          <w:color w:val="000000"/>
          <w:sz w:val="16"/>
          <w:szCs w:val="16"/>
        </w:rPr>
        <w:t>.</w:t>
      </w:r>
    </w:p>
  </w:endnote>
  <w:endnote w:id="63">
    <w:p w14:paraId="3D62DC93" w14:textId="4F566E20" w:rsidR="00BD3967" w:rsidRDefault="00BD3967"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Observaciones Fnales (2016), párr. 54 (c).</w:t>
      </w:r>
    </w:p>
  </w:endnote>
  <w:endnote w:id="64">
    <w:p w14:paraId="7666EAFE" w14:textId="55AB30C1" w:rsidR="00BD3967" w:rsidRDefault="00BD3967" w:rsidP="00DB0539">
      <w:pPr>
        <w:pStyle w:val="EndnoteText"/>
        <w:jc w:val="both"/>
      </w:pPr>
      <w:r>
        <w:rPr>
          <w:rStyle w:val="EndnoteReference"/>
        </w:rPr>
        <w:endnoteRef/>
      </w:r>
      <w:r>
        <w:t xml:space="preserve"> </w:t>
      </w:r>
      <w:r>
        <w:rPr>
          <w:rFonts w:ascii="Cambria" w:eastAsia="Cambria" w:hAnsi="Cambria" w:cs="Cambria"/>
          <w:color w:val="000000"/>
          <w:sz w:val="16"/>
          <w:szCs w:val="16"/>
        </w:rPr>
        <w:t>Dirección General de Epidemiología: “</w:t>
      </w:r>
      <w:hyperlink r:id="rId35">
        <w:r>
          <w:rPr>
            <w:rFonts w:ascii="Cambria" w:eastAsia="Cambria" w:hAnsi="Cambria" w:cs="Cambria"/>
            <w:i/>
            <w:color w:val="000000"/>
            <w:sz w:val="16"/>
            <w:szCs w:val="16"/>
            <w:u w:val="single"/>
          </w:rPr>
          <w:t>Muerte materna en el Perú 2001-2011</w:t>
        </w:r>
      </w:hyperlink>
      <w:r>
        <w:rPr>
          <w:rFonts w:ascii="Cambria" w:eastAsia="Cambria" w:hAnsi="Cambria" w:cs="Cambria"/>
          <w:i/>
          <w:color w:val="000000"/>
          <w:sz w:val="16"/>
          <w:szCs w:val="16"/>
        </w:rPr>
        <w:t>”</w:t>
      </w:r>
      <w:r>
        <w:rPr>
          <w:rFonts w:ascii="Cambria" w:eastAsia="Cambria" w:hAnsi="Cambria" w:cs="Cambria"/>
          <w:color w:val="000000"/>
          <w:sz w:val="16"/>
          <w:szCs w:val="16"/>
        </w:rPr>
        <w:t>. Lima MINSA-UNFPA, 2013.</w:t>
      </w:r>
    </w:p>
  </w:endnote>
  <w:endnote w:id="65">
    <w:p w14:paraId="10C70D42" w14:textId="61A77B58" w:rsidR="00BD3967" w:rsidRDefault="00BD3967"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Ministerio de Salud (MINSA); Instituto Nacional de Estadística e Informática (INEI). </w:t>
      </w:r>
      <w:r>
        <w:rPr>
          <w:rFonts w:ascii="Cambria" w:eastAsia="Cambria" w:hAnsi="Cambria" w:cs="Cambria"/>
          <w:i/>
          <w:color w:val="000000"/>
          <w:sz w:val="16"/>
          <w:szCs w:val="16"/>
        </w:rPr>
        <w:t>Informe estadístico del nacido</w:t>
      </w:r>
      <w:r>
        <w:rPr>
          <w:rFonts w:ascii="Cambria" w:eastAsia="Cambria" w:hAnsi="Cambria" w:cs="Cambria"/>
          <w:color w:val="000000"/>
          <w:sz w:val="16"/>
          <w:szCs w:val="16"/>
        </w:rPr>
        <w:t xml:space="preserve"> vivo. Gráfico Nro. 3.7.</w:t>
      </w:r>
    </w:p>
  </w:endnote>
  <w:endnote w:id="66">
    <w:p w14:paraId="4FA1F868" w14:textId="73D84794" w:rsidR="00BD3967" w:rsidRDefault="00BD3967"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Promsex. Respuesta del Ministerio de Salud a una solicitud de información pública, mediante Carta N.º 08-2017-SIS/OGIIT, Base de datos del Sistema Integral de Salud 2016.</w:t>
      </w:r>
    </w:p>
  </w:endnote>
  <w:endnote w:id="67">
    <w:p w14:paraId="708D298F" w14:textId="6E72B305" w:rsidR="00BD3967" w:rsidRDefault="00BD3967" w:rsidP="00DB0539">
      <w:pPr>
        <w:pStyle w:val="EndnoteText"/>
        <w:jc w:val="both"/>
      </w:pPr>
      <w:r>
        <w:rPr>
          <w:rStyle w:val="EndnoteReference"/>
        </w:rPr>
        <w:endnoteRef/>
      </w:r>
      <w:r>
        <w:t xml:space="preserve"> </w:t>
      </w:r>
      <w:r>
        <w:rPr>
          <w:rFonts w:ascii="Cambria" w:eastAsia="Cambria" w:hAnsi="Cambria" w:cs="Cambria"/>
          <w:color w:val="000000"/>
          <w:sz w:val="16"/>
          <w:szCs w:val="16"/>
        </w:rPr>
        <w:t>Examen Periódico Universal (EPU),</w:t>
      </w:r>
      <w:r>
        <w:rPr>
          <w:rFonts w:ascii="Cambria" w:eastAsia="Cambria" w:hAnsi="Cambria" w:cs="Cambria"/>
          <w:i/>
          <w:color w:val="000000"/>
          <w:sz w:val="16"/>
          <w:szCs w:val="16"/>
        </w:rPr>
        <w:t xml:space="preserve"> </w:t>
      </w:r>
      <w:hyperlink r:id="rId36">
        <w:r>
          <w:rPr>
            <w:rFonts w:ascii="Cambria" w:eastAsia="Cambria" w:hAnsi="Cambria" w:cs="Cambria"/>
            <w:i/>
            <w:color w:val="467886"/>
            <w:sz w:val="16"/>
            <w:szCs w:val="16"/>
            <w:u w:val="single"/>
          </w:rPr>
          <w:t>Hoja informativa</w:t>
        </w:r>
      </w:hyperlink>
      <w:r>
        <w:rPr>
          <w:rFonts w:ascii="Cambria" w:eastAsia="Cambria" w:hAnsi="Cambria" w:cs="Cambria"/>
          <w:i/>
          <w:color w:val="000000"/>
          <w:sz w:val="16"/>
          <w:szCs w:val="16"/>
        </w:rPr>
        <w:t xml:space="preserve">, </w:t>
      </w:r>
      <w:r>
        <w:rPr>
          <w:rFonts w:ascii="Cambria" w:eastAsia="Cambria" w:hAnsi="Cambria" w:cs="Cambria"/>
          <w:color w:val="000000"/>
          <w:sz w:val="16"/>
          <w:szCs w:val="16"/>
        </w:rPr>
        <w:t>Promsex, 2016.</w:t>
      </w:r>
    </w:p>
  </w:endnote>
  <w:endnote w:id="68">
    <w:p w14:paraId="70F30C59" w14:textId="45764CA7" w:rsidR="00BD3967" w:rsidRDefault="00BD3967"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Promsex. Respuesta del Ministerio de Salud a una solicitud de información pública. N.º 027-2018 de fecha 9 de febrero de 2018, mediante Oficio Nº 649-2018-DGIESP-MINSA de fecha 12 de marzo 2018 del MINSA, pág 7.</w:t>
      </w:r>
    </w:p>
  </w:endnote>
  <w:endnote w:id="69">
    <w:p w14:paraId="5A986F73" w14:textId="659FFF9B" w:rsidR="00BD3967" w:rsidRDefault="00BD3967" w:rsidP="00DB0539">
      <w:pPr>
        <w:pStyle w:val="EndnoteText"/>
        <w:jc w:val="both"/>
      </w:pPr>
      <w:r>
        <w:rPr>
          <w:rStyle w:val="EndnoteReference"/>
        </w:rPr>
        <w:endnoteRef/>
      </w:r>
      <w:r>
        <w:t xml:space="preserve"> </w:t>
      </w:r>
      <w:r>
        <w:rPr>
          <w:rFonts w:ascii="Cambria" w:eastAsia="Cambria" w:hAnsi="Cambria" w:cs="Cambria"/>
          <w:color w:val="000000"/>
          <w:sz w:val="16"/>
          <w:szCs w:val="16"/>
        </w:rPr>
        <w:t>Seguro Integral de Salud. Recién nacidos inscritos el año 2016 de madres menores de edad, 2016.</w:t>
      </w:r>
    </w:p>
  </w:endnote>
  <w:endnote w:id="70">
    <w:p w14:paraId="548A47D6" w14:textId="365CE8DD" w:rsidR="00BD3967" w:rsidRDefault="00BD3967"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Instituto Nacional de Estadística e Informática (INEI). </w:t>
      </w:r>
      <w:r>
        <w:rPr>
          <w:rFonts w:ascii="Cambria" w:eastAsia="Cambria" w:hAnsi="Cambria" w:cs="Cambria"/>
          <w:i/>
          <w:color w:val="000000"/>
          <w:sz w:val="16"/>
          <w:szCs w:val="16"/>
        </w:rPr>
        <w:t>Perú: ‘</w:t>
      </w:r>
      <w:hyperlink r:id="rId37">
        <w:r>
          <w:rPr>
            <w:rFonts w:ascii="Cambria" w:eastAsia="Cambria" w:hAnsi="Cambria" w:cs="Cambria"/>
            <w:i/>
            <w:color w:val="000000"/>
            <w:sz w:val="16"/>
            <w:szCs w:val="16"/>
            <w:u w:val="single"/>
          </w:rPr>
          <w:t>Situación Social de las Madres Adolescentes</w:t>
        </w:r>
      </w:hyperlink>
      <w:hyperlink r:id="rId38">
        <w:r>
          <w:rPr>
            <w:rFonts w:ascii="Cambria" w:eastAsia="Cambria" w:hAnsi="Cambria" w:cs="Cambria"/>
            <w:color w:val="000000"/>
            <w:sz w:val="16"/>
            <w:szCs w:val="16"/>
            <w:u w:val="single"/>
          </w:rPr>
          <w:t>, 2007</w:t>
        </w:r>
      </w:hyperlink>
      <w:r>
        <w:rPr>
          <w:rFonts w:ascii="Cambria" w:eastAsia="Cambria" w:hAnsi="Cambria" w:cs="Cambria"/>
          <w:i/>
          <w:color w:val="000000"/>
          <w:sz w:val="16"/>
          <w:szCs w:val="16"/>
        </w:rPr>
        <w:t>’</w:t>
      </w:r>
      <w:r>
        <w:rPr>
          <w:rFonts w:ascii="Cambria" w:eastAsia="Cambria" w:hAnsi="Cambria" w:cs="Cambria"/>
          <w:color w:val="000000"/>
          <w:sz w:val="16"/>
          <w:szCs w:val="16"/>
        </w:rPr>
        <w:t>. Lima: INEI, 2010.</w:t>
      </w:r>
    </w:p>
  </w:endnote>
  <w:endnote w:id="71">
    <w:p w14:paraId="0346CA3E" w14:textId="11BB2EFB"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El Comité de los Derechos del Niño, Observaciones Finales (2016), párr. 55 (d).</w:t>
      </w:r>
    </w:p>
  </w:endnote>
  <w:endnote w:id="72">
    <w:p w14:paraId="1BE5EB87" w14:textId="140D2496" w:rsidR="00890C15" w:rsidRDefault="00890C15" w:rsidP="00DB0539">
      <w:pPr>
        <w:pStyle w:val="EndnoteText"/>
        <w:jc w:val="both"/>
      </w:pPr>
      <w:r>
        <w:rPr>
          <w:rStyle w:val="EndnoteReference"/>
        </w:rPr>
        <w:endnoteRef/>
      </w:r>
      <w:r>
        <w:t xml:space="preserve"> </w:t>
      </w:r>
      <w:r>
        <w:rPr>
          <w:rFonts w:ascii="Cambria" w:eastAsia="Cambria" w:hAnsi="Cambria" w:cs="Cambria"/>
          <w:i/>
          <w:color w:val="000000"/>
          <w:sz w:val="16"/>
          <w:szCs w:val="16"/>
        </w:rPr>
        <w:t>Ibídem</w:t>
      </w:r>
      <w:r>
        <w:rPr>
          <w:rFonts w:ascii="Cambria" w:eastAsia="Cambria" w:hAnsi="Cambria" w:cs="Cambria"/>
          <w:color w:val="000000"/>
          <w:sz w:val="16"/>
          <w:szCs w:val="16"/>
        </w:rPr>
        <w:t>., párr. 56 (d)</w:t>
      </w:r>
    </w:p>
  </w:endnote>
  <w:endnote w:id="73">
    <w:p w14:paraId="459FD23E" w14:textId="0BC55704"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Rondón, M., </w:t>
      </w:r>
      <w:r>
        <w:rPr>
          <w:rFonts w:ascii="Cambria" w:eastAsia="Cambria" w:hAnsi="Cambria" w:cs="Cambria"/>
          <w:i/>
          <w:color w:val="000000"/>
          <w:sz w:val="16"/>
          <w:szCs w:val="16"/>
        </w:rPr>
        <w:t>“Impacto del embarazo luego de una violación. Argumentos para proteger la salud mental”</w:t>
      </w:r>
      <w:r>
        <w:rPr>
          <w:rFonts w:ascii="Cambria" w:eastAsia="Cambria" w:hAnsi="Cambria" w:cs="Cambria"/>
          <w:color w:val="000000"/>
          <w:sz w:val="16"/>
          <w:szCs w:val="16"/>
        </w:rPr>
        <w:t>, 2015.pág 21.</w:t>
      </w:r>
    </w:p>
  </w:endnote>
  <w:endnote w:id="74">
    <w:p w14:paraId="64CA2D6D" w14:textId="4B2D0A64" w:rsidR="00890C15" w:rsidRDefault="00890C15" w:rsidP="00604D64">
      <w:pPr>
        <w:pStyle w:val="EndnoteText"/>
        <w:ind w:left="540" w:hanging="540"/>
        <w:jc w:val="both"/>
      </w:pPr>
      <w:r>
        <w:rPr>
          <w:rStyle w:val="EndnoteReference"/>
        </w:rPr>
        <w:endnoteRef/>
      </w:r>
      <w:r>
        <w:rPr>
          <w:rFonts w:ascii="Cambria" w:eastAsia="Cambria" w:hAnsi="Cambria" w:cs="Cambria"/>
          <w:color w:val="000000"/>
          <w:sz w:val="16"/>
          <w:szCs w:val="16"/>
        </w:rPr>
        <w:t xml:space="preserve">Infobae. </w:t>
      </w:r>
      <w:hyperlink r:id="rId39">
        <w:r>
          <w:rPr>
            <w:rFonts w:ascii="Cambria" w:eastAsia="Cambria" w:hAnsi="Cambria" w:cs="Cambria"/>
            <w:i/>
            <w:color w:val="000000"/>
            <w:sz w:val="16"/>
            <w:szCs w:val="16"/>
            <w:u w:val="single"/>
          </w:rPr>
          <w:t>“Día Mundial para la Prevención del Suicidio: un tema tabú y el preocupante aumento de suicios en adolescentes”,</w:t>
        </w:r>
      </w:hyperlink>
      <w:r>
        <w:rPr>
          <w:rFonts w:ascii="Cambria" w:eastAsia="Cambria" w:hAnsi="Cambria" w:cs="Cambria"/>
          <w:color w:val="000000"/>
          <w:sz w:val="16"/>
          <w:szCs w:val="16"/>
        </w:rPr>
        <w:t xml:space="preserve"> 10 de septiembre 2023.</w:t>
      </w:r>
    </w:p>
  </w:endnote>
  <w:endnote w:id="75">
    <w:p w14:paraId="1589F385" w14:textId="43E87905"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párr. 56 (b).</w:t>
      </w:r>
    </w:p>
  </w:endnote>
  <w:endnote w:id="76">
    <w:p w14:paraId="5887089A" w14:textId="150DE893" w:rsidR="00890C15" w:rsidRDefault="00890C15" w:rsidP="00604D64">
      <w:pPr>
        <w:pStyle w:val="EndnoteText"/>
        <w:ind w:left="540" w:hanging="540"/>
        <w:jc w:val="both"/>
      </w:pPr>
      <w:r>
        <w:rPr>
          <w:rStyle w:val="EndnoteReference"/>
        </w:rPr>
        <w:endnoteRef/>
      </w:r>
      <w:r>
        <w:t xml:space="preserve"> </w:t>
      </w:r>
      <w:r>
        <w:rPr>
          <w:rFonts w:ascii="Cambria" w:eastAsia="Cambria" w:hAnsi="Cambria" w:cs="Cambria"/>
          <w:color w:val="000000"/>
          <w:sz w:val="16"/>
          <w:szCs w:val="16"/>
        </w:rPr>
        <w:t>Código Penal, 1991, artículo 119 el cual establece que “</w:t>
      </w:r>
      <w:r>
        <w:rPr>
          <w:rFonts w:ascii="Cambria" w:eastAsia="Cambria" w:hAnsi="Cambria" w:cs="Cambria"/>
          <w:i/>
          <w:color w:val="000000"/>
          <w:sz w:val="16"/>
          <w:szCs w:val="16"/>
        </w:rPr>
        <w:t>No es punible el aborto practicado por un médico con el consentimiento de la mujer embarazada o de su representante legal, si lo tuviere, cuando es el único medio para salvar la vida de la gestante o para evitar en su salud un mal grave y permanente”</w:t>
      </w:r>
      <w:r>
        <w:rPr>
          <w:rFonts w:ascii="Cambria" w:eastAsia="Cambria" w:hAnsi="Cambria" w:cs="Cambria"/>
          <w:color w:val="000000"/>
          <w:sz w:val="16"/>
          <w:szCs w:val="16"/>
        </w:rPr>
        <w:t>.</w:t>
      </w:r>
    </w:p>
  </w:endnote>
  <w:endnote w:id="77">
    <w:p w14:paraId="1D54DF1E" w14:textId="1E7267C4" w:rsidR="00890C15" w:rsidRDefault="00890C15" w:rsidP="00604D64">
      <w:pPr>
        <w:pStyle w:val="EndnoteText"/>
        <w:ind w:left="450" w:hanging="450"/>
        <w:jc w:val="both"/>
      </w:pPr>
      <w:r>
        <w:rPr>
          <w:rStyle w:val="EndnoteReference"/>
        </w:rPr>
        <w:endnoteRef/>
      </w:r>
      <w:r>
        <w:t xml:space="preserve"> </w:t>
      </w:r>
      <w:r>
        <w:rPr>
          <w:rFonts w:ascii="Cambria" w:eastAsia="Cambria" w:hAnsi="Cambria" w:cs="Cambria"/>
          <w:color w:val="000000"/>
          <w:sz w:val="16"/>
          <w:szCs w:val="16"/>
        </w:rPr>
        <w:t>Ministerio de Salud (MINSA)</w:t>
      </w:r>
      <w:r>
        <w:rPr>
          <w:rFonts w:ascii="Cambria" w:eastAsia="Cambria" w:hAnsi="Cambria" w:cs="Cambria"/>
          <w:i/>
          <w:color w:val="000000"/>
          <w:sz w:val="16"/>
          <w:szCs w:val="16"/>
        </w:rPr>
        <w:t>, “</w:t>
      </w:r>
      <w:hyperlink r:id="rId40">
        <w:r>
          <w:rPr>
            <w:rFonts w:ascii="Cambria" w:eastAsia="Cambria" w:hAnsi="Cambria" w:cs="Cambria"/>
            <w:i/>
            <w:color w:val="000000"/>
            <w:sz w:val="16"/>
            <w:szCs w:val="16"/>
            <w:u w:val="single"/>
          </w:rPr>
          <w:t>Guía Técnica Nacional para la Estandarización del Procedimiento de la Atención Integral de la Gestante en la Interrupción Voluntaria por Indicación Terapéutica del embarazo menor de 22 semanas con consentimiento informado en el marco de lo dispuesto en el</w:t>
        </w:r>
      </w:hyperlink>
      <w:r>
        <w:rPr>
          <w:rFonts w:ascii="Cambria" w:eastAsia="Cambria" w:hAnsi="Cambria" w:cs="Cambria"/>
          <w:i/>
          <w:color w:val="000000"/>
          <w:sz w:val="16"/>
          <w:szCs w:val="16"/>
          <w:u w:val="single"/>
        </w:rPr>
        <w:t xml:space="preserve"> Código Penal”,</w:t>
      </w:r>
      <w:r>
        <w:rPr>
          <w:rFonts w:ascii="Cambria" w:eastAsia="Cambria" w:hAnsi="Cambria" w:cs="Cambria"/>
          <w:color w:val="000000"/>
          <w:sz w:val="16"/>
          <w:szCs w:val="16"/>
        </w:rPr>
        <w:t>aprobada mediante Resolución No. 486-2014/MINSA, de fecha 27 de junio del 2014.</w:t>
      </w:r>
    </w:p>
  </w:endnote>
  <w:endnote w:id="78">
    <w:p w14:paraId="2714B4C5" w14:textId="79921B30" w:rsidR="00890C15" w:rsidRDefault="00890C15" w:rsidP="00604D64">
      <w:pPr>
        <w:pStyle w:val="EndnoteText"/>
        <w:ind w:left="450" w:hanging="450"/>
        <w:jc w:val="both"/>
      </w:pPr>
      <w:r>
        <w:rPr>
          <w:rStyle w:val="EndnoteReference"/>
        </w:rPr>
        <w:endnoteRef/>
      </w:r>
      <w:r>
        <w:t xml:space="preserve"> </w:t>
      </w:r>
      <w:r>
        <w:rPr>
          <w:rFonts w:ascii="Cambria" w:eastAsia="Cambria" w:hAnsi="Cambria" w:cs="Cambria"/>
          <w:color w:val="000000"/>
          <w:sz w:val="16"/>
          <w:szCs w:val="16"/>
        </w:rPr>
        <w:t xml:space="preserve">Mesa de Vigilancia Ciudadana en Derechos Sexuales y Reproductivos, </w:t>
      </w:r>
      <w:hyperlink r:id="rId41">
        <w:r>
          <w:rPr>
            <w:rFonts w:ascii="Cambria" w:eastAsia="Cambria" w:hAnsi="Cambria" w:cs="Cambria"/>
            <w:i/>
            <w:color w:val="000000"/>
            <w:sz w:val="16"/>
            <w:szCs w:val="16"/>
            <w:u w:val="single"/>
          </w:rPr>
          <w:t>“Informe sobre el progreso y las brechas en la implementación de derechos, salud y justicia sexual y reproductiva en el 10 aniversario del Consenso de Montevideo en Perú”</w:t>
        </w:r>
      </w:hyperlink>
      <w:r>
        <w:rPr>
          <w:rFonts w:ascii="Cambria" w:eastAsia="Cambria" w:hAnsi="Cambria" w:cs="Cambria"/>
          <w:color w:val="000000"/>
          <w:sz w:val="16"/>
          <w:szCs w:val="16"/>
        </w:rPr>
        <w:t>, noviembre 2023, pág. 26-27.</w:t>
      </w:r>
    </w:p>
  </w:endnote>
  <w:endnote w:id="79">
    <w:p w14:paraId="66D521A2" w14:textId="4FC2D568"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párr. 55 (b).</w:t>
      </w:r>
    </w:p>
  </w:endnote>
  <w:endnote w:id="80">
    <w:p w14:paraId="11773ED1" w14:textId="6F27FB68"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w:t>
      </w:r>
      <w:r>
        <w:rPr>
          <w:rFonts w:ascii="Cambria" w:eastAsia="Cambria" w:hAnsi="Cambria" w:cs="Cambria"/>
          <w:i/>
          <w:color w:val="000000"/>
          <w:sz w:val="16"/>
          <w:szCs w:val="16"/>
        </w:rPr>
        <w:t>, Camila. c. Perú</w:t>
      </w:r>
      <w:r>
        <w:rPr>
          <w:rFonts w:ascii="Cambria" w:eastAsia="Cambria" w:hAnsi="Cambria" w:cs="Cambria"/>
          <w:color w:val="000000"/>
          <w:sz w:val="16"/>
          <w:szCs w:val="16"/>
        </w:rPr>
        <w:t>, Comunicación No. 136/2021, U.N.Doc. RC/C/93/D/136/2021.</w:t>
      </w:r>
    </w:p>
  </w:endnote>
  <w:endnote w:id="81">
    <w:p w14:paraId="5319AB8F" w14:textId="63154D56" w:rsidR="00890C15" w:rsidRDefault="00890C15" w:rsidP="00DB0539">
      <w:pPr>
        <w:pStyle w:val="EndnoteText"/>
        <w:jc w:val="both"/>
      </w:pPr>
      <w:r>
        <w:rPr>
          <w:rStyle w:val="EndnoteReference"/>
        </w:rPr>
        <w:endnoteRef/>
      </w:r>
      <w:r>
        <w:t xml:space="preserve"> </w:t>
      </w:r>
      <w:r>
        <w:rPr>
          <w:rFonts w:ascii="Cambria" w:eastAsia="Cambria" w:hAnsi="Cambria" w:cs="Cambria"/>
          <w:i/>
          <w:color w:val="000000"/>
          <w:sz w:val="16"/>
          <w:szCs w:val="16"/>
        </w:rPr>
        <w:t>Ibídem.,</w:t>
      </w:r>
      <w:r>
        <w:rPr>
          <w:rFonts w:ascii="Cambria" w:eastAsia="Cambria" w:hAnsi="Cambria" w:cs="Cambria"/>
          <w:color w:val="000000"/>
          <w:sz w:val="16"/>
          <w:szCs w:val="16"/>
        </w:rPr>
        <w:t xml:space="preserve"> párr. 9.</w:t>
      </w:r>
    </w:p>
  </w:endnote>
  <w:endnote w:id="82">
    <w:p w14:paraId="511FEC71" w14:textId="42C1C95F" w:rsidR="00890C15" w:rsidRDefault="00890C15" w:rsidP="00145CAC">
      <w:pPr>
        <w:pStyle w:val="EndnoteText"/>
        <w:ind w:left="450" w:hanging="450"/>
        <w:jc w:val="both"/>
      </w:pPr>
      <w:r>
        <w:rPr>
          <w:rStyle w:val="EndnoteReference"/>
        </w:rPr>
        <w:endnoteRef/>
      </w:r>
      <w:r>
        <w:t xml:space="preserve"> </w:t>
      </w:r>
      <w:r>
        <w:rPr>
          <w:rFonts w:ascii="Cambria" w:eastAsia="Cambria" w:hAnsi="Cambria" w:cs="Cambria"/>
          <w:color w:val="000000"/>
          <w:sz w:val="16"/>
          <w:szCs w:val="16"/>
        </w:rPr>
        <w:t>Cabe anotar que la organización, Promsex, ha señalado que a más de un año de haberse emitido el Dictamen del caso Camila, el Estado solo haya cumplido con publicar el Dictamen traducido en quechua, es decir, tiene pendiente implementar de forma efectiva las demás medidas establecidas por el CDN. Promsex. Carta N.º 541-2024. Informe alternativo dirigido al Comité de los Derechos del Niño, presentado el 15 de agosto de 2024.</w:t>
      </w:r>
    </w:p>
  </w:endnote>
  <w:endnote w:id="83">
    <w:p w14:paraId="7125832E" w14:textId="22427673" w:rsidR="00890C15" w:rsidRDefault="00890C15" w:rsidP="00DB0539">
      <w:pPr>
        <w:pStyle w:val="EndnoteText"/>
        <w:jc w:val="both"/>
      </w:pPr>
      <w:r>
        <w:rPr>
          <w:rStyle w:val="EndnoteReference"/>
        </w:rPr>
        <w:endnoteRef/>
      </w:r>
      <w:r>
        <w:t xml:space="preserve"> </w:t>
      </w:r>
      <w:r>
        <w:rPr>
          <w:rFonts w:ascii="Cambria" w:eastAsia="Cambria" w:hAnsi="Cambria" w:cs="Cambria"/>
          <w:sz w:val="16"/>
          <w:szCs w:val="16"/>
        </w:rPr>
        <w:t>Cabe anotar que el Ministerio de Salud no cuenta con un registro de las solicitudes de acceso al aborto terapéutico.</w:t>
      </w:r>
    </w:p>
  </w:endnote>
  <w:endnote w:id="84">
    <w:p w14:paraId="668705C7" w14:textId="464A12BC"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Promsex. </w:t>
      </w:r>
      <w:hyperlink r:id="rId42">
        <w:r>
          <w:rPr>
            <w:rFonts w:ascii="Cambria" w:eastAsia="Cambria" w:hAnsi="Cambria" w:cs="Cambria"/>
            <w:i/>
            <w:color w:val="000000"/>
            <w:sz w:val="16"/>
            <w:szCs w:val="16"/>
            <w:u w:val="single"/>
          </w:rPr>
          <w:t>“Abortos terapéuticos. Realizados en el Perú entre el 2014 y 2023”</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julio de 2024, pág. 35.</w:t>
      </w:r>
    </w:p>
  </w:endnote>
  <w:endnote w:id="85">
    <w:p w14:paraId="520A3081" w14:textId="4A50FF66"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Promsex. Solicitud de acceso a información pública. Memorando N° 464-2021-DEOG/INMP, 29 de abril de 2021. Carta N.º 541-2024.</w:t>
      </w:r>
    </w:p>
  </w:endnote>
  <w:endnote w:id="86">
    <w:p w14:paraId="68755311" w14:textId="0A996489"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Promsex. Respuesta del Ministerio de Salud a la solicitud de acceso a información pública: Exp.16-051635-001.</w:t>
      </w:r>
    </w:p>
  </w:endnote>
  <w:endnote w:id="87">
    <w:p w14:paraId="31B1EAE7" w14:textId="5E73E86A"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Promsex. Respuesta del Ministerio de Salud, a la solicitud de información pública: Número de mujeres a quiénes se les ha practicado interrupción voluntaria del embarazo por indicación terapéutica por meses según departamentos desde julio 2014 a 2016.</w:t>
      </w:r>
    </w:p>
  </w:endnote>
  <w:endnote w:id="88">
    <w:p w14:paraId="1FF39B64" w14:textId="5848693A" w:rsidR="00890C15" w:rsidRDefault="00890C15" w:rsidP="00145CAC">
      <w:pPr>
        <w:pStyle w:val="EndnoteText"/>
        <w:ind w:left="450" w:hanging="450"/>
        <w:jc w:val="both"/>
      </w:pPr>
      <w:r>
        <w:rPr>
          <w:rStyle w:val="EndnoteReference"/>
        </w:rPr>
        <w:endnoteRef/>
      </w:r>
      <w:r>
        <w:rPr>
          <w:rFonts w:ascii="Cambria" w:eastAsia="Cambria" w:hAnsi="Cambria" w:cs="Cambria"/>
          <w:sz w:val="16"/>
          <w:szCs w:val="16"/>
        </w:rPr>
        <w:t xml:space="preserve">Congresista Jáuregui de Aguayo en Facebook. 12 de noviembre de 2024. Disponible en: </w:t>
      </w:r>
      <w:r w:rsidRPr="007C2B31">
        <w:rPr>
          <w:rFonts w:ascii="Cambria" w:eastAsia="Cambria" w:hAnsi="Cambria" w:cs="Cambria"/>
          <w:sz w:val="16"/>
          <w:szCs w:val="16"/>
        </w:rPr>
        <w:t>&lt;</w:t>
      </w:r>
      <w:hyperlink r:id="rId43">
        <w:r w:rsidRPr="007C2B31">
          <w:rPr>
            <w:rFonts w:ascii="Cambria" w:eastAsia="Cambria" w:hAnsi="Cambria" w:cs="Cambria"/>
            <w:color w:val="1155CC"/>
            <w:sz w:val="16"/>
            <w:szCs w:val="16"/>
            <w:u w:val="single"/>
          </w:rPr>
          <w:t>https://www.facebook.com/story.php?storyE1J</w:t>
        </w:r>
      </w:hyperlink>
      <w:r w:rsidRPr="007C2B31">
        <w:rPr>
          <w:rFonts w:ascii="Cambria" w:eastAsia="Cambria" w:hAnsi="Cambria" w:cs="Cambria"/>
          <w:sz w:val="16"/>
          <w:szCs w:val="16"/>
        </w:rPr>
        <w:t>&gt;. Sesión</w:t>
      </w:r>
      <w:r>
        <w:rPr>
          <w:rFonts w:ascii="Cambria" w:eastAsia="Cambria" w:hAnsi="Cambria" w:cs="Cambria"/>
          <w:sz w:val="16"/>
          <w:szCs w:val="16"/>
        </w:rPr>
        <w:t xml:space="preserve"> de la Comisión de Salud y Población. 5 de noviembre de 2024.  Disponible en: &lt;</w:t>
      </w:r>
      <w:hyperlink r:id="rId44">
        <w:r>
          <w:rPr>
            <w:rFonts w:ascii="Cambria" w:eastAsia="Cambria" w:hAnsi="Cambria" w:cs="Cambria"/>
            <w:sz w:val="16"/>
            <w:szCs w:val="16"/>
            <w:u w:val="single"/>
          </w:rPr>
          <w:t>https://www.youtube.com/watch?v=7fh05C65Mrg&amp;&amp;list=PLfVIxRaemgNqE7OKwsW15vIN0Ue47v8g5&amp;&amp;index=2</w:t>
        </w:r>
      </w:hyperlink>
      <w:r>
        <w:rPr>
          <w:rFonts w:ascii="Cambria" w:eastAsia="Cambria" w:hAnsi="Cambria" w:cs="Cambria"/>
          <w:sz w:val="16"/>
          <w:szCs w:val="16"/>
        </w:rPr>
        <w:t>&gt; (revisado el 11 de diciembre de 2024).</w:t>
      </w:r>
    </w:p>
  </w:endnote>
  <w:endnote w:id="89">
    <w:p w14:paraId="6BBB6B7F" w14:textId="248BEF98" w:rsidR="00890C15" w:rsidRDefault="00890C15" w:rsidP="00DB0539">
      <w:pPr>
        <w:pStyle w:val="EndnoteText"/>
        <w:jc w:val="both"/>
      </w:pPr>
      <w:r>
        <w:rPr>
          <w:rStyle w:val="EndnoteReference"/>
        </w:rPr>
        <w:endnoteRef/>
      </w:r>
      <w:r>
        <w:t xml:space="preserve"> </w:t>
      </w:r>
      <w:r>
        <w:rPr>
          <w:rFonts w:ascii="Cambria" w:eastAsia="Cambria" w:hAnsi="Cambria" w:cs="Cambria"/>
          <w:sz w:val="16"/>
          <w:szCs w:val="16"/>
        </w:rPr>
        <w:t>Sentencia del Tribunal Constitucional. Causa Exp. Nº 3208-2004-AA/TC, 30 de mayo de 2005, fundamento 6. Disponible en: &lt;</w:t>
      </w:r>
      <w:hyperlink r:id="rId45">
        <w:r>
          <w:rPr>
            <w:rFonts w:ascii="Cambria" w:eastAsia="Cambria" w:hAnsi="Cambria" w:cs="Cambria"/>
            <w:color w:val="1155CC"/>
            <w:sz w:val="16"/>
            <w:szCs w:val="16"/>
            <w:u w:val="single"/>
          </w:rPr>
          <w:t>https://www.tc.gob.pe/jurisprudencia/2005/03208-2004-AA.pdf</w:t>
        </w:r>
      </w:hyperlink>
      <w:r>
        <w:rPr>
          <w:rFonts w:ascii="Cambria" w:eastAsia="Cambria" w:hAnsi="Cambria" w:cs="Cambria"/>
          <w:sz w:val="16"/>
          <w:szCs w:val="16"/>
        </w:rPr>
        <w:t>&gt; (revisado el 11 de diciembre de 2024).</w:t>
      </w:r>
    </w:p>
  </w:endnote>
  <w:endnote w:id="90">
    <w:p w14:paraId="4778FB48" w14:textId="02DE911F" w:rsidR="00890C15" w:rsidRPr="00FF71DD" w:rsidRDefault="00890C15" w:rsidP="00FF71DD">
      <w:pPr>
        <w:pBdr>
          <w:top w:val="nil"/>
          <w:left w:val="nil"/>
          <w:bottom w:val="nil"/>
          <w:right w:val="nil"/>
          <w:between w:val="nil"/>
        </w:pBdr>
        <w:jc w:val="both"/>
        <w:rPr>
          <w:rFonts w:ascii="Cambria" w:eastAsia="Cambria" w:hAnsi="Cambria" w:cs="Cambria"/>
          <w:color w:val="000000"/>
          <w:sz w:val="16"/>
          <w:szCs w:val="16"/>
        </w:rPr>
      </w:pPr>
      <w:r>
        <w:rPr>
          <w:rStyle w:val="EndnoteReference"/>
        </w:rPr>
        <w:endnoteRef/>
      </w:r>
      <w:r>
        <w:t xml:space="preserve"> </w:t>
      </w:r>
      <w:r>
        <w:rPr>
          <w:rFonts w:ascii="Cambria" w:eastAsia="Cambria" w:hAnsi="Cambria" w:cs="Cambria"/>
          <w:color w:val="000000"/>
          <w:sz w:val="16"/>
          <w:szCs w:val="16"/>
        </w:rPr>
        <w:t>Comité de los Derechos del Niño</w:t>
      </w:r>
      <w:r>
        <w:rPr>
          <w:rFonts w:ascii="Cambria" w:eastAsia="Cambria" w:hAnsi="Cambria" w:cs="Cambria"/>
          <w:i/>
          <w:color w:val="000000"/>
          <w:sz w:val="16"/>
          <w:szCs w:val="16"/>
        </w:rPr>
        <w:t>, Camila. c. Perú</w:t>
      </w:r>
      <w:r>
        <w:rPr>
          <w:rFonts w:ascii="Cambria" w:eastAsia="Cambria" w:hAnsi="Cambria" w:cs="Cambria"/>
          <w:color w:val="000000"/>
          <w:sz w:val="16"/>
          <w:szCs w:val="16"/>
        </w:rPr>
        <w:t>, Comunicación No. 136/2021, U.N.Doc. RC/C/93</w:t>
      </w:r>
      <w:r w:rsidRPr="009F56C2">
        <w:rPr>
          <w:rFonts w:ascii="Cambria" w:eastAsia="Cambria" w:hAnsi="Cambria" w:cs="Cambria"/>
          <w:color w:val="000000"/>
          <w:sz w:val="16"/>
          <w:szCs w:val="16"/>
        </w:rPr>
        <w:t>/D/136/2021, párr. 9.</w:t>
      </w:r>
    </w:p>
  </w:endnote>
  <w:endnote w:id="91">
    <w:p w14:paraId="47C224A8" w14:textId="09576D11" w:rsidR="00890C15" w:rsidRDefault="00890C15" w:rsidP="00FF71DD">
      <w:pPr>
        <w:pStyle w:val="EndnoteText"/>
        <w:ind w:left="450" w:hanging="450"/>
        <w:jc w:val="both"/>
      </w:pPr>
      <w:r>
        <w:rPr>
          <w:rStyle w:val="EndnoteReference"/>
        </w:rPr>
        <w:endnoteRef/>
      </w:r>
      <w:r>
        <w:t xml:space="preserve"> </w:t>
      </w:r>
      <w:r>
        <w:rPr>
          <w:rFonts w:ascii="Cambria" w:eastAsia="Cambria" w:hAnsi="Cambria" w:cs="Cambria"/>
          <w:color w:val="000000"/>
          <w:sz w:val="16"/>
          <w:szCs w:val="16"/>
        </w:rPr>
        <w:t xml:space="preserve">Ley General de Salud, Ley Nº 26842. Artículo 30, </w:t>
      </w:r>
      <w:r>
        <w:rPr>
          <w:rFonts w:ascii="Cambria" w:eastAsia="Cambria" w:hAnsi="Cambria" w:cs="Cambria"/>
          <w:i/>
          <w:color w:val="000000"/>
          <w:sz w:val="16"/>
          <w:szCs w:val="16"/>
        </w:rPr>
        <w:t>“El médico que brinda atención médica a un apersona herida por un arma blanca, herida de bala, accidente de tránsito o por causa de otro tipo de violencia que constituya delito perseguible de oficio o cuando existan indicios de aborto criminal, está obligado a poner el hecho en conocimiento de la autoridad competente”.</w:t>
      </w:r>
      <w:r>
        <w:rPr>
          <w:rFonts w:ascii="Cambria" w:eastAsia="Cambria" w:hAnsi="Cambria" w:cs="Cambria"/>
          <w:color w:val="000000"/>
          <w:sz w:val="16"/>
          <w:szCs w:val="16"/>
        </w:rPr>
        <w:t xml:space="preserve"> El problema con esta disposición es que dispone que los profesionales de la salud y/o personal de salud deben denunciar aquellas evidencias de delito, violencia o indicio de aborto, vulnerando el secreto profesional entre paciente -médico.</w:t>
      </w:r>
    </w:p>
  </w:endnote>
  <w:endnote w:id="92">
    <w:p w14:paraId="1021A50B" w14:textId="58FF7248" w:rsidR="00890C15" w:rsidRDefault="00890C15" w:rsidP="00FF71DD">
      <w:pPr>
        <w:pStyle w:val="EndnoteText"/>
        <w:ind w:left="450" w:hanging="450"/>
        <w:jc w:val="both"/>
      </w:pPr>
      <w:r>
        <w:rPr>
          <w:rStyle w:val="EndnoteReference"/>
        </w:rPr>
        <w:endnoteRef/>
      </w:r>
      <w:r>
        <w:t xml:space="preserve"> </w:t>
      </w:r>
      <w:r>
        <w:rPr>
          <w:rFonts w:ascii="Cambria" w:eastAsia="Cambria" w:hAnsi="Cambria" w:cs="Cambria"/>
          <w:color w:val="000000"/>
          <w:sz w:val="16"/>
          <w:szCs w:val="16"/>
        </w:rPr>
        <w:t>Promsex. Respuesta a la solicitud de acceso a la información del Ministerio Público Oficio Nº810-2017-MP-FN-GG-OCPLAP/03 de fecha 16 de mayo de 2017.</w:t>
      </w:r>
    </w:p>
  </w:endnote>
  <w:endnote w:id="93">
    <w:p w14:paraId="6096E018" w14:textId="35F5D57C" w:rsidR="00890C15" w:rsidRDefault="00890C15" w:rsidP="00FF71DD">
      <w:pPr>
        <w:pStyle w:val="EndnoteText"/>
        <w:ind w:left="450" w:hanging="450"/>
        <w:jc w:val="both"/>
      </w:pPr>
      <w:r>
        <w:rPr>
          <w:rStyle w:val="EndnoteReference"/>
        </w:rPr>
        <w:endnoteRef/>
      </w:r>
      <w:r>
        <w:t xml:space="preserve"> </w:t>
      </w:r>
      <w:r>
        <w:rPr>
          <w:rFonts w:ascii="Cambria" w:eastAsia="Cambria" w:hAnsi="Cambria" w:cs="Cambria"/>
          <w:color w:val="000000"/>
          <w:sz w:val="16"/>
          <w:szCs w:val="16"/>
        </w:rPr>
        <w:t>Promsex. Gerencia General del Poder Judicial, Oficio No. 323-2019-SG-GG-PJ. Solicitud de acceso a información pública sobre denuncias por el delito de aborto y el estado de estas. Solo se registra 73 sentencias condenatorias por el delito de aborto y sus modalidades a nivel nacional</w:t>
      </w:r>
      <w:r>
        <w:rPr>
          <w:rFonts w:ascii="Cambria" w:eastAsia="Cambria" w:hAnsi="Cambria" w:cs="Cambria"/>
          <w:color w:val="000000"/>
          <w:sz w:val="16"/>
          <w:szCs w:val="16"/>
          <w:vertAlign w:val="superscript"/>
        </w:rPr>
        <w:t xml:space="preserve">, </w:t>
      </w:r>
      <w:r>
        <w:rPr>
          <w:rFonts w:ascii="Cambria" w:eastAsia="Cambria" w:hAnsi="Cambria" w:cs="Cambria"/>
          <w:color w:val="000000"/>
          <w:sz w:val="16"/>
          <w:szCs w:val="16"/>
        </w:rPr>
        <w:t>por lo que, las demás mujeres continúan enfrentando un proceso penal en sus diferentes etapas.</w:t>
      </w:r>
    </w:p>
  </w:endnote>
  <w:endnote w:id="94">
    <w:p w14:paraId="64EE673F" w14:textId="5A7F1CF1"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Salud con Lupa. </w:t>
      </w:r>
      <w:r>
        <w:rPr>
          <w:rFonts w:ascii="Cambria" w:eastAsia="Cambria" w:hAnsi="Cambria" w:cs="Cambria"/>
          <w:i/>
          <w:color w:val="000000"/>
          <w:sz w:val="16"/>
          <w:szCs w:val="16"/>
        </w:rPr>
        <w:t>“</w:t>
      </w:r>
      <w:hyperlink r:id="rId46">
        <w:r>
          <w:rPr>
            <w:rFonts w:ascii="Cambria" w:eastAsia="Cambria" w:hAnsi="Cambria" w:cs="Cambria"/>
            <w:i/>
            <w:color w:val="000000"/>
            <w:sz w:val="16"/>
            <w:szCs w:val="16"/>
            <w:u w:val="single"/>
          </w:rPr>
          <w:t>De la sala de emergencias al juzgado por un aborto’</w:t>
        </w:r>
      </w:hyperlink>
      <w:r>
        <w:rPr>
          <w:rFonts w:ascii="Cambria" w:eastAsia="Cambria" w:hAnsi="Cambria" w:cs="Cambria"/>
          <w:i/>
          <w:color w:val="000000"/>
          <w:sz w:val="16"/>
          <w:szCs w:val="16"/>
        </w:rPr>
        <w:t>’.</w:t>
      </w:r>
      <w:r>
        <w:rPr>
          <w:rFonts w:ascii="Cambria" w:eastAsia="Cambria" w:hAnsi="Cambria" w:cs="Cambria"/>
          <w:color w:val="000000"/>
          <w:sz w:val="16"/>
          <w:szCs w:val="16"/>
        </w:rPr>
        <w:t xml:space="preserve"> 28 de noviembre de 2022.</w:t>
      </w:r>
    </w:p>
  </w:endnote>
  <w:endnote w:id="95">
    <w:p w14:paraId="45BAF271" w14:textId="23A4058B" w:rsidR="00890C15" w:rsidRDefault="00890C15"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párr. 25 (f). Observaciones Finales (2016), párr. 62 (e).</w:t>
      </w:r>
    </w:p>
  </w:endnote>
  <w:endnote w:id="96">
    <w:p w14:paraId="7FF4D2D6" w14:textId="7439A805" w:rsidR="00761529" w:rsidRDefault="00761529" w:rsidP="00DB0539">
      <w:pPr>
        <w:pStyle w:val="EndnoteText"/>
        <w:jc w:val="both"/>
      </w:pPr>
      <w:r>
        <w:rPr>
          <w:rStyle w:val="EndnoteReference"/>
        </w:rPr>
        <w:endnoteRef/>
      </w:r>
      <w:r>
        <w:t xml:space="preserve"> </w:t>
      </w:r>
      <w:r>
        <w:rPr>
          <w:rFonts w:ascii="Cambria" w:eastAsia="Cambria" w:hAnsi="Cambria" w:cs="Cambria"/>
          <w:sz w:val="16"/>
          <w:szCs w:val="16"/>
        </w:rPr>
        <w:t>Encuesta Demográfica de Estadística e Informática -ENDES (2023).  Instituto Nacional de Estadística e Informática -INEI, pág. 40.</w:t>
      </w:r>
    </w:p>
  </w:endnote>
  <w:endnote w:id="97">
    <w:p w14:paraId="516F5C1C" w14:textId="0CAB694B" w:rsidR="00761529" w:rsidRDefault="00761529" w:rsidP="00FF71DD">
      <w:pPr>
        <w:pStyle w:val="EndnoteText"/>
        <w:ind w:left="450" w:hanging="450"/>
        <w:jc w:val="both"/>
      </w:pPr>
      <w:r>
        <w:rPr>
          <w:rStyle w:val="EndnoteReference"/>
        </w:rPr>
        <w:endnoteRef/>
      </w:r>
      <w:r>
        <w:t xml:space="preserve"> </w:t>
      </w:r>
      <w:r>
        <w:rPr>
          <w:rFonts w:ascii="Cambria" w:eastAsia="Cambria" w:hAnsi="Cambria" w:cs="Cambria"/>
          <w:color w:val="000000"/>
          <w:sz w:val="16"/>
          <w:szCs w:val="16"/>
        </w:rPr>
        <w:t xml:space="preserve">Motta, A. Keogh, S, Prada, E entre otros (2017), </w:t>
      </w:r>
      <w:hyperlink r:id="rId47">
        <w:r>
          <w:rPr>
            <w:rFonts w:ascii="Cambria" w:eastAsia="Cambria" w:hAnsi="Cambria" w:cs="Cambria"/>
            <w:i/>
            <w:color w:val="000000"/>
            <w:sz w:val="16"/>
            <w:szCs w:val="16"/>
            <w:u w:val="single"/>
          </w:rPr>
          <w:t>“De la normativa a la práctica: La política de educación sexual y su implementación en el Perú”</w:t>
        </w:r>
      </w:hyperlink>
      <w:r>
        <w:rPr>
          <w:rFonts w:ascii="Cambria" w:eastAsia="Cambria" w:hAnsi="Cambria" w:cs="Cambria"/>
          <w:color w:val="000000"/>
          <w:sz w:val="16"/>
          <w:szCs w:val="16"/>
        </w:rPr>
        <w:t>. Guttmacher Institute, pág. 53.</w:t>
      </w:r>
    </w:p>
  </w:endnote>
  <w:endnote w:id="98">
    <w:p w14:paraId="447D08CE" w14:textId="2D5EA0E6" w:rsidR="00761529" w:rsidRDefault="00761529" w:rsidP="00FF71DD">
      <w:pPr>
        <w:pStyle w:val="EndnoteText"/>
        <w:ind w:left="450" w:hanging="450"/>
        <w:jc w:val="both"/>
      </w:pPr>
      <w:r>
        <w:rPr>
          <w:rStyle w:val="EndnoteReference"/>
        </w:rPr>
        <w:endnoteRef/>
      </w:r>
      <w:r>
        <w:t xml:space="preserve"> </w:t>
      </w:r>
      <w:r>
        <w:rPr>
          <w:rFonts w:ascii="Cambria" w:eastAsia="Cambria" w:hAnsi="Cambria" w:cs="Cambria"/>
          <w:color w:val="000000"/>
          <w:sz w:val="16"/>
          <w:szCs w:val="16"/>
        </w:rPr>
        <w:t xml:space="preserve">Nota de Prensa N.º 622/OCII/DP/2022, </w:t>
      </w:r>
      <w:hyperlink r:id="rId48">
        <w:r>
          <w:rPr>
            <w:rFonts w:ascii="Cambria" w:eastAsia="Cambria" w:hAnsi="Cambria" w:cs="Cambria"/>
            <w:i/>
            <w:color w:val="000000"/>
            <w:sz w:val="16"/>
            <w:szCs w:val="16"/>
            <w:u w:val="single"/>
          </w:rPr>
          <w:t>“Defensoría del Pueblo: situación actual del embarazo en adolescentes exige un mayor acceso a salud sexual y reproductiva y educación sexual integral</w:t>
        </w:r>
      </w:hyperlink>
      <w:r>
        <w:rPr>
          <w:rFonts w:ascii="Cambria" w:eastAsia="Cambria" w:hAnsi="Cambria" w:cs="Cambria"/>
          <w:i/>
          <w:color w:val="000000"/>
          <w:sz w:val="16"/>
          <w:szCs w:val="16"/>
        </w:rPr>
        <w:t>”</w:t>
      </w:r>
      <w:r>
        <w:rPr>
          <w:rFonts w:ascii="Cambria" w:eastAsia="Cambria" w:hAnsi="Cambria" w:cs="Cambria"/>
          <w:color w:val="000000"/>
          <w:sz w:val="16"/>
          <w:szCs w:val="16"/>
        </w:rPr>
        <w:t>, 26 de septiembre de 2022.</w:t>
      </w:r>
    </w:p>
  </w:endnote>
  <w:endnote w:id="99">
    <w:p w14:paraId="5E17774A" w14:textId="04527D91"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Nota de prensa</w:t>
      </w:r>
      <w:r>
        <w:rPr>
          <w:rFonts w:ascii="Cambria" w:eastAsia="Cambria" w:hAnsi="Cambria" w:cs="Cambria"/>
          <w:i/>
          <w:color w:val="000000"/>
          <w:sz w:val="16"/>
          <w:szCs w:val="16"/>
        </w:rPr>
        <w:t xml:space="preserve">, </w:t>
      </w:r>
      <w:hyperlink r:id="rId49">
        <w:r>
          <w:rPr>
            <w:rFonts w:ascii="Cambria" w:eastAsia="Cambria" w:hAnsi="Cambria" w:cs="Cambria"/>
            <w:i/>
            <w:color w:val="000000"/>
            <w:sz w:val="16"/>
            <w:szCs w:val="16"/>
            <w:u w:val="single"/>
          </w:rPr>
          <w:t>“Ucayali: Colegio San Fernando redujo en un 80% el embarazo adolescente”</w:t>
        </w:r>
      </w:hyperlink>
      <w:r>
        <w:rPr>
          <w:rFonts w:ascii="Cambria" w:eastAsia="Cambria" w:hAnsi="Cambria" w:cs="Cambria"/>
          <w:color w:val="000000"/>
          <w:sz w:val="16"/>
          <w:szCs w:val="16"/>
        </w:rPr>
        <w:t>, 19 de abril de 2022.</w:t>
      </w:r>
    </w:p>
  </w:endnote>
  <w:endnote w:id="100">
    <w:p w14:paraId="247C61FC" w14:textId="0514CA32"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párr. 41 (c).</w:t>
      </w:r>
    </w:p>
  </w:endnote>
  <w:endnote w:id="101">
    <w:p w14:paraId="04D0CF9A" w14:textId="6C96BB65"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Infobae, </w:t>
      </w:r>
      <w:hyperlink r:id="rId50">
        <w:r>
          <w:rPr>
            <w:rFonts w:ascii="Cambria" w:eastAsia="Cambria" w:hAnsi="Cambria" w:cs="Cambria"/>
            <w:i/>
            <w:color w:val="000000"/>
            <w:sz w:val="16"/>
            <w:szCs w:val="16"/>
            <w:u w:val="single"/>
          </w:rPr>
          <w:t>“Medio millar de profesores abusaron sexualmente de niñas en Amazonas y reportan contagios de VIH”</w:t>
        </w:r>
      </w:hyperlink>
      <w:r>
        <w:rPr>
          <w:rFonts w:ascii="Cambria" w:eastAsia="Cambria" w:hAnsi="Cambria" w:cs="Cambria"/>
          <w:color w:val="000000"/>
          <w:sz w:val="16"/>
          <w:szCs w:val="16"/>
        </w:rPr>
        <w:t>, 09 de junio de 2024.</w:t>
      </w:r>
    </w:p>
  </w:endnote>
  <w:endnote w:id="102">
    <w:p w14:paraId="59DB0B7D" w14:textId="4EB3E19A"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La República, </w:t>
      </w:r>
      <w:hyperlink r:id="rId51">
        <w:r>
          <w:rPr>
            <w:rFonts w:ascii="Cambria" w:eastAsia="Cambria" w:hAnsi="Cambria" w:cs="Cambria"/>
            <w:i/>
            <w:color w:val="000000"/>
            <w:sz w:val="16"/>
            <w:szCs w:val="16"/>
            <w:u w:val="single"/>
          </w:rPr>
          <w:t>“Condorcanqui: 22 nuevos casos de abuso sexual a niños solo en noviembre”</w:t>
        </w:r>
      </w:hyperlink>
      <w:r>
        <w:rPr>
          <w:rFonts w:ascii="Cambria" w:eastAsia="Cambria" w:hAnsi="Cambria" w:cs="Cambria"/>
          <w:i/>
          <w:color w:val="000000"/>
          <w:sz w:val="16"/>
          <w:szCs w:val="16"/>
        </w:rPr>
        <w:t xml:space="preserve">, </w:t>
      </w:r>
      <w:r>
        <w:rPr>
          <w:rFonts w:ascii="Cambria" w:eastAsia="Cambria" w:hAnsi="Cambria" w:cs="Cambria"/>
          <w:color w:val="000000"/>
          <w:sz w:val="16"/>
          <w:szCs w:val="16"/>
        </w:rPr>
        <w:t>03 de diciembre de 2024.</w:t>
      </w:r>
    </w:p>
  </w:endnote>
  <w:endnote w:id="103">
    <w:p w14:paraId="042877E6" w14:textId="6134B8BE"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Wayka. “</w:t>
      </w:r>
      <w:hyperlink r:id="rId52">
        <w:r>
          <w:rPr>
            <w:rFonts w:ascii="Cambria" w:eastAsia="Cambria" w:hAnsi="Cambria" w:cs="Cambria"/>
            <w:i/>
            <w:color w:val="000000"/>
            <w:sz w:val="16"/>
            <w:szCs w:val="16"/>
            <w:u w:val="single"/>
          </w:rPr>
          <w:t>Niñas y niños Awajún: las víctimas de la indiferencia Estatal y la ausencia de recursos</w:t>
        </w:r>
      </w:hyperlink>
      <w:r>
        <w:rPr>
          <w:rFonts w:ascii="Cambria" w:eastAsia="Cambria" w:hAnsi="Cambria" w:cs="Cambria"/>
          <w:i/>
          <w:color w:val="000000"/>
          <w:sz w:val="16"/>
          <w:szCs w:val="16"/>
          <w:u w:val="single"/>
        </w:rPr>
        <w:t>”</w:t>
      </w:r>
      <w:r>
        <w:rPr>
          <w:rFonts w:ascii="Cambria" w:eastAsia="Cambria" w:hAnsi="Cambria" w:cs="Cambria"/>
          <w:i/>
          <w:color w:val="000000"/>
          <w:sz w:val="16"/>
          <w:szCs w:val="16"/>
        </w:rPr>
        <w:t>,</w:t>
      </w:r>
      <w:r>
        <w:rPr>
          <w:rFonts w:ascii="Cambria" w:eastAsia="Cambria" w:hAnsi="Cambria" w:cs="Cambria"/>
          <w:color w:val="000000"/>
          <w:sz w:val="16"/>
          <w:szCs w:val="16"/>
        </w:rPr>
        <w:t xml:space="preserve"> 2024.</w:t>
      </w:r>
    </w:p>
  </w:endnote>
  <w:endnote w:id="104">
    <w:p w14:paraId="7B736A36" w14:textId="2392C157"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Epicentro. “</w:t>
      </w:r>
      <w:hyperlink r:id="rId53">
        <w:r>
          <w:rPr>
            <w:rFonts w:ascii="Cambria" w:eastAsia="Cambria" w:hAnsi="Cambria" w:cs="Cambria"/>
            <w:i/>
            <w:color w:val="000000"/>
            <w:sz w:val="16"/>
            <w:szCs w:val="16"/>
            <w:u w:val="single"/>
          </w:rPr>
          <w:t>Condorcanqui: Fuego de impunidad. Epicentro</w:t>
        </w:r>
      </w:hyperlink>
      <w:r>
        <w:rPr>
          <w:rFonts w:ascii="Cambria" w:eastAsia="Cambria" w:hAnsi="Cambria" w:cs="Cambria"/>
          <w:i/>
          <w:color w:val="000000"/>
          <w:sz w:val="16"/>
          <w:szCs w:val="16"/>
          <w:u w:val="single"/>
        </w:rPr>
        <w:t>”</w:t>
      </w:r>
      <w:r>
        <w:rPr>
          <w:rFonts w:ascii="Cambria" w:eastAsia="Cambria" w:hAnsi="Cambria" w:cs="Cambria"/>
          <w:i/>
          <w:color w:val="000000"/>
          <w:sz w:val="16"/>
          <w:szCs w:val="16"/>
        </w:rPr>
        <w:t>,</w:t>
      </w:r>
      <w:r>
        <w:rPr>
          <w:rFonts w:ascii="Cambria" w:eastAsia="Cambria" w:hAnsi="Cambria" w:cs="Cambria"/>
          <w:color w:val="000000"/>
          <w:sz w:val="16"/>
          <w:szCs w:val="16"/>
        </w:rPr>
        <w:t xml:space="preserve"> 2022.</w:t>
      </w:r>
    </w:p>
  </w:endnote>
  <w:endnote w:id="105">
    <w:p w14:paraId="3648B12B" w14:textId="2F09F10F" w:rsidR="00761529" w:rsidRDefault="00761529" w:rsidP="00FF71DD">
      <w:pPr>
        <w:pStyle w:val="EndnoteText"/>
        <w:ind w:left="450" w:hanging="450"/>
        <w:jc w:val="both"/>
      </w:pPr>
      <w:r>
        <w:rPr>
          <w:rStyle w:val="EndnoteReference"/>
        </w:rPr>
        <w:endnoteRef/>
      </w:r>
      <w:r>
        <w:t xml:space="preserve"> </w:t>
      </w:r>
      <w:r>
        <w:rPr>
          <w:rFonts w:ascii="Cambria" w:eastAsia="Cambria" w:hAnsi="Cambria" w:cs="Cambria"/>
          <w:color w:val="000000"/>
          <w:sz w:val="16"/>
          <w:szCs w:val="16"/>
        </w:rPr>
        <w:t xml:space="preserve">Infobae, </w:t>
      </w:r>
      <w:hyperlink r:id="rId54">
        <w:r>
          <w:rPr>
            <w:rFonts w:ascii="Cambria" w:eastAsia="Cambria" w:hAnsi="Cambria" w:cs="Cambria"/>
            <w:i/>
            <w:color w:val="000000"/>
            <w:sz w:val="16"/>
            <w:szCs w:val="16"/>
            <w:u w:val="single"/>
          </w:rPr>
          <w:t>“Ministro de Educación desata ola de repudio al sugerir que agresiones sexuales contra niñas awajún pueden ser una práctica cultural”</w:t>
        </w:r>
      </w:hyperlink>
      <w:r>
        <w:rPr>
          <w:rFonts w:ascii="Cambria" w:eastAsia="Cambria" w:hAnsi="Cambria" w:cs="Cambria"/>
          <w:color w:val="000000"/>
          <w:sz w:val="16"/>
          <w:szCs w:val="16"/>
        </w:rPr>
        <w:t>, 13 de junio de 2024.</w:t>
      </w:r>
    </w:p>
  </w:endnote>
  <w:endnote w:id="106">
    <w:p w14:paraId="5EF79113" w14:textId="70A2D63C" w:rsidR="00761529" w:rsidRDefault="00761529" w:rsidP="00DB0539">
      <w:pPr>
        <w:pStyle w:val="EndnoteText"/>
        <w:jc w:val="both"/>
      </w:pPr>
      <w:r>
        <w:rPr>
          <w:rStyle w:val="EndnoteReference"/>
        </w:rPr>
        <w:endnoteRef/>
      </w:r>
      <w:r>
        <w:t xml:space="preserve"> </w:t>
      </w:r>
      <w:r>
        <w:rPr>
          <w:rFonts w:ascii="Cambria" w:eastAsia="Cambria" w:hAnsi="Cambria" w:cs="Cambria"/>
          <w:sz w:val="16"/>
          <w:szCs w:val="16"/>
        </w:rPr>
        <w:t>Wayka,</w:t>
      </w:r>
      <w:r>
        <w:rPr>
          <w:rFonts w:ascii="Cambria" w:eastAsia="Cambria" w:hAnsi="Cambria" w:cs="Cambria"/>
          <w:i/>
          <w:sz w:val="16"/>
          <w:szCs w:val="16"/>
        </w:rPr>
        <w:t xml:space="preserve"> </w:t>
      </w:r>
      <w:hyperlink r:id="rId55">
        <w:r>
          <w:rPr>
            <w:rFonts w:ascii="Cambria" w:eastAsia="Cambria" w:hAnsi="Cambria" w:cs="Cambria"/>
            <w:i/>
            <w:color w:val="1155CC"/>
            <w:sz w:val="16"/>
            <w:szCs w:val="16"/>
            <w:u w:val="single"/>
          </w:rPr>
          <w:t>“VIH: tasa de casos se concentra en la Amazonía peruana y pueblos indígenas son los más afectados”</w:t>
        </w:r>
      </w:hyperlink>
      <w:r>
        <w:rPr>
          <w:rFonts w:ascii="Cambria" w:eastAsia="Cambria" w:hAnsi="Cambria" w:cs="Cambria"/>
          <w:i/>
          <w:sz w:val="16"/>
          <w:szCs w:val="16"/>
        </w:rPr>
        <w:t>,</w:t>
      </w:r>
      <w:r>
        <w:rPr>
          <w:rFonts w:ascii="Cambria" w:eastAsia="Cambria" w:hAnsi="Cambria" w:cs="Cambria"/>
          <w:sz w:val="16"/>
          <w:szCs w:val="16"/>
        </w:rPr>
        <w:t xml:space="preserve"> 29 de noviembre de 2024.</w:t>
      </w:r>
    </w:p>
  </w:endnote>
  <w:endnote w:id="107">
    <w:p w14:paraId="5675C5E5" w14:textId="19521741"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La República, </w:t>
      </w:r>
      <w:hyperlink r:id="rId56">
        <w:r>
          <w:rPr>
            <w:rFonts w:ascii="Cambria" w:eastAsia="Cambria" w:hAnsi="Cambria" w:cs="Cambria"/>
            <w:i/>
            <w:color w:val="000000"/>
            <w:sz w:val="16"/>
            <w:szCs w:val="16"/>
            <w:u w:val="single"/>
          </w:rPr>
          <w:t>“Condorcanqui: 22 nuevos casos de abuso sexual a niños solo en noviembre”</w:t>
        </w:r>
      </w:hyperlink>
      <w:r>
        <w:rPr>
          <w:rFonts w:ascii="Cambria" w:eastAsia="Cambria" w:hAnsi="Cambria" w:cs="Cambria"/>
          <w:color w:val="000000"/>
          <w:sz w:val="16"/>
          <w:szCs w:val="16"/>
        </w:rPr>
        <w:t>, 03 de diciembre de 2024.</w:t>
      </w:r>
    </w:p>
  </w:endnote>
  <w:endnote w:id="108">
    <w:p w14:paraId="2AED7CB8" w14:textId="17CA657E"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Manuela Ramos. </w:t>
      </w:r>
      <w:r>
        <w:rPr>
          <w:rFonts w:ascii="Cambria" w:eastAsia="Cambria" w:hAnsi="Cambria" w:cs="Cambria"/>
          <w:i/>
          <w:color w:val="000000"/>
          <w:sz w:val="16"/>
          <w:szCs w:val="16"/>
        </w:rPr>
        <w:t>Hoja Resumen del caso de Huanca Sancos</w:t>
      </w:r>
      <w:r>
        <w:rPr>
          <w:rFonts w:ascii="Cambria" w:eastAsia="Cambria" w:hAnsi="Cambria" w:cs="Cambria"/>
          <w:color w:val="000000"/>
          <w:sz w:val="16"/>
          <w:szCs w:val="16"/>
        </w:rPr>
        <w:t>.</w:t>
      </w:r>
    </w:p>
  </w:endnote>
  <w:endnote w:id="109">
    <w:p w14:paraId="0746EBCF" w14:textId="6903376E"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Comité de los Derechos del Niño, Lista de cuestiones (2021), párr. 25 (f).</w:t>
      </w:r>
    </w:p>
  </w:endnote>
  <w:endnote w:id="110">
    <w:p w14:paraId="61BDC62F" w14:textId="77777777" w:rsidR="00761529" w:rsidRDefault="00761529" w:rsidP="00DB0539">
      <w:pPr>
        <w:pBdr>
          <w:top w:val="nil"/>
          <w:left w:val="nil"/>
          <w:bottom w:val="nil"/>
          <w:right w:val="nil"/>
          <w:between w:val="nil"/>
        </w:pBdr>
        <w:jc w:val="both"/>
        <w:rPr>
          <w:rFonts w:ascii="Cambria" w:eastAsia="Cambria" w:hAnsi="Cambria" w:cs="Cambria"/>
          <w:color w:val="000000"/>
          <w:sz w:val="16"/>
          <w:szCs w:val="16"/>
        </w:rPr>
      </w:pPr>
      <w:r>
        <w:rPr>
          <w:rStyle w:val="EndnoteReference"/>
        </w:rPr>
        <w:endnoteRef/>
      </w:r>
      <w:r>
        <w:t xml:space="preserve"> </w:t>
      </w:r>
      <w:r>
        <w:rPr>
          <w:rFonts w:ascii="Cambria" w:eastAsia="Cambria" w:hAnsi="Cambria" w:cs="Cambria"/>
          <w:color w:val="000000"/>
          <w:sz w:val="16"/>
          <w:szCs w:val="16"/>
        </w:rPr>
        <w:t>Entre los programas y políticas adoptadas por el Estado peruano, destacamos:</w:t>
      </w:r>
    </w:p>
    <w:p w14:paraId="4868DE4D" w14:textId="64766D17" w:rsidR="00761529" w:rsidRDefault="00761529" w:rsidP="00DB0539">
      <w:pPr>
        <w:numPr>
          <w:ilvl w:val="0"/>
          <w:numId w:val="3"/>
        </w:numPr>
        <w:pBdr>
          <w:top w:val="nil"/>
          <w:left w:val="nil"/>
          <w:bottom w:val="nil"/>
          <w:right w:val="nil"/>
          <w:between w:val="nil"/>
        </w:pBdr>
        <w:jc w:val="both"/>
        <w:rPr>
          <w:rFonts w:ascii="Cambria" w:eastAsia="Cambria" w:hAnsi="Cambria" w:cs="Cambria"/>
          <w:color w:val="000000"/>
          <w:sz w:val="16"/>
          <w:szCs w:val="16"/>
        </w:rPr>
      </w:pPr>
      <w:r>
        <w:rPr>
          <w:rFonts w:ascii="Cambria" w:eastAsia="Cambria" w:hAnsi="Cambria" w:cs="Cambria"/>
          <w:color w:val="000000"/>
          <w:sz w:val="16"/>
          <w:szCs w:val="16"/>
        </w:rPr>
        <w:t xml:space="preserve">La Ley N° 28983, </w:t>
      </w:r>
      <w:r>
        <w:rPr>
          <w:rFonts w:ascii="Cambria" w:eastAsia="Cambria" w:hAnsi="Cambria" w:cs="Cambria"/>
          <w:i/>
          <w:color w:val="000000"/>
          <w:sz w:val="16"/>
          <w:szCs w:val="16"/>
        </w:rPr>
        <w:t>Ley de Igualdad de Oportunidades entre Mujeres y Hombres</w:t>
      </w:r>
      <w:r>
        <w:rPr>
          <w:rFonts w:ascii="Cambria" w:eastAsia="Cambria" w:hAnsi="Cambria" w:cs="Cambria"/>
          <w:color w:val="000000"/>
          <w:sz w:val="16"/>
          <w:szCs w:val="16"/>
        </w:rPr>
        <w:t xml:space="preserve">, del 17 de marzo de 2007, incluye “promover el desarrollo pleno y equitativo de todos los niños, niñas y adolescentes, asegurándoles una educación sexual integral con calidad científica y ética” como lineamiento de Estado para adoptar políticas, planes y programas, dentro del Poder Ejecutivo, gobiernos regionales y gobiernos locales.  </w:t>
      </w:r>
    </w:p>
    <w:p w14:paraId="7A251905" w14:textId="77777777" w:rsidR="00761529" w:rsidRDefault="00761529" w:rsidP="00DB0539">
      <w:pPr>
        <w:numPr>
          <w:ilvl w:val="0"/>
          <w:numId w:val="3"/>
        </w:numPr>
        <w:pBdr>
          <w:top w:val="nil"/>
          <w:left w:val="nil"/>
          <w:bottom w:val="nil"/>
          <w:right w:val="nil"/>
          <w:between w:val="nil"/>
        </w:pBdr>
        <w:jc w:val="both"/>
        <w:rPr>
          <w:rFonts w:ascii="Cambria" w:eastAsia="Cambria" w:hAnsi="Cambria" w:cs="Cambria"/>
          <w:color w:val="000000"/>
          <w:sz w:val="16"/>
          <w:szCs w:val="16"/>
        </w:rPr>
      </w:pPr>
      <w:r>
        <w:rPr>
          <w:rFonts w:ascii="Cambria" w:eastAsia="Cambria" w:hAnsi="Cambria" w:cs="Cambria"/>
          <w:color w:val="000000"/>
          <w:sz w:val="16"/>
          <w:szCs w:val="16"/>
        </w:rPr>
        <w:t xml:space="preserve">En 2008, el Minedu dio a conocer los </w:t>
      </w:r>
      <w:r>
        <w:rPr>
          <w:rFonts w:ascii="Cambria" w:eastAsia="Cambria" w:hAnsi="Cambria" w:cs="Cambria"/>
          <w:i/>
          <w:color w:val="000000"/>
          <w:sz w:val="16"/>
          <w:szCs w:val="16"/>
        </w:rPr>
        <w:t>Lineamientos para la Educación Sexual Integral en la educación básica regular</w:t>
      </w:r>
      <w:r>
        <w:rPr>
          <w:rFonts w:ascii="Cambria" w:eastAsia="Cambria" w:hAnsi="Cambria" w:cs="Cambria"/>
          <w:color w:val="000000"/>
          <w:sz w:val="16"/>
          <w:szCs w:val="16"/>
        </w:rPr>
        <w:t xml:space="preserve">, los cuales establecen los objetivos, contenidos y metodologías de la ESI, aunque su implementación no se terminó debido a la falta de voluntad política. Lo mismo ocurre con la Ley N° 29600, </w:t>
      </w:r>
      <w:r>
        <w:rPr>
          <w:rFonts w:ascii="Cambria" w:eastAsia="Cambria" w:hAnsi="Cambria" w:cs="Cambria"/>
          <w:i/>
          <w:color w:val="000000"/>
          <w:sz w:val="16"/>
          <w:szCs w:val="16"/>
        </w:rPr>
        <w:t>Ley que fomenta la reinserción escolar por embarazo</w:t>
      </w:r>
      <w:r>
        <w:rPr>
          <w:rFonts w:ascii="Cambria" w:eastAsia="Cambria" w:hAnsi="Cambria" w:cs="Cambria"/>
          <w:color w:val="000000"/>
          <w:sz w:val="16"/>
          <w:szCs w:val="16"/>
        </w:rPr>
        <w:t xml:space="preserve">, del 15 de octubre de 2010 y Ley N° 30364, </w:t>
      </w:r>
      <w:r>
        <w:rPr>
          <w:rFonts w:ascii="Cambria" w:eastAsia="Cambria" w:hAnsi="Cambria" w:cs="Cambria"/>
          <w:i/>
          <w:color w:val="000000"/>
          <w:sz w:val="16"/>
          <w:szCs w:val="16"/>
        </w:rPr>
        <w:t>Ley para prevenir, sancionar y erradicar la violencia contra las mujeres y los integrantes del grupo familiar</w:t>
      </w:r>
      <w:r>
        <w:rPr>
          <w:rFonts w:ascii="Cambria" w:eastAsia="Cambria" w:hAnsi="Cambria" w:cs="Cambria"/>
          <w:color w:val="000000"/>
          <w:sz w:val="16"/>
          <w:szCs w:val="16"/>
        </w:rPr>
        <w:t>, 23 de noviembre de 2015.</w:t>
      </w:r>
    </w:p>
    <w:p w14:paraId="7C3DC7FA" w14:textId="2E43EEC9" w:rsidR="00761529" w:rsidRDefault="00761529" w:rsidP="00DB0539">
      <w:pPr>
        <w:numPr>
          <w:ilvl w:val="0"/>
          <w:numId w:val="3"/>
        </w:numPr>
        <w:pBdr>
          <w:top w:val="nil"/>
          <w:left w:val="nil"/>
          <w:bottom w:val="nil"/>
          <w:right w:val="nil"/>
          <w:between w:val="nil"/>
        </w:pBdr>
        <w:jc w:val="both"/>
        <w:rPr>
          <w:rFonts w:ascii="Cambria" w:eastAsia="Cambria" w:hAnsi="Cambria" w:cs="Cambria"/>
          <w:color w:val="000000"/>
          <w:sz w:val="16"/>
          <w:szCs w:val="16"/>
        </w:rPr>
      </w:pPr>
      <w:r>
        <w:rPr>
          <w:rFonts w:ascii="Cambria" w:eastAsia="Cambria" w:hAnsi="Cambria" w:cs="Cambria"/>
          <w:color w:val="000000"/>
          <w:sz w:val="16"/>
          <w:szCs w:val="16"/>
        </w:rPr>
        <w:t xml:space="preserve">El 3 de junio de 2021, el Minedu aprueba la </w:t>
      </w:r>
      <w:hyperlink r:id="rId57">
        <w:r>
          <w:rPr>
            <w:rFonts w:ascii="Cambria" w:eastAsia="Cambria" w:hAnsi="Cambria" w:cs="Cambria"/>
            <w:i/>
            <w:color w:val="467886"/>
            <w:sz w:val="16"/>
            <w:szCs w:val="16"/>
            <w:u w:val="single"/>
          </w:rPr>
          <w:t>Guía para Implementar La Educación Sexual Integral. Recurso Educativo Dirigido a Docentes de Educación Básica Regular</w:t>
        </w:r>
      </w:hyperlink>
      <w:r>
        <w:rPr>
          <w:rFonts w:ascii="Cambria" w:eastAsia="Cambria" w:hAnsi="Cambria" w:cs="Cambria"/>
          <w:color w:val="000000"/>
          <w:sz w:val="16"/>
          <w:szCs w:val="16"/>
          <w:vertAlign w:val="superscript"/>
        </w:rPr>
        <w:t xml:space="preserve"> </w:t>
      </w:r>
      <w:r>
        <w:rPr>
          <w:rFonts w:ascii="Cambria" w:eastAsia="Cambria" w:hAnsi="Cambria" w:cs="Cambria"/>
          <w:color w:val="000000"/>
          <w:sz w:val="16"/>
          <w:szCs w:val="16"/>
        </w:rPr>
        <w:t>,</w:t>
      </w:r>
      <w:r w:rsidR="009F56C2">
        <w:rPr>
          <w:rFonts w:ascii="Cambria" w:eastAsia="Cambria" w:hAnsi="Cambria" w:cs="Cambria"/>
          <w:color w:val="000000"/>
          <w:sz w:val="16"/>
          <w:szCs w:val="16"/>
        </w:rPr>
        <w:t xml:space="preserve"> </w:t>
      </w:r>
      <w:r>
        <w:rPr>
          <w:rFonts w:ascii="Cambria" w:eastAsia="Cambria" w:hAnsi="Cambria" w:cs="Cambria"/>
          <w:color w:val="000000"/>
          <w:sz w:val="16"/>
          <w:szCs w:val="16"/>
        </w:rPr>
        <w:t>2021.</w:t>
      </w:r>
    </w:p>
    <w:p w14:paraId="692DC910" w14:textId="77777777" w:rsidR="00761529" w:rsidRDefault="00761529" w:rsidP="00DB0539">
      <w:pPr>
        <w:numPr>
          <w:ilvl w:val="0"/>
          <w:numId w:val="3"/>
        </w:numPr>
        <w:pBdr>
          <w:top w:val="nil"/>
          <w:left w:val="nil"/>
          <w:bottom w:val="nil"/>
          <w:right w:val="nil"/>
          <w:between w:val="nil"/>
        </w:pBdr>
        <w:jc w:val="both"/>
        <w:rPr>
          <w:rFonts w:ascii="Cambria" w:eastAsia="Cambria" w:hAnsi="Cambria" w:cs="Cambria"/>
          <w:color w:val="000000"/>
          <w:sz w:val="16"/>
          <w:szCs w:val="16"/>
        </w:rPr>
      </w:pPr>
      <w:r>
        <w:rPr>
          <w:rFonts w:ascii="Cambria" w:eastAsia="Cambria" w:hAnsi="Cambria" w:cs="Cambria"/>
          <w:color w:val="000000"/>
          <w:sz w:val="16"/>
          <w:szCs w:val="16"/>
        </w:rPr>
        <w:t xml:space="preserve"> La Política Nacional de igualdad de género en su objetivo prioritario 2, incluye la ESI. Decreto Supremo N° 008-2019-MIMP, 4 de abril de 2019.</w:t>
      </w:r>
    </w:p>
    <w:p w14:paraId="1C8765C6" w14:textId="77777777" w:rsidR="00761529" w:rsidRDefault="00761529" w:rsidP="00DB0539">
      <w:pPr>
        <w:numPr>
          <w:ilvl w:val="0"/>
          <w:numId w:val="3"/>
        </w:numPr>
        <w:pBdr>
          <w:top w:val="nil"/>
          <w:left w:val="nil"/>
          <w:bottom w:val="nil"/>
          <w:right w:val="nil"/>
          <w:between w:val="nil"/>
        </w:pBdr>
        <w:jc w:val="both"/>
        <w:rPr>
          <w:rFonts w:ascii="Cambria" w:eastAsia="Cambria" w:hAnsi="Cambria" w:cs="Cambria"/>
          <w:color w:val="000000"/>
          <w:sz w:val="16"/>
          <w:szCs w:val="16"/>
        </w:rPr>
      </w:pPr>
      <w:r>
        <w:rPr>
          <w:rFonts w:ascii="Cambria" w:eastAsia="Cambria" w:hAnsi="Cambria" w:cs="Cambria"/>
          <w:color w:val="000000"/>
          <w:sz w:val="16"/>
          <w:szCs w:val="16"/>
        </w:rPr>
        <w:t xml:space="preserve">La </w:t>
      </w:r>
      <w:r>
        <w:rPr>
          <w:rFonts w:ascii="Cambria" w:eastAsia="Cambria" w:hAnsi="Cambria" w:cs="Cambria"/>
          <w:i/>
          <w:color w:val="000000"/>
          <w:sz w:val="16"/>
          <w:szCs w:val="16"/>
        </w:rPr>
        <w:t>Política Nacional de Acción por la Infancia y la Adolescencia 2012-2021</w:t>
      </w:r>
      <w:r>
        <w:rPr>
          <w:rFonts w:ascii="Cambria" w:eastAsia="Cambria" w:hAnsi="Cambria" w:cs="Cambria"/>
          <w:color w:val="000000"/>
          <w:sz w:val="16"/>
          <w:szCs w:val="16"/>
        </w:rPr>
        <w:t xml:space="preserve"> (Decreto Supremo N° 013-2019-MINEDU, 23 de septiembre de 2019.</w:t>
      </w:r>
    </w:p>
    <w:p w14:paraId="1158132E" w14:textId="77777777" w:rsidR="00761529" w:rsidRDefault="00761529" w:rsidP="00DB0539">
      <w:pPr>
        <w:numPr>
          <w:ilvl w:val="0"/>
          <w:numId w:val="3"/>
        </w:numPr>
        <w:pBdr>
          <w:top w:val="nil"/>
          <w:left w:val="nil"/>
          <w:bottom w:val="nil"/>
          <w:right w:val="nil"/>
          <w:between w:val="nil"/>
        </w:pBdr>
        <w:jc w:val="both"/>
        <w:rPr>
          <w:rFonts w:ascii="Cambria" w:eastAsia="Cambria" w:hAnsi="Cambria" w:cs="Cambria"/>
          <w:color w:val="000000"/>
          <w:sz w:val="16"/>
          <w:szCs w:val="16"/>
        </w:rPr>
      </w:pPr>
      <w:r>
        <w:rPr>
          <w:rFonts w:ascii="Cambria" w:eastAsia="Cambria" w:hAnsi="Cambria" w:cs="Cambria"/>
          <w:color w:val="000000"/>
          <w:sz w:val="16"/>
          <w:szCs w:val="16"/>
        </w:rPr>
        <w:t xml:space="preserve">La </w:t>
      </w:r>
      <w:r>
        <w:rPr>
          <w:rFonts w:ascii="Cambria" w:eastAsia="Cambria" w:hAnsi="Cambria" w:cs="Cambria"/>
          <w:i/>
          <w:color w:val="000000"/>
          <w:sz w:val="16"/>
          <w:szCs w:val="16"/>
        </w:rPr>
        <w:t>Política Nacional de Juventud</w:t>
      </w:r>
      <w:r>
        <w:rPr>
          <w:rFonts w:ascii="Cambria" w:eastAsia="Cambria" w:hAnsi="Cambria" w:cs="Cambria"/>
          <w:color w:val="000000"/>
          <w:sz w:val="16"/>
          <w:szCs w:val="16"/>
        </w:rPr>
        <w:t>; en el Proyecto Educativo Nacional - PEN al 2036: El Reto de la Ciudadanía Plena</w:t>
      </w:r>
      <w:r>
        <w:rPr>
          <w:rFonts w:ascii="Cambria" w:eastAsia="Cambria" w:hAnsi="Cambria" w:cs="Cambria"/>
          <w:color w:val="000000"/>
          <w:sz w:val="16"/>
          <w:szCs w:val="16"/>
          <w:vertAlign w:val="superscript"/>
        </w:rPr>
        <w:t xml:space="preserve"> </w:t>
      </w:r>
      <w:r>
        <w:rPr>
          <w:rFonts w:ascii="Cambria" w:eastAsia="Cambria" w:hAnsi="Cambria" w:cs="Cambria"/>
          <w:color w:val="000000"/>
          <w:sz w:val="16"/>
          <w:szCs w:val="16"/>
        </w:rPr>
        <w:t>y Decreto Supremo Nº 009-2020-MINEDU, 29 de julio de 2020.</w:t>
      </w:r>
    </w:p>
    <w:p w14:paraId="68F1BA00" w14:textId="5EA55AD4" w:rsidR="00761529" w:rsidRPr="00FF71DD" w:rsidRDefault="00761529" w:rsidP="00DB0539">
      <w:pPr>
        <w:numPr>
          <w:ilvl w:val="0"/>
          <w:numId w:val="3"/>
        </w:numPr>
        <w:pBdr>
          <w:top w:val="nil"/>
          <w:left w:val="nil"/>
          <w:bottom w:val="nil"/>
          <w:right w:val="nil"/>
          <w:between w:val="nil"/>
        </w:pBdr>
        <w:jc w:val="both"/>
        <w:rPr>
          <w:rFonts w:ascii="Cambria" w:eastAsia="Cambria" w:hAnsi="Cambria" w:cs="Cambria"/>
          <w:color w:val="000000"/>
          <w:sz w:val="16"/>
          <w:szCs w:val="16"/>
        </w:rPr>
      </w:pPr>
      <w:r>
        <w:rPr>
          <w:rFonts w:ascii="Cambria" w:eastAsia="Cambria" w:hAnsi="Cambria" w:cs="Cambria"/>
          <w:color w:val="000000"/>
          <w:sz w:val="16"/>
          <w:szCs w:val="16"/>
        </w:rPr>
        <w:t xml:space="preserve">El </w:t>
      </w:r>
      <w:r>
        <w:rPr>
          <w:rFonts w:ascii="Cambria" w:eastAsia="Cambria" w:hAnsi="Cambria" w:cs="Cambria"/>
          <w:i/>
          <w:color w:val="000000"/>
          <w:sz w:val="16"/>
          <w:szCs w:val="16"/>
        </w:rPr>
        <w:t>Plan Estratégico de Desarrollo Nacional</w:t>
      </w:r>
      <w:r>
        <w:rPr>
          <w:rFonts w:ascii="Cambria" w:eastAsia="Cambria" w:hAnsi="Cambria" w:cs="Cambria"/>
          <w:color w:val="000000"/>
          <w:sz w:val="16"/>
          <w:szCs w:val="16"/>
        </w:rPr>
        <w:t xml:space="preserve"> al 2050 Decreto Supremo N° 095-2022-PCM, 27 de julio de 2022.</w:t>
      </w:r>
    </w:p>
  </w:endnote>
  <w:endnote w:id="111">
    <w:p w14:paraId="21618886" w14:textId="3F42255B" w:rsidR="00761529" w:rsidRDefault="00761529" w:rsidP="00FF71DD">
      <w:pPr>
        <w:pStyle w:val="EndnoteText"/>
        <w:ind w:left="720" w:hanging="720"/>
        <w:jc w:val="both"/>
      </w:pPr>
      <w:r>
        <w:rPr>
          <w:rStyle w:val="EndnoteReference"/>
        </w:rPr>
        <w:endnoteRef/>
      </w:r>
      <w:r>
        <w:t xml:space="preserve"> </w:t>
      </w:r>
      <w:r>
        <w:rPr>
          <w:rFonts w:ascii="Cambria" w:eastAsia="Cambria" w:hAnsi="Cambria" w:cs="Cambria"/>
          <w:color w:val="000000"/>
          <w:sz w:val="16"/>
          <w:szCs w:val="16"/>
        </w:rPr>
        <w:t xml:space="preserve">Defensoría del Pueblo. </w:t>
      </w:r>
      <w:hyperlink r:id="rId58">
        <w:r>
          <w:rPr>
            <w:rFonts w:ascii="Cambria" w:eastAsia="Cambria" w:hAnsi="Cambria" w:cs="Cambria"/>
            <w:i/>
            <w:color w:val="000000"/>
            <w:sz w:val="16"/>
            <w:szCs w:val="16"/>
            <w:u w:val="single"/>
          </w:rPr>
          <w:t>“Informe sobre la supervisión de intervenciones efectivas para la prevención del embarazo no planeado en adolescentes: educación sexual integral y acceso a anticoncepción moderna para quienes lo requieren”</w:t>
        </w:r>
      </w:hyperlink>
      <w:r>
        <w:rPr>
          <w:rFonts w:ascii="Cambria" w:eastAsia="Cambria" w:hAnsi="Cambria" w:cs="Cambria"/>
          <w:color w:val="000000"/>
          <w:sz w:val="16"/>
          <w:szCs w:val="16"/>
        </w:rPr>
        <w:t>. Adjuntía para la Niñez y la Adolescencia, Serie Informes Especiales N° 007-2021-DP, julio de 2021.</w:t>
      </w:r>
    </w:p>
  </w:endnote>
  <w:endnote w:id="112">
    <w:p w14:paraId="204DB10E" w14:textId="089A72BA" w:rsidR="00761529" w:rsidRPr="00FF71DD" w:rsidRDefault="00761529" w:rsidP="00FF71DD">
      <w:pPr>
        <w:pBdr>
          <w:top w:val="nil"/>
          <w:left w:val="nil"/>
          <w:bottom w:val="nil"/>
          <w:right w:val="nil"/>
          <w:between w:val="nil"/>
        </w:pBdr>
        <w:ind w:left="720" w:hanging="720"/>
        <w:jc w:val="both"/>
        <w:rPr>
          <w:rFonts w:ascii="Cambria" w:eastAsia="Cambria" w:hAnsi="Cambria" w:cs="Cambria"/>
          <w:color w:val="000000"/>
          <w:sz w:val="16"/>
          <w:szCs w:val="16"/>
        </w:rPr>
      </w:pPr>
      <w:r>
        <w:rPr>
          <w:rStyle w:val="EndnoteReference"/>
        </w:rPr>
        <w:endnoteRef/>
      </w:r>
      <w:r>
        <w:t xml:space="preserve"> </w:t>
      </w:r>
      <w:r>
        <w:rPr>
          <w:rFonts w:ascii="Cambria" w:eastAsia="Cambria" w:hAnsi="Cambria" w:cs="Cambria"/>
          <w:color w:val="000000"/>
          <w:sz w:val="16"/>
          <w:szCs w:val="16"/>
        </w:rPr>
        <w:t xml:space="preserve">Desde el Congreso se han promovido varias iniciativas legislativas atentatorias, tal como el Proyecto de Ley N.º 7579/2023, Ley que reconoce el derecho de los padres de familia a elegir la educación sexual que reciben sus hijos. Esta ley pretende impedir el acceso universal de NNA a la ESI. Congreso de la República del Perú. </w:t>
      </w:r>
      <w:hyperlink r:id="rId59" w:anchor="/expediente/2021/7579">
        <w:r>
          <w:rPr>
            <w:rFonts w:ascii="Cambria" w:eastAsia="Cambria" w:hAnsi="Cambria" w:cs="Cambria"/>
            <w:i/>
            <w:color w:val="000000"/>
            <w:sz w:val="16"/>
            <w:szCs w:val="16"/>
            <w:u w:val="single"/>
          </w:rPr>
          <w:t>Proyecto de Ley Nro. 07579/2023-CR, Ley que reconoce el derecho de los padres de familia a elegir la educación sexual que reciben sus hijos</w:t>
        </w:r>
      </w:hyperlink>
      <w:r>
        <w:rPr>
          <w:rFonts w:ascii="Cambria" w:eastAsia="Cambria" w:hAnsi="Cambria" w:cs="Cambria"/>
          <w:color w:val="000000"/>
          <w:sz w:val="16"/>
          <w:szCs w:val="16"/>
        </w:rPr>
        <w:t xml:space="preserve">, 15 de abril de 2024. Y los proyectos de Ley N.º 7032 y 7146, Ley que promueve las Escuelas de Padres en las Instituciones de Educación Básica Regular y Privada, que busca prohibir a las Asociaciones de Padres de Familia (APAFA) celebrar convenios con quienes reciban recursos de la cooperación internacional, lo que impide que las ONGs pueden brindar capacitación en ESI en instituciones educativas públicas y privadas del país. Congreso de la República del Perú. </w:t>
      </w:r>
      <w:hyperlink r:id="rId60">
        <w:r>
          <w:rPr>
            <w:rFonts w:ascii="Cambria" w:eastAsia="Cambria" w:hAnsi="Cambria" w:cs="Cambria"/>
            <w:i/>
            <w:color w:val="000000"/>
            <w:sz w:val="16"/>
            <w:szCs w:val="16"/>
            <w:u w:val="single"/>
          </w:rPr>
          <w:t>Dictamen recaído en el Proyecto de Ley Nº 7032 y 7146, Ley que promueve las Escuelas de Padres en las Instituciones de Educación Básica Regular y Privada</w:t>
        </w:r>
      </w:hyperlink>
      <w:r>
        <w:rPr>
          <w:rFonts w:ascii="Cambria" w:eastAsia="Cambria" w:hAnsi="Cambria" w:cs="Cambria"/>
          <w:color w:val="000000"/>
          <w:sz w:val="16"/>
          <w:szCs w:val="16"/>
        </w:rPr>
        <w:t>, 19 de junio de 2024</w:t>
      </w:r>
    </w:p>
  </w:endnote>
  <w:endnote w:id="113">
    <w:p w14:paraId="26955B23" w14:textId="0A87B3C7"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El Peruano. Ley N° 31498, </w:t>
      </w:r>
      <w:hyperlink r:id="rId61">
        <w:r>
          <w:rPr>
            <w:rFonts w:ascii="Cambria" w:eastAsia="Cambria" w:hAnsi="Cambria" w:cs="Cambria"/>
            <w:i/>
            <w:color w:val="000000"/>
            <w:sz w:val="16"/>
            <w:szCs w:val="16"/>
            <w:u w:val="single"/>
          </w:rPr>
          <w:t>“Ley que impulsa la calidad de los materiales y recursos educativos en el Perú”</w:t>
        </w:r>
      </w:hyperlink>
      <w:r>
        <w:rPr>
          <w:rFonts w:ascii="Cambria" w:eastAsia="Cambria" w:hAnsi="Cambria" w:cs="Cambria"/>
          <w:color w:val="000000"/>
          <w:sz w:val="16"/>
          <w:szCs w:val="16"/>
        </w:rPr>
        <w:t>, 25 de mayo de 2022.</w:t>
      </w:r>
    </w:p>
  </w:endnote>
  <w:endnote w:id="114">
    <w:p w14:paraId="75524EA8" w14:textId="569046D9"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Human Rights Watch. </w:t>
      </w:r>
      <w:hyperlink r:id="rId62">
        <w:r>
          <w:rPr>
            <w:rFonts w:ascii="Cambria" w:eastAsia="Cambria" w:hAnsi="Cambria" w:cs="Cambria"/>
            <w:i/>
            <w:color w:val="000000"/>
            <w:sz w:val="16"/>
            <w:szCs w:val="16"/>
            <w:u w:val="single"/>
          </w:rPr>
          <w:t>“Peru is Threatening Human Rights Education”</w:t>
        </w:r>
      </w:hyperlink>
      <w:r>
        <w:rPr>
          <w:rFonts w:ascii="Cambria" w:eastAsia="Cambria" w:hAnsi="Cambria" w:cs="Cambria"/>
          <w:color w:val="000000"/>
          <w:sz w:val="16"/>
          <w:szCs w:val="16"/>
        </w:rPr>
        <w:t>, 24 de enero 2023.</w:t>
      </w:r>
    </w:p>
  </w:endnote>
  <w:endnote w:id="115">
    <w:p w14:paraId="4A05FA4E" w14:textId="2D6FA872" w:rsidR="00761529" w:rsidRDefault="00761529" w:rsidP="00FF71DD">
      <w:pPr>
        <w:pStyle w:val="EndnoteText"/>
        <w:ind w:left="720" w:hanging="720"/>
        <w:jc w:val="both"/>
      </w:pPr>
      <w:r>
        <w:rPr>
          <w:rStyle w:val="EndnoteReference"/>
        </w:rPr>
        <w:endnoteRef/>
      </w:r>
      <w:r>
        <w:t xml:space="preserve"> </w:t>
      </w:r>
      <w:r>
        <w:rPr>
          <w:rFonts w:ascii="Cambria" w:eastAsia="Cambria" w:hAnsi="Cambria" w:cs="Cambria"/>
          <w:color w:val="000000"/>
          <w:sz w:val="16"/>
          <w:szCs w:val="16"/>
        </w:rPr>
        <w:t xml:space="preserve">Dentro de este adverso escenario, cabe destacar el activismo de las organizaciones de sociedad civil, quiénes crearon la ‘Plataforma Educación sin Retrocesos’ para plantear acciones respecto de esta ley y otras de regresividad al sistema educativo en el Perú. Es una articulación de sociedad civil para la defensa de la política educativa, con estándares de calidad y derechos humanos, que está compuesta con varias organizaciones de sociedad civil, incluido Manuela Ramos.  Ver portal web: </w:t>
      </w:r>
      <w:hyperlink r:id="rId63">
        <w:r>
          <w:rPr>
            <w:rFonts w:ascii="Cambria" w:eastAsia="Cambria" w:hAnsi="Cambria" w:cs="Cambria"/>
            <w:color w:val="000000"/>
            <w:sz w:val="16"/>
            <w:szCs w:val="16"/>
            <w:u w:val="single"/>
          </w:rPr>
          <w:t>https://educacionsinretroceso.com</w:t>
        </w:r>
      </w:hyperlink>
      <w:r>
        <w:rPr>
          <w:rFonts w:ascii="Cambria" w:eastAsia="Cambria" w:hAnsi="Cambria" w:cs="Cambria"/>
          <w:color w:val="000000"/>
          <w:sz w:val="16"/>
          <w:szCs w:val="16"/>
          <w:u w:val="single"/>
        </w:rPr>
        <w:t>.</w:t>
      </w:r>
    </w:p>
  </w:endnote>
  <w:endnote w:id="116">
    <w:p w14:paraId="56BBC5FD" w14:textId="55821C57" w:rsidR="00761529" w:rsidRDefault="00761529" w:rsidP="00FF71DD">
      <w:pPr>
        <w:pStyle w:val="EndnoteText"/>
        <w:ind w:left="720" w:hanging="720"/>
        <w:jc w:val="both"/>
      </w:pPr>
      <w:r>
        <w:rPr>
          <w:rStyle w:val="EndnoteReference"/>
        </w:rPr>
        <w:endnoteRef/>
      </w:r>
      <w:r>
        <w:t xml:space="preserve"> </w:t>
      </w:r>
      <w:r w:rsidRPr="00D834BD">
        <w:rPr>
          <w:rFonts w:ascii="Cambria" w:hAnsi="Cambria"/>
          <w:sz w:val="16"/>
          <w:szCs w:val="16"/>
        </w:rPr>
        <w:t>Es importante acotar que el CNEB ni los lineamientos tienen una perspectiva interseccional explícita y específica sobre los riesgos de las adolescencias racializadas, no hay un análisis ni una propuesta concreta que considere la hipersexualización de afros y amazónicos, el incesto andino, entre otros.</w:t>
      </w:r>
    </w:p>
  </w:endnote>
  <w:endnote w:id="117">
    <w:p w14:paraId="6B7E272F" w14:textId="46543F55" w:rsidR="00761529" w:rsidRDefault="00761529" w:rsidP="00FF71DD">
      <w:pPr>
        <w:pStyle w:val="EndnoteText"/>
        <w:ind w:left="720" w:hanging="720"/>
        <w:jc w:val="both"/>
      </w:pPr>
      <w:r>
        <w:rPr>
          <w:rStyle w:val="EndnoteReference"/>
        </w:rPr>
        <w:endnoteRef/>
      </w:r>
      <w:r>
        <w:t xml:space="preserve"> </w:t>
      </w:r>
      <w:r>
        <w:rPr>
          <w:rFonts w:ascii="Cambria" w:eastAsia="Cambria" w:hAnsi="Cambria" w:cs="Cambria"/>
          <w:color w:val="000000"/>
          <w:sz w:val="16"/>
          <w:szCs w:val="16"/>
        </w:rPr>
        <w:t xml:space="preserve">Mesa de Vigilancia Ciudadana en Derechos Sexuales y Reproductivos, </w:t>
      </w:r>
      <w:hyperlink r:id="rId64">
        <w:r>
          <w:rPr>
            <w:rFonts w:ascii="Cambria" w:eastAsia="Cambria" w:hAnsi="Cambria" w:cs="Cambria"/>
            <w:i/>
            <w:color w:val="000000"/>
            <w:sz w:val="16"/>
            <w:szCs w:val="16"/>
            <w:u w:val="single"/>
          </w:rPr>
          <w:t>“Informe sobre el progreso y las brechas en la implementación de derechos, salud y justicia sexual y reproductiva en el 10 aniversario del Consenso de Montevideo en Perú”</w:t>
        </w:r>
      </w:hyperlink>
      <w:r>
        <w:rPr>
          <w:rFonts w:ascii="Cambria" w:eastAsia="Cambria" w:hAnsi="Cambria" w:cs="Cambria"/>
          <w:color w:val="000000"/>
          <w:sz w:val="16"/>
          <w:szCs w:val="16"/>
        </w:rPr>
        <w:t>, noviembre 2023, pág. 40.</w:t>
      </w:r>
    </w:p>
  </w:endnote>
  <w:endnote w:id="118">
    <w:p w14:paraId="3ED9570F" w14:textId="010682D2" w:rsidR="00761529" w:rsidRDefault="00761529" w:rsidP="00FF71DD">
      <w:pPr>
        <w:pStyle w:val="EndnoteText"/>
        <w:ind w:left="720" w:hanging="720"/>
        <w:jc w:val="both"/>
      </w:pPr>
      <w:r>
        <w:rPr>
          <w:rStyle w:val="EndnoteReference"/>
        </w:rPr>
        <w:endnoteRef/>
      </w:r>
      <w:r>
        <w:t xml:space="preserve"> </w:t>
      </w:r>
      <w:r>
        <w:rPr>
          <w:rFonts w:ascii="Cambria" w:eastAsia="Cambria" w:hAnsi="Cambria" w:cs="Cambria"/>
          <w:color w:val="000000"/>
          <w:sz w:val="16"/>
          <w:szCs w:val="16"/>
        </w:rPr>
        <w:t xml:space="preserve">Defensoría del Pueblo. </w:t>
      </w:r>
      <w:hyperlink r:id="rId65">
        <w:r>
          <w:rPr>
            <w:rFonts w:ascii="Cambria" w:eastAsia="Cambria" w:hAnsi="Cambria" w:cs="Cambria"/>
            <w:i/>
            <w:color w:val="000000"/>
            <w:sz w:val="16"/>
            <w:szCs w:val="16"/>
            <w:u w:val="single"/>
          </w:rPr>
          <w:t>“Condiciones para garantizar el derecho a la educación, la salud y una vida libre de violencia de las niñas y adolescentes indígenas”</w:t>
        </w:r>
      </w:hyperlink>
      <w:r>
        <w:rPr>
          <w:rFonts w:ascii="Cambria" w:eastAsia="Cambria" w:hAnsi="Cambria" w:cs="Cambria"/>
          <w:color w:val="000000"/>
          <w:sz w:val="16"/>
          <w:szCs w:val="16"/>
        </w:rPr>
        <w:t>. Lima. Informe de Adjuntía Nro 002-2017-DP/AMASPPI/PPI, pág. 25.</w:t>
      </w:r>
    </w:p>
  </w:endnote>
  <w:endnote w:id="119">
    <w:p w14:paraId="42321F9A" w14:textId="68AA5389" w:rsidR="00761529" w:rsidRDefault="00761529" w:rsidP="00FF71DD">
      <w:pPr>
        <w:pStyle w:val="EndnoteText"/>
        <w:ind w:left="720" w:hanging="720"/>
        <w:jc w:val="both"/>
      </w:pPr>
      <w:r>
        <w:rPr>
          <w:rStyle w:val="EndnoteReference"/>
        </w:rPr>
        <w:endnoteRef/>
      </w:r>
      <w:r>
        <w:t xml:space="preserve"> </w:t>
      </w:r>
      <w:r>
        <w:rPr>
          <w:rFonts w:ascii="Cambria" w:eastAsia="Cambria" w:hAnsi="Cambria" w:cs="Cambria"/>
          <w:color w:val="000000"/>
          <w:sz w:val="16"/>
          <w:szCs w:val="16"/>
        </w:rPr>
        <w:t xml:space="preserve">Soberón, C. </w:t>
      </w:r>
      <w:r>
        <w:rPr>
          <w:rFonts w:ascii="Cambria" w:eastAsia="Cambria" w:hAnsi="Cambria" w:cs="Cambria"/>
          <w:i/>
          <w:color w:val="000000"/>
          <w:sz w:val="16"/>
          <w:szCs w:val="16"/>
        </w:rPr>
        <w:t>“Educación sexual en un colegio público de Luricocha: Un diálogo entre alumnos, docentes y el contexto social”</w:t>
      </w:r>
      <w:r>
        <w:rPr>
          <w:rFonts w:ascii="Cambria" w:eastAsia="Cambria" w:hAnsi="Cambria" w:cs="Cambria"/>
          <w:color w:val="000000"/>
          <w:sz w:val="16"/>
          <w:szCs w:val="16"/>
        </w:rPr>
        <w:t>. Lima: Pontificia Universidad Católica del Perú, Facultad de Antropología, tesis de licenciatura. 2015.</w:t>
      </w:r>
    </w:p>
  </w:endnote>
  <w:endnote w:id="120">
    <w:p w14:paraId="66B9CCE3" w14:textId="5F472D9A" w:rsidR="00761529" w:rsidRDefault="00761529" w:rsidP="00FF71DD">
      <w:pPr>
        <w:pStyle w:val="EndnoteText"/>
        <w:ind w:left="720" w:hanging="720"/>
        <w:jc w:val="both"/>
      </w:pPr>
      <w:r>
        <w:rPr>
          <w:rStyle w:val="EndnoteReference"/>
        </w:rPr>
        <w:endnoteRef/>
      </w:r>
      <w:r>
        <w:t xml:space="preserve"> </w:t>
      </w:r>
      <w:r>
        <w:rPr>
          <w:rFonts w:ascii="Cambria" w:eastAsia="Cambria" w:hAnsi="Cambria" w:cs="Cambria"/>
          <w:sz w:val="16"/>
          <w:szCs w:val="16"/>
        </w:rPr>
        <w:t xml:space="preserve">Según la Defensoría del Pueblo, en marzo de 2023, ejecutó una supervisión en 180 instituciones educativas en 23 regiones del país, advirtiendo que el material educativo aún no ha sido entregado por completo, falta de docentes, problemas en infraestructura, y carencia de servicios públicos, como internet, agua potable y luz. Asimismo, se encontró que 39 colegios no recibieron los materiales y recursos educativos, mientras que 134 los recibieron de manera incompleta. Comunicado de prensa. Defensoría del Pueblo, </w:t>
      </w:r>
      <w:hyperlink r:id="rId66">
        <w:r>
          <w:rPr>
            <w:rFonts w:ascii="Cambria" w:eastAsia="Cambria" w:hAnsi="Cambria" w:cs="Cambria"/>
            <w:i/>
            <w:color w:val="96607D"/>
            <w:sz w:val="16"/>
            <w:szCs w:val="16"/>
            <w:u w:val="single"/>
          </w:rPr>
          <w:t>“Minedu y las UGEL deben acelerar distribución de materiales y recursos educativos”</w:t>
        </w:r>
      </w:hyperlink>
      <w:r>
        <w:rPr>
          <w:rFonts w:ascii="Cambria" w:eastAsia="Cambria" w:hAnsi="Cambria" w:cs="Cambria"/>
          <w:i/>
          <w:sz w:val="16"/>
          <w:szCs w:val="16"/>
        </w:rPr>
        <w:t xml:space="preserve">, </w:t>
      </w:r>
      <w:r>
        <w:rPr>
          <w:rFonts w:ascii="Cambria" w:eastAsia="Cambria" w:hAnsi="Cambria" w:cs="Cambria"/>
          <w:sz w:val="16"/>
          <w:szCs w:val="16"/>
        </w:rPr>
        <w:t>1 de abril de 2023.</w:t>
      </w:r>
    </w:p>
  </w:endnote>
  <w:endnote w:id="121">
    <w:p w14:paraId="3685DFDD" w14:textId="4B7A0421" w:rsidR="00761529" w:rsidRDefault="00761529" w:rsidP="00FF71DD">
      <w:pPr>
        <w:pStyle w:val="EndnoteText"/>
        <w:ind w:left="720" w:hanging="720"/>
        <w:jc w:val="both"/>
      </w:pPr>
      <w:r>
        <w:rPr>
          <w:rStyle w:val="EndnoteReference"/>
        </w:rPr>
        <w:endnoteRef/>
      </w:r>
      <w:r>
        <w:t xml:space="preserve"> </w:t>
      </w:r>
      <w:r>
        <w:rPr>
          <w:rFonts w:ascii="Cambria" w:eastAsia="Cambria" w:hAnsi="Cambria" w:cs="Cambria"/>
          <w:color w:val="000000"/>
          <w:sz w:val="16"/>
          <w:szCs w:val="16"/>
        </w:rPr>
        <w:t xml:space="preserve">Mesa de Vigilancia Ciudadana en Derechos Sexuales y Reproductivos, </w:t>
      </w:r>
      <w:hyperlink r:id="rId67">
        <w:r>
          <w:rPr>
            <w:rFonts w:ascii="Cambria" w:eastAsia="Cambria" w:hAnsi="Cambria" w:cs="Cambria"/>
            <w:i/>
            <w:color w:val="000000"/>
            <w:sz w:val="16"/>
            <w:szCs w:val="16"/>
            <w:u w:val="single"/>
          </w:rPr>
          <w:t>“Informe sobre el progreso y las brechas en la implementación de derechos, salud y justicia sexual y reproductiva en el 10 aniversario del Consenso de Montevideo en Perú”</w:t>
        </w:r>
      </w:hyperlink>
      <w:r>
        <w:rPr>
          <w:rFonts w:ascii="Cambria" w:eastAsia="Cambria" w:hAnsi="Cambria" w:cs="Cambria"/>
          <w:color w:val="000000"/>
          <w:sz w:val="16"/>
          <w:szCs w:val="16"/>
        </w:rPr>
        <w:t>, noviembre 2023.</w:t>
      </w:r>
    </w:p>
  </w:endnote>
  <w:endnote w:id="122">
    <w:p w14:paraId="06B1EF41" w14:textId="2DBB5790"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Página web del Movimiento Manuela Ramos. </w:t>
      </w:r>
      <w:hyperlink r:id="rId68">
        <w:r>
          <w:rPr>
            <w:rFonts w:ascii="Cambria" w:eastAsia="Cambria" w:hAnsi="Cambria" w:cs="Cambria"/>
            <w:i/>
            <w:color w:val="000000"/>
            <w:sz w:val="16"/>
            <w:szCs w:val="16"/>
            <w:u w:val="single"/>
          </w:rPr>
          <w:t>“¿Cuánto se invierte en Educación Sexual Integral en el Perú?”,</w:t>
        </w:r>
      </w:hyperlink>
      <w:r>
        <w:rPr>
          <w:rFonts w:ascii="Cambria" w:eastAsia="Cambria" w:hAnsi="Cambria" w:cs="Cambria"/>
          <w:color w:val="000000"/>
          <w:sz w:val="16"/>
          <w:szCs w:val="16"/>
        </w:rPr>
        <w:t xml:space="preserve"> 11 de septiembre de 2023.</w:t>
      </w:r>
    </w:p>
  </w:endnote>
  <w:endnote w:id="123">
    <w:p w14:paraId="45966FE5" w14:textId="5688476B" w:rsidR="00761529" w:rsidRDefault="00761529" w:rsidP="00FF71DD">
      <w:pPr>
        <w:pStyle w:val="EndnoteText"/>
        <w:ind w:left="720" w:hanging="720"/>
        <w:jc w:val="both"/>
      </w:pPr>
      <w:r>
        <w:rPr>
          <w:rStyle w:val="EndnoteReference"/>
        </w:rPr>
        <w:endnoteRef/>
      </w:r>
      <w:r>
        <w:t xml:space="preserve"> </w:t>
      </w:r>
      <w:r>
        <w:rPr>
          <w:rFonts w:ascii="Cambria" w:eastAsia="Cambria" w:hAnsi="Cambria" w:cs="Cambria"/>
          <w:color w:val="000000"/>
          <w:sz w:val="16"/>
          <w:szCs w:val="16"/>
        </w:rPr>
        <w:t xml:space="preserve">La caja de herramientas tiene materiales que serán útiles para que se siga ampliando los conocimientos de las y los docentes en materia de Educación Sexual Integral. Contiene documentos como el modelo de transversalización de la ESI en instituciones educativas, la guía de la ESI para docentes, así como un documento que contiene las sesiones educativas en ESI y que busca fortalecer las habilidades para dialogar sobre ESI entre padres, madres, hijas e hijos. La caja de herramientas también viene acompañada de “El Cuaderno que acompaña”, un cuaderno de trabajo sobre género, sexualidad y violencia para escolares. Nota de prensa. </w:t>
      </w:r>
      <w:hyperlink r:id="rId69">
        <w:r>
          <w:rPr>
            <w:rFonts w:ascii="Cambria" w:eastAsia="Cambria" w:hAnsi="Cambria" w:cs="Cambria"/>
            <w:i/>
            <w:color w:val="000000"/>
            <w:sz w:val="16"/>
            <w:szCs w:val="16"/>
            <w:u w:val="single"/>
          </w:rPr>
          <w:t>“Manuela Ramos entrega de caja de herramientas sobre la Educación Sexual Integral a docentes de San Juan de Miraflores”</w:t>
        </w:r>
      </w:hyperlink>
      <w:r>
        <w:rPr>
          <w:rFonts w:ascii="Cambria" w:eastAsia="Cambria" w:hAnsi="Cambria" w:cs="Cambria"/>
          <w:color w:val="000000"/>
          <w:sz w:val="16"/>
          <w:szCs w:val="16"/>
        </w:rPr>
        <w:t>. 5 de junio de 2023.</w:t>
      </w:r>
    </w:p>
  </w:endnote>
  <w:endnote w:id="124">
    <w:p w14:paraId="6CCD4B27" w14:textId="5B768D84" w:rsidR="00761529" w:rsidRPr="00FF71DD" w:rsidRDefault="00761529" w:rsidP="00FF71DD">
      <w:pPr>
        <w:pBdr>
          <w:top w:val="nil"/>
          <w:left w:val="nil"/>
          <w:bottom w:val="nil"/>
          <w:right w:val="nil"/>
          <w:between w:val="nil"/>
        </w:pBdr>
        <w:ind w:left="720" w:hanging="720"/>
        <w:jc w:val="both"/>
        <w:rPr>
          <w:rFonts w:ascii="Cambria" w:eastAsia="Cambria" w:hAnsi="Cambria" w:cs="Cambria"/>
          <w:color w:val="000000"/>
          <w:sz w:val="16"/>
          <w:szCs w:val="16"/>
        </w:rPr>
      </w:pPr>
      <w:r>
        <w:rPr>
          <w:rStyle w:val="EndnoteReference"/>
        </w:rPr>
        <w:endnoteRef/>
      </w:r>
      <w:r>
        <w:t xml:space="preserve"> </w:t>
      </w:r>
      <w:r>
        <w:rPr>
          <w:rFonts w:ascii="Cambria" w:eastAsia="Cambria" w:hAnsi="Cambria" w:cs="Cambria"/>
          <w:color w:val="000000"/>
          <w:sz w:val="16"/>
          <w:szCs w:val="16"/>
        </w:rPr>
        <w:t xml:space="preserve">En mayo de 2023, Manuela Ramos, realizó la transferencia de la caja de herramientas para la implementación de la Educación Sexual Integral a 21 directivos, de 10 instituciones educativas del Distrito de San Juan de Miraflores. Nota de prensa Manuela Ramos, </w:t>
      </w:r>
      <w:hyperlink r:id="rId70">
        <w:r>
          <w:rPr>
            <w:rFonts w:ascii="Cambria" w:eastAsia="Cambria" w:hAnsi="Cambria" w:cs="Cambria"/>
            <w:i/>
            <w:color w:val="000000"/>
            <w:sz w:val="16"/>
            <w:szCs w:val="16"/>
            <w:u w:val="single"/>
          </w:rPr>
          <w:t>“Manuela Ramos entrega de caja de herramientas sobre la Educación Sexual Integral a docentes de San Juan de Miraflores”</w:t>
        </w:r>
      </w:hyperlink>
      <w:r>
        <w:rPr>
          <w:rFonts w:ascii="Cambria" w:eastAsia="Cambria" w:hAnsi="Cambria" w:cs="Cambria"/>
          <w:i/>
          <w:color w:val="000000"/>
          <w:sz w:val="16"/>
          <w:szCs w:val="16"/>
        </w:rPr>
        <w:t xml:space="preserve">. </w:t>
      </w:r>
      <w:r>
        <w:rPr>
          <w:rFonts w:ascii="Cambria" w:eastAsia="Cambria" w:hAnsi="Cambria" w:cs="Cambria"/>
          <w:color w:val="000000"/>
          <w:sz w:val="16"/>
          <w:szCs w:val="16"/>
        </w:rPr>
        <w:t>5 de junio de 2023.</w:t>
      </w:r>
      <w:r w:rsidR="00A06247" w:rsidRPr="00A06247">
        <w:rPr>
          <w:rFonts w:ascii="Cambria" w:hAnsi="Cambria"/>
          <w:color w:val="000000" w:themeColor="text1"/>
          <w:sz w:val="16"/>
          <w:szCs w:val="16"/>
        </w:rPr>
        <w:t xml:space="preserve"> </w:t>
      </w:r>
    </w:p>
  </w:endnote>
  <w:endnote w:id="125">
    <w:p w14:paraId="7815ABCA" w14:textId="4CC488AF"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Comité CEDAW, </w:t>
      </w:r>
      <w:r>
        <w:rPr>
          <w:rFonts w:ascii="Cambria" w:eastAsia="Cambria" w:hAnsi="Cambria" w:cs="Cambria"/>
          <w:i/>
          <w:color w:val="000000"/>
          <w:sz w:val="16"/>
          <w:szCs w:val="16"/>
        </w:rPr>
        <w:t>L.C. vs. Perú</w:t>
      </w:r>
      <w:r>
        <w:rPr>
          <w:rFonts w:ascii="Cambria" w:eastAsia="Cambria" w:hAnsi="Cambria" w:cs="Cambria"/>
          <w:color w:val="000000"/>
          <w:sz w:val="16"/>
          <w:szCs w:val="16"/>
        </w:rPr>
        <w:t>, Comunicación No. 22/2009, U.N. Doc. CEDAW/C/50/D/22/2009 (2011), párr. 8.15.</w:t>
      </w:r>
    </w:p>
  </w:endnote>
  <w:endnote w:id="126">
    <w:p w14:paraId="11D1BE8A" w14:textId="0F0613BA" w:rsidR="00761529" w:rsidRDefault="00761529" w:rsidP="00DB0539">
      <w:pPr>
        <w:pStyle w:val="EndnoteText"/>
        <w:jc w:val="both"/>
      </w:pPr>
      <w:r>
        <w:rPr>
          <w:rStyle w:val="EndnoteReference"/>
        </w:rPr>
        <w:endnoteRef/>
      </w:r>
      <w:r>
        <w:t xml:space="preserve"> </w:t>
      </w:r>
      <w:r>
        <w:rPr>
          <w:rFonts w:ascii="Cambria" w:eastAsia="Cambria" w:hAnsi="Cambria" w:cs="Cambria"/>
          <w:color w:val="000000"/>
          <w:sz w:val="16"/>
          <w:szCs w:val="16"/>
        </w:rPr>
        <w:t xml:space="preserve">Comité de Derechos Humanos, </w:t>
      </w:r>
      <w:r>
        <w:rPr>
          <w:rFonts w:ascii="Cambria" w:eastAsia="Cambria" w:hAnsi="Cambria" w:cs="Cambria"/>
          <w:i/>
          <w:color w:val="000000"/>
          <w:sz w:val="16"/>
          <w:szCs w:val="16"/>
        </w:rPr>
        <w:t>K.L. vs. Perú</w:t>
      </w:r>
      <w:r>
        <w:rPr>
          <w:rFonts w:ascii="Cambria" w:eastAsia="Cambria" w:hAnsi="Cambria" w:cs="Cambria"/>
          <w:color w:val="000000"/>
          <w:sz w:val="16"/>
          <w:szCs w:val="16"/>
        </w:rPr>
        <w:t>, Comunicación No. 1153/2003, U.N. Doc. CCPR/ C/85/D/1153/2003 (2005)</w:t>
      </w:r>
      <w:r w:rsidR="00BB57DD">
        <w:rPr>
          <w:rFonts w:ascii="Cambria" w:eastAsia="Cambria" w:hAnsi="Cambria" w:cs="Cambria"/>
          <w:color w:val="000000"/>
          <w:sz w:val="16"/>
          <w:szCs w:val="16"/>
        </w:rPr>
        <w:t>.</w:t>
      </w:r>
    </w:p>
  </w:endnote>
  <w:endnote w:id="127">
    <w:p w14:paraId="23A46EB5" w14:textId="26CCAA5C" w:rsidR="00BB57DD" w:rsidRDefault="00BB57DD" w:rsidP="00FF71DD">
      <w:pPr>
        <w:pStyle w:val="EndnoteText"/>
        <w:ind w:left="810" w:hanging="810"/>
        <w:jc w:val="both"/>
      </w:pPr>
      <w:r>
        <w:rPr>
          <w:rStyle w:val="EndnoteReference"/>
        </w:rPr>
        <w:endnoteRef/>
      </w:r>
      <w:r>
        <w:t xml:space="preserve"> </w:t>
      </w:r>
      <w:r>
        <w:rPr>
          <w:rFonts w:ascii="Cambria" w:eastAsia="Cambria" w:hAnsi="Cambria" w:cs="Cambria"/>
          <w:color w:val="000000"/>
          <w:sz w:val="16"/>
          <w:szCs w:val="16"/>
        </w:rPr>
        <w:t>El Comité exhortó al Estado “[…]proporcionar una educación adecuada en materia de salud sexual y reproductiva, y accesible a todos los niños y niñas”. Comité de los Derechos del Niño</w:t>
      </w:r>
      <w:r>
        <w:rPr>
          <w:rFonts w:ascii="Cambria" w:eastAsia="Cambria" w:hAnsi="Cambria" w:cs="Cambria"/>
          <w:i/>
          <w:color w:val="000000"/>
          <w:sz w:val="16"/>
          <w:szCs w:val="16"/>
        </w:rPr>
        <w:t>, Camila. c. Perú</w:t>
      </w:r>
      <w:r>
        <w:rPr>
          <w:rFonts w:ascii="Cambria" w:eastAsia="Cambria" w:hAnsi="Cambria" w:cs="Cambria"/>
          <w:color w:val="000000"/>
          <w:sz w:val="16"/>
          <w:szCs w:val="16"/>
        </w:rPr>
        <w:t xml:space="preserve">, </w:t>
      </w:r>
      <w:hyperlink r:id="rId71">
        <w:r>
          <w:rPr>
            <w:rFonts w:ascii="Cambria" w:eastAsia="Cambria" w:hAnsi="Cambria" w:cs="Cambria"/>
            <w:color w:val="000000"/>
            <w:sz w:val="16"/>
            <w:szCs w:val="16"/>
            <w:u w:val="single"/>
          </w:rPr>
          <w:t>Comunicación No. 136/2021, U.N.Doc. RC/C/93/D/136/2021</w:t>
        </w:r>
      </w:hyperlink>
      <w:r>
        <w:rPr>
          <w:rFonts w:ascii="Cambria" w:eastAsia="Cambria" w:hAnsi="Cambria" w:cs="Cambria"/>
          <w:color w:val="000000"/>
          <w:sz w:val="16"/>
          <w:szCs w:val="16"/>
        </w:rPr>
        <w:t>, párr. 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DF340D0-B56F-4CA7-80EE-4E60CE837D34}"/>
    <w:embedBold r:id="rId2" w:fontKey="{79C4BD2D-CBC4-46F0-9257-D96A97496E16}"/>
    <w:embedItalic r:id="rId3" w:fontKey="{9AEFC0E1-CBDC-4D51-BF60-408956129EB5}"/>
    <w:embedBoldItalic r:id="rId4" w:fontKey="{A5FABFC5-F108-4612-8A14-A125E4A14C94}"/>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embedRegular r:id="rId5" w:fontKey="{D6F78DA8-C32C-4BC0-8710-FB1853BA6A7D}"/>
    <w:embedBold r:id="rId6" w:fontKey="{0A1164A6-E7AC-4F09-819E-46E17E5C170A}"/>
    <w:embedItalic r:id="rId7" w:fontKey="{C1D0D627-9240-4E65-A186-5D6B43891E23}"/>
  </w:font>
  <w:font w:name="Aptos Display">
    <w:charset w:val="00"/>
    <w:family w:val="swiss"/>
    <w:pitch w:val="variable"/>
    <w:sig w:usb0="20000287" w:usb1="00000003" w:usb2="00000000" w:usb3="00000000" w:csb0="0000019F" w:csb1="00000000"/>
    <w:embedRegular r:id="rId8" w:fontKey="{CB8037A8-8A5E-4589-87B9-52746C9A6A98}"/>
  </w:font>
  <w:font w:name="Calibri">
    <w:panose1 w:val="020F0502020204030204"/>
    <w:charset w:val="00"/>
    <w:family w:val="swiss"/>
    <w:pitch w:val="variable"/>
    <w:sig w:usb0="E4002EFF" w:usb1="C000247B" w:usb2="00000009" w:usb3="00000000" w:csb0="000001FF" w:csb1="00000000"/>
    <w:embedRegular r:id="rId9" w:fontKey="{61444E92-6F5F-484E-AE04-8B86D224CA1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15228" w14:textId="77777777" w:rsidR="00FD7A2A" w:rsidRDefault="00FD7A2A">
      <w:r>
        <w:separator/>
      </w:r>
    </w:p>
  </w:footnote>
  <w:footnote w:type="continuationSeparator" w:id="0">
    <w:p w14:paraId="67CCCD5B" w14:textId="77777777" w:rsidR="00FD7A2A" w:rsidRDefault="00FD7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C741B" w14:textId="447D2E74" w:rsidR="000452DF" w:rsidRDefault="00671545" w:rsidP="00671545">
    <w:pPr>
      <w:pStyle w:val="Header"/>
      <w:jc w:val="right"/>
    </w:pPr>
    <w:r w:rsidRPr="00B30335">
      <w:rPr>
        <w:rFonts w:ascii="Calibri" w:eastAsia="Calibri" w:hAnsi="Calibri" w:cs="Times New Roman"/>
        <w:noProof/>
      </w:rPr>
      <w:drawing>
        <wp:anchor distT="0" distB="0" distL="114300" distR="114300" simplePos="0" relativeHeight="251659264" behindDoc="0" locked="0" layoutInCell="1" allowOverlap="1" wp14:anchorId="116BFBB9" wp14:editId="04D0E751">
          <wp:simplePos x="0" y="0"/>
          <wp:positionH relativeFrom="margin">
            <wp:posOffset>-7034</wp:posOffset>
          </wp:positionH>
          <wp:positionV relativeFrom="paragraph">
            <wp:posOffset>169789</wp:posOffset>
          </wp:positionV>
          <wp:extent cx="1495425" cy="466725"/>
          <wp:effectExtent l="0" t="0" r="9525" b="9525"/>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466725"/>
                  </a:xfrm>
                  <a:prstGeom prst="rect">
                    <a:avLst/>
                  </a:prstGeom>
                  <a:noFill/>
                </pic:spPr>
              </pic:pic>
            </a:graphicData>
          </a:graphic>
          <wp14:sizeRelH relativeFrom="page">
            <wp14:pctWidth>0</wp14:pctWidth>
          </wp14:sizeRelH>
          <wp14:sizeRelV relativeFrom="page">
            <wp14:pctHeight>0</wp14:pctHeight>
          </wp14:sizeRelV>
        </wp:anchor>
      </w:drawing>
    </w:r>
    <w:r w:rsidR="000452DF">
      <w:rPr>
        <w:noProof/>
      </w:rPr>
      <w:drawing>
        <wp:inline distT="0" distB="0" distL="0" distR="0" wp14:anchorId="778C7964" wp14:editId="0C0FEC76">
          <wp:extent cx="2092569" cy="676221"/>
          <wp:effectExtent l="0" t="0" r="3175" b="0"/>
          <wp:docPr id="2" name="image1.jpg" descr="A yellow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jpg" descr="A yellow sign with black text&#10;&#10;Description automatically generated"/>
                  <pic:cNvPicPr preferRelativeResize="0"/>
                </pic:nvPicPr>
                <pic:blipFill>
                  <a:blip r:embed="rId2"/>
                  <a:srcRect/>
                  <a:stretch>
                    <a:fillRect/>
                  </a:stretch>
                </pic:blipFill>
                <pic:spPr>
                  <a:xfrm>
                    <a:off x="0" y="0"/>
                    <a:ext cx="2144614" cy="69303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2769"/>
    <w:multiLevelType w:val="multilevel"/>
    <w:tmpl w:val="2B3E40EC"/>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3A68CA"/>
    <w:multiLevelType w:val="multilevel"/>
    <w:tmpl w:val="9828AB5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BF0550"/>
    <w:multiLevelType w:val="multilevel"/>
    <w:tmpl w:val="0D3C38E4"/>
    <w:lvl w:ilvl="0">
      <w:start w:val="1"/>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90D2FF0"/>
    <w:multiLevelType w:val="multilevel"/>
    <w:tmpl w:val="704C98F0"/>
    <w:lvl w:ilvl="0">
      <w:start w:val="29"/>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11D1EEC"/>
    <w:multiLevelType w:val="multilevel"/>
    <w:tmpl w:val="F89CFD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6C1DDD"/>
    <w:multiLevelType w:val="multilevel"/>
    <w:tmpl w:val="CFF812B6"/>
    <w:lvl w:ilvl="0">
      <w:start w:val="1"/>
      <w:numFmt w:val="lowerLetter"/>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6" w15:restartNumberingAfterBreak="0">
    <w:nsid w:val="256F3EEB"/>
    <w:multiLevelType w:val="multilevel"/>
    <w:tmpl w:val="22741FA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2C2D6C22"/>
    <w:multiLevelType w:val="multilevel"/>
    <w:tmpl w:val="5BB23A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4F5874"/>
    <w:multiLevelType w:val="multilevel"/>
    <w:tmpl w:val="2DCC3A1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9" w15:restartNumberingAfterBreak="0">
    <w:nsid w:val="2FAA4A35"/>
    <w:multiLevelType w:val="multilevel"/>
    <w:tmpl w:val="43EE61AA"/>
    <w:lvl w:ilvl="0">
      <w:start w:val="1"/>
      <w:numFmt w:val="upperRoman"/>
      <w:lvlText w:val="%1."/>
      <w:lvlJc w:val="left"/>
      <w:pPr>
        <w:ind w:left="1080" w:hanging="720"/>
      </w:pPr>
    </w:lvl>
    <w:lvl w:ilvl="1">
      <w:start w:val="1"/>
      <w:numFmt w:val="decimal"/>
      <w:lvlText w:val="%1.%2."/>
      <w:lvlJc w:val="left"/>
      <w:pPr>
        <w:ind w:left="1080" w:hanging="720"/>
      </w:pPr>
    </w:lvl>
    <w:lvl w:ilvl="2">
      <w:start w:val="1"/>
      <w:numFmt w:val="upperLetter"/>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0" w15:restartNumberingAfterBreak="0">
    <w:nsid w:val="3BEF7AB1"/>
    <w:multiLevelType w:val="multilevel"/>
    <w:tmpl w:val="5476B88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608852498">
    <w:abstractNumId w:val="9"/>
  </w:num>
  <w:num w:numId="2" w16cid:durableId="1934390276">
    <w:abstractNumId w:val="0"/>
  </w:num>
  <w:num w:numId="3" w16cid:durableId="126314187">
    <w:abstractNumId w:val="3"/>
  </w:num>
  <w:num w:numId="4" w16cid:durableId="175852926">
    <w:abstractNumId w:val="5"/>
  </w:num>
  <w:num w:numId="5" w16cid:durableId="1262105765">
    <w:abstractNumId w:val="2"/>
  </w:num>
  <w:num w:numId="6" w16cid:durableId="1766724639">
    <w:abstractNumId w:val="8"/>
  </w:num>
  <w:num w:numId="7" w16cid:durableId="64689747">
    <w:abstractNumId w:val="10"/>
  </w:num>
  <w:num w:numId="8" w16cid:durableId="1960063569">
    <w:abstractNumId w:val="6"/>
  </w:num>
  <w:num w:numId="9" w16cid:durableId="1158964229">
    <w:abstractNumId w:val="7"/>
  </w:num>
  <w:num w:numId="10" w16cid:durableId="1829127066">
    <w:abstractNumId w:val="4"/>
  </w:num>
  <w:num w:numId="11" w16cid:durableId="974603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E76"/>
    <w:rsid w:val="0002626B"/>
    <w:rsid w:val="000452DF"/>
    <w:rsid w:val="00062D67"/>
    <w:rsid w:val="00145CAC"/>
    <w:rsid w:val="0019583B"/>
    <w:rsid w:val="001F178B"/>
    <w:rsid w:val="00255DBE"/>
    <w:rsid w:val="00486D93"/>
    <w:rsid w:val="004B7835"/>
    <w:rsid w:val="004E45BC"/>
    <w:rsid w:val="00604D64"/>
    <w:rsid w:val="006117AC"/>
    <w:rsid w:val="00620666"/>
    <w:rsid w:val="00653121"/>
    <w:rsid w:val="00671545"/>
    <w:rsid w:val="00674731"/>
    <w:rsid w:val="0072436F"/>
    <w:rsid w:val="00761529"/>
    <w:rsid w:val="007C2B31"/>
    <w:rsid w:val="007E7479"/>
    <w:rsid w:val="007F2CDD"/>
    <w:rsid w:val="00860A4B"/>
    <w:rsid w:val="00890C15"/>
    <w:rsid w:val="008C0FFF"/>
    <w:rsid w:val="009A023B"/>
    <w:rsid w:val="009F56C2"/>
    <w:rsid w:val="00A06247"/>
    <w:rsid w:val="00B2494D"/>
    <w:rsid w:val="00BB57DD"/>
    <w:rsid w:val="00BD3967"/>
    <w:rsid w:val="00D04BC7"/>
    <w:rsid w:val="00D62E76"/>
    <w:rsid w:val="00D742C7"/>
    <w:rsid w:val="00D834BD"/>
    <w:rsid w:val="00DB0539"/>
    <w:rsid w:val="00DC1FF8"/>
    <w:rsid w:val="00E82664"/>
    <w:rsid w:val="00FA0864"/>
    <w:rsid w:val="00FB07F3"/>
    <w:rsid w:val="00FD7A2A"/>
    <w:rsid w:val="00FF7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CC60B"/>
  <w15:docId w15:val="{31DC383C-F333-774B-9277-FFE0B3A7F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s-P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F19"/>
  </w:style>
  <w:style w:type="paragraph" w:styleId="Heading1">
    <w:name w:val="heading 1"/>
    <w:basedOn w:val="Normal"/>
    <w:next w:val="Normal"/>
    <w:link w:val="Heading1Char"/>
    <w:uiPriority w:val="9"/>
    <w:qFormat/>
    <w:rsid w:val="00CF1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1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F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F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F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F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F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F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F1F19"/>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F1F19"/>
    <w:rPr>
      <w:rFonts w:asciiTheme="majorHAnsi" w:eastAsiaTheme="majorEastAsia" w:hAnsiTheme="majorHAnsi" w:cstheme="majorBidi"/>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CF1F19"/>
    <w:rPr>
      <w:rFonts w:asciiTheme="majorHAnsi" w:eastAsiaTheme="majorEastAsia" w:hAnsiTheme="majorHAnsi" w:cstheme="majorBidi"/>
      <w:color w:val="0F4761" w:themeColor="accent1" w:themeShade="BF"/>
      <w:sz w:val="32"/>
      <w:szCs w:val="32"/>
      <w:lang w:val="es-ES"/>
    </w:rPr>
  </w:style>
  <w:style w:type="character" w:customStyle="1" w:styleId="Heading3Char">
    <w:name w:val="Heading 3 Char"/>
    <w:basedOn w:val="DefaultParagraphFont"/>
    <w:link w:val="Heading3"/>
    <w:uiPriority w:val="9"/>
    <w:semiHidden/>
    <w:rsid w:val="00CF1F19"/>
    <w:rPr>
      <w:rFonts w:eastAsiaTheme="majorEastAsia" w:cstheme="majorBidi"/>
      <w:color w:val="0F4761" w:themeColor="accent1" w:themeShade="BF"/>
      <w:sz w:val="28"/>
      <w:szCs w:val="28"/>
      <w:lang w:val="es-ES"/>
    </w:rPr>
  </w:style>
  <w:style w:type="character" w:customStyle="1" w:styleId="Heading4Char">
    <w:name w:val="Heading 4 Char"/>
    <w:basedOn w:val="DefaultParagraphFont"/>
    <w:link w:val="Heading4"/>
    <w:uiPriority w:val="9"/>
    <w:semiHidden/>
    <w:rsid w:val="00CF1F19"/>
    <w:rPr>
      <w:rFonts w:eastAsiaTheme="majorEastAsia" w:cstheme="majorBidi"/>
      <w:i/>
      <w:iCs/>
      <w:color w:val="0F4761" w:themeColor="accent1" w:themeShade="BF"/>
      <w:lang w:val="es-ES"/>
    </w:rPr>
  </w:style>
  <w:style w:type="character" w:customStyle="1" w:styleId="Heading5Char">
    <w:name w:val="Heading 5 Char"/>
    <w:basedOn w:val="DefaultParagraphFont"/>
    <w:link w:val="Heading5"/>
    <w:uiPriority w:val="9"/>
    <w:semiHidden/>
    <w:rsid w:val="00CF1F19"/>
    <w:rPr>
      <w:rFonts w:eastAsiaTheme="majorEastAsia" w:cstheme="majorBidi"/>
      <w:color w:val="0F4761" w:themeColor="accent1" w:themeShade="BF"/>
      <w:lang w:val="es-ES"/>
    </w:rPr>
  </w:style>
  <w:style w:type="character" w:customStyle="1" w:styleId="Heading6Char">
    <w:name w:val="Heading 6 Char"/>
    <w:basedOn w:val="DefaultParagraphFont"/>
    <w:link w:val="Heading6"/>
    <w:uiPriority w:val="9"/>
    <w:semiHidden/>
    <w:rsid w:val="00CF1F19"/>
    <w:rPr>
      <w:rFonts w:eastAsiaTheme="majorEastAsia" w:cstheme="majorBidi"/>
      <w:i/>
      <w:iCs/>
      <w:color w:val="595959" w:themeColor="text1" w:themeTint="A6"/>
      <w:lang w:val="es-ES"/>
    </w:rPr>
  </w:style>
  <w:style w:type="character" w:customStyle="1" w:styleId="Heading7Char">
    <w:name w:val="Heading 7 Char"/>
    <w:basedOn w:val="DefaultParagraphFont"/>
    <w:link w:val="Heading7"/>
    <w:uiPriority w:val="9"/>
    <w:semiHidden/>
    <w:rsid w:val="00CF1F19"/>
    <w:rPr>
      <w:rFonts w:eastAsiaTheme="majorEastAsia" w:cstheme="majorBidi"/>
      <w:color w:val="595959" w:themeColor="text1" w:themeTint="A6"/>
      <w:lang w:val="es-ES"/>
    </w:rPr>
  </w:style>
  <w:style w:type="character" w:customStyle="1" w:styleId="Heading8Char">
    <w:name w:val="Heading 8 Char"/>
    <w:basedOn w:val="DefaultParagraphFont"/>
    <w:link w:val="Heading8"/>
    <w:uiPriority w:val="9"/>
    <w:semiHidden/>
    <w:rsid w:val="00CF1F19"/>
    <w:rPr>
      <w:rFonts w:eastAsiaTheme="majorEastAsia" w:cstheme="majorBidi"/>
      <w:i/>
      <w:iCs/>
      <w:color w:val="272727" w:themeColor="text1" w:themeTint="D8"/>
      <w:lang w:val="es-ES"/>
    </w:rPr>
  </w:style>
  <w:style w:type="character" w:customStyle="1" w:styleId="Heading9Char">
    <w:name w:val="Heading 9 Char"/>
    <w:basedOn w:val="DefaultParagraphFont"/>
    <w:link w:val="Heading9"/>
    <w:uiPriority w:val="9"/>
    <w:semiHidden/>
    <w:rsid w:val="00CF1F19"/>
    <w:rPr>
      <w:rFonts w:eastAsiaTheme="majorEastAsia" w:cstheme="majorBidi"/>
      <w:color w:val="272727" w:themeColor="text1" w:themeTint="D8"/>
      <w:lang w:val="es-ES"/>
    </w:rPr>
  </w:style>
  <w:style w:type="character" w:customStyle="1" w:styleId="TitleChar">
    <w:name w:val="Title Char"/>
    <w:basedOn w:val="DefaultParagraphFont"/>
    <w:link w:val="Title"/>
    <w:uiPriority w:val="10"/>
    <w:rsid w:val="00CF1F19"/>
    <w:rPr>
      <w:rFonts w:asciiTheme="majorHAnsi" w:eastAsiaTheme="majorEastAsia" w:hAnsiTheme="majorHAnsi" w:cstheme="majorBidi"/>
      <w:spacing w:val="-10"/>
      <w:kern w:val="28"/>
      <w:sz w:val="56"/>
      <w:szCs w:val="56"/>
      <w:lang w:val="es-ES"/>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CF1F19"/>
    <w:rPr>
      <w:rFonts w:eastAsiaTheme="majorEastAsia" w:cstheme="majorBidi"/>
      <w:color w:val="595959" w:themeColor="text1" w:themeTint="A6"/>
      <w:spacing w:val="15"/>
      <w:sz w:val="28"/>
      <w:szCs w:val="28"/>
      <w:lang w:val="es-ES"/>
    </w:rPr>
  </w:style>
  <w:style w:type="paragraph" w:styleId="Quote">
    <w:name w:val="Quote"/>
    <w:basedOn w:val="Normal"/>
    <w:next w:val="Normal"/>
    <w:link w:val="QuoteChar"/>
    <w:uiPriority w:val="29"/>
    <w:qFormat/>
    <w:rsid w:val="00CF1F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1F19"/>
    <w:rPr>
      <w:i/>
      <w:iCs/>
      <w:color w:val="404040" w:themeColor="text1" w:themeTint="BF"/>
      <w:lang w:val="es-ES"/>
    </w:rPr>
  </w:style>
  <w:style w:type="paragraph" w:styleId="ListParagraph">
    <w:name w:val="List Paragraph"/>
    <w:aliases w:val="Párrafo de lista1,List Paragraph2,Lista vistosa - Énfasis 11,List Paragraph1,List Paragraph11,List 100s,Fundamentacion,paul2,Bulleted List,Lista 123,Viñeta normal,Cuadro 2-1,Párrafo de lista2,NIVEL ONE,Párrafo de lista3,Titulo 1,Dot pt"/>
    <w:basedOn w:val="Normal"/>
    <w:link w:val="ListParagraphChar"/>
    <w:uiPriority w:val="34"/>
    <w:qFormat/>
    <w:rsid w:val="00CF1F19"/>
    <w:pPr>
      <w:ind w:left="720"/>
      <w:contextualSpacing/>
    </w:pPr>
  </w:style>
  <w:style w:type="character" w:styleId="IntenseEmphasis">
    <w:name w:val="Intense Emphasis"/>
    <w:basedOn w:val="DefaultParagraphFont"/>
    <w:uiPriority w:val="21"/>
    <w:qFormat/>
    <w:rsid w:val="00CF1F19"/>
    <w:rPr>
      <w:i/>
      <w:iCs/>
      <w:color w:val="0F4761" w:themeColor="accent1" w:themeShade="BF"/>
    </w:rPr>
  </w:style>
  <w:style w:type="paragraph" w:styleId="IntenseQuote">
    <w:name w:val="Intense Quote"/>
    <w:basedOn w:val="Normal"/>
    <w:next w:val="Normal"/>
    <w:link w:val="IntenseQuoteChar"/>
    <w:uiPriority w:val="30"/>
    <w:qFormat/>
    <w:rsid w:val="00CF1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F19"/>
    <w:rPr>
      <w:i/>
      <w:iCs/>
      <w:color w:val="0F4761" w:themeColor="accent1" w:themeShade="BF"/>
      <w:lang w:val="es-ES"/>
    </w:rPr>
  </w:style>
  <w:style w:type="character" w:styleId="IntenseReference">
    <w:name w:val="Intense Reference"/>
    <w:basedOn w:val="DefaultParagraphFont"/>
    <w:uiPriority w:val="32"/>
    <w:qFormat/>
    <w:rsid w:val="00CF1F19"/>
    <w:rPr>
      <w:b/>
      <w:bCs/>
      <w:smallCaps/>
      <w:color w:val="0F4761" w:themeColor="accent1" w:themeShade="BF"/>
      <w:spacing w:val="5"/>
    </w:rPr>
  </w:style>
  <w:style w:type="character" w:styleId="FootnoteReference">
    <w:name w:val="footnote reference"/>
    <w:aliases w:val="4_G,Footnotes refss,Footnote Refernece,Appel note de bas de p.,Footnote Ref,16 Point,Superscript 6 Point,Ref,de nota al pie,Footnote number,ftref,BVI fnr,BVI fnr Car Car,BVI fnr Car,BVI fnr Car Car Car Car,Texto de nota al pie,f,f1,n"/>
    <w:basedOn w:val="DefaultParagraphFont"/>
    <w:link w:val="BVIfnrCar1CarCarCarCar"/>
    <w:uiPriority w:val="99"/>
    <w:unhideWhenUsed/>
    <w:qFormat/>
    <w:rsid w:val="00CF1F19"/>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CF1F19"/>
    <w:pPr>
      <w:spacing w:before="200" w:after="160" w:line="240" w:lineRule="exact"/>
    </w:pPr>
    <w:rPr>
      <w:vertAlign w:val="superscript"/>
      <w:lang w:val="en-US"/>
    </w:rPr>
  </w:style>
  <w:style w:type="character" w:customStyle="1" w:styleId="ListParagraphChar">
    <w:name w:val="List Paragraph Char"/>
    <w:aliases w:val="Párrafo de lista1 Char,List Paragraph2 Char,Lista vistosa - Énfasis 11 Char,List Paragraph1 Char,List Paragraph11 Char,List 100s Char,Fundamentacion Char,paul2 Char,Bulleted List Char,Lista 123 Char,Viñeta normal Char,Cuadro 2-1 Char"/>
    <w:link w:val="ListParagraph"/>
    <w:uiPriority w:val="34"/>
    <w:qFormat/>
    <w:locked/>
    <w:rsid w:val="00D1772E"/>
    <w:rPr>
      <w:lang w:val="es-MX"/>
    </w:rPr>
  </w:style>
  <w:style w:type="paragraph" w:styleId="EndnoteText">
    <w:name w:val="endnote text"/>
    <w:basedOn w:val="Normal"/>
    <w:link w:val="EndnoteTextChar"/>
    <w:uiPriority w:val="99"/>
    <w:unhideWhenUsed/>
    <w:rsid w:val="00D1772E"/>
    <w:pPr>
      <w:widowControl w:val="0"/>
    </w:pPr>
    <w:rPr>
      <w:rFonts w:ascii="Calibri" w:eastAsia="Calibri" w:hAnsi="Calibri" w:cs="Calibri"/>
      <w:sz w:val="20"/>
      <w:szCs w:val="20"/>
      <w:lang w:val="en-US" w:eastAsia="es-PE"/>
    </w:rPr>
  </w:style>
  <w:style w:type="character" w:customStyle="1" w:styleId="EndnoteTextChar">
    <w:name w:val="Endnote Text Char"/>
    <w:basedOn w:val="DefaultParagraphFont"/>
    <w:link w:val="EndnoteText"/>
    <w:uiPriority w:val="99"/>
    <w:rsid w:val="00D1772E"/>
    <w:rPr>
      <w:rFonts w:ascii="Calibri" w:eastAsia="Calibri" w:hAnsi="Calibri" w:cs="Calibri"/>
      <w:kern w:val="0"/>
      <w:sz w:val="20"/>
      <w:szCs w:val="20"/>
      <w:lang w:eastAsia="es-PE"/>
    </w:rPr>
  </w:style>
  <w:style w:type="character" w:styleId="EndnoteReference">
    <w:name w:val="endnote reference"/>
    <w:basedOn w:val="DefaultParagraphFont"/>
    <w:uiPriority w:val="99"/>
    <w:unhideWhenUsed/>
    <w:rsid w:val="00D1772E"/>
    <w:rPr>
      <w:vertAlign w:val="superscript"/>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Ca,ft,Footnote Te,C"/>
    <w:basedOn w:val="Normal"/>
    <w:link w:val="FootnoteTextChar"/>
    <w:uiPriority w:val="99"/>
    <w:unhideWhenUsed/>
    <w:qFormat/>
    <w:rsid w:val="0014799E"/>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C Char"/>
    <w:basedOn w:val="DefaultParagraphFont"/>
    <w:link w:val="FootnoteText"/>
    <w:uiPriority w:val="99"/>
    <w:qFormat/>
    <w:rsid w:val="0014799E"/>
    <w:rPr>
      <w:sz w:val="20"/>
      <w:szCs w:val="20"/>
      <w:lang w:val="es-MX"/>
    </w:rPr>
  </w:style>
  <w:style w:type="character" w:styleId="Hyperlink">
    <w:name w:val="Hyperlink"/>
    <w:basedOn w:val="DefaultParagraphFont"/>
    <w:uiPriority w:val="99"/>
    <w:unhideWhenUsed/>
    <w:rsid w:val="0014799E"/>
    <w:rPr>
      <w:color w:val="467886" w:themeColor="hyperlink"/>
      <w:u w:val="single"/>
    </w:rPr>
  </w:style>
  <w:style w:type="character" w:styleId="UnresolvedMention">
    <w:name w:val="Unresolved Mention"/>
    <w:basedOn w:val="DefaultParagraphFont"/>
    <w:uiPriority w:val="99"/>
    <w:rsid w:val="0014799E"/>
    <w:rPr>
      <w:color w:val="605E5C"/>
      <w:shd w:val="clear" w:color="auto" w:fill="E1DFDD"/>
    </w:rPr>
  </w:style>
  <w:style w:type="character" w:styleId="FollowedHyperlink">
    <w:name w:val="FollowedHyperlink"/>
    <w:basedOn w:val="DefaultParagraphFont"/>
    <w:uiPriority w:val="99"/>
    <w:semiHidden/>
    <w:unhideWhenUsed/>
    <w:rsid w:val="00A73958"/>
    <w:rPr>
      <w:color w:val="96607D" w:themeColor="followedHyperlink"/>
      <w:u w:val="single"/>
    </w:rPr>
  </w:style>
  <w:style w:type="paragraph" w:styleId="NoSpacing">
    <w:name w:val="No Spacing"/>
    <w:uiPriority w:val="1"/>
    <w:qFormat/>
    <w:rsid w:val="00777CD3"/>
    <w:rPr>
      <w:sz w:val="22"/>
      <w:szCs w:val="22"/>
      <w:lang w:val="es-ES"/>
    </w:rPr>
  </w:style>
  <w:style w:type="paragraph" w:styleId="NormalWeb">
    <w:name w:val="Normal (Web)"/>
    <w:basedOn w:val="Normal"/>
    <w:uiPriority w:val="99"/>
    <w:unhideWhenUsed/>
    <w:rsid w:val="00B17CAF"/>
    <w:pPr>
      <w:spacing w:before="100" w:beforeAutospacing="1" w:after="100" w:afterAutospacing="1"/>
    </w:pPr>
    <w:rPr>
      <w:rFonts w:ascii="Times New Roman" w:eastAsia="Times New Roman" w:hAnsi="Times New Roman" w:cs="Times New Roman"/>
      <w:lang w:eastAsia="es-P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0452DF"/>
    <w:pPr>
      <w:tabs>
        <w:tab w:val="center" w:pos="4680"/>
        <w:tab w:val="right" w:pos="9360"/>
      </w:tabs>
    </w:pPr>
  </w:style>
  <w:style w:type="character" w:customStyle="1" w:styleId="HeaderChar">
    <w:name w:val="Header Char"/>
    <w:basedOn w:val="DefaultParagraphFont"/>
    <w:link w:val="Header"/>
    <w:uiPriority w:val="99"/>
    <w:rsid w:val="000452DF"/>
  </w:style>
  <w:style w:type="paragraph" w:styleId="Footer">
    <w:name w:val="footer"/>
    <w:basedOn w:val="Normal"/>
    <w:link w:val="FooterChar"/>
    <w:uiPriority w:val="99"/>
    <w:unhideWhenUsed/>
    <w:rsid w:val="000452DF"/>
    <w:pPr>
      <w:tabs>
        <w:tab w:val="center" w:pos="4680"/>
        <w:tab w:val="right" w:pos="9360"/>
      </w:tabs>
    </w:pPr>
  </w:style>
  <w:style w:type="character" w:customStyle="1" w:styleId="FooterChar">
    <w:name w:val="Footer Char"/>
    <w:basedOn w:val="DefaultParagraphFont"/>
    <w:link w:val="Footer"/>
    <w:uiPriority w:val="99"/>
    <w:rsid w:val="00045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6" Type="http://schemas.openxmlformats.org/officeDocument/2006/relationships/hyperlink" Target="https://peru.unfpa.org/es/news/embarazoadolescenteperu2023" TargetMode="External"/><Relationship Id="rId21" Type="http://schemas.openxmlformats.org/officeDocument/2006/relationships/hyperlink" Target="https://www.defensoria.gob.pe/defensoria-del-pueblo-situacion-actual-de-embarazo-en-adolescentes-exige-un-mayor-acceso-a-salud-sexual-y-reproductiva-y-educacion-sexual-integral/" TargetMode="External"/><Relationship Id="rId42" Type="http://schemas.openxmlformats.org/officeDocument/2006/relationships/hyperlink" Target="https://promsex.org/wp-content/uploads/2024/07/AbortosTerapeuticosRealizadosEnElPeruEntreEl2014y2023.pdf" TargetMode="External"/><Relationship Id="rId47" Type="http://schemas.openxmlformats.org/officeDocument/2006/relationships/hyperlink" Target="https://www.guttmacher.org/sites/default/files/report_pdf/de-la-normativa-a-la-practica-educacion-sexual-peru.pdf" TargetMode="External"/><Relationship Id="rId63" Type="http://schemas.openxmlformats.org/officeDocument/2006/relationships/hyperlink" Target="https://educacionsinretroceso.com" TargetMode="External"/><Relationship Id="rId68" Type="http://schemas.openxmlformats.org/officeDocument/2006/relationships/hyperlink" Target="https://www.manuela.org.pe/educacion-sexual-integral-en-el-per" TargetMode="External"/><Relationship Id="rId7" Type="http://schemas.openxmlformats.org/officeDocument/2006/relationships/hyperlink" Target="https://wb2server.congreso.gob.pe/spley-portal-service/archivo/NjE2MQ==/pdf/PL-00785" TargetMode="External"/><Relationship Id="rId71" Type="http://schemas.openxmlformats.org/officeDocument/2006/relationships/hyperlink" Target="https://cdn.www.gob.pe/uploads/document/file/4829546/Dictamen%20adoptado%20por%20el%20Comit%C3%A9%20de%20los%20Derechos%20del%20Ni%C3%B1o%20de%20de%20Naciones%20Unidas%20el%2015%20de%20mayo%20de%202023.pdf?v=1689118056" TargetMode="External"/><Relationship Id="rId2" Type="http://schemas.openxmlformats.org/officeDocument/2006/relationships/hyperlink" Target="https://www.defensoria.gob.pe/wp-content/uploads/2021/05/Informe-Derechos-Sexuales-y-Reproductivos.pdf" TargetMode="External"/><Relationship Id="rId16" Type="http://schemas.openxmlformats.org/officeDocument/2006/relationships/hyperlink" Target="https://cdn.www.gob.pe/uploads/document/file/297541/Resoluci%C3%B3n_Ministerial_N__227-2019-MINSA.PDF." TargetMode="External"/><Relationship Id="rId29" Type="http://schemas.openxmlformats.org/officeDocument/2006/relationships/hyperlink" Target="https://webapp.minsa.gob.pe/dwcnv/dwmadrenew.aspx" TargetMode="External"/><Relationship Id="rId11" Type="http://schemas.openxmlformats.org/officeDocument/2006/relationships/hyperlink" Target="https://busquedas.elperuano.pe/dispositivo/NL/2235408-1" TargetMode="External"/><Relationship Id="rId24" Type="http://schemas.openxmlformats.org/officeDocument/2006/relationships/hyperlink" Target="https://www.defensoria.gob.pe/wp-content/uploads/2019/12/Informe-de-adjuntia-002-2019-PPI-Digital.pdf" TargetMode="External"/><Relationship Id="rId32" Type="http://schemas.openxmlformats.org/officeDocument/2006/relationships/hyperlink" Target="https://peru.unfpa.org/es/news/per%C3%BA-maternidad-en-ni%C3%B1as-entre-10-y-14-a%C3%B1os-creci%C3%B3-14-en-2022" TargetMode="External"/><Relationship Id="rId37" Type="http://schemas.openxmlformats.org/officeDocument/2006/relationships/hyperlink" Target="http://repositorio.minedu.gob.pe/bitstream/handle/123456789/869/504.%20Per%C3%BA%20Situaci%C3%B3n%20social%20de%20las%20madres%20adolescentes%2C%202007..pdf?sequence=1&amp;isAllowed=y." TargetMode="External"/><Relationship Id="rId40" Type="http://schemas.openxmlformats.org/officeDocument/2006/relationships/hyperlink" Target="http://bvs.minsa.gob.pe/local/MINSA/3795.pdf." TargetMode="External"/><Relationship Id="rId45" Type="http://schemas.openxmlformats.org/officeDocument/2006/relationships/hyperlink" Target="https://www.tc.gob.pe/jurisprudencia/2005/03208-2004-AA.pdf" TargetMode="External"/><Relationship Id="rId53" Type="http://schemas.openxmlformats.org/officeDocument/2006/relationships/hyperlink" Target="https://epicentro.tv/condorcanqui-fuego-de-impunidad/https:/epicentro.tv/condorcanqui-fuego-de-impunidad/" TargetMode="External"/><Relationship Id="rId58" Type="http://schemas.openxmlformats.org/officeDocument/2006/relationships/hyperlink" Target="https://www.defensoria.gob.pe/informes/serie-informes-especiales-n-007-2021-dp/" TargetMode="External"/><Relationship Id="rId66" Type="http://schemas.openxmlformats.org/officeDocument/2006/relationships/hyperlink" Target="https://www.defensoria.gob.pe/defensoria-del-pueblo-minedu-y-las-ugel-deben-acelerar-distribucion-de-materiales-y-recursos-educativos-2/" TargetMode="External"/><Relationship Id="rId5" Type="http://schemas.openxmlformats.org/officeDocument/2006/relationships/hyperlink" Target="https://spcommreports.ohchr.org/TMResultsBase/DownLoadPublicCommunicationFile?gId=29163" TargetMode="External"/><Relationship Id="rId61" Type="http://schemas.openxmlformats.org/officeDocument/2006/relationships/hyperlink" Target="https://busquedas.elperuano.pe/normaslegales/ley-que-impulsa-la-calidad-de-los-materiales-y-recursos-educ-ley-n-31498-2080217-1/" TargetMode="External"/><Relationship Id="rId19" Type="http://schemas.openxmlformats.org/officeDocument/2006/relationships/hyperlink" Target="https://promsex.org/wp-content/uploads/2023/11/Progreso-y-Brechas-Cosenso-de-Montevideo.pdf" TargetMode="External"/><Relationship Id="rId14" Type="http://schemas.openxmlformats.org/officeDocument/2006/relationships/hyperlink" Target="https://www.manuela.org.pe/8m-el-96-de-peruanos-reconoce-que-la-violencia-sexual-hacia-las-mujeres-es" TargetMode="External"/><Relationship Id="rId22" Type="http://schemas.openxmlformats.org/officeDocument/2006/relationships/hyperlink" Target="https://www.defensoria.gob.pe/defensoria-del-pueblo-situacion-actual-de-embarazo-en-adolescentes-exige-un-mayor-acceso-a-salud-sexual-y-reproductiva-y-educacion-sexual-integral/" TargetMode="External"/><Relationship Id="rId27" Type="http://schemas.openxmlformats.org/officeDocument/2006/relationships/hyperlink" Target="https://comunicaciones.congreso.gob.pe/noticias/ejecutivo-promulga-ley-que-pone-fin-al-matrimonio-infantil-aprobada-por-el-congreso/" TargetMode="External"/><Relationship Id="rId30" Type="http://schemas.openxmlformats.org/officeDocument/2006/relationships/hyperlink" Target="https://webapp.minsa.gob.pe/dwcnv/dwmadrenew.aspx" TargetMode="External"/><Relationship Id="rId35" Type="http://schemas.openxmlformats.org/officeDocument/2006/relationships/hyperlink" Target="http://bvs.minsa.gob.pe/local/MINSA/2896.pdf." TargetMode="External"/><Relationship Id="rId43" Type="http://schemas.openxmlformats.org/officeDocument/2006/relationships/hyperlink" Target="https://www.facebook.com/story.php?story_fbid=1123797963085902&amp;id=100063671261458&amp;rdid=DB5YuUeuCxVlmjPe&amp;share_url=https%3A%2F%2Fwww.facebook.com%2Fshare%2Fp%2F15UxCxmE1J" TargetMode="External"/><Relationship Id="rId48" Type="http://schemas.openxmlformats.org/officeDocument/2006/relationships/hyperlink" Target="https://www.defensoria.gob.pe/defensoria-del-pueblo-situacion-actual-de-embarazo-en-adolescentes-exige-un-mayor-acceso-a-salud-sexual-y-reproductiva-y-educacion-sexual-integral/" TargetMode="External"/><Relationship Id="rId56" Type="http://schemas.openxmlformats.org/officeDocument/2006/relationships/hyperlink" Target="https://larepublica.pe/sociedad/2024/12/01/condorcanqui-22-nuevos-casos-de-abusos-sexual-solo-en-noviembre-ministerio-de-educacion-awajun-2999880" TargetMode="External"/><Relationship Id="rId64" Type="http://schemas.openxmlformats.org/officeDocument/2006/relationships/hyperlink" Target="https://promsex.org/wp-content/uploads/2023/11/Progreso-y-Brechas-Cosenso-de-Montevideo.pdf" TargetMode="External"/><Relationship Id="rId69" Type="http://schemas.openxmlformats.org/officeDocument/2006/relationships/hyperlink" Target="https://www.manuela.org.pe/manuela-ramos-entrega-caja-de-herramientas-sobre-la-educacion-sexual" TargetMode="External"/><Relationship Id="rId8" Type="http://schemas.openxmlformats.org/officeDocument/2006/relationships/hyperlink" Target="https://www.defensoria.gob.pe/defensoria-del-pueblo-expresa-discrepancias-con-proyecto-de-ley-que-reconoce-derechos-al-concebido/" TargetMode="External"/><Relationship Id="rId51" Type="http://schemas.openxmlformats.org/officeDocument/2006/relationships/hyperlink" Target="https://larepublica.pe/sociedad/2024/12/01/condorcanqui-22-nuevos-casos-de-abusos-sexual-solo-en-noviembre-ministerio-de-educacion-awajun-2999880" TargetMode="External"/><Relationship Id="rId3" Type="http://schemas.openxmlformats.org/officeDocument/2006/relationships/hyperlink" Target="https://wb2server.congreso.gob.pe/spley-portal-service/archivo/MTkzNDEw/pdf" TargetMode="External"/><Relationship Id="rId12" Type="http://schemas.openxmlformats.org/officeDocument/2006/relationships/hyperlink" Target="https://www.manuela.org.pe/organizaciones-y-sociedad-civil-demuestran-rechazo-ante-proyecto-de-ley-que" TargetMode="External"/><Relationship Id="rId17" Type="http://schemas.openxmlformats.org/officeDocument/2006/relationships/hyperlink" Target="https://cdn.www.gob.pe/uploads/document/file/297541/Resoluci%C3%B3n_Ministerial_N__227-2019-MINSA.PDF." TargetMode="External"/><Relationship Id="rId25" Type="http://schemas.openxmlformats.org/officeDocument/2006/relationships/hyperlink" Target="https://www.gob.pe/inei/" TargetMode="External"/><Relationship Id="rId33" Type="http://schemas.openxmlformats.org/officeDocument/2006/relationships/hyperlink" Target="https://www.defensoria.gob.pe/defensoria-del-pueblo-estado-debe-fortalecer-servicios-de-salud-sexual-y-reproductiva/" TargetMode="External"/><Relationship Id="rId38" Type="http://schemas.openxmlformats.org/officeDocument/2006/relationships/hyperlink" Target="http://repositorio.minedu.gob.pe/bitstream/handle/123456789/869/504.%20Per%C3%BA%20Situaci%C3%B3n%20social%20de%20las%20madres%20adolescentes%2C%202007..pdf?sequence=1&amp;isAllowed=y." TargetMode="External"/><Relationship Id="rId46" Type="http://schemas.openxmlformats.org/officeDocument/2006/relationships/hyperlink" Target="https://saludconlupa.com/series/perseguidas-por-abortar/de-la-sala-de-emergencias-al-juzgado-por-un-aborto/" TargetMode="External"/><Relationship Id="rId59" Type="http://schemas.openxmlformats.org/officeDocument/2006/relationships/hyperlink" Target="https://wb2server.congreso.gob.pe/spley-portal/" TargetMode="External"/><Relationship Id="rId67" Type="http://schemas.openxmlformats.org/officeDocument/2006/relationships/hyperlink" Target="https://promsex.org/wp-content/uploads/2023/11/Progreso-y-Brechas-Cosenso-de-Montevideo.pdf" TargetMode="External"/><Relationship Id="rId20" Type="http://schemas.openxmlformats.org/officeDocument/2006/relationships/hyperlink" Target="https://www.manuela.org.pe/explotacion-sexual-infantil-45-de-victimas-son-adolescentes-mujeres-entre-13" TargetMode="External"/><Relationship Id="rId41" Type="http://schemas.openxmlformats.org/officeDocument/2006/relationships/hyperlink" Target="https://promsex.org/wp-content/uploads/2023/11/Progreso-y-Brechas-Cosenso-de-Montevideo.pdf" TargetMode="External"/><Relationship Id="rId54" Type="http://schemas.openxmlformats.org/officeDocument/2006/relationships/hyperlink" Target="https://www.infobae.com/peru/2024/06/13/ministro-de-educacion-desata-ola-de-repudio-al-sugerir-que-agresiones-sexuales-contra-ninas-awajun-pueden-ser-una-practica-cultural/" TargetMode="External"/><Relationship Id="rId62" Type="http://schemas.openxmlformats.org/officeDocument/2006/relationships/hyperlink" Target="https://www.hrw.org/news/2023/01/24/peru-threatening-human-rights-education" TargetMode="External"/><Relationship Id="rId70" Type="http://schemas.openxmlformats.org/officeDocument/2006/relationships/hyperlink" Target="https://www.manuela.org.pe/manuela-ramos-entrega-caja-de-herramientas-sobre-la-educacion-sexual" TargetMode="External"/><Relationship Id="rId1" Type="http://schemas.openxmlformats.org/officeDocument/2006/relationships/hyperlink" Target="https://tbinternet.ohchr.org/_layouts/15/treatybodyexternal/Download.aspx?symbolno=CRC%2FC%2FPER%2FQPR%2F6-7&amp;Lang=en" TargetMode="External"/><Relationship Id="rId6" Type="http://schemas.openxmlformats.org/officeDocument/2006/relationships/hyperlink" Target="https://www.elperuano.pe/noticia/227460-aprueban-por-insistencia-proyecto-de-ley-que-reconoce-derechos-al-concebido" TargetMode="External"/><Relationship Id="rId15" Type="http://schemas.openxmlformats.org/officeDocument/2006/relationships/hyperlink" Target="https://peru.unfpa.org/es/news/embarazoadolescenteperu2023" TargetMode="External"/><Relationship Id="rId23" Type="http://schemas.openxmlformats.org/officeDocument/2006/relationships/hyperlink" Target="http://chirapaq.org.pe/es/wp-content/uploads/sites/3/2021/04/reporte-nacional-violencia.pdf" TargetMode="External"/><Relationship Id="rId28" Type="http://schemas.openxmlformats.org/officeDocument/2006/relationships/hyperlink" Target="https://peru.unfpa.org/es/news/embarazoadolescenteperu2023" TargetMode="External"/><Relationship Id="rId36" Type="http://schemas.openxmlformats.org/officeDocument/2006/relationships/hyperlink" Target="http://promsex.org/wp-content/uploads/2018/02/InformeEPUcompiladoEspanolPromsex-1.pdf" TargetMode="External"/><Relationship Id="rId49" Type="http://schemas.openxmlformats.org/officeDocument/2006/relationships/hyperlink" Target="https://www.manuela.org.pe/colegio-san-fernando-redujo-en-un-80-el-embarazo-adolescente" TargetMode="External"/><Relationship Id="rId57" Type="http://schemas.openxmlformats.org/officeDocument/2006/relationships/hyperlink" Target="https://repositorio.minedu.gob.pe/handle/20.500.12799/7640" TargetMode="External"/><Relationship Id="rId10" Type="http://schemas.openxmlformats.org/officeDocument/2006/relationships/hyperlink" Target="https://twitter.com/MESECVI/status/1723128814341882149" TargetMode="External"/><Relationship Id="rId31" Type="http://schemas.openxmlformats.org/officeDocument/2006/relationships/hyperlink" Target="https://webapp.minsa.gob.pe/dwcnv/dwmadrenew.aspx" TargetMode="External"/><Relationship Id="rId44" Type="http://schemas.openxmlformats.org/officeDocument/2006/relationships/hyperlink" Target="https://www.youtube.com/watch?v=7fh05C65Mrg&amp;&amp;list=PLfVIxRaemgNqE7OKwsW15vIN0Ue47v8g5&amp;&amp;index=2" TargetMode="External"/><Relationship Id="rId52" Type="http://schemas.openxmlformats.org/officeDocument/2006/relationships/hyperlink" Target="https://wayka.pe/ninas-y-ninos-awajun-las-victimas-de-la-indiferencia-estatal-y-la-ausencia-de-recursos/" TargetMode="External"/><Relationship Id="rId60" Type="http://schemas.openxmlformats.org/officeDocument/2006/relationships/hyperlink" Target="https://wb2server.congreso.gob.pe/spley-portal-service/archivo/MTk4MTYz/pdf" TargetMode="External"/><Relationship Id="rId65" Type="http://schemas.openxmlformats.org/officeDocument/2006/relationships/hyperlink" Target="https://www.defensoria.gob.pe/wp-content/uploads/2018/05/Informe-de-Adjuntia-002-2017-DP-AMASPPI.PPI.pdf" TargetMode="External"/><Relationship Id="rId4" Type="http://schemas.openxmlformats.org/officeDocument/2006/relationships/hyperlink" Target="https://x.com/CanadaenPeru/status/1800285498851864800" TargetMode="External"/><Relationship Id="rId9" Type="http://schemas.openxmlformats.org/officeDocument/2006/relationships/hyperlink" Target="https://x.com/MimpPeru/status/1722808058374422791?mx=2" TargetMode="External"/><Relationship Id="rId13" Type="http://schemas.openxmlformats.org/officeDocument/2006/relationships/hyperlink" Target="https://elperuano.pe/noticia/241246-ley-n-32000-protegen-embarazo-de-la-madre-gestante" TargetMode="External"/><Relationship Id="rId18" Type="http://schemas.openxmlformats.org/officeDocument/2006/relationships/hyperlink" Target="https://larepublica.pe/sociedad/2019/10/28/anticonceptivos-aun-hay-trabas-en-entrega-de-la-pildora-del-dia-siguiente-violencia-sexual/" TargetMode="External"/><Relationship Id="rId39" Type="http://schemas.openxmlformats.org/officeDocument/2006/relationships/hyperlink" Target="https://www.infobae.com/peru/2023/09/10/dia-mundial-para-la-prevencion-del-suicidio-un-tema-tabu-y-el-preocupante-aumento-de-suicidios-en-adolescentes/" TargetMode="External"/><Relationship Id="rId34" Type="http://schemas.openxmlformats.org/officeDocument/2006/relationships/hyperlink" Target="https://peru.unfpa.org/es/news/embarazoadolescenteperu2023" TargetMode="External"/><Relationship Id="rId50" Type="http://schemas.openxmlformats.org/officeDocument/2006/relationships/hyperlink" Target="https://www.infobae.com/peru/2024/06/09/medio-millar-de-profesores-abusaron-sexualmente-de-ninos-en-amazonas-y-reportan-contagios-de-vih/" TargetMode="External"/><Relationship Id="rId55" Type="http://schemas.openxmlformats.org/officeDocument/2006/relationships/hyperlink" Target="https://wayka.pe/vih-tasa-de-casos-se-concentra-en-la-amazonia-peruana-y-pueblos-indigenas-son-los-mas-afectado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G1UxVgdfBXZh1EJ/UDF0FABwXg==">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53BAA1F-05C7-E24C-AC25-27A2590D0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6525</Words>
  <Characters>37195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elida guerra V.</dc:creator>
  <cp:lastModifiedBy>James Boit</cp:lastModifiedBy>
  <cp:revision>2</cp:revision>
  <dcterms:created xsi:type="dcterms:W3CDTF">2025-01-03T09:53:00Z</dcterms:created>
  <dcterms:modified xsi:type="dcterms:W3CDTF">2025-01-03T09:53:00Z</dcterms:modified>
</cp:coreProperties>
</file>