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theme/themeOverride1.xml" ContentType="application/vnd.openxmlformats-officedocument.themeOverrid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theme/themeOverride2.xml" ContentType="application/vnd.openxmlformats-officedocument.themeOverride+xml"/>
  <Override PartName="/word/charts/chart13.xml" ContentType="application/vnd.openxmlformats-officedocument.drawingml.chart+xml"/>
  <Override PartName="/word/theme/themeOverride3.xml" ContentType="application/vnd.openxmlformats-officedocument.themeOverride+xml"/>
  <Override PartName="/word/charts/chart14.xml" ContentType="application/vnd.openxmlformats-officedocument.drawingml.chart+xml"/>
  <Override PartName="/word/theme/themeOverride4.xml" ContentType="application/vnd.openxmlformats-officedocument.themeOverride+xml"/>
  <Override PartName="/word/drawings/drawing1.xml" ContentType="application/vnd.openxmlformats-officedocument.drawingml.chartshapes+xml"/>
  <Override PartName="/word/charts/chart1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A2EF0" w14:paraId="619CF1B5" w14:textId="77777777">
        <w:trPr>
          <w:cantSplit/>
          <w:trHeight w:hRule="exact" w:val="851"/>
        </w:trPr>
        <w:tc>
          <w:tcPr>
            <w:tcW w:w="1276" w:type="dxa"/>
            <w:tcBorders>
              <w:bottom w:val="single" w:sz="4" w:space="0" w:color="auto"/>
            </w:tcBorders>
            <w:vAlign w:val="bottom"/>
          </w:tcPr>
          <w:p w14:paraId="1416E3DD" w14:textId="77777777" w:rsidR="00023CC6" w:rsidRDefault="00023CC6">
            <w:pPr>
              <w:spacing w:after="80"/>
            </w:pPr>
          </w:p>
        </w:tc>
        <w:tc>
          <w:tcPr>
            <w:tcW w:w="2268" w:type="dxa"/>
            <w:tcBorders>
              <w:bottom w:val="single" w:sz="4" w:space="0" w:color="auto"/>
            </w:tcBorders>
            <w:vAlign w:val="bottom"/>
          </w:tcPr>
          <w:p w14:paraId="4D305E31" w14:textId="6F63049D" w:rsidR="00023CC6" w:rsidRDefault="00023CC6">
            <w:pPr>
              <w:spacing w:after="80" w:line="300" w:lineRule="exact"/>
              <w:rPr>
                <w:b/>
                <w:sz w:val="24"/>
                <w:szCs w:val="24"/>
              </w:rPr>
            </w:pPr>
          </w:p>
        </w:tc>
        <w:tc>
          <w:tcPr>
            <w:tcW w:w="6095" w:type="dxa"/>
            <w:gridSpan w:val="2"/>
            <w:tcBorders>
              <w:bottom w:val="single" w:sz="4" w:space="0" w:color="auto"/>
            </w:tcBorders>
            <w:vAlign w:val="bottom"/>
          </w:tcPr>
          <w:p w14:paraId="539A4D86" w14:textId="2C6BC900" w:rsidR="00023CC6" w:rsidRDefault="006C48D2">
            <w:pPr>
              <w:suppressAutoHyphens w:val="0"/>
              <w:spacing w:after="20"/>
              <w:jc w:val="right"/>
            </w:pPr>
            <w:r>
              <w:rPr>
                <w:sz w:val="40"/>
              </w:rPr>
              <w:t>CEDAW</w:t>
            </w:r>
            <w:r>
              <w:t>/C/</w:t>
            </w:r>
            <w:r w:rsidR="00C215F8">
              <w:t>DZA</w:t>
            </w:r>
            <w:r>
              <w:t>/5-7</w:t>
            </w:r>
          </w:p>
        </w:tc>
      </w:tr>
      <w:tr w:rsidR="00FA2EF0" w14:paraId="3EA7AB93" w14:textId="77777777">
        <w:trPr>
          <w:cantSplit/>
          <w:trHeight w:hRule="exact" w:val="2835"/>
        </w:trPr>
        <w:tc>
          <w:tcPr>
            <w:tcW w:w="1276" w:type="dxa"/>
            <w:tcBorders>
              <w:top w:val="single" w:sz="4" w:space="0" w:color="auto"/>
              <w:bottom w:val="single" w:sz="12" w:space="0" w:color="auto"/>
            </w:tcBorders>
          </w:tcPr>
          <w:p w14:paraId="5CF19966" w14:textId="44B4F3F8" w:rsidR="00023CC6" w:rsidRDefault="00023CC6">
            <w:pPr>
              <w:spacing w:before="120"/>
              <w:jc w:val="center"/>
            </w:pPr>
          </w:p>
        </w:tc>
        <w:tc>
          <w:tcPr>
            <w:tcW w:w="5528" w:type="dxa"/>
            <w:gridSpan w:val="2"/>
            <w:tcBorders>
              <w:top w:val="single" w:sz="4" w:space="0" w:color="auto"/>
              <w:bottom w:val="single" w:sz="12" w:space="0" w:color="auto"/>
            </w:tcBorders>
          </w:tcPr>
          <w:p w14:paraId="3B96C66E" w14:textId="1EC09A20" w:rsidR="00023CC6" w:rsidRDefault="007915E1">
            <w:pPr>
              <w:spacing w:before="120" w:line="380" w:lineRule="exact"/>
            </w:pPr>
            <w:r w:rsidRPr="007915E1">
              <w:rPr>
                <w:b/>
                <w:sz w:val="34"/>
                <w:szCs w:val="34"/>
              </w:rPr>
              <w:t>Version avancée non editée</w:t>
            </w:r>
          </w:p>
        </w:tc>
        <w:tc>
          <w:tcPr>
            <w:tcW w:w="2835" w:type="dxa"/>
            <w:tcBorders>
              <w:top w:val="single" w:sz="4" w:space="0" w:color="auto"/>
              <w:bottom w:val="single" w:sz="12" w:space="0" w:color="auto"/>
            </w:tcBorders>
          </w:tcPr>
          <w:p w14:paraId="224744C7" w14:textId="77777777" w:rsidR="00023CC6" w:rsidRDefault="006C48D2">
            <w:pPr>
              <w:suppressAutoHyphens w:val="0"/>
              <w:spacing w:before="240" w:line="240" w:lineRule="exact"/>
            </w:pPr>
            <w:r>
              <w:t>Distr. générale</w:t>
            </w:r>
          </w:p>
          <w:p w14:paraId="23263F77" w14:textId="77777777" w:rsidR="00023CC6" w:rsidRDefault="00B629BF">
            <w:pPr>
              <w:suppressAutoHyphens w:val="0"/>
            </w:pPr>
            <w:r>
              <w:t>23 juillet 2026</w:t>
            </w:r>
          </w:p>
          <w:p w14:paraId="0D5D826A" w14:textId="77777777" w:rsidR="00023CC6" w:rsidRDefault="00023CC6">
            <w:pPr>
              <w:suppressAutoHyphens w:val="0"/>
            </w:pPr>
          </w:p>
          <w:p w14:paraId="5760C93D" w14:textId="77777777" w:rsidR="00023CC6" w:rsidRDefault="006C48D2">
            <w:pPr>
              <w:suppressAutoHyphens w:val="0"/>
            </w:pPr>
            <w:r>
              <w:t>Original </w:t>
            </w:r>
            <w:r w:rsidR="009C22E6">
              <w:t>:</w:t>
            </w:r>
            <w:r w:rsidR="00B629BF">
              <w:t xml:space="preserve"> français</w:t>
            </w:r>
          </w:p>
          <w:p w14:paraId="371513DC" w14:textId="77777777" w:rsidR="00023CC6" w:rsidRDefault="00B629BF">
            <w:pPr>
              <w:suppressAutoHyphens w:val="0"/>
            </w:pPr>
            <w:r>
              <w:t>Anglais, espagnol et français seulement</w:t>
            </w:r>
          </w:p>
        </w:tc>
      </w:tr>
    </w:tbl>
    <w:p w14:paraId="416DF946" w14:textId="77777777" w:rsidR="00023CC6" w:rsidRDefault="006C48D2">
      <w:pPr>
        <w:spacing w:before="120"/>
        <w:rPr>
          <w:b/>
          <w:sz w:val="24"/>
          <w:szCs w:val="24"/>
        </w:rPr>
      </w:pPr>
      <w:r>
        <w:rPr>
          <w:b/>
          <w:sz w:val="24"/>
          <w:szCs w:val="24"/>
        </w:rPr>
        <w:t xml:space="preserve">Comité pour l’élimination de la discrimination </w:t>
      </w:r>
      <w:r>
        <w:rPr>
          <w:b/>
          <w:sz w:val="24"/>
          <w:szCs w:val="24"/>
        </w:rPr>
        <w:br/>
        <w:t>à l’égard des femmes</w:t>
      </w:r>
    </w:p>
    <w:p w14:paraId="3300C839" w14:textId="4615EB67" w:rsidR="00023CC6" w:rsidRDefault="006C48D2" w:rsidP="00D01BE4">
      <w:pPr>
        <w:pStyle w:val="HMG"/>
      </w:pPr>
      <w:r>
        <w:tab/>
      </w:r>
      <w:r>
        <w:tab/>
        <w:t xml:space="preserve">Rapport valant cinquième à septième rapports périodiques soumis par </w:t>
      </w:r>
      <w:r w:rsidR="00C215F8">
        <w:t>l’Alg</w:t>
      </w:r>
      <w:r w:rsidR="008D3AE7">
        <w:t>érie</w:t>
      </w:r>
      <w:r>
        <w:t xml:space="preserve"> en application de l’article</w:t>
      </w:r>
      <w:r w:rsidR="00D01BE4">
        <w:t> </w:t>
      </w:r>
      <w:r>
        <w:t xml:space="preserve">18 de la Convention, attendu en </w:t>
      </w:r>
      <w:r w:rsidR="00AC2E06" w:rsidRPr="00AC2E06">
        <w:t>2024</w:t>
      </w:r>
      <w:r>
        <w:rPr>
          <w:b w:val="0"/>
          <w:bCs/>
          <w:sz w:val="20"/>
          <w:szCs w:val="14"/>
        </w:rPr>
        <w:footnoteReference w:customMarkFollows="1" w:id="2"/>
        <w:t>*</w:t>
      </w:r>
      <w:r w:rsidR="004D38A0">
        <w:rPr>
          <w:b w:val="0"/>
          <w:bCs/>
          <w:sz w:val="20"/>
          <w:szCs w:val="14"/>
        </w:rPr>
        <w:t xml:space="preserve"> </w:t>
      </w:r>
      <w:r w:rsidR="004D38A0" w:rsidRPr="004D38A0">
        <w:rPr>
          <w:rStyle w:val="FootnoteReference"/>
          <w:b w:val="0"/>
          <w:bCs/>
          <w:sz w:val="20"/>
          <w:szCs w:val="14"/>
          <w:vertAlign w:val="baseline"/>
        </w:rPr>
        <w:footnoteReference w:customMarkFollows="1" w:id="3"/>
        <w:t>**</w:t>
      </w:r>
    </w:p>
    <w:p w14:paraId="400E0BB9" w14:textId="22D70920" w:rsidR="00023CC6" w:rsidRPr="00EA3E5A" w:rsidRDefault="006C48D2">
      <w:pPr>
        <w:pStyle w:val="SingleTxtG"/>
        <w:jc w:val="right"/>
      </w:pPr>
      <w:r w:rsidRPr="00EA3E5A">
        <w:t xml:space="preserve">[Date de réception : </w:t>
      </w:r>
      <w:r w:rsidR="00EA3E5A" w:rsidRPr="00EA3E5A">
        <w:t>17 juillet 2026</w:t>
      </w:r>
      <w:r w:rsidRPr="00EA3E5A">
        <w:t>]</w:t>
      </w:r>
    </w:p>
    <w:p w14:paraId="5B8D35FF" w14:textId="658327CF" w:rsidR="003D5918" w:rsidRDefault="003D5918">
      <w:pPr>
        <w:suppressAutoHyphens w:val="0"/>
        <w:kinsoku/>
        <w:overflowPunct/>
        <w:autoSpaceDE/>
        <w:autoSpaceDN/>
        <w:adjustRightInd/>
        <w:snapToGrid/>
        <w:spacing w:after="200" w:line="276" w:lineRule="auto"/>
        <w:rPr>
          <w:rFonts w:eastAsiaTheme="minorEastAsia"/>
          <w:color w:val="0000FF"/>
          <w:lang w:eastAsia="zh-CN"/>
        </w:rPr>
      </w:pPr>
      <w:r>
        <w:rPr>
          <w:color w:val="0000FF"/>
        </w:rPr>
        <w:br w:type="page"/>
      </w:r>
    </w:p>
    <w:p w14:paraId="599EC149" w14:textId="498A5A3E" w:rsidR="007045AF" w:rsidRPr="007045AF" w:rsidRDefault="004B32F5" w:rsidP="004B32F5">
      <w:pPr>
        <w:pStyle w:val="HChG"/>
        <w:rPr>
          <w:lang w:val="fr-FR"/>
        </w:rPr>
      </w:pPr>
      <w:r>
        <w:rPr>
          <w:lang w:val="fr-FR"/>
        </w:rPr>
        <w:lastRenderedPageBreak/>
        <w:tab/>
      </w:r>
      <w:r>
        <w:rPr>
          <w:lang w:val="fr-FR"/>
        </w:rPr>
        <w:tab/>
      </w:r>
      <w:r w:rsidR="007045AF" w:rsidRPr="007045AF">
        <w:rPr>
          <w:lang w:val="fr-FR"/>
        </w:rPr>
        <w:t>Introduction</w:t>
      </w:r>
    </w:p>
    <w:p w14:paraId="3A69EFC0" w14:textId="77777777" w:rsidR="007045AF" w:rsidRPr="003E2796" w:rsidRDefault="007045AF" w:rsidP="006C48D2">
      <w:pPr>
        <w:pStyle w:val="SingleTxtG"/>
        <w:numPr>
          <w:ilvl w:val="0"/>
          <w:numId w:val="40"/>
        </w:numPr>
        <w:ind w:left="1134" w:firstLine="0"/>
      </w:pPr>
      <w:r w:rsidRPr="003E2796">
        <w:t>L’Algérie a adhéré à la Convention sur l’Élimination de toutes les formes de Discrimination à l’Égard des Femmes (CEDAW), le 22 janvier 1996</w:t>
      </w:r>
      <w:r w:rsidRPr="00862538">
        <w:rPr>
          <w:vertAlign w:val="superscript"/>
        </w:rPr>
        <w:footnoteReference w:id="4"/>
      </w:r>
      <w:r w:rsidRPr="003E2796">
        <w:t>.</w:t>
      </w:r>
    </w:p>
    <w:p w14:paraId="0D1F779D" w14:textId="77777777" w:rsidR="007045AF" w:rsidRPr="007045AF" w:rsidRDefault="007045AF" w:rsidP="006C48D2">
      <w:pPr>
        <w:pStyle w:val="SingleTxtG"/>
        <w:numPr>
          <w:ilvl w:val="0"/>
          <w:numId w:val="40"/>
        </w:numPr>
        <w:ind w:left="1134" w:firstLine="0"/>
        <w:rPr>
          <w:lang w:val="fr-FR"/>
        </w:rPr>
      </w:pPr>
      <w:r w:rsidRPr="003E2796">
        <w:t>En application de l’article 18 de la Convention, l’Algérie a présenté au Comité CEDAW, quatre rapports</w:t>
      </w:r>
      <w:r w:rsidRPr="007045AF">
        <w:rPr>
          <w:lang w:val="fr-FR"/>
        </w:rPr>
        <w:t xml:space="preserve"> :</w:t>
      </w:r>
    </w:p>
    <w:p w14:paraId="0B3C73DE" w14:textId="77777777" w:rsidR="007045AF" w:rsidRPr="003E2796" w:rsidRDefault="007045AF" w:rsidP="003E2796">
      <w:pPr>
        <w:pStyle w:val="Bullet1G"/>
      </w:pPr>
      <w:r w:rsidRPr="003E2796">
        <w:t>Le rapport initial, les 21 et 26 janvier 1999 ;</w:t>
      </w:r>
    </w:p>
    <w:p w14:paraId="2935B71C" w14:textId="77777777" w:rsidR="007045AF" w:rsidRPr="003E2796" w:rsidRDefault="007045AF" w:rsidP="003E2796">
      <w:pPr>
        <w:pStyle w:val="Bullet1G"/>
      </w:pPr>
      <w:r w:rsidRPr="003E2796">
        <w:t>Le deuxième rapport, le 11 janvier 2005 ;</w:t>
      </w:r>
    </w:p>
    <w:p w14:paraId="0CBE6E23" w14:textId="77777777" w:rsidR="007045AF" w:rsidRPr="003E2796" w:rsidRDefault="007045AF" w:rsidP="003E2796">
      <w:pPr>
        <w:pStyle w:val="Bullet1G"/>
      </w:pPr>
      <w:r w:rsidRPr="003E2796">
        <w:t xml:space="preserve">Les troisième et quatrième rapports, le 24 mars 2010. </w:t>
      </w:r>
    </w:p>
    <w:p w14:paraId="48057187" w14:textId="77777777" w:rsidR="007045AF" w:rsidRPr="007045AF" w:rsidRDefault="007045AF" w:rsidP="006C48D2">
      <w:pPr>
        <w:pStyle w:val="SingleTxtG"/>
        <w:numPr>
          <w:ilvl w:val="0"/>
          <w:numId w:val="40"/>
        </w:numPr>
        <w:ind w:left="1134" w:firstLine="0"/>
        <w:rPr>
          <w:lang w:val="fr-FR"/>
        </w:rPr>
      </w:pPr>
      <w:r w:rsidRPr="007045AF">
        <w:rPr>
          <w:lang w:val="fr-FR"/>
        </w:rPr>
        <w:t>Le présent rapport dresse le bilan des progrès enregistrés par l’Algérie entre 2010 et 2025, sur les plans législatif, réglementaire, judiciaire, administratif, institutionnel et pratique, et ce en application de la Convention et conformément à la recommandation formulée aux paragraphes 57 et 58 des observations finales du Comité CEDAW. Il apporte des réponses concernant les préoccupations formulées par ledit Comité lors de l’examen des troisième et quatrième rapports périodiques.</w:t>
      </w:r>
    </w:p>
    <w:p w14:paraId="417B7A1B" w14:textId="77777777" w:rsidR="007045AF" w:rsidRPr="007045AF" w:rsidRDefault="007045AF" w:rsidP="006C48D2">
      <w:pPr>
        <w:pStyle w:val="SingleTxtG"/>
        <w:numPr>
          <w:ilvl w:val="0"/>
          <w:numId w:val="40"/>
        </w:numPr>
        <w:ind w:left="1134" w:firstLine="0"/>
        <w:rPr>
          <w:lang w:val="fr-FR"/>
        </w:rPr>
      </w:pPr>
      <w:r w:rsidRPr="007045AF">
        <w:rPr>
          <w:lang w:val="fr-FR"/>
        </w:rPr>
        <w:t xml:space="preserve">Pour s’acquitter de ses obligations en matière de présentation de rapports nationaux aux organes de traités des droits de l’homme des Nations Unies, l’Algérie a adopté une approche inclusive fondée sur la participation de toutes les parties prenantes (départements ministériels, institutions nationales et société civile). Une commission intersectorielle a été mise en place pour l’élaboration du présent rapport et des ONG nationale et internationale ont été invitée à y contribuer. </w:t>
      </w:r>
    </w:p>
    <w:p w14:paraId="09DBBD89" w14:textId="77777777" w:rsidR="007045AF" w:rsidRPr="007045AF" w:rsidRDefault="007045AF" w:rsidP="006C48D2">
      <w:pPr>
        <w:pStyle w:val="SingleTxtG"/>
        <w:numPr>
          <w:ilvl w:val="0"/>
          <w:numId w:val="40"/>
        </w:numPr>
        <w:ind w:left="1134" w:firstLine="0"/>
        <w:rPr>
          <w:lang w:val="fr-FR"/>
        </w:rPr>
      </w:pPr>
      <w:r w:rsidRPr="007045AF">
        <w:rPr>
          <w:lang w:val="fr-FR"/>
        </w:rPr>
        <w:t xml:space="preserve">L'Algérie a ratifié plusieurs instruments en matière de droits de l’homme, en particulier le Protocole à la Charte Africaine des Droits de l’Homme et des Peuples relatif aux Droits des Femmes, le 27 </w:t>
      </w:r>
      <w:r w:rsidRPr="003E2796">
        <w:t>septembre</w:t>
      </w:r>
      <w:r w:rsidRPr="007045AF">
        <w:rPr>
          <w:lang w:val="fr-FR"/>
        </w:rPr>
        <w:t xml:space="preserve"> 2016</w:t>
      </w:r>
      <w:r w:rsidRPr="007045AF">
        <w:rPr>
          <w:vertAlign w:val="superscript"/>
          <w:lang w:val="fr-FR"/>
        </w:rPr>
        <w:footnoteReference w:id="5"/>
      </w:r>
      <w:r w:rsidRPr="007045AF">
        <w:rPr>
          <w:lang w:val="fr-FR"/>
        </w:rPr>
        <w:t>.Elle a également adhéré à la Déclaration de Beijing en 1995.</w:t>
      </w:r>
    </w:p>
    <w:p w14:paraId="5E79E7E3" w14:textId="77777777" w:rsidR="007045AF" w:rsidRPr="007045AF" w:rsidRDefault="007045AF" w:rsidP="006C48D2">
      <w:pPr>
        <w:pStyle w:val="SingleTxtG"/>
        <w:numPr>
          <w:ilvl w:val="0"/>
          <w:numId w:val="40"/>
        </w:numPr>
        <w:ind w:left="1134" w:firstLine="0"/>
        <w:rPr>
          <w:lang w:val="fr-FR"/>
        </w:rPr>
      </w:pPr>
      <w:r w:rsidRPr="007045AF">
        <w:rPr>
          <w:lang w:val="fr-FR"/>
        </w:rPr>
        <w:t xml:space="preserve">Dans le préambule de la Constitution révisée en 2020 (La Constitution, ci-après), l’Algérie a exprimé son </w:t>
      </w:r>
      <w:r w:rsidRPr="007045AF">
        <w:rPr>
          <w:i/>
          <w:iCs/>
          <w:lang w:val="fr-FR"/>
        </w:rPr>
        <w:t xml:space="preserve">« attachement aux Droits de l’Homme tels qu’ils sont définis dans la déclaration universelle des Droits de l’Homme de 1948 et les traités internationaux ratifiés ». </w:t>
      </w:r>
      <w:r w:rsidRPr="007045AF">
        <w:rPr>
          <w:lang w:val="fr-FR"/>
        </w:rPr>
        <w:t>Par ailleurs, l’article 154 de la Constitution dispose que «</w:t>
      </w:r>
      <w:r w:rsidRPr="007045AF">
        <w:rPr>
          <w:i/>
          <w:iCs/>
          <w:lang w:val="fr-FR"/>
        </w:rPr>
        <w:t> les traités ratifiés par le Président de la République, dans les conditions fixées par la Constitution, sont supérieurs à la loi ».</w:t>
      </w:r>
    </w:p>
    <w:p w14:paraId="05C1D7FE" w14:textId="77777777" w:rsidR="007045AF" w:rsidRPr="007045AF" w:rsidRDefault="007045AF" w:rsidP="006C48D2">
      <w:pPr>
        <w:pStyle w:val="SingleTxtG"/>
        <w:numPr>
          <w:ilvl w:val="0"/>
          <w:numId w:val="40"/>
        </w:numPr>
        <w:ind w:left="1134" w:firstLine="0"/>
        <w:rPr>
          <w:lang w:val="fr-FR"/>
        </w:rPr>
      </w:pPr>
      <w:r w:rsidRPr="007045AF">
        <w:rPr>
          <w:lang w:val="fr-FR"/>
        </w:rPr>
        <w:t xml:space="preserve">L’Algérie œuvre depuis son indépendance, pour la promotion du rôle de la femme à travers l’adoption de </w:t>
      </w:r>
      <w:r w:rsidRPr="003E2796">
        <w:t>politiques</w:t>
      </w:r>
      <w:r w:rsidRPr="007045AF">
        <w:rPr>
          <w:lang w:val="fr-FR"/>
        </w:rPr>
        <w:t xml:space="preserve"> et de programmes qui prennent en considération les aspects liés à l'autonomisation des femmes.</w:t>
      </w:r>
    </w:p>
    <w:p w14:paraId="11B543B0" w14:textId="77777777" w:rsidR="007045AF" w:rsidRPr="007045AF" w:rsidRDefault="007045AF" w:rsidP="006C48D2">
      <w:pPr>
        <w:pStyle w:val="SingleTxtG"/>
        <w:numPr>
          <w:ilvl w:val="0"/>
          <w:numId w:val="40"/>
        </w:numPr>
        <w:ind w:left="1134" w:firstLine="0"/>
        <w:rPr>
          <w:lang w:val="fr-FR"/>
        </w:rPr>
      </w:pPr>
      <w:r w:rsidRPr="007045AF">
        <w:rPr>
          <w:lang w:val="fr-FR"/>
        </w:rPr>
        <w:t xml:space="preserve">La situation de la femme en Algérie a connu, ces dernières années, une avancée remarquable à plusieurs niveaux. Une politique multidimensionnelle et multisectorielle a été poursuivie en assurant un cadre juridique, politique, économique, social et culturel, favorisant la contribution réelle et </w:t>
      </w:r>
      <w:r w:rsidRPr="003E2796">
        <w:t>effective</w:t>
      </w:r>
      <w:r w:rsidRPr="007045AF">
        <w:rPr>
          <w:lang w:val="fr-FR"/>
        </w:rPr>
        <w:t xml:space="preserve"> des femmes dans le processus de développement du pays.</w:t>
      </w:r>
    </w:p>
    <w:p w14:paraId="7F6FCD91" w14:textId="77777777" w:rsidR="007045AF" w:rsidRPr="007045AF" w:rsidRDefault="007045AF" w:rsidP="006C48D2">
      <w:pPr>
        <w:pStyle w:val="SingleTxtG"/>
        <w:numPr>
          <w:ilvl w:val="0"/>
          <w:numId w:val="40"/>
        </w:numPr>
        <w:ind w:left="1134" w:firstLine="0"/>
        <w:rPr>
          <w:lang w:val="fr-FR"/>
        </w:rPr>
      </w:pPr>
      <w:r w:rsidRPr="007045AF">
        <w:rPr>
          <w:lang w:val="fr-FR"/>
        </w:rPr>
        <w:t xml:space="preserve">Les programmes destinés à la consécration des droits des femmes, notamment leur autonomisation, constituent un engagement et un acquis constitutionnel, reflétant l'approche de l’Etat et renforcés sous la conduite de Monsieur le Président de la République, Abdelmadjid TEBBOUNE, </w:t>
      </w:r>
    </w:p>
    <w:p w14:paraId="2C047F6A" w14:textId="77777777" w:rsidR="007045AF" w:rsidRPr="007045AF" w:rsidRDefault="007045AF" w:rsidP="006C48D2">
      <w:pPr>
        <w:pStyle w:val="SingleTxtG"/>
        <w:numPr>
          <w:ilvl w:val="0"/>
          <w:numId w:val="40"/>
        </w:numPr>
        <w:ind w:left="1134" w:firstLine="0"/>
        <w:rPr>
          <w:lang w:val="fr-FR"/>
        </w:rPr>
      </w:pPr>
      <w:r w:rsidRPr="007045AF">
        <w:rPr>
          <w:lang w:val="fr-FR"/>
        </w:rPr>
        <w:t>A cela s'ajoutent les avancées significatives réalisées en matière de protection juridique et sociale des femmes, l’incrimination des violences à leur égard et le renforcement des mécanismes de signalement.</w:t>
      </w:r>
    </w:p>
    <w:p w14:paraId="5AB1AB85" w14:textId="3C93114E" w:rsidR="007045AF" w:rsidRPr="007045AF" w:rsidRDefault="007626ED" w:rsidP="007626ED">
      <w:pPr>
        <w:pStyle w:val="HChG"/>
        <w:rPr>
          <w:lang w:val="fr-FR"/>
        </w:rPr>
      </w:pPr>
      <w:r>
        <w:rPr>
          <w:lang w:val="fr-FR"/>
        </w:rPr>
        <w:lastRenderedPageBreak/>
        <w:tab/>
      </w:r>
      <w:r>
        <w:rPr>
          <w:lang w:val="fr-FR"/>
        </w:rPr>
        <w:tab/>
      </w:r>
      <w:r w:rsidR="007045AF" w:rsidRPr="007045AF">
        <w:rPr>
          <w:lang w:val="fr-FR"/>
        </w:rPr>
        <w:t xml:space="preserve">Premier </w:t>
      </w:r>
      <w:r>
        <w:rPr>
          <w:lang w:val="fr-FR"/>
        </w:rPr>
        <w:t>c</w:t>
      </w:r>
      <w:r w:rsidR="007045AF" w:rsidRPr="007045AF">
        <w:rPr>
          <w:lang w:val="fr-FR"/>
        </w:rPr>
        <w:t>hapitre</w:t>
      </w:r>
    </w:p>
    <w:p w14:paraId="6D0DF730" w14:textId="7F0481F4" w:rsidR="007045AF" w:rsidRPr="007045AF" w:rsidRDefault="002025D2" w:rsidP="002025D2">
      <w:pPr>
        <w:pStyle w:val="H1G"/>
        <w:rPr>
          <w:lang w:val="fr-FR"/>
        </w:rPr>
      </w:pPr>
      <w:r>
        <w:rPr>
          <w:lang w:val="fr-FR"/>
        </w:rPr>
        <w:tab/>
      </w:r>
      <w:r>
        <w:rPr>
          <w:lang w:val="fr-FR"/>
        </w:rPr>
        <w:tab/>
      </w:r>
      <w:r w:rsidR="00BA04BB">
        <w:rPr>
          <w:lang w:val="fr-FR"/>
        </w:rPr>
        <w:t>I.</w:t>
      </w:r>
      <w:r w:rsidR="00BA04BB">
        <w:rPr>
          <w:lang w:val="fr-FR"/>
        </w:rPr>
        <w:tab/>
      </w:r>
      <w:r w:rsidR="007045AF" w:rsidRPr="007045AF">
        <w:rPr>
          <w:lang w:val="fr-FR"/>
        </w:rPr>
        <w:t>Renseignements généraux et mesures juridiques de protection et de promotion des droits de la femme en Algérie</w:t>
      </w:r>
    </w:p>
    <w:p w14:paraId="271C17E2" w14:textId="77777777" w:rsidR="007045AF" w:rsidRPr="007045AF" w:rsidRDefault="007045AF" w:rsidP="006C48D2">
      <w:pPr>
        <w:pStyle w:val="SingleTxtG"/>
        <w:numPr>
          <w:ilvl w:val="0"/>
          <w:numId w:val="40"/>
        </w:numPr>
        <w:ind w:left="1134" w:firstLine="0"/>
        <w:rPr>
          <w:lang w:val="fr-FR"/>
        </w:rPr>
      </w:pPr>
      <w:r w:rsidRPr="007045AF">
        <w:rPr>
          <w:lang w:val="fr-FR"/>
        </w:rPr>
        <w:t xml:space="preserve">L'Algérie accorde une importance à la promotion des droits des femmes. De même, la nécessité de les doter </w:t>
      </w:r>
      <w:r w:rsidRPr="003E2796">
        <w:t>d’instruments</w:t>
      </w:r>
      <w:r w:rsidRPr="007045AF">
        <w:rPr>
          <w:lang w:val="fr-FR"/>
        </w:rPr>
        <w:t xml:space="preserve"> essentiels pour garantir leur émancipation, leur protection et leur pleine participation à la vie publique, est reflétée à travers un cadre juridique renforcé et diverses stratégies, programmes et mécanismes représentant l’engagement de l’Etat en faveur de la parité, de l’égalité des chances et de l’autonomisation des femmes.</w:t>
      </w:r>
    </w:p>
    <w:p w14:paraId="04232753" w14:textId="35158FC1" w:rsidR="007045AF" w:rsidRPr="007045AF" w:rsidRDefault="005F12E9" w:rsidP="005F12E9">
      <w:pPr>
        <w:pStyle w:val="H23G"/>
        <w:rPr>
          <w:lang w:val="fr-FR"/>
        </w:rPr>
      </w:pPr>
      <w:r>
        <w:rPr>
          <w:lang w:val="fr-FR"/>
        </w:rPr>
        <w:tab/>
      </w:r>
      <w:r>
        <w:rPr>
          <w:lang w:val="fr-FR"/>
        </w:rPr>
        <w:tab/>
      </w:r>
      <w:r w:rsidR="007045AF" w:rsidRPr="007045AF">
        <w:rPr>
          <w:lang w:val="fr-FR"/>
        </w:rPr>
        <w:t>Renseignements généraux</w:t>
      </w:r>
      <w:r w:rsidR="00DB7B6E">
        <w:rPr>
          <w:lang w:val="fr-FR"/>
        </w:rPr>
        <w:t> </w:t>
      </w:r>
    </w:p>
    <w:p w14:paraId="3EEABA04" w14:textId="6CC84FE5" w:rsidR="007045AF" w:rsidRPr="001721AE" w:rsidRDefault="007045AF" w:rsidP="00E60DF8">
      <w:pPr>
        <w:pStyle w:val="SingleTxtG"/>
      </w:pPr>
      <w:r w:rsidRPr="001721AE">
        <w:t>Superficie : 2.381.741 km2.</w:t>
      </w:r>
      <w:r w:rsidR="001721AE">
        <w:t xml:space="preserve"> </w:t>
      </w:r>
      <w:r w:rsidRPr="001721AE">
        <w:t>Population (01/07/2025) :48,0 millions dont 23,7 femmes et 24,3 hommes</w:t>
      </w:r>
      <w:r w:rsidR="001721AE">
        <w:t>.</w:t>
      </w:r>
      <w:r w:rsidR="00010CF4">
        <w:t xml:space="preserve"> </w:t>
      </w:r>
      <w:r w:rsidRPr="001721AE">
        <w:t>Structure par âge de la population en%</w:t>
      </w:r>
      <w:r w:rsidR="00010CF4">
        <w:t> : m</w:t>
      </w:r>
      <w:r w:rsidRPr="001721AE">
        <w:t>oins de 5 ans :</w:t>
      </w:r>
      <w:r w:rsidR="00F073B2">
        <w:t xml:space="preserve"> </w:t>
      </w:r>
      <w:r w:rsidRPr="001721AE">
        <w:t>9.3 %</w:t>
      </w:r>
      <w:r w:rsidR="00010CF4">
        <w:t xml:space="preserve"> ; </w:t>
      </w:r>
      <w:r w:rsidR="00F073B2">
        <w:t>m</w:t>
      </w:r>
      <w:r w:rsidRPr="001721AE">
        <w:t>oins de 20 ans :</w:t>
      </w:r>
      <w:r w:rsidR="00F073B2">
        <w:t xml:space="preserve"> </w:t>
      </w:r>
      <w:r w:rsidRPr="001721AE">
        <w:t>37.5 %</w:t>
      </w:r>
      <w:r w:rsidR="00F073B2">
        <w:t xml:space="preserve"> ; </w:t>
      </w:r>
      <w:r w:rsidRPr="001721AE">
        <w:t>25-59 ans :</w:t>
      </w:r>
      <w:r w:rsidR="00F073B2">
        <w:t xml:space="preserve"> </w:t>
      </w:r>
      <w:r w:rsidRPr="001721AE">
        <w:t>43.9 %</w:t>
      </w:r>
      <w:r w:rsidR="00F073B2">
        <w:t xml:space="preserve"> ; </w:t>
      </w:r>
      <w:r w:rsidRPr="001721AE">
        <w:t>60 ans et plus :</w:t>
      </w:r>
      <w:r w:rsidR="00D41CA8">
        <w:t xml:space="preserve"> </w:t>
      </w:r>
      <w:r w:rsidRPr="001721AE">
        <w:t>11.9 %</w:t>
      </w:r>
      <w:r w:rsidR="00F073B2">
        <w:t>.</w:t>
      </w:r>
      <w:r w:rsidR="00D41CA8">
        <w:t xml:space="preserve"> </w:t>
      </w:r>
      <w:r w:rsidRPr="001721AE">
        <w:t>PIB en milliards USD (2024) :269,3</w:t>
      </w:r>
      <w:r w:rsidR="00D41CA8">
        <w:t xml:space="preserve">. </w:t>
      </w:r>
      <w:r w:rsidRPr="001721AE">
        <w:t>Langue officielle : Arabe, Tamazight.</w:t>
      </w:r>
      <w:r w:rsidR="00D41CA8">
        <w:t xml:space="preserve"> </w:t>
      </w:r>
      <w:r w:rsidRPr="001721AE">
        <w:t>Religion : Islam.</w:t>
      </w:r>
      <w:r w:rsidR="00D41CA8">
        <w:t xml:space="preserve"> </w:t>
      </w:r>
      <w:r w:rsidRPr="001721AE">
        <w:t>Espérance de vie à la naissance (2023) :79,6 ans (81ans femmes/78,2ans hommes).</w:t>
      </w:r>
      <w:r w:rsidR="00C779C6">
        <w:t xml:space="preserve"> </w:t>
      </w:r>
      <w:r w:rsidRPr="001721AE">
        <w:t>Taux de mortalité infantile (2024) :19,7 pour 1000 naissances vivantes.</w:t>
      </w:r>
      <w:r w:rsidR="00C779C6">
        <w:t xml:space="preserve"> </w:t>
      </w:r>
      <w:r w:rsidRPr="001721AE">
        <w:t>Taux de mortalité maternelle (2023) :40 pour 100000 naissances vivantes. Taux de croissance (2024) :3,7%.</w:t>
      </w:r>
      <w:r w:rsidR="00E60DF8">
        <w:t xml:space="preserve"> </w:t>
      </w:r>
      <w:r w:rsidRPr="001721AE">
        <w:t>Taux de scolarisation (2025) :99,09%.</w:t>
      </w:r>
    </w:p>
    <w:p w14:paraId="657CE1FC" w14:textId="70042760" w:rsidR="007045AF" w:rsidRPr="007045AF" w:rsidRDefault="00E60DF8" w:rsidP="00E60DF8">
      <w:pPr>
        <w:pStyle w:val="H23G"/>
        <w:rPr>
          <w:lang w:val="fr-FR"/>
        </w:rPr>
      </w:pPr>
      <w:r>
        <w:rPr>
          <w:lang w:val="fr-FR"/>
        </w:rPr>
        <w:tab/>
      </w:r>
      <w:r>
        <w:rPr>
          <w:lang w:val="fr-FR"/>
        </w:rPr>
        <w:tab/>
      </w:r>
      <w:r w:rsidR="007045AF" w:rsidRPr="007045AF">
        <w:rPr>
          <w:lang w:val="fr-FR"/>
        </w:rPr>
        <w:t xml:space="preserve">Cadre juridique de la protection et de la promotion des droits de la femme </w:t>
      </w:r>
    </w:p>
    <w:p w14:paraId="4406EAD2" w14:textId="77777777" w:rsidR="007045AF" w:rsidRPr="007045AF" w:rsidRDefault="007045AF" w:rsidP="006C48D2">
      <w:pPr>
        <w:pStyle w:val="SingleTxtG"/>
        <w:numPr>
          <w:ilvl w:val="0"/>
          <w:numId w:val="40"/>
        </w:numPr>
        <w:ind w:left="1134" w:firstLine="0"/>
        <w:rPr>
          <w:lang w:val="fr-FR"/>
        </w:rPr>
      </w:pPr>
      <w:r w:rsidRPr="007045AF">
        <w:rPr>
          <w:lang w:val="fr-FR"/>
        </w:rPr>
        <w:t xml:space="preserve">La Constitution consacre le principe d’égalité et de non-discrimination entre les sexes. Les citoyens sont égaux devant la loi et ont droit à une égale protection de celle-ci, sans que puisse prévaloir aucune discrimination pour cause de naissance, de race, de sexe, d’opinion ou de toute autre condition ou circonstance personnelle ou sociale (art. 35 et 37). L’Etat (i) œuvre à la promotion des droits politiques de la femme en encourageant ses chances d’accès à la représentation dans les </w:t>
      </w:r>
      <w:r w:rsidRPr="003E2796">
        <w:t>assemblées</w:t>
      </w:r>
      <w:r w:rsidRPr="007045AF">
        <w:rPr>
          <w:lang w:val="fr-FR"/>
        </w:rPr>
        <w:t xml:space="preserve"> élues (art.59), (ii) œuvre à la promotion de la parité entre hommes et femmes sur le marché de l’emploi et encourage la promotion de la femme aux responsabilités dans les institutions et administrations publiques ainsi qu’au niveau des entreprises (art.68). </w:t>
      </w:r>
    </w:p>
    <w:p w14:paraId="291CD7F1" w14:textId="77777777" w:rsidR="007045AF" w:rsidRPr="007045AF" w:rsidRDefault="007045AF" w:rsidP="006C48D2">
      <w:pPr>
        <w:pStyle w:val="SingleTxtG"/>
        <w:numPr>
          <w:ilvl w:val="0"/>
          <w:numId w:val="40"/>
        </w:numPr>
        <w:ind w:left="1134" w:firstLine="0"/>
        <w:rPr>
          <w:lang w:val="fr-FR"/>
        </w:rPr>
      </w:pPr>
      <w:r w:rsidRPr="007045AF">
        <w:rPr>
          <w:lang w:val="fr-FR"/>
        </w:rPr>
        <w:t>La Constitution dispose également que « </w:t>
      </w:r>
      <w:r w:rsidRPr="007045AF">
        <w:rPr>
          <w:i/>
          <w:iCs/>
          <w:lang w:val="fr-FR"/>
        </w:rPr>
        <w:t xml:space="preserve">l’Etat protège la femme contre toutes formes de violence en tous lieux et en toutes circonstances, dans l’espace public, dans la sphère professionnelle et dans la sphère privée. La loi garantit l’accès des victimes à des structures d’accueil, à des dispositifs de </w:t>
      </w:r>
      <w:r w:rsidRPr="003E2796">
        <w:t>prise</w:t>
      </w:r>
      <w:r w:rsidRPr="007045AF">
        <w:rPr>
          <w:i/>
          <w:iCs/>
          <w:lang w:val="fr-FR"/>
        </w:rPr>
        <w:t xml:space="preserve"> en charge, et à une assistance judiciaire » </w:t>
      </w:r>
      <w:r w:rsidRPr="007045AF">
        <w:rPr>
          <w:lang w:val="fr-FR"/>
        </w:rPr>
        <w:t>(art.40).</w:t>
      </w:r>
    </w:p>
    <w:p w14:paraId="3723EF39" w14:textId="77777777" w:rsidR="007045AF" w:rsidRPr="007045AF" w:rsidRDefault="007045AF" w:rsidP="006C48D2">
      <w:pPr>
        <w:pStyle w:val="SingleTxtG"/>
        <w:numPr>
          <w:ilvl w:val="0"/>
          <w:numId w:val="40"/>
        </w:numPr>
        <w:ind w:left="1134" w:firstLine="0"/>
        <w:rPr>
          <w:lang w:val="fr-FR"/>
        </w:rPr>
      </w:pPr>
      <w:r w:rsidRPr="007045AF">
        <w:rPr>
          <w:lang w:val="fr-FR"/>
        </w:rPr>
        <w:t xml:space="preserve">Outre la Constitution, le cadre législatif algérien se décline autour des principales lois ci-après, portant sur la promotion et la protection des droits de l’homme permettant à la femme d’être un acteur de </w:t>
      </w:r>
      <w:r w:rsidRPr="003E2796">
        <w:t>changement</w:t>
      </w:r>
      <w:r w:rsidRPr="007045AF">
        <w:rPr>
          <w:lang w:val="fr-FR"/>
        </w:rPr>
        <w:t xml:space="preserve"> dans la société grâce à une représentation institutionnelle, une autonomisation économique et une protection contre toute les formes de discrimination et de violences :</w:t>
      </w:r>
    </w:p>
    <w:p w14:paraId="789D3213" w14:textId="77777777" w:rsidR="007045AF" w:rsidRPr="007045AF" w:rsidRDefault="007045AF" w:rsidP="004340DE">
      <w:pPr>
        <w:pStyle w:val="Bullet1G"/>
        <w:rPr>
          <w:lang w:val="fr-FR"/>
        </w:rPr>
      </w:pPr>
      <w:r w:rsidRPr="007045AF">
        <w:rPr>
          <w:lang w:val="fr-FR"/>
        </w:rPr>
        <w:t>Ordonnance n°21-01 du 10 mars 2021, modifiée et complétée, portant loi organique relative au régime électoral ;</w:t>
      </w:r>
    </w:p>
    <w:p w14:paraId="4196F0F9" w14:textId="77777777" w:rsidR="007045AF" w:rsidRPr="007045AF" w:rsidRDefault="007045AF" w:rsidP="004340DE">
      <w:pPr>
        <w:pStyle w:val="Bullet1G"/>
        <w:rPr>
          <w:lang w:val="fr-FR"/>
        </w:rPr>
      </w:pPr>
      <w:r w:rsidRPr="007045AF">
        <w:rPr>
          <w:lang w:val="fr-FR"/>
        </w:rPr>
        <w:t>Loi organique n°26-08 du 23 avril 2026 relative aux partis politiques ;</w:t>
      </w:r>
    </w:p>
    <w:p w14:paraId="56A753DA" w14:textId="77777777" w:rsidR="007045AF" w:rsidRPr="007045AF" w:rsidRDefault="007045AF" w:rsidP="004340DE">
      <w:pPr>
        <w:pStyle w:val="Bullet1G"/>
        <w:rPr>
          <w:lang w:val="fr-FR"/>
        </w:rPr>
      </w:pPr>
      <w:r w:rsidRPr="007045AF">
        <w:rPr>
          <w:lang w:val="fr-FR"/>
        </w:rPr>
        <w:t>Loi n°66-156 du 08 juin 1966, modifiée et complétée, portant code pénal ;</w:t>
      </w:r>
    </w:p>
    <w:p w14:paraId="6C48B267" w14:textId="77777777" w:rsidR="007045AF" w:rsidRPr="007045AF" w:rsidRDefault="007045AF" w:rsidP="004340DE">
      <w:pPr>
        <w:pStyle w:val="Bullet1G"/>
        <w:rPr>
          <w:lang w:val="fr-FR"/>
        </w:rPr>
      </w:pPr>
      <w:r w:rsidRPr="007045AF">
        <w:rPr>
          <w:lang w:val="fr-FR"/>
        </w:rPr>
        <w:t>Ordonnance n°70-86 du 15 décembre 1970, modifiée et complétée, portant code de la nationalité ;</w:t>
      </w:r>
    </w:p>
    <w:p w14:paraId="3BF0FBF3" w14:textId="172AF509" w:rsidR="007045AF" w:rsidRPr="007045AF" w:rsidRDefault="007045AF" w:rsidP="004340DE">
      <w:pPr>
        <w:pStyle w:val="Bullet1G"/>
        <w:rPr>
          <w:lang w:val="fr-FR"/>
        </w:rPr>
      </w:pPr>
      <w:r w:rsidRPr="007045AF">
        <w:rPr>
          <w:lang w:val="fr-FR"/>
        </w:rPr>
        <w:t>Loi n°83-11 du 02 juillet 1983, modifiée et complétée, relative aux assurances sociales;</w:t>
      </w:r>
    </w:p>
    <w:p w14:paraId="26FE6DB9" w14:textId="77777777" w:rsidR="007045AF" w:rsidRPr="007045AF" w:rsidRDefault="007045AF" w:rsidP="004340DE">
      <w:pPr>
        <w:pStyle w:val="Bullet1G"/>
        <w:rPr>
          <w:lang w:val="fr-FR"/>
        </w:rPr>
      </w:pPr>
      <w:r w:rsidRPr="007045AF">
        <w:rPr>
          <w:lang w:val="fr-FR"/>
        </w:rPr>
        <w:t>Loi n°83-12 du 02 juillet 1983, modifiée et complétée, relative à la retraite ;</w:t>
      </w:r>
    </w:p>
    <w:p w14:paraId="09C420E3" w14:textId="77777777" w:rsidR="007045AF" w:rsidRPr="007045AF" w:rsidRDefault="007045AF" w:rsidP="004340DE">
      <w:pPr>
        <w:pStyle w:val="Bullet1G"/>
        <w:rPr>
          <w:lang w:val="fr-FR"/>
        </w:rPr>
      </w:pPr>
      <w:r w:rsidRPr="007045AF">
        <w:rPr>
          <w:lang w:val="fr-FR"/>
        </w:rPr>
        <w:t>Loi n°84-11 du 09 juin 1984, modifiée et complétée, portant code de la famille ;</w:t>
      </w:r>
    </w:p>
    <w:p w14:paraId="442E4D4D" w14:textId="4891A9C6" w:rsidR="007045AF" w:rsidRPr="007045AF" w:rsidRDefault="007045AF" w:rsidP="004340DE">
      <w:pPr>
        <w:pStyle w:val="Bullet1G"/>
        <w:rPr>
          <w:lang w:val="fr-FR"/>
        </w:rPr>
      </w:pPr>
      <w:r w:rsidRPr="007045AF">
        <w:rPr>
          <w:lang w:val="fr-FR"/>
        </w:rPr>
        <w:t>Loi n°90-11 du 21 avril 1990, modifiée et complétée, relative aux relations de travail;</w:t>
      </w:r>
    </w:p>
    <w:p w14:paraId="3F585C96" w14:textId="77777777" w:rsidR="007045AF" w:rsidRPr="007045AF" w:rsidRDefault="007045AF" w:rsidP="004340DE">
      <w:pPr>
        <w:pStyle w:val="Bullet1G"/>
        <w:rPr>
          <w:lang w:val="fr-FR"/>
        </w:rPr>
      </w:pPr>
      <w:r w:rsidRPr="007045AF">
        <w:rPr>
          <w:lang w:val="fr-FR"/>
        </w:rPr>
        <w:t>Loi n°12-06 du 12 janvier 2012 relative aux associations ;</w:t>
      </w:r>
    </w:p>
    <w:p w14:paraId="3BE4C99F" w14:textId="77777777" w:rsidR="007045AF" w:rsidRPr="007045AF" w:rsidRDefault="007045AF" w:rsidP="004340DE">
      <w:pPr>
        <w:pStyle w:val="Bullet1G"/>
        <w:rPr>
          <w:lang w:val="fr-FR"/>
        </w:rPr>
      </w:pPr>
      <w:r w:rsidRPr="007045AF">
        <w:rPr>
          <w:lang w:val="fr-FR"/>
        </w:rPr>
        <w:lastRenderedPageBreak/>
        <w:t>Loi n°15-12 du 15 juillet 2015 relative à la protection de l’enfant ;</w:t>
      </w:r>
    </w:p>
    <w:p w14:paraId="5317BE83" w14:textId="77777777" w:rsidR="007045AF" w:rsidRPr="007045AF" w:rsidRDefault="007045AF" w:rsidP="004340DE">
      <w:pPr>
        <w:pStyle w:val="Bullet1G"/>
        <w:rPr>
          <w:lang w:val="fr-FR"/>
        </w:rPr>
      </w:pPr>
      <w:r w:rsidRPr="007045AF">
        <w:rPr>
          <w:lang w:val="fr-FR"/>
        </w:rPr>
        <w:t>Loi n°18-11 du 02 juillet 2018 relative à la santé ;</w:t>
      </w:r>
    </w:p>
    <w:p w14:paraId="50F49B0E" w14:textId="77777777" w:rsidR="007045AF" w:rsidRPr="007045AF" w:rsidRDefault="007045AF" w:rsidP="004340DE">
      <w:pPr>
        <w:pStyle w:val="Bullet1G"/>
        <w:rPr>
          <w:lang w:val="fr-FR"/>
        </w:rPr>
      </w:pPr>
      <w:r w:rsidRPr="007045AF">
        <w:rPr>
          <w:lang w:val="fr-FR"/>
        </w:rPr>
        <w:t>Loi n°20-05 du 28 avril 2020, relative à la prévention et à la lutte contre la discrimination et le discours de haine ;</w:t>
      </w:r>
    </w:p>
    <w:p w14:paraId="52ED3E67" w14:textId="77777777" w:rsidR="007045AF" w:rsidRPr="007045AF" w:rsidRDefault="007045AF" w:rsidP="004340DE">
      <w:pPr>
        <w:pStyle w:val="Bullet1G"/>
        <w:rPr>
          <w:lang w:val="fr-FR"/>
        </w:rPr>
      </w:pPr>
      <w:r w:rsidRPr="007045AF">
        <w:rPr>
          <w:lang w:val="fr-FR"/>
        </w:rPr>
        <w:t>Loi n°23-04 du 07 mai 2023 relative à la prévention et à la lutte contre la traite des personnes ;</w:t>
      </w:r>
    </w:p>
    <w:p w14:paraId="727FD8D8" w14:textId="77777777" w:rsidR="007045AF" w:rsidRPr="007045AF" w:rsidRDefault="007045AF" w:rsidP="004340DE">
      <w:pPr>
        <w:pStyle w:val="Bullet1G"/>
        <w:rPr>
          <w:lang w:val="fr-FR"/>
        </w:rPr>
      </w:pPr>
      <w:r w:rsidRPr="007045AF">
        <w:rPr>
          <w:lang w:val="fr-FR"/>
        </w:rPr>
        <w:t>Loi n°24-01 du 11 février 2024 portant mesures particulières pour l’obtention de la pension alimentaire ;</w:t>
      </w:r>
    </w:p>
    <w:p w14:paraId="2DAED819" w14:textId="77777777" w:rsidR="007045AF" w:rsidRPr="007045AF" w:rsidRDefault="007045AF" w:rsidP="004340DE">
      <w:pPr>
        <w:pStyle w:val="Bullet1G"/>
        <w:rPr>
          <w:lang w:val="fr-FR"/>
        </w:rPr>
      </w:pPr>
      <w:r w:rsidRPr="007045AF">
        <w:rPr>
          <w:lang w:val="fr-FR"/>
        </w:rPr>
        <w:t>Loi n°25-01 du 20 février 2025 relative à la protection et à la promotion des personnes ayant des besoins spécifiques ;</w:t>
      </w:r>
    </w:p>
    <w:p w14:paraId="27A4F3DA" w14:textId="77777777" w:rsidR="007045AF" w:rsidRPr="007045AF" w:rsidRDefault="007045AF" w:rsidP="004340DE">
      <w:pPr>
        <w:pStyle w:val="Bullet1G"/>
        <w:rPr>
          <w:lang w:val="fr-FR"/>
        </w:rPr>
      </w:pPr>
      <w:r w:rsidRPr="007045AF">
        <w:rPr>
          <w:lang w:val="fr-FR"/>
        </w:rPr>
        <w:t>Loi n°26-03 du 23 mars 2026 portant statut de la magistrature.</w:t>
      </w:r>
    </w:p>
    <w:p w14:paraId="6D489497" w14:textId="7E2C4779" w:rsidR="007045AF" w:rsidRPr="007045AF" w:rsidRDefault="00377C7D" w:rsidP="00377C7D">
      <w:pPr>
        <w:pStyle w:val="H23G"/>
      </w:pPr>
      <w:r>
        <w:tab/>
      </w:r>
      <w:r>
        <w:tab/>
      </w:r>
      <w:r w:rsidR="007045AF" w:rsidRPr="007045AF">
        <w:t>Mécanismes nationaux de promotion de la condition de la femme</w:t>
      </w:r>
    </w:p>
    <w:p w14:paraId="0FA28826" w14:textId="61F9F489" w:rsidR="007045AF" w:rsidRPr="007045AF" w:rsidRDefault="00CB58D9" w:rsidP="00CB58D9">
      <w:pPr>
        <w:pStyle w:val="H23G"/>
        <w:rPr>
          <w:lang w:val="fr-FR"/>
        </w:rPr>
      </w:pPr>
      <w:r>
        <w:rPr>
          <w:lang w:val="fr-FR"/>
        </w:rPr>
        <w:tab/>
      </w:r>
      <w:r>
        <w:rPr>
          <w:lang w:val="fr-FR"/>
        </w:rPr>
        <w:tab/>
      </w:r>
      <w:r w:rsidR="007045AF" w:rsidRPr="007045AF">
        <w:rPr>
          <w:lang w:val="fr-FR"/>
        </w:rPr>
        <w:t>La Cour Constitutionnelle</w:t>
      </w:r>
    </w:p>
    <w:p w14:paraId="696CED74" w14:textId="77777777" w:rsidR="007045AF" w:rsidRPr="007045AF" w:rsidRDefault="007045AF" w:rsidP="006C48D2">
      <w:pPr>
        <w:pStyle w:val="SingleTxtG"/>
        <w:numPr>
          <w:ilvl w:val="0"/>
          <w:numId w:val="40"/>
        </w:numPr>
        <w:ind w:left="1134" w:firstLine="0"/>
        <w:rPr>
          <w:lang w:val="fr-FR"/>
        </w:rPr>
      </w:pPr>
      <w:r w:rsidRPr="007045AF">
        <w:rPr>
          <w:lang w:val="fr-FR"/>
        </w:rPr>
        <w:t>La Cour Constitutionnelle (art.185) est une institution indépendante chargée d’assurer le respect de la Constitution. Elle est l’organe régulateur du fonctionnement des Institutions et de l’activité des pouvoirs publics. Installée en novembre 2021 en remplacement du Conseil Constitutionnel, elle est présidée par une femme, depuis 2025.</w:t>
      </w:r>
    </w:p>
    <w:p w14:paraId="7B685990" w14:textId="77777777" w:rsidR="007045AF" w:rsidRPr="007045AF" w:rsidRDefault="007045AF" w:rsidP="006C48D2">
      <w:pPr>
        <w:pStyle w:val="SingleTxtG"/>
        <w:numPr>
          <w:ilvl w:val="0"/>
          <w:numId w:val="40"/>
        </w:numPr>
        <w:ind w:left="1134" w:firstLine="0"/>
        <w:rPr>
          <w:lang w:val="fr-FR"/>
        </w:rPr>
      </w:pPr>
      <w:r w:rsidRPr="007045AF">
        <w:rPr>
          <w:lang w:val="fr-FR"/>
        </w:rPr>
        <w:t xml:space="preserve">Elle peut être saisie, d’une part, sur la constitutionnalité des traités avant leur ratification et sur les lois avant leur promulgation (art.190), et d’autre part, d’une exception d’inconstitutionnalité sur renvoi de la Cour suprême et du Conseil d’Etat, lorsque l’une des parties au procès soutient devant une </w:t>
      </w:r>
      <w:r w:rsidRPr="003E2796">
        <w:t>juridiction</w:t>
      </w:r>
      <w:r w:rsidRPr="007045AF">
        <w:rPr>
          <w:lang w:val="fr-FR"/>
        </w:rPr>
        <w:t xml:space="preserve"> que la disposition législative ou réglementaire dont dépend l’issue du litige porte atteinte à ses droits et libertés tels que garantis par la Constitution (art.195). </w:t>
      </w:r>
    </w:p>
    <w:p w14:paraId="6AD8C653" w14:textId="77777777" w:rsidR="007045AF" w:rsidRPr="007045AF" w:rsidRDefault="007045AF" w:rsidP="006C48D2">
      <w:pPr>
        <w:pStyle w:val="SingleTxtG"/>
        <w:numPr>
          <w:ilvl w:val="0"/>
          <w:numId w:val="40"/>
        </w:numPr>
        <w:ind w:left="1134" w:firstLine="0"/>
        <w:rPr>
          <w:lang w:val="fr-FR"/>
        </w:rPr>
      </w:pPr>
      <w:r w:rsidRPr="007045AF">
        <w:rPr>
          <w:lang w:val="fr-FR"/>
        </w:rPr>
        <w:t xml:space="preserve">Ces prérogatives lui confèrent un rôle de garant des droits et libertés consacrés dans les traités ratifiés par </w:t>
      </w:r>
      <w:r w:rsidRPr="003E2796">
        <w:t>l’Algérie</w:t>
      </w:r>
      <w:r w:rsidRPr="007045AF">
        <w:rPr>
          <w:lang w:val="fr-FR"/>
        </w:rPr>
        <w:t xml:space="preserve"> notamment ceux énoncés dans la CEDAW. </w:t>
      </w:r>
    </w:p>
    <w:p w14:paraId="622B9CDF" w14:textId="566128BE" w:rsidR="007045AF" w:rsidRPr="007045AF" w:rsidRDefault="00CB58D9" w:rsidP="00CB58D9">
      <w:pPr>
        <w:pStyle w:val="H23G"/>
        <w:rPr>
          <w:lang w:val="fr-FR"/>
        </w:rPr>
      </w:pPr>
      <w:r>
        <w:rPr>
          <w:lang w:val="fr-FR"/>
        </w:rPr>
        <w:tab/>
      </w:r>
      <w:r>
        <w:rPr>
          <w:lang w:val="fr-FR"/>
        </w:rPr>
        <w:tab/>
      </w:r>
      <w:r w:rsidR="007045AF" w:rsidRPr="007045AF">
        <w:rPr>
          <w:lang w:val="fr-FR"/>
        </w:rPr>
        <w:t>Le Conseil National des Droits de l’Homme (CNDH) </w:t>
      </w:r>
    </w:p>
    <w:p w14:paraId="08999207" w14:textId="77777777" w:rsidR="007045AF" w:rsidRPr="007045AF" w:rsidRDefault="007045AF" w:rsidP="006C48D2">
      <w:pPr>
        <w:pStyle w:val="SingleTxtG"/>
        <w:numPr>
          <w:ilvl w:val="0"/>
          <w:numId w:val="40"/>
        </w:numPr>
        <w:ind w:left="1134" w:firstLine="0"/>
        <w:rPr>
          <w:lang w:val="fr-FR"/>
        </w:rPr>
      </w:pPr>
      <w:r w:rsidRPr="007045AF">
        <w:rPr>
          <w:lang w:val="fr-FR"/>
        </w:rPr>
        <w:t xml:space="preserve">Le CNDH est une institution constitutionnelle consultative placée auprès de Monsieur le Président de la République, jouissant de l’autonomie administrative et financière. Il assure une mission de surveillance, d’alerte précoce et d’évaluation en matière de respect des droits humains et œuvre à leur promotion </w:t>
      </w:r>
      <w:r w:rsidRPr="003E2796">
        <w:t>et</w:t>
      </w:r>
      <w:r w:rsidRPr="007045AF">
        <w:rPr>
          <w:lang w:val="fr-FR"/>
        </w:rPr>
        <w:t xml:space="preserve"> protection.</w:t>
      </w:r>
    </w:p>
    <w:p w14:paraId="098DCC1F" w14:textId="77777777" w:rsidR="007045AF" w:rsidRPr="007045AF" w:rsidRDefault="007045AF" w:rsidP="006C48D2">
      <w:pPr>
        <w:pStyle w:val="SingleTxtG"/>
        <w:numPr>
          <w:ilvl w:val="0"/>
          <w:numId w:val="40"/>
        </w:numPr>
        <w:ind w:left="1134" w:firstLine="0"/>
        <w:rPr>
          <w:lang w:val="fr-FR"/>
        </w:rPr>
      </w:pPr>
      <w:r w:rsidRPr="007045AF">
        <w:rPr>
          <w:lang w:val="fr-FR"/>
        </w:rPr>
        <w:t xml:space="preserve">Le CNDH est le successeur de la Commission Nationale de Promotion et de Protection des droits de l’Homme. Il a été </w:t>
      </w:r>
      <w:r w:rsidRPr="003E2796">
        <w:t>constitutionnalisé</w:t>
      </w:r>
      <w:r w:rsidRPr="007045AF">
        <w:rPr>
          <w:lang w:val="fr-FR"/>
        </w:rPr>
        <w:t xml:space="preserve"> depuis 2016</w:t>
      </w:r>
      <w:r w:rsidRPr="007045AF">
        <w:rPr>
          <w:vertAlign w:val="superscript"/>
          <w:lang w:val="fr-FR"/>
        </w:rPr>
        <w:footnoteReference w:id="6"/>
      </w:r>
      <w:r w:rsidRPr="007045AF">
        <w:rPr>
          <w:lang w:val="fr-FR"/>
        </w:rPr>
        <w:t>.</w:t>
      </w:r>
    </w:p>
    <w:p w14:paraId="66B0F141" w14:textId="77777777" w:rsidR="007045AF" w:rsidRPr="007045AF" w:rsidRDefault="007045AF" w:rsidP="006C48D2">
      <w:pPr>
        <w:pStyle w:val="SingleTxtG"/>
        <w:numPr>
          <w:ilvl w:val="0"/>
          <w:numId w:val="40"/>
        </w:numPr>
        <w:ind w:left="1134" w:firstLine="0"/>
        <w:rPr>
          <w:lang w:val="fr-FR"/>
        </w:rPr>
      </w:pPr>
      <w:r w:rsidRPr="007045AF">
        <w:rPr>
          <w:lang w:val="fr-FR"/>
        </w:rPr>
        <w:t>Présidé par une femme, le CNDH est composé de 38 membres à parité parfaite</w:t>
      </w:r>
      <w:r w:rsidRPr="007045AF">
        <w:rPr>
          <w:vertAlign w:val="superscript"/>
          <w:lang w:val="fr-FR"/>
        </w:rPr>
        <w:footnoteReference w:id="7"/>
      </w:r>
      <w:r w:rsidRPr="007045AF">
        <w:rPr>
          <w:lang w:val="fr-FR"/>
        </w:rPr>
        <w:t xml:space="preserve">, choisis sur le principe du </w:t>
      </w:r>
      <w:r w:rsidRPr="003E2796">
        <w:t>pluralisme</w:t>
      </w:r>
      <w:r w:rsidRPr="007045AF">
        <w:rPr>
          <w:lang w:val="fr-FR"/>
        </w:rPr>
        <w:t xml:space="preserve"> sociologique et institutionnel et la représentation de la femme. Il dispose d’une commission permanente chargée des questions relatives aux droits des femmes. </w:t>
      </w:r>
    </w:p>
    <w:p w14:paraId="60E48D4D" w14:textId="77777777" w:rsidR="007045AF" w:rsidRPr="00EF3FF8" w:rsidRDefault="007045AF" w:rsidP="006C48D2">
      <w:pPr>
        <w:pStyle w:val="SingleTxtG"/>
        <w:numPr>
          <w:ilvl w:val="0"/>
          <w:numId w:val="40"/>
        </w:numPr>
        <w:ind w:left="1134" w:firstLine="0"/>
        <w:rPr>
          <w:lang w:val="fr-FR"/>
        </w:rPr>
      </w:pPr>
      <w:r w:rsidRPr="007045AF">
        <w:rPr>
          <w:lang w:val="fr-FR"/>
        </w:rPr>
        <w:t>Dans le cadre de la mise en œuvre de son mandat, le CNDH a effectué entre 2020 et 2025</w:t>
      </w:r>
      <w:r w:rsidRPr="00EF3FF8">
        <w:rPr>
          <w:lang w:val="fr-FR"/>
        </w:rPr>
        <w:t xml:space="preserve">, 40 visites inopinées dans des établissements pénitentiaires, des lieux de garde à vue, des centres pour femmes victimes de violence, des centres d'enfance assistée, des foyers pour personnes âgées, et des structures </w:t>
      </w:r>
      <w:r w:rsidRPr="00EF3FF8">
        <w:t>de</w:t>
      </w:r>
      <w:r w:rsidRPr="00EF3FF8">
        <w:rPr>
          <w:lang w:val="fr-FR"/>
        </w:rPr>
        <w:t xml:space="preserve"> santé spécialisées. Ces visites ont permis l’établissement de recommandations visant à améliorer la prise en charge des femmes en situation de vulnérabilité.</w:t>
      </w:r>
    </w:p>
    <w:p w14:paraId="1414CB70" w14:textId="77777777" w:rsidR="007045AF" w:rsidRPr="00EF3FF8" w:rsidRDefault="007045AF" w:rsidP="006C48D2">
      <w:pPr>
        <w:pStyle w:val="SingleTxtG"/>
        <w:numPr>
          <w:ilvl w:val="0"/>
          <w:numId w:val="40"/>
        </w:numPr>
        <w:ind w:left="1134" w:firstLine="0"/>
        <w:rPr>
          <w:lang w:val="fr-FR"/>
        </w:rPr>
      </w:pPr>
      <w:r w:rsidRPr="00EF3FF8">
        <w:rPr>
          <w:lang w:val="fr-FR"/>
        </w:rPr>
        <w:t xml:space="preserve">Le CNDH a traité, entre 2020 et 2025, un total de 898 requêtes relatives aux femmes et aux filles, portant, entre autres, sur le logement décent, le travail et la santé. Une attention particulière a été accordée aux femmes handicapées et âgées. </w:t>
      </w:r>
    </w:p>
    <w:p w14:paraId="67527837" w14:textId="40CEBE23" w:rsidR="007045AF" w:rsidRPr="007045AF" w:rsidRDefault="00070200" w:rsidP="00070200">
      <w:pPr>
        <w:pStyle w:val="H23G"/>
        <w:rPr>
          <w:lang w:val="fr-FR"/>
        </w:rPr>
      </w:pPr>
      <w:r>
        <w:rPr>
          <w:lang w:val="fr-FR"/>
        </w:rPr>
        <w:lastRenderedPageBreak/>
        <w:tab/>
      </w:r>
      <w:r>
        <w:rPr>
          <w:lang w:val="fr-FR"/>
        </w:rPr>
        <w:tab/>
      </w:r>
      <w:r w:rsidR="007045AF" w:rsidRPr="007045AF">
        <w:rPr>
          <w:lang w:val="fr-FR"/>
        </w:rPr>
        <w:t>Le Conseil Supérieur de la Jeunesse (CSJ) </w:t>
      </w:r>
    </w:p>
    <w:p w14:paraId="1EB75008" w14:textId="77777777" w:rsidR="007045AF" w:rsidRPr="007045AF" w:rsidRDefault="007045AF" w:rsidP="006C48D2">
      <w:pPr>
        <w:pStyle w:val="SingleTxtG"/>
        <w:numPr>
          <w:ilvl w:val="0"/>
          <w:numId w:val="40"/>
        </w:numPr>
        <w:ind w:left="1134" w:firstLine="0"/>
        <w:rPr>
          <w:lang w:val="fr-FR"/>
        </w:rPr>
      </w:pPr>
      <w:r w:rsidRPr="007045AF">
        <w:rPr>
          <w:lang w:val="fr-FR"/>
        </w:rPr>
        <w:t xml:space="preserve">Le CSJ est un organe constitutionnel (art.214) et consultatif placé auprès de Monsieur le Président de la République, </w:t>
      </w:r>
      <w:r w:rsidRPr="003E2796">
        <w:t>doté</w:t>
      </w:r>
      <w:r w:rsidRPr="007045AF">
        <w:rPr>
          <w:lang w:val="fr-FR"/>
        </w:rPr>
        <w:t xml:space="preserve"> de la personnalité morale et de l’autonomie financière. Il se compose de 348 membres élus, représentant la jeunesse, dans le respect du principe de la parité</w:t>
      </w:r>
      <w:r w:rsidRPr="007045AF">
        <w:rPr>
          <w:vertAlign w:val="superscript"/>
          <w:lang w:val="fr-FR"/>
        </w:rPr>
        <w:footnoteReference w:id="8"/>
      </w:r>
      <w:r w:rsidRPr="007045AF">
        <w:rPr>
          <w:lang w:val="fr-FR"/>
        </w:rPr>
        <w:t>.</w:t>
      </w:r>
    </w:p>
    <w:p w14:paraId="7985FFD2" w14:textId="77777777" w:rsidR="007045AF" w:rsidRPr="007045AF" w:rsidRDefault="007045AF" w:rsidP="006C48D2">
      <w:pPr>
        <w:pStyle w:val="SingleTxtG"/>
        <w:numPr>
          <w:ilvl w:val="0"/>
          <w:numId w:val="40"/>
        </w:numPr>
        <w:ind w:left="1134" w:firstLine="0"/>
        <w:rPr>
          <w:lang w:val="fr-FR"/>
        </w:rPr>
      </w:pPr>
      <w:r w:rsidRPr="007045AF">
        <w:rPr>
          <w:lang w:val="fr-FR"/>
        </w:rPr>
        <w:t xml:space="preserve">Le CSJ contribue à la promotion, au sein de la jeunesse, de l’esprit civique, des valeurs d’égalité citoyenne, y </w:t>
      </w:r>
      <w:r w:rsidRPr="003E2796">
        <w:t>compris</w:t>
      </w:r>
      <w:r w:rsidRPr="007045AF">
        <w:rPr>
          <w:lang w:val="fr-FR"/>
        </w:rPr>
        <w:t xml:space="preserve"> l’égalité entre les hommes et les femmes, ainsi que la solidarité sociale.</w:t>
      </w:r>
    </w:p>
    <w:p w14:paraId="2AAF780B" w14:textId="0D4D0ECC" w:rsidR="007045AF" w:rsidRPr="007045AF" w:rsidRDefault="00070200" w:rsidP="00070200">
      <w:pPr>
        <w:pStyle w:val="H23G"/>
        <w:rPr>
          <w:lang w:val="fr-FR"/>
        </w:rPr>
      </w:pPr>
      <w:r>
        <w:rPr>
          <w:lang w:val="fr-FR"/>
        </w:rPr>
        <w:tab/>
      </w:r>
      <w:r>
        <w:rPr>
          <w:lang w:val="fr-FR"/>
        </w:rPr>
        <w:tab/>
      </w:r>
      <w:r w:rsidR="007045AF" w:rsidRPr="007045AF">
        <w:rPr>
          <w:lang w:val="fr-FR"/>
        </w:rPr>
        <w:t>L’Observatoire National de la Société Civile (ONSC) </w:t>
      </w:r>
    </w:p>
    <w:p w14:paraId="611F5EFE" w14:textId="77777777" w:rsidR="007045AF" w:rsidRPr="007045AF" w:rsidRDefault="007045AF" w:rsidP="006C48D2">
      <w:pPr>
        <w:pStyle w:val="SingleTxtG"/>
        <w:numPr>
          <w:ilvl w:val="0"/>
          <w:numId w:val="40"/>
        </w:numPr>
        <w:ind w:left="1134" w:firstLine="0"/>
        <w:rPr>
          <w:lang w:val="fr-FR"/>
        </w:rPr>
      </w:pPr>
      <w:r w:rsidRPr="007045AF">
        <w:rPr>
          <w:lang w:val="fr-FR"/>
        </w:rPr>
        <w:t>L’ONSC</w:t>
      </w:r>
      <w:r w:rsidRPr="007045AF">
        <w:rPr>
          <w:vertAlign w:val="superscript"/>
          <w:lang w:val="fr-FR"/>
        </w:rPr>
        <w:footnoteReference w:id="9"/>
      </w:r>
      <w:r w:rsidRPr="007045AF">
        <w:rPr>
          <w:lang w:val="fr-FR"/>
        </w:rPr>
        <w:t xml:space="preserve"> est un organe consultatif placé auprès de Monsieur le Président de la République. Il a été créé suite aux réformes entreprises par les Hautes Autorités de l’État, en réponse aux aspirations de la Population en matière de libertés et de participation du citoyen dans la gestion des affaires publiques, </w:t>
      </w:r>
      <w:r w:rsidRPr="003E2796">
        <w:t>traduites</w:t>
      </w:r>
      <w:r w:rsidRPr="007045AF">
        <w:rPr>
          <w:lang w:val="fr-FR"/>
        </w:rPr>
        <w:t xml:space="preserve"> à travers la Constitution (art.213).</w:t>
      </w:r>
    </w:p>
    <w:p w14:paraId="199D5FD4" w14:textId="77777777" w:rsidR="007045AF" w:rsidRPr="007045AF" w:rsidRDefault="007045AF" w:rsidP="006C48D2">
      <w:pPr>
        <w:pStyle w:val="SingleTxtG"/>
        <w:numPr>
          <w:ilvl w:val="0"/>
          <w:numId w:val="40"/>
        </w:numPr>
        <w:ind w:left="1134" w:firstLine="0"/>
        <w:rPr>
          <w:lang w:val="fr-FR"/>
        </w:rPr>
      </w:pPr>
      <w:r w:rsidRPr="007045AF">
        <w:rPr>
          <w:lang w:val="fr-FR"/>
        </w:rPr>
        <w:t xml:space="preserve">Composé de 86 membres en parité parfaite entre hommes et femmes et présidé par une femme, il veille à promouvoir et à aider la société civile, en garantissant une représentation équilibrée des femmes et en </w:t>
      </w:r>
      <w:r w:rsidRPr="003E2796">
        <w:t>renforçant</w:t>
      </w:r>
      <w:r w:rsidRPr="007045AF">
        <w:rPr>
          <w:lang w:val="fr-FR"/>
        </w:rPr>
        <w:t xml:space="preserve"> leur participation à la vie publique.</w:t>
      </w:r>
    </w:p>
    <w:p w14:paraId="41371D88" w14:textId="22E3A533" w:rsidR="007045AF" w:rsidRPr="007045AF" w:rsidRDefault="00070200" w:rsidP="00070200">
      <w:pPr>
        <w:pStyle w:val="H23G"/>
        <w:rPr>
          <w:lang w:val="fr-FR"/>
        </w:rPr>
      </w:pPr>
      <w:r>
        <w:rPr>
          <w:lang w:val="fr-FR"/>
        </w:rPr>
        <w:tab/>
      </w:r>
      <w:r>
        <w:rPr>
          <w:lang w:val="fr-FR"/>
        </w:rPr>
        <w:tab/>
      </w:r>
      <w:r w:rsidR="007045AF" w:rsidRPr="007045AF">
        <w:rPr>
          <w:lang w:val="fr-FR"/>
        </w:rPr>
        <w:t>Le Conseil National de la Famille et de la Femme</w:t>
      </w:r>
    </w:p>
    <w:p w14:paraId="6C0F7CC4" w14:textId="77777777" w:rsidR="007045AF" w:rsidRPr="007045AF" w:rsidRDefault="007045AF" w:rsidP="006C48D2">
      <w:pPr>
        <w:pStyle w:val="SingleTxtG"/>
        <w:numPr>
          <w:ilvl w:val="0"/>
          <w:numId w:val="40"/>
        </w:numPr>
        <w:ind w:left="1134" w:firstLine="0"/>
        <w:rPr>
          <w:lang w:val="fr-FR"/>
        </w:rPr>
      </w:pPr>
      <w:r w:rsidRPr="007045AF">
        <w:rPr>
          <w:lang w:val="fr-FR"/>
        </w:rPr>
        <w:t>Ce Conseil</w:t>
      </w:r>
      <w:r w:rsidRPr="007045AF">
        <w:rPr>
          <w:vertAlign w:val="superscript"/>
          <w:lang w:val="fr-FR"/>
        </w:rPr>
        <w:footnoteReference w:id="10"/>
      </w:r>
      <w:r w:rsidRPr="007045AF">
        <w:rPr>
          <w:lang w:val="fr-FR"/>
        </w:rPr>
        <w:t>placé auprès du Ministère de la Solidarité Nationale, est un organe consultatif, chargé de promouvoir des politiques favorisant la participation des femmes au marché du travail et à la vie politique, de garantir leurs droits et d’aligner les actions nationales sur les objectifs du développement durable.</w:t>
      </w:r>
    </w:p>
    <w:p w14:paraId="0969FEEB" w14:textId="257C6459" w:rsidR="007045AF" w:rsidRPr="007045AF" w:rsidRDefault="00D76551" w:rsidP="00D76551">
      <w:pPr>
        <w:pStyle w:val="H23G"/>
        <w:rPr>
          <w:lang w:val="fr-FR"/>
        </w:rPr>
      </w:pPr>
      <w:r>
        <w:rPr>
          <w:lang w:val="fr-FR"/>
        </w:rPr>
        <w:tab/>
      </w:r>
      <w:r>
        <w:rPr>
          <w:lang w:val="fr-FR"/>
        </w:rPr>
        <w:tab/>
      </w:r>
      <w:r w:rsidR="007045AF" w:rsidRPr="007045AF">
        <w:rPr>
          <w:lang w:val="fr-FR"/>
        </w:rPr>
        <w:t>L’Organe National de la Protection et de la Promotion de l’Enfance (ONPPE)</w:t>
      </w:r>
    </w:p>
    <w:p w14:paraId="3F18661E" w14:textId="77777777" w:rsidR="007045AF" w:rsidRPr="00EF3FF8" w:rsidRDefault="007045AF" w:rsidP="006C48D2">
      <w:pPr>
        <w:pStyle w:val="SingleTxtG"/>
        <w:numPr>
          <w:ilvl w:val="0"/>
          <w:numId w:val="40"/>
        </w:numPr>
        <w:ind w:left="1134" w:firstLine="0"/>
        <w:rPr>
          <w:lang w:val="fr-FR"/>
        </w:rPr>
      </w:pPr>
      <w:r w:rsidRPr="00EF3FF8">
        <w:rPr>
          <w:lang w:val="fr-FR"/>
        </w:rPr>
        <w:t>Créé en 2015 et placé auprès de Monsieur le Premier Ministre, l’ONPPE</w:t>
      </w:r>
      <w:r w:rsidRPr="00EF3FF8">
        <w:rPr>
          <w:vertAlign w:val="superscript"/>
          <w:lang w:val="fr-FR"/>
        </w:rPr>
        <w:footnoteReference w:id="11"/>
      </w:r>
      <w:r w:rsidRPr="00EF3FF8">
        <w:rPr>
          <w:lang w:val="fr-FR"/>
        </w:rPr>
        <w:t xml:space="preserve"> est dirigé par une femme. Il est chargé de la protection et de la promotion des droits de l’enfant à travers plusieurs mécanismes d’alerte destinés à recueillir les signalements d’atteintes aux droits des enfants, les demandes de soutien psychologique et de conseil juridique. </w:t>
      </w:r>
    </w:p>
    <w:p w14:paraId="2910A873" w14:textId="77777777" w:rsidR="007045AF" w:rsidRPr="00EF3FF8" w:rsidRDefault="007045AF" w:rsidP="006C48D2">
      <w:pPr>
        <w:pStyle w:val="SingleTxtG"/>
        <w:numPr>
          <w:ilvl w:val="0"/>
          <w:numId w:val="40"/>
        </w:numPr>
        <w:ind w:left="1134" w:firstLine="0"/>
        <w:rPr>
          <w:lang w:val="fr-FR"/>
        </w:rPr>
      </w:pPr>
      <w:r w:rsidRPr="00EF3FF8">
        <w:rPr>
          <w:lang w:val="fr-FR"/>
        </w:rPr>
        <w:t xml:space="preserve">Sur le plan </w:t>
      </w:r>
      <w:bookmarkStart w:id="0" w:name="_Hlk227056427"/>
      <w:r w:rsidRPr="00EF3FF8">
        <w:t>statistique</w:t>
      </w:r>
      <w:bookmarkEnd w:id="0"/>
      <w:r w:rsidRPr="00EF3FF8">
        <w:rPr>
          <w:lang w:val="fr-FR"/>
        </w:rPr>
        <w:t>, 2177 cas d’enfants en danger ont été enregistrés en 2025. La proportion de filles oscille entre 43 et 44%.</w:t>
      </w:r>
    </w:p>
    <w:p w14:paraId="4A9A529E" w14:textId="710E2012" w:rsidR="007045AF" w:rsidRPr="007045AF" w:rsidRDefault="00FF7C34" w:rsidP="00FF7C34">
      <w:pPr>
        <w:pStyle w:val="H23G"/>
        <w:rPr>
          <w:lang w:val="fr-FR"/>
        </w:rPr>
      </w:pPr>
      <w:r>
        <w:rPr>
          <w:lang w:val="fr-FR"/>
        </w:rPr>
        <w:tab/>
      </w:r>
      <w:r>
        <w:rPr>
          <w:lang w:val="fr-FR"/>
        </w:rPr>
        <w:tab/>
      </w:r>
      <w:r w:rsidR="007045AF" w:rsidRPr="007045AF">
        <w:rPr>
          <w:lang w:val="fr-FR"/>
        </w:rPr>
        <w:t>Plans d’action et stratégies nationales relatives à la protection et à la promotion des droits de la femme</w:t>
      </w:r>
    </w:p>
    <w:p w14:paraId="15020CD9" w14:textId="77777777" w:rsidR="007045AF" w:rsidRPr="007045AF" w:rsidRDefault="007045AF" w:rsidP="006C48D2">
      <w:pPr>
        <w:pStyle w:val="SingleTxtG"/>
        <w:numPr>
          <w:ilvl w:val="0"/>
          <w:numId w:val="40"/>
        </w:numPr>
        <w:ind w:left="1134" w:firstLine="0"/>
        <w:rPr>
          <w:lang w:val="fr-FR"/>
        </w:rPr>
      </w:pPr>
      <w:r w:rsidRPr="007045AF">
        <w:rPr>
          <w:lang w:val="fr-FR"/>
        </w:rPr>
        <w:t>De nombreux plans d’action nationaux ont été adoptés pour concrétiser les principes énoncés dans la Constitution et les textes de loi relatifs à la protection et à la promotion des droits de la femme, notamment :</w:t>
      </w:r>
    </w:p>
    <w:p w14:paraId="2A7ABC43" w14:textId="09F6BE08" w:rsidR="007045AF" w:rsidRPr="007045AF" w:rsidRDefault="00FF7C34" w:rsidP="00FF7C34">
      <w:pPr>
        <w:pStyle w:val="H23G"/>
        <w:rPr>
          <w:lang w:val="fr-FR"/>
        </w:rPr>
      </w:pPr>
      <w:r>
        <w:rPr>
          <w:lang w:val="fr-FR"/>
        </w:rPr>
        <w:tab/>
      </w:r>
      <w:r>
        <w:rPr>
          <w:lang w:val="fr-FR"/>
        </w:rPr>
        <w:tab/>
      </w:r>
      <w:r w:rsidR="007045AF" w:rsidRPr="007045AF">
        <w:rPr>
          <w:lang w:val="fr-FR"/>
        </w:rPr>
        <w:t>Plan d’action national pour la mise en œuvre de la résolution 1325 du Conseil de Sécurité des Nations Unies « Femme, Paix et Sécurité »</w:t>
      </w:r>
    </w:p>
    <w:p w14:paraId="138E6493" w14:textId="77777777" w:rsidR="007045AF" w:rsidRPr="007045AF" w:rsidRDefault="007045AF" w:rsidP="006C48D2">
      <w:pPr>
        <w:pStyle w:val="SingleTxtG"/>
        <w:numPr>
          <w:ilvl w:val="0"/>
          <w:numId w:val="40"/>
        </w:numPr>
        <w:ind w:left="1134" w:firstLine="0"/>
        <w:rPr>
          <w:lang w:val="fr-FR"/>
        </w:rPr>
      </w:pPr>
      <w:r w:rsidRPr="007045AF">
        <w:rPr>
          <w:lang w:val="fr-FR"/>
        </w:rPr>
        <w:t xml:space="preserve">En sa qualité de membre non permanent du Conseil de Sécurité de l’ONU, au titre du mandat 2024-2025, l’Algérie a fait de la mise en œuvre des objectifs de la résolution 1325 du Conseil de Sécurité une priorité. Celle-ci accorde une importance particulière au rôle des femmes dans la paix et la </w:t>
      </w:r>
      <w:r w:rsidRPr="003E2796">
        <w:t>sécurité</w:t>
      </w:r>
      <w:r w:rsidRPr="007045AF">
        <w:rPr>
          <w:lang w:val="fr-FR"/>
        </w:rPr>
        <w:t>, en soutenant leur participation aux négociations, aux opérations de paix et à la reconstruction des sociétés post-conflits</w:t>
      </w:r>
      <w:r w:rsidRPr="007045AF">
        <w:rPr>
          <w:rtl/>
        </w:rPr>
        <w:t>.</w:t>
      </w:r>
    </w:p>
    <w:p w14:paraId="37D17F57" w14:textId="77777777" w:rsidR="007045AF" w:rsidRPr="007045AF" w:rsidRDefault="007045AF" w:rsidP="006C48D2">
      <w:pPr>
        <w:pStyle w:val="SingleTxtG"/>
        <w:numPr>
          <w:ilvl w:val="0"/>
          <w:numId w:val="40"/>
        </w:numPr>
        <w:ind w:left="1134" w:firstLine="0"/>
        <w:rPr>
          <w:lang w:val="fr-FR"/>
        </w:rPr>
      </w:pPr>
      <w:r w:rsidRPr="007045AF">
        <w:rPr>
          <w:lang w:val="fr-FR"/>
        </w:rPr>
        <w:t xml:space="preserve">Dans cette perspective, l’Algérie a adopté en 2023, un plan d’action national sur la thématique « Femmes, Paix et Sécurité ». Son élaboration s’inscrit dans le cadre d'une stratégie proactive et préventive visant à améliorer la condition des femmes dans la société </w:t>
      </w:r>
      <w:r w:rsidRPr="007045AF">
        <w:rPr>
          <w:lang w:val="fr-FR"/>
        </w:rPr>
        <w:lastRenderedPageBreak/>
        <w:t>et à assurer leur participation effective et active dans tous les domaines. Elle vise, également, à assurer leur protection contre toute forme de violence et de discrimination.</w:t>
      </w:r>
    </w:p>
    <w:p w14:paraId="35929EE7" w14:textId="77777777" w:rsidR="007045AF" w:rsidRPr="007045AF" w:rsidRDefault="007045AF" w:rsidP="006C48D2">
      <w:pPr>
        <w:pStyle w:val="SingleTxtG"/>
        <w:numPr>
          <w:ilvl w:val="0"/>
          <w:numId w:val="40"/>
        </w:numPr>
        <w:ind w:left="1134" w:firstLine="0"/>
        <w:rPr>
          <w:lang w:val="fr-FR"/>
        </w:rPr>
      </w:pPr>
      <w:r w:rsidRPr="007045AF">
        <w:rPr>
          <w:lang w:val="fr-FR"/>
        </w:rPr>
        <w:t xml:space="preserve">Ce plan d’action comprend trois axes qui peuvent être réalisés dans les situations de paix, de conflit, de post-conflit, </w:t>
      </w:r>
      <w:r w:rsidRPr="003E2796">
        <w:t>et</w:t>
      </w:r>
      <w:r w:rsidRPr="007045AF">
        <w:rPr>
          <w:lang w:val="fr-FR"/>
        </w:rPr>
        <w:t xml:space="preserve"> même en cas de catastrophes naturelles et d’épidémies :</w:t>
      </w:r>
    </w:p>
    <w:p w14:paraId="54E6C81A" w14:textId="77777777" w:rsidR="007045AF" w:rsidRPr="007045AF" w:rsidRDefault="007045AF" w:rsidP="00A472E6">
      <w:pPr>
        <w:pStyle w:val="Bullet1G"/>
        <w:rPr>
          <w:b/>
          <w:bCs/>
        </w:rPr>
      </w:pPr>
      <w:r w:rsidRPr="007045AF">
        <w:rPr>
          <w:b/>
          <w:bCs/>
        </w:rPr>
        <w:t xml:space="preserve">Axe « Participation » </w:t>
      </w:r>
      <w:r w:rsidRPr="007045AF">
        <w:t>qui permet aux femmes d’avoir un impact positif dans toutes les situations, y compris en temps de paix, de conflit et de post-conflit, en vue d’instaurer la paix et la stabilité et de parvenir à un développement durable</w:t>
      </w:r>
      <w:r w:rsidRPr="007045AF">
        <w:rPr>
          <w:rtl/>
        </w:rPr>
        <w:t>.</w:t>
      </w:r>
    </w:p>
    <w:p w14:paraId="34977286" w14:textId="77777777" w:rsidR="007045AF" w:rsidRPr="007045AF" w:rsidRDefault="007045AF" w:rsidP="00A472E6">
      <w:pPr>
        <w:pStyle w:val="Bullet1G"/>
        <w:rPr>
          <w:b/>
          <w:bCs/>
          <w:rtl/>
        </w:rPr>
      </w:pPr>
      <w:r w:rsidRPr="007045AF">
        <w:rPr>
          <w:b/>
          <w:bCs/>
        </w:rPr>
        <w:t xml:space="preserve">Axe« Prévention » </w:t>
      </w:r>
      <w:r w:rsidRPr="007045AF">
        <w:t>qui prévoit la création de mécanismes appropriés pour garantir les droits des femmes et assurer la prévention contre toutes formes de violations, en toutes circonstances et à tout moment</w:t>
      </w:r>
      <w:r w:rsidRPr="007045AF">
        <w:rPr>
          <w:rtl/>
        </w:rPr>
        <w:t>.</w:t>
      </w:r>
    </w:p>
    <w:p w14:paraId="311159CB" w14:textId="77777777" w:rsidR="007045AF" w:rsidRPr="007045AF" w:rsidRDefault="007045AF" w:rsidP="00A472E6">
      <w:pPr>
        <w:pStyle w:val="Bullet1G"/>
      </w:pPr>
      <w:r w:rsidRPr="007045AF">
        <w:rPr>
          <w:b/>
          <w:bCs/>
        </w:rPr>
        <w:t xml:space="preserve">Axe « Protection » </w:t>
      </w:r>
      <w:r w:rsidRPr="007045AF">
        <w:t>qui regroupe les mesures prises pour assurer la pleine protection des femmes, préserver leur sécurité, répondre à leurs besoins, améliorer leurs conditions de vie et les accompagner afin d’assurer leur intégration et leur contribution au développement</w:t>
      </w:r>
      <w:r w:rsidRPr="007045AF">
        <w:rPr>
          <w:rtl/>
        </w:rPr>
        <w:t>.</w:t>
      </w:r>
    </w:p>
    <w:p w14:paraId="21B54671" w14:textId="05039FD6" w:rsidR="007045AF" w:rsidRPr="007045AF" w:rsidRDefault="00A472E6" w:rsidP="00A472E6">
      <w:pPr>
        <w:pStyle w:val="H23G"/>
        <w:rPr>
          <w:lang w:val="fr-FR"/>
        </w:rPr>
      </w:pPr>
      <w:r>
        <w:rPr>
          <w:lang w:val="fr-FR"/>
        </w:rPr>
        <w:tab/>
      </w:r>
      <w:r>
        <w:rPr>
          <w:lang w:val="fr-FR"/>
        </w:rPr>
        <w:tab/>
      </w:r>
      <w:r w:rsidR="007045AF" w:rsidRPr="007045AF">
        <w:rPr>
          <w:lang w:val="fr-FR"/>
        </w:rPr>
        <w:t xml:space="preserve">Plan d’Action National pour l’Enfance 2026-2030 </w:t>
      </w:r>
    </w:p>
    <w:p w14:paraId="65E97A8E" w14:textId="77777777" w:rsidR="007045AF" w:rsidRPr="007045AF" w:rsidRDefault="007045AF" w:rsidP="006C48D2">
      <w:pPr>
        <w:pStyle w:val="SingleTxtG"/>
        <w:numPr>
          <w:ilvl w:val="0"/>
          <w:numId w:val="40"/>
        </w:numPr>
        <w:ind w:left="1134" w:firstLine="0"/>
        <w:rPr>
          <w:lang w:val="fr-FR"/>
        </w:rPr>
      </w:pPr>
      <w:r w:rsidRPr="007045AF">
        <w:rPr>
          <w:lang w:val="fr-FR"/>
        </w:rPr>
        <w:t xml:space="preserve">Ce plan a été élaboré par l’ONPPE, en impliquant les différentes parties prenantes (Ministères, Institutions </w:t>
      </w:r>
      <w:r w:rsidRPr="003E2796">
        <w:t>Nationales</w:t>
      </w:r>
      <w:r w:rsidRPr="007045AF">
        <w:rPr>
          <w:lang w:val="fr-FR"/>
        </w:rPr>
        <w:t>, Organisations de la société civile, ainsi que des enfants issus de différentes régions du pays), avec l’appui technique de la Représentation de l’UNICEF en Algérie.</w:t>
      </w:r>
    </w:p>
    <w:p w14:paraId="725B7C4A" w14:textId="77777777" w:rsidR="007045AF" w:rsidRPr="007045AF" w:rsidRDefault="007045AF" w:rsidP="006C48D2">
      <w:pPr>
        <w:pStyle w:val="SingleTxtG"/>
        <w:numPr>
          <w:ilvl w:val="0"/>
          <w:numId w:val="40"/>
        </w:numPr>
        <w:ind w:left="1134" w:firstLine="0"/>
        <w:rPr>
          <w:lang w:val="fr-FR"/>
        </w:rPr>
      </w:pPr>
      <w:r w:rsidRPr="007045AF">
        <w:rPr>
          <w:lang w:val="fr-FR"/>
        </w:rPr>
        <w:t xml:space="preserve">Il s’inscrit dans une perspective de consolidation des acquis à travers une approche intégrée, fondée sur la </w:t>
      </w:r>
      <w:r w:rsidRPr="003E2796">
        <w:t>coordination</w:t>
      </w:r>
      <w:r w:rsidRPr="007045AF">
        <w:rPr>
          <w:lang w:val="fr-FR"/>
        </w:rPr>
        <w:t xml:space="preserve"> intersectorielle, l’évaluation continue des politiques publiques et la participation active de tous les acteurs concernés par la protection de l’enfance.</w:t>
      </w:r>
    </w:p>
    <w:p w14:paraId="3ABC2542" w14:textId="57258725" w:rsidR="007045AF" w:rsidRPr="007045AF" w:rsidRDefault="00A472E6" w:rsidP="00A472E6">
      <w:pPr>
        <w:pStyle w:val="H23G"/>
        <w:rPr>
          <w:lang w:val="fr-FR"/>
        </w:rPr>
      </w:pPr>
      <w:r>
        <w:rPr>
          <w:lang w:val="fr-FR"/>
        </w:rPr>
        <w:tab/>
      </w:r>
      <w:r>
        <w:rPr>
          <w:lang w:val="fr-FR"/>
        </w:rPr>
        <w:tab/>
      </w:r>
      <w:r w:rsidR="007045AF" w:rsidRPr="007045AF">
        <w:rPr>
          <w:lang w:val="fr-FR"/>
        </w:rPr>
        <w:t>Stratégie Nationale de lutte contre la violence à l’égard des femmes</w:t>
      </w:r>
    </w:p>
    <w:p w14:paraId="72D755F9" w14:textId="77777777" w:rsidR="007045AF" w:rsidRPr="007045AF" w:rsidRDefault="007045AF" w:rsidP="006C48D2">
      <w:pPr>
        <w:pStyle w:val="SingleTxtG"/>
        <w:numPr>
          <w:ilvl w:val="0"/>
          <w:numId w:val="40"/>
        </w:numPr>
        <w:ind w:left="1134" w:firstLine="0"/>
        <w:rPr>
          <w:lang w:val="fr-FR"/>
        </w:rPr>
      </w:pPr>
      <w:r w:rsidRPr="007045AF">
        <w:rPr>
          <w:lang w:val="fr-FR"/>
        </w:rPr>
        <w:t xml:space="preserve">Cette stratégie, en cours de finalisation, vise à consolider les efforts pour assurer de meilleurs services et une prise en charge efficace des femmes et des enfants victimes de violence, dont le suivi est assuré </w:t>
      </w:r>
      <w:r w:rsidRPr="003E2796">
        <w:t>par</w:t>
      </w:r>
      <w:r w:rsidRPr="007045AF">
        <w:rPr>
          <w:lang w:val="fr-FR"/>
        </w:rPr>
        <w:t xml:space="preserve"> le Ministère en charge de la famille et de la condition de la femme. </w:t>
      </w:r>
    </w:p>
    <w:p w14:paraId="04033370" w14:textId="77777777" w:rsidR="007045AF" w:rsidRPr="007045AF" w:rsidRDefault="007045AF" w:rsidP="006C48D2">
      <w:pPr>
        <w:pStyle w:val="SingleTxtG"/>
        <w:numPr>
          <w:ilvl w:val="0"/>
          <w:numId w:val="40"/>
        </w:numPr>
        <w:ind w:left="1134" w:firstLine="0"/>
        <w:rPr>
          <w:lang w:val="fr-FR"/>
        </w:rPr>
      </w:pPr>
      <w:r w:rsidRPr="007045AF">
        <w:rPr>
          <w:lang w:val="fr-FR"/>
        </w:rPr>
        <w:t xml:space="preserve">Le plan d’action de mise en œuvre de cette stratégie comprend </w:t>
      </w:r>
      <w:r w:rsidRPr="007045AF">
        <w:rPr>
          <w:b/>
          <w:bCs/>
          <w:lang w:val="fr-FR"/>
        </w:rPr>
        <w:t>03 axes</w:t>
      </w:r>
      <w:r w:rsidRPr="007045AF">
        <w:rPr>
          <w:lang w:val="fr-FR"/>
        </w:rPr>
        <w:t xml:space="preserve">: l’amélioration de la qualité de prise en charge, l’information et la sensibilisation ainsi que le renforcement du volet préventif à travers </w:t>
      </w:r>
      <w:r w:rsidRPr="003E2796">
        <w:t>l’autonomisation</w:t>
      </w:r>
      <w:r w:rsidRPr="007045AF">
        <w:rPr>
          <w:lang w:val="fr-FR"/>
        </w:rPr>
        <w:t xml:space="preserve"> de la femme dans les différents domaines.</w:t>
      </w:r>
    </w:p>
    <w:p w14:paraId="66C283C3" w14:textId="00396D7B" w:rsidR="007045AF" w:rsidRPr="007045AF" w:rsidRDefault="00A472E6" w:rsidP="00A472E6">
      <w:pPr>
        <w:pStyle w:val="H23G"/>
        <w:rPr>
          <w:lang w:val="fr-FR"/>
        </w:rPr>
      </w:pPr>
      <w:r>
        <w:rPr>
          <w:lang w:val="fr-FR"/>
        </w:rPr>
        <w:tab/>
      </w:r>
      <w:r>
        <w:rPr>
          <w:lang w:val="fr-FR"/>
        </w:rPr>
        <w:tab/>
      </w:r>
      <w:r w:rsidR="007045AF" w:rsidRPr="007045AF">
        <w:rPr>
          <w:lang w:val="fr-FR"/>
        </w:rPr>
        <w:t>Stratégie nationale pour la protection, la promotion et l’autonomisation de la femme 2025-2030</w:t>
      </w:r>
    </w:p>
    <w:p w14:paraId="41C444C4" w14:textId="77777777" w:rsidR="007045AF" w:rsidRPr="007045AF" w:rsidRDefault="007045AF" w:rsidP="006C48D2">
      <w:pPr>
        <w:pStyle w:val="SingleTxtG"/>
        <w:numPr>
          <w:ilvl w:val="0"/>
          <w:numId w:val="40"/>
        </w:numPr>
        <w:ind w:left="1134" w:firstLine="0"/>
        <w:rPr>
          <w:lang w:val="fr-FR"/>
        </w:rPr>
      </w:pPr>
      <w:r w:rsidRPr="007045AF">
        <w:rPr>
          <w:lang w:val="fr-FR"/>
        </w:rPr>
        <w:t xml:space="preserve">Le ministère de la Solidarité Nationale a finalisé cette nouvelle stratégie avec la contribution de tous </w:t>
      </w:r>
      <w:r w:rsidRPr="003E2796">
        <w:t>les</w:t>
      </w:r>
      <w:r w:rsidRPr="007045AF">
        <w:rPr>
          <w:lang w:val="fr-FR"/>
        </w:rPr>
        <w:t xml:space="preserve"> intervenants (départements ministériels, organismes nationaux, universitaires et chercheurs, et mouvement associatif).</w:t>
      </w:r>
    </w:p>
    <w:p w14:paraId="218EF31D" w14:textId="77777777" w:rsidR="007045AF" w:rsidRPr="007045AF" w:rsidRDefault="007045AF" w:rsidP="006C48D2">
      <w:pPr>
        <w:pStyle w:val="SingleTxtG"/>
        <w:numPr>
          <w:ilvl w:val="0"/>
          <w:numId w:val="40"/>
        </w:numPr>
        <w:ind w:left="1134" w:firstLine="0"/>
        <w:rPr>
          <w:lang w:val="fr-FR"/>
        </w:rPr>
      </w:pPr>
      <w:r w:rsidRPr="007045AF">
        <w:rPr>
          <w:lang w:val="fr-FR"/>
        </w:rPr>
        <w:t xml:space="preserve">Elle vise à renforcer la coordination intersectorielle en matière d’autonomisation des femmes et poursuivre la mise en œuvre des programmes d’appui à l’adhésion de la femme rurale et des femmes au </w:t>
      </w:r>
      <w:r w:rsidRPr="003E2796">
        <w:t>foyer</w:t>
      </w:r>
      <w:r w:rsidRPr="007045AF">
        <w:rPr>
          <w:lang w:val="fr-FR"/>
        </w:rPr>
        <w:t xml:space="preserve"> dans le domaine économique.</w:t>
      </w:r>
    </w:p>
    <w:p w14:paraId="04116632" w14:textId="77777777" w:rsidR="007045AF" w:rsidRPr="007045AF" w:rsidRDefault="007045AF" w:rsidP="006C48D2">
      <w:pPr>
        <w:pStyle w:val="SingleTxtG"/>
        <w:numPr>
          <w:ilvl w:val="0"/>
          <w:numId w:val="40"/>
        </w:numPr>
        <w:ind w:left="1134" w:firstLine="0"/>
        <w:rPr>
          <w:lang w:val="fr-FR"/>
        </w:rPr>
      </w:pPr>
      <w:r w:rsidRPr="007045AF">
        <w:rPr>
          <w:lang w:val="fr-FR"/>
        </w:rPr>
        <w:t xml:space="preserve">Cette stratégie s'articule autour de trois axes principaux, chacun se déclinant en deux objectifs couvrant un </w:t>
      </w:r>
      <w:r w:rsidRPr="003E2796">
        <w:t>domaine</w:t>
      </w:r>
      <w:r w:rsidRPr="007045AF">
        <w:rPr>
          <w:lang w:val="fr-FR"/>
        </w:rPr>
        <w:t xml:space="preserve"> spécifique :</w:t>
      </w:r>
    </w:p>
    <w:p w14:paraId="2A8A4AA8" w14:textId="77777777" w:rsidR="007045AF" w:rsidRPr="00E729F5" w:rsidRDefault="007045AF" w:rsidP="00E729F5">
      <w:pPr>
        <w:pStyle w:val="Bullet1G"/>
      </w:pPr>
      <w:r w:rsidRPr="00E729F5">
        <w:t>Axe 1 : Protection des femmes en situation de vulnérabilité et victimes de violence ;</w:t>
      </w:r>
    </w:p>
    <w:p w14:paraId="165ED53E" w14:textId="77777777" w:rsidR="007045AF" w:rsidRPr="00E729F5" w:rsidRDefault="007045AF" w:rsidP="00E729F5">
      <w:pPr>
        <w:pStyle w:val="Bullet1G"/>
      </w:pPr>
      <w:r w:rsidRPr="00E729F5">
        <w:t>Axe 2 : Autonomisation politique des femmes ;</w:t>
      </w:r>
    </w:p>
    <w:p w14:paraId="4F276691" w14:textId="77777777" w:rsidR="007045AF" w:rsidRPr="00E729F5" w:rsidRDefault="007045AF" w:rsidP="00E729F5">
      <w:pPr>
        <w:pStyle w:val="Bullet1G"/>
      </w:pPr>
      <w:r w:rsidRPr="00E729F5">
        <w:t>Axe 3 : Autonomisation économique des femmes.</w:t>
      </w:r>
    </w:p>
    <w:p w14:paraId="6FA8EAD4" w14:textId="1B3B5482" w:rsidR="007045AF" w:rsidRPr="007045AF" w:rsidRDefault="00E729F5" w:rsidP="00E729F5">
      <w:pPr>
        <w:pStyle w:val="H23G"/>
        <w:rPr>
          <w:lang w:val="fr-FR"/>
        </w:rPr>
      </w:pPr>
      <w:r>
        <w:rPr>
          <w:lang w:val="fr-FR"/>
        </w:rPr>
        <w:lastRenderedPageBreak/>
        <w:tab/>
      </w:r>
      <w:r>
        <w:rPr>
          <w:lang w:val="fr-FR"/>
        </w:rPr>
        <w:tab/>
      </w:r>
      <w:r w:rsidR="007045AF" w:rsidRPr="007045AF">
        <w:rPr>
          <w:lang w:val="fr-FR"/>
        </w:rPr>
        <w:t xml:space="preserve">Stratégie nationale de prévention et de lutte contre la traite des personnes et son plan d’action (2026-2030) </w:t>
      </w:r>
    </w:p>
    <w:p w14:paraId="1426D60B" w14:textId="77777777" w:rsidR="007045AF" w:rsidRPr="007045AF" w:rsidRDefault="007045AF" w:rsidP="006C48D2">
      <w:pPr>
        <w:pStyle w:val="SingleTxtG"/>
        <w:numPr>
          <w:ilvl w:val="0"/>
          <w:numId w:val="40"/>
        </w:numPr>
        <w:ind w:left="1134" w:firstLine="0"/>
        <w:rPr>
          <w:lang w:val="fr-FR"/>
        </w:rPr>
      </w:pPr>
      <w:r w:rsidRPr="007045AF">
        <w:rPr>
          <w:lang w:val="fr-FR"/>
        </w:rPr>
        <w:t>La stratégie et son plan d’action, élaborés par le Comité national de prévention et de lutte contre la traite des personnes</w:t>
      </w:r>
      <w:r w:rsidRPr="007045AF">
        <w:rPr>
          <w:vertAlign w:val="superscript"/>
          <w:lang w:val="fr-FR"/>
        </w:rPr>
        <w:footnoteReference w:id="12"/>
      </w:r>
      <w:r w:rsidRPr="007045AF">
        <w:rPr>
          <w:lang w:val="fr-FR"/>
        </w:rPr>
        <w:t>, ont été approuvés par le Gouvernement, le 04 février 2026, dans le cadre d’une démarche participative et consultative avec les ministères, les agences et services gouvernementaux et les acteurs de la société civile, en coopération avec l’ONUDC.</w:t>
      </w:r>
    </w:p>
    <w:p w14:paraId="30EE2D6D" w14:textId="77777777" w:rsidR="007045AF" w:rsidRPr="007045AF" w:rsidRDefault="007045AF" w:rsidP="006C48D2">
      <w:pPr>
        <w:pStyle w:val="SingleTxtG"/>
        <w:numPr>
          <w:ilvl w:val="0"/>
          <w:numId w:val="40"/>
        </w:numPr>
        <w:ind w:left="1134" w:firstLine="0"/>
        <w:rPr>
          <w:lang w:val="fr-FR"/>
        </w:rPr>
      </w:pPr>
      <w:r w:rsidRPr="007045AF">
        <w:rPr>
          <w:lang w:val="fr-FR"/>
        </w:rPr>
        <w:t xml:space="preserve">Cette </w:t>
      </w:r>
      <w:r w:rsidRPr="003E2796">
        <w:t>stratégie</w:t>
      </w:r>
      <w:r w:rsidRPr="007045AF">
        <w:rPr>
          <w:lang w:val="fr-FR"/>
        </w:rPr>
        <w:t xml:space="preserve"> se fonde sur 04 dimensions principales et 04 axes stratégiques d’action :</w:t>
      </w:r>
    </w:p>
    <w:p w14:paraId="3C5188BD" w14:textId="3BE2AB21" w:rsidR="007045AF" w:rsidRPr="009332BF" w:rsidRDefault="007045AF" w:rsidP="009332BF">
      <w:pPr>
        <w:pStyle w:val="Bullet1G"/>
      </w:pPr>
      <w:r w:rsidRPr="009332BF">
        <w:t>Dimension préventive : prévenir et éviter la traite des personnes et en comprendre les causes</w:t>
      </w:r>
      <w:r w:rsidR="009332BF">
        <w:t> ;</w:t>
      </w:r>
    </w:p>
    <w:p w14:paraId="1EF781D8" w14:textId="2B351EB1" w:rsidR="007045AF" w:rsidRPr="009332BF" w:rsidRDefault="007045AF" w:rsidP="009332BF">
      <w:pPr>
        <w:pStyle w:val="Bullet1G"/>
      </w:pPr>
      <w:r w:rsidRPr="009332BF">
        <w:t>Dimension juridique : renforcer le cadre juridique</w:t>
      </w:r>
      <w:r w:rsidR="009332BF">
        <w:t> ;</w:t>
      </w:r>
    </w:p>
    <w:p w14:paraId="183D0460" w14:textId="24F7F4A7" w:rsidR="007045AF" w:rsidRPr="009332BF" w:rsidRDefault="007045AF" w:rsidP="009332BF">
      <w:pPr>
        <w:pStyle w:val="Bullet1G"/>
      </w:pPr>
      <w:r w:rsidRPr="009332BF">
        <w:t>Dimension sociale : s'attaquer aux conditions et aux causes de la traite des personnes et assurer la protection et la prise en charge des victimes</w:t>
      </w:r>
      <w:r w:rsidR="009332BF">
        <w:t> ;</w:t>
      </w:r>
    </w:p>
    <w:p w14:paraId="77DDA698" w14:textId="77777777" w:rsidR="007045AF" w:rsidRPr="009332BF" w:rsidRDefault="007045AF" w:rsidP="009332BF">
      <w:pPr>
        <w:pStyle w:val="Bullet1G"/>
      </w:pPr>
      <w:r w:rsidRPr="009332BF">
        <w:t>Dimension formation : renforcer les capacités de tous les acteurs impliqués dans la prévention et la lutte contre la traite des personnes.</w:t>
      </w:r>
    </w:p>
    <w:p w14:paraId="62C29064" w14:textId="77777777" w:rsidR="007045AF" w:rsidRPr="007045AF" w:rsidRDefault="007045AF" w:rsidP="006C48D2">
      <w:pPr>
        <w:pStyle w:val="SingleTxtG"/>
        <w:numPr>
          <w:ilvl w:val="0"/>
          <w:numId w:val="40"/>
        </w:numPr>
        <w:ind w:left="1134" w:firstLine="0"/>
        <w:rPr>
          <w:bCs/>
          <w:lang w:val="fr-FR"/>
        </w:rPr>
      </w:pPr>
      <w:r w:rsidRPr="007045AF">
        <w:rPr>
          <w:bCs/>
          <w:lang w:val="fr-FR"/>
        </w:rPr>
        <w:t>Quant aux axes stratégiques, ils s’articulent autour de la </w:t>
      </w:r>
      <w:r w:rsidRPr="007045AF">
        <w:rPr>
          <w:lang w:val="fr-FR"/>
        </w:rPr>
        <w:t xml:space="preserve">prévention de la traite des êtres humains, la protection et l’assistance aux victimes, les poursuites judiciaires, les partenariats, ainsi que la </w:t>
      </w:r>
      <w:r w:rsidRPr="003E2796">
        <w:t>coopération</w:t>
      </w:r>
      <w:r w:rsidRPr="007045AF">
        <w:rPr>
          <w:lang w:val="fr-FR"/>
        </w:rPr>
        <w:t xml:space="preserve"> internationale. </w:t>
      </w:r>
    </w:p>
    <w:p w14:paraId="38400C2D" w14:textId="60CEC1CE" w:rsidR="007045AF" w:rsidRPr="007045AF" w:rsidRDefault="00F054FD" w:rsidP="00BA04BB">
      <w:pPr>
        <w:pStyle w:val="H1G"/>
        <w:rPr>
          <w:lang w:val="fr-CA"/>
        </w:rPr>
      </w:pPr>
      <w:r>
        <w:rPr>
          <w:lang w:val="fr-CA"/>
        </w:rPr>
        <w:tab/>
      </w:r>
      <w:r w:rsidR="00BA04BB">
        <w:rPr>
          <w:lang w:val="fr-CA"/>
        </w:rPr>
        <w:t>II.</w:t>
      </w:r>
      <w:r w:rsidR="00467E46">
        <w:rPr>
          <w:lang w:val="fr-CA"/>
        </w:rPr>
        <w:tab/>
      </w:r>
      <w:r w:rsidR="007045AF" w:rsidRPr="007045AF">
        <w:rPr>
          <w:lang w:val="fr-CA"/>
        </w:rPr>
        <w:t xml:space="preserve">Réponses aux recommandations du Comité </w:t>
      </w:r>
    </w:p>
    <w:p w14:paraId="0C1FFA42" w14:textId="64D40FB3" w:rsidR="007045AF" w:rsidRPr="007045AF" w:rsidRDefault="00F054FD" w:rsidP="00516E19">
      <w:pPr>
        <w:pStyle w:val="H23G"/>
        <w:rPr>
          <w:lang w:val="fr-CA"/>
        </w:rPr>
      </w:pPr>
      <w:r>
        <w:rPr>
          <w:lang w:val="fr-CA"/>
        </w:rPr>
        <w:tab/>
      </w:r>
      <w:r>
        <w:rPr>
          <w:lang w:val="fr-CA"/>
        </w:rPr>
        <w:tab/>
      </w:r>
      <w:r w:rsidR="007045AF" w:rsidRPr="007045AF">
        <w:rPr>
          <w:lang w:val="fr-CA"/>
        </w:rPr>
        <w:t>Point 10 et 11</w:t>
      </w:r>
    </w:p>
    <w:p w14:paraId="41D07CA2" w14:textId="77777777" w:rsidR="007045AF" w:rsidRPr="007045AF" w:rsidRDefault="007045AF" w:rsidP="006C48D2">
      <w:pPr>
        <w:pStyle w:val="SingleTxtG"/>
        <w:numPr>
          <w:ilvl w:val="0"/>
          <w:numId w:val="40"/>
        </w:numPr>
        <w:ind w:left="1134" w:firstLine="0"/>
        <w:rPr>
          <w:bCs/>
          <w:lang w:val="fr-CA"/>
        </w:rPr>
      </w:pPr>
      <w:r w:rsidRPr="007045AF">
        <w:rPr>
          <w:bCs/>
          <w:lang w:val="fr-CA"/>
        </w:rPr>
        <w:t>Voir paragraphes 3, 4, 5, 6 et 7.</w:t>
      </w:r>
    </w:p>
    <w:p w14:paraId="1847E0F7" w14:textId="0B4139ED" w:rsidR="007045AF" w:rsidRPr="007045AF" w:rsidRDefault="00ED0803" w:rsidP="00ED0803">
      <w:pPr>
        <w:pStyle w:val="H23G"/>
        <w:rPr>
          <w:lang w:val="fr-CA"/>
        </w:rPr>
      </w:pPr>
      <w:r>
        <w:rPr>
          <w:lang w:val="fr-CA"/>
        </w:rPr>
        <w:tab/>
      </w:r>
      <w:r>
        <w:rPr>
          <w:lang w:val="fr-CA"/>
        </w:rPr>
        <w:tab/>
      </w:r>
      <w:r w:rsidR="007045AF" w:rsidRPr="007045AF">
        <w:rPr>
          <w:lang w:val="fr-CA"/>
        </w:rPr>
        <w:t>Point 12</w:t>
      </w:r>
    </w:p>
    <w:p w14:paraId="188E1EDA" w14:textId="77777777" w:rsidR="007045AF" w:rsidRPr="007045AF" w:rsidRDefault="007045AF" w:rsidP="006C48D2">
      <w:pPr>
        <w:pStyle w:val="SingleTxtG"/>
        <w:numPr>
          <w:ilvl w:val="0"/>
          <w:numId w:val="40"/>
        </w:numPr>
        <w:ind w:left="1134" w:firstLine="0"/>
        <w:rPr>
          <w:bCs/>
          <w:lang w:val="fr-CA"/>
        </w:rPr>
      </w:pPr>
      <w:r w:rsidRPr="007045AF">
        <w:rPr>
          <w:bCs/>
          <w:lang w:val="fr-CA"/>
        </w:rPr>
        <w:t xml:space="preserve">La Constitution (art.153) prévoit l’approbation par le Parlement des traités relatifs au statut des personnes. A cet égard, et </w:t>
      </w:r>
      <w:r w:rsidRPr="003E2796">
        <w:t>avant</w:t>
      </w:r>
      <w:r w:rsidRPr="007045AF">
        <w:rPr>
          <w:bCs/>
          <w:lang w:val="fr-CA"/>
        </w:rPr>
        <w:t xml:space="preserve"> la promulgation du décret présidentiel d’adhésion, la CEDAW a été approuvée par le Parlement</w:t>
      </w:r>
      <w:r w:rsidRPr="007045AF">
        <w:rPr>
          <w:bCs/>
          <w:vertAlign w:val="superscript"/>
          <w:lang w:val="fr-CA"/>
        </w:rPr>
        <w:footnoteReference w:id="13"/>
      </w:r>
      <w:r w:rsidRPr="007045AF">
        <w:rPr>
          <w:bCs/>
          <w:lang w:val="fr-CA"/>
        </w:rPr>
        <w:t>, par ordonnance n°96-03 du 10 janvier 1996.</w:t>
      </w:r>
    </w:p>
    <w:p w14:paraId="4E201756" w14:textId="77777777" w:rsidR="007045AF" w:rsidRPr="007045AF" w:rsidRDefault="007045AF" w:rsidP="006C48D2">
      <w:pPr>
        <w:pStyle w:val="SingleTxtG"/>
        <w:numPr>
          <w:ilvl w:val="0"/>
          <w:numId w:val="40"/>
        </w:numPr>
        <w:ind w:left="1134" w:firstLine="0"/>
        <w:rPr>
          <w:bCs/>
          <w:lang w:val="fr-FR"/>
        </w:rPr>
      </w:pPr>
      <w:r w:rsidRPr="007045AF">
        <w:rPr>
          <w:bCs/>
          <w:lang w:val="fr-CA"/>
        </w:rPr>
        <w:t>L</w:t>
      </w:r>
      <w:r w:rsidRPr="007045AF">
        <w:rPr>
          <w:bCs/>
          <w:lang w:val="fr-FR"/>
        </w:rPr>
        <w:t>e Parlement a adopté toutes les lois liées à la mise en œuvre de la CEDAW. A titre illustratif, la loi organique n°26-05 du 04 avril 2026 relative au régime électoral, et la loi organique n°26-08 du 23 avril 2026 relative aux partis politiques, se réfèrent à la CEDAW.</w:t>
      </w:r>
    </w:p>
    <w:p w14:paraId="74E1639A" w14:textId="77777777" w:rsidR="007045AF" w:rsidRPr="007045AF" w:rsidRDefault="007045AF" w:rsidP="006C48D2">
      <w:pPr>
        <w:pStyle w:val="SingleTxtG"/>
        <w:numPr>
          <w:ilvl w:val="0"/>
          <w:numId w:val="40"/>
        </w:numPr>
        <w:ind w:left="1134" w:firstLine="0"/>
        <w:rPr>
          <w:bCs/>
          <w:lang w:val="fr-FR"/>
        </w:rPr>
      </w:pPr>
      <w:r w:rsidRPr="007045AF">
        <w:rPr>
          <w:bCs/>
          <w:lang w:val="fr-FR"/>
        </w:rPr>
        <w:t xml:space="preserve">Les prérogatives du Parlement ne prévoient pas l’établissement des rapports périodiques sur la mise en œuvre des </w:t>
      </w:r>
      <w:r w:rsidRPr="003E2796">
        <w:t>traités</w:t>
      </w:r>
      <w:r w:rsidRPr="007045AF">
        <w:rPr>
          <w:bCs/>
          <w:lang w:val="fr-FR"/>
        </w:rPr>
        <w:t xml:space="preserve"> approuvés. Cependant, le présent rapport a été transmis au Parlement pour exploitation et suivi.</w:t>
      </w:r>
    </w:p>
    <w:p w14:paraId="05B70588" w14:textId="42663C21" w:rsidR="007045AF" w:rsidRPr="007045AF" w:rsidRDefault="00A337FE" w:rsidP="00A337FE">
      <w:pPr>
        <w:pStyle w:val="H23G"/>
        <w:rPr>
          <w:lang w:val="fr-FR"/>
        </w:rPr>
      </w:pPr>
      <w:r>
        <w:rPr>
          <w:lang w:val="fr-FR"/>
        </w:rPr>
        <w:tab/>
      </w:r>
      <w:r>
        <w:rPr>
          <w:lang w:val="fr-FR"/>
        </w:rPr>
        <w:tab/>
      </w:r>
      <w:r w:rsidR="007045AF" w:rsidRPr="007045AF">
        <w:rPr>
          <w:lang w:val="fr-FR"/>
        </w:rPr>
        <w:t>Point 14 (a-b)</w:t>
      </w:r>
    </w:p>
    <w:p w14:paraId="595BEC2D" w14:textId="77777777" w:rsidR="007045AF" w:rsidRPr="007045AF" w:rsidRDefault="007045AF" w:rsidP="006C48D2">
      <w:pPr>
        <w:pStyle w:val="SingleTxtG"/>
        <w:numPr>
          <w:ilvl w:val="0"/>
          <w:numId w:val="40"/>
        </w:numPr>
        <w:ind w:left="1134" w:firstLine="0"/>
        <w:rPr>
          <w:lang w:val="fr-FR"/>
        </w:rPr>
      </w:pPr>
      <w:r w:rsidRPr="007045AF">
        <w:rPr>
          <w:lang w:val="fr-FR"/>
        </w:rPr>
        <w:t>La ratification de la CEDAW a eu un impact direct sur le cadre législatif concrétisé par l’harmonisation de la législation nationale, en particulier les Codes de la famille, de la nationalité et le Code pénal.</w:t>
      </w:r>
    </w:p>
    <w:p w14:paraId="368055E9" w14:textId="77777777" w:rsidR="007045AF" w:rsidRPr="007045AF" w:rsidRDefault="007045AF" w:rsidP="006C48D2">
      <w:pPr>
        <w:pStyle w:val="SingleTxtG"/>
        <w:numPr>
          <w:ilvl w:val="0"/>
          <w:numId w:val="40"/>
        </w:numPr>
        <w:ind w:left="1134" w:firstLine="0"/>
        <w:rPr>
          <w:lang w:val="fr-FR"/>
        </w:rPr>
      </w:pPr>
      <w:r w:rsidRPr="007045AF">
        <w:rPr>
          <w:lang w:val="fr-FR"/>
        </w:rPr>
        <w:t xml:space="preserve">De plus, la constitutionnalisation des principes de non-discrimination et d’égalité des chances, ainsi que le principe de la parité entre hommes et femmes sur le marché de l'emploi, constituent des avancées </w:t>
      </w:r>
      <w:r w:rsidRPr="003E2796">
        <w:t>majeures</w:t>
      </w:r>
      <w:r w:rsidRPr="007045AF">
        <w:rPr>
          <w:lang w:val="fr-FR"/>
        </w:rPr>
        <w:t xml:space="preserve">. </w:t>
      </w:r>
    </w:p>
    <w:p w14:paraId="06E19A0D" w14:textId="77777777" w:rsidR="007045AF" w:rsidRPr="007045AF" w:rsidRDefault="007045AF" w:rsidP="006C48D2">
      <w:pPr>
        <w:pStyle w:val="SingleTxtG"/>
        <w:numPr>
          <w:ilvl w:val="0"/>
          <w:numId w:val="40"/>
        </w:numPr>
        <w:ind w:left="1134" w:firstLine="0"/>
        <w:rPr>
          <w:lang w:val="fr-FR"/>
        </w:rPr>
      </w:pPr>
      <w:r w:rsidRPr="007045AF">
        <w:rPr>
          <w:lang w:val="fr-FR"/>
        </w:rPr>
        <w:t xml:space="preserve">Les réserves émises par l’Algérie sont issues des principes de l’Islam qui est la religion de l’Etat. Elles sont </w:t>
      </w:r>
      <w:r w:rsidRPr="003E2796">
        <w:t>liées</w:t>
      </w:r>
      <w:r w:rsidRPr="007045AF">
        <w:rPr>
          <w:lang w:val="fr-FR"/>
        </w:rPr>
        <w:t xml:space="preserve"> au statut personnel et sont énoncées dans le Code de la famille, adopté en 1984 et amendé en 2005. Cependant, l’Algérie examine progressivement l’éventualité de lever certaines réserves, en fonction des changements législatifs et sociétaux. </w:t>
      </w:r>
      <w:r w:rsidRPr="007045AF">
        <w:rPr>
          <w:lang w:val="fr-FR"/>
        </w:rPr>
        <w:lastRenderedPageBreak/>
        <w:t>A ce titre, la réserve sur l’article 15 paragraphe 4 de la Convention a été levée en 2025</w:t>
      </w:r>
      <w:r w:rsidRPr="007045AF">
        <w:rPr>
          <w:b/>
          <w:bCs/>
          <w:lang w:val="fr-FR"/>
        </w:rPr>
        <w:t>(</w:t>
      </w:r>
      <w:r w:rsidRPr="007045AF">
        <w:rPr>
          <w:lang w:val="fr-FR"/>
        </w:rPr>
        <w:t>Voir réponse article 15).</w:t>
      </w:r>
    </w:p>
    <w:p w14:paraId="17DF9534" w14:textId="27795B5B" w:rsidR="007045AF" w:rsidRPr="007045AF" w:rsidRDefault="00A337FE" w:rsidP="00A337FE">
      <w:pPr>
        <w:pStyle w:val="H23G"/>
        <w:rPr>
          <w:lang w:val="fr-FR"/>
        </w:rPr>
      </w:pPr>
      <w:r>
        <w:rPr>
          <w:lang w:val="fr-FR"/>
        </w:rPr>
        <w:tab/>
      </w:r>
      <w:r>
        <w:rPr>
          <w:lang w:val="fr-FR"/>
        </w:rPr>
        <w:tab/>
      </w:r>
      <w:r w:rsidR="007045AF" w:rsidRPr="007045AF">
        <w:rPr>
          <w:lang w:val="fr-FR"/>
        </w:rPr>
        <w:t>Point 16 (a-b-c-d)</w:t>
      </w:r>
    </w:p>
    <w:p w14:paraId="776BB35F" w14:textId="77777777" w:rsidR="007045AF" w:rsidRPr="007045AF" w:rsidRDefault="007045AF" w:rsidP="006C48D2">
      <w:pPr>
        <w:pStyle w:val="SingleTxtG"/>
        <w:numPr>
          <w:ilvl w:val="0"/>
          <w:numId w:val="40"/>
        </w:numPr>
        <w:ind w:left="1134" w:firstLine="0"/>
        <w:rPr>
          <w:lang w:val="fr-FR"/>
        </w:rPr>
      </w:pPr>
      <w:r w:rsidRPr="007045AF">
        <w:rPr>
          <w:lang w:val="fr-FR"/>
        </w:rPr>
        <w:t>Conformément à la Constitution (art.154), les traités ratifiés par l’Algérie sont supérieurs à la loi. L'application de la Convention est garantie par la Constitution (art.171) qui énonce que le juge, dans l’exercice de sa mission, est tenu d’appliquer les traités ratifiés.</w:t>
      </w:r>
    </w:p>
    <w:p w14:paraId="4E8F848F" w14:textId="77777777" w:rsidR="007045AF" w:rsidRPr="007045AF" w:rsidRDefault="007045AF" w:rsidP="006C48D2">
      <w:pPr>
        <w:pStyle w:val="SingleTxtG"/>
        <w:numPr>
          <w:ilvl w:val="0"/>
          <w:numId w:val="40"/>
        </w:numPr>
        <w:ind w:left="1134" w:firstLine="0"/>
        <w:rPr>
          <w:lang w:val="fr-FR"/>
        </w:rPr>
      </w:pPr>
      <w:r w:rsidRPr="007045AF">
        <w:rPr>
          <w:lang w:val="fr-FR"/>
        </w:rPr>
        <w:t xml:space="preserve">A titre illustratif, le juge algérien s’est référé aux dispositions de la CEDAW respectivement articles 5 et 1, en </w:t>
      </w:r>
      <w:r w:rsidRPr="003E2796">
        <w:t>2012</w:t>
      </w:r>
      <w:r w:rsidRPr="007045AF">
        <w:rPr>
          <w:lang w:val="fr-FR"/>
        </w:rPr>
        <w:t>(jugement pour violence verbale), en 2020 (jugement lié à des réparations pour divorce abusif) et en 2024(jugement pour validation de mariage).</w:t>
      </w:r>
    </w:p>
    <w:p w14:paraId="2F1A25B9" w14:textId="77777777" w:rsidR="007045AF" w:rsidRPr="007045AF" w:rsidRDefault="007045AF" w:rsidP="006C48D2">
      <w:pPr>
        <w:pStyle w:val="SingleTxtG"/>
        <w:numPr>
          <w:ilvl w:val="0"/>
          <w:numId w:val="40"/>
        </w:numPr>
        <w:ind w:left="1134" w:firstLine="0"/>
        <w:rPr>
          <w:lang w:val="fr-FR"/>
        </w:rPr>
      </w:pPr>
      <w:r w:rsidRPr="007045AF">
        <w:rPr>
          <w:lang w:val="fr-FR"/>
        </w:rPr>
        <w:t xml:space="preserve">La Convention est disponible sur le site officiel du Secrétariat Général du Gouvernement et sur de nombreuses </w:t>
      </w:r>
      <w:r w:rsidRPr="003E2796">
        <w:t>plateformes</w:t>
      </w:r>
      <w:r w:rsidRPr="007045AF">
        <w:rPr>
          <w:lang w:val="fr-FR"/>
        </w:rPr>
        <w:t xml:space="preserve"> numériques des ministères concernés.</w:t>
      </w:r>
    </w:p>
    <w:p w14:paraId="6339893C" w14:textId="77777777" w:rsidR="007045AF" w:rsidRPr="007045AF" w:rsidRDefault="007045AF" w:rsidP="006C48D2">
      <w:pPr>
        <w:pStyle w:val="SingleTxtG"/>
        <w:numPr>
          <w:ilvl w:val="0"/>
          <w:numId w:val="40"/>
        </w:numPr>
        <w:ind w:left="1134" w:firstLine="0"/>
        <w:rPr>
          <w:lang w:val="fr-FR"/>
        </w:rPr>
      </w:pPr>
      <w:r w:rsidRPr="007045AF">
        <w:rPr>
          <w:lang w:val="fr-FR"/>
        </w:rPr>
        <w:t xml:space="preserve">Le CNDH, dans sa mission de vulgarisation, a reproduit la Convention sous forme de livrets largement </w:t>
      </w:r>
      <w:r w:rsidRPr="003E2796">
        <w:t>distribués</w:t>
      </w:r>
      <w:r w:rsidRPr="007045AF">
        <w:rPr>
          <w:lang w:val="fr-FR"/>
        </w:rPr>
        <w:t xml:space="preserve"> et mis en ligne sur son site internet.</w:t>
      </w:r>
    </w:p>
    <w:p w14:paraId="4D3DFD9F" w14:textId="77777777" w:rsidR="007045AF" w:rsidRPr="007045AF" w:rsidRDefault="007045AF" w:rsidP="006C48D2">
      <w:pPr>
        <w:pStyle w:val="SingleTxtG"/>
        <w:numPr>
          <w:ilvl w:val="0"/>
          <w:numId w:val="40"/>
        </w:numPr>
        <w:ind w:left="1134" w:firstLine="0"/>
        <w:rPr>
          <w:lang w:val="fr-FR"/>
        </w:rPr>
      </w:pPr>
      <w:r w:rsidRPr="007045AF">
        <w:rPr>
          <w:lang w:val="fr-FR"/>
        </w:rPr>
        <w:t>Les différents organismes de l’État, ainsi que les organisations de la société civile et les médias (audiovisuels et écrits), œuvrent à la diffusion du contenu et des principes de la Convention, à travers des conférences, des séminaires et des sessions de renforcement de capacités pour fournir des clarifications et des conseils juridiques nécessaires à l’application de la Convention.</w:t>
      </w:r>
    </w:p>
    <w:p w14:paraId="17D849C1" w14:textId="77777777" w:rsidR="007045AF" w:rsidRPr="007045AF" w:rsidRDefault="007045AF" w:rsidP="006C48D2">
      <w:pPr>
        <w:pStyle w:val="SingleTxtG"/>
        <w:numPr>
          <w:ilvl w:val="0"/>
          <w:numId w:val="40"/>
        </w:numPr>
        <w:ind w:left="1134" w:firstLine="0"/>
        <w:rPr>
          <w:lang w:val="fr-FR"/>
        </w:rPr>
      </w:pPr>
      <w:r w:rsidRPr="007045AF">
        <w:rPr>
          <w:lang w:val="fr-FR"/>
        </w:rPr>
        <w:t xml:space="preserve">Divers programmes de formation (initiale, continue et spécialisée) ont été adaptés pour inclure un module sur les droits des femmes et les mécanismes visant à éliminer toutes les formes de </w:t>
      </w:r>
      <w:r w:rsidRPr="003E2796">
        <w:t>discrimination</w:t>
      </w:r>
      <w:r w:rsidRPr="007045AF">
        <w:rPr>
          <w:lang w:val="fr-FR"/>
        </w:rPr>
        <w:t xml:space="preserve"> à leur égard, tant pour les juges que pour les avocats et les différents corps des fonctionnaires du secteur de la justice, ainsi que pour les autorités chargées de l’application de la loi.</w:t>
      </w:r>
    </w:p>
    <w:p w14:paraId="0778252A" w14:textId="77777777" w:rsidR="007045AF" w:rsidRPr="00EF3FF8" w:rsidRDefault="007045AF" w:rsidP="006C48D2">
      <w:pPr>
        <w:pStyle w:val="SingleTxtG"/>
        <w:numPr>
          <w:ilvl w:val="0"/>
          <w:numId w:val="40"/>
        </w:numPr>
        <w:ind w:left="1134" w:firstLine="0"/>
        <w:rPr>
          <w:lang w:val="fr-FR"/>
        </w:rPr>
      </w:pPr>
      <w:r w:rsidRPr="00EF3FF8">
        <w:rPr>
          <w:lang w:val="fr-FR"/>
        </w:rPr>
        <w:t>Entre 2021 et 2024, 115 juges et 25 élèves magistrats ont bénéficié de formations spécialisées sur le thème de la "violence contre les femmes et les filles".</w:t>
      </w:r>
    </w:p>
    <w:p w14:paraId="6FFBBEDC" w14:textId="77777777" w:rsidR="007045AF" w:rsidRPr="00EF3FF8" w:rsidRDefault="007045AF" w:rsidP="006C48D2">
      <w:pPr>
        <w:pStyle w:val="SingleTxtG"/>
        <w:numPr>
          <w:ilvl w:val="0"/>
          <w:numId w:val="40"/>
        </w:numPr>
        <w:ind w:left="1134" w:firstLine="0"/>
        <w:rPr>
          <w:lang w:val="fr-FR"/>
        </w:rPr>
      </w:pPr>
      <w:r w:rsidRPr="00EF3FF8">
        <w:rPr>
          <w:lang w:val="fr-FR"/>
        </w:rPr>
        <w:t>Le système de formation de la DGSN a été mis en adéquation avec les nouvelles exigences du terrain, en vue de renforcer les capacités des policiers en matière du respect des droits de l’homme. Dans ce cadre, 1/5</w:t>
      </w:r>
      <w:r w:rsidRPr="00EF3FF8">
        <w:rPr>
          <w:vertAlign w:val="superscript"/>
          <w:lang w:val="fr-FR"/>
        </w:rPr>
        <w:t>ème</w:t>
      </w:r>
      <w:r w:rsidRPr="00EF3FF8">
        <w:rPr>
          <w:lang w:val="fr-FR"/>
        </w:rPr>
        <w:t xml:space="preserve"> du volume horaire de la formation initiale de policiers est dédié aux droits humains en </w:t>
      </w:r>
      <w:r w:rsidRPr="00EF3FF8">
        <w:t>particulier</w:t>
      </w:r>
      <w:r w:rsidRPr="00EF3FF8">
        <w:rPr>
          <w:lang w:val="fr-FR"/>
        </w:rPr>
        <w:t xml:space="preserve"> les droits des femmes et des enfants.</w:t>
      </w:r>
    </w:p>
    <w:p w14:paraId="573826BC" w14:textId="77777777" w:rsidR="007045AF" w:rsidRPr="00EF3FF8" w:rsidRDefault="007045AF" w:rsidP="006C48D2">
      <w:pPr>
        <w:pStyle w:val="SingleTxtG"/>
        <w:numPr>
          <w:ilvl w:val="0"/>
          <w:numId w:val="40"/>
        </w:numPr>
        <w:ind w:left="1134" w:firstLine="0"/>
        <w:rPr>
          <w:lang w:val="fr-FR"/>
        </w:rPr>
      </w:pPr>
      <w:r w:rsidRPr="00EF3FF8">
        <w:rPr>
          <w:lang w:val="fr-FR"/>
        </w:rPr>
        <w:t xml:space="preserve">Il y a lieu d’indiquer qu’entre 2015 et 2024, 272 sessions de formation ont été organisées au profit de 6283 agents de la DGSN dans le cadre d’un plan d’action national. </w:t>
      </w:r>
    </w:p>
    <w:p w14:paraId="58CA76D8" w14:textId="77777777" w:rsidR="007045AF" w:rsidRPr="00EF3FF8" w:rsidRDefault="007045AF" w:rsidP="006C48D2">
      <w:pPr>
        <w:pStyle w:val="SingleTxtG"/>
        <w:numPr>
          <w:ilvl w:val="0"/>
          <w:numId w:val="40"/>
        </w:numPr>
        <w:ind w:left="1134" w:firstLine="0"/>
        <w:rPr>
          <w:lang w:val="fr-FR"/>
        </w:rPr>
      </w:pPr>
      <w:r w:rsidRPr="00EF3FF8">
        <w:rPr>
          <w:lang w:val="fr-FR"/>
        </w:rPr>
        <w:t xml:space="preserve">La DGSN a aussi mis en place un noyau regroupant 30 formateurs issus des écoles de police, spécialisés dans les </w:t>
      </w:r>
      <w:r w:rsidRPr="00EF3FF8">
        <w:t>standards</w:t>
      </w:r>
      <w:r w:rsidRPr="00EF3FF8">
        <w:rPr>
          <w:lang w:val="fr-FR"/>
        </w:rPr>
        <w:t xml:space="preserve"> internationaux des droits de l’homme, y compris les droits des femmes. </w:t>
      </w:r>
    </w:p>
    <w:p w14:paraId="6B15C46E" w14:textId="77777777" w:rsidR="007045AF" w:rsidRPr="007045AF" w:rsidRDefault="007045AF" w:rsidP="006C48D2">
      <w:pPr>
        <w:pStyle w:val="SingleTxtG"/>
        <w:numPr>
          <w:ilvl w:val="0"/>
          <w:numId w:val="40"/>
        </w:numPr>
        <w:ind w:left="1134" w:firstLine="0"/>
        <w:rPr>
          <w:lang w:val="fr-FR"/>
        </w:rPr>
      </w:pPr>
      <w:r w:rsidRPr="007045AF">
        <w:rPr>
          <w:lang w:val="fr-FR"/>
        </w:rPr>
        <w:t xml:space="preserve">Des officiers de la police judiciaire ont bénéficié de programmes de renforcement de capacités en matière d’investigations, leur permettant de s’adapter à l’évolution de la criminalité et des technologies, </w:t>
      </w:r>
      <w:r w:rsidRPr="003E2796">
        <w:t>notamment</w:t>
      </w:r>
      <w:r w:rsidRPr="007045AF">
        <w:rPr>
          <w:lang w:val="fr-FR"/>
        </w:rPr>
        <w:t xml:space="preserve"> en matière de protection de la femme dans le cyberespace.  </w:t>
      </w:r>
    </w:p>
    <w:p w14:paraId="3F45A847"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2A0764AB" wp14:editId="78ADAD4A">
            <wp:extent cx="4934281" cy="5994345"/>
            <wp:effectExtent l="19050" t="0" r="18719" b="6405"/>
            <wp:docPr id="2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D341C88"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39DDE06D" wp14:editId="0FF788D9">
            <wp:extent cx="5276519" cy="3616574"/>
            <wp:effectExtent l="19050" t="0" r="19381" b="2926"/>
            <wp:docPr id="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3361F3" w14:textId="77777777" w:rsidR="007045AF" w:rsidRPr="007045AF" w:rsidRDefault="007045AF" w:rsidP="007045AF">
      <w:pPr>
        <w:pStyle w:val="SingleTxtG"/>
        <w:rPr>
          <w:lang w:val="fr-FR"/>
        </w:rPr>
      </w:pPr>
      <w:r w:rsidRPr="007045AF">
        <w:rPr>
          <w:noProof/>
          <w:lang w:val="fr-FR"/>
        </w:rPr>
        <w:drawing>
          <wp:inline distT="0" distB="0" distL="0" distR="0" wp14:anchorId="264998BE" wp14:editId="7075756E">
            <wp:extent cx="5211362" cy="3283889"/>
            <wp:effectExtent l="19050" t="0" r="27388" b="0"/>
            <wp:docPr id="487682451"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C117FCE" w14:textId="77777777" w:rsidR="007045AF" w:rsidRPr="007045AF" w:rsidRDefault="007045AF" w:rsidP="006A6BD1">
      <w:pPr>
        <w:pStyle w:val="SingleTxtG"/>
        <w:numPr>
          <w:ilvl w:val="0"/>
          <w:numId w:val="40"/>
        </w:numPr>
        <w:ind w:left="1134" w:firstLine="0"/>
        <w:rPr>
          <w:lang w:val="fr-FR"/>
        </w:rPr>
      </w:pPr>
      <w:r w:rsidRPr="007045AF">
        <w:rPr>
          <w:lang w:val="fr-FR"/>
        </w:rPr>
        <w:t xml:space="preserve">Le personnel de la Gendarmerie Nationale, bénéficie de formations appropriées sur les droits des femmes et les bonnes pratiques relatives à sa protection contre toutes formes de violence. </w:t>
      </w:r>
    </w:p>
    <w:p w14:paraId="5B87FCA6" w14:textId="77777777" w:rsidR="007045AF" w:rsidRPr="007045AF" w:rsidRDefault="007045AF" w:rsidP="006A6BD1">
      <w:pPr>
        <w:pStyle w:val="SingleTxtG"/>
        <w:numPr>
          <w:ilvl w:val="0"/>
          <w:numId w:val="40"/>
        </w:numPr>
        <w:ind w:left="1134" w:firstLine="0"/>
        <w:rPr>
          <w:lang w:val="fr-FR"/>
        </w:rPr>
      </w:pPr>
      <w:r w:rsidRPr="007045AF">
        <w:rPr>
          <w:lang w:val="fr-FR"/>
        </w:rPr>
        <w:t xml:space="preserve">Plusieurs cours et séminaires traitant des thématiques relatives aux droits de l’homme, sont dispensés régulièrement au profit de tous les stagiaires de la Gendarmerie Nationale, qui comprennent l’ensemble des instruments internationaux et régionaux ratifiés, à raison d’un volume horaire annuel global </w:t>
      </w:r>
      <w:r w:rsidRPr="00EF3FF8">
        <w:rPr>
          <w:lang w:val="fr-FR"/>
        </w:rPr>
        <w:t>de 198 heures</w:t>
      </w:r>
      <w:r w:rsidRPr="007045AF">
        <w:rPr>
          <w:lang w:val="fr-FR"/>
        </w:rPr>
        <w:t>.</w:t>
      </w:r>
    </w:p>
    <w:p w14:paraId="5B670641" w14:textId="77777777" w:rsidR="007045AF" w:rsidRPr="007045AF" w:rsidRDefault="007045AF" w:rsidP="006A6BD1">
      <w:pPr>
        <w:pStyle w:val="SingleTxtG"/>
        <w:numPr>
          <w:ilvl w:val="0"/>
          <w:numId w:val="40"/>
        </w:numPr>
        <w:ind w:left="1134" w:firstLine="0"/>
        <w:rPr>
          <w:lang w:val="fr-FR"/>
        </w:rPr>
      </w:pPr>
      <w:r w:rsidRPr="007045AF">
        <w:rPr>
          <w:lang w:val="fr-FR"/>
        </w:rPr>
        <w:t xml:space="preserve">Plusieurs sessions de renforcement des capacités ont été organisées en 2025, au profit des professionnels de l’action sociale, intervenant auprès des femmes et filles victimes de violence. </w:t>
      </w:r>
    </w:p>
    <w:p w14:paraId="1A67D3C4" w14:textId="77777777" w:rsidR="007045AF" w:rsidRPr="007045AF" w:rsidRDefault="007045AF" w:rsidP="006A6BD1">
      <w:pPr>
        <w:pStyle w:val="SingleTxtG"/>
        <w:numPr>
          <w:ilvl w:val="0"/>
          <w:numId w:val="40"/>
        </w:numPr>
        <w:ind w:left="1134" w:firstLine="0"/>
        <w:rPr>
          <w:lang w:val="fr-FR"/>
        </w:rPr>
      </w:pPr>
      <w:r w:rsidRPr="007045AF">
        <w:rPr>
          <w:lang w:val="fr-FR"/>
        </w:rPr>
        <w:lastRenderedPageBreak/>
        <w:t xml:space="preserve">Dans le cadre du programme de coopération entre le Ministère de la Solidarité et ONU-Femmes, des sessions de formation ont été organisées au profit de l'ensemble des intervenants institutionnels pour garantir une meilleure prise en charge des femmes en difficulté et/ou victimes de violence, ainsi qu’une formation sur le concept de l’égalité des sexes dans les politiques publiques, organisée, au profit des membres la commission nationale de prévention et de lutte contre la violence faite aux femmes, du Conseil National de la Famille et de la Femme, ainsi que les cadres du Ministère. </w:t>
      </w:r>
    </w:p>
    <w:p w14:paraId="0A2A3A12" w14:textId="77777777" w:rsidR="007045AF" w:rsidRPr="007045AF" w:rsidRDefault="007045AF" w:rsidP="006A6BD1">
      <w:pPr>
        <w:pStyle w:val="SingleTxtG"/>
        <w:numPr>
          <w:ilvl w:val="0"/>
          <w:numId w:val="40"/>
        </w:numPr>
        <w:ind w:left="1134" w:firstLine="0"/>
        <w:rPr>
          <w:lang w:val="fr-FR"/>
        </w:rPr>
      </w:pPr>
      <w:r w:rsidRPr="007045AF">
        <w:rPr>
          <w:lang w:val="fr-FR"/>
        </w:rPr>
        <w:t xml:space="preserve">En </w:t>
      </w:r>
      <w:r w:rsidRPr="00EF3FF8">
        <w:rPr>
          <w:lang w:val="fr-FR"/>
        </w:rPr>
        <w:t>outre, 110 prestataires de santé ont bénéficié de formations sur les diverses formes de violence et les techniques de counseling permettant de mieux identifier, prendre en charge et orienter les femmes victimes</w:t>
      </w:r>
      <w:r w:rsidRPr="007045AF">
        <w:rPr>
          <w:lang w:val="fr-FR"/>
        </w:rPr>
        <w:t xml:space="preserve"> de violence.</w:t>
      </w:r>
    </w:p>
    <w:p w14:paraId="29FEDDE1" w14:textId="77777777" w:rsidR="007045AF" w:rsidRPr="007045AF" w:rsidRDefault="007045AF" w:rsidP="006A6BD1">
      <w:pPr>
        <w:pStyle w:val="SingleTxtG"/>
        <w:numPr>
          <w:ilvl w:val="0"/>
          <w:numId w:val="40"/>
        </w:numPr>
        <w:ind w:left="1134" w:firstLine="0"/>
        <w:rPr>
          <w:lang w:val="fr-FR"/>
        </w:rPr>
      </w:pPr>
      <w:r w:rsidRPr="007045AF">
        <w:rPr>
          <w:lang w:val="fr-FR"/>
        </w:rPr>
        <w:t xml:space="preserve">Le CNDH, en partenariat avec l’ONG Penal Reform International ‘PRI’ a organisé entre 2015 et 2022 des formations au profit des magistrats et des agents d’application de la loi, destinées à connaitre et à interpréter les droits consacrés dans les Conventions ratifiées par l’Algérie, notamment la CEDAW, et sensibiliser sur l’importance de leur application. Dans ce </w:t>
      </w:r>
      <w:r w:rsidRPr="00EF3FF8">
        <w:rPr>
          <w:lang w:val="fr-FR"/>
        </w:rPr>
        <w:t>cadre, 64 activités et plus de 45 formations ont</w:t>
      </w:r>
      <w:r w:rsidRPr="007045AF">
        <w:rPr>
          <w:bCs/>
          <w:lang w:val="fr-FR"/>
        </w:rPr>
        <w:t xml:space="preserve"> été menées. </w:t>
      </w:r>
    </w:p>
    <w:p w14:paraId="6A22EE13" w14:textId="77777777" w:rsidR="007045AF" w:rsidRPr="007045AF" w:rsidRDefault="007045AF" w:rsidP="006A6BD1">
      <w:pPr>
        <w:pStyle w:val="SingleTxtG"/>
        <w:numPr>
          <w:ilvl w:val="0"/>
          <w:numId w:val="40"/>
        </w:numPr>
        <w:ind w:left="1134" w:firstLine="0"/>
        <w:rPr>
          <w:lang w:val="fr-FR"/>
        </w:rPr>
      </w:pPr>
      <w:r w:rsidRPr="007045AF">
        <w:rPr>
          <w:lang w:val="fr-FR"/>
        </w:rPr>
        <w:t>Des campagnes d’information et de sensibilisation sur le contenu de la CEDAW sont menées par les secteurs concernés au profit du grand public, y compris les femmes, avec le concours des associations. Des dépliants en langues arabe et française ont été distribués lors des rencontres et séminaires organisés aux niveaux national et local.</w:t>
      </w:r>
    </w:p>
    <w:p w14:paraId="768B45C2" w14:textId="77777777" w:rsidR="007045AF" w:rsidRPr="007045AF" w:rsidRDefault="007045AF" w:rsidP="006A6BD1">
      <w:pPr>
        <w:pStyle w:val="SingleTxtG"/>
        <w:numPr>
          <w:ilvl w:val="0"/>
          <w:numId w:val="40"/>
        </w:numPr>
        <w:ind w:left="1134" w:firstLine="0"/>
        <w:rPr>
          <w:lang w:val="fr-FR"/>
        </w:rPr>
      </w:pPr>
      <w:r w:rsidRPr="007045AF">
        <w:rPr>
          <w:lang w:val="fr-FR"/>
        </w:rPr>
        <w:t>De plus, des cérémonies pour célébrer la journée internationale de lutte contre la violence à l’égard des femmes sont organisées le 25 novembre de chaque année dans le cadre des 16 jours d’activisme initiés par l’ONU sur la thématique. A ce titre, le « Prix national de lutte contre la violence à l’égard des femmes » a été créé en 2015.</w:t>
      </w:r>
    </w:p>
    <w:p w14:paraId="58002D1E" w14:textId="77777777" w:rsidR="007045AF" w:rsidRPr="007045AF" w:rsidRDefault="007045AF" w:rsidP="006A6BD1">
      <w:pPr>
        <w:pStyle w:val="SingleTxtG"/>
        <w:numPr>
          <w:ilvl w:val="0"/>
          <w:numId w:val="40"/>
        </w:numPr>
        <w:ind w:left="1134" w:firstLine="0"/>
        <w:rPr>
          <w:lang w:val="fr-FR"/>
        </w:rPr>
      </w:pPr>
      <w:r w:rsidRPr="007045AF">
        <w:rPr>
          <w:lang w:val="fr-FR"/>
        </w:rPr>
        <w:t xml:space="preserve">Par ailleurs, une campagne ayant pour slogan « Je suis un homme, je respecte la femme » a été réalisée par le Ministère de la Solidarité Nationale avec l’appui du FNUAP, ainsi que des spots télévisés incitant les familles à traiter leur enfants (filles et garçons) de la même manière, pour inculquer la culture de l’égalité des sexes chez la nouvelle génération. </w:t>
      </w:r>
    </w:p>
    <w:p w14:paraId="53C50496" w14:textId="77777777" w:rsidR="007045AF" w:rsidRPr="007045AF" w:rsidRDefault="007045AF" w:rsidP="006A6BD1">
      <w:pPr>
        <w:pStyle w:val="SingleTxtG"/>
        <w:numPr>
          <w:ilvl w:val="0"/>
          <w:numId w:val="40"/>
        </w:numPr>
        <w:ind w:left="1134" w:firstLine="0"/>
        <w:rPr>
          <w:lang w:val="fr-FR"/>
        </w:rPr>
      </w:pPr>
      <w:r w:rsidRPr="007045AF">
        <w:rPr>
          <w:lang w:val="fr-FR"/>
        </w:rPr>
        <w:t>Les associations engagées dans la lutte contre les stéréotypes et les comportements sociaux-négatifs mènent des actions de sensibilisation :</w:t>
      </w:r>
    </w:p>
    <w:p w14:paraId="484DC170" w14:textId="09D47EAE" w:rsidR="007045AF" w:rsidRPr="006A6BD1" w:rsidRDefault="007045AF" w:rsidP="006A6BD1">
      <w:pPr>
        <w:pStyle w:val="Bullet1G"/>
      </w:pPr>
      <w:r w:rsidRPr="006A6BD1">
        <w:t>Amnesty International a organisé des formations et des ateliers participatifs sur le droit des femmes incluant la CEDAW et la Convention de Maputo, ainsi que des campagnes de sensibilisation annuelles à l’occasion du 8 mars et durant les 16 jours d’activisme contre les violences faites aux femmes</w:t>
      </w:r>
      <w:r w:rsidR="006A6BD1">
        <w:t> ;</w:t>
      </w:r>
    </w:p>
    <w:p w14:paraId="6A02C272" w14:textId="4614A07A" w:rsidR="007045AF" w:rsidRPr="006A6BD1" w:rsidRDefault="007045AF" w:rsidP="006A6BD1">
      <w:pPr>
        <w:pStyle w:val="Bullet1G"/>
      </w:pPr>
      <w:r w:rsidRPr="006A6BD1">
        <w:t>L’Union Nationale des Femmes Algériennes (UNFA) a organisé plus de 120 campagnes de sensibilisation de proximité au niveau des communes et des villages, ayant ciblé plus de 25000 femmes et jeunes filles, notamment dans les zones éloignées, ainsi que le déploiement de 18 caravanes solidaires itinérantes, ayant permis d’offrir plus de 2500 consultations juridiques et d’orientation gratuites au profit des femmes</w:t>
      </w:r>
      <w:r w:rsidR="006A6BD1">
        <w:t> ;</w:t>
      </w:r>
    </w:p>
    <w:p w14:paraId="06EA8AAD" w14:textId="77777777" w:rsidR="007045AF" w:rsidRPr="006A6BD1" w:rsidRDefault="007045AF" w:rsidP="006A6BD1">
      <w:pPr>
        <w:pStyle w:val="Bullet1G"/>
      </w:pPr>
      <w:r w:rsidRPr="006A6BD1">
        <w:t>L’Association Nationale pour Promouvoir la Société Civile et la Citoyenneté (ANPSCC) a organisé des journées de sensibilisation sur les droits des femmes, le dépistage précoce du cancer du sein et l’entreprenariat féminin.</w:t>
      </w:r>
    </w:p>
    <w:p w14:paraId="3EC1A925" w14:textId="77777777" w:rsidR="007045AF" w:rsidRPr="007045AF" w:rsidRDefault="007045AF" w:rsidP="006A6BD1">
      <w:pPr>
        <w:pStyle w:val="SingleTxtG"/>
        <w:numPr>
          <w:ilvl w:val="0"/>
          <w:numId w:val="40"/>
        </w:numPr>
        <w:ind w:left="1134" w:firstLine="0"/>
        <w:rPr>
          <w:lang w:val="fr-FR"/>
        </w:rPr>
      </w:pPr>
      <w:r w:rsidRPr="007045AF">
        <w:rPr>
          <w:lang w:val="fr-FR"/>
        </w:rPr>
        <w:t xml:space="preserve">Afin de faciliter l’accès des femmes à la justice, le Ministère concerné organise périodiquement des journées portes ouvertes au niveau des juridictions et a créé des cellules d’accueil et d’orientation au profit du public, en particulier les femmes, et un portail électronique consacré à la réception de leurs préoccupations. </w:t>
      </w:r>
    </w:p>
    <w:p w14:paraId="02E77A36" w14:textId="4B4B9F29" w:rsidR="007045AF" w:rsidRPr="007045AF" w:rsidRDefault="007045AF" w:rsidP="00D84B67">
      <w:pPr>
        <w:pStyle w:val="SingleTxtG"/>
        <w:numPr>
          <w:ilvl w:val="0"/>
          <w:numId w:val="40"/>
        </w:numPr>
        <w:ind w:left="1134" w:firstLine="0"/>
        <w:rPr>
          <w:lang w:val="fr-FR"/>
        </w:rPr>
      </w:pPr>
      <w:r w:rsidRPr="007045AF">
        <w:rPr>
          <w:lang w:val="fr-FR"/>
        </w:rPr>
        <w:t>Point 16-d, voir réponse au point 12</w:t>
      </w:r>
      <w:r w:rsidR="00D2514A">
        <w:rPr>
          <w:lang w:val="fr-FR"/>
        </w:rPr>
        <w:t>.</w:t>
      </w:r>
    </w:p>
    <w:p w14:paraId="05481C59" w14:textId="7A321C1E" w:rsidR="007045AF" w:rsidRPr="007045AF" w:rsidRDefault="00D84B67" w:rsidP="00D84B67">
      <w:pPr>
        <w:pStyle w:val="H23G"/>
        <w:rPr>
          <w:lang w:val="fr-FR"/>
        </w:rPr>
      </w:pPr>
      <w:r>
        <w:rPr>
          <w:lang w:val="fr-FR"/>
        </w:rPr>
        <w:lastRenderedPageBreak/>
        <w:tab/>
      </w:r>
      <w:r>
        <w:rPr>
          <w:lang w:val="fr-FR"/>
        </w:rPr>
        <w:tab/>
      </w:r>
      <w:r w:rsidR="007045AF" w:rsidRPr="007045AF">
        <w:rPr>
          <w:lang w:val="fr-FR"/>
        </w:rPr>
        <w:t>Point 18</w:t>
      </w:r>
    </w:p>
    <w:p w14:paraId="3A7434B0" w14:textId="5D5555AC" w:rsidR="007045AF" w:rsidRPr="007045AF" w:rsidRDefault="00D84B67" w:rsidP="00D84B67">
      <w:pPr>
        <w:pStyle w:val="H23G"/>
        <w:rPr>
          <w:lang w:val="fr-FR"/>
        </w:rPr>
      </w:pPr>
      <w:r>
        <w:rPr>
          <w:lang w:val="fr-FR"/>
        </w:rPr>
        <w:tab/>
      </w:r>
      <w:r>
        <w:rPr>
          <w:lang w:val="fr-FR"/>
        </w:rPr>
        <w:tab/>
      </w:r>
      <w:r w:rsidR="007045AF" w:rsidRPr="007045AF">
        <w:rPr>
          <w:lang w:val="fr-FR"/>
        </w:rPr>
        <w:t>Définition de la discrimination à l’égard des femmes</w:t>
      </w:r>
    </w:p>
    <w:p w14:paraId="448F8754" w14:textId="77777777" w:rsidR="007045AF" w:rsidRPr="007045AF" w:rsidRDefault="007045AF" w:rsidP="00B63C24">
      <w:pPr>
        <w:pStyle w:val="SingleTxtG"/>
        <w:numPr>
          <w:ilvl w:val="0"/>
          <w:numId w:val="40"/>
        </w:numPr>
        <w:ind w:left="1134" w:firstLine="0"/>
        <w:rPr>
          <w:lang w:val="fr-FR"/>
        </w:rPr>
      </w:pPr>
      <w:r w:rsidRPr="007045AF">
        <w:rPr>
          <w:lang w:val="fr-FR"/>
        </w:rPr>
        <w:t>L’Algérie a adopté une loi globale afin de prévenir et de lutter contre la discrimination et le discours de haine</w:t>
      </w:r>
      <w:r w:rsidRPr="007045AF">
        <w:rPr>
          <w:vertAlign w:val="superscript"/>
          <w:lang w:val="fr-FR"/>
        </w:rPr>
        <w:footnoteReference w:id="14"/>
      </w:r>
      <w:r w:rsidRPr="007045AF">
        <w:rPr>
          <w:lang w:val="fr-FR"/>
        </w:rPr>
        <w:t>, dont l’article 2 se fonde sur le libellé de l’article premier de la CEDAW et définit, la discrimination comme étant «</w:t>
      </w:r>
      <w:r w:rsidRPr="007045AF">
        <w:rPr>
          <w:i/>
          <w:lang w:val="fr-FR"/>
        </w:rPr>
        <w:t xml:space="preserve">Toute distinction, exclusion, restriction ou préférence fondée sur le sexe, la race, la couleur, l'ascendance, l'origine nationale ou ethnique, la langue, l’appartenance </w:t>
      </w:r>
      <w:r w:rsidRPr="00B63C24">
        <w:rPr>
          <w:lang w:val="fr-FR"/>
        </w:rPr>
        <w:t>géographique</w:t>
      </w:r>
      <w:r w:rsidRPr="007045AF">
        <w:rPr>
          <w:i/>
          <w:lang w:val="fr-FR"/>
        </w:rPr>
        <w:t>, le handicap ou l’état de santé, qui a pour but ou pour effet d’entraver ou de compromettre la reconnaissance, la jouissance ou l'exercice, dans des conditions d'égalité, des droits de l'Homme et des libertés fondamentales dans les domaines politique, économique, social et culturel ou dans tout autre domaine de la vie publique</w:t>
      </w:r>
      <w:r w:rsidRPr="007045AF">
        <w:rPr>
          <w:lang w:val="fr-FR"/>
        </w:rPr>
        <w:t>».</w:t>
      </w:r>
    </w:p>
    <w:p w14:paraId="3B8E23AD" w14:textId="77777777" w:rsidR="007045AF" w:rsidRPr="007045AF" w:rsidRDefault="007045AF" w:rsidP="00B63C24">
      <w:pPr>
        <w:pStyle w:val="SingleTxtG"/>
        <w:numPr>
          <w:ilvl w:val="0"/>
          <w:numId w:val="40"/>
        </w:numPr>
        <w:ind w:left="1134" w:firstLine="0"/>
        <w:rPr>
          <w:lang w:val="fr-FR"/>
        </w:rPr>
      </w:pPr>
      <w:r w:rsidRPr="007045AF">
        <w:rPr>
          <w:lang w:val="fr-FR"/>
        </w:rPr>
        <w:t>Cette loi définit la discrimination et l’incrimine, en énonçant dans ses articles de 30 à 35 des sanctions proportionnelles à la gravité de l'acte commis, pouvant atteindre dix (10) ans d'emprisonnement et une amende de 10.000.000 DA.  Ainsi, toute victime d’une atteinte à un droit prévu par cette loi, a le droit de demander, à la justice, toute mesure conservatoire tendant à faire cesser cette atteinte, sous astreinte journalière.</w:t>
      </w:r>
    </w:p>
    <w:p w14:paraId="06515A4C" w14:textId="77777777" w:rsidR="007045AF" w:rsidRPr="007045AF" w:rsidRDefault="007045AF" w:rsidP="00B63C24">
      <w:pPr>
        <w:pStyle w:val="SingleTxtG"/>
        <w:numPr>
          <w:ilvl w:val="0"/>
          <w:numId w:val="40"/>
        </w:numPr>
        <w:ind w:left="1134" w:firstLine="0"/>
        <w:rPr>
          <w:lang w:val="fr-FR"/>
        </w:rPr>
      </w:pPr>
      <w:r w:rsidRPr="007045AF">
        <w:rPr>
          <w:lang w:val="fr-FR"/>
        </w:rPr>
        <w:t>L'État garantit aux victimes (femmes et hommes) des infractions de discrimination et de discours de haine, la prise en charge médicale, psychologique et sociale qui leur assure la sécurité, la sûreté, l’intégrité physique et psychologique et la dignité. Il œuvre aussi à leur faciliter l'accès à la justice.</w:t>
      </w:r>
    </w:p>
    <w:p w14:paraId="334F6E5C" w14:textId="77777777" w:rsidR="007045AF" w:rsidRPr="007045AF" w:rsidRDefault="007045AF" w:rsidP="00B63C24">
      <w:pPr>
        <w:pStyle w:val="SingleTxtG"/>
        <w:numPr>
          <w:ilvl w:val="0"/>
          <w:numId w:val="40"/>
        </w:numPr>
        <w:ind w:left="1134" w:firstLine="0"/>
        <w:rPr>
          <w:lang w:val="fr-FR"/>
        </w:rPr>
      </w:pPr>
      <w:r w:rsidRPr="007045AF">
        <w:rPr>
          <w:lang w:val="fr-FR"/>
        </w:rPr>
        <w:t>A cet égard, les victimes bénéficient de l'assistance judiciaire de plein droit ainsi que des programmes de protection des victimes et des témoins prévus par la législation en vigueur, notamment la dissimulation des informations relatives à leur identité, la mise à leur disposition d’un point de contact auprès des services de sécurité et la garantie d'une protection physique rapprochée, qui peut être étendue à leurs familles et leurs proches, ainsi que le changement du lieu de résidence.</w:t>
      </w:r>
    </w:p>
    <w:p w14:paraId="684168BC" w14:textId="77777777" w:rsidR="007045AF" w:rsidRPr="007045AF" w:rsidRDefault="007045AF" w:rsidP="007045AF">
      <w:pPr>
        <w:pStyle w:val="SingleTxtG"/>
        <w:rPr>
          <w:b/>
          <w:bCs/>
          <w:lang w:val="fr-FR"/>
        </w:rPr>
      </w:pPr>
      <w:r w:rsidRPr="007045AF">
        <w:rPr>
          <w:b/>
          <w:bCs/>
          <w:lang w:val="fr-FR"/>
        </w:rPr>
        <w:t>Point 20</w:t>
      </w:r>
    </w:p>
    <w:p w14:paraId="305BD27C" w14:textId="77777777" w:rsidR="007045AF" w:rsidRPr="007045AF" w:rsidRDefault="007045AF" w:rsidP="00B63C24">
      <w:pPr>
        <w:pStyle w:val="SingleTxtG"/>
        <w:numPr>
          <w:ilvl w:val="0"/>
          <w:numId w:val="40"/>
        </w:numPr>
        <w:ind w:left="1134" w:firstLine="0"/>
        <w:rPr>
          <w:lang w:val="fr-FR"/>
        </w:rPr>
      </w:pPr>
      <w:r w:rsidRPr="007045AF">
        <w:rPr>
          <w:lang w:val="fr-FR"/>
        </w:rPr>
        <w:t>L'Algérie procède à une révision périodique des lois afin de les adapter à ses engagements internationaux, aux évolutions constatées sur le terrain, ainsi qu'aux préoccupations exprimées par les citoyens et les différentes catégories de la société civile.</w:t>
      </w:r>
    </w:p>
    <w:p w14:paraId="0C2A3B04" w14:textId="77777777" w:rsidR="007045AF" w:rsidRPr="007045AF" w:rsidRDefault="007045AF" w:rsidP="00B63C24">
      <w:pPr>
        <w:pStyle w:val="SingleTxtG"/>
        <w:numPr>
          <w:ilvl w:val="0"/>
          <w:numId w:val="40"/>
        </w:numPr>
        <w:ind w:left="1134" w:firstLine="0"/>
        <w:rPr>
          <w:lang w:val="fr-FR"/>
        </w:rPr>
      </w:pPr>
      <w:r w:rsidRPr="007045AF">
        <w:rPr>
          <w:lang w:val="fr-FR"/>
        </w:rPr>
        <w:t>Dans ce cadre, l’Algérie a procédé à la révision de la Constitution en 2020 en réaffirmant les principes et les droits suivants :</w:t>
      </w:r>
    </w:p>
    <w:p w14:paraId="4B26C60B" w14:textId="77777777" w:rsidR="007045AF" w:rsidRPr="00B63C24" w:rsidRDefault="007045AF" w:rsidP="00B63C24">
      <w:pPr>
        <w:pStyle w:val="Bullet1G"/>
      </w:pPr>
      <w:r w:rsidRPr="00B63C24">
        <w:t>Égalité entre les citoyens et suppression de toutes formes de discrimination ;</w:t>
      </w:r>
    </w:p>
    <w:p w14:paraId="298879AD" w14:textId="77777777" w:rsidR="007045AF" w:rsidRPr="00B63C24" w:rsidRDefault="007045AF" w:rsidP="00B63C24">
      <w:pPr>
        <w:pStyle w:val="Bullet1G"/>
      </w:pPr>
      <w:r w:rsidRPr="00B63C24">
        <w:t xml:space="preserve">Promotion des droits de la femme en tant que principe fondamental dans le domaine politique ; </w:t>
      </w:r>
    </w:p>
    <w:p w14:paraId="73B0A7FA" w14:textId="77777777" w:rsidR="007045AF" w:rsidRPr="00B63C24" w:rsidRDefault="007045AF" w:rsidP="00B63C24">
      <w:pPr>
        <w:pStyle w:val="Bullet1G"/>
      </w:pPr>
      <w:r w:rsidRPr="00B63C24">
        <w:t xml:space="preserve">Parité entre les hommes et les femmes sur le marché de l'emploi, ainsi que la nomination des femmes aux postes de responsabilité dans les institutions et les administrations publiques et au niveau des entreprises ; </w:t>
      </w:r>
    </w:p>
    <w:p w14:paraId="5B29229F" w14:textId="77777777" w:rsidR="007045AF" w:rsidRPr="00B63C24" w:rsidRDefault="007045AF" w:rsidP="00B63C24">
      <w:pPr>
        <w:pStyle w:val="Bullet1G"/>
      </w:pPr>
      <w:r w:rsidRPr="00B63C24">
        <w:t>Protection de l’Etat contre les violences à l’égard des femmes.</w:t>
      </w:r>
    </w:p>
    <w:p w14:paraId="39EEE095" w14:textId="77777777" w:rsidR="007045AF" w:rsidRPr="007045AF" w:rsidRDefault="007045AF" w:rsidP="00B63C24">
      <w:pPr>
        <w:pStyle w:val="SingleTxtG"/>
        <w:numPr>
          <w:ilvl w:val="0"/>
          <w:numId w:val="40"/>
        </w:numPr>
        <w:ind w:left="1134" w:firstLine="0"/>
        <w:rPr>
          <w:lang w:val="fr-FR"/>
        </w:rPr>
      </w:pPr>
      <w:r w:rsidRPr="007045AF">
        <w:rPr>
          <w:lang w:val="fr-FR"/>
        </w:rPr>
        <w:t>Le législateur algérien s'inspire des expériences des pays dont le système juridique est proche du sien. Des experts nationaux et étrangers sont sollicités dans le cadre d’activités académiques ou institutionnelles sur le suivi des recommandations issues des organes de traités.</w:t>
      </w:r>
    </w:p>
    <w:p w14:paraId="25AC8AC1" w14:textId="77777777" w:rsidR="007045AF" w:rsidRPr="007045AF" w:rsidRDefault="007045AF" w:rsidP="00B63C24">
      <w:pPr>
        <w:pStyle w:val="SingleTxtG"/>
        <w:numPr>
          <w:ilvl w:val="0"/>
          <w:numId w:val="40"/>
        </w:numPr>
        <w:ind w:left="1134" w:firstLine="0"/>
        <w:rPr>
          <w:lang w:val="fr-FR"/>
        </w:rPr>
      </w:pPr>
      <w:r w:rsidRPr="007045AF">
        <w:rPr>
          <w:lang w:val="fr-FR"/>
        </w:rPr>
        <w:t>En ce qui concerne le financement des associations, la loi</w:t>
      </w:r>
      <w:r w:rsidRPr="007045AF">
        <w:rPr>
          <w:vertAlign w:val="superscript"/>
          <w:lang w:val="fr-FR"/>
        </w:rPr>
        <w:footnoteReference w:id="15"/>
      </w:r>
      <w:r w:rsidRPr="007045AF">
        <w:rPr>
          <w:lang w:val="fr-FR"/>
        </w:rPr>
        <w:t>permet aux associations de recevoir des fonds étrangers sous certaines conditions objectives : que ces fonds résultent de relations de coopération légalement établies et que ce financement soit soumis à l'approbation préalable de l'autorité compétente.</w:t>
      </w:r>
    </w:p>
    <w:p w14:paraId="14A67EFA" w14:textId="77777777" w:rsidR="007045AF" w:rsidRPr="007045AF" w:rsidRDefault="007045AF" w:rsidP="00B63C24">
      <w:pPr>
        <w:pStyle w:val="SingleTxtG"/>
        <w:numPr>
          <w:ilvl w:val="0"/>
          <w:numId w:val="40"/>
        </w:numPr>
        <w:ind w:left="1134" w:firstLine="0"/>
        <w:rPr>
          <w:lang w:val="fr-FR"/>
        </w:rPr>
      </w:pPr>
      <w:r w:rsidRPr="007045AF">
        <w:rPr>
          <w:lang w:val="fr-FR"/>
        </w:rPr>
        <w:lastRenderedPageBreak/>
        <w:t>Ces mesures s’inscrivent dans le cadre des recommandations du GAFI ainsi que la politique de l'État visant à suivre l’origine des fonds des associations pour prévenir tout financement suspect par des fonds issus de revenus criminels, conformément aux dispositions de la loi n°05-01 du 6 février 2005, modifiée et complétée</w:t>
      </w:r>
      <w:r w:rsidRPr="007045AF">
        <w:rPr>
          <w:vertAlign w:val="superscript"/>
          <w:lang w:val="fr-FR"/>
        </w:rPr>
        <w:footnoteReference w:id="16"/>
      </w:r>
      <w:r w:rsidRPr="007045AF">
        <w:rPr>
          <w:lang w:val="fr-FR"/>
        </w:rPr>
        <w:t>,relative à la prévention et à la lutte contre le blanchiment d’argent et le financement du terrorisme.</w:t>
      </w:r>
    </w:p>
    <w:p w14:paraId="13AB1582" w14:textId="77777777" w:rsidR="007045AF" w:rsidRPr="007045AF" w:rsidRDefault="007045AF" w:rsidP="00B63C24">
      <w:pPr>
        <w:pStyle w:val="SingleTxtG"/>
        <w:numPr>
          <w:ilvl w:val="0"/>
          <w:numId w:val="40"/>
        </w:numPr>
        <w:ind w:left="1134" w:firstLine="0"/>
        <w:rPr>
          <w:lang w:val="fr-FR"/>
        </w:rPr>
      </w:pPr>
      <w:r w:rsidRPr="007045AF">
        <w:rPr>
          <w:lang w:val="fr-FR"/>
        </w:rPr>
        <w:t>L’Algérie a adhéré aux mécanismes internationaux qui imposent l’obligation de contrôle de mouvements des capitaux afin que les financements de bienfaisance provenant de bailleurs de fonds internationaux ne soient pas détournés au profit de groupes terroristes ou de personnes qui leur sont associées, conformément à la Résolution 2199 du 12 février 2015 du Conseil de sécurité des Nations Unies.</w:t>
      </w:r>
    </w:p>
    <w:p w14:paraId="26D485D3" w14:textId="77777777" w:rsidR="007045AF" w:rsidRPr="007045AF" w:rsidRDefault="007045AF" w:rsidP="00B63C24">
      <w:pPr>
        <w:pStyle w:val="SingleTxtG"/>
        <w:numPr>
          <w:ilvl w:val="0"/>
          <w:numId w:val="40"/>
        </w:numPr>
        <w:ind w:left="1134" w:firstLine="0"/>
        <w:rPr>
          <w:lang w:val="fr-FR"/>
        </w:rPr>
      </w:pPr>
      <w:r w:rsidRPr="007045AF">
        <w:rPr>
          <w:lang w:val="fr-FR"/>
        </w:rPr>
        <w:t>Plusieurs associations ont bénéficié de fonds étrangers dans le cadre de projets de coopération. On citera à titre illustratif :</w:t>
      </w:r>
    </w:p>
    <w:p w14:paraId="5A00D283" w14:textId="0B11D45E" w:rsidR="007045AF" w:rsidRPr="00B63C24" w:rsidRDefault="007045AF" w:rsidP="00B63C24">
      <w:pPr>
        <w:pStyle w:val="Bullet1G"/>
      </w:pPr>
      <w:r w:rsidRPr="00B63C24">
        <w:t>La Fédération Algérienne des Personnes Handicapées qui a reçue des fonds canadiens dans le cadre d’un projet sur la prévention des violences faites aux femmes handicapées en Algérie</w:t>
      </w:r>
      <w:r w:rsidR="00B63C24">
        <w:t> ;</w:t>
      </w:r>
    </w:p>
    <w:p w14:paraId="6C98C042" w14:textId="77777777" w:rsidR="007045AF" w:rsidRPr="00B63C24" w:rsidRDefault="007045AF" w:rsidP="00B63C24">
      <w:pPr>
        <w:pStyle w:val="Bullet1G"/>
      </w:pPr>
      <w:r w:rsidRPr="00B63C24">
        <w:t xml:space="preserve">Le Centre d’information et de documentation sur le droit de l’enfant et de la Femme, qui a reçu des fonds européens dans le cadre d’un projet avec UNICEF ; </w:t>
      </w:r>
    </w:p>
    <w:p w14:paraId="3B14878F" w14:textId="77777777" w:rsidR="007045AF" w:rsidRPr="00B63C24" w:rsidRDefault="007045AF" w:rsidP="00B63C24">
      <w:pPr>
        <w:pStyle w:val="Bullet1G"/>
      </w:pPr>
      <w:r w:rsidRPr="00B63C24">
        <w:t xml:space="preserve">Les Scouts Musulmans Algériens qui ont reçus des fonds multilatéraux de l’UNICEF. </w:t>
      </w:r>
    </w:p>
    <w:p w14:paraId="4D8248A1" w14:textId="77777777" w:rsidR="007045AF" w:rsidRPr="007045AF" w:rsidRDefault="007045AF" w:rsidP="00B63C24">
      <w:pPr>
        <w:pStyle w:val="SingleTxtG"/>
        <w:numPr>
          <w:ilvl w:val="0"/>
          <w:numId w:val="40"/>
        </w:numPr>
        <w:ind w:left="1134" w:firstLine="0"/>
        <w:rPr>
          <w:lang w:val="fr-FR"/>
        </w:rPr>
      </w:pPr>
      <w:r w:rsidRPr="00EF3FF8">
        <w:rPr>
          <w:lang w:val="fr-FR"/>
        </w:rPr>
        <w:t>Par ailleurs, un projet de loi organique relatif aux associations est actuellement en phase de finalisation. À cet effet, l’ONSC a organisé une consultation nationale, réunissant 4892 acteurs de la société civile, dont 1585 femmes</w:t>
      </w:r>
      <w:r w:rsidRPr="007045AF">
        <w:rPr>
          <w:lang w:val="fr-FR"/>
        </w:rPr>
        <w:t xml:space="preserve">, qui ont transmis leurs contributions et propositions à ce sujet. </w:t>
      </w:r>
    </w:p>
    <w:p w14:paraId="1A291CEF" w14:textId="491DA653" w:rsidR="007045AF" w:rsidRPr="007045AF" w:rsidRDefault="00B63C24" w:rsidP="00B63C24">
      <w:pPr>
        <w:pStyle w:val="H23G"/>
      </w:pPr>
      <w:r>
        <w:tab/>
      </w:r>
      <w:r>
        <w:tab/>
      </w:r>
      <w:r w:rsidR="007045AF" w:rsidRPr="007045AF">
        <w:t>Point 22 (a et b)</w:t>
      </w:r>
    </w:p>
    <w:p w14:paraId="3647CB80" w14:textId="77777777" w:rsidR="007045AF" w:rsidRPr="007045AF" w:rsidRDefault="007045AF" w:rsidP="00B63C24">
      <w:pPr>
        <w:pStyle w:val="SingleTxtG"/>
        <w:numPr>
          <w:ilvl w:val="0"/>
          <w:numId w:val="40"/>
        </w:numPr>
        <w:ind w:left="1134" w:firstLine="0"/>
        <w:rPr>
          <w:lang w:val="fr-FR"/>
        </w:rPr>
      </w:pPr>
      <w:r w:rsidRPr="007045AF">
        <w:rPr>
          <w:lang w:val="fr-FR"/>
        </w:rPr>
        <w:t>Afin de rapprocher la justice du citoyen et en faciliter l’accès, l’Etat a mis en place des juridictions couvrant l’ensemble du territoire, avec 58 cours de justice, 276 tribunaux, 58 tribunaux administratifs, 06 cours administratives d’appel et 25 tribunaux commerciaux spécialisés.</w:t>
      </w:r>
    </w:p>
    <w:p w14:paraId="4991F8A4" w14:textId="77777777" w:rsidR="007045AF" w:rsidRPr="007045AF" w:rsidRDefault="007045AF" w:rsidP="00B63C24">
      <w:pPr>
        <w:pStyle w:val="SingleTxtG"/>
        <w:numPr>
          <w:ilvl w:val="0"/>
          <w:numId w:val="40"/>
        </w:numPr>
        <w:ind w:left="1134" w:firstLine="0"/>
        <w:rPr>
          <w:lang w:val="fr-FR"/>
        </w:rPr>
      </w:pPr>
      <w:r w:rsidRPr="007045AF">
        <w:rPr>
          <w:lang w:val="fr-FR"/>
        </w:rPr>
        <w:t>La facilitation de l'accès à la justice se concrétise également par la simplification des procédures afin de les rendre accessibles aux justiciables, l’adoption des technologies de l'information et de la communication dans le travail judiciaire, la prestation de services à distance ainsi que le renforcement des dispositions législatives visant à simplifier les procédures et à protéger les témoins, les victimes et les dénonciateurs.</w:t>
      </w:r>
    </w:p>
    <w:p w14:paraId="16FB9B82" w14:textId="77777777" w:rsidR="007045AF" w:rsidRPr="007045AF" w:rsidRDefault="007045AF" w:rsidP="00B63C24">
      <w:pPr>
        <w:pStyle w:val="SingleTxtG"/>
        <w:numPr>
          <w:ilvl w:val="0"/>
          <w:numId w:val="40"/>
        </w:numPr>
        <w:ind w:left="1134" w:firstLine="0"/>
        <w:rPr>
          <w:lang w:val="fr-FR"/>
        </w:rPr>
      </w:pPr>
      <w:r w:rsidRPr="007045AF">
        <w:rPr>
          <w:lang w:val="fr-FR"/>
        </w:rPr>
        <w:t>La Constitution (art.42) dispose que «</w:t>
      </w:r>
      <w:r w:rsidRPr="007045AF">
        <w:rPr>
          <w:i/>
          <w:iCs/>
          <w:lang w:val="fr-FR"/>
        </w:rPr>
        <w:t xml:space="preserve"> les personnes démunies ont droit à l’assistance judiciaire »</w:t>
      </w:r>
      <w:r w:rsidRPr="007045AF">
        <w:rPr>
          <w:lang w:val="fr-FR"/>
        </w:rPr>
        <w:t>afin d'exercer leur droit de plaider en tant que demandeurs ou défendeurs. L'État prend en charge les honoraires de l'avocat désigné dans le cadre de l’assistance judiciaire. Cette assistance est élargie aux étrangers résidant sur le territoire national. De plus, la Constitution (art.40), garantit l’accès des femmes victimes de violence à des structures d’accueil, à des dispositifs de prise en charge, et une assistance judiciaire.</w:t>
      </w:r>
    </w:p>
    <w:p w14:paraId="32850793" w14:textId="77777777" w:rsidR="007045AF" w:rsidRPr="007045AF" w:rsidRDefault="007045AF" w:rsidP="00B63C24">
      <w:pPr>
        <w:pStyle w:val="SingleTxtG"/>
        <w:numPr>
          <w:ilvl w:val="0"/>
          <w:numId w:val="40"/>
        </w:numPr>
        <w:ind w:left="1134" w:firstLine="0"/>
        <w:rPr>
          <w:rtl/>
        </w:rPr>
      </w:pPr>
      <w:r w:rsidRPr="007045AF">
        <w:rPr>
          <w:lang w:val="fr-FR"/>
        </w:rPr>
        <w:t>Certaines catégories bénéficient de l’assistance judiciaire de plein droit. Il s’agit notamment, des mineurs parties en cause, de la mère en matière de garde d’enfant, des victimes de la traite des personnes et du trafic d’organes, des victimes du trafic illicite de migrants, des victimes du terrorisme, des handicapées et des victimes de discrimination et du discours de haine.</w:t>
      </w:r>
    </w:p>
    <w:p w14:paraId="34806D97" w14:textId="77777777" w:rsidR="007045AF" w:rsidRPr="007045AF" w:rsidRDefault="007045AF" w:rsidP="00B63C24">
      <w:pPr>
        <w:pStyle w:val="SingleTxtG"/>
        <w:numPr>
          <w:ilvl w:val="0"/>
          <w:numId w:val="40"/>
        </w:numPr>
        <w:ind w:left="1134" w:firstLine="0"/>
        <w:rPr>
          <w:lang w:val="fr-FR"/>
        </w:rPr>
      </w:pPr>
      <w:r w:rsidRPr="007045AF">
        <w:rPr>
          <w:lang w:val="fr-FR"/>
        </w:rPr>
        <w:t>À cet égard</w:t>
      </w:r>
      <w:r w:rsidRPr="00EF3FF8">
        <w:rPr>
          <w:lang w:val="fr-FR"/>
        </w:rPr>
        <w:t>, 31680 femmes</w:t>
      </w:r>
      <w:r w:rsidRPr="007045AF">
        <w:rPr>
          <w:lang w:val="fr-FR"/>
        </w:rPr>
        <w:t xml:space="preserve"> ont bénéficié de l’assistance judiciaire de 2021 à 2025.</w:t>
      </w:r>
    </w:p>
    <w:p w14:paraId="16C8C3F6" w14:textId="0C3C099C" w:rsidR="007045AF" w:rsidRPr="007045AF" w:rsidRDefault="00C142D4" w:rsidP="007045AF">
      <w:pPr>
        <w:pStyle w:val="SingleTxtG"/>
        <w:rPr>
          <w:lang w:val="fr-FR"/>
        </w:rPr>
      </w:pPr>
      <w:r w:rsidRPr="00C142D4">
        <w:rPr>
          <w:rFonts w:eastAsia="Calibri"/>
          <w:noProof/>
          <w:sz w:val="26"/>
          <w:szCs w:val="26"/>
          <w:lang w:val="fr-FR" w:eastAsia="fr-FR"/>
        </w:rPr>
        <w:lastRenderedPageBreak/>
        <w:drawing>
          <wp:inline distT="0" distB="0" distL="0" distR="0" wp14:anchorId="76495A91" wp14:editId="77247604">
            <wp:extent cx="4876800" cy="3227106"/>
            <wp:effectExtent l="1905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76923" cy="3227187"/>
                    </a:xfrm>
                    <a:prstGeom prst="rect">
                      <a:avLst/>
                    </a:prstGeom>
                    <a:noFill/>
                  </pic:spPr>
                </pic:pic>
              </a:graphicData>
            </a:graphic>
          </wp:inline>
        </w:drawing>
      </w:r>
    </w:p>
    <w:p w14:paraId="1DFA591C" w14:textId="77777777" w:rsidR="007045AF" w:rsidRPr="007045AF" w:rsidRDefault="007045AF" w:rsidP="006E3AE2">
      <w:pPr>
        <w:pStyle w:val="SingleTxtG"/>
        <w:numPr>
          <w:ilvl w:val="0"/>
          <w:numId w:val="40"/>
        </w:numPr>
        <w:ind w:left="1134" w:firstLine="0"/>
        <w:rPr>
          <w:lang w:val="fr-FR"/>
        </w:rPr>
      </w:pPr>
      <w:r w:rsidRPr="007045AF">
        <w:rPr>
          <w:lang w:val="fr-FR"/>
        </w:rPr>
        <w:t>Point 22-b, voir réponse au point 30.</w:t>
      </w:r>
    </w:p>
    <w:p w14:paraId="39BC1F40" w14:textId="08115C50" w:rsidR="007045AF" w:rsidRPr="007045AF" w:rsidRDefault="006E3AE2" w:rsidP="006E3AE2">
      <w:pPr>
        <w:pStyle w:val="H23G"/>
      </w:pPr>
      <w:r>
        <w:tab/>
      </w:r>
      <w:r>
        <w:tab/>
      </w:r>
      <w:r w:rsidR="007045AF" w:rsidRPr="007045AF">
        <w:t>Point-24</w:t>
      </w:r>
    </w:p>
    <w:p w14:paraId="1C980A6E" w14:textId="77777777" w:rsidR="007045AF" w:rsidRPr="007045AF" w:rsidRDefault="007045AF" w:rsidP="00B63C24">
      <w:pPr>
        <w:pStyle w:val="SingleTxtG"/>
        <w:numPr>
          <w:ilvl w:val="0"/>
          <w:numId w:val="40"/>
        </w:numPr>
        <w:ind w:left="1134" w:firstLine="0"/>
        <w:rPr>
          <w:lang w:val="fr-FR"/>
        </w:rPr>
      </w:pPr>
      <w:r w:rsidRPr="007045AF">
        <w:rPr>
          <w:lang w:val="fr-FR"/>
        </w:rPr>
        <w:t>En Algérie, l’exigence du respect et de la promotion des droits des femmes ainsi que leur autonomisation relève de la responsabilité commune et partagée de tous les secteurs gouvernementaux, ainsi que des pouvoirs législatif et judiciaire.</w:t>
      </w:r>
    </w:p>
    <w:p w14:paraId="75AF6D9D" w14:textId="77777777" w:rsidR="007045AF" w:rsidRPr="007045AF" w:rsidRDefault="007045AF" w:rsidP="006E3AE2">
      <w:pPr>
        <w:pStyle w:val="SingleTxtG"/>
        <w:numPr>
          <w:ilvl w:val="0"/>
          <w:numId w:val="40"/>
        </w:numPr>
        <w:ind w:left="1134" w:firstLine="0"/>
        <w:rPr>
          <w:lang w:val="fr-FR"/>
        </w:rPr>
      </w:pPr>
      <w:r w:rsidRPr="007045AF">
        <w:rPr>
          <w:lang w:val="fr-FR"/>
        </w:rPr>
        <w:t>Dans ce cadre, plusieurs mécanismes nationaux contribuent à la promotion de l’égalité des sexes et l’amélioration de la condition de la femme. Voir les paragraphes du 15 au 29.</w:t>
      </w:r>
    </w:p>
    <w:p w14:paraId="1D578B84" w14:textId="77777777" w:rsidR="007045AF" w:rsidRPr="007045AF" w:rsidRDefault="007045AF" w:rsidP="006E3AE2">
      <w:pPr>
        <w:pStyle w:val="SingleTxtG"/>
        <w:numPr>
          <w:ilvl w:val="0"/>
          <w:numId w:val="40"/>
        </w:numPr>
        <w:ind w:left="1134" w:firstLine="0"/>
        <w:rPr>
          <w:lang w:val="fr-FR"/>
        </w:rPr>
      </w:pPr>
      <w:r w:rsidRPr="007045AF">
        <w:rPr>
          <w:lang w:val="fr-FR"/>
        </w:rPr>
        <w:t>Point 24-c, Voir les paragraphes du 30 au 43.</w:t>
      </w:r>
    </w:p>
    <w:p w14:paraId="42900C56" w14:textId="128D3213" w:rsidR="007045AF" w:rsidRPr="007045AF" w:rsidRDefault="00F647A1" w:rsidP="00F647A1">
      <w:pPr>
        <w:pStyle w:val="H23G"/>
        <w:rPr>
          <w:lang w:val="fr-FR"/>
        </w:rPr>
      </w:pPr>
      <w:r>
        <w:rPr>
          <w:lang w:val="fr-FR"/>
        </w:rPr>
        <w:tab/>
      </w:r>
      <w:r>
        <w:rPr>
          <w:lang w:val="fr-FR"/>
        </w:rPr>
        <w:tab/>
      </w:r>
      <w:r w:rsidR="007045AF" w:rsidRPr="007045AF">
        <w:rPr>
          <w:lang w:val="fr-FR"/>
        </w:rPr>
        <w:t>Point 26</w:t>
      </w:r>
    </w:p>
    <w:p w14:paraId="2B3620BA" w14:textId="77777777" w:rsidR="007045AF" w:rsidRDefault="007045AF" w:rsidP="006E3AE2">
      <w:pPr>
        <w:pStyle w:val="SingleTxtG"/>
        <w:numPr>
          <w:ilvl w:val="0"/>
          <w:numId w:val="40"/>
        </w:numPr>
        <w:ind w:left="1134" w:firstLine="0"/>
        <w:rPr>
          <w:lang w:val="fr-FR"/>
        </w:rPr>
      </w:pPr>
      <w:r w:rsidRPr="007045AF">
        <w:rPr>
          <w:lang w:val="fr-FR"/>
        </w:rPr>
        <w:t>En vue d’accroitre la participation politique des femmes et leur éligibilité aux assemblées populaires locales et nationales, l’Etat a adopté plusieurs textes, notamment la loi organique n°12-03 du 12 janvier 2012 qui augmente les chances d’accès de la femme à la représentation dans les assemblées élues en instaurant le système de quota proportionnel, qui a contribué à la correction des inégalités, en renforçant la représentation des femmes dans les assemblées élues.</w:t>
      </w:r>
    </w:p>
    <w:p w14:paraId="38796884" w14:textId="5E98DA8C" w:rsidR="004D19F6" w:rsidRPr="007045AF" w:rsidRDefault="0050297F" w:rsidP="004D19F6">
      <w:pPr>
        <w:pStyle w:val="SingleTxtG"/>
        <w:rPr>
          <w:lang w:val="fr-FR"/>
        </w:rPr>
      </w:pPr>
      <w:r w:rsidRPr="0050297F">
        <w:rPr>
          <w:rFonts w:eastAsia="Times New Roman"/>
          <w:noProof/>
          <w:sz w:val="26"/>
          <w:szCs w:val="26"/>
          <w:lang w:val="fr-FR" w:eastAsia="fr-FR"/>
        </w:rPr>
        <w:lastRenderedPageBreak/>
        <w:drawing>
          <wp:inline distT="0" distB="0" distL="0" distR="0" wp14:anchorId="29050700" wp14:editId="3E911C1D">
            <wp:extent cx="5935372" cy="2934031"/>
            <wp:effectExtent l="0" t="0" r="8255"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915552" name="Imag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35372" cy="2934031"/>
                    </a:xfrm>
                    <a:prstGeom prst="rect">
                      <a:avLst/>
                    </a:prstGeom>
                  </pic:spPr>
                </pic:pic>
              </a:graphicData>
            </a:graphic>
          </wp:inline>
        </w:drawing>
      </w:r>
    </w:p>
    <w:p w14:paraId="66E5BC50" w14:textId="15CAF518" w:rsidR="007045AF" w:rsidRPr="00236218" w:rsidRDefault="007045AF" w:rsidP="007517C7">
      <w:pPr>
        <w:pStyle w:val="SingleTxtG"/>
        <w:numPr>
          <w:ilvl w:val="0"/>
          <w:numId w:val="40"/>
        </w:numPr>
        <w:ind w:left="1134" w:firstLine="0"/>
        <w:rPr>
          <w:lang w:val="fr-FR"/>
        </w:rPr>
      </w:pPr>
      <w:r w:rsidRPr="00236218">
        <w:rPr>
          <w:lang w:val="fr-FR"/>
        </w:rPr>
        <w:t>Cette volonté a été renforcée par l’adoption de:</w:t>
      </w:r>
    </w:p>
    <w:p w14:paraId="16763C9B" w14:textId="0C6B9CD9" w:rsidR="007045AF" w:rsidRPr="00F453D7" w:rsidRDefault="007045AF" w:rsidP="00F453D7">
      <w:pPr>
        <w:pStyle w:val="Bullet1G"/>
      </w:pPr>
      <w:r w:rsidRPr="00F453D7">
        <w:t>La Constitution (art.59) qui dispose que « L’État œuvre à la promotion des droits politiques de la femme en encourageant ses chances d'accès à la représentation dans les assemblées élues. Les conditions d'application de cette disposition sont fixées par une loi organique »</w:t>
      </w:r>
      <w:r w:rsidR="0018300A">
        <w:t> ;</w:t>
      </w:r>
    </w:p>
    <w:p w14:paraId="50FFBD3B" w14:textId="0E80B5AC" w:rsidR="007045AF" w:rsidRPr="00F453D7" w:rsidRDefault="007045AF" w:rsidP="00F453D7">
      <w:pPr>
        <w:pStyle w:val="Bullet1G"/>
      </w:pPr>
      <w:r w:rsidRPr="00F453D7">
        <w:t>La loi organique n°26-05 du 04 avril 2026 modifiant et complétant l’ordonnance n°21-01 du 10 mars 2021, relative au régime électoral</w:t>
      </w:r>
      <w:r w:rsidR="0018300A">
        <w:t> ;</w:t>
      </w:r>
    </w:p>
    <w:p w14:paraId="7E0B5FBD" w14:textId="604C3BCF" w:rsidR="007045AF" w:rsidRPr="00F453D7" w:rsidRDefault="007045AF" w:rsidP="00F453D7">
      <w:pPr>
        <w:pStyle w:val="Bullet1G"/>
      </w:pPr>
      <w:r w:rsidRPr="00F453D7">
        <w:t>La loi organique n°26-08 du 23 avril 2026 relative aux partis politiques qui a permis l’émergence de quatre (04) femmes présidentes de partis politiques</w:t>
      </w:r>
      <w:r w:rsidR="0018300A">
        <w:t> ;</w:t>
      </w:r>
    </w:p>
    <w:p w14:paraId="1564D7AA" w14:textId="77777777" w:rsidR="007045AF" w:rsidRPr="00F453D7" w:rsidRDefault="007045AF" w:rsidP="00F453D7">
      <w:pPr>
        <w:pStyle w:val="Bullet1G"/>
      </w:pPr>
      <w:r w:rsidRPr="00F453D7">
        <w:t>La loi n°12-06 du 12 janvier 2012 relative aux associations, qui permet aux citoyens, notamment les femmes, d’être associé à la gestion des affaires publiques.</w:t>
      </w:r>
    </w:p>
    <w:p w14:paraId="66CEFFAC" w14:textId="77777777" w:rsidR="007045AF" w:rsidRPr="00B71EFE" w:rsidRDefault="007045AF" w:rsidP="007653DD">
      <w:pPr>
        <w:pStyle w:val="SingleTxtG"/>
        <w:numPr>
          <w:ilvl w:val="0"/>
          <w:numId w:val="40"/>
        </w:numPr>
        <w:ind w:left="1134" w:firstLine="0"/>
        <w:rPr>
          <w:lang w:val="fr-FR"/>
        </w:rPr>
      </w:pPr>
      <w:r w:rsidRPr="007045AF">
        <w:rPr>
          <w:lang w:val="fr-FR"/>
        </w:rPr>
        <w:t xml:space="preserve">L’Etat a adopté cette approche pour favoriser l’essor du mouvement associatif, comme en </w:t>
      </w:r>
      <w:r w:rsidRPr="00B71EFE">
        <w:rPr>
          <w:lang w:val="fr-FR"/>
        </w:rPr>
        <w:t>témoigne le nombre d’associations actives dans le domaine de la protection et de la promotion de la femme. Le nombre total de ces associations est de 950 dont 22à caractère national et 928 à caractère local. En outre, 229 associations nationales et 3913 associations locales sont présidées par des femmes.</w:t>
      </w:r>
    </w:p>
    <w:p w14:paraId="369CA2ED" w14:textId="5C6A694E" w:rsidR="00CD4EF8" w:rsidRDefault="000C15AC" w:rsidP="00CD4EF8">
      <w:pPr>
        <w:pStyle w:val="SingleTxtG"/>
        <w:rPr>
          <w:lang w:val="fr-FR"/>
        </w:rPr>
      </w:pPr>
      <w:r w:rsidRPr="000C15AC">
        <w:rPr>
          <w:rFonts w:eastAsia="Calibri"/>
          <w:noProof/>
          <w:sz w:val="26"/>
          <w:szCs w:val="26"/>
          <w:lang w:val="fr-FR" w:eastAsia="fr-FR"/>
        </w:rPr>
        <w:drawing>
          <wp:anchor distT="0" distB="0" distL="114300" distR="114300" simplePos="0" relativeHeight="251665408" behindDoc="1" locked="0" layoutInCell="1" allowOverlap="1" wp14:anchorId="7956CE6B" wp14:editId="0729E249">
            <wp:simplePos x="0" y="0"/>
            <wp:positionH relativeFrom="column">
              <wp:posOffset>-2540</wp:posOffset>
            </wp:positionH>
            <wp:positionV relativeFrom="paragraph">
              <wp:posOffset>1905</wp:posOffset>
            </wp:positionV>
            <wp:extent cx="5801305" cy="2249941"/>
            <wp:effectExtent l="0" t="0" r="9525" b="0"/>
            <wp:wrapTopAndBottom/>
            <wp:docPr id="15236694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91626" name="Imag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01305" cy="2249941"/>
                    </a:xfrm>
                    <a:prstGeom prst="rect">
                      <a:avLst/>
                    </a:prstGeom>
                  </pic:spPr>
                </pic:pic>
              </a:graphicData>
            </a:graphic>
          </wp:anchor>
        </w:drawing>
      </w:r>
    </w:p>
    <w:p w14:paraId="516EAE45" w14:textId="0084ABD3" w:rsidR="00DA5908" w:rsidRPr="00B71EFE" w:rsidRDefault="00DA5908" w:rsidP="00DA5908">
      <w:pPr>
        <w:pStyle w:val="SingleTxtG"/>
        <w:numPr>
          <w:ilvl w:val="0"/>
          <w:numId w:val="40"/>
        </w:numPr>
        <w:ind w:left="1134" w:firstLine="0"/>
        <w:rPr>
          <w:lang w:val="fr-FR"/>
        </w:rPr>
      </w:pPr>
      <w:r w:rsidRPr="007045AF">
        <w:rPr>
          <w:lang w:val="fr-FR"/>
        </w:rPr>
        <w:t xml:space="preserve">Pour sa part, l’activité bénévole en Algérie se caractérise par une forte présence </w:t>
      </w:r>
      <w:r w:rsidRPr="007045AF">
        <w:rPr>
          <w:bCs/>
          <w:lang w:val="fr-FR"/>
        </w:rPr>
        <w:t>féminine</w:t>
      </w:r>
      <w:r w:rsidRPr="007045AF">
        <w:rPr>
          <w:lang w:val="fr-FR"/>
        </w:rPr>
        <w:t xml:space="preserve">, tant en termes de volume d’engagement que de participation sur le terrain, le nombre de volontaires étant </w:t>
      </w:r>
      <w:r w:rsidRPr="00B71EFE">
        <w:rPr>
          <w:lang w:val="fr-FR"/>
        </w:rPr>
        <w:t>estimé à 4.344.459.</w:t>
      </w:r>
    </w:p>
    <w:p w14:paraId="04379DA2" w14:textId="77777777" w:rsidR="005D6112" w:rsidRPr="00DA5908" w:rsidRDefault="005D6112" w:rsidP="005D6112">
      <w:pPr>
        <w:pStyle w:val="SingleTxtG"/>
        <w:rPr>
          <w:lang w:val="fr-FR"/>
        </w:rPr>
      </w:pPr>
    </w:p>
    <w:p w14:paraId="0ADE31D7" w14:textId="590FB321" w:rsidR="007045AF" w:rsidRPr="00CD1A35" w:rsidRDefault="00697893" w:rsidP="0057515D">
      <w:pPr>
        <w:pStyle w:val="H23G"/>
        <w:rPr>
          <w:lang w:val="pt-BR"/>
        </w:rPr>
      </w:pPr>
      <w:r w:rsidRPr="00697893">
        <w:rPr>
          <w:rFonts w:eastAsia="Calibri"/>
          <w:noProof/>
          <w:sz w:val="26"/>
          <w:szCs w:val="26"/>
          <w:lang w:val="fr-FR" w:eastAsia="fr-FR"/>
        </w:rPr>
        <w:lastRenderedPageBreak/>
        <w:drawing>
          <wp:anchor distT="0" distB="0" distL="114300" distR="114300" simplePos="0" relativeHeight="251667456" behindDoc="1" locked="0" layoutInCell="1" allowOverlap="1" wp14:anchorId="1A590DBE" wp14:editId="3D9701B4">
            <wp:simplePos x="0" y="0"/>
            <wp:positionH relativeFrom="column">
              <wp:posOffset>-2540</wp:posOffset>
            </wp:positionH>
            <wp:positionV relativeFrom="paragraph">
              <wp:posOffset>1905</wp:posOffset>
            </wp:positionV>
            <wp:extent cx="6090699" cy="3051045"/>
            <wp:effectExtent l="0" t="0" r="5715" b="0"/>
            <wp:wrapTopAndBottom/>
            <wp:docPr id="9437442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91626" name="Imag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090699" cy="3051045"/>
                    </a:xfrm>
                    <a:prstGeom prst="rect">
                      <a:avLst/>
                    </a:prstGeom>
                  </pic:spPr>
                </pic:pic>
              </a:graphicData>
            </a:graphic>
          </wp:anchor>
        </w:drawing>
      </w:r>
      <w:r w:rsidR="00F76030" w:rsidRPr="00DF31FF">
        <w:rPr>
          <w:lang w:val="pt-BR"/>
        </w:rPr>
        <w:tab/>
      </w:r>
      <w:r w:rsidR="00F76030" w:rsidRPr="00DF31FF">
        <w:rPr>
          <w:lang w:val="pt-BR"/>
        </w:rPr>
        <w:tab/>
      </w:r>
      <w:r w:rsidR="007045AF" w:rsidRPr="00CD1A35">
        <w:rPr>
          <w:lang w:val="pt-BR"/>
        </w:rPr>
        <w:t>Point 28 (a-b-c-d-e)</w:t>
      </w:r>
    </w:p>
    <w:p w14:paraId="49289B93" w14:textId="77777777" w:rsidR="007045AF" w:rsidRPr="0057515D" w:rsidRDefault="007045AF" w:rsidP="00C15C97">
      <w:pPr>
        <w:pStyle w:val="SingleTxtG"/>
        <w:numPr>
          <w:ilvl w:val="0"/>
          <w:numId w:val="40"/>
        </w:numPr>
        <w:ind w:left="1134" w:firstLine="0"/>
      </w:pPr>
      <w:r w:rsidRPr="0057515D">
        <w:t xml:space="preserve">La Constitution (art.68) énonce « L’Etat œuvre à promouvoir la parité entre les hommes et les femmes sur le marché de l'emploi, L'Etat encourage la promotion de la femme aux responsabilités dans les institutions et administrations publiques ainsi qu'au niveau des entreprises ». </w:t>
      </w:r>
      <w:r w:rsidRPr="00C15C97">
        <w:rPr>
          <w:lang w:val="fr-FR"/>
        </w:rPr>
        <w:t>L’article72</w:t>
      </w:r>
      <w:r w:rsidRPr="0057515D">
        <w:t xml:space="preserve"> dispose aussi que « L'État œuvre à assurer aux personnes vulnérables ayant des besoins spécifiques, leur insertion dans la vie sociale ».</w:t>
      </w:r>
    </w:p>
    <w:p w14:paraId="36CF8542" w14:textId="77777777" w:rsidR="007045AF" w:rsidRPr="007045AF" w:rsidRDefault="007045AF" w:rsidP="007653DD">
      <w:pPr>
        <w:pStyle w:val="SingleTxtG"/>
        <w:numPr>
          <w:ilvl w:val="0"/>
          <w:numId w:val="40"/>
        </w:numPr>
        <w:ind w:left="1134" w:firstLine="0"/>
        <w:rPr>
          <w:lang w:val="fr-FR"/>
        </w:rPr>
      </w:pPr>
      <w:r w:rsidRPr="007045AF">
        <w:rPr>
          <w:lang w:val="fr-FR"/>
        </w:rPr>
        <w:t>Le principe d’égalité des chances et la promotion d’une participation pleine et entière des femmes dans le marché du travail sont consacrés par les dispositions législatives ci-après, découlant de la ratification des instruments fondamentaux de l’OIT, dont les conventions n°100</w:t>
      </w:r>
      <w:r w:rsidRPr="007045AF">
        <w:rPr>
          <w:vertAlign w:val="superscript"/>
          <w:lang w:val="fr-FR"/>
        </w:rPr>
        <w:footnoteReference w:id="17"/>
      </w:r>
      <w:r w:rsidRPr="007045AF">
        <w:rPr>
          <w:lang w:val="fr-FR"/>
        </w:rPr>
        <w:t xml:space="preserve"> relative à l’égalité de rémunération, et n°111</w:t>
      </w:r>
      <w:r w:rsidRPr="007045AF">
        <w:rPr>
          <w:vertAlign w:val="superscript"/>
          <w:lang w:val="fr-FR"/>
        </w:rPr>
        <w:footnoteReference w:id="18"/>
      </w:r>
      <w:r w:rsidRPr="007045AF">
        <w:rPr>
          <w:lang w:val="fr-FR"/>
        </w:rPr>
        <w:t xml:space="preserve"> concernant la discrimination en matière d’emploi et de profession :</w:t>
      </w:r>
    </w:p>
    <w:p w14:paraId="52380081" w14:textId="77777777" w:rsidR="007045AF" w:rsidRPr="007045AF" w:rsidRDefault="007045AF" w:rsidP="00F76030">
      <w:pPr>
        <w:pStyle w:val="Bullet1G"/>
        <w:rPr>
          <w:lang w:val="fr-FR"/>
        </w:rPr>
      </w:pPr>
      <w:r w:rsidRPr="007045AF">
        <w:rPr>
          <w:lang w:val="fr-FR"/>
        </w:rPr>
        <w:t>La loi n°90-11, du 21 avril 1990, modifiée et complétée, relative aux relations de travail, (articles 5,6, 17) ;</w:t>
      </w:r>
    </w:p>
    <w:p w14:paraId="4978324C" w14:textId="77777777" w:rsidR="007045AF" w:rsidRPr="007045AF" w:rsidRDefault="007045AF" w:rsidP="00F76030">
      <w:pPr>
        <w:pStyle w:val="Bullet1G"/>
        <w:rPr>
          <w:lang w:val="fr-FR"/>
        </w:rPr>
      </w:pPr>
      <w:r w:rsidRPr="007045AF">
        <w:rPr>
          <w:lang w:val="fr-FR"/>
        </w:rPr>
        <w:t>L’Ordonnance n°06-03 du 15 juillet 2006 portant statut général de la fonction publique (article 27) ;</w:t>
      </w:r>
    </w:p>
    <w:p w14:paraId="232E7ADB" w14:textId="54F49E9D" w:rsidR="007045AF" w:rsidRPr="007045AF" w:rsidRDefault="007045AF" w:rsidP="00F76030">
      <w:pPr>
        <w:pStyle w:val="Bullet1G"/>
        <w:rPr>
          <w:lang w:val="fr-FR"/>
        </w:rPr>
      </w:pPr>
      <w:r w:rsidRPr="007045AF">
        <w:rPr>
          <w:lang w:val="fr-FR"/>
        </w:rPr>
        <w:t>La loi n°23-02 du 25 avril 2023 relative à l'exercice du droit syndical (articles 38, 40)</w:t>
      </w:r>
      <w:r w:rsidR="00202C5C">
        <w:rPr>
          <w:lang w:val="fr-FR"/>
        </w:rPr>
        <w:t>.</w:t>
      </w:r>
    </w:p>
    <w:p w14:paraId="36ADCED9" w14:textId="77777777" w:rsidR="007045AF" w:rsidRPr="00202C5C" w:rsidRDefault="007045AF" w:rsidP="00202C5C">
      <w:pPr>
        <w:pStyle w:val="SingleTxtG"/>
        <w:numPr>
          <w:ilvl w:val="0"/>
          <w:numId w:val="40"/>
        </w:numPr>
        <w:ind w:left="1134" w:firstLine="0"/>
        <w:rPr>
          <w:lang w:val="fr-FR"/>
        </w:rPr>
      </w:pPr>
      <w:r w:rsidRPr="007045AF">
        <w:rPr>
          <w:lang w:val="fr-FR"/>
        </w:rPr>
        <w:t xml:space="preserve">En Algérie, il n’existe pas de types d’emploi ou de travail traditionnellement exercés par des hommes ou des femmes. Les femmes choisissent librement leurs activités professionnelles et </w:t>
      </w:r>
      <w:r w:rsidRPr="00202C5C">
        <w:rPr>
          <w:lang w:val="fr-FR"/>
        </w:rPr>
        <w:t>sont</w:t>
      </w:r>
      <w:r w:rsidRPr="007045AF">
        <w:rPr>
          <w:lang w:val="fr-FR"/>
        </w:rPr>
        <w:t xml:space="preserve"> présentes dans tous les secteurs d’activités: </w:t>
      </w:r>
      <w:r w:rsidRPr="00202C5C">
        <w:rPr>
          <w:lang w:val="fr-FR"/>
        </w:rPr>
        <w:t xml:space="preserve">elles sont membres du Gouvernement (07) Ministres et (02) </w:t>
      </w:r>
      <w:r w:rsidRPr="007653DD">
        <w:rPr>
          <w:lang w:val="fr-FR"/>
        </w:rPr>
        <w:t>Secrétaires</w:t>
      </w:r>
      <w:r w:rsidRPr="00202C5C">
        <w:rPr>
          <w:lang w:val="fr-FR"/>
        </w:rPr>
        <w:t xml:space="preserve"> d’Etat (représentant 23,68%), cadres supérieurs dans la Fonction Publique (43134 représentant 33.61%),magistrates (622 représentant 49.2%), avocates (17069 représentant 49.73%), diplomates en fonctions supérieures (88 soit 24%), enseignantes d’université (34917 représentant 47.8%),professionnelles de la santé (56450 représentant 73.16%), enseignantes dans l’éducation nationale (492063 représentant 76.5%), entrepreneures dans les start-up (4463 représentant 33.9%).</w:t>
      </w:r>
    </w:p>
    <w:p w14:paraId="296FED28" w14:textId="77777777" w:rsidR="007045AF" w:rsidRPr="00202C5C" w:rsidRDefault="007045AF" w:rsidP="00202C5C">
      <w:pPr>
        <w:pStyle w:val="SingleTxtG"/>
        <w:numPr>
          <w:ilvl w:val="0"/>
          <w:numId w:val="40"/>
        </w:numPr>
        <w:ind w:left="1134" w:firstLine="0"/>
      </w:pPr>
      <w:r w:rsidRPr="00202C5C">
        <w:t xml:space="preserve">De plus, les femmes occupent d’autres postes de responsabilité, à savoir : 04 présidentes d’institutions </w:t>
      </w:r>
      <w:r w:rsidRPr="00202C5C">
        <w:rPr>
          <w:lang w:val="fr-FR"/>
        </w:rPr>
        <w:t>constitutionnelles</w:t>
      </w:r>
      <w:r w:rsidRPr="00202C5C">
        <w:t>, 03 présidentes de Cours, 69 présidentes de Tribunal, 02 Walis, 03 Walis Déléguées, 64 Cheffes de Daïra, 07 présidentes d’assemblées locales élues, 1907 cadres supérieurs de la DGSN et représente 6.45 % des officiers du CGN.</w:t>
      </w:r>
    </w:p>
    <w:p w14:paraId="3825FA7B" w14:textId="77777777" w:rsidR="007045AF" w:rsidRPr="007045AF" w:rsidRDefault="007045AF" w:rsidP="00202C5C">
      <w:pPr>
        <w:pStyle w:val="SingleTxtG"/>
        <w:numPr>
          <w:ilvl w:val="0"/>
          <w:numId w:val="40"/>
        </w:numPr>
        <w:ind w:left="1134" w:firstLine="0"/>
        <w:rPr>
          <w:lang w:val="fr-FR"/>
        </w:rPr>
      </w:pPr>
      <w:r w:rsidRPr="007045AF">
        <w:rPr>
          <w:lang w:val="fr-FR"/>
        </w:rPr>
        <w:lastRenderedPageBreak/>
        <w:t>Le système éducatif algérien œuvre à travers ses programmes dans les trois cycles d’enseignement (primaire, moyen et secondaire), à enraciner chez l’élève les valeurs universelles de respect des droits de l’homme, d’égalité des sexes, de devoirs inhérents à la citoyenneté, de respect de l’autre et de tolérance ainsi que le sens de l’équité, conformément aux textes de la loi d’orientation sur l’ éducation Nationale.</w:t>
      </w:r>
      <w:r w:rsidRPr="007045AF">
        <w:rPr>
          <w:vertAlign w:val="superscript"/>
          <w:lang w:val="fr-FR"/>
        </w:rPr>
        <w:footnoteReference w:id="19"/>
      </w:r>
    </w:p>
    <w:p w14:paraId="3F7A5963" w14:textId="77777777" w:rsidR="007045AF" w:rsidRPr="007045AF" w:rsidRDefault="007045AF" w:rsidP="00C15C97">
      <w:pPr>
        <w:pStyle w:val="SingleTxtG"/>
        <w:numPr>
          <w:ilvl w:val="0"/>
          <w:numId w:val="40"/>
        </w:numPr>
        <w:ind w:left="1134" w:firstLine="0"/>
        <w:rPr>
          <w:lang w:val="fr-FR"/>
        </w:rPr>
      </w:pPr>
      <w:r w:rsidRPr="007045AF">
        <w:rPr>
          <w:lang w:val="fr-FR"/>
        </w:rPr>
        <w:t>Le statut de la femme dans les manuels scolaires révisés a considérablement évolué, en application d’une disposition inscrite dans le cahier des charges des éditeurs de manuels scolaires qui prévoit clairement que toute forme de discrimination, qu'elle soit explicite ou implicite, envers les filles et les femmes doit être rigoureusement exclue. Les stéréotypes négatifs qui les cantonnaient aux seules tâches ménagères ont progressivement laissé place à une image de la femme exerçant une variété de métiers au même titre que ses homologues masculins, contribuant activement à l'édification d’une société égalitaire.</w:t>
      </w:r>
    </w:p>
    <w:p w14:paraId="2118EE99" w14:textId="77777777" w:rsidR="007045AF" w:rsidRPr="007045AF" w:rsidRDefault="007045AF" w:rsidP="00C15C97">
      <w:pPr>
        <w:pStyle w:val="SingleTxtG"/>
        <w:numPr>
          <w:ilvl w:val="0"/>
          <w:numId w:val="40"/>
        </w:numPr>
        <w:ind w:left="1134" w:firstLine="0"/>
        <w:rPr>
          <w:lang w:val="fr-FR"/>
        </w:rPr>
      </w:pPr>
      <w:r w:rsidRPr="007045AF">
        <w:rPr>
          <w:lang w:val="fr-FR"/>
        </w:rPr>
        <w:t>Plusieurs actions de renforcement des compétences des professionnels de la presse ont été réalisées par le secteur de la Communisation, dans l’objectif de valoriser l’image de la femme dans la société. Par exemple, un programme de formation à l’échelle nationale a été concrétisé au profit des professionnels des médias (radio, TV, presse écrite), dans le cadre du suivi de la mise en œuvre du programme de coopération entre l’Algérie et ONU-Femmes.</w:t>
      </w:r>
    </w:p>
    <w:p w14:paraId="394BD3CF" w14:textId="77777777" w:rsidR="007045AF" w:rsidRPr="007045AF" w:rsidRDefault="007045AF" w:rsidP="00C15C97">
      <w:pPr>
        <w:pStyle w:val="SingleTxtG"/>
        <w:numPr>
          <w:ilvl w:val="0"/>
          <w:numId w:val="40"/>
        </w:numPr>
        <w:ind w:left="1134" w:firstLine="0"/>
        <w:rPr>
          <w:lang w:val="fr-FR"/>
        </w:rPr>
      </w:pPr>
      <w:r w:rsidRPr="007045AF">
        <w:rPr>
          <w:lang w:val="fr-FR"/>
        </w:rPr>
        <w:t>S’agissant des actions menées afin de lutter contre les stéréotypes et les comportements sociaux négatifs, le Ministère de la Communication a émis des orientations à l’intention des médias afin de :</w:t>
      </w:r>
    </w:p>
    <w:p w14:paraId="2D097E19" w14:textId="77777777" w:rsidR="007045AF" w:rsidRPr="008C253A" w:rsidRDefault="007045AF" w:rsidP="003F0EB6">
      <w:pPr>
        <w:pStyle w:val="Bullet1G"/>
      </w:pPr>
      <w:r w:rsidRPr="008C253A">
        <w:t>Généraliser la sensibilisation aux questions d’égalité des sexes ;</w:t>
      </w:r>
    </w:p>
    <w:p w14:paraId="60374D03" w14:textId="77777777" w:rsidR="007045AF" w:rsidRPr="008C253A" w:rsidRDefault="007045AF" w:rsidP="003F0EB6">
      <w:pPr>
        <w:pStyle w:val="Bullet1G"/>
      </w:pPr>
      <w:r w:rsidRPr="008C253A">
        <w:t>Améliorer l’image des femmes ;</w:t>
      </w:r>
    </w:p>
    <w:p w14:paraId="44925451" w14:textId="77777777" w:rsidR="007045AF" w:rsidRPr="008C253A" w:rsidRDefault="007045AF" w:rsidP="003F0EB6">
      <w:pPr>
        <w:pStyle w:val="Bullet1G"/>
      </w:pPr>
      <w:r w:rsidRPr="008C253A">
        <w:t>Organiser des formations régulières sur la question de l’égalité des sexes ;</w:t>
      </w:r>
    </w:p>
    <w:p w14:paraId="3CB9744E" w14:textId="77777777" w:rsidR="007045AF" w:rsidRPr="008C253A" w:rsidRDefault="007045AF" w:rsidP="003F0EB6">
      <w:pPr>
        <w:pStyle w:val="Bullet1G"/>
      </w:pPr>
      <w:r w:rsidRPr="008C253A">
        <w:t>Assurer un discours médiatique exempt de stéréotypes discriminants à l’égard de la femme.</w:t>
      </w:r>
    </w:p>
    <w:p w14:paraId="3810B02E" w14:textId="77777777" w:rsidR="007045AF" w:rsidRPr="007045AF" w:rsidRDefault="007045AF" w:rsidP="00C15C97">
      <w:pPr>
        <w:pStyle w:val="SingleTxtG"/>
        <w:numPr>
          <w:ilvl w:val="0"/>
          <w:numId w:val="40"/>
        </w:numPr>
        <w:ind w:left="1134" w:firstLine="0"/>
        <w:rPr>
          <w:lang w:val="fr-FR"/>
        </w:rPr>
      </w:pPr>
      <w:r w:rsidRPr="007045AF">
        <w:rPr>
          <w:lang w:val="fr-FR"/>
        </w:rPr>
        <w:t>S’agissant de la représentation des femmes dans les organes de l’audiovisuel :</w:t>
      </w:r>
    </w:p>
    <w:p w14:paraId="7343AED9" w14:textId="5CCDA793" w:rsidR="007045AF" w:rsidRPr="003F0EB6" w:rsidRDefault="007045AF" w:rsidP="003F0EB6">
      <w:pPr>
        <w:pStyle w:val="Bullet1G"/>
      </w:pPr>
      <w:r w:rsidRPr="003F0EB6">
        <w:t>L’Entreprise Publique de Télévision (EPTV) : au sein de la direction des programmes, les femmes représentent 66% des effectifs des différentes structures. Dans certaines structures opérationnelles, elles sont majoritaires pour une partie des éditions (52%), les reportages (70%), les émissions spécialisées (59%), et la production des programmes (50%)</w:t>
      </w:r>
      <w:r w:rsidR="003F0EB6">
        <w:t> ;</w:t>
      </w:r>
    </w:p>
    <w:p w14:paraId="03235A4C" w14:textId="66887C52" w:rsidR="007045AF" w:rsidRPr="003F0EB6" w:rsidRDefault="007045AF" w:rsidP="003F0EB6">
      <w:pPr>
        <w:pStyle w:val="Bullet1G"/>
      </w:pPr>
      <w:r w:rsidRPr="003F0EB6">
        <w:t>L’Entreprise Publique des Radios Sonores (EPRS) : les femmes journalistes à la radio occupent certains postes de responsabilité dont 25% dans les directions centrales et 70% cheffes de département</w:t>
      </w:r>
      <w:r w:rsidR="003F0EB6">
        <w:t> ;</w:t>
      </w:r>
    </w:p>
    <w:p w14:paraId="7E4BCCE7" w14:textId="77777777" w:rsidR="007045AF" w:rsidRPr="003F0EB6" w:rsidRDefault="007045AF" w:rsidP="003F0EB6">
      <w:pPr>
        <w:pStyle w:val="Bullet1G"/>
      </w:pPr>
      <w:r w:rsidRPr="003F0EB6">
        <w:t>La presse écrite : la part des femmes journalistes dans les effectifs totaux des journalistes de la presse écrite atteint 40% en moyenne contre 38% en moyenne dans la presse électronique.</w:t>
      </w:r>
    </w:p>
    <w:p w14:paraId="603BDC93" w14:textId="77777777" w:rsidR="007045AF" w:rsidRPr="007045AF" w:rsidRDefault="007045AF" w:rsidP="00C15C97">
      <w:pPr>
        <w:pStyle w:val="SingleTxtG"/>
        <w:numPr>
          <w:ilvl w:val="0"/>
          <w:numId w:val="40"/>
        </w:numPr>
        <w:ind w:left="1134" w:firstLine="0"/>
        <w:rPr>
          <w:lang w:val="fr-FR"/>
        </w:rPr>
      </w:pPr>
      <w:r w:rsidRPr="007045AF">
        <w:rPr>
          <w:lang w:val="fr-FR"/>
        </w:rPr>
        <w:t xml:space="preserve">Le Ministère des Affaires Religieuses et des Wakfs a mis en œuvre des actions visant à promouvoir la culture du respect des femmes, fondée sur les enseignements de l’Islam, à travers des ateliers de sensibilisation au sein des mosquées portant sur les thématiques suivantes : la lutte contre le discours de haine et l’incitation à la violence, la lutte contre toutes les formes d’intolérance, les stéréotypes négatifs, la stigmatisation, la discrimination sexuelle, la violence et la traite des personnes. </w:t>
      </w:r>
    </w:p>
    <w:p w14:paraId="085737EA" w14:textId="77777777" w:rsidR="007045AF" w:rsidRPr="007045AF" w:rsidRDefault="007045AF" w:rsidP="00C15C97">
      <w:pPr>
        <w:pStyle w:val="SingleTxtG"/>
        <w:numPr>
          <w:ilvl w:val="0"/>
          <w:numId w:val="40"/>
        </w:numPr>
        <w:ind w:left="1134" w:firstLine="0"/>
        <w:rPr>
          <w:lang w:val="fr-FR"/>
        </w:rPr>
      </w:pPr>
      <w:r w:rsidRPr="007045AF">
        <w:rPr>
          <w:lang w:val="fr-FR"/>
        </w:rPr>
        <w:t xml:space="preserve">Ces actions ont consisté à sensibiliser les imams et les guides religieuses féminines (Mourchidates) sur l'accueil et l'accompagnement des victimes de violence, en partenariat avec le FNUAP et </w:t>
      </w:r>
      <w:r w:rsidRPr="007045AF">
        <w:rPr>
          <w:bCs/>
          <w:lang w:val="fr-FR"/>
        </w:rPr>
        <w:t>l’ONUDC</w:t>
      </w:r>
      <w:r w:rsidRPr="007045AF">
        <w:rPr>
          <w:lang w:val="fr-FR"/>
        </w:rPr>
        <w:t>. En décembre 2025</w:t>
      </w:r>
      <w:r w:rsidRPr="00B71EFE">
        <w:rPr>
          <w:lang w:val="fr-FR"/>
        </w:rPr>
        <w:t>, 137 imams</w:t>
      </w:r>
      <w:r w:rsidRPr="007045AF">
        <w:rPr>
          <w:lang w:val="fr-FR"/>
        </w:rPr>
        <w:t xml:space="preserve"> et Mourchidates ont bénéficié d’une formation sur les droits des femmes.</w:t>
      </w:r>
    </w:p>
    <w:p w14:paraId="0D10F96D" w14:textId="77777777" w:rsidR="007045AF" w:rsidRPr="007045AF" w:rsidRDefault="007045AF" w:rsidP="00C15C97">
      <w:pPr>
        <w:pStyle w:val="SingleTxtG"/>
        <w:numPr>
          <w:ilvl w:val="0"/>
          <w:numId w:val="40"/>
        </w:numPr>
        <w:ind w:left="1134" w:firstLine="0"/>
        <w:rPr>
          <w:lang w:val="fr-FR"/>
        </w:rPr>
      </w:pPr>
      <w:r w:rsidRPr="007045AF">
        <w:rPr>
          <w:lang w:val="fr-FR"/>
        </w:rPr>
        <w:lastRenderedPageBreak/>
        <w:t>Des sermons du vendredi (discours religieux) ont été prononcé à l’intention de tous les citoyens dans les mosquées (simultanément sur l’ensemble du territoire national) sur le thème « Violence faite aux femmes et aux filles ».</w:t>
      </w:r>
    </w:p>
    <w:p w14:paraId="5F3D8F75" w14:textId="77777777" w:rsidR="007045AF" w:rsidRPr="007045AF" w:rsidRDefault="007045AF" w:rsidP="00C15C97">
      <w:pPr>
        <w:pStyle w:val="SingleTxtG"/>
        <w:numPr>
          <w:ilvl w:val="0"/>
          <w:numId w:val="40"/>
        </w:numPr>
        <w:ind w:left="1134" w:firstLine="0"/>
        <w:rPr>
          <w:lang w:val="fr-FR"/>
        </w:rPr>
      </w:pPr>
      <w:r w:rsidRPr="007045AF">
        <w:rPr>
          <w:lang w:val="fr-FR"/>
        </w:rPr>
        <w:t xml:space="preserve">Le programme de formation des magistrats (continu et spécialisé) accorde une place importante aux mécanismes internationaux relatifs aux droits de l’homme ratifiés par l’Algérie, notamment la CEDAW visant à faire connaitre les dispositions contenues dans cette convention afin de garantir leur applicabilité directe par les magistrats conformément à la Constitution. Voir également réponse aux paragraphes 51 et 52. </w:t>
      </w:r>
    </w:p>
    <w:p w14:paraId="622D876D" w14:textId="77777777" w:rsidR="007045AF" w:rsidRPr="007045AF" w:rsidRDefault="007045AF" w:rsidP="00C15C97">
      <w:pPr>
        <w:pStyle w:val="SingleTxtG"/>
        <w:numPr>
          <w:ilvl w:val="0"/>
          <w:numId w:val="40"/>
        </w:numPr>
        <w:ind w:left="1134" w:firstLine="0"/>
        <w:rPr>
          <w:bCs/>
          <w:lang w:val="fr-FR"/>
        </w:rPr>
      </w:pPr>
      <w:r w:rsidRPr="007045AF">
        <w:rPr>
          <w:bCs/>
          <w:lang w:val="fr-FR"/>
        </w:rPr>
        <w:t xml:space="preserve">Voir également réponse aux paragraphes 65,66, 67,68, 69,70, 71 et 72. </w:t>
      </w:r>
    </w:p>
    <w:p w14:paraId="34E50ED1" w14:textId="0B5D41CD" w:rsidR="007045AF" w:rsidRPr="00CD1A35" w:rsidRDefault="00707977" w:rsidP="00707977">
      <w:pPr>
        <w:pStyle w:val="H23G"/>
        <w:rPr>
          <w:lang w:val="pt-BR"/>
        </w:rPr>
      </w:pPr>
      <w:r w:rsidRPr="00516E19">
        <w:rPr>
          <w:lang w:val="fr-FR"/>
        </w:rPr>
        <w:tab/>
      </w:r>
      <w:r w:rsidRPr="00516E19">
        <w:rPr>
          <w:lang w:val="fr-FR"/>
        </w:rPr>
        <w:tab/>
      </w:r>
      <w:r w:rsidR="007045AF" w:rsidRPr="00CD1A35">
        <w:rPr>
          <w:lang w:val="pt-BR"/>
        </w:rPr>
        <w:t>Point 30 (a-b-c-d-e)</w:t>
      </w:r>
    </w:p>
    <w:p w14:paraId="1DF0EBF0" w14:textId="77777777" w:rsidR="007045AF" w:rsidRPr="007045AF" w:rsidRDefault="007045AF" w:rsidP="00C15C97">
      <w:pPr>
        <w:pStyle w:val="SingleTxtG"/>
        <w:numPr>
          <w:ilvl w:val="0"/>
          <w:numId w:val="40"/>
        </w:numPr>
        <w:ind w:left="1134" w:firstLine="0"/>
        <w:rPr>
          <w:lang w:val="fr-FR"/>
        </w:rPr>
      </w:pPr>
      <w:r w:rsidRPr="007045AF">
        <w:rPr>
          <w:lang w:val="fr-FR"/>
        </w:rPr>
        <w:t>La Constitution (art.40) dispose que «</w:t>
      </w:r>
      <w:r w:rsidRPr="007045AF">
        <w:rPr>
          <w:i/>
          <w:lang w:val="fr-FR"/>
        </w:rPr>
        <w:t xml:space="preserve"> L’Etat protège la femme contre toutes formes de violence en tous lieux et en toute circonstance dans l’espace public, dans la sphère professionnelle et dans la sphère privée. La loi </w:t>
      </w:r>
      <w:r w:rsidRPr="00C15C97">
        <w:rPr>
          <w:lang w:val="fr-FR"/>
        </w:rPr>
        <w:t>garantit</w:t>
      </w:r>
      <w:r w:rsidRPr="007045AF">
        <w:rPr>
          <w:i/>
          <w:lang w:val="fr-FR"/>
        </w:rPr>
        <w:t xml:space="preserve"> l’accès des victimes à des structures d’accueil, à des dispositifs de prise en charge, et à une assistance judiciaire</w:t>
      </w:r>
      <w:r w:rsidRPr="007045AF">
        <w:rPr>
          <w:lang w:val="fr-FR"/>
        </w:rPr>
        <w:t xml:space="preserve"> ».</w:t>
      </w:r>
    </w:p>
    <w:p w14:paraId="6BE25778" w14:textId="77777777" w:rsidR="007045AF" w:rsidRPr="007045AF" w:rsidRDefault="007045AF" w:rsidP="00C15C97">
      <w:pPr>
        <w:pStyle w:val="SingleTxtG"/>
        <w:numPr>
          <w:ilvl w:val="0"/>
          <w:numId w:val="40"/>
        </w:numPr>
        <w:ind w:left="1134" w:firstLine="0"/>
        <w:rPr>
          <w:lang w:val="fr-FR"/>
        </w:rPr>
      </w:pPr>
      <w:r w:rsidRPr="007045AF">
        <w:rPr>
          <w:lang w:val="fr-FR"/>
        </w:rPr>
        <w:t xml:space="preserve">La loi n°15-19 du 30 décembre 2015 modifiant et complétant le code pénal, a introduit des dispositions renforçant la protection des femmes contre toutes les formes de violence y compris conjugale. Sa modification en 2024 a introduit de nouvelles mesures de protection telles que la protection contre les violences numériques, ainsi que l’interdiction du condamné de contacter la victime, de s’approcher du lieu où elle se trouve ou de communiquer avec elle. </w:t>
      </w:r>
    </w:p>
    <w:p w14:paraId="4258B334" w14:textId="77777777" w:rsidR="007045AF" w:rsidRPr="007045AF" w:rsidRDefault="007045AF" w:rsidP="00C15C97">
      <w:pPr>
        <w:pStyle w:val="SingleTxtG"/>
        <w:numPr>
          <w:ilvl w:val="0"/>
          <w:numId w:val="40"/>
        </w:numPr>
        <w:ind w:left="1134" w:firstLine="0"/>
        <w:rPr>
          <w:rtl/>
        </w:rPr>
      </w:pPr>
      <w:r w:rsidRPr="007045AF">
        <w:rPr>
          <w:lang w:val="fr-FR"/>
        </w:rPr>
        <w:t>La législation algérienne couvre toutes les formes de violence prévues par les conventions internationales ratifiées par l’Algérie et prévoie des peines à la hauteur de la gravité des actes :</w:t>
      </w:r>
    </w:p>
    <w:p w14:paraId="5FDFB671" w14:textId="5FCE03DB" w:rsidR="007045AF" w:rsidRPr="007045AF" w:rsidRDefault="00707977" w:rsidP="00707977">
      <w:pPr>
        <w:pStyle w:val="H23G"/>
        <w:rPr>
          <w:lang w:val="fr-FR"/>
        </w:rPr>
      </w:pPr>
      <w:r>
        <w:rPr>
          <w:lang w:val="fr-FR"/>
        </w:rPr>
        <w:tab/>
      </w:r>
      <w:r>
        <w:rPr>
          <w:lang w:val="fr-FR"/>
        </w:rPr>
        <w:tab/>
      </w:r>
      <w:r w:rsidR="007045AF" w:rsidRPr="007045AF">
        <w:rPr>
          <w:lang w:val="fr-FR"/>
        </w:rPr>
        <w:t xml:space="preserve">Violences domestiques </w:t>
      </w:r>
    </w:p>
    <w:p w14:paraId="2467041D" w14:textId="77777777" w:rsidR="007045AF" w:rsidRPr="007045AF" w:rsidRDefault="007045AF" w:rsidP="00C15C97">
      <w:pPr>
        <w:pStyle w:val="SingleTxtG"/>
        <w:numPr>
          <w:ilvl w:val="0"/>
          <w:numId w:val="40"/>
        </w:numPr>
        <w:ind w:left="1134" w:firstLine="0"/>
        <w:rPr>
          <w:b/>
          <w:bCs/>
          <w:lang w:val="fr-FR"/>
        </w:rPr>
      </w:pPr>
      <w:r w:rsidRPr="007045AF">
        <w:rPr>
          <w:b/>
          <w:lang w:val="fr-FR"/>
        </w:rPr>
        <w:t>Violence physique (corporelle)</w:t>
      </w:r>
      <w:r w:rsidRPr="007045AF">
        <w:rPr>
          <w:bCs/>
          <w:lang w:val="fr-FR"/>
        </w:rPr>
        <w:t xml:space="preserve"> : le </w:t>
      </w:r>
      <w:r w:rsidRPr="007045AF">
        <w:rPr>
          <w:lang w:val="fr-FR"/>
        </w:rPr>
        <w:t>Code pénal (art.266 bis) dispose que quiconque volontairement, cause des blessures ou porte des coups à son conjoint est punie d’un emprisonnement de (1) à (3) ans si les blessures ou les coups n’ont occasionné aucune maladie ou incapacité totale de travail de plus de 15 jours. Il prévoit des circonstances aggravantes, pouvant entraîner une peine allant jusqu'à la réclusion à perpétuité (en cas de décès, infirmité permanente, etc.).</w:t>
      </w:r>
    </w:p>
    <w:p w14:paraId="1A777B40" w14:textId="77777777" w:rsidR="007045AF" w:rsidRPr="007045AF" w:rsidRDefault="007045AF" w:rsidP="00C15C97">
      <w:pPr>
        <w:pStyle w:val="SingleTxtG"/>
        <w:numPr>
          <w:ilvl w:val="0"/>
          <w:numId w:val="40"/>
        </w:numPr>
        <w:ind w:left="1134" w:firstLine="0"/>
        <w:rPr>
          <w:b/>
          <w:bCs/>
          <w:lang w:val="fr-FR"/>
        </w:rPr>
      </w:pPr>
      <w:r w:rsidRPr="007045AF">
        <w:rPr>
          <w:b/>
          <w:bCs/>
          <w:lang w:val="fr-FR"/>
        </w:rPr>
        <w:t xml:space="preserve">Violence verbale : </w:t>
      </w:r>
      <w:r w:rsidRPr="007045AF">
        <w:rPr>
          <w:bCs/>
          <w:lang w:val="fr-FR"/>
        </w:rPr>
        <w:t xml:space="preserve">le </w:t>
      </w:r>
      <w:r w:rsidRPr="007045AF">
        <w:rPr>
          <w:lang w:val="fr-FR"/>
        </w:rPr>
        <w:t>Code pénal (art.266 bis1) punit d'un emprisonnement de (1) à (3) ans le fait de commettre toute forme de voies de fait, ou de violence verbale ou psychologique répétée mettant la victime dans une situation qui porte atteinte à sa dignité ou à son intégrité physique ou psychique.</w:t>
      </w:r>
    </w:p>
    <w:p w14:paraId="06C4A4C0" w14:textId="77777777" w:rsidR="007045AF" w:rsidRPr="007045AF" w:rsidRDefault="007045AF" w:rsidP="00C15C97">
      <w:pPr>
        <w:pStyle w:val="SingleTxtG"/>
        <w:numPr>
          <w:ilvl w:val="0"/>
          <w:numId w:val="40"/>
        </w:numPr>
        <w:ind w:left="1134" w:firstLine="0"/>
        <w:rPr>
          <w:b/>
          <w:bCs/>
          <w:lang w:val="fr-FR"/>
        </w:rPr>
      </w:pPr>
      <w:r w:rsidRPr="007045AF">
        <w:rPr>
          <w:b/>
          <w:bCs/>
          <w:lang w:val="fr-FR"/>
        </w:rPr>
        <w:t xml:space="preserve">Violence économique : </w:t>
      </w:r>
      <w:r w:rsidRPr="007045AF">
        <w:rPr>
          <w:bCs/>
          <w:lang w:val="fr-FR"/>
        </w:rPr>
        <w:t xml:space="preserve">le </w:t>
      </w:r>
      <w:r w:rsidRPr="007045AF">
        <w:rPr>
          <w:lang w:val="fr-FR"/>
        </w:rPr>
        <w:t>Code pénal (art.330 bis) puni d'un emprisonnement de (6) mois à (2) ans quiconque exerce sur son épouse toute forme de contrainte ou d'intimidation afin de disposer de ses biens ou de ses ressources financières.</w:t>
      </w:r>
    </w:p>
    <w:p w14:paraId="7B8C709E" w14:textId="77777777" w:rsidR="007045AF" w:rsidRPr="007045AF" w:rsidRDefault="007045AF" w:rsidP="00C15C97">
      <w:pPr>
        <w:pStyle w:val="SingleTxtG"/>
        <w:numPr>
          <w:ilvl w:val="0"/>
          <w:numId w:val="40"/>
        </w:numPr>
        <w:ind w:left="1134" w:firstLine="0"/>
        <w:rPr>
          <w:lang w:val="fr-FR"/>
        </w:rPr>
      </w:pPr>
      <w:r w:rsidRPr="007045AF">
        <w:rPr>
          <w:lang w:val="fr-FR"/>
        </w:rPr>
        <w:t>Le Code pénal prévoit le délit de non-paiement de la pension alimentaire déterminé par le juge ainsi que le délit de négligence familiale, qui sont passibles d’une peine d’emprisonnement pouvant atteindre trois (3) ans.</w:t>
      </w:r>
    </w:p>
    <w:p w14:paraId="27A8BF3F" w14:textId="77777777" w:rsidR="007045AF" w:rsidRPr="007045AF" w:rsidRDefault="007045AF" w:rsidP="00C15C97">
      <w:pPr>
        <w:pStyle w:val="SingleTxtG"/>
        <w:numPr>
          <w:ilvl w:val="0"/>
          <w:numId w:val="40"/>
        </w:numPr>
        <w:ind w:left="1134" w:firstLine="0"/>
        <w:rPr>
          <w:lang w:val="fr-FR"/>
        </w:rPr>
      </w:pPr>
      <w:r w:rsidRPr="007045AF">
        <w:rPr>
          <w:b/>
          <w:bCs/>
          <w:lang w:val="fr-FR"/>
        </w:rPr>
        <w:t>Atteinte à la vie privée :</w:t>
      </w:r>
      <w:r w:rsidRPr="007045AF">
        <w:rPr>
          <w:bCs/>
          <w:lang w:val="fr-FR"/>
        </w:rPr>
        <w:t xml:space="preserve">le </w:t>
      </w:r>
      <w:r w:rsidRPr="007045AF">
        <w:rPr>
          <w:lang w:val="fr-FR"/>
        </w:rPr>
        <w:t>Code pénal (art.333 bis5) prévoit une peine d'emprisonnement de 5 à 10 ans et une amende de 500.000 DA à 1.000.000 DA, pour le conjoint ou la ou le fiancé(e) qui, par tout moyen, diffuse ou publie des photos indécentes de son conjoint ou fiancé(e), ou qui menace de les publier, ou de les diffuser, que ce soit pendant le mariage ou les fiançailles ou après leur rupture.</w:t>
      </w:r>
    </w:p>
    <w:p w14:paraId="7A48AF8B" w14:textId="1439FE84" w:rsidR="007045AF" w:rsidRPr="007045AF" w:rsidRDefault="00707977" w:rsidP="00707977">
      <w:pPr>
        <w:pStyle w:val="H23G"/>
        <w:rPr>
          <w:lang w:val="fr-FR"/>
        </w:rPr>
      </w:pPr>
      <w:r>
        <w:rPr>
          <w:lang w:val="fr-FR"/>
        </w:rPr>
        <w:tab/>
      </w:r>
      <w:r>
        <w:rPr>
          <w:lang w:val="fr-FR"/>
        </w:rPr>
        <w:tab/>
      </w:r>
      <w:r w:rsidR="007045AF" w:rsidRPr="007045AF">
        <w:rPr>
          <w:lang w:val="fr-FR"/>
        </w:rPr>
        <w:t>Violences dans les lieux de travail et les lieux publics</w:t>
      </w:r>
    </w:p>
    <w:p w14:paraId="51835065" w14:textId="77777777" w:rsidR="007045AF" w:rsidRPr="007045AF" w:rsidRDefault="007045AF" w:rsidP="00C15C97">
      <w:pPr>
        <w:pStyle w:val="SingleTxtG"/>
        <w:numPr>
          <w:ilvl w:val="0"/>
          <w:numId w:val="40"/>
        </w:numPr>
        <w:ind w:left="1134" w:firstLine="0"/>
        <w:rPr>
          <w:b/>
          <w:rtl/>
        </w:rPr>
      </w:pPr>
      <w:r w:rsidRPr="007045AF">
        <w:rPr>
          <w:b/>
          <w:lang w:val="fr-FR"/>
        </w:rPr>
        <w:t xml:space="preserve">Importuner les femmes dans un lieu public: </w:t>
      </w:r>
      <w:r w:rsidRPr="007045AF">
        <w:rPr>
          <w:bCs/>
          <w:lang w:val="fr-FR"/>
        </w:rPr>
        <w:t xml:space="preserve">le </w:t>
      </w:r>
      <w:r w:rsidRPr="007045AF">
        <w:rPr>
          <w:lang w:val="fr-FR"/>
        </w:rPr>
        <w:t>Code pénal (art.333 bis 2) prévoit un emprisonnement de (2) à (6) mois et une amende de 20.000 DA à 100.000 DA contre quiconque importune une femme dans un lieu public, par tout acte, geste ou parole portant atteinte à sa pudeur. La peine est portée au double si la victime est une personne mineure de moins de (16) ans.</w:t>
      </w:r>
    </w:p>
    <w:p w14:paraId="35B017EC" w14:textId="77777777" w:rsidR="007045AF" w:rsidRPr="007045AF" w:rsidRDefault="007045AF" w:rsidP="00C15C97">
      <w:pPr>
        <w:pStyle w:val="SingleTxtG"/>
        <w:numPr>
          <w:ilvl w:val="0"/>
          <w:numId w:val="40"/>
        </w:numPr>
        <w:ind w:left="1134" w:firstLine="0"/>
        <w:rPr>
          <w:b/>
          <w:bCs/>
          <w:lang w:val="fr-FR"/>
        </w:rPr>
      </w:pPr>
      <w:r w:rsidRPr="007045AF">
        <w:rPr>
          <w:b/>
          <w:bCs/>
          <w:lang w:val="fr-FR"/>
        </w:rPr>
        <w:lastRenderedPageBreak/>
        <w:t xml:space="preserve">Harcèlement sexuel: </w:t>
      </w:r>
      <w:r w:rsidRPr="007045AF">
        <w:rPr>
          <w:bCs/>
          <w:lang w:val="fr-FR"/>
        </w:rPr>
        <w:t xml:space="preserve">le </w:t>
      </w:r>
      <w:r w:rsidRPr="007045AF">
        <w:rPr>
          <w:lang w:val="fr-FR"/>
        </w:rPr>
        <w:t>Code pénal (art. 341 bis) prévoit une peine d’emprisonnement de (1) à (3) ans, et une amende de 100.000 DA, contre toute personne qui abuse de l'autorité que lui confère sa fonction ou sa profession, en donnant à autrui des ordres, en proférant des menaces, en imposant des contraintes ou en exerçant des pressions dans le but d'obtenir des faveurs de nature sexuelle.</w:t>
      </w:r>
    </w:p>
    <w:p w14:paraId="7195AB08" w14:textId="0FE5C5DA" w:rsidR="007045AF" w:rsidRPr="007045AF" w:rsidRDefault="00707977" w:rsidP="00707977">
      <w:pPr>
        <w:pStyle w:val="H23G"/>
        <w:rPr>
          <w:lang w:val="fr-FR"/>
        </w:rPr>
      </w:pPr>
      <w:r>
        <w:rPr>
          <w:lang w:val="fr-FR"/>
        </w:rPr>
        <w:tab/>
      </w:r>
      <w:r>
        <w:rPr>
          <w:lang w:val="fr-FR"/>
        </w:rPr>
        <w:tab/>
      </w:r>
      <w:r w:rsidR="007045AF" w:rsidRPr="007045AF">
        <w:rPr>
          <w:lang w:val="fr-FR"/>
        </w:rPr>
        <w:t>D’autres formes de violence </w:t>
      </w:r>
    </w:p>
    <w:p w14:paraId="15CF5914" w14:textId="77777777" w:rsidR="007045AF" w:rsidRPr="007045AF" w:rsidRDefault="007045AF" w:rsidP="00C15C97">
      <w:pPr>
        <w:pStyle w:val="SingleTxtG"/>
        <w:numPr>
          <w:ilvl w:val="0"/>
          <w:numId w:val="40"/>
        </w:numPr>
        <w:ind w:left="1134" w:firstLine="0"/>
        <w:rPr>
          <w:b/>
          <w:bCs/>
          <w:lang w:val="fr-FR"/>
        </w:rPr>
      </w:pPr>
      <w:r w:rsidRPr="007045AF">
        <w:rPr>
          <w:b/>
          <w:bCs/>
          <w:lang w:val="fr-FR"/>
        </w:rPr>
        <w:t xml:space="preserve">Violence physique causée par autrui: </w:t>
      </w:r>
      <w:r w:rsidRPr="007045AF">
        <w:rPr>
          <w:lang w:val="fr-FR"/>
        </w:rPr>
        <w:t>elle est punie soit comme une contravention (incapacité de travail ne dépassant pas 15 jours), soit comme un délit (excédant 15 jours).Le Code pénal prévoit des circonstances aggravantes : préméditation, guet-apens, port d’arme, mutilation d’un membre, cécité, toute infirmité permanente ou décès non intentionnel. Dans ces cas, la peine peut atteindre 20 ans de prison. En cas de meurtre avec préméditation ou guet-apens (assassinat), il est puni de la peine de mort (art.261).</w:t>
      </w:r>
    </w:p>
    <w:p w14:paraId="63B328B0" w14:textId="77777777" w:rsidR="007045AF" w:rsidRPr="007045AF" w:rsidRDefault="007045AF" w:rsidP="00C15C97">
      <w:pPr>
        <w:pStyle w:val="SingleTxtG"/>
        <w:numPr>
          <w:ilvl w:val="0"/>
          <w:numId w:val="40"/>
        </w:numPr>
        <w:ind w:left="1134" w:firstLine="0"/>
        <w:rPr>
          <w:bCs/>
          <w:lang w:val="fr-FR"/>
        </w:rPr>
      </w:pPr>
      <w:r w:rsidRPr="007045AF">
        <w:rPr>
          <w:b/>
          <w:lang w:val="fr-FR"/>
        </w:rPr>
        <w:t>Attentat à la pudeur avec ou sans violence</w:t>
      </w:r>
      <w:r w:rsidRPr="007045AF">
        <w:rPr>
          <w:bCs/>
          <w:lang w:val="fr-FR"/>
        </w:rPr>
        <w:t xml:space="preserve">: </w:t>
      </w:r>
      <w:r w:rsidRPr="007045AF">
        <w:rPr>
          <w:lang w:val="fr-FR"/>
        </w:rPr>
        <w:t>si l’infraction est commise sans violence, la peine encourue est l’emprisonnement de 5 à 10 ans, et si elle est commise avec violence, la peine encourue est la réclusion criminelle de 5 à 10 ans. Si la victime est une mineure, la peine sera la réclusion criminelle de 10 à 20 ans.</w:t>
      </w:r>
    </w:p>
    <w:p w14:paraId="328DD8E0" w14:textId="77777777" w:rsidR="007045AF" w:rsidRPr="007045AF" w:rsidRDefault="007045AF" w:rsidP="00C15C97">
      <w:pPr>
        <w:pStyle w:val="SingleTxtG"/>
        <w:numPr>
          <w:ilvl w:val="0"/>
          <w:numId w:val="40"/>
        </w:numPr>
        <w:ind w:left="1134" w:firstLine="0"/>
        <w:rPr>
          <w:b/>
          <w:lang w:val="fr-FR"/>
        </w:rPr>
      </w:pPr>
      <w:r w:rsidRPr="007045AF">
        <w:rPr>
          <w:b/>
          <w:lang w:val="fr-FR"/>
        </w:rPr>
        <w:t xml:space="preserve">Atteinte à l’intégrité sexuelle de la victime par surprise, violence, contrainte ou menace: </w:t>
      </w:r>
      <w:r w:rsidRPr="007045AF">
        <w:rPr>
          <w:lang w:val="fr-FR"/>
        </w:rPr>
        <w:t>cet acte est puni d’un emprisonnement de (1) à (3) ans. La peine est de (2) à (5) ans d’emprisonnement si l'auteur est un proche parent ou si la victime est une personne mineure de moins de 16 ans, ainsi que dans d’autres circonstances aggravantes mentionnées à l’article 333 bis3.</w:t>
      </w:r>
    </w:p>
    <w:p w14:paraId="6EDE9B58" w14:textId="77777777" w:rsidR="007045AF" w:rsidRPr="007045AF" w:rsidRDefault="007045AF" w:rsidP="00C15C97">
      <w:pPr>
        <w:pStyle w:val="SingleTxtG"/>
        <w:numPr>
          <w:ilvl w:val="0"/>
          <w:numId w:val="40"/>
        </w:numPr>
        <w:ind w:left="1134" w:firstLine="0"/>
        <w:rPr>
          <w:b/>
          <w:lang w:val="fr-FR"/>
        </w:rPr>
      </w:pPr>
      <w:r w:rsidRPr="007045AF">
        <w:rPr>
          <w:b/>
          <w:lang w:val="fr-FR"/>
        </w:rPr>
        <w:t xml:space="preserve">Détournement d’un mineur: </w:t>
      </w:r>
      <w:r w:rsidRPr="007045AF">
        <w:rPr>
          <w:lang w:val="fr-FR"/>
        </w:rPr>
        <w:t>sans violences, menaces ou fraude est puni d’un emprisonnement de (1) à (5) ans et d’une amende de 100.000 DA à 500.000 DA (art.326).</w:t>
      </w:r>
    </w:p>
    <w:p w14:paraId="5C30834E" w14:textId="77777777" w:rsidR="007045AF" w:rsidRPr="00A31E82" w:rsidRDefault="007045AF" w:rsidP="00C15C97">
      <w:pPr>
        <w:pStyle w:val="SingleTxtG"/>
        <w:numPr>
          <w:ilvl w:val="0"/>
          <w:numId w:val="40"/>
        </w:numPr>
        <w:ind w:left="1134" w:firstLine="0"/>
        <w:rPr>
          <w:bCs/>
          <w:lang w:val="fr-FR"/>
        </w:rPr>
      </w:pPr>
      <w:r w:rsidRPr="00A31E82">
        <w:rPr>
          <w:bCs/>
          <w:lang w:val="fr-FR"/>
        </w:rPr>
        <w:t>L’amendement de 2024 a abrogé la possibilité pour l’auteur d’échapper aux poursuites pénales en épousant la victime.</w:t>
      </w:r>
    </w:p>
    <w:p w14:paraId="0A2D2BA8" w14:textId="77777777" w:rsidR="007045AF" w:rsidRPr="007045AF" w:rsidRDefault="007045AF" w:rsidP="00C15C97">
      <w:pPr>
        <w:pStyle w:val="SingleTxtG"/>
        <w:numPr>
          <w:ilvl w:val="0"/>
          <w:numId w:val="40"/>
        </w:numPr>
        <w:ind w:left="1134" w:firstLine="0"/>
        <w:rPr>
          <w:b/>
          <w:lang w:val="fr-FR"/>
        </w:rPr>
      </w:pPr>
      <w:r w:rsidRPr="007045AF">
        <w:rPr>
          <w:b/>
          <w:bCs/>
          <w:u w:val="single"/>
          <w:lang w:val="fr-FR"/>
        </w:rPr>
        <w:t>Le Viol</w:t>
      </w:r>
      <w:r w:rsidRPr="007045AF">
        <w:rPr>
          <w:lang w:val="fr-FR"/>
        </w:rPr>
        <w:t>: le Code pénal ne définit pas le viol, laissant cette interprétation à la pratique judiciaire et à la doctrine. Il adopte une formulation générale, permettant ainsi de punir toute personne commettant ce crime selon les déclarations des victimes. Plusieurs décisions et jugements judiciaires ont contribué à la définition de cette infraction, notamment la décision de la Cour suprême n°0968071 du 19 mars 2015, qui prévoit que conformément aux dispositions de l'article 336 du Code pénal, les éléments constitutifs du crime de viol reposent sur un acte matériel consistant en l’acte sexuel complet avec la victime, et que les actes de violence ne constituent pas seulement une circonstance aggravante, mais plutôt son élément fondamental.</w:t>
      </w:r>
    </w:p>
    <w:p w14:paraId="415F3C85" w14:textId="77777777" w:rsidR="007045AF" w:rsidRPr="007045AF" w:rsidRDefault="007045AF" w:rsidP="00C15C97">
      <w:pPr>
        <w:pStyle w:val="SingleTxtG"/>
        <w:numPr>
          <w:ilvl w:val="0"/>
          <w:numId w:val="40"/>
        </w:numPr>
        <w:ind w:left="1134" w:firstLine="0"/>
        <w:rPr>
          <w:lang w:val="fr-FR"/>
        </w:rPr>
      </w:pPr>
      <w:r w:rsidRPr="007045AF">
        <w:rPr>
          <w:lang w:val="fr-FR"/>
        </w:rPr>
        <w:t>Le Code pénal (art.336) dispose que quiconque a commis le crime de viol, est puni de la réclusion criminelle de (10) à (15) ans. Si le viol a été commis sur un mineur de moins de (18) ans, ou sur une personne partiellement ou complètement incapable, la peine est la réclusion criminelle de (15) à (20) ans.</w:t>
      </w:r>
    </w:p>
    <w:p w14:paraId="3B952A81" w14:textId="77777777" w:rsidR="007045AF" w:rsidRPr="007045AF" w:rsidRDefault="007045AF" w:rsidP="00C15C97">
      <w:pPr>
        <w:pStyle w:val="SingleTxtG"/>
        <w:numPr>
          <w:ilvl w:val="0"/>
          <w:numId w:val="40"/>
        </w:numPr>
        <w:ind w:left="1134" w:firstLine="0"/>
        <w:rPr>
          <w:lang w:val="fr-FR"/>
        </w:rPr>
      </w:pPr>
      <w:r w:rsidRPr="007045AF">
        <w:rPr>
          <w:lang w:val="fr-FR"/>
        </w:rPr>
        <w:t>La peine est aggravée (peut aller jusqu’à la réclusion perpétuelle</w:t>
      </w:r>
      <w:r w:rsidRPr="007045AF">
        <w:rPr>
          <w:b/>
          <w:bCs/>
          <w:lang w:val="fr-FR"/>
        </w:rPr>
        <w:t xml:space="preserve">) </w:t>
      </w:r>
      <w:r w:rsidRPr="007045AF">
        <w:rPr>
          <w:lang w:val="fr-FR"/>
        </w:rPr>
        <w:t>si les auteurs sont les ascendants de la personne sur laquelle a été commis l’attentat à la pudeur ou le viol, s’ils sont de la classe de ceux qui ont autorité sur elle ou s’ils sont fonctionnaires ou ministres d’un culte (Art.337).</w:t>
      </w:r>
    </w:p>
    <w:p w14:paraId="7A6ABF75" w14:textId="77777777" w:rsidR="007045AF" w:rsidRPr="007045AF" w:rsidRDefault="007045AF" w:rsidP="00C15C97">
      <w:pPr>
        <w:pStyle w:val="SingleTxtG"/>
        <w:numPr>
          <w:ilvl w:val="0"/>
          <w:numId w:val="40"/>
        </w:numPr>
        <w:ind w:left="1134" w:firstLine="0"/>
        <w:rPr>
          <w:lang w:val="fr-FR"/>
        </w:rPr>
      </w:pPr>
      <w:r w:rsidRPr="007045AF">
        <w:rPr>
          <w:lang w:val="fr-FR"/>
        </w:rPr>
        <w:t xml:space="preserve">Outre le contenu de la réponse aux points n°22 (b) et n°30 (a), le secteur de la Justice dispose d'une base de données automatisée et d'une structure centrale chargée de collecter diverses statistiques sur les infractions, notamment les infractions liées à la violence contre les femmes, reçues par les autorités judiciaires. </w:t>
      </w:r>
    </w:p>
    <w:p w14:paraId="6931684B" w14:textId="77777777" w:rsidR="007045AF" w:rsidRPr="007045AF" w:rsidRDefault="007045AF" w:rsidP="00C15C97">
      <w:pPr>
        <w:pStyle w:val="SingleTxtG"/>
        <w:numPr>
          <w:ilvl w:val="0"/>
          <w:numId w:val="40"/>
        </w:numPr>
        <w:ind w:left="1134" w:firstLine="0"/>
        <w:rPr>
          <w:lang w:val="fr-FR"/>
        </w:rPr>
      </w:pPr>
      <w:r w:rsidRPr="007045AF">
        <w:rPr>
          <w:lang w:val="fr-FR"/>
        </w:rPr>
        <w:t>Les statistiques comprennent un recensement du nombre d'affaires enregistrées, l'identification des victimes (notamment leur tranche d'âge), l'identification des accusés (en particulier leur profession et leur âge), ainsi que le nombre d'affaires jugées et les peines prononcées.</w:t>
      </w:r>
    </w:p>
    <w:p w14:paraId="3530E297" w14:textId="77777777" w:rsidR="007045AF" w:rsidRPr="007045AF" w:rsidRDefault="007045AF" w:rsidP="00A40F8B">
      <w:pPr>
        <w:pStyle w:val="Heading1"/>
        <w:rPr>
          <w:lang w:val="fr-FR"/>
        </w:rPr>
      </w:pPr>
      <w:r w:rsidRPr="007045AF">
        <w:rPr>
          <w:lang w:val="fr-FR"/>
        </w:rPr>
        <w:lastRenderedPageBreak/>
        <w:t>Statistiques des infractions de violence commises à l'encontre des femmes (adultes et mineures) pour la période 2023 - 2025</w:t>
      </w:r>
    </w:p>
    <w:p w14:paraId="3015285C" w14:textId="77777777" w:rsidR="007045AF" w:rsidRPr="007045AF" w:rsidRDefault="007045AF" w:rsidP="007045AF">
      <w:pPr>
        <w:pStyle w:val="SingleTxtG"/>
        <w:rPr>
          <w:lang w:val="fr-FR"/>
        </w:rPr>
      </w:pPr>
      <w:r w:rsidRPr="007045AF">
        <w:rPr>
          <w:noProof/>
          <w:lang w:val="fr-FR"/>
        </w:rPr>
        <w:drawing>
          <wp:inline distT="0" distB="0" distL="0" distR="0" wp14:anchorId="2B47C1FD" wp14:editId="7AE9D9A1">
            <wp:extent cx="5003649" cy="1741917"/>
            <wp:effectExtent l="19050" t="0" r="6501" b="0"/>
            <wp:docPr id="8"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02504" cy="1741519"/>
                    </a:xfrm>
                    <a:prstGeom prst="rect">
                      <a:avLst/>
                    </a:prstGeom>
                    <a:noFill/>
                    <a:ln>
                      <a:noFill/>
                    </a:ln>
                  </pic:spPr>
                </pic:pic>
              </a:graphicData>
            </a:graphic>
          </wp:inline>
        </w:drawing>
      </w:r>
    </w:p>
    <w:p w14:paraId="116AFB89" w14:textId="77777777" w:rsidR="007045AF" w:rsidRPr="007045AF" w:rsidRDefault="007045AF" w:rsidP="00C15C97">
      <w:pPr>
        <w:pStyle w:val="SingleTxtG"/>
        <w:numPr>
          <w:ilvl w:val="0"/>
          <w:numId w:val="40"/>
        </w:numPr>
        <w:ind w:left="1134" w:firstLine="0"/>
        <w:rPr>
          <w:lang w:val="fr-FR"/>
        </w:rPr>
      </w:pPr>
      <w:r w:rsidRPr="007045AF">
        <w:rPr>
          <w:lang w:val="fr-FR"/>
        </w:rPr>
        <w:t xml:space="preserve">Par ailleurs, une base de données baptisée </w:t>
      </w:r>
      <w:r w:rsidRPr="007045AF">
        <w:rPr>
          <w:i/>
          <w:iCs/>
          <w:lang w:val="fr-FR"/>
        </w:rPr>
        <w:t>«Amane»,</w:t>
      </w:r>
      <w:r w:rsidRPr="007045AF">
        <w:rPr>
          <w:lang w:val="fr-FR"/>
        </w:rPr>
        <w:t xml:space="preserve"> opérationnelle sur tout le territoire national depuis </w:t>
      </w:r>
      <w:r w:rsidRPr="007045AF">
        <w:rPr>
          <w:bCs/>
          <w:lang w:val="fr-FR"/>
        </w:rPr>
        <w:t xml:space="preserve">2018, </w:t>
      </w:r>
      <w:r w:rsidRPr="007045AF">
        <w:rPr>
          <w:lang w:val="fr-FR"/>
        </w:rPr>
        <w:t>a été mise en place au niveau du Ministère de la Solidarité Nationale, pour la collecte régulière et fiable des données, permettant d’analyser la situation de ces femmes en détresse et de déterminer l’intervention adéquate et les programmes nationaux à renforcer dans ce cadre.</w:t>
      </w:r>
    </w:p>
    <w:p w14:paraId="55608038" w14:textId="77777777" w:rsidR="007045AF" w:rsidRPr="007045AF" w:rsidRDefault="007045AF" w:rsidP="007045AF">
      <w:pPr>
        <w:pStyle w:val="SingleTxtG"/>
        <w:rPr>
          <w:lang w:val="fr-FR"/>
        </w:rPr>
      </w:pPr>
      <w:r w:rsidRPr="007045AF">
        <w:rPr>
          <w:noProof/>
          <w:lang w:val="fr-FR"/>
        </w:rPr>
        <w:drawing>
          <wp:inline distT="0" distB="0" distL="0" distR="0" wp14:anchorId="784EE3B4" wp14:editId="05827817">
            <wp:extent cx="5486400" cy="3200400"/>
            <wp:effectExtent l="19050" t="0" r="19050" b="0"/>
            <wp:docPr id="15" name="Graphique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223B69D" w14:textId="77777777" w:rsidR="007045AF" w:rsidRPr="007045AF" w:rsidRDefault="007045AF" w:rsidP="00C15C97">
      <w:pPr>
        <w:pStyle w:val="SingleTxtG"/>
        <w:numPr>
          <w:ilvl w:val="0"/>
          <w:numId w:val="40"/>
        </w:numPr>
        <w:ind w:left="1134" w:firstLine="0"/>
        <w:rPr>
          <w:lang w:val="fr-FR"/>
        </w:rPr>
      </w:pPr>
      <w:r w:rsidRPr="007045AF">
        <w:rPr>
          <w:lang w:val="fr-FR"/>
        </w:rPr>
        <w:t>En outre, l’Institut National de Santé Public (INSP) dispose actuellement d’un dispositif permanent au niveau de cinq (05) wilayas pilote, dédié spécifiquement à la notification des cas de femmes victimes de violence. Les données collectées sont exploitées, traitées et analysées et font objet, annuellement, d’ateliers de restitution, dont le dernier remonte à 2024.</w:t>
      </w:r>
    </w:p>
    <w:p w14:paraId="2596CBE5" w14:textId="77777777" w:rsidR="007045AF" w:rsidRPr="007045AF" w:rsidRDefault="007045AF" w:rsidP="00C15C97">
      <w:pPr>
        <w:pStyle w:val="SingleTxtG"/>
        <w:numPr>
          <w:ilvl w:val="0"/>
          <w:numId w:val="40"/>
        </w:numPr>
        <w:ind w:left="1134" w:firstLine="0"/>
        <w:rPr>
          <w:bCs/>
          <w:lang w:val="fr-FR"/>
        </w:rPr>
      </w:pPr>
      <w:r w:rsidRPr="007045AF">
        <w:rPr>
          <w:bCs/>
          <w:lang w:val="fr-FR"/>
        </w:rPr>
        <w:t xml:space="preserve">En 2026, </w:t>
      </w:r>
      <w:r w:rsidRPr="00C15C97">
        <w:rPr>
          <w:lang w:val="fr-FR"/>
        </w:rPr>
        <w:t>l’INSP</w:t>
      </w:r>
      <w:r w:rsidRPr="007045AF">
        <w:rPr>
          <w:bCs/>
          <w:lang w:val="fr-FR"/>
        </w:rPr>
        <w:t xml:space="preserve"> a réalisé une enquête nationale visant à estimer la prévalence des violences faites aux femmes en Algérie. Elle a été conduite au niveau des structures de santé hospitalières et de proximités. Elle a porté sur un échantillon représentatif de femmes consultantes, avec une collecte continue des données assurée 24h/24 par les professionnels de santé.</w:t>
      </w:r>
    </w:p>
    <w:p w14:paraId="4738EDB1" w14:textId="77777777" w:rsidR="007045AF" w:rsidRPr="007045AF" w:rsidRDefault="007045AF" w:rsidP="00C15C97">
      <w:pPr>
        <w:pStyle w:val="SingleTxtG"/>
        <w:numPr>
          <w:ilvl w:val="0"/>
          <w:numId w:val="40"/>
        </w:numPr>
        <w:ind w:left="1134" w:firstLine="0"/>
        <w:rPr>
          <w:lang w:val="fr-FR"/>
        </w:rPr>
      </w:pPr>
      <w:r w:rsidRPr="007045AF">
        <w:rPr>
          <w:lang w:val="fr-FR"/>
        </w:rPr>
        <w:t>Dans ce contexte, les services de sécurité (sûreté et gendarmerie nationales) disposent respectivement d’une base de données centralisée comportant toutes les informations relatives à la lutte contre les violences à l’égard des femmes, selon les indicateurs suivants :</w:t>
      </w:r>
    </w:p>
    <w:p w14:paraId="6E03752B" w14:textId="77777777" w:rsidR="007045AF" w:rsidRPr="00AF35AF" w:rsidRDefault="007045AF" w:rsidP="00AF35AF">
      <w:pPr>
        <w:pStyle w:val="Bullet1G"/>
      </w:pPr>
      <w:r w:rsidRPr="00AF35AF">
        <w:t>Les formes de violence : sexuelles, physiques, incestes, harcèlements sexuels, homicides volontaires, séquestrations, harcèlement sur la voie publique, maltraitance…etc. ;</w:t>
      </w:r>
    </w:p>
    <w:p w14:paraId="15B2D29B" w14:textId="77777777" w:rsidR="007045AF" w:rsidRPr="00AF35AF" w:rsidRDefault="007045AF" w:rsidP="00AF35AF">
      <w:pPr>
        <w:pStyle w:val="Bullet1G"/>
      </w:pPr>
      <w:r w:rsidRPr="00AF35AF">
        <w:lastRenderedPageBreak/>
        <w:t>L’identité des auteurs et des victimes : lien de parenté, catégories d’âge, situation familiale et professionnelle, niveau d’instruction, situations sociale et économique, mobile de l’acte, moment et lieux de l’agression, état de santé de la victime et suites judiciaires ;</w:t>
      </w:r>
    </w:p>
    <w:p w14:paraId="08465203" w14:textId="77777777" w:rsidR="007045AF" w:rsidRPr="00AF35AF" w:rsidRDefault="007045AF" w:rsidP="00AF35AF">
      <w:pPr>
        <w:pStyle w:val="Bullet1G"/>
      </w:pPr>
      <w:r w:rsidRPr="00AF35AF">
        <w:t>La répartition géographique de la criminalité.</w:t>
      </w:r>
    </w:p>
    <w:p w14:paraId="7C61846B" w14:textId="2AEEFF15" w:rsidR="007045AF" w:rsidRPr="007045AF" w:rsidRDefault="00AF35AF" w:rsidP="00AF35AF">
      <w:pPr>
        <w:pStyle w:val="H23G"/>
        <w:rPr>
          <w:lang w:val="fr-FR"/>
        </w:rPr>
      </w:pPr>
      <w:r>
        <w:rPr>
          <w:lang w:val="fr-FR"/>
        </w:rPr>
        <w:tab/>
      </w:r>
      <w:r>
        <w:rPr>
          <w:lang w:val="fr-FR"/>
        </w:rPr>
        <w:tab/>
      </w:r>
      <w:r w:rsidR="007045AF" w:rsidRPr="007045AF">
        <w:rPr>
          <w:lang w:val="fr-FR"/>
        </w:rPr>
        <w:t>Les mécanismes de signalement et de prise en charge</w:t>
      </w:r>
    </w:p>
    <w:p w14:paraId="4422017F" w14:textId="77777777" w:rsidR="007045AF" w:rsidRPr="007045AF" w:rsidRDefault="007045AF" w:rsidP="00C15C97">
      <w:pPr>
        <w:pStyle w:val="SingleTxtG"/>
        <w:numPr>
          <w:ilvl w:val="0"/>
          <w:numId w:val="40"/>
        </w:numPr>
        <w:ind w:left="1134" w:firstLine="0"/>
        <w:rPr>
          <w:lang w:val="fr-FR"/>
        </w:rPr>
      </w:pPr>
      <w:r w:rsidRPr="007045AF">
        <w:rPr>
          <w:lang w:val="fr-FR"/>
        </w:rPr>
        <w:t>Les services de sécurité disposent de numéros verts (15-48, 17, 104, 10-55), et de plateformes de signalement assurant la confidentialité et l’anonymat :</w:t>
      </w:r>
    </w:p>
    <w:p w14:paraId="67A02C17" w14:textId="58325A87" w:rsidR="007045AF" w:rsidRPr="0020087E" w:rsidRDefault="007045AF" w:rsidP="0020087E">
      <w:pPr>
        <w:pStyle w:val="Bullet1G"/>
      </w:pPr>
      <w:r w:rsidRPr="0020087E">
        <w:t>www.algeriepolice.dz</w:t>
      </w:r>
      <w:r w:rsidR="0020087E">
        <w:t>;</w:t>
      </w:r>
    </w:p>
    <w:p w14:paraId="06C86F16" w14:textId="1EC7C217" w:rsidR="007045AF" w:rsidRPr="0020087E" w:rsidRDefault="007045AF" w:rsidP="0020087E">
      <w:pPr>
        <w:pStyle w:val="Bullet1G"/>
      </w:pPr>
      <w:r w:rsidRPr="0020087E">
        <w:t>www.twitter.com/algeriepolice.dz</w:t>
      </w:r>
      <w:r w:rsidR="0020087E">
        <w:t>;</w:t>
      </w:r>
    </w:p>
    <w:p w14:paraId="525A54B7" w14:textId="39881551" w:rsidR="007045AF" w:rsidRPr="0020087E" w:rsidRDefault="007045AF" w:rsidP="0020087E">
      <w:pPr>
        <w:pStyle w:val="Bullet1G"/>
      </w:pPr>
      <w:hyperlink r:id="rId20" w:history="1">
        <w:r w:rsidRPr="0020087E">
          <w:rPr>
            <w:rStyle w:val="Hyperlink"/>
            <w:color w:val="auto"/>
          </w:rPr>
          <w:t>www.facebook.com/algeriepolice.dz</w:t>
        </w:r>
      </w:hyperlink>
      <w:r w:rsidR="0020087E">
        <w:t>;</w:t>
      </w:r>
    </w:p>
    <w:p w14:paraId="6E70D362" w14:textId="777FA375" w:rsidR="007045AF" w:rsidRPr="0020087E" w:rsidRDefault="007045AF" w:rsidP="0020087E">
      <w:pPr>
        <w:pStyle w:val="Bullet1G"/>
      </w:pPr>
      <w:r w:rsidRPr="0020087E">
        <w:t>ALLO CHORTA</w:t>
      </w:r>
      <w:r w:rsidR="0020087E">
        <w:t> ;</w:t>
      </w:r>
      <w:r w:rsidRPr="0020087E">
        <w:t> </w:t>
      </w:r>
    </w:p>
    <w:p w14:paraId="796A4DCF" w14:textId="76AEBC1B" w:rsidR="007045AF" w:rsidRPr="0020087E" w:rsidRDefault="007045AF" w:rsidP="0020087E">
      <w:pPr>
        <w:pStyle w:val="Bullet1G"/>
      </w:pPr>
      <w:r w:rsidRPr="0020087E">
        <w:t>www.ppgn.mdn.dz</w:t>
      </w:r>
      <w:r w:rsidR="0020087E">
        <w:t>.</w:t>
      </w:r>
    </w:p>
    <w:p w14:paraId="451C07AF" w14:textId="77777777" w:rsidR="007045AF" w:rsidRPr="007045AF" w:rsidRDefault="007045AF" w:rsidP="00C15C97">
      <w:pPr>
        <w:pStyle w:val="SingleTxtG"/>
        <w:numPr>
          <w:ilvl w:val="0"/>
          <w:numId w:val="40"/>
        </w:numPr>
        <w:ind w:left="1134" w:firstLine="0"/>
        <w:rPr>
          <w:lang w:val="fr-FR"/>
        </w:rPr>
      </w:pPr>
      <w:r w:rsidRPr="007045AF">
        <w:rPr>
          <w:lang w:val="fr-FR"/>
        </w:rPr>
        <w:t>Par ailleurs, les professionnels de la santé sont tenus d’informer les services de sécurité, des violences subies par les femmes et les filles. Toute blessure suspecte doit faire l’objet d’un signalement par les médecins ayant constaté la blessure.</w:t>
      </w:r>
    </w:p>
    <w:p w14:paraId="7002B48F" w14:textId="77777777" w:rsidR="007045AF" w:rsidRPr="007045AF" w:rsidRDefault="007045AF" w:rsidP="00C15C97">
      <w:pPr>
        <w:pStyle w:val="SingleTxtG"/>
        <w:numPr>
          <w:ilvl w:val="0"/>
          <w:numId w:val="40"/>
        </w:numPr>
        <w:ind w:left="1134" w:firstLine="0"/>
        <w:rPr>
          <w:lang w:val="fr-FR"/>
        </w:rPr>
      </w:pPr>
      <w:r w:rsidRPr="007045AF">
        <w:rPr>
          <w:lang w:val="fr-FR"/>
        </w:rPr>
        <w:t xml:space="preserve">Dans le cadre des activités de la santé scolaire menées au niveau de </w:t>
      </w:r>
      <w:r w:rsidRPr="007045AF">
        <w:rPr>
          <w:b/>
          <w:bCs/>
          <w:lang w:val="fr-FR"/>
        </w:rPr>
        <w:t>1923</w:t>
      </w:r>
      <w:r w:rsidRPr="007045AF">
        <w:rPr>
          <w:lang w:val="fr-FR"/>
        </w:rPr>
        <w:t xml:space="preserve"> Structure de Dépistage et de Suivi (SDS) couvrant les différents paliers d’enseignement, le personnel médical est tenu de signaler aux autorités compétentes tous les cas de violence constatés sur les élèves. </w:t>
      </w:r>
    </w:p>
    <w:p w14:paraId="4F5C3A61" w14:textId="77777777" w:rsidR="007045AF" w:rsidRPr="007045AF" w:rsidRDefault="007045AF" w:rsidP="00C15C97">
      <w:pPr>
        <w:pStyle w:val="SingleTxtG"/>
        <w:numPr>
          <w:ilvl w:val="0"/>
          <w:numId w:val="40"/>
        </w:numPr>
        <w:ind w:left="1134" w:firstLine="0"/>
        <w:rPr>
          <w:lang w:val="fr-FR"/>
        </w:rPr>
      </w:pPr>
      <w:r w:rsidRPr="007045AF">
        <w:rPr>
          <w:lang w:val="fr-FR"/>
        </w:rPr>
        <w:t>De plus, l’ONPPE a mis en place des mécanismes de signalement d’atteintes aux droits des enfants, à travers le numéro vert 1111, l’application « Allo Tofola» ainsi qu’une cellule de veille cybernétique pour lutter contre l’exploitation des enfants en ligne.</w:t>
      </w:r>
    </w:p>
    <w:p w14:paraId="340C8E1E" w14:textId="77777777" w:rsidR="007045AF" w:rsidRPr="007045AF" w:rsidRDefault="007045AF" w:rsidP="00C15C97">
      <w:pPr>
        <w:pStyle w:val="SingleTxtG"/>
        <w:numPr>
          <w:ilvl w:val="0"/>
          <w:numId w:val="40"/>
        </w:numPr>
        <w:ind w:left="1134" w:firstLine="0"/>
        <w:rPr>
          <w:lang w:val="fr-FR"/>
        </w:rPr>
      </w:pPr>
      <w:r w:rsidRPr="007045AF">
        <w:rPr>
          <w:bCs/>
          <w:lang w:val="fr-FR"/>
        </w:rPr>
        <w:t xml:space="preserve">Des cellules d’écoute, installées au niveau des DASS à l’échelle nationale assurent la prise en charge </w:t>
      </w:r>
      <w:r w:rsidRPr="00C15C97">
        <w:rPr>
          <w:lang w:val="fr-FR"/>
        </w:rPr>
        <w:t>psychologique</w:t>
      </w:r>
      <w:r w:rsidRPr="007045AF">
        <w:rPr>
          <w:bCs/>
          <w:lang w:val="fr-FR"/>
        </w:rPr>
        <w:t>, l’aide sociale, l’orientation et l’accompagnement administratif des femmes</w:t>
      </w:r>
      <w:r w:rsidRPr="007045AF">
        <w:rPr>
          <w:lang w:val="fr-FR"/>
        </w:rPr>
        <w:t>. Elles sont encadrées par des équipes multidisciplinaires pour la réinsertion sociale et l’intégration professionnelle.</w:t>
      </w:r>
    </w:p>
    <w:p w14:paraId="13CDED29" w14:textId="77777777" w:rsidR="007045AF" w:rsidRPr="007045AF" w:rsidRDefault="007045AF" w:rsidP="00C15C97">
      <w:pPr>
        <w:pStyle w:val="SingleTxtG"/>
        <w:numPr>
          <w:ilvl w:val="0"/>
          <w:numId w:val="40"/>
        </w:numPr>
        <w:ind w:left="1134" w:firstLine="0"/>
        <w:rPr>
          <w:lang w:val="fr-FR"/>
        </w:rPr>
      </w:pPr>
      <w:r w:rsidRPr="007045AF">
        <w:rPr>
          <w:lang w:val="fr-FR"/>
        </w:rPr>
        <w:t>L’État assure l’hébergement aux femmes et aux filles en détresse et/ou victimes de violences à travers un réseau institutionnel de plusieurs centres selon les catégories de personnes :</w:t>
      </w:r>
    </w:p>
    <w:p w14:paraId="5E0FF93C" w14:textId="2A96E59B" w:rsidR="007045AF" w:rsidRPr="0020087E" w:rsidRDefault="007045AF" w:rsidP="0020087E">
      <w:pPr>
        <w:pStyle w:val="Bullet1G"/>
      </w:pPr>
      <w:r w:rsidRPr="0020087E">
        <w:t>03 centres nationaux d’accueil des jeunes filles et des femmes victimes de violence et/ou en situation de détresse(CNFVV), situés dans les Wilayas de Tipaza, Mostaganem, et Annaba. A titre indicatif, en 2025, 29 résidentes ont été réinsérées au sein de leurs familles ou par le mariage, 33 ont été inscrites dans des Centres de formation professionnelle, 07 ont poursuivi leurs études à distance, 09 ont été intégrées dans le marché du travail, 12 ont bénéficié d’un accompagnement judiciaire, et 62 ont été accompagnées dans leurs démarches administratives</w:t>
      </w:r>
      <w:r w:rsidR="0020087E">
        <w:t> ;</w:t>
      </w:r>
    </w:p>
    <w:p w14:paraId="25D96D9B" w14:textId="2B136A6C" w:rsidR="007045AF" w:rsidRPr="0020087E" w:rsidRDefault="007045AF" w:rsidP="0020087E">
      <w:pPr>
        <w:pStyle w:val="Bullet1G"/>
      </w:pPr>
      <w:r w:rsidRPr="0020087E">
        <w:t>13 Etablissements d’Accueil pour personnes en difficulté sociale «Diar Errahma» à Alger, Constantine, Oran, Skikda, Ouargla, Batna, Blida, Tipaza, Boumerdes, Tamanrasset, Sétif, El Bayadh et Tlemcen. Ces établissements ont accueilli 5216 femmes en 2020 et 6186 en 2025</w:t>
      </w:r>
      <w:r w:rsidR="0020087E">
        <w:t> ;</w:t>
      </w:r>
    </w:p>
    <w:p w14:paraId="214EA1FC" w14:textId="295A48A1" w:rsidR="007045AF" w:rsidRPr="0020087E" w:rsidRDefault="007045AF" w:rsidP="0020087E">
      <w:pPr>
        <w:pStyle w:val="Bullet1G"/>
      </w:pPr>
      <w:r w:rsidRPr="0020087E">
        <w:t>103 Centres spécialisés dans la protection des enfants, destinés à la prise en charge globale y compris pédagogique</w:t>
      </w:r>
      <w:r w:rsidR="0020087E">
        <w:t> ;</w:t>
      </w:r>
    </w:p>
    <w:p w14:paraId="60A90FBF" w14:textId="23FBB145" w:rsidR="007045AF" w:rsidRPr="0020087E" w:rsidRDefault="007045AF" w:rsidP="0020087E">
      <w:pPr>
        <w:pStyle w:val="Bullet1G"/>
      </w:pPr>
      <w:r w:rsidRPr="0020087E">
        <w:t>06 Centres d’hébergement des services d’aide mobile d’urgence sociale (SAMU Social) situés à Batna, Bechar, Bordj Bou Arreridj, Oran, Constantine et Ouargla, qui accueillent les personnes en difficultés et sans domicile fixe, en attendant leur affectation vers les centres spécialisés</w:t>
      </w:r>
      <w:r w:rsidR="0020087E">
        <w:t> ;</w:t>
      </w:r>
    </w:p>
    <w:p w14:paraId="50CDEC00" w14:textId="77777777" w:rsidR="007045AF" w:rsidRPr="0020087E" w:rsidRDefault="007045AF" w:rsidP="0020087E">
      <w:pPr>
        <w:pStyle w:val="Bullet1G"/>
      </w:pPr>
      <w:r w:rsidRPr="0020087E">
        <w:t>32 Foyers pour Personnes Âgées qui prennent en charge les femmes âgées en difficulté sociale, sans domicile ou sans attaches familiales.</w:t>
      </w:r>
    </w:p>
    <w:p w14:paraId="655C9ABD" w14:textId="77777777" w:rsidR="007045AF" w:rsidRPr="007045AF" w:rsidRDefault="007045AF" w:rsidP="007045AF">
      <w:pPr>
        <w:pStyle w:val="SingleTxtG"/>
        <w:rPr>
          <w:lang w:val="fr-FR"/>
        </w:rPr>
      </w:pPr>
      <w:r w:rsidRPr="007045AF">
        <w:rPr>
          <w:b/>
          <w:noProof/>
          <w:lang w:val="fr-FR"/>
        </w:rPr>
        <w:lastRenderedPageBreak/>
        <w:drawing>
          <wp:inline distT="0" distB="0" distL="0" distR="0" wp14:anchorId="7945BC08" wp14:editId="034B6929">
            <wp:extent cx="5685901" cy="4365266"/>
            <wp:effectExtent l="19050" t="0" r="10049" b="0"/>
            <wp:docPr id="26"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5B375FB" w14:textId="77777777" w:rsidR="007045AF" w:rsidRPr="007045AF" w:rsidRDefault="007045AF" w:rsidP="00C15C97">
      <w:pPr>
        <w:pStyle w:val="SingleTxtG"/>
        <w:numPr>
          <w:ilvl w:val="0"/>
          <w:numId w:val="40"/>
        </w:numPr>
        <w:ind w:left="1134" w:firstLine="0"/>
        <w:rPr>
          <w:lang w:val="fr-FR"/>
        </w:rPr>
      </w:pPr>
      <w:r w:rsidRPr="007045AF">
        <w:rPr>
          <w:lang w:val="fr-FR"/>
        </w:rPr>
        <w:t>De plus, et dans le cadre du renforcement des mécanismes existants de protection, le Ministère de la Solidarité Nationale a mis en place ce qui suit :</w:t>
      </w:r>
    </w:p>
    <w:p w14:paraId="0C8E4D45" w14:textId="4DF026E9" w:rsidR="007045AF" w:rsidRPr="0020087E" w:rsidRDefault="007045AF" w:rsidP="0020087E">
      <w:pPr>
        <w:pStyle w:val="Bullet1G"/>
      </w:pPr>
      <w:r w:rsidRPr="0020087E">
        <w:t>Le Numéro Vert (1026) destiné à fournir assistance et orientation par des professionnels des DASS. A titre indicatif, le nombre d’appels enregistrés de mars 2025 à mars 2026, a atteint 3863 appels dont 2064 pour signaler des violences, soit 53,42%</w:t>
      </w:r>
      <w:r w:rsidR="0020087E">
        <w:t> ;</w:t>
      </w:r>
    </w:p>
    <w:p w14:paraId="4A36FD66" w14:textId="432243D3" w:rsidR="007045AF" w:rsidRPr="0020087E" w:rsidRDefault="007045AF" w:rsidP="0020087E">
      <w:pPr>
        <w:pStyle w:val="Bullet1G"/>
      </w:pPr>
      <w:r w:rsidRPr="0020087E">
        <w:t>Le lancement d’une plateforme numérique « Sanadekoum» et d’une application mobile « Himayati » qui fournissent des services d’orientation par des équipes de psychologues et de travailleurs sociaux. A titre indicatif, du 01 mars au 31 décembre 2025, 366 requêtes ont été traitées</w:t>
      </w:r>
      <w:r w:rsidR="0020087E">
        <w:t> ;</w:t>
      </w:r>
    </w:p>
    <w:p w14:paraId="3AA407C6" w14:textId="77777777" w:rsidR="007045AF" w:rsidRPr="0020087E" w:rsidRDefault="007045AF" w:rsidP="0020087E">
      <w:pPr>
        <w:pStyle w:val="Bullet1G"/>
      </w:pPr>
      <w:r w:rsidRPr="0020087E">
        <w:t>Trois Guides d’information et d’orientation ont été élaborés en 2025 :</w:t>
      </w:r>
    </w:p>
    <w:p w14:paraId="41CB08FA" w14:textId="77777777" w:rsidR="007045AF" w:rsidRPr="0020087E" w:rsidRDefault="007045AF" w:rsidP="0020087E">
      <w:pPr>
        <w:pStyle w:val="Bullet1G"/>
      </w:pPr>
      <w:r w:rsidRPr="0020087E">
        <w:t>Le Guide de prise en charge des femmes et des filles victimes de violence ;</w:t>
      </w:r>
    </w:p>
    <w:p w14:paraId="252434B1" w14:textId="77777777" w:rsidR="007045AF" w:rsidRPr="0020087E" w:rsidRDefault="007045AF" w:rsidP="0020087E">
      <w:pPr>
        <w:pStyle w:val="Bullet1G"/>
      </w:pPr>
      <w:r w:rsidRPr="0020087E">
        <w:t xml:space="preserve">Le Guide juridique pour la protection et la promotion de la femme ; </w:t>
      </w:r>
    </w:p>
    <w:p w14:paraId="790623EB" w14:textId="77777777" w:rsidR="007045AF" w:rsidRPr="0020087E" w:rsidRDefault="007045AF" w:rsidP="0020087E">
      <w:pPr>
        <w:pStyle w:val="Bullet1G"/>
      </w:pPr>
      <w:r w:rsidRPr="0020087E">
        <w:t>Le Guide de l’autonomisation économique de la femme.</w:t>
      </w:r>
    </w:p>
    <w:p w14:paraId="4CA4C427" w14:textId="77777777" w:rsidR="007045AF" w:rsidRPr="007045AF" w:rsidRDefault="007045AF" w:rsidP="00C15C97">
      <w:pPr>
        <w:pStyle w:val="SingleTxtG"/>
        <w:numPr>
          <w:ilvl w:val="0"/>
          <w:numId w:val="40"/>
        </w:numPr>
        <w:ind w:left="1134" w:firstLine="0"/>
        <w:rPr>
          <w:lang w:val="fr-FR"/>
        </w:rPr>
      </w:pPr>
      <w:r w:rsidRPr="007045AF">
        <w:rPr>
          <w:lang w:val="fr-FR"/>
        </w:rPr>
        <w:t>En matière de prestations, le Programme National de la Santé Reproductive et de Planification Familiale (PNSRPF) a été renforcé par l’intégration de prestations liées à la prise en charge clinique et psychologique des femmes victimes de violence. Parmi lesquelles :</w:t>
      </w:r>
    </w:p>
    <w:p w14:paraId="6805F930" w14:textId="77777777" w:rsidR="007045AF" w:rsidRPr="0020087E" w:rsidRDefault="007045AF" w:rsidP="0020087E">
      <w:pPr>
        <w:pStyle w:val="Bullet1G"/>
      </w:pPr>
      <w:r w:rsidRPr="0020087E">
        <w:t>La standardisation des procédures opérationnelles d’intervention au sein des différentes structures de santé garantissant une réponse cohérente et efficace ;</w:t>
      </w:r>
    </w:p>
    <w:p w14:paraId="48358B4A" w14:textId="46DA04B6" w:rsidR="007045AF" w:rsidRPr="0020087E" w:rsidRDefault="007045AF" w:rsidP="0020087E">
      <w:pPr>
        <w:pStyle w:val="Bullet1G"/>
      </w:pPr>
      <w:r w:rsidRPr="0020087E">
        <w:t>L’élaboration du document portant Procédures Opérationnelles Standards (SOP), dans le cadre du projet conjoint UNFPA/ONUDC intitulé « Appui à la lutte Algérienne contre la violence à l’égard des femmes », pour la prise en charge multisectorielle des femmes victimes de violence incluant la chaine pénale</w:t>
      </w:r>
      <w:r w:rsidR="0020087E">
        <w:t> ;</w:t>
      </w:r>
    </w:p>
    <w:p w14:paraId="492D8274" w14:textId="77777777" w:rsidR="007045AF" w:rsidRPr="0020087E" w:rsidRDefault="007045AF" w:rsidP="0020087E">
      <w:pPr>
        <w:pStyle w:val="Bullet1G"/>
      </w:pPr>
      <w:r w:rsidRPr="0020087E">
        <w:lastRenderedPageBreak/>
        <w:t>L’adoption de protocoles cliniques homogènes standardisés afin d’améliorer la qualité de la prise en charge des femmes victimes de violences.</w:t>
      </w:r>
    </w:p>
    <w:p w14:paraId="7EC742CA" w14:textId="695414A5" w:rsidR="007045AF" w:rsidRPr="007045AF" w:rsidRDefault="007045AF" w:rsidP="00C15C97">
      <w:pPr>
        <w:pStyle w:val="SingleTxtG"/>
        <w:numPr>
          <w:ilvl w:val="0"/>
          <w:numId w:val="40"/>
        </w:numPr>
        <w:ind w:left="1134" w:firstLine="0"/>
        <w:rPr>
          <w:lang w:val="fr-FR"/>
        </w:rPr>
      </w:pPr>
      <w:r w:rsidRPr="007045AF">
        <w:rPr>
          <w:bCs/>
          <w:lang w:val="fr-FR"/>
        </w:rPr>
        <w:t xml:space="preserve">La lutte contre la violence faite aux femmes ne se limite pas aux aspects judiciaires et sociaux, elle s’étend à leur </w:t>
      </w:r>
      <w:r w:rsidRPr="00C15C97">
        <w:rPr>
          <w:lang w:val="fr-FR"/>
        </w:rPr>
        <w:t>autonomisation</w:t>
      </w:r>
      <w:r w:rsidRPr="007045AF">
        <w:rPr>
          <w:bCs/>
          <w:lang w:val="fr-FR"/>
        </w:rPr>
        <w:t xml:space="preserve"> financière et la promotion de leur auto-entreprenariat</w:t>
      </w:r>
      <w:r w:rsidRPr="007045AF">
        <w:rPr>
          <w:lang w:val="fr-FR"/>
        </w:rPr>
        <w:t>, à travers des mécanismes d’octroi de microcrédits comme outil de lutte contre le chômage et la précarité garantissant ainsi l’amélioration des conditions de vie des femmes victimes de violences. Voir les paragraphes de 215 à 229.</w:t>
      </w:r>
    </w:p>
    <w:p w14:paraId="4B1525ED" w14:textId="77777777" w:rsidR="007045AF" w:rsidRPr="007045AF" w:rsidRDefault="007045AF" w:rsidP="00C15C97">
      <w:pPr>
        <w:pStyle w:val="SingleTxtG"/>
        <w:numPr>
          <w:ilvl w:val="0"/>
          <w:numId w:val="40"/>
        </w:numPr>
        <w:ind w:left="1134" w:firstLine="0"/>
        <w:rPr>
          <w:lang w:val="fr-FR"/>
        </w:rPr>
      </w:pPr>
      <w:r w:rsidRPr="007045AF">
        <w:rPr>
          <w:lang w:val="fr-FR"/>
        </w:rPr>
        <w:t xml:space="preserve">Point 30-e, voir réponses aux paragraphes de 56 à 67 et 71. </w:t>
      </w:r>
    </w:p>
    <w:p w14:paraId="56FCA205" w14:textId="77777777" w:rsidR="007045AF" w:rsidRPr="007045AF" w:rsidRDefault="007045AF" w:rsidP="00C15C97">
      <w:pPr>
        <w:pStyle w:val="SingleTxtG"/>
        <w:numPr>
          <w:ilvl w:val="0"/>
          <w:numId w:val="40"/>
        </w:numPr>
        <w:ind w:left="1134" w:firstLine="0"/>
        <w:rPr>
          <w:lang w:val="fr-FR"/>
        </w:rPr>
      </w:pPr>
      <w:r w:rsidRPr="007045AF">
        <w:rPr>
          <w:lang w:val="fr-FR"/>
        </w:rPr>
        <w:t xml:space="preserve">S’agissant des femmes détenues enceintes et celles accompagnées de leurs enfants, plusieurs actions ont été prises par le Ministère de la Justice à travers l’aménagement d’une salle adaptée pour les détenues enceintes et celles accompagnées de leurs enfants, ainsi que la création de jardins d’enfants dans 14 établissements pénitentiaires, équipés d’espaces aménagés et de matériels adaptés, afin d’offrir un environnement équilibré aux enfants. </w:t>
      </w:r>
    </w:p>
    <w:p w14:paraId="21F2A382" w14:textId="77777777" w:rsidR="007045AF" w:rsidRPr="007045AF" w:rsidRDefault="007045AF" w:rsidP="00C15C97">
      <w:pPr>
        <w:pStyle w:val="SingleTxtG"/>
        <w:numPr>
          <w:ilvl w:val="0"/>
          <w:numId w:val="40"/>
        </w:numPr>
        <w:ind w:left="1134" w:firstLine="0"/>
        <w:rPr>
          <w:lang w:val="fr-FR"/>
        </w:rPr>
      </w:pPr>
      <w:r w:rsidRPr="007045AF">
        <w:rPr>
          <w:lang w:val="fr-FR"/>
        </w:rPr>
        <w:t>La société civile en Algérie se mobilise pour la protection des femmes en situation de vulnérabilité, à travers :</w:t>
      </w:r>
    </w:p>
    <w:p w14:paraId="74776BEB" w14:textId="3212A2A2" w:rsidR="007045AF" w:rsidRPr="006B38D8" w:rsidRDefault="007045AF" w:rsidP="006B38D8">
      <w:pPr>
        <w:pStyle w:val="Bullet1G"/>
      </w:pPr>
      <w:r w:rsidRPr="006B38D8">
        <w:t>Des consultations et conseils juridiques gratuits ainsi qu’un accompagnement dans les procédures judiciaires. A titre d’exemple, 100 cas sont traités annuellement par les avocates de la fondation pour l’égalité CIDDEF</w:t>
      </w:r>
      <w:r w:rsidR="006B38D8">
        <w:t> ;</w:t>
      </w:r>
    </w:p>
    <w:p w14:paraId="13C9A034" w14:textId="45BB14A5" w:rsidR="007045AF" w:rsidRPr="006B38D8" w:rsidRDefault="007045AF" w:rsidP="006B38D8">
      <w:pPr>
        <w:pStyle w:val="Bullet1G"/>
      </w:pPr>
      <w:r w:rsidRPr="006B38D8">
        <w:t>Des cellules d’écoute assurant des services d’orientation, d’information juridique et de soutien psychologique aux femmes en situation de vulnérabilité, à l’instar du centre d’écoute du Réseau Wassila /AVIFE, opérationnel depuis 2005, ainsi que le service d’écoute psychologique de l’association CIDDEF, dirigé par une psychologue clinicienne</w:t>
      </w:r>
      <w:r w:rsidR="006B38D8">
        <w:t> ;</w:t>
      </w:r>
    </w:p>
    <w:p w14:paraId="44A6002B" w14:textId="6F919F1D" w:rsidR="007045AF" w:rsidRPr="006B38D8" w:rsidRDefault="007045AF" w:rsidP="006B38D8">
      <w:pPr>
        <w:pStyle w:val="Bullet1G"/>
      </w:pPr>
      <w:r w:rsidRPr="006B38D8">
        <w:t>L’accompagnement psychologique et social, notamment par la Fondation pour la Promotion de la Santé et le Développement de la Recherche (FOREM) qui a assuré une prise en charge psychologique de plus de 560 femmes à Alger. Elle effectue également des visites au niveau des établissements pénitentiaires dans le cadre du suivi des droits des femmes détenues</w:t>
      </w:r>
      <w:r w:rsidR="006B38D8">
        <w:t> ;</w:t>
      </w:r>
    </w:p>
    <w:p w14:paraId="2F614E15" w14:textId="2696E388" w:rsidR="007045AF" w:rsidRPr="006B38D8" w:rsidRDefault="007045AF" w:rsidP="006B38D8">
      <w:pPr>
        <w:pStyle w:val="Bullet1G"/>
      </w:pPr>
      <w:r w:rsidRPr="006B38D8">
        <w:t>L’accueil des femmes victimes de violence, à l’instar de l’association SOS Femmes en Détresse qui a accueillie et accompagnée 103 mères célibataires de 2010 à 2026. Leur prise en charge couvre l’accompagnement durant/après la grossesse, l’hébergement et l’aide au logement ainsi que l’accompagnement psychologique, juridique et administratif (inscription de l’enfant à l’état civil, reconnaissance de la paternité, filiation)</w:t>
      </w:r>
      <w:r w:rsidR="00037BBF">
        <w:t>.</w:t>
      </w:r>
    </w:p>
    <w:p w14:paraId="0C9964B3" w14:textId="2623CBB9" w:rsidR="007045AF" w:rsidRPr="007045AF" w:rsidRDefault="00037BBF" w:rsidP="00037BBF">
      <w:pPr>
        <w:pStyle w:val="H23G"/>
        <w:rPr>
          <w:lang w:val="fr-FR"/>
        </w:rPr>
      </w:pPr>
      <w:r>
        <w:rPr>
          <w:lang w:val="fr-FR"/>
        </w:rPr>
        <w:tab/>
      </w:r>
      <w:r>
        <w:rPr>
          <w:lang w:val="fr-FR"/>
        </w:rPr>
        <w:tab/>
      </w:r>
      <w:r w:rsidR="007045AF" w:rsidRPr="007045AF">
        <w:rPr>
          <w:lang w:val="fr-FR"/>
        </w:rPr>
        <w:t>Point 32 (a-b-c-d)</w:t>
      </w:r>
    </w:p>
    <w:p w14:paraId="15DCD5F4" w14:textId="77777777" w:rsidR="007045AF" w:rsidRPr="007045AF" w:rsidRDefault="007045AF" w:rsidP="00C15C97">
      <w:pPr>
        <w:pStyle w:val="SingleTxtG"/>
        <w:numPr>
          <w:ilvl w:val="0"/>
          <w:numId w:val="40"/>
        </w:numPr>
        <w:ind w:left="1134" w:firstLine="0"/>
        <w:rPr>
          <w:lang w:val="fr-FR"/>
        </w:rPr>
      </w:pPr>
      <w:r w:rsidRPr="007045AF">
        <w:rPr>
          <w:lang w:val="fr-FR"/>
        </w:rPr>
        <w:t>Le Comité national de prévention et de lutte contre la traite des personnes créé en 2016</w:t>
      </w:r>
      <w:r w:rsidRPr="007045AF">
        <w:rPr>
          <w:vertAlign w:val="superscript"/>
          <w:lang w:val="fr-FR"/>
        </w:rPr>
        <w:footnoteReference w:id="20"/>
      </w:r>
      <w:r w:rsidRPr="007045AF">
        <w:rPr>
          <w:lang w:val="fr-FR"/>
        </w:rPr>
        <w:t>, est un organe national placé auprès du Premier Ministre en vertu du décret présidentiel n°26-159 du 16 avril 2026</w:t>
      </w:r>
      <w:r w:rsidRPr="007045AF">
        <w:rPr>
          <w:vertAlign w:val="superscript"/>
          <w:lang w:val="fr-FR"/>
        </w:rPr>
        <w:footnoteReference w:id="21"/>
      </w:r>
      <w:r w:rsidRPr="007045AF">
        <w:rPr>
          <w:lang w:val="fr-FR"/>
        </w:rPr>
        <w:t>, agissant en qualité de mécanisme national centralisé.</w:t>
      </w:r>
    </w:p>
    <w:p w14:paraId="69CD4BEA" w14:textId="77777777" w:rsidR="007045AF" w:rsidRPr="007045AF" w:rsidRDefault="007045AF" w:rsidP="00C15C97">
      <w:pPr>
        <w:pStyle w:val="SingleTxtG"/>
        <w:numPr>
          <w:ilvl w:val="0"/>
          <w:numId w:val="40"/>
        </w:numPr>
        <w:ind w:left="1134" w:firstLine="0"/>
        <w:rPr>
          <w:lang w:val="fr-FR"/>
        </w:rPr>
      </w:pPr>
      <w:r w:rsidRPr="007045AF">
        <w:rPr>
          <w:lang w:val="fr-FR"/>
        </w:rPr>
        <w:t>Ses attributions ont été d’abord renforcées en 2023, par la loi n°23-04 du 07 mai 2023 relative à la prévention et à la lutte contre la traite des personnes, puis en 2026, pour inclure l’élaboration et la mise en œuvre de la stratégie nationale et du plan d’action y afférant, ainsi que la prise en charge et la protection des victimes.</w:t>
      </w:r>
    </w:p>
    <w:p w14:paraId="3338D4F7" w14:textId="77777777" w:rsidR="007045AF" w:rsidRPr="007045AF" w:rsidRDefault="007045AF" w:rsidP="00C15C97">
      <w:pPr>
        <w:pStyle w:val="SingleTxtG"/>
        <w:numPr>
          <w:ilvl w:val="0"/>
          <w:numId w:val="40"/>
        </w:numPr>
        <w:ind w:left="1134" w:firstLine="0"/>
        <w:rPr>
          <w:lang w:val="fr-FR"/>
        </w:rPr>
      </w:pPr>
      <w:r w:rsidRPr="007045AF">
        <w:rPr>
          <w:lang w:val="fr-FR"/>
        </w:rPr>
        <w:t xml:space="preserve">Le Comité s’emploie actuellement à la mise en œuvre de la stratégie et du plan d’action susmentionnés. Voir paragraphes 41, 42 et 43. </w:t>
      </w:r>
    </w:p>
    <w:p w14:paraId="3B0DF143" w14:textId="77777777" w:rsidR="007045AF" w:rsidRPr="007045AF" w:rsidRDefault="007045AF" w:rsidP="00C15C97">
      <w:pPr>
        <w:pStyle w:val="SingleTxtG"/>
        <w:numPr>
          <w:ilvl w:val="0"/>
          <w:numId w:val="40"/>
        </w:numPr>
        <w:ind w:left="1134" w:firstLine="0"/>
        <w:rPr>
          <w:lang w:val="fr-FR"/>
        </w:rPr>
      </w:pPr>
      <w:r w:rsidRPr="007045AF">
        <w:rPr>
          <w:bCs/>
          <w:lang w:val="fr-FR"/>
        </w:rPr>
        <w:t xml:space="preserve">La protection des </w:t>
      </w:r>
      <w:r w:rsidRPr="00C15C97">
        <w:rPr>
          <w:lang w:val="fr-FR"/>
        </w:rPr>
        <w:t>victimes</w:t>
      </w:r>
      <w:r w:rsidRPr="007045AF">
        <w:rPr>
          <w:bCs/>
          <w:lang w:val="fr-FR"/>
        </w:rPr>
        <w:t>, basée sur une approche holistique, a été renforcée par la création :</w:t>
      </w:r>
    </w:p>
    <w:p w14:paraId="51B3F105" w14:textId="56663655" w:rsidR="007045AF" w:rsidRPr="007045AF" w:rsidRDefault="007045AF" w:rsidP="00AB695A">
      <w:pPr>
        <w:pStyle w:val="Bullet1G"/>
        <w:rPr>
          <w:lang w:val="fr-FR"/>
        </w:rPr>
      </w:pPr>
      <w:r w:rsidRPr="00851393">
        <w:rPr>
          <w:bCs/>
          <w:lang w:val="fr-FR"/>
        </w:rPr>
        <w:lastRenderedPageBreak/>
        <w:t>D’un c</w:t>
      </w:r>
      <w:r w:rsidRPr="00851393">
        <w:rPr>
          <w:lang w:val="fr-FR"/>
        </w:rPr>
        <w:t>ompte d’affectation</w:t>
      </w:r>
      <w:r w:rsidRPr="007045AF">
        <w:rPr>
          <w:lang w:val="fr-FR"/>
        </w:rPr>
        <w:t xml:space="preserve"> spéciale pour l’</w:t>
      </w:r>
      <w:r w:rsidRPr="007045AF">
        <w:rPr>
          <w:bCs/>
          <w:lang w:val="fr-FR"/>
        </w:rPr>
        <w:t>assistance et la prise en charge des victimes, créé en vertu de l</w:t>
      </w:r>
      <w:r w:rsidRPr="007045AF">
        <w:rPr>
          <w:lang w:val="fr-FR"/>
        </w:rPr>
        <w:t>a loi n°25-17 du 14 décembre 2025</w:t>
      </w:r>
      <w:r w:rsidRPr="007045AF">
        <w:rPr>
          <w:vertAlign w:val="superscript"/>
          <w:lang w:val="fr-FR"/>
        </w:rPr>
        <w:footnoteReference w:id="22"/>
      </w:r>
      <w:r w:rsidRPr="007045AF">
        <w:rPr>
          <w:lang w:val="fr-FR"/>
        </w:rPr>
        <w:t>, portant loi de finance 2025 et qui a pour objectif</w:t>
      </w:r>
      <w:r w:rsidR="00851393">
        <w:rPr>
          <w:lang w:val="fr-FR"/>
        </w:rPr>
        <w:t> :</w:t>
      </w:r>
    </w:p>
    <w:p w14:paraId="7F321C76" w14:textId="77777777" w:rsidR="007045AF" w:rsidRPr="007045AF" w:rsidRDefault="007045AF" w:rsidP="00851393">
      <w:pPr>
        <w:pStyle w:val="Bullet2G"/>
        <w:rPr>
          <w:lang w:val="fr-FR"/>
        </w:rPr>
      </w:pPr>
      <w:r w:rsidRPr="007045AF">
        <w:rPr>
          <w:lang w:val="fr-FR"/>
        </w:rPr>
        <w:t>Le financement des programmes de la prise en charge et de la réinsertion des victimes ;</w:t>
      </w:r>
    </w:p>
    <w:p w14:paraId="407ADE4B" w14:textId="77777777" w:rsidR="007045AF" w:rsidRPr="007045AF" w:rsidRDefault="007045AF" w:rsidP="00851393">
      <w:pPr>
        <w:pStyle w:val="Bullet2G"/>
        <w:rPr>
          <w:lang w:val="fr-FR"/>
        </w:rPr>
      </w:pPr>
      <w:r w:rsidRPr="007045AF">
        <w:rPr>
          <w:lang w:val="fr-FR"/>
        </w:rPr>
        <w:t>La contribution au financement des activités et des plans nationaux destinés aux victimes ;</w:t>
      </w:r>
    </w:p>
    <w:p w14:paraId="44AEADCD" w14:textId="77777777" w:rsidR="007045AF" w:rsidRPr="007045AF" w:rsidRDefault="007045AF" w:rsidP="00851393">
      <w:pPr>
        <w:pStyle w:val="Bullet2G"/>
        <w:rPr>
          <w:lang w:val="fr-FR"/>
        </w:rPr>
      </w:pPr>
      <w:r w:rsidRPr="007045AF">
        <w:rPr>
          <w:lang w:val="fr-FR"/>
        </w:rPr>
        <w:t>La contribution au financement du retour volontaire et en toute sécurité des victimes étrangères vers leur pays d’origine ou de résidence ;</w:t>
      </w:r>
    </w:p>
    <w:p w14:paraId="65EDDF73" w14:textId="77777777" w:rsidR="007045AF" w:rsidRPr="007045AF" w:rsidRDefault="007045AF" w:rsidP="00AB695A">
      <w:pPr>
        <w:pStyle w:val="Bullet1G"/>
        <w:rPr>
          <w:lang w:val="fr-FR"/>
        </w:rPr>
      </w:pPr>
      <w:r w:rsidRPr="00851393">
        <w:rPr>
          <w:bCs/>
          <w:lang w:val="fr-FR"/>
        </w:rPr>
        <w:t>D’un</w:t>
      </w:r>
      <w:r w:rsidRPr="00851393">
        <w:rPr>
          <w:lang w:val="fr-FR"/>
        </w:rPr>
        <w:t xml:space="preserve"> mécanisme de renvoi</w:t>
      </w:r>
      <w:r w:rsidRPr="007045AF">
        <w:rPr>
          <w:lang w:val="fr-FR"/>
        </w:rPr>
        <w:t xml:space="preserve"> en vertu </w:t>
      </w:r>
      <w:r w:rsidRPr="007045AF">
        <w:rPr>
          <w:bCs/>
          <w:lang w:val="fr-FR"/>
        </w:rPr>
        <w:t xml:space="preserve">du décret exécutif </w:t>
      </w:r>
      <w:r w:rsidRPr="007045AF">
        <w:rPr>
          <w:lang w:val="fr-FR"/>
        </w:rPr>
        <w:t>n°26-14 du 07 janvier 2026</w:t>
      </w:r>
      <w:r w:rsidRPr="007045AF">
        <w:rPr>
          <w:vertAlign w:val="superscript"/>
          <w:lang w:val="fr-FR"/>
        </w:rPr>
        <w:footnoteReference w:id="23"/>
      </w:r>
      <w:r w:rsidRPr="007045AF">
        <w:rPr>
          <w:lang w:val="fr-FR"/>
        </w:rPr>
        <w:t>qui prévoit la prise en charge immédiate et automatique des victimes (particulièrement les femmes et les enfants), à travers :</w:t>
      </w:r>
    </w:p>
    <w:p w14:paraId="71A233BD" w14:textId="77777777" w:rsidR="007045AF" w:rsidRPr="007045AF" w:rsidRDefault="007045AF" w:rsidP="00851393">
      <w:pPr>
        <w:pStyle w:val="Bullet2G"/>
        <w:rPr>
          <w:lang w:val="fr-FR"/>
        </w:rPr>
      </w:pPr>
      <w:r w:rsidRPr="007045AF">
        <w:rPr>
          <w:lang w:val="fr-FR"/>
        </w:rPr>
        <w:t>L’identification des victimes ;</w:t>
      </w:r>
    </w:p>
    <w:p w14:paraId="76A7C840" w14:textId="77777777" w:rsidR="007045AF" w:rsidRPr="007045AF" w:rsidRDefault="007045AF" w:rsidP="00851393">
      <w:pPr>
        <w:pStyle w:val="Bullet2G"/>
        <w:rPr>
          <w:lang w:val="fr-FR"/>
        </w:rPr>
      </w:pPr>
      <w:r w:rsidRPr="007045AF">
        <w:rPr>
          <w:lang w:val="fr-FR"/>
        </w:rPr>
        <w:t>L’assistance médicale, sociale, juridique, judiciaire, administrative et matérielle ;</w:t>
      </w:r>
    </w:p>
    <w:p w14:paraId="1DBA435A" w14:textId="77777777" w:rsidR="007045AF" w:rsidRPr="007045AF" w:rsidRDefault="007045AF" w:rsidP="00851393">
      <w:pPr>
        <w:pStyle w:val="Bullet2G"/>
        <w:rPr>
          <w:lang w:val="fr-FR"/>
        </w:rPr>
      </w:pPr>
      <w:r w:rsidRPr="007045AF">
        <w:rPr>
          <w:lang w:val="fr-FR"/>
        </w:rPr>
        <w:t xml:space="preserve">L’accueil et l’hébergement </w:t>
      </w:r>
      <w:r w:rsidRPr="007045AF">
        <w:rPr>
          <w:vertAlign w:val="superscript"/>
          <w:lang w:val="fr-FR"/>
        </w:rPr>
        <w:footnoteReference w:id="24"/>
      </w:r>
      <w:r w:rsidRPr="007045AF">
        <w:rPr>
          <w:lang w:val="fr-FR"/>
        </w:rPr>
        <w:t> ;</w:t>
      </w:r>
    </w:p>
    <w:p w14:paraId="0DB6902A" w14:textId="77777777" w:rsidR="007045AF" w:rsidRPr="007045AF" w:rsidRDefault="007045AF" w:rsidP="00851393">
      <w:pPr>
        <w:pStyle w:val="Bullet2G"/>
        <w:rPr>
          <w:lang w:val="fr-FR"/>
        </w:rPr>
      </w:pPr>
      <w:r w:rsidRPr="007045AF">
        <w:rPr>
          <w:lang w:val="fr-FR"/>
        </w:rPr>
        <w:t>La réinsertion sociale ;</w:t>
      </w:r>
    </w:p>
    <w:p w14:paraId="2FC56523" w14:textId="77777777" w:rsidR="007045AF" w:rsidRPr="007045AF" w:rsidRDefault="007045AF" w:rsidP="00851393">
      <w:pPr>
        <w:pStyle w:val="Bullet2G"/>
        <w:rPr>
          <w:lang w:val="fr-FR"/>
        </w:rPr>
      </w:pPr>
      <w:r w:rsidRPr="007045AF">
        <w:rPr>
          <w:lang w:val="fr-FR"/>
        </w:rPr>
        <w:t>Le retour volontaire au pays d’origine.</w:t>
      </w:r>
    </w:p>
    <w:p w14:paraId="3961D7CB" w14:textId="77777777" w:rsidR="007045AF" w:rsidRPr="007045AF" w:rsidRDefault="007045AF" w:rsidP="00C15C97">
      <w:pPr>
        <w:pStyle w:val="SingleTxtG"/>
        <w:numPr>
          <w:ilvl w:val="0"/>
          <w:numId w:val="40"/>
        </w:numPr>
        <w:ind w:left="1134" w:firstLine="0"/>
        <w:rPr>
          <w:lang w:val="fr-FR"/>
        </w:rPr>
      </w:pPr>
      <w:r w:rsidRPr="007045AF">
        <w:rPr>
          <w:lang w:val="fr-FR"/>
        </w:rPr>
        <w:t>Le Comité a pour mission, entre autres, l’élaboration de programmes de formation et de sensibilisation. A titre illustratif, il a contribué, en 2025, au renforcement des capacités nationales au profit de 183 cadres de différents secteurs.</w:t>
      </w:r>
    </w:p>
    <w:p w14:paraId="1672C584" w14:textId="77777777" w:rsidR="007045AF" w:rsidRPr="007045AF" w:rsidRDefault="007045AF" w:rsidP="00C15C97">
      <w:pPr>
        <w:pStyle w:val="SingleTxtG"/>
        <w:numPr>
          <w:ilvl w:val="0"/>
          <w:numId w:val="40"/>
        </w:numPr>
        <w:ind w:left="1134" w:firstLine="0"/>
        <w:rPr>
          <w:lang w:val="fr-FR"/>
        </w:rPr>
      </w:pPr>
      <w:r w:rsidRPr="007045AF">
        <w:rPr>
          <w:lang w:val="fr-FR"/>
        </w:rPr>
        <w:t>En parallèle, chaque secteur est tenu de former ses fonctionnaires intervenant dans ce domaine, à l’instar du ministère de la Justice, qui organise des formations spécialisées au profit des membres du parquet, des juges d’instruction et des magistrats de siège.</w:t>
      </w:r>
    </w:p>
    <w:p w14:paraId="1EFEA688" w14:textId="77777777" w:rsidR="007045AF" w:rsidRPr="007045AF" w:rsidRDefault="007045AF" w:rsidP="00C15C97">
      <w:pPr>
        <w:pStyle w:val="SingleTxtG"/>
        <w:numPr>
          <w:ilvl w:val="0"/>
          <w:numId w:val="40"/>
        </w:numPr>
        <w:ind w:left="1134" w:firstLine="0"/>
        <w:rPr>
          <w:lang w:val="fr-FR"/>
        </w:rPr>
      </w:pPr>
      <w:r w:rsidRPr="007045AF">
        <w:rPr>
          <w:lang w:val="fr-FR"/>
        </w:rPr>
        <w:t>En outre, un Service de Lutte Contre la criminalité organisée, notamment le Trafic de Migrants et la Traite des Personnes de la Gendarmerie Nationale a été créé en vertu du décret présidentiel n°24-231 du 08 juillet 2024.</w:t>
      </w:r>
    </w:p>
    <w:p w14:paraId="1204EE9E" w14:textId="77777777" w:rsidR="007045AF" w:rsidRPr="007045AF" w:rsidRDefault="007045AF" w:rsidP="00C15C97">
      <w:pPr>
        <w:pStyle w:val="SingleTxtG"/>
        <w:numPr>
          <w:ilvl w:val="0"/>
          <w:numId w:val="40"/>
        </w:numPr>
        <w:ind w:left="1134" w:firstLine="0"/>
        <w:rPr>
          <w:lang w:val="fr-FR"/>
        </w:rPr>
      </w:pPr>
      <w:r w:rsidRPr="007045AF">
        <w:rPr>
          <w:lang w:val="fr-FR"/>
        </w:rPr>
        <w:t>Point 32-C, voir réponse aux paragraphes 137 au 144.</w:t>
      </w:r>
    </w:p>
    <w:p w14:paraId="3BB28499" w14:textId="598966C7" w:rsidR="007045AF" w:rsidRPr="007045AF" w:rsidRDefault="00CC1B17" w:rsidP="00CC1B17">
      <w:pPr>
        <w:pStyle w:val="H23G"/>
        <w:rPr>
          <w:lang w:val="fr-FR"/>
        </w:rPr>
      </w:pPr>
      <w:r>
        <w:rPr>
          <w:lang w:val="fr-FR"/>
        </w:rPr>
        <w:tab/>
      </w:r>
      <w:r>
        <w:rPr>
          <w:lang w:val="fr-FR"/>
        </w:rPr>
        <w:tab/>
      </w:r>
      <w:r w:rsidR="007045AF" w:rsidRPr="007045AF">
        <w:rPr>
          <w:lang w:val="fr-FR"/>
        </w:rPr>
        <w:t>Point 34 (a-b-c)</w:t>
      </w:r>
    </w:p>
    <w:p w14:paraId="698F5A95" w14:textId="77777777" w:rsidR="007045AF" w:rsidRPr="007045AF" w:rsidRDefault="007045AF" w:rsidP="00C15C97">
      <w:pPr>
        <w:pStyle w:val="SingleTxtG"/>
        <w:numPr>
          <w:ilvl w:val="0"/>
          <w:numId w:val="40"/>
        </w:numPr>
        <w:ind w:left="1134" w:firstLine="0"/>
        <w:rPr>
          <w:lang w:val="fr-FR"/>
        </w:rPr>
      </w:pPr>
      <w:r w:rsidRPr="007045AF">
        <w:rPr>
          <w:lang w:val="fr-FR"/>
        </w:rPr>
        <w:t xml:space="preserve">L’Algérie s’est toujours engagée à la promotion effective des droits politiques de la femme en augmentant ses chances d’accès à la représentation dans les assemblées élues, et ce en œuvrant, depuis 2020, à travers l’adoption de plusieurs textes. Voir paragraphes 95 et 96. </w:t>
      </w:r>
    </w:p>
    <w:p w14:paraId="0F2AE1CD" w14:textId="77777777" w:rsidR="007045AF" w:rsidRPr="007045AF" w:rsidRDefault="007045AF" w:rsidP="00C15C97">
      <w:pPr>
        <w:pStyle w:val="SingleTxtG"/>
        <w:numPr>
          <w:ilvl w:val="0"/>
          <w:numId w:val="40"/>
        </w:numPr>
        <w:ind w:left="1134" w:firstLine="0"/>
        <w:rPr>
          <w:lang w:val="fr-FR"/>
        </w:rPr>
      </w:pPr>
      <w:r w:rsidRPr="007045AF">
        <w:rPr>
          <w:lang w:val="fr-FR"/>
        </w:rPr>
        <w:t>La loi organique n°26-05 du 04 avril 2026 modifiant et complétant l’ordonnance n°21-01 du 10 mars 2021 relative au régime électoral a réinstauré le quota proportionnel dans les listes des candidats aux élections de l’assemblée populaire nationale et aux assemblées populaires locales, notamment dans :</w:t>
      </w:r>
    </w:p>
    <w:p w14:paraId="7B252619" w14:textId="48898A41" w:rsidR="007045AF" w:rsidRPr="002A3A73" w:rsidRDefault="007045AF" w:rsidP="002A3A73">
      <w:pPr>
        <w:pStyle w:val="Bullet1G"/>
      </w:pPr>
      <w:r w:rsidRPr="002A3A73">
        <w:t>Article 191 « L’Assemblée Populaire Nationale est élue pour un mandat de cinq (5) ans au scrutin de liste ouverte à la représentation proportionnelle avec vote préférentiel, sans panachage………La liste présentée, doit comprendre, sous peine de rejet, un tiers des candidats femmes… »</w:t>
      </w:r>
      <w:r w:rsidR="002A3A73">
        <w:t>;</w:t>
      </w:r>
    </w:p>
    <w:p w14:paraId="5B3388DD" w14:textId="77777777" w:rsidR="007045AF" w:rsidRPr="002A3A73" w:rsidRDefault="007045AF" w:rsidP="002A3A73">
      <w:pPr>
        <w:pStyle w:val="Bullet1G"/>
      </w:pPr>
      <w:r w:rsidRPr="002A3A73">
        <w:lastRenderedPageBreak/>
        <w:t>Article 176 « La liste des candidats aux assemblées populaires de wilayas et communales…La liste présentée aux élections, doit contenir, sous peine de rejet, un tiers des candidats femmes… ».</w:t>
      </w:r>
    </w:p>
    <w:p w14:paraId="6CD9F8A4" w14:textId="77777777" w:rsidR="007045AF" w:rsidRPr="007045AF" w:rsidRDefault="007045AF" w:rsidP="00C15C97">
      <w:pPr>
        <w:pStyle w:val="SingleTxtG"/>
        <w:numPr>
          <w:ilvl w:val="0"/>
          <w:numId w:val="40"/>
        </w:numPr>
        <w:ind w:left="1134" w:firstLine="0"/>
        <w:rPr>
          <w:lang w:val="fr-FR"/>
        </w:rPr>
      </w:pPr>
      <w:r w:rsidRPr="007045AF">
        <w:rPr>
          <w:lang w:val="fr-FR"/>
        </w:rPr>
        <w:t>Additionnellement aux éléments fournis dans les paragraphes 99 et 100 concernant l’égalité effective entre les hommes et les femmes dans le marché du travail, on citera ce qui suit :</w:t>
      </w:r>
    </w:p>
    <w:p w14:paraId="71D16399" w14:textId="77777777" w:rsidR="007045AF" w:rsidRPr="007045AF" w:rsidRDefault="007045AF" w:rsidP="00C15C97">
      <w:pPr>
        <w:pStyle w:val="SingleTxtG"/>
        <w:numPr>
          <w:ilvl w:val="0"/>
          <w:numId w:val="40"/>
        </w:numPr>
        <w:ind w:left="1134" w:firstLine="0"/>
        <w:rPr>
          <w:lang w:val="fr-FR"/>
        </w:rPr>
      </w:pPr>
      <w:r w:rsidRPr="007045AF">
        <w:rPr>
          <w:lang w:val="fr-FR"/>
        </w:rPr>
        <w:t xml:space="preserve">La femme occupe des postes de responsabilité dans divers domaines au sein des institutions de l’Etat. La Cour Constitutionnelle, le Conseil National des Droits de l’Homme, et l’Observatoire National de la Société Civile sont respectivement présidés par des femmes. Le Gouvernement actuel </w:t>
      </w:r>
      <w:r w:rsidRPr="00C9555A">
        <w:rPr>
          <w:lang w:val="fr-FR"/>
        </w:rPr>
        <w:t>compte 07 Ministres femmes et 02 Secrétaires</w:t>
      </w:r>
      <w:r w:rsidRPr="007045AF">
        <w:rPr>
          <w:lang w:val="fr-FR"/>
        </w:rPr>
        <w:t xml:space="preserve"> d’État femme, ainsi qu’une femme nommée « Haut-commissaire à la Numérisation », au rang de Ministre.</w:t>
      </w:r>
    </w:p>
    <w:p w14:paraId="1A1250B2" w14:textId="77777777" w:rsidR="007045AF" w:rsidRPr="00C9555A" w:rsidRDefault="007045AF" w:rsidP="00C15C97">
      <w:pPr>
        <w:pStyle w:val="SingleTxtG"/>
        <w:numPr>
          <w:ilvl w:val="0"/>
          <w:numId w:val="40"/>
        </w:numPr>
        <w:ind w:left="1134" w:firstLine="0"/>
        <w:rPr>
          <w:lang w:val="fr-FR"/>
        </w:rPr>
      </w:pPr>
      <w:r w:rsidRPr="007045AF">
        <w:rPr>
          <w:lang w:val="fr-FR"/>
        </w:rPr>
        <w:t xml:space="preserve">La législation algérienne ne comporte aucune distinction entre les deux sexes en matière </w:t>
      </w:r>
      <w:r w:rsidRPr="00C9555A">
        <w:rPr>
          <w:lang w:val="fr-FR"/>
        </w:rPr>
        <w:t>d’accès à la fonction publique. En 2020, l’effectif féminin était de 905341 soit 41.09%. Il a progressé en 2024 pour atteindre 1.304.155 fonctionnaires, soit 46.58.</w:t>
      </w:r>
    </w:p>
    <w:p w14:paraId="7DA0CBCA" w14:textId="77777777" w:rsidR="007045AF" w:rsidRPr="00C9555A" w:rsidRDefault="007045AF" w:rsidP="00C15C97">
      <w:pPr>
        <w:pStyle w:val="SingleTxtG"/>
        <w:numPr>
          <w:ilvl w:val="0"/>
          <w:numId w:val="40"/>
        </w:numPr>
        <w:ind w:left="1134" w:firstLine="0"/>
        <w:rPr>
          <w:lang w:val="fr-FR"/>
        </w:rPr>
      </w:pPr>
      <w:r w:rsidRPr="00C9555A">
        <w:rPr>
          <w:lang w:val="fr-FR"/>
        </w:rPr>
        <w:t xml:space="preserve">Dans le cadre de la promotion du rôle de la femme au sein de l’institution militaire, une hausse considérable de près de 50% des effectifs féminins a été enregistrée durant les dix dernières années. </w:t>
      </w:r>
    </w:p>
    <w:p w14:paraId="1CB70B68" w14:textId="77777777" w:rsidR="007045AF" w:rsidRPr="00C9555A" w:rsidRDefault="007045AF" w:rsidP="00C15C97">
      <w:pPr>
        <w:pStyle w:val="SingleTxtG"/>
        <w:numPr>
          <w:ilvl w:val="0"/>
          <w:numId w:val="40"/>
        </w:numPr>
        <w:ind w:left="1134" w:firstLine="0"/>
        <w:rPr>
          <w:lang w:val="fr-FR"/>
        </w:rPr>
      </w:pPr>
      <w:r w:rsidRPr="007045AF">
        <w:rPr>
          <w:lang w:val="fr-FR"/>
        </w:rPr>
        <w:t xml:space="preserve">Le ministère de l’Intérieur a lancé une dynamique visant l’intégration et la promotion des femmes aux postes de prise de décision. A ce titre, le taux de femmes occupant des fonctions supérieures est de </w:t>
      </w:r>
      <w:r w:rsidRPr="00C9555A">
        <w:rPr>
          <w:lang w:val="fr-FR"/>
        </w:rPr>
        <w:t xml:space="preserve">26.66 % soit 52 femmes, et celles occupant des postes supérieurs est de 56.99% soit 110 femmes. </w:t>
      </w:r>
    </w:p>
    <w:p w14:paraId="0CE14871" w14:textId="77777777" w:rsidR="007045AF" w:rsidRPr="00C9555A" w:rsidRDefault="007045AF" w:rsidP="00C15C97">
      <w:pPr>
        <w:pStyle w:val="SingleTxtG"/>
        <w:numPr>
          <w:ilvl w:val="0"/>
          <w:numId w:val="40"/>
        </w:numPr>
        <w:ind w:left="1134" w:firstLine="0"/>
        <w:rPr>
          <w:lang w:val="fr-FR"/>
        </w:rPr>
      </w:pPr>
      <w:r w:rsidRPr="00C9555A">
        <w:rPr>
          <w:lang w:val="fr-FR"/>
        </w:rPr>
        <w:t>Cette dynamique a été adoptée au niveau des établissements sous tutelle tels que la Direction Générale de la Protection Civile (2583 femmes, dont 104 occupent des postes supérieurs), l'Ecole Nationale d'Administration (41.62%), la caisse de solidarité et de garantie des collectivités locales, (60%) le Centre national d'études et d'analyses pour la population et le développement (60%), le Centre de Recherche en Astronomie, Astrophysique et Géophysique et les Centres Nationaux de Formation, de perfectionnement et de recyclage du Personnel des Collectivités Locales (45.34%).</w:t>
      </w:r>
    </w:p>
    <w:p w14:paraId="041C9626" w14:textId="77777777" w:rsidR="007045AF" w:rsidRPr="00C9555A" w:rsidRDefault="007045AF" w:rsidP="00C15C97">
      <w:pPr>
        <w:pStyle w:val="SingleTxtG"/>
        <w:numPr>
          <w:ilvl w:val="0"/>
          <w:numId w:val="40"/>
        </w:numPr>
        <w:ind w:left="1134" w:firstLine="0"/>
        <w:rPr>
          <w:lang w:val="fr-FR"/>
        </w:rPr>
      </w:pPr>
      <w:r w:rsidRPr="00C9555A">
        <w:rPr>
          <w:lang w:val="fr-FR"/>
        </w:rPr>
        <w:t xml:space="preserve">S’agissant de la présence de la femme au sein du corps diplomatique, le nombre de femmes à l’Administration Centrale est de 199 soit 34%, 20 femmes sont actuellement Cheffes de Postes diplomatiques et consulaires. </w:t>
      </w:r>
    </w:p>
    <w:p w14:paraId="68872EC3" w14:textId="77777777" w:rsidR="007045AF" w:rsidRPr="00C9555A" w:rsidRDefault="007045AF" w:rsidP="00C15C97">
      <w:pPr>
        <w:pStyle w:val="SingleTxtG"/>
        <w:numPr>
          <w:ilvl w:val="0"/>
          <w:numId w:val="40"/>
        </w:numPr>
        <w:ind w:left="1134" w:firstLine="0"/>
        <w:rPr>
          <w:lang w:val="fr-FR"/>
        </w:rPr>
      </w:pPr>
      <w:r w:rsidRPr="007045AF">
        <w:rPr>
          <w:lang w:val="fr-FR"/>
        </w:rPr>
        <w:t xml:space="preserve">Dans le secteur de l’Education Nationale, l’effectif féminin du personnel administratif et des employés professionnels s’élève à </w:t>
      </w:r>
      <w:r w:rsidRPr="00C9555A">
        <w:rPr>
          <w:lang w:val="fr-FR"/>
        </w:rPr>
        <w:t>156187 entre 2025 et 2026 soit 47.1%, alors qu’il était à 84670 entre 2021 et 2022 soit 38.8 %. Le nombre d’enseignantes entre 2021et 2022 était de 382914 soit 75.5%.</w:t>
      </w:r>
    </w:p>
    <w:p w14:paraId="6A4E4035" w14:textId="77777777" w:rsidR="007045AF" w:rsidRPr="00C9555A" w:rsidRDefault="007045AF" w:rsidP="00C15C97">
      <w:pPr>
        <w:pStyle w:val="SingleTxtG"/>
        <w:numPr>
          <w:ilvl w:val="0"/>
          <w:numId w:val="40"/>
        </w:numPr>
        <w:ind w:left="1134" w:firstLine="0"/>
        <w:rPr>
          <w:lang w:val="fr-FR"/>
        </w:rPr>
      </w:pPr>
      <w:r w:rsidRPr="00C9555A">
        <w:rPr>
          <w:lang w:val="fr-FR"/>
        </w:rPr>
        <w:t>Le secteur de la Justice connait une forte présence féminine, sur un total de 19127 fonctionnaires, on compte 12995 femmes, soit un taux de 65,44%.</w:t>
      </w:r>
    </w:p>
    <w:p w14:paraId="57021CC6" w14:textId="77777777" w:rsidR="007045AF" w:rsidRPr="007045AF" w:rsidRDefault="007045AF" w:rsidP="007045AF">
      <w:pPr>
        <w:pStyle w:val="SingleTxtG"/>
        <w:rPr>
          <w:lang w:val="fr-FR"/>
        </w:rPr>
      </w:pPr>
    </w:p>
    <w:p w14:paraId="0716CAE0"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7F0DECE2" wp14:editId="544593A3">
            <wp:extent cx="5486400" cy="3200400"/>
            <wp:effectExtent l="19050" t="0" r="19050" b="0"/>
            <wp:docPr id="13"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10422EB" w14:textId="77777777" w:rsidR="007045AF" w:rsidRPr="007045AF" w:rsidRDefault="007045AF" w:rsidP="00C15C97">
      <w:pPr>
        <w:pStyle w:val="SingleTxtG"/>
        <w:numPr>
          <w:ilvl w:val="0"/>
          <w:numId w:val="40"/>
        </w:numPr>
        <w:ind w:left="1134" w:firstLine="0"/>
        <w:rPr>
          <w:lang w:val="fr-FR"/>
        </w:rPr>
      </w:pPr>
      <w:r w:rsidRPr="007045AF">
        <w:rPr>
          <w:lang w:val="fr-FR"/>
        </w:rPr>
        <w:t>De plus, les femmes magistrates occupent des fonctions judiciaires spécifiques comme illustrés ci-dessous :</w:t>
      </w:r>
    </w:p>
    <w:p w14:paraId="4AFB8838" w14:textId="77777777" w:rsidR="007045AF" w:rsidRPr="007045AF" w:rsidRDefault="007045AF" w:rsidP="007045AF">
      <w:pPr>
        <w:pStyle w:val="SingleTxtG"/>
        <w:rPr>
          <w:lang w:val="fr-FR"/>
        </w:rPr>
      </w:pPr>
      <w:r w:rsidRPr="007045AF">
        <w:rPr>
          <w:noProof/>
          <w:lang w:val="fr-FR"/>
        </w:rPr>
        <w:drawing>
          <wp:inline distT="0" distB="0" distL="0" distR="0" wp14:anchorId="0C3DB699" wp14:editId="3692D204">
            <wp:extent cx="5562600" cy="4048125"/>
            <wp:effectExtent l="19050" t="0" r="19050" b="0"/>
            <wp:docPr id="10"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9FD56F7" w14:textId="77777777" w:rsidR="007045AF" w:rsidRPr="007045AF" w:rsidRDefault="007045AF" w:rsidP="00C15C97">
      <w:pPr>
        <w:pStyle w:val="SingleTxtG"/>
        <w:numPr>
          <w:ilvl w:val="0"/>
          <w:numId w:val="40"/>
        </w:numPr>
        <w:ind w:left="1134" w:firstLine="0"/>
        <w:rPr>
          <w:lang w:val="fr-FR"/>
        </w:rPr>
      </w:pPr>
      <w:r w:rsidRPr="007045AF">
        <w:rPr>
          <w:bCs/>
          <w:lang w:val="fr-FR"/>
        </w:rPr>
        <w:t xml:space="preserve">Dans l’enseignement </w:t>
      </w:r>
      <w:r w:rsidRPr="00C15C97">
        <w:rPr>
          <w:lang w:val="fr-FR"/>
        </w:rPr>
        <w:t>supérieur</w:t>
      </w:r>
      <w:r w:rsidRPr="007045AF">
        <w:rPr>
          <w:b/>
          <w:bCs/>
          <w:lang w:val="fr-FR"/>
        </w:rPr>
        <w:t xml:space="preserve">, </w:t>
      </w:r>
      <w:r w:rsidRPr="007045AF">
        <w:rPr>
          <w:bCs/>
          <w:lang w:val="fr-FR"/>
        </w:rPr>
        <w:t xml:space="preserve">les femmes représentent plus de </w:t>
      </w:r>
      <w:r w:rsidRPr="00151DE3">
        <w:rPr>
          <w:lang w:val="fr-FR"/>
        </w:rPr>
        <w:t>63%</w:t>
      </w:r>
      <w:r w:rsidRPr="007045AF">
        <w:rPr>
          <w:bCs/>
          <w:lang w:val="fr-FR"/>
        </w:rPr>
        <w:t xml:space="preserve"> des effectifs inscrits :</w:t>
      </w:r>
    </w:p>
    <w:p w14:paraId="26FDF00A" w14:textId="42C2AF01" w:rsidR="007045AF" w:rsidRPr="005C768E" w:rsidRDefault="007045AF" w:rsidP="005C768E">
      <w:pPr>
        <w:pStyle w:val="Bullet1G"/>
      </w:pPr>
      <w:r w:rsidRPr="005C768E">
        <w:t>Par cycle : la participation des femmes dans les formations d’ingénierie est de 57.4% en école supérieure ingénieur, contre 44.1% dans le cycle ingénieur</w:t>
      </w:r>
      <w:r w:rsidR="00151DE3">
        <w:t> ;</w:t>
      </w:r>
    </w:p>
    <w:p w14:paraId="76EE6CD9" w14:textId="5D3F791A" w:rsidR="007045AF" w:rsidRPr="005C768E" w:rsidRDefault="007045AF" w:rsidP="005C768E">
      <w:pPr>
        <w:pStyle w:val="Bullet1G"/>
      </w:pPr>
      <w:r w:rsidRPr="005C768E">
        <w:t>Par domaine : la part des femmes est de 55.41% en mathématique et informatique, 40.54% en sciences et technologies, et atteint 78.65% en sciences médicales</w:t>
      </w:r>
      <w:r w:rsidR="00151DE3">
        <w:t> ;</w:t>
      </w:r>
    </w:p>
    <w:p w14:paraId="33D2AA08" w14:textId="7E2B382D" w:rsidR="007045AF" w:rsidRPr="005C768E" w:rsidRDefault="007045AF" w:rsidP="005C768E">
      <w:pPr>
        <w:pStyle w:val="Bullet1G"/>
      </w:pPr>
      <w:r w:rsidRPr="005C768E">
        <w:lastRenderedPageBreak/>
        <w:t>Sur le plan international, l’UNESCO, souligne que l’Algérie se distingue par la plus forte proportion de femmes diplômées en ingénierie parmi les Etats arabes avec 48,5% des ingénieurs femmes</w:t>
      </w:r>
      <w:r w:rsidR="00151DE3">
        <w:t> ;</w:t>
      </w:r>
    </w:p>
    <w:p w14:paraId="33D1CFA5" w14:textId="77777777" w:rsidR="007045AF" w:rsidRPr="005C768E" w:rsidRDefault="007045AF" w:rsidP="005C768E">
      <w:pPr>
        <w:pStyle w:val="Bullet1G"/>
      </w:pPr>
      <w:r w:rsidRPr="005C768E">
        <w:t xml:space="preserve">Les femmes représentent 45,56% des doctorants. </w:t>
      </w:r>
    </w:p>
    <w:p w14:paraId="1200DA88" w14:textId="77777777" w:rsidR="007045AF" w:rsidRPr="007045AF" w:rsidRDefault="007045AF" w:rsidP="00C15C97">
      <w:pPr>
        <w:pStyle w:val="SingleTxtG"/>
        <w:numPr>
          <w:ilvl w:val="0"/>
          <w:numId w:val="40"/>
        </w:numPr>
        <w:ind w:left="1134" w:firstLine="0"/>
        <w:rPr>
          <w:lang w:val="fr-FR"/>
        </w:rPr>
      </w:pPr>
      <w:r w:rsidRPr="007045AF">
        <w:rPr>
          <w:lang w:val="fr-FR"/>
        </w:rPr>
        <w:t>Par ailleurs, l’enseignement supérieur est garanti sans discrimination. Le transport, la restauration, l’hébergement, la sécurité sociale et la bourse universitaire sont assurés par l’Etat.</w:t>
      </w:r>
    </w:p>
    <w:p w14:paraId="47B70A0F" w14:textId="77777777" w:rsidR="007045AF" w:rsidRPr="007045AF" w:rsidRDefault="007045AF" w:rsidP="00C15C97">
      <w:pPr>
        <w:pStyle w:val="SingleTxtG"/>
        <w:numPr>
          <w:ilvl w:val="0"/>
          <w:numId w:val="40"/>
        </w:numPr>
        <w:ind w:left="1134" w:firstLine="0"/>
        <w:rPr>
          <w:lang w:val="fr-FR"/>
        </w:rPr>
      </w:pPr>
      <w:r w:rsidRPr="007045AF">
        <w:rPr>
          <w:lang w:val="fr-FR"/>
        </w:rPr>
        <w:t>Dans le cadre du programme de coopération entre le Ministère de l’Intérieur et le Système des Nations Unies sur le renforcement de l’effectivité de l’égalité des droits politiques des femmes 2015-2018, des sessions de formation et de sensibilisation ont été organisées comme suit :</w:t>
      </w:r>
    </w:p>
    <w:p w14:paraId="5409C2B5" w14:textId="77777777" w:rsidR="007045AF" w:rsidRPr="005C768E" w:rsidRDefault="007045AF" w:rsidP="005C768E">
      <w:pPr>
        <w:pStyle w:val="Bullet1G"/>
      </w:pPr>
      <w:r w:rsidRPr="005C768E">
        <w:t>Des sessions de renforcement de capacité et de formation ont été engagées avec l’appui du PNUD dans (12) wilayas au profit de 1193 élues locales, avec un taux de participation des élues locales de 66% ;</w:t>
      </w:r>
    </w:p>
    <w:p w14:paraId="157F6AC1" w14:textId="604D3377" w:rsidR="007045AF" w:rsidRPr="005C768E" w:rsidRDefault="007045AF" w:rsidP="005C768E">
      <w:pPr>
        <w:pStyle w:val="Bullet1G"/>
      </w:pPr>
      <w:r w:rsidRPr="005C768E">
        <w:t>Des sessions de renforcement de capacité avec l’appui d’ONU-Femmes, dans (22) wilayas au profit de 800 élues locales pour le renforcement des capacités des élues, en matière de leadership, de participation à la vie politique et l’intégration du principe de l’égalité des sexes dans le développement local, avec un taux de participation des élues locales qui a atteint 70%</w:t>
      </w:r>
      <w:r w:rsidR="005C768E">
        <w:t> ;</w:t>
      </w:r>
    </w:p>
    <w:p w14:paraId="542F2F26" w14:textId="77777777" w:rsidR="007045AF" w:rsidRPr="005C768E" w:rsidRDefault="007045AF" w:rsidP="005C768E">
      <w:pPr>
        <w:pStyle w:val="Bullet1G"/>
      </w:pPr>
      <w:r w:rsidRPr="005C768E">
        <w:t>Un atelier national de renforcement des connaissances des gestionnaires locaux en matière d’intégration de l’égalité des sexes dans le développement local, avec l’appui d’ONU-Femmes ayant regroupé 29 élues locales occupant un poste de responsabilité et 10 Chefs de Daïra et Secrétaires Généraux des Communes.</w:t>
      </w:r>
    </w:p>
    <w:p w14:paraId="351445A5" w14:textId="77777777" w:rsidR="007045AF" w:rsidRPr="007045AF" w:rsidRDefault="007045AF" w:rsidP="00C15C97">
      <w:pPr>
        <w:pStyle w:val="SingleTxtG"/>
        <w:numPr>
          <w:ilvl w:val="0"/>
          <w:numId w:val="40"/>
        </w:numPr>
        <w:ind w:left="1134" w:firstLine="0"/>
        <w:rPr>
          <w:lang w:val="fr-FR"/>
        </w:rPr>
      </w:pPr>
      <w:r w:rsidRPr="007045AF">
        <w:rPr>
          <w:lang w:val="fr-FR"/>
        </w:rPr>
        <w:t>Un projet de coopération entre le Ministère de la Justice et le PNUD intitulé «</w:t>
      </w:r>
      <w:r w:rsidRPr="00151DE3">
        <w:rPr>
          <w:lang w:val="fr-FR"/>
        </w:rPr>
        <w:t>Soutien au Développement de la Carrière des Femmes Magistrates 2025-2029 » a été signé en 2025, reflétant la volonté d’encourager des changements structurels visant à promou</w:t>
      </w:r>
      <w:r w:rsidRPr="007045AF">
        <w:rPr>
          <w:lang w:val="fr-FR"/>
        </w:rPr>
        <w:t>voir la carrière des femmes magistrates et à répondre aux défis individuels qu’elles rencontrent.</w:t>
      </w:r>
    </w:p>
    <w:p w14:paraId="276AC1C4" w14:textId="77777777" w:rsidR="007045AF" w:rsidRPr="007045AF" w:rsidRDefault="007045AF" w:rsidP="00C15C97">
      <w:pPr>
        <w:pStyle w:val="SingleTxtG"/>
        <w:numPr>
          <w:ilvl w:val="0"/>
          <w:numId w:val="40"/>
        </w:numPr>
        <w:ind w:left="1134" w:firstLine="0"/>
        <w:rPr>
          <w:lang w:val="fr-FR"/>
        </w:rPr>
      </w:pPr>
      <w:r w:rsidRPr="007045AF">
        <w:rPr>
          <w:lang w:val="fr-FR"/>
        </w:rPr>
        <w:t xml:space="preserve">De plus, neuf ateliers de formation ont été programmés au profit </w:t>
      </w:r>
      <w:r w:rsidRPr="00151DE3">
        <w:rPr>
          <w:lang w:val="fr-FR"/>
        </w:rPr>
        <w:t>de 239 magistrates</w:t>
      </w:r>
      <w:r w:rsidRPr="007045AF">
        <w:rPr>
          <w:lang w:val="fr-FR"/>
        </w:rPr>
        <w:t xml:space="preserve"> durant l’année 2024, animés par des experts algériens et étrangers. </w:t>
      </w:r>
    </w:p>
    <w:p w14:paraId="7CD6DBF2" w14:textId="77777777" w:rsidR="007045AF" w:rsidRPr="007045AF" w:rsidRDefault="007045AF" w:rsidP="00C15C97">
      <w:pPr>
        <w:pStyle w:val="SingleTxtG"/>
        <w:numPr>
          <w:ilvl w:val="0"/>
          <w:numId w:val="40"/>
        </w:numPr>
        <w:ind w:left="1134" w:firstLine="0"/>
        <w:rPr>
          <w:lang w:val="fr-FR"/>
        </w:rPr>
      </w:pPr>
      <w:r w:rsidRPr="007045AF">
        <w:rPr>
          <w:bCs/>
          <w:lang w:val="fr-FR"/>
        </w:rPr>
        <w:t>Entre 2021 et 2025</w:t>
      </w:r>
      <w:r w:rsidRPr="00151DE3">
        <w:rPr>
          <w:bCs/>
          <w:lang w:val="fr-FR"/>
        </w:rPr>
        <w:t>, 148 magistrates ont bénéficié de 22sessions de formation en ligne sur les mécanismes des droits de l'homme. Durant la même période</w:t>
      </w:r>
      <w:r w:rsidRPr="007045AF">
        <w:rPr>
          <w:lang w:val="fr-FR"/>
        </w:rPr>
        <w:t xml:space="preserve">, </w:t>
      </w:r>
      <w:r w:rsidRPr="007045AF">
        <w:rPr>
          <w:bCs/>
          <w:lang w:val="fr-FR"/>
        </w:rPr>
        <w:t xml:space="preserve">le volume horaire de la formation des élèves </w:t>
      </w:r>
      <w:r w:rsidRPr="00C15C97">
        <w:rPr>
          <w:lang w:val="fr-FR"/>
        </w:rPr>
        <w:t>magistrats</w:t>
      </w:r>
      <w:r w:rsidRPr="007045AF">
        <w:rPr>
          <w:bCs/>
          <w:lang w:val="fr-FR"/>
        </w:rPr>
        <w:t xml:space="preserve"> sur les droits de l'homme est de </w:t>
      </w:r>
      <w:r w:rsidRPr="007045AF">
        <w:rPr>
          <w:lang w:val="fr-FR"/>
        </w:rPr>
        <w:t>45 heures par an.</w:t>
      </w:r>
    </w:p>
    <w:p w14:paraId="59C0CADF" w14:textId="431B0FD9" w:rsidR="007045AF" w:rsidRPr="007045AF" w:rsidRDefault="005C768E" w:rsidP="005C768E">
      <w:pPr>
        <w:pStyle w:val="H23G"/>
        <w:rPr>
          <w:lang w:val="fr-FR"/>
        </w:rPr>
      </w:pPr>
      <w:r>
        <w:rPr>
          <w:lang w:val="fr-FR"/>
        </w:rPr>
        <w:tab/>
      </w:r>
      <w:r>
        <w:rPr>
          <w:lang w:val="fr-FR"/>
        </w:rPr>
        <w:tab/>
      </w:r>
      <w:r w:rsidR="007045AF" w:rsidRPr="007045AF">
        <w:rPr>
          <w:lang w:val="fr-FR"/>
        </w:rPr>
        <w:t>Point 36 (a-b)</w:t>
      </w:r>
    </w:p>
    <w:p w14:paraId="613AD553" w14:textId="77777777" w:rsidR="007045AF" w:rsidRPr="007045AF" w:rsidRDefault="007045AF" w:rsidP="00C15C97">
      <w:pPr>
        <w:pStyle w:val="SingleTxtG"/>
        <w:numPr>
          <w:ilvl w:val="0"/>
          <w:numId w:val="40"/>
        </w:numPr>
        <w:ind w:left="1134" w:firstLine="0"/>
        <w:rPr>
          <w:lang w:val="fr-FR"/>
        </w:rPr>
      </w:pPr>
      <w:r w:rsidRPr="007045AF">
        <w:rPr>
          <w:lang w:val="fr-FR"/>
        </w:rPr>
        <w:t>L’Algérie garantit le droit à l’enseignement pour tous les enfants, en vertu des dispositions de la Convention Internationale des droits de l’Enfant. Ce principe est consacré par la Constitution (art.65) : «</w:t>
      </w:r>
      <w:r w:rsidRPr="007045AF">
        <w:rPr>
          <w:i/>
          <w:iCs/>
          <w:lang w:val="fr-FR"/>
        </w:rPr>
        <w:t xml:space="preserve"> le </w:t>
      </w:r>
      <w:r w:rsidRPr="00C15C97">
        <w:rPr>
          <w:lang w:val="fr-FR"/>
        </w:rPr>
        <w:t>droit</w:t>
      </w:r>
      <w:r w:rsidRPr="007045AF">
        <w:rPr>
          <w:i/>
          <w:iCs/>
          <w:lang w:val="fr-FR"/>
        </w:rPr>
        <w:t xml:space="preserve"> à l’éducation et à l’enseignement est garanti. L’enseignement public est gratuit…l’Etat veille à l’égal accès à l’enseignement…l’enseignement primaire et moyen est obligatoire</w:t>
      </w:r>
      <w:r w:rsidRPr="007045AF">
        <w:rPr>
          <w:lang w:val="fr-FR"/>
        </w:rPr>
        <w:t>».</w:t>
      </w:r>
    </w:p>
    <w:p w14:paraId="2916BEC6" w14:textId="77777777" w:rsidR="007045AF" w:rsidRPr="007045AF" w:rsidRDefault="007045AF" w:rsidP="00C15C97">
      <w:pPr>
        <w:pStyle w:val="SingleTxtG"/>
        <w:numPr>
          <w:ilvl w:val="0"/>
          <w:numId w:val="40"/>
        </w:numPr>
        <w:ind w:left="1134" w:firstLine="0"/>
        <w:rPr>
          <w:lang w:val="fr-FR"/>
        </w:rPr>
      </w:pPr>
      <w:r w:rsidRPr="007045AF">
        <w:rPr>
          <w:lang w:val="fr-FR"/>
        </w:rPr>
        <w:t>De même, la loi n°08-04 du 23 janvier 2008 portant orientation sur l’éducation nationale (art. 10, 12 et 13) prévoit l’égal accès à l’éducation, l’obligation de l’éducation pour tous les enfants âgés de 6 à 16 ans révolus, l’égalité des conditions d’accès à l’éducation et sa gratuité.</w:t>
      </w:r>
    </w:p>
    <w:p w14:paraId="16FD8771" w14:textId="77777777" w:rsidR="007045AF" w:rsidRPr="007045AF" w:rsidRDefault="007045AF" w:rsidP="00C15C97">
      <w:pPr>
        <w:pStyle w:val="SingleTxtG"/>
        <w:numPr>
          <w:ilvl w:val="0"/>
          <w:numId w:val="40"/>
        </w:numPr>
        <w:ind w:left="1134" w:firstLine="0"/>
        <w:rPr>
          <w:lang w:val="fr-FR"/>
        </w:rPr>
      </w:pPr>
      <w:r w:rsidRPr="007045AF">
        <w:rPr>
          <w:lang w:val="fr-FR"/>
        </w:rPr>
        <w:t xml:space="preserve">Le taux de scolarisation des filles a </w:t>
      </w:r>
      <w:r w:rsidRPr="00151DE3">
        <w:rPr>
          <w:lang w:val="fr-FR"/>
        </w:rPr>
        <w:t>atteint 99,15%</w:t>
      </w:r>
      <w:r w:rsidRPr="007045AF">
        <w:rPr>
          <w:b/>
          <w:bCs/>
          <w:lang w:val="fr-FR"/>
        </w:rPr>
        <w:t xml:space="preserve"> </w:t>
      </w:r>
      <w:r w:rsidRPr="007045AF">
        <w:rPr>
          <w:lang w:val="fr-FR"/>
        </w:rPr>
        <w:t>en 2024-2025</w:t>
      </w:r>
      <w:r w:rsidRPr="007045AF">
        <w:rPr>
          <w:b/>
          <w:bCs/>
          <w:lang w:val="fr-FR"/>
        </w:rPr>
        <w:t>,</w:t>
      </w:r>
      <w:r w:rsidRPr="007045AF">
        <w:rPr>
          <w:bCs/>
          <w:lang w:val="fr-FR"/>
        </w:rPr>
        <w:t xml:space="preserve"> ce qui renseigne sur le faible taux d’abandon scolaire chez les filles</w:t>
      </w:r>
      <w:r w:rsidRPr="007045AF">
        <w:rPr>
          <w:b/>
          <w:bCs/>
          <w:lang w:val="fr-FR"/>
        </w:rPr>
        <w:t xml:space="preserve">. </w:t>
      </w:r>
      <w:r w:rsidRPr="007045AF">
        <w:rPr>
          <w:lang w:val="fr-FR"/>
        </w:rPr>
        <w:t>Le nombre des filles scolarisées a augmenté de 5.230.937 au titre de l’année scolaire 2021-2022 à 5.908.211 au titre de l’année scolaire 2025-2026, soit de 49,5% à 50,3% du total des élèves.</w:t>
      </w:r>
    </w:p>
    <w:p w14:paraId="4F40337B" w14:textId="77777777" w:rsidR="007045AF" w:rsidRPr="007045AF" w:rsidRDefault="007045AF" w:rsidP="00C15C97">
      <w:pPr>
        <w:pStyle w:val="SingleTxtG"/>
        <w:numPr>
          <w:ilvl w:val="0"/>
          <w:numId w:val="40"/>
        </w:numPr>
        <w:ind w:left="1134" w:firstLine="0"/>
        <w:rPr>
          <w:lang w:val="fr-FR"/>
        </w:rPr>
      </w:pPr>
      <w:r w:rsidRPr="007045AF">
        <w:rPr>
          <w:lang w:val="fr-FR"/>
        </w:rPr>
        <w:t>Pour lutter contre tout risque d’abandon scolaire y compris chez les filles, l'Etat :</w:t>
      </w:r>
    </w:p>
    <w:p w14:paraId="4211EA19" w14:textId="7C02524D" w:rsidR="007045AF" w:rsidRPr="00F4107B" w:rsidRDefault="007045AF" w:rsidP="00ED0FED">
      <w:pPr>
        <w:pStyle w:val="Bullet1G"/>
        <w:rPr>
          <w:lang w:val="fr-FR"/>
        </w:rPr>
      </w:pPr>
      <w:r w:rsidRPr="00F4107B">
        <w:rPr>
          <w:lang w:val="fr-FR"/>
        </w:rPr>
        <w:t>Poursuit ses efforts visant l’équilibre entre les régions et le rapprochement des structures éducatives, en créant de nouveaux établissements scolaires, contribuant ainsi à la hausse de la scolarisation des filles et des garçons.</w:t>
      </w:r>
    </w:p>
    <w:p w14:paraId="03F83386" w14:textId="1CDA7A79" w:rsidR="007045AF" w:rsidRPr="007045AF" w:rsidRDefault="00D30849" w:rsidP="00823318">
      <w:pPr>
        <w:pStyle w:val="Bullet1G"/>
        <w:rPr>
          <w:lang w:val="fr-FR"/>
        </w:rPr>
      </w:pPr>
      <w:r w:rsidRPr="00AB4D66">
        <w:rPr>
          <w:rFonts w:asciiTheme="majorBidi" w:hAnsiTheme="majorBidi" w:cstheme="majorBidi"/>
          <w:noProof/>
          <w:sz w:val="26"/>
          <w:szCs w:val="26"/>
          <w:lang w:eastAsia="fr-FR"/>
        </w:rPr>
        <w:lastRenderedPageBreak/>
        <w:drawing>
          <wp:anchor distT="0" distB="0" distL="114300" distR="114300" simplePos="0" relativeHeight="251669504" behindDoc="0" locked="0" layoutInCell="1" allowOverlap="1" wp14:anchorId="33D4C3B5" wp14:editId="5510982D">
            <wp:simplePos x="0" y="0"/>
            <wp:positionH relativeFrom="column">
              <wp:posOffset>1938</wp:posOffset>
            </wp:positionH>
            <wp:positionV relativeFrom="paragraph">
              <wp:posOffset>-811</wp:posOffset>
            </wp:positionV>
            <wp:extent cx="4961890" cy="1931670"/>
            <wp:effectExtent l="0" t="0" r="10160" b="11430"/>
            <wp:wrapTopAndBottom/>
            <wp:docPr id="502850444" name="Graphique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sidR="007045AF" w:rsidRPr="007045AF">
        <w:rPr>
          <w:lang w:val="fr-FR"/>
        </w:rPr>
        <w:t>Œuvre à fournir tous les moyens et les conditions adéquats afin d’améliorer les conditions de scolarisation des enfants du cycle primaire au niveau de 21.</w:t>
      </w:r>
      <w:r w:rsidR="007045AF" w:rsidRPr="007045AF">
        <w:rPr>
          <w:rtl/>
        </w:rPr>
        <w:t>152</w:t>
      </w:r>
      <w:r w:rsidR="007045AF" w:rsidRPr="007045AF">
        <w:rPr>
          <w:lang w:val="fr-FR"/>
        </w:rPr>
        <w:t xml:space="preserve"> écoles primaires existantes sur le territoire national</w:t>
      </w:r>
      <w:r w:rsidR="00823318">
        <w:rPr>
          <w:lang w:val="fr-FR"/>
        </w:rPr>
        <w:t> ;</w:t>
      </w:r>
    </w:p>
    <w:p w14:paraId="63DD5719" w14:textId="5825AB49" w:rsidR="007045AF" w:rsidRPr="007045AF" w:rsidRDefault="007045AF" w:rsidP="00BF1E98">
      <w:pPr>
        <w:pStyle w:val="Bullet1G"/>
        <w:rPr>
          <w:lang w:val="fr-FR"/>
        </w:rPr>
      </w:pPr>
      <w:r w:rsidRPr="007045AF">
        <w:rPr>
          <w:lang w:val="fr-FR"/>
        </w:rPr>
        <w:t xml:space="preserve">Accorde des allocations et des trousseaux scolaires aux enfants des familles nécessiteuses. </w:t>
      </w:r>
    </w:p>
    <w:p w14:paraId="3D63357F" w14:textId="77777777" w:rsidR="007045AF" w:rsidRPr="007045AF" w:rsidRDefault="007045AF" w:rsidP="006579EC">
      <w:pPr>
        <w:pStyle w:val="Bullet1G"/>
        <w:rPr>
          <w:lang w:val="fr-FR"/>
        </w:rPr>
      </w:pPr>
      <w:r w:rsidRPr="007045AF">
        <w:rPr>
          <w:lang w:val="fr-FR"/>
        </w:rPr>
        <w:t>Assure la restauration (cantines scolaires) et le transport scolaire au profit des écoliers habitant les régions éloignées et isolées pour garantir la scolarisation de tous les enfants des deux sexes, filles et garçons. Concernant l’allocation spéciale de scolarité (5000 DA), le nombre des bénéficiaires a dépassé 3.300. 000 élèves durant l’année scolaire 2024-2025, avec un taux de couverture de 100 %, et une enveloppe budgétaire de plus de 17 milliards de DA soit approximativement 130 Millions de dollars. (Tableau en annexe).</w:t>
      </w:r>
    </w:p>
    <w:p w14:paraId="2AE83CE0" w14:textId="77777777" w:rsidR="007045AF" w:rsidRPr="007045AF" w:rsidRDefault="007045AF" w:rsidP="00C15C97">
      <w:pPr>
        <w:pStyle w:val="SingleTxtG"/>
        <w:numPr>
          <w:ilvl w:val="0"/>
          <w:numId w:val="40"/>
        </w:numPr>
        <w:ind w:left="1134" w:firstLine="0"/>
        <w:rPr>
          <w:lang w:val="fr-FR"/>
        </w:rPr>
      </w:pPr>
      <w:r w:rsidRPr="007045AF">
        <w:rPr>
          <w:lang w:val="fr-FR"/>
        </w:rPr>
        <w:t xml:space="preserve">Le taux des filles ayant obtenu leur baccalauréat était de </w:t>
      </w:r>
      <w:r w:rsidRPr="00823318">
        <w:rPr>
          <w:lang w:val="fr-FR"/>
        </w:rPr>
        <w:t>55,93%</w:t>
      </w:r>
      <w:r w:rsidRPr="007045AF">
        <w:rPr>
          <w:lang w:val="fr-FR"/>
        </w:rPr>
        <w:t xml:space="preserve"> (2025). La meilleure moyenne nationale au baccalauréat a été obtenue par une fille.</w:t>
      </w:r>
    </w:p>
    <w:p w14:paraId="2A743378" w14:textId="77777777" w:rsidR="007045AF" w:rsidRPr="001A2FCE" w:rsidRDefault="007045AF" w:rsidP="00C15C97">
      <w:pPr>
        <w:pStyle w:val="SingleTxtG"/>
        <w:numPr>
          <w:ilvl w:val="0"/>
          <w:numId w:val="40"/>
        </w:numPr>
        <w:ind w:left="1134" w:firstLine="0"/>
        <w:rPr>
          <w:lang w:val="fr-FR"/>
        </w:rPr>
      </w:pPr>
      <w:r w:rsidRPr="007045AF">
        <w:rPr>
          <w:lang w:val="fr-FR"/>
        </w:rPr>
        <w:t xml:space="preserve">L’Office National d’Alphabétisation et d’Enseignement pour Adultes continue de mettre en œuvre la stratégie nationale d’alphabétisation, avec une priorité accordée à la femme et à la jeune fille. </w:t>
      </w:r>
      <w:r w:rsidRPr="001A2FCE">
        <w:rPr>
          <w:lang w:val="fr-FR"/>
        </w:rPr>
        <w:t>Le taux d’analphabétisme féminin est passé de 11.75 % en 2016 à 4.86 % en 2022. Les femmes représentent 90% ou plus des inscrits aux cours d’alphabétisation sur toute la période. Durant l’année scolaire 2024-2025, 249929 femmes se sont inscrites aux cours d’alphabétisation, ce qui a contribué aux résultats positifs enregistrés par notre pays dans ce domaine.  Aussi, il existe 57 centres nationaux d’alphabétisation répartis dans chaque wilaya.</w:t>
      </w:r>
    </w:p>
    <w:p w14:paraId="331FD386" w14:textId="77777777" w:rsidR="007045AF" w:rsidRPr="001A2FCE" w:rsidRDefault="007045AF" w:rsidP="00C15C97">
      <w:pPr>
        <w:pStyle w:val="SingleTxtG"/>
        <w:numPr>
          <w:ilvl w:val="0"/>
          <w:numId w:val="40"/>
        </w:numPr>
        <w:ind w:left="1134" w:firstLine="0"/>
        <w:rPr>
          <w:lang w:val="fr-FR"/>
        </w:rPr>
      </w:pPr>
      <w:r w:rsidRPr="001A2FCE">
        <w:rPr>
          <w:lang w:val="fr-FR"/>
        </w:rPr>
        <w:t>En outre, le réseau des centres d’alphabétisation s’est étendu par l’ouverture d’un nouvel établissement dans la wilaya de Djelfa (Centre du pays) en collaboration avec l’UNICEF.</w:t>
      </w:r>
    </w:p>
    <w:p w14:paraId="6A627326" w14:textId="77777777" w:rsidR="007045AF" w:rsidRPr="001A2FCE" w:rsidRDefault="007045AF" w:rsidP="00C15C97">
      <w:pPr>
        <w:pStyle w:val="SingleTxtG"/>
        <w:numPr>
          <w:ilvl w:val="0"/>
          <w:numId w:val="40"/>
        </w:numPr>
        <w:ind w:left="1134" w:firstLine="0"/>
        <w:rPr>
          <w:lang w:val="fr-FR"/>
        </w:rPr>
      </w:pPr>
      <w:r w:rsidRPr="001A2FCE">
        <w:rPr>
          <w:lang w:val="fr-FR"/>
        </w:rPr>
        <w:t>En 2025, les classes d’alphabétisation ont été encadrées par 12000 agents contractuels spécialisés dans l’alphabétisation, dont 10531 femmes soit 87,75% du total.</w:t>
      </w:r>
    </w:p>
    <w:p w14:paraId="378E94E5" w14:textId="77777777" w:rsidR="007045AF" w:rsidRPr="001A2FCE" w:rsidRDefault="007045AF" w:rsidP="00C15C97">
      <w:pPr>
        <w:pStyle w:val="SingleTxtG"/>
        <w:numPr>
          <w:ilvl w:val="0"/>
          <w:numId w:val="40"/>
        </w:numPr>
        <w:ind w:left="1134" w:firstLine="0"/>
        <w:rPr>
          <w:lang w:val="fr-FR"/>
        </w:rPr>
      </w:pPr>
      <w:r w:rsidRPr="001A2FCE">
        <w:rPr>
          <w:lang w:val="fr-FR"/>
        </w:rPr>
        <w:t>L’office veille à accompagner les femmes sorties de l’analphabétisme en les orientant vers les centres de formation professionnelle et la poursuite des études à distance ou encore en facilitant l’accès à des microcrédits leur permettant de créer de petites entreprises, accédant à la vie professionnelle et à l’autonomie économique et sociale.</w:t>
      </w:r>
    </w:p>
    <w:p w14:paraId="705502D5" w14:textId="77777777" w:rsidR="007045AF" w:rsidRPr="001A2FCE" w:rsidRDefault="007045AF" w:rsidP="00C15C97">
      <w:pPr>
        <w:pStyle w:val="SingleTxtG"/>
        <w:numPr>
          <w:ilvl w:val="0"/>
          <w:numId w:val="40"/>
        </w:numPr>
        <w:ind w:left="1134" w:firstLine="0"/>
        <w:rPr>
          <w:lang w:val="fr-FR"/>
        </w:rPr>
      </w:pPr>
      <w:r w:rsidRPr="001A2FCE">
        <w:rPr>
          <w:lang w:val="fr-FR"/>
        </w:rPr>
        <w:t>Cet office œuvre à mettre à jour les contenus pédagogiques sous forme de capsules numériques destinées aux plateformes électroniques, pour être utilisées dans les processus d’enseignement et d’apprentissage à distance, selon les nouvelles méthodes, en partenariat avec l’Office National d’Enseignement et de Formation à Distance.</w:t>
      </w:r>
    </w:p>
    <w:p w14:paraId="182A7B54" w14:textId="77777777" w:rsidR="007045AF" w:rsidRPr="001A2FCE" w:rsidRDefault="007045AF" w:rsidP="00C15C97">
      <w:pPr>
        <w:pStyle w:val="SingleTxtG"/>
        <w:numPr>
          <w:ilvl w:val="0"/>
          <w:numId w:val="40"/>
        </w:numPr>
        <w:ind w:left="1134" w:firstLine="0"/>
        <w:rPr>
          <w:lang w:val="fr-FR"/>
        </w:rPr>
      </w:pPr>
      <w:r w:rsidRPr="001A2FCE">
        <w:rPr>
          <w:lang w:val="fr-FR"/>
        </w:rPr>
        <w:t>Enfin, plusieurs secteurs ministériels et les DASS de Wilayas ainsi que 09 associations nationales et 204 locales collaborent dans le cadre de partenariats pour la mise en œuvre de la stratégie nationale d’alphabétisation.</w:t>
      </w:r>
    </w:p>
    <w:p w14:paraId="53AEE86A" w14:textId="08B94E77" w:rsidR="007045AF" w:rsidRPr="00CD1A35" w:rsidRDefault="00927532" w:rsidP="00927532">
      <w:pPr>
        <w:pStyle w:val="H23G"/>
        <w:rPr>
          <w:lang w:val="pt-BR"/>
        </w:rPr>
      </w:pPr>
      <w:r w:rsidRPr="00516E19">
        <w:rPr>
          <w:lang w:val="fr-FR"/>
        </w:rPr>
        <w:lastRenderedPageBreak/>
        <w:tab/>
      </w:r>
      <w:r w:rsidRPr="00516E19">
        <w:rPr>
          <w:lang w:val="fr-FR"/>
        </w:rPr>
        <w:tab/>
      </w:r>
      <w:r w:rsidR="007045AF" w:rsidRPr="00CD1A35">
        <w:rPr>
          <w:lang w:val="pt-BR"/>
        </w:rPr>
        <w:t>Point 39 (a-b-c-d-e)</w:t>
      </w:r>
    </w:p>
    <w:p w14:paraId="252B8639" w14:textId="77777777" w:rsidR="007045AF" w:rsidRPr="007045AF" w:rsidRDefault="007045AF" w:rsidP="00C15C97">
      <w:pPr>
        <w:pStyle w:val="SingleTxtG"/>
        <w:numPr>
          <w:ilvl w:val="0"/>
          <w:numId w:val="40"/>
        </w:numPr>
        <w:ind w:left="1134" w:firstLine="0"/>
        <w:rPr>
          <w:lang w:val="fr-FR"/>
        </w:rPr>
      </w:pPr>
      <w:r w:rsidRPr="00927532">
        <w:rPr>
          <w:lang w:val="fr-FR"/>
        </w:rPr>
        <w:t>La législation du travail garantie le droit au travail pour tous et l’égalité entre travailleurs quels que soient le sexe et l’âge. Ils bénéficient des mêmes rémunérations et avantages pour un même travail et à égalité de qualification et de rendement.</w:t>
      </w:r>
    </w:p>
    <w:p w14:paraId="66D6F930" w14:textId="77777777" w:rsidR="007045AF" w:rsidRPr="007045AF" w:rsidRDefault="007045AF" w:rsidP="00C15C97">
      <w:pPr>
        <w:pStyle w:val="SingleTxtG"/>
        <w:numPr>
          <w:ilvl w:val="0"/>
          <w:numId w:val="40"/>
        </w:numPr>
        <w:ind w:left="1134" w:firstLine="0"/>
        <w:rPr>
          <w:lang w:val="fr-FR"/>
        </w:rPr>
      </w:pPr>
      <w:r w:rsidRPr="007045AF">
        <w:rPr>
          <w:lang w:val="fr-FR"/>
        </w:rPr>
        <w:t>Les travailleurs sont égaux en droits et en devoirs. Ils sont protégés contre toute discrimination notamment en vertu de l’article 17 de la loi n° 90-11 relative aux relations de travail, qui annule toutes clauses discriminatoires dans les conventions collectives. Dans ce cadre, les sanctions ont été durcies par la loi n° 17-11 du 27 décembre 2017 portant loi de finances pour l’année 2018.</w:t>
      </w:r>
    </w:p>
    <w:p w14:paraId="60229E19" w14:textId="77777777" w:rsidR="007045AF" w:rsidRPr="007045AF" w:rsidRDefault="007045AF" w:rsidP="00C15C97">
      <w:pPr>
        <w:pStyle w:val="SingleTxtG"/>
        <w:numPr>
          <w:ilvl w:val="0"/>
          <w:numId w:val="40"/>
        </w:numPr>
        <w:ind w:left="1134" w:firstLine="0"/>
        <w:rPr>
          <w:lang w:val="fr-FR"/>
        </w:rPr>
      </w:pPr>
      <w:r w:rsidRPr="007045AF">
        <w:rPr>
          <w:lang w:val="fr-FR"/>
        </w:rPr>
        <w:t>Les services de l’inspection du travail, en vertu de leurs attributions, constatent les infractions relatives à la législation du travail, y compris celles portant sur la discrimination envers les femmes. Ces infractions sont relevées et portées auprès des juridictions compétentes à travers l’établissement des procès-verbaux d’infraction.</w:t>
      </w:r>
    </w:p>
    <w:p w14:paraId="5311501A" w14:textId="77777777" w:rsidR="007045AF" w:rsidRPr="001A2FCE" w:rsidRDefault="007045AF" w:rsidP="00C15C97">
      <w:pPr>
        <w:pStyle w:val="SingleTxtG"/>
        <w:numPr>
          <w:ilvl w:val="0"/>
          <w:numId w:val="40"/>
        </w:numPr>
        <w:ind w:left="1134" w:firstLine="0"/>
        <w:rPr>
          <w:lang w:val="fr-FR"/>
        </w:rPr>
      </w:pPr>
      <w:r w:rsidRPr="007045AF">
        <w:rPr>
          <w:lang w:val="fr-FR"/>
        </w:rPr>
        <w:t>À titre indicatif, pendant la période allant du 1</w:t>
      </w:r>
      <w:r w:rsidRPr="007045AF">
        <w:rPr>
          <w:vertAlign w:val="superscript"/>
          <w:lang w:val="fr-FR"/>
        </w:rPr>
        <w:t xml:space="preserve">er </w:t>
      </w:r>
      <w:r w:rsidRPr="007045AF">
        <w:rPr>
          <w:lang w:val="fr-FR"/>
        </w:rPr>
        <w:t xml:space="preserve">janvier au 31 </w:t>
      </w:r>
      <w:r w:rsidRPr="001A2FCE">
        <w:rPr>
          <w:lang w:val="fr-FR"/>
        </w:rPr>
        <w:t>décembre 2024, 226567 visites de contrôle ont été effectuées dans les secteurs publics couvrant 5085492 travailleurs. Aucune infraction concernant la discrimination, de quelque nature que ce soit, entre les travailleuses et leurs collègues masculins sur les lieux de travail, n'a été constatée.</w:t>
      </w:r>
    </w:p>
    <w:p w14:paraId="208A6E86" w14:textId="77777777" w:rsidR="007045AF" w:rsidRPr="001A2FCE" w:rsidRDefault="007045AF" w:rsidP="00C15C97">
      <w:pPr>
        <w:pStyle w:val="SingleTxtG"/>
        <w:numPr>
          <w:ilvl w:val="0"/>
          <w:numId w:val="40"/>
        </w:numPr>
        <w:ind w:left="1134" w:firstLine="0"/>
        <w:rPr>
          <w:lang w:val="fr-FR"/>
        </w:rPr>
      </w:pPr>
      <w:r w:rsidRPr="001A2FCE">
        <w:rPr>
          <w:lang w:val="fr-FR"/>
        </w:rPr>
        <w:t>Parallèlement, et dans le cadre du règlement des conflits individuels de travail, les services de l’inspection de travail n’ont enregistré aucune plainte relative à la discrimination durant les cinq dernières années. A titre illustratif, 41037 plaintes ont été déposées en 2024, et 37078 en 2025.</w:t>
      </w:r>
    </w:p>
    <w:p w14:paraId="2A90FCA8" w14:textId="77777777" w:rsidR="007045AF" w:rsidRPr="007045AF" w:rsidRDefault="007045AF" w:rsidP="00C15C97">
      <w:pPr>
        <w:pStyle w:val="SingleTxtG"/>
        <w:numPr>
          <w:ilvl w:val="0"/>
          <w:numId w:val="40"/>
        </w:numPr>
        <w:ind w:left="1134" w:firstLine="0"/>
        <w:rPr>
          <w:lang w:val="fr-FR"/>
        </w:rPr>
      </w:pPr>
      <w:r w:rsidRPr="007045AF">
        <w:rPr>
          <w:lang w:val="fr-FR"/>
        </w:rPr>
        <w:t xml:space="preserve">D’autre part et en cas de violation de leurs droits, les travailleurs, femmes ou hommes, peuvent recourir aux dispositions de la loi n° 90-04 du 06 février 1990, relative au règlement des conflits individuels de travail, qui leur permet de faire valoir leurs droits à travers ce dispositif juridique, de même que lors d’éventuels constats relevés en matière de discrimination salariale.    </w:t>
      </w:r>
    </w:p>
    <w:p w14:paraId="12187C7C" w14:textId="77777777" w:rsidR="007045AF" w:rsidRPr="007045AF" w:rsidRDefault="007045AF" w:rsidP="00C15C97">
      <w:pPr>
        <w:pStyle w:val="SingleTxtG"/>
        <w:numPr>
          <w:ilvl w:val="0"/>
          <w:numId w:val="40"/>
        </w:numPr>
        <w:ind w:left="1134" w:firstLine="0"/>
        <w:rPr>
          <w:lang w:val="fr-FR"/>
        </w:rPr>
      </w:pPr>
      <w:r w:rsidRPr="007045AF">
        <w:rPr>
          <w:lang w:val="fr-FR"/>
        </w:rPr>
        <w:t>Le droit des femmes de travailler dans un environnement sûr et sain, loin de la violence, de l’exploitation, des abus, de la négligence et de toute pratiques néfastes, est un droit fondamental (Constitution art. 35, 39, 40).En 2004, l’article 341 bis, relatif au harcèlement sexuel, a été inclus dans le code pénal. Il punit toute personne qui abuse de l’autorité que lui confère sa fonction ou sa profession en donnant à autrui des ordres, en proférant des menaces, en imposant des contraintes ou en exerçant des pressions, dans le but d’obtenir des faveurs de nature sexuelle.</w:t>
      </w:r>
    </w:p>
    <w:p w14:paraId="6AD5FD9A" w14:textId="77777777" w:rsidR="007045AF" w:rsidRPr="007045AF" w:rsidRDefault="007045AF" w:rsidP="00C15C97">
      <w:pPr>
        <w:pStyle w:val="SingleTxtG"/>
        <w:numPr>
          <w:ilvl w:val="0"/>
          <w:numId w:val="40"/>
        </w:numPr>
        <w:ind w:left="1134" w:firstLine="0"/>
        <w:rPr>
          <w:lang w:val="fr-FR"/>
        </w:rPr>
      </w:pPr>
      <w:r w:rsidRPr="007045AF">
        <w:rPr>
          <w:lang w:val="fr-FR"/>
        </w:rPr>
        <w:t xml:space="preserve">Cet article a été amendé en 2015 en élargissant son champ d’application à quiconque harcèle autrui par tout acte, propos ou insinuation à caractère sexuel, et en alourdissant la peine dans plusieurs cas, notamment si la victime est une mineure ou si l’infraction commise a été facilitée par la vulnérabilité ou la maladie de la victime. L’amendement de l’article est général et couvre tous les cas de harcèlement sexuel non prévus dans son premier alinéa. </w:t>
      </w:r>
    </w:p>
    <w:p w14:paraId="71E9F872" w14:textId="77777777" w:rsidR="007045AF" w:rsidRPr="007045AF" w:rsidRDefault="007045AF" w:rsidP="00C15C97">
      <w:pPr>
        <w:pStyle w:val="SingleTxtG"/>
        <w:numPr>
          <w:ilvl w:val="0"/>
          <w:numId w:val="40"/>
        </w:numPr>
        <w:ind w:left="1134" w:firstLine="0"/>
        <w:rPr>
          <w:lang w:val="fr-FR"/>
        </w:rPr>
      </w:pPr>
      <w:r w:rsidRPr="007045AF">
        <w:rPr>
          <w:lang w:val="fr-FR"/>
        </w:rPr>
        <w:t>Lorsque des faits constitutifs d’une violence sont signalés par un travailleur, les services de l’inspection du travail peuvent procéder à une enquête et prendre les mesures aptes à faire cesser l'infraction et orienter le plaignant vers la procédure de recours.</w:t>
      </w:r>
    </w:p>
    <w:p w14:paraId="214974BB" w14:textId="77777777" w:rsidR="007045AF" w:rsidRPr="007045AF" w:rsidRDefault="007045AF" w:rsidP="00C15C97">
      <w:pPr>
        <w:pStyle w:val="SingleTxtG"/>
        <w:numPr>
          <w:ilvl w:val="0"/>
          <w:numId w:val="40"/>
        </w:numPr>
        <w:ind w:left="1134" w:firstLine="0"/>
        <w:rPr>
          <w:lang w:val="fr-FR"/>
        </w:rPr>
      </w:pPr>
      <w:r w:rsidRPr="007045AF">
        <w:rPr>
          <w:lang w:val="fr-FR"/>
        </w:rPr>
        <w:t>L’article 28 de la loi n°90-11 suscitée dispose que « </w:t>
      </w:r>
      <w:r w:rsidRPr="007045AF">
        <w:rPr>
          <w:i/>
          <w:iCs/>
          <w:lang w:val="fr-FR"/>
        </w:rPr>
        <w:t xml:space="preserve">les travailleurs de l'un ou de l'autre sexe, âgés de moins de 19 </w:t>
      </w:r>
      <w:r w:rsidRPr="00C15C97">
        <w:rPr>
          <w:lang w:val="fr-FR"/>
        </w:rPr>
        <w:t>ans</w:t>
      </w:r>
      <w:r w:rsidRPr="007045AF">
        <w:rPr>
          <w:i/>
          <w:iCs/>
          <w:lang w:val="fr-FR"/>
        </w:rPr>
        <w:t xml:space="preserve"> révolus ne peuvent occuper un travail de nuit</w:t>
      </w:r>
      <w:r w:rsidRPr="007045AF">
        <w:rPr>
          <w:lang w:val="fr-FR"/>
        </w:rPr>
        <w:t>».</w:t>
      </w:r>
    </w:p>
    <w:p w14:paraId="7045D8F1" w14:textId="77777777" w:rsidR="007045AF" w:rsidRPr="007045AF" w:rsidRDefault="007045AF" w:rsidP="00C15C97">
      <w:pPr>
        <w:pStyle w:val="SingleTxtG"/>
        <w:numPr>
          <w:ilvl w:val="0"/>
          <w:numId w:val="40"/>
        </w:numPr>
        <w:ind w:left="1134" w:firstLine="0"/>
        <w:rPr>
          <w:lang w:val="fr-FR"/>
        </w:rPr>
      </w:pPr>
      <w:r w:rsidRPr="007045AF">
        <w:rPr>
          <w:lang w:val="fr-FR"/>
        </w:rPr>
        <w:t>La femme peut travailler la nuit au même titre que l’homme, comme en témoigne l’exercice de cette activité par les femmes médecins, les inspectrices du travail et d’autres corps professionnels.</w:t>
      </w:r>
    </w:p>
    <w:p w14:paraId="20DDF57E" w14:textId="77777777" w:rsidR="007045AF" w:rsidRPr="007045AF" w:rsidRDefault="007045AF" w:rsidP="00C15C97">
      <w:pPr>
        <w:pStyle w:val="SingleTxtG"/>
        <w:numPr>
          <w:ilvl w:val="0"/>
          <w:numId w:val="40"/>
        </w:numPr>
        <w:ind w:left="1134" w:firstLine="0"/>
        <w:rPr>
          <w:lang w:val="fr-FR"/>
        </w:rPr>
      </w:pPr>
      <w:r w:rsidRPr="007045AF">
        <w:rPr>
          <w:lang w:val="fr-FR"/>
        </w:rPr>
        <w:t>Bien que l’article 29 de la loi n°90-11 dispose qu’«</w:t>
      </w:r>
      <w:r w:rsidRPr="007045AF">
        <w:rPr>
          <w:i/>
          <w:iCs/>
          <w:lang w:val="fr-FR"/>
        </w:rPr>
        <w:t>il est interdit à l’employeur de recourir au personnel féminin pour des travaux de nuit</w:t>
      </w:r>
      <w:r w:rsidRPr="007045AF">
        <w:rPr>
          <w:lang w:val="fr-FR"/>
        </w:rPr>
        <w:t xml:space="preserve">», le législateur a prévu des dérogations spéciales qui peuvent être accordées par l’inspecteur du travail, lorsque la nature de l’activité et les spécificités du poste de travail justifient ces dérogations. L’inspecteur veille à vérifier les conditions de travail auxquelles sont soumises les travailleuses à l’occasion de l’introduction par l’employeur d’une demande de dérogation spéciale pour le recours à la main d’œuvre féminine pour le travail de nuit. </w:t>
      </w:r>
    </w:p>
    <w:p w14:paraId="1F496A9A" w14:textId="77777777" w:rsidR="007045AF" w:rsidRPr="007045AF" w:rsidRDefault="007045AF" w:rsidP="00C15C97">
      <w:pPr>
        <w:pStyle w:val="SingleTxtG"/>
        <w:numPr>
          <w:ilvl w:val="0"/>
          <w:numId w:val="40"/>
        </w:numPr>
        <w:ind w:left="1134" w:firstLine="0"/>
        <w:rPr>
          <w:lang w:val="fr-FR"/>
        </w:rPr>
      </w:pPr>
      <w:r w:rsidRPr="007045AF">
        <w:rPr>
          <w:lang w:val="fr-FR"/>
        </w:rPr>
        <w:lastRenderedPageBreak/>
        <w:t>Aussi, l’interdiction du travail nocturne des femmes n'est pas une restriction excessive, mais une mesure visant à prévenir les abus et à garantir des conditions de travail plus sûres. Cette réglementation repose sur des motifs légitimes liés à la protection de la santé, de la sécurité et des droits des travailleuses, le travail de nuit ayant des conséquences physiologiques reconnues, notamment sur le cycle biologique et la maternité.</w:t>
      </w:r>
    </w:p>
    <w:p w14:paraId="2338A721" w14:textId="77777777" w:rsidR="007045AF" w:rsidRPr="007045AF" w:rsidRDefault="007045AF" w:rsidP="00C15C97">
      <w:pPr>
        <w:pStyle w:val="SingleTxtG"/>
        <w:numPr>
          <w:ilvl w:val="0"/>
          <w:numId w:val="40"/>
        </w:numPr>
        <w:ind w:left="1134" w:firstLine="0"/>
        <w:rPr>
          <w:lang w:val="fr-FR"/>
        </w:rPr>
      </w:pPr>
      <w:r w:rsidRPr="007045AF">
        <w:rPr>
          <w:lang w:val="fr-FR"/>
        </w:rPr>
        <w:t xml:space="preserve">L’opportunité de ratifier d’autres conventions internationales, notamment la Convention n°189 (2011) de l’OIT sur le travail décent pour les travailleurs et travailleuses domestiques, fait l’objet d’un examen continu et progressif par l’Etat algérien en fonction des évolutions législatives, judiciaires et sociétales. </w:t>
      </w:r>
    </w:p>
    <w:p w14:paraId="25389AF8" w14:textId="7FC3CD15" w:rsidR="007045AF" w:rsidRPr="007045AF" w:rsidRDefault="00D732D5" w:rsidP="00D732D5">
      <w:pPr>
        <w:pStyle w:val="H23G"/>
        <w:rPr>
          <w:lang w:val="fr-FR"/>
        </w:rPr>
      </w:pPr>
      <w:r>
        <w:rPr>
          <w:lang w:val="fr-FR"/>
        </w:rPr>
        <w:tab/>
      </w:r>
      <w:r>
        <w:rPr>
          <w:lang w:val="fr-FR"/>
        </w:rPr>
        <w:tab/>
      </w:r>
      <w:r w:rsidR="007045AF" w:rsidRPr="007045AF">
        <w:rPr>
          <w:lang w:val="fr-FR"/>
        </w:rPr>
        <w:t>Point 41 (a-b-c) </w:t>
      </w:r>
    </w:p>
    <w:p w14:paraId="50B471B9" w14:textId="77777777" w:rsidR="007045AF" w:rsidRPr="007045AF" w:rsidRDefault="007045AF" w:rsidP="00C15C97">
      <w:pPr>
        <w:pStyle w:val="SingleTxtG"/>
        <w:numPr>
          <w:ilvl w:val="0"/>
          <w:numId w:val="40"/>
        </w:numPr>
        <w:ind w:left="1134" w:firstLine="0"/>
        <w:rPr>
          <w:lang w:val="fr-FR"/>
        </w:rPr>
      </w:pPr>
      <w:r w:rsidRPr="007045AF">
        <w:rPr>
          <w:lang w:val="fr-FR"/>
        </w:rPr>
        <w:t>L'avortement est considéré comme une infraction punie par la loi. Cependant, l’article 77 de la loi n°18-11 du 2 juillet 2018 relative à la santé prévoit la possibilité d'une interruption thérapeutique de la grossesse lorsque la vie ou l’équilibre psychologique et mental de la mère est gravement menacé par la grossesse. De plus, l'article 308 du Code pénal stipule que l’avortement n’est pas puni lorsqu’il constitue une mesure indispensable pour sauver la vie de la mère en danger.</w:t>
      </w:r>
    </w:p>
    <w:p w14:paraId="61984AF6" w14:textId="77777777" w:rsidR="007045AF" w:rsidRPr="007045AF" w:rsidRDefault="007045AF" w:rsidP="00C15C97">
      <w:pPr>
        <w:pStyle w:val="SingleTxtG"/>
        <w:numPr>
          <w:ilvl w:val="0"/>
          <w:numId w:val="40"/>
        </w:numPr>
        <w:ind w:left="1134" w:firstLine="0"/>
        <w:rPr>
          <w:lang w:val="fr-FR"/>
        </w:rPr>
      </w:pPr>
      <w:r w:rsidRPr="007045AF">
        <w:rPr>
          <w:lang w:val="fr-FR"/>
        </w:rPr>
        <w:t xml:space="preserve">Conformément à la loi suscitée, l’Etat est appelé à renforcer davantage l’éducation sanitaire dans les programmes scolaires. L’article 120 affirme que l’éducation pour la santé y compris la santé reproductive auprès des jeunes, est assurée par l’Etat, dans les établissements d’Education, d’Enseignement Supérieur et de Formation Professionnelle. </w:t>
      </w:r>
    </w:p>
    <w:p w14:paraId="26B5678F" w14:textId="77777777" w:rsidR="007045AF" w:rsidRPr="007045AF" w:rsidRDefault="007045AF" w:rsidP="00C15C97">
      <w:pPr>
        <w:pStyle w:val="SingleTxtG"/>
        <w:numPr>
          <w:ilvl w:val="0"/>
          <w:numId w:val="40"/>
        </w:numPr>
        <w:ind w:left="1134" w:firstLine="0"/>
        <w:rPr>
          <w:lang w:val="fr-FR"/>
        </w:rPr>
      </w:pPr>
      <w:r w:rsidRPr="007045AF">
        <w:rPr>
          <w:lang w:val="fr-FR"/>
        </w:rPr>
        <w:t>Il est à souligner que l’éducation en matière de population intégrant les notions liées à la santé reproductive et à la planification familiale, est déjà introduite dans les programmes scolaires des différents paliers d’enseignement. Aussi, le “livre du maître” sur l’éducation en matière de population (EMP), élaboré en 2001, est renforcé par les notions liées à la santé reproductive.</w:t>
      </w:r>
    </w:p>
    <w:p w14:paraId="03587615" w14:textId="77777777" w:rsidR="007045AF" w:rsidRPr="007045AF" w:rsidRDefault="007045AF" w:rsidP="00C15C97">
      <w:pPr>
        <w:pStyle w:val="SingleTxtG"/>
        <w:numPr>
          <w:ilvl w:val="0"/>
          <w:numId w:val="40"/>
        </w:numPr>
        <w:ind w:left="1134" w:firstLine="0"/>
        <w:rPr>
          <w:lang w:val="fr-FR"/>
        </w:rPr>
      </w:pPr>
      <w:r w:rsidRPr="007045AF">
        <w:rPr>
          <w:lang w:val="fr-FR"/>
        </w:rPr>
        <w:t>Le secteur de la santé œuvre actuellement à la promotion de la santé et l’hygiène menstruelle en milieu scolaire et universitaire dans le cadre du programme national de la santé scolaire et de la santé universitaire. A ce titre, la journée mondiale de la santé et l’hygiène menstruelle organisée en 2024, a vu la participation des coordinateurs de la santé scolaire de l’ensemble des établissements de santé et l’implication de tous les partenaires.</w:t>
      </w:r>
    </w:p>
    <w:p w14:paraId="462ABAFE" w14:textId="77777777" w:rsidR="007045AF" w:rsidRPr="007045AF" w:rsidRDefault="007045AF" w:rsidP="00C15C97">
      <w:pPr>
        <w:pStyle w:val="SingleTxtG"/>
        <w:numPr>
          <w:ilvl w:val="0"/>
          <w:numId w:val="40"/>
        </w:numPr>
        <w:ind w:left="1134" w:firstLine="0"/>
        <w:rPr>
          <w:lang w:val="fr-FR"/>
        </w:rPr>
      </w:pPr>
      <w:r w:rsidRPr="007045AF">
        <w:rPr>
          <w:lang w:val="fr-FR"/>
        </w:rPr>
        <w:t>De plus, des formations sont organisées par le secteur de l’Agriculture en direction des femmes rurales, en vue de leur sensibilisation sur la santé reproductive.</w:t>
      </w:r>
    </w:p>
    <w:p w14:paraId="770A1519" w14:textId="77777777" w:rsidR="007045AF" w:rsidRPr="007045AF" w:rsidRDefault="007045AF" w:rsidP="00C15C97">
      <w:pPr>
        <w:pStyle w:val="SingleTxtG"/>
        <w:numPr>
          <w:ilvl w:val="0"/>
          <w:numId w:val="40"/>
        </w:numPr>
        <w:ind w:left="1134" w:firstLine="0"/>
        <w:rPr>
          <w:lang w:val="fr-FR"/>
        </w:rPr>
      </w:pPr>
      <w:r w:rsidRPr="007045AF">
        <w:rPr>
          <w:lang w:val="fr-FR"/>
        </w:rPr>
        <w:t>Voir également réponses au point 30.</w:t>
      </w:r>
    </w:p>
    <w:p w14:paraId="7D0743E3" w14:textId="6FBE7CFB" w:rsidR="007045AF" w:rsidRPr="00CD1A35" w:rsidRDefault="00D732D5" w:rsidP="00D732D5">
      <w:pPr>
        <w:pStyle w:val="H23G"/>
        <w:rPr>
          <w:lang w:val="pt-BR"/>
        </w:rPr>
      </w:pPr>
      <w:r w:rsidRPr="00516E19">
        <w:rPr>
          <w:lang w:val="fr-FR"/>
        </w:rPr>
        <w:tab/>
      </w:r>
      <w:r w:rsidRPr="00516E19">
        <w:rPr>
          <w:lang w:val="fr-FR"/>
        </w:rPr>
        <w:tab/>
      </w:r>
      <w:r w:rsidR="007045AF" w:rsidRPr="00CD1A35">
        <w:rPr>
          <w:lang w:val="pt-BR"/>
        </w:rPr>
        <w:t xml:space="preserve">Point 43 (a-b-c-d-e) </w:t>
      </w:r>
    </w:p>
    <w:p w14:paraId="7A901A58" w14:textId="77777777" w:rsidR="007045AF" w:rsidRPr="007045AF" w:rsidRDefault="007045AF" w:rsidP="00C15C97">
      <w:pPr>
        <w:pStyle w:val="SingleTxtG"/>
        <w:numPr>
          <w:ilvl w:val="0"/>
          <w:numId w:val="40"/>
        </w:numPr>
        <w:ind w:left="1134" w:firstLine="0"/>
        <w:rPr>
          <w:lang w:val="fr-FR"/>
        </w:rPr>
      </w:pPr>
      <w:r w:rsidRPr="007045AF">
        <w:rPr>
          <w:lang w:val="fr-FR"/>
        </w:rPr>
        <w:t>Le ministère de l’Agriculture a mis en place une série de mesures visant à mieux intégrer les questions d’égalité des sexes dans les processus de développement agricole et rural. Ces mesures ont pour objectif d’appuyer les femmes rurales en informations, aptitudes et services pour :</w:t>
      </w:r>
    </w:p>
    <w:p w14:paraId="054F9D4E" w14:textId="77777777" w:rsidR="007045AF" w:rsidRPr="001F0307" w:rsidRDefault="007045AF" w:rsidP="001F0307">
      <w:pPr>
        <w:pStyle w:val="Bullet1G"/>
      </w:pPr>
      <w:r w:rsidRPr="001F0307">
        <w:t>Améliorer les revenus des femmes par l’intermédiaire de services de crédit, d’épargne, d’assurances, de cours, de formation professionnelle, et d’appui aux entreprises gérées par elles ;</w:t>
      </w:r>
    </w:p>
    <w:p w14:paraId="5A526C36" w14:textId="77777777" w:rsidR="007045AF" w:rsidRPr="001F0307" w:rsidRDefault="007045AF" w:rsidP="001F0307">
      <w:pPr>
        <w:pStyle w:val="Bullet1G"/>
      </w:pPr>
      <w:r w:rsidRPr="001F0307">
        <w:t>Organiser les femmes en associations locales ayant la capacité de subvenir aux besoins de leurs familles, de promouvoir leurs intérêts, et de mieux représenter les priorités des femmes rurales dans les processus de prise de décision.</w:t>
      </w:r>
    </w:p>
    <w:p w14:paraId="67DE3D0F" w14:textId="77777777" w:rsidR="007045AF" w:rsidRPr="007045AF" w:rsidRDefault="007045AF" w:rsidP="00C15C97">
      <w:pPr>
        <w:pStyle w:val="SingleTxtG"/>
        <w:numPr>
          <w:ilvl w:val="0"/>
          <w:numId w:val="40"/>
        </w:numPr>
        <w:ind w:left="1134" w:firstLine="0"/>
        <w:rPr>
          <w:lang w:val="fr-FR"/>
        </w:rPr>
      </w:pPr>
      <w:r w:rsidRPr="007045AF">
        <w:rPr>
          <w:lang w:val="fr-FR"/>
        </w:rPr>
        <w:t>Au 31 /12/ 2025, les résultats ci-après ont été enregistrés :</w:t>
      </w:r>
    </w:p>
    <w:p w14:paraId="53D95A0A" w14:textId="3052845B" w:rsidR="007045AF" w:rsidRPr="001F0307" w:rsidRDefault="007045AF" w:rsidP="001F0307">
      <w:pPr>
        <w:pStyle w:val="Bullet1G"/>
      </w:pPr>
      <w:r w:rsidRPr="001F0307">
        <w:t>2 387 femmes bénéficiaires de terres agricoles dans le cadre de la concession agricole</w:t>
      </w:r>
      <w:r w:rsidR="001F0307">
        <w:t> ;</w:t>
      </w:r>
    </w:p>
    <w:p w14:paraId="5460198F" w14:textId="5EF32389" w:rsidR="007045AF" w:rsidRPr="001F0307" w:rsidRDefault="007045AF" w:rsidP="001F0307">
      <w:pPr>
        <w:pStyle w:val="Bullet1G"/>
      </w:pPr>
      <w:r w:rsidRPr="001F0307">
        <w:t>227 femmes bénéficiaires de la mise en valeur des terres (autorisation d’usage dans les forêts)</w:t>
      </w:r>
      <w:r w:rsidR="001F0307">
        <w:t> ;</w:t>
      </w:r>
    </w:p>
    <w:p w14:paraId="05C15A52" w14:textId="77777777" w:rsidR="007045AF" w:rsidRPr="001F0307" w:rsidRDefault="007045AF" w:rsidP="001F0307">
      <w:pPr>
        <w:pStyle w:val="Bullet1G"/>
      </w:pPr>
      <w:r w:rsidRPr="001F0307">
        <w:t>03 femmes bénéficiaires de forêts récréatives (autorisations d’usage) dans 03 wilayas.</w:t>
      </w:r>
    </w:p>
    <w:p w14:paraId="65B2A752" w14:textId="77777777" w:rsidR="007045AF" w:rsidRPr="007045AF" w:rsidRDefault="007045AF" w:rsidP="00C15C97">
      <w:pPr>
        <w:pStyle w:val="SingleTxtG"/>
        <w:numPr>
          <w:ilvl w:val="0"/>
          <w:numId w:val="40"/>
        </w:numPr>
        <w:ind w:left="1134" w:firstLine="0"/>
        <w:rPr>
          <w:lang w:val="fr-FR"/>
        </w:rPr>
      </w:pPr>
      <w:r w:rsidRPr="007045AF">
        <w:rPr>
          <w:lang w:val="fr-FR"/>
        </w:rPr>
        <w:lastRenderedPageBreak/>
        <w:t>S’agissant de l’accès au foncier agricole, en 2025, plus de 95482 exploitantes agricoles étaient inscrites au niveau de la Chambre Nationale de l’Agriculture, contre 91313 agricultrices en 2023.</w:t>
      </w:r>
    </w:p>
    <w:p w14:paraId="091984DC" w14:textId="77777777" w:rsidR="007045AF" w:rsidRPr="00CB58D2" w:rsidRDefault="007045AF" w:rsidP="00C15C97">
      <w:pPr>
        <w:pStyle w:val="SingleTxtG"/>
        <w:numPr>
          <w:ilvl w:val="0"/>
          <w:numId w:val="40"/>
        </w:numPr>
        <w:ind w:left="1134" w:firstLine="0"/>
        <w:rPr>
          <w:lang w:val="fr-FR"/>
        </w:rPr>
      </w:pPr>
      <w:r w:rsidRPr="00CB58D2">
        <w:rPr>
          <w:lang w:val="fr-FR"/>
        </w:rPr>
        <w:t xml:space="preserve">Concernant l’accès au financement et aux crédits agricoles, les différents dispositifs de soutien et de crédit ont permis aux femmes de bénéficier des financements pour leurs projets notamment, en matière d’élevage ovin et bovin, apiculture, plantations d’arbres fruitiers, équipements d’irrigation, économiseurs d’eau, etc.., à travers le Fond National de Développement Agricole « FNDA » et le Fonds National de Développement Rural « FNDR », ainsi que les crédits RFIG (crédit de campagne) et ETTAHADI (crédit d’investissement). A titre illustratif, en 2025, 591femmes ont bénéficié du crédit « RFIG » (contre 328 femmes en 2018), et 11femmes ont bénéficié du crédit « ETTAHADI » (contre 12 femmes en 2018). </w:t>
      </w:r>
    </w:p>
    <w:p w14:paraId="37A0941A" w14:textId="77777777" w:rsidR="007045AF" w:rsidRPr="00CB58D2" w:rsidRDefault="007045AF" w:rsidP="00C15C97">
      <w:pPr>
        <w:pStyle w:val="SingleTxtG"/>
        <w:numPr>
          <w:ilvl w:val="0"/>
          <w:numId w:val="40"/>
        </w:numPr>
        <w:ind w:left="1134" w:firstLine="0"/>
        <w:rPr>
          <w:lang w:val="fr-FR"/>
        </w:rPr>
      </w:pPr>
      <w:r w:rsidRPr="00CB58D2">
        <w:rPr>
          <w:lang w:val="fr-FR"/>
        </w:rPr>
        <w:t>Compte tenu de l’importance du transport scolaire qui contribue à réduire le taux de la déperdition scolaire des élèves, notamment des filles en zones enclavées, l’État a mis en place plus de 19810 bus scolaires dont 10613 alloués aux communes. Ces bus assurent plus de 17000 lignes et facilitent la circulation de plus de 1.148.962 élèves.</w:t>
      </w:r>
    </w:p>
    <w:p w14:paraId="1069D584" w14:textId="77777777" w:rsidR="007045AF" w:rsidRPr="00CB58D2" w:rsidRDefault="007045AF" w:rsidP="00C15C97">
      <w:pPr>
        <w:pStyle w:val="SingleTxtG"/>
        <w:numPr>
          <w:ilvl w:val="0"/>
          <w:numId w:val="40"/>
        </w:numPr>
        <w:ind w:left="1134" w:firstLine="0"/>
        <w:rPr>
          <w:lang w:val="fr-FR"/>
        </w:rPr>
      </w:pPr>
      <w:r w:rsidRPr="00CB58D2">
        <w:rPr>
          <w:lang w:val="fr-FR"/>
        </w:rPr>
        <w:t>Pour ce qui est de l’internat dans la région sud, l’État a institué le régime d’internat et demi-internat au niveau des structures d’enseignement.28 écoles primaires situées au niveau de cinq wilayas de sud ont bénéficié du régime d’internat, ce qui a permis, en 2020, à 4441 élèves dont 1269 filles et 2292 élèves issues des familles nomades d’en bénéficier.</w:t>
      </w:r>
    </w:p>
    <w:p w14:paraId="3B79379F" w14:textId="77777777" w:rsidR="007045AF" w:rsidRPr="007045AF" w:rsidRDefault="007045AF" w:rsidP="00C15C97">
      <w:pPr>
        <w:pStyle w:val="SingleTxtG"/>
        <w:numPr>
          <w:ilvl w:val="0"/>
          <w:numId w:val="40"/>
        </w:numPr>
        <w:ind w:left="1134" w:firstLine="0"/>
        <w:rPr>
          <w:lang w:val="fr-FR"/>
        </w:rPr>
      </w:pPr>
      <w:r w:rsidRPr="007045AF">
        <w:rPr>
          <w:lang w:val="fr-FR"/>
        </w:rPr>
        <w:t>Le secteur de la Formation et de l’Enseignement Professionnels a mis en place un dispositif de formation au profit de la jeune fille rurale. Pour l’année 2023 :</w:t>
      </w:r>
    </w:p>
    <w:p w14:paraId="2067DF14" w14:textId="68EA6880" w:rsidR="007045AF" w:rsidRPr="00CB58D2" w:rsidRDefault="007045AF" w:rsidP="001F0307">
      <w:pPr>
        <w:pStyle w:val="Bullet1G"/>
        <w:rPr>
          <w:lang w:val="fr-FR"/>
        </w:rPr>
      </w:pPr>
      <w:r w:rsidRPr="00CB58D2">
        <w:rPr>
          <w:lang w:val="fr-FR"/>
        </w:rPr>
        <w:t>1100 filles étaient inscrites en résidentielle</w:t>
      </w:r>
      <w:r w:rsidR="001F0307" w:rsidRPr="00CB58D2">
        <w:rPr>
          <w:lang w:val="fr-FR"/>
        </w:rPr>
        <w:t> ;</w:t>
      </w:r>
    </w:p>
    <w:p w14:paraId="4BE5C88C" w14:textId="1538C84F" w:rsidR="007045AF" w:rsidRPr="00CB58D2" w:rsidRDefault="007045AF" w:rsidP="001F0307">
      <w:pPr>
        <w:pStyle w:val="Bullet1G"/>
        <w:rPr>
          <w:lang w:val="fr-FR"/>
        </w:rPr>
      </w:pPr>
      <w:r w:rsidRPr="00CB58D2">
        <w:rPr>
          <w:lang w:val="fr-FR"/>
        </w:rPr>
        <w:t>178 filles étaient inscrites en apprentissage</w:t>
      </w:r>
      <w:r w:rsidR="001F0307" w:rsidRPr="00CB58D2">
        <w:rPr>
          <w:lang w:val="fr-FR"/>
        </w:rPr>
        <w:t> ;</w:t>
      </w:r>
    </w:p>
    <w:p w14:paraId="494B8B3C" w14:textId="77777777" w:rsidR="007045AF" w:rsidRPr="00CB58D2" w:rsidRDefault="007045AF" w:rsidP="001F0307">
      <w:pPr>
        <w:pStyle w:val="Bullet1G"/>
        <w:rPr>
          <w:lang w:val="fr-FR"/>
        </w:rPr>
      </w:pPr>
      <w:r w:rsidRPr="00CB58D2">
        <w:rPr>
          <w:lang w:val="fr-FR"/>
        </w:rPr>
        <w:t>55 filles étaient inscrites en cours du soir.</w:t>
      </w:r>
    </w:p>
    <w:p w14:paraId="3712DB35" w14:textId="77777777" w:rsidR="007045AF" w:rsidRPr="00CB58D2" w:rsidRDefault="007045AF" w:rsidP="00C15C97">
      <w:pPr>
        <w:pStyle w:val="SingleTxtG"/>
        <w:numPr>
          <w:ilvl w:val="0"/>
          <w:numId w:val="40"/>
        </w:numPr>
        <w:ind w:left="1134" w:firstLine="0"/>
        <w:rPr>
          <w:lang w:val="fr-FR"/>
        </w:rPr>
      </w:pPr>
      <w:r w:rsidRPr="00CB58D2">
        <w:rPr>
          <w:lang w:val="fr-FR"/>
        </w:rPr>
        <w:t>Dans le cadre de la promotion et du renforcement des capacités humaines et d’assistance technique «PRCHAT», le secteur de l’Agriculture a mené des actions de formation et de vulgarisation en faveur de 20251 femmes dans le milieu rural (de 2019 à 2023), dont 200 porteuses de projets, en vue de développer leur autonomisation et leur participation à la vie économique.</w:t>
      </w:r>
    </w:p>
    <w:p w14:paraId="2840F876" w14:textId="77777777" w:rsidR="007045AF" w:rsidRPr="00CB58D2" w:rsidRDefault="007045AF" w:rsidP="00C15C97">
      <w:pPr>
        <w:pStyle w:val="SingleTxtG"/>
        <w:numPr>
          <w:ilvl w:val="0"/>
          <w:numId w:val="40"/>
        </w:numPr>
        <w:ind w:left="1134" w:firstLine="0"/>
        <w:rPr>
          <w:lang w:val="fr-FR"/>
        </w:rPr>
      </w:pPr>
      <w:r w:rsidRPr="00CB58D2">
        <w:rPr>
          <w:lang w:val="fr-FR"/>
        </w:rPr>
        <w:t xml:space="preserve">Des campagnes de sensibilisation dans le cadre du programme de réadaptation familiale, organisées au niveau des mosquées par 1850 Mourchida, insistent sur les dangers du mariage précoce et sur l’importance d’atteindre l’âge de la majorité et de la capacité avant de conclure le mariage. </w:t>
      </w:r>
    </w:p>
    <w:p w14:paraId="5F8893E4" w14:textId="77777777" w:rsidR="007045AF" w:rsidRPr="00CB58D2" w:rsidRDefault="007045AF" w:rsidP="00C15C97">
      <w:pPr>
        <w:pStyle w:val="SingleTxtG"/>
        <w:numPr>
          <w:ilvl w:val="0"/>
          <w:numId w:val="40"/>
        </w:numPr>
        <w:ind w:left="1134" w:firstLine="0"/>
        <w:rPr>
          <w:lang w:val="fr-FR"/>
        </w:rPr>
      </w:pPr>
      <w:r w:rsidRPr="007045AF">
        <w:rPr>
          <w:lang w:val="fr-FR"/>
        </w:rPr>
        <w:t xml:space="preserve">Dans le cadre de la promotion de l’autonomisation économique des femmes, en particulier en milieu rural, le Ministère de la Solidarité Nationale, de la Famille et de la Condition de la Femme a lancé, le 15 octobre 2018, </w:t>
      </w:r>
      <w:r w:rsidRPr="00CB58D2">
        <w:rPr>
          <w:lang w:val="fr-FR"/>
        </w:rPr>
        <w:t>le «Programme national intégré d’appui à l’entrepreneuriat et à la promotion de la femme », visant à renforcer la participation des femmes au développement local durable. Ce programme repose principalement sur des actions de sensibilisation, de formation et d’accompagnement destinées aux femmes issues de différents milieux sociaux.</w:t>
      </w:r>
    </w:p>
    <w:p w14:paraId="159E878B" w14:textId="77777777" w:rsidR="007045AF" w:rsidRPr="007045AF" w:rsidRDefault="007045AF" w:rsidP="00C15C97">
      <w:pPr>
        <w:pStyle w:val="SingleTxtG"/>
        <w:numPr>
          <w:ilvl w:val="0"/>
          <w:numId w:val="40"/>
        </w:numPr>
        <w:ind w:left="1134" w:firstLine="0"/>
        <w:rPr>
          <w:lang w:val="fr-FR"/>
        </w:rPr>
      </w:pPr>
      <w:r w:rsidRPr="00CB58D2">
        <w:rPr>
          <w:lang w:val="fr-FR"/>
        </w:rPr>
        <w:t>A cet égard, des efforts significatifs ont été déployés en matière d’information et de renforcement des capacités des femmes. En 2025, ledit programme, qui a couvert 867 communes, a permis la sensibilisation de 48992 et la formation de 7795 femmes</w:t>
      </w:r>
      <w:r w:rsidRPr="007045AF">
        <w:rPr>
          <w:lang w:val="fr-FR"/>
        </w:rPr>
        <w:t>.</w:t>
      </w:r>
    </w:p>
    <w:p w14:paraId="7DC2A0AE" w14:textId="77777777" w:rsidR="007045AF" w:rsidRPr="007045AF" w:rsidRDefault="007045AF" w:rsidP="00C15C97">
      <w:pPr>
        <w:pStyle w:val="SingleTxtG"/>
        <w:numPr>
          <w:ilvl w:val="0"/>
          <w:numId w:val="40"/>
        </w:numPr>
        <w:ind w:left="1134" w:firstLine="0"/>
        <w:rPr>
          <w:lang w:val="fr-FR"/>
        </w:rPr>
      </w:pPr>
      <w:r w:rsidRPr="007045AF">
        <w:rPr>
          <w:lang w:val="fr-FR"/>
        </w:rPr>
        <w:t>De plus, un accord-cadre a été conclu en 2025, entre le ministère de la Solidarité et le ministère de l’Industrie, visant à soutenir les établissements industriels publics et privés pour impliquer les femmes au foyer et les femmes rurales dans le processus de production à partir de leur domicile. Cet accord permettra de soutenir la productivité des complexes industriels, notamment dans les secteurs du textile et du cuir.</w:t>
      </w:r>
    </w:p>
    <w:p w14:paraId="2E9B3477" w14:textId="77777777" w:rsidR="007045AF" w:rsidRPr="007045AF" w:rsidRDefault="007045AF" w:rsidP="00C15C97">
      <w:pPr>
        <w:pStyle w:val="SingleTxtG"/>
        <w:numPr>
          <w:ilvl w:val="0"/>
          <w:numId w:val="40"/>
        </w:numPr>
        <w:ind w:left="1134" w:firstLine="0"/>
        <w:rPr>
          <w:lang w:val="fr-FR"/>
        </w:rPr>
      </w:pPr>
      <w:r w:rsidRPr="007045AF">
        <w:rPr>
          <w:lang w:val="fr-FR"/>
        </w:rPr>
        <w:t>Par ailleurs, l’organisation de caravanes de sensibilisation dans plusieurs wilayas a contribué à rapprocher les dispositifs d’appui des femmes rurales et à améliorer leurs compétences en gestion, en entrepreneuriat et en création de projets.</w:t>
      </w:r>
    </w:p>
    <w:p w14:paraId="13387972" w14:textId="77777777" w:rsidR="007045AF" w:rsidRPr="00CB58D2" w:rsidRDefault="007045AF" w:rsidP="00C15C97">
      <w:pPr>
        <w:pStyle w:val="SingleTxtG"/>
        <w:numPr>
          <w:ilvl w:val="0"/>
          <w:numId w:val="40"/>
        </w:numPr>
        <w:ind w:left="1134" w:firstLine="0"/>
        <w:rPr>
          <w:bCs/>
          <w:lang w:val="fr-FR"/>
        </w:rPr>
      </w:pPr>
      <w:r w:rsidRPr="007045AF">
        <w:rPr>
          <w:lang w:val="fr-FR"/>
        </w:rPr>
        <w:lastRenderedPageBreak/>
        <w:t>En outre, le</w:t>
      </w:r>
      <w:r w:rsidRPr="007045AF">
        <w:rPr>
          <w:b/>
          <w:lang w:val="fr-FR"/>
        </w:rPr>
        <w:t xml:space="preserve"> </w:t>
      </w:r>
      <w:r w:rsidRPr="00CB58D2">
        <w:rPr>
          <w:bCs/>
          <w:lang w:val="fr-FR"/>
        </w:rPr>
        <w:t>« Programme de la Famille Productive » a été mis en place pour soutenir les familles à faibles revenus. Une dynamique notable a été enregistrée en 2025, avec 216000 femmes inscrites au registre du commerce, 297000 femmes au foyer formées, et 25700 projets féminins financés via l’Agence Nationale de Gestion de Microcrédit (ANGEM).</w:t>
      </w:r>
    </w:p>
    <w:p w14:paraId="7897D770" w14:textId="77777777" w:rsidR="007045AF" w:rsidRPr="00CB58D2" w:rsidRDefault="007045AF" w:rsidP="00C15C97">
      <w:pPr>
        <w:pStyle w:val="SingleTxtG"/>
        <w:numPr>
          <w:ilvl w:val="0"/>
          <w:numId w:val="40"/>
        </w:numPr>
        <w:ind w:left="1134" w:firstLine="0"/>
        <w:rPr>
          <w:bCs/>
          <w:lang w:val="fr-FR"/>
        </w:rPr>
      </w:pPr>
      <w:r w:rsidRPr="00CB58D2">
        <w:rPr>
          <w:bCs/>
          <w:lang w:val="fr-FR"/>
        </w:rPr>
        <w:t xml:space="preserve">Dans le cadre de la mise en œuvre de ce programme, un « Guide d’intégration économique de la femme » a été élaboré en 2021. Un autre guide « pour l’autonomisation économique des femmes » a été élaboré en 2025 pour fournir des mécanismes pratiques simplifiés aux femmes souhaitant améliorer leur situation économique et à les informer du soutien apporté par divers acteurs, notamment les institutions et les associations. </w:t>
      </w:r>
    </w:p>
    <w:p w14:paraId="7430D966" w14:textId="77777777" w:rsidR="007045AF" w:rsidRPr="007045AF" w:rsidRDefault="007045AF" w:rsidP="00C15C97">
      <w:pPr>
        <w:pStyle w:val="SingleTxtG"/>
        <w:numPr>
          <w:ilvl w:val="0"/>
          <w:numId w:val="40"/>
        </w:numPr>
        <w:ind w:left="1134" w:firstLine="0"/>
        <w:rPr>
          <w:lang w:val="fr-FR"/>
        </w:rPr>
      </w:pPr>
      <w:r w:rsidRPr="00CB58D2">
        <w:rPr>
          <w:bCs/>
          <w:lang w:val="fr-FR"/>
        </w:rPr>
        <w:t>A cela s’ajoute le « Programme national pour l'intégration économique des femmes rurales » qui vise à cibler le plus grand nombre possible de femmes rurales et les accompagner pour lancer leurs activités et créer leurs</w:t>
      </w:r>
      <w:r w:rsidRPr="007045AF">
        <w:rPr>
          <w:lang w:val="fr-FR"/>
        </w:rPr>
        <w:t xml:space="preserve"> propres petites entreprises. </w:t>
      </w:r>
    </w:p>
    <w:p w14:paraId="111105AF" w14:textId="77777777" w:rsidR="007045AF" w:rsidRPr="007045AF" w:rsidRDefault="007045AF" w:rsidP="00C15C97">
      <w:pPr>
        <w:pStyle w:val="SingleTxtG"/>
        <w:numPr>
          <w:ilvl w:val="0"/>
          <w:numId w:val="40"/>
        </w:numPr>
        <w:ind w:left="1134" w:firstLine="0"/>
        <w:rPr>
          <w:lang w:val="fr-FR"/>
        </w:rPr>
      </w:pPr>
      <w:r w:rsidRPr="007045AF">
        <w:rPr>
          <w:lang w:val="fr-FR"/>
        </w:rPr>
        <w:t xml:space="preserve">La création en 2020 du ministère de l’Économie de la Connaissance, des Startups et des Micro-Entreprises dans le but de structurer et piloter une politique nationale dédiée à la promotion de l’entrepreneuriat et à la transition vers une économie de la connaissance, marque une volonté claire de l’État de soutenir l’innovation, de renforcer l’écosystème entrepreneurial, y compris féminin. </w:t>
      </w:r>
    </w:p>
    <w:p w14:paraId="5513C624" w14:textId="77777777" w:rsidR="007045AF" w:rsidRPr="00CB58D2" w:rsidRDefault="007045AF" w:rsidP="00C15C97">
      <w:pPr>
        <w:pStyle w:val="SingleTxtG"/>
        <w:numPr>
          <w:ilvl w:val="0"/>
          <w:numId w:val="40"/>
        </w:numPr>
        <w:ind w:left="1134" w:firstLine="0"/>
        <w:rPr>
          <w:lang w:val="fr-FR"/>
        </w:rPr>
      </w:pPr>
      <w:r w:rsidRPr="007045AF">
        <w:rPr>
          <w:lang w:val="fr-FR"/>
        </w:rPr>
        <w:t xml:space="preserve">Dans ce cadre, un réseau national de structures d’appui à l’entrepreneuriat a été développé avec </w:t>
      </w:r>
      <w:r w:rsidRPr="00CB58D2">
        <w:rPr>
          <w:lang w:val="fr-FR"/>
        </w:rPr>
        <w:t>119 Centres de Développement de l’Entrepreneuriat (CDE) déployés au sein des universités ainsi que 211 incubateurs, dont 124 universitaires et 87 privés, couvrant l’ensemble des wilayas. Ces structures ont pour objectif d’assurer la sensibilisation et l’accompagnement intégré des porteurs de projets, depuis l’idée initiale jusqu’à la création effective de l’entreprise. Environ 33 % de ces structures sont dirigées par des femmes.</w:t>
      </w:r>
    </w:p>
    <w:p w14:paraId="72A53C6D" w14:textId="77777777" w:rsidR="007045AF" w:rsidRPr="00CB58D2" w:rsidRDefault="007045AF" w:rsidP="00C15C97">
      <w:pPr>
        <w:pStyle w:val="SingleTxtG"/>
        <w:numPr>
          <w:ilvl w:val="0"/>
          <w:numId w:val="40"/>
        </w:numPr>
        <w:ind w:left="1134" w:firstLine="0"/>
        <w:rPr>
          <w:lang w:val="fr-FR"/>
        </w:rPr>
      </w:pPr>
      <w:r w:rsidRPr="00CB58D2">
        <w:rPr>
          <w:lang w:val="fr-FR"/>
        </w:rPr>
        <w:t>Deux incubateurs privés spécialisés dans l’entrepreneuriat féminin, Womwork et EntroxVenture, contribuent également au renforcement de cet écosystème, en offrant un accompagnement ciblé.</w:t>
      </w:r>
    </w:p>
    <w:p w14:paraId="480C0A46" w14:textId="77777777" w:rsidR="007045AF" w:rsidRPr="00CB58D2" w:rsidRDefault="007045AF" w:rsidP="00C15C97">
      <w:pPr>
        <w:pStyle w:val="SingleTxtG"/>
        <w:numPr>
          <w:ilvl w:val="0"/>
          <w:numId w:val="40"/>
        </w:numPr>
        <w:ind w:left="1134" w:firstLine="0"/>
        <w:rPr>
          <w:lang w:val="fr-FR"/>
        </w:rPr>
      </w:pPr>
      <w:r w:rsidRPr="00CB58D2">
        <w:rPr>
          <w:lang w:val="fr-FR"/>
        </w:rPr>
        <w:t xml:space="preserve">Sur le plan du financement de l’entreprenariat féminin, l’Agence Nationale d'Appui et de Développement de l'Entrepreneuriat (NESDA) a réorienté ses actions pour favoriser l'émergence de micro entreprises pérennes gérées par des femmes diplômées. Entre 2020 et 2025, cette agence a financé 6322projets pilotés par des femmes, générant 14767 emplois directs. </w:t>
      </w:r>
    </w:p>
    <w:p w14:paraId="10F2EFD5" w14:textId="77777777" w:rsidR="007045AF" w:rsidRPr="00CB58D2" w:rsidRDefault="007045AF" w:rsidP="00C15C97">
      <w:pPr>
        <w:pStyle w:val="SingleTxtG"/>
        <w:numPr>
          <w:ilvl w:val="0"/>
          <w:numId w:val="40"/>
        </w:numPr>
        <w:ind w:left="1134" w:firstLine="0"/>
        <w:rPr>
          <w:lang w:val="fr-FR"/>
        </w:rPr>
      </w:pPr>
      <w:r w:rsidRPr="00CB58D2">
        <w:rPr>
          <w:lang w:val="fr-FR"/>
        </w:rPr>
        <w:t>Entre 2005 et 2025, l’ANGEM a financé 630526 microcrédits dédiés aux femmes, représentant plus de 62% des bénéficiaires, dont 183.229 microprojets de femmes rurales dans différents secteurs.</w:t>
      </w:r>
    </w:p>
    <w:p w14:paraId="52E76E08" w14:textId="77777777" w:rsidR="007045AF" w:rsidRPr="00CB58D2" w:rsidRDefault="007045AF" w:rsidP="00C15C97">
      <w:pPr>
        <w:pStyle w:val="SingleTxtG"/>
        <w:numPr>
          <w:ilvl w:val="0"/>
          <w:numId w:val="40"/>
        </w:numPr>
        <w:ind w:left="1134" w:firstLine="0"/>
        <w:rPr>
          <w:lang w:val="fr-FR"/>
        </w:rPr>
      </w:pPr>
      <w:r w:rsidRPr="00CB58D2">
        <w:rPr>
          <w:lang w:val="fr-FR"/>
        </w:rPr>
        <w:t>Le programme «Défi ANGEM: 1000 femmes / 1000 projets», lancé en 2026, vise à transformer les porteuses d'idées en cheffes d'entreprises résilientes. Ce soutien comprend l'accompagnement technique, la formation au e-commerce et au marketing numérique, ainsi qu'un ciblage spécifique des femmes rurales et au foyer (représentant 50 % des projets financés).</w:t>
      </w:r>
    </w:p>
    <w:p w14:paraId="137516D4" w14:textId="77777777" w:rsidR="007045AF" w:rsidRPr="00CB58D2" w:rsidRDefault="007045AF" w:rsidP="00C15C97">
      <w:pPr>
        <w:pStyle w:val="SingleTxtG"/>
        <w:numPr>
          <w:ilvl w:val="0"/>
          <w:numId w:val="40"/>
        </w:numPr>
        <w:ind w:left="1134" w:firstLine="0"/>
        <w:rPr>
          <w:lang w:val="fr-FR"/>
        </w:rPr>
      </w:pPr>
      <w:r w:rsidRPr="00CB58D2">
        <w:rPr>
          <w:lang w:val="fr-FR"/>
        </w:rPr>
        <w:t xml:space="preserve">Le programme PEFEVA (Programme d’Encouragement de l’Entrepreneuriat Féminin dans l’Économie Verte en Algérie), fruit d'une synergie entre l'ANGEM, NESDA, les incubateurs et la GIZ (Agence de coopération allemande) a été mis en place pour propulser l'entrepreneuriat féminin vers l'économie circulaire et durable. 1200 projets écoresponsables ont été réalisés, mobilisant plus de 3000 femmes, dont 40 % en zones rurales. </w:t>
      </w:r>
    </w:p>
    <w:p w14:paraId="0DF98867" w14:textId="77777777" w:rsidR="007045AF" w:rsidRPr="007045AF" w:rsidRDefault="007045AF" w:rsidP="007045AF">
      <w:pPr>
        <w:pStyle w:val="SingleTxtG"/>
        <w:rPr>
          <w:lang w:val="fr-FR"/>
        </w:rPr>
      </w:pPr>
    </w:p>
    <w:p w14:paraId="38F2928A"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7C16F231" wp14:editId="17562B4D">
            <wp:extent cx="5758070" cy="2234317"/>
            <wp:effectExtent l="19050" t="0" r="14080" b="0"/>
            <wp:docPr id="11" name="Graphique 1">
              <a:extLst xmlns:a="http://schemas.openxmlformats.org/drawingml/2006/main">
                <a:ext uri="{FF2B5EF4-FFF2-40B4-BE49-F238E27FC236}">
                  <a16:creationId xmlns:a16="http://schemas.microsoft.com/office/drawing/2014/main" id="{A2ED0A52-DE47-188A-08ED-7F5E8D895D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6B7DC86" w14:textId="77777777" w:rsidR="007045AF" w:rsidRPr="00CB58D2" w:rsidRDefault="007045AF" w:rsidP="00C15C97">
      <w:pPr>
        <w:pStyle w:val="SingleTxtG"/>
        <w:numPr>
          <w:ilvl w:val="0"/>
          <w:numId w:val="40"/>
        </w:numPr>
        <w:ind w:left="1134" w:firstLine="0"/>
        <w:rPr>
          <w:lang w:val="fr-FR"/>
        </w:rPr>
      </w:pPr>
      <w:r w:rsidRPr="007045AF">
        <w:rPr>
          <w:lang w:val="fr-FR"/>
        </w:rPr>
        <w:t xml:space="preserve">Au-delà des startups et des microentreprises, l'ANAE (Agence Nationale de l'Auto-Entrepreneur), </w:t>
      </w:r>
      <w:r w:rsidRPr="00CB58D2">
        <w:rPr>
          <w:lang w:val="fr-FR"/>
        </w:rPr>
        <w:t>créée en 2024, pour encadrer les nouvelles formes de travail, offre un statut juridique simplifié couvrant plus de 1300 métiers éligibles. En 2025, 88750 cartes ont été délivrées, dont 12937 au profit de femmes. Ce dispositif constitue un levier d'émancipation majeur pour l'entrepreneuriat féminin numérique, garantissant aux femmes actives une protection sociale et une reconnaissance légale de leurs compétences.</w:t>
      </w:r>
    </w:p>
    <w:p w14:paraId="7693CEC1" w14:textId="77777777" w:rsidR="007045AF" w:rsidRPr="00CB58D2" w:rsidRDefault="007045AF" w:rsidP="00C15C97">
      <w:pPr>
        <w:pStyle w:val="SingleTxtG"/>
        <w:numPr>
          <w:ilvl w:val="0"/>
          <w:numId w:val="40"/>
        </w:numPr>
        <w:ind w:left="1134" w:firstLine="0"/>
        <w:rPr>
          <w:lang w:val="fr-FR"/>
        </w:rPr>
      </w:pPr>
      <w:r w:rsidRPr="00CB58D2">
        <w:rPr>
          <w:lang w:val="fr-FR"/>
        </w:rPr>
        <w:t xml:space="preserve">Dans une logique d’encouragement et de valorisation, un prix national dédié à l’entrepreneuriat féminin a été institué afin de reconnaître les initiatives innovantes portées par les femmes. </w:t>
      </w:r>
    </w:p>
    <w:p w14:paraId="1F6FA64B" w14:textId="77777777" w:rsidR="007045AF" w:rsidRPr="00CB58D2" w:rsidRDefault="007045AF" w:rsidP="00C15C97">
      <w:pPr>
        <w:pStyle w:val="SingleTxtG"/>
        <w:numPr>
          <w:ilvl w:val="0"/>
          <w:numId w:val="40"/>
        </w:numPr>
        <w:ind w:left="1134" w:firstLine="0"/>
        <w:rPr>
          <w:lang w:val="fr-FR"/>
        </w:rPr>
      </w:pPr>
      <w:r w:rsidRPr="00CB58D2">
        <w:rPr>
          <w:lang w:val="fr-FR"/>
        </w:rPr>
        <w:t>Par ailleurs, le recours à la numérisation constitue également un levier important. Des plateformes telles que «TASWIK» et l’application «CHAATRA» ont été mises en place afin de faciliter la commercialisation des produits des femmes, y compris en milieu rural, contribuant ainsi à leur inclusion économique et numérique.</w:t>
      </w:r>
    </w:p>
    <w:p w14:paraId="166CFD38" w14:textId="34A93D31" w:rsidR="007045AF" w:rsidRPr="007045AF" w:rsidRDefault="007045AF" w:rsidP="001F0307">
      <w:pPr>
        <w:pStyle w:val="SingleTxtG"/>
        <w:numPr>
          <w:ilvl w:val="0"/>
          <w:numId w:val="40"/>
        </w:numPr>
        <w:ind w:left="1134" w:firstLine="0"/>
        <w:rPr>
          <w:lang w:val="fr-FR"/>
        </w:rPr>
      </w:pPr>
      <w:r w:rsidRPr="007045AF">
        <w:rPr>
          <w:noProof/>
          <w:lang w:val="fr-FR"/>
        </w:rPr>
        <w:drawing>
          <wp:anchor distT="0" distB="0" distL="114300" distR="114300" simplePos="0" relativeHeight="251663360" behindDoc="1" locked="0" layoutInCell="1" allowOverlap="1" wp14:anchorId="5FC7F938" wp14:editId="15B0C7CA">
            <wp:simplePos x="0" y="0"/>
            <wp:positionH relativeFrom="margin">
              <wp:posOffset>626745</wp:posOffset>
            </wp:positionH>
            <wp:positionV relativeFrom="paragraph">
              <wp:posOffset>5715</wp:posOffset>
            </wp:positionV>
            <wp:extent cx="5080635" cy="2480310"/>
            <wp:effectExtent l="19050" t="0" r="24765" b="0"/>
            <wp:wrapTight wrapText="bothSides">
              <wp:wrapPolygon edited="0">
                <wp:start x="-81" y="0"/>
                <wp:lineTo x="-81" y="21567"/>
                <wp:lineTo x="21705" y="21567"/>
                <wp:lineTo x="21705" y="0"/>
                <wp:lineTo x="-81" y="0"/>
              </wp:wrapPolygon>
            </wp:wrapTight>
            <wp:docPr id="25" name="Graphique 9">
              <a:extLst xmlns:a="http://schemas.openxmlformats.org/drawingml/2006/main">
                <a:ext uri="{FF2B5EF4-FFF2-40B4-BE49-F238E27FC236}">
                  <a16:creationId xmlns:a16="http://schemas.microsoft.com/office/drawing/2014/main" id="{3AB7E909-B1BE-48B1-BA44-02122EAD2B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sidRPr="007045AF">
        <w:rPr>
          <w:lang w:val="fr-FR"/>
        </w:rPr>
        <w:t>Aussi, l’ONSC a accompagné la création de huit réseaux de la société civile spécialisés dans divers domaines, dont cinq présidés par des femmes et un réseau dédié aux femmes rurales productrices.</w:t>
      </w:r>
    </w:p>
    <w:p w14:paraId="69841F7C" w14:textId="77777777" w:rsidR="007045AF" w:rsidRPr="007045AF" w:rsidRDefault="007045AF" w:rsidP="00C15C97">
      <w:pPr>
        <w:pStyle w:val="SingleTxtG"/>
        <w:numPr>
          <w:ilvl w:val="0"/>
          <w:numId w:val="40"/>
        </w:numPr>
        <w:ind w:left="1134" w:firstLine="0"/>
        <w:rPr>
          <w:lang w:val="fr-FR"/>
        </w:rPr>
      </w:pPr>
      <w:r w:rsidRPr="007045AF">
        <w:rPr>
          <w:lang w:val="fr-FR"/>
        </w:rPr>
        <w:t>Plusieurs associations organisent des formations et des ateliers sur entreprenariat féminin, en particulier en milieu rural:</w:t>
      </w:r>
    </w:p>
    <w:p w14:paraId="0CB8BCFB" w14:textId="42CB611D" w:rsidR="007045AF" w:rsidRPr="00466EDE" w:rsidRDefault="007045AF" w:rsidP="00466EDE">
      <w:pPr>
        <w:pStyle w:val="Bullet1G"/>
      </w:pPr>
      <w:r w:rsidRPr="00466EDE">
        <w:t>L’association ANFEDR a organisé des ateliers d’identification des mini projets et des besoins des femmes entrepreneurs dans le secteur agricole et rural, au profit de 69 femmes, ainsi que la formation de 10 femmes en start-up dans les zones rurales, dont trois ont eu leur label du MECSME</w:t>
      </w:r>
      <w:r w:rsidR="00466EDE">
        <w:t> ;</w:t>
      </w:r>
    </w:p>
    <w:p w14:paraId="26369000" w14:textId="33092FDF" w:rsidR="007045AF" w:rsidRPr="00466EDE" w:rsidRDefault="007045AF" w:rsidP="00466EDE">
      <w:pPr>
        <w:pStyle w:val="Bullet1G"/>
      </w:pPr>
      <w:r w:rsidRPr="00466EDE">
        <w:t>La formation de plus de 50 femmes par l’Organisation Algérienne pour l’Emploi des Diplômés sur le rôle de la petite entreprise dans l’entreprenariat</w:t>
      </w:r>
      <w:r w:rsidR="00466EDE">
        <w:t>;</w:t>
      </w:r>
    </w:p>
    <w:p w14:paraId="163F06ED" w14:textId="1DA08B35" w:rsidR="007045AF" w:rsidRPr="00466EDE" w:rsidRDefault="007045AF" w:rsidP="00466EDE">
      <w:pPr>
        <w:pStyle w:val="Bullet1G"/>
      </w:pPr>
      <w:r w:rsidRPr="00466EDE">
        <w:lastRenderedPageBreak/>
        <w:t>Le Réseau Wassila/AVIFE a mis en œuvre un programme de renforcement familial visant l’autonomisation des femmes cheffes de famille</w:t>
      </w:r>
      <w:r w:rsidR="00466EDE">
        <w:t>;</w:t>
      </w:r>
    </w:p>
    <w:p w14:paraId="0AF96B0C" w14:textId="3A9913FC" w:rsidR="007045AF" w:rsidRPr="00466EDE" w:rsidRDefault="007045AF" w:rsidP="00466EDE">
      <w:pPr>
        <w:pStyle w:val="Bullet1G"/>
      </w:pPr>
      <w:r w:rsidRPr="00466EDE">
        <w:t>Le projet d’autonomisation des femmes mis en place par l’association ANEJ au profit de 82 femmes</w:t>
      </w:r>
      <w:r w:rsidR="00466EDE">
        <w:t>;</w:t>
      </w:r>
    </w:p>
    <w:p w14:paraId="1D8C60A3" w14:textId="51AED11D" w:rsidR="007045AF" w:rsidRPr="00466EDE" w:rsidRDefault="007045AF" w:rsidP="00466EDE">
      <w:pPr>
        <w:pStyle w:val="Bullet1G"/>
      </w:pPr>
      <w:r w:rsidRPr="00466EDE">
        <w:t>La mise en place par l’association SOS Femmes en Détresse d’un dispositif visant à faciliter l’accès de la femme à un emploi ou à un crédit</w:t>
      </w:r>
      <w:r w:rsidR="00466EDE">
        <w:t>.</w:t>
      </w:r>
    </w:p>
    <w:p w14:paraId="2D640650" w14:textId="008CE821" w:rsidR="007045AF" w:rsidRPr="007045AF" w:rsidRDefault="00466EDE" w:rsidP="00466EDE">
      <w:pPr>
        <w:pStyle w:val="H23G"/>
        <w:rPr>
          <w:lang w:val="fr-FR"/>
        </w:rPr>
      </w:pPr>
      <w:r>
        <w:rPr>
          <w:lang w:val="fr-FR"/>
        </w:rPr>
        <w:tab/>
      </w:r>
      <w:r>
        <w:rPr>
          <w:lang w:val="fr-FR"/>
        </w:rPr>
        <w:tab/>
      </w:r>
      <w:r w:rsidR="007045AF" w:rsidRPr="007045AF">
        <w:rPr>
          <w:lang w:val="fr-FR"/>
        </w:rPr>
        <w:t xml:space="preserve">Point 45 </w:t>
      </w:r>
    </w:p>
    <w:p w14:paraId="7152EE45" w14:textId="77777777" w:rsidR="007045AF" w:rsidRPr="007045AF" w:rsidRDefault="007045AF" w:rsidP="00C15C97">
      <w:pPr>
        <w:pStyle w:val="SingleTxtG"/>
        <w:numPr>
          <w:ilvl w:val="0"/>
          <w:numId w:val="40"/>
        </w:numPr>
        <w:ind w:left="1134" w:firstLine="0"/>
        <w:rPr>
          <w:lang w:val="fr-FR"/>
        </w:rPr>
      </w:pPr>
      <w:r w:rsidRPr="007045AF">
        <w:rPr>
          <w:lang w:val="fr-FR"/>
        </w:rPr>
        <w:t>L’Algérie a mis en place des dispositifs juridiques et opérationnels en vue de faire face au phénomène de la migration irrégulière, en tenant compte de ses engagements internationaux en matière de respect de la dignité et des droits humains notamment pour les personnes vulnérables et assurant aux migrants et aux demandeurs d’asile l’accès à l’éducation et aux soins de santé primaires.</w:t>
      </w:r>
    </w:p>
    <w:p w14:paraId="2EEA0644" w14:textId="77777777" w:rsidR="007045AF" w:rsidRPr="007045AF" w:rsidRDefault="007045AF" w:rsidP="00C15C97">
      <w:pPr>
        <w:pStyle w:val="SingleTxtG"/>
        <w:numPr>
          <w:ilvl w:val="0"/>
          <w:numId w:val="40"/>
        </w:numPr>
        <w:ind w:left="1134" w:firstLine="0"/>
        <w:rPr>
          <w:lang w:val="fr-FR"/>
        </w:rPr>
      </w:pPr>
      <w:r w:rsidRPr="007045AF">
        <w:rPr>
          <w:lang w:val="fr-FR"/>
        </w:rPr>
        <w:t>L’Algérie accueille depuis 1975, les réfugiés du Sahara occidental vivant dans cinq (05) camps près de Tindouf. Conformément à ses engagements internationaux et régionaux en la matière, l’Algérie contribue à assurer, avec ses partenaires onusiens et sur ses propres fonds, l’accès de ces populations vulnérables aux services de base, notamment l’eau, l’électricité, l’énergie, les soins de santé, l’éducation et l’enseignement supérieur, y compris à l’université algérienne.</w:t>
      </w:r>
    </w:p>
    <w:p w14:paraId="72B62ED9" w14:textId="77777777" w:rsidR="007045AF" w:rsidRPr="007045AF" w:rsidRDefault="007045AF" w:rsidP="00C15C97">
      <w:pPr>
        <w:pStyle w:val="SingleTxtG"/>
        <w:numPr>
          <w:ilvl w:val="0"/>
          <w:numId w:val="40"/>
        </w:numPr>
        <w:ind w:left="1134" w:firstLine="0"/>
        <w:rPr>
          <w:lang w:val="fr-FR"/>
        </w:rPr>
      </w:pPr>
      <w:r w:rsidRPr="007045AF">
        <w:rPr>
          <w:lang w:val="fr-FR"/>
        </w:rPr>
        <w:t xml:space="preserve">L’Algérie accueille, en outre, des réfugiés d’autres pays au profit desquels un dispositif a été mis en place, qui prévoit des facilités d’accès à l’éducation, aux services de santé, au marché du travail, ainsi qu’au logement. </w:t>
      </w:r>
    </w:p>
    <w:p w14:paraId="1E728429" w14:textId="77777777" w:rsidR="007045AF" w:rsidRPr="00CB58D2" w:rsidRDefault="007045AF" w:rsidP="00C15C97">
      <w:pPr>
        <w:pStyle w:val="SingleTxtG"/>
        <w:numPr>
          <w:ilvl w:val="0"/>
          <w:numId w:val="40"/>
        </w:numPr>
        <w:ind w:left="1134" w:firstLine="0"/>
        <w:rPr>
          <w:lang w:val="fr-FR"/>
        </w:rPr>
      </w:pPr>
      <w:r w:rsidRPr="007045AF">
        <w:rPr>
          <w:lang w:val="fr-FR"/>
        </w:rPr>
        <w:t xml:space="preserve">En partenariat avec le HCR, l’ANEJ a mis en œuvre depuis 2023, un programme visant à garantir l’accès des femmes réfugiées et demandeuses d’asile à la formation professionnelle et aux opportunités économiques, </w:t>
      </w:r>
      <w:r w:rsidRPr="00CB58D2">
        <w:rPr>
          <w:lang w:val="fr-FR"/>
        </w:rPr>
        <w:t>avec 428 bénéficiaires. En outre, une formation au métier d’auxiliaire de vie a permis à 10 femmes d’acquérir des compétences spécifiques, dont 06 certifiées.</w:t>
      </w:r>
    </w:p>
    <w:p w14:paraId="2F1BAAC2" w14:textId="43C60F03" w:rsidR="007045AF" w:rsidRPr="007045AF" w:rsidRDefault="00466EDE" w:rsidP="00466EDE">
      <w:pPr>
        <w:pStyle w:val="H23G"/>
        <w:rPr>
          <w:lang w:val="fr-FR"/>
        </w:rPr>
      </w:pPr>
      <w:r>
        <w:rPr>
          <w:lang w:val="fr-FR"/>
        </w:rPr>
        <w:tab/>
      </w:r>
      <w:r>
        <w:rPr>
          <w:lang w:val="fr-FR"/>
        </w:rPr>
        <w:tab/>
      </w:r>
      <w:r w:rsidR="007045AF" w:rsidRPr="007045AF">
        <w:rPr>
          <w:lang w:val="fr-FR"/>
        </w:rPr>
        <w:t xml:space="preserve">Point 47 (a-b-c-d-e-f)  </w:t>
      </w:r>
    </w:p>
    <w:p w14:paraId="70EC92BA" w14:textId="77777777" w:rsidR="007045AF" w:rsidRPr="007045AF" w:rsidRDefault="007045AF" w:rsidP="00C15C97">
      <w:pPr>
        <w:pStyle w:val="SingleTxtG"/>
        <w:numPr>
          <w:ilvl w:val="0"/>
          <w:numId w:val="40"/>
        </w:numPr>
        <w:ind w:left="1134" w:firstLine="0"/>
        <w:rPr>
          <w:b/>
          <w:bCs/>
          <w:rtl/>
        </w:rPr>
      </w:pPr>
      <w:r w:rsidRPr="007045AF">
        <w:rPr>
          <w:lang w:val="fr-FR"/>
        </w:rPr>
        <w:t>L’amendement du Code de la famille de 2005 a accordé à la femme majeure le droit de conclure son mariage elle-même, en présence de son tuteur, qui peut être son père, un proche parent ou toute autre personne de son choix. Ainsi, la présence du tuteur n'est plus un élément constitutif du contrat de mariage et son absence n’entraine pas l’annulation ou la résiliation de ce contrat.</w:t>
      </w:r>
    </w:p>
    <w:p w14:paraId="3EC5CFEC" w14:textId="77777777" w:rsidR="007045AF" w:rsidRPr="007045AF" w:rsidRDefault="007045AF" w:rsidP="00C15C97">
      <w:pPr>
        <w:pStyle w:val="SingleTxtG"/>
        <w:numPr>
          <w:ilvl w:val="0"/>
          <w:numId w:val="40"/>
        </w:numPr>
        <w:ind w:left="1134" w:firstLine="0"/>
        <w:rPr>
          <w:b/>
          <w:bCs/>
          <w:lang w:val="fr-FR"/>
        </w:rPr>
      </w:pPr>
      <w:r w:rsidRPr="007045AF">
        <w:rPr>
          <w:lang w:val="fr-FR"/>
        </w:rPr>
        <w:t xml:space="preserve">La polygamie est prévue tant sur le plan pratique que juridique, car elle relève du statut personnel dont la source est l’Islam. Cependant, le Code </w:t>
      </w:r>
      <w:r w:rsidRPr="007045AF">
        <w:rPr>
          <w:bCs/>
          <w:lang w:val="fr-FR"/>
        </w:rPr>
        <w:t xml:space="preserve">de la Famille amendé </w:t>
      </w:r>
      <w:r w:rsidRPr="007045AF">
        <w:rPr>
          <w:lang w:val="fr-FR"/>
        </w:rPr>
        <w:t>a introduit de nouvelles restrictions visant à limiter le recours à la polygamie. L’époux doit soumettre une demande d’autorisation de mariage au président du tribunal du lieu du domicile conjugal. Ce dernier ne peut accorder l’autorisation qu’après s’être assuré du consentement de la première épouse et de la femme qu’il souhaite épouser, ainsi que de son aptitude à offrir l’équité et les conditions nécessaires à la vie conjugale. Si l’époux n’a pas obtenu l’autorisation de mariage, le nouveau mariage est résilié avant sa consommation et chaque épouse a droit de demander le divorce.</w:t>
      </w:r>
    </w:p>
    <w:p w14:paraId="45C66F5E" w14:textId="77777777" w:rsidR="007045AF" w:rsidRPr="007045AF" w:rsidRDefault="007045AF" w:rsidP="00C15C97">
      <w:pPr>
        <w:pStyle w:val="SingleTxtG"/>
        <w:numPr>
          <w:ilvl w:val="0"/>
          <w:numId w:val="40"/>
        </w:numPr>
        <w:ind w:left="1134" w:firstLine="0"/>
        <w:rPr>
          <w:lang w:val="fr-FR"/>
        </w:rPr>
      </w:pPr>
      <w:r w:rsidRPr="007045AF">
        <w:rPr>
          <w:lang w:val="fr-FR"/>
        </w:rPr>
        <w:t>L'article 48 du Code de la famille, relatif aux modalités de dissolution du mariage, prévoit que le divorce peut être prononcé à l'initiative de l’époux, par consentement mutuel des deux époux, ou à la demande de l'épouse (par le biais du divorce ou du khol’a).</w:t>
      </w:r>
    </w:p>
    <w:p w14:paraId="0F943A4C" w14:textId="77777777" w:rsidR="007045AF" w:rsidRPr="00CB58D2" w:rsidRDefault="007045AF" w:rsidP="00C15C97">
      <w:pPr>
        <w:pStyle w:val="SingleTxtG"/>
        <w:numPr>
          <w:ilvl w:val="0"/>
          <w:numId w:val="40"/>
        </w:numPr>
        <w:ind w:left="1134" w:firstLine="0"/>
        <w:rPr>
          <w:lang w:val="fr-FR"/>
        </w:rPr>
      </w:pPr>
      <w:r w:rsidRPr="007045AF">
        <w:rPr>
          <w:lang w:val="fr-FR"/>
        </w:rPr>
        <w:t xml:space="preserve">Les statistiques judiciaires relatives à la dissolution du mariage montrent que sur un total de </w:t>
      </w:r>
      <w:r w:rsidRPr="00CB58D2">
        <w:rPr>
          <w:lang w:val="fr-FR"/>
        </w:rPr>
        <w:t>85521cas de divorce pour l'année 2025, le divorce à l’initiative de l’époux s'élève à 34118 cas, et 20451 cas ont été prononcés par consentement mutuel des deux époux, les 26723 cas restants ont été initiés par l’épouse. Ces statistiques illustrent un équilibre entre les droits de l’homme et de la femme en matière de dissolution du mariage.</w:t>
      </w:r>
    </w:p>
    <w:p w14:paraId="7A59EAA2"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39ED602F" wp14:editId="628FAFB5">
            <wp:extent cx="6087553" cy="3681453"/>
            <wp:effectExtent l="0" t="0" r="0" b="0"/>
            <wp:docPr id="14" name="Image 14"/>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095088" cy="3686010"/>
                    </a:xfrm>
                    <a:prstGeom prst="rect">
                      <a:avLst/>
                    </a:prstGeom>
                    <a:noFill/>
                  </pic:spPr>
                </pic:pic>
              </a:graphicData>
            </a:graphic>
          </wp:inline>
        </w:drawing>
      </w:r>
    </w:p>
    <w:p w14:paraId="07A119DF" w14:textId="77777777" w:rsidR="007045AF" w:rsidRPr="007045AF" w:rsidRDefault="007045AF" w:rsidP="00C15C97">
      <w:pPr>
        <w:pStyle w:val="SingleTxtG"/>
        <w:numPr>
          <w:ilvl w:val="0"/>
          <w:numId w:val="40"/>
        </w:numPr>
        <w:ind w:left="1134" w:firstLine="0"/>
        <w:rPr>
          <w:lang w:val="fr-FR"/>
        </w:rPr>
      </w:pPr>
      <w:r w:rsidRPr="007045AF">
        <w:rPr>
          <w:lang w:val="fr-FR"/>
        </w:rPr>
        <w:t>Le code de la famille prévoit que le père est le tuteur de ses enfants mineurs. À son décès, l’exercice de la tutelle revient à la mère de plein droit. La mère supplée le père en cas d’absence ou d’empêchement de celui-ci. En cas de divorce, le juge confie l’exercice de la tutelle au parent à qui la garde des enfants a été confiée. Ledit Code dispose également que les deux époux contribuent conjointement à la sauvegarde des intérêts de la famille, à la protection des enfants, à leur saine éducation, et à la concertation mutuelle dans la gestion des affaires familiales.</w:t>
      </w:r>
    </w:p>
    <w:p w14:paraId="651B4D0A" w14:textId="77777777" w:rsidR="007045AF" w:rsidRPr="007C0473" w:rsidRDefault="007045AF" w:rsidP="00C15C97">
      <w:pPr>
        <w:pStyle w:val="SingleTxtG"/>
        <w:numPr>
          <w:ilvl w:val="0"/>
          <w:numId w:val="40"/>
        </w:numPr>
        <w:ind w:left="1134" w:firstLine="0"/>
        <w:rPr>
          <w:lang w:val="fr-FR"/>
        </w:rPr>
      </w:pPr>
      <w:r w:rsidRPr="007045AF">
        <w:rPr>
          <w:lang w:val="fr-FR"/>
        </w:rPr>
        <w:t>L'article 64 dudit Code établit l'ordre des personnes éligibles à la garde des enfants, accordant la priorité à la mère. Il souligne également l’obligation du juge de prendre en compte l’intérêt supérieur de l’enfant, principe constitutionalisé en vertu de l’article 71qui prévoit que « </w:t>
      </w:r>
      <w:r w:rsidRPr="007045AF">
        <w:rPr>
          <w:i/>
          <w:iCs/>
          <w:lang w:val="fr-FR"/>
        </w:rPr>
        <w:t xml:space="preserve">les droits de l'enfant sont protégés par l’Etat et par la famille en tenant compte </w:t>
      </w:r>
      <w:r w:rsidRPr="007C0473">
        <w:rPr>
          <w:i/>
          <w:iCs/>
          <w:lang w:val="fr-FR"/>
        </w:rPr>
        <w:t>de l’intérêt supérieur de l’enfant</w:t>
      </w:r>
      <w:r w:rsidRPr="007C0473">
        <w:rPr>
          <w:lang w:val="fr-FR"/>
        </w:rPr>
        <w:t> ».</w:t>
      </w:r>
    </w:p>
    <w:p w14:paraId="11F86DE9" w14:textId="77777777" w:rsidR="007045AF" w:rsidRPr="007045AF" w:rsidRDefault="007045AF" w:rsidP="00C15C97">
      <w:pPr>
        <w:pStyle w:val="SingleTxtG"/>
        <w:numPr>
          <w:ilvl w:val="0"/>
          <w:numId w:val="40"/>
        </w:numPr>
        <w:ind w:left="1134" w:firstLine="0"/>
        <w:rPr>
          <w:lang w:val="fr-FR"/>
        </w:rPr>
      </w:pPr>
      <w:r w:rsidRPr="007045AF">
        <w:rPr>
          <w:lang w:val="fr-FR"/>
        </w:rPr>
        <w:t>Dans le même contexte, la loi n°15-12 du 15 juillet 2015, relative à la protection de l’enfant, consacre le principe de l’intérêt supérieur de l’enfant lorsqu’on prend une procédure, ou décision judiciaire ou administrative à son égard. Lors de l’appréciation de l’intérêt supérieur de l’enfant, il convient de prendre en considération son sexe, son âge, sa santé, ses besoins moraux, intellectuels, affectifs et physiques, son environnement familial, ainsi que tous les aspects en relation avec sa situation.</w:t>
      </w:r>
    </w:p>
    <w:p w14:paraId="665AFAC8" w14:textId="77777777" w:rsidR="007045AF" w:rsidRPr="007045AF" w:rsidRDefault="007045AF" w:rsidP="00C15C97">
      <w:pPr>
        <w:pStyle w:val="SingleTxtG"/>
        <w:numPr>
          <w:ilvl w:val="0"/>
          <w:numId w:val="40"/>
        </w:numPr>
        <w:ind w:left="1134" w:firstLine="0"/>
        <w:rPr>
          <w:lang w:val="fr-FR"/>
        </w:rPr>
      </w:pPr>
      <w:r w:rsidRPr="007045AF">
        <w:rPr>
          <w:lang w:val="fr-FR"/>
        </w:rPr>
        <w:t xml:space="preserve">L'article 37 du Code de la famille prévoit que chaque époux a son propre patrimoine. Cependant, les deux époux peuvent convenir dans l’acte de mariage ou dans un acte authentique ultérieur de la communauté des biens acquis durant le mariage et déterminer les proportions revenant à chacun d’entre eux. </w:t>
      </w:r>
    </w:p>
    <w:p w14:paraId="6738B280" w14:textId="77777777" w:rsidR="007045AF" w:rsidRPr="007045AF" w:rsidRDefault="007045AF" w:rsidP="00C15C97">
      <w:pPr>
        <w:pStyle w:val="SingleTxtG"/>
        <w:numPr>
          <w:ilvl w:val="0"/>
          <w:numId w:val="40"/>
        </w:numPr>
        <w:ind w:left="1134" w:firstLine="0"/>
        <w:rPr>
          <w:b/>
          <w:bCs/>
          <w:lang w:val="fr-FR"/>
        </w:rPr>
      </w:pPr>
      <w:r w:rsidRPr="007045AF">
        <w:rPr>
          <w:lang w:val="fr-FR"/>
        </w:rPr>
        <w:t>L’Algérie a ratifié la CEDAW, sous réserve que son application ne soit pas en contradiction avec les dispositions du Code de la famille, qui sont issues de l’Islam. Étant donné que les règles des successions font partie des dispositions concernées par ces réserves, il n’est pas possible de s’inspirer des pratiques adoptées par d’autres pays dans ce domaine.</w:t>
      </w:r>
    </w:p>
    <w:p w14:paraId="71668563" w14:textId="77777777" w:rsidR="007045AF" w:rsidRPr="007045AF" w:rsidRDefault="007045AF" w:rsidP="00C15C97">
      <w:pPr>
        <w:pStyle w:val="SingleTxtG"/>
        <w:numPr>
          <w:ilvl w:val="0"/>
          <w:numId w:val="40"/>
        </w:numPr>
        <w:ind w:left="1134" w:firstLine="0"/>
        <w:rPr>
          <w:lang w:val="fr-FR"/>
        </w:rPr>
      </w:pPr>
      <w:r w:rsidRPr="007045AF">
        <w:rPr>
          <w:lang w:val="fr-FR"/>
        </w:rPr>
        <w:t xml:space="preserve">S’agissant du soutien apporté aux mères divorcés, un Fonds de Pension Alimentaire a été créé par la loi n°15-01 du 04 janvier 2015, portant création d’un fonds de pension alimentaire et renforcée par la loi n°24-01 du 11 février 2024 portant mesures particulières pour l’obtention de la pension alimentaire destiné à garantir le paiement des pensions dues aux femmes divorcés et à leurs enfants en cas de défaillance du père, en garantissant son versement par le Trésor public. Le bénéfice des dispositions de la présente loi n’entrave pas </w:t>
      </w:r>
      <w:r w:rsidRPr="007045AF">
        <w:rPr>
          <w:lang w:val="fr-FR"/>
        </w:rPr>
        <w:lastRenderedPageBreak/>
        <w:t>la poursuite judiciaire du débiteur pour délit de non-paiement de la pension alimentaire prévu et puni par le code pénal.</w:t>
      </w:r>
    </w:p>
    <w:p w14:paraId="125F0ECC" w14:textId="77777777" w:rsidR="007045AF" w:rsidRPr="007045AF" w:rsidRDefault="007045AF" w:rsidP="007045AF">
      <w:pPr>
        <w:pStyle w:val="SingleTxtG"/>
        <w:rPr>
          <w:lang w:val="fr-FR"/>
        </w:rPr>
      </w:pPr>
      <w:r w:rsidRPr="007045AF">
        <w:rPr>
          <w:noProof/>
          <w:lang w:val="fr-FR"/>
        </w:rPr>
        <w:drawing>
          <wp:inline distT="0" distB="0" distL="0" distR="0" wp14:anchorId="3D549B48" wp14:editId="71D5DB8A">
            <wp:extent cx="5024755" cy="3014265"/>
            <wp:effectExtent l="19050" t="0" r="4445" b="0"/>
            <wp:docPr id="22"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33903" cy="3019753"/>
                    </a:xfrm>
                    <a:prstGeom prst="rect">
                      <a:avLst/>
                    </a:prstGeom>
                    <a:noFill/>
                  </pic:spPr>
                </pic:pic>
              </a:graphicData>
            </a:graphic>
          </wp:inline>
        </w:drawing>
      </w:r>
    </w:p>
    <w:p w14:paraId="63C77210" w14:textId="17303851" w:rsidR="007045AF" w:rsidRPr="007045AF" w:rsidRDefault="00466EDE" w:rsidP="00466EDE">
      <w:pPr>
        <w:pStyle w:val="H23G"/>
        <w:rPr>
          <w:lang w:val="fr-FR"/>
        </w:rPr>
      </w:pPr>
      <w:r>
        <w:rPr>
          <w:lang w:val="fr-FR"/>
        </w:rPr>
        <w:tab/>
      </w:r>
      <w:r>
        <w:rPr>
          <w:lang w:val="fr-FR"/>
        </w:rPr>
        <w:tab/>
      </w:r>
      <w:r w:rsidR="007045AF" w:rsidRPr="007045AF">
        <w:rPr>
          <w:lang w:val="fr-FR"/>
        </w:rPr>
        <w:t>Point 49</w:t>
      </w:r>
    </w:p>
    <w:p w14:paraId="59674AD8" w14:textId="77777777" w:rsidR="007045AF" w:rsidRPr="007045AF" w:rsidRDefault="007045AF" w:rsidP="00C15C97">
      <w:pPr>
        <w:pStyle w:val="SingleTxtG"/>
        <w:numPr>
          <w:ilvl w:val="0"/>
          <w:numId w:val="40"/>
        </w:numPr>
        <w:ind w:left="1134" w:firstLine="0"/>
        <w:rPr>
          <w:lang w:val="fr-FR"/>
        </w:rPr>
      </w:pPr>
      <w:r w:rsidRPr="007045AF">
        <w:rPr>
          <w:lang w:val="fr-FR"/>
        </w:rPr>
        <w:t>Le CNDH s'efforce de répondre aux observations et recommandations du Sous-comité d'Accréditation de l'Alliance Mondiale des Institutions Nationales des Droits de l'Homme (GANHRI) à travers :</w:t>
      </w:r>
    </w:p>
    <w:p w14:paraId="6AAF326F" w14:textId="103EECCB" w:rsidR="007045AF" w:rsidRPr="00466EDE" w:rsidRDefault="007045AF" w:rsidP="00466EDE">
      <w:pPr>
        <w:pStyle w:val="Bullet1G"/>
      </w:pPr>
      <w:r w:rsidRPr="00466EDE">
        <w:t>L’adaptation de son cadre juridique, notamment en ce qui concerne sa composition et le renforcement de ses prérogatives</w:t>
      </w:r>
      <w:r w:rsidR="00466EDE">
        <w:t> ;</w:t>
      </w:r>
    </w:p>
    <w:p w14:paraId="5E2EB0BA" w14:textId="77777777" w:rsidR="007045AF" w:rsidRPr="00466EDE" w:rsidRDefault="007045AF" w:rsidP="00466EDE">
      <w:pPr>
        <w:pStyle w:val="Bullet1G"/>
      </w:pPr>
      <w:r w:rsidRPr="00466EDE">
        <w:t>La coordination, l’évaluation et le suivi, pour identifier les domaines nécessitant des améliorations et renforcer l'efficacité du Conseil dans la promotion et la protection des droits de l'homme.</w:t>
      </w:r>
    </w:p>
    <w:p w14:paraId="4140586F" w14:textId="752DA0C4" w:rsidR="007045AF" w:rsidRPr="007045AF" w:rsidRDefault="00466EDE" w:rsidP="00466EDE">
      <w:pPr>
        <w:pStyle w:val="H23G"/>
        <w:rPr>
          <w:lang w:val="fr-FR"/>
        </w:rPr>
      </w:pPr>
      <w:r>
        <w:rPr>
          <w:lang w:val="fr-FR"/>
        </w:rPr>
        <w:tab/>
      </w:r>
      <w:r>
        <w:rPr>
          <w:lang w:val="fr-FR"/>
        </w:rPr>
        <w:tab/>
      </w:r>
      <w:r w:rsidR="007045AF" w:rsidRPr="007045AF">
        <w:rPr>
          <w:lang w:val="fr-FR"/>
        </w:rPr>
        <w:t>Points 50 et 54</w:t>
      </w:r>
    </w:p>
    <w:p w14:paraId="3A1B7C04" w14:textId="77777777" w:rsidR="007045AF" w:rsidRPr="007045AF" w:rsidRDefault="007045AF" w:rsidP="00C15C97">
      <w:pPr>
        <w:pStyle w:val="SingleTxtG"/>
        <w:numPr>
          <w:ilvl w:val="0"/>
          <w:numId w:val="40"/>
        </w:numPr>
        <w:ind w:left="1134" w:firstLine="0"/>
      </w:pPr>
      <w:r w:rsidRPr="007045AF">
        <w:t xml:space="preserve">Lors de la présentation de son dernier rapport périodique, la délégation algérienne avait signalé qu’au plan international, les autorités algériennes s’étaient attachées à poursuivre le processus d’adhésion aux différents instruments internationaux relatifs aux droits de l’homme qui fait aujourd’hui de l’Algérie, un pays </w:t>
      </w:r>
      <w:r w:rsidRPr="00C15C97">
        <w:rPr>
          <w:lang w:val="fr-FR"/>
        </w:rPr>
        <w:t>signataire</w:t>
      </w:r>
      <w:r w:rsidRPr="007045AF">
        <w:t xml:space="preserve"> de la quasi-totalité de ces Conventions. Cet exercice demeure progressif et évolue en fonction des développements législatifs, judiciaires et sociétaux.</w:t>
      </w:r>
    </w:p>
    <w:p w14:paraId="5BA33820" w14:textId="77777777" w:rsidR="007045AF" w:rsidRPr="007045AF" w:rsidRDefault="007045AF" w:rsidP="00C15C97">
      <w:pPr>
        <w:pStyle w:val="SingleTxtG"/>
        <w:numPr>
          <w:ilvl w:val="0"/>
          <w:numId w:val="40"/>
        </w:numPr>
        <w:ind w:left="1134" w:firstLine="0"/>
        <w:rPr>
          <w:lang w:val="fr-FR"/>
        </w:rPr>
      </w:pPr>
      <w:r w:rsidRPr="007045AF">
        <w:rPr>
          <w:lang w:val="fr-FR"/>
        </w:rPr>
        <w:t>Son adhésion à de nouveaux instruments internationaux est examinée dans le cadre d’un processus constant et graduel qui tient compte des implications de ces ratifications en termes de cohérence et d’adaptation de la législation et des évolutions sociétales.</w:t>
      </w:r>
    </w:p>
    <w:p w14:paraId="1FAD0303" w14:textId="77D04A6F" w:rsidR="007045AF" w:rsidRPr="007045AF" w:rsidRDefault="00466EDE" w:rsidP="00466EDE">
      <w:pPr>
        <w:pStyle w:val="H23G"/>
        <w:rPr>
          <w:lang w:val="fr-FR"/>
        </w:rPr>
      </w:pPr>
      <w:r>
        <w:rPr>
          <w:lang w:val="fr-FR"/>
        </w:rPr>
        <w:tab/>
      </w:r>
      <w:r>
        <w:rPr>
          <w:lang w:val="fr-FR"/>
        </w:rPr>
        <w:tab/>
      </w:r>
      <w:r w:rsidR="007045AF" w:rsidRPr="007045AF">
        <w:rPr>
          <w:lang w:val="fr-FR"/>
        </w:rPr>
        <w:t>Point 52</w:t>
      </w:r>
    </w:p>
    <w:p w14:paraId="3AEC0638" w14:textId="77777777" w:rsidR="007045AF" w:rsidRPr="007045AF" w:rsidRDefault="007045AF" w:rsidP="00C15C97">
      <w:pPr>
        <w:pStyle w:val="SingleTxtG"/>
        <w:numPr>
          <w:ilvl w:val="0"/>
          <w:numId w:val="40"/>
        </w:numPr>
        <w:ind w:left="1134" w:firstLine="0"/>
        <w:rPr>
          <w:lang w:val="fr-FR"/>
        </w:rPr>
      </w:pPr>
      <w:r w:rsidRPr="007045AF">
        <w:rPr>
          <w:lang w:val="fr-FR"/>
        </w:rPr>
        <w:t>L’Algérie présente de manière périodique son rapport sur la mise en œuvre de la déclaration et le programme d’action de Beijing. Le dernier rapport national Beijing+30 a été soumis en 2024, dans le cadre des travaux de la 69</w:t>
      </w:r>
      <w:r w:rsidRPr="007045AF">
        <w:rPr>
          <w:vertAlign w:val="superscript"/>
          <w:lang w:val="fr-FR"/>
        </w:rPr>
        <w:t>ème</w:t>
      </w:r>
      <w:r w:rsidRPr="007045AF">
        <w:rPr>
          <w:lang w:val="fr-FR"/>
        </w:rPr>
        <w:t xml:space="preserve"> session annuelle de la Commission de la Condition de la Femme (CSW) de l’ONU.</w:t>
      </w:r>
    </w:p>
    <w:p w14:paraId="13685F29" w14:textId="129362A9" w:rsidR="007045AF" w:rsidRPr="007045AF" w:rsidRDefault="00466EDE" w:rsidP="00466EDE">
      <w:pPr>
        <w:pStyle w:val="H23G"/>
        <w:rPr>
          <w:lang w:val="fr-FR"/>
        </w:rPr>
      </w:pPr>
      <w:r>
        <w:rPr>
          <w:lang w:val="fr-FR"/>
        </w:rPr>
        <w:tab/>
      </w:r>
      <w:r>
        <w:rPr>
          <w:lang w:val="fr-FR"/>
        </w:rPr>
        <w:tab/>
      </w:r>
      <w:r w:rsidR="007045AF" w:rsidRPr="007045AF">
        <w:rPr>
          <w:lang w:val="fr-FR"/>
        </w:rPr>
        <w:t>Point 53</w:t>
      </w:r>
    </w:p>
    <w:p w14:paraId="26175740" w14:textId="77777777" w:rsidR="007045AF" w:rsidRPr="00466EDE" w:rsidRDefault="007045AF" w:rsidP="00C15C97">
      <w:pPr>
        <w:pStyle w:val="SingleTxtG"/>
        <w:numPr>
          <w:ilvl w:val="0"/>
          <w:numId w:val="40"/>
        </w:numPr>
        <w:ind w:left="1134" w:firstLine="0"/>
        <w:rPr>
          <w:lang w:val="fr-FR"/>
        </w:rPr>
      </w:pPr>
      <w:r w:rsidRPr="00466EDE">
        <w:rPr>
          <w:lang w:val="fr-FR"/>
        </w:rPr>
        <w:t>Le Ministère de l’Intérieur, en collaboration avec le Programme des Nations Unies pour le Développement (PNUD) et ONU-Femmes, a organisé une conférence internationale sur « la participation effective et durable dans les assemblées élues », avec pour objectif de :</w:t>
      </w:r>
    </w:p>
    <w:p w14:paraId="687B044B" w14:textId="00B8FFAF" w:rsidR="007045AF" w:rsidRPr="00466EDE" w:rsidRDefault="007045AF" w:rsidP="00466EDE">
      <w:pPr>
        <w:pStyle w:val="Bullet1G"/>
      </w:pPr>
      <w:r w:rsidRPr="00466EDE">
        <w:t>Renforcer les connaissances et les capacités sur le concept de l’égalité des sexes</w:t>
      </w:r>
      <w:r w:rsidR="00466EDE">
        <w:t> ;</w:t>
      </w:r>
    </w:p>
    <w:p w14:paraId="5260AD7A" w14:textId="167C1F54" w:rsidR="007045AF" w:rsidRPr="00466EDE" w:rsidRDefault="007045AF" w:rsidP="00466EDE">
      <w:pPr>
        <w:pStyle w:val="Bullet1G"/>
      </w:pPr>
      <w:r w:rsidRPr="00466EDE">
        <w:lastRenderedPageBreak/>
        <w:t>Partager les expériences similaires et tirer profit des bonnes pratiques</w:t>
      </w:r>
      <w:r w:rsidR="00466EDE">
        <w:t> ;</w:t>
      </w:r>
    </w:p>
    <w:p w14:paraId="61EC014D" w14:textId="77777777" w:rsidR="007045AF" w:rsidRPr="00466EDE" w:rsidRDefault="007045AF" w:rsidP="00466EDE">
      <w:pPr>
        <w:pStyle w:val="Bullet1G"/>
      </w:pPr>
      <w:r w:rsidRPr="00466EDE">
        <w:t>Créer des canaux d’échange et de coopération entre les élues.</w:t>
      </w:r>
    </w:p>
    <w:p w14:paraId="73AEF019" w14:textId="77777777" w:rsidR="007045AF" w:rsidRPr="007045AF" w:rsidRDefault="007045AF" w:rsidP="00466EDE">
      <w:pPr>
        <w:pStyle w:val="SingleTxtG"/>
        <w:numPr>
          <w:ilvl w:val="0"/>
          <w:numId w:val="40"/>
        </w:numPr>
        <w:ind w:left="1134" w:firstLine="0"/>
        <w:rPr>
          <w:lang w:val="fr-FR"/>
        </w:rPr>
      </w:pPr>
      <w:r w:rsidRPr="007045AF">
        <w:rPr>
          <w:lang w:val="fr-FR"/>
        </w:rPr>
        <w:t>Cette conférence internationale a abouti à l’adoption de «</w:t>
      </w:r>
      <w:r w:rsidRPr="007C0473">
        <w:rPr>
          <w:lang w:val="fr-FR"/>
        </w:rPr>
        <w:t>la déclaration d’Alger 2018</w:t>
      </w:r>
      <w:r w:rsidRPr="007045AF">
        <w:rPr>
          <w:lang w:val="fr-FR"/>
        </w:rPr>
        <w:t xml:space="preserve"> » consacrant 13 recommandations qui appellent notamment à :</w:t>
      </w:r>
    </w:p>
    <w:p w14:paraId="193DDC08" w14:textId="77777777" w:rsidR="007045AF" w:rsidRPr="00466EDE" w:rsidRDefault="007045AF" w:rsidP="00466EDE">
      <w:pPr>
        <w:pStyle w:val="Bullet1G"/>
      </w:pPr>
      <w:r w:rsidRPr="00466EDE">
        <w:t>Encourager et inciter la femme à investir dans la vie politique ;</w:t>
      </w:r>
    </w:p>
    <w:p w14:paraId="752ED693" w14:textId="29EA2199" w:rsidR="007045AF" w:rsidRPr="00466EDE" w:rsidRDefault="007045AF" w:rsidP="00466EDE">
      <w:pPr>
        <w:pStyle w:val="Bullet1G"/>
      </w:pPr>
      <w:r w:rsidRPr="00466EDE">
        <w:t>Promouvoir ses droits au niveau des directions politiques dans le poste de leadership;</w:t>
      </w:r>
    </w:p>
    <w:p w14:paraId="20EAC409" w14:textId="77777777" w:rsidR="007045AF" w:rsidRPr="00466EDE" w:rsidRDefault="007045AF" w:rsidP="00466EDE">
      <w:pPr>
        <w:pStyle w:val="Bullet1G"/>
      </w:pPr>
      <w:r w:rsidRPr="00466EDE">
        <w:t>S’engager dans les compétitions électorales, parlementaires et locales, en lui offrant la chance sur le plan politique, social et économique.</w:t>
      </w:r>
    </w:p>
    <w:p w14:paraId="696F3FD8" w14:textId="6A89D5EA" w:rsidR="007045AF" w:rsidRPr="007045AF" w:rsidRDefault="00D40099" w:rsidP="00D40099">
      <w:pPr>
        <w:pStyle w:val="H23G"/>
        <w:rPr>
          <w:lang w:val="fr-FR"/>
        </w:rPr>
      </w:pPr>
      <w:r>
        <w:rPr>
          <w:lang w:val="fr-FR"/>
        </w:rPr>
        <w:tab/>
      </w:r>
      <w:r>
        <w:rPr>
          <w:lang w:val="fr-FR"/>
        </w:rPr>
        <w:tab/>
      </w:r>
      <w:r w:rsidR="007045AF" w:rsidRPr="007045AF">
        <w:rPr>
          <w:lang w:val="fr-FR"/>
        </w:rPr>
        <w:t xml:space="preserve">Point 55. </w:t>
      </w:r>
    </w:p>
    <w:p w14:paraId="1F2F6F27" w14:textId="77777777" w:rsidR="007045AF" w:rsidRPr="007045AF" w:rsidRDefault="007045AF" w:rsidP="00C15C97">
      <w:pPr>
        <w:pStyle w:val="SingleTxtG"/>
        <w:numPr>
          <w:ilvl w:val="0"/>
          <w:numId w:val="40"/>
        </w:numPr>
        <w:ind w:left="1134" w:firstLine="0"/>
        <w:rPr>
          <w:b/>
          <w:bCs/>
          <w:lang w:val="fr-FR"/>
        </w:rPr>
      </w:pPr>
      <w:r w:rsidRPr="007045AF">
        <w:rPr>
          <w:bCs/>
          <w:lang w:val="fr-FR"/>
        </w:rPr>
        <w:t xml:space="preserve">Voir réponses aux </w:t>
      </w:r>
      <w:r w:rsidRPr="00C15C97">
        <w:rPr>
          <w:lang w:val="fr-FR"/>
        </w:rPr>
        <w:t>recommandations</w:t>
      </w:r>
      <w:r w:rsidRPr="007045AF">
        <w:rPr>
          <w:bCs/>
          <w:lang w:val="fr-FR"/>
        </w:rPr>
        <w:t xml:space="preserve"> susvisées dans les paragraphes 48 à 50 et de 113 à 136.</w:t>
      </w:r>
    </w:p>
    <w:p w14:paraId="070DCB14" w14:textId="1269EF97" w:rsidR="007045AF" w:rsidRPr="007045AF" w:rsidRDefault="00D40099" w:rsidP="00D40099">
      <w:pPr>
        <w:pStyle w:val="H23G"/>
        <w:rPr>
          <w:lang w:val="fr-FR"/>
        </w:rPr>
      </w:pPr>
      <w:r>
        <w:rPr>
          <w:lang w:val="fr-FR"/>
        </w:rPr>
        <w:tab/>
      </w:r>
      <w:r>
        <w:rPr>
          <w:lang w:val="fr-FR"/>
        </w:rPr>
        <w:tab/>
      </w:r>
      <w:r w:rsidR="007045AF" w:rsidRPr="007045AF">
        <w:rPr>
          <w:lang w:val="fr-FR"/>
        </w:rPr>
        <w:t>Point 57</w:t>
      </w:r>
    </w:p>
    <w:p w14:paraId="71D9D93F" w14:textId="77777777" w:rsidR="007045AF" w:rsidRPr="007045AF" w:rsidRDefault="007045AF" w:rsidP="00C15C97">
      <w:pPr>
        <w:pStyle w:val="SingleTxtG"/>
        <w:numPr>
          <w:ilvl w:val="0"/>
          <w:numId w:val="40"/>
        </w:numPr>
        <w:ind w:left="1134" w:firstLine="0"/>
        <w:rPr>
          <w:lang w:val="fr-FR"/>
        </w:rPr>
      </w:pPr>
      <w:r w:rsidRPr="007045AF">
        <w:rPr>
          <w:lang w:val="fr-FR"/>
        </w:rPr>
        <w:t>L’Etat œuvre à renforcer le dispositif institutionnel en direction de la femme, concrétisé par l'amendement du cadre juridique national, afin d’améliorer le statut des femmes et d’évaluer les progrès enregistrés, dans l’objectif de garantir une protection et une promotion des droits de la femme dans tous les aspects de la vie. Ce processus comprend l’implication des institutions gouvernementales et législatives avec la participation de la société civile.</w:t>
      </w:r>
    </w:p>
    <w:p w14:paraId="631621F3" w14:textId="1F27EC76" w:rsidR="007045AF" w:rsidRPr="007045AF" w:rsidRDefault="00421A96" w:rsidP="00421A96">
      <w:pPr>
        <w:pStyle w:val="H1G"/>
        <w:rPr>
          <w:lang w:val="fr-FR"/>
        </w:rPr>
      </w:pPr>
      <w:r>
        <w:rPr>
          <w:lang w:val="fr-FR"/>
        </w:rPr>
        <w:tab/>
      </w:r>
      <w:r>
        <w:rPr>
          <w:lang w:val="fr-FR"/>
        </w:rPr>
        <w:tab/>
      </w:r>
      <w:r w:rsidR="007045AF" w:rsidRPr="007045AF">
        <w:rPr>
          <w:lang w:val="fr-FR"/>
        </w:rPr>
        <w:t>Deuxième Chapitre : Mise en œuvre des Dispositions de la Convention</w:t>
      </w:r>
    </w:p>
    <w:p w14:paraId="63216442" w14:textId="77777777" w:rsidR="007045AF" w:rsidRPr="007045AF" w:rsidRDefault="007045AF" w:rsidP="007045AF">
      <w:pPr>
        <w:pStyle w:val="SingleTxtG"/>
        <w:rPr>
          <w:lang w:val="fr-FR"/>
        </w:rPr>
      </w:pPr>
      <w:r w:rsidRPr="007045AF">
        <w:rPr>
          <w:b/>
          <w:bCs/>
          <w:lang w:val="fr-FR"/>
        </w:rPr>
        <w:t xml:space="preserve">Article 2. </w:t>
      </w:r>
      <w:r w:rsidRPr="007045AF">
        <w:rPr>
          <w:lang w:val="fr-FR"/>
        </w:rPr>
        <w:t>Voir réponse aux points 18-20.</w:t>
      </w:r>
    </w:p>
    <w:p w14:paraId="15FA41A8" w14:textId="7E2CBCF0" w:rsidR="004F7423" w:rsidRDefault="004F7423" w:rsidP="004F7423">
      <w:pPr>
        <w:pStyle w:val="H23G"/>
        <w:rPr>
          <w:lang w:val="fr-FR"/>
        </w:rPr>
      </w:pPr>
      <w:r>
        <w:rPr>
          <w:lang w:val="fr-FR"/>
        </w:rPr>
        <w:tab/>
      </w:r>
      <w:r>
        <w:rPr>
          <w:lang w:val="fr-FR"/>
        </w:rPr>
        <w:tab/>
      </w:r>
      <w:r w:rsidR="007045AF" w:rsidRPr="007045AF">
        <w:rPr>
          <w:lang w:val="fr-FR"/>
        </w:rPr>
        <w:t>Article 3.</w:t>
      </w:r>
    </w:p>
    <w:p w14:paraId="6A65D226" w14:textId="20A93245" w:rsidR="007045AF" w:rsidRPr="007045AF" w:rsidRDefault="007045AF" w:rsidP="004F7423">
      <w:pPr>
        <w:pStyle w:val="SingleTxtG"/>
        <w:numPr>
          <w:ilvl w:val="0"/>
          <w:numId w:val="40"/>
        </w:numPr>
        <w:ind w:left="1134" w:firstLine="0"/>
        <w:rPr>
          <w:lang w:val="fr-FR"/>
        </w:rPr>
      </w:pPr>
      <w:r w:rsidRPr="007045AF">
        <w:rPr>
          <w:lang w:val="fr-FR"/>
        </w:rPr>
        <w:t>L’Algérie a progressé dans le domaine de la promotion des droits des femmes en mobilisant les compétences et les mécanismes législatifs pour renforcer leur rôle politique, économique, social et culturel</w:t>
      </w:r>
      <w:r w:rsidRPr="007045AF">
        <w:rPr>
          <w:rtl/>
        </w:rPr>
        <w:t>.</w:t>
      </w:r>
    </w:p>
    <w:p w14:paraId="17181A40" w14:textId="77777777" w:rsidR="007045AF" w:rsidRPr="007045AF" w:rsidRDefault="007045AF" w:rsidP="004F7423">
      <w:pPr>
        <w:pStyle w:val="SingleTxtG"/>
        <w:numPr>
          <w:ilvl w:val="0"/>
          <w:numId w:val="40"/>
        </w:numPr>
        <w:ind w:left="1134" w:firstLine="0"/>
        <w:rPr>
          <w:lang w:val="fr-FR"/>
        </w:rPr>
      </w:pPr>
      <w:r w:rsidRPr="005D7B3B">
        <w:rPr>
          <w:lang w:val="fr-FR"/>
        </w:rPr>
        <w:t>Dans le domaine politique</w:t>
      </w:r>
      <w:r w:rsidRPr="007045AF">
        <w:rPr>
          <w:b/>
          <w:bCs/>
          <w:lang w:val="fr-FR"/>
        </w:rPr>
        <w:t xml:space="preserve"> </w:t>
      </w:r>
      <w:r w:rsidRPr="007045AF">
        <w:rPr>
          <w:lang w:val="fr-FR"/>
        </w:rPr>
        <w:t>(voir réponse point 34).</w:t>
      </w:r>
    </w:p>
    <w:p w14:paraId="1894CC9E" w14:textId="77777777" w:rsidR="007045AF" w:rsidRPr="007045AF" w:rsidRDefault="007045AF" w:rsidP="004F7423">
      <w:pPr>
        <w:pStyle w:val="SingleTxtG"/>
        <w:numPr>
          <w:ilvl w:val="0"/>
          <w:numId w:val="40"/>
        </w:numPr>
        <w:ind w:left="1134" w:firstLine="0"/>
        <w:rPr>
          <w:lang w:val="fr-FR"/>
        </w:rPr>
      </w:pPr>
      <w:r w:rsidRPr="005D7B3B">
        <w:rPr>
          <w:lang w:val="fr-FR"/>
        </w:rPr>
        <w:t>Dans le domaine économique</w:t>
      </w:r>
      <w:r w:rsidRPr="007045AF">
        <w:rPr>
          <w:b/>
          <w:bCs/>
          <w:lang w:val="fr-FR"/>
        </w:rPr>
        <w:t>,</w:t>
      </w:r>
      <w:r w:rsidRPr="007045AF">
        <w:rPr>
          <w:lang w:val="fr-FR"/>
        </w:rPr>
        <w:t xml:space="preserve"> aucune discrimination n’est relevée ou admise, et aucune inégalité existe entre les postulants aux postes d’emploi.</w:t>
      </w:r>
    </w:p>
    <w:p w14:paraId="3C850779" w14:textId="77777777" w:rsidR="007045AF" w:rsidRPr="007045AF" w:rsidRDefault="007045AF" w:rsidP="004F7423">
      <w:pPr>
        <w:pStyle w:val="SingleTxtG"/>
        <w:numPr>
          <w:ilvl w:val="0"/>
          <w:numId w:val="40"/>
        </w:numPr>
        <w:ind w:left="1134" w:firstLine="0"/>
        <w:rPr>
          <w:lang w:val="fr-FR"/>
        </w:rPr>
      </w:pPr>
      <w:r w:rsidRPr="007045AF">
        <w:rPr>
          <w:lang w:val="fr-FR"/>
        </w:rPr>
        <w:t xml:space="preserve">L’Etat œuvre à la promotion de l’autonomisation de la femme, à travers, notamment : </w:t>
      </w:r>
    </w:p>
    <w:p w14:paraId="567C8B4A" w14:textId="77777777" w:rsidR="007045AF" w:rsidRPr="00CD5E60" w:rsidRDefault="007045AF" w:rsidP="00CD5E60">
      <w:pPr>
        <w:pStyle w:val="Bullet1G"/>
      </w:pPr>
      <w:r w:rsidRPr="00CD5E60">
        <w:t>L’appui à l’adhésion de la femme rurale et des femmes au foyer dans le domaine économique ;</w:t>
      </w:r>
    </w:p>
    <w:p w14:paraId="02F88A07" w14:textId="77777777" w:rsidR="007045AF" w:rsidRPr="00CD5E60" w:rsidRDefault="007045AF" w:rsidP="00CD5E60">
      <w:pPr>
        <w:pStyle w:val="Bullet1G"/>
      </w:pPr>
      <w:r w:rsidRPr="00CD5E60">
        <w:t>L’intégration des questions d’égalité des sexes dans les processus de développement agricole et rural ;</w:t>
      </w:r>
    </w:p>
    <w:p w14:paraId="13D3D07D" w14:textId="77777777" w:rsidR="007045AF" w:rsidRPr="00CD5E60" w:rsidRDefault="007045AF" w:rsidP="00CD5E60">
      <w:pPr>
        <w:pStyle w:val="Bullet1G"/>
      </w:pPr>
      <w:r w:rsidRPr="00CD5E60">
        <w:t>L’accès au financement et aux crédits agricoles et aux différents dispositifs de soutien et de crédit ;</w:t>
      </w:r>
    </w:p>
    <w:p w14:paraId="3FF209C1" w14:textId="77777777" w:rsidR="007045AF" w:rsidRPr="00CD5E60" w:rsidRDefault="007045AF" w:rsidP="00CD5E60">
      <w:pPr>
        <w:pStyle w:val="Bullet1G"/>
      </w:pPr>
      <w:r w:rsidRPr="00CD5E60">
        <w:t>La promotion de l’entrepreneuriat féminin et à la transition vers une économie de la connaissance.</w:t>
      </w:r>
    </w:p>
    <w:p w14:paraId="47B4B68C" w14:textId="77777777" w:rsidR="007045AF" w:rsidRPr="007045AF" w:rsidRDefault="007045AF" w:rsidP="00CD5E60">
      <w:pPr>
        <w:pStyle w:val="SingleTxtG"/>
        <w:numPr>
          <w:ilvl w:val="0"/>
          <w:numId w:val="40"/>
        </w:numPr>
        <w:ind w:left="1134" w:firstLine="0"/>
        <w:rPr>
          <w:lang w:val="fr-FR"/>
        </w:rPr>
      </w:pPr>
      <w:r w:rsidRPr="007045AF">
        <w:rPr>
          <w:lang w:val="fr-FR"/>
        </w:rPr>
        <w:t>Voir également réponses aux paragraphes : 38, 39, 40 et de 215 à 231.</w:t>
      </w:r>
    </w:p>
    <w:p w14:paraId="7DF0E5C6" w14:textId="77777777" w:rsidR="007045AF" w:rsidRPr="007045AF" w:rsidRDefault="007045AF" w:rsidP="00CD5E60">
      <w:pPr>
        <w:pStyle w:val="SingleTxtG"/>
        <w:numPr>
          <w:ilvl w:val="0"/>
          <w:numId w:val="40"/>
        </w:numPr>
        <w:ind w:left="1134" w:firstLine="0"/>
        <w:rPr>
          <w:lang w:val="fr-FR"/>
        </w:rPr>
      </w:pPr>
      <w:r w:rsidRPr="005D7B3B">
        <w:rPr>
          <w:lang w:val="fr-FR"/>
        </w:rPr>
        <w:t>Dans le domaine social.</w:t>
      </w:r>
      <w:r w:rsidRPr="007045AF">
        <w:rPr>
          <w:lang w:val="fr-FR"/>
        </w:rPr>
        <w:t xml:space="preserve"> Les relations de travail et les prestations de sécurité sociale et de retraite sont régies par des textes législatifs et réglementaires applicables à l’ensemble des travailleurs sans discrimination aucune. </w:t>
      </w:r>
    </w:p>
    <w:p w14:paraId="62E24F08" w14:textId="77777777" w:rsidR="007045AF" w:rsidRPr="007045AF" w:rsidRDefault="007045AF" w:rsidP="00CD5E60">
      <w:pPr>
        <w:pStyle w:val="SingleTxtG"/>
        <w:numPr>
          <w:ilvl w:val="0"/>
          <w:numId w:val="40"/>
        </w:numPr>
        <w:ind w:left="1134" w:firstLine="0"/>
        <w:rPr>
          <w:lang w:val="fr-FR"/>
        </w:rPr>
      </w:pPr>
      <w:r w:rsidRPr="007045AF">
        <w:rPr>
          <w:lang w:val="fr-FR"/>
        </w:rPr>
        <w:t xml:space="preserve">Instaurée en 2022, l’allocation chômage constitue l’un des principaux mécanismes de protection sociale mis en place par l’État algérien au profit des primo-demandeurs d’emploi. </w:t>
      </w:r>
    </w:p>
    <w:p w14:paraId="3033DB5C"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34543ACA" wp14:editId="1E602263">
            <wp:extent cx="5760720" cy="3811604"/>
            <wp:effectExtent l="19050" t="0" r="11430" b="0"/>
            <wp:docPr id="9"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B51090F" w14:textId="77777777" w:rsidR="007045AF" w:rsidRPr="005D7B3B" w:rsidRDefault="007045AF" w:rsidP="00CD5E60">
      <w:pPr>
        <w:pStyle w:val="SingleTxtG"/>
        <w:numPr>
          <w:ilvl w:val="0"/>
          <w:numId w:val="40"/>
        </w:numPr>
        <w:ind w:left="1134" w:firstLine="0"/>
        <w:rPr>
          <w:lang w:val="fr-FR"/>
        </w:rPr>
      </w:pPr>
      <w:r w:rsidRPr="007045AF">
        <w:rPr>
          <w:lang w:val="fr-FR"/>
        </w:rPr>
        <w:t xml:space="preserve">L’amendement de la loi relative aux assurances sociales, prévoit l’extension du congé de maternité à cinq </w:t>
      </w:r>
      <w:r w:rsidRPr="005D7B3B">
        <w:rPr>
          <w:lang w:val="fr-FR"/>
        </w:rPr>
        <w:t>(05) mois complets, avec une indemnisation à hauteur de 100% du salaire journalier pour une durée continue de 150 jours, au lieu de 98 jours.</w:t>
      </w:r>
    </w:p>
    <w:p w14:paraId="7B21A81B" w14:textId="77777777" w:rsidR="007045AF" w:rsidRPr="007045AF" w:rsidRDefault="007045AF" w:rsidP="00CD5E60">
      <w:pPr>
        <w:pStyle w:val="SingleTxtG"/>
        <w:numPr>
          <w:ilvl w:val="0"/>
          <w:numId w:val="40"/>
        </w:numPr>
        <w:ind w:left="1134" w:firstLine="0"/>
        <w:rPr>
          <w:lang w:val="fr-FR"/>
        </w:rPr>
      </w:pPr>
      <w:r w:rsidRPr="007045AF">
        <w:rPr>
          <w:lang w:val="fr-FR"/>
        </w:rPr>
        <w:t>La loi inclut des dispositions supplémentaires au profit des mères salariées en cas de naissance d’un enfant souffrant d’un handicap ou d’une maladie grave.</w:t>
      </w:r>
    </w:p>
    <w:p w14:paraId="55C0B151" w14:textId="77777777" w:rsidR="007045AF" w:rsidRPr="007045AF" w:rsidRDefault="007045AF" w:rsidP="00CD5E60">
      <w:pPr>
        <w:pStyle w:val="SingleTxtG"/>
        <w:numPr>
          <w:ilvl w:val="0"/>
          <w:numId w:val="40"/>
        </w:numPr>
        <w:ind w:left="1134" w:firstLine="0"/>
        <w:rPr>
          <w:lang w:val="fr-FR"/>
        </w:rPr>
      </w:pPr>
      <w:r w:rsidRPr="007045AF">
        <w:rPr>
          <w:lang w:val="fr-FR"/>
        </w:rPr>
        <w:t>Ce texte reflète la volonté de l’État de consolider les acquis sociaux des travailleuses et de promouvoir la justice sociale, tout en valorisant le rôle de la femme dans le développement national.</w:t>
      </w:r>
    </w:p>
    <w:p w14:paraId="509C6E42" w14:textId="77777777" w:rsidR="007045AF" w:rsidRPr="007045AF" w:rsidRDefault="007045AF" w:rsidP="00CD5E60">
      <w:pPr>
        <w:pStyle w:val="SingleTxtG"/>
        <w:numPr>
          <w:ilvl w:val="0"/>
          <w:numId w:val="40"/>
        </w:numPr>
        <w:ind w:left="1134" w:firstLine="0"/>
        <w:rPr>
          <w:lang w:val="fr-FR"/>
        </w:rPr>
      </w:pPr>
      <w:r w:rsidRPr="007045AF">
        <w:rPr>
          <w:lang w:val="fr-FR"/>
        </w:rPr>
        <w:t>Par ailleurs, et dans une approche visant à répondre aux exigences d’évolution continue du système de protection sociale, tout en tenant compte de la pénibilité inhérente à l’enseignement, les amendements apportés à la loi 83-12 relative à la retraite, permettent désormais une réduction de trois ans de l’âge légal de départ à la retraite au profit de certaines catégories de fonctionnaires relevant du secteur de l’Education. A ce titre, les femmes, peuvent demander la mise à la retraite à partir de 52 ans contre 57 ans pour les hommes.</w:t>
      </w:r>
    </w:p>
    <w:p w14:paraId="18F12850" w14:textId="77777777" w:rsidR="007045AF" w:rsidRPr="007045AF" w:rsidRDefault="007045AF" w:rsidP="00CD5E60">
      <w:pPr>
        <w:pStyle w:val="SingleTxtG"/>
        <w:numPr>
          <w:ilvl w:val="0"/>
          <w:numId w:val="40"/>
        </w:numPr>
        <w:ind w:left="1134" w:firstLine="0"/>
        <w:rPr>
          <w:lang w:val="fr-FR"/>
        </w:rPr>
      </w:pPr>
      <w:r w:rsidRPr="005D7B3B">
        <w:rPr>
          <w:bCs/>
          <w:lang w:val="fr-FR"/>
        </w:rPr>
        <w:t>Dans le domaine culturel, un essor remarquable a été enregistré concernant l’accès des femmes aux postes de responsabilité dans le secteur de la culture. A titre illustratif, 11 femmes dirigent des structures clés, dont 09 Maisons de la culture et 02 centres nationaux (Tlemcen et Alger), 19 commissaires femmes de festivals (internationaux, nationaux et locaux) ont été nommées sur un total de 31 en poste</w:t>
      </w:r>
      <w:r w:rsidRPr="007045AF">
        <w:rPr>
          <w:lang w:val="fr-FR"/>
        </w:rPr>
        <w:t>.</w:t>
      </w:r>
    </w:p>
    <w:p w14:paraId="19A8E34D" w14:textId="77777777" w:rsidR="007045AF" w:rsidRPr="007045AF" w:rsidRDefault="007045AF" w:rsidP="00CD5E60">
      <w:pPr>
        <w:pStyle w:val="SingleTxtG"/>
        <w:numPr>
          <w:ilvl w:val="0"/>
          <w:numId w:val="40"/>
        </w:numPr>
        <w:ind w:left="1134" w:firstLine="0"/>
        <w:rPr>
          <w:lang w:val="fr-FR"/>
        </w:rPr>
      </w:pPr>
      <w:r w:rsidRPr="007045AF">
        <w:rPr>
          <w:lang w:val="fr-FR"/>
        </w:rPr>
        <w:t xml:space="preserve">La création de 8 festivals annuels spécifiques à la femme a permis de mobiliser plus </w:t>
      </w:r>
      <w:r w:rsidRPr="005D7B3B">
        <w:rPr>
          <w:lang w:val="fr-FR"/>
        </w:rPr>
        <w:t>de 50 créatrices</w:t>
      </w:r>
      <w:r w:rsidRPr="007045AF">
        <w:rPr>
          <w:lang w:val="fr-FR"/>
        </w:rPr>
        <w:t xml:space="preserve"> par édition.</w:t>
      </w:r>
    </w:p>
    <w:p w14:paraId="4053589E" w14:textId="77777777" w:rsidR="007045AF" w:rsidRPr="007045AF" w:rsidRDefault="007045AF" w:rsidP="00CD5E60">
      <w:pPr>
        <w:pStyle w:val="SingleTxtG"/>
        <w:numPr>
          <w:ilvl w:val="0"/>
          <w:numId w:val="40"/>
        </w:numPr>
        <w:ind w:left="1134" w:firstLine="0"/>
        <w:rPr>
          <w:lang w:val="fr-FR"/>
        </w:rPr>
      </w:pPr>
      <w:r w:rsidRPr="007045AF">
        <w:rPr>
          <w:lang w:val="fr-FR"/>
        </w:rPr>
        <w:t>S’agissant de la représentation féminine dans l'industrie cinématographique, elle a atteint 40 % (tournage, réalisation, production et post-production).</w:t>
      </w:r>
    </w:p>
    <w:p w14:paraId="16E98086" w14:textId="77777777" w:rsidR="007045AF" w:rsidRPr="007045AF" w:rsidRDefault="007045AF" w:rsidP="00CD5E60">
      <w:pPr>
        <w:pStyle w:val="SingleTxtG"/>
        <w:numPr>
          <w:ilvl w:val="0"/>
          <w:numId w:val="40"/>
        </w:numPr>
        <w:ind w:left="1134" w:firstLine="0"/>
        <w:rPr>
          <w:lang w:val="fr-FR"/>
        </w:rPr>
      </w:pPr>
      <w:r w:rsidRPr="007045AF">
        <w:rPr>
          <w:lang w:val="fr-FR"/>
        </w:rPr>
        <w:t>Par ailleurs, les bibliothèques se distinguent également par une forte féminisation de ses effectifs (66%), témoignant d'une intégration réussie dans la gestion et l'animation de ces institutions.</w:t>
      </w:r>
    </w:p>
    <w:p w14:paraId="335045EA" w14:textId="77777777" w:rsidR="007045AF" w:rsidRPr="007045AF" w:rsidRDefault="007045AF" w:rsidP="00CD5E60">
      <w:pPr>
        <w:pStyle w:val="SingleTxtG"/>
        <w:numPr>
          <w:ilvl w:val="0"/>
          <w:numId w:val="40"/>
        </w:numPr>
        <w:ind w:left="1134" w:firstLine="0"/>
        <w:rPr>
          <w:lang w:val="fr-FR"/>
        </w:rPr>
      </w:pPr>
      <w:r w:rsidRPr="007045AF">
        <w:rPr>
          <w:lang w:val="fr-FR"/>
        </w:rPr>
        <w:t>Aussi, la femme a su s'imposer avec succès dans les différentes activités liées au domaine du livre (édition, distribution, impression, exportation et librairies).</w:t>
      </w:r>
    </w:p>
    <w:p w14:paraId="4132223E"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691402FC" wp14:editId="3FC36147">
            <wp:extent cx="5584410" cy="2313830"/>
            <wp:effectExtent l="19050" t="0" r="16290" b="0"/>
            <wp:docPr id="18" name="Graphique 9">
              <a:extLst xmlns:a="http://schemas.openxmlformats.org/drawingml/2006/main">
                <a:ext uri="{FF2B5EF4-FFF2-40B4-BE49-F238E27FC236}">
                  <a16:creationId xmlns:a16="http://schemas.microsoft.com/office/drawing/2014/main" id="{C54A6DA8-CFED-4D37-9B8D-1F1D629D32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1FEBF03" w14:textId="77777777" w:rsidR="007045AF" w:rsidRPr="007045AF" w:rsidRDefault="007045AF" w:rsidP="007045AF">
      <w:pPr>
        <w:pStyle w:val="SingleTxtG"/>
        <w:rPr>
          <w:rtl/>
          <w:lang w:bidi="ar-DZ"/>
        </w:rPr>
      </w:pPr>
      <w:r w:rsidRPr="007045AF">
        <w:rPr>
          <w:noProof/>
          <w:lang w:val="fr-FR"/>
        </w:rPr>
        <w:drawing>
          <wp:inline distT="0" distB="0" distL="0" distR="0" wp14:anchorId="4577B191" wp14:editId="1BE3DA2D">
            <wp:extent cx="5583991" cy="2625924"/>
            <wp:effectExtent l="19050" t="0" r="16709" b="2976"/>
            <wp:docPr id="20" name="Graphique 7">
              <a:extLst xmlns:a="http://schemas.openxmlformats.org/drawingml/2006/main">
                <a:ext uri="{FF2B5EF4-FFF2-40B4-BE49-F238E27FC236}">
                  <a16:creationId xmlns:a16="http://schemas.microsoft.com/office/drawing/2014/main" id="{DB42130D-6328-4EA4-AB58-2FDA235928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52D1F30" w14:textId="77777777" w:rsidR="007045AF" w:rsidRPr="007045AF" w:rsidRDefault="007045AF" w:rsidP="007045AF">
      <w:pPr>
        <w:pStyle w:val="SingleTxtG"/>
        <w:rPr>
          <w:lang w:val="fr-FR"/>
        </w:rPr>
      </w:pPr>
      <w:r w:rsidRPr="007045AF">
        <w:rPr>
          <w:noProof/>
          <w:lang w:val="fr-FR"/>
        </w:rPr>
        <w:lastRenderedPageBreak/>
        <w:drawing>
          <wp:inline distT="0" distB="0" distL="0" distR="0" wp14:anchorId="0F35A34D" wp14:editId="17C6883B">
            <wp:extent cx="5646752" cy="4389120"/>
            <wp:effectExtent l="19050" t="0" r="11098" b="0"/>
            <wp:docPr id="21" name="Graphique 1">
              <a:extLst xmlns:a="http://schemas.openxmlformats.org/drawingml/2006/main">
                <a:ext uri="{FF2B5EF4-FFF2-40B4-BE49-F238E27FC236}">
                  <a16:creationId xmlns:a16="http://schemas.microsoft.com/office/drawing/2014/main" id="{C2BC5EB3-45C8-4105-8B7C-5C831F4974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5DEDD77" w14:textId="77777777" w:rsidR="007045AF" w:rsidRPr="007045AF" w:rsidRDefault="007045AF" w:rsidP="007045AF">
      <w:pPr>
        <w:pStyle w:val="SingleTxtG"/>
        <w:rPr>
          <w:lang w:val="fr-FR"/>
        </w:rPr>
      </w:pPr>
      <w:r w:rsidRPr="007045AF">
        <w:rPr>
          <w:b/>
          <w:bCs/>
          <w:lang w:val="fr-FR"/>
        </w:rPr>
        <w:t>Article 4.</w:t>
      </w:r>
      <w:r w:rsidRPr="007045AF">
        <w:rPr>
          <w:lang w:val="fr-FR"/>
        </w:rPr>
        <w:t xml:space="preserve"> Voir réponse point 26.</w:t>
      </w:r>
    </w:p>
    <w:p w14:paraId="21E2CA24" w14:textId="77777777" w:rsidR="007045AF" w:rsidRPr="007045AF" w:rsidRDefault="007045AF" w:rsidP="007045AF">
      <w:pPr>
        <w:pStyle w:val="SingleTxtG"/>
        <w:rPr>
          <w:lang w:val="fr-FR"/>
        </w:rPr>
      </w:pPr>
      <w:r w:rsidRPr="007045AF">
        <w:rPr>
          <w:b/>
          <w:bCs/>
          <w:lang w:val="fr-FR"/>
        </w:rPr>
        <w:t>Article 5</w:t>
      </w:r>
      <w:r w:rsidRPr="007045AF">
        <w:rPr>
          <w:lang w:val="fr-FR"/>
        </w:rPr>
        <w:t>. Voir réponse point 28.</w:t>
      </w:r>
    </w:p>
    <w:p w14:paraId="6D3DA998" w14:textId="7B3693F5" w:rsidR="00940BDE" w:rsidRDefault="00940BDE" w:rsidP="00940BDE">
      <w:pPr>
        <w:pStyle w:val="H23G"/>
        <w:rPr>
          <w:lang w:val="fr-FR"/>
        </w:rPr>
      </w:pPr>
      <w:r>
        <w:rPr>
          <w:lang w:val="fr-FR"/>
        </w:rPr>
        <w:tab/>
      </w:r>
      <w:r>
        <w:rPr>
          <w:lang w:val="fr-FR"/>
        </w:rPr>
        <w:tab/>
      </w:r>
      <w:r w:rsidR="007045AF" w:rsidRPr="007045AF">
        <w:rPr>
          <w:lang w:val="fr-FR"/>
        </w:rPr>
        <w:t>Article 6</w:t>
      </w:r>
    </w:p>
    <w:p w14:paraId="63010E07" w14:textId="15C97943" w:rsidR="007045AF" w:rsidRPr="007045AF" w:rsidRDefault="007045AF" w:rsidP="00940BDE">
      <w:pPr>
        <w:pStyle w:val="SingleTxtG"/>
        <w:numPr>
          <w:ilvl w:val="0"/>
          <w:numId w:val="40"/>
        </w:numPr>
        <w:ind w:left="1134" w:firstLine="0"/>
        <w:rPr>
          <w:lang w:val="fr-FR"/>
        </w:rPr>
      </w:pPr>
      <w:r w:rsidRPr="007045AF">
        <w:rPr>
          <w:lang w:val="fr-FR"/>
        </w:rPr>
        <w:t xml:space="preserve">Au sens de l’article 2 de la loi n°23-04 du 07 mai 2023, on entend par traite des personnes l’exploitation d’une situation de vulnérabilité (toute situation dans laquelle une personne est contrainte de se soumettre à l'exploitation en raison de..., son sexe), ou par l’offre ou l’acceptation de paiement de sommes d’argent ou d’avantages, afin d’obtenir le consentement d’une personne ayant autorité sur une autre aux fins d’exploitation. </w:t>
      </w:r>
    </w:p>
    <w:p w14:paraId="788C5E32" w14:textId="77777777" w:rsidR="007045AF" w:rsidRPr="007045AF" w:rsidRDefault="007045AF" w:rsidP="005F5A8F">
      <w:pPr>
        <w:pStyle w:val="SingleTxtG"/>
        <w:numPr>
          <w:ilvl w:val="0"/>
          <w:numId w:val="40"/>
        </w:numPr>
        <w:ind w:left="1134" w:firstLine="0"/>
        <w:rPr>
          <w:lang w:val="fr-FR"/>
        </w:rPr>
      </w:pPr>
      <w:r w:rsidRPr="007045AF">
        <w:rPr>
          <w:lang w:val="fr-FR"/>
        </w:rPr>
        <w:t>L’exploitation comprend, notamment l’exploitation de la prostitution d’autrui ou toutes autres formes d’exploitation sexuelle (l’obtention d’avantages de quelque nature que ce soit, et ce, en livrant une personne à la prostitution ou tout autre type de services sexuels, notamment son exploitation dans des scènes pornographiques, à travers la production ou la détention ou la distribution, par quelque moyen, des scènes ou matériels pornographiques),</w:t>
      </w:r>
    </w:p>
    <w:p w14:paraId="6535C365" w14:textId="77777777" w:rsidR="007045AF" w:rsidRPr="007045AF" w:rsidRDefault="007045AF" w:rsidP="005F5A8F">
      <w:pPr>
        <w:pStyle w:val="SingleTxtG"/>
        <w:numPr>
          <w:ilvl w:val="0"/>
          <w:numId w:val="40"/>
        </w:numPr>
        <w:ind w:left="1134" w:firstLine="0"/>
        <w:rPr>
          <w:lang w:val="fr-FR"/>
        </w:rPr>
      </w:pPr>
      <w:r w:rsidRPr="007045AF">
        <w:rPr>
          <w:lang w:val="fr-FR"/>
        </w:rPr>
        <w:t xml:space="preserve">La traite des personnes est sévèrement punie par ladite loi. Elle entraîne une peine d’emprisonnement de 5 à 15 ans et une amende de 500.000 à 1.500.000DA (Art. 40). Si l’infraction est commise dans des circonstances aggravantes (comme sur des victimes vulnérables), la peine encourue est la réclusion criminelle à temps de 10 à 20 ans et une amende plus élevée. </w:t>
      </w:r>
    </w:p>
    <w:p w14:paraId="432E1F91" w14:textId="77777777" w:rsidR="007045AF" w:rsidRPr="007045AF" w:rsidRDefault="007045AF" w:rsidP="00940BDE">
      <w:pPr>
        <w:pStyle w:val="SingleTxtG"/>
        <w:numPr>
          <w:ilvl w:val="0"/>
          <w:numId w:val="40"/>
        </w:numPr>
        <w:ind w:left="1134" w:firstLine="0"/>
        <w:rPr>
          <w:lang w:val="fr-FR"/>
        </w:rPr>
      </w:pPr>
      <w:r w:rsidRPr="007045AF">
        <w:rPr>
          <w:lang w:val="fr-FR"/>
        </w:rPr>
        <w:t>En cas de crime organisé, transnational ou en période de conflit, la peine va jusqu’à 30 ans de réclusion criminelle à temps et d’une amende de 10.000.000 DA à 20.000.000 DA (Art. 41).</w:t>
      </w:r>
    </w:p>
    <w:p w14:paraId="0590D6D4" w14:textId="77777777" w:rsidR="007045AF" w:rsidRPr="007045AF" w:rsidRDefault="007045AF" w:rsidP="00940BDE">
      <w:pPr>
        <w:pStyle w:val="SingleTxtG"/>
        <w:numPr>
          <w:ilvl w:val="0"/>
          <w:numId w:val="40"/>
        </w:numPr>
        <w:ind w:left="1134" w:firstLine="0"/>
        <w:rPr>
          <w:lang w:val="fr-FR"/>
        </w:rPr>
      </w:pPr>
      <w:r w:rsidRPr="007045AF">
        <w:rPr>
          <w:lang w:val="fr-FR"/>
        </w:rPr>
        <w:t>La traite des personnes est punie de la réclusion criminelle à perpétuité, si la victime a été soumise à des tortures ou à des violences sexuelles ou si l’infraction a généré une infirmité permanente ou s’il s’en suit le décès de la victime (Art.42).</w:t>
      </w:r>
    </w:p>
    <w:p w14:paraId="09BC3DBC" w14:textId="77777777" w:rsidR="007045AF" w:rsidRPr="007045AF" w:rsidRDefault="007045AF" w:rsidP="00940BDE">
      <w:pPr>
        <w:pStyle w:val="SingleTxtG"/>
        <w:numPr>
          <w:ilvl w:val="0"/>
          <w:numId w:val="40"/>
        </w:numPr>
        <w:ind w:left="1134" w:firstLine="0"/>
        <w:rPr>
          <w:lang w:val="fr-FR"/>
        </w:rPr>
      </w:pPr>
      <w:r w:rsidRPr="007045AF">
        <w:rPr>
          <w:lang w:val="fr-FR"/>
        </w:rPr>
        <w:lastRenderedPageBreak/>
        <w:t>En vertu des articles 52 et 53 de ladite loi, la victime ne peut être tenue, pénalement ou civilement, responsable d'aucune des infractions qu’elle commet, lorsqu'elle est directement liée à sa qualité de victime de la traite des personnes et que son consentement n’a pas d’effet sur l’incrimination.</w:t>
      </w:r>
    </w:p>
    <w:p w14:paraId="2C0EF8CD" w14:textId="77777777" w:rsidR="007045AF" w:rsidRPr="007045AF" w:rsidRDefault="007045AF" w:rsidP="00940BDE">
      <w:pPr>
        <w:pStyle w:val="SingleTxtG"/>
        <w:numPr>
          <w:ilvl w:val="0"/>
          <w:numId w:val="40"/>
        </w:numPr>
        <w:ind w:left="1134" w:firstLine="0"/>
        <w:rPr>
          <w:lang w:val="fr-FR"/>
        </w:rPr>
      </w:pPr>
      <w:r w:rsidRPr="007045AF">
        <w:rPr>
          <w:lang w:val="fr-FR"/>
        </w:rPr>
        <w:t>Le Code Pénal, énonce dans son article 343 qu’il est puni d’un emprisonnement de deux (2) à cinq (5) ans et d’une amende, à moins que le fait ne constitue une infraction plus grave, quiconque sciemment :</w:t>
      </w:r>
    </w:p>
    <w:p w14:paraId="1ABA1B8B" w14:textId="77777777" w:rsidR="007045AF" w:rsidRPr="007045AF" w:rsidRDefault="007045AF" w:rsidP="00940BDE">
      <w:pPr>
        <w:pStyle w:val="Bullet1G"/>
        <w:rPr>
          <w:lang w:val="fr-FR"/>
        </w:rPr>
      </w:pPr>
      <w:r w:rsidRPr="007045AF">
        <w:rPr>
          <w:lang w:val="fr-FR"/>
        </w:rPr>
        <w:t>D’une manière quelconque, aide, assiste, ou protège la prostitution d’autrui ou le racolage en vue de la prostitution ;</w:t>
      </w:r>
    </w:p>
    <w:p w14:paraId="70BF6BE0" w14:textId="77777777" w:rsidR="007045AF" w:rsidRPr="007045AF" w:rsidRDefault="007045AF" w:rsidP="00940BDE">
      <w:pPr>
        <w:pStyle w:val="Bullet1G"/>
        <w:rPr>
          <w:lang w:val="fr-FR"/>
        </w:rPr>
      </w:pPr>
      <w:r w:rsidRPr="007045AF">
        <w:rPr>
          <w:lang w:val="fr-FR"/>
        </w:rPr>
        <w:t>Sous une forme quelconque, partage les produits de la prostitution d’autrui ou reçoit des subsides d’une personne se livrant habituellement à la prostitution ou tirant elle-même des ressources de la prostitution d’autrui ;</w:t>
      </w:r>
    </w:p>
    <w:p w14:paraId="7A9A5C0B" w14:textId="77777777" w:rsidR="007045AF" w:rsidRPr="007045AF" w:rsidRDefault="007045AF" w:rsidP="00940BDE">
      <w:pPr>
        <w:pStyle w:val="Bullet1G"/>
        <w:rPr>
          <w:lang w:val="fr-FR"/>
        </w:rPr>
      </w:pPr>
      <w:r w:rsidRPr="007045AF">
        <w:rPr>
          <w:lang w:val="fr-FR"/>
        </w:rPr>
        <w:t>Vit avec une personne se livrant habituellement à la prostitution ;</w:t>
      </w:r>
    </w:p>
    <w:p w14:paraId="0ECA12F3" w14:textId="77777777" w:rsidR="007045AF" w:rsidRPr="007045AF" w:rsidRDefault="007045AF" w:rsidP="00940BDE">
      <w:pPr>
        <w:pStyle w:val="Bullet1G"/>
        <w:rPr>
          <w:lang w:val="fr-FR"/>
        </w:rPr>
      </w:pPr>
      <w:r w:rsidRPr="007045AF">
        <w:rPr>
          <w:lang w:val="fr-FR"/>
        </w:rPr>
        <w:t>Étant en relations habituelles avec une ou plusieurs personnes se livrant à la prostitution ne peut justifier de ressources correspondant à son train de vie ;</w:t>
      </w:r>
    </w:p>
    <w:p w14:paraId="7945BEFA" w14:textId="77777777" w:rsidR="007045AF" w:rsidRPr="007045AF" w:rsidRDefault="007045AF" w:rsidP="00940BDE">
      <w:pPr>
        <w:pStyle w:val="Bullet1G"/>
        <w:rPr>
          <w:lang w:val="fr-FR"/>
        </w:rPr>
      </w:pPr>
      <w:r w:rsidRPr="007045AF">
        <w:rPr>
          <w:lang w:val="fr-FR"/>
        </w:rPr>
        <w:t>Embauche, entraîne ou entretient, même avec son consentement, une personne même majeure en vue de la prostitution, ou la livre à la prostitution ou à la débauche ;</w:t>
      </w:r>
    </w:p>
    <w:p w14:paraId="03BC80B3" w14:textId="77777777" w:rsidR="007045AF" w:rsidRPr="007045AF" w:rsidRDefault="007045AF" w:rsidP="00940BDE">
      <w:pPr>
        <w:pStyle w:val="Bullet1G"/>
        <w:rPr>
          <w:lang w:val="fr-FR"/>
        </w:rPr>
      </w:pPr>
      <w:r w:rsidRPr="007045AF">
        <w:rPr>
          <w:lang w:val="fr-FR"/>
        </w:rPr>
        <w:t>Fait office d’intermédiaire, à un titre quelconque, entre les personnes se livrant à la prostitution ou à la débauche et les individus qui exploitent ou rémunèrent la prostitution ou la débauche d’autrui ;</w:t>
      </w:r>
    </w:p>
    <w:p w14:paraId="71A1FA83" w14:textId="77777777" w:rsidR="007045AF" w:rsidRPr="007045AF" w:rsidRDefault="007045AF" w:rsidP="00940BDE">
      <w:pPr>
        <w:pStyle w:val="Bullet1G"/>
        <w:rPr>
          <w:lang w:val="fr-FR"/>
        </w:rPr>
      </w:pPr>
      <w:r w:rsidRPr="007045AF">
        <w:rPr>
          <w:lang w:val="fr-FR"/>
        </w:rPr>
        <w:t>Par menace, pression, manœuvre ou par tout autre moyen, entrave l’action de prévention, de contrôle, d’assistance ou de rééducation entreprise par des organismes qualifiés en faveur de personnes se livrant à la prostitution ou en danger de prostitution”.</w:t>
      </w:r>
    </w:p>
    <w:p w14:paraId="7C12C37D" w14:textId="77777777" w:rsidR="007045AF" w:rsidRPr="007045AF" w:rsidRDefault="007045AF" w:rsidP="00940BDE">
      <w:pPr>
        <w:pStyle w:val="SingleTxtG"/>
        <w:numPr>
          <w:ilvl w:val="0"/>
          <w:numId w:val="40"/>
        </w:numPr>
        <w:ind w:left="1134" w:firstLine="0"/>
        <w:rPr>
          <w:lang w:val="fr-FR"/>
        </w:rPr>
      </w:pPr>
      <w:hyperlink r:id="rId33" w:tgtFrame="_blank" w:history="1">
        <w:r w:rsidRPr="007045AF">
          <w:rPr>
            <w:rStyle w:val="Hyperlink"/>
            <w:lang w:val="fr-FR"/>
          </w:rPr>
          <w:t xml:space="preserve">L’article 344 du code </w:t>
        </w:r>
        <w:r w:rsidRPr="00940BDE">
          <w:rPr>
            <w:lang w:val="fr-FR"/>
          </w:rPr>
          <w:t>pénal</w:t>
        </w:r>
      </w:hyperlink>
      <w:r w:rsidRPr="007045AF">
        <w:rPr>
          <w:lang w:val="fr-FR"/>
        </w:rPr>
        <w:t> cite des circonstances aggravantes des infractions citées à </w:t>
      </w:r>
      <w:hyperlink r:id="rId34" w:tgtFrame="_blank" w:history="1">
        <w:r w:rsidRPr="007045AF">
          <w:rPr>
            <w:rStyle w:val="Hyperlink"/>
            <w:lang w:val="fr-FR"/>
          </w:rPr>
          <w:t>l’article 343</w:t>
        </w:r>
      </w:hyperlink>
      <w:r w:rsidRPr="007045AF">
        <w:rPr>
          <w:lang w:val="fr-FR"/>
        </w:rPr>
        <w:t> dudit code et augmente leurs peines au double (emprisonnement de cinq (5) à dix (10) ans et à une amende de vingt milles (20.000) à deux cents milles (200.000) DA lorsque :</w:t>
      </w:r>
    </w:p>
    <w:p w14:paraId="76E29DA0" w14:textId="77777777" w:rsidR="007045AF" w:rsidRPr="007045AF" w:rsidRDefault="007045AF" w:rsidP="00AE1554">
      <w:pPr>
        <w:pStyle w:val="Bullet1G"/>
        <w:rPr>
          <w:lang w:val="fr-FR"/>
        </w:rPr>
      </w:pPr>
      <w:r w:rsidRPr="007045AF">
        <w:rPr>
          <w:lang w:val="fr-FR"/>
        </w:rPr>
        <w:t>Le délit a été commis à l’égard d’un mineur de moins de dix-huit (18) ans ;</w:t>
      </w:r>
    </w:p>
    <w:p w14:paraId="6EC5EFD8" w14:textId="77777777" w:rsidR="007045AF" w:rsidRPr="007045AF" w:rsidRDefault="007045AF" w:rsidP="00AE1554">
      <w:pPr>
        <w:pStyle w:val="Bullet1G"/>
        <w:rPr>
          <w:lang w:val="fr-FR"/>
        </w:rPr>
      </w:pPr>
      <w:r w:rsidRPr="007045AF">
        <w:rPr>
          <w:lang w:val="fr-FR"/>
        </w:rPr>
        <w:t>Le délit a été accompagné de menace, de contrainte, de violence, de voie de fait, d’abus d’autorité ou de dol ;</w:t>
      </w:r>
    </w:p>
    <w:p w14:paraId="3A8F20E3" w14:textId="77777777" w:rsidR="007045AF" w:rsidRPr="007045AF" w:rsidRDefault="007045AF" w:rsidP="00AE1554">
      <w:pPr>
        <w:pStyle w:val="Bullet1G"/>
        <w:rPr>
          <w:lang w:val="fr-FR"/>
        </w:rPr>
      </w:pPr>
      <w:r w:rsidRPr="007045AF">
        <w:rPr>
          <w:lang w:val="fr-FR"/>
        </w:rPr>
        <w:t>L’auteur du délit était porteur d’une arme apparente ou cachée ;</w:t>
      </w:r>
    </w:p>
    <w:p w14:paraId="1FED8234" w14:textId="77777777" w:rsidR="007045AF" w:rsidRPr="007045AF" w:rsidRDefault="007045AF" w:rsidP="00AE1554">
      <w:pPr>
        <w:pStyle w:val="Bullet1G"/>
        <w:rPr>
          <w:lang w:val="fr-FR"/>
        </w:rPr>
      </w:pPr>
      <w:r w:rsidRPr="007045AF">
        <w:rPr>
          <w:lang w:val="fr-FR"/>
        </w:rPr>
        <w:t>L’auteur du délit est époux, père, mère ou tuteur de la victime ou appartient à l’une des catégories énumérées à l’article 337 (relations d’inceste) ;</w:t>
      </w:r>
    </w:p>
    <w:p w14:paraId="75A8C148" w14:textId="77777777" w:rsidR="007045AF" w:rsidRPr="007045AF" w:rsidRDefault="007045AF" w:rsidP="00AE1554">
      <w:pPr>
        <w:pStyle w:val="Bullet1G"/>
        <w:rPr>
          <w:lang w:val="fr-FR"/>
        </w:rPr>
      </w:pPr>
      <w:r w:rsidRPr="007045AF">
        <w:rPr>
          <w:lang w:val="fr-FR"/>
        </w:rPr>
        <w:t>L’auteur du délit est appelé à participer, de par ses fonctions à la lutte contre la prostitution, à la protection de la santé ou de la jeunesse, ou au maintien de l’ordre public ;</w:t>
      </w:r>
    </w:p>
    <w:p w14:paraId="660BD06E" w14:textId="77777777" w:rsidR="007045AF" w:rsidRPr="007045AF" w:rsidRDefault="007045AF" w:rsidP="00AE1554">
      <w:pPr>
        <w:pStyle w:val="Bullet1G"/>
        <w:rPr>
          <w:lang w:val="fr-FR"/>
        </w:rPr>
      </w:pPr>
      <w:r w:rsidRPr="007045AF">
        <w:rPr>
          <w:lang w:val="fr-FR"/>
        </w:rPr>
        <w:t>Le délit a été commis à l’égard de plusieurs personnes ;</w:t>
      </w:r>
    </w:p>
    <w:p w14:paraId="6E47EDBD" w14:textId="77777777" w:rsidR="007045AF" w:rsidRPr="007045AF" w:rsidRDefault="007045AF" w:rsidP="00AE1554">
      <w:pPr>
        <w:pStyle w:val="Bullet1G"/>
        <w:rPr>
          <w:lang w:val="fr-FR"/>
        </w:rPr>
      </w:pPr>
      <w:r w:rsidRPr="007045AF">
        <w:rPr>
          <w:lang w:val="fr-FR"/>
        </w:rPr>
        <w:t>Les victimes du délit ont été livrées ou incitées à se livrer à la prostitution hors du territoire algérien ; </w:t>
      </w:r>
    </w:p>
    <w:p w14:paraId="58786D6F" w14:textId="77777777" w:rsidR="007045AF" w:rsidRPr="007045AF" w:rsidRDefault="007045AF" w:rsidP="00AE1554">
      <w:pPr>
        <w:pStyle w:val="Bullet1G"/>
        <w:rPr>
          <w:lang w:val="fr-FR"/>
        </w:rPr>
      </w:pPr>
      <w:r w:rsidRPr="007045AF">
        <w:rPr>
          <w:lang w:val="fr-FR"/>
        </w:rPr>
        <w:t>Les victimes du délit ont été livrées ou incitées à se livrer à la prostitution à leur arrivée ou dans un délai rapproché de leur arrivée sur le territoire algérien ;</w:t>
      </w:r>
    </w:p>
    <w:p w14:paraId="1F0B2C3E" w14:textId="77777777" w:rsidR="007045AF" w:rsidRPr="007045AF" w:rsidRDefault="007045AF" w:rsidP="00AE1554">
      <w:pPr>
        <w:pStyle w:val="Bullet1G"/>
        <w:rPr>
          <w:lang w:val="fr-FR"/>
        </w:rPr>
      </w:pPr>
      <w:r w:rsidRPr="007045AF">
        <w:rPr>
          <w:lang w:val="fr-FR"/>
        </w:rPr>
        <w:t>Le délit a été commis par plusieurs auteurs ou complices.</w:t>
      </w:r>
    </w:p>
    <w:p w14:paraId="2D35932D" w14:textId="77777777" w:rsidR="007045AF" w:rsidRPr="001624BD" w:rsidRDefault="007045AF" w:rsidP="001624BD">
      <w:pPr>
        <w:pStyle w:val="SingleTxtG"/>
        <w:numPr>
          <w:ilvl w:val="0"/>
          <w:numId w:val="40"/>
        </w:numPr>
        <w:ind w:left="1134" w:firstLine="0"/>
        <w:rPr>
          <w:lang w:val="fr-FR"/>
        </w:rPr>
      </w:pPr>
      <w:r w:rsidRPr="007045AF">
        <w:rPr>
          <w:lang w:val="fr-FR"/>
        </w:rPr>
        <w:t xml:space="preserve">Ladite loi réprime également toute personne incitant ou profitant de cette situation notamment </w:t>
      </w:r>
      <w:r w:rsidRPr="001624BD">
        <w:rPr>
          <w:lang w:val="fr-FR"/>
        </w:rPr>
        <w:fldChar w:fldCharType="begin"/>
      </w:r>
      <w:r w:rsidRPr="007045AF">
        <w:rPr>
          <w:lang w:val="fr-FR"/>
        </w:rPr>
        <w:instrText xml:space="preserve"> HYPERLINK "https://legal-doctrine.com/text/5ea18b57cdf412a4d8000add" \t "_blank" </w:instrText>
      </w:r>
      <w:r w:rsidRPr="001624BD">
        <w:rPr>
          <w:lang w:val="fr-FR"/>
        </w:rPr>
      </w:r>
      <w:r w:rsidRPr="001624BD">
        <w:rPr>
          <w:lang w:val="fr-FR"/>
        </w:rPr>
        <w:fldChar w:fldCharType="separate"/>
      </w:r>
      <w:r w:rsidRPr="001624BD">
        <w:rPr>
          <w:lang w:val="fr-FR"/>
        </w:rPr>
        <w:t xml:space="preserve">quiconque détenant, gérant, faisant fonctionner, finançant ou contribuant à financer un hôtel, maison meublée, pension, débit de boissons, restaurant, club, cercle, dancing, lieu de spectacles ou leurs annexes, ou lieu quelconque ouvert au public ou utilisé par le public, accepte ou tolère habituellement qu’une ou plusieurs personnes se livrent à la prostitution à l’intérieur de l’établissement ou dans ses annexes, ou y recherchent des clients </w:t>
      </w:r>
      <w:r w:rsidRPr="001624BD">
        <w:rPr>
          <w:lang w:val="fr-FR"/>
        </w:rPr>
        <w:lastRenderedPageBreak/>
        <w:t>en vue de la prostitution. Les mêmes peines sont applicables à toute personne qui assiste lesdits détenteurs, gérants, préposés ou bailleurs de fonds.</w:t>
      </w:r>
    </w:p>
    <w:p w14:paraId="7B5BF3DF" w14:textId="77777777" w:rsidR="007045AF" w:rsidRPr="007045AF" w:rsidRDefault="007045AF" w:rsidP="001624BD">
      <w:pPr>
        <w:pStyle w:val="SingleTxtG"/>
        <w:numPr>
          <w:ilvl w:val="0"/>
          <w:numId w:val="40"/>
        </w:numPr>
        <w:ind w:left="1134" w:firstLine="0"/>
        <w:rPr>
          <w:lang w:val="fr-FR"/>
        </w:rPr>
      </w:pPr>
      <w:r w:rsidRPr="001624BD">
        <w:rPr>
          <w:lang w:val="fr-FR"/>
        </w:rPr>
        <w:t>Dans tous les cas, le jugement de condamnation doit ordonner le retrait de la licence dont le condamné était bénéficiaire. Il doit, en outre, prononcer la fermeture de l’établissement pour une durée qui ne peut être inférieure à une (1) année à compter du prononcé du jugement (Art.346</w:t>
      </w:r>
      <w:r w:rsidRPr="001624BD">
        <w:rPr>
          <w:lang w:val="fr-FR"/>
        </w:rPr>
        <w:fldChar w:fldCharType="end"/>
      </w:r>
      <w:r w:rsidRPr="007045AF">
        <w:rPr>
          <w:lang w:val="fr-FR"/>
        </w:rPr>
        <w:t>).</w:t>
      </w:r>
    </w:p>
    <w:p w14:paraId="65BDE425" w14:textId="77777777" w:rsidR="007045AF" w:rsidRPr="007045AF" w:rsidRDefault="007045AF" w:rsidP="001624BD">
      <w:pPr>
        <w:pStyle w:val="SingleTxtG"/>
        <w:numPr>
          <w:ilvl w:val="0"/>
          <w:numId w:val="40"/>
        </w:numPr>
        <w:ind w:left="1134" w:firstLine="0"/>
        <w:rPr>
          <w:lang w:val="fr-FR"/>
        </w:rPr>
      </w:pPr>
      <w:r w:rsidRPr="007045AF">
        <w:rPr>
          <w:lang w:val="fr-FR"/>
        </w:rPr>
        <w:t>Les coupables des délits précités peuvent, en outre, faire l’objet pour un (1) an au moins et cinq (5) ans au plus de l’interdiction d’un ou plusieurs des droits mentionnés à </w:t>
      </w:r>
      <w:hyperlink r:id="rId35" w:tgtFrame="_blank" w:history="1">
        <w:r w:rsidRPr="007045AF">
          <w:rPr>
            <w:rStyle w:val="Hyperlink"/>
            <w:lang w:val="fr-FR"/>
          </w:rPr>
          <w:t>l’article 14</w:t>
        </w:r>
      </w:hyperlink>
      <w:r w:rsidRPr="007045AF">
        <w:rPr>
          <w:lang w:val="fr-FR"/>
        </w:rPr>
        <w:t> (droits civiques) et de l’interdiction de séjour (</w:t>
      </w:r>
      <w:hyperlink r:id="rId36" w:tgtFrame="_blank" w:history="1">
        <w:r w:rsidRPr="007045AF">
          <w:rPr>
            <w:rStyle w:val="Hyperlink"/>
            <w:lang w:val="fr-FR"/>
          </w:rPr>
          <w:t>Art.349</w:t>
        </w:r>
      </w:hyperlink>
      <w:r w:rsidRPr="007045AF">
        <w:rPr>
          <w:lang w:val="fr-FR"/>
        </w:rPr>
        <w:t>).</w:t>
      </w:r>
    </w:p>
    <w:p w14:paraId="5D83560E" w14:textId="63795C3A" w:rsidR="007045AF" w:rsidRPr="007045AF" w:rsidRDefault="007045AF" w:rsidP="007045AF">
      <w:pPr>
        <w:pStyle w:val="SingleTxtG"/>
        <w:rPr>
          <w:lang w:val="fr-FR"/>
        </w:rPr>
      </w:pPr>
      <w:r w:rsidRPr="007045AF">
        <w:rPr>
          <w:b/>
          <w:bCs/>
          <w:lang w:val="fr-FR"/>
        </w:rPr>
        <w:t>Article 7.</w:t>
      </w:r>
      <w:r w:rsidRPr="007045AF">
        <w:rPr>
          <w:lang w:val="fr-FR"/>
        </w:rPr>
        <w:t xml:space="preserve"> Voir réponse point 34</w:t>
      </w:r>
      <w:r w:rsidR="003C5987">
        <w:rPr>
          <w:lang w:val="fr-FR"/>
        </w:rPr>
        <w:t>.</w:t>
      </w:r>
    </w:p>
    <w:p w14:paraId="12894DC7" w14:textId="6F2A01E6" w:rsidR="007045AF" w:rsidRPr="007045AF" w:rsidRDefault="001624BD" w:rsidP="001624BD">
      <w:pPr>
        <w:pStyle w:val="H23G"/>
        <w:rPr>
          <w:lang w:val="fr-FR"/>
        </w:rPr>
      </w:pPr>
      <w:r>
        <w:rPr>
          <w:lang w:val="fr-FR"/>
        </w:rPr>
        <w:tab/>
      </w:r>
      <w:r>
        <w:rPr>
          <w:lang w:val="fr-FR"/>
        </w:rPr>
        <w:tab/>
      </w:r>
      <w:r w:rsidR="007045AF" w:rsidRPr="007045AF">
        <w:rPr>
          <w:lang w:val="fr-FR"/>
        </w:rPr>
        <w:t>Article 8</w:t>
      </w:r>
    </w:p>
    <w:p w14:paraId="387973FB" w14:textId="77777777" w:rsidR="007045AF" w:rsidRPr="007045AF" w:rsidRDefault="007045AF" w:rsidP="001624BD">
      <w:pPr>
        <w:pStyle w:val="SingleTxtG"/>
        <w:numPr>
          <w:ilvl w:val="0"/>
          <w:numId w:val="40"/>
        </w:numPr>
        <w:ind w:left="1134" w:firstLine="0"/>
        <w:rPr>
          <w:lang w:val="fr-FR"/>
        </w:rPr>
      </w:pPr>
      <w:r w:rsidRPr="007045AF">
        <w:rPr>
          <w:lang w:val="fr-FR"/>
        </w:rPr>
        <w:t>La participation des femmes aux rencontres régionales ou internationales, s’effectue sans aucune discrimination. Les femmes sont régulièrement désignées pour assister ou faire partie des délégations officielles aux différentes rencontres internationales.</w:t>
      </w:r>
    </w:p>
    <w:p w14:paraId="462FF64B" w14:textId="77777777" w:rsidR="007045AF" w:rsidRPr="007045AF" w:rsidRDefault="007045AF" w:rsidP="001624BD">
      <w:pPr>
        <w:pStyle w:val="SingleTxtG"/>
        <w:numPr>
          <w:ilvl w:val="0"/>
          <w:numId w:val="40"/>
        </w:numPr>
        <w:ind w:left="1134" w:firstLine="0"/>
        <w:rPr>
          <w:lang w:val="fr-FR"/>
        </w:rPr>
      </w:pPr>
      <w:r w:rsidRPr="007045AF">
        <w:rPr>
          <w:lang w:val="fr-FR"/>
        </w:rPr>
        <w:t xml:space="preserve">Les délégations algériennes sont davantage dirigées par des femmes. La présence de la femme algérienne aux manifestations internationales est passée de la participation au leadership. </w:t>
      </w:r>
    </w:p>
    <w:p w14:paraId="544F5ADB" w14:textId="3997BB82" w:rsidR="007045AF" w:rsidRPr="007045AF" w:rsidRDefault="001624BD" w:rsidP="001624BD">
      <w:pPr>
        <w:pStyle w:val="H23G"/>
        <w:rPr>
          <w:lang w:val="fr-FR"/>
        </w:rPr>
      </w:pPr>
      <w:r>
        <w:rPr>
          <w:lang w:val="fr-FR"/>
        </w:rPr>
        <w:tab/>
      </w:r>
      <w:r>
        <w:rPr>
          <w:lang w:val="fr-FR"/>
        </w:rPr>
        <w:tab/>
      </w:r>
      <w:r w:rsidR="007045AF" w:rsidRPr="007045AF">
        <w:rPr>
          <w:lang w:val="fr-FR"/>
        </w:rPr>
        <w:t>Article 9</w:t>
      </w:r>
    </w:p>
    <w:p w14:paraId="035D633F" w14:textId="77777777" w:rsidR="007045AF" w:rsidRPr="007045AF" w:rsidRDefault="007045AF" w:rsidP="001624BD">
      <w:pPr>
        <w:pStyle w:val="SingleTxtG"/>
        <w:numPr>
          <w:ilvl w:val="0"/>
          <w:numId w:val="40"/>
        </w:numPr>
        <w:ind w:left="1134" w:firstLine="0"/>
        <w:rPr>
          <w:lang w:val="fr-FR"/>
        </w:rPr>
      </w:pPr>
      <w:r w:rsidRPr="007045AF">
        <w:rPr>
          <w:lang w:val="fr-FR"/>
        </w:rPr>
        <w:t>Le Code de la famille a introduit des modifications concernant le mariage, sa dissolution et ses effets.</w:t>
      </w:r>
    </w:p>
    <w:p w14:paraId="30B519A4" w14:textId="77777777" w:rsidR="007045AF" w:rsidRPr="007045AF" w:rsidRDefault="007045AF" w:rsidP="001624BD">
      <w:pPr>
        <w:pStyle w:val="SingleTxtG"/>
        <w:numPr>
          <w:ilvl w:val="0"/>
          <w:numId w:val="40"/>
        </w:numPr>
        <w:ind w:left="1134" w:firstLine="0"/>
        <w:rPr>
          <w:lang w:val="fr-FR"/>
        </w:rPr>
      </w:pPr>
      <w:r w:rsidRPr="007045AF">
        <w:rPr>
          <w:lang w:val="fr-FR"/>
        </w:rPr>
        <w:t>Le Code de la nationalité permet l’acquisition de la nationalité algérienne par la mère.</w:t>
      </w:r>
    </w:p>
    <w:p w14:paraId="2EA5736F" w14:textId="1EBE57C4" w:rsidR="007045AF" w:rsidRPr="007045AF" w:rsidRDefault="007045AF" w:rsidP="007045AF">
      <w:pPr>
        <w:pStyle w:val="SingleTxtG"/>
        <w:rPr>
          <w:lang w:val="fr-FR"/>
        </w:rPr>
      </w:pPr>
      <w:r w:rsidRPr="007045AF">
        <w:rPr>
          <w:b/>
          <w:bCs/>
          <w:lang w:val="fr-FR"/>
        </w:rPr>
        <w:t>Article 10.</w:t>
      </w:r>
      <w:r w:rsidRPr="007045AF">
        <w:rPr>
          <w:lang w:val="fr-FR"/>
        </w:rPr>
        <w:t xml:space="preserve"> Voir réponse point 36</w:t>
      </w:r>
      <w:r w:rsidR="00324E03">
        <w:rPr>
          <w:lang w:val="fr-FR"/>
        </w:rPr>
        <w:t>.</w:t>
      </w:r>
    </w:p>
    <w:p w14:paraId="1C4A2E69" w14:textId="0739C3B6" w:rsidR="007045AF" w:rsidRPr="007045AF" w:rsidRDefault="007045AF" w:rsidP="007045AF">
      <w:pPr>
        <w:pStyle w:val="SingleTxtG"/>
        <w:rPr>
          <w:b/>
          <w:bCs/>
          <w:lang w:val="fr-FR"/>
        </w:rPr>
      </w:pPr>
      <w:r w:rsidRPr="007045AF">
        <w:rPr>
          <w:b/>
          <w:bCs/>
          <w:lang w:val="fr-FR"/>
        </w:rPr>
        <w:t>Article 11.</w:t>
      </w:r>
      <w:r w:rsidRPr="007045AF">
        <w:rPr>
          <w:lang w:val="fr-FR"/>
        </w:rPr>
        <w:t xml:space="preserve"> Voir réponse point 39</w:t>
      </w:r>
      <w:r w:rsidR="00324E03">
        <w:rPr>
          <w:lang w:val="fr-FR"/>
        </w:rPr>
        <w:t>.</w:t>
      </w:r>
    </w:p>
    <w:p w14:paraId="64E337C0" w14:textId="0A61A8A5" w:rsidR="007045AF" w:rsidRPr="007045AF" w:rsidRDefault="00324E03" w:rsidP="00324E03">
      <w:pPr>
        <w:pStyle w:val="H23G"/>
        <w:rPr>
          <w:lang w:val="fr-FR"/>
        </w:rPr>
      </w:pPr>
      <w:r>
        <w:rPr>
          <w:lang w:val="fr-FR"/>
        </w:rPr>
        <w:tab/>
      </w:r>
      <w:r>
        <w:rPr>
          <w:lang w:val="fr-FR"/>
        </w:rPr>
        <w:tab/>
      </w:r>
      <w:r w:rsidR="007045AF" w:rsidRPr="007045AF">
        <w:rPr>
          <w:lang w:val="fr-FR"/>
        </w:rPr>
        <w:t>Article 12</w:t>
      </w:r>
    </w:p>
    <w:p w14:paraId="7BDEB722" w14:textId="77777777" w:rsidR="007045AF" w:rsidRPr="007045AF" w:rsidRDefault="007045AF" w:rsidP="001624BD">
      <w:pPr>
        <w:pStyle w:val="SingleTxtG"/>
        <w:numPr>
          <w:ilvl w:val="0"/>
          <w:numId w:val="40"/>
        </w:numPr>
        <w:ind w:left="1134" w:firstLine="0"/>
        <w:rPr>
          <w:lang w:val="fr-FR"/>
        </w:rPr>
      </w:pPr>
      <w:r w:rsidRPr="007045AF">
        <w:rPr>
          <w:lang w:val="fr-FR"/>
        </w:rPr>
        <w:t>La loi n°18-11 du 02 juillet 2018 relative à la santé garantie la concrétisation du droit à la santé comme droit fondamental de l’être humain à travers l’extension du secteur public pour une couverture sur l’ensemble du territoire national (Art.12). L’Etat assure la gratuité des soins et en garantit l’accès à tous les citoyens sur l’ensemble du territoire national (Art.13). Toute personne a droit à la prévention, aux soins et à l’accompagnement qu’exige son état de santé, en tous lieu et à toutes les étapes de sa vie. Elle ne peut faire l’objet de discrimination en raison de son origine, de sa religion, de son âge, de son sexe, de sa situation sociale et familiale, de son état de santé ou de son handicap (Art.21).</w:t>
      </w:r>
    </w:p>
    <w:p w14:paraId="583200D9" w14:textId="77777777" w:rsidR="007045AF" w:rsidRPr="007045AF" w:rsidRDefault="007045AF" w:rsidP="00324E03">
      <w:pPr>
        <w:pStyle w:val="SingleTxtG"/>
        <w:numPr>
          <w:ilvl w:val="0"/>
          <w:numId w:val="40"/>
        </w:numPr>
        <w:ind w:left="1134" w:firstLine="0"/>
        <w:rPr>
          <w:lang w:val="fr-FR"/>
        </w:rPr>
      </w:pPr>
      <w:r w:rsidRPr="007045AF">
        <w:rPr>
          <w:lang w:val="fr-FR"/>
        </w:rPr>
        <w:t>Divers programmes sont mis en œuvre et renforcés continuellement afin de promouvoir la santé des femmes, notamment le programme national de protection maternelle et infantile, le programme national périnatalité, le programme national de la santé de la reproduction et de la planification familiale, le plan national de réduction de la mortalité maternelle, la prise en charge de la femme gestante, ainsi que le plan de lutte contre la transmission du VIH/SIDA mère et enfant.etc.</w:t>
      </w:r>
    </w:p>
    <w:p w14:paraId="634A3674" w14:textId="77777777" w:rsidR="007045AF" w:rsidRPr="00B11871" w:rsidRDefault="007045AF" w:rsidP="00324E03">
      <w:pPr>
        <w:pStyle w:val="SingleTxtG"/>
        <w:numPr>
          <w:ilvl w:val="0"/>
          <w:numId w:val="40"/>
        </w:numPr>
        <w:ind w:left="1134" w:firstLine="0"/>
        <w:rPr>
          <w:lang w:val="fr-FR"/>
        </w:rPr>
      </w:pPr>
      <w:r w:rsidRPr="007045AF">
        <w:rPr>
          <w:lang w:val="fr-FR"/>
        </w:rPr>
        <w:t xml:space="preserve">L’Algérie dispose actuellement d’un Etablissement </w:t>
      </w:r>
      <w:r w:rsidRPr="00B11871">
        <w:rPr>
          <w:lang w:val="fr-FR"/>
        </w:rPr>
        <w:t xml:space="preserve">Hospitalier Universitaire, de 16 Centres Hospitaliers Universitaires, 245 Etablissements Publics Hospitaliers, 98 Etablissements Hospitaliers Spécialisés, 1816 Polycliniques et 6413 salles de soins. Dans le secteur privé, il existe 341 Cliniques Médico-chirurgicales et 62 Cliniques Médicales. </w:t>
      </w:r>
    </w:p>
    <w:p w14:paraId="7B20A335" w14:textId="77777777" w:rsidR="007045AF" w:rsidRPr="00B11871" w:rsidRDefault="007045AF" w:rsidP="00324E03">
      <w:pPr>
        <w:pStyle w:val="SingleTxtG"/>
        <w:numPr>
          <w:ilvl w:val="0"/>
          <w:numId w:val="40"/>
        </w:numPr>
        <w:ind w:left="1134" w:firstLine="0"/>
        <w:rPr>
          <w:lang w:val="fr-FR"/>
        </w:rPr>
      </w:pPr>
      <w:r w:rsidRPr="00B11871">
        <w:rPr>
          <w:lang w:val="fr-FR"/>
        </w:rPr>
        <w:t xml:space="preserve">Concernant les établissements hospitaliers (CHU, EHS et EPH), ils disposent chacun des services comportant deux espaces, un espace dédié aux hommes et un autre dédié aux femmes, en sus des 36 EHS « Mère-enfant » dédiés uniquement aux femmes et aux enfants.   </w:t>
      </w:r>
    </w:p>
    <w:p w14:paraId="6C4F26AA" w14:textId="77777777" w:rsidR="007045AF" w:rsidRPr="007045AF" w:rsidRDefault="007045AF" w:rsidP="00324E03">
      <w:pPr>
        <w:pStyle w:val="SingleTxtG"/>
        <w:numPr>
          <w:ilvl w:val="0"/>
          <w:numId w:val="40"/>
        </w:numPr>
        <w:ind w:left="1134" w:firstLine="0"/>
        <w:rPr>
          <w:lang w:val="fr-FR"/>
        </w:rPr>
      </w:pPr>
      <w:r w:rsidRPr="00B11871">
        <w:rPr>
          <w:lang w:val="fr-FR"/>
        </w:rPr>
        <w:t>L’accès aux services de santé reproductive et de planification familiale représente une priorité. Ces services, désormais intégrés dans plus de 85% des structures de santé, sont offerts gratuitement. L’offre veille non seulement à garantir un approvisionnement régulier</w:t>
      </w:r>
      <w:r w:rsidRPr="007045AF">
        <w:rPr>
          <w:lang w:val="fr-FR"/>
        </w:rPr>
        <w:t xml:space="preserve"> </w:t>
      </w:r>
      <w:r w:rsidRPr="007045AF">
        <w:rPr>
          <w:lang w:val="fr-FR"/>
        </w:rPr>
        <w:lastRenderedPageBreak/>
        <w:t>et sécurisé en produits contraceptifs, mais aussi à en assurer la disponibilité, avec la participation active de tous les partenaires, y compris du secteur privé.</w:t>
      </w:r>
    </w:p>
    <w:p w14:paraId="7EAB38D6" w14:textId="77777777" w:rsidR="007045AF" w:rsidRPr="00B11871" w:rsidRDefault="007045AF" w:rsidP="00324E03">
      <w:pPr>
        <w:pStyle w:val="SingleTxtG"/>
        <w:numPr>
          <w:ilvl w:val="0"/>
          <w:numId w:val="40"/>
        </w:numPr>
        <w:ind w:left="1134" w:firstLine="0"/>
        <w:rPr>
          <w:lang w:val="fr-FR"/>
        </w:rPr>
      </w:pPr>
      <w:r w:rsidRPr="00B11871">
        <w:rPr>
          <w:lang w:val="fr-FR"/>
        </w:rPr>
        <w:t>Ces efforts ont permis de réaliser des progrès notables. Le taux de mortalité maternelle a connu une baisse significative, passant de 117,4 pour 100000 naissances vivantes en 1999 à 48,5 en 2019. La mortalité infantile est estimée à 19,7 pour mille en 2024, contre 36,9 pour mille en 2000. Cette diminution est plus importante chez les filles (17,6 pour mille en 2024 contre 35,3 en 2000) que parmi les garçons (21,7 contre 38,4).</w:t>
      </w:r>
    </w:p>
    <w:p w14:paraId="4EC66748" w14:textId="77777777" w:rsidR="007045AF" w:rsidRPr="007045AF" w:rsidRDefault="007045AF" w:rsidP="00324E03">
      <w:pPr>
        <w:pStyle w:val="SingleTxtG"/>
        <w:numPr>
          <w:ilvl w:val="0"/>
          <w:numId w:val="40"/>
        </w:numPr>
        <w:ind w:left="1134" w:firstLine="0"/>
        <w:rPr>
          <w:lang w:val="fr-FR"/>
        </w:rPr>
      </w:pPr>
      <w:r w:rsidRPr="007045AF">
        <w:rPr>
          <w:lang w:val="fr-FR"/>
        </w:rPr>
        <w:t>Le système national de santé publique offre des services de suivi prénatal, d’accouchement et de post-partum gratuits dans les établissements de santé publique.</w:t>
      </w:r>
    </w:p>
    <w:p w14:paraId="207CCD71" w14:textId="77777777" w:rsidR="007045AF" w:rsidRPr="007045AF" w:rsidRDefault="007045AF" w:rsidP="00324E03">
      <w:pPr>
        <w:pStyle w:val="SingleTxtG"/>
        <w:numPr>
          <w:ilvl w:val="0"/>
          <w:numId w:val="40"/>
        </w:numPr>
        <w:ind w:left="1134" w:firstLine="0"/>
        <w:rPr>
          <w:lang w:val="fr-FR"/>
        </w:rPr>
      </w:pPr>
      <w:r w:rsidRPr="007045AF">
        <w:rPr>
          <w:lang w:val="fr-FR"/>
        </w:rPr>
        <w:t>Des espaces sont mis en place au niveau des structures de proximités (Polycliniques, centres de santé et salles de soins) pour fournir aux femmes gratuitement les soins appropriés notamment pendant la grossesse et la période postnatale. Pendant l’accouchement, les femmes sont prises en charge dans les maternités rurales et urbaines, et/ou les établissements hospitaliers spécialisés (EHS) « Mère-enfants » et/ou les services de gynéco-obstétriques des établissements hospitaliers (EHU, CHU et EPH).</w:t>
      </w:r>
    </w:p>
    <w:p w14:paraId="767A16DB" w14:textId="77777777" w:rsidR="007045AF" w:rsidRPr="007045AF" w:rsidRDefault="007045AF" w:rsidP="00324E03">
      <w:pPr>
        <w:pStyle w:val="SingleTxtG"/>
        <w:numPr>
          <w:ilvl w:val="0"/>
          <w:numId w:val="40"/>
        </w:numPr>
        <w:ind w:left="1134" w:firstLine="0"/>
        <w:rPr>
          <w:lang w:val="fr-FR"/>
        </w:rPr>
      </w:pPr>
      <w:r w:rsidRPr="007045AF">
        <w:rPr>
          <w:lang w:val="fr-FR"/>
        </w:rPr>
        <w:t xml:space="preserve">Un guide de prise en charge de la femme gestante a été élaboré en 2018 pour organiser le suivi de la grossesse jusqu’à l’accouchement. Il définit le calendrier des visites, les catégories de femmes (à haut risque /sans risque), et les paliers de prise en charge. </w:t>
      </w:r>
    </w:p>
    <w:p w14:paraId="565666F8" w14:textId="77777777" w:rsidR="007045AF" w:rsidRPr="007045AF" w:rsidRDefault="007045AF" w:rsidP="00324E03">
      <w:pPr>
        <w:pStyle w:val="SingleTxtG"/>
        <w:numPr>
          <w:ilvl w:val="0"/>
          <w:numId w:val="40"/>
        </w:numPr>
        <w:ind w:left="1134" w:firstLine="0"/>
        <w:rPr>
          <w:lang w:val="fr-FR"/>
        </w:rPr>
      </w:pPr>
      <w:r w:rsidRPr="007045AF">
        <w:rPr>
          <w:lang w:val="fr-FR"/>
        </w:rPr>
        <w:t>S’agissant de la déclaration obligatoire des grossesses, la loi n°18-11 du 02 juillet 2018 relative à la santé notamment son article 73 prévoit que les professionnels de santé, doivent déclarer la femme enceinte. Elle est inscrite dès le troisième trimestre de grossesse, selon son choix, auprès d’une maternité publique ou privée. L’Etat met en place les moyens appropriés pour assurer le suivi périodique et obligatoire de la grossesse.</w:t>
      </w:r>
    </w:p>
    <w:p w14:paraId="1913CB6B" w14:textId="77777777" w:rsidR="007045AF" w:rsidRPr="007045AF" w:rsidRDefault="007045AF" w:rsidP="00324E03">
      <w:pPr>
        <w:pStyle w:val="SingleTxtG"/>
        <w:numPr>
          <w:ilvl w:val="0"/>
          <w:numId w:val="40"/>
        </w:numPr>
        <w:ind w:left="1134" w:firstLine="0"/>
        <w:rPr>
          <w:lang w:val="fr-FR"/>
        </w:rPr>
      </w:pPr>
      <w:r w:rsidRPr="007045AF">
        <w:rPr>
          <w:lang w:val="fr-FR"/>
        </w:rPr>
        <w:t xml:space="preserve">Dans le but de désengorger les hôpitaux, les assurés sociaux bénéficient, depuis 2020, d’une couverture par la sécurité sociale pour la prise en charge des accouchements dans le secteur privé, conformément au Décret exécutif n°20-60 du 14 mars 2020 fixant la convection-type conclue avec les organismes de sécurité sociale et les établissements hospitaliers privés pour la prise en charge de l’accouchement. </w:t>
      </w:r>
    </w:p>
    <w:p w14:paraId="7AF5B5D6" w14:textId="79635569" w:rsidR="007045AF" w:rsidRPr="007045AF" w:rsidRDefault="0013382C" w:rsidP="0013382C">
      <w:pPr>
        <w:pStyle w:val="H23G"/>
        <w:rPr>
          <w:lang w:val="fr-FR"/>
        </w:rPr>
      </w:pPr>
      <w:r>
        <w:rPr>
          <w:lang w:val="fr-FR"/>
        </w:rPr>
        <w:tab/>
      </w:r>
      <w:r>
        <w:rPr>
          <w:lang w:val="fr-FR"/>
        </w:rPr>
        <w:tab/>
      </w:r>
      <w:r w:rsidR="007045AF" w:rsidRPr="007045AF">
        <w:rPr>
          <w:lang w:val="fr-FR"/>
        </w:rPr>
        <w:t>Article 13</w:t>
      </w:r>
    </w:p>
    <w:p w14:paraId="3F4DD3C5" w14:textId="77777777" w:rsidR="007045AF" w:rsidRPr="007045AF" w:rsidRDefault="007045AF" w:rsidP="00324E03">
      <w:pPr>
        <w:pStyle w:val="SingleTxtG"/>
        <w:numPr>
          <w:ilvl w:val="0"/>
          <w:numId w:val="40"/>
        </w:numPr>
        <w:ind w:left="1134" w:firstLine="0"/>
        <w:rPr>
          <w:lang w:val="fr-FR"/>
        </w:rPr>
      </w:pPr>
      <w:r w:rsidRPr="007045AF">
        <w:rPr>
          <w:lang w:val="fr-FR"/>
        </w:rPr>
        <w:t>Le développement significatif de la formation professionnelle destinée aux femmes est le résultat d'une volonté politique visant à promouvoir leur formation.</w:t>
      </w:r>
    </w:p>
    <w:p w14:paraId="5846236B" w14:textId="77777777" w:rsidR="007045AF" w:rsidRPr="007045AF" w:rsidRDefault="007045AF" w:rsidP="00324E03">
      <w:pPr>
        <w:pStyle w:val="SingleTxtG"/>
        <w:numPr>
          <w:ilvl w:val="0"/>
          <w:numId w:val="40"/>
        </w:numPr>
        <w:ind w:left="1134" w:firstLine="0"/>
        <w:rPr>
          <w:lang w:val="fr-FR"/>
        </w:rPr>
      </w:pPr>
      <w:r w:rsidRPr="007045AF">
        <w:rPr>
          <w:lang w:val="fr-FR"/>
        </w:rPr>
        <w:t>Le ministère de la Formation et de l’Enseignement Professionnels a mis en place des mécanismes permettant aux femmes au foyer de s'inscrire dans des établissements de formation professionnelle afin d'obtenir une qualification professionnelle. Ce programme découle de l'importance accordée à la famille comme unité de base de la société.</w:t>
      </w:r>
    </w:p>
    <w:p w14:paraId="757EC5BB" w14:textId="77777777" w:rsidR="007045AF" w:rsidRPr="007045AF" w:rsidRDefault="007045AF" w:rsidP="00324E03">
      <w:pPr>
        <w:pStyle w:val="SingleTxtG"/>
        <w:numPr>
          <w:ilvl w:val="0"/>
          <w:numId w:val="40"/>
        </w:numPr>
        <w:ind w:left="1134" w:firstLine="0"/>
        <w:rPr>
          <w:lang w:val="fr-FR"/>
        </w:rPr>
      </w:pPr>
      <w:r w:rsidRPr="007045AF">
        <w:rPr>
          <w:lang w:val="fr-FR"/>
        </w:rPr>
        <w:t>Les axes principaux du programme national encouragent les femmes au foyer à participer à la production nationale sont les suivants :</w:t>
      </w:r>
    </w:p>
    <w:p w14:paraId="1B7485C1" w14:textId="4BA3F3F4" w:rsidR="007045AF" w:rsidRPr="007045AF" w:rsidRDefault="007045AF" w:rsidP="002763D7">
      <w:pPr>
        <w:pStyle w:val="Bullet1G"/>
        <w:rPr>
          <w:lang w:val="fr-FR"/>
        </w:rPr>
      </w:pPr>
      <w:r w:rsidRPr="007045AF">
        <w:rPr>
          <w:lang w:val="fr-FR"/>
        </w:rPr>
        <w:t>Information et sensibilisation :</w:t>
      </w:r>
    </w:p>
    <w:p w14:paraId="603C0977" w14:textId="54357DC7" w:rsidR="007045AF" w:rsidRPr="007045AF" w:rsidRDefault="007045AF" w:rsidP="002763D7">
      <w:pPr>
        <w:pStyle w:val="Bullet2G"/>
        <w:rPr>
          <w:lang w:val="fr-FR"/>
        </w:rPr>
      </w:pPr>
      <w:r w:rsidRPr="007045AF">
        <w:rPr>
          <w:lang w:val="fr-FR"/>
        </w:rPr>
        <w:t>Impliquer les maisons d'accompagnement et d’insertion professionnelle, créées au niveau de chaque wilaya par le MFEP, au profit des stagiaires et des diplômés des centres de formation, afin de les accompagner dans la création d’entreprises et de faciliter leur intégration professionnelle</w:t>
      </w:r>
      <w:r w:rsidR="002763D7">
        <w:rPr>
          <w:lang w:val="fr-FR"/>
        </w:rPr>
        <w:t>;</w:t>
      </w:r>
    </w:p>
    <w:p w14:paraId="7A43F796" w14:textId="77777777" w:rsidR="007045AF" w:rsidRPr="007045AF" w:rsidRDefault="007045AF" w:rsidP="002763D7">
      <w:pPr>
        <w:pStyle w:val="Bullet2G"/>
        <w:rPr>
          <w:lang w:val="fr-FR"/>
        </w:rPr>
      </w:pPr>
      <w:r w:rsidRPr="007045AF">
        <w:rPr>
          <w:lang w:val="fr-FR"/>
        </w:rPr>
        <w:t>Encourager les femmes au foyer à se former pour acquérir de nouvelles compétences.</w:t>
      </w:r>
    </w:p>
    <w:p w14:paraId="1C7E4223" w14:textId="77777777" w:rsidR="007045AF" w:rsidRPr="007045AF" w:rsidRDefault="007045AF" w:rsidP="00860729">
      <w:pPr>
        <w:pStyle w:val="Bullet1G"/>
        <w:rPr>
          <w:lang w:val="fr-FR"/>
        </w:rPr>
      </w:pPr>
      <w:r w:rsidRPr="007045AF">
        <w:rPr>
          <w:lang w:val="fr-FR"/>
        </w:rPr>
        <w:t>Formation :</w:t>
      </w:r>
    </w:p>
    <w:p w14:paraId="32BBE9F2" w14:textId="77777777" w:rsidR="007045AF" w:rsidRPr="00B11871" w:rsidRDefault="007045AF" w:rsidP="00902C20">
      <w:pPr>
        <w:pStyle w:val="Bullet2G"/>
        <w:rPr>
          <w:lang w:val="fr-FR"/>
        </w:rPr>
      </w:pPr>
      <w:r w:rsidRPr="007045AF">
        <w:rPr>
          <w:lang w:val="fr-FR"/>
        </w:rPr>
        <w:t xml:space="preserve">Plus de </w:t>
      </w:r>
      <w:r w:rsidRPr="00B11871">
        <w:rPr>
          <w:lang w:val="fr-FR"/>
        </w:rPr>
        <w:t>242748 femmes au foyer ont obtenu une qualification professionnelle entre février 2021 et le troisième trimestre 2024. Pour le premier trimestre 2026, le nombre s’élève à 8769 femmes. Par ailleurs, le nombre des femmes en cours de formation au premier trimestre 2026 s’élève à 107.914.</w:t>
      </w:r>
    </w:p>
    <w:p w14:paraId="516DD8A9" w14:textId="77777777" w:rsidR="00902C20" w:rsidRDefault="007045AF" w:rsidP="00902C20">
      <w:pPr>
        <w:pStyle w:val="Bullet1G"/>
        <w:rPr>
          <w:lang w:val="fr-FR"/>
        </w:rPr>
      </w:pPr>
      <w:r w:rsidRPr="007045AF">
        <w:rPr>
          <w:lang w:val="fr-FR"/>
        </w:rPr>
        <w:t>Validation des compétences acquises par l’expérience :</w:t>
      </w:r>
    </w:p>
    <w:p w14:paraId="6E0AA95A" w14:textId="75301A4C" w:rsidR="007045AF" w:rsidRPr="007045AF" w:rsidRDefault="007045AF" w:rsidP="00902C20">
      <w:pPr>
        <w:pStyle w:val="Bullet2G"/>
        <w:rPr>
          <w:b/>
          <w:bCs/>
          <w:lang w:val="fr-FR"/>
        </w:rPr>
      </w:pPr>
      <w:r w:rsidRPr="007045AF">
        <w:rPr>
          <w:lang w:val="fr-FR"/>
        </w:rPr>
        <w:lastRenderedPageBreak/>
        <w:t xml:space="preserve">Plus de </w:t>
      </w:r>
      <w:r w:rsidRPr="00B11871">
        <w:rPr>
          <w:lang w:val="fr-FR"/>
        </w:rPr>
        <w:t>19372 f</w:t>
      </w:r>
      <w:r w:rsidRPr="007045AF">
        <w:rPr>
          <w:lang w:val="fr-FR"/>
        </w:rPr>
        <w:t>emmes ont bénéficié de ce dispositif, permettant de reconnaître leurs compétences.</w:t>
      </w:r>
    </w:p>
    <w:p w14:paraId="5D730262" w14:textId="77777777" w:rsidR="00902C20" w:rsidRDefault="007045AF" w:rsidP="00902C20">
      <w:pPr>
        <w:pStyle w:val="Bullet1G"/>
        <w:rPr>
          <w:lang w:val="fr-FR"/>
        </w:rPr>
      </w:pPr>
      <w:r w:rsidRPr="007045AF">
        <w:rPr>
          <w:lang w:val="fr-FR"/>
        </w:rPr>
        <w:t xml:space="preserve">Marketing: </w:t>
      </w:r>
    </w:p>
    <w:p w14:paraId="2A0FC3A1" w14:textId="7B253519" w:rsidR="007045AF" w:rsidRPr="007045AF" w:rsidRDefault="007045AF" w:rsidP="00902C20">
      <w:pPr>
        <w:pStyle w:val="Bullet2G"/>
        <w:rPr>
          <w:b/>
          <w:bCs/>
          <w:lang w:val="fr-FR"/>
        </w:rPr>
      </w:pPr>
      <w:r w:rsidRPr="007045AF">
        <w:rPr>
          <w:lang w:val="fr-FR"/>
        </w:rPr>
        <w:t>Organisation d’expositions pour promouvoir les produits des femmes et les sensibiliser à leur rôle économique.</w:t>
      </w:r>
    </w:p>
    <w:p w14:paraId="39D0BA8D" w14:textId="77777777" w:rsidR="007045AF" w:rsidRPr="007045AF" w:rsidRDefault="007045AF" w:rsidP="00902C20">
      <w:pPr>
        <w:pStyle w:val="SingleTxtG"/>
        <w:numPr>
          <w:ilvl w:val="0"/>
          <w:numId w:val="40"/>
        </w:numPr>
        <w:ind w:left="1134" w:firstLine="0"/>
        <w:rPr>
          <w:lang w:val="fr-FR"/>
        </w:rPr>
      </w:pPr>
      <w:r w:rsidRPr="007045AF">
        <w:rPr>
          <w:lang w:val="fr-FR"/>
        </w:rPr>
        <w:t>Le secteur de la formation professionnelle offre d’autres types de formation, notamment :</w:t>
      </w:r>
    </w:p>
    <w:p w14:paraId="17917C81" w14:textId="345E39B8" w:rsidR="007045AF" w:rsidRPr="007045AF" w:rsidRDefault="007045AF" w:rsidP="00754968">
      <w:pPr>
        <w:pStyle w:val="Bullet1G"/>
        <w:rPr>
          <w:lang w:val="fr-FR"/>
        </w:rPr>
      </w:pPr>
      <w:r w:rsidRPr="007045AF">
        <w:rPr>
          <w:lang w:val="fr-FR"/>
        </w:rPr>
        <w:t>Des formations qui s’adressent principalement aux jeunes filles ayant quitté l’école prématurément, leur permettant, le cas échéant, de poursuivre une formation professionnelle</w:t>
      </w:r>
      <w:r w:rsidR="00754968">
        <w:rPr>
          <w:lang w:val="fr-FR"/>
        </w:rPr>
        <w:t>;</w:t>
      </w:r>
    </w:p>
    <w:p w14:paraId="43622D11" w14:textId="77C75B34" w:rsidR="007045AF" w:rsidRPr="007045AF" w:rsidRDefault="007045AF" w:rsidP="00754968">
      <w:pPr>
        <w:pStyle w:val="Bullet1G"/>
        <w:rPr>
          <w:lang w:val="fr-FR"/>
        </w:rPr>
      </w:pPr>
      <w:r w:rsidRPr="007045AF">
        <w:rPr>
          <w:lang w:val="fr-FR"/>
        </w:rPr>
        <w:t>Des formations à distance et des rencontres pédagogiques hebdomadaires sont assurées. En 2023</w:t>
      </w:r>
      <w:r w:rsidRPr="00B11871">
        <w:rPr>
          <w:lang w:val="fr-FR"/>
        </w:rPr>
        <w:t>, 25091 stagiaires ont en bénéficié. Pour le premier trimestre 2026, le nombre est de 1352</w:t>
      </w:r>
      <w:r w:rsidR="00754968" w:rsidRPr="00B11871">
        <w:rPr>
          <w:lang w:val="fr-FR"/>
        </w:rPr>
        <w:t>;</w:t>
      </w:r>
    </w:p>
    <w:p w14:paraId="2867B49A" w14:textId="3602DA18" w:rsidR="007045AF" w:rsidRPr="007045AF" w:rsidRDefault="007045AF" w:rsidP="00754968">
      <w:pPr>
        <w:pStyle w:val="Bullet1G"/>
        <w:rPr>
          <w:lang w:val="fr-FR"/>
        </w:rPr>
      </w:pPr>
      <w:r w:rsidRPr="007045AF">
        <w:rPr>
          <w:lang w:val="fr-FR"/>
        </w:rPr>
        <w:t>Un programme dédié à l’intégration professionnelle des catégories spéciales, avec les résultats suivants enregistrés en 2024:</w:t>
      </w:r>
    </w:p>
    <w:p w14:paraId="2D88401A" w14:textId="70B4547E" w:rsidR="007045AF" w:rsidRPr="007045AF" w:rsidRDefault="007045AF" w:rsidP="00754968">
      <w:pPr>
        <w:pStyle w:val="Bullet1G"/>
        <w:rPr>
          <w:lang w:val="fr-FR"/>
        </w:rPr>
      </w:pPr>
      <w:r w:rsidRPr="007045AF">
        <w:rPr>
          <w:lang w:val="fr-FR"/>
        </w:rPr>
        <w:t xml:space="preserve">Handicapées physiques : </w:t>
      </w:r>
      <w:r w:rsidRPr="00B11871">
        <w:rPr>
          <w:lang w:val="fr-FR"/>
        </w:rPr>
        <w:t>322 fill</w:t>
      </w:r>
      <w:r w:rsidRPr="007045AF">
        <w:rPr>
          <w:lang w:val="fr-FR"/>
        </w:rPr>
        <w:t>es</w:t>
      </w:r>
      <w:r w:rsidR="00754968">
        <w:rPr>
          <w:lang w:val="fr-FR"/>
        </w:rPr>
        <w:t>;</w:t>
      </w:r>
    </w:p>
    <w:p w14:paraId="5F0FFC36" w14:textId="4188447B" w:rsidR="007045AF" w:rsidRPr="007045AF" w:rsidRDefault="007045AF" w:rsidP="00754968">
      <w:pPr>
        <w:pStyle w:val="Bullet1G"/>
        <w:rPr>
          <w:lang w:val="fr-FR"/>
        </w:rPr>
      </w:pPr>
      <w:r w:rsidRPr="007045AF">
        <w:rPr>
          <w:lang w:val="fr-FR"/>
        </w:rPr>
        <w:t xml:space="preserve">Jeunes femmes en milieu carcéral </w:t>
      </w:r>
      <w:r w:rsidRPr="00B11871">
        <w:rPr>
          <w:lang w:val="fr-FR"/>
        </w:rPr>
        <w:t>: 1698 filles</w:t>
      </w:r>
      <w:r w:rsidR="00754968">
        <w:rPr>
          <w:lang w:val="fr-FR"/>
        </w:rPr>
        <w:t>;</w:t>
      </w:r>
    </w:p>
    <w:p w14:paraId="034B8A7F" w14:textId="77777777" w:rsidR="007045AF" w:rsidRPr="007045AF" w:rsidRDefault="007045AF" w:rsidP="00754968">
      <w:pPr>
        <w:pStyle w:val="Bullet1G"/>
        <w:rPr>
          <w:lang w:val="fr-FR"/>
        </w:rPr>
      </w:pPr>
      <w:r w:rsidRPr="007045AF">
        <w:rPr>
          <w:lang w:val="fr-FR"/>
        </w:rPr>
        <w:t>Jeunes femmes en danger moral</w:t>
      </w:r>
      <w:r w:rsidRPr="00B11871">
        <w:rPr>
          <w:lang w:val="fr-FR"/>
        </w:rPr>
        <w:t>: 62 filles</w:t>
      </w:r>
      <w:r w:rsidRPr="007045AF">
        <w:rPr>
          <w:lang w:val="fr-FR"/>
        </w:rPr>
        <w:t>.</w:t>
      </w:r>
    </w:p>
    <w:p w14:paraId="7EE067B6" w14:textId="77777777" w:rsidR="007045AF" w:rsidRPr="007045AF" w:rsidRDefault="007045AF" w:rsidP="00902C20">
      <w:pPr>
        <w:pStyle w:val="SingleTxtG"/>
        <w:numPr>
          <w:ilvl w:val="0"/>
          <w:numId w:val="40"/>
        </w:numPr>
        <w:ind w:left="1134" w:firstLine="0"/>
        <w:rPr>
          <w:lang w:val="fr-FR"/>
        </w:rPr>
      </w:pPr>
      <w:r w:rsidRPr="007045AF">
        <w:rPr>
          <w:lang w:val="fr-FR"/>
        </w:rPr>
        <w:t xml:space="preserve">Afin de garantir le droit des filles à un accès équitable aux activités socio-éducatives, culturelles, ainsi qu'aux activités de loisirs et d'éducation extrascolaire, les programmes mis en œuvre ont contribué à renforcer leur participation. A titre illustratif, </w:t>
      </w:r>
      <w:r w:rsidRPr="00B11871">
        <w:rPr>
          <w:lang w:val="fr-FR"/>
        </w:rPr>
        <w:t>en 2025, 52.151 filles ont participé aux activités récréatives et sportives, ainsi que 46.597 aux activités culturelles</w:t>
      </w:r>
      <w:r w:rsidRPr="007045AF">
        <w:rPr>
          <w:lang w:val="fr-FR"/>
        </w:rPr>
        <w:t xml:space="preserve"> et scientifiques, ce qui reflète une amélioration des indicateurs d'intégration et de participation. </w:t>
      </w:r>
    </w:p>
    <w:p w14:paraId="16544CC9" w14:textId="77777777" w:rsidR="007045AF" w:rsidRPr="007045AF" w:rsidRDefault="007045AF" w:rsidP="007045AF">
      <w:pPr>
        <w:pStyle w:val="SingleTxtG"/>
        <w:rPr>
          <w:b/>
          <w:bCs/>
          <w:lang w:val="fr-FR"/>
        </w:rPr>
      </w:pPr>
      <w:r w:rsidRPr="007045AF">
        <w:rPr>
          <w:b/>
          <w:bCs/>
          <w:noProof/>
          <w:lang w:val="fr-FR"/>
        </w:rPr>
        <w:drawing>
          <wp:inline distT="0" distB="0" distL="0" distR="0" wp14:anchorId="36650F4F" wp14:editId="5E09154D">
            <wp:extent cx="5486400" cy="3200400"/>
            <wp:effectExtent l="19050" t="0" r="19050" b="0"/>
            <wp:docPr id="6"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F0BB0F4" w14:textId="77777777" w:rsidR="007045AF" w:rsidRPr="007045AF" w:rsidRDefault="007045AF" w:rsidP="00902C20">
      <w:pPr>
        <w:pStyle w:val="SingleTxtG"/>
        <w:numPr>
          <w:ilvl w:val="0"/>
          <w:numId w:val="40"/>
        </w:numPr>
        <w:ind w:left="1134" w:firstLine="0"/>
        <w:rPr>
          <w:lang w:val="fr-FR"/>
        </w:rPr>
      </w:pPr>
      <w:r w:rsidRPr="007045AF">
        <w:rPr>
          <w:lang w:val="fr-FR"/>
        </w:rPr>
        <w:t>S’agissant du droit aux prêts bancaires, voir réponses aux paragraphes de 222 à 229.</w:t>
      </w:r>
    </w:p>
    <w:p w14:paraId="565B8AC8" w14:textId="77777777" w:rsidR="007045AF" w:rsidRPr="007045AF" w:rsidRDefault="007045AF" w:rsidP="00902C20">
      <w:pPr>
        <w:pStyle w:val="SingleTxtG"/>
        <w:numPr>
          <w:ilvl w:val="0"/>
          <w:numId w:val="40"/>
        </w:numPr>
        <w:ind w:left="1134" w:firstLine="0"/>
        <w:rPr>
          <w:lang w:val="fr-FR"/>
        </w:rPr>
      </w:pPr>
      <w:r w:rsidRPr="007045AF">
        <w:rPr>
          <w:lang w:val="fr-FR"/>
        </w:rPr>
        <w:t>Voir également réponses à l’article 03.</w:t>
      </w:r>
    </w:p>
    <w:p w14:paraId="2E47F60D" w14:textId="77777777" w:rsidR="007045AF" w:rsidRPr="007045AF" w:rsidRDefault="007045AF" w:rsidP="007045AF">
      <w:pPr>
        <w:pStyle w:val="SingleTxtG"/>
        <w:rPr>
          <w:lang w:val="fr-FR"/>
        </w:rPr>
      </w:pPr>
      <w:r w:rsidRPr="007045AF">
        <w:rPr>
          <w:b/>
          <w:bCs/>
          <w:lang w:val="fr-FR"/>
        </w:rPr>
        <w:t xml:space="preserve">Article 14. </w:t>
      </w:r>
      <w:r w:rsidRPr="007045AF">
        <w:rPr>
          <w:lang w:val="fr-FR"/>
        </w:rPr>
        <w:t>Voir réponse au point 43</w:t>
      </w:r>
    </w:p>
    <w:p w14:paraId="19B71908" w14:textId="5BD635DC" w:rsidR="007045AF" w:rsidRPr="007045AF" w:rsidRDefault="0069790F" w:rsidP="0069790F">
      <w:pPr>
        <w:pStyle w:val="H23G"/>
        <w:rPr>
          <w:lang w:val="fr-FR"/>
        </w:rPr>
      </w:pPr>
      <w:r>
        <w:rPr>
          <w:lang w:val="fr-FR"/>
        </w:rPr>
        <w:lastRenderedPageBreak/>
        <w:tab/>
      </w:r>
      <w:r>
        <w:rPr>
          <w:lang w:val="fr-FR"/>
        </w:rPr>
        <w:tab/>
      </w:r>
      <w:r w:rsidR="007045AF" w:rsidRPr="007045AF">
        <w:rPr>
          <w:lang w:val="fr-FR"/>
        </w:rPr>
        <w:t>Article 15</w:t>
      </w:r>
    </w:p>
    <w:p w14:paraId="20480640" w14:textId="77777777" w:rsidR="007045AF" w:rsidRPr="007045AF" w:rsidRDefault="007045AF" w:rsidP="00902C20">
      <w:pPr>
        <w:pStyle w:val="SingleTxtG"/>
        <w:numPr>
          <w:ilvl w:val="0"/>
          <w:numId w:val="40"/>
        </w:numPr>
        <w:ind w:left="1134" w:firstLine="0"/>
        <w:rPr>
          <w:lang w:val="fr-FR"/>
        </w:rPr>
      </w:pPr>
      <w:r w:rsidRPr="007045AF">
        <w:rPr>
          <w:lang w:val="fr-FR"/>
        </w:rPr>
        <w:t>Conformément au décret présidentiel n°25-218 du 04 août 2025, la réserve de l’Algérie sur l'article 15.4 de la convention de 1979 sur l'élimination de toutes les formes de discrimination à l'égard des femmes a été levée.</w:t>
      </w:r>
    </w:p>
    <w:p w14:paraId="06247D86" w14:textId="56131C2A" w:rsidR="007045AF" w:rsidRPr="007045AF" w:rsidRDefault="0069790F" w:rsidP="00902C20">
      <w:pPr>
        <w:pStyle w:val="H23G"/>
        <w:rPr>
          <w:lang w:val="fr-FR"/>
        </w:rPr>
      </w:pPr>
      <w:r>
        <w:rPr>
          <w:lang w:val="fr-FR"/>
        </w:rPr>
        <w:tab/>
      </w:r>
      <w:r>
        <w:rPr>
          <w:lang w:val="fr-FR"/>
        </w:rPr>
        <w:tab/>
      </w:r>
      <w:r w:rsidR="007045AF" w:rsidRPr="007045AF">
        <w:rPr>
          <w:lang w:val="fr-FR"/>
        </w:rPr>
        <w:t>Article 16</w:t>
      </w:r>
    </w:p>
    <w:p w14:paraId="40F040F7" w14:textId="77777777" w:rsidR="007045AF" w:rsidRPr="007045AF" w:rsidRDefault="007045AF" w:rsidP="00902C20">
      <w:pPr>
        <w:pStyle w:val="SingleTxtG"/>
        <w:numPr>
          <w:ilvl w:val="0"/>
          <w:numId w:val="40"/>
        </w:numPr>
        <w:ind w:left="1134" w:firstLine="0"/>
        <w:rPr>
          <w:lang w:val="fr-FR"/>
        </w:rPr>
      </w:pPr>
      <w:r w:rsidRPr="007045AF">
        <w:rPr>
          <w:lang w:val="fr-FR"/>
        </w:rPr>
        <w:t>La réserve relative à l'article 16 ne peut être levée en raison de son lien avec le statut personnel, dont la source est l’Islam, qui s'inscrit dans le cadre de la liberté de pratique des croyances religieuses, consacrée par les conventions internationales.</w:t>
      </w:r>
    </w:p>
    <w:p w14:paraId="7F96F435" w14:textId="77777777" w:rsidR="007045AF" w:rsidRPr="007045AF" w:rsidRDefault="007045AF" w:rsidP="00902C20">
      <w:pPr>
        <w:pStyle w:val="SingleTxtG"/>
        <w:numPr>
          <w:ilvl w:val="0"/>
          <w:numId w:val="40"/>
        </w:numPr>
        <w:ind w:left="1134" w:firstLine="0"/>
        <w:rPr>
          <w:lang w:val="fr-FR"/>
        </w:rPr>
      </w:pPr>
      <w:r w:rsidRPr="007045AF">
        <w:rPr>
          <w:lang w:val="fr-FR"/>
        </w:rPr>
        <w:t>Voir également la réponse au point 47.</w:t>
      </w:r>
    </w:p>
    <w:p w14:paraId="37C50B4A" w14:textId="0ADD0BB1" w:rsidR="007045AF" w:rsidRPr="007045AF" w:rsidRDefault="00902C20" w:rsidP="00902C20">
      <w:pPr>
        <w:pStyle w:val="HChG"/>
      </w:pPr>
      <w:r>
        <w:tab/>
      </w:r>
      <w:r>
        <w:tab/>
      </w:r>
      <w:r w:rsidR="007045AF" w:rsidRPr="007045AF">
        <w:t>Conclusion</w:t>
      </w:r>
    </w:p>
    <w:p w14:paraId="1D4EDC2B" w14:textId="77777777" w:rsidR="007045AF" w:rsidRDefault="007045AF" w:rsidP="00902C20">
      <w:pPr>
        <w:pStyle w:val="SingleTxtG"/>
        <w:numPr>
          <w:ilvl w:val="0"/>
          <w:numId w:val="40"/>
        </w:numPr>
        <w:ind w:left="1134" w:firstLine="0"/>
      </w:pPr>
      <w:r w:rsidRPr="007045AF">
        <w:t>Conformément aux exigences de méthodologies et de limites de mots, ce rapport n’a pas repris de manière exhaustive toutes les réalisations intervenues en matière de protection et de promotion du statut de la femme en Algérie, se limitant à partager les plus importantes d’entre-elles, notamment celles considérées comme bonnes pratiques.</w:t>
      </w:r>
    </w:p>
    <w:p w14:paraId="23592FC4" w14:textId="39A32D6E" w:rsidR="0099284A" w:rsidRPr="0099284A" w:rsidRDefault="0099284A" w:rsidP="0099284A">
      <w:pPr>
        <w:pStyle w:val="SingleTxtG"/>
        <w:jc w:val="center"/>
        <w:rPr>
          <w:b/>
          <w:bCs/>
          <w:u w:val="single"/>
        </w:rPr>
      </w:pPr>
      <w:r>
        <w:rPr>
          <w:u w:val="single"/>
        </w:rPr>
        <w:tab/>
      </w:r>
      <w:r>
        <w:rPr>
          <w:u w:val="single"/>
        </w:rPr>
        <w:tab/>
      </w:r>
      <w:r>
        <w:rPr>
          <w:u w:val="single"/>
        </w:rPr>
        <w:tab/>
      </w:r>
    </w:p>
    <w:sectPr w:rsidR="0099284A" w:rsidRPr="0099284A">
      <w:headerReference w:type="even" r:id="rId38"/>
      <w:headerReference w:type="default" r:id="rId39"/>
      <w:footerReference w:type="even" r:id="rId40"/>
      <w:footerReference w:type="default" r:id="rId41"/>
      <w:footerReference w:type="first" r:id="rId4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52356" w14:textId="77777777" w:rsidR="00981284" w:rsidRDefault="00981284">
      <w:pPr>
        <w:spacing w:line="240" w:lineRule="auto"/>
      </w:pPr>
    </w:p>
  </w:endnote>
  <w:endnote w:type="continuationSeparator" w:id="0">
    <w:p w14:paraId="4A8B7675" w14:textId="77777777" w:rsidR="00981284" w:rsidRDefault="00981284">
      <w:pPr>
        <w:pStyle w:val="Footer"/>
      </w:pPr>
    </w:p>
  </w:endnote>
  <w:endnote w:type="continuationNotice" w:id="1">
    <w:p w14:paraId="02721D6F" w14:textId="77777777" w:rsidR="00981284" w:rsidRDefault="009812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567A2" w14:textId="77777777" w:rsidR="00023CC6" w:rsidRDefault="006C48D2">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E15325">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2310A" w14:textId="77777777" w:rsidR="00023CC6" w:rsidRDefault="00B629B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59305" w14:textId="77777777" w:rsidR="00023CC6" w:rsidRDefault="006C48D2">
    <w:pPr>
      <w:pStyle w:val="Footer"/>
      <w:spacing w:before="120"/>
      <w:rPr>
        <w:noProof/>
        <w:sz w:val="20"/>
        <w:lang w:eastAsia="fr-FR"/>
      </w:rPr>
    </w:pPr>
    <w:r>
      <w:rPr>
        <w:noProof/>
        <w:lang w:eastAsia="fr-CH"/>
      </w:rPr>
      <w:drawing>
        <wp:anchor distT="0" distB="0" distL="114300" distR="114300" simplePos="0" relativeHeight="251658240" behindDoc="0" locked="1" layoutInCell="1" allowOverlap="1" wp14:anchorId="02B9AE6A" wp14:editId="2864D44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A2EF0" w14:paraId="59CD772E" w14:textId="77777777">
      <w:tc>
        <w:tcPr>
          <w:tcW w:w="1848" w:type="dxa"/>
          <w:vAlign w:val="bottom"/>
        </w:tcPr>
        <w:p w14:paraId="5FF5D485" w14:textId="77777777" w:rsidR="00023CC6" w:rsidRDefault="006C48D2">
          <w:pPr>
            <w:spacing w:before="120" w:after="120" w:line="240" w:lineRule="auto"/>
            <w:jc w:val="right"/>
            <w:rPr>
              <w:sz w:val="16"/>
            </w:rPr>
          </w:pPr>
          <w:r>
            <w:rPr>
              <w:noProof/>
              <w:lang w:eastAsia="fr-CH"/>
            </w:rPr>
            <w:drawing>
              <wp:inline distT="0" distB="0" distL="0" distR="0" wp14:anchorId="3F3165DE" wp14:editId="651DC299">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74E6EAE0" w14:textId="77777777" w:rsidR="00023CC6" w:rsidRDefault="00023CC6">
          <w:pPr>
            <w:spacing w:line="240" w:lineRule="auto"/>
            <w:jc w:val="right"/>
            <w:rPr>
              <w:sz w:val="16"/>
            </w:rPr>
          </w:pPr>
        </w:p>
      </w:tc>
    </w:tr>
  </w:tbl>
  <w:p w14:paraId="3A61F774" w14:textId="77777777" w:rsidR="00023CC6" w:rsidRDefault="00023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028C4" w14:textId="77777777" w:rsidR="00981284" w:rsidRDefault="00981284">
      <w:pPr>
        <w:pStyle w:val="Footer"/>
        <w:tabs>
          <w:tab w:val="right" w:pos="2155"/>
        </w:tabs>
        <w:spacing w:after="80" w:line="240" w:lineRule="atLeast"/>
        <w:ind w:left="680"/>
        <w:rPr>
          <w:u w:val="single"/>
        </w:rPr>
      </w:pPr>
      <w:r>
        <w:rPr>
          <w:u w:val="single"/>
        </w:rPr>
        <w:tab/>
      </w:r>
    </w:p>
  </w:footnote>
  <w:footnote w:type="continuationSeparator" w:id="0">
    <w:p w14:paraId="22996A07" w14:textId="77777777" w:rsidR="00981284" w:rsidRDefault="00981284">
      <w:pPr>
        <w:pStyle w:val="Footer"/>
        <w:tabs>
          <w:tab w:val="right" w:pos="2155"/>
        </w:tabs>
        <w:spacing w:after="80" w:line="240" w:lineRule="atLeast"/>
        <w:ind w:left="680"/>
        <w:rPr>
          <w:u w:val="single"/>
        </w:rPr>
      </w:pPr>
      <w:r>
        <w:rPr>
          <w:u w:val="single"/>
        </w:rPr>
        <w:tab/>
      </w:r>
    </w:p>
  </w:footnote>
  <w:footnote w:type="continuationNotice" w:id="1">
    <w:p w14:paraId="000DEF51" w14:textId="77777777" w:rsidR="00981284" w:rsidRDefault="00981284">
      <w:pPr>
        <w:spacing w:line="240" w:lineRule="auto"/>
        <w:rPr>
          <w:sz w:val="2"/>
          <w:szCs w:val="2"/>
        </w:rPr>
      </w:pPr>
    </w:p>
  </w:footnote>
  <w:footnote w:id="2">
    <w:p w14:paraId="27F09571" w14:textId="77777777" w:rsidR="002A5953" w:rsidRPr="000D505D" w:rsidRDefault="006C48D2" w:rsidP="002A5953">
      <w:pPr>
        <w:pStyle w:val="FootnoteText"/>
      </w:pPr>
      <w:r>
        <w:tab/>
      </w:r>
      <w:r w:rsidRPr="00F53B4E">
        <w:rPr>
          <w:rStyle w:val="FootnoteReference"/>
          <w:sz w:val="20"/>
          <w:vertAlign w:val="baseline"/>
        </w:rPr>
        <w:t>*</w:t>
      </w:r>
      <w:r>
        <w:rPr>
          <w:sz w:val="20"/>
        </w:rPr>
        <w:tab/>
      </w:r>
      <w:r w:rsidRPr="00F53B4E">
        <w:rPr>
          <w:szCs w:val="18"/>
        </w:rPr>
        <w:t xml:space="preserve">Le </w:t>
      </w:r>
      <w:r>
        <w:t>présent document n’a pas été revu par les services d’édition.</w:t>
      </w:r>
    </w:p>
  </w:footnote>
  <w:footnote w:id="3">
    <w:p w14:paraId="6A1D234F" w14:textId="29DA141C" w:rsidR="004D38A0" w:rsidRPr="004D38A0" w:rsidRDefault="004D38A0">
      <w:pPr>
        <w:pStyle w:val="FootnoteText"/>
        <w:rPr>
          <w:lang w:val="fr-FR"/>
        </w:rPr>
      </w:pPr>
      <w:r>
        <w:rPr>
          <w:rStyle w:val="FootnoteReference"/>
        </w:rPr>
        <w:tab/>
      </w:r>
      <w:r w:rsidRPr="004D38A0">
        <w:rPr>
          <w:rStyle w:val="FootnoteReference"/>
          <w:sz w:val="20"/>
          <w:vertAlign w:val="baseline"/>
        </w:rPr>
        <w:t>**</w:t>
      </w:r>
      <w:r>
        <w:rPr>
          <w:rStyle w:val="FootnoteReference"/>
          <w:sz w:val="20"/>
          <w:vertAlign w:val="baseline"/>
        </w:rPr>
        <w:tab/>
      </w:r>
      <w:r>
        <w:rPr>
          <w:rStyle w:val="ui-provider"/>
        </w:rPr>
        <w:t>Les annexes du présent document peuvent</w:t>
      </w:r>
      <w:r w:rsidRPr="00177F05">
        <w:rPr>
          <w:rStyle w:val="ui-provider"/>
          <w:color w:val="FF0000"/>
        </w:rPr>
        <w:t xml:space="preserve"> </w:t>
      </w:r>
      <w:r>
        <w:rPr>
          <w:rStyle w:val="ui-provider"/>
        </w:rPr>
        <w:t>être consultée</w:t>
      </w:r>
      <w:r w:rsidR="004E55B2">
        <w:rPr>
          <w:rStyle w:val="ui-provider"/>
        </w:rPr>
        <w:t>s</w:t>
      </w:r>
      <w:r w:rsidR="004E55B2">
        <w:rPr>
          <w:rStyle w:val="ui-provider"/>
          <w:color w:val="FF0000"/>
        </w:rPr>
        <w:t xml:space="preserve"> </w:t>
      </w:r>
      <w:r>
        <w:rPr>
          <w:rStyle w:val="ui-provider"/>
        </w:rPr>
        <w:t>sur la page Web du Comité</w:t>
      </w:r>
      <w:r>
        <w:t>.</w:t>
      </w:r>
    </w:p>
  </w:footnote>
  <w:footnote w:id="4">
    <w:p w14:paraId="47F1BF00" w14:textId="7E96803E" w:rsidR="007045AF" w:rsidRPr="000370A6" w:rsidRDefault="001E6B6F" w:rsidP="001E6B6F">
      <w:pPr>
        <w:pStyle w:val="FootnoteText"/>
        <w:rPr>
          <w:rFonts w:asciiTheme="majorBidi" w:hAnsiTheme="majorBidi" w:cstheme="majorBidi"/>
          <w:sz w:val="2"/>
          <w:szCs w:val="2"/>
        </w:rPr>
      </w:pPr>
      <w:r>
        <w:tab/>
      </w:r>
      <w:r w:rsidR="007045AF" w:rsidRPr="000450B3">
        <w:rPr>
          <w:rStyle w:val="FootnoteReference"/>
          <w:rFonts w:asciiTheme="majorBidi" w:hAnsiTheme="majorBidi" w:cstheme="majorBidi"/>
        </w:rPr>
        <w:footnoteRef/>
      </w:r>
      <w:r>
        <w:tab/>
      </w:r>
      <w:r w:rsidR="007045AF" w:rsidRPr="000370A6">
        <w:t>Décre</w:t>
      </w:r>
      <w:r w:rsidR="007045AF">
        <w:t>t présidentiel n° 96–51, publié</w:t>
      </w:r>
      <w:r w:rsidR="007045AF" w:rsidRPr="000370A6">
        <w:t xml:space="preserve"> au J.O n°06 du 24 janvier 1996. </w:t>
      </w:r>
    </w:p>
  </w:footnote>
  <w:footnote w:id="5">
    <w:p w14:paraId="203936C6" w14:textId="712C96EB" w:rsidR="007045AF" w:rsidRPr="001E6B6F" w:rsidRDefault="001E6B6F" w:rsidP="001E6B6F">
      <w:pPr>
        <w:pStyle w:val="FootnoteText"/>
      </w:pPr>
      <w:r>
        <w:rPr>
          <w:rFonts w:asciiTheme="majorBidi" w:hAnsiTheme="majorBidi" w:cstheme="majorBidi"/>
          <w:sz w:val="22"/>
          <w:szCs w:val="22"/>
        </w:rPr>
        <w:tab/>
      </w:r>
      <w:r w:rsidR="007045AF" w:rsidRPr="00AB4D66">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 xml:space="preserve">Décret Présidentiel n°16-255 relatif à la Charte Africaine de la démocratie, des élections et de la Gouvernance, in, J.O n°59 du 09 Octobre 2016. </w:t>
      </w:r>
    </w:p>
  </w:footnote>
  <w:footnote w:id="6">
    <w:p w14:paraId="4DF70041" w14:textId="7D4263C9" w:rsidR="007045AF" w:rsidRPr="001E6B6F" w:rsidRDefault="001E6B6F" w:rsidP="007045AF">
      <w:pPr>
        <w:pStyle w:val="FootnoteText"/>
      </w:pPr>
      <w:r>
        <w:rPr>
          <w:rFonts w:asciiTheme="majorBidi" w:hAnsiTheme="majorBidi" w:cstheme="majorBidi"/>
          <w:sz w:val="22"/>
          <w:szCs w:val="22"/>
        </w:rPr>
        <w:tab/>
      </w:r>
      <w:r w:rsidR="007045AF" w:rsidRPr="00CF5700">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Art.211 de la Constitution.</w:t>
      </w:r>
    </w:p>
  </w:footnote>
  <w:footnote w:id="7">
    <w:p w14:paraId="17D18B8B" w14:textId="053B1C8B" w:rsidR="007045AF" w:rsidRPr="00CF5700" w:rsidRDefault="001E6B6F" w:rsidP="007045AF">
      <w:pPr>
        <w:pStyle w:val="FootnoteText"/>
        <w:rPr>
          <w:rFonts w:asciiTheme="majorBidi" w:hAnsiTheme="majorBidi" w:cstheme="majorBidi"/>
          <w:sz w:val="22"/>
          <w:szCs w:val="22"/>
        </w:rPr>
      </w:pPr>
      <w:r>
        <w:rPr>
          <w:rFonts w:asciiTheme="majorBidi" w:hAnsiTheme="majorBidi" w:cstheme="majorBidi"/>
          <w:sz w:val="22"/>
          <w:szCs w:val="22"/>
        </w:rPr>
        <w:tab/>
      </w:r>
      <w:r w:rsidR="007045AF" w:rsidRPr="00CF5700">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Décret présidentiel n°26-109 du 03 Mars 2026, in, J.O n °18 du 10 Mars 2026.</w:t>
      </w:r>
    </w:p>
  </w:footnote>
  <w:footnote w:id="8">
    <w:p w14:paraId="5CE30360" w14:textId="46E5F53B" w:rsidR="007045AF" w:rsidRPr="001E6B6F" w:rsidRDefault="001E6B6F" w:rsidP="007045AF">
      <w:pPr>
        <w:pStyle w:val="FootnoteText"/>
      </w:pPr>
      <w:r>
        <w:rPr>
          <w:rFonts w:asciiTheme="majorBidi" w:hAnsiTheme="majorBidi" w:cstheme="majorBidi"/>
          <w:kern w:val="2"/>
          <w:sz w:val="22"/>
          <w:szCs w:val="22"/>
        </w:rPr>
        <w:tab/>
      </w:r>
      <w:r w:rsidR="007045AF" w:rsidRPr="00CF5700">
        <w:rPr>
          <w:rStyle w:val="FootnoteReference"/>
          <w:rFonts w:asciiTheme="majorBidi" w:hAnsiTheme="majorBidi" w:cstheme="majorBidi"/>
          <w:sz w:val="22"/>
          <w:szCs w:val="22"/>
        </w:rPr>
        <w:footnoteRef/>
      </w:r>
      <w:r>
        <w:rPr>
          <w:rFonts w:asciiTheme="majorBidi" w:hAnsiTheme="majorBidi" w:cstheme="majorBidi"/>
          <w:kern w:val="2"/>
          <w:sz w:val="22"/>
          <w:szCs w:val="22"/>
        </w:rPr>
        <w:tab/>
      </w:r>
      <w:r w:rsidR="007045AF" w:rsidRPr="001E6B6F">
        <w:t xml:space="preserve">Décret présidentiel n°21-416, modifié et complété, in, J.O °83 du 31 Octobre 2021. </w:t>
      </w:r>
    </w:p>
  </w:footnote>
  <w:footnote w:id="9">
    <w:p w14:paraId="0C055657" w14:textId="40955C87" w:rsidR="007045AF" w:rsidRPr="001E6B6F" w:rsidRDefault="001E6B6F" w:rsidP="007045AF">
      <w:pPr>
        <w:pStyle w:val="FootnoteText"/>
      </w:pPr>
      <w:r>
        <w:rPr>
          <w:rFonts w:asciiTheme="majorBidi" w:hAnsiTheme="majorBidi" w:cstheme="majorBidi"/>
          <w:kern w:val="2"/>
          <w:sz w:val="22"/>
          <w:szCs w:val="22"/>
        </w:rPr>
        <w:tab/>
      </w:r>
      <w:r w:rsidR="007045AF" w:rsidRPr="00CF5700">
        <w:rPr>
          <w:rStyle w:val="FootnoteReference"/>
          <w:rFonts w:asciiTheme="majorBidi" w:hAnsiTheme="majorBidi" w:cstheme="majorBidi"/>
          <w:sz w:val="22"/>
          <w:szCs w:val="22"/>
        </w:rPr>
        <w:footnoteRef/>
      </w:r>
      <w:r>
        <w:rPr>
          <w:rFonts w:asciiTheme="majorBidi" w:hAnsiTheme="majorBidi" w:cstheme="majorBidi"/>
          <w:kern w:val="2"/>
          <w:sz w:val="22"/>
          <w:szCs w:val="22"/>
        </w:rPr>
        <w:tab/>
      </w:r>
      <w:r w:rsidR="007045AF" w:rsidRPr="001E6B6F">
        <w:t xml:space="preserve">Décret présidentiel n° 21-139 du </w:t>
      </w:r>
      <w:r w:rsidR="007045AF" w:rsidRPr="001E6B6F">
        <w:rPr>
          <w:lang w:bidi="ar-DZ"/>
        </w:rPr>
        <w:t>12 avril 2021, modifié et complété, in, J.O n°29 du 18 avril 2021.</w:t>
      </w:r>
    </w:p>
  </w:footnote>
  <w:footnote w:id="10">
    <w:p w14:paraId="43CE00A0" w14:textId="1F640EAA" w:rsidR="007045AF" w:rsidRPr="001E6B6F" w:rsidRDefault="001E6B6F" w:rsidP="007045AF">
      <w:pPr>
        <w:pStyle w:val="FootnoteText"/>
      </w:pPr>
      <w:r>
        <w:rPr>
          <w:rFonts w:asciiTheme="majorBidi" w:hAnsiTheme="majorBidi" w:cstheme="majorBidi"/>
          <w:sz w:val="22"/>
          <w:szCs w:val="22"/>
        </w:rPr>
        <w:tab/>
      </w:r>
      <w:r w:rsidR="007045AF" w:rsidRPr="00AB4D66">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Décret exécutif n°06-421 du 22 novembre 2006</w:t>
      </w:r>
      <w:r w:rsidR="007045AF" w:rsidRPr="001E6B6F">
        <w:rPr>
          <w:lang w:bidi="ar-DZ"/>
        </w:rPr>
        <w:t xml:space="preserve">, in, J.O n°75 du </w:t>
      </w:r>
      <w:r w:rsidR="007045AF" w:rsidRPr="001E6B6F">
        <w:t>26 novembre 2006.</w:t>
      </w:r>
    </w:p>
  </w:footnote>
  <w:footnote w:id="11">
    <w:p w14:paraId="50FADCBB" w14:textId="199FE03C" w:rsidR="007045AF" w:rsidRPr="00F251C5" w:rsidRDefault="001E6B6F" w:rsidP="007045AF">
      <w:pPr>
        <w:pStyle w:val="FootnoteText"/>
        <w:rPr>
          <w:rFonts w:asciiTheme="majorBidi" w:hAnsiTheme="majorBidi" w:cstheme="majorBidi"/>
          <w:color w:val="FF0000"/>
          <w:sz w:val="22"/>
          <w:szCs w:val="22"/>
        </w:rPr>
      </w:pPr>
      <w:r>
        <w:rPr>
          <w:rFonts w:asciiTheme="majorBidi" w:hAnsiTheme="majorBidi" w:cstheme="majorBidi"/>
          <w:sz w:val="22"/>
          <w:szCs w:val="22"/>
        </w:rPr>
        <w:tab/>
      </w:r>
      <w:r w:rsidR="007045AF" w:rsidRPr="00AB4D66">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Loi n°15-12 du 15 juillet 2015 relative à la protection de l’enfance.</w:t>
      </w:r>
    </w:p>
  </w:footnote>
  <w:footnote w:id="12">
    <w:p w14:paraId="42F2CD45" w14:textId="59DF446F" w:rsidR="007045AF" w:rsidRPr="001E6B6F" w:rsidRDefault="001E6B6F" w:rsidP="001E6B6F">
      <w:pPr>
        <w:pStyle w:val="FootnoteText"/>
      </w:pPr>
      <w:r>
        <w:rPr>
          <w:rFonts w:asciiTheme="majorBidi" w:hAnsiTheme="majorBidi" w:cstheme="majorBidi"/>
          <w:sz w:val="22"/>
          <w:szCs w:val="22"/>
        </w:rPr>
        <w:tab/>
      </w:r>
      <w:r w:rsidR="007045AF" w:rsidRPr="002F3A56">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 xml:space="preserve">Décret présidentiel n°26-159 du 16 avril 2026 portant réorganisation et fonctionnement du Comité national de prévention et de lutte contre la traite des personnes. </w:t>
      </w:r>
    </w:p>
  </w:footnote>
  <w:footnote w:id="13">
    <w:p w14:paraId="77B9BA03" w14:textId="34E3A5B1" w:rsidR="007045AF" w:rsidRPr="001E6B6F" w:rsidRDefault="001E6B6F" w:rsidP="007045AF">
      <w:pPr>
        <w:pStyle w:val="FootnoteText"/>
      </w:pPr>
      <w:r>
        <w:rPr>
          <w:rFonts w:asciiTheme="majorBidi" w:hAnsiTheme="majorBidi" w:cstheme="majorBidi"/>
          <w:sz w:val="22"/>
          <w:szCs w:val="22"/>
        </w:rPr>
        <w:tab/>
      </w:r>
      <w:r w:rsidR="007045AF" w:rsidRPr="00204AD9">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En 1996, le Conseil National de Transition exerçait les prérogatives du Parlement.</w:t>
      </w:r>
    </w:p>
  </w:footnote>
  <w:footnote w:id="14">
    <w:p w14:paraId="2B21FF26" w14:textId="7D0F23B0" w:rsidR="007045AF" w:rsidRPr="001E6B6F" w:rsidRDefault="001E6B6F" w:rsidP="007045AF">
      <w:pPr>
        <w:pStyle w:val="FootnoteText"/>
      </w:pPr>
      <w:r>
        <w:rPr>
          <w:rFonts w:asciiTheme="majorBidi" w:hAnsiTheme="majorBidi" w:cstheme="majorBidi"/>
          <w:sz w:val="22"/>
          <w:szCs w:val="22"/>
        </w:rPr>
        <w:tab/>
      </w:r>
      <w:r w:rsidR="007045AF" w:rsidRPr="00AB4D66">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Voir référence paragraphes 13 et 14.</w:t>
      </w:r>
    </w:p>
  </w:footnote>
  <w:footnote w:id="15">
    <w:p w14:paraId="52462A99" w14:textId="30FFBD70" w:rsidR="007045AF" w:rsidRPr="001E6B6F" w:rsidRDefault="001E6B6F" w:rsidP="007045AF">
      <w:pPr>
        <w:pStyle w:val="FootnoteText"/>
      </w:pPr>
      <w:r>
        <w:rPr>
          <w:rFonts w:asciiTheme="majorBidi" w:hAnsiTheme="majorBidi" w:cstheme="majorBidi"/>
          <w:sz w:val="22"/>
          <w:szCs w:val="22"/>
        </w:rPr>
        <w:tab/>
      </w:r>
      <w:r w:rsidR="007045AF" w:rsidRPr="002C452E">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Voir paragraphe 14</w:t>
      </w:r>
      <w:r>
        <w:t>.</w:t>
      </w:r>
    </w:p>
  </w:footnote>
  <w:footnote w:id="16">
    <w:p w14:paraId="68DD0898" w14:textId="03C27E81" w:rsidR="007045AF" w:rsidRPr="002C452E" w:rsidRDefault="001E6B6F" w:rsidP="007045AF">
      <w:pPr>
        <w:pStyle w:val="FootnoteText"/>
      </w:pPr>
      <w:r>
        <w:rPr>
          <w:rFonts w:asciiTheme="majorBidi" w:hAnsiTheme="majorBidi" w:cstheme="majorBidi"/>
          <w:sz w:val="22"/>
          <w:szCs w:val="22"/>
        </w:rPr>
        <w:tab/>
      </w:r>
      <w:r w:rsidR="007045AF" w:rsidRPr="002C452E">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Article 5 bis 5</w:t>
      </w:r>
      <w:r>
        <w:t>.</w:t>
      </w:r>
    </w:p>
  </w:footnote>
  <w:footnote w:id="17">
    <w:p w14:paraId="029FA755" w14:textId="414C0C70" w:rsidR="007045AF" w:rsidRPr="007957D9" w:rsidRDefault="001E6B6F" w:rsidP="007045AF">
      <w:pPr>
        <w:pStyle w:val="FootnoteText"/>
        <w:rPr>
          <w:rFonts w:asciiTheme="majorBidi" w:hAnsiTheme="majorBidi" w:cstheme="majorBidi"/>
          <w:sz w:val="22"/>
          <w:szCs w:val="22"/>
        </w:rPr>
      </w:pPr>
      <w:r>
        <w:rPr>
          <w:rFonts w:asciiTheme="majorBidi" w:hAnsiTheme="majorBidi" w:cstheme="majorBidi"/>
          <w:sz w:val="22"/>
          <w:szCs w:val="22"/>
        </w:rPr>
        <w:tab/>
      </w:r>
      <w:r w:rsidR="007045AF" w:rsidRPr="007957D9">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Ratifiée le 19 octobre 1962.</w:t>
      </w:r>
    </w:p>
  </w:footnote>
  <w:footnote w:id="18">
    <w:p w14:paraId="41E321E0" w14:textId="3DA50CDD" w:rsidR="007045AF" w:rsidRPr="001E6B6F" w:rsidRDefault="001E6B6F" w:rsidP="007045AF">
      <w:pPr>
        <w:pStyle w:val="FootnoteText"/>
      </w:pPr>
      <w:r>
        <w:rPr>
          <w:rFonts w:asciiTheme="majorBidi" w:hAnsiTheme="majorBidi" w:cstheme="majorBidi"/>
          <w:sz w:val="22"/>
          <w:szCs w:val="22"/>
        </w:rPr>
        <w:tab/>
      </w:r>
      <w:r w:rsidR="007045AF" w:rsidRPr="007957D9">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Ratifiée le 12 juin 1969.</w:t>
      </w:r>
    </w:p>
  </w:footnote>
  <w:footnote w:id="19">
    <w:p w14:paraId="4197587B" w14:textId="54C3DA14" w:rsidR="007045AF" w:rsidRPr="001E6B6F" w:rsidRDefault="001E6B6F" w:rsidP="007045AF">
      <w:pPr>
        <w:pStyle w:val="FootnoteText"/>
      </w:pPr>
      <w:r>
        <w:rPr>
          <w:rFonts w:asciiTheme="majorBidi" w:hAnsiTheme="majorBidi" w:cstheme="majorBidi"/>
          <w:sz w:val="22"/>
          <w:szCs w:val="22"/>
        </w:rPr>
        <w:tab/>
      </w:r>
      <w:r w:rsidR="007045AF" w:rsidRPr="00AB4D66">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 xml:space="preserve">Loi </w:t>
      </w:r>
      <w:r w:rsidR="007045AF" w:rsidRPr="001E6B6F">
        <w:rPr>
          <w:lang w:eastAsia="fr-FR"/>
        </w:rPr>
        <w:t>n° 08-04 du 23 janvier 2008 portant loi d’orientation sur l’éducation nationale.</w:t>
      </w:r>
    </w:p>
  </w:footnote>
  <w:footnote w:id="20">
    <w:p w14:paraId="662A49D0" w14:textId="1B6E5F75" w:rsidR="007045AF" w:rsidRPr="001E6B6F" w:rsidRDefault="001E6B6F" w:rsidP="001E6B6F">
      <w:pPr>
        <w:pStyle w:val="FootnoteText"/>
      </w:pPr>
      <w:r>
        <w:rPr>
          <w:rFonts w:asciiTheme="majorBidi" w:hAnsiTheme="majorBidi" w:cstheme="majorBidi"/>
          <w:sz w:val="22"/>
          <w:szCs w:val="22"/>
        </w:rPr>
        <w:tab/>
      </w:r>
      <w:r w:rsidR="007045AF" w:rsidRPr="00CF5700">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Décret présidentiel n°16- 249 du 26 Septembre 2016.</w:t>
      </w:r>
    </w:p>
  </w:footnote>
  <w:footnote w:id="21">
    <w:p w14:paraId="7F5E9650" w14:textId="5B45ABD3" w:rsidR="007045AF" w:rsidRPr="001E6B6F" w:rsidRDefault="001E6B6F" w:rsidP="001E6B6F">
      <w:pPr>
        <w:pStyle w:val="FootnoteText"/>
      </w:pPr>
      <w:r>
        <w:rPr>
          <w:rFonts w:asciiTheme="majorBidi" w:hAnsiTheme="majorBidi" w:cstheme="majorBidi"/>
          <w:sz w:val="22"/>
          <w:szCs w:val="22"/>
        </w:rPr>
        <w:tab/>
      </w:r>
      <w:r w:rsidR="007045AF" w:rsidRPr="00CF5700">
        <w:rPr>
          <w:rStyle w:val="FootnoteReference"/>
          <w:rFonts w:asciiTheme="majorBidi" w:hAnsiTheme="majorBidi" w:cstheme="majorBidi"/>
          <w:sz w:val="22"/>
          <w:szCs w:val="22"/>
        </w:rPr>
        <w:footnoteRef/>
      </w:r>
      <w:r>
        <w:rPr>
          <w:rFonts w:asciiTheme="majorBidi" w:hAnsiTheme="majorBidi" w:cstheme="majorBidi"/>
          <w:sz w:val="22"/>
          <w:szCs w:val="22"/>
        </w:rPr>
        <w:tab/>
      </w:r>
      <w:r w:rsidR="007045AF" w:rsidRPr="001E6B6F">
        <w:t>Décret présidentiel n°26-159 du 16 avril 2026 portant réorganisation et fonctionnement du Comité.</w:t>
      </w:r>
    </w:p>
  </w:footnote>
  <w:footnote w:id="22">
    <w:p w14:paraId="6AB96E86" w14:textId="2E724327" w:rsidR="007045AF" w:rsidRPr="001E6B6F" w:rsidRDefault="001E6B6F" w:rsidP="001E6B6F">
      <w:pPr>
        <w:pStyle w:val="FootnoteText"/>
      </w:pPr>
      <w:r>
        <w:rPr>
          <w:rFonts w:asciiTheme="majorBidi" w:hAnsiTheme="majorBidi" w:cstheme="majorBidi"/>
          <w:bCs/>
          <w:sz w:val="22"/>
          <w:szCs w:val="22"/>
        </w:rPr>
        <w:tab/>
      </w:r>
      <w:r w:rsidR="007045AF" w:rsidRPr="00CF5700">
        <w:rPr>
          <w:rStyle w:val="FootnoteReference"/>
          <w:rFonts w:asciiTheme="majorBidi" w:hAnsiTheme="majorBidi" w:cstheme="majorBidi"/>
          <w:sz w:val="22"/>
          <w:szCs w:val="22"/>
        </w:rPr>
        <w:footnoteRef/>
      </w:r>
      <w:r>
        <w:rPr>
          <w:rFonts w:asciiTheme="majorBidi" w:hAnsiTheme="majorBidi" w:cstheme="majorBidi"/>
          <w:bCs/>
          <w:sz w:val="22"/>
          <w:szCs w:val="22"/>
        </w:rPr>
        <w:tab/>
      </w:r>
      <w:r w:rsidR="007045AF" w:rsidRPr="001E6B6F">
        <w:t>Loi n°25-17 du 14 décembre 2025, portant loi de finance 2025.</w:t>
      </w:r>
    </w:p>
  </w:footnote>
  <w:footnote w:id="23">
    <w:p w14:paraId="66D2076F" w14:textId="2F2A2DFA" w:rsidR="007045AF" w:rsidRPr="001E6B6F" w:rsidRDefault="001E6B6F" w:rsidP="001E6B6F">
      <w:pPr>
        <w:pStyle w:val="FootnoteText"/>
      </w:pPr>
      <w:r>
        <w:rPr>
          <w:rFonts w:asciiTheme="majorBidi" w:hAnsiTheme="majorBidi" w:cstheme="majorBidi"/>
          <w:bCs/>
          <w:sz w:val="22"/>
          <w:szCs w:val="22"/>
          <w:shd w:val="clear" w:color="auto" w:fill="FFFFFF"/>
        </w:rPr>
        <w:tab/>
      </w:r>
      <w:r w:rsidR="007045AF" w:rsidRPr="00CF5700">
        <w:rPr>
          <w:rStyle w:val="FootnoteReference"/>
          <w:rFonts w:asciiTheme="majorBidi" w:hAnsiTheme="majorBidi" w:cstheme="majorBidi"/>
          <w:sz w:val="22"/>
          <w:szCs w:val="22"/>
        </w:rPr>
        <w:footnoteRef/>
      </w:r>
      <w:r>
        <w:rPr>
          <w:rFonts w:asciiTheme="majorBidi" w:hAnsiTheme="majorBidi" w:cstheme="majorBidi"/>
          <w:bCs/>
          <w:sz w:val="22"/>
          <w:szCs w:val="22"/>
          <w:shd w:val="clear" w:color="auto" w:fill="FFFFFF"/>
        </w:rPr>
        <w:tab/>
      </w:r>
      <w:r w:rsidR="007045AF" w:rsidRPr="001E6B6F">
        <w:t>Décret exécutif n°26-14 du 07 janvier 2026 fixant le mécanisme national de prise en charge des victimes de la traite des personnes.</w:t>
      </w:r>
    </w:p>
  </w:footnote>
  <w:footnote w:id="24">
    <w:p w14:paraId="227417B9" w14:textId="1FEE2927" w:rsidR="007045AF" w:rsidRPr="000D2556" w:rsidRDefault="001E6B6F" w:rsidP="001E6B6F">
      <w:pPr>
        <w:pStyle w:val="FootnoteText"/>
      </w:pPr>
      <w:r>
        <w:tab/>
      </w:r>
      <w:r w:rsidR="007045AF" w:rsidRPr="000D2556">
        <w:rPr>
          <w:rStyle w:val="FootnoteReference"/>
        </w:rPr>
        <w:footnoteRef/>
      </w:r>
      <w:r>
        <w:tab/>
      </w:r>
      <w:r w:rsidR="007045AF" w:rsidRPr="000D2556">
        <w:t>Arrêté du 03 février 2026 fixant la liste des lieux affectés à l’accueil et à l’hébergement des victimes de la traite des personnes dans les établissements relevant du secteur chargé de la solidarité nationale.</w:t>
      </w:r>
    </w:p>
    <w:p w14:paraId="5ABEEB59" w14:textId="77777777" w:rsidR="007045AF" w:rsidRDefault="007045AF" w:rsidP="007045A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0AEE2" w14:textId="6B23A3AB" w:rsidR="00023CC6" w:rsidRDefault="00B629BF">
    <w:pPr>
      <w:pStyle w:val="Header"/>
    </w:pPr>
    <w:r>
      <w:t>CEDAW/C/</w:t>
    </w:r>
    <w:r w:rsidR="003D5918">
      <w:t>DZA</w:t>
    </w:r>
    <w:r>
      <w:t>/5-7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1C7E7" w14:textId="28086FF2" w:rsidR="00023CC6" w:rsidRDefault="00B629BF">
    <w:pPr>
      <w:pStyle w:val="Header"/>
      <w:jc w:val="right"/>
    </w:pPr>
    <w:r>
      <w:t>CEDAW/C/</w:t>
    </w:r>
    <w:r w:rsidR="002117AC">
      <w:t>DZA</w:t>
    </w:r>
    <w:r>
      <w:t>/5-7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40D3"/>
    <w:multiLevelType w:val="multilevel"/>
    <w:tmpl w:val="B438369E"/>
    <w:lvl w:ilvl="0">
      <w:start w:val="16"/>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62A8C"/>
    <w:multiLevelType w:val="hybridMultilevel"/>
    <w:tmpl w:val="D668FE24"/>
    <w:lvl w:ilvl="0" w:tplc="040C000D">
      <w:start w:val="10"/>
      <w:numFmt w:val="bullet"/>
      <w:lvlText w:val="-"/>
      <w:lvlJc w:val="left"/>
      <w:pPr>
        <w:ind w:left="1080" w:hanging="360"/>
      </w:pPr>
      <w:rPr>
        <w:rFonts w:ascii="Calibri" w:eastAsiaTheme="majorEastAsia" w:hAnsi="Calibri" w:cs="Calibri" w:hint="default"/>
        <w:color w:val="000000" w:themeColor="text1"/>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74467FB"/>
    <w:multiLevelType w:val="hybridMultilevel"/>
    <w:tmpl w:val="9A4CCBF8"/>
    <w:lvl w:ilvl="0" w:tplc="75DE642A">
      <w:start w:val="1"/>
      <w:numFmt w:val="bullet"/>
      <w:lvlText w:val="-"/>
      <w:lvlJc w:val="left"/>
      <w:pPr>
        <w:ind w:left="862" w:hanging="360"/>
      </w:pPr>
      <w:rPr>
        <w:rFonts w:ascii="Arial" w:eastAsia="Times New Roman" w:hAnsi="Arial" w:cs="Arial" w:hint="default"/>
        <w:strike w:val="0"/>
        <w:color w:val="auto"/>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3" w15:restartNumberingAfterBreak="0">
    <w:nsid w:val="0A324CFE"/>
    <w:multiLevelType w:val="multilevel"/>
    <w:tmpl w:val="B438369E"/>
    <w:lvl w:ilvl="0">
      <w:start w:val="16"/>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41E2B"/>
    <w:multiLevelType w:val="hybridMultilevel"/>
    <w:tmpl w:val="766EE9A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D954887"/>
    <w:multiLevelType w:val="hybridMultilevel"/>
    <w:tmpl w:val="6E24C118"/>
    <w:lvl w:ilvl="0" w:tplc="DEE454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4CA06E" w:tentative="1">
      <w:start w:val="1"/>
      <w:numFmt w:val="lowerLetter"/>
      <w:lvlText w:val="%2."/>
      <w:lvlJc w:val="left"/>
      <w:pPr>
        <w:tabs>
          <w:tab w:val="num" w:pos="1440"/>
        </w:tabs>
        <w:ind w:left="1440" w:hanging="360"/>
      </w:pPr>
    </w:lvl>
    <w:lvl w:ilvl="2" w:tplc="124A25CA" w:tentative="1">
      <w:start w:val="1"/>
      <w:numFmt w:val="lowerRoman"/>
      <w:lvlText w:val="%3."/>
      <w:lvlJc w:val="right"/>
      <w:pPr>
        <w:tabs>
          <w:tab w:val="num" w:pos="2160"/>
        </w:tabs>
        <w:ind w:left="2160" w:hanging="180"/>
      </w:pPr>
    </w:lvl>
    <w:lvl w:ilvl="3" w:tplc="FA7C14AE" w:tentative="1">
      <w:start w:val="1"/>
      <w:numFmt w:val="decimal"/>
      <w:lvlText w:val="%4."/>
      <w:lvlJc w:val="left"/>
      <w:pPr>
        <w:tabs>
          <w:tab w:val="num" w:pos="2880"/>
        </w:tabs>
        <w:ind w:left="2880" w:hanging="360"/>
      </w:pPr>
    </w:lvl>
    <w:lvl w:ilvl="4" w:tplc="AF167502" w:tentative="1">
      <w:start w:val="1"/>
      <w:numFmt w:val="lowerLetter"/>
      <w:lvlText w:val="%5."/>
      <w:lvlJc w:val="left"/>
      <w:pPr>
        <w:tabs>
          <w:tab w:val="num" w:pos="3600"/>
        </w:tabs>
        <w:ind w:left="3600" w:hanging="360"/>
      </w:pPr>
    </w:lvl>
    <w:lvl w:ilvl="5" w:tplc="4ED0DE84" w:tentative="1">
      <w:start w:val="1"/>
      <w:numFmt w:val="lowerRoman"/>
      <w:lvlText w:val="%6."/>
      <w:lvlJc w:val="right"/>
      <w:pPr>
        <w:tabs>
          <w:tab w:val="num" w:pos="4320"/>
        </w:tabs>
        <w:ind w:left="4320" w:hanging="180"/>
      </w:pPr>
    </w:lvl>
    <w:lvl w:ilvl="6" w:tplc="0E5E733E" w:tentative="1">
      <w:start w:val="1"/>
      <w:numFmt w:val="decimal"/>
      <w:lvlText w:val="%7."/>
      <w:lvlJc w:val="left"/>
      <w:pPr>
        <w:tabs>
          <w:tab w:val="num" w:pos="5040"/>
        </w:tabs>
        <w:ind w:left="5040" w:hanging="360"/>
      </w:pPr>
    </w:lvl>
    <w:lvl w:ilvl="7" w:tplc="B1FEEDE8" w:tentative="1">
      <w:start w:val="1"/>
      <w:numFmt w:val="lowerLetter"/>
      <w:lvlText w:val="%8."/>
      <w:lvlJc w:val="left"/>
      <w:pPr>
        <w:tabs>
          <w:tab w:val="num" w:pos="5760"/>
        </w:tabs>
        <w:ind w:left="5760" w:hanging="360"/>
      </w:pPr>
    </w:lvl>
    <w:lvl w:ilvl="8" w:tplc="9B8CF06C" w:tentative="1">
      <w:start w:val="1"/>
      <w:numFmt w:val="lowerRoman"/>
      <w:lvlText w:val="%9."/>
      <w:lvlJc w:val="right"/>
      <w:pPr>
        <w:tabs>
          <w:tab w:val="num" w:pos="6480"/>
        </w:tabs>
        <w:ind w:left="6480" w:hanging="180"/>
      </w:pPr>
    </w:lvl>
  </w:abstractNum>
  <w:abstractNum w:abstractNumId="6" w15:restartNumberingAfterBreak="0">
    <w:nsid w:val="0E1D31D0"/>
    <w:multiLevelType w:val="hybridMultilevel"/>
    <w:tmpl w:val="5178D74A"/>
    <w:lvl w:ilvl="0" w:tplc="C2A27B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394063"/>
    <w:multiLevelType w:val="hybridMultilevel"/>
    <w:tmpl w:val="C2FE46CA"/>
    <w:lvl w:ilvl="0" w:tplc="805E08BE">
      <w:start w:val="10"/>
      <w:numFmt w:val="bullet"/>
      <w:lvlText w:val="-"/>
      <w:lvlJc w:val="left"/>
      <w:pPr>
        <w:ind w:left="1004" w:hanging="360"/>
      </w:pPr>
      <w:rPr>
        <w:rFonts w:ascii="Calibri" w:eastAsiaTheme="majorEastAsia" w:hAnsi="Calibri" w:cs="Calibri" w:hint="default"/>
        <w:color w:val="000000" w:themeColor="text1"/>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 w15:restartNumberingAfterBreak="0">
    <w:nsid w:val="0FB41E56"/>
    <w:multiLevelType w:val="hybridMultilevel"/>
    <w:tmpl w:val="066246A6"/>
    <w:lvl w:ilvl="0" w:tplc="75DE642A">
      <w:start w:val="1"/>
      <w:numFmt w:val="bullet"/>
      <w:lvlText w:val="-"/>
      <w:lvlJc w:val="left"/>
      <w:pPr>
        <w:ind w:left="1170" w:hanging="360"/>
      </w:pPr>
      <w:rPr>
        <w:rFonts w:ascii="Arial" w:eastAsia="Times New Roman" w:hAnsi="Arial" w:cs="Arial" w:hint="default"/>
      </w:rPr>
    </w:lvl>
    <w:lvl w:ilvl="1" w:tplc="040C0003" w:tentative="1">
      <w:start w:val="1"/>
      <w:numFmt w:val="bullet"/>
      <w:lvlText w:val="o"/>
      <w:lvlJc w:val="left"/>
      <w:pPr>
        <w:ind w:left="1890" w:hanging="360"/>
      </w:pPr>
      <w:rPr>
        <w:rFonts w:ascii="Courier New" w:hAnsi="Courier New" w:cs="Courier New" w:hint="default"/>
      </w:rPr>
    </w:lvl>
    <w:lvl w:ilvl="2" w:tplc="040C0005" w:tentative="1">
      <w:start w:val="1"/>
      <w:numFmt w:val="bullet"/>
      <w:lvlText w:val=""/>
      <w:lvlJc w:val="left"/>
      <w:pPr>
        <w:ind w:left="2610" w:hanging="360"/>
      </w:pPr>
      <w:rPr>
        <w:rFonts w:ascii="Wingdings" w:hAnsi="Wingdings" w:hint="default"/>
      </w:rPr>
    </w:lvl>
    <w:lvl w:ilvl="3" w:tplc="040C0001" w:tentative="1">
      <w:start w:val="1"/>
      <w:numFmt w:val="bullet"/>
      <w:lvlText w:val=""/>
      <w:lvlJc w:val="left"/>
      <w:pPr>
        <w:ind w:left="3330" w:hanging="360"/>
      </w:pPr>
      <w:rPr>
        <w:rFonts w:ascii="Symbol" w:hAnsi="Symbol" w:hint="default"/>
      </w:rPr>
    </w:lvl>
    <w:lvl w:ilvl="4" w:tplc="040C0003" w:tentative="1">
      <w:start w:val="1"/>
      <w:numFmt w:val="bullet"/>
      <w:lvlText w:val="o"/>
      <w:lvlJc w:val="left"/>
      <w:pPr>
        <w:ind w:left="4050" w:hanging="360"/>
      </w:pPr>
      <w:rPr>
        <w:rFonts w:ascii="Courier New" w:hAnsi="Courier New" w:cs="Courier New" w:hint="default"/>
      </w:rPr>
    </w:lvl>
    <w:lvl w:ilvl="5" w:tplc="040C0005" w:tentative="1">
      <w:start w:val="1"/>
      <w:numFmt w:val="bullet"/>
      <w:lvlText w:val=""/>
      <w:lvlJc w:val="left"/>
      <w:pPr>
        <w:ind w:left="4770" w:hanging="360"/>
      </w:pPr>
      <w:rPr>
        <w:rFonts w:ascii="Wingdings" w:hAnsi="Wingdings" w:hint="default"/>
      </w:rPr>
    </w:lvl>
    <w:lvl w:ilvl="6" w:tplc="040C0001" w:tentative="1">
      <w:start w:val="1"/>
      <w:numFmt w:val="bullet"/>
      <w:lvlText w:val=""/>
      <w:lvlJc w:val="left"/>
      <w:pPr>
        <w:ind w:left="5490" w:hanging="360"/>
      </w:pPr>
      <w:rPr>
        <w:rFonts w:ascii="Symbol" w:hAnsi="Symbol" w:hint="default"/>
      </w:rPr>
    </w:lvl>
    <w:lvl w:ilvl="7" w:tplc="040C0003" w:tentative="1">
      <w:start w:val="1"/>
      <w:numFmt w:val="bullet"/>
      <w:lvlText w:val="o"/>
      <w:lvlJc w:val="left"/>
      <w:pPr>
        <w:ind w:left="6210" w:hanging="360"/>
      </w:pPr>
      <w:rPr>
        <w:rFonts w:ascii="Courier New" w:hAnsi="Courier New" w:cs="Courier New" w:hint="default"/>
      </w:rPr>
    </w:lvl>
    <w:lvl w:ilvl="8" w:tplc="040C0005" w:tentative="1">
      <w:start w:val="1"/>
      <w:numFmt w:val="bullet"/>
      <w:lvlText w:val=""/>
      <w:lvlJc w:val="left"/>
      <w:pPr>
        <w:ind w:left="6930" w:hanging="360"/>
      </w:pPr>
      <w:rPr>
        <w:rFonts w:ascii="Wingdings" w:hAnsi="Wingdings" w:hint="default"/>
      </w:rPr>
    </w:lvl>
  </w:abstractNum>
  <w:abstractNum w:abstractNumId="9" w15:restartNumberingAfterBreak="0">
    <w:nsid w:val="11162F41"/>
    <w:multiLevelType w:val="hybridMultilevel"/>
    <w:tmpl w:val="20B40D28"/>
    <w:lvl w:ilvl="0" w:tplc="C2A27B4C">
      <w:start w:val="1"/>
      <w:numFmt w:val="bullet"/>
      <w:lvlText w:val=""/>
      <w:lvlJc w:val="left"/>
      <w:pPr>
        <w:ind w:left="1260" w:hanging="360"/>
      </w:pPr>
      <w:rPr>
        <w:rFonts w:ascii="Symbol" w:hAnsi="Symbol"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10" w15:restartNumberingAfterBreak="0">
    <w:nsid w:val="18A23530"/>
    <w:multiLevelType w:val="hybridMultilevel"/>
    <w:tmpl w:val="5C5836F4"/>
    <w:lvl w:ilvl="0" w:tplc="C2A27B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A8A652F"/>
    <w:multiLevelType w:val="hybridMultilevel"/>
    <w:tmpl w:val="100ABD72"/>
    <w:lvl w:ilvl="0" w:tplc="805E08BE">
      <w:start w:val="10"/>
      <w:numFmt w:val="bullet"/>
      <w:lvlText w:val="-"/>
      <w:lvlJc w:val="left"/>
      <w:pPr>
        <w:ind w:left="720" w:hanging="360"/>
      </w:pPr>
      <w:rPr>
        <w:rFonts w:ascii="Calibri" w:eastAsiaTheme="majorEastAsia" w:hAnsi="Calibri" w:cs="Calibri"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AEF6C29"/>
    <w:multiLevelType w:val="hybridMultilevel"/>
    <w:tmpl w:val="3C304964"/>
    <w:lvl w:ilvl="0" w:tplc="75DE642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D395CA4"/>
    <w:multiLevelType w:val="hybridMultilevel"/>
    <w:tmpl w:val="51C8D000"/>
    <w:lvl w:ilvl="0" w:tplc="C2A27B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E7F293E"/>
    <w:multiLevelType w:val="hybridMultilevel"/>
    <w:tmpl w:val="D6E6C148"/>
    <w:lvl w:ilvl="0" w:tplc="75DE642A">
      <w:start w:val="1"/>
      <w:numFmt w:val="bullet"/>
      <w:lvlText w:val="-"/>
      <w:lvlJc w:val="left"/>
      <w:pPr>
        <w:ind w:left="1440" w:hanging="360"/>
      </w:pPr>
      <w:rPr>
        <w:rFonts w:ascii="Arial" w:eastAsia="Times New Roman" w:hAnsi="Arial" w:cs="Arial" w:hint="default"/>
        <w:strike w:val="0"/>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5" w15:restartNumberingAfterBreak="0">
    <w:nsid w:val="203A0AF9"/>
    <w:multiLevelType w:val="hybridMultilevel"/>
    <w:tmpl w:val="AFF83360"/>
    <w:lvl w:ilvl="0" w:tplc="5E16C8F0">
      <w:start w:val="1"/>
      <w:numFmt w:val="decimal"/>
      <w:pStyle w:val="ListParagraph"/>
      <w:lvlText w:val="%1-"/>
      <w:lvlJc w:val="left"/>
      <w:pPr>
        <w:ind w:left="720" w:hanging="360"/>
      </w:pPr>
      <w:rPr>
        <w:rFonts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1F3194E"/>
    <w:multiLevelType w:val="hybridMultilevel"/>
    <w:tmpl w:val="BB4CF6A6"/>
    <w:lvl w:ilvl="0" w:tplc="EF1CCCC0">
      <w:start w:val="1"/>
      <w:numFmt w:val="decimal"/>
      <w:lvlText w:val="%1."/>
      <w:lvlJc w:val="left"/>
      <w:pPr>
        <w:ind w:left="3480"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293F0CF1"/>
    <w:multiLevelType w:val="hybridMultilevel"/>
    <w:tmpl w:val="60541604"/>
    <w:lvl w:ilvl="0" w:tplc="0592EDE2">
      <w:start w:val="1"/>
      <w:numFmt w:val="decimal"/>
      <w:lvlText w:val="%1."/>
      <w:lvlJc w:val="left"/>
      <w:pPr>
        <w:ind w:left="720" w:hanging="360"/>
      </w:pPr>
      <w:rPr>
        <w:b w:val="0"/>
        <w:bCs w:val="0"/>
        <w:strike w:val="0"/>
        <w:color w:val="auto"/>
        <w:sz w:val="26"/>
        <w:szCs w:val="26"/>
      </w:rPr>
    </w:lvl>
    <w:lvl w:ilvl="1" w:tplc="040C0005">
      <w:start w:val="1"/>
      <w:numFmt w:val="bullet"/>
      <w:lvlText w:val=""/>
      <w:lvlJc w:val="left"/>
      <w:pPr>
        <w:ind w:left="1440" w:hanging="360"/>
      </w:pPr>
      <w:rPr>
        <w:rFonts w:ascii="Wingdings" w:hAnsi="Wingdings" w:hint="default"/>
      </w:r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2A8F7684"/>
    <w:multiLevelType w:val="hybridMultilevel"/>
    <w:tmpl w:val="DA0C97C4"/>
    <w:lvl w:ilvl="0" w:tplc="7F96351A">
      <w:start w:val="1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A9A0C61"/>
    <w:multiLevelType w:val="hybridMultilevel"/>
    <w:tmpl w:val="2D1CFB7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26B72B2"/>
    <w:multiLevelType w:val="hybridMultilevel"/>
    <w:tmpl w:val="E90AB7BC"/>
    <w:lvl w:ilvl="0" w:tplc="7F96351A">
      <w:start w:val="16"/>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3ACF4EB2"/>
    <w:multiLevelType w:val="hybridMultilevel"/>
    <w:tmpl w:val="AE82671E"/>
    <w:lvl w:ilvl="0" w:tplc="CBC6FFE0">
      <w:start w:val="1"/>
      <w:numFmt w:val="bullet"/>
      <w:pStyle w:val="Bullet2G"/>
      <w:lvlText w:val="•"/>
      <w:lvlJc w:val="left"/>
      <w:pPr>
        <w:tabs>
          <w:tab w:val="num" w:pos="2268"/>
        </w:tabs>
        <w:ind w:left="2268" w:hanging="170"/>
      </w:pPr>
      <w:rPr>
        <w:rFonts w:ascii="Times New Roman" w:hAnsi="Times New Roman" w:cs="Times New Roman" w:hint="default"/>
      </w:rPr>
    </w:lvl>
    <w:lvl w:ilvl="1" w:tplc="D7429B4E" w:tentative="1">
      <w:start w:val="1"/>
      <w:numFmt w:val="bullet"/>
      <w:lvlText w:val="o"/>
      <w:lvlJc w:val="left"/>
      <w:pPr>
        <w:tabs>
          <w:tab w:val="num" w:pos="3708"/>
        </w:tabs>
        <w:ind w:left="3708" w:hanging="360"/>
      </w:pPr>
      <w:rPr>
        <w:rFonts w:ascii="Courier New" w:hAnsi="Courier New" w:hint="default"/>
      </w:rPr>
    </w:lvl>
    <w:lvl w:ilvl="2" w:tplc="7CBCB06A" w:tentative="1">
      <w:start w:val="1"/>
      <w:numFmt w:val="bullet"/>
      <w:lvlText w:val=""/>
      <w:lvlJc w:val="left"/>
      <w:pPr>
        <w:tabs>
          <w:tab w:val="num" w:pos="4428"/>
        </w:tabs>
        <w:ind w:left="4428" w:hanging="360"/>
      </w:pPr>
      <w:rPr>
        <w:rFonts w:ascii="Wingdings" w:hAnsi="Wingdings" w:hint="default"/>
      </w:rPr>
    </w:lvl>
    <w:lvl w:ilvl="3" w:tplc="3DE4A6FC" w:tentative="1">
      <w:start w:val="1"/>
      <w:numFmt w:val="bullet"/>
      <w:lvlText w:val=""/>
      <w:lvlJc w:val="left"/>
      <w:pPr>
        <w:tabs>
          <w:tab w:val="num" w:pos="5148"/>
        </w:tabs>
        <w:ind w:left="5148" w:hanging="360"/>
      </w:pPr>
      <w:rPr>
        <w:rFonts w:ascii="Symbol" w:hAnsi="Symbol" w:hint="default"/>
      </w:rPr>
    </w:lvl>
    <w:lvl w:ilvl="4" w:tplc="B4AA8B72" w:tentative="1">
      <w:start w:val="1"/>
      <w:numFmt w:val="bullet"/>
      <w:lvlText w:val="o"/>
      <w:lvlJc w:val="left"/>
      <w:pPr>
        <w:tabs>
          <w:tab w:val="num" w:pos="5868"/>
        </w:tabs>
        <w:ind w:left="5868" w:hanging="360"/>
      </w:pPr>
      <w:rPr>
        <w:rFonts w:ascii="Courier New" w:hAnsi="Courier New" w:hint="default"/>
      </w:rPr>
    </w:lvl>
    <w:lvl w:ilvl="5" w:tplc="0E564E2C" w:tentative="1">
      <w:start w:val="1"/>
      <w:numFmt w:val="bullet"/>
      <w:lvlText w:val=""/>
      <w:lvlJc w:val="left"/>
      <w:pPr>
        <w:tabs>
          <w:tab w:val="num" w:pos="6588"/>
        </w:tabs>
        <w:ind w:left="6588" w:hanging="360"/>
      </w:pPr>
      <w:rPr>
        <w:rFonts w:ascii="Wingdings" w:hAnsi="Wingdings" w:hint="default"/>
      </w:rPr>
    </w:lvl>
    <w:lvl w:ilvl="6" w:tplc="61C2EB10" w:tentative="1">
      <w:start w:val="1"/>
      <w:numFmt w:val="bullet"/>
      <w:lvlText w:val=""/>
      <w:lvlJc w:val="left"/>
      <w:pPr>
        <w:tabs>
          <w:tab w:val="num" w:pos="7308"/>
        </w:tabs>
        <w:ind w:left="7308" w:hanging="360"/>
      </w:pPr>
      <w:rPr>
        <w:rFonts w:ascii="Symbol" w:hAnsi="Symbol" w:hint="default"/>
      </w:rPr>
    </w:lvl>
    <w:lvl w:ilvl="7" w:tplc="6064744E" w:tentative="1">
      <w:start w:val="1"/>
      <w:numFmt w:val="bullet"/>
      <w:lvlText w:val="o"/>
      <w:lvlJc w:val="left"/>
      <w:pPr>
        <w:tabs>
          <w:tab w:val="num" w:pos="8028"/>
        </w:tabs>
        <w:ind w:left="8028" w:hanging="360"/>
      </w:pPr>
      <w:rPr>
        <w:rFonts w:ascii="Courier New" w:hAnsi="Courier New" w:hint="default"/>
      </w:rPr>
    </w:lvl>
    <w:lvl w:ilvl="8" w:tplc="672093BA"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EC5EB3"/>
    <w:multiLevelType w:val="hybridMultilevel"/>
    <w:tmpl w:val="85381E34"/>
    <w:lvl w:ilvl="0" w:tplc="75DE642A">
      <w:start w:val="1"/>
      <w:numFmt w:val="bullet"/>
      <w:lvlText w:val="-"/>
      <w:lvlJc w:val="left"/>
      <w:pPr>
        <w:ind w:left="720" w:hanging="360"/>
      </w:pPr>
      <w:rPr>
        <w:rFonts w:ascii="Arial" w:eastAsia="Times New Roman" w:hAnsi="Arial" w:cs="Arial" w:hint="default"/>
        <w:strike w:val="0"/>
        <w:color w:val="auto"/>
      </w:rPr>
    </w:lvl>
    <w:lvl w:ilvl="1" w:tplc="75DE642A">
      <w:start w:val="1"/>
      <w:numFmt w:val="bullet"/>
      <w:lvlText w:val="-"/>
      <w:lvlJc w:val="left"/>
      <w:pPr>
        <w:ind w:left="1440" w:hanging="360"/>
      </w:pPr>
      <w:rPr>
        <w:rFonts w:ascii="Arial" w:eastAsia="Times New Roman" w:hAnsi="Arial" w:cs="Arial" w:hint="default"/>
        <w:strike w:val="0"/>
        <w:color w:val="auto"/>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994687C"/>
    <w:multiLevelType w:val="hybridMultilevel"/>
    <w:tmpl w:val="4BC6423A"/>
    <w:lvl w:ilvl="0" w:tplc="7F96351A">
      <w:start w:val="1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A893D21"/>
    <w:multiLevelType w:val="hybridMultilevel"/>
    <w:tmpl w:val="DC0E9136"/>
    <w:lvl w:ilvl="0" w:tplc="7F96351A">
      <w:start w:val="1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B4F5587"/>
    <w:multiLevelType w:val="hybridMultilevel"/>
    <w:tmpl w:val="D0586BBC"/>
    <w:lvl w:ilvl="0" w:tplc="75DE642A">
      <w:start w:val="1"/>
      <w:numFmt w:val="bullet"/>
      <w:lvlText w:val="-"/>
      <w:lvlJc w:val="left"/>
      <w:pPr>
        <w:ind w:left="862" w:hanging="360"/>
      </w:pPr>
      <w:rPr>
        <w:rFonts w:ascii="Arial" w:eastAsia="Times New Roman" w:hAnsi="Arial" w:cs="Arial" w:hint="default"/>
        <w:strike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CDC4E08"/>
    <w:multiLevelType w:val="hybridMultilevel"/>
    <w:tmpl w:val="B3EAC8FC"/>
    <w:lvl w:ilvl="0" w:tplc="2A36D978">
      <w:start w:val="16"/>
      <w:numFmt w:val="bullet"/>
      <w:lvlText w:val="-"/>
      <w:lvlJc w:val="left"/>
      <w:pPr>
        <w:ind w:left="1080" w:hanging="360"/>
      </w:pPr>
      <w:rPr>
        <w:rFonts w:ascii="Times New Roman" w:eastAsia="Times New Roman" w:hAnsi="Times New Roman" w:cs="Times New Roman" w:hint="default"/>
        <w:color w:val="auto"/>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55486266"/>
    <w:multiLevelType w:val="hybridMultilevel"/>
    <w:tmpl w:val="59F6AB42"/>
    <w:lvl w:ilvl="0" w:tplc="75DE642A">
      <w:start w:val="1"/>
      <w:numFmt w:val="bullet"/>
      <w:lvlText w:val="-"/>
      <w:lvlJc w:val="left"/>
      <w:pPr>
        <w:ind w:left="1260" w:hanging="360"/>
      </w:pPr>
      <w:rPr>
        <w:rFonts w:ascii="Arial" w:eastAsia="Times New Roman" w:hAnsi="Arial" w:cs="Arial"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28" w15:restartNumberingAfterBreak="0">
    <w:nsid w:val="56605772"/>
    <w:multiLevelType w:val="hybridMultilevel"/>
    <w:tmpl w:val="E410E244"/>
    <w:lvl w:ilvl="0" w:tplc="75DE642A">
      <w:start w:val="1"/>
      <w:numFmt w:val="bullet"/>
      <w:lvlText w:val="-"/>
      <w:lvlJc w:val="left"/>
      <w:pPr>
        <w:ind w:left="1440" w:hanging="360"/>
      </w:pPr>
      <w:rPr>
        <w:rFonts w:ascii="Arial" w:eastAsia="Times New Roman" w:hAnsi="Arial" w:cs="Arial" w:hint="default"/>
        <w:strike w:val="0"/>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9" w15:restartNumberingAfterBreak="0">
    <w:nsid w:val="5A345784"/>
    <w:multiLevelType w:val="hybridMultilevel"/>
    <w:tmpl w:val="D4C2CDDC"/>
    <w:lvl w:ilvl="0" w:tplc="42AC0F54">
      <w:start w:val="25"/>
      <w:numFmt w:val="decimal"/>
      <w:lvlText w:val="%1."/>
      <w:lvlJc w:val="left"/>
      <w:pPr>
        <w:ind w:left="928" w:hanging="360"/>
      </w:pPr>
      <w:rPr>
        <w:rFonts w:hint="default"/>
        <w:b w:val="0"/>
        <w:bCs w:val="0"/>
        <w:strike w:val="0"/>
        <w:color w:val="auto"/>
      </w:rPr>
    </w:lvl>
    <w:lvl w:ilvl="1" w:tplc="040C0019" w:tentative="1">
      <w:start w:val="1"/>
      <w:numFmt w:val="lowerLetter"/>
      <w:lvlText w:val="%2."/>
      <w:lvlJc w:val="left"/>
      <w:pPr>
        <w:ind w:left="1648" w:hanging="360"/>
      </w:pPr>
    </w:lvl>
    <w:lvl w:ilvl="2" w:tplc="040C001B" w:tentative="1">
      <w:start w:val="1"/>
      <w:numFmt w:val="lowerRoman"/>
      <w:lvlText w:val="%3."/>
      <w:lvlJc w:val="right"/>
      <w:pPr>
        <w:ind w:left="2368" w:hanging="180"/>
      </w:pPr>
    </w:lvl>
    <w:lvl w:ilvl="3" w:tplc="040C000F" w:tentative="1">
      <w:start w:val="1"/>
      <w:numFmt w:val="decimal"/>
      <w:lvlText w:val="%4."/>
      <w:lvlJc w:val="left"/>
      <w:pPr>
        <w:ind w:left="3088" w:hanging="360"/>
      </w:pPr>
    </w:lvl>
    <w:lvl w:ilvl="4" w:tplc="040C0019" w:tentative="1">
      <w:start w:val="1"/>
      <w:numFmt w:val="lowerLetter"/>
      <w:lvlText w:val="%5."/>
      <w:lvlJc w:val="left"/>
      <w:pPr>
        <w:ind w:left="3808" w:hanging="360"/>
      </w:pPr>
    </w:lvl>
    <w:lvl w:ilvl="5" w:tplc="040C001B" w:tentative="1">
      <w:start w:val="1"/>
      <w:numFmt w:val="lowerRoman"/>
      <w:lvlText w:val="%6."/>
      <w:lvlJc w:val="right"/>
      <w:pPr>
        <w:ind w:left="4528" w:hanging="180"/>
      </w:pPr>
    </w:lvl>
    <w:lvl w:ilvl="6" w:tplc="040C000F" w:tentative="1">
      <w:start w:val="1"/>
      <w:numFmt w:val="decimal"/>
      <w:lvlText w:val="%7."/>
      <w:lvlJc w:val="left"/>
      <w:pPr>
        <w:ind w:left="5248" w:hanging="360"/>
      </w:pPr>
    </w:lvl>
    <w:lvl w:ilvl="7" w:tplc="040C0019" w:tentative="1">
      <w:start w:val="1"/>
      <w:numFmt w:val="lowerLetter"/>
      <w:lvlText w:val="%8."/>
      <w:lvlJc w:val="left"/>
      <w:pPr>
        <w:ind w:left="5968" w:hanging="360"/>
      </w:pPr>
    </w:lvl>
    <w:lvl w:ilvl="8" w:tplc="040C001B" w:tentative="1">
      <w:start w:val="1"/>
      <w:numFmt w:val="lowerRoman"/>
      <w:lvlText w:val="%9."/>
      <w:lvlJc w:val="right"/>
      <w:pPr>
        <w:ind w:left="6688" w:hanging="180"/>
      </w:pPr>
    </w:lvl>
  </w:abstractNum>
  <w:abstractNum w:abstractNumId="30" w15:restartNumberingAfterBreak="0">
    <w:nsid w:val="5A4A04DB"/>
    <w:multiLevelType w:val="hybridMultilevel"/>
    <w:tmpl w:val="E4ECF462"/>
    <w:lvl w:ilvl="0" w:tplc="8D626C46">
      <w:start w:val="1"/>
      <w:numFmt w:val="upperRoman"/>
      <w:lvlText w:val="%1)"/>
      <w:lvlJc w:val="left"/>
      <w:pPr>
        <w:ind w:left="72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5A5E12E8"/>
    <w:multiLevelType w:val="hybridMultilevel"/>
    <w:tmpl w:val="169CD0D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3144B44"/>
    <w:multiLevelType w:val="hybridMultilevel"/>
    <w:tmpl w:val="4DBE04BE"/>
    <w:lvl w:ilvl="0" w:tplc="040C000D">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15:restartNumberingAfterBreak="0">
    <w:nsid w:val="68AD07B2"/>
    <w:multiLevelType w:val="hybridMultilevel"/>
    <w:tmpl w:val="36D6316E"/>
    <w:lvl w:ilvl="0" w:tplc="C3BECF0A">
      <w:start w:val="1"/>
      <w:numFmt w:val="bullet"/>
      <w:pStyle w:val="Bullet1G"/>
      <w:lvlText w:val="•"/>
      <w:lvlJc w:val="left"/>
      <w:pPr>
        <w:tabs>
          <w:tab w:val="num" w:pos="1701"/>
        </w:tabs>
        <w:ind w:left="1701" w:hanging="170"/>
      </w:pPr>
      <w:rPr>
        <w:rFonts w:ascii="Times New Roman" w:hAnsi="Times New Roman" w:cs="Times New Roman" w:hint="default"/>
      </w:rPr>
    </w:lvl>
    <w:lvl w:ilvl="1" w:tplc="360A8FEA" w:tentative="1">
      <w:start w:val="1"/>
      <w:numFmt w:val="bullet"/>
      <w:lvlText w:val="o"/>
      <w:lvlJc w:val="left"/>
      <w:pPr>
        <w:tabs>
          <w:tab w:val="num" w:pos="3141"/>
        </w:tabs>
        <w:ind w:left="3141" w:hanging="360"/>
      </w:pPr>
      <w:rPr>
        <w:rFonts w:ascii="Courier New" w:hAnsi="Courier New" w:hint="default"/>
      </w:rPr>
    </w:lvl>
    <w:lvl w:ilvl="2" w:tplc="9CB695C0" w:tentative="1">
      <w:start w:val="1"/>
      <w:numFmt w:val="bullet"/>
      <w:lvlText w:val=""/>
      <w:lvlJc w:val="left"/>
      <w:pPr>
        <w:tabs>
          <w:tab w:val="num" w:pos="3861"/>
        </w:tabs>
        <w:ind w:left="3861" w:hanging="360"/>
      </w:pPr>
      <w:rPr>
        <w:rFonts w:ascii="Wingdings" w:hAnsi="Wingdings" w:hint="default"/>
      </w:rPr>
    </w:lvl>
    <w:lvl w:ilvl="3" w:tplc="5EFA0FFC" w:tentative="1">
      <w:start w:val="1"/>
      <w:numFmt w:val="bullet"/>
      <w:lvlText w:val=""/>
      <w:lvlJc w:val="left"/>
      <w:pPr>
        <w:tabs>
          <w:tab w:val="num" w:pos="4581"/>
        </w:tabs>
        <w:ind w:left="4581" w:hanging="360"/>
      </w:pPr>
      <w:rPr>
        <w:rFonts w:ascii="Symbol" w:hAnsi="Symbol" w:hint="default"/>
      </w:rPr>
    </w:lvl>
    <w:lvl w:ilvl="4" w:tplc="9FA62324" w:tentative="1">
      <w:start w:val="1"/>
      <w:numFmt w:val="bullet"/>
      <w:lvlText w:val="o"/>
      <w:lvlJc w:val="left"/>
      <w:pPr>
        <w:tabs>
          <w:tab w:val="num" w:pos="5301"/>
        </w:tabs>
        <w:ind w:left="5301" w:hanging="360"/>
      </w:pPr>
      <w:rPr>
        <w:rFonts w:ascii="Courier New" w:hAnsi="Courier New" w:hint="default"/>
      </w:rPr>
    </w:lvl>
    <w:lvl w:ilvl="5" w:tplc="848ECABC" w:tentative="1">
      <w:start w:val="1"/>
      <w:numFmt w:val="bullet"/>
      <w:lvlText w:val=""/>
      <w:lvlJc w:val="left"/>
      <w:pPr>
        <w:tabs>
          <w:tab w:val="num" w:pos="6021"/>
        </w:tabs>
        <w:ind w:left="6021" w:hanging="360"/>
      </w:pPr>
      <w:rPr>
        <w:rFonts w:ascii="Wingdings" w:hAnsi="Wingdings" w:hint="default"/>
      </w:rPr>
    </w:lvl>
    <w:lvl w:ilvl="6" w:tplc="1C006B80" w:tentative="1">
      <w:start w:val="1"/>
      <w:numFmt w:val="bullet"/>
      <w:lvlText w:val=""/>
      <w:lvlJc w:val="left"/>
      <w:pPr>
        <w:tabs>
          <w:tab w:val="num" w:pos="6741"/>
        </w:tabs>
        <w:ind w:left="6741" w:hanging="360"/>
      </w:pPr>
      <w:rPr>
        <w:rFonts w:ascii="Symbol" w:hAnsi="Symbol" w:hint="default"/>
      </w:rPr>
    </w:lvl>
    <w:lvl w:ilvl="7" w:tplc="A88C8CEE" w:tentative="1">
      <w:start w:val="1"/>
      <w:numFmt w:val="bullet"/>
      <w:lvlText w:val="o"/>
      <w:lvlJc w:val="left"/>
      <w:pPr>
        <w:tabs>
          <w:tab w:val="num" w:pos="7461"/>
        </w:tabs>
        <w:ind w:left="7461" w:hanging="360"/>
      </w:pPr>
      <w:rPr>
        <w:rFonts w:ascii="Courier New" w:hAnsi="Courier New" w:hint="default"/>
      </w:rPr>
    </w:lvl>
    <w:lvl w:ilvl="8" w:tplc="27126794"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DE52D90"/>
    <w:multiLevelType w:val="hybridMultilevel"/>
    <w:tmpl w:val="4A2A912E"/>
    <w:lvl w:ilvl="0" w:tplc="C2A27B4C">
      <w:start w:val="1"/>
      <w:numFmt w:val="bullet"/>
      <w:lvlText w:val=""/>
      <w:lvlJc w:val="left"/>
      <w:pPr>
        <w:ind w:left="1260" w:hanging="360"/>
      </w:pPr>
      <w:rPr>
        <w:rFonts w:ascii="Symbol" w:hAnsi="Symbol" w:hint="default"/>
      </w:rPr>
    </w:lvl>
    <w:lvl w:ilvl="1" w:tplc="040C0003" w:tentative="1">
      <w:start w:val="1"/>
      <w:numFmt w:val="bullet"/>
      <w:lvlText w:val="o"/>
      <w:lvlJc w:val="left"/>
      <w:pPr>
        <w:ind w:left="1980" w:hanging="360"/>
      </w:pPr>
      <w:rPr>
        <w:rFonts w:ascii="Courier New" w:hAnsi="Courier New" w:cs="Courier New" w:hint="default"/>
      </w:rPr>
    </w:lvl>
    <w:lvl w:ilvl="2" w:tplc="040C0005" w:tentative="1">
      <w:start w:val="1"/>
      <w:numFmt w:val="bullet"/>
      <w:lvlText w:val=""/>
      <w:lvlJc w:val="left"/>
      <w:pPr>
        <w:ind w:left="2700" w:hanging="360"/>
      </w:pPr>
      <w:rPr>
        <w:rFonts w:ascii="Wingdings" w:hAnsi="Wingdings" w:hint="default"/>
      </w:rPr>
    </w:lvl>
    <w:lvl w:ilvl="3" w:tplc="040C0001" w:tentative="1">
      <w:start w:val="1"/>
      <w:numFmt w:val="bullet"/>
      <w:lvlText w:val=""/>
      <w:lvlJc w:val="left"/>
      <w:pPr>
        <w:ind w:left="3420" w:hanging="360"/>
      </w:pPr>
      <w:rPr>
        <w:rFonts w:ascii="Symbol" w:hAnsi="Symbol" w:hint="default"/>
      </w:rPr>
    </w:lvl>
    <w:lvl w:ilvl="4" w:tplc="040C0003" w:tentative="1">
      <w:start w:val="1"/>
      <w:numFmt w:val="bullet"/>
      <w:lvlText w:val="o"/>
      <w:lvlJc w:val="left"/>
      <w:pPr>
        <w:ind w:left="4140" w:hanging="360"/>
      </w:pPr>
      <w:rPr>
        <w:rFonts w:ascii="Courier New" w:hAnsi="Courier New" w:cs="Courier New" w:hint="default"/>
      </w:rPr>
    </w:lvl>
    <w:lvl w:ilvl="5" w:tplc="040C0005" w:tentative="1">
      <w:start w:val="1"/>
      <w:numFmt w:val="bullet"/>
      <w:lvlText w:val=""/>
      <w:lvlJc w:val="left"/>
      <w:pPr>
        <w:ind w:left="4860" w:hanging="360"/>
      </w:pPr>
      <w:rPr>
        <w:rFonts w:ascii="Wingdings" w:hAnsi="Wingdings" w:hint="default"/>
      </w:rPr>
    </w:lvl>
    <w:lvl w:ilvl="6" w:tplc="040C0001" w:tentative="1">
      <w:start w:val="1"/>
      <w:numFmt w:val="bullet"/>
      <w:lvlText w:val=""/>
      <w:lvlJc w:val="left"/>
      <w:pPr>
        <w:ind w:left="5580" w:hanging="360"/>
      </w:pPr>
      <w:rPr>
        <w:rFonts w:ascii="Symbol" w:hAnsi="Symbol" w:hint="default"/>
      </w:rPr>
    </w:lvl>
    <w:lvl w:ilvl="7" w:tplc="040C0003" w:tentative="1">
      <w:start w:val="1"/>
      <w:numFmt w:val="bullet"/>
      <w:lvlText w:val="o"/>
      <w:lvlJc w:val="left"/>
      <w:pPr>
        <w:ind w:left="6300" w:hanging="360"/>
      </w:pPr>
      <w:rPr>
        <w:rFonts w:ascii="Courier New" w:hAnsi="Courier New" w:cs="Courier New" w:hint="default"/>
      </w:rPr>
    </w:lvl>
    <w:lvl w:ilvl="8" w:tplc="040C0005" w:tentative="1">
      <w:start w:val="1"/>
      <w:numFmt w:val="bullet"/>
      <w:lvlText w:val=""/>
      <w:lvlJc w:val="left"/>
      <w:pPr>
        <w:ind w:left="7020" w:hanging="360"/>
      </w:pPr>
      <w:rPr>
        <w:rFonts w:ascii="Wingdings" w:hAnsi="Wingdings" w:hint="default"/>
      </w:rPr>
    </w:lvl>
  </w:abstractNum>
  <w:abstractNum w:abstractNumId="35" w15:restartNumberingAfterBreak="0">
    <w:nsid w:val="73107131"/>
    <w:multiLevelType w:val="hybridMultilevel"/>
    <w:tmpl w:val="8AE288D4"/>
    <w:lvl w:ilvl="0" w:tplc="75DE642A">
      <w:start w:val="1"/>
      <w:numFmt w:val="bullet"/>
      <w:lvlText w:val="-"/>
      <w:lvlJc w:val="left"/>
      <w:pPr>
        <w:ind w:left="1350" w:hanging="360"/>
      </w:pPr>
      <w:rPr>
        <w:rFonts w:ascii="Arial" w:eastAsia="Times New Roman" w:hAnsi="Arial" w:cs="Arial" w:hint="default"/>
      </w:rPr>
    </w:lvl>
    <w:lvl w:ilvl="1" w:tplc="040C0003" w:tentative="1">
      <w:start w:val="1"/>
      <w:numFmt w:val="bullet"/>
      <w:lvlText w:val="o"/>
      <w:lvlJc w:val="left"/>
      <w:pPr>
        <w:ind w:left="2070" w:hanging="360"/>
      </w:pPr>
      <w:rPr>
        <w:rFonts w:ascii="Courier New" w:hAnsi="Courier New" w:cs="Courier New" w:hint="default"/>
      </w:rPr>
    </w:lvl>
    <w:lvl w:ilvl="2" w:tplc="040C0005" w:tentative="1">
      <w:start w:val="1"/>
      <w:numFmt w:val="bullet"/>
      <w:lvlText w:val=""/>
      <w:lvlJc w:val="left"/>
      <w:pPr>
        <w:ind w:left="2790" w:hanging="360"/>
      </w:pPr>
      <w:rPr>
        <w:rFonts w:ascii="Wingdings" w:hAnsi="Wingdings" w:hint="default"/>
      </w:rPr>
    </w:lvl>
    <w:lvl w:ilvl="3" w:tplc="040C0001" w:tentative="1">
      <w:start w:val="1"/>
      <w:numFmt w:val="bullet"/>
      <w:lvlText w:val=""/>
      <w:lvlJc w:val="left"/>
      <w:pPr>
        <w:ind w:left="3510" w:hanging="360"/>
      </w:pPr>
      <w:rPr>
        <w:rFonts w:ascii="Symbol" w:hAnsi="Symbol" w:hint="default"/>
      </w:rPr>
    </w:lvl>
    <w:lvl w:ilvl="4" w:tplc="040C0003" w:tentative="1">
      <w:start w:val="1"/>
      <w:numFmt w:val="bullet"/>
      <w:lvlText w:val="o"/>
      <w:lvlJc w:val="left"/>
      <w:pPr>
        <w:ind w:left="4230" w:hanging="360"/>
      </w:pPr>
      <w:rPr>
        <w:rFonts w:ascii="Courier New" w:hAnsi="Courier New" w:cs="Courier New" w:hint="default"/>
      </w:rPr>
    </w:lvl>
    <w:lvl w:ilvl="5" w:tplc="040C0005" w:tentative="1">
      <w:start w:val="1"/>
      <w:numFmt w:val="bullet"/>
      <w:lvlText w:val=""/>
      <w:lvlJc w:val="left"/>
      <w:pPr>
        <w:ind w:left="4950" w:hanging="360"/>
      </w:pPr>
      <w:rPr>
        <w:rFonts w:ascii="Wingdings" w:hAnsi="Wingdings" w:hint="default"/>
      </w:rPr>
    </w:lvl>
    <w:lvl w:ilvl="6" w:tplc="040C0001" w:tentative="1">
      <w:start w:val="1"/>
      <w:numFmt w:val="bullet"/>
      <w:lvlText w:val=""/>
      <w:lvlJc w:val="left"/>
      <w:pPr>
        <w:ind w:left="5670" w:hanging="360"/>
      </w:pPr>
      <w:rPr>
        <w:rFonts w:ascii="Symbol" w:hAnsi="Symbol" w:hint="default"/>
      </w:rPr>
    </w:lvl>
    <w:lvl w:ilvl="7" w:tplc="040C0003" w:tentative="1">
      <w:start w:val="1"/>
      <w:numFmt w:val="bullet"/>
      <w:lvlText w:val="o"/>
      <w:lvlJc w:val="left"/>
      <w:pPr>
        <w:ind w:left="6390" w:hanging="360"/>
      </w:pPr>
      <w:rPr>
        <w:rFonts w:ascii="Courier New" w:hAnsi="Courier New" w:cs="Courier New" w:hint="default"/>
      </w:rPr>
    </w:lvl>
    <w:lvl w:ilvl="8" w:tplc="040C0005" w:tentative="1">
      <w:start w:val="1"/>
      <w:numFmt w:val="bullet"/>
      <w:lvlText w:val=""/>
      <w:lvlJc w:val="left"/>
      <w:pPr>
        <w:ind w:left="7110" w:hanging="360"/>
      </w:pPr>
      <w:rPr>
        <w:rFonts w:ascii="Wingdings" w:hAnsi="Wingdings" w:hint="default"/>
      </w:rPr>
    </w:lvl>
  </w:abstractNum>
  <w:abstractNum w:abstractNumId="36" w15:restartNumberingAfterBreak="0">
    <w:nsid w:val="77A5566C"/>
    <w:multiLevelType w:val="hybridMultilevel"/>
    <w:tmpl w:val="656E8546"/>
    <w:lvl w:ilvl="0" w:tplc="7F96351A">
      <w:start w:val="1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8715DDB"/>
    <w:multiLevelType w:val="hybridMultilevel"/>
    <w:tmpl w:val="C3A06CCC"/>
    <w:lvl w:ilvl="0" w:tplc="7F96351A">
      <w:start w:val="1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B442656"/>
    <w:multiLevelType w:val="hybridMultilevel"/>
    <w:tmpl w:val="CDB4EAB4"/>
    <w:lvl w:ilvl="0" w:tplc="040C0001">
      <w:start w:val="1"/>
      <w:numFmt w:val="bullet"/>
      <w:lvlText w:val=""/>
      <w:lvlJc w:val="left"/>
      <w:pPr>
        <w:ind w:left="862" w:hanging="360"/>
      </w:pPr>
      <w:rPr>
        <w:rFonts w:ascii="Symbol" w:hAnsi="Symbol" w:hint="default"/>
        <w:strike w:val="0"/>
        <w:color w:val="auto"/>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39" w15:restartNumberingAfterBreak="0">
    <w:nsid w:val="7C5350F2"/>
    <w:multiLevelType w:val="hybridMultilevel"/>
    <w:tmpl w:val="0E02BD44"/>
    <w:lvl w:ilvl="0" w:tplc="040C000D">
      <w:start w:val="10"/>
      <w:numFmt w:val="bullet"/>
      <w:lvlText w:val="-"/>
      <w:lvlJc w:val="left"/>
      <w:pPr>
        <w:ind w:left="928" w:hanging="360"/>
      </w:pPr>
      <w:rPr>
        <w:rFonts w:ascii="Calibri" w:eastAsiaTheme="majorEastAsia" w:hAnsi="Calibri" w:cs="Calibri" w:hint="default"/>
        <w:color w:val="000000" w:themeColor="text1"/>
      </w:rPr>
    </w:lvl>
    <w:lvl w:ilvl="1" w:tplc="040C0003" w:tentative="1">
      <w:start w:val="1"/>
      <w:numFmt w:val="bullet"/>
      <w:lvlText w:val="o"/>
      <w:lvlJc w:val="left"/>
      <w:pPr>
        <w:ind w:left="1931" w:hanging="360"/>
      </w:pPr>
      <w:rPr>
        <w:rFonts w:ascii="Courier New" w:hAnsi="Courier New" w:cs="Courier New" w:hint="default"/>
      </w:rPr>
    </w:lvl>
    <w:lvl w:ilvl="2" w:tplc="040C0005" w:tentative="1">
      <w:start w:val="1"/>
      <w:numFmt w:val="bullet"/>
      <w:lvlText w:val=""/>
      <w:lvlJc w:val="left"/>
      <w:pPr>
        <w:ind w:left="2651" w:hanging="360"/>
      </w:pPr>
      <w:rPr>
        <w:rFonts w:ascii="Wingdings" w:hAnsi="Wingdings" w:hint="default"/>
      </w:rPr>
    </w:lvl>
    <w:lvl w:ilvl="3" w:tplc="040C0001" w:tentative="1">
      <w:start w:val="1"/>
      <w:numFmt w:val="bullet"/>
      <w:lvlText w:val=""/>
      <w:lvlJc w:val="left"/>
      <w:pPr>
        <w:ind w:left="3371" w:hanging="360"/>
      </w:pPr>
      <w:rPr>
        <w:rFonts w:ascii="Symbol" w:hAnsi="Symbol" w:hint="default"/>
      </w:rPr>
    </w:lvl>
    <w:lvl w:ilvl="4" w:tplc="040C0003" w:tentative="1">
      <w:start w:val="1"/>
      <w:numFmt w:val="bullet"/>
      <w:lvlText w:val="o"/>
      <w:lvlJc w:val="left"/>
      <w:pPr>
        <w:ind w:left="4091" w:hanging="360"/>
      </w:pPr>
      <w:rPr>
        <w:rFonts w:ascii="Courier New" w:hAnsi="Courier New" w:cs="Courier New" w:hint="default"/>
      </w:rPr>
    </w:lvl>
    <w:lvl w:ilvl="5" w:tplc="040C0005" w:tentative="1">
      <w:start w:val="1"/>
      <w:numFmt w:val="bullet"/>
      <w:lvlText w:val=""/>
      <w:lvlJc w:val="left"/>
      <w:pPr>
        <w:ind w:left="4811" w:hanging="360"/>
      </w:pPr>
      <w:rPr>
        <w:rFonts w:ascii="Wingdings" w:hAnsi="Wingdings" w:hint="default"/>
      </w:rPr>
    </w:lvl>
    <w:lvl w:ilvl="6" w:tplc="040C0001" w:tentative="1">
      <w:start w:val="1"/>
      <w:numFmt w:val="bullet"/>
      <w:lvlText w:val=""/>
      <w:lvlJc w:val="left"/>
      <w:pPr>
        <w:ind w:left="5531" w:hanging="360"/>
      </w:pPr>
      <w:rPr>
        <w:rFonts w:ascii="Symbol" w:hAnsi="Symbol" w:hint="default"/>
      </w:rPr>
    </w:lvl>
    <w:lvl w:ilvl="7" w:tplc="040C0003" w:tentative="1">
      <w:start w:val="1"/>
      <w:numFmt w:val="bullet"/>
      <w:lvlText w:val="o"/>
      <w:lvlJc w:val="left"/>
      <w:pPr>
        <w:ind w:left="6251" w:hanging="360"/>
      </w:pPr>
      <w:rPr>
        <w:rFonts w:ascii="Courier New" w:hAnsi="Courier New" w:cs="Courier New" w:hint="default"/>
      </w:rPr>
    </w:lvl>
    <w:lvl w:ilvl="8" w:tplc="040C0005" w:tentative="1">
      <w:start w:val="1"/>
      <w:numFmt w:val="bullet"/>
      <w:lvlText w:val=""/>
      <w:lvlJc w:val="left"/>
      <w:pPr>
        <w:ind w:left="6971" w:hanging="360"/>
      </w:pPr>
      <w:rPr>
        <w:rFonts w:ascii="Wingdings" w:hAnsi="Wingdings" w:hint="default"/>
      </w:rPr>
    </w:lvl>
  </w:abstractNum>
  <w:num w:numId="1" w16cid:durableId="2083794412">
    <w:abstractNumId w:val="33"/>
  </w:num>
  <w:num w:numId="2" w16cid:durableId="1752896749">
    <w:abstractNumId w:val="21"/>
  </w:num>
  <w:num w:numId="3" w16cid:durableId="462770383">
    <w:abstractNumId w:val="5"/>
  </w:num>
  <w:num w:numId="4" w16cid:durableId="1976174363">
    <w:abstractNumId w:val="17"/>
  </w:num>
  <w:num w:numId="5" w16cid:durableId="1065030320">
    <w:abstractNumId w:val="39"/>
  </w:num>
  <w:num w:numId="6" w16cid:durableId="1282760935">
    <w:abstractNumId w:val="7"/>
  </w:num>
  <w:num w:numId="7" w16cid:durableId="248195198">
    <w:abstractNumId w:val="15"/>
  </w:num>
  <w:num w:numId="8" w16cid:durableId="1211841033">
    <w:abstractNumId w:val="31"/>
  </w:num>
  <w:num w:numId="9" w16cid:durableId="624165355">
    <w:abstractNumId w:val="30"/>
  </w:num>
  <w:num w:numId="10" w16cid:durableId="299771689">
    <w:abstractNumId w:val="10"/>
  </w:num>
  <w:num w:numId="11" w16cid:durableId="1288509539">
    <w:abstractNumId w:val="9"/>
  </w:num>
  <w:num w:numId="12" w16cid:durableId="1950503051">
    <w:abstractNumId w:val="8"/>
  </w:num>
  <w:num w:numId="13" w16cid:durableId="1669792930">
    <w:abstractNumId w:val="34"/>
  </w:num>
  <w:num w:numId="14" w16cid:durableId="1872910309">
    <w:abstractNumId w:val="27"/>
  </w:num>
  <w:num w:numId="15" w16cid:durableId="1187208393">
    <w:abstractNumId w:val="35"/>
  </w:num>
  <w:num w:numId="16" w16cid:durableId="349724108">
    <w:abstractNumId w:val="4"/>
  </w:num>
  <w:num w:numId="17" w16cid:durableId="136920814">
    <w:abstractNumId w:val="32"/>
  </w:num>
  <w:num w:numId="18" w16cid:durableId="670449479">
    <w:abstractNumId w:val="11"/>
  </w:num>
  <w:num w:numId="19" w16cid:durableId="341050145">
    <w:abstractNumId w:val="19"/>
  </w:num>
  <w:num w:numId="20" w16cid:durableId="688456601">
    <w:abstractNumId w:val="2"/>
  </w:num>
  <w:num w:numId="21" w16cid:durableId="1177232819">
    <w:abstractNumId w:val="38"/>
  </w:num>
  <w:num w:numId="22" w16cid:durableId="1201623996">
    <w:abstractNumId w:val="1"/>
  </w:num>
  <w:num w:numId="23" w16cid:durableId="1347705732">
    <w:abstractNumId w:val="12"/>
  </w:num>
  <w:num w:numId="24" w16cid:durableId="240876797">
    <w:abstractNumId w:val="29"/>
  </w:num>
  <w:num w:numId="25" w16cid:durableId="1406031369">
    <w:abstractNumId w:val="28"/>
  </w:num>
  <w:num w:numId="26" w16cid:durableId="1469856786">
    <w:abstractNumId w:val="14"/>
  </w:num>
  <w:num w:numId="27" w16cid:durableId="239564999">
    <w:abstractNumId w:val="22"/>
  </w:num>
  <w:num w:numId="28" w16cid:durableId="1213423428">
    <w:abstractNumId w:val="23"/>
  </w:num>
  <w:num w:numId="29" w16cid:durableId="667757608">
    <w:abstractNumId w:val="36"/>
  </w:num>
  <w:num w:numId="30" w16cid:durableId="163009376">
    <w:abstractNumId w:val="18"/>
  </w:num>
  <w:num w:numId="31" w16cid:durableId="850491296">
    <w:abstractNumId w:val="37"/>
  </w:num>
  <w:num w:numId="32" w16cid:durableId="1014384283">
    <w:abstractNumId w:val="25"/>
  </w:num>
  <w:num w:numId="33" w16cid:durableId="1178887730">
    <w:abstractNumId w:val="24"/>
  </w:num>
  <w:num w:numId="34" w16cid:durableId="225726274">
    <w:abstractNumId w:val="26"/>
  </w:num>
  <w:num w:numId="35" w16cid:durableId="825631994">
    <w:abstractNumId w:val="13"/>
  </w:num>
  <w:num w:numId="36" w16cid:durableId="494691706">
    <w:abstractNumId w:val="0"/>
  </w:num>
  <w:num w:numId="37" w16cid:durableId="949044204">
    <w:abstractNumId w:val="3"/>
  </w:num>
  <w:num w:numId="38" w16cid:durableId="548960014">
    <w:abstractNumId w:val="20"/>
  </w:num>
  <w:num w:numId="39" w16cid:durableId="1339111964">
    <w:abstractNumId w:val="6"/>
  </w:num>
  <w:num w:numId="40" w16cid:durableId="743376399">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CC6"/>
    <w:rsid w:val="00010CF4"/>
    <w:rsid w:val="00023CC6"/>
    <w:rsid w:val="00037BBF"/>
    <w:rsid w:val="000569A7"/>
    <w:rsid w:val="00070200"/>
    <w:rsid w:val="000C15AC"/>
    <w:rsid w:val="000D505D"/>
    <w:rsid w:val="0013382C"/>
    <w:rsid w:val="00151DE3"/>
    <w:rsid w:val="001624BD"/>
    <w:rsid w:val="001721AE"/>
    <w:rsid w:val="00177F05"/>
    <w:rsid w:val="0018300A"/>
    <w:rsid w:val="001A2FCE"/>
    <w:rsid w:val="001E6B6F"/>
    <w:rsid w:val="001F0307"/>
    <w:rsid w:val="0020087E"/>
    <w:rsid w:val="002025D2"/>
    <w:rsid w:val="00202C5C"/>
    <w:rsid w:val="002117AC"/>
    <w:rsid w:val="00236218"/>
    <w:rsid w:val="002763D7"/>
    <w:rsid w:val="00282A8E"/>
    <w:rsid w:val="00285DF3"/>
    <w:rsid w:val="00296AF7"/>
    <w:rsid w:val="002A3A73"/>
    <w:rsid w:val="002A5953"/>
    <w:rsid w:val="002D5B13"/>
    <w:rsid w:val="002F4C00"/>
    <w:rsid w:val="00324E03"/>
    <w:rsid w:val="0035545B"/>
    <w:rsid w:val="00355FF2"/>
    <w:rsid w:val="00377C7D"/>
    <w:rsid w:val="003952F6"/>
    <w:rsid w:val="003B410E"/>
    <w:rsid w:val="003C5987"/>
    <w:rsid w:val="003D5918"/>
    <w:rsid w:val="003E2796"/>
    <w:rsid w:val="003F0EB6"/>
    <w:rsid w:val="00421A96"/>
    <w:rsid w:val="004340DE"/>
    <w:rsid w:val="004423A8"/>
    <w:rsid w:val="00466EDE"/>
    <w:rsid w:val="00467E46"/>
    <w:rsid w:val="004B07B5"/>
    <w:rsid w:val="004B32F5"/>
    <w:rsid w:val="004D19F6"/>
    <w:rsid w:val="004D38A0"/>
    <w:rsid w:val="004E55B2"/>
    <w:rsid w:val="004E645F"/>
    <w:rsid w:val="004F7423"/>
    <w:rsid w:val="004F7A49"/>
    <w:rsid w:val="0050297F"/>
    <w:rsid w:val="00516E19"/>
    <w:rsid w:val="00522EB9"/>
    <w:rsid w:val="00562F7D"/>
    <w:rsid w:val="0057515D"/>
    <w:rsid w:val="005860B5"/>
    <w:rsid w:val="005C768E"/>
    <w:rsid w:val="005D6112"/>
    <w:rsid w:val="005D7B3B"/>
    <w:rsid w:val="005F12E9"/>
    <w:rsid w:val="005F5A8F"/>
    <w:rsid w:val="006149C1"/>
    <w:rsid w:val="006579EC"/>
    <w:rsid w:val="006836C9"/>
    <w:rsid w:val="00691B13"/>
    <w:rsid w:val="00692923"/>
    <w:rsid w:val="00697893"/>
    <w:rsid w:val="0069790F"/>
    <w:rsid w:val="006A6BD1"/>
    <w:rsid w:val="006B38D8"/>
    <w:rsid w:val="006C48D2"/>
    <w:rsid w:val="006E3AE2"/>
    <w:rsid w:val="007045AF"/>
    <w:rsid w:val="0070786C"/>
    <w:rsid w:val="00707977"/>
    <w:rsid w:val="0071318A"/>
    <w:rsid w:val="00733FE3"/>
    <w:rsid w:val="007367CF"/>
    <w:rsid w:val="007517C7"/>
    <w:rsid w:val="00754968"/>
    <w:rsid w:val="007626ED"/>
    <w:rsid w:val="007653DD"/>
    <w:rsid w:val="00770D9E"/>
    <w:rsid w:val="00776DA8"/>
    <w:rsid w:val="007915E1"/>
    <w:rsid w:val="007A038E"/>
    <w:rsid w:val="007C0473"/>
    <w:rsid w:val="007D17FC"/>
    <w:rsid w:val="00823318"/>
    <w:rsid w:val="00851393"/>
    <w:rsid w:val="00860729"/>
    <w:rsid w:val="00862538"/>
    <w:rsid w:val="008A1D77"/>
    <w:rsid w:val="008C253A"/>
    <w:rsid w:val="008D3AE7"/>
    <w:rsid w:val="00902C20"/>
    <w:rsid w:val="0092008D"/>
    <w:rsid w:val="00927532"/>
    <w:rsid w:val="009332BF"/>
    <w:rsid w:val="00935D42"/>
    <w:rsid w:val="00940BDE"/>
    <w:rsid w:val="009528A1"/>
    <w:rsid w:val="00981284"/>
    <w:rsid w:val="0099284A"/>
    <w:rsid w:val="009A54D2"/>
    <w:rsid w:val="009B535E"/>
    <w:rsid w:val="009B7B8B"/>
    <w:rsid w:val="009C22E6"/>
    <w:rsid w:val="009F6D46"/>
    <w:rsid w:val="00A03BDF"/>
    <w:rsid w:val="00A31E82"/>
    <w:rsid w:val="00A337FE"/>
    <w:rsid w:val="00A40F8B"/>
    <w:rsid w:val="00A472E6"/>
    <w:rsid w:val="00A64957"/>
    <w:rsid w:val="00AB695A"/>
    <w:rsid w:val="00AC2E06"/>
    <w:rsid w:val="00AD344A"/>
    <w:rsid w:val="00AE1554"/>
    <w:rsid w:val="00AF35AF"/>
    <w:rsid w:val="00AF7AE0"/>
    <w:rsid w:val="00B11871"/>
    <w:rsid w:val="00B130C6"/>
    <w:rsid w:val="00B629BF"/>
    <w:rsid w:val="00B63C24"/>
    <w:rsid w:val="00B71EFE"/>
    <w:rsid w:val="00BA04BB"/>
    <w:rsid w:val="00BF1E98"/>
    <w:rsid w:val="00C142D4"/>
    <w:rsid w:val="00C15C97"/>
    <w:rsid w:val="00C215F8"/>
    <w:rsid w:val="00C66C53"/>
    <w:rsid w:val="00C779C6"/>
    <w:rsid w:val="00C9555A"/>
    <w:rsid w:val="00C962B0"/>
    <w:rsid w:val="00CB58D2"/>
    <w:rsid w:val="00CB58D9"/>
    <w:rsid w:val="00CC1B17"/>
    <w:rsid w:val="00CD1A35"/>
    <w:rsid w:val="00CD4EF8"/>
    <w:rsid w:val="00CD5E60"/>
    <w:rsid w:val="00CF33B4"/>
    <w:rsid w:val="00D01BE4"/>
    <w:rsid w:val="00D2444E"/>
    <w:rsid w:val="00D2514A"/>
    <w:rsid w:val="00D30849"/>
    <w:rsid w:val="00D40099"/>
    <w:rsid w:val="00D41CA8"/>
    <w:rsid w:val="00D663BD"/>
    <w:rsid w:val="00D732D5"/>
    <w:rsid w:val="00D76551"/>
    <w:rsid w:val="00D84B67"/>
    <w:rsid w:val="00DA5908"/>
    <w:rsid w:val="00DB7704"/>
    <w:rsid w:val="00DB7B6E"/>
    <w:rsid w:val="00DF31FF"/>
    <w:rsid w:val="00E15325"/>
    <w:rsid w:val="00E60DF8"/>
    <w:rsid w:val="00E729F5"/>
    <w:rsid w:val="00EA3E5A"/>
    <w:rsid w:val="00ED0803"/>
    <w:rsid w:val="00ED0FED"/>
    <w:rsid w:val="00EF0733"/>
    <w:rsid w:val="00EF2472"/>
    <w:rsid w:val="00EF3FF8"/>
    <w:rsid w:val="00EF5A45"/>
    <w:rsid w:val="00F054FD"/>
    <w:rsid w:val="00F073B2"/>
    <w:rsid w:val="00F4107B"/>
    <w:rsid w:val="00F453D7"/>
    <w:rsid w:val="00F53B4E"/>
    <w:rsid w:val="00F647A1"/>
    <w:rsid w:val="00F76030"/>
    <w:rsid w:val="00FA2EF0"/>
    <w:rsid w:val="00FD785B"/>
    <w:rsid w:val="00FF7C3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4037A"/>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6C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semiHidden/>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uiPriority w:val="9"/>
    <w:semiHidden/>
    <w:qFormat/>
    <w:pPr>
      <w:outlineLvl w:val="3"/>
    </w:pPr>
  </w:style>
  <w:style w:type="paragraph" w:styleId="Heading5">
    <w:name w:val="heading 5"/>
    <w:basedOn w:val="Normal"/>
    <w:next w:val="Normal"/>
    <w:link w:val="Heading5Char"/>
    <w:semiHidden/>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rsid w:val="00FD785B"/>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FD785B"/>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FD785B"/>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FD785B"/>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FD785B"/>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FD785B"/>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C962B0"/>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FootnoteReference">
    <w:name w:val="footnote reference"/>
    <w:aliases w:val="4_G"/>
    <w:basedOn w:val="DefaultParagraphFont"/>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
    <w:basedOn w:val="Normal"/>
    <w:link w:val="FootnoteTextChar"/>
    <w:qFormat/>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eastAsiaTheme="minorEastAsia" w:hAnsi="Times New Roman" w:cs="Times New Roman"/>
      <w:sz w:val="20"/>
      <w:szCs w:val="20"/>
      <w:lang w:eastAsia="zh-CN"/>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customStyle="1" w:styleId="ng-binding">
    <w:name w:val="ng-binding"/>
    <w:basedOn w:val="DefaultParagraphFont"/>
    <w:rsid w:val="002A5953"/>
  </w:style>
  <w:style w:type="character" w:customStyle="1" w:styleId="ui-provider">
    <w:name w:val="ui-provider"/>
    <w:basedOn w:val="DefaultParagraphFont"/>
    <w:rsid w:val="002A5953"/>
  </w:style>
  <w:style w:type="paragraph" w:styleId="ListParagraph">
    <w:name w:val="List Paragraph"/>
    <w:aliases w:val="Paragraphe CODE,Texte simple,Paragraphe de liste numéro,Bullet Points,Liste Paragraf,Normal bullet 2,Yellow Bullet,Paragraph,Bullet 1,Bullet list,Numbered List,Citation List,List Paragraph (numbered (a)),List Paragraph1,Heading 2_sj"/>
    <w:basedOn w:val="Normal"/>
    <w:link w:val="ListParagraphChar"/>
    <w:uiPriority w:val="34"/>
    <w:qFormat/>
    <w:rsid w:val="007045AF"/>
    <w:pPr>
      <w:numPr>
        <w:numId w:val="7"/>
      </w:numPr>
      <w:tabs>
        <w:tab w:val="right" w:pos="851"/>
      </w:tabs>
      <w:suppressAutoHyphens w:val="0"/>
      <w:kinsoku/>
      <w:overflowPunct/>
      <w:autoSpaceDE/>
      <w:autoSpaceDN/>
      <w:adjustRightInd/>
      <w:snapToGrid/>
      <w:spacing w:after="160" w:line="240" w:lineRule="auto"/>
      <w:ind w:right="-142"/>
      <w:contextualSpacing/>
      <w:jc w:val="both"/>
    </w:pPr>
    <w:rPr>
      <w:rFonts w:asciiTheme="minorBidi" w:hAnsiTheme="minorBidi" w:cstheme="minorBidi"/>
      <w:color w:val="000000" w:themeColor="text1"/>
      <w:sz w:val="24"/>
      <w:szCs w:val="24"/>
      <w:lang w:val="fr-FR"/>
    </w:rPr>
  </w:style>
  <w:style w:type="character" w:customStyle="1" w:styleId="ListParagraphChar">
    <w:name w:val="List Paragraph Char"/>
    <w:aliases w:val="Paragraphe CODE Char,Texte simple Char,Paragraphe de liste numéro Char,Bullet Points Char,Liste Paragraf Char,Normal bullet 2 Char,Yellow Bullet Char,Paragraph Char,Bullet 1 Char,Bullet list Char,Numbered List Char,Citation List Char"/>
    <w:link w:val="ListParagraph"/>
    <w:uiPriority w:val="34"/>
    <w:qFormat/>
    <w:locked/>
    <w:rsid w:val="007045AF"/>
    <w:rPr>
      <w:rFonts w:asciiTheme="minorBidi" w:hAnsiTheme="minorBidi"/>
      <w:color w:val="000000" w:themeColor="text1"/>
      <w:sz w:val="24"/>
      <w:szCs w:val="24"/>
      <w:lang w:val="fr-FR"/>
    </w:rPr>
  </w:style>
  <w:style w:type="paragraph" w:styleId="BodyText">
    <w:name w:val="Body Text"/>
    <w:basedOn w:val="Normal"/>
    <w:link w:val="BodyTextChar"/>
    <w:uiPriority w:val="99"/>
    <w:unhideWhenUsed/>
    <w:rsid w:val="007045AF"/>
    <w:pPr>
      <w:suppressAutoHyphens w:val="0"/>
      <w:kinsoku/>
      <w:overflowPunct/>
      <w:autoSpaceDE/>
      <w:autoSpaceDN/>
      <w:adjustRightInd/>
      <w:snapToGrid/>
      <w:spacing w:after="120" w:line="276" w:lineRule="auto"/>
    </w:pPr>
    <w:rPr>
      <w:rFonts w:asciiTheme="minorHAnsi" w:eastAsiaTheme="minorEastAsia" w:hAnsiTheme="minorHAnsi" w:cstheme="minorBidi"/>
      <w:sz w:val="22"/>
      <w:szCs w:val="22"/>
      <w:lang w:val="fr-FR" w:eastAsia="fr-FR"/>
    </w:rPr>
  </w:style>
  <w:style w:type="character" w:customStyle="1" w:styleId="BodyTextChar">
    <w:name w:val="Body Text Char"/>
    <w:basedOn w:val="DefaultParagraphFont"/>
    <w:link w:val="BodyText"/>
    <w:uiPriority w:val="99"/>
    <w:rsid w:val="007045AF"/>
    <w:rPr>
      <w:rFonts w:eastAsiaTheme="minorEastAsia"/>
      <w:lang w:val="fr-FR" w:eastAsia="fr-FR"/>
    </w:rPr>
  </w:style>
  <w:style w:type="paragraph" w:styleId="NormalWeb">
    <w:name w:val="Normal (Web)"/>
    <w:basedOn w:val="Normal"/>
    <w:uiPriority w:val="99"/>
    <w:unhideWhenUsed/>
    <w:rsid w:val="007045A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rynqvb">
    <w:name w:val="rynqvb"/>
    <w:basedOn w:val="DefaultParagraphFont"/>
    <w:rsid w:val="007045AF"/>
  </w:style>
  <w:style w:type="paragraph" w:styleId="BodyTextIndent2">
    <w:name w:val="Body Text Indent 2"/>
    <w:basedOn w:val="Normal"/>
    <w:link w:val="BodyTextIndent2Char"/>
    <w:uiPriority w:val="99"/>
    <w:semiHidden/>
    <w:unhideWhenUsed/>
    <w:rsid w:val="007045AF"/>
    <w:pPr>
      <w:suppressAutoHyphens w:val="0"/>
      <w:kinsoku/>
      <w:overflowPunct/>
      <w:autoSpaceDE/>
      <w:autoSpaceDN/>
      <w:adjustRightInd/>
      <w:snapToGrid/>
      <w:spacing w:after="120" w:line="480" w:lineRule="auto"/>
      <w:ind w:left="283"/>
    </w:pPr>
    <w:rPr>
      <w:rFonts w:eastAsia="Times New Roman"/>
      <w:sz w:val="24"/>
      <w:szCs w:val="24"/>
      <w:lang w:val="fr-FR" w:eastAsia="fr-FR" w:bidi="ar-DZ"/>
    </w:rPr>
  </w:style>
  <w:style w:type="character" w:customStyle="1" w:styleId="BodyTextIndent2Char">
    <w:name w:val="Body Text Indent 2 Char"/>
    <w:basedOn w:val="DefaultParagraphFont"/>
    <w:link w:val="BodyTextIndent2"/>
    <w:uiPriority w:val="99"/>
    <w:semiHidden/>
    <w:rsid w:val="007045AF"/>
    <w:rPr>
      <w:rFonts w:ascii="Times New Roman" w:eastAsia="Times New Roman" w:hAnsi="Times New Roman" w:cs="Times New Roman"/>
      <w:sz w:val="24"/>
      <w:szCs w:val="24"/>
      <w:lang w:val="fr-FR" w:eastAsia="fr-FR" w:bidi="ar-DZ"/>
    </w:rPr>
  </w:style>
  <w:style w:type="paragraph" w:customStyle="1" w:styleId="Default">
    <w:name w:val="Default"/>
    <w:rsid w:val="007045AF"/>
    <w:pPr>
      <w:autoSpaceDE w:val="0"/>
      <w:autoSpaceDN w:val="0"/>
      <w:adjustRightInd w:val="0"/>
      <w:spacing w:after="0" w:line="240" w:lineRule="auto"/>
    </w:pPr>
    <w:rPr>
      <w:rFonts w:ascii="Times New Roman" w:hAnsi="Times New Roman" w:cs="Times New Roman"/>
      <w:color w:val="000000"/>
      <w:sz w:val="24"/>
      <w:szCs w:val="24"/>
      <w:lang w:val="fr-FR"/>
    </w:rPr>
  </w:style>
  <w:style w:type="character" w:styleId="Strong">
    <w:name w:val="Strong"/>
    <w:basedOn w:val="DefaultParagraphFont"/>
    <w:uiPriority w:val="22"/>
    <w:qFormat/>
    <w:rsid w:val="007045AF"/>
    <w:rPr>
      <w:b/>
      <w:bCs/>
    </w:rPr>
  </w:style>
  <w:style w:type="paragraph" w:styleId="NoSpacing">
    <w:name w:val="No Spacing"/>
    <w:uiPriority w:val="1"/>
    <w:qFormat/>
    <w:rsid w:val="007045AF"/>
    <w:pPr>
      <w:spacing w:after="0" w:line="240" w:lineRule="auto"/>
    </w:pPr>
    <w:rPr>
      <w:lang w:val="fr-FR"/>
    </w:rPr>
  </w:style>
  <w:style w:type="character" w:styleId="SubtleEmphasis">
    <w:name w:val="Subtle Emphasis"/>
    <w:basedOn w:val="DefaultParagraphFont"/>
    <w:uiPriority w:val="19"/>
    <w:qFormat/>
    <w:rsid w:val="007045AF"/>
    <w:rPr>
      <w:i/>
      <w:iCs/>
      <w:color w:val="808080" w:themeColor="text1" w:themeTint="7F"/>
    </w:rPr>
  </w:style>
  <w:style w:type="character" w:styleId="IntenseEmphasis">
    <w:name w:val="Intense Emphasis"/>
    <w:basedOn w:val="DefaultParagraphFont"/>
    <w:uiPriority w:val="21"/>
    <w:qFormat/>
    <w:rsid w:val="007045AF"/>
    <w:rPr>
      <w:b/>
      <w:bCs/>
      <w:i/>
      <w:iCs/>
      <w:color w:val="4F81BD" w:themeColor="accent1"/>
    </w:rPr>
  </w:style>
  <w:style w:type="paragraph" w:styleId="BodyTextIndent">
    <w:name w:val="Body Text Indent"/>
    <w:basedOn w:val="Normal"/>
    <w:link w:val="BodyTextIndentChar"/>
    <w:uiPriority w:val="99"/>
    <w:unhideWhenUsed/>
    <w:rsid w:val="007045AF"/>
    <w:pPr>
      <w:suppressAutoHyphens w:val="0"/>
      <w:kinsoku/>
      <w:overflowPunct/>
      <w:autoSpaceDE/>
      <w:autoSpaceDN/>
      <w:adjustRightInd/>
      <w:snapToGrid/>
      <w:spacing w:after="120" w:line="240" w:lineRule="auto"/>
      <w:ind w:left="283"/>
    </w:pPr>
    <w:rPr>
      <w:rFonts w:eastAsia="Times New Roman"/>
      <w:sz w:val="24"/>
      <w:szCs w:val="24"/>
      <w:lang w:val="fr-FR" w:eastAsia="fr-FR" w:bidi="ar-DZ"/>
    </w:rPr>
  </w:style>
  <w:style w:type="character" w:customStyle="1" w:styleId="BodyTextIndentChar">
    <w:name w:val="Body Text Indent Char"/>
    <w:basedOn w:val="DefaultParagraphFont"/>
    <w:link w:val="BodyTextIndent"/>
    <w:uiPriority w:val="99"/>
    <w:rsid w:val="007045AF"/>
    <w:rPr>
      <w:rFonts w:ascii="Times New Roman" w:eastAsia="Times New Roman" w:hAnsi="Times New Roman" w:cs="Times New Roman"/>
      <w:sz w:val="24"/>
      <w:szCs w:val="24"/>
      <w:lang w:val="fr-FR" w:eastAsia="fr-FR" w:bidi="ar-DZ"/>
    </w:rPr>
  </w:style>
  <w:style w:type="paragraph" w:styleId="HTMLPreformatted">
    <w:name w:val="HTML Preformatted"/>
    <w:basedOn w:val="Normal"/>
    <w:link w:val="HTMLPreformattedChar"/>
    <w:uiPriority w:val="99"/>
    <w:unhideWhenUsed/>
    <w:rsid w:val="007045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fr-FR" w:eastAsia="fr-FR"/>
    </w:rPr>
  </w:style>
  <w:style w:type="character" w:customStyle="1" w:styleId="HTMLPreformattedChar">
    <w:name w:val="HTML Preformatted Char"/>
    <w:basedOn w:val="DefaultParagraphFont"/>
    <w:link w:val="HTMLPreformatted"/>
    <w:uiPriority w:val="99"/>
    <w:rsid w:val="007045AF"/>
    <w:rPr>
      <w:rFonts w:ascii="Courier New" w:eastAsia="Times New Roman" w:hAnsi="Courier New" w:cs="Courier New"/>
      <w:sz w:val="20"/>
      <w:szCs w:val="20"/>
      <w:lang w:val="fr-FR" w:eastAsia="fr-FR"/>
    </w:rPr>
  </w:style>
  <w:style w:type="character" w:styleId="Emphasis">
    <w:name w:val="Emphasis"/>
    <w:basedOn w:val="DefaultParagraphFont"/>
    <w:uiPriority w:val="20"/>
    <w:qFormat/>
    <w:rsid w:val="007045AF"/>
    <w:rPr>
      <w:i/>
      <w:iCs/>
    </w:rPr>
  </w:style>
  <w:style w:type="paragraph" w:customStyle="1" w:styleId="p8">
    <w:name w:val="p8"/>
    <w:basedOn w:val="Normal"/>
    <w:uiPriority w:val="99"/>
    <w:rsid w:val="007045AF"/>
    <w:pPr>
      <w:widowControl w:val="0"/>
      <w:tabs>
        <w:tab w:val="left" w:pos="674"/>
      </w:tabs>
      <w:suppressAutoHyphens w:val="0"/>
      <w:kinsoku/>
      <w:overflowPunct/>
      <w:snapToGrid/>
      <w:spacing w:line="240" w:lineRule="auto"/>
      <w:ind w:firstLine="674"/>
      <w:jc w:val="both"/>
    </w:pPr>
    <w:rPr>
      <w:rFonts w:eastAsia="Times New Roman"/>
      <w:sz w:val="24"/>
      <w:szCs w:val="24"/>
      <w:lang w:val="en-US" w:eastAsia="fr-FR"/>
    </w:rPr>
  </w:style>
  <w:style w:type="paragraph" w:customStyle="1" w:styleId="p46">
    <w:name w:val="p46"/>
    <w:basedOn w:val="Normal"/>
    <w:uiPriority w:val="99"/>
    <w:rsid w:val="007045AF"/>
    <w:pPr>
      <w:widowControl w:val="0"/>
      <w:tabs>
        <w:tab w:val="left" w:pos="204"/>
        <w:tab w:val="left" w:pos="657"/>
      </w:tabs>
      <w:suppressAutoHyphens w:val="0"/>
      <w:kinsoku/>
      <w:overflowPunct/>
      <w:snapToGrid/>
      <w:spacing w:line="240" w:lineRule="auto"/>
      <w:ind w:left="657" w:hanging="453"/>
      <w:jc w:val="both"/>
    </w:pPr>
    <w:rPr>
      <w:rFonts w:eastAsia="Times New Roman"/>
      <w:sz w:val="24"/>
      <w:szCs w:val="24"/>
      <w:lang w:val="en-US" w:eastAsia="fr-FR"/>
    </w:rPr>
  </w:style>
  <w:style w:type="paragraph" w:styleId="BodyText2">
    <w:name w:val="Body Text 2"/>
    <w:basedOn w:val="Normal"/>
    <w:link w:val="BodyText2Char"/>
    <w:uiPriority w:val="99"/>
    <w:unhideWhenUsed/>
    <w:rsid w:val="007045AF"/>
    <w:pPr>
      <w:suppressAutoHyphens w:val="0"/>
      <w:kinsoku/>
      <w:overflowPunct/>
      <w:autoSpaceDE/>
      <w:autoSpaceDN/>
      <w:adjustRightInd/>
      <w:snapToGrid/>
      <w:spacing w:after="120" w:line="480" w:lineRule="auto"/>
    </w:pPr>
    <w:rPr>
      <w:rFonts w:asciiTheme="minorHAnsi" w:eastAsiaTheme="minorEastAsia" w:hAnsiTheme="minorHAnsi" w:cstheme="minorBidi"/>
      <w:sz w:val="22"/>
      <w:szCs w:val="22"/>
      <w:lang w:val="fr-FR" w:eastAsia="fr-FR"/>
    </w:rPr>
  </w:style>
  <w:style w:type="character" w:customStyle="1" w:styleId="BodyText2Char">
    <w:name w:val="Body Text 2 Char"/>
    <w:basedOn w:val="DefaultParagraphFont"/>
    <w:link w:val="BodyText2"/>
    <w:uiPriority w:val="99"/>
    <w:rsid w:val="007045AF"/>
    <w:rPr>
      <w:rFonts w:eastAsiaTheme="minorEastAsia"/>
      <w:lang w:val="fr-FR" w:eastAsia="fr-FR"/>
    </w:rPr>
  </w:style>
  <w:style w:type="paragraph" w:customStyle="1" w:styleId="SingleTxt">
    <w:name w:val="__Single Txt"/>
    <w:basedOn w:val="Normal"/>
    <w:rsid w:val="007045A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imes New Roman"/>
      <w:spacing w:val="4"/>
      <w:w w:val="103"/>
      <w:kern w:val="14"/>
      <w:lang w:val="fr-CA"/>
    </w:rPr>
  </w:style>
  <w:style w:type="table" w:customStyle="1" w:styleId="TableauGrille2-Accentuation11">
    <w:name w:val="Tableau Grille 2 - Accentuation 11"/>
    <w:basedOn w:val="TableNormal"/>
    <w:uiPriority w:val="47"/>
    <w:rsid w:val="007045AF"/>
    <w:pPr>
      <w:spacing w:after="0" w:line="240" w:lineRule="auto"/>
    </w:pPr>
    <w:rPr>
      <w:sz w:val="20"/>
      <w:szCs w:val="20"/>
      <w:lang w:val="fr-FR" w:eastAsia="fr-FR"/>
    </w:rPr>
    <w:tblPr>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auGrille3-Accentuation31">
    <w:name w:val="Tableau Grille 3 - Accentuation 31"/>
    <w:basedOn w:val="TableNormal"/>
    <w:uiPriority w:val="48"/>
    <w:qFormat/>
    <w:rsid w:val="007045AF"/>
    <w:pPr>
      <w:spacing w:after="0" w:line="240" w:lineRule="auto"/>
    </w:pPr>
    <w:rPr>
      <w:sz w:val="20"/>
      <w:szCs w:val="20"/>
      <w:lang w:val="fr-FR" w:eastAsia="fr-FR"/>
    </w:rPr>
    <w:tblPr>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paragraph" w:styleId="CommentText">
    <w:name w:val="annotation text"/>
    <w:basedOn w:val="Normal"/>
    <w:link w:val="CommentTextChar"/>
    <w:uiPriority w:val="99"/>
    <w:unhideWhenUsed/>
    <w:rsid w:val="007045AF"/>
    <w:pPr>
      <w:suppressAutoHyphens w:val="0"/>
      <w:kinsoku/>
      <w:overflowPunct/>
      <w:autoSpaceDE/>
      <w:autoSpaceDN/>
      <w:adjustRightInd/>
      <w:snapToGrid/>
      <w:spacing w:after="200" w:line="240" w:lineRule="auto"/>
    </w:pPr>
    <w:rPr>
      <w:rFonts w:asciiTheme="minorHAnsi" w:hAnsiTheme="minorHAnsi" w:cstheme="minorBidi"/>
      <w:lang w:val="fr-FR"/>
    </w:rPr>
  </w:style>
  <w:style w:type="character" w:customStyle="1" w:styleId="CommentTextChar">
    <w:name w:val="Comment Text Char"/>
    <w:basedOn w:val="DefaultParagraphFont"/>
    <w:link w:val="CommentText"/>
    <w:uiPriority w:val="99"/>
    <w:rsid w:val="007045AF"/>
    <w:rPr>
      <w:sz w:val="20"/>
      <w:szCs w:val="20"/>
      <w:lang w:val="fr-FR"/>
    </w:rPr>
  </w:style>
  <w:style w:type="character" w:styleId="CommentReference">
    <w:name w:val="annotation reference"/>
    <w:basedOn w:val="DefaultParagraphFont"/>
    <w:uiPriority w:val="99"/>
    <w:semiHidden/>
    <w:unhideWhenUsed/>
    <w:rsid w:val="007045AF"/>
    <w:rPr>
      <w:sz w:val="16"/>
      <w:szCs w:val="16"/>
    </w:rPr>
  </w:style>
  <w:style w:type="paragraph" w:styleId="CommentSubject">
    <w:name w:val="annotation subject"/>
    <w:basedOn w:val="CommentText"/>
    <w:next w:val="CommentText"/>
    <w:link w:val="CommentSubjectChar"/>
    <w:uiPriority w:val="99"/>
    <w:semiHidden/>
    <w:unhideWhenUsed/>
    <w:rsid w:val="007045AF"/>
    <w:rPr>
      <w:b/>
      <w:bCs/>
    </w:rPr>
  </w:style>
  <w:style w:type="character" w:customStyle="1" w:styleId="CommentSubjectChar">
    <w:name w:val="Comment Subject Char"/>
    <w:basedOn w:val="CommentTextChar"/>
    <w:link w:val="CommentSubject"/>
    <w:uiPriority w:val="99"/>
    <w:semiHidden/>
    <w:rsid w:val="007045AF"/>
    <w:rPr>
      <w:b/>
      <w:bCs/>
      <w:sz w:val="20"/>
      <w:szCs w:val="20"/>
      <w:lang w:val="fr-FR"/>
    </w:rPr>
  </w:style>
  <w:style w:type="paragraph" w:styleId="IntenseQuote">
    <w:name w:val="Intense Quote"/>
    <w:basedOn w:val="Normal"/>
    <w:next w:val="Normal"/>
    <w:link w:val="IntenseQuoteChar"/>
    <w:uiPriority w:val="30"/>
    <w:qFormat/>
    <w:rsid w:val="007045AF"/>
    <w:pPr>
      <w:pBdr>
        <w:top w:val="single" w:sz="4" w:space="10" w:color="365F91" w:themeColor="accent1" w:themeShade="BF"/>
        <w:bottom w:val="single" w:sz="4" w:space="10" w:color="365F91" w:themeColor="accent1" w:themeShade="BF"/>
      </w:pBdr>
      <w:suppressAutoHyphens w:val="0"/>
      <w:kinsoku/>
      <w:overflowPunct/>
      <w:autoSpaceDE/>
      <w:autoSpaceDN/>
      <w:adjustRightInd/>
      <w:snapToGrid/>
      <w:spacing w:before="360" w:after="360" w:line="259" w:lineRule="auto"/>
      <w:ind w:left="864" w:right="864"/>
      <w:jc w:val="center"/>
    </w:pPr>
    <w:rPr>
      <w:rFonts w:asciiTheme="minorHAnsi" w:hAnsiTheme="minorHAnsi" w:cstheme="minorBidi"/>
      <w:i/>
      <w:iCs/>
      <w:color w:val="365F91" w:themeColor="accent1" w:themeShade="BF"/>
      <w:sz w:val="22"/>
      <w:szCs w:val="22"/>
      <w:lang w:val="fr-FR"/>
    </w:rPr>
  </w:style>
  <w:style w:type="character" w:customStyle="1" w:styleId="IntenseQuoteChar">
    <w:name w:val="Intense Quote Char"/>
    <w:basedOn w:val="DefaultParagraphFont"/>
    <w:link w:val="IntenseQuote"/>
    <w:uiPriority w:val="30"/>
    <w:rsid w:val="007045AF"/>
    <w:rPr>
      <w:i/>
      <w:iCs/>
      <w:color w:val="365F91" w:themeColor="accent1" w:themeShade="BF"/>
      <w:lang w:val="fr-FR"/>
    </w:rPr>
  </w:style>
  <w:style w:type="table" w:styleId="LightShading-Accent5">
    <w:name w:val="Light Shading Accent 5"/>
    <w:basedOn w:val="TableNormal"/>
    <w:uiPriority w:val="60"/>
    <w:rsid w:val="007045AF"/>
    <w:pPr>
      <w:spacing w:after="0" w:line="240" w:lineRule="auto"/>
    </w:pPr>
    <w:rPr>
      <w:rFonts w:eastAsiaTheme="minorEastAsia"/>
      <w:color w:val="31849B" w:themeColor="accent5" w:themeShade="BF"/>
      <w:lang w:val="fr-FR" w:eastAsia="fr-FR"/>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5">
    <w:name w:val="Light List Accent 5"/>
    <w:basedOn w:val="TableNormal"/>
    <w:uiPriority w:val="61"/>
    <w:rsid w:val="007045AF"/>
    <w:pPr>
      <w:spacing w:after="0" w:line="240" w:lineRule="auto"/>
    </w:pPr>
    <w:rPr>
      <w:lang w:val="fr-FR"/>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UnresolvedMention">
    <w:name w:val="Unresolved Mention"/>
    <w:basedOn w:val="DefaultParagraphFont"/>
    <w:uiPriority w:val="99"/>
    <w:semiHidden/>
    <w:unhideWhenUsed/>
    <w:rsid w:val="007045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image" Target="media/image5.emf"/><Relationship Id="rId26" Type="http://schemas.openxmlformats.org/officeDocument/2006/relationships/chart" Target="charts/chart10.xml"/><Relationship Id="rId39" Type="http://schemas.openxmlformats.org/officeDocument/2006/relationships/header" Target="header2.xml"/><Relationship Id="rId21" Type="http://schemas.openxmlformats.org/officeDocument/2006/relationships/chart" Target="charts/chart5.xml"/><Relationship Id="rId34" Type="http://schemas.openxmlformats.org/officeDocument/2006/relationships/hyperlink" Target="https://legal-doctrine.com/text/5ea18b57cdf412a4d8000add" TargetMode="External"/><Relationship Id="rId42"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www.facebook.com/algeriepolice.dz" TargetMode="External"/><Relationship Id="rId29" Type="http://schemas.openxmlformats.org/officeDocument/2006/relationships/chart" Target="charts/chart11.xm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chart" Target="charts/chart8.xml"/><Relationship Id="rId32" Type="http://schemas.openxmlformats.org/officeDocument/2006/relationships/chart" Target="charts/chart14.xml"/><Relationship Id="rId37" Type="http://schemas.openxmlformats.org/officeDocument/2006/relationships/chart" Target="charts/chart15.xm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chart" Target="charts/chart7.xml"/><Relationship Id="rId28" Type="http://schemas.openxmlformats.org/officeDocument/2006/relationships/image" Target="media/image7.png"/><Relationship Id="rId36" Type="http://schemas.openxmlformats.org/officeDocument/2006/relationships/hyperlink" Target="https://legal-doctrine.com/text/5ea18b57cdf412a4d8000add" TargetMode="External"/><Relationship Id="rId10" Type="http://schemas.openxmlformats.org/officeDocument/2006/relationships/endnotes" Target="endnotes.xml"/><Relationship Id="rId19" Type="http://schemas.openxmlformats.org/officeDocument/2006/relationships/chart" Target="charts/chart4.xml"/><Relationship Id="rId31" Type="http://schemas.openxmlformats.org/officeDocument/2006/relationships/chart" Target="charts/chart13.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chart" Target="charts/chart6.xml"/><Relationship Id="rId27" Type="http://schemas.openxmlformats.org/officeDocument/2006/relationships/image" Target="media/image6.png"/><Relationship Id="rId30" Type="http://schemas.openxmlformats.org/officeDocument/2006/relationships/chart" Target="charts/chart12.xml"/><Relationship Id="rId35" Type="http://schemas.openxmlformats.org/officeDocument/2006/relationships/hyperlink" Target="https://legal-doctrine.com/text/5ea18b57cdf412a4d8000add"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chart" Target="charts/chart2.xml"/><Relationship Id="rId17" Type="http://schemas.openxmlformats.org/officeDocument/2006/relationships/image" Target="media/image4.jpeg"/><Relationship Id="rId25" Type="http://schemas.openxmlformats.org/officeDocument/2006/relationships/chart" Target="charts/chart9.xml"/><Relationship Id="rId33" Type="http://schemas.openxmlformats.org/officeDocument/2006/relationships/hyperlink" Target="https://legal-doctrine.com/text/5ea18b57cdf412a4d8000add" TargetMode="External"/><Relationship Id="rId3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oleObject" Target="Classeur3"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Classeur2"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1.xm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10.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3.xml"/></Relationships>
</file>

<file path=word/charts/_rels/chart14.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0.xlsx"/><Relationship Id="rId1" Type="http://schemas.openxmlformats.org/officeDocument/2006/relationships/themeOverride" Target="../theme/themeOverride4.xml"/></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300" b="1">
                <a:solidFill>
                  <a:sysClr val="windowText" lastClr="000000"/>
                </a:solidFill>
                <a:latin typeface="Times New Roman" pitchFamily="18" charset="0"/>
                <a:cs typeface="Times New Roman" pitchFamily="18" charset="0"/>
              </a:rPr>
              <a:t>Nombre de cours et de conférences prévus dans le programme de formation specialisée pour l’obtention de la qualite d’officier de police judiciairedurant la periode 2020-2025</a:t>
            </a:r>
            <a:endParaRPr lang="en-US" sz="1300" b="1">
              <a:solidFill>
                <a:sysClr val="windowText" lastClr="000000"/>
              </a:solidFill>
              <a:latin typeface="Times New Roman" pitchFamily="18" charset="0"/>
              <a:cs typeface="Times New Roman" pitchFamily="18" charset="0"/>
            </a:endParaRPr>
          </a:p>
        </c:rich>
      </c:tx>
      <c:overlay val="0"/>
      <c:spPr>
        <a:noFill/>
        <a:ln>
          <a:noFill/>
        </a:ln>
        <a:effectLst/>
      </c:spPr>
    </c:title>
    <c:autoTitleDeleted val="0"/>
    <c:plotArea>
      <c:layout/>
      <c:pieChart>
        <c:varyColors val="1"/>
        <c:ser>
          <c:idx val="0"/>
          <c:order val="0"/>
          <c:tx>
            <c:strRef>
              <c:f>Feuil1!$B$1</c:f>
              <c:strCache>
                <c:ptCount val="1"/>
                <c:pt idx="0">
                  <c:v>NBRS DE BENEFICIAIRES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51-415C-9519-01738F61FA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51-415C-9519-01738F61FA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D51-415C-9519-01738F61FA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D51-415C-9519-01738F61FAF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D51-415C-9519-01738F61FAF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D51-415C-9519-01738F61FA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Feuil1!$A$2:$A$7</c:f>
              <c:strCache>
                <c:ptCount val="6"/>
                <c:pt idx="0">
                  <c:v>2021</c:v>
                </c:pt>
                <c:pt idx="1">
                  <c:v>2022</c:v>
                </c:pt>
                <c:pt idx="2">
                  <c:v>2023</c:v>
                </c:pt>
                <c:pt idx="3">
                  <c:v>2024</c:v>
                </c:pt>
                <c:pt idx="4">
                  <c:v>2025</c:v>
                </c:pt>
                <c:pt idx="5">
                  <c:v>totaux</c:v>
                </c:pt>
              </c:strCache>
            </c:strRef>
          </c:cat>
          <c:val>
            <c:numRef>
              <c:f>Feuil1!$B$2:$B$7</c:f>
              <c:numCache>
                <c:formatCode>General</c:formatCode>
                <c:ptCount val="6"/>
                <c:pt idx="0">
                  <c:v>295</c:v>
                </c:pt>
                <c:pt idx="1">
                  <c:v>290</c:v>
                </c:pt>
                <c:pt idx="2">
                  <c:v>259</c:v>
                </c:pt>
                <c:pt idx="3">
                  <c:v>290</c:v>
                </c:pt>
                <c:pt idx="4">
                  <c:v>297</c:v>
                </c:pt>
                <c:pt idx="5">
                  <c:v>1431</c:v>
                </c:pt>
              </c:numCache>
            </c:numRef>
          </c:val>
          <c:extLst>
            <c:ext xmlns:c16="http://schemas.microsoft.com/office/drawing/2014/chart" uri="{C3380CC4-5D6E-409C-BE32-E72D297353CC}">
              <c16:uniqueId val="{0000000C-AD51-415C-9519-01738F61FAF7}"/>
            </c:ext>
          </c:extLst>
        </c:ser>
        <c:dLbls>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a:solidFill>
                  <a:sysClr val="windowText" lastClr="000000"/>
                </a:solidFill>
                <a:latin typeface="Times New Roman" pitchFamily="18" charset="0"/>
                <a:cs typeface="Times New Roman" pitchFamily="18" charset="0"/>
              </a:rPr>
              <a:t>Nombre de formation</a:t>
            </a:r>
            <a:r>
              <a:rPr lang="en-US" sz="1300" baseline="0">
                <a:solidFill>
                  <a:sysClr val="windowText" lastClr="000000"/>
                </a:solidFill>
                <a:latin typeface="Times New Roman" pitchFamily="18" charset="0"/>
                <a:cs typeface="Times New Roman" pitchFamily="18" charset="0"/>
              </a:rPr>
              <a:t>s sur les droits de l'homme, les violences faites aux femmes et la traite des personnes </a:t>
            </a:r>
            <a:r>
              <a:rPr lang="en-US" sz="1300">
                <a:solidFill>
                  <a:sysClr val="windowText" lastClr="000000"/>
                </a:solidFill>
                <a:latin typeface="Times New Roman" pitchFamily="18" charset="0"/>
                <a:cs typeface="Times New Roman" pitchFamily="18" charset="0"/>
              </a:rPr>
              <a:t> </a:t>
            </a:r>
          </a:p>
        </c:rich>
      </c:tx>
      <c:overlay val="0"/>
    </c:title>
    <c:autoTitleDeleted val="0"/>
    <c:plotArea>
      <c:layout/>
      <c:lineChart>
        <c:grouping val="standard"/>
        <c:varyColors val="0"/>
        <c:ser>
          <c:idx val="0"/>
          <c:order val="0"/>
          <c:tx>
            <c:strRef>
              <c:f>Feuil1!$B$1</c:f>
              <c:strCache>
                <c:ptCount val="1"/>
                <c:pt idx="0">
                  <c:v>nombre d'actions </c:v>
                </c:pt>
              </c:strCache>
            </c:strRef>
          </c:tx>
          <c:cat>
            <c:strRef>
              <c:f>Feuil1!$A$2:$A$7</c:f>
              <c:strCache>
                <c:ptCount val="6"/>
                <c:pt idx="0">
                  <c:v>2020</c:v>
                </c:pt>
                <c:pt idx="1">
                  <c:v>2021</c:v>
                </c:pt>
                <c:pt idx="2">
                  <c:v>2022</c:v>
                </c:pt>
                <c:pt idx="3">
                  <c:v>2023</c:v>
                </c:pt>
                <c:pt idx="4">
                  <c:v>2024</c:v>
                </c:pt>
                <c:pt idx="5">
                  <c:v>2025</c:v>
                </c:pt>
              </c:strCache>
            </c:strRef>
          </c:cat>
          <c:val>
            <c:numRef>
              <c:f>Feuil1!$B$2:$B$7</c:f>
              <c:numCache>
                <c:formatCode>General</c:formatCode>
                <c:ptCount val="6"/>
                <c:pt idx="0">
                  <c:v>140</c:v>
                </c:pt>
                <c:pt idx="1">
                  <c:v>232</c:v>
                </c:pt>
                <c:pt idx="2">
                  <c:v>263</c:v>
                </c:pt>
                <c:pt idx="3">
                  <c:v>339</c:v>
                </c:pt>
                <c:pt idx="4">
                  <c:v>535</c:v>
                </c:pt>
                <c:pt idx="5">
                  <c:v>691</c:v>
                </c:pt>
              </c:numCache>
            </c:numRef>
          </c:val>
          <c:smooth val="0"/>
          <c:extLst>
            <c:ext xmlns:c16="http://schemas.microsoft.com/office/drawing/2014/chart" uri="{C3380CC4-5D6E-409C-BE32-E72D297353CC}">
              <c16:uniqueId val="{00000000-3AA2-4E72-A984-DE13D6A181F4}"/>
            </c:ext>
          </c:extLst>
        </c:ser>
        <c:dLbls>
          <c:showLegendKey val="0"/>
          <c:showVal val="0"/>
          <c:showCatName val="0"/>
          <c:showSerName val="0"/>
          <c:showPercent val="0"/>
          <c:showBubbleSize val="0"/>
        </c:dLbls>
        <c:marker val="1"/>
        <c:smooth val="0"/>
        <c:axId val="155812608"/>
        <c:axId val="155814144"/>
      </c:lineChart>
      <c:catAx>
        <c:axId val="155812608"/>
        <c:scaling>
          <c:orientation val="minMax"/>
        </c:scaling>
        <c:delete val="0"/>
        <c:axPos val="b"/>
        <c:numFmt formatCode="General" sourceLinked="0"/>
        <c:majorTickMark val="out"/>
        <c:minorTickMark val="none"/>
        <c:tickLblPos val="nextTo"/>
        <c:crossAx val="155814144"/>
        <c:crosses val="autoZero"/>
        <c:auto val="1"/>
        <c:lblAlgn val="ctr"/>
        <c:lblOffset val="100"/>
        <c:noMultiLvlLbl val="0"/>
      </c:catAx>
      <c:valAx>
        <c:axId val="155814144"/>
        <c:scaling>
          <c:orientation val="minMax"/>
        </c:scaling>
        <c:delete val="0"/>
        <c:axPos val="l"/>
        <c:majorGridlines/>
        <c:numFmt formatCode="General" sourceLinked="1"/>
        <c:majorTickMark val="out"/>
        <c:minorTickMark val="none"/>
        <c:tickLblPos val="nextTo"/>
        <c:crossAx val="15581260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FR" sz="1300">
                <a:latin typeface="Times New Roman" pitchFamily="18" charset="0"/>
                <a:cs typeface="Times New Roman" pitchFamily="18" charset="0"/>
              </a:rPr>
              <a:t>Nombre</a:t>
            </a:r>
            <a:r>
              <a:rPr lang="fr-FR" sz="1300" baseline="0">
                <a:latin typeface="Times New Roman" pitchFamily="18" charset="0"/>
                <a:cs typeface="Times New Roman" pitchFamily="18" charset="0"/>
              </a:rPr>
              <a:t> de </a:t>
            </a:r>
            <a:r>
              <a:rPr lang="fr-FR" sz="1300">
                <a:latin typeface="Times New Roman" pitchFamily="18" charset="0"/>
                <a:cs typeface="Times New Roman" pitchFamily="18" charset="0"/>
              </a:rPr>
              <a:t>femmes bénificaires de sessions de formation  </a:t>
            </a:r>
          </a:p>
        </c:rich>
      </c:tx>
      <c:overlay val="0"/>
    </c:title>
    <c:autoTitleDeleted val="0"/>
    <c:plotArea>
      <c:layout/>
      <c:lineChart>
        <c:grouping val="standard"/>
        <c:varyColors val="0"/>
        <c:ser>
          <c:idx val="0"/>
          <c:order val="0"/>
          <c:tx>
            <c:strRef>
              <c:f>Feuil1!$B$1</c:f>
              <c:strCache>
                <c:ptCount val="1"/>
                <c:pt idx="0">
                  <c:v>nombre de femmes</c:v>
                </c:pt>
              </c:strCache>
            </c:strRef>
          </c:tx>
          <c:cat>
            <c:strRef>
              <c:f>Feuil1!$A$2:$A$7</c:f>
              <c:strCache>
                <c:ptCount val="6"/>
                <c:pt idx="0">
                  <c:v>2020</c:v>
                </c:pt>
                <c:pt idx="1">
                  <c:v>2021</c:v>
                </c:pt>
                <c:pt idx="2">
                  <c:v>2022</c:v>
                </c:pt>
                <c:pt idx="3">
                  <c:v>2023</c:v>
                </c:pt>
                <c:pt idx="4">
                  <c:v>2024</c:v>
                </c:pt>
                <c:pt idx="5">
                  <c:v>2025</c:v>
                </c:pt>
              </c:strCache>
            </c:strRef>
          </c:cat>
          <c:val>
            <c:numRef>
              <c:f>Feuil1!$B$2:$B$7</c:f>
              <c:numCache>
                <c:formatCode>General</c:formatCode>
                <c:ptCount val="6"/>
                <c:pt idx="0">
                  <c:v>1701</c:v>
                </c:pt>
                <c:pt idx="1">
                  <c:v>2455</c:v>
                </c:pt>
                <c:pt idx="2">
                  <c:v>2763</c:v>
                </c:pt>
                <c:pt idx="3">
                  <c:v>4729</c:v>
                </c:pt>
                <c:pt idx="4">
                  <c:v>5433</c:v>
                </c:pt>
                <c:pt idx="5">
                  <c:v>7386</c:v>
                </c:pt>
              </c:numCache>
            </c:numRef>
          </c:val>
          <c:smooth val="0"/>
          <c:extLst>
            <c:ext xmlns:c16="http://schemas.microsoft.com/office/drawing/2014/chart" uri="{C3380CC4-5D6E-409C-BE32-E72D297353CC}">
              <c16:uniqueId val="{00000000-576E-4541-9F4B-6A395A9D9D5F}"/>
            </c:ext>
          </c:extLst>
        </c:ser>
        <c:dLbls>
          <c:showLegendKey val="0"/>
          <c:showVal val="0"/>
          <c:showCatName val="0"/>
          <c:showSerName val="0"/>
          <c:showPercent val="0"/>
          <c:showBubbleSize val="0"/>
        </c:dLbls>
        <c:marker val="1"/>
        <c:smooth val="0"/>
        <c:axId val="155940736"/>
        <c:axId val="155942272"/>
      </c:lineChart>
      <c:catAx>
        <c:axId val="155940736"/>
        <c:scaling>
          <c:orientation val="minMax"/>
        </c:scaling>
        <c:delete val="0"/>
        <c:axPos val="b"/>
        <c:numFmt formatCode="General" sourceLinked="0"/>
        <c:majorTickMark val="out"/>
        <c:minorTickMark val="none"/>
        <c:tickLblPos val="nextTo"/>
        <c:crossAx val="155942272"/>
        <c:crosses val="autoZero"/>
        <c:auto val="1"/>
        <c:lblAlgn val="ctr"/>
        <c:lblOffset val="100"/>
        <c:noMultiLvlLbl val="0"/>
      </c:catAx>
      <c:valAx>
        <c:axId val="155942272"/>
        <c:scaling>
          <c:orientation val="minMax"/>
        </c:scaling>
        <c:delete val="0"/>
        <c:axPos val="l"/>
        <c:majorGridlines/>
        <c:numFmt formatCode="General" sourceLinked="1"/>
        <c:majorTickMark val="out"/>
        <c:minorTickMark val="none"/>
        <c:tickLblPos val="nextTo"/>
        <c:crossAx val="15594073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baseline="0">
                <a:solidFill>
                  <a:schemeClr val="tx1">
                    <a:lumMod val="65000"/>
                    <a:lumOff val="35000"/>
                  </a:schemeClr>
                </a:solidFill>
                <a:latin typeface="+mn-lt"/>
                <a:ea typeface="+mn-ea"/>
                <a:cs typeface="+mn-cs"/>
              </a:defRPr>
            </a:pPr>
            <a:r>
              <a:rPr lang="fr-FR" sz="1300" b="1">
                <a:solidFill>
                  <a:sysClr val="windowText" lastClr="000000"/>
                </a:solidFill>
                <a:latin typeface="Times New Roman" pitchFamily="18" charset="0"/>
                <a:cs typeface="Times New Roman" pitchFamily="18" charset="0"/>
              </a:rPr>
              <a:t>Bilan Statistique des femmes prises en charge par les espaces d’accueil et d’orientation au niveau des Directions de l'Action Sociale et de la Solidarité (DASS)</a:t>
            </a:r>
          </a:p>
          <a:p>
            <a:pPr>
              <a:defRPr sz="1600" b="0" i="0" u="none" strike="noStrike" kern="1200" cap="none" spc="50" baseline="0">
                <a:solidFill>
                  <a:schemeClr val="tx1">
                    <a:lumMod val="65000"/>
                    <a:lumOff val="35000"/>
                  </a:schemeClr>
                </a:solidFill>
                <a:latin typeface="+mn-lt"/>
                <a:ea typeface="+mn-ea"/>
                <a:cs typeface="+mn-cs"/>
              </a:defRPr>
            </a:pPr>
            <a:r>
              <a:rPr lang="fr-FR" sz="1300" b="1">
                <a:solidFill>
                  <a:sysClr val="windowText" lastClr="000000"/>
                </a:solidFill>
                <a:latin typeface="Times New Roman" pitchFamily="18" charset="0"/>
                <a:cs typeface="Times New Roman" pitchFamily="18" charset="0"/>
              </a:rPr>
              <a:t> de 2020 à 2025</a:t>
            </a:r>
          </a:p>
        </c:rich>
      </c:tx>
      <c:layout>
        <c:manualLayout>
          <c:xMode val="edge"/>
          <c:yMode val="edge"/>
          <c:x val="0.14798027850685341"/>
          <c:y val="3.1746031746031744E-2"/>
        </c:manualLayout>
      </c:layout>
      <c:overlay val="0"/>
      <c:spPr>
        <a:noFill/>
        <a:ln>
          <a:noFill/>
        </a:ln>
        <a:effectLst/>
      </c:spPr>
    </c:title>
    <c:autoTitleDeleted val="0"/>
    <c:view3D>
      <c:rotX val="15"/>
      <c:rotY val="20"/>
      <c:depthPercent val="100"/>
      <c:rAngAx val="1"/>
    </c:view3D>
    <c:floor>
      <c:thickness val="0"/>
      <c:spPr>
        <a:solidFill>
          <a:schemeClr val="lt1">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Feuil1!$B$1</c:f>
              <c:strCache>
                <c:ptCount val="1"/>
                <c:pt idx="0">
                  <c:v>Nb de femmes en difficulté sociale (sans les victimes de violences)</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Feuil1!$A$2:$A$7</c:f>
              <c:numCache>
                <c:formatCode>General</c:formatCode>
                <c:ptCount val="6"/>
                <c:pt idx="0">
                  <c:v>2020</c:v>
                </c:pt>
                <c:pt idx="1">
                  <c:v>2021</c:v>
                </c:pt>
                <c:pt idx="2">
                  <c:v>2022</c:v>
                </c:pt>
                <c:pt idx="3">
                  <c:v>2023</c:v>
                </c:pt>
                <c:pt idx="4">
                  <c:v>2024</c:v>
                </c:pt>
                <c:pt idx="5">
                  <c:v>2025</c:v>
                </c:pt>
              </c:numCache>
            </c:numRef>
          </c:cat>
          <c:val>
            <c:numRef>
              <c:f>Feuil1!$B$2:$B$7</c:f>
              <c:numCache>
                <c:formatCode>General</c:formatCode>
                <c:ptCount val="6"/>
                <c:pt idx="0">
                  <c:v>2428</c:v>
                </c:pt>
                <c:pt idx="1">
                  <c:v>2535</c:v>
                </c:pt>
                <c:pt idx="2">
                  <c:v>3111</c:v>
                </c:pt>
                <c:pt idx="3">
                  <c:v>4180</c:v>
                </c:pt>
                <c:pt idx="4">
                  <c:v>3437</c:v>
                </c:pt>
                <c:pt idx="5">
                  <c:v>3316</c:v>
                </c:pt>
              </c:numCache>
            </c:numRef>
          </c:val>
          <c:extLst>
            <c:ext xmlns:c16="http://schemas.microsoft.com/office/drawing/2014/chart" uri="{C3380CC4-5D6E-409C-BE32-E72D297353CC}">
              <c16:uniqueId val="{00000000-564C-4534-B626-47933815E6CD}"/>
            </c:ext>
          </c:extLst>
        </c:ser>
        <c:ser>
          <c:idx val="1"/>
          <c:order val="1"/>
          <c:tx>
            <c:strRef>
              <c:f>Feuil1!$C$1</c:f>
              <c:strCache>
                <c:ptCount val="1"/>
                <c:pt idx="0">
                  <c:v>Nombre de femmes victimes de violences</c:v>
                </c:pt>
              </c:strCache>
            </c:strRef>
          </c:tx>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Feuil1!$A$2:$A$7</c:f>
              <c:numCache>
                <c:formatCode>General</c:formatCode>
                <c:ptCount val="6"/>
                <c:pt idx="0">
                  <c:v>2020</c:v>
                </c:pt>
                <c:pt idx="1">
                  <c:v>2021</c:v>
                </c:pt>
                <c:pt idx="2">
                  <c:v>2022</c:v>
                </c:pt>
                <c:pt idx="3">
                  <c:v>2023</c:v>
                </c:pt>
                <c:pt idx="4">
                  <c:v>2024</c:v>
                </c:pt>
                <c:pt idx="5">
                  <c:v>2025</c:v>
                </c:pt>
              </c:numCache>
            </c:numRef>
          </c:cat>
          <c:val>
            <c:numRef>
              <c:f>Feuil1!$C$2:$C$7</c:f>
              <c:numCache>
                <c:formatCode>General</c:formatCode>
                <c:ptCount val="6"/>
                <c:pt idx="0">
                  <c:v>525</c:v>
                </c:pt>
                <c:pt idx="1">
                  <c:v>623</c:v>
                </c:pt>
                <c:pt idx="2">
                  <c:v>446</c:v>
                </c:pt>
                <c:pt idx="3">
                  <c:v>557</c:v>
                </c:pt>
                <c:pt idx="4">
                  <c:v>351</c:v>
                </c:pt>
                <c:pt idx="5">
                  <c:v>432</c:v>
                </c:pt>
              </c:numCache>
            </c:numRef>
          </c:val>
          <c:extLst>
            <c:ext xmlns:c16="http://schemas.microsoft.com/office/drawing/2014/chart" uri="{C3380CC4-5D6E-409C-BE32-E72D297353CC}">
              <c16:uniqueId val="{00000001-564C-4534-B626-47933815E6CD}"/>
            </c:ext>
          </c:extLst>
        </c:ser>
        <c:dLbls>
          <c:showLegendKey val="0"/>
          <c:showVal val="1"/>
          <c:showCatName val="0"/>
          <c:showSerName val="0"/>
          <c:showPercent val="0"/>
          <c:showBubbleSize val="0"/>
        </c:dLbls>
        <c:gapWidth val="150"/>
        <c:shape val="box"/>
        <c:axId val="156535424"/>
        <c:axId val="59322752"/>
        <c:axId val="0"/>
      </c:bar3DChart>
      <c:catAx>
        <c:axId val="15653542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9322752"/>
        <c:crosses val="autoZero"/>
        <c:auto val="1"/>
        <c:lblAlgn val="ctr"/>
        <c:lblOffset val="100"/>
        <c:noMultiLvlLbl val="0"/>
      </c:catAx>
      <c:valAx>
        <c:axId val="5932275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6535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baseline="0">
                <a:solidFill>
                  <a:schemeClr val="tx2"/>
                </a:solidFill>
                <a:latin typeface="+mn-lt"/>
                <a:ea typeface="+mn-ea"/>
                <a:cs typeface="+mn-cs"/>
              </a:defRPr>
            </a:pPr>
            <a:r>
              <a:rPr lang="fr-FR" sz="1300">
                <a:solidFill>
                  <a:sysClr val="windowText" lastClr="000000"/>
                </a:solidFill>
                <a:latin typeface="Times New Roman" pitchFamily="18" charset="0"/>
                <a:cs typeface="Times New Roman" pitchFamily="18" charset="0"/>
              </a:rPr>
              <a:t>Bilan statistique des femmes en difficulté sociale prises en charge au niveau des trois (03) Centres Nationaux d’accueil pour jeunes filles et femmes victimes de violence et /ou en situation de détresse de 2020 à 2025</a:t>
            </a:r>
            <a:endParaRPr lang="en-US" sz="1300">
              <a:solidFill>
                <a:sysClr val="windowText" lastClr="000000"/>
              </a:solidFill>
              <a:latin typeface="Times New Roman" pitchFamily="18" charset="0"/>
              <a:cs typeface="Times New Roman" pitchFamily="18" charset="0"/>
            </a:endParaRPr>
          </a:p>
        </c:rich>
      </c:tx>
      <c:layout>
        <c:manualLayout>
          <c:xMode val="edge"/>
          <c:yMode val="edge"/>
          <c:x val="0.15560172433533401"/>
          <c:y val="5.3490440216014514E-4"/>
        </c:manualLayout>
      </c:layout>
      <c:overlay val="0"/>
      <c:spPr>
        <a:noFill/>
        <a:ln>
          <a:noFill/>
        </a:ln>
        <a:effectLst/>
      </c:spPr>
    </c:title>
    <c:autoTitleDeleted val="0"/>
    <c:plotArea>
      <c:layout/>
      <c:barChart>
        <c:barDir val="col"/>
        <c:grouping val="clustered"/>
        <c:varyColors val="0"/>
        <c:ser>
          <c:idx val="0"/>
          <c:order val="0"/>
          <c:tx>
            <c:strRef>
              <c:f>Feuil1!$B$1</c:f>
              <c:strCache>
                <c:ptCount val="1"/>
                <c:pt idx="0">
                  <c:v>2020</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Feuil1!$A$2:$A$4</c:f>
              <c:strCache>
                <c:ptCount val="3"/>
                <c:pt idx="0">
                  <c:v>Centre national de Bousmail- Tipaza</c:v>
                </c:pt>
                <c:pt idx="1">
                  <c:v>Centre national de Mostaganem</c:v>
                </c:pt>
                <c:pt idx="2">
                  <c:v>Centre national El bouni - Annaba</c:v>
                </c:pt>
              </c:strCache>
            </c:strRef>
          </c:cat>
          <c:val>
            <c:numRef>
              <c:f>Feuil1!$B$2:$B$4</c:f>
              <c:numCache>
                <c:formatCode>General</c:formatCode>
                <c:ptCount val="3"/>
                <c:pt idx="0">
                  <c:v>81</c:v>
                </c:pt>
                <c:pt idx="1">
                  <c:v>71</c:v>
                </c:pt>
                <c:pt idx="2">
                  <c:v>0</c:v>
                </c:pt>
              </c:numCache>
            </c:numRef>
          </c:val>
          <c:extLst>
            <c:ext xmlns:c16="http://schemas.microsoft.com/office/drawing/2014/chart" uri="{C3380CC4-5D6E-409C-BE32-E72D297353CC}">
              <c16:uniqueId val="{00000000-548E-4E02-BDEF-351A8A05EE20}"/>
            </c:ext>
          </c:extLst>
        </c:ser>
        <c:ser>
          <c:idx val="1"/>
          <c:order val="1"/>
          <c:tx>
            <c:strRef>
              <c:f>Feuil1!$C$1</c:f>
              <c:strCache>
                <c:ptCount val="1"/>
                <c:pt idx="0">
                  <c:v>2021</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Feuil1!$A$2:$A$4</c:f>
              <c:strCache>
                <c:ptCount val="3"/>
                <c:pt idx="0">
                  <c:v>Centre national de Bousmail- Tipaza</c:v>
                </c:pt>
                <c:pt idx="1">
                  <c:v>Centre national de Mostaganem</c:v>
                </c:pt>
                <c:pt idx="2">
                  <c:v>Centre national El bouni - Annaba</c:v>
                </c:pt>
              </c:strCache>
            </c:strRef>
          </c:cat>
          <c:val>
            <c:numRef>
              <c:f>Feuil1!$C$2:$C$4</c:f>
              <c:numCache>
                <c:formatCode>General</c:formatCode>
                <c:ptCount val="3"/>
                <c:pt idx="0">
                  <c:v>72</c:v>
                </c:pt>
                <c:pt idx="1">
                  <c:v>71</c:v>
                </c:pt>
                <c:pt idx="2">
                  <c:v>12</c:v>
                </c:pt>
              </c:numCache>
            </c:numRef>
          </c:val>
          <c:extLst>
            <c:ext xmlns:c16="http://schemas.microsoft.com/office/drawing/2014/chart" uri="{C3380CC4-5D6E-409C-BE32-E72D297353CC}">
              <c16:uniqueId val="{00000001-548E-4E02-BDEF-351A8A05EE20}"/>
            </c:ext>
          </c:extLst>
        </c:ser>
        <c:dLbls>
          <c:showLegendKey val="0"/>
          <c:showVal val="0"/>
          <c:showCatName val="0"/>
          <c:showSerName val="0"/>
          <c:showPercent val="0"/>
          <c:showBubbleSize val="0"/>
        </c:dLbls>
        <c:gapWidth val="247"/>
        <c:overlap val="-27"/>
        <c:axId val="33051776"/>
        <c:axId val="33053312"/>
      </c:barChart>
      <c:lineChart>
        <c:grouping val="standard"/>
        <c:varyColors val="0"/>
        <c:ser>
          <c:idx val="2"/>
          <c:order val="2"/>
          <c:tx>
            <c:strRef>
              <c:f>Feuil1!$D$1</c:f>
              <c:strCache>
                <c:ptCount val="1"/>
                <c:pt idx="0">
                  <c:v>2022</c:v>
                </c:pt>
              </c:strCache>
            </c:strRef>
          </c:tx>
          <c:spPr>
            <a:ln w="31750" cap="rnd">
              <a:solidFill>
                <a:schemeClr val="accent3"/>
              </a:solidFill>
              <a:round/>
            </a:ln>
            <a:effectLst>
              <a:outerShdw blurRad="40000" dist="23000" dir="5400000" rotWithShape="0">
                <a:srgbClr val="000000">
                  <a:alpha val="35000"/>
                </a:srgbClr>
              </a:outerShdw>
            </a:effectLst>
          </c:spPr>
          <c:marker>
            <c:symbol val="none"/>
          </c:marker>
          <c:cat>
            <c:strRef>
              <c:f>Feuil1!$A$2:$A$4</c:f>
              <c:strCache>
                <c:ptCount val="3"/>
                <c:pt idx="0">
                  <c:v>Centre national de Bousmail- Tipaza</c:v>
                </c:pt>
                <c:pt idx="1">
                  <c:v>Centre national de Mostaganem</c:v>
                </c:pt>
                <c:pt idx="2">
                  <c:v>Centre national El bouni - Annaba</c:v>
                </c:pt>
              </c:strCache>
            </c:strRef>
          </c:cat>
          <c:val>
            <c:numRef>
              <c:f>Feuil1!$D$2:$D$4</c:f>
              <c:numCache>
                <c:formatCode>General</c:formatCode>
                <c:ptCount val="3"/>
                <c:pt idx="0">
                  <c:v>62</c:v>
                </c:pt>
                <c:pt idx="1">
                  <c:v>87</c:v>
                </c:pt>
                <c:pt idx="2">
                  <c:v>32</c:v>
                </c:pt>
              </c:numCache>
            </c:numRef>
          </c:val>
          <c:smooth val="0"/>
          <c:extLst>
            <c:ext xmlns:c16="http://schemas.microsoft.com/office/drawing/2014/chart" uri="{C3380CC4-5D6E-409C-BE32-E72D297353CC}">
              <c16:uniqueId val="{00000002-548E-4E02-BDEF-351A8A05EE20}"/>
            </c:ext>
          </c:extLst>
        </c:ser>
        <c:ser>
          <c:idx val="3"/>
          <c:order val="3"/>
          <c:tx>
            <c:strRef>
              <c:f>Feuil1!$E$1</c:f>
              <c:strCache>
                <c:ptCount val="1"/>
                <c:pt idx="0">
                  <c:v>2023</c:v>
                </c:pt>
              </c:strCache>
            </c:strRef>
          </c:tx>
          <c:spPr>
            <a:ln w="31750" cap="rnd">
              <a:solidFill>
                <a:schemeClr val="accent4"/>
              </a:solidFill>
              <a:round/>
            </a:ln>
            <a:effectLst>
              <a:outerShdw blurRad="40000" dist="23000" dir="5400000" rotWithShape="0">
                <a:srgbClr val="000000">
                  <a:alpha val="35000"/>
                </a:srgbClr>
              </a:outerShdw>
            </a:effectLst>
          </c:spPr>
          <c:marker>
            <c:symbol val="none"/>
          </c:marker>
          <c:cat>
            <c:strRef>
              <c:f>Feuil1!$A$2:$A$4</c:f>
              <c:strCache>
                <c:ptCount val="3"/>
                <c:pt idx="0">
                  <c:v>Centre national de Bousmail- Tipaza</c:v>
                </c:pt>
                <c:pt idx="1">
                  <c:v>Centre national de Mostaganem</c:v>
                </c:pt>
                <c:pt idx="2">
                  <c:v>Centre national El bouni - Annaba</c:v>
                </c:pt>
              </c:strCache>
            </c:strRef>
          </c:cat>
          <c:val>
            <c:numRef>
              <c:f>Feuil1!$E$2:$E$4</c:f>
              <c:numCache>
                <c:formatCode>General</c:formatCode>
                <c:ptCount val="3"/>
                <c:pt idx="0">
                  <c:v>68</c:v>
                </c:pt>
                <c:pt idx="1">
                  <c:v>70</c:v>
                </c:pt>
                <c:pt idx="2">
                  <c:v>52</c:v>
                </c:pt>
              </c:numCache>
            </c:numRef>
          </c:val>
          <c:smooth val="0"/>
          <c:extLst>
            <c:ext xmlns:c16="http://schemas.microsoft.com/office/drawing/2014/chart" uri="{C3380CC4-5D6E-409C-BE32-E72D297353CC}">
              <c16:uniqueId val="{00000003-548E-4E02-BDEF-351A8A05EE20}"/>
            </c:ext>
          </c:extLst>
        </c:ser>
        <c:ser>
          <c:idx val="4"/>
          <c:order val="4"/>
          <c:tx>
            <c:strRef>
              <c:f>Feuil1!$F$1</c:f>
              <c:strCache>
                <c:ptCount val="1"/>
                <c:pt idx="0">
                  <c:v>2024</c:v>
                </c:pt>
              </c:strCache>
            </c:strRef>
          </c:tx>
          <c:spPr>
            <a:ln w="31750" cap="rnd">
              <a:solidFill>
                <a:schemeClr val="accent5"/>
              </a:solidFill>
              <a:round/>
            </a:ln>
            <a:effectLst>
              <a:outerShdw blurRad="40000" dist="23000" dir="5400000" rotWithShape="0">
                <a:srgbClr val="000000">
                  <a:alpha val="35000"/>
                </a:srgbClr>
              </a:outerShdw>
            </a:effectLst>
          </c:spPr>
          <c:marker>
            <c:symbol val="none"/>
          </c:marker>
          <c:cat>
            <c:strRef>
              <c:f>Feuil1!$A$2:$A$4</c:f>
              <c:strCache>
                <c:ptCount val="3"/>
                <c:pt idx="0">
                  <c:v>Centre national de Bousmail- Tipaza</c:v>
                </c:pt>
                <c:pt idx="1">
                  <c:v>Centre national de Mostaganem</c:v>
                </c:pt>
                <c:pt idx="2">
                  <c:v>Centre national El bouni - Annaba</c:v>
                </c:pt>
              </c:strCache>
            </c:strRef>
          </c:cat>
          <c:val>
            <c:numRef>
              <c:f>Feuil1!$F$2:$F$4</c:f>
              <c:numCache>
                <c:formatCode>General</c:formatCode>
                <c:ptCount val="3"/>
                <c:pt idx="0">
                  <c:v>74</c:v>
                </c:pt>
                <c:pt idx="1">
                  <c:v>74</c:v>
                </c:pt>
                <c:pt idx="2">
                  <c:v>54</c:v>
                </c:pt>
              </c:numCache>
            </c:numRef>
          </c:val>
          <c:smooth val="0"/>
          <c:extLst>
            <c:ext xmlns:c16="http://schemas.microsoft.com/office/drawing/2014/chart" uri="{C3380CC4-5D6E-409C-BE32-E72D297353CC}">
              <c16:uniqueId val="{00000004-548E-4E02-BDEF-351A8A05EE20}"/>
            </c:ext>
          </c:extLst>
        </c:ser>
        <c:ser>
          <c:idx val="5"/>
          <c:order val="5"/>
          <c:tx>
            <c:strRef>
              <c:f>Feuil1!$G$1</c:f>
              <c:strCache>
                <c:ptCount val="1"/>
                <c:pt idx="0">
                  <c:v>2025</c:v>
                </c:pt>
              </c:strCache>
            </c:strRef>
          </c:tx>
          <c:spPr>
            <a:ln w="31750" cap="rnd">
              <a:solidFill>
                <a:schemeClr val="accent6"/>
              </a:solidFill>
              <a:round/>
            </a:ln>
            <a:effectLst>
              <a:outerShdw blurRad="40000" dist="23000" dir="5400000" rotWithShape="0">
                <a:srgbClr val="000000">
                  <a:alpha val="35000"/>
                </a:srgbClr>
              </a:outerShdw>
            </a:effectLst>
          </c:spPr>
          <c:marker>
            <c:symbol val="none"/>
          </c:marker>
          <c:cat>
            <c:strRef>
              <c:f>Feuil1!$A$2:$A$4</c:f>
              <c:strCache>
                <c:ptCount val="3"/>
                <c:pt idx="0">
                  <c:v>Centre national de Bousmail- Tipaza</c:v>
                </c:pt>
                <c:pt idx="1">
                  <c:v>Centre national de Mostaganem</c:v>
                </c:pt>
                <c:pt idx="2">
                  <c:v>Centre national El bouni - Annaba</c:v>
                </c:pt>
              </c:strCache>
            </c:strRef>
          </c:cat>
          <c:val>
            <c:numRef>
              <c:f>Feuil1!$G$2:$G$4</c:f>
              <c:numCache>
                <c:formatCode>General</c:formatCode>
                <c:ptCount val="3"/>
                <c:pt idx="0">
                  <c:v>78</c:v>
                </c:pt>
                <c:pt idx="1">
                  <c:v>83</c:v>
                </c:pt>
                <c:pt idx="2">
                  <c:v>51</c:v>
                </c:pt>
              </c:numCache>
            </c:numRef>
          </c:val>
          <c:smooth val="0"/>
          <c:extLst>
            <c:ext xmlns:c16="http://schemas.microsoft.com/office/drawing/2014/chart" uri="{C3380CC4-5D6E-409C-BE32-E72D297353CC}">
              <c16:uniqueId val="{00000005-548E-4E02-BDEF-351A8A05EE20}"/>
            </c:ext>
          </c:extLst>
        </c:ser>
        <c:dLbls>
          <c:showLegendKey val="0"/>
          <c:showVal val="0"/>
          <c:showCatName val="0"/>
          <c:showSerName val="0"/>
          <c:showPercent val="0"/>
          <c:showBubbleSize val="0"/>
        </c:dLbls>
        <c:marker val="1"/>
        <c:smooth val="0"/>
        <c:axId val="33073024"/>
        <c:axId val="33071488"/>
      </c:lineChart>
      <c:catAx>
        <c:axId val="33051776"/>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053312"/>
        <c:crosses val="autoZero"/>
        <c:auto val="1"/>
        <c:lblAlgn val="ctr"/>
        <c:lblOffset val="100"/>
        <c:noMultiLvlLbl val="0"/>
      </c:catAx>
      <c:valAx>
        <c:axId val="3305331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051776"/>
        <c:crosses val="autoZero"/>
        <c:crossBetween val="between"/>
      </c:valAx>
      <c:valAx>
        <c:axId val="33071488"/>
        <c:scaling>
          <c:orientation val="minMax"/>
        </c:scaling>
        <c:delete val="0"/>
        <c:axPos val="r"/>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3073024"/>
        <c:crosses val="max"/>
        <c:crossBetween val="between"/>
      </c:valAx>
      <c:catAx>
        <c:axId val="33073024"/>
        <c:scaling>
          <c:orientation val="minMax"/>
        </c:scaling>
        <c:delete val="1"/>
        <c:axPos val="b"/>
        <c:numFmt formatCode="General" sourceLinked="1"/>
        <c:majorTickMark val="none"/>
        <c:minorTickMark val="none"/>
        <c:tickLblPos val="nextTo"/>
        <c:crossAx val="330714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fr-FR" sz="1300">
                <a:solidFill>
                  <a:sysClr val="windowText" lastClr="000000"/>
                </a:solidFill>
                <a:latin typeface="Times New Roman" pitchFamily="18" charset="0"/>
                <a:cs typeface="Times New Roman" pitchFamily="18" charset="0"/>
              </a:rPr>
              <a:t>Nombre de femmes magistrates</a:t>
            </a:r>
          </a:p>
          <a:p>
            <a:pPr>
              <a:defRPr/>
            </a:pPr>
            <a:r>
              <a:rPr lang="fr-FR" sz="1300">
                <a:solidFill>
                  <a:sysClr val="windowText" lastClr="000000"/>
                </a:solidFill>
                <a:latin typeface="Times New Roman" pitchFamily="18" charset="0"/>
                <a:cs typeface="Times New Roman" pitchFamily="18" charset="0"/>
              </a:rPr>
              <a:t> de 2021 à 2025</a:t>
            </a:r>
          </a:p>
        </c:rich>
      </c:tx>
      <c:overlay val="0"/>
    </c:title>
    <c:autoTitleDeleted val="0"/>
    <c:plotArea>
      <c:layout/>
      <c:lineChart>
        <c:grouping val="standard"/>
        <c:varyColors val="0"/>
        <c:ser>
          <c:idx val="0"/>
          <c:order val="0"/>
          <c:tx>
            <c:strRef>
              <c:f>Feuil1!$B$1</c:f>
              <c:strCache>
                <c:ptCount val="1"/>
                <c:pt idx="0">
                  <c:v>Nombre de femmes</c:v>
                </c:pt>
              </c:strCache>
            </c:strRef>
          </c:tx>
          <c:cat>
            <c:numRef>
              <c:f>Feuil1!$A$2:$A$6</c:f>
              <c:numCache>
                <c:formatCode>General</c:formatCode>
                <c:ptCount val="5"/>
                <c:pt idx="0">
                  <c:v>2021</c:v>
                </c:pt>
                <c:pt idx="1">
                  <c:v>2022</c:v>
                </c:pt>
                <c:pt idx="2">
                  <c:v>2023</c:v>
                </c:pt>
                <c:pt idx="3">
                  <c:v>2024</c:v>
                </c:pt>
                <c:pt idx="4">
                  <c:v>2025</c:v>
                </c:pt>
              </c:numCache>
            </c:numRef>
          </c:cat>
          <c:val>
            <c:numRef>
              <c:f>Feuil1!$B$2:$B$6</c:f>
              <c:numCache>
                <c:formatCode>General</c:formatCode>
                <c:ptCount val="5"/>
                <c:pt idx="0">
                  <c:v>2766</c:v>
                </c:pt>
                <c:pt idx="1">
                  <c:v>2738</c:v>
                </c:pt>
                <c:pt idx="2">
                  <c:v>2722</c:v>
                </c:pt>
                <c:pt idx="3">
                  <c:v>2755</c:v>
                </c:pt>
                <c:pt idx="4">
                  <c:v>2935</c:v>
                </c:pt>
              </c:numCache>
            </c:numRef>
          </c:val>
          <c:smooth val="0"/>
          <c:extLst>
            <c:ext xmlns:c16="http://schemas.microsoft.com/office/drawing/2014/chart" uri="{C3380CC4-5D6E-409C-BE32-E72D297353CC}">
              <c16:uniqueId val="{00000000-F365-42AC-8268-A2A3743770DD}"/>
            </c:ext>
          </c:extLst>
        </c:ser>
        <c:dLbls>
          <c:showLegendKey val="0"/>
          <c:showVal val="0"/>
          <c:showCatName val="0"/>
          <c:showSerName val="0"/>
          <c:showPercent val="0"/>
          <c:showBubbleSize val="0"/>
        </c:dLbls>
        <c:marker val="1"/>
        <c:smooth val="0"/>
        <c:axId val="33083776"/>
        <c:axId val="33085312"/>
      </c:lineChart>
      <c:catAx>
        <c:axId val="33083776"/>
        <c:scaling>
          <c:orientation val="minMax"/>
        </c:scaling>
        <c:delete val="0"/>
        <c:axPos val="b"/>
        <c:numFmt formatCode="General" sourceLinked="1"/>
        <c:majorTickMark val="out"/>
        <c:minorTickMark val="none"/>
        <c:tickLblPos val="nextTo"/>
        <c:crossAx val="33085312"/>
        <c:crosses val="autoZero"/>
        <c:auto val="1"/>
        <c:lblAlgn val="ctr"/>
        <c:lblOffset val="100"/>
        <c:noMultiLvlLbl val="0"/>
      </c:catAx>
      <c:valAx>
        <c:axId val="33085312"/>
        <c:scaling>
          <c:orientation val="minMax"/>
        </c:scaling>
        <c:delete val="0"/>
        <c:axPos val="l"/>
        <c:majorGridlines/>
        <c:numFmt formatCode="General" sourceLinked="1"/>
        <c:majorTickMark val="out"/>
        <c:minorTickMark val="none"/>
        <c:tickLblPos val="nextTo"/>
        <c:crossAx val="33083776"/>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300" b="1">
                <a:solidFill>
                  <a:sysClr val="windowText" lastClr="000000"/>
                </a:solidFill>
                <a:latin typeface="Times New Roman" pitchFamily="18" charset="0"/>
                <a:cs typeface="Times New Roman" pitchFamily="18" charset="0"/>
              </a:rPr>
              <a:t>Nombre</a:t>
            </a:r>
            <a:r>
              <a:rPr lang="fr-FR" sz="1300" b="1" baseline="0">
                <a:solidFill>
                  <a:sysClr val="windowText" lastClr="000000"/>
                </a:solidFill>
                <a:latin typeface="Times New Roman" pitchFamily="18" charset="0"/>
                <a:cs typeface="Times New Roman" pitchFamily="18" charset="0"/>
              </a:rPr>
              <a:t> de femmes </a:t>
            </a:r>
            <a:r>
              <a:rPr lang="fr-FR" sz="1300" b="1" i="0" u="none" strike="noStrike" baseline="0">
                <a:solidFill>
                  <a:sysClr val="windowText" lastClr="000000"/>
                </a:solidFill>
                <a:latin typeface="Times New Roman" pitchFamily="18" charset="0"/>
                <a:cs typeface="Times New Roman" pitchFamily="18" charset="0"/>
              </a:rPr>
              <a:t>magistrates occupant des fonctions judiciaires spécifiques </a:t>
            </a:r>
            <a:endParaRPr lang="fr-FR" sz="1300" b="1">
              <a:solidFill>
                <a:sysClr val="windowText" lastClr="000000"/>
              </a:solidFill>
              <a:latin typeface="Times New Roman" pitchFamily="18" charset="0"/>
              <a:cs typeface="Times New Roman" pitchFamily="18" charset="0"/>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cat>
            <c:strRef>
              <c:f>Feuil2!$A$1:$A$12</c:f>
              <c:strCache>
                <c:ptCount val="12"/>
                <c:pt idx="1">
                  <c:v>Commissaire d'État</c:v>
                </c:pt>
                <c:pt idx="2">
                  <c:v>Présidente de la Cour</c:v>
                </c:pt>
                <c:pt idx="3">
                  <c:v>Vice-présidente de la Cour</c:v>
                </c:pt>
                <c:pt idx="4">
                  <c:v>Présidente de Chambre</c:v>
                </c:pt>
                <c:pt idx="5">
                  <c:v>Premier procureur général adjoint</c:v>
                </c:pt>
                <c:pt idx="6">
                  <c:v>Juge d'application des peines</c:v>
                </c:pt>
                <c:pt idx="7">
                  <c:v>Présidente de Tribunal</c:v>
                </c:pt>
                <c:pt idx="8">
                  <c:v>Procureur de la République</c:v>
                </c:pt>
                <c:pt idx="9">
                  <c:v>Juge des mineurs</c:v>
                </c:pt>
                <c:pt idx="10">
                  <c:v>Juge d'instruction</c:v>
                </c:pt>
                <c:pt idx="11">
                  <c:v>TOTAL</c:v>
                </c:pt>
              </c:strCache>
            </c:strRef>
          </c:cat>
          <c:val>
            <c:numRef>
              <c:f>Feuil2!$B$1:$B$12</c:f>
              <c:numCache>
                <c:formatCode>General</c:formatCode>
                <c:ptCount val="12"/>
                <c:pt idx="0">
                  <c:v>2021</c:v>
                </c:pt>
                <c:pt idx="1">
                  <c:v>2</c:v>
                </c:pt>
                <c:pt idx="2">
                  <c:v>1</c:v>
                </c:pt>
                <c:pt idx="3">
                  <c:v>10</c:v>
                </c:pt>
                <c:pt idx="4">
                  <c:v>326</c:v>
                </c:pt>
                <c:pt idx="5">
                  <c:v>0</c:v>
                </c:pt>
                <c:pt idx="6">
                  <c:v>0</c:v>
                </c:pt>
                <c:pt idx="7">
                  <c:v>39</c:v>
                </c:pt>
                <c:pt idx="8">
                  <c:v>2</c:v>
                </c:pt>
                <c:pt idx="9">
                  <c:v>78</c:v>
                </c:pt>
                <c:pt idx="10">
                  <c:v>34</c:v>
                </c:pt>
                <c:pt idx="11">
                  <c:v>489</c:v>
                </c:pt>
              </c:numCache>
            </c:numRef>
          </c:val>
          <c:extLst>
            <c:ext xmlns:c16="http://schemas.microsoft.com/office/drawing/2014/chart" uri="{C3380CC4-5D6E-409C-BE32-E72D297353CC}">
              <c16:uniqueId val="{00000000-0D56-43ED-B4AE-EE23CA2CFE44}"/>
            </c:ext>
          </c:extLst>
        </c:ser>
        <c:ser>
          <c:idx val="1"/>
          <c:order val="1"/>
          <c:spPr>
            <a:solidFill>
              <a:schemeClr val="accent2"/>
            </a:solidFill>
            <a:ln>
              <a:noFill/>
            </a:ln>
            <a:effectLst/>
          </c:spPr>
          <c:invertIfNegative val="0"/>
          <c:cat>
            <c:strRef>
              <c:f>Feuil2!$A$1:$A$12</c:f>
              <c:strCache>
                <c:ptCount val="12"/>
                <c:pt idx="1">
                  <c:v>Commissaire d'État</c:v>
                </c:pt>
                <c:pt idx="2">
                  <c:v>Présidente de la Cour</c:v>
                </c:pt>
                <c:pt idx="3">
                  <c:v>Vice-présidente de la Cour</c:v>
                </c:pt>
                <c:pt idx="4">
                  <c:v>Présidente de Chambre</c:v>
                </c:pt>
                <c:pt idx="5">
                  <c:v>Premier procureur général adjoint</c:v>
                </c:pt>
                <c:pt idx="6">
                  <c:v>Juge d'application des peines</c:v>
                </c:pt>
                <c:pt idx="7">
                  <c:v>Présidente de Tribunal</c:v>
                </c:pt>
                <c:pt idx="8">
                  <c:v>Procureur de la République</c:v>
                </c:pt>
                <c:pt idx="9">
                  <c:v>Juge des mineurs</c:v>
                </c:pt>
                <c:pt idx="10">
                  <c:v>Juge d'instruction</c:v>
                </c:pt>
                <c:pt idx="11">
                  <c:v>TOTAL</c:v>
                </c:pt>
              </c:strCache>
            </c:strRef>
          </c:cat>
          <c:val>
            <c:numRef>
              <c:f>Feuil2!$C$1:$C$12</c:f>
              <c:numCache>
                <c:formatCode>General</c:formatCode>
                <c:ptCount val="12"/>
                <c:pt idx="0">
                  <c:v>2022</c:v>
                </c:pt>
                <c:pt idx="1">
                  <c:v>2</c:v>
                </c:pt>
                <c:pt idx="2">
                  <c:v>3</c:v>
                </c:pt>
                <c:pt idx="3">
                  <c:v>13</c:v>
                </c:pt>
                <c:pt idx="4">
                  <c:v>354</c:v>
                </c:pt>
                <c:pt idx="5">
                  <c:v>1</c:v>
                </c:pt>
                <c:pt idx="6">
                  <c:v>0</c:v>
                </c:pt>
                <c:pt idx="7">
                  <c:v>45</c:v>
                </c:pt>
                <c:pt idx="8">
                  <c:v>2</c:v>
                </c:pt>
                <c:pt idx="9">
                  <c:v>76</c:v>
                </c:pt>
                <c:pt idx="10">
                  <c:v>32</c:v>
                </c:pt>
                <c:pt idx="11">
                  <c:v>526</c:v>
                </c:pt>
              </c:numCache>
            </c:numRef>
          </c:val>
          <c:extLst>
            <c:ext xmlns:c16="http://schemas.microsoft.com/office/drawing/2014/chart" uri="{C3380CC4-5D6E-409C-BE32-E72D297353CC}">
              <c16:uniqueId val="{00000001-0D56-43ED-B4AE-EE23CA2CFE44}"/>
            </c:ext>
          </c:extLst>
        </c:ser>
        <c:ser>
          <c:idx val="2"/>
          <c:order val="2"/>
          <c:spPr>
            <a:solidFill>
              <a:schemeClr val="accent3"/>
            </a:solidFill>
            <a:ln>
              <a:noFill/>
            </a:ln>
            <a:effectLst/>
          </c:spPr>
          <c:invertIfNegative val="0"/>
          <c:cat>
            <c:strRef>
              <c:f>Feuil2!$A$1:$A$12</c:f>
              <c:strCache>
                <c:ptCount val="12"/>
                <c:pt idx="1">
                  <c:v>Commissaire d'État</c:v>
                </c:pt>
                <c:pt idx="2">
                  <c:v>Présidente de la Cour</c:v>
                </c:pt>
                <c:pt idx="3">
                  <c:v>Vice-présidente de la Cour</c:v>
                </c:pt>
                <c:pt idx="4">
                  <c:v>Présidente de Chambre</c:v>
                </c:pt>
                <c:pt idx="5">
                  <c:v>Premier procureur général adjoint</c:v>
                </c:pt>
                <c:pt idx="6">
                  <c:v>Juge d'application des peines</c:v>
                </c:pt>
                <c:pt idx="7">
                  <c:v>Présidente de Tribunal</c:v>
                </c:pt>
                <c:pt idx="8">
                  <c:v>Procureur de la République</c:v>
                </c:pt>
                <c:pt idx="9">
                  <c:v>Juge des mineurs</c:v>
                </c:pt>
                <c:pt idx="10">
                  <c:v>Juge d'instruction</c:v>
                </c:pt>
                <c:pt idx="11">
                  <c:v>TOTAL</c:v>
                </c:pt>
              </c:strCache>
            </c:strRef>
          </c:cat>
          <c:val>
            <c:numRef>
              <c:f>Feuil2!$D$1:$D$12</c:f>
              <c:numCache>
                <c:formatCode>General</c:formatCode>
                <c:ptCount val="12"/>
                <c:pt idx="0">
                  <c:v>2023</c:v>
                </c:pt>
                <c:pt idx="1">
                  <c:v>1</c:v>
                </c:pt>
                <c:pt idx="2">
                  <c:v>2</c:v>
                </c:pt>
                <c:pt idx="3">
                  <c:v>12</c:v>
                </c:pt>
                <c:pt idx="4">
                  <c:v>352</c:v>
                </c:pt>
                <c:pt idx="5">
                  <c:v>0</c:v>
                </c:pt>
                <c:pt idx="6">
                  <c:v>0</c:v>
                </c:pt>
                <c:pt idx="7">
                  <c:v>56</c:v>
                </c:pt>
                <c:pt idx="8">
                  <c:v>2</c:v>
                </c:pt>
                <c:pt idx="9">
                  <c:v>79</c:v>
                </c:pt>
                <c:pt idx="10">
                  <c:v>40</c:v>
                </c:pt>
                <c:pt idx="11">
                  <c:v>543</c:v>
                </c:pt>
              </c:numCache>
            </c:numRef>
          </c:val>
          <c:extLst>
            <c:ext xmlns:c16="http://schemas.microsoft.com/office/drawing/2014/chart" uri="{C3380CC4-5D6E-409C-BE32-E72D297353CC}">
              <c16:uniqueId val="{00000002-0D56-43ED-B4AE-EE23CA2CFE44}"/>
            </c:ext>
          </c:extLst>
        </c:ser>
        <c:ser>
          <c:idx val="3"/>
          <c:order val="3"/>
          <c:spPr>
            <a:solidFill>
              <a:schemeClr val="accent4"/>
            </a:solidFill>
            <a:ln>
              <a:noFill/>
            </a:ln>
            <a:effectLst/>
          </c:spPr>
          <c:invertIfNegative val="0"/>
          <c:cat>
            <c:strRef>
              <c:f>Feuil2!$A$1:$A$12</c:f>
              <c:strCache>
                <c:ptCount val="12"/>
                <c:pt idx="1">
                  <c:v>Commissaire d'État</c:v>
                </c:pt>
                <c:pt idx="2">
                  <c:v>Présidente de la Cour</c:v>
                </c:pt>
                <c:pt idx="3">
                  <c:v>Vice-présidente de la Cour</c:v>
                </c:pt>
                <c:pt idx="4">
                  <c:v>Présidente de Chambre</c:v>
                </c:pt>
                <c:pt idx="5">
                  <c:v>Premier procureur général adjoint</c:v>
                </c:pt>
                <c:pt idx="6">
                  <c:v>Juge d'application des peines</c:v>
                </c:pt>
                <c:pt idx="7">
                  <c:v>Présidente de Tribunal</c:v>
                </c:pt>
                <c:pt idx="8">
                  <c:v>Procureur de la République</c:v>
                </c:pt>
                <c:pt idx="9">
                  <c:v>Juge des mineurs</c:v>
                </c:pt>
                <c:pt idx="10">
                  <c:v>Juge d'instruction</c:v>
                </c:pt>
                <c:pt idx="11">
                  <c:v>TOTAL</c:v>
                </c:pt>
              </c:strCache>
            </c:strRef>
          </c:cat>
          <c:val>
            <c:numRef>
              <c:f>Feuil2!$E$1:$E$12</c:f>
              <c:numCache>
                <c:formatCode>General</c:formatCode>
                <c:ptCount val="12"/>
                <c:pt idx="0">
                  <c:v>2024</c:v>
                </c:pt>
                <c:pt idx="1">
                  <c:v>1</c:v>
                </c:pt>
                <c:pt idx="2">
                  <c:v>2</c:v>
                </c:pt>
                <c:pt idx="3">
                  <c:v>13</c:v>
                </c:pt>
                <c:pt idx="4">
                  <c:v>361</c:v>
                </c:pt>
                <c:pt idx="5">
                  <c:v>1</c:v>
                </c:pt>
                <c:pt idx="6">
                  <c:v>1</c:v>
                </c:pt>
                <c:pt idx="7">
                  <c:v>58</c:v>
                </c:pt>
                <c:pt idx="8">
                  <c:v>2</c:v>
                </c:pt>
                <c:pt idx="9">
                  <c:v>80</c:v>
                </c:pt>
                <c:pt idx="10">
                  <c:v>39</c:v>
                </c:pt>
                <c:pt idx="11">
                  <c:v>557</c:v>
                </c:pt>
              </c:numCache>
            </c:numRef>
          </c:val>
          <c:extLst>
            <c:ext xmlns:c16="http://schemas.microsoft.com/office/drawing/2014/chart" uri="{C3380CC4-5D6E-409C-BE32-E72D297353CC}">
              <c16:uniqueId val="{00000003-0D56-43ED-B4AE-EE23CA2CFE44}"/>
            </c:ext>
          </c:extLst>
        </c:ser>
        <c:ser>
          <c:idx val="4"/>
          <c:order val="4"/>
          <c:spPr>
            <a:solidFill>
              <a:schemeClr val="accent5"/>
            </a:solidFill>
            <a:ln>
              <a:noFill/>
            </a:ln>
            <a:effectLst/>
          </c:spPr>
          <c:invertIfNegative val="0"/>
          <c:cat>
            <c:strRef>
              <c:f>Feuil2!$A$1:$A$12</c:f>
              <c:strCache>
                <c:ptCount val="12"/>
                <c:pt idx="1">
                  <c:v>Commissaire d'État</c:v>
                </c:pt>
                <c:pt idx="2">
                  <c:v>Présidente de la Cour</c:v>
                </c:pt>
                <c:pt idx="3">
                  <c:v>Vice-présidente de la Cour</c:v>
                </c:pt>
                <c:pt idx="4">
                  <c:v>Présidente de Chambre</c:v>
                </c:pt>
                <c:pt idx="5">
                  <c:v>Premier procureur général adjoint</c:v>
                </c:pt>
                <c:pt idx="6">
                  <c:v>Juge d'application des peines</c:v>
                </c:pt>
                <c:pt idx="7">
                  <c:v>Présidente de Tribunal</c:v>
                </c:pt>
                <c:pt idx="8">
                  <c:v>Procureur de la République</c:v>
                </c:pt>
                <c:pt idx="9">
                  <c:v>Juge des mineurs</c:v>
                </c:pt>
                <c:pt idx="10">
                  <c:v>Juge d'instruction</c:v>
                </c:pt>
                <c:pt idx="11">
                  <c:v>TOTAL</c:v>
                </c:pt>
              </c:strCache>
            </c:strRef>
          </c:cat>
          <c:val>
            <c:numRef>
              <c:f>Feuil2!$F$1:$F$12</c:f>
              <c:numCache>
                <c:formatCode>General</c:formatCode>
                <c:ptCount val="12"/>
                <c:pt idx="0">
                  <c:v>2025</c:v>
                </c:pt>
                <c:pt idx="1">
                  <c:v>5</c:v>
                </c:pt>
                <c:pt idx="2">
                  <c:v>3</c:v>
                </c:pt>
                <c:pt idx="3">
                  <c:v>18</c:v>
                </c:pt>
                <c:pt idx="4">
                  <c:v>382</c:v>
                </c:pt>
                <c:pt idx="5">
                  <c:v>2</c:v>
                </c:pt>
                <c:pt idx="6">
                  <c:v>2</c:v>
                </c:pt>
                <c:pt idx="7">
                  <c:v>69</c:v>
                </c:pt>
                <c:pt idx="8">
                  <c:v>2</c:v>
                </c:pt>
                <c:pt idx="9">
                  <c:v>86</c:v>
                </c:pt>
                <c:pt idx="10">
                  <c:v>58</c:v>
                </c:pt>
                <c:pt idx="11">
                  <c:v>622</c:v>
                </c:pt>
              </c:numCache>
            </c:numRef>
          </c:val>
          <c:extLst>
            <c:ext xmlns:c16="http://schemas.microsoft.com/office/drawing/2014/chart" uri="{C3380CC4-5D6E-409C-BE32-E72D297353CC}">
              <c16:uniqueId val="{00000004-0D56-43ED-B4AE-EE23CA2CFE44}"/>
            </c:ext>
          </c:extLst>
        </c:ser>
        <c:dLbls>
          <c:showLegendKey val="0"/>
          <c:showVal val="0"/>
          <c:showCatName val="0"/>
          <c:showSerName val="0"/>
          <c:showPercent val="0"/>
          <c:showBubbleSize val="0"/>
        </c:dLbls>
        <c:gapWidth val="219"/>
        <c:overlap val="-27"/>
        <c:axId val="64173952"/>
        <c:axId val="64175488"/>
      </c:barChart>
      <c:catAx>
        <c:axId val="64173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75488"/>
        <c:crosses val="autoZero"/>
        <c:auto val="1"/>
        <c:lblAlgn val="ctr"/>
        <c:lblOffset val="100"/>
        <c:noMultiLvlLbl val="0"/>
      </c:catAx>
      <c:valAx>
        <c:axId val="64175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73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sz="1300">
                <a:solidFill>
                  <a:sysClr val="windowText" lastClr="000000"/>
                </a:solidFill>
                <a:latin typeface="Times New Roman" pitchFamily="18" charset="0"/>
                <a:cs typeface="Times New Roman" pitchFamily="18" charset="0"/>
              </a:rPr>
              <a:t>Nombre des écoles primaires</a:t>
            </a:r>
          </a:p>
        </c:rich>
      </c:tx>
      <c:layout>
        <c:manualLayout>
          <c:xMode val="edge"/>
          <c:yMode val="edge"/>
          <c:x val="0.30053101016804412"/>
          <c:y val="1.1187211066072441E-3"/>
        </c:manualLayout>
      </c:layout>
      <c:overlay val="0"/>
      <c:spPr>
        <a:noFill/>
        <a:ln>
          <a:noFill/>
        </a:ln>
        <a:effectLst/>
      </c:spPr>
    </c:title>
    <c:autoTitleDeleted val="0"/>
    <c:plotArea>
      <c:layout/>
      <c:lineChart>
        <c:grouping val="standard"/>
        <c:varyColors val="0"/>
        <c:ser>
          <c:idx val="0"/>
          <c:order val="0"/>
          <c:tx>
            <c:strRef>
              <c:f>Feuil1!$B$1</c:f>
              <c:strCache>
                <c:ptCount val="1"/>
                <c:pt idx="0">
                  <c:v>Nb des écoles primaires</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Feuil1!$A$2:$A$6</c:f>
              <c:strCache>
                <c:ptCount val="5"/>
                <c:pt idx="0">
                  <c:v>2020/2021</c:v>
                </c:pt>
                <c:pt idx="1">
                  <c:v>2021/2022</c:v>
                </c:pt>
                <c:pt idx="2">
                  <c:v>2022/2023</c:v>
                </c:pt>
                <c:pt idx="3">
                  <c:v>2023/2024</c:v>
                </c:pt>
                <c:pt idx="4">
                  <c:v>2024/2025</c:v>
                </c:pt>
              </c:strCache>
            </c:strRef>
          </c:cat>
          <c:val>
            <c:numRef>
              <c:f>Feuil1!$B$2:$B$6</c:f>
              <c:numCache>
                <c:formatCode>General</c:formatCode>
                <c:ptCount val="5"/>
                <c:pt idx="0">
                  <c:v>19807</c:v>
                </c:pt>
                <c:pt idx="1">
                  <c:v>19908</c:v>
                </c:pt>
                <c:pt idx="2">
                  <c:v>20014</c:v>
                </c:pt>
                <c:pt idx="3">
                  <c:v>20450</c:v>
                </c:pt>
                <c:pt idx="4">
                  <c:v>21152</c:v>
                </c:pt>
              </c:numCache>
            </c:numRef>
          </c:val>
          <c:smooth val="0"/>
          <c:extLst>
            <c:ext xmlns:c16="http://schemas.microsoft.com/office/drawing/2014/chart" uri="{C3380CC4-5D6E-409C-BE32-E72D297353CC}">
              <c16:uniqueId val="{00000000-E06C-48E7-9900-5E0BD8D8C5AB}"/>
            </c:ext>
          </c:extLst>
        </c:ser>
        <c:dLbls>
          <c:showLegendKey val="0"/>
          <c:showVal val="1"/>
          <c:showCatName val="0"/>
          <c:showSerName val="0"/>
          <c:showPercent val="0"/>
          <c:showBubbleSize val="0"/>
        </c:dLbls>
        <c:smooth val="0"/>
        <c:axId val="64213376"/>
        <c:axId val="64214912"/>
      </c:lineChart>
      <c:catAx>
        <c:axId val="6421337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64214912"/>
        <c:crosses val="autoZero"/>
        <c:auto val="1"/>
        <c:lblAlgn val="ctr"/>
        <c:lblOffset val="100"/>
        <c:noMultiLvlLbl val="0"/>
      </c:catAx>
      <c:valAx>
        <c:axId val="6421491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6421337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Cambria" panose="02040503050406030204" pitchFamily="18" charset="0"/>
                <a:ea typeface="Cambria" panose="02040503050406030204" pitchFamily="18" charset="0"/>
                <a:cs typeface="+mn-cs"/>
              </a:defRPr>
            </a:pPr>
            <a:r>
              <a:rPr lang="fr-FR" sz="1300" b="1" i="0" u="none" strike="noStrike" baseline="0">
                <a:solidFill>
                  <a:sysClr val="windowText" lastClr="000000"/>
                </a:solidFill>
                <a:latin typeface="Times New Roman" pitchFamily="18" charset="0"/>
                <a:ea typeface="Cambria" panose="02040503050406030204" pitchFamily="18" charset="0"/>
                <a:cs typeface="Times New Roman" pitchFamily="18" charset="0"/>
              </a:rPr>
              <a:t>Ventilation des financements accordés aux femmes par tranche d'age</a:t>
            </a:r>
            <a:endParaRPr lang="fr-FR" sz="1300" b="1">
              <a:solidFill>
                <a:sysClr val="windowText" lastClr="000000"/>
              </a:solidFill>
              <a:latin typeface="Times New Roman" pitchFamily="18" charset="0"/>
              <a:ea typeface="Cambria" panose="02040503050406030204" pitchFamily="18" charset="0"/>
              <a:cs typeface="Times New Roman" pitchFamily="18" charset="0"/>
            </a:endParaRPr>
          </a:p>
        </c:rich>
      </c:tx>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rgbClr val="00B0F0"/>
              </a:solidFill>
              <a:ln>
                <a:noFill/>
              </a:ln>
              <a:effectLst/>
            </c:spPr>
            <c:extLst>
              <c:ext xmlns:c16="http://schemas.microsoft.com/office/drawing/2014/chart" uri="{C3380CC4-5D6E-409C-BE32-E72D297353CC}">
                <c16:uniqueId val="{00000001-39C5-4271-BA23-FBA07ACFE40E}"/>
              </c:ext>
            </c:extLst>
          </c:dPt>
          <c:dPt>
            <c:idx val="1"/>
            <c:invertIfNegative val="0"/>
            <c:bubble3D val="0"/>
            <c:spPr>
              <a:solidFill>
                <a:srgbClr val="7030A0"/>
              </a:solidFill>
              <a:ln>
                <a:noFill/>
              </a:ln>
              <a:effectLst/>
            </c:spPr>
            <c:extLst>
              <c:ext xmlns:c16="http://schemas.microsoft.com/office/drawing/2014/chart" uri="{C3380CC4-5D6E-409C-BE32-E72D297353CC}">
                <c16:uniqueId val="{00000003-39C5-4271-BA23-FBA07ACFE40E}"/>
              </c:ext>
            </c:extLst>
          </c:dPt>
          <c:dPt>
            <c:idx val="2"/>
            <c:invertIfNegative val="0"/>
            <c:bubble3D val="0"/>
            <c:spPr>
              <a:solidFill>
                <a:schemeClr val="accent2">
                  <a:lumMod val="75000"/>
                </a:schemeClr>
              </a:solidFill>
              <a:ln>
                <a:noFill/>
              </a:ln>
              <a:effectLst/>
            </c:spPr>
            <c:extLst>
              <c:ext xmlns:c16="http://schemas.microsoft.com/office/drawing/2014/chart" uri="{C3380CC4-5D6E-409C-BE32-E72D297353CC}">
                <c16:uniqueId val="{00000005-39C5-4271-BA23-FBA07ACFE40E}"/>
              </c:ext>
            </c:extLst>
          </c:dPt>
          <c:dPt>
            <c:idx val="3"/>
            <c:invertIfNegative val="0"/>
            <c:bubble3D val="0"/>
            <c:spPr>
              <a:solidFill>
                <a:schemeClr val="accent6">
                  <a:lumMod val="75000"/>
                </a:schemeClr>
              </a:solidFill>
              <a:ln>
                <a:noFill/>
              </a:ln>
              <a:effectLst/>
            </c:spPr>
            <c:extLst>
              <c:ext xmlns:c16="http://schemas.microsoft.com/office/drawing/2014/chart" uri="{C3380CC4-5D6E-409C-BE32-E72D297353CC}">
                <c16:uniqueId val="{00000007-39C5-4271-BA23-FBA07ACFE40E}"/>
              </c:ext>
            </c:extLst>
          </c:dPt>
          <c:dPt>
            <c:idx val="4"/>
            <c:invertIfNegative val="0"/>
            <c:bubble3D val="0"/>
            <c:spPr>
              <a:solidFill>
                <a:srgbClr val="C00000"/>
              </a:solidFill>
              <a:ln>
                <a:noFill/>
              </a:ln>
              <a:effectLst/>
            </c:spPr>
            <c:extLst>
              <c:ext xmlns:c16="http://schemas.microsoft.com/office/drawing/2014/chart" uri="{C3380CC4-5D6E-409C-BE32-E72D297353CC}">
                <c16:uniqueId val="{00000009-39C5-4271-BA23-FBA07ACFE40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Feuil1!$E$51:$E$55</c:f>
              <c:strCache>
                <c:ptCount val="5"/>
                <c:pt idx="0">
                  <c:v>18-29</c:v>
                </c:pt>
                <c:pt idx="1">
                  <c:v>30-39</c:v>
                </c:pt>
                <c:pt idx="2">
                  <c:v>40-49</c:v>
                </c:pt>
                <c:pt idx="3">
                  <c:v>50-59</c:v>
                </c:pt>
                <c:pt idx="4">
                  <c:v>60 et plus</c:v>
                </c:pt>
              </c:strCache>
            </c:strRef>
          </c:cat>
          <c:val>
            <c:numRef>
              <c:f>Feuil1!$F$51:$F$55</c:f>
              <c:numCache>
                <c:formatCode>0.00%</c:formatCode>
                <c:ptCount val="5"/>
                <c:pt idx="0">
                  <c:v>0.18119959129546462</c:v>
                </c:pt>
                <c:pt idx="1">
                  <c:v>0.28094089001935191</c:v>
                </c:pt>
                <c:pt idx="2">
                  <c:v>0.29463683993130285</c:v>
                </c:pt>
                <c:pt idx="3">
                  <c:v>0.17737342116133131</c:v>
                </c:pt>
                <c:pt idx="4">
                  <c:v>6.5849257592556359E-2</c:v>
                </c:pt>
              </c:numCache>
            </c:numRef>
          </c:val>
          <c:extLst>
            <c:ext xmlns:c16="http://schemas.microsoft.com/office/drawing/2014/chart" uri="{C3380CC4-5D6E-409C-BE32-E72D297353CC}">
              <c16:uniqueId val="{0000000A-39C5-4271-BA23-FBA07ACFE40E}"/>
            </c:ext>
          </c:extLst>
        </c:ser>
        <c:dLbls>
          <c:showLegendKey val="0"/>
          <c:showVal val="0"/>
          <c:showCatName val="0"/>
          <c:showSerName val="0"/>
          <c:showPercent val="0"/>
          <c:showBubbleSize val="0"/>
        </c:dLbls>
        <c:gapWidth val="219"/>
        <c:overlap val="-27"/>
        <c:axId val="64630144"/>
        <c:axId val="64636032"/>
      </c:barChart>
      <c:catAx>
        <c:axId val="64630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636032"/>
        <c:crosses val="autoZero"/>
        <c:auto val="1"/>
        <c:lblAlgn val="ctr"/>
        <c:lblOffset val="100"/>
        <c:noMultiLvlLbl val="0"/>
      </c:catAx>
      <c:valAx>
        <c:axId val="64636032"/>
        <c:scaling>
          <c:orientation val="minMax"/>
        </c:scaling>
        <c:delete val="1"/>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crossAx val="64630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fr-FR" sz="1300" b="1">
                <a:solidFill>
                  <a:sysClr val="windowText" lastClr="000000"/>
                </a:solidFill>
                <a:latin typeface="Times New Roman" pitchFamily="18" charset="0"/>
                <a:cs typeface="Times New Roman" pitchFamily="18" charset="0"/>
              </a:rPr>
              <a:t>Evolution</a:t>
            </a:r>
            <a:r>
              <a:rPr lang="fr-FR" sz="1300" b="1" baseline="0">
                <a:solidFill>
                  <a:sysClr val="windowText" lastClr="000000"/>
                </a:solidFill>
                <a:latin typeface="Times New Roman" pitchFamily="18" charset="0"/>
                <a:cs typeface="Times New Roman" pitchFamily="18" charset="0"/>
              </a:rPr>
              <a:t> de l'enreprenariat féminin à travers le dispositif  2020-2025</a:t>
            </a:r>
            <a:endParaRPr lang="fr-FR" sz="1300" b="1">
              <a:solidFill>
                <a:sysClr val="windowText" lastClr="000000"/>
              </a:solidFill>
              <a:latin typeface="Times New Roman" pitchFamily="18" charset="0"/>
              <a:cs typeface="Times New Roman" pitchFamily="18" charset="0"/>
            </a:endParaRPr>
          </a:p>
        </c:rich>
      </c:tx>
      <c:overlay val="0"/>
      <c:spPr>
        <a:noFill/>
        <a:ln>
          <a:noFill/>
        </a:ln>
        <a:effectLst/>
      </c:spPr>
    </c:title>
    <c:autoTitleDeleted val="0"/>
    <c:plotArea>
      <c:layout>
        <c:manualLayout>
          <c:layoutTarget val="inner"/>
          <c:xMode val="edge"/>
          <c:yMode val="edge"/>
          <c:x val="6.9977911953832364E-2"/>
          <c:y val="0.25761843790012806"/>
          <c:w val="0.84182036101989965"/>
          <c:h val="0.51153195479245395"/>
        </c:manualLayout>
      </c:layout>
      <c:barChart>
        <c:barDir val="col"/>
        <c:grouping val="clustered"/>
        <c:varyColors val="0"/>
        <c:ser>
          <c:idx val="0"/>
          <c:order val="0"/>
          <c:tx>
            <c:strRef>
              <c:f>Feuil1!$I$19</c:f>
              <c:strCache>
                <c:ptCount val="1"/>
                <c:pt idx="0">
                  <c:v>Projets créés Femmes</c:v>
                </c:pt>
              </c:strCache>
            </c:strRef>
          </c:tx>
          <c:spPr>
            <a:solidFill>
              <a:srgbClr val="5DC3B9"/>
            </a:solidFill>
            <a:ln>
              <a:noFill/>
            </a:ln>
            <a:effectLst/>
          </c:spPr>
          <c:invertIfNegative val="0"/>
          <c:cat>
            <c:strRef>
              <c:f>Feuil1!$H$20:$H$25</c:f>
              <c:strCache>
                <c:ptCount val="6"/>
                <c:pt idx="0">
                  <c:v>2020</c:v>
                </c:pt>
                <c:pt idx="1">
                  <c:v>2021</c:v>
                </c:pt>
                <c:pt idx="2">
                  <c:v>2022</c:v>
                </c:pt>
                <c:pt idx="3">
                  <c:v>2023</c:v>
                </c:pt>
                <c:pt idx="4">
                  <c:v>2024*</c:v>
                </c:pt>
                <c:pt idx="5">
                  <c:v>2025</c:v>
                </c:pt>
              </c:strCache>
            </c:strRef>
          </c:cat>
          <c:val>
            <c:numRef>
              <c:f>Feuil1!$I$20:$I$25</c:f>
              <c:numCache>
                <c:formatCode>#,##0</c:formatCode>
                <c:ptCount val="6"/>
                <c:pt idx="0" formatCode="General">
                  <c:v>701</c:v>
                </c:pt>
                <c:pt idx="1">
                  <c:v>1408</c:v>
                </c:pt>
                <c:pt idx="2">
                  <c:v>1847</c:v>
                </c:pt>
                <c:pt idx="3">
                  <c:v>1365</c:v>
                </c:pt>
                <c:pt idx="4" formatCode="General">
                  <c:v>318</c:v>
                </c:pt>
                <c:pt idx="5" formatCode="General">
                  <c:v>683</c:v>
                </c:pt>
              </c:numCache>
            </c:numRef>
          </c:val>
          <c:extLst>
            <c:ext xmlns:c16="http://schemas.microsoft.com/office/drawing/2014/chart" uri="{C3380CC4-5D6E-409C-BE32-E72D297353CC}">
              <c16:uniqueId val="{00000000-F2D1-4C00-8A77-07F06D767267}"/>
            </c:ext>
          </c:extLst>
        </c:ser>
        <c:dLbls>
          <c:showLegendKey val="0"/>
          <c:showVal val="0"/>
          <c:showCatName val="0"/>
          <c:showSerName val="0"/>
          <c:showPercent val="0"/>
          <c:showBubbleSize val="0"/>
        </c:dLbls>
        <c:gapWidth val="219"/>
        <c:overlap val="-27"/>
        <c:axId val="60177024"/>
        <c:axId val="60187008"/>
      </c:barChart>
      <c:lineChart>
        <c:grouping val="standard"/>
        <c:varyColors val="0"/>
        <c:ser>
          <c:idx val="1"/>
          <c:order val="1"/>
          <c:tx>
            <c:strRef>
              <c:f>Feuil1!$K$19</c:f>
              <c:strCache>
                <c:ptCount val="1"/>
                <c:pt idx="0">
                  <c:v>Taux Féminité</c:v>
                </c:pt>
              </c:strCache>
            </c:strRef>
          </c:tx>
          <c:spPr>
            <a:ln w="19050" cap="rnd">
              <a:solidFill>
                <a:schemeClr val="accent1"/>
              </a:solidFill>
              <a:round/>
            </a:ln>
            <a:effectLst/>
          </c:spPr>
          <c:marker>
            <c:symbol val="square"/>
            <c:size val="4"/>
            <c:spPr>
              <a:solidFill>
                <a:schemeClr val="accent1"/>
              </a:solidFill>
              <a:ln w="38100" cap="rnd">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Feuil1!$K$20:$K$25</c:f>
              <c:numCache>
                <c:formatCode>0%</c:formatCode>
                <c:ptCount val="6"/>
                <c:pt idx="0">
                  <c:v>0.19</c:v>
                </c:pt>
                <c:pt idx="1">
                  <c:v>0.19</c:v>
                </c:pt>
                <c:pt idx="2">
                  <c:v>0.2</c:v>
                </c:pt>
                <c:pt idx="3">
                  <c:v>0.18000000000000024</c:v>
                </c:pt>
                <c:pt idx="4">
                  <c:v>0.17</c:v>
                </c:pt>
                <c:pt idx="5">
                  <c:v>0.35000000000000031</c:v>
                </c:pt>
              </c:numCache>
            </c:numRef>
          </c:val>
          <c:smooth val="0"/>
          <c:extLst>
            <c:ext xmlns:c16="http://schemas.microsoft.com/office/drawing/2014/chart" uri="{C3380CC4-5D6E-409C-BE32-E72D297353CC}">
              <c16:uniqueId val="{00000001-F2D1-4C00-8A77-07F06D767267}"/>
            </c:ext>
          </c:extLst>
        </c:ser>
        <c:dLbls>
          <c:showLegendKey val="0"/>
          <c:showVal val="0"/>
          <c:showCatName val="0"/>
          <c:showSerName val="0"/>
          <c:showPercent val="0"/>
          <c:showBubbleSize val="0"/>
        </c:dLbls>
        <c:marker val="1"/>
        <c:smooth val="0"/>
        <c:axId val="60190080"/>
        <c:axId val="60188544"/>
      </c:lineChart>
      <c:catAx>
        <c:axId val="6017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87008"/>
        <c:crosses val="autoZero"/>
        <c:auto val="1"/>
        <c:lblAlgn val="ctr"/>
        <c:lblOffset val="100"/>
        <c:noMultiLvlLbl val="0"/>
      </c:catAx>
      <c:valAx>
        <c:axId val="60187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77024"/>
        <c:crosses val="autoZero"/>
        <c:crossBetween val="between"/>
      </c:valAx>
      <c:valAx>
        <c:axId val="60188544"/>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190080"/>
        <c:crosses val="max"/>
        <c:crossBetween val="between"/>
      </c:valAx>
      <c:catAx>
        <c:axId val="60190080"/>
        <c:scaling>
          <c:orientation val="minMax"/>
        </c:scaling>
        <c:delete val="1"/>
        <c:axPos val="b"/>
        <c:majorTickMark val="none"/>
        <c:minorTickMark val="none"/>
        <c:tickLblPos val="nextTo"/>
        <c:crossAx val="6018854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B6E4E0"/>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300" b="1">
                <a:solidFill>
                  <a:sysClr val="windowText" lastClr="000000"/>
                </a:solidFill>
                <a:latin typeface="Times New Roman" pitchFamily="18" charset="0"/>
                <a:cs typeface="Times New Roman" pitchFamily="18" charset="0"/>
              </a:rPr>
              <a:t>Nombre</a:t>
            </a:r>
            <a:r>
              <a:rPr lang="fr-FR" sz="1300" b="1" baseline="0">
                <a:solidFill>
                  <a:sysClr val="windowText" lastClr="000000"/>
                </a:solidFill>
                <a:latin typeface="Times New Roman" pitchFamily="18" charset="0"/>
                <a:cs typeface="Times New Roman" pitchFamily="18" charset="0"/>
              </a:rPr>
              <a:t> de bénificiares de </a:t>
            </a:r>
            <a:r>
              <a:rPr lang="fr-FR" sz="1300" b="1" i="0" u="none" strike="noStrike" baseline="0">
                <a:solidFill>
                  <a:sysClr val="windowText" lastClr="000000"/>
                </a:solidFill>
                <a:latin typeface="Times New Roman" pitchFamily="18" charset="0"/>
                <a:cs typeface="Times New Roman" pitchFamily="18" charset="0"/>
              </a:rPr>
              <a:t>l’allocation chômage </a:t>
            </a:r>
          </a:p>
          <a:p>
            <a:pPr>
              <a:defRPr sz="1400" b="0" i="0" u="none" strike="noStrike" kern="1200" spc="0" baseline="0">
                <a:solidFill>
                  <a:schemeClr val="tx1">
                    <a:lumMod val="65000"/>
                    <a:lumOff val="35000"/>
                  </a:schemeClr>
                </a:solidFill>
                <a:latin typeface="+mn-lt"/>
                <a:ea typeface="+mn-ea"/>
                <a:cs typeface="+mn-cs"/>
              </a:defRPr>
            </a:pPr>
            <a:r>
              <a:rPr lang="fr-FR" sz="1300" b="1" baseline="0">
                <a:solidFill>
                  <a:sysClr val="windowText" lastClr="000000"/>
                </a:solidFill>
                <a:latin typeface="Times New Roman" pitchFamily="18" charset="0"/>
                <a:cs typeface="Times New Roman" pitchFamily="18" charset="0"/>
              </a:rPr>
              <a:t>de février 2022 à mars 2026</a:t>
            </a:r>
            <a:endParaRPr lang="fr-FR" sz="1300" b="1">
              <a:solidFill>
                <a:sysClr val="windowText" lastClr="000000"/>
              </a:solidFill>
              <a:latin typeface="Times New Roman" pitchFamily="18" charset="0"/>
              <a:cs typeface="Times New Roman" pitchFamily="18" charset="0"/>
            </a:endParaRPr>
          </a:p>
        </c:rich>
      </c:tx>
      <c:layout>
        <c:manualLayout>
          <c:xMode val="edge"/>
          <c:yMode val="edge"/>
          <c:x val="0.24076278659612263"/>
          <c:y val="2.332351419507378E-2"/>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Feuil1!$B$1</c:f>
              <c:strCache>
                <c:ptCount val="1"/>
                <c:pt idx="0">
                  <c:v>féminin </c:v>
                </c:pt>
              </c:strCache>
            </c:strRef>
          </c:tx>
          <c:spPr>
            <a:solidFill>
              <a:schemeClr val="accent1"/>
            </a:solidFill>
            <a:ln>
              <a:noFill/>
            </a:ln>
            <a:effectLst/>
            <a:sp3d/>
          </c:spPr>
          <c:invertIfNegative val="0"/>
          <c:cat>
            <c:strRef>
              <c:f>Feuil1!$A$2:$A$6</c:f>
              <c:strCache>
                <c:ptCount val="5"/>
                <c:pt idx="0">
                  <c:v>2002(février-décembre)</c:v>
                </c:pt>
                <c:pt idx="1">
                  <c:v>2023</c:v>
                </c:pt>
                <c:pt idx="2">
                  <c:v>2024</c:v>
                </c:pt>
                <c:pt idx="3">
                  <c:v>2025</c:v>
                </c:pt>
                <c:pt idx="4">
                  <c:v>2026(mars)</c:v>
                </c:pt>
              </c:strCache>
            </c:strRef>
          </c:cat>
          <c:val>
            <c:numRef>
              <c:f>Feuil1!$B$2:$B$6</c:f>
              <c:numCache>
                <c:formatCode>General</c:formatCode>
                <c:ptCount val="5"/>
                <c:pt idx="0">
                  <c:v>1356675</c:v>
                </c:pt>
                <c:pt idx="1">
                  <c:v>1431903</c:v>
                </c:pt>
                <c:pt idx="2">
                  <c:v>1449323</c:v>
                </c:pt>
                <c:pt idx="3">
                  <c:v>1397616</c:v>
                </c:pt>
                <c:pt idx="4">
                  <c:v>1381491</c:v>
                </c:pt>
              </c:numCache>
            </c:numRef>
          </c:val>
          <c:extLst>
            <c:ext xmlns:c16="http://schemas.microsoft.com/office/drawing/2014/chart" uri="{C3380CC4-5D6E-409C-BE32-E72D297353CC}">
              <c16:uniqueId val="{00000000-5A9A-411D-A822-D4E044B609F6}"/>
            </c:ext>
          </c:extLst>
        </c:ser>
        <c:ser>
          <c:idx val="1"/>
          <c:order val="1"/>
          <c:tx>
            <c:strRef>
              <c:f>Feuil1!$C$1</c:f>
              <c:strCache>
                <c:ptCount val="1"/>
              </c:strCache>
            </c:strRef>
          </c:tx>
          <c:spPr>
            <a:solidFill>
              <a:schemeClr val="accent2"/>
            </a:solidFill>
            <a:ln>
              <a:noFill/>
            </a:ln>
            <a:effectLst/>
            <a:sp3d/>
          </c:spPr>
          <c:invertIfNegative val="0"/>
          <c:cat>
            <c:strRef>
              <c:f>Feuil1!$A$2:$A$6</c:f>
              <c:strCache>
                <c:ptCount val="5"/>
                <c:pt idx="0">
                  <c:v>2002(février-décembre)</c:v>
                </c:pt>
                <c:pt idx="1">
                  <c:v>2023</c:v>
                </c:pt>
                <c:pt idx="2">
                  <c:v>2024</c:v>
                </c:pt>
                <c:pt idx="3">
                  <c:v>2025</c:v>
                </c:pt>
                <c:pt idx="4">
                  <c:v>2026(mars)</c:v>
                </c:pt>
              </c:strCache>
            </c:strRef>
          </c:cat>
          <c:val>
            <c:numRef>
              <c:f>Feuil1!$C$2:$C$6</c:f>
              <c:numCache>
                <c:formatCode>0%</c:formatCode>
                <c:ptCount val="5"/>
                <c:pt idx="0">
                  <c:v>0.72000000000000064</c:v>
                </c:pt>
                <c:pt idx="1">
                  <c:v>0.72000000000000064</c:v>
                </c:pt>
                <c:pt idx="2">
                  <c:v>0.73000000000000065</c:v>
                </c:pt>
                <c:pt idx="3">
                  <c:v>0.72000000000000064</c:v>
                </c:pt>
                <c:pt idx="4">
                  <c:v>0.73000000000000065</c:v>
                </c:pt>
              </c:numCache>
            </c:numRef>
          </c:val>
          <c:extLst>
            <c:ext xmlns:c16="http://schemas.microsoft.com/office/drawing/2014/chart" uri="{C3380CC4-5D6E-409C-BE32-E72D297353CC}">
              <c16:uniqueId val="{00000001-5A9A-411D-A822-D4E044B609F6}"/>
            </c:ext>
          </c:extLst>
        </c:ser>
        <c:ser>
          <c:idx val="2"/>
          <c:order val="2"/>
          <c:tx>
            <c:strRef>
              <c:f>Feuil1!$D$1</c:f>
              <c:strCache>
                <c:ptCount val="1"/>
                <c:pt idx="0">
                  <c:v>Homme</c:v>
                </c:pt>
              </c:strCache>
            </c:strRef>
          </c:tx>
          <c:spPr>
            <a:solidFill>
              <a:schemeClr val="accent3"/>
            </a:solidFill>
            <a:ln>
              <a:noFill/>
            </a:ln>
            <a:effectLst/>
            <a:sp3d/>
          </c:spPr>
          <c:invertIfNegative val="0"/>
          <c:cat>
            <c:strRef>
              <c:f>Feuil1!$A$2:$A$6</c:f>
              <c:strCache>
                <c:ptCount val="5"/>
                <c:pt idx="0">
                  <c:v>2002(février-décembre)</c:v>
                </c:pt>
                <c:pt idx="1">
                  <c:v>2023</c:v>
                </c:pt>
                <c:pt idx="2">
                  <c:v>2024</c:v>
                </c:pt>
                <c:pt idx="3">
                  <c:v>2025</c:v>
                </c:pt>
                <c:pt idx="4">
                  <c:v>2026(mars)</c:v>
                </c:pt>
              </c:strCache>
            </c:strRef>
          </c:cat>
          <c:val>
            <c:numRef>
              <c:f>Feuil1!$D$2:$D$6</c:f>
              <c:numCache>
                <c:formatCode>General</c:formatCode>
                <c:ptCount val="5"/>
                <c:pt idx="0">
                  <c:v>525391</c:v>
                </c:pt>
                <c:pt idx="1">
                  <c:v>562445</c:v>
                </c:pt>
                <c:pt idx="2">
                  <c:v>545806</c:v>
                </c:pt>
                <c:pt idx="3">
                  <c:v>530302</c:v>
                </c:pt>
                <c:pt idx="4">
                  <c:v>517878</c:v>
                </c:pt>
              </c:numCache>
            </c:numRef>
          </c:val>
          <c:extLst>
            <c:ext xmlns:c16="http://schemas.microsoft.com/office/drawing/2014/chart" uri="{C3380CC4-5D6E-409C-BE32-E72D297353CC}">
              <c16:uniqueId val="{00000002-5A9A-411D-A822-D4E044B609F6}"/>
            </c:ext>
          </c:extLst>
        </c:ser>
        <c:ser>
          <c:idx val="3"/>
          <c:order val="3"/>
          <c:tx>
            <c:strRef>
              <c:f>Feuil1!$E$1</c:f>
              <c:strCache>
                <c:ptCount val="1"/>
              </c:strCache>
            </c:strRef>
          </c:tx>
          <c:spPr>
            <a:solidFill>
              <a:schemeClr val="accent4"/>
            </a:solidFill>
            <a:ln>
              <a:noFill/>
            </a:ln>
            <a:effectLst/>
            <a:sp3d/>
          </c:spPr>
          <c:invertIfNegative val="0"/>
          <c:cat>
            <c:strRef>
              <c:f>Feuil1!$A$2:$A$6</c:f>
              <c:strCache>
                <c:ptCount val="5"/>
                <c:pt idx="0">
                  <c:v>2002(février-décembre)</c:v>
                </c:pt>
                <c:pt idx="1">
                  <c:v>2023</c:v>
                </c:pt>
                <c:pt idx="2">
                  <c:v>2024</c:v>
                </c:pt>
                <c:pt idx="3">
                  <c:v>2025</c:v>
                </c:pt>
                <c:pt idx="4">
                  <c:v>2026(mars)</c:v>
                </c:pt>
              </c:strCache>
            </c:strRef>
          </c:cat>
          <c:val>
            <c:numRef>
              <c:f>Feuil1!$E$2:$E$6</c:f>
              <c:numCache>
                <c:formatCode>0%</c:formatCode>
                <c:ptCount val="5"/>
                <c:pt idx="0">
                  <c:v>0.28000000000000008</c:v>
                </c:pt>
                <c:pt idx="1">
                  <c:v>0.28000000000000008</c:v>
                </c:pt>
                <c:pt idx="2">
                  <c:v>0.27</c:v>
                </c:pt>
                <c:pt idx="3">
                  <c:v>0.28000000000000008</c:v>
                </c:pt>
                <c:pt idx="4">
                  <c:v>0.27</c:v>
                </c:pt>
              </c:numCache>
            </c:numRef>
          </c:val>
          <c:extLst>
            <c:ext xmlns:c16="http://schemas.microsoft.com/office/drawing/2014/chart" uri="{C3380CC4-5D6E-409C-BE32-E72D297353CC}">
              <c16:uniqueId val="{00000003-5A9A-411D-A822-D4E044B609F6}"/>
            </c:ext>
          </c:extLst>
        </c:ser>
        <c:ser>
          <c:idx val="4"/>
          <c:order val="4"/>
          <c:tx>
            <c:strRef>
              <c:f>Feuil1!$F$1</c:f>
              <c:strCache>
                <c:ptCount val="1"/>
                <c:pt idx="0">
                  <c:v>Total des béneficiares </c:v>
                </c:pt>
              </c:strCache>
            </c:strRef>
          </c:tx>
          <c:spPr>
            <a:solidFill>
              <a:schemeClr val="accent5"/>
            </a:solidFill>
            <a:ln>
              <a:noFill/>
            </a:ln>
            <a:effectLst/>
            <a:sp3d/>
          </c:spPr>
          <c:invertIfNegative val="0"/>
          <c:cat>
            <c:strRef>
              <c:f>Feuil1!$A$2:$A$6</c:f>
              <c:strCache>
                <c:ptCount val="5"/>
                <c:pt idx="0">
                  <c:v>2002(février-décembre)</c:v>
                </c:pt>
                <c:pt idx="1">
                  <c:v>2023</c:v>
                </c:pt>
                <c:pt idx="2">
                  <c:v>2024</c:v>
                </c:pt>
                <c:pt idx="3">
                  <c:v>2025</c:v>
                </c:pt>
                <c:pt idx="4">
                  <c:v>2026(mars)</c:v>
                </c:pt>
              </c:strCache>
            </c:strRef>
          </c:cat>
          <c:val>
            <c:numRef>
              <c:f>Feuil1!$F$2:$F$6</c:f>
              <c:numCache>
                <c:formatCode>General</c:formatCode>
                <c:ptCount val="5"/>
                <c:pt idx="0">
                  <c:v>1882066</c:v>
                </c:pt>
                <c:pt idx="1">
                  <c:v>1994348</c:v>
                </c:pt>
                <c:pt idx="2">
                  <c:v>1995129</c:v>
                </c:pt>
                <c:pt idx="3">
                  <c:v>1927918</c:v>
                </c:pt>
                <c:pt idx="4">
                  <c:v>1899369</c:v>
                </c:pt>
              </c:numCache>
            </c:numRef>
          </c:val>
          <c:extLst>
            <c:ext xmlns:c16="http://schemas.microsoft.com/office/drawing/2014/chart" uri="{C3380CC4-5D6E-409C-BE32-E72D297353CC}">
              <c16:uniqueId val="{00000004-5A9A-411D-A822-D4E044B609F6}"/>
            </c:ext>
          </c:extLst>
        </c:ser>
        <c:dLbls>
          <c:showLegendKey val="0"/>
          <c:showVal val="0"/>
          <c:showCatName val="0"/>
          <c:showSerName val="0"/>
          <c:showPercent val="0"/>
          <c:showBubbleSize val="0"/>
        </c:dLbls>
        <c:gapWidth val="150"/>
        <c:shape val="box"/>
        <c:axId val="59185792"/>
        <c:axId val="59199872"/>
        <c:axId val="0"/>
      </c:bar3DChart>
      <c:catAx>
        <c:axId val="591857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99872"/>
        <c:crosses val="autoZero"/>
        <c:auto val="1"/>
        <c:lblAlgn val="ctr"/>
        <c:lblOffset val="100"/>
        <c:noMultiLvlLbl val="0"/>
      </c:catAx>
      <c:valAx>
        <c:axId val="59199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18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fr-FR" sz="1300" b="1" i="0" u="none" strike="noStrike" baseline="0">
                <a:solidFill>
                  <a:sysClr val="windowText" lastClr="000000"/>
                </a:solidFill>
                <a:effectLst/>
                <a:latin typeface="Times New Roman" pitchFamily="18" charset="0"/>
                <a:cs typeface="Times New Roman" pitchFamily="18" charset="0"/>
              </a:rPr>
              <a:t>Nombre de femmes assurant des fonctions de haute direction dans le secteur de la Culture</a:t>
            </a:r>
            <a:endParaRPr lang="fr-FR" sz="1300" b="1">
              <a:solidFill>
                <a:sysClr val="windowText" lastClr="000000"/>
              </a:solidFill>
              <a:latin typeface="Times New Roman" pitchFamily="18" charset="0"/>
              <a:cs typeface="Times New Roman" pitchFamily="18" charset="0"/>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Feuil1!$M$29</c:f>
              <c:strCache>
                <c:ptCount val="1"/>
                <c:pt idx="0">
                  <c:v>المجموع </c:v>
                </c:pt>
              </c:strCache>
            </c:strRef>
          </c:tx>
          <c:spPr>
            <a:solidFill>
              <a:schemeClr val="accent1"/>
            </a:solidFill>
            <a:ln>
              <a:noFill/>
            </a:ln>
            <a:effectLst/>
            <a:sp3d/>
          </c:spPr>
          <c:invertIfNegative val="0"/>
          <c:val>
            <c:numRef>
              <c:f>Feuil1!$M$30</c:f>
              <c:numCache>
                <c:formatCode>General</c:formatCode>
                <c:ptCount val="1"/>
                <c:pt idx="0">
                  <c:v>11</c:v>
                </c:pt>
              </c:numCache>
            </c:numRef>
          </c:val>
          <c:extLst>
            <c:ext xmlns:c16="http://schemas.microsoft.com/office/drawing/2014/chart" uri="{C3380CC4-5D6E-409C-BE32-E72D297353CC}">
              <c16:uniqueId val="{00000000-77C0-4195-B948-B3AEB0312F4E}"/>
            </c:ext>
          </c:extLst>
        </c:ser>
        <c:ser>
          <c:idx val="1"/>
          <c:order val="1"/>
          <c:tx>
            <c:strRef>
              <c:f>Feuil1!$N$29</c:f>
              <c:strCache>
                <c:ptCount val="1"/>
                <c:pt idx="0">
                  <c:v>2025</c:v>
                </c:pt>
              </c:strCache>
            </c:strRef>
          </c:tx>
          <c:spPr>
            <a:solidFill>
              <a:schemeClr val="accent2"/>
            </a:solidFill>
            <a:ln>
              <a:noFill/>
            </a:ln>
            <a:effectLst/>
            <a:sp3d/>
          </c:spPr>
          <c:invertIfNegative val="0"/>
          <c:val>
            <c:numRef>
              <c:f>Feuil1!$N$30</c:f>
              <c:numCache>
                <c:formatCode>General</c:formatCode>
                <c:ptCount val="1"/>
                <c:pt idx="0">
                  <c:v>3</c:v>
                </c:pt>
              </c:numCache>
            </c:numRef>
          </c:val>
          <c:extLst>
            <c:ext xmlns:c16="http://schemas.microsoft.com/office/drawing/2014/chart" uri="{C3380CC4-5D6E-409C-BE32-E72D297353CC}">
              <c16:uniqueId val="{00000001-77C0-4195-B948-B3AEB0312F4E}"/>
            </c:ext>
          </c:extLst>
        </c:ser>
        <c:ser>
          <c:idx val="2"/>
          <c:order val="2"/>
          <c:tx>
            <c:strRef>
              <c:f>Feuil1!$O$29</c:f>
              <c:strCache>
                <c:ptCount val="1"/>
                <c:pt idx="0">
                  <c:v>2024</c:v>
                </c:pt>
              </c:strCache>
            </c:strRef>
          </c:tx>
          <c:spPr>
            <a:solidFill>
              <a:schemeClr val="accent3"/>
            </a:solidFill>
            <a:ln>
              <a:noFill/>
            </a:ln>
            <a:effectLst/>
            <a:sp3d/>
          </c:spPr>
          <c:invertIfNegative val="0"/>
          <c:val>
            <c:numRef>
              <c:f>Feuil1!$O$30</c:f>
              <c:numCache>
                <c:formatCode>General</c:formatCode>
                <c:ptCount val="1"/>
                <c:pt idx="0">
                  <c:v>3</c:v>
                </c:pt>
              </c:numCache>
            </c:numRef>
          </c:val>
          <c:extLst>
            <c:ext xmlns:c16="http://schemas.microsoft.com/office/drawing/2014/chart" uri="{C3380CC4-5D6E-409C-BE32-E72D297353CC}">
              <c16:uniqueId val="{00000002-77C0-4195-B948-B3AEB0312F4E}"/>
            </c:ext>
          </c:extLst>
        </c:ser>
        <c:ser>
          <c:idx val="3"/>
          <c:order val="3"/>
          <c:tx>
            <c:strRef>
              <c:f>Feuil1!$P$29</c:f>
              <c:strCache>
                <c:ptCount val="1"/>
                <c:pt idx="0">
                  <c:v>2023</c:v>
                </c:pt>
              </c:strCache>
            </c:strRef>
          </c:tx>
          <c:spPr>
            <a:solidFill>
              <a:schemeClr val="accent4"/>
            </a:solidFill>
            <a:ln>
              <a:noFill/>
            </a:ln>
            <a:effectLst/>
            <a:sp3d/>
          </c:spPr>
          <c:invertIfNegative val="0"/>
          <c:val>
            <c:numRef>
              <c:f>Feuil1!$P$30</c:f>
              <c:numCache>
                <c:formatCode>General</c:formatCode>
                <c:ptCount val="1"/>
                <c:pt idx="0">
                  <c:v>1</c:v>
                </c:pt>
              </c:numCache>
            </c:numRef>
          </c:val>
          <c:extLst>
            <c:ext xmlns:c16="http://schemas.microsoft.com/office/drawing/2014/chart" uri="{C3380CC4-5D6E-409C-BE32-E72D297353CC}">
              <c16:uniqueId val="{00000003-77C0-4195-B948-B3AEB0312F4E}"/>
            </c:ext>
          </c:extLst>
        </c:ser>
        <c:ser>
          <c:idx val="4"/>
          <c:order val="4"/>
          <c:tx>
            <c:strRef>
              <c:f>Feuil1!$Q$29</c:f>
              <c:strCache>
                <c:ptCount val="1"/>
                <c:pt idx="0">
                  <c:v>2022</c:v>
                </c:pt>
              </c:strCache>
            </c:strRef>
          </c:tx>
          <c:spPr>
            <a:solidFill>
              <a:schemeClr val="accent5"/>
            </a:solidFill>
            <a:ln>
              <a:noFill/>
            </a:ln>
            <a:effectLst/>
            <a:sp3d/>
          </c:spPr>
          <c:invertIfNegative val="0"/>
          <c:val>
            <c:numRef>
              <c:f>Feuil1!$Q$30</c:f>
              <c:numCache>
                <c:formatCode>General</c:formatCode>
                <c:ptCount val="1"/>
                <c:pt idx="0">
                  <c:v>2</c:v>
                </c:pt>
              </c:numCache>
            </c:numRef>
          </c:val>
          <c:extLst>
            <c:ext xmlns:c16="http://schemas.microsoft.com/office/drawing/2014/chart" uri="{C3380CC4-5D6E-409C-BE32-E72D297353CC}">
              <c16:uniqueId val="{00000004-77C0-4195-B948-B3AEB0312F4E}"/>
            </c:ext>
          </c:extLst>
        </c:ser>
        <c:ser>
          <c:idx val="5"/>
          <c:order val="5"/>
          <c:tx>
            <c:strRef>
              <c:f>Feuil1!$R$29</c:f>
              <c:strCache>
                <c:ptCount val="1"/>
                <c:pt idx="0">
                  <c:v>2021</c:v>
                </c:pt>
              </c:strCache>
            </c:strRef>
          </c:tx>
          <c:spPr>
            <a:solidFill>
              <a:schemeClr val="accent6"/>
            </a:solidFill>
            <a:ln>
              <a:noFill/>
            </a:ln>
            <a:effectLst/>
            <a:sp3d/>
          </c:spPr>
          <c:invertIfNegative val="0"/>
          <c:val>
            <c:numRef>
              <c:f>Feuil1!$R$30</c:f>
              <c:numCache>
                <c:formatCode>General</c:formatCode>
                <c:ptCount val="1"/>
                <c:pt idx="0">
                  <c:v>2</c:v>
                </c:pt>
              </c:numCache>
            </c:numRef>
          </c:val>
          <c:extLst>
            <c:ext xmlns:c16="http://schemas.microsoft.com/office/drawing/2014/chart" uri="{C3380CC4-5D6E-409C-BE32-E72D297353CC}">
              <c16:uniqueId val="{00000005-77C0-4195-B948-B3AEB0312F4E}"/>
            </c:ext>
          </c:extLst>
        </c:ser>
        <c:dLbls>
          <c:showLegendKey val="0"/>
          <c:showVal val="0"/>
          <c:showCatName val="0"/>
          <c:showSerName val="0"/>
          <c:showPercent val="0"/>
          <c:showBubbleSize val="0"/>
        </c:dLbls>
        <c:gapWidth val="150"/>
        <c:shape val="box"/>
        <c:axId val="64738432"/>
        <c:axId val="64739968"/>
        <c:axId val="0"/>
      </c:bar3DChart>
      <c:catAx>
        <c:axId val="64738432"/>
        <c:scaling>
          <c:orientation val="minMax"/>
        </c:scaling>
        <c:delete val="1"/>
        <c:axPos val="b"/>
        <c:numFmt formatCode="General" sourceLinked="1"/>
        <c:majorTickMark val="none"/>
        <c:minorTickMark val="none"/>
        <c:tickLblPos val="nextTo"/>
        <c:crossAx val="64739968"/>
        <c:crosses val="autoZero"/>
        <c:auto val="1"/>
        <c:lblAlgn val="ctr"/>
        <c:lblOffset val="100"/>
        <c:noMultiLvlLbl val="0"/>
      </c:catAx>
      <c:valAx>
        <c:axId val="64739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38432"/>
        <c:crosses val="autoZero"/>
        <c:crossBetween val="between"/>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300" b="1">
                <a:solidFill>
                  <a:sysClr val="windowText" lastClr="000000"/>
                </a:solidFill>
                <a:effectLst/>
                <a:latin typeface="Times New Roman" pitchFamily="18" charset="0"/>
                <a:cs typeface="Times New Roman" pitchFamily="18" charset="0"/>
              </a:rPr>
              <a:t>Nombre d'associations culturelles bénéficiant de projets dédiés aux Femmes</a:t>
            </a:r>
            <a:endParaRPr lang="fr-FR" sz="1300">
              <a:solidFill>
                <a:sysClr val="windowText" lastClr="000000"/>
              </a:solidFill>
              <a:effectLst/>
              <a:latin typeface="Times New Roman" pitchFamily="18" charset="0"/>
              <a:cs typeface="Times New Roman" pitchFamily="18" charset="0"/>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Feuil1!$N$25</c:f>
              <c:strCache>
                <c:ptCount val="1"/>
                <c:pt idx="0">
                  <c:v>2025</c:v>
                </c:pt>
              </c:strCache>
            </c:strRef>
          </c:tx>
          <c:spPr>
            <a:solidFill>
              <a:schemeClr val="accent1"/>
            </a:solidFill>
            <a:ln>
              <a:noFill/>
            </a:ln>
            <a:effectLst/>
            <a:sp3d/>
          </c:spPr>
          <c:invertIfNegative val="0"/>
          <c:val>
            <c:numRef>
              <c:f>Feuil1!$N$26</c:f>
              <c:numCache>
                <c:formatCode>General</c:formatCode>
                <c:ptCount val="1"/>
                <c:pt idx="0">
                  <c:v>20</c:v>
                </c:pt>
              </c:numCache>
            </c:numRef>
          </c:val>
          <c:extLst>
            <c:ext xmlns:c16="http://schemas.microsoft.com/office/drawing/2014/chart" uri="{C3380CC4-5D6E-409C-BE32-E72D297353CC}">
              <c16:uniqueId val="{00000000-CC45-4BD6-9E27-46AF8E528AE9}"/>
            </c:ext>
          </c:extLst>
        </c:ser>
        <c:ser>
          <c:idx val="1"/>
          <c:order val="1"/>
          <c:tx>
            <c:strRef>
              <c:f>Feuil1!$O$25</c:f>
              <c:strCache>
                <c:ptCount val="1"/>
                <c:pt idx="0">
                  <c:v>2024</c:v>
                </c:pt>
              </c:strCache>
            </c:strRef>
          </c:tx>
          <c:spPr>
            <a:solidFill>
              <a:schemeClr val="accent2"/>
            </a:solidFill>
            <a:ln>
              <a:noFill/>
            </a:ln>
            <a:effectLst/>
            <a:sp3d/>
          </c:spPr>
          <c:invertIfNegative val="0"/>
          <c:val>
            <c:numRef>
              <c:f>Feuil1!$O$26</c:f>
              <c:numCache>
                <c:formatCode>General</c:formatCode>
                <c:ptCount val="1"/>
                <c:pt idx="0">
                  <c:v>8</c:v>
                </c:pt>
              </c:numCache>
            </c:numRef>
          </c:val>
          <c:extLst>
            <c:ext xmlns:c16="http://schemas.microsoft.com/office/drawing/2014/chart" uri="{C3380CC4-5D6E-409C-BE32-E72D297353CC}">
              <c16:uniqueId val="{00000001-CC45-4BD6-9E27-46AF8E528AE9}"/>
            </c:ext>
          </c:extLst>
        </c:ser>
        <c:ser>
          <c:idx val="2"/>
          <c:order val="2"/>
          <c:tx>
            <c:strRef>
              <c:f>Feuil1!$P$25</c:f>
              <c:strCache>
                <c:ptCount val="1"/>
                <c:pt idx="0">
                  <c:v>2023</c:v>
                </c:pt>
              </c:strCache>
            </c:strRef>
          </c:tx>
          <c:spPr>
            <a:solidFill>
              <a:schemeClr val="accent3"/>
            </a:solidFill>
            <a:ln>
              <a:noFill/>
            </a:ln>
            <a:effectLst/>
            <a:sp3d/>
          </c:spPr>
          <c:invertIfNegative val="0"/>
          <c:val>
            <c:numRef>
              <c:f>Feuil1!$P$26</c:f>
              <c:numCache>
                <c:formatCode>General</c:formatCode>
                <c:ptCount val="1"/>
                <c:pt idx="0">
                  <c:v>10</c:v>
                </c:pt>
              </c:numCache>
            </c:numRef>
          </c:val>
          <c:extLst>
            <c:ext xmlns:c16="http://schemas.microsoft.com/office/drawing/2014/chart" uri="{C3380CC4-5D6E-409C-BE32-E72D297353CC}">
              <c16:uniqueId val="{00000002-CC45-4BD6-9E27-46AF8E528AE9}"/>
            </c:ext>
          </c:extLst>
        </c:ser>
        <c:ser>
          <c:idx val="3"/>
          <c:order val="3"/>
          <c:tx>
            <c:strRef>
              <c:f>Feuil1!$Q$25</c:f>
              <c:strCache>
                <c:ptCount val="1"/>
                <c:pt idx="0">
                  <c:v>2022</c:v>
                </c:pt>
              </c:strCache>
            </c:strRef>
          </c:tx>
          <c:spPr>
            <a:solidFill>
              <a:schemeClr val="accent4"/>
            </a:solidFill>
            <a:ln>
              <a:noFill/>
            </a:ln>
            <a:effectLst/>
            <a:sp3d/>
          </c:spPr>
          <c:invertIfNegative val="0"/>
          <c:val>
            <c:numRef>
              <c:f>Feuil1!$Q$26</c:f>
              <c:numCache>
                <c:formatCode>General</c:formatCode>
                <c:ptCount val="1"/>
                <c:pt idx="0">
                  <c:v>8</c:v>
                </c:pt>
              </c:numCache>
            </c:numRef>
          </c:val>
          <c:extLst>
            <c:ext xmlns:c16="http://schemas.microsoft.com/office/drawing/2014/chart" uri="{C3380CC4-5D6E-409C-BE32-E72D297353CC}">
              <c16:uniqueId val="{00000003-CC45-4BD6-9E27-46AF8E528AE9}"/>
            </c:ext>
          </c:extLst>
        </c:ser>
        <c:ser>
          <c:idx val="4"/>
          <c:order val="4"/>
          <c:tx>
            <c:strRef>
              <c:f>Feuil1!$R$25</c:f>
              <c:strCache>
                <c:ptCount val="1"/>
                <c:pt idx="0">
                  <c:v>2021</c:v>
                </c:pt>
              </c:strCache>
            </c:strRef>
          </c:tx>
          <c:spPr>
            <a:solidFill>
              <a:schemeClr val="accent5"/>
            </a:solidFill>
            <a:ln>
              <a:noFill/>
            </a:ln>
            <a:effectLst/>
            <a:sp3d/>
          </c:spPr>
          <c:invertIfNegative val="0"/>
          <c:val>
            <c:numRef>
              <c:f>Feuil1!$R$26</c:f>
              <c:numCache>
                <c:formatCode>General</c:formatCode>
                <c:ptCount val="1"/>
                <c:pt idx="0">
                  <c:v>17</c:v>
                </c:pt>
              </c:numCache>
            </c:numRef>
          </c:val>
          <c:extLst>
            <c:ext xmlns:c16="http://schemas.microsoft.com/office/drawing/2014/chart" uri="{C3380CC4-5D6E-409C-BE32-E72D297353CC}">
              <c16:uniqueId val="{00000004-CC45-4BD6-9E27-46AF8E528AE9}"/>
            </c:ext>
          </c:extLst>
        </c:ser>
        <c:dLbls>
          <c:showLegendKey val="0"/>
          <c:showVal val="0"/>
          <c:showCatName val="0"/>
          <c:showSerName val="0"/>
          <c:showPercent val="0"/>
          <c:showBubbleSize val="0"/>
        </c:dLbls>
        <c:gapWidth val="150"/>
        <c:shape val="box"/>
        <c:axId val="64965632"/>
        <c:axId val="65131264"/>
        <c:axId val="0"/>
      </c:bar3DChart>
      <c:catAx>
        <c:axId val="64965632"/>
        <c:scaling>
          <c:orientation val="minMax"/>
        </c:scaling>
        <c:delete val="1"/>
        <c:axPos val="b"/>
        <c:numFmt formatCode="General" sourceLinked="1"/>
        <c:majorTickMark val="none"/>
        <c:minorTickMark val="none"/>
        <c:tickLblPos val="nextTo"/>
        <c:crossAx val="65131264"/>
        <c:crosses val="autoZero"/>
        <c:auto val="1"/>
        <c:lblAlgn val="ctr"/>
        <c:lblOffset val="100"/>
        <c:noMultiLvlLbl val="0"/>
      </c:catAx>
      <c:valAx>
        <c:axId val="651312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965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422069716231522E-2"/>
          <c:y val="0.16119577580550615"/>
          <c:w val="0.88983526200395779"/>
          <c:h val="0.70748237997804486"/>
        </c:manualLayout>
      </c:layout>
      <c:bar3DChart>
        <c:barDir val="col"/>
        <c:grouping val="clustered"/>
        <c:varyColors val="0"/>
        <c:ser>
          <c:idx val="0"/>
          <c:order val="0"/>
          <c:tx>
            <c:strRef>
              <c:f>Feuil1!$N$18</c:f>
              <c:strCache>
                <c:ptCount val="1"/>
              </c:strCache>
            </c:strRef>
          </c:tx>
          <c:spPr>
            <a:solidFill>
              <a:schemeClr val="accent1"/>
            </a:solidFill>
            <a:ln>
              <a:noFill/>
            </a:ln>
            <a:effectLst/>
            <a:sp3d/>
          </c:spPr>
          <c:invertIfNegative val="0"/>
          <c:val>
            <c:numRef>
              <c:f>Feuil1!$N$19</c:f>
              <c:numCache>
                <c:formatCode>General</c:formatCode>
                <c:ptCount val="1"/>
              </c:numCache>
            </c:numRef>
          </c:val>
          <c:extLst>
            <c:ext xmlns:c16="http://schemas.microsoft.com/office/drawing/2014/chart" uri="{C3380CC4-5D6E-409C-BE32-E72D297353CC}">
              <c16:uniqueId val="{00000000-DBE2-47AB-980B-8AE8F982ED6A}"/>
            </c:ext>
          </c:extLst>
        </c:ser>
        <c:ser>
          <c:idx val="1"/>
          <c:order val="1"/>
          <c:tx>
            <c:strRef>
              <c:f>Feuil1!$O$18</c:f>
              <c:strCache>
                <c:ptCount val="1"/>
                <c:pt idx="0">
                  <c:v>2025</c:v>
                </c:pt>
              </c:strCache>
            </c:strRef>
          </c:tx>
          <c:spPr>
            <a:solidFill>
              <a:schemeClr val="accent2"/>
            </a:solidFill>
            <a:ln>
              <a:noFill/>
            </a:ln>
            <a:effectLst/>
            <a:sp3d/>
          </c:spPr>
          <c:invertIfNegative val="0"/>
          <c:val>
            <c:numRef>
              <c:f>Feuil1!$O$19</c:f>
              <c:numCache>
                <c:formatCode>General</c:formatCode>
                <c:ptCount val="1"/>
                <c:pt idx="0">
                  <c:v>5</c:v>
                </c:pt>
              </c:numCache>
            </c:numRef>
          </c:val>
          <c:extLst>
            <c:ext xmlns:c16="http://schemas.microsoft.com/office/drawing/2014/chart" uri="{C3380CC4-5D6E-409C-BE32-E72D297353CC}">
              <c16:uniqueId val="{00000001-DBE2-47AB-980B-8AE8F982ED6A}"/>
            </c:ext>
          </c:extLst>
        </c:ser>
        <c:ser>
          <c:idx val="2"/>
          <c:order val="2"/>
          <c:tx>
            <c:strRef>
              <c:f>Feuil1!$P$18</c:f>
              <c:strCache>
                <c:ptCount val="1"/>
                <c:pt idx="0">
                  <c:v>2024</c:v>
                </c:pt>
              </c:strCache>
            </c:strRef>
          </c:tx>
          <c:spPr>
            <a:solidFill>
              <a:schemeClr val="accent3"/>
            </a:solidFill>
            <a:ln>
              <a:noFill/>
            </a:ln>
            <a:effectLst/>
            <a:sp3d/>
          </c:spPr>
          <c:invertIfNegative val="0"/>
          <c:val>
            <c:numRef>
              <c:f>Feuil1!$P$19</c:f>
              <c:numCache>
                <c:formatCode>General</c:formatCode>
                <c:ptCount val="1"/>
                <c:pt idx="0">
                  <c:v>7</c:v>
                </c:pt>
              </c:numCache>
            </c:numRef>
          </c:val>
          <c:extLst>
            <c:ext xmlns:c16="http://schemas.microsoft.com/office/drawing/2014/chart" uri="{C3380CC4-5D6E-409C-BE32-E72D297353CC}">
              <c16:uniqueId val="{00000002-DBE2-47AB-980B-8AE8F982ED6A}"/>
            </c:ext>
          </c:extLst>
        </c:ser>
        <c:ser>
          <c:idx val="3"/>
          <c:order val="3"/>
          <c:tx>
            <c:strRef>
              <c:f>Feuil1!$Q$18</c:f>
              <c:strCache>
                <c:ptCount val="1"/>
                <c:pt idx="0">
                  <c:v>2023</c:v>
                </c:pt>
              </c:strCache>
            </c:strRef>
          </c:tx>
          <c:spPr>
            <a:solidFill>
              <a:schemeClr val="accent4"/>
            </a:solidFill>
            <a:ln>
              <a:noFill/>
            </a:ln>
            <a:effectLst/>
            <a:sp3d/>
          </c:spPr>
          <c:invertIfNegative val="0"/>
          <c:val>
            <c:numRef>
              <c:f>Feuil1!$Q$19</c:f>
              <c:numCache>
                <c:formatCode>General</c:formatCode>
                <c:ptCount val="1"/>
                <c:pt idx="0">
                  <c:v>6</c:v>
                </c:pt>
              </c:numCache>
            </c:numRef>
          </c:val>
          <c:extLst>
            <c:ext xmlns:c16="http://schemas.microsoft.com/office/drawing/2014/chart" uri="{C3380CC4-5D6E-409C-BE32-E72D297353CC}">
              <c16:uniqueId val="{00000003-DBE2-47AB-980B-8AE8F982ED6A}"/>
            </c:ext>
          </c:extLst>
        </c:ser>
        <c:ser>
          <c:idx val="4"/>
          <c:order val="4"/>
          <c:tx>
            <c:strRef>
              <c:f>Feuil1!$R$18</c:f>
              <c:strCache>
                <c:ptCount val="1"/>
                <c:pt idx="0">
                  <c:v>2022</c:v>
                </c:pt>
              </c:strCache>
            </c:strRef>
          </c:tx>
          <c:spPr>
            <a:solidFill>
              <a:schemeClr val="accent5"/>
            </a:solidFill>
            <a:ln>
              <a:noFill/>
            </a:ln>
            <a:effectLst/>
            <a:sp3d/>
          </c:spPr>
          <c:invertIfNegative val="0"/>
          <c:val>
            <c:numRef>
              <c:f>Feuil1!$R$19</c:f>
              <c:numCache>
                <c:formatCode>General</c:formatCode>
                <c:ptCount val="1"/>
                <c:pt idx="0">
                  <c:v>11</c:v>
                </c:pt>
              </c:numCache>
            </c:numRef>
          </c:val>
          <c:extLst>
            <c:ext xmlns:c16="http://schemas.microsoft.com/office/drawing/2014/chart" uri="{C3380CC4-5D6E-409C-BE32-E72D297353CC}">
              <c16:uniqueId val="{00000004-DBE2-47AB-980B-8AE8F982ED6A}"/>
            </c:ext>
          </c:extLst>
        </c:ser>
        <c:ser>
          <c:idx val="5"/>
          <c:order val="5"/>
          <c:tx>
            <c:strRef>
              <c:f>Feuil1!$S$18</c:f>
              <c:strCache>
                <c:ptCount val="1"/>
                <c:pt idx="0">
                  <c:v>2021</c:v>
                </c:pt>
              </c:strCache>
            </c:strRef>
          </c:tx>
          <c:spPr>
            <a:solidFill>
              <a:schemeClr val="accent6"/>
            </a:solidFill>
            <a:ln>
              <a:noFill/>
            </a:ln>
            <a:effectLst/>
            <a:sp3d/>
          </c:spPr>
          <c:invertIfNegative val="0"/>
          <c:val>
            <c:numRef>
              <c:f>Feuil1!$S$19</c:f>
              <c:numCache>
                <c:formatCode>General</c:formatCode>
                <c:ptCount val="1"/>
                <c:pt idx="0">
                  <c:v>0</c:v>
                </c:pt>
              </c:numCache>
            </c:numRef>
          </c:val>
          <c:extLst>
            <c:ext xmlns:c16="http://schemas.microsoft.com/office/drawing/2014/chart" uri="{C3380CC4-5D6E-409C-BE32-E72D297353CC}">
              <c16:uniqueId val="{00000005-DBE2-47AB-980B-8AE8F982ED6A}"/>
            </c:ext>
          </c:extLst>
        </c:ser>
        <c:dLbls>
          <c:showLegendKey val="0"/>
          <c:showVal val="0"/>
          <c:showCatName val="0"/>
          <c:showSerName val="0"/>
          <c:showPercent val="0"/>
          <c:showBubbleSize val="0"/>
        </c:dLbls>
        <c:gapWidth val="150"/>
        <c:shape val="box"/>
        <c:axId val="65844736"/>
        <c:axId val="65846272"/>
        <c:axId val="0"/>
      </c:bar3DChart>
      <c:catAx>
        <c:axId val="65844736"/>
        <c:scaling>
          <c:orientation val="minMax"/>
        </c:scaling>
        <c:delete val="1"/>
        <c:axPos val="b"/>
        <c:numFmt formatCode="General" sourceLinked="1"/>
        <c:majorTickMark val="none"/>
        <c:minorTickMark val="none"/>
        <c:tickLblPos val="nextTo"/>
        <c:crossAx val="65846272"/>
        <c:crosses val="autoZero"/>
        <c:auto val="1"/>
        <c:lblAlgn val="ctr"/>
        <c:lblOffset val="100"/>
        <c:noMultiLvlLbl val="0"/>
      </c:catAx>
      <c:valAx>
        <c:axId val="65846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844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300" b="1" i="0">
                <a:solidFill>
                  <a:sysClr val="windowText" lastClr="000000"/>
                </a:solidFill>
                <a:effectLst/>
                <a:latin typeface="Times New Roman" pitchFamily="18" charset="0"/>
                <a:cs typeface="Times New Roman" pitchFamily="18" charset="0"/>
              </a:rPr>
              <a:t>Répartition des bénéficiaires des activités des établissements</a:t>
            </a:r>
            <a:r>
              <a:rPr lang="en-US" sz="1300" b="1" i="0" baseline="0">
                <a:solidFill>
                  <a:sysClr val="windowText" lastClr="000000"/>
                </a:solidFill>
                <a:effectLst/>
                <a:latin typeface="Times New Roman" pitchFamily="18" charset="0"/>
                <a:cs typeface="Times New Roman" pitchFamily="18" charset="0"/>
              </a:rPr>
              <a:t> </a:t>
            </a:r>
            <a:r>
              <a:rPr lang="fr-FR" sz="1300" b="1" i="0">
                <a:solidFill>
                  <a:sysClr val="windowText" lastClr="000000"/>
                </a:solidFill>
                <a:effectLst/>
                <a:latin typeface="Times New Roman" pitchFamily="18" charset="0"/>
                <a:cs typeface="Times New Roman" pitchFamily="18" charset="0"/>
              </a:rPr>
              <a:t>de jeunesse par sexe pour l'année 2025</a:t>
            </a:r>
            <a:endParaRPr lang="en-US" sz="1300" i="0">
              <a:solidFill>
                <a:sysClr val="windowText" lastClr="000000"/>
              </a:solidFill>
              <a:effectLst/>
              <a:latin typeface="Times New Roman" pitchFamily="18" charset="0"/>
              <a:cs typeface="Times New Roman" pitchFamily="18" charset="0"/>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Feuil1!$B$1</c:f>
              <c:strCache>
                <c:ptCount val="1"/>
                <c:pt idx="0">
                  <c:v>Total des participants</c:v>
                </c:pt>
              </c:strCache>
            </c:strRef>
          </c:tx>
          <c:spPr>
            <a:solidFill>
              <a:schemeClr val="accent1"/>
            </a:solidFill>
            <a:ln>
              <a:noFill/>
            </a:ln>
            <a:effectLst/>
            <a:sp3d/>
          </c:spPr>
          <c:invertIfNegative val="0"/>
          <c:cat>
            <c:strRef>
              <c:f>Feuil1!$A$2:$A$6</c:f>
              <c:strCache>
                <c:ptCount val="5"/>
                <c:pt idx="0">
                  <c:v>Activités artistiques</c:v>
                </c:pt>
                <c:pt idx="1">
                  <c:v>Activités scientifiques et culturelles</c:v>
                </c:pt>
                <c:pt idx="2">
                  <c:v>Activités récréatives et sportives</c:v>
                </c:pt>
                <c:pt idx="3">
                  <c:v>Activités de proximité</c:v>
                </c:pt>
                <c:pt idx="4">
                  <c:v>Activités de plein air</c:v>
                </c:pt>
              </c:strCache>
            </c:strRef>
          </c:cat>
          <c:val>
            <c:numRef>
              <c:f>Feuil1!$B$2:$B$6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0-0F2E-4BE6-B087-D590C38E90F3}"/>
            </c:ext>
          </c:extLst>
        </c:ser>
        <c:ser>
          <c:idx val="1"/>
          <c:order val="1"/>
          <c:tx>
            <c:strRef>
              <c:f>Feuil1!$C$1</c:f>
              <c:strCache>
                <c:ptCount val="1"/>
                <c:pt idx="0">
                  <c:v>Nombre de filles</c:v>
                </c:pt>
              </c:strCache>
            </c:strRef>
          </c:tx>
          <c:spPr>
            <a:solidFill>
              <a:schemeClr val="accent2"/>
            </a:solidFill>
            <a:ln>
              <a:noFill/>
            </a:ln>
            <a:effectLst/>
            <a:sp3d/>
          </c:spPr>
          <c:invertIfNegative val="0"/>
          <c:cat>
            <c:strRef>
              <c:f>Feuil1!$A$2:$A$6</c:f>
              <c:strCache>
                <c:ptCount val="5"/>
                <c:pt idx="0">
                  <c:v>Activités artistiques</c:v>
                </c:pt>
                <c:pt idx="1">
                  <c:v>Activités scientifiques et culturelles</c:v>
                </c:pt>
                <c:pt idx="2">
                  <c:v>Activités récréatives et sportives</c:v>
                </c:pt>
                <c:pt idx="3">
                  <c:v>Activités de proximité</c:v>
                </c:pt>
                <c:pt idx="4">
                  <c:v>Activités de plein air</c:v>
                </c:pt>
              </c:strCache>
            </c:strRef>
          </c:cat>
          <c:val>
            <c:numRef>
              <c:f>Feuil1!$C$2:$C$6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1-0F2E-4BE6-B087-D590C38E90F3}"/>
            </c:ext>
          </c:extLst>
        </c:ser>
        <c:ser>
          <c:idx val="2"/>
          <c:order val="2"/>
          <c:tx>
            <c:strRef>
              <c:f>Feuil1!$D$1</c:f>
              <c:strCache>
                <c:ptCount val="1"/>
                <c:pt idx="0">
                  <c:v>Pourcentage</c:v>
                </c:pt>
              </c:strCache>
            </c:strRef>
          </c:tx>
          <c:spPr>
            <a:solidFill>
              <a:schemeClr val="accent3"/>
            </a:solidFill>
            <a:ln>
              <a:noFill/>
            </a:ln>
            <a:effectLst/>
            <a:sp3d/>
          </c:spPr>
          <c:invertIfNegative val="0"/>
          <c:cat>
            <c:strRef>
              <c:f>Feuil1!$A$2:$A$6</c:f>
              <c:strCache>
                <c:ptCount val="5"/>
                <c:pt idx="0">
                  <c:v>Activités artistiques</c:v>
                </c:pt>
                <c:pt idx="1">
                  <c:v>Activités scientifiques et culturelles</c:v>
                </c:pt>
                <c:pt idx="2">
                  <c:v>Activités récréatives et sportives</c:v>
                </c:pt>
                <c:pt idx="3">
                  <c:v>Activités de proximité</c:v>
                </c:pt>
                <c:pt idx="4">
                  <c:v>Activités de plein air</c:v>
                </c:pt>
              </c:strCache>
            </c:strRef>
          </c:cat>
          <c:val>
            <c:numRef>
              <c:f>Feuil1!$D$2:$D$6</c:f>
              <c:numCache>
                <c:formatCode>0%</c:formatCode>
                <c:ptCount val="5"/>
                <c:pt idx="0">
                  <c:v>0.52</c:v>
                </c:pt>
                <c:pt idx="1">
                  <c:v>0.46</c:v>
                </c:pt>
                <c:pt idx="2">
                  <c:v>0.19</c:v>
                </c:pt>
                <c:pt idx="3">
                  <c:v>0.41000000000000031</c:v>
                </c:pt>
                <c:pt idx="4">
                  <c:v>0.27</c:v>
                </c:pt>
              </c:numCache>
            </c:numRef>
          </c:val>
          <c:extLst>
            <c:ext xmlns:c16="http://schemas.microsoft.com/office/drawing/2014/chart" uri="{C3380CC4-5D6E-409C-BE32-E72D297353CC}">
              <c16:uniqueId val="{00000002-0F2E-4BE6-B087-D590C38E90F3}"/>
            </c:ext>
          </c:extLst>
        </c:ser>
        <c:dLbls>
          <c:showLegendKey val="0"/>
          <c:showVal val="0"/>
          <c:showCatName val="0"/>
          <c:showSerName val="0"/>
          <c:showPercent val="0"/>
          <c:showBubbleSize val="0"/>
        </c:dLbls>
        <c:gapWidth val="150"/>
        <c:shape val="box"/>
        <c:axId val="64926464"/>
        <c:axId val="64928000"/>
        <c:axId val="0"/>
      </c:bar3DChart>
      <c:catAx>
        <c:axId val="6492646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928000"/>
        <c:crosses val="autoZero"/>
        <c:auto val="1"/>
        <c:lblAlgn val="ctr"/>
        <c:lblOffset val="100"/>
        <c:noMultiLvlLbl val="0"/>
      </c:catAx>
      <c:valAx>
        <c:axId val="64928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92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drawings/_rels/drawing1.xml.rels><?xml version="1.0" encoding="UTF-8" standalone="yes"?>
<Relationships xmlns="http://schemas.openxmlformats.org/package/2006/relationships"><Relationship Id="rId1" Type="http://schemas.openxmlformats.org/officeDocument/2006/relationships/image" Target="../media/image8.emf"/></Relationships>
</file>

<file path=word/drawings/drawing1.xml><?xml version="1.0" encoding="utf-8"?>
<c:userShapes xmlns:c="http://schemas.openxmlformats.org/drawingml/2006/chart">
  <cdr:relSizeAnchor xmlns:cdr="http://schemas.openxmlformats.org/drawingml/2006/chartDrawing">
    <cdr:from>
      <cdr:x>0</cdr:x>
      <cdr:y>0</cdr:y>
    </cdr:from>
    <cdr:to>
      <cdr:x>1</cdr:x>
      <cdr:y>0.14456</cdr:y>
    </cdr:to>
    <cdr:pic>
      <cdr:nvPicPr>
        <cdr:cNvPr id="4"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5761526" cy="634501"/>
        </a:xfrm>
        <a:prstGeom xmlns:a="http://schemas.openxmlformats.org/drawingml/2006/main" prst="rect">
          <a:avLst/>
        </a:prstGeom>
      </cdr:spPr>
    </cdr:pic>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2026-07-22T09:04:52+00:00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D5B20-B585-45FF-A851-6B1EC7A5DB7F}">
  <ds:schemaRefs>
    <ds:schemaRef ds:uri="http://schemas.microsoft.com/sharepoint/v3/contenttype/forms"/>
  </ds:schemaRefs>
</ds:datastoreItem>
</file>

<file path=customXml/itemProps2.xml><?xml version="1.0" encoding="utf-8"?>
<ds:datastoreItem xmlns:ds="http://schemas.openxmlformats.org/officeDocument/2006/customXml" ds:itemID="{FD86B392-BB7E-4F14-8984-C54C19D1A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8D5E1C-6A26-4680-956F-B4D8145B9E68}">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4.xml><?xml version="1.0" encoding="utf-8"?>
<ds:datastoreItem xmlns:ds="http://schemas.openxmlformats.org/officeDocument/2006/customXml" ds:itemID="{174BD87E-0CC2-4CFB-94E6-740DEE2B8EEC}">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45</Pages>
  <Words>17713</Words>
  <Characters>100970</Characters>
  <Application>Microsoft Office Word</Application>
  <DocSecurity>0</DocSecurity>
  <Lines>841</Lines>
  <Paragraphs>236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CEDAW/C/MYS/5-7</vt:lpstr>
      <vt:lpstr>a/hthhhh</vt:lpstr>
      <vt:lpstr>a/hthhhh</vt:lpstr>
    </vt:vector>
  </TitlesOfParts>
  <Company>DCM</Company>
  <LinksUpToDate>false</LinksUpToDate>
  <CharactersWithSpaces>118447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CEDAW/C/MYS/5-7</dc:title>
  <dc:creator>Gloria de la Rosa</dc:creator>
  <cp:lastModifiedBy>Jamila Devi Seerathun</cp:lastModifiedBy>
  <cp:revision>4</cp:revision>
  <cp:lastPrinted>2017-02-27T14:31:00Z</cp:lastPrinted>
  <dcterms:created xsi:type="dcterms:W3CDTF">2026-07-23T13:21:00Z</dcterms:created>
  <dcterms:modified xsi:type="dcterms:W3CDTF">2026-07-23T13:22:00Z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de la Malaisie</vt:lpwstr>
  </property>
  <property fmtid="{D5CDD505-2E9C-101B-9397-08002B2CF9AE}" pid="8" name="countw">
    <vt:lpwstr>Malaisie</vt:lpwstr>
  </property>
  <property fmtid="{D5CDD505-2E9C-101B-9397-08002B2CF9AE}" pid="9" name="countwd">
    <vt:lpwstr>la Malaisie</vt:lpwstr>
  </property>
  <property fmtid="{D5CDD505-2E9C-101B-9397-08002B2CF9AE}" pid="10" name="date">
    <vt:lpwstr>23 juillet 2026</vt:lpwstr>
  </property>
  <property fmtid="{D5CDD505-2E9C-101B-9397-08002B2CF9AE}" pid="11" name="Date-Generated">
    <vt:filetime>2026-07-22T09:03:51Z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français</vt:lpwstr>
  </property>
  <property fmtid="{D5CDD505-2E9C-101B-9397-08002B2CF9AE}" pid="20" name="Order">
    <vt:r8>198200</vt:r8>
  </property>
  <property fmtid="{D5CDD505-2E9C-101B-9397-08002B2CF9AE}" pid="21" name="Org">
    <vt:lpwstr>OHCHR</vt:lpwstr>
  </property>
  <property fmtid="{D5CDD505-2E9C-101B-9397-08002B2CF9AE}" pid="22" name="prep">
    <vt:lpwstr>rapport de la Malaisie valant cinquième à septième rapports périodiques</vt:lpwstr>
  </property>
  <property fmtid="{D5CDD505-2E9C-101B-9397-08002B2CF9AE}" pid="23" name="preps">
    <vt:lpwstr>rapport de la Malaisie valant cinquième à septième rapports périodiques</vt:lpwstr>
  </property>
  <property fmtid="{D5CDD505-2E9C-101B-9397-08002B2CF9AE}" pid="24" name="prepw">
    <vt:lpwstr>rapport valant cinquième à septième rapports périodiques</vt:lpwstr>
  </property>
  <property fmtid="{D5CDD505-2E9C-101B-9397-08002B2CF9AE}" pid="25" name="prepwc">
    <vt:lpwstr>Rapport valant cinquième à septième rapports périodiques</vt:lpwstr>
  </property>
  <property fmtid="{D5CDD505-2E9C-101B-9397-08002B2CF9AE}" pid="26" name="prepws">
    <vt:lpwstr>rapport valant cinquième à septième rapports périodiques</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C/MYS/5-7</vt:lpwstr>
  </property>
  <property fmtid="{D5CDD505-2E9C-101B-9397-08002B2CF9AE}" pid="32" name="symh">
    <vt:lpwstr>CEDAW/C/MYS/5-7</vt:lpwstr>
  </property>
  <property fmtid="{D5CDD505-2E9C-101B-9397-08002B2CF9AE}" pid="33" name="Title">
    <vt:lpwstr>CEDAW/C/MYS/5-7</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ContentTypeId">
    <vt:lpwstr>0x010100A3CFA62B47352B44BFD11BEB9CD9FD5A</vt:lpwstr>
  </property>
</Properties>
</file>