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A85BA0" w14:textId="77777777" w:rsidR="00912052" w:rsidRPr="008769C4" w:rsidRDefault="00912052" w:rsidP="00B0239E">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40"/>
        </w:tabs>
        <w:rPr>
          <w:sz w:val="22"/>
          <w:szCs w:val="22"/>
        </w:rPr>
      </w:pPr>
    </w:p>
    <w:p w14:paraId="4AA85BA1" w14:textId="77777777" w:rsidR="00912052" w:rsidRPr="008769C4" w:rsidRDefault="00912052" w:rsidP="00B0239E">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40"/>
        </w:tabs>
        <w:jc w:val="center"/>
        <w:rPr>
          <w:sz w:val="22"/>
          <w:szCs w:val="22"/>
        </w:rPr>
      </w:pPr>
    </w:p>
    <w:p w14:paraId="4AA85BA2" w14:textId="77777777" w:rsidR="00912052" w:rsidRPr="008769C4" w:rsidRDefault="00912052" w:rsidP="00B0239E">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40"/>
        </w:tabs>
        <w:jc w:val="center"/>
        <w:rPr>
          <w:sz w:val="22"/>
          <w:szCs w:val="22"/>
        </w:rPr>
      </w:pPr>
    </w:p>
    <w:p w14:paraId="4D9A60B0" w14:textId="77777777" w:rsidR="00497630" w:rsidRDefault="00497630" w:rsidP="00B0239E">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40"/>
        </w:tabs>
        <w:jc w:val="center"/>
        <w:rPr>
          <w:rFonts w:ascii="Times New Roman" w:hAnsi="Times New Roman"/>
          <w:b/>
          <w:bCs/>
          <w:sz w:val="22"/>
          <w:szCs w:val="22"/>
        </w:rPr>
      </w:pPr>
    </w:p>
    <w:p w14:paraId="50F5E479" w14:textId="77777777" w:rsidR="00497630" w:rsidRDefault="00497630" w:rsidP="00B0239E">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40"/>
        </w:tabs>
        <w:jc w:val="center"/>
        <w:rPr>
          <w:rFonts w:ascii="Times New Roman" w:hAnsi="Times New Roman"/>
          <w:b/>
          <w:bCs/>
          <w:sz w:val="22"/>
          <w:szCs w:val="22"/>
        </w:rPr>
      </w:pPr>
    </w:p>
    <w:p w14:paraId="483A5271" w14:textId="77777777" w:rsidR="00497630" w:rsidRDefault="00497630" w:rsidP="00B0239E">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40"/>
        </w:tabs>
        <w:jc w:val="center"/>
        <w:rPr>
          <w:rFonts w:ascii="Times New Roman" w:hAnsi="Times New Roman"/>
          <w:b/>
          <w:bCs/>
          <w:sz w:val="22"/>
          <w:szCs w:val="22"/>
        </w:rPr>
      </w:pPr>
    </w:p>
    <w:p w14:paraId="51E2B390" w14:textId="77777777" w:rsidR="00497630" w:rsidRDefault="00497630" w:rsidP="00B0239E">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40"/>
        </w:tabs>
        <w:jc w:val="center"/>
        <w:rPr>
          <w:rFonts w:ascii="Times New Roman" w:hAnsi="Times New Roman"/>
          <w:b/>
          <w:bCs/>
          <w:sz w:val="22"/>
          <w:szCs w:val="22"/>
        </w:rPr>
      </w:pPr>
    </w:p>
    <w:p w14:paraId="1F44691B" w14:textId="77777777" w:rsidR="00497630" w:rsidRDefault="00497630" w:rsidP="00D14CE4">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40"/>
        </w:tabs>
        <w:rPr>
          <w:rFonts w:ascii="Times New Roman" w:hAnsi="Times New Roman"/>
          <w:b/>
          <w:bCs/>
          <w:sz w:val="22"/>
          <w:szCs w:val="22"/>
        </w:rPr>
      </w:pPr>
    </w:p>
    <w:p w14:paraId="56883F3A" w14:textId="77777777" w:rsidR="00497630" w:rsidRDefault="00497630" w:rsidP="00B0239E">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40"/>
        </w:tabs>
        <w:jc w:val="center"/>
        <w:rPr>
          <w:rFonts w:ascii="Times New Roman" w:hAnsi="Times New Roman"/>
          <w:b/>
          <w:bCs/>
          <w:sz w:val="22"/>
          <w:szCs w:val="22"/>
        </w:rPr>
      </w:pPr>
    </w:p>
    <w:p w14:paraId="69657A3D" w14:textId="77777777" w:rsidR="00497630" w:rsidRDefault="00497630" w:rsidP="00B0239E">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40"/>
        </w:tabs>
        <w:jc w:val="center"/>
        <w:rPr>
          <w:rFonts w:ascii="Times New Roman" w:hAnsi="Times New Roman"/>
          <w:b/>
          <w:bCs/>
          <w:sz w:val="22"/>
          <w:szCs w:val="22"/>
        </w:rPr>
      </w:pPr>
    </w:p>
    <w:p w14:paraId="4AA85BA3" w14:textId="201615EF" w:rsidR="00912052" w:rsidRPr="00CE3BC8" w:rsidRDefault="00243A69" w:rsidP="00B0239E">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40"/>
        </w:tabs>
        <w:jc w:val="center"/>
        <w:rPr>
          <w:color w:val="4F81BD" w:themeColor="accent1"/>
          <w:sz w:val="40"/>
          <w:szCs w:val="40"/>
        </w:rPr>
      </w:pPr>
      <w:r w:rsidRPr="00CE3BC8">
        <w:rPr>
          <w:rFonts w:ascii="Times New Roman" w:hAnsi="Times New Roman"/>
          <w:b/>
          <w:bCs/>
          <w:color w:val="4F81BD" w:themeColor="accent1"/>
          <w:sz w:val="40"/>
          <w:szCs w:val="40"/>
        </w:rPr>
        <w:t>The International Covenant on Economic, Social and Cultural Rights (ICESCR) </w:t>
      </w:r>
    </w:p>
    <w:p w14:paraId="4AA85BA4" w14:textId="77777777" w:rsidR="00912052" w:rsidRPr="00CE3BC8" w:rsidRDefault="00912052" w:rsidP="00B0239E">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40"/>
        </w:tabs>
        <w:jc w:val="both"/>
        <w:rPr>
          <w:color w:val="4F81BD" w:themeColor="accent1"/>
          <w:sz w:val="40"/>
          <w:szCs w:val="40"/>
        </w:rPr>
      </w:pPr>
    </w:p>
    <w:p w14:paraId="4AA85BA5" w14:textId="77777777" w:rsidR="00912052" w:rsidRPr="00CE3BC8" w:rsidRDefault="004E0BD0" w:rsidP="00B0239E">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40"/>
        </w:tabs>
        <w:jc w:val="center"/>
        <w:rPr>
          <w:color w:val="4F81BD" w:themeColor="accent1"/>
          <w:sz w:val="40"/>
          <w:szCs w:val="40"/>
        </w:rPr>
      </w:pPr>
      <w:r w:rsidRPr="00CE3BC8">
        <w:rPr>
          <w:rFonts w:ascii="Times New Roman" w:hAnsi="Times New Roman"/>
          <w:b/>
          <w:bCs/>
          <w:color w:val="4F81BD" w:themeColor="accent1"/>
          <w:sz w:val="40"/>
          <w:szCs w:val="40"/>
        </w:rPr>
        <w:t xml:space="preserve">Alternative report </w:t>
      </w:r>
    </w:p>
    <w:p w14:paraId="4AA85BA6" w14:textId="77777777" w:rsidR="00912052" w:rsidRPr="00497630" w:rsidRDefault="00912052" w:rsidP="00B0239E">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40"/>
        </w:tabs>
        <w:jc w:val="center"/>
        <w:rPr>
          <w:sz w:val="40"/>
          <w:szCs w:val="40"/>
        </w:rPr>
      </w:pPr>
    </w:p>
    <w:p w14:paraId="3F829DE1" w14:textId="77777777" w:rsidR="00497630" w:rsidRDefault="00497630" w:rsidP="00B0239E">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40"/>
        </w:tabs>
        <w:jc w:val="center"/>
        <w:rPr>
          <w:rFonts w:ascii="Times New Roman" w:hAnsi="Times New Roman"/>
          <w:b/>
          <w:bCs/>
          <w:sz w:val="22"/>
          <w:szCs w:val="22"/>
        </w:rPr>
      </w:pPr>
    </w:p>
    <w:p w14:paraId="510488B7" w14:textId="77777777" w:rsidR="00497630" w:rsidRDefault="00497630" w:rsidP="00B0239E">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40"/>
        </w:tabs>
        <w:jc w:val="center"/>
        <w:rPr>
          <w:rFonts w:ascii="Times New Roman" w:hAnsi="Times New Roman"/>
          <w:b/>
          <w:bCs/>
          <w:sz w:val="22"/>
          <w:szCs w:val="22"/>
        </w:rPr>
      </w:pPr>
    </w:p>
    <w:p w14:paraId="61F27BFE" w14:textId="77777777" w:rsidR="00497630" w:rsidRDefault="00497630" w:rsidP="00B0239E">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40"/>
        </w:tabs>
        <w:jc w:val="center"/>
        <w:rPr>
          <w:rFonts w:ascii="Times New Roman" w:hAnsi="Times New Roman"/>
          <w:b/>
          <w:bCs/>
          <w:sz w:val="22"/>
          <w:szCs w:val="22"/>
        </w:rPr>
      </w:pPr>
    </w:p>
    <w:p w14:paraId="37562EF8" w14:textId="6DFE14FB" w:rsidR="00497630" w:rsidRDefault="00497630" w:rsidP="00B0239E">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40"/>
        </w:tabs>
        <w:rPr>
          <w:rFonts w:ascii="Times New Roman" w:hAnsi="Times New Roman"/>
          <w:b/>
          <w:bCs/>
          <w:sz w:val="22"/>
          <w:szCs w:val="22"/>
        </w:rPr>
      </w:pPr>
    </w:p>
    <w:p w14:paraId="40E848BB" w14:textId="77777777" w:rsidR="002D16B2" w:rsidRDefault="00243A69" w:rsidP="00B0239E">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40"/>
        </w:tabs>
        <w:jc w:val="center"/>
        <w:rPr>
          <w:rFonts w:ascii="Times New Roman" w:hAnsi="Times New Roman"/>
          <w:b/>
          <w:bCs/>
          <w:sz w:val="22"/>
          <w:szCs w:val="22"/>
        </w:rPr>
      </w:pPr>
      <w:r w:rsidRPr="008769C4">
        <w:rPr>
          <w:rFonts w:ascii="Times New Roman" w:hAnsi="Times New Roman"/>
          <w:b/>
          <w:bCs/>
          <w:sz w:val="22"/>
          <w:szCs w:val="22"/>
        </w:rPr>
        <w:t xml:space="preserve">on the implementation of the ICESCR Submitted by the Georgian </w:t>
      </w:r>
    </w:p>
    <w:p w14:paraId="78BA7313" w14:textId="050AB4E2" w:rsidR="00497630" w:rsidRPr="002D16B2" w:rsidRDefault="00243A69" w:rsidP="00B0239E">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40"/>
        </w:tabs>
        <w:jc w:val="center"/>
        <w:rPr>
          <w:rFonts w:ascii="Times New Roman" w:hAnsi="Times New Roman"/>
          <w:b/>
          <w:bCs/>
          <w:sz w:val="22"/>
          <w:szCs w:val="22"/>
        </w:rPr>
      </w:pPr>
      <w:r w:rsidRPr="008769C4">
        <w:rPr>
          <w:rFonts w:ascii="Times New Roman" w:hAnsi="Times New Roman"/>
          <w:b/>
          <w:bCs/>
          <w:sz w:val="22"/>
          <w:szCs w:val="22"/>
        </w:rPr>
        <w:t xml:space="preserve">Trade Unions Confederation </w:t>
      </w:r>
    </w:p>
    <w:p w14:paraId="4AA85BA7" w14:textId="51746102" w:rsidR="00912052" w:rsidRPr="008769C4" w:rsidRDefault="00243A69" w:rsidP="00B0239E">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40"/>
        </w:tabs>
        <w:jc w:val="center"/>
        <w:rPr>
          <w:sz w:val="22"/>
          <w:szCs w:val="22"/>
        </w:rPr>
      </w:pPr>
      <w:r w:rsidRPr="008769C4">
        <w:rPr>
          <w:rFonts w:ascii="Times New Roman" w:hAnsi="Times New Roman"/>
          <w:sz w:val="22"/>
          <w:szCs w:val="22"/>
        </w:rPr>
        <w:t>(ICESCR Article 8)</w:t>
      </w:r>
    </w:p>
    <w:p w14:paraId="4AA85BA8" w14:textId="77777777" w:rsidR="00912052" w:rsidRPr="008769C4" w:rsidRDefault="00912052" w:rsidP="00275107">
      <w:pPr>
        <w:pStyle w:val="BodyA"/>
        <w:spacing w:line="240" w:lineRule="auto"/>
        <w:jc w:val="both"/>
      </w:pPr>
    </w:p>
    <w:p w14:paraId="4AA85BA9" w14:textId="77777777" w:rsidR="00912052" w:rsidRPr="008769C4" w:rsidRDefault="00912052" w:rsidP="00275107">
      <w:pPr>
        <w:pStyle w:val="BodyA"/>
        <w:spacing w:line="240" w:lineRule="auto"/>
        <w:jc w:val="both"/>
      </w:pPr>
    </w:p>
    <w:p w14:paraId="110AD475" w14:textId="77777777" w:rsidR="00533BD6" w:rsidRDefault="00D3705C" w:rsidP="00B0239E">
      <w:pPr>
        <w:pStyle w:val="TOCHeading"/>
        <w:spacing w:line="240" w:lineRule="auto"/>
        <w:rPr>
          <w:rFonts w:ascii="Times New Roman" w:hAnsi="Times New Roman"/>
          <w:b/>
          <w:bCs/>
        </w:rPr>
      </w:pPr>
      <w:r>
        <w:rPr>
          <w:rFonts w:ascii="Times New Roman" w:hAnsi="Times New Roman"/>
          <w:b/>
          <w:bCs/>
        </w:rPr>
        <w:t xml:space="preserve">    </w:t>
      </w:r>
    </w:p>
    <w:sdt>
      <w:sdtPr>
        <w:rPr>
          <w:rFonts w:ascii="Times New Roman" w:eastAsia="Arial Unicode MS" w:hAnsi="Times New Roman" w:cs="Times New Roman"/>
          <w:color w:val="auto"/>
          <w:sz w:val="24"/>
          <w:szCs w:val="24"/>
        </w:rPr>
        <w:id w:val="-1035429204"/>
        <w:docPartObj>
          <w:docPartGallery w:val="Table of Contents"/>
          <w:docPartUnique/>
        </w:docPartObj>
      </w:sdtPr>
      <w:sdtEndPr>
        <w:rPr>
          <w:b/>
          <w:bCs/>
          <w:noProof/>
        </w:rPr>
      </w:sdtEndPr>
      <w:sdtContent>
        <w:p w14:paraId="0BDEAEFB" w14:textId="4BA84278" w:rsidR="005B3234" w:rsidRDefault="005B3234" w:rsidP="00275107">
          <w:pPr>
            <w:pStyle w:val="BodyA"/>
            <w:spacing w:line="240" w:lineRule="auto"/>
            <w:jc w:val="both"/>
          </w:pPr>
          <w:r>
            <w:t>Contents:</w:t>
          </w:r>
        </w:p>
        <w:p w14:paraId="77315A6B" w14:textId="77777777" w:rsidR="005B3234" w:rsidRDefault="005B3234" w:rsidP="00B0239E"/>
        <w:p w14:paraId="227B272D" w14:textId="77777777" w:rsidR="00CE3BC8" w:rsidRPr="005B3234" w:rsidRDefault="00CE3BC8" w:rsidP="00B0239E"/>
        <w:p w14:paraId="6734BBD6" w14:textId="0DA7DA78" w:rsidR="00677A14" w:rsidRDefault="005B3234" w:rsidP="00B0239E">
          <w:pPr>
            <w:pStyle w:val="TOC1"/>
            <w:tabs>
              <w:tab w:val="left" w:pos="480"/>
              <w:tab w:val="right" w:leader="dot" w:pos="9530"/>
            </w:tabs>
            <w:rPr>
              <w:rFonts w:asciiTheme="minorHAnsi" w:eastAsiaTheme="minorEastAsia" w:hAnsiTheme="minorHAnsi" w:cstheme="minorBidi"/>
              <w:noProof/>
              <w:kern w:val="2"/>
              <w:bdr w:val="none" w:sz="0" w:space="0" w:color="auto"/>
              <w14:ligatures w14:val="standardContextual"/>
            </w:rPr>
          </w:pPr>
          <w:r>
            <w:fldChar w:fldCharType="begin"/>
          </w:r>
          <w:r>
            <w:instrText xml:space="preserve"> TOC \o "1-3" \h \z \u </w:instrText>
          </w:r>
          <w:r>
            <w:fldChar w:fldCharType="separate"/>
          </w:r>
          <w:hyperlink w:anchor="_Toc218193657" w:history="1">
            <w:r w:rsidR="00677A14" w:rsidRPr="00322992">
              <w:rPr>
                <w:rStyle w:val="Hyperlink"/>
                <w:noProof/>
              </w:rPr>
              <w:t>1.</w:t>
            </w:r>
            <w:r w:rsidR="00677A14">
              <w:rPr>
                <w:rFonts w:asciiTheme="minorHAnsi" w:eastAsiaTheme="minorEastAsia" w:hAnsiTheme="minorHAnsi" w:cstheme="minorBidi"/>
                <w:noProof/>
                <w:kern w:val="2"/>
                <w:bdr w:val="none" w:sz="0" w:space="0" w:color="auto"/>
                <w14:ligatures w14:val="standardContextual"/>
              </w:rPr>
              <w:tab/>
            </w:r>
            <w:r w:rsidR="00677A14" w:rsidRPr="00322992">
              <w:rPr>
                <w:rStyle w:val="Hyperlink"/>
                <w:noProof/>
              </w:rPr>
              <w:t>Introduction</w:t>
            </w:r>
            <w:r w:rsidR="00677A14">
              <w:rPr>
                <w:noProof/>
                <w:webHidden/>
              </w:rPr>
              <w:tab/>
            </w:r>
            <w:r w:rsidR="00677A14">
              <w:rPr>
                <w:noProof/>
                <w:webHidden/>
              </w:rPr>
              <w:fldChar w:fldCharType="begin"/>
            </w:r>
            <w:r w:rsidR="00677A14">
              <w:rPr>
                <w:noProof/>
                <w:webHidden/>
              </w:rPr>
              <w:instrText xml:space="preserve"> PAGEREF _Toc218193657 \h </w:instrText>
            </w:r>
            <w:r w:rsidR="00677A14">
              <w:rPr>
                <w:noProof/>
                <w:webHidden/>
              </w:rPr>
            </w:r>
            <w:r w:rsidR="00677A14">
              <w:rPr>
                <w:noProof/>
                <w:webHidden/>
              </w:rPr>
              <w:fldChar w:fldCharType="separate"/>
            </w:r>
            <w:r w:rsidR="00677A14">
              <w:rPr>
                <w:noProof/>
                <w:webHidden/>
              </w:rPr>
              <w:t>3</w:t>
            </w:r>
            <w:r w:rsidR="00677A14">
              <w:rPr>
                <w:noProof/>
                <w:webHidden/>
              </w:rPr>
              <w:fldChar w:fldCharType="end"/>
            </w:r>
          </w:hyperlink>
        </w:p>
        <w:p w14:paraId="6D16F4F4" w14:textId="4F9D4DAF" w:rsidR="00677A14" w:rsidRDefault="00677A14" w:rsidP="00B0239E">
          <w:pPr>
            <w:pStyle w:val="TOC1"/>
            <w:tabs>
              <w:tab w:val="left" w:pos="480"/>
              <w:tab w:val="right" w:leader="dot" w:pos="9530"/>
            </w:tabs>
            <w:rPr>
              <w:rFonts w:asciiTheme="minorHAnsi" w:eastAsiaTheme="minorEastAsia" w:hAnsiTheme="minorHAnsi" w:cstheme="minorBidi"/>
              <w:noProof/>
              <w:kern w:val="2"/>
              <w:bdr w:val="none" w:sz="0" w:space="0" w:color="auto"/>
              <w14:ligatures w14:val="standardContextual"/>
            </w:rPr>
          </w:pPr>
          <w:hyperlink w:anchor="_Toc218193658" w:history="1">
            <w:r w:rsidRPr="00322992">
              <w:rPr>
                <w:rStyle w:val="Hyperlink"/>
                <w:noProof/>
              </w:rPr>
              <w:t>2.</w:t>
            </w:r>
            <w:r>
              <w:rPr>
                <w:rFonts w:asciiTheme="minorHAnsi" w:eastAsiaTheme="minorEastAsia" w:hAnsiTheme="minorHAnsi" w:cstheme="minorBidi"/>
                <w:noProof/>
                <w:kern w:val="2"/>
                <w:bdr w:val="none" w:sz="0" w:space="0" w:color="auto"/>
                <w14:ligatures w14:val="standardContextual"/>
              </w:rPr>
              <w:tab/>
            </w:r>
            <w:r w:rsidRPr="00322992">
              <w:rPr>
                <w:rStyle w:val="Hyperlink"/>
                <w:noProof/>
              </w:rPr>
              <w:t>Trade unions rights</w:t>
            </w:r>
            <w:r>
              <w:rPr>
                <w:noProof/>
                <w:webHidden/>
              </w:rPr>
              <w:tab/>
            </w:r>
            <w:r>
              <w:rPr>
                <w:noProof/>
                <w:webHidden/>
              </w:rPr>
              <w:fldChar w:fldCharType="begin"/>
            </w:r>
            <w:r>
              <w:rPr>
                <w:noProof/>
                <w:webHidden/>
              </w:rPr>
              <w:instrText xml:space="preserve"> PAGEREF _Toc218193658 \h </w:instrText>
            </w:r>
            <w:r>
              <w:rPr>
                <w:noProof/>
                <w:webHidden/>
              </w:rPr>
            </w:r>
            <w:r>
              <w:rPr>
                <w:noProof/>
                <w:webHidden/>
              </w:rPr>
              <w:fldChar w:fldCharType="separate"/>
            </w:r>
            <w:r>
              <w:rPr>
                <w:noProof/>
                <w:webHidden/>
              </w:rPr>
              <w:t>4</w:t>
            </w:r>
            <w:r>
              <w:rPr>
                <w:noProof/>
                <w:webHidden/>
              </w:rPr>
              <w:fldChar w:fldCharType="end"/>
            </w:r>
          </w:hyperlink>
        </w:p>
        <w:p w14:paraId="24C02A48" w14:textId="5B27DF70" w:rsidR="00677A14" w:rsidRDefault="00677A14" w:rsidP="00B0239E">
          <w:pPr>
            <w:pStyle w:val="TOC1"/>
            <w:tabs>
              <w:tab w:val="left" w:pos="480"/>
              <w:tab w:val="right" w:leader="dot" w:pos="9530"/>
            </w:tabs>
            <w:rPr>
              <w:rFonts w:asciiTheme="minorHAnsi" w:eastAsiaTheme="minorEastAsia" w:hAnsiTheme="minorHAnsi" w:cstheme="minorBidi"/>
              <w:noProof/>
              <w:kern w:val="2"/>
              <w:bdr w:val="none" w:sz="0" w:space="0" w:color="auto"/>
              <w14:ligatures w14:val="standardContextual"/>
            </w:rPr>
          </w:pPr>
          <w:hyperlink w:anchor="_Toc218193659" w:history="1">
            <w:r w:rsidRPr="00322992">
              <w:rPr>
                <w:rStyle w:val="Hyperlink"/>
                <w:noProof/>
              </w:rPr>
              <w:t>3.</w:t>
            </w:r>
            <w:r>
              <w:rPr>
                <w:rFonts w:asciiTheme="minorHAnsi" w:eastAsiaTheme="minorEastAsia" w:hAnsiTheme="minorHAnsi" w:cstheme="minorBidi"/>
                <w:noProof/>
                <w:kern w:val="2"/>
                <w:bdr w:val="none" w:sz="0" w:space="0" w:color="auto"/>
                <w14:ligatures w14:val="standardContextual"/>
              </w:rPr>
              <w:tab/>
            </w:r>
            <w:r w:rsidRPr="00322992">
              <w:rPr>
                <w:rStyle w:val="Hyperlink"/>
                <w:noProof/>
              </w:rPr>
              <w:t>Compulsory Mediation and the Right to Strike</w:t>
            </w:r>
            <w:r>
              <w:rPr>
                <w:noProof/>
                <w:webHidden/>
              </w:rPr>
              <w:tab/>
            </w:r>
            <w:r>
              <w:rPr>
                <w:noProof/>
                <w:webHidden/>
              </w:rPr>
              <w:fldChar w:fldCharType="begin"/>
            </w:r>
            <w:r>
              <w:rPr>
                <w:noProof/>
                <w:webHidden/>
              </w:rPr>
              <w:instrText xml:space="preserve"> PAGEREF _Toc218193659 \h </w:instrText>
            </w:r>
            <w:r>
              <w:rPr>
                <w:noProof/>
                <w:webHidden/>
              </w:rPr>
            </w:r>
            <w:r>
              <w:rPr>
                <w:noProof/>
                <w:webHidden/>
              </w:rPr>
              <w:fldChar w:fldCharType="separate"/>
            </w:r>
            <w:r>
              <w:rPr>
                <w:noProof/>
                <w:webHidden/>
              </w:rPr>
              <w:t>8</w:t>
            </w:r>
            <w:r>
              <w:rPr>
                <w:noProof/>
                <w:webHidden/>
              </w:rPr>
              <w:fldChar w:fldCharType="end"/>
            </w:r>
          </w:hyperlink>
        </w:p>
        <w:p w14:paraId="7B22C686" w14:textId="05BBE7C0" w:rsidR="00677A14" w:rsidRDefault="00677A14" w:rsidP="00B0239E">
          <w:pPr>
            <w:pStyle w:val="TOC1"/>
            <w:tabs>
              <w:tab w:val="left" w:pos="720"/>
              <w:tab w:val="right" w:leader="dot" w:pos="9530"/>
            </w:tabs>
            <w:rPr>
              <w:rFonts w:asciiTheme="minorHAnsi" w:eastAsiaTheme="minorEastAsia" w:hAnsiTheme="minorHAnsi" w:cstheme="minorBidi"/>
              <w:noProof/>
              <w:kern w:val="2"/>
              <w:bdr w:val="none" w:sz="0" w:space="0" w:color="auto"/>
              <w14:ligatures w14:val="standardContextual"/>
            </w:rPr>
          </w:pPr>
          <w:hyperlink w:anchor="_Toc218193660" w:history="1">
            <w:r w:rsidRPr="00322992">
              <w:rPr>
                <w:rStyle w:val="Hyperlink"/>
                <w:rFonts w:eastAsia="Times New Roman"/>
                <w:noProof/>
                <w:lang w:val="ka-GE"/>
              </w:rPr>
              <w:t>3.1.</w:t>
            </w:r>
            <w:r>
              <w:rPr>
                <w:rFonts w:asciiTheme="minorHAnsi" w:eastAsiaTheme="minorEastAsia" w:hAnsiTheme="minorHAnsi" w:cstheme="minorBidi"/>
                <w:noProof/>
                <w:kern w:val="2"/>
                <w:bdr w:val="none" w:sz="0" w:space="0" w:color="auto"/>
                <w14:ligatures w14:val="standardContextual"/>
              </w:rPr>
              <w:t xml:space="preserve">  </w:t>
            </w:r>
            <w:r w:rsidRPr="00322992">
              <w:rPr>
                <w:rStyle w:val="Hyperlink"/>
                <w:rFonts w:eastAsia="Times New Roman"/>
                <w:noProof/>
              </w:rPr>
              <w:t>Case 1. violations in the Center for Coordination of Emergency Situations and Emergency</w:t>
            </w:r>
            <w:r>
              <w:rPr>
                <w:rStyle w:val="Hyperlink"/>
                <w:rFonts w:eastAsia="Times New Roman"/>
                <w:noProof/>
              </w:rPr>
              <w:t xml:space="preserve"> </w:t>
            </w:r>
            <w:r w:rsidRPr="00322992">
              <w:rPr>
                <w:rStyle w:val="Hyperlink"/>
                <w:rFonts w:eastAsia="Times New Roman"/>
                <w:noProof/>
              </w:rPr>
              <w:t>Assistance</w:t>
            </w:r>
            <w:r w:rsidR="0054637A">
              <w:rPr>
                <w:rStyle w:val="Hyperlink"/>
                <w:rFonts w:eastAsia="Times New Roman"/>
                <w:noProof/>
              </w:rPr>
              <w:t xml:space="preserve"> </w:t>
            </w:r>
            <w:r>
              <w:rPr>
                <w:noProof/>
                <w:webHidden/>
              </w:rPr>
              <w:tab/>
            </w:r>
            <w:r>
              <w:rPr>
                <w:noProof/>
                <w:webHidden/>
              </w:rPr>
              <w:fldChar w:fldCharType="begin"/>
            </w:r>
            <w:r>
              <w:rPr>
                <w:noProof/>
                <w:webHidden/>
              </w:rPr>
              <w:instrText xml:space="preserve"> PAGEREF _Toc218193660 \h </w:instrText>
            </w:r>
            <w:r>
              <w:rPr>
                <w:noProof/>
                <w:webHidden/>
              </w:rPr>
            </w:r>
            <w:r>
              <w:rPr>
                <w:noProof/>
                <w:webHidden/>
              </w:rPr>
              <w:fldChar w:fldCharType="separate"/>
            </w:r>
            <w:r>
              <w:rPr>
                <w:noProof/>
                <w:webHidden/>
              </w:rPr>
              <w:t>10</w:t>
            </w:r>
            <w:r>
              <w:rPr>
                <w:noProof/>
                <w:webHidden/>
              </w:rPr>
              <w:fldChar w:fldCharType="end"/>
            </w:r>
          </w:hyperlink>
        </w:p>
        <w:p w14:paraId="0026EFA1" w14:textId="5D26CEAF" w:rsidR="00677A14" w:rsidRDefault="00677A14" w:rsidP="00B0239E">
          <w:pPr>
            <w:pStyle w:val="TOC1"/>
            <w:tabs>
              <w:tab w:val="left" w:pos="720"/>
              <w:tab w:val="right" w:leader="dot" w:pos="9530"/>
            </w:tabs>
            <w:rPr>
              <w:rFonts w:asciiTheme="minorHAnsi" w:eastAsiaTheme="minorEastAsia" w:hAnsiTheme="minorHAnsi" w:cstheme="minorBidi"/>
              <w:noProof/>
              <w:kern w:val="2"/>
              <w:bdr w:val="none" w:sz="0" w:space="0" w:color="auto"/>
              <w14:ligatures w14:val="standardContextual"/>
            </w:rPr>
          </w:pPr>
          <w:hyperlink w:anchor="_Toc218193661" w:history="1">
            <w:r w:rsidRPr="00322992">
              <w:rPr>
                <w:rStyle w:val="Hyperlink"/>
                <w:noProof/>
              </w:rPr>
              <w:t>3.2.</w:t>
            </w:r>
            <w:r>
              <w:rPr>
                <w:rFonts w:asciiTheme="minorHAnsi" w:eastAsiaTheme="minorEastAsia" w:hAnsiTheme="minorHAnsi" w:cstheme="minorBidi"/>
                <w:noProof/>
                <w:kern w:val="2"/>
                <w:bdr w:val="none" w:sz="0" w:space="0" w:color="auto"/>
                <w14:ligatures w14:val="standardContextual"/>
              </w:rPr>
              <w:t xml:space="preserve">   </w:t>
            </w:r>
            <w:r w:rsidRPr="00322992">
              <w:rPr>
                <w:rStyle w:val="Hyperlink"/>
                <w:noProof/>
              </w:rPr>
              <w:t>Case 2 Violations at electric steel-smelting plant of Rustavi Steel LLC</w:t>
            </w:r>
            <w:r>
              <w:rPr>
                <w:noProof/>
                <w:webHidden/>
              </w:rPr>
              <w:tab/>
            </w:r>
            <w:r>
              <w:rPr>
                <w:noProof/>
                <w:webHidden/>
              </w:rPr>
              <w:fldChar w:fldCharType="begin"/>
            </w:r>
            <w:r>
              <w:rPr>
                <w:noProof/>
                <w:webHidden/>
              </w:rPr>
              <w:instrText xml:space="preserve"> PAGEREF _Toc218193661 \h </w:instrText>
            </w:r>
            <w:r>
              <w:rPr>
                <w:noProof/>
                <w:webHidden/>
              </w:rPr>
            </w:r>
            <w:r>
              <w:rPr>
                <w:noProof/>
                <w:webHidden/>
              </w:rPr>
              <w:fldChar w:fldCharType="separate"/>
            </w:r>
            <w:r>
              <w:rPr>
                <w:noProof/>
                <w:webHidden/>
              </w:rPr>
              <w:t>11</w:t>
            </w:r>
            <w:r>
              <w:rPr>
                <w:noProof/>
                <w:webHidden/>
              </w:rPr>
              <w:fldChar w:fldCharType="end"/>
            </w:r>
          </w:hyperlink>
        </w:p>
        <w:p w14:paraId="70C3AB28" w14:textId="48CE332D" w:rsidR="00677A14" w:rsidRDefault="00677A14" w:rsidP="00B0239E">
          <w:pPr>
            <w:pStyle w:val="TOC1"/>
            <w:tabs>
              <w:tab w:val="left" w:pos="480"/>
              <w:tab w:val="right" w:leader="dot" w:pos="9530"/>
            </w:tabs>
            <w:rPr>
              <w:rFonts w:asciiTheme="minorHAnsi" w:eastAsiaTheme="minorEastAsia" w:hAnsiTheme="minorHAnsi" w:cstheme="minorBidi"/>
              <w:noProof/>
              <w:kern w:val="2"/>
              <w:bdr w:val="none" w:sz="0" w:space="0" w:color="auto"/>
              <w14:ligatures w14:val="standardContextual"/>
            </w:rPr>
          </w:pPr>
          <w:hyperlink w:anchor="_Toc218193662" w:history="1">
            <w:r w:rsidRPr="00322992">
              <w:rPr>
                <w:rStyle w:val="Hyperlink"/>
                <w:noProof/>
              </w:rPr>
              <w:t>4.</w:t>
            </w:r>
            <w:r>
              <w:rPr>
                <w:rFonts w:asciiTheme="minorHAnsi" w:eastAsiaTheme="minorEastAsia" w:hAnsiTheme="minorHAnsi" w:cstheme="minorBidi"/>
                <w:noProof/>
                <w:kern w:val="2"/>
                <w:bdr w:val="none" w:sz="0" w:space="0" w:color="auto"/>
                <w14:ligatures w14:val="standardContextual"/>
              </w:rPr>
              <w:tab/>
            </w:r>
            <w:r w:rsidRPr="00322992">
              <w:rPr>
                <w:rStyle w:val="Hyperlink"/>
                <w:noProof/>
              </w:rPr>
              <w:t>Conclusion and recommendations</w:t>
            </w:r>
            <w:r>
              <w:rPr>
                <w:noProof/>
                <w:webHidden/>
              </w:rPr>
              <w:tab/>
            </w:r>
            <w:r>
              <w:rPr>
                <w:noProof/>
                <w:webHidden/>
              </w:rPr>
              <w:fldChar w:fldCharType="begin"/>
            </w:r>
            <w:r>
              <w:rPr>
                <w:noProof/>
                <w:webHidden/>
              </w:rPr>
              <w:instrText xml:space="preserve"> PAGEREF _Toc218193662 \h </w:instrText>
            </w:r>
            <w:r>
              <w:rPr>
                <w:noProof/>
                <w:webHidden/>
              </w:rPr>
            </w:r>
            <w:r>
              <w:rPr>
                <w:noProof/>
                <w:webHidden/>
              </w:rPr>
              <w:fldChar w:fldCharType="separate"/>
            </w:r>
            <w:r>
              <w:rPr>
                <w:noProof/>
                <w:webHidden/>
              </w:rPr>
              <w:t>13</w:t>
            </w:r>
            <w:r>
              <w:rPr>
                <w:noProof/>
                <w:webHidden/>
              </w:rPr>
              <w:fldChar w:fldCharType="end"/>
            </w:r>
          </w:hyperlink>
        </w:p>
        <w:p w14:paraId="78EB847C" w14:textId="1D8A1C2A" w:rsidR="005B3234" w:rsidRDefault="005B3234" w:rsidP="00B0239E">
          <w:r>
            <w:rPr>
              <w:b/>
              <w:bCs/>
              <w:noProof/>
            </w:rPr>
            <w:fldChar w:fldCharType="end"/>
          </w:r>
        </w:p>
      </w:sdtContent>
    </w:sdt>
    <w:p w14:paraId="4AA85BB0" w14:textId="77777777" w:rsidR="008769C4" w:rsidRPr="008769C4" w:rsidRDefault="008769C4" w:rsidP="00275107">
      <w:pPr>
        <w:pStyle w:val="BodyA"/>
        <w:spacing w:line="240" w:lineRule="auto"/>
        <w:jc w:val="both"/>
        <w:rPr>
          <w:rFonts w:ascii="Times New Roman" w:hAnsi="Times New Roman"/>
        </w:rPr>
      </w:pPr>
    </w:p>
    <w:p w14:paraId="4AA85BB1" w14:textId="77777777" w:rsidR="008769C4" w:rsidRDefault="008769C4" w:rsidP="00275107">
      <w:pPr>
        <w:pStyle w:val="BodyA"/>
        <w:spacing w:line="240" w:lineRule="auto"/>
        <w:jc w:val="both"/>
        <w:rPr>
          <w:rFonts w:ascii="Times New Roman" w:hAnsi="Times New Roman"/>
        </w:rPr>
      </w:pPr>
    </w:p>
    <w:p w14:paraId="62487ED2" w14:textId="03E2DC4E" w:rsidR="005B3234" w:rsidRDefault="008769C4" w:rsidP="00275107">
      <w:pPr>
        <w:pStyle w:val="BodyA"/>
        <w:spacing w:line="240" w:lineRule="auto"/>
        <w:jc w:val="both"/>
        <w:rPr>
          <w:rFonts w:ascii="Times New Roman" w:hAnsi="Times New Roman"/>
        </w:rPr>
      </w:pPr>
      <w:r w:rsidRPr="005B3234">
        <w:rPr>
          <w:rFonts w:ascii="Times New Roman" w:hAnsi="Times New Roman"/>
        </w:rPr>
        <w:t xml:space="preserve">Tbilisi                                                                                                               </w:t>
      </w:r>
      <w:r w:rsidR="000369D1">
        <w:rPr>
          <w:rFonts w:ascii="Times New Roman" w:hAnsi="Times New Roman"/>
        </w:rPr>
        <w:t xml:space="preserve">                      </w:t>
      </w:r>
      <w:r w:rsidRPr="005B3234">
        <w:rPr>
          <w:rFonts w:ascii="Times New Roman" w:hAnsi="Times New Roman"/>
        </w:rPr>
        <w:t xml:space="preserve"> </w:t>
      </w:r>
      <w:r w:rsidR="005B3234" w:rsidRPr="005B3234">
        <w:rPr>
          <w:rFonts w:ascii="Times New Roman" w:hAnsi="Times New Roman"/>
        </w:rPr>
        <w:t xml:space="preserve">02 </w:t>
      </w:r>
      <w:r w:rsidRPr="005B3234">
        <w:rPr>
          <w:rFonts w:ascii="Times New Roman" w:hAnsi="Times New Roman"/>
        </w:rPr>
        <w:t>January 202</w:t>
      </w:r>
      <w:r w:rsidR="00635853" w:rsidRPr="005B3234">
        <w:rPr>
          <w:rFonts w:ascii="Times New Roman" w:hAnsi="Times New Roman"/>
        </w:rPr>
        <w:t>5</w:t>
      </w:r>
    </w:p>
    <w:p w14:paraId="42B27FDB" w14:textId="77777777" w:rsidR="005B3234" w:rsidRDefault="005B3234" w:rsidP="00275107">
      <w:pPr>
        <w:pStyle w:val="BodyA"/>
        <w:spacing w:line="240" w:lineRule="auto"/>
        <w:jc w:val="both"/>
        <w:rPr>
          <w:rFonts w:ascii="Times New Roman" w:hAnsi="Times New Roman"/>
        </w:rPr>
      </w:pPr>
    </w:p>
    <w:p w14:paraId="75857023" w14:textId="2C13EAFC" w:rsidR="00BB7751" w:rsidRPr="00591637" w:rsidRDefault="00BB7751" w:rsidP="00275107">
      <w:pPr>
        <w:pStyle w:val="BodyA"/>
        <w:spacing w:line="240" w:lineRule="auto"/>
        <w:jc w:val="both"/>
        <w:rPr>
          <w:rFonts w:ascii="Times New Roman" w:hAnsi="Times New Roman" w:cs="Times New Roman"/>
          <w:sz w:val="24"/>
          <w:szCs w:val="24"/>
        </w:rPr>
      </w:pPr>
      <w:r w:rsidRPr="00801389">
        <w:rPr>
          <w:rFonts w:ascii="Times New Roman" w:hAnsi="Times New Roman" w:cs="Times New Roman"/>
          <w:sz w:val="24"/>
          <w:szCs w:val="24"/>
        </w:rPr>
        <w:lastRenderedPageBreak/>
        <w:t xml:space="preserve">The Georgian Trade Unions Confederation (GTUC) is a non-profit (non-commercial) legal entity operating in accordance with the Constitution of Georgia, applicable international standards, Georgian national legislation, and its Statutes. GTUC represents </w:t>
      </w:r>
      <w:r w:rsidR="007F470E" w:rsidRPr="00801389">
        <w:rPr>
          <w:rFonts w:ascii="Times New Roman" w:hAnsi="Times New Roman" w:cs="Times New Roman"/>
          <w:sz w:val="24"/>
          <w:szCs w:val="24"/>
        </w:rPr>
        <w:t>18-member</w:t>
      </w:r>
      <w:r w:rsidRPr="00801389">
        <w:rPr>
          <w:rFonts w:ascii="Times New Roman" w:hAnsi="Times New Roman" w:cs="Times New Roman"/>
          <w:sz w:val="24"/>
          <w:szCs w:val="24"/>
        </w:rPr>
        <w:t xml:space="preserve"> sectoral trade union organizations</w:t>
      </w:r>
      <w:r w:rsidR="0028230C" w:rsidRPr="00801389">
        <w:rPr>
          <w:rFonts w:ascii="Times New Roman" w:hAnsi="Times New Roman" w:cs="Times New Roman"/>
          <w:sz w:val="24"/>
          <w:szCs w:val="24"/>
        </w:rPr>
        <w:t xml:space="preserve"> and </w:t>
      </w:r>
      <w:r w:rsidR="00D82C33" w:rsidRPr="00801389">
        <w:rPr>
          <w:rFonts w:ascii="Times New Roman" w:hAnsi="Times New Roman" w:cs="Times New Roman"/>
          <w:sz w:val="24"/>
          <w:szCs w:val="24"/>
        </w:rPr>
        <w:t>116 707</w:t>
      </w:r>
      <w:r w:rsidR="0028230C" w:rsidRPr="00801389">
        <w:rPr>
          <w:rFonts w:ascii="Times New Roman" w:hAnsi="Times New Roman" w:cs="Times New Roman"/>
          <w:sz w:val="24"/>
          <w:szCs w:val="24"/>
        </w:rPr>
        <w:t xml:space="preserve"> workers in Georgia</w:t>
      </w:r>
      <w:r w:rsidRPr="00801389">
        <w:rPr>
          <w:rFonts w:ascii="Times New Roman" w:hAnsi="Times New Roman" w:cs="Times New Roman"/>
          <w:sz w:val="24"/>
          <w:szCs w:val="24"/>
        </w:rPr>
        <w:t xml:space="preserve">. This report is prepared </w:t>
      </w:r>
      <w:r w:rsidR="000369D1" w:rsidRPr="00801389">
        <w:rPr>
          <w:rFonts w:ascii="Times New Roman" w:hAnsi="Times New Roman" w:cs="Times New Roman"/>
          <w:sz w:val="24"/>
          <w:szCs w:val="24"/>
        </w:rPr>
        <w:t>based on</w:t>
      </w:r>
      <w:r w:rsidRPr="00801389">
        <w:rPr>
          <w:rFonts w:ascii="Times New Roman" w:hAnsi="Times New Roman" w:cs="Times New Roman"/>
          <w:sz w:val="24"/>
          <w:szCs w:val="24"/>
        </w:rPr>
        <w:t xml:space="preserve"> the views, experiences, </w:t>
      </w:r>
      <w:r w:rsidRPr="00591637">
        <w:rPr>
          <w:rFonts w:ascii="Times New Roman" w:hAnsi="Times New Roman" w:cs="Times New Roman"/>
          <w:sz w:val="24"/>
          <w:szCs w:val="24"/>
        </w:rPr>
        <w:t>and practices of GTUC and its sectoral member organizations.</w:t>
      </w:r>
    </w:p>
    <w:p w14:paraId="647D1897" w14:textId="5ABF6C6E" w:rsidR="00BB7751" w:rsidRPr="00591637" w:rsidRDefault="00BB7751" w:rsidP="00591637">
      <w:pPr>
        <w:pStyle w:val="BodyA"/>
        <w:spacing w:line="256" w:lineRule="auto"/>
        <w:jc w:val="both"/>
        <w:rPr>
          <w:rFonts w:ascii="Times New Roman" w:hAnsi="Times New Roman" w:cs="Times New Roman"/>
          <w:sz w:val="24"/>
          <w:szCs w:val="24"/>
        </w:rPr>
      </w:pPr>
      <w:r w:rsidRPr="00591637">
        <w:rPr>
          <w:rFonts w:ascii="Times New Roman" w:hAnsi="Times New Roman" w:cs="Times New Roman"/>
          <w:sz w:val="24"/>
          <w:szCs w:val="24"/>
        </w:rPr>
        <w:t>The primary objectives of GTUC are to promote the further democratization of the country’s economy, society, and state; to support the development of a social and democratic state; to protect human rights and fundamental freedoms and ensure the independence of trade unions; to promote fair and healthy competition in the labor market; to conduct collective bargaining negotiations and conclude collective agreements; to foster civilized labor relations; to protect the labor rights of children and women; to organize workers’ strikes, rallies, and demonstrations; and to promote gender equality.</w:t>
      </w:r>
    </w:p>
    <w:p w14:paraId="4AA85BB6" w14:textId="478278D8" w:rsidR="00912052" w:rsidRDefault="005B3234" w:rsidP="00B0239E">
      <w:pPr>
        <w:pStyle w:val="Heading1"/>
        <w:numPr>
          <w:ilvl w:val="0"/>
          <w:numId w:val="35"/>
        </w:numPr>
        <w:rPr>
          <w:bdr w:val="none" w:sz="0" w:space="0" w:color="auto"/>
        </w:rPr>
      </w:pPr>
      <w:bookmarkStart w:id="0" w:name="_Toc218193657"/>
      <w:r>
        <w:rPr>
          <w:bdr w:val="none" w:sz="0" w:space="0" w:color="auto"/>
        </w:rPr>
        <w:t>Introduction</w:t>
      </w:r>
      <w:bookmarkEnd w:id="0"/>
    </w:p>
    <w:p w14:paraId="1F5E4F13" w14:textId="77777777" w:rsidR="00594529" w:rsidRPr="00E26AEB" w:rsidRDefault="00594529" w:rsidP="00591637">
      <w:pPr>
        <w:jc w:val="both"/>
        <w:rPr>
          <w:rFonts w:cs="Arial Unicode MS"/>
          <w:color w:val="000000"/>
          <w:u w:color="000000"/>
        </w:rPr>
      </w:pPr>
    </w:p>
    <w:p w14:paraId="5E160D05" w14:textId="3C51CB5E" w:rsidR="00594529" w:rsidRDefault="00594529" w:rsidP="00D82C33">
      <w:pPr>
        <w:jc w:val="both"/>
        <w:rPr>
          <w:rFonts w:cs="Arial Unicode MS"/>
          <w:color w:val="000000"/>
          <w:u w:color="000000"/>
        </w:rPr>
      </w:pPr>
      <w:r w:rsidRPr="00594529">
        <w:rPr>
          <w:rFonts w:cs="Arial Unicode MS"/>
          <w:color w:val="000000"/>
          <w:u w:color="000000"/>
        </w:rPr>
        <w:t>In September 2020, the Parliament of Georgia adopted significant legislative amendments to the Labor Code of Georgia and enacted a new Law on Labor Inspection. The initial draft legislation was prepared in 2019. The Georgian Trade Unions Confederation was actively involved in the legislative process and submitted more than fifty recommendations aimed at strengthening Georgian labor legislation, including provisions on equality and non-discrimination, labor rights, occupational safety and health standards, and effective enforcement mechanisms.</w:t>
      </w:r>
      <w:r w:rsidR="00D14CE4">
        <w:rPr>
          <w:rFonts w:cs="Arial Unicode MS"/>
          <w:color w:val="000000"/>
          <w:u w:color="000000"/>
        </w:rPr>
        <w:t xml:space="preserve"> </w:t>
      </w:r>
      <w:r w:rsidRPr="00594529">
        <w:rPr>
          <w:rFonts w:cs="Arial Unicode MS"/>
          <w:color w:val="000000"/>
          <w:u w:color="000000"/>
        </w:rPr>
        <w:t>At the initial stage of the law-making process, all recommendations proposed by GTUC were incorporated into the draft. However, following pressure from business associations and their lobbyists, several critical provisions were subsequently removed from the draft prior to its final adoption. Although the adopted legislation represents an improvement in the overall framework for the protection of workers’ rights, substantial gaps remain and require further legislative amendments.</w:t>
      </w:r>
    </w:p>
    <w:p w14:paraId="1879FF21" w14:textId="77777777" w:rsidR="00591637" w:rsidRPr="00E26AEB" w:rsidRDefault="00591637" w:rsidP="00D82C33">
      <w:pPr>
        <w:jc w:val="both"/>
        <w:rPr>
          <w:rFonts w:cs="Arial Unicode MS"/>
          <w:color w:val="000000"/>
          <w:u w:color="000000"/>
        </w:rPr>
      </w:pPr>
    </w:p>
    <w:p w14:paraId="0EFE556E" w14:textId="77777777" w:rsidR="00594529" w:rsidRDefault="00594529" w:rsidP="00D82C33">
      <w:pPr>
        <w:jc w:val="both"/>
        <w:rPr>
          <w:rFonts w:cs="Arial Unicode MS"/>
          <w:color w:val="000000"/>
          <w:u w:color="000000"/>
        </w:rPr>
      </w:pPr>
      <w:r w:rsidRPr="00594529">
        <w:rPr>
          <w:rFonts w:cs="Arial Unicode MS"/>
          <w:color w:val="000000"/>
          <w:u w:color="000000"/>
        </w:rPr>
        <w:t xml:space="preserve">The revised legislation introduced a number of improved provisions, including, </w:t>
      </w:r>
      <w:r w:rsidRPr="00594529">
        <w:rPr>
          <w:rFonts w:cs="Arial Unicode MS"/>
          <w:i/>
          <w:iCs/>
          <w:color w:val="000000"/>
          <w:u w:color="000000"/>
        </w:rPr>
        <w:t>inter alia,</w:t>
      </w:r>
      <w:r w:rsidRPr="00594529">
        <w:rPr>
          <w:rFonts w:cs="Arial Unicode MS"/>
          <w:color w:val="000000"/>
          <w:u w:color="000000"/>
        </w:rPr>
        <w:t xml:space="preserve"> regulations on working hours; protection of workers’ rights in cases of mass layoffs and changes in company ownership; the introduction of parental leave; the expansion of the mandate of the State Labor Inspectorate to monitor compliance with all labor rights, beyond occupational safety and health (OSH); the introduction of legal definitions of direct and indirect discrimination and harassment; the prohibition of unequal pay for equal work; regulation of collective redundancies; requirements for information and consultation at the workplace; and clearer rules governing remuneration.</w:t>
      </w:r>
    </w:p>
    <w:p w14:paraId="64E9354F" w14:textId="77777777" w:rsidR="00591637" w:rsidRPr="00E26AEB" w:rsidRDefault="00591637" w:rsidP="00D82C33">
      <w:pPr>
        <w:jc w:val="both"/>
        <w:rPr>
          <w:rFonts w:cs="Arial Unicode MS"/>
          <w:color w:val="000000"/>
          <w:u w:color="000000"/>
        </w:rPr>
      </w:pPr>
    </w:p>
    <w:p w14:paraId="4E2023EB" w14:textId="77777777" w:rsidR="00594529" w:rsidRDefault="00594529" w:rsidP="00D82C33">
      <w:pPr>
        <w:jc w:val="both"/>
        <w:rPr>
          <w:rFonts w:cs="Arial Unicode MS"/>
          <w:color w:val="000000"/>
          <w:u w:color="000000"/>
        </w:rPr>
      </w:pPr>
      <w:r w:rsidRPr="00594529">
        <w:rPr>
          <w:rFonts w:cs="Arial Unicode MS"/>
          <w:color w:val="000000"/>
          <w:u w:color="000000"/>
        </w:rPr>
        <w:t>One of the most significant innovations of the reform is the introduction of a new chapter in the Labor Code establishing the labor inspection system and expanding its mandate to monitor the enforcement of labor rights. The Labor Inspectorate was granted both preventive and enforcement powers, including the authority to impose administrative sanctions on legal entities and individuals for violations of labor rights.</w:t>
      </w:r>
    </w:p>
    <w:p w14:paraId="4C2F5AC5" w14:textId="77777777" w:rsidR="00591637" w:rsidRPr="00E26AEB" w:rsidRDefault="00591637" w:rsidP="00D82C33">
      <w:pPr>
        <w:jc w:val="both"/>
        <w:rPr>
          <w:rFonts w:cs="Arial Unicode MS"/>
          <w:color w:val="000000"/>
          <w:u w:color="000000"/>
        </w:rPr>
      </w:pPr>
    </w:p>
    <w:p w14:paraId="4C37B062" w14:textId="368F8DA2" w:rsidR="00594529" w:rsidRDefault="00594529" w:rsidP="00D82C33">
      <w:pPr>
        <w:jc w:val="both"/>
        <w:rPr>
          <w:rFonts w:cs="Arial Unicode MS"/>
          <w:color w:val="000000"/>
          <w:u w:color="000000"/>
        </w:rPr>
      </w:pPr>
      <w:r w:rsidRPr="00594529">
        <w:rPr>
          <w:rFonts w:cs="Arial Unicode MS"/>
          <w:color w:val="000000"/>
          <w:u w:color="000000"/>
        </w:rPr>
        <w:t>Notwithstanding these positive developments, Georgian labor legislation remains only partially aligned with international labor standards, including the International Covenant on Economic, Social and Cultural Rights. It fails to ensure adequate protection of workers’ rights in several key areas, such as working time and overtime regulation, maternity protection, the gender pay gap, the right to strike, and the establishment of an effective minimum wage.</w:t>
      </w:r>
      <w:r w:rsidR="00D14CE4">
        <w:rPr>
          <w:rFonts w:cs="Arial Unicode MS"/>
          <w:color w:val="000000"/>
          <w:u w:color="000000"/>
        </w:rPr>
        <w:t xml:space="preserve"> </w:t>
      </w:r>
      <w:r w:rsidRPr="00594529">
        <w:rPr>
          <w:rFonts w:cs="Arial Unicode MS"/>
          <w:color w:val="000000"/>
          <w:u w:color="000000"/>
        </w:rPr>
        <w:t>Furthermore, in December 2025, Georgia adopted additional legislative amendments that are inconsistent with fundamental international standards, including in the field of labor rights, notably through amendments to the Law on Civil Service.</w:t>
      </w:r>
    </w:p>
    <w:p w14:paraId="24AC26BE" w14:textId="77777777" w:rsidR="00591637" w:rsidRPr="00594529" w:rsidRDefault="00591637" w:rsidP="00D82C33">
      <w:pPr>
        <w:jc w:val="both"/>
        <w:rPr>
          <w:rFonts w:cs="Arial Unicode MS"/>
          <w:color w:val="000000"/>
          <w:u w:color="000000"/>
        </w:rPr>
      </w:pPr>
    </w:p>
    <w:p w14:paraId="56E320E4" w14:textId="3E3110A1" w:rsidR="00AB04C5" w:rsidRPr="00801389" w:rsidRDefault="006716E8" w:rsidP="00D14CE4">
      <w:pPr>
        <w:jc w:val="both"/>
      </w:pPr>
      <w:r w:rsidRPr="00E26AEB">
        <w:rPr>
          <w:rFonts w:cs="Arial Unicode MS"/>
          <w:color w:val="000000"/>
          <w:u w:color="000000"/>
        </w:rPr>
        <w:t xml:space="preserve">The GTUC considers that the amendments to the Law of Georgia on Public Service adopted at the end of </w:t>
      </w:r>
      <w:r w:rsidR="00F8536C">
        <w:rPr>
          <w:rFonts w:cs="Arial Unicode MS"/>
          <w:color w:val="000000"/>
          <w:u w:color="000000"/>
        </w:rPr>
        <w:t>2024</w:t>
      </w:r>
      <w:r w:rsidRPr="00E26AEB">
        <w:rPr>
          <w:rFonts w:cs="Arial Unicode MS"/>
          <w:color w:val="000000"/>
          <w:u w:color="000000"/>
        </w:rPr>
        <w:t xml:space="preserve"> have significantly weakened the guarantees afforded to public servants. As a result, these amendments are inconsistent with fundamental international </w:t>
      </w:r>
      <w:proofErr w:type="spellStart"/>
      <w:r w:rsidRPr="00E26AEB">
        <w:rPr>
          <w:rFonts w:cs="Arial Unicode MS"/>
          <w:color w:val="000000"/>
          <w:u w:color="000000"/>
        </w:rPr>
        <w:t>labour</w:t>
      </w:r>
      <w:proofErr w:type="spellEnd"/>
      <w:r w:rsidRPr="00E26AEB">
        <w:rPr>
          <w:rFonts w:cs="Arial Unicode MS"/>
          <w:color w:val="000000"/>
          <w:u w:color="000000"/>
        </w:rPr>
        <w:t xml:space="preserve"> standards, including freedom of association and the right to collective bargaining, as well as with Georgia’s obligations under the Association Agreement with the European Union, the Constitution of Georgia, and the established case law of the Constitutional Court and the general courts of Georgia.</w:t>
      </w:r>
      <w:r w:rsidR="00D14CE4">
        <w:rPr>
          <w:rFonts w:cs="Arial Unicode MS"/>
          <w:color w:val="000000"/>
          <w:u w:color="000000"/>
        </w:rPr>
        <w:t xml:space="preserve"> </w:t>
      </w:r>
      <w:r w:rsidRPr="006716E8">
        <w:rPr>
          <w:rFonts w:cs="Arial Unicode MS"/>
          <w:color w:val="000000"/>
          <w:u w:color="000000"/>
        </w:rPr>
        <w:t>Furthermore, the most representative workers’ organization in the country</w:t>
      </w:r>
      <w:r w:rsidRPr="00E26AEB">
        <w:rPr>
          <w:rFonts w:cs="Arial Unicode MS"/>
          <w:color w:val="000000"/>
          <w:u w:color="000000"/>
        </w:rPr>
        <w:t xml:space="preserve">, </w:t>
      </w:r>
      <w:r w:rsidRPr="006716E8">
        <w:rPr>
          <w:rFonts w:cs="Arial Unicode MS"/>
          <w:color w:val="000000"/>
          <w:u w:color="000000"/>
        </w:rPr>
        <w:t>the Georgian Trade Unions Confederation</w:t>
      </w:r>
      <w:r w:rsidRPr="00E26AEB">
        <w:rPr>
          <w:rFonts w:cs="Arial Unicode MS"/>
          <w:color w:val="000000"/>
          <w:u w:color="000000"/>
        </w:rPr>
        <w:t xml:space="preserve">, </w:t>
      </w:r>
      <w:r w:rsidRPr="006716E8">
        <w:rPr>
          <w:rFonts w:cs="Arial Unicode MS"/>
          <w:color w:val="000000"/>
          <w:u w:color="000000"/>
        </w:rPr>
        <w:t xml:space="preserve">was excluded from the process of drafting the amendments. This omission constitutes a violation of fundamental International Labour Organization standards, including the requirements of ILO Convention No. 144 on Tripartite Consultation (International Labour Standards), ratified by Georgia, which obliges member States to ensure effective consultations with employers’ organizations and trade unions on </w:t>
      </w:r>
      <w:proofErr w:type="spellStart"/>
      <w:r w:rsidRPr="006716E8">
        <w:rPr>
          <w:rFonts w:cs="Arial Unicode MS"/>
          <w:color w:val="000000"/>
          <w:u w:color="000000"/>
        </w:rPr>
        <w:t>labour</w:t>
      </w:r>
      <w:proofErr w:type="spellEnd"/>
      <w:r w:rsidRPr="006716E8">
        <w:rPr>
          <w:rFonts w:cs="Arial Unicode MS"/>
          <w:color w:val="000000"/>
          <w:u w:color="000000"/>
        </w:rPr>
        <w:t>-related matters.</w:t>
      </w:r>
      <w:r w:rsidR="00AB04C5">
        <w:rPr>
          <w:rFonts w:cs="Arial Unicode MS"/>
          <w:color w:val="000000"/>
          <w:u w:color="000000"/>
        </w:rPr>
        <w:t xml:space="preserve"> </w:t>
      </w:r>
      <w:r w:rsidR="00AB04C5" w:rsidRPr="00801389">
        <w:rPr>
          <w:color w:val="000000"/>
          <w:u w:color="000000"/>
        </w:rPr>
        <w:t>In addition, we wish to underline the</w:t>
      </w:r>
      <w:r w:rsidR="00C733AA" w:rsidRPr="00801389">
        <w:rPr>
          <w:color w:val="000000"/>
          <w:u w:color="000000"/>
        </w:rPr>
        <w:t xml:space="preserve"> lack of adequate dialogue and consultations over the need</w:t>
      </w:r>
      <w:r w:rsidR="00AB04C5" w:rsidRPr="00801389">
        <w:rPr>
          <w:color w:val="000000"/>
          <w:u w:color="000000"/>
        </w:rPr>
        <w:t xml:space="preserve"> to ratify the</w:t>
      </w:r>
      <w:r w:rsidR="00AB04C5" w:rsidRPr="00801389">
        <w:t xml:space="preserve"> ILO Conventions relevant to the rights covered by Article 8 ICESCR such as the ILO Collective Bargaining Convention, No. 154 and ILO Workers’ Representatives Convention No. 134</w:t>
      </w:r>
      <w:r w:rsidR="00B54492" w:rsidRPr="00801389">
        <w:t xml:space="preserve">. The Government of Georgia should be called upon to urgently engage in such consultations with trade unions. </w:t>
      </w:r>
      <w:r w:rsidR="006D7BB2" w:rsidRPr="00801389">
        <w:t>We also recall that Georgia has ratified a very low number of ILO Conventions</w:t>
      </w:r>
      <w:r w:rsidR="00245593" w:rsidRPr="00801389">
        <w:t xml:space="preserve"> (only 8 ou</w:t>
      </w:r>
      <w:r w:rsidR="001A2F17" w:rsidRPr="00801389">
        <w:t>t</w:t>
      </w:r>
      <w:r w:rsidR="00245593" w:rsidRPr="00801389">
        <w:t xml:space="preserve"> to 10 fundamental Conventions, 2 out of 4 governance Conventions and only 9 out of 178 technical Conventions)</w:t>
      </w:r>
      <w:r w:rsidR="001A2F17" w:rsidRPr="00801389">
        <w:t>.</w:t>
      </w:r>
      <w:r w:rsidR="001A2F17" w:rsidRPr="00801389">
        <w:rPr>
          <w:rStyle w:val="FootnoteReference"/>
        </w:rPr>
        <w:footnoteReference w:id="2"/>
      </w:r>
      <w:r w:rsidR="001A2F17" w:rsidRPr="00801389">
        <w:t xml:space="preserve"> This low number of ratifications of international </w:t>
      </w:r>
      <w:proofErr w:type="spellStart"/>
      <w:r w:rsidR="001A2F17" w:rsidRPr="00801389">
        <w:t>labour</w:t>
      </w:r>
      <w:proofErr w:type="spellEnd"/>
      <w:r w:rsidR="001A2F17" w:rsidRPr="00801389">
        <w:t xml:space="preserve"> standards containing minimum </w:t>
      </w:r>
      <w:proofErr w:type="spellStart"/>
      <w:r w:rsidR="001A2F17" w:rsidRPr="00801389">
        <w:t>labour</w:t>
      </w:r>
      <w:proofErr w:type="spellEnd"/>
      <w:r w:rsidR="001A2F17" w:rsidRPr="00801389">
        <w:t xml:space="preserve"> rights affects </w:t>
      </w:r>
      <w:r w:rsidR="00A653D1" w:rsidRPr="00801389">
        <w:t>protection of these rights, and consequently affects compliance with</w:t>
      </w:r>
      <w:r w:rsidR="003104CE" w:rsidRPr="00801389">
        <w:t xml:space="preserve"> many provisions of the ICESCR, </w:t>
      </w:r>
      <w:r w:rsidR="00801389" w:rsidRPr="00801389">
        <w:t>including</w:t>
      </w:r>
      <w:r w:rsidR="00A653D1" w:rsidRPr="00801389">
        <w:t xml:space="preserve"> Articles 6</w:t>
      </w:r>
      <w:r w:rsidR="003104CE" w:rsidRPr="00801389">
        <w:t>-13</w:t>
      </w:r>
      <w:r w:rsidR="00A653D1" w:rsidRPr="00801389">
        <w:t xml:space="preserve"> ICESCR.</w:t>
      </w:r>
    </w:p>
    <w:p w14:paraId="4174473C" w14:textId="77777777" w:rsidR="00245593" w:rsidRDefault="00245593" w:rsidP="00D14CE4">
      <w:pPr>
        <w:jc w:val="both"/>
        <w:rPr>
          <w:rFonts w:ascii="Sylfaen" w:hAnsi="Sylfaen" w:cs="Sylfaen"/>
        </w:rPr>
      </w:pPr>
    </w:p>
    <w:p w14:paraId="4AA85BC6" w14:textId="1B464EF9" w:rsidR="00912052" w:rsidRPr="002647CB" w:rsidRDefault="00243A69" w:rsidP="00B0239E">
      <w:pPr>
        <w:pStyle w:val="Heading1"/>
        <w:numPr>
          <w:ilvl w:val="0"/>
          <w:numId w:val="35"/>
        </w:numPr>
      </w:pPr>
      <w:bookmarkStart w:id="1" w:name="_Toc218193658"/>
      <w:r w:rsidRPr="002647CB">
        <w:t>Trade unions rights</w:t>
      </w:r>
      <w:bookmarkEnd w:id="1"/>
    </w:p>
    <w:p w14:paraId="4AA85BC7" w14:textId="77777777" w:rsidR="00912052" w:rsidRPr="00A04D6C" w:rsidRDefault="00912052" w:rsidP="00B0239E">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40"/>
        </w:tabs>
        <w:jc w:val="both"/>
        <w:rPr>
          <w:sz w:val="22"/>
          <w:szCs w:val="22"/>
          <w:highlight w:val="yellow"/>
        </w:rPr>
      </w:pPr>
    </w:p>
    <w:p w14:paraId="7A166806" w14:textId="240BE707" w:rsidR="00870F9E" w:rsidRPr="00801389" w:rsidRDefault="00DA12D3" w:rsidP="00876C7D">
      <w:pPr>
        <w:jc w:val="both"/>
      </w:pPr>
      <w:r w:rsidRPr="00801389">
        <w:t xml:space="preserve">Article 8 of the International Covenant on Economic, Social and Cultural Rights (ICESCR) guarantees the right to form and join trade unions, the right of trade unions to function freely, and the right to strike, provided that such action complies with lawful restrictions prescribed by national legislation pursuant to Article 8(1)(d). Article 8(3) of the Covenant further prohibits States Parties from using the Covenant as a basis for limiting or undermining rights guaranteed under ILO Convention No. 87 on Freedom of Association and Protection of the Right to </w:t>
      </w:r>
      <w:proofErr w:type="spellStart"/>
      <w:r w:rsidRPr="00801389">
        <w:t>Organise</w:t>
      </w:r>
      <w:proofErr w:type="spellEnd"/>
      <w:r w:rsidRPr="00801389">
        <w:t>.</w:t>
      </w:r>
      <w:r w:rsidR="00D14CE4" w:rsidRPr="00801389">
        <w:t xml:space="preserve"> </w:t>
      </w:r>
      <w:r w:rsidRPr="00801389">
        <w:t>The Labour Code of Georgia and the Organic Law of Georgia on Trade Unions formally guarantee the right to collective bargaining. Amendments to the Labour Code adopted in 2020 introduced an important procedural safeguard by allowing workers to apply to the courts and/or the Labour Inspection Service in cases of non-compliance with obligations arising from collective agreements. This constitutes a positive legislative development.</w:t>
      </w:r>
      <w:r w:rsidR="00533BD6" w:rsidRPr="00801389">
        <w:t xml:space="preserve"> </w:t>
      </w:r>
      <w:r w:rsidRPr="00801389">
        <w:t xml:space="preserve">However, in practice, collective bargaining remains insufficiently encouraged and supported by the State, and the legislative reforms have not yet produced a tangible positive impact. </w:t>
      </w:r>
    </w:p>
    <w:p w14:paraId="51992E72" w14:textId="77777777" w:rsidR="00870F9E" w:rsidRPr="00801389" w:rsidRDefault="00870F9E" w:rsidP="00876C7D">
      <w:pPr>
        <w:jc w:val="both"/>
      </w:pPr>
    </w:p>
    <w:p w14:paraId="4BDA90EF" w14:textId="3BE4EF10" w:rsidR="00870F9E" w:rsidRPr="00801389" w:rsidRDefault="00D5703F" w:rsidP="00876C7D">
      <w:pPr>
        <w:jc w:val="both"/>
        <w:rPr>
          <w:b/>
          <w:bCs/>
        </w:rPr>
      </w:pPr>
      <w:r w:rsidRPr="00B532C1">
        <w:rPr>
          <w:b/>
          <w:bCs/>
        </w:rPr>
        <w:t>2.1</w:t>
      </w:r>
      <w:r w:rsidRPr="00801389">
        <w:rPr>
          <w:b/>
          <w:bCs/>
        </w:rPr>
        <w:t xml:space="preserve"> </w:t>
      </w:r>
      <w:r w:rsidR="00870F9E" w:rsidRPr="00801389">
        <w:rPr>
          <w:b/>
          <w:bCs/>
        </w:rPr>
        <w:t>Lack of promotion</w:t>
      </w:r>
      <w:r w:rsidR="00503A44" w:rsidRPr="00801389">
        <w:rPr>
          <w:b/>
          <w:bCs/>
        </w:rPr>
        <w:t xml:space="preserve"> and enforcement </w:t>
      </w:r>
      <w:r w:rsidR="00870F9E" w:rsidRPr="00801389">
        <w:rPr>
          <w:b/>
          <w:bCs/>
        </w:rPr>
        <w:t xml:space="preserve">of collective bargaining </w:t>
      </w:r>
    </w:p>
    <w:p w14:paraId="7C574FE0" w14:textId="63E4F068" w:rsidR="00DA12D3" w:rsidRPr="003F07FF" w:rsidRDefault="00DA12D3" w:rsidP="002630FD">
      <w:pPr>
        <w:jc w:val="both"/>
      </w:pPr>
      <w:r w:rsidRPr="00801389">
        <w:t>During the reporting period, numerous cases were documented in which employers refused to engage in negotiations with employees and their trade union representatives in the context of collective bargaining, strikes, and mediation procedures</w:t>
      </w:r>
      <w:r w:rsidRPr="003F07FF">
        <w:t>.</w:t>
      </w:r>
      <w:r w:rsidR="000E21AC" w:rsidRPr="003F07FF">
        <w:t xml:space="preserve"> Accordingly, </w:t>
      </w:r>
      <w:r w:rsidR="008B782B" w:rsidRPr="003F07FF">
        <w:t xml:space="preserve">the number of collective agreements in force remains dramatically low, with </w:t>
      </w:r>
      <w:r w:rsidR="00043CBF" w:rsidRPr="003F07FF">
        <w:t xml:space="preserve">only 1 single </w:t>
      </w:r>
      <w:r w:rsidR="00E815DA" w:rsidRPr="003F07FF">
        <w:t xml:space="preserve">CBA at the sectoral level and </w:t>
      </w:r>
      <w:r w:rsidR="008B782B" w:rsidRPr="003F07FF">
        <w:t>only</w:t>
      </w:r>
      <w:r w:rsidR="003549CC" w:rsidRPr="003F07FF">
        <w:t xml:space="preserve"> 57 enterprises in the whole country having enterprise-level CBAs in place</w:t>
      </w:r>
      <w:r w:rsidR="00DB359C" w:rsidRPr="003F07FF">
        <w:t xml:space="preserve">. </w:t>
      </w:r>
      <w:r w:rsidR="003D7145" w:rsidRPr="003F07FF">
        <w:t>In total, these CBAs cover merely</w:t>
      </w:r>
      <w:r w:rsidR="003549CC" w:rsidRPr="003F07FF">
        <w:t xml:space="preserve"> </w:t>
      </w:r>
      <w:r w:rsidR="001941B7" w:rsidRPr="003F07FF">
        <w:lastRenderedPageBreak/>
        <w:t>around 109 727 wo</w:t>
      </w:r>
      <w:r w:rsidR="00B53EFC" w:rsidRPr="003F07FF">
        <w:t>rk</w:t>
      </w:r>
      <w:r w:rsidR="001941B7" w:rsidRPr="003F07FF">
        <w:t xml:space="preserve">ers </w:t>
      </w:r>
      <w:r w:rsidR="003D7145" w:rsidRPr="003F07FF">
        <w:t>in Georgia</w:t>
      </w:r>
      <w:r w:rsidR="00453CA0" w:rsidRPr="003F07FF">
        <w:t xml:space="preserve">, </w:t>
      </w:r>
      <w:r w:rsidR="00B53EFC" w:rsidRPr="003F07FF">
        <w:t xml:space="preserve">which is only around 11,9% </w:t>
      </w:r>
      <w:r w:rsidR="00B532C1" w:rsidRPr="003F07FF">
        <w:t>of workers</w:t>
      </w:r>
      <w:r w:rsidR="009115C1" w:rsidRPr="003F07FF">
        <w:t xml:space="preserve"> engaged on basis of employment contracts (that is, not including workers</w:t>
      </w:r>
      <w:r w:rsidR="002630FD" w:rsidRPr="003F07FF">
        <w:t xml:space="preserve"> in civil contracts or those self-employed). </w:t>
      </w:r>
    </w:p>
    <w:p w14:paraId="60CE5B97" w14:textId="77777777" w:rsidR="00DA12D3" w:rsidRPr="00B36A53" w:rsidRDefault="00DA12D3" w:rsidP="00096A8C">
      <w:pPr>
        <w:jc w:val="both"/>
      </w:pPr>
    </w:p>
    <w:p w14:paraId="3CA04421" w14:textId="4707666E" w:rsidR="00DA12D3" w:rsidRPr="00B36A53" w:rsidRDefault="00DA12D3" w:rsidP="00096A8C">
      <w:pPr>
        <w:jc w:val="both"/>
      </w:pPr>
      <w:r w:rsidRPr="00B36A53">
        <w:t xml:space="preserve">Furthermore, the enforcement of collective agreements through judicial or </w:t>
      </w:r>
      <w:proofErr w:type="spellStart"/>
      <w:r w:rsidRPr="00B36A53">
        <w:t>labour</w:t>
      </w:r>
      <w:proofErr w:type="spellEnd"/>
      <w:r w:rsidRPr="00B36A53">
        <w:t xml:space="preserve"> inspection mech</w:t>
      </w:r>
      <w:r w:rsidRPr="00B36A53">
        <w:t>anisms remains underdeveloped, primarily due to the very limited number of collective agreements in existence</w:t>
      </w:r>
      <w:r w:rsidR="00211D84" w:rsidRPr="00B36A53">
        <w:t xml:space="preserve">, as well as other </w:t>
      </w:r>
      <w:r w:rsidR="00A61A81" w:rsidRPr="00B36A53">
        <w:t>barriers</w:t>
      </w:r>
      <w:r w:rsidRPr="00B36A53">
        <w:t>.</w:t>
      </w:r>
      <w:r w:rsidR="00F47A7B" w:rsidRPr="00B36A53">
        <w:t xml:space="preserve"> </w:t>
      </w:r>
      <w:r w:rsidR="00951E10" w:rsidRPr="00B36A53">
        <w:t xml:space="preserve">During the reporting period, cases were observed in which employers </w:t>
      </w:r>
      <w:r w:rsidR="00951E10" w:rsidRPr="00096A8C">
        <w:t>unilaterally failed to comply with collective agreements</w:t>
      </w:r>
      <w:r w:rsidR="00951E10" w:rsidRPr="00B36A53">
        <w:t xml:space="preserve"> concluded with trade unions, even where such agreements were of an open-ended nature</w:t>
      </w:r>
      <w:r w:rsidR="00D26B00" w:rsidRPr="00B36A53">
        <w:t xml:space="preserve">. In many of these cases it was not possible for workers and their trade unions to obtain </w:t>
      </w:r>
      <w:r w:rsidR="003663CA" w:rsidRPr="00B36A53">
        <w:t xml:space="preserve">an effective remedy through recourse to courts or </w:t>
      </w:r>
      <w:proofErr w:type="spellStart"/>
      <w:r w:rsidR="003663CA" w:rsidRPr="00B36A53">
        <w:t>labour</w:t>
      </w:r>
      <w:proofErr w:type="spellEnd"/>
      <w:r w:rsidR="003663CA" w:rsidRPr="00B36A53">
        <w:t xml:space="preserve"> inspection.</w:t>
      </w:r>
      <w:r w:rsidR="00951E10" w:rsidRPr="00B36A53">
        <w:t xml:space="preserve"> </w:t>
      </w:r>
      <w:r w:rsidRPr="00B36A53">
        <w:t xml:space="preserve"> Consequently, the low prevalence of collective agreements and the ineffective functioning of collective bargaining mechanisms continue to represent a critical challenge in Georgia.</w:t>
      </w:r>
    </w:p>
    <w:p w14:paraId="7F96F294" w14:textId="77777777" w:rsidR="00DA12D3" w:rsidRPr="00B36A53" w:rsidRDefault="00DA12D3" w:rsidP="00096A8C">
      <w:pPr>
        <w:jc w:val="both"/>
      </w:pPr>
    </w:p>
    <w:p w14:paraId="099132F3" w14:textId="0482CD94" w:rsidR="00DE000F" w:rsidRPr="00096A8C" w:rsidRDefault="00AC63B5" w:rsidP="00096A8C">
      <w:pPr>
        <w:jc w:val="both"/>
        <w:rPr>
          <w:b/>
          <w:bCs/>
        </w:rPr>
      </w:pPr>
      <w:r w:rsidRPr="00E97FC2">
        <w:rPr>
          <w:b/>
          <w:bCs/>
        </w:rPr>
        <w:t>2.2.</w:t>
      </w:r>
      <w:r w:rsidR="00E97FC2" w:rsidRPr="00E97FC2">
        <w:rPr>
          <w:b/>
          <w:bCs/>
        </w:rPr>
        <w:t xml:space="preserve"> </w:t>
      </w:r>
      <w:r w:rsidR="007B4347" w:rsidRPr="00E97FC2">
        <w:rPr>
          <w:b/>
          <w:bCs/>
        </w:rPr>
        <w:t>Failure to promote tripartite social dialogue (dialogue between the Government, workers’</w:t>
      </w:r>
      <w:r w:rsidR="007B4347" w:rsidRPr="00096A8C">
        <w:rPr>
          <w:b/>
          <w:bCs/>
        </w:rPr>
        <w:t xml:space="preserve"> and employers)</w:t>
      </w:r>
    </w:p>
    <w:p w14:paraId="006414C3" w14:textId="57099CF7" w:rsidR="00503A44" w:rsidRPr="00B36A53" w:rsidRDefault="00953F66" w:rsidP="00F2674B">
      <w:pPr>
        <w:jc w:val="both"/>
      </w:pPr>
      <w:r>
        <w:t>T</w:t>
      </w:r>
      <w:r w:rsidR="00DA12D3" w:rsidRPr="00B36A53">
        <w:t>ripartite social dialogue mechanisms</w:t>
      </w:r>
      <w:r>
        <w:t xml:space="preserve"> in Georgia</w:t>
      </w:r>
      <w:r w:rsidR="00DA12D3" w:rsidRPr="00B36A53">
        <w:t xml:space="preserve"> operate primarily at the central level. A limited pilot </w:t>
      </w:r>
      <w:proofErr w:type="spellStart"/>
      <w:r w:rsidR="00DA12D3" w:rsidRPr="00B36A53">
        <w:t>programme</w:t>
      </w:r>
      <w:proofErr w:type="spellEnd"/>
      <w:r w:rsidR="00DA12D3" w:rsidRPr="00B36A53">
        <w:t xml:space="preserve"> has been implemented only in the Adjara region, while tripartite commissions do not exist in most regions of the country. The Tripartite Social Partnership Commission should serve as an effective platform for dialogue on urgent employment-related issues and for decision-making with the participation of all relevant stakeholders. In practice, however, meetings of the Commission have not been held at the regular intervals required by law.</w:t>
      </w:r>
    </w:p>
    <w:p w14:paraId="1D7EAC47" w14:textId="0D94F871" w:rsidR="00DA12D3" w:rsidRPr="00B36A53" w:rsidRDefault="00DA12D3" w:rsidP="00F2674B">
      <w:pPr>
        <w:jc w:val="both"/>
      </w:pPr>
    </w:p>
    <w:p w14:paraId="32CB1B84" w14:textId="52FC13C0" w:rsidR="00DA12D3" w:rsidRPr="00B36A53" w:rsidRDefault="00DB5CC5" w:rsidP="00E97FC2">
      <w:pPr>
        <w:jc w:val="both"/>
      </w:pPr>
      <w:r>
        <w:t xml:space="preserve">The </w:t>
      </w:r>
      <w:r w:rsidR="00DA12D3" w:rsidRPr="00B36A53">
        <w:t>Government has tended to frame social dialogue at the local level as cooperation between business entities and educational institutions, rather than as a process of dialogue and negotiation between employers and employees aimed at encouraging collective bargaining. No meaningful measures have been taken in recent years to promote collective bargaining. In this regard, the Government is failing to fulfil its obligations under Article 8 of the ICESCR to respect, protect, and promote the right to collective bargaining.</w:t>
      </w:r>
    </w:p>
    <w:p w14:paraId="778AA82C" w14:textId="77777777" w:rsidR="00DD279A" w:rsidRPr="00B36A53" w:rsidRDefault="00DD279A" w:rsidP="00E97FC2">
      <w:pPr>
        <w:jc w:val="both"/>
      </w:pPr>
    </w:p>
    <w:p w14:paraId="3F8D60D0" w14:textId="2ABB0FD2" w:rsidR="005414B1" w:rsidRPr="00E97FC2" w:rsidRDefault="00AC63B5" w:rsidP="00E97FC2">
      <w:pPr>
        <w:jc w:val="both"/>
        <w:rPr>
          <w:b/>
          <w:bCs/>
        </w:rPr>
      </w:pPr>
      <w:r w:rsidRPr="00E97FC2">
        <w:rPr>
          <w:b/>
          <w:bCs/>
        </w:rPr>
        <w:t xml:space="preserve">2.3. </w:t>
      </w:r>
      <w:r w:rsidR="005414B1" w:rsidRPr="00E97FC2">
        <w:rPr>
          <w:b/>
          <w:bCs/>
        </w:rPr>
        <w:t>Regressive legislative reforms</w:t>
      </w:r>
      <w:r w:rsidR="00697A28" w:rsidRPr="00E97FC2">
        <w:rPr>
          <w:b/>
          <w:bCs/>
        </w:rPr>
        <w:t xml:space="preserve"> and lack of consultation with trade unions</w:t>
      </w:r>
    </w:p>
    <w:p w14:paraId="2CD74BCA" w14:textId="3B2F1046" w:rsidR="00DD279A" w:rsidRPr="00E97FC2" w:rsidRDefault="00DD279A" w:rsidP="00E97FC2">
      <w:pPr>
        <w:jc w:val="both"/>
      </w:pPr>
      <w:r w:rsidRPr="00E97FC2">
        <w:t xml:space="preserve">In December 2025, Georgia adopted legislative amendments that are inconsistent with fundamental international standards, including in the field of </w:t>
      </w:r>
      <w:proofErr w:type="spellStart"/>
      <w:r w:rsidRPr="00E97FC2">
        <w:t>labour</w:t>
      </w:r>
      <w:proofErr w:type="spellEnd"/>
      <w:r w:rsidRPr="00E97FC2">
        <w:t>, notably through amendments to the Law of Georgia on Public Service.</w:t>
      </w:r>
      <w:r w:rsidR="00697A28" w:rsidRPr="00E97FC2">
        <w:t xml:space="preserve"> </w:t>
      </w:r>
      <w:r w:rsidRPr="00E97FC2">
        <w:t xml:space="preserve">The Georgian Trade Unions Confederation considers that the amendments to the Law of Georgia on Public Service adopted at the end of 2025 have significantly weakened the guarantees of protection afforded to public servants. As a result, these amendments contradict international </w:t>
      </w:r>
      <w:proofErr w:type="spellStart"/>
      <w:r w:rsidRPr="00E97FC2">
        <w:t>labour</w:t>
      </w:r>
      <w:proofErr w:type="spellEnd"/>
      <w:r w:rsidRPr="00E97FC2">
        <w:t xml:space="preserve"> standards, Georgia’s obligations under the Association Agreement with the European Union, the Constitution of Georgia, and the established jurisprudence of the Constitutional Court and the general courts of Georgia.</w:t>
      </w:r>
    </w:p>
    <w:p w14:paraId="7412466A" w14:textId="77777777" w:rsidR="00DD279A" w:rsidRPr="00E97FC2" w:rsidRDefault="00DD279A" w:rsidP="00E97FC2">
      <w:pPr>
        <w:jc w:val="both"/>
      </w:pPr>
    </w:p>
    <w:p w14:paraId="2813E3AB" w14:textId="31874726" w:rsidR="00DD279A" w:rsidRPr="00C508E8" w:rsidRDefault="00896E3D" w:rsidP="00C508E8">
      <w:pPr>
        <w:jc w:val="both"/>
      </w:pPr>
      <w:r w:rsidRPr="00E97FC2">
        <w:t>As mentioned above, t</w:t>
      </w:r>
      <w:r w:rsidR="00DD279A" w:rsidRPr="00E97FC2">
        <w:t xml:space="preserve">he most representative workers’ organization in the country, the GTUC, was excluded from the preparation of the draft law. This exclusion constitutes a violation of fundamental standards of the International Labour Organization (ILO), including the requirements of ILO Convention No. 144 on Tripartite Consultation, ratified by Georgia, which obliges member States to ensure effective consultations with employers’ organizations and trade unions on </w:t>
      </w:r>
      <w:proofErr w:type="spellStart"/>
      <w:r w:rsidR="00DD279A" w:rsidRPr="00E97FC2">
        <w:t>labour</w:t>
      </w:r>
      <w:proofErr w:type="spellEnd"/>
      <w:r w:rsidR="00DD279A" w:rsidRPr="00E97FC2">
        <w:t>-related matters.</w:t>
      </w:r>
      <w:r w:rsidR="00C508E8">
        <w:t xml:space="preserve"> </w:t>
      </w:r>
      <w:r w:rsidR="00DD279A" w:rsidRPr="00C508E8">
        <w:t xml:space="preserve">Despite GTUC’s early criticism of the proposed amendments and its demand for their withdrawal, the draft law deteriorated further during the parliamentary hearings. As a result, the final version places Georgia in a worse situation than under the Labour Code adopted in 2006, which, according to GTUC reports, was subject to long-standing and serious criticism by the ILO. It took many years of sustained advocacy, including the use of international supervisory mechanisms and </w:t>
      </w:r>
      <w:r w:rsidR="00DD279A" w:rsidRPr="00C508E8">
        <w:lastRenderedPageBreak/>
        <w:t xml:space="preserve">the direct involvement of the ILO, to reform the neoliberal and one-sided </w:t>
      </w:r>
      <w:proofErr w:type="spellStart"/>
      <w:r w:rsidR="00DD279A" w:rsidRPr="00C508E8">
        <w:t>labour</w:t>
      </w:r>
      <w:proofErr w:type="spellEnd"/>
      <w:r w:rsidR="00DD279A" w:rsidRPr="00C508E8">
        <w:t xml:space="preserve"> legislation adopted with complete disregard for workers’ rights. GTUC believes that the amendments adopted by Parliament have undermined the progress achieved to date in regulating </w:t>
      </w:r>
      <w:proofErr w:type="spellStart"/>
      <w:r w:rsidR="00DD279A" w:rsidRPr="00C508E8">
        <w:t>labour</w:t>
      </w:r>
      <w:proofErr w:type="spellEnd"/>
      <w:r w:rsidR="00DD279A" w:rsidRPr="00C508E8">
        <w:t xml:space="preserve"> relations within the civil service.</w:t>
      </w:r>
      <w:r w:rsidR="00C508E8" w:rsidRPr="00C508E8">
        <w:t xml:space="preserve"> </w:t>
      </w:r>
      <w:r w:rsidR="00DD279A" w:rsidRPr="00C508E8">
        <w:t>GTUC has formally requested an expert opinion from the ILO regarding the adopted amendments.</w:t>
      </w:r>
    </w:p>
    <w:p w14:paraId="10E66A0C" w14:textId="77777777" w:rsidR="00DD279A" w:rsidRPr="00C508E8" w:rsidRDefault="00DD279A" w:rsidP="00C508E8">
      <w:pPr>
        <w:jc w:val="both"/>
      </w:pPr>
    </w:p>
    <w:p w14:paraId="13F0B975" w14:textId="38623ACC" w:rsidR="00CE3BC8" w:rsidRPr="00C508E8" w:rsidRDefault="00DD279A" w:rsidP="00C508E8">
      <w:pPr>
        <w:jc w:val="both"/>
      </w:pPr>
      <w:r w:rsidRPr="00C508E8">
        <w:t>In clear disregard of international and national standards, the adopted amendments introduce the following changes:</w:t>
      </w:r>
    </w:p>
    <w:p w14:paraId="3EE3A0F4" w14:textId="0753C436" w:rsidR="00DD279A" w:rsidRPr="00C508E8" w:rsidRDefault="00DD279A" w:rsidP="00C508E8">
      <w:pPr>
        <w:numPr>
          <w:ilvl w:val="0"/>
          <w:numId w:val="36"/>
        </w:numPr>
        <w:jc w:val="both"/>
      </w:pPr>
      <w:r w:rsidRPr="00C508E8">
        <w:t>Heads of primary structural units of public institutions and their deputies are no longer classified as civil servants but are employed under administrative contracts. The duration of these contracts may not exceed the term of office of the head of the respective institution, and the termination of the latter’s mandate automatically results in termination of their contracts. These officials may terminate their contracts at any time with one month’s notice and are entitled only to one month’s compensation.</w:t>
      </w:r>
      <w:r w:rsidR="00270550" w:rsidRPr="00C508E8">
        <w:t xml:space="preserve"> </w:t>
      </w:r>
      <w:r w:rsidRPr="00C508E8">
        <w:t>This regulation leaves individuals occupying key public service positions in a particularly vulnerable situation, which also negatively affects the stability of the civil service.</w:t>
      </w:r>
    </w:p>
    <w:p w14:paraId="2F87B9DC" w14:textId="62C2F08F" w:rsidR="00785D87" w:rsidRPr="00C508E8" w:rsidRDefault="00DD279A" w:rsidP="00C508E8">
      <w:pPr>
        <w:numPr>
          <w:ilvl w:val="0"/>
          <w:numId w:val="37"/>
        </w:numPr>
        <w:jc w:val="both"/>
      </w:pPr>
      <w:r w:rsidRPr="00C508E8">
        <w:t>All civil servants are now subject to performance evaluations every six months instead of annually. In the event of an unsatisfactory evaluation, 20 per cent of the civil servant’s official salary is withheld until the next evaluation. If a civil servant receives two consecutive unsatisfactory evaluations, dismissal follows automatically. The head of a public institution is authorized to alter the evaluation prepared by the immediate supervisor within one month. Performance evaluations directly affect grading and grade increments.</w:t>
      </w:r>
      <w:r w:rsidR="00D432D4" w:rsidRPr="00C508E8">
        <w:t xml:space="preserve"> This change significantly worsens employment conditions of </w:t>
      </w:r>
      <w:r w:rsidR="00816094" w:rsidRPr="00C508E8">
        <w:t xml:space="preserve">civil servants, leaving them at </w:t>
      </w:r>
      <w:r w:rsidR="009D557F" w:rsidRPr="00C508E8">
        <w:t>constant</w:t>
      </w:r>
      <w:r w:rsidR="00816094" w:rsidRPr="00C508E8">
        <w:t xml:space="preserve"> threat of arbitrary </w:t>
      </w:r>
      <w:r w:rsidR="006A27BF" w:rsidRPr="00C508E8">
        <w:t xml:space="preserve">and potentially discriminatory </w:t>
      </w:r>
      <w:r w:rsidR="00FF4F48" w:rsidRPr="00C508E8">
        <w:t>decisions of their supervisors</w:t>
      </w:r>
      <w:r w:rsidR="00DF0CB0" w:rsidRPr="00C508E8">
        <w:t xml:space="preserve">. </w:t>
      </w:r>
      <w:r w:rsidR="00E07C01" w:rsidRPr="00C508E8">
        <w:t xml:space="preserve">The fear of being </w:t>
      </w:r>
      <w:r w:rsidR="00371DF3" w:rsidRPr="00C508E8">
        <w:t xml:space="preserve">negatively evaluated, punished by salary decrease or dismissal can effectively prevent civil servants from </w:t>
      </w:r>
      <w:r w:rsidR="00892DD1" w:rsidRPr="00C508E8">
        <w:t>exercising their right to organize for the purpose of defending their interests</w:t>
      </w:r>
      <w:r w:rsidR="002E15AD" w:rsidRPr="00C508E8">
        <w:t>. We recall that while ILO Convention No. 98 allows for restrictions of collective bargaining rights for</w:t>
      </w:r>
      <w:r w:rsidR="00FC1197" w:rsidRPr="00C508E8">
        <w:t xml:space="preserve"> </w:t>
      </w:r>
      <w:r w:rsidR="00785D87" w:rsidRPr="00C508E8">
        <w:t>public servants engaged in the</w:t>
      </w:r>
      <w:r w:rsidR="00FC1197" w:rsidRPr="00C508E8">
        <w:t xml:space="preserve"> </w:t>
      </w:r>
      <w:r w:rsidR="00785D87" w:rsidRPr="00C508E8">
        <w:t>administration of the S</w:t>
      </w:r>
      <w:r w:rsidR="00FC1197" w:rsidRPr="00C508E8">
        <w:t xml:space="preserve">tate, such workers still enjoy the right to form and join trade unions for the purpose of defending their interests under ILO Convention No. 87, as repeatedly confirmed by the ILO supervisory bodies. </w:t>
      </w:r>
      <w:r w:rsidR="00D04BBF" w:rsidRPr="00C508E8">
        <w:t xml:space="preserve">Consequently, </w:t>
      </w:r>
      <w:r w:rsidR="00621A81" w:rsidRPr="00C508E8">
        <w:t xml:space="preserve">the potential anti-union effect of the introduced legislative change should be carefully examined, in cooperation with </w:t>
      </w:r>
      <w:r w:rsidR="00C83673" w:rsidRPr="00C508E8">
        <w:t xml:space="preserve">workers’ organizations. </w:t>
      </w:r>
    </w:p>
    <w:p w14:paraId="6944CFB0" w14:textId="4A03CEB9" w:rsidR="00DD279A" w:rsidRPr="00C508E8" w:rsidRDefault="00DD279A" w:rsidP="00C508E8">
      <w:pPr>
        <w:numPr>
          <w:ilvl w:val="0"/>
          <w:numId w:val="37"/>
        </w:numPr>
        <w:jc w:val="both"/>
      </w:pPr>
      <w:r w:rsidRPr="00C508E8">
        <w:t>Mobility safeguards no longer apply in cases of reorganization. Appeals against dismissal decisions do not suspend their enforcement, and even a favorable court ruling in cases of unlawful dismissal due to reorganization does not lead to reinstatement. Instead, compensation is limited to three months’ official salary.</w:t>
      </w:r>
    </w:p>
    <w:p w14:paraId="402BC460" w14:textId="77777777" w:rsidR="00DD279A" w:rsidRPr="00C508E8" w:rsidRDefault="00DD279A" w:rsidP="00C508E8">
      <w:pPr>
        <w:ind w:left="720"/>
        <w:jc w:val="both"/>
      </w:pPr>
    </w:p>
    <w:p w14:paraId="34CA45A4" w14:textId="2F8F2D82" w:rsidR="00DD279A" w:rsidRPr="00C508E8" w:rsidRDefault="00DD279A" w:rsidP="00C508E8">
      <w:pPr>
        <w:jc w:val="both"/>
      </w:pPr>
      <w:r w:rsidRPr="00C508E8">
        <w:t xml:space="preserve">Under this regulatory framework, civil servants who are members of trade unions are exposed to heightened risks. In cases where dismissal occurs on the grounds of trade union membership but is formally justified by </w:t>
      </w:r>
      <w:r w:rsidR="00CE3BC8" w:rsidRPr="00C508E8">
        <w:t>reorganization</w:t>
      </w:r>
      <w:r w:rsidRPr="00C508E8">
        <w:t>, affected workers have no effective means of restoring their rights. This creates a chilling effect on trade union membership, encouraging workers to leave unions out of fear, particularly in a sector where no collective agreements exist.</w:t>
      </w:r>
      <w:r w:rsidR="008637A7" w:rsidRPr="00C508E8">
        <w:t xml:space="preserve"> </w:t>
      </w:r>
      <w:r w:rsidRPr="00C508E8">
        <w:t>GTUC</w:t>
      </w:r>
      <w:r w:rsidRPr="00DD279A">
        <w:rPr>
          <w:rFonts w:ascii="Sylfaen" w:hAnsi="Sylfaen"/>
        </w:rPr>
        <w:t xml:space="preserve"> </w:t>
      </w:r>
      <w:r w:rsidRPr="00DD279A">
        <w:rPr>
          <w:rFonts w:ascii="Sylfaen" w:hAnsi="Sylfaen"/>
        </w:rPr>
        <w:t xml:space="preserve">therefore demands that civil servants, through structured social dialogue, be provided with legislative guarantees </w:t>
      </w:r>
      <w:r w:rsidRPr="00C508E8">
        <w:t>ensuring job security and the effective protection of fundamental rights, including freedom of association.</w:t>
      </w:r>
    </w:p>
    <w:p w14:paraId="515E7C4E" w14:textId="550ECECE" w:rsidR="00DD279A" w:rsidRPr="00C508E8" w:rsidRDefault="00DD279A" w:rsidP="00C508E8">
      <w:pPr>
        <w:jc w:val="both"/>
      </w:pPr>
    </w:p>
    <w:p w14:paraId="626CAC0A" w14:textId="16B5102E" w:rsidR="00DD279A" w:rsidRPr="00C508E8" w:rsidRDefault="00DD279A" w:rsidP="00C508E8">
      <w:pPr>
        <w:jc w:val="both"/>
      </w:pPr>
      <w:r w:rsidRPr="00C508E8">
        <w:t xml:space="preserve">The situation in Georgia was examined by the </w:t>
      </w:r>
      <w:r w:rsidR="006A7B1D" w:rsidRPr="00C508E8">
        <w:t xml:space="preserve">ILO </w:t>
      </w:r>
      <w:r w:rsidRPr="00C508E8">
        <w:t xml:space="preserve">Committee on the Application of Standards (Committee on the Application of Standards – CAS). On 13 June 2025, the Committee issued recommendations calling on the Government, in consultation with the social partners, to amend the </w:t>
      </w:r>
      <w:r w:rsidRPr="00C508E8">
        <w:lastRenderedPageBreak/>
        <w:t>Law on Public Service in line with the relevant ILO Conventions.</w:t>
      </w:r>
      <w:r w:rsidR="00C508E8">
        <w:t xml:space="preserve"> </w:t>
      </w:r>
      <w:r w:rsidRPr="00C508E8">
        <w:t xml:space="preserve">In response to the recommendations adopted by the Committee on the Application of Standards of the International Labour Conference (113th Session, June 2025), the Georgian Government requested ILO technical assistance to strengthen the application of international </w:t>
      </w:r>
      <w:proofErr w:type="spellStart"/>
      <w:r w:rsidRPr="00C508E8">
        <w:t>labour</w:t>
      </w:r>
      <w:proofErr w:type="spellEnd"/>
      <w:r w:rsidRPr="00C508E8">
        <w:t xml:space="preserve"> standards in Georgia.</w:t>
      </w:r>
      <w:r w:rsidR="00997382" w:rsidRPr="00C508E8">
        <w:t xml:space="preserve"> </w:t>
      </w:r>
      <w:r w:rsidRPr="00C508E8">
        <w:t>Within the framework of this technical assistance, a tripartite working meeting was held on 5 August 2025 with the participation of the social partners, including GTUC and the Georgian Employers’ Association. The meeting was attended by the ILO Senior Social Dialogue, Labour Law and International Labour Standards Specialist from the ILO Decent Work Team for Central and Eastern Europe in Budapest. During the meeting, GTUC presented its concerns regarding the recent legislative developments. Government representatives acknowledged that, due to the accelerated parliamentary procedure, consultations with social partners had not taken place prior to the adoption of the amendments. The parties agreed that discussions should continue in a tripartite format and in a spirit of cooperation.</w:t>
      </w:r>
    </w:p>
    <w:p w14:paraId="61208001" w14:textId="77777777" w:rsidR="00DD279A" w:rsidRPr="00C508E8" w:rsidRDefault="00DD279A" w:rsidP="00C508E8">
      <w:pPr>
        <w:jc w:val="both"/>
      </w:pPr>
    </w:p>
    <w:p w14:paraId="7E10DD56" w14:textId="7B751099" w:rsidR="00DD279A" w:rsidRPr="00C508E8" w:rsidRDefault="00DD279A" w:rsidP="00C508E8">
      <w:pPr>
        <w:jc w:val="both"/>
      </w:pPr>
      <w:r w:rsidRPr="00C508E8">
        <w:t xml:space="preserve">Despite these developments, during the reporting period no legislative amendments were introduced. Moreover, GTUC has not received any feedback, written conclusions, or follow-up reports from the ILO representatives in connection with </w:t>
      </w:r>
      <w:r w:rsidR="00AD1730" w:rsidRPr="00C508E8">
        <w:t>technical</w:t>
      </w:r>
      <w:r w:rsidRPr="00C508E8">
        <w:t xml:space="preserve"> assistance or the tripartite meeting.</w:t>
      </w:r>
    </w:p>
    <w:p w14:paraId="4AA85BF2" w14:textId="597DE4F8" w:rsidR="00912052" w:rsidRPr="007710B4" w:rsidRDefault="00243A69" w:rsidP="00B0239E">
      <w:pPr>
        <w:pStyle w:val="Heading1"/>
        <w:numPr>
          <w:ilvl w:val="0"/>
          <w:numId w:val="35"/>
        </w:numPr>
      </w:pPr>
      <w:bookmarkStart w:id="2" w:name="_Toc218193659"/>
      <w:r w:rsidRPr="007710B4">
        <w:t>Compulsory Mediation and the Right to Strike</w:t>
      </w:r>
      <w:bookmarkEnd w:id="2"/>
    </w:p>
    <w:p w14:paraId="3AD433AB" w14:textId="77777777" w:rsidR="00AD1730" w:rsidRPr="007710B4" w:rsidRDefault="00AD1730" w:rsidP="00B0239E"/>
    <w:p w14:paraId="3A112FCA" w14:textId="77777777" w:rsidR="002E7D0A" w:rsidRPr="002E7D0A" w:rsidRDefault="002E7D0A" w:rsidP="001B176C">
      <w:pPr>
        <w:pStyle w:val="BodyAA"/>
        <w:spacing w:line="240" w:lineRule="auto"/>
        <w:jc w:val="both"/>
        <w:rPr>
          <w:rFonts w:ascii="Times New Roman" w:hAnsi="Times New Roman"/>
          <w:sz w:val="24"/>
          <w:szCs w:val="24"/>
        </w:rPr>
      </w:pPr>
      <w:r w:rsidRPr="002E7D0A">
        <w:rPr>
          <w:rFonts w:ascii="Times New Roman" w:hAnsi="Times New Roman"/>
          <w:sz w:val="24"/>
          <w:szCs w:val="24"/>
        </w:rPr>
        <w:t>It should also be noted that the requirement of mandatory mediation prior to the initiation of a strike operates as an obstacle to the effective exercise of the right to strike, rather than serving as a mechanism to bring the positions of employees and employers closer together.</w:t>
      </w:r>
    </w:p>
    <w:p w14:paraId="4AA85BF5" w14:textId="31095AD7" w:rsidR="00912052" w:rsidRPr="005A629B" w:rsidRDefault="002E7D0A" w:rsidP="001B176C">
      <w:pPr>
        <w:pStyle w:val="BodyAA"/>
        <w:spacing w:line="240" w:lineRule="auto"/>
        <w:jc w:val="both"/>
        <w:rPr>
          <w:rFonts w:ascii="Times New Roman" w:hAnsi="Times New Roman"/>
          <w:sz w:val="24"/>
          <w:szCs w:val="24"/>
        </w:rPr>
      </w:pPr>
      <w:r w:rsidRPr="002E7D0A">
        <w:rPr>
          <w:rFonts w:ascii="Times New Roman" w:hAnsi="Times New Roman"/>
          <w:sz w:val="24"/>
          <w:szCs w:val="24"/>
        </w:rPr>
        <w:t>Pursuant to the 2020 amendments to the Labour Code of Georgia, the Minister of Internally Displaced Persons from the Occupied Territories, Labour, Health and Social Affairs of Georgia revised the list of vital services with the stated aim of reducing the number of employees whose right to strike is subject to restriction.</w:t>
      </w:r>
      <w:r w:rsidR="00243A69" w:rsidRPr="001503F5">
        <w:rPr>
          <w:rFonts w:ascii="Times New Roman" w:eastAsia="Times New Roman" w:hAnsi="Times New Roman" w:cs="Times New Roman"/>
          <w:sz w:val="24"/>
          <w:szCs w:val="24"/>
          <w:vertAlign w:val="superscript"/>
        </w:rPr>
        <w:footnoteReference w:id="3"/>
      </w:r>
      <w:r w:rsidR="00E46429" w:rsidRPr="001503F5">
        <w:rPr>
          <w:rFonts w:ascii="Times New Roman" w:hAnsi="Times New Roman"/>
          <w:sz w:val="24"/>
          <w:szCs w:val="24"/>
        </w:rPr>
        <w:t xml:space="preserve"> </w:t>
      </w:r>
      <w:r w:rsidR="00660496">
        <w:rPr>
          <w:rFonts w:ascii="Times New Roman" w:hAnsi="Times New Roman"/>
          <w:sz w:val="24"/>
          <w:szCs w:val="24"/>
        </w:rPr>
        <w:t xml:space="preserve"> </w:t>
      </w:r>
      <w:r w:rsidR="00E46429" w:rsidRPr="00E46429">
        <w:rPr>
          <w:rFonts w:ascii="Times New Roman" w:hAnsi="Times New Roman"/>
          <w:sz w:val="24"/>
          <w:szCs w:val="24"/>
        </w:rPr>
        <w:t xml:space="preserve">The Minister declined to consider proposals submitted by the Georgian Trade Unions Confederation to narrow the scope of workers whose right to strike is restricted on the grounds that their duties and responsibilities qualify as vital services. Similar proposals were submitted by GTUC with respect to other public services defined in the ministerial order. In </w:t>
      </w:r>
      <w:r w:rsidR="007710B4" w:rsidRPr="001503F5">
        <w:rPr>
          <w:rFonts w:ascii="Times New Roman" w:hAnsi="Times New Roman"/>
          <w:sz w:val="24"/>
          <w:szCs w:val="24"/>
        </w:rPr>
        <w:t>this</w:t>
      </w:r>
      <w:r w:rsidR="00E46429" w:rsidRPr="00E46429">
        <w:rPr>
          <w:rFonts w:ascii="Times New Roman" w:hAnsi="Times New Roman"/>
          <w:sz w:val="24"/>
          <w:szCs w:val="24"/>
        </w:rPr>
        <w:t xml:space="preserve"> assessment, the current list remains excessively broad, as it encompasses numerous public institutions and effectively applies to all public servants employed therein.</w:t>
      </w:r>
      <w:r w:rsidR="00E7466B">
        <w:rPr>
          <w:rFonts w:ascii="Times New Roman" w:hAnsi="Times New Roman"/>
          <w:sz w:val="24"/>
          <w:szCs w:val="24"/>
        </w:rPr>
        <w:t xml:space="preserve"> </w:t>
      </w:r>
      <w:r w:rsidR="00E7466B">
        <w:rPr>
          <w:rFonts w:ascii="Times New Roman" w:hAnsi="Times New Roman"/>
          <w:sz w:val="24"/>
          <w:szCs w:val="24"/>
        </w:rPr>
        <w:t xml:space="preserve">It should be underlined that the ILO Conventions </w:t>
      </w:r>
      <w:r w:rsidR="007110D8">
        <w:rPr>
          <w:rFonts w:ascii="Times New Roman" w:hAnsi="Times New Roman"/>
          <w:sz w:val="24"/>
          <w:szCs w:val="24"/>
        </w:rPr>
        <w:t>Nos. 87 and 98 allow for restrictions of the right to strike</w:t>
      </w:r>
      <w:r w:rsidR="00412B1C">
        <w:rPr>
          <w:rFonts w:ascii="Times New Roman" w:hAnsi="Times New Roman"/>
          <w:sz w:val="24"/>
          <w:szCs w:val="24"/>
        </w:rPr>
        <w:t xml:space="preserve"> </w:t>
      </w:r>
      <w:r w:rsidR="00C87B39">
        <w:rPr>
          <w:rFonts w:ascii="Times New Roman" w:hAnsi="Times New Roman"/>
          <w:sz w:val="24"/>
          <w:szCs w:val="24"/>
        </w:rPr>
        <w:t>in essential services only</w:t>
      </w:r>
      <w:r w:rsidR="002042C0">
        <w:rPr>
          <w:rFonts w:ascii="Times New Roman" w:hAnsi="Times New Roman"/>
          <w:sz w:val="24"/>
          <w:szCs w:val="24"/>
        </w:rPr>
        <w:t xml:space="preserve"> </w:t>
      </w:r>
      <w:r w:rsidR="00C87B39" w:rsidRPr="00C87B39">
        <w:rPr>
          <w:rFonts w:ascii="Times New Roman" w:hAnsi="Times New Roman"/>
          <w:sz w:val="24"/>
          <w:szCs w:val="24"/>
        </w:rPr>
        <w:t>in the strict sense of the term (that is, services the interruption of which would</w:t>
      </w:r>
      <w:r w:rsidR="002042C0">
        <w:rPr>
          <w:rFonts w:ascii="Times New Roman" w:hAnsi="Times New Roman"/>
          <w:sz w:val="24"/>
          <w:szCs w:val="24"/>
        </w:rPr>
        <w:t xml:space="preserve"> </w:t>
      </w:r>
      <w:r w:rsidR="00C87B39" w:rsidRPr="00C87B39">
        <w:rPr>
          <w:rFonts w:ascii="Times New Roman" w:hAnsi="Times New Roman"/>
          <w:sz w:val="24"/>
          <w:szCs w:val="24"/>
        </w:rPr>
        <w:t>endanger the life, personal safety or health of the whole or part of the population)</w:t>
      </w:r>
      <w:r w:rsidR="002042C0">
        <w:rPr>
          <w:rFonts w:ascii="Times New Roman" w:hAnsi="Times New Roman"/>
          <w:sz w:val="24"/>
          <w:szCs w:val="24"/>
        </w:rPr>
        <w:t>, as repeatedly confirmed by the ILO supervisory bodies.</w:t>
      </w:r>
      <w:r w:rsidR="008D172A">
        <w:rPr>
          <w:rStyle w:val="FootnoteReference"/>
          <w:rFonts w:ascii="Times New Roman" w:hAnsi="Times New Roman"/>
          <w:sz w:val="24"/>
          <w:szCs w:val="24"/>
        </w:rPr>
        <w:footnoteReference w:id="4"/>
      </w:r>
      <w:r w:rsidR="005A629B">
        <w:rPr>
          <w:rFonts w:ascii="Times New Roman" w:hAnsi="Times New Roman"/>
          <w:sz w:val="24"/>
          <w:szCs w:val="24"/>
        </w:rPr>
        <w:t xml:space="preserve"> </w:t>
      </w:r>
      <w:r w:rsidR="00243A69" w:rsidRPr="001503F5">
        <w:rPr>
          <w:rFonts w:ascii="Times New Roman" w:hAnsi="Times New Roman"/>
          <w:sz w:val="24"/>
          <w:szCs w:val="24"/>
        </w:rPr>
        <w:t xml:space="preserve">It is our view that an </w:t>
      </w:r>
      <w:r w:rsidR="00CE5006" w:rsidRPr="001503F5">
        <w:rPr>
          <w:rFonts w:ascii="Times New Roman" w:hAnsi="Times New Roman"/>
          <w:sz w:val="24"/>
          <w:szCs w:val="24"/>
        </w:rPr>
        <w:t>individualized</w:t>
      </w:r>
      <w:r w:rsidR="00243A69" w:rsidRPr="001503F5">
        <w:rPr>
          <w:rFonts w:ascii="Times New Roman" w:hAnsi="Times New Roman"/>
          <w:sz w:val="24"/>
          <w:szCs w:val="24"/>
        </w:rPr>
        <w:t xml:space="preserve"> approach needs to be put in place, which is based on the specificities of the workplace.  </w:t>
      </w:r>
    </w:p>
    <w:p w14:paraId="0D6AC1D4" w14:textId="77777777" w:rsidR="008A0E46" w:rsidRPr="008A0E46" w:rsidRDefault="008A0E46" w:rsidP="001B176C">
      <w:pPr>
        <w:pStyle w:val="BodyAA"/>
        <w:spacing w:line="240" w:lineRule="auto"/>
        <w:jc w:val="both"/>
        <w:rPr>
          <w:rFonts w:ascii="Times New Roman" w:hAnsi="Times New Roman"/>
          <w:sz w:val="24"/>
          <w:szCs w:val="24"/>
        </w:rPr>
      </w:pPr>
      <w:r w:rsidRPr="008A0E46">
        <w:rPr>
          <w:rFonts w:ascii="Times New Roman" w:hAnsi="Times New Roman"/>
          <w:sz w:val="24"/>
          <w:szCs w:val="24"/>
        </w:rPr>
        <w:t>A particularly problematic aspect of the current regulatory framework is that employees working in services designated as vital are permitted to exercise the right to strike only on the condition that a minimum service is maintained. This requirement entails the provision of minimum operational services sufficient to meet the essential needs of service users, delivered safely and without interruption.</w:t>
      </w:r>
    </w:p>
    <w:p w14:paraId="4AA85BF9" w14:textId="7DECC898" w:rsidR="00A2732E" w:rsidRPr="007710B4" w:rsidRDefault="008A0E46" w:rsidP="001B176C">
      <w:pPr>
        <w:pStyle w:val="BodyAA"/>
        <w:spacing w:line="240" w:lineRule="auto"/>
        <w:jc w:val="both"/>
        <w:rPr>
          <w:rFonts w:ascii="Times New Roman" w:hAnsi="Times New Roman"/>
        </w:rPr>
      </w:pPr>
      <w:r w:rsidRPr="008A0E46">
        <w:rPr>
          <w:rFonts w:ascii="Times New Roman" w:hAnsi="Times New Roman"/>
          <w:sz w:val="24"/>
          <w:szCs w:val="24"/>
        </w:rPr>
        <w:lastRenderedPageBreak/>
        <w:t xml:space="preserve">Under the applicable legislation, the definition, scope, organization, and minimum staffing levels of such minimum services must be agreed upon by the parties to the collective </w:t>
      </w:r>
      <w:proofErr w:type="spellStart"/>
      <w:r w:rsidRPr="008A0E46">
        <w:rPr>
          <w:rFonts w:ascii="Times New Roman" w:hAnsi="Times New Roman"/>
          <w:sz w:val="24"/>
          <w:szCs w:val="24"/>
        </w:rPr>
        <w:t>labour</w:t>
      </w:r>
      <w:proofErr w:type="spellEnd"/>
      <w:r w:rsidRPr="008A0E46">
        <w:rPr>
          <w:rFonts w:ascii="Times New Roman" w:hAnsi="Times New Roman"/>
          <w:sz w:val="24"/>
          <w:szCs w:val="24"/>
        </w:rPr>
        <w:t xml:space="preserve"> dispute prior to the submission of written notice to the Minister. This statutory requirement, which places the obligation to define minimum services on opposing parties, creates a significant risk that no agreement will be reached in practice—particularly given that such arrangements are not ordinarily aligned with the employer’s interests.</w:t>
      </w:r>
      <w:r w:rsidR="00BB1EB7">
        <w:rPr>
          <w:rFonts w:ascii="Times New Roman" w:hAnsi="Times New Roman"/>
          <w:sz w:val="24"/>
          <w:szCs w:val="24"/>
        </w:rPr>
        <w:t xml:space="preserve"> </w:t>
      </w:r>
      <w:r w:rsidRPr="008A0E46">
        <w:rPr>
          <w:rFonts w:ascii="Times New Roman" w:hAnsi="Times New Roman"/>
          <w:sz w:val="24"/>
          <w:szCs w:val="24"/>
        </w:rPr>
        <w:t>In circumstances where no agreement is reached and strike action nevertheless proceeds, the employer is empowered to apply to the court to have the strike declared unlawful. As a result, the right to strike risks becoming merely formal in nature—recognized in law but rendered ineffective in practice</w:t>
      </w:r>
      <w:r w:rsidRPr="008A0E46">
        <w:rPr>
          <w:rFonts w:ascii="Times New Roman" w:hAnsi="Times New Roman"/>
        </w:rPr>
        <w:t>.</w:t>
      </w:r>
      <w:r w:rsidR="00243A69" w:rsidRPr="007710B4">
        <w:rPr>
          <w:rStyle w:val="None"/>
          <w:rFonts w:ascii="Times New Roman" w:eastAsia="Times New Roman" w:hAnsi="Times New Roman" w:cs="Times New Roman"/>
          <w:vertAlign w:val="superscript"/>
        </w:rPr>
        <w:footnoteReference w:id="5"/>
      </w:r>
    </w:p>
    <w:p w14:paraId="4AA85BFA" w14:textId="77641914" w:rsidR="00F8435E" w:rsidRDefault="00F8435E" w:rsidP="00B0239E">
      <w:pPr>
        <w:pStyle w:val="Heading1"/>
        <w:numPr>
          <w:ilvl w:val="1"/>
          <w:numId w:val="35"/>
        </w:numPr>
        <w:rPr>
          <w:rFonts w:eastAsia="Times New Roman"/>
        </w:rPr>
      </w:pPr>
      <w:bookmarkStart w:id="3" w:name="_Toc218193660"/>
      <w:r w:rsidRPr="007710B4">
        <w:rPr>
          <w:rFonts w:eastAsia="Times New Roman"/>
        </w:rPr>
        <w:t xml:space="preserve">Case </w:t>
      </w:r>
      <w:r w:rsidR="00A509A5" w:rsidRPr="007710B4">
        <w:rPr>
          <w:rFonts w:eastAsia="Times New Roman"/>
        </w:rPr>
        <w:t>1.</w:t>
      </w:r>
      <w:r w:rsidRPr="007710B4">
        <w:rPr>
          <w:rFonts w:eastAsia="Times New Roman"/>
        </w:rPr>
        <w:t xml:space="preserve"> violations in </w:t>
      </w:r>
      <w:r w:rsidR="007710B4" w:rsidRPr="007710B4">
        <w:rPr>
          <w:rFonts w:eastAsia="Times New Roman"/>
        </w:rPr>
        <w:t>the Center</w:t>
      </w:r>
      <w:r w:rsidRPr="007710B4">
        <w:rPr>
          <w:rFonts w:eastAsia="Times New Roman"/>
        </w:rPr>
        <w:t xml:space="preserve"> for Coordination </w:t>
      </w:r>
      <w:r w:rsidRPr="00185B6E">
        <w:rPr>
          <w:rFonts w:eastAsia="Times New Roman"/>
        </w:rPr>
        <w:t>of Emergency Situations and Emergency Assistanc</w:t>
      </w:r>
      <w:bookmarkEnd w:id="3"/>
      <w:r w:rsidR="00A736A4">
        <w:rPr>
          <w:rFonts w:eastAsia="Times New Roman"/>
        </w:rPr>
        <w:t>e</w:t>
      </w:r>
    </w:p>
    <w:p w14:paraId="32C3999C" w14:textId="77777777" w:rsidR="00A736A4" w:rsidRPr="00A736A4" w:rsidRDefault="00A736A4" w:rsidP="00A736A4"/>
    <w:p w14:paraId="732E3201" w14:textId="451F897D" w:rsidR="001503F5" w:rsidRPr="00FB6635" w:rsidRDefault="001503F5" w:rsidP="00B0239E">
      <w:pPr>
        <w:jc w:val="both"/>
        <w:rPr>
          <w:rFonts w:eastAsia="Times New Roman"/>
          <w:color w:val="202124"/>
        </w:rPr>
      </w:pPr>
      <w:r w:rsidRPr="00FB6635">
        <w:rPr>
          <w:rFonts w:eastAsia="Times New Roman"/>
          <w:color w:val="202124"/>
        </w:rPr>
        <w:t>In May 2022, emergency medical personnel in Georgia engaged in collective action to demand improved working conditions. Emergency medical assistance services in Georgia are provided by the Center for Coordination of Emergency Situations and Emergency Assistance under the Ministry of Internally Displaced Persons from the Occupied Territories, Labour, Health and Social Affairs of Georgia (hereinafter “the Center”). During the same period, a trade union representing ambulance doctors and drivers was established under the umbrella of the Georgian Trade Unions Confederation.</w:t>
      </w:r>
      <w:r w:rsidR="00C742DF" w:rsidRPr="00FB6635">
        <w:rPr>
          <w:rFonts w:eastAsia="Times New Roman"/>
          <w:color w:val="202124"/>
        </w:rPr>
        <w:t xml:space="preserve"> </w:t>
      </w:r>
    </w:p>
    <w:p w14:paraId="3AA5749F" w14:textId="0C85CE52" w:rsidR="001503F5" w:rsidRPr="00FB6635" w:rsidRDefault="001503F5" w:rsidP="00B0239E">
      <w:pPr>
        <w:jc w:val="both"/>
        <w:rPr>
          <w:rFonts w:eastAsia="Times New Roman"/>
          <w:color w:val="202124"/>
        </w:rPr>
      </w:pPr>
      <w:r w:rsidRPr="00FB6635">
        <w:rPr>
          <w:rFonts w:eastAsia="Times New Roman"/>
          <w:color w:val="202124"/>
        </w:rPr>
        <w:t xml:space="preserve">During this period, employees, together with the trade union, formally addressed the Prime Minister and the Minister of Internally Displaced Persons from the Occupied Territories, Labour, Health and Social Affairs. At their request, the Minister appointed a mediator for the collective </w:t>
      </w:r>
      <w:proofErr w:type="spellStart"/>
      <w:r w:rsidRPr="00FB6635">
        <w:rPr>
          <w:rFonts w:eastAsia="Times New Roman"/>
          <w:color w:val="202124"/>
        </w:rPr>
        <w:t>labour</w:t>
      </w:r>
      <w:proofErr w:type="spellEnd"/>
      <w:r w:rsidRPr="00FB6635">
        <w:rPr>
          <w:rFonts w:eastAsia="Times New Roman"/>
          <w:color w:val="202124"/>
        </w:rPr>
        <w:t xml:space="preserve"> dispute on two occasions. However, both mediation processes failed due to the employer’s unwillingness to engage meaningfully in negotiations.</w:t>
      </w:r>
      <w:r w:rsidR="00C742DF" w:rsidRPr="00FB6635">
        <w:rPr>
          <w:rFonts w:eastAsia="Times New Roman"/>
          <w:color w:val="202124"/>
        </w:rPr>
        <w:t xml:space="preserve"> </w:t>
      </w:r>
    </w:p>
    <w:p w14:paraId="4012398F" w14:textId="4AA106B5" w:rsidR="00D930DA" w:rsidRPr="00FB6635" w:rsidRDefault="001503F5" w:rsidP="00B0239E">
      <w:pPr>
        <w:jc w:val="both"/>
        <w:rPr>
          <w:rFonts w:eastAsia="Times New Roman"/>
          <w:color w:val="202124"/>
        </w:rPr>
      </w:pPr>
      <w:r w:rsidRPr="00FB6635">
        <w:rPr>
          <w:rFonts w:eastAsia="Times New Roman"/>
          <w:color w:val="202124"/>
        </w:rPr>
        <w:t>Instead of negotiating with employees through their duly elected trade union representative, the employer met directly with employees after the mediation period had expired, without concluding any written agreement.</w:t>
      </w:r>
      <w:r w:rsidR="005A327D" w:rsidRPr="00FB6635">
        <w:rPr>
          <w:rFonts w:eastAsia="Times New Roman"/>
          <w:color w:val="202124"/>
        </w:rPr>
        <w:t xml:space="preserve"> It should be underlined that under </w:t>
      </w:r>
      <w:r w:rsidR="00EF2138" w:rsidRPr="00FB6635">
        <w:rPr>
          <w:rFonts w:eastAsia="Times New Roman"/>
          <w:color w:val="202124"/>
        </w:rPr>
        <w:t xml:space="preserve">Article 5 of </w:t>
      </w:r>
      <w:r w:rsidR="005A327D" w:rsidRPr="00FB6635">
        <w:rPr>
          <w:rFonts w:eastAsia="Times New Roman"/>
          <w:color w:val="202124"/>
        </w:rPr>
        <w:t xml:space="preserve">ILO </w:t>
      </w:r>
      <w:r w:rsidR="00EF2138" w:rsidRPr="00FB6635">
        <w:rPr>
          <w:rFonts w:eastAsia="Times New Roman"/>
          <w:color w:val="202124"/>
        </w:rPr>
        <w:t>Workers’</w:t>
      </w:r>
      <w:r w:rsidR="00613665" w:rsidRPr="00FB6635">
        <w:rPr>
          <w:rFonts w:eastAsia="Times New Roman"/>
          <w:color w:val="202124"/>
        </w:rPr>
        <w:t xml:space="preserve"> </w:t>
      </w:r>
      <w:r w:rsidR="00EF2138" w:rsidRPr="00FB6635">
        <w:rPr>
          <w:rFonts w:eastAsia="Times New Roman"/>
          <w:color w:val="202124"/>
        </w:rPr>
        <w:t xml:space="preserve">Representatives </w:t>
      </w:r>
      <w:r w:rsidR="005A327D" w:rsidRPr="00FB6635">
        <w:rPr>
          <w:rFonts w:eastAsia="Times New Roman"/>
          <w:color w:val="202124"/>
        </w:rPr>
        <w:t xml:space="preserve">Convention </w:t>
      </w:r>
      <w:r w:rsidR="00EF2138" w:rsidRPr="00FB6635">
        <w:rPr>
          <w:rFonts w:eastAsia="Times New Roman"/>
          <w:color w:val="202124"/>
        </w:rPr>
        <w:t xml:space="preserve">No. </w:t>
      </w:r>
      <w:r w:rsidR="005A327D" w:rsidRPr="00FB6635">
        <w:rPr>
          <w:rFonts w:eastAsia="Times New Roman"/>
          <w:color w:val="202124"/>
        </w:rPr>
        <w:t>1</w:t>
      </w:r>
      <w:r w:rsidR="00D930DA" w:rsidRPr="00FB6635">
        <w:rPr>
          <w:rFonts w:eastAsia="Times New Roman"/>
          <w:color w:val="202124"/>
        </w:rPr>
        <w:t>34</w:t>
      </w:r>
      <w:r w:rsidR="00EF2138" w:rsidRPr="00FB6635">
        <w:rPr>
          <w:rFonts w:eastAsia="Times New Roman"/>
          <w:color w:val="202124"/>
        </w:rPr>
        <w:t xml:space="preserve"> </w:t>
      </w:r>
      <w:proofErr w:type="gramStart"/>
      <w:r w:rsidR="000A5AC6" w:rsidRPr="00FB6635">
        <w:rPr>
          <w:rFonts w:eastAsia="Times New Roman"/>
          <w:color w:val="202124"/>
        </w:rPr>
        <w:t>employers</w:t>
      </w:r>
      <w:proofErr w:type="gramEnd"/>
      <w:r w:rsidR="000A5AC6" w:rsidRPr="00FB6635">
        <w:rPr>
          <w:rFonts w:eastAsia="Times New Roman"/>
          <w:color w:val="202124"/>
        </w:rPr>
        <w:t xml:space="preserve"> should not undermine the position of trade unions by </w:t>
      </w:r>
      <w:proofErr w:type="gramStart"/>
      <w:r w:rsidR="000A5AC6" w:rsidRPr="00FB6635">
        <w:rPr>
          <w:rFonts w:eastAsia="Times New Roman"/>
          <w:color w:val="202124"/>
        </w:rPr>
        <w:t>bypassing</w:t>
      </w:r>
      <w:proofErr w:type="gramEnd"/>
      <w:r w:rsidR="000A5AC6" w:rsidRPr="00FB6635">
        <w:rPr>
          <w:rFonts w:eastAsia="Times New Roman"/>
          <w:color w:val="202124"/>
        </w:rPr>
        <w:t xml:space="preserve"> them via consultation with </w:t>
      </w:r>
      <w:r w:rsidR="00084A55" w:rsidRPr="00FB6635">
        <w:rPr>
          <w:rFonts w:eastAsia="Times New Roman"/>
          <w:color w:val="202124"/>
        </w:rPr>
        <w:t xml:space="preserve">non-trade union </w:t>
      </w:r>
      <w:proofErr w:type="gramStart"/>
      <w:r w:rsidR="00084A55" w:rsidRPr="00FB6635">
        <w:rPr>
          <w:rFonts w:eastAsia="Times New Roman"/>
          <w:color w:val="202124"/>
        </w:rPr>
        <w:t>representation</w:t>
      </w:r>
      <w:proofErr w:type="gramEnd"/>
      <w:r w:rsidR="00084A55" w:rsidRPr="00FB6635">
        <w:rPr>
          <w:rFonts w:eastAsia="Times New Roman"/>
          <w:color w:val="202124"/>
        </w:rPr>
        <w:t xml:space="preserve"> of the staff.</w:t>
      </w:r>
      <w:r w:rsidR="00084A55" w:rsidRPr="00FB6635">
        <w:rPr>
          <w:rStyle w:val="FootnoteReference"/>
          <w:rFonts w:eastAsia="Times New Roman"/>
          <w:color w:val="202124"/>
        </w:rPr>
        <w:footnoteReference w:id="6"/>
      </w:r>
    </w:p>
    <w:p w14:paraId="4907696D" w14:textId="47F13638" w:rsidR="001503F5" w:rsidRPr="00FB6635" w:rsidRDefault="001503F5" w:rsidP="00B0239E">
      <w:pPr>
        <w:jc w:val="both"/>
        <w:rPr>
          <w:rFonts w:eastAsia="Times New Roman"/>
          <w:color w:val="202124"/>
        </w:rPr>
      </w:pPr>
      <w:r w:rsidRPr="00FB6635">
        <w:rPr>
          <w:rFonts w:eastAsia="Times New Roman"/>
          <w:color w:val="202124"/>
        </w:rPr>
        <w:t>The trade union regarded this conduct as an attempt to evade participation in the mediation process and submitted a complaint to the Labour Inspection Service. The Labour Inspection Service rejected the complaint, and the decision subsequently appealed to a higher administrative authority; at the time of reporting, no final decision was issued.</w:t>
      </w:r>
    </w:p>
    <w:p w14:paraId="3C645EDA" w14:textId="77777777" w:rsidR="001503F5" w:rsidRPr="00FB6635" w:rsidRDefault="001503F5" w:rsidP="00B0239E">
      <w:pPr>
        <w:jc w:val="both"/>
        <w:rPr>
          <w:rFonts w:eastAsia="Times New Roman"/>
          <w:color w:val="202124"/>
        </w:rPr>
      </w:pPr>
      <w:r w:rsidRPr="00FB6635">
        <w:rPr>
          <w:rFonts w:eastAsia="Times New Roman"/>
          <w:color w:val="202124"/>
        </w:rPr>
        <w:t>Following the unsuccessful mediation process, employees decided to exercise their right to strike. It should be noted that, until 29 September 2022, emergency medical personnel had no right to strike at all. From that date, following amendments to the Labour Code of Georgia, they were granted a limited right to strike.</w:t>
      </w:r>
    </w:p>
    <w:p w14:paraId="3F5264B1" w14:textId="77777777" w:rsidR="001503F5" w:rsidRPr="00FB6635" w:rsidRDefault="001503F5" w:rsidP="00B0239E">
      <w:pPr>
        <w:jc w:val="both"/>
        <w:rPr>
          <w:rFonts w:eastAsia="Times New Roman"/>
          <w:color w:val="202124"/>
        </w:rPr>
      </w:pPr>
    </w:p>
    <w:p w14:paraId="62BD079D" w14:textId="585D9846" w:rsidR="001503F5" w:rsidRPr="00FB6635" w:rsidRDefault="001503F5" w:rsidP="00B0239E">
      <w:pPr>
        <w:jc w:val="both"/>
        <w:rPr>
          <w:rFonts w:eastAsia="Times New Roman"/>
          <w:color w:val="202124"/>
        </w:rPr>
      </w:pPr>
      <w:r w:rsidRPr="00FB6635">
        <w:rPr>
          <w:rFonts w:eastAsia="Times New Roman"/>
          <w:color w:val="202124"/>
        </w:rPr>
        <w:t>During the same period, the employer, acting through direct supervisors of medical staff, conducted a campaign of disinformation and intimidation against the trade union, its leaders, and employees involved in protest activities. False information was disseminated among staff, including claims that trade union activities would result in the elimination of overtime work and a reduction in salaries.</w:t>
      </w:r>
      <w:r w:rsidR="00A736A4" w:rsidRPr="00FB6635">
        <w:rPr>
          <w:rFonts w:eastAsia="Times New Roman"/>
          <w:color w:val="202124"/>
        </w:rPr>
        <w:t xml:space="preserve"> </w:t>
      </w:r>
      <w:r w:rsidRPr="00FB6635">
        <w:rPr>
          <w:rFonts w:eastAsia="Times New Roman"/>
          <w:color w:val="202124"/>
        </w:rPr>
        <w:t xml:space="preserve">Regarding the exercise of the limited right to strike, the Minister of Labour, Health and Social Affairs issued a subordinate normative act (ministerial order), the content of which effectively rendered the </w:t>
      </w:r>
      <w:r w:rsidRPr="00FB6635">
        <w:rPr>
          <w:rFonts w:eastAsia="Times New Roman"/>
          <w:color w:val="202124"/>
        </w:rPr>
        <w:lastRenderedPageBreak/>
        <w:t>exercise of even a limited right to strike impossible in practice. Under the existing regulation, employees wishing to exercise the right to a limited strike are required to apply to the employer and reach agreement on the provision of minimum services. Given the vital nature of emergency medical services, the service cannot cease entirely; therefore, an agreement must be reached to ensure continued service delivery while allowing a portion of employees to strike.</w:t>
      </w:r>
    </w:p>
    <w:p w14:paraId="45060AAC" w14:textId="77777777" w:rsidR="00A509A5" w:rsidRPr="00FB6635" w:rsidRDefault="001503F5" w:rsidP="00B0239E">
      <w:pPr>
        <w:jc w:val="both"/>
        <w:rPr>
          <w:rFonts w:eastAsia="Times New Roman"/>
          <w:color w:val="202124"/>
        </w:rPr>
      </w:pPr>
      <w:r w:rsidRPr="00FB6635">
        <w:rPr>
          <w:rFonts w:eastAsia="Times New Roman"/>
          <w:color w:val="202124"/>
        </w:rPr>
        <w:t xml:space="preserve">From the outset, the employer refused to engage in such negotiations, arguing that emergency services were already being provided with the minimum possible number of personnel. Following this refusal, the trade union-initiated court proceedings, requesting judicial determination of the minimum number of employees required to provide emergency services while enabling others to participate in strike action. The claim was dismissed by both the </w:t>
      </w:r>
      <w:r w:rsidR="00A509A5" w:rsidRPr="00FB6635">
        <w:rPr>
          <w:rFonts w:eastAsia="Times New Roman"/>
          <w:color w:val="202124"/>
        </w:rPr>
        <w:t>first instance</w:t>
      </w:r>
      <w:r w:rsidRPr="00FB6635">
        <w:rPr>
          <w:rFonts w:eastAsia="Times New Roman"/>
          <w:color w:val="202124"/>
        </w:rPr>
        <w:t xml:space="preserve"> and appellate courts, and the Supreme Court of Georgia declined to admit the case for consideration.</w:t>
      </w:r>
    </w:p>
    <w:p w14:paraId="5158FBF5" w14:textId="2940145F" w:rsidR="00A509A5" w:rsidRPr="00FB6635" w:rsidRDefault="00A736A4" w:rsidP="00B0239E">
      <w:pPr>
        <w:jc w:val="both"/>
      </w:pPr>
      <w:r w:rsidRPr="00FB6635">
        <w:t>I</w:t>
      </w:r>
      <w:r w:rsidR="00A509A5" w:rsidRPr="00FB6635">
        <w:t>n addition, both courts held that the claimants had failed to submit evidence demonstrating that, under the proposed minimum service arrangement, namely the provision of 840 employees, representing 70 per cent of the workforce, the life and health of patients would not be endangered. The courts approached the matter from the conceptual framework that, notwithstanding its constitutional recognition, the right to strike is not an absolute right where issues of public interest and vital services are concerned.</w:t>
      </w:r>
      <w:r w:rsidRPr="00FB6635">
        <w:t xml:space="preserve"> </w:t>
      </w:r>
      <w:r w:rsidR="00A509A5" w:rsidRPr="00FB6635">
        <w:t>Both courts unequivocally placed the burden of proof on the claimants. In particular, the claimants were required to demonstrate that the requested staffing level of 840 employees:</w:t>
      </w:r>
    </w:p>
    <w:p w14:paraId="71A2E94A" w14:textId="77777777" w:rsidR="00A509A5" w:rsidRPr="00FB6635" w:rsidRDefault="00A509A5" w:rsidP="00A736A4">
      <w:pPr>
        <w:pStyle w:val="ListParagraph"/>
        <w:numPr>
          <w:ilvl w:val="0"/>
          <w:numId w:val="40"/>
        </w:numPr>
        <w:spacing w:after="0" w:line="240" w:lineRule="auto"/>
        <w:jc w:val="both"/>
        <w:rPr>
          <w:rFonts w:ascii="Times New Roman" w:hAnsi="Times New Roman" w:cs="Times New Roman"/>
          <w:sz w:val="24"/>
          <w:szCs w:val="24"/>
          <w:lang w:val="en-US"/>
        </w:rPr>
      </w:pPr>
      <w:r w:rsidRPr="00FB6635">
        <w:rPr>
          <w:rFonts w:ascii="Times New Roman" w:hAnsi="Times New Roman" w:cs="Times New Roman"/>
          <w:sz w:val="24"/>
          <w:szCs w:val="24"/>
          <w:lang w:val="en-US"/>
        </w:rPr>
        <w:t>corresponded to actual medical needs; and</w:t>
      </w:r>
    </w:p>
    <w:p w14:paraId="4955FE43" w14:textId="7C7C6589" w:rsidR="00487B0A" w:rsidRPr="00FB6635" w:rsidRDefault="00A509A5" w:rsidP="00A736A4">
      <w:pPr>
        <w:pStyle w:val="ListParagraph"/>
        <w:numPr>
          <w:ilvl w:val="0"/>
          <w:numId w:val="40"/>
        </w:numPr>
        <w:spacing w:after="0" w:line="240" w:lineRule="auto"/>
        <w:jc w:val="both"/>
        <w:rPr>
          <w:rFonts w:ascii="Times New Roman" w:hAnsi="Times New Roman" w:cs="Times New Roman"/>
          <w:sz w:val="24"/>
          <w:szCs w:val="24"/>
          <w:lang w:val="en-US"/>
        </w:rPr>
      </w:pPr>
      <w:r w:rsidRPr="00FB6635">
        <w:rPr>
          <w:rFonts w:ascii="Times New Roman" w:hAnsi="Times New Roman" w:cs="Times New Roman"/>
          <w:sz w:val="24"/>
          <w:szCs w:val="24"/>
          <w:lang w:val="en-US"/>
        </w:rPr>
        <w:t>would not compromise the protection of public health and the safety of patients.</w:t>
      </w:r>
    </w:p>
    <w:p w14:paraId="113C8F87" w14:textId="77777777" w:rsidR="00A509A5" w:rsidRPr="00FB6635" w:rsidRDefault="00A509A5" w:rsidP="00B0239E">
      <w:pPr>
        <w:jc w:val="both"/>
        <w:rPr>
          <w:rFonts w:eastAsia="Times New Roman"/>
          <w:color w:val="202124"/>
        </w:rPr>
      </w:pPr>
      <w:r w:rsidRPr="00FB6635">
        <w:t>The submission of such evidence was impossible for the trade unions, as the assessment of these matters properly fell within the employer’s responsibility. Throughout the dispute, the trade unions consistently requested that the employer provide the relevant information and justification, which the employer failed to do.</w:t>
      </w:r>
    </w:p>
    <w:p w14:paraId="4AA85C0D" w14:textId="77777777" w:rsidR="005E6489" w:rsidRPr="00A509A5" w:rsidRDefault="005E6489" w:rsidP="00FB6635">
      <w:pPr>
        <w:spacing w:after="120"/>
        <w:jc w:val="both"/>
        <w:rPr>
          <w:rFonts w:ascii="Sylfaen" w:hAnsi="Sylfaen" w:cs="Sylfaen"/>
        </w:rPr>
      </w:pPr>
    </w:p>
    <w:p w14:paraId="4AA85C0F" w14:textId="4784F034" w:rsidR="00B46301" w:rsidRPr="005B1993" w:rsidRDefault="00635853" w:rsidP="00B0239E">
      <w:pPr>
        <w:pStyle w:val="Heading1"/>
        <w:numPr>
          <w:ilvl w:val="1"/>
          <w:numId w:val="35"/>
        </w:numPr>
      </w:pPr>
      <w:bookmarkStart w:id="4" w:name="_Toc218193661"/>
      <w:r w:rsidRPr="005B1993">
        <w:t>Case 2</w:t>
      </w:r>
      <w:r w:rsidR="00A509A5" w:rsidRPr="005B1993">
        <w:t xml:space="preserve"> Violations </w:t>
      </w:r>
      <w:r w:rsidR="005B1993" w:rsidRPr="005B1993">
        <w:t>at</w:t>
      </w:r>
      <w:r w:rsidR="00A509A5" w:rsidRPr="005B1993">
        <w:t xml:space="preserve"> </w:t>
      </w:r>
      <w:r w:rsidR="005B1993" w:rsidRPr="003D2FE0">
        <w:t xml:space="preserve">electric steel-smelting </w:t>
      </w:r>
      <w:r w:rsidR="00391FA2">
        <w:t>plant</w:t>
      </w:r>
      <w:r w:rsidR="005B1993" w:rsidRPr="003D2FE0">
        <w:t xml:space="preserve"> of Rustavi Steel LLC</w:t>
      </w:r>
      <w:bookmarkEnd w:id="4"/>
    </w:p>
    <w:p w14:paraId="20C3FC7F" w14:textId="77777777" w:rsidR="005B1993" w:rsidRDefault="005B1993" w:rsidP="00B0239E">
      <w:pPr>
        <w:spacing w:after="120"/>
        <w:rPr>
          <w:rFonts w:ascii="Calibri" w:hAnsi="Calibri" w:cs="Calibri"/>
          <w:color w:val="1D1D1D"/>
          <w:sz w:val="22"/>
          <w:szCs w:val="22"/>
        </w:rPr>
      </w:pPr>
    </w:p>
    <w:p w14:paraId="07720753" w14:textId="7B61D747" w:rsidR="003D2FE0" w:rsidRPr="00FB6635" w:rsidRDefault="003D2FE0" w:rsidP="00A736A4">
      <w:pPr>
        <w:pStyle w:val="BodyA"/>
        <w:spacing w:line="240" w:lineRule="auto"/>
        <w:jc w:val="both"/>
        <w:rPr>
          <w:rFonts w:ascii="Times New Roman" w:eastAsia="Arial Unicode MS" w:hAnsi="Times New Roman" w:cs="Times New Roman"/>
          <w:color w:val="auto"/>
          <w:sz w:val="24"/>
          <w:szCs w:val="24"/>
        </w:rPr>
      </w:pPr>
      <w:r w:rsidRPr="00FB6635">
        <w:rPr>
          <w:rFonts w:ascii="Times New Roman" w:eastAsia="Arial Unicode MS" w:hAnsi="Times New Roman" w:cs="Times New Roman"/>
          <w:color w:val="auto"/>
          <w:sz w:val="24"/>
          <w:szCs w:val="24"/>
        </w:rPr>
        <w:t xml:space="preserve">In February 2025, employees of the electric steel-smelting </w:t>
      </w:r>
      <w:r w:rsidR="00391FA2" w:rsidRPr="00FB6635">
        <w:rPr>
          <w:rFonts w:ascii="Times New Roman" w:eastAsia="Arial Unicode MS" w:hAnsi="Times New Roman" w:cs="Times New Roman"/>
          <w:color w:val="auto"/>
          <w:sz w:val="24"/>
          <w:szCs w:val="24"/>
        </w:rPr>
        <w:t>plant</w:t>
      </w:r>
      <w:r w:rsidRPr="00FB6635">
        <w:rPr>
          <w:rFonts w:ascii="Times New Roman" w:eastAsia="Arial Unicode MS" w:hAnsi="Times New Roman" w:cs="Times New Roman"/>
          <w:color w:val="auto"/>
          <w:sz w:val="24"/>
          <w:szCs w:val="24"/>
        </w:rPr>
        <w:t xml:space="preserve"> of Rustavi Steel LLC applied to the Georgian Trade Unions Confederation for legal assistance. The employees had initiated strike on 7 February 2025 without </w:t>
      </w:r>
      <w:r w:rsidR="00391FA2" w:rsidRPr="00FB6635">
        <w:rPr>
          <w:rFonts w:ascii="Times New Roman" w:eastAsia="Arial Unicode MS" w:hAnsi="Times New Roman" w:cs="Times New Roman"/>
          <w:color w:val="auto"/>
          <w:sz w:val="24"/>
          <w:szCs w:val="24"/>
        </w:rPr>
        <w:t>following</w:t>
      </w:r>
      <w:r w:rsidRPr="00FB6635">
        <w:rPr>
          <w:rFonts w:ascii="Times New Roman" w:eastAsia="Arial Unicode MS" w:hAnsi="Times New Roman" w:cs="Times New Roman"/>
          <w:color w:val="auto"/>
          <w:sz w:val="24"/>
          <w:szCs w:val="24"/>
        </w:rPr>
        <w:t xml:space="preserve"> the procedures prescribed by the Labour Code of Georgia.</w:t>
      </w:r>
    </w:p>
    <w:p w14:paraId="3C8FB6B9" w14:textId="77777777" w:rsidR="003D2FE0" w:rsidRPr="00FB6635" w:rsidRDefault="003D2FE0" w:rsidP="00A736A4">
      <w:pPr>
        <w:pStyle w:val="BodyA"/>
        <w:spacing w:line="240" w:lineRule="auto"/>
        <w:jc w:val="both"/>
        <w:rPr>
          <w:rFonts w:ascii="Times New Roman" w:eastAsia="Arial Unicode MS" w:hAnsi="Times New Roman" w:cs="Times New Roman"/>
          <w:color w:val="auto"/>
          <w:sz w:val="24"/>
          <w:szCs w:val="24"/>
        </w:rPr>
      </w:pPr>
      <w:r w:rsidRPr="00FB6635">
        <w:rPr>
          <w:rFonts w:ascii="Times New Roman" w:eastAsia="Arial Unicode MS" w:hAnsi="Times New Roman" w:cs="Times New Roman"/>
          <w:color w:val="auto"/>
          <w:sz w:val="24"/>
          <w:szCs w:val="24"/>
        </w:rPr>
        <w:t>The initial demands of the employees included the following:</w:t>
      </w:r>
    </w:p>
    <w:p w14:paraId="70619A31" w14:textId="7D687473" w:rsidR="003D2FE0" w:rsidRPr="00FB6635" w:rsidRDefault="003D2FE0" w:rsidP="00A736A4">
      <w:pPr>
        <w:pStyle w:val="BodyA"/>
        <w:numPr>
          <w:ilvl w:val="0"/>
          <w:numId w:val="41"/>
        </w:numPr>
        <w:spacing w:after="0" w:line="240" w:lineRule="auto"/>
        <w:jc w:val="both"/>
        <w:rPr>
          <w:rFonts w:ascii="Times New Roman" w:eastAsia="Arial Unicode MS" w:hAnsi="Times New Roman" w:cs="Times New Roman"/>
          <w:color w:val="auto"/>
          <w:sz w:val="24"/>
          <w:szCs w:val="24"/>
        </w:rPr>
      </w:pPr>
      <w:r w:rsidRPr="00FB6635">
        <w:rPr>
          <w:rFonts w:ascii="Times New Roman" w:eastAsia="Arial Unicode MS" w:hAnsi="Times New Roman" w:cs="Times New Roman"/>
          <w:color w:val="auto"/>
          <w:sz w:val="24"/>
          <w:szCs w:val="24"/>
        </w:rPr>
        <w:t xml:space="preserve">An increase in wages </w:t>
      </w:r>
      <w:r w:rsidR="00391FA2" w:rsidRPr="00FB6635">
        <w:rPr>
          <w:rFonts w:ascii="Times New Roman" w:eastAsia="Arial Unicode MS" w:hAnsi="Times New Roman" w:cs="Times New Roman"/>
          <w:color w:val="auto"/>
          <w:sz w:val="24"/>
          <w:szCs w:val="24"/>
        </w:rPr>
        <w:t>of</w:t>
      </w:r>
      <w:r w:rsidRPr="00FB6635">
        <w:rPr>
          <w:rFonts w:ascii="Times New Roman" w:eastAsia="Arial Unicode MS" w:hAnsi="Times New Roman" w:cs="Times New Roman"/>
          <w:color w:val="auto"/>
          <w:sz w:val="24"/>
          <w:szCs w:val="24"/>
        </w:rPr>
        <w:t xml:space="preserve"> 500 GEL;</w:t>
      </w:r>
    </w:p>
    <w:p w14:paraId="6B653279" w14:textId="10694B06" w:rsidR="003D2FE0" w:rsidRPr="00FB6635" w:rsidRDefault="003D2FE0" w:rsidP="00A736A4">
      <w:pPr>
        <w:pStyle w:val="BodyA"/>
        <w:numPr>
          <w:ilvl w:val="0"/>
          <w:numId w:val="41"/>
        </w:numPr>
        <w:spacing w:after="0" w:line="240" w:lineRule="auto"/>
        <w:jc w:val="both"/>
        <w:rPr>
          <w:rFonts w:ascii="Times New Roman" w:eastAsia="Arial Unicode MS" w:hAnsi="Times New Roman" w:cs="Times New Roman"/>
          <w:color w:val="auto"/>
          <w:sz w:val="24"/>
          <w:szCs w:val="24"/>
        </w:rPr>
      </w:pPr>
      <w:r w:rsidRPr="00FB6635">
        <w:rPr>
          <w:rFonts w:ascii="Times New Roman" w:eastAsia="Arial Unicode MS" w:hAnsi="Times New Roman" w:cs="Times New Roman"/>
          <w:color w:val="auto"/>
          <w:sz w:val="24"/>
          <w:szCs w:val="24"/>
        </w:rPr>
        <w:t xml:space="preserve">Restoration of abolished positions, as three employees were performing the workload previously assigned to one </w:t>
      </w:r>
      <w:r w:rsidR="00391FA2" w:rsidRPr="00FB6635">
        <w:rPr>
          <w:rFonts w:ascii="Times New Roman" w:eastAsia="Arial Unicode MS" w:hAnsi="Times New Roman" w:cs="Times New Roman"/>
          <w:color w:val="auto"/>
          <w:sz w:val="24"/>
          <w:szCs w:val="24"/>
        </w:rPr>
        <w:t>position.</w:t>
      </w:r>
    </w:p>
    <w:p w14:paraId="244E42B8" w14:textId="508AB2C6" w:rsidR="003D2FE0" w:rsidRPr="00FB6635" w:rsidRDefault="003D2FE0" w:rsidP="00A736A4">
      <w:pPr>
        <w:pStyle w:val="BodyA"/>
        <w:numPr>
          <w:ilvl w:val="0"/>
          <w:numId w:val="41"/>
        </w:numPr>
        <w:spacing w:after="0" w:line="240" w:lineRule="auto"/>
        <w:jc w:val="both"/>
        <w:rPr>
          <w:rFonts w:ascii="Times New Roman" w:eastAsia="Arial Unicode MS" w:hAnsi="Times New Roman" w:cs="Times New Roman"/>
          <w:color w:val="auto"/>
          <w:sz w:val="24"/>
          <w:szCs w:val="24"/>
        </w:rPr>
      </w:pPr>
      <w:r w:rsidRPr="00FB6635">
        <w:rPr>
          <w:rFonts w:ascii="Times New Roman" w:eastAsia="Arial Unicode MS" w:hAnsi="Times New Roman" w:cs="Times New Roman"/>
          <w:color w:val="auto"/>
          <w:sz w:val="24"/>
          <w:szCs w:val="24"/>
        </w:rPr>
        <w:t xml:space="preserve">Compliance with occupational safety </w:t>
      </w:r>
      <w:r w:rsidR="00391FA2" w:rsidRPr="00FB6635">
        <w:rPr>
          <w:rFonts w:ascii="Times New Roman" w:eastAsia="Arial Unicode MS" w:hAnsi="Times New Roman" w:cs="Times New Roman"/>
          <w:color w:val="auto"/>
          <w:sz w:val="24"/>
          <w:szCs w:val="24"/>
        </w:rPr>
        <w:t>standards.</w:t>
      </w:r>
    </w:p>
    <w:p w14:paraId="696262EF" w14:textId="5E26B036" w:rsidR="003D2FE0" w:rsidRPr="00FB6635" w:rsidRDefault="003D2FE0" w:rsidP="00A736A4">
      <w:pPr>
        <w:pStyle w:val="BodyA"/>
        <w:numPr>
          <w:ilvl w:val="0"/>
          <w:numId w:val="41"/>
        </w:numPr>
        <w:spacing w:after="0" w:line="240" w:lineRule="auto"/>
        <w:jc w:val="both"/>
        <w:rPr>
          <w:rFonts w:ascii="Times New Roman" w:eastAsia="Arial Unicode MS" w:hAnsi="Times New Roman" w:cs="Times New Roman"/>
          <w:color w:val="auto"/>
          <w:sz w:val="24"/>
          <w:szCs w:val="24"/>
        </w:rPr>
      </w:pPr>
      <w:r w:rsidRPr="00FB6635">
        <w:rPr>
          <w:rFonts w:ascii="Times New Roman" w:eastAsia="Arial Unicode MS" w:hAnsi="Times New Roman" w:cs="Times New Roman"/>
          <w:color w:val="auto"/>
          <w:sz w:val="24"/>
          <w:szCs w:val="24"/>
        </w:rPr>
        <w:t xml:space="preserve">Guarantees that employees </w:t>
      </w:r>
      <w:r w:rsidR="00391FA2" w:rsidRPr="00FB6635">
        <w:rPr>
          <w:rFonts w:ascii="Times New Roman" w:eastAsia="Arial Unicode MS" w:hAnsi="Times New Roman" w:cs="Times New Roman"/>
          <w:color w:val="auto"/>
          <w:sz w:val="24"/>
          <w:szCs w:val="24"/>
        </w:rPr>
        <w:t>will</w:t>
      </w:r>
      <w:r w:rsidRPr="00FB6635">
        <w:rPr>
          <w:rFonts w:ascii="Times New Roman" w:eastAsia="Arial Unicode MS" w:hAnsi="Times New Roman" w:cs="Times New Roman"/>
          <w:color w:val="auto"/>
          <w:sz w:val="24"/>
          <w:szCs w:val="24"/>
        </w:rPr>
        <w:t xml:space="preserve"> not be dismissed </w:t>
      </w:r>
      <w:r w:rsidR="00381108" w:rsidRPr="00FB6635">
        <w:rPr>
          <w:rFonts w:ascii="Times New Roman" w:eastAsia="Arial Unicode MS" w:hAnsi="Times New Roman" w:cs="Times New Roman"/>
          <w:color w:val="auto"/>
          <w:sz w:val="24"/>
          <w:szCs w:val="24"/>
        </w:rPr>
        <w:t>because of</w:t>
      </w:r>
      <w:r w:rsidRPr="00FB6635">
        <w:rPr>
          <w:rFonts w:ascii="Times New Roman" w:eastAsia="Arial Unicode MS" w:hAnsi="Times New Roman" w:cs="Times New Roman"/>
          <w:color w:val="auto"/>
          <w:sz w:val="24"/>
          <w:szCs w:val="24"/>
        </w:rPr>
        <w:t xml:space="preserve"> their participation in the strike.</w:t>
      </w:r>
    </w:p>
    <w:p w14:paraId="7E7A5FB5" w14:textId="4BBCBCCA" w:rsidR="003D2FE0" w:rsidRPr="00FB6635" w:rsidRDefault="003D2FE0" w:rsidP="00A736A4">
      <w:pPr>
        <w:pStyle w:val="BodyA"/>
        <w:spacing w:line="240" w:lineRule="auto"/>
        <w:jc w:val="both"/>
        <w:rPr>
          <w:rFonts w:ascii="Times New Roman" w:eastAsia="Arial Unicode MS" w:hAnsi="Times New Roman" w:cs="Times New Roman"/>
          <w:color w:val="auto"/>
          <w:sz w:val="24"/>
          <w:szCs w:val="24"/>
        </w:rPr>
      </w:pPr>
      <w:r w:rsidRPr="00FB6635">
        <w:rPr>
          <w:rFonts w:ascii="Times New Roman" w:eastAsia="Arial Unicode MS" w:hAnsi="Times New Roman" w:cs="Times New Roman"/>
          <w:color w:val="auto"/>
          <w:sz w:val="24"/>
          <w:szCs w:val="24"/>
        </w:rPr>
        <w:t xml:space="preserve">The protest action (strike) initiated by the employees of the electric steel-smelting </w:t>
      </w:r>
      <w:r w:rsidR="00391FA2" w:rsidRPr="00FB6635">
        <w:rPr>
          <w:rFonts w:ascii="Times New Roman" w:eastAsia="Arial Unicode MS" w:hAnsi="Times New Roman" w:cs="Times New Roman"/>
          <w:color w:val="auto"/>
          <w:sz w:val="24"/>
          <w:szCs w:val="24"/>
        </w:rPr>
        <w:t xml:space="preserve">plant </w:t>
      </w:r>
      <w:r w:rsidRPr="00FB6635">
        <w:rPr>
          <w:rFonts w:ascii="Times New Roman" w:eastAsia="Arial Unicode MS" w:hAnsi="Times New Roman" w:cs="Times New Roman"/>
          <w:color w:val="auto"/>
          <w:sz w:val="24"/>
          <w:szCs w:val="24"/>
        </w:rPr>
        <w:t xml:space="preserve">was subsequently joined by employees of the rolling mill </w:t>
      </w:r>
      <w:r w:rsidR="00381108" w:rsidRPr="00FB6635">
        <w:rPr>
          <w:rFonts w:ascii="Times New Roman" w:eastAsia="Arial Unicode MS" w:hAnsi="Times New Roman" w:cs="Times New Roman"/>
          <w:color w:val="auto"/>
          <w:sz w:val="24"/>
          <w:szCs w:val="24"/>
        </w:rPr>
        <w:t>at the Rustavi Metallurgical Plant</w:t>
      </w:r>
      <w:r w:rsidRPr="00FB6635">
        <w:rPr>
          <w:rFonts w:ascii="Times New Roman" w:eastAsia="Arial Unicode MS" w:hAnsi="Times New Roman" w:cs="Times New Roman"/>
          <w:color w:val="auto"/>
          <w:sz w:val="24"/>
          <w:szCs w:val="24"/>
        </w:rPr>
        <w:t>. However, the employees of the rolling mill insisted that the strike be conducted in accordance with the procedures established by law. Together with its member organization</w:t>
      </w:r>
      <w:r w:rsidR="003B05A5" w:rsidRPr="00FB6635">
        <w:rPr>
          <w:rFonts w:ascii="Times New Roman" w:eastAsia="Arial Unicode MS" w:hAnsi="Times New Roman" w:cs="Times New Roman"/>
          <w:color w:val="auto"/>
          <w:sz w:val="24"/>
          <w:szCs w:val="24"/>
        </w:rPr>
        <w:t xml:space="preserve">, </w:t>
      </w:r>
      <w:r w:rsidRPr="00FB6635">
        <w:rPr>
          <w:rFonts w:ascii="Times New Roman" w:eastAsia="Arial Unicode MS" w:hAnsi="Times New Roman" w:cs="Times New Roman"/>
          <w:color w:val="auto"/>
          <w:sz w:val="24"/>
          <w:szCs w:val="24"/>
        </w:rPr>
        <w:t>the Trade Union of Workers of the Metallurgical, Mining, and Chemical Industries of Georgia</w:t>
      </w:r>
      <w:r w:rsidR="003B05A5" w:rsidRPr="00FB6635">
        <w:rPr>
          <w:rFonts w:ascii="Times New Roman" w:eastAsia="Arial Unicode MS" w:hAnsi="Times New Roman" w:cs="Times New Roman"/>
          <w:color w:val="auto"/>
          <w:sz w:val="24"/>
          <w:szCs w:val="24"/>
        </w:rPr>
        <w:t xml:space="preserve">, </w:t>
      </w:r>
      <w:r w:rsidRPr="00FB6635">
        <w:rPr>
          <w:rFonts w:ascii="Times New Roman" w:eastAsia="Arial Unicode MS" w:hAnsi="Times New Roman" w:cs="Times New Roman"/>
          <w:color w:val="auto"/>
          <w:sz w:val="24"/>
          <w:szCs w:val="24"/>
        </w:rPr>
        <w:t xml:space="preserve">GTUC brought the dispute within the legal framework and initiated collective </w:t>
      </w:r>
      <w:proofErr w:type="spellStart"/>
      <w:r w:rsidRPr="00FB6635">
        <w:rPr>
          <w:rFonts w:ascii="Times New Roman" w:eastAsia="Arial Unicode MS" w:hAnsi="Times New Roman" w:cs="Times New Roman"/>
          <w:color w:val="auto"/>
          <w:sz w:val="24"/>
          <w:szCs w:val="24"/>
        </w:rPr>
        <w:t>labour</w:t>
      </w:r>
      <w:proofErr w:type="spellEnd"/>
      <w:r w:rsidRPr="00FB6635">
        <w:rPr>
          <w:rFonts w:ascii="Times New Roman" w:eastAsia="Arial Unicode MS" w:hAnsi="Times New Roman" w:cs="Times New Roman"/>
          <w:color w:val="auto"/>
          <w:sz w:val="24"/>
          <w:szCs w:val="24"/>
        </w:rPr>
        <w:t xml:space="preserve"> dispute resolution procedures through mediation, as provided for by law.</w:t>
      </w:r>
    </w:p>
    <w:p w14:paraId="37B6B0BE" w14:textId="77777777" w:rsidR="003D2FE0" w:rsidRPr="00FB6635" w:rsidRDefault="003D2FE0" w:rsidP="00A736A4">
      <w:pPr>
        <w:pStyle w:val="BodyA"/>
        <w:spacing w:line="240" w:lineRule="auto"/>
        <w:jc w:val="both"/>
        <w:rPr>
          <w:rFonts w:ascii="Times New Roman" w:eastAsia="Arial Unicode MS" w:hAnsi="Times New Roman" w:cs="Times New Roman"/>
          <w:color w:val="auto"/>
          <w:sz w:val="24"/>
          <w:szCs w:val="24"/>
        </w:rPr>
      </w:pPr>
      <w:r w:rsidRPr="00FB6635">
        <w:rPr>
          <w:rFonts w:ascii="Times New Roman" w:eastAsia="Arial Unicode MS" w:hAnsi="Times New Roman" w:cs="Times New Roman"/>
          <w:color w:val="auto"/>
          <w:sz w:val="24"/>
          <w:szCs w:val="24"/>
        </w:rPr>
        <w:lastRenderedPageBreak/>
        <w:t>The demands of the employees of the rolling mill workshop included:</w:t>
      </w:r>
    </w:p>
    <w:p w14:paraId="70591C1E" w14:textId="77777777" w:rsidR="006A18F5" w:rsidRPr="00FB6635" w:rsidRDefault="003D2FE0" w:rsidP="00A736A4">
      <w:pPr>
        <w:pStyle w:val="BodyA"/>
        <w:numPr>
          <w:ilvl w:val="0"/>
          <w:numId w:val="44"/>
        </w:numPr>
        <w:spacing w:after="0" w:line="240" w:lineRule="auto"/>
        <w:jc w:val="both"/>
        <w:rPr>
          <w:rFonts w:ascii="Times New Roman" w:eastAsia="Arial Unicode MS" w:hAnsi="Times New Roman" w:cs="Times New Roman"/>
          <w:color w:val="auto"/>
          <w:sz w:val="24"/>
          <w:szCs w:val="24"/>
        </w:rPr>
      </w:pPr>
      <w:r w:rsidRPr="00FB6635">
        <w:rPr>
          <w:rFonts w:ascii="Times New Roman" w:eastAsia="Arial Unicode MS" w:hAnsi="Times New Roman" w:cs="Times New Roman"/>
          <w:color w:val="auto"/>
          <w:sz w:val="24"/>
          <w:szCs w:val="24"/>
        </w:rPr>
        <w:t>An increase in wages by 400 GEL;</w:t>
      </w:r>
    </w:p>
    <w:p w14:paraId="29FA059B" w14:textId="77777777" w:rsidR="006A18F5" w:rsidRPr="00FB6635" w:rsidRDefault="003D2FE0" w:rsidP="00A736A4">
      <w:pPr>
        <w:pStyle w:val="BodyA"/>
        <w:numPr>
          <w:ilvl w:val="0"/>
          <w:numId w:val="44"/>
        </w:numPr>
        <w:spacing w:after="0" w:line="240" w:lineRule="auto"/>
        <w:jc w:val="both"/>
        <w:rPr>
          <w:rFonts w:ascii="Times New Roman" w:eastAsia="Arial Unicode MS" w:hAnsi="Times New Roman" w:cs="Times New Roman"/>
          <w:color w:val="auto"/>
          <w:sz w:val="24"/>
          <w:szCs w:val="24"/>
        </w:rPr>
      </w:pPr>
      <w:r w:rsidRPr="00FB6635">
        <w:rPr>
          <w:rFonts w:ascii="Times New Roman" w:eastAsia="Arial Unicode MS" w:hAnsi="Times New Roman" w:cs="Times New Roman"/>
          <w:color w:val="auto"/>
          <w:sz w:val="24"/>
          <w:szCs w:val="24"/>
        </w:rPr>
        <w:t xml:space="preserve">Payment for overtime work performed by </w:t>
      </w:r>
      <w:r w:rsidR="00180F23" w:rsidRPr="00FB6635">
        <w:rPr>
          <w:rFonts w:ascii="Times New Roman" w:eastAsia="Arial Unicode MS" w:hAnsi="Times New Roman" w:cs="Times New Roman"/>
          <w:color w:val="auto"/>
          <w:sz w:val="24"/>
          <w:szCs w:val="24"/>
        </w:rPr>
        <w:t>employees.</w:t>
      </w:r>
    </w:p>
    <w:p w14:paraId="038190B7" w14:textId="77777777" w:rsidR="006A18F5" w:rsidRPr="00FB6635" w:rsidRDefault="003D2FE0" w:rsidP="00A736A4">
      <w:pPr>
        <w:pStyle w:val="BodyA"/>
        <w:numPr>
          <w:ilvl w:val="0"/>
          <w:numId w:val="44"/>
        </w:numPr>
        <w:spacing w:after="0" w:line="240" w:lineRule="auto"/>
        <w:jc w:val="both"/>
        <w:rPr>
          <w:rFonts w:ascii="Times New Roman" w:eastAsia="Arial Unicode MS" w:hAnsi="Times New Roman" w:cs="Times New Roman"/>
          <w:color w:val="auto"/>
          <w:sz w:val="24"/>
          <w:szCs w:val="24"/>
        </w:rPr>
      </w:pPr>
      <w:r w:rsidRPr="00FB6635">
        <w:rPr>
          <w:rFonts w:ascii="Times New Roman" w:eastAsia="Arial Unicode MS" w:hAnsi="Times New Roman" w:cs="Times New Roman"/>
          <w:color w:val="auto"/>
          <w:sz w:val="24"/>
          <w:szCs w:val="24"/>
        </w:rPr>
        <w:t>Compliance by the employer with occupational safety standards;</w:t>
      </w:r>
    </w:p>
    <w:p w14:paraId="0606A862" w14:textId="77777777" w:rsidR="006A18F5" w:rsidRPr="00FB6635" w:rsidRDefault="003D2FE0" w:rsidP="00A736A4">
      <w:pPr>
        <w:pStyle w:val="BodyA"/>
        <w:numPr>
          <w:ilvl w:val="0"/>
          <w:numId w:val="44"/>
        </w:numPr>
        <w:spacing w:after="0" w:line="240" w:lineRule="auto"/>
        <w:jc w:val="both"/>
        <w:rPr>
          <w:rFonts w:ascii="Times New Roman" w:eastAsia="Arial Unicode MS" w:hAnsi="Times New Roman" w:cs="Times New Roman"/>
          <w:color w:val="auto"/>
          <w:sz w:val="24"/>
          <w:szCs w:val="24"/>
        </w:rPr>
      </w:pPr>
      <w:r w:rsidRPr="00FB6635">
        <w:rPr>
          <w:rFonts w:ascii="Times New Roman" w:eastAsia="Arial Unicode MS" w:hAnsi="Times New Roman" w:cs="Times New Roman"/>
          <w:color w:val="auto"/>
          <w:sz w:val="24"/>
          <w:szCs w:val="24"/>
        </w:rPr>
        <w:t>Revision of the company’s bonus system;</w:t>
      </w:r>
    </w:p>
    <w:p w14:paraId="1D007DDF" w14:textId="77777777" w:rsidR="006A18F5" w:rsidRPr="00FB6635" w:rsidRDefault="003D2FE0" w:rsidP="00A736A4">
      <w:pPr>
        <w:pStyle w:val="BodyA"/>
        <w:numPr>
          <w:ilvl w:val="0"/>
          <w:numId w:val="44"/>
        </w:numPr>
        <w:spacing w:after="0" w:line="240" w:lineRule="auto"/>
        <w:jc w:val="both"/>
        <w:rPr>
          <w:rFonts w:ascii="Times New Roman" w:eastAsia="Arial Unicode MS" w:hAnsi="Times New Roman" w:cs="Times New Roman"/>
          <w:color w:val="auto"/>
          <w:sz w:val="24"/>
          <w:szCs w:val="24"/>
        </w:rPr>
      </w:pPr>
      <w:r w:rsidRPr="00FB6635">
        <w:rPr>
          <w:rFonts w:ascii="Times New Roman" w:eastAsia="Arial Unicode MS" w:hAnsi="Times New Roman" w:cs="Times New Roman"/>
          <w:color w:val="auto"/>
          <w:sz w:val="24"/>
          <w:szCs w:val="24"/>
        </w:rPr>
        <w:t>Improvement of health insurance coverage;</w:t>
      </w:r>
    </w:p>
    <w:p w14:paraId="6E2FE693" w14:textId="77777777" w:rsidR="006A18F5" w:rsidRPr="00FB6635" w:rsidRDefault="003D2FE0" w:rsidP="00A736A4">
      <w:pPr>
        <w:pStyle w:val="BodyA"/>
        <w:numPr>
          <w:ilvl w:val="0"/>
          <w:numId w:val="44"/>
        </w:numPr>
        <w:spacing w:after="0" w:line="240" w:lineRule="auto"/>
        <w:jc w:val="both"/>
        <w:rPr>
          <w:rFonts w:ascii="Times New Roman" w:eastAsia="Arial Unicode MS" w:hAnsi="Times New Roman" w:cs="Times New Roman"/>
          <w:color w:val="auto"/>
          <w:sz w:val="24"/>
          <w:szCs w:val="24"/>
        </w:rPr>
      </w:pPr>
      <w:r w:rsidRPr="00FB6635">
        <w:rPr>
          <w:rFonts w:ascii="Times New Roman" w:eastAsia="Arial Unicode MS" w:hAnsi="Times New Roman" w:cs="Times New Roman"/>
          <w:color w:val="auto"/>
          <w:sz w:val="24"/>
          <w:szCs w:val="24"/>
        </w:rPr>
        <w:t>Prohibition of discrimination based on trade union activity; and</w:t>
      </w:r>
    </w:p>
    <w:p w14:paraId="7B4FDF3E" w14:textId="556A684B" w:rsidR="003D2FE0" w:rsidRPr="00FB6635" w:rsidRDefault="003D2FE0" w:rsidP="00C742DF">
      <w:pPr>
        <w:pStyle w:val="BodyA"/>
        <w:numPr>
          <w:ilvl w:val="0"/>
          <w:numId w:val="44"/>
        </w:numPr>
        <w:spacing w:after="0" w:line="240" w:lineRule="auto"/>
        <w:jc w:val="both"/>
        <w:rPr>
          <w:rFonts w:ascii="Times New Roman" w:eastAsia="Arial Unicode MS" w:hAnsi="Times New Roman" w:cs="Times New Roman"/>
          <w:color w:val="auto"/>
          <w:sz w:val="24"/>
          <w:szCs w:val="24"/>
        </w:rPr>
      </w:pPr>
      <w:r w:rsidRPr="00FB6635">
        <w:rPr>
          <w:rFonts w:ascii="Times New Roman" w:eastAsia="Arial Unicode MS" w:hAnsi="Times New Roman" w:cs="Times New Roman"/>
          <w:color w:val="auto"/>
          <w:sz w:val="24"/>
          <w:szCs w:val="24"/>
        </w:rPr>
        <w:t>Cooperation with the trade union and the conclusion of a collective agreement.</w:t>
      </w:r>
    </w:p>
    <w:p w14:paraId="110E2D64" w14:textId="77777777" w:rsidR="00C742DF" w:rsidRPr="00FB6635" w:rsidRDefault="00C742DF" w:rsidP="00A736A4">
      <w:pPr>
        <w:pStyle w:val="BodyA"/>
        <w:spacing w:after="0" w:line="240" w:lineRule="auto"/>
        <w:ind w:left="720"/>
        <w:jc w:val="both"/>
        <w:rPr>
          <w:rFonts w:ascii="Times New Roman" w:eastAsia="Arial Unicode MS" w:hAnsi="Times New Roman" w:cs="Times New Roman"/>
          <w:color w:val="auto"/>
          <w:sz w:val="24"/>
          <w:szCs w:val="24"/>
        </w:rPr>
      </w:pPr>
    </w:p>
    <w:p w14:paraId="4234560B" w14:textId="5C6C6153" w:rsidR="003D2FE0" w:rsidRPr="00FB6635" w:rsidRDefault="003D2FE0" w:rsidP="00A736A4">
      <w:pPr>
        <w:pStyle w:val="BodyA"/>
        <w:spacing w:line="240" w:lineRule="auto"/>
        <w:jc w:val="both"/>
        <w:rPr>
          <w:rFonts w:ascii="Times New Roman" w:eastAsia="Arial Unicode MS" w:hAnsi="Times New Roman" w:cs="Times New Roman"/>
          <w:color w:val="auto"/>
          <w:sz w:val="24"/>
          <w:szCs w:val="24"/>
        </w:rPr>
      </w:pPr>
      <w:r w:rsidRPr="00FB6635">
        <w:rPr>
          <w:rFonts w:ascii="Times New Roman" w:eastAsia="Arial Unicode MS" w:hAnsi="Times New Roman" w:cs="Times New Roman"/>
          <w:color w:val="auto"/>
          <w:sz w:val="24"/>
          <w:szCs w:val="24"/>
        </w:rPr>
        <w:t xml:space="preserve">The two collective </w:t>
      </w:r>
      <w:proofErr w:type="spellStart"/>
      <w:r w:rsidRPr="00FB6635">
        <w:rPr>
          <w:rFonts w:ascii="Times New Roman" w:eastAsia="Arial Unicode MS" w:hAnsi="Times New Roman" w:cs="Times New Roman"/>
          <w:color w:val="auto"/>
          <w:sz w:val="24"/>
          <w:szCs w:val="24"/>
        </w:rPr>
        <w:t>labour</w:t>
      </w:r>
      <w:proofErr w:type="spellEnd"/>
      <w:r w:rsidRPr="00FB6635">
        <w:rPr>
          <w:rFonts w:ascii="Times New Roman" w:eastAsia="Arial Unicode MS" w:hAnsi="Times New Roman" w:cs="Times New Roman"/>
          <w:color w:val="auto"/>
          <w:sz w:val="24"/>
          <w:szCs w:val="24"/>
        </w:rPr>
        <w:t xml:space="preserve"> disputes were consolidated, and a single mediator was appointed. Two separate mediation meetings were held with employees; however, the employer and its representatives refused to cooperate with the trade unions. As a result, the mediation process did not lead to an agreement between the parties. The </w:t>
      </w:r>
      <w:r w:rsidR="001527AE" w:rsidRPr="00FB6635">
        <w:rPr>
          <w:rFonts w:ascii="Times New Roman" w:eastAsia="Arial Unicode MS" w:hAnsi="Times New Roman" w:cs="Times New Roman"/>
          <w:color w:val="auto"/>
          <w:sz w:val="24"/>
          <w:szCs w:val="24"/>
        </w:rPr>
        <w:t>strike</w:t>
      </w:r>
      <w:r w:rsidRPr="00FB6635">
        <w:rPr>
          <w:rFonts w:ascii="Times New Roman" w:eastAsia="Arial Unicode MS" w:hAnsi="Times New Roman" w:cs="Times New Roman"/>
          <w:color w:val="auto"/>
          <w:sz w:val="24"/>
          <w:szCs w:val="24"/>
        </w:rPr>
        <w:t xml:space="preserve"> ended on 5 April 2025.</w:t>
      </w:r>
    </w:p>
    <w:p w14:paraId="6CD5BC09" w14:textId="77777777" w:rsidR="003D2FE0" w:rsidRPr="00FB6635" w:rsidRDefault="003D2FE0" w:rsidP="00A736A4">
      <w:pPr>
        <w:pStyle w:val="BodyA"/>
        <w:spacing w:line="240" w:lineRule="auto"/>
        <w:jc w:val="both"/>
        <w:rPr>
          <w:rFonts w:ascii="Times New Roman" w:eastAsia="Arial Unicode MS" w:hAnsi="Times New Roman" w:cs="Times New Roman"/>
          <w:color w:val="auto"/>
          <w:sz w:val="24"/>
          <w:szCs w:val="24"/>
        </w:rPr>
      </w:pPr>
      <w:r w:rsidRPr="00FB6635">
        <w:rPr>
          <w:rFonts w:ascii="Times New Roman" w:eastAsia="Arial Unicode MS" w:hAnsi="Times New Roman" w:cs="Times New Roman"/>
          <w:color w:val="auto"/>
          <w:sz w:val="24"/>
          <w:szCs w:val="24"/>
        </w:rPr>
        <w:t xml:space="preserve">Subsequently, the employer dismissed all employees who had been actively involved in the strike. GTUC considers that the employer’s actions violated not only the procedural requirements governing dismissals, but also fundamental international </w:t>
      </w:r>
      <w:proofErr w:type="spellStart"/>
      <w:r w:rsidRPr="00FB6635">
        <w:rPr>
          <w:rFonts w:ascii="Times New Roman" w:eastAsia="Arial Unicode MS" w:hAnsi="Times New Roman" w:cs="Times New Roman"/>
          <w:color w:val="auto"/>
          <w:sz w:val="24"/>
          <w:szCs w:val="24"/>
        </w:rPr>
        <w:t>labour</w:t>
      </w:r>
      <w:proofErr w:type="spellEnd"/>
      <w:r w:rsidRPr="00FB6635">
        <w:rPr>
          <w:rFonts w:ascii="Times New Roman" w:eastAsia="Arial Unicode MS" w:hAnsi="Times New Roman" w:cs="Times New Roman"/>
          <w:color w:val="auto"/>
          <w:sz w:val="24"/>
          <w:szCs w:val="24"/>
        </w:rPr>
        <w:t xml:space="preserve"> standards, including the right to strike as an essential component of freedom of association and the prohibition of discrimination in employment relations.</w:t>
      </w:r>
    </w:p>
    <w:p w14:paraId="5E9B8F84" w14:textId="77777777" w:rsidR="003D2FE0" w:rsidRPr="00FB6635" w:rsidRDefault="003D2FE0" w:rsidP="00A736A4">
      <w:pPr>
        <w:pStyle w:val="BodyA"/>
        <w:spacing w:line="240" w:lineRule="auto"/>
        <w:jc w:val="both"/>
        <w:rPr>
          <w:rFonts w:ascii="Times New Roman" w:eastAsia="Arial Unicode MS" w:hAnsi="Times New Roman" w:cs="Times New Roman"/>
          <w:color w:val="auto"/>
          <w:sz w:val="24"/>
          <w:szCs w:val="24"/>
        </w:rPr>
      </w:pPr>
      <w:r w:rsidRPr="00FB6635">
        <w:rPr>
          <w:rFonts w:ascii="Times New Roman" w:eastAsia="Arial Unicode MS" w:hAnsi="Times New Roman" w:cs="Times New Roman"/>
          <w:color w:val="auto"/>
          <w:sz w:val="24"/>
          <w:szCs w:val="24"/>
        </w:rPr>
        <w:t>GTUC has challenged these dismissals before the courts and currently represents eight claimants. At the time of reporting, court proceedings have not yet commenced.</w:t>
      </w:r>
    </w:p>
    <w:p w14:paraId="4448BF71" w14:textId="6ED1507E" w:rsidR="00FB6635" w:rsidRPr="00FB6635" w:rsidRDefault="003D2FE0" w:rsidP="00A736A4">
      <w:pPr>
        <w:pStyle w:val="BodyA"/>
        <w:spacing w:line="240" w:lineRule="auto"/>
        <w:jc w:val="both"/>
        <w:rPr>
          <w:rFonts w:ascii="Times New Roman" w:eastAsia="Arial Unicode MS" w:hAnsi="Times New Roman" w:cs="Times New Roman"/>
          <w:color w:val="auto"/>
          <w:sz w:val="24"/>
          <w:szCs w:val="24"/>
        </w:rPr>
      </w:pPr>
      <w:r w:rsidRPr="00FB6635">
        <w:rPr>
          <w:rFonts w:ascii="Times New Roman" w:eastAsia="Arial Unicode MS" w:hAnsi="Times New Roman" w:cs="Times New Roman"/>
          <w:color w:val="auto"/>
          <w:sz w:val="24"/>
          <w:szCs w:val="24"/>
        </w:rPr>
        <w:t xml:space="preserve">These cases clearly demonstrate that the effective exercise of the right to strike in Georgia remains highly problematic, particularly </w:t>
      </w:r>
      <w:r w:rsidR="00DE4E13" w:rsidRPr="00FB6635">
        <w:rPr>
          <w:rFonts w:ascii="Times New Roman" w:eastAsia="Arial Unicode MS" w:hAnsi="Times New Roman" w:cs="Times New Roman"/>
          <w:color w:val="auto"/>
          <w:sz w:val="24"/>
          <w:szCs w:val="24"/>
        </w:rPr>
        <w:t>considering</w:t>
      </w:r>
      <w:r w:rsidRPr="00FB6635">
        <w:rPr>
          <w:rFonts w:ascii="Times New Roman" w:eastAsia="Arial Unicode MS" w:hAnsi="Times New Roman" w:cs="Times New Roman"/>
          <w:color w:val="auto"/>
          <w:sz w:val="24"/>
          <w:szCs w:val="24"/>
        </w:rPr>
        <w:t xml:space="preserve"> the continued absence</w:t>
      </w:r>
      <w:r w:rsidR="00DE4E13" w:rsidRPr="00FB6635">
        <w:rPr>
          <w:rFonts w:ascii="Times New Roman" w:eastAsia="Arial Unicode MS" w:hAnsi="Times New Roman" w:cs="Times New Roman"/>
          <w:color w:val="auto"/>
          <w:sz w:val="24"/>
          <w:szCs w:val="24"/>
        </w:rPr>
        <w:t xml:space="preserve">, </w:t>
      </w:r>
      <w:r w:rsidRPr="00FB6635">
        <w:rPr>
          <w:rFonts w:ascii="Times New Roman" w:eastAsia="Arial Unicode MS" w:hAnsi="Times New Roman" w:cs="Times New Roman"/>
          <w:color w:val="auto"/>
          <w:sz w:val="24"/>
          <w:szCs w:val="24"/>
        </w:rPr>
        <w:t>despite GTUC’s long-standing demands</w:t>
      </w:r>
      <w:r w:rsidR="00DE4E13" w:rsidRPr="00FB6635">
        <w:rPr>
          <w:rFonts w:ascii="Times New Roman" w:eastAsia="Arial Unicode MS" w:hAnsi="Times New Roman" w:cs="Times New Roman"/>
          <w:color w:val="auto"/>
          <w:sz w:val="24"/>
          <w:szCs w:val="24"/>
        </w:rPr>
        <w:t xml:space="preserve">, </w:t>
      </w:r>
      <w:r w:rsidRPr="00FB6635">
        <w:rPr>
          <w:rFonts w:ascii="Times New Roman" w:eastAsia="Arial Unicode MS" w:hAnsi="Times New Roman" w:cs="Times New Roman"/>
          <w:color w:val="auto"/>
          <w:sz w:val="24"/>
          <w:szCs w:val="24"/>
        </w:rPr>
        <w:t>of a legal framework for solidarity strikes, which would enhance the scale and effectiveness of strike action.</w:t>
      </w:r>
    </w:p>
    <w:p w14:paraId="4D153626" w14:textId="22578ED8" w:rsidR="009C7B6C" w:rsidRDefault="009C7B6C" w:rsidP="00B0239E">
      <w:pPr>
        <w:pStyle w:val="Heading1"/>
        <w:numPr>
          <w:ilvl w:val="0"/>
          <w:numId w:val="35"/>
        </w:numPr>
        <w:rPr>
          <w:rFonts w:eastAsia="Arial Unicode MS" w:hint="eastAsia"/>
        </w:rPr>
      </w:pPr>
      <w:bookmarkStart w:id="5" w:name="_Toc218193662"/>
      <w:r w:rsidRPr="009C7B6C">
        <w:rPr>
          <w:rFonts w:eastAsia="Arial Unicode MS"/>
        </w:rPr>
        <w:t>Conclusion</w:t>
      </w:r>
      <w:r>
        <w:rPr>
          <w:rFonts w:eastAsia="Arial Unicode MS"/>
        </w:rPr>
        <w:t xml:space="preserve"> and recommendations</w:t>
      </w:r>
      <w:bookmarkEnd w:id="5"/>
    </w:p>
    <w:p w14:paraId="6E8C3B9C" w14:textId="77777777" w:rsidR="009C7B6C" w:rsidRPr="009C7B6C" w:rsidRDefault="009C7B6C" w:rsidP="00B0239E"/>
    <w:p w14:paraId="41CB1F3B" w14:textId="3188ED29" w:rsidR="009C7B6C" w:rsidRPr="00FB6635" w:rsidRDefault="009C7B6C" w:rsidP="00A736A4">
      <w:pPr>
        <w:pStyle w:val="BodyA"/>
        <w:spacing w:line="240" w:lineRule="auto"/>
        <w:jc w:val="both"/>
        <w:rPr>
          <w:rFonts w:ascii="Times New Roman" w:eastAsia="Arial Unicode MS" w:hAnsi="Times New Roman" w:cs="Times New Roman"/>
          <w:color w:val="auto"/>
          <w:sz w:val="24"/>
          <w:szCs w:val="24"/>
        </w:rPr>
      </w:pPr>
      <w:r w:rsidRPr="00FB6635">
        <w:rPr>
          <w:rFonts w:ascii="Times New Roman" w:eastAsia="Arial Unicode MS" w:hAnsi="Times New Roman" w:cs="Times New Roman"/>
          <w:color w:val="auto"/>
          <w:sz w:val="24"/>
          <w:szCs w:val="24"/>
        </w:rPr>
        <w:t xml:space="preserve">Based on the above-mentioned information, legislative analysis, and documented case studies, it can be concluded that the effective enjoyment of freedom of association, trade union rights, and the right to strike in Georgia remains significantly constrained in both law and practice. Despite certain legislative reforms adopted in recent years, including amendments to the Labour Code and the establishment of </w:t>
      </w:r>
      <w:proofErr w:type="spellStart"/>
      <w:r w:rsidRPr="00FB6635">
        <w:rPr>
          <w:rFonts w:ascii="Times New Roman" w:eastAsia="Arial Unicode MS" w:hAnsi="Times New Roman" w:cs="Times New Roman"/>
          <w:color w:val="auto"/>
          <w:sz w:val="24"/>
          <w:szCs w:val="24"/>
        </w:rPr>
        <w:t>labour</w:t>
      </w:r>
      <w:proofErr w:type="spellEnd"/>
      <w:r w:rsidRPr="00FB6635">
        <w:rPr>
          <w:rFonts w:ascii="Times New Roman" w:eastAsia="Arial Unicode MS" w:hAnsi="Times New Roman" w:cs="Times New Roman"/>
          <w:color w:val="auto"/>
          <w:sz w:val="24"/>
          <w:szCs w:val="24"/>
        </w:rPr>
        <w:t xml:space="preserve"> inspection mechanisms, these measures have not resulted in meaningful improvements in the realization of collective </w:t>
      </w:r>
      <w:proofErr w:type="spellStart"/>
      <w:r w:rsidRPr="00FB6635">
        <w:rPr>
          <w:rFonts w:ascii="Times New Roman" w:eastAsia="Arial Unicode MS" w:hAnsi="Times New Roman" w:cs="Times New Roman"/>
          <w:color w:val="auto"/>
          <w:sz w:val="24"/>
          <w:szCs w:val="24"/>
        </w:rPr>
        <w:t>labour</w:t>
      </w:r>
      <w:proofErr w:type="spellEnd"/>
      <w:r w:rsidRPr="00FB6635">
        <w:rPr>
          <w:rFonts w:ascii="Times New Roman" w:eastAsia="Arial Unicode MS" w:hAnsi="Times New Roman" w:cs="Times New Roman"/>
          <w:color w:val="auto"/>
          <w:sz w:val="24"/>
          <w:szCs w:val="24"/>
        </w:rPr>
        <w:t xml:space="preserve"> rights.</w:t>
      </w:r>
    </w:p>
    <w:p w14:paraId="74F4D3F6" w14:textId="3897E026" w:rsidR="009C7B6C" w:rsidRPr="00FB6635" w:rsidRDefault="009C7B6C" w:rsidP="00A736A4">
      <w:pPr>
        <w:pStyle w:val="BodyA"/>
        <w:spacing w:line="240" w:lineRule="auto"/>
        <w:jc w:val="both"/>
        <w:rPr>
          <w:rFonts w:ascii="Times New Roman" w:eastAsia="Arial Unicode MS" w:hAnsi="Times New Roman" w:cs="Times New Roman"/>
          <w:color w:val="auto"/>
          <w:sz w:val="24"/>
          <w:szCs w:val="24"/>
        </w:rPr>
      </w:pPr>
      <w:r w:rsidRPr="00FB6635">
        <w:rPr>
          <w:rFonts w:ascii="Times New Roman" w:eastAsia="Arial Unicode MS" w:hAnsi="Times New Roman" w:cs="Times New Roman"/>
          <w:color w:val="auto"/>
          <w:sz w:val="24"/>
          <w:szCs w:val="24"/>
        </w:rPr>
        <w:t>In practice, collective bargaining remains weak and underdeveloped, tripartite social dialogue functions in a limited and largely ineffective manner, and the right to strike is subject to excessive procedural and substantive restrictions that undermine its practical effectiveness. Mandatory mediation requirements, overly broad definitions of vital services, burdensome minimum service obligations, and restrictive judicial interpretations collectively result in a situation where the right to strike is very limited in practice.</w:t>
      </w:r>
      <w:r w:rsidR="00DC1D5D" w:rsidRPr="00FB6635">
        <w:rPr>
          <w:rFonts w:ascii="Times New Roman" w:eastAsia="Arial Unicode MS" w:hAnsi="Times New Roman" w:cs="Times New Roman"/>
          <w:color w:val="auto"/>
          <w:sz w:val="24"/>
          <w:szCs w:val="24"/>
        </w:rPr>
        <w:t xml:space="preserve"> </w:t>
      </w:r>
      <w:r w:rsidRPr="00FB6635">
        <w:rPr>
          <w:rFonts w:ascii="Times New Roman" w:eastAsia="Arial Unicode MS" w:hAnsi="Times New Roman" w:cs="Times New Roman"/>
          <w:color w:val="auto"/>
          <w:sz w:val="24"/>
          <w:szCs w:val="24"/>
        </w:rPr>
        <w:t xml:space="preserve">Furthermore, recent amendments to the Law on Public Service have significantly weakened job security and fundamental </w:t>
      </w:r>
      <w:proofErr w:type="spellStart"/>
      <w:r w:rsidRPr="00FB6635">
        <w:rPr>
          <w:rFonts w:ascii="Times New Roman" w:eastAsia="Arial Unicode MS" w:hAnsi="Times New Roman" w:cs="Times New Roman"/>
          <w:color w:val="auto"/>
          <w:sz w:val="24"/>
          <w:szCs w:val="24"/>
        </w:rPr>
        <w:t>labour</w:t>
      </w:r>
      <w:proofErr w:type="spellEnd"/>
      <w:r w:rsidRPr="00FB6635">
        <w:rPr>
          <w:rFonts w:ascii="Times New Roman" w:eastAsia="Arial Unicode MS" w:hAnsi="Times New Roman" w:cs="Times New Roman"/>
          <w:color w:val="auto"/>
          <w:sz w:val="24"/>
          <w:szCs w:val="24"/>
        </w:rPr>
        <w:t xml:space="preserve"> guarantees for public servants, while the exclusion of trade unions from the legislative process has contravened Georgia’s obligations under international </w:t>
      </w:r>
      <w:proofErr w:type="spellStart"/>
      <w:r w:rsidRPr="00FB6635">
        <w:rPr>
          <w:rFonts w:ascii="Times New Roman" w:eastAsia="Arial Unicode MS" w:hAnsi="Times New Roman" w:cs="Times New Roman"/>
          <w:color w:val="auto"/>
          <w:sz w:val="24"/>
          <w:szCs w:val="24"/>
        </w:rPr>
        <w:t>labour</w:t>
      </w:r>
      <w:proofErr w:type="spellEnd"/>
      <w:r w:rsidRPr="00FB6635">
        <w:rPr>
          <w:rFonts w:ascii="Times New Roman" w:eastAsia="Arial Unicode MS" w:hAnsi="Times New Roman" w:cs="Times New Roman"/>
          <w:color w:val="auto"/>
          <w:sz w:val="24"/>
          <w:szCs w:val="24"/>
        </w:rPr>
        <w:t xml:space="preserve"> standards, including ILO Conventions on freedom of association, collective bargaining, and tripartite consultation.</w:t>
      </w:r>
      <w:r w:rsidR="00DC1D5D" w:rsidRPr="00FB6635">
        <w:rPr>
          <w:rFonts w:ascii="Times New Roman" w:eastAsia="Arial Unicode MS" w:hAnsi="Times New Roman" w:cs="Times New Roman"/>
          <w:color w:val="auto"/>
          <w:sz w:val="24"/>
          <w:szCs w:val="24"/>
        </w:rPr>
        <w:t xml:space="preserve"> </w:t>
      </w:r>
      <w:r w:rsidRPr="00FB6635">
        <w:rPr>
          <w:rFonts w:ascii="Times New Roman" w:eastAsia="Arial Unicode MS" w:hAnsi="Times New Roman" w:cs="Times New Roman"/>
          <w:color w:val="auto"/>
          <w:sz w:val="24"/>
          <w:szCs w:val="24"/>
        </w:rPr>
        <w:t xml:space="preserve">The documented cases demonstrate a persistent pattern of employer resistance to collective bargaining, retaliation against trade union members, ineffective remedies, and insufficient state intervention. </w:t>
      </w:r>
      <w:proofErr w:type="gramStart"/>
      <w:r w:rsidRPr="00FB6635">
        <w:rPr>
          <w:rFonts w:ascii="Times New Roman" w:eastAsia="Arial Unicode MS" w:hAnsi="Times New Roman" w:cs="Times New Roman"/>
          <w:color w:val="auto"/>
          <w:sz w:val="24"/>
          <w:szCs w:val="24"/>
        </w:rPr>
        <w:t>Taken</w:t>
      </w:r>
      <w:proofErr w:type="gramEnd"/>
      <w:r w:rsidRPr="00FB6635">
        <w:rPr>
          <w:rFonts w:ascii="Times New Roman" w:eastAsia="Arial Unicode MS" w:hAnsi="Times New Roman" w:cs="Times New Roman"/>
          <w:color w:val="auto"/>
          <w:sz w:val="24"/>
          <w:szCs w:val="24"/>
        </w:rPr>
        <w:t xml:space="preserve"> together, these developments indicate a failure by </w:t>
      </w:r>
      <w:r w:rsidRPr="00FB6635">
        <w:rPr>
          <w:rFonts w:ascii="Times New Roman" w:eastAsia="Arial Unicode MS" w:hAnsi="Times New Roman" w:cs="Times New Roman"/>
          <w:color w:val="auto"/>
          <w:sz w:val="24"/>
          <w:szCs w:val="24"/>
        </w:rPr>
        <w:lastRenderedPageBreak/>
        <w:t xml:space="preserve">the State to fully respect, protect, and promote freedom of association and collective </w:t>
      </w:r>
      <w:proofErr w:type="spellStart"/>
      <w:r w:rsidRPr="00FB6635">
        <w:rPr>
          <w:rFonts w:ascii="Times New Roman" w:eastAsia="Arial Unicode MS" w:hAnsi="Times New Roman" w:cs="Times New Roman"/>
          <w:color w:val="auto"/>
          <w:sz w:val="24"/>
          <w:szCs w:val="24"/>
        </w:rPr>
        <w:t>labour</w:t>
      </w:r>
      <w:proofErr w:type="spellEnd"/>
      <w:r w:rsidRPr="00FB6635">
        <w:rPr>
          <w:rFonts w:ascii="Times New Roman" w:eastAsia="Arial Unicode MS" w:hAnsi="Times New Roman" w:cs="Times New Roman"/>
          <w:color w:val="auto"/>
          <w:sz w:val="24"/>
          <w:szCs w:val="24"/>
        </w:rPr>
        <w:t xml:space="preserve"> rights, as required under international and regional legal frameworks.</w:t>
      </w:r>
      <w:r w:rsidR="00DC1D5D" w:rsidRPr="00FB6635">
        <w:rPr>
          <w:rFonts w:ascii="Times New Roman" w:eastAsia="Arial Unicode MS" w:hAnsi="Times New Roman" w:cs="Times New Roman"/>
          <w:color w:val="auto"/>
          <w:sz w:val="24"/>
          <w:szCs w:val="24"/>
        </w:rPr>
        <w:t xml:space="preserve"> </w:t>
      </w:r>
      <w:r w:rsidRPr="00FB6635">
        <w:rPr>
          <w:rFonts w:ascii="Times New Roman" w:eastAsia="Arial Unicode MS" w:hAnsi="Times New Roman" w:cs="Times New Roman"/>
          <w:color w:val="auto"/>
          <w:sz w:val="24"/>
          <w:szCs w:val="24"/>
        </w:rPr>
        <w:t>Thus, to address the systemic challenges related to freedom of association and trade union rights, the following recommendations should be implemented:</w:t>
      </w:r>
    </w:p>
    <w:p w14:paraId="6F747E7F" w14:textId="59B875F4" w:rsidR="009C7B6C" w:rsidRPr="00FB6635" w:rsidRDefault="009C7B6C" w:rsidP="00E80E25">
      <w:pPr>
        <w:pStyle w:val="BodyA"/>
        <w:numPr>
          <w:ilvl w:val="0"/>
          <w:numId w:val="43"/>
        </w:numPr>
        <w:spacing w:line="240" w:lineRule="auto"/>
        <w:jc w:val="both"/>
        <w:rPr>
          <w:rFonts w:ascii="Times New Roman" w:eastAsia="Arial Unicode MS" w:hAnsi="Times New Roman" w:cs="Times New Roman"/>
          <w:color w:val="auto"/>
          <w:sz w:val="24"/>
          <w:szCs w:val="24"/>
        </w:rPr>
      </w:pPr>
      <w:r w:rsidRPr="00FB6635">
        <w:rPr>
          <w:rFonts w:ascii="Times New Roman" w:eastAsia="Arial Unicode MS" w:hAnsi="Times New Roman" w:cs="Times New Roman"/>
          <w:b/>
          <w:bCs/>
          <w:color w:val="auto"/>
          <w:sz w:val="24"/>
          <w:szCs w:val="24"/>
        </w:rPr>
        <w:t xml:space="preserve">Promotion of Collective Bargaining: </w:t>
      </w:r>
      <w:r w:rsidRPr="00FB6635">
        <w:rPr>
          <w:rFonts w:ascii="Times New Roman" w:eastAsia="Arial Unicode MS" w:hAnsi="Times New Roman" w:cs="Times New Roman"/>
          <w:color w:val="auto"/>
          <w:sz w:val="24"/>
          <w:szCs w:val="24"/>
        </w:rPr>
        <w:t>The Government of Georgia should actively promote collective bargaining at enterprise, sectoral, and national levels, including through legislative incentives, policy measures, and effective enforcement mechanisms.</w:t>
      </w:r>
    </w:p>
    <w:p w14:paraId="6325D156" w14:textId="1A0067DA" w:rsidR="009C7B6C" w:rsidRPr="00FB6635" w:rsidRDefault="009C7B6C" w:rsidP="009C30DF">
      <w:pPr>
        <w:pStyle w:val="BodyA"/>
        <w:numPr>
          <w:ilvl w:val="0"/>
          <w:numId w:val="43"/>
        </w:numPr>
        <w:spacing w:line="240" w:lineRule="auto"/>
        <w:jc w:val="both"/>
        <w:rPr>
          <w:rFonts w:ascii="Times New Roman" w:eastAsia="Arial Unicode MS" w:hAnsi="Times New Roman" w:cs="Times New Roman"/>
          <w:color w:val="auto"/>
          <w:sz w:val="24"/>
          <w:szCs w:val="24"/>
        </w:rPr>
      </w:pPr>
      <w:r w:rsidRPr="00FB6635">
        <w:rPr>
          <w:rFonts w:ascii="Times New Roman" w:eastAsia="Arial Unicode MS" w:hAnsi="Times New Roman" w:cs="Times New Roman"/>
          <w:b/>
          <w:bCs/>
          <w:color w:val="auto"/>
          <w:sz w:val="24"/>
          <w:szCs w:val="24"/>
        </w:rPr>
        <w:t xml:space="preserve">Strengthening Tripartite Social Dialogue: </w:t>
      </w:r>
      <w:r w:rsidRPr="00FB6635">
        <w:rPr>
          <w:rFonts w:ascii="Times New Roman" w:eastAsia="Arial Unicode MS" w:hAnsi="Times New Roman" w:cs="Times New Roman"/>
          <w:color w:val="auto"/>
          <w:sz w:val="24"/>
          <w:szCs w:val="24"/>
        </w:rPr>
        <w:t xml:space="preserve">The functioning of the Tripartite Social Partnership Commission should be strengthened by ensuring regular meetings, meaningful participation of social partners, and the effective use of this platform for addressing </w:t>
      </w:r>
      <w:proofErr w:type="spellStart"/>
      <w:r w:rsidRPr="00FB6635">
        <w:rPr>
          <w:rFonts w:ascii="Times New Roman" w:eastAsia="Arial Unicode MS" w:hAnsi="Times New Roman" w:cs="Times New Roman"/>
          <w:color w:val="auto"/>
          <w:sz w:val="24"/>
          <w:szCs w:val="24"/>
        </w:rPr>
        <w:t>labour</w:t>
      </w:r>
      <w:proofErr w:type="spellEnd"/>
      <w:r w:rsidRPr="00FB6635">
        <w:rPr>
          <w:rFonts w:ascii="Times New Roman" w:eastAsia="Arial Unicode MS" w:hAnsi="Times New Roman" w:cs="Times New Roman"/>
          <w:color w:val="auto"/>
          <w:sz w:val="24"/>
          <w:szCs w:val="24"/>
        </w:rPr>
        <w:t>-related reforms and disputes.</w:t>
      </w:r>
    </w:p>
    <w:p w14:paraId="3CDCAC2E" w14:textId="76FED4A3" w:rsidR="009C7B6C" w:rsidRPr="00FB6635" w:rsidRDefault="009C7B6C" w:rsidP="004D7BB0">
      <w:pPr>
        <w:pStyle w:val="BodyA"/>
        <w:numPr>
          <w:ilvl w:val="0"/>
          <w:numId w:val="43"/>
        </w:numPr>
        <w:spacing w:line="240" w:lineRule="auto"/>
        <w:jc w:val="both"/>
        <w:rPr>
          <w:rFonts w:ascii="Times New Roman" w:eastAsia="Arial Unicode MS" w:hAnsi="Times New Roman" w:cs="Times New Roman"/>
          <w:color w:val="auto"/>
          <w:sz w:val="24"/>
          <w:szCs w:val="24"/>
        </w:rPr>
      </w:pPr>
      <w:r w:rsidRPr="00FB6635">
        <w:rPr>
          <w:rFonts w:ascii="Times New Roman" w:eastAsia="Arial Unicode MS" w:hAnsi="Times New Roman" w:cs="Times New Roman"/>
          <w:b/>
          <w:bCs/>
          <w:color w:val="auto"/>
          <w:sz w:val="24"/>
          <w:szCs w:val="24"/>
        </w:rPr>
        <w:t xml:space="preserve">Effective Protection of the Right to Strike: </w:t>
      </w:r>
      <w:r w:rsidRPr="00FB6635">
        <w:rPr>
          <w:rFonts w:ascii="Times New Roman" w:eastAsia="Arial Unicode MS" w:hAnsi="Times New Roman" w:cs="Times New Roman"/>
          <w:color w:val="auto"/>
          <w:sz w:val="24"/>
          <w:szCs w:val="24"/>
        </w:rPr>
        <w:t xml:space="preserve">The Labour Code should be amended to ensure the effective exercise of the right to strike for all workers, including by removing excessive procedural barriers, revising mandatory mediation requirements, and ensuring compliance with international </w:t>
      </w:r>
      <w:proofErr w:type="spellStart"/>
      <w:r w:rsidRPr="00FB6635">
        <w:rPr>
          <w:rFonts w:ascii="Times New Roman" w:eastAsia="Arial Unicode MS" w:hAnsi="Times New Roman" w:cs="Times New Roman"/>
          <w:color w:val="auto"/>
          <w:sz w:val="24"/>
          <w:szCs w:val="24"/>
        </w:rPr>
        <w:t>labour</w:t>
      </w:r>
      <w:proofErr w:type="spellEnd"/>
      <w:r w:rsidRPr="00FB6635">
        <w:rPr>
          <w:rFonts w:ascii="Times New Roman" w:eastAsia="Arial Unicode MS" w:hAnsi="Times New Roman" w:cs="Times New Roman"/>
          <w:color w:val="auto"/>
          <w:sz w:val="24"/>
          <w:szCs w:val="24"/>
        </w:rPr>
        <w:t xml:space="preserve"> standards.</w:t>
      </w:r>
    </w:p>
    <w:p w14:paraId="78C635AD" w14:textId="60BDBC2D" w:rsidR="009C7B6C" w:rsidRPr="00FB6635" w:rsidRDefault="009C7B6C" w:rsidP="00A0399A">
      <w:pPr>
        <w:pStyle w:val="BodyA"/>
        <w:numPr>
          <w:ilvl w:val="0"/>
          <w:numId w:val="43"/>
        </w:numPr>
        <w:spacing w:line="240" w:lineRule="auto"/>
        <w:jc w:val="both"/>
        <w:rPr>
          <w:rFonts w:ascii="Times New Roman" w:eastAsia="Arial Unicode MS" w:hAnsi="Times New Roman" w:cs="Times New Roman"/>
          <w:color w:val="auto"/>
          <w:sz w:val="24"/>
          <w:szCs w:val="24"/>
        </w:rPr>
      </w:pPr>
      <w:r w:rsidRPr="00FB6635">
        <w:rPr>
          <w:rFonts w:ascii="Times New Roman" w:eastAsia="Arial Unicode MS" w:hAnsi="Times New Roman" w:cs="Times New Roman"/>
          <w:b/>
          <w:bCs/>
          <w:color w:val="auto"/>
          <w:sz w:val="24"/>
          <w:szCs w:val="24"/>
        </w:rPr>
        <w:t>Introduction of Solidarity Strike:</w:t>
      </w:r>
      <w:r w:rsidR="00A736A4" w:rsidRPr="00FB6635">
        <w:rPr>
          <w:rFonts w:ascii="Times New Roman" w:eastAsia="Arial Unicode MS" w:hAnsi="Times New Roman" w:cs="Times New Roman"/>
          <w:b/>
          <w:bCs/>
          <w:color w:val="auto"/>
          <w:sz w:val="24"/>
          <w:szCs w:val="24"/>
        </w:rPr>
        <w:t xml:space="preserve"> </w:t>
      </w:r>
      <w:r w:rsidRPr="00FB6635">
        <w:rPr>
          <w:rFonts w:ascii="Times New Roman" w:eastAsia="Arial Unicode MS" w:hAnsi="Times New Roman" w:cs="Times New Roman"/>
          <w:color w:val="auto"/>
          <w:sz w:val="24"/>
          <w:szCs w:val="24"/>
        </w:rPr>
        <w:t xml:space="preserve">The right to solidarity strikes should be explicitly recognized at the legislative level </w:t>
      </w:r>
      <w:r w:rsidR="00CE3BC8" w:rsidRPr="00FB6635">
        <w:rPr>
          <w:rFonts w:ascii="Times New Roman" w:eastAsia="Arial Unicode MS" w:hAnsi="Times New Roman" w:cs="Times New Roman"/>
          <w:color w:val="auto"/>
          <w:sz w:val="24"/>
          <w:szCs w:val="24"/>
        </w:rPr>
        <w:t>to</w:t>
      </w:r>
      <w:r w:rsidRPr="00FB6635">
        <w:rPr>
          <w:rFonts w:ascii="Times New Roman" w:eastAsia="Arial Unicode MS" w:hAnsi="Times New Roman" w:cs="Times New Roman"/>
          <w:color w:val="auto"/>
          <w:sz w:val="24"/>
          <w:szCs w:val="24"/>
        </w:rPr>
        <w:t xml:space="preserve"> strengthen collective action and align national law with international </w:t>
      </w:r>
      <w:proofErr w:type="spellStart"/>
      <w:r w:rsidRPr="00FB6635">
        <w:rPr>
          <w:rFonts w:ascii="Times New Roman" w:eastAsia="Arial Unicode MS" w:hAnsi="Times New Roman" w:cs="Times New Roman"/>
          <w:color w:val="auto"/>
          <w:sz w:val="24"/>
          <w:szCs w:val="24"/>
        </w:rPr>
        <w:t>labour</w:t>
      </w:r>
      <w:proofErr w:type="spellEnd"/>
      <w:r w:rsidRPr="00FB6635">
        <w:rPr>
          <w:rFonts w:ascii="Times New Roman" w:eastAsia="Arial Unicode MS" w:hAnsi="Times New Roman" w:cs="Times New Roman"/>
          <w:color w:val="auto"/>
          <w:sz w:val="24"/>
          <w:szCs w:val="24"/>
        </w:rPr>
        <w:t xml:space="preserve"> standards.</w:t>
      </w:r>
    </w:p>
    <w:p w14:paraId="4AA85C28" w14:textId="7E93DEF7" w:rsidR="000B43CA" w:rsidRPr="00FB6635" w:rsidRDefault="009C7B6C" w:rsidP="0098756B">
      <w:pPr>
        <w:pStyle w:val="BodyA"/>
        <w:numPr>
          <w:ilvl w:val="0"/>
          <w:numId w:val="43"/>
        </w:numPr>
        <w:spacing w:line="240" w:lineRule="auto"/>
        <w:jc w:val="both"/>
        <w:rPr>
          <w:rFonts w:ascii="Times New Roman" w:eastAsia="Arial Unicode MS" w:hAnsi="Times New Roman" w:cs="Times New Roman"/>
          <w:color w:val="auto"/>
          <w:sz w:val="24"/>
          <w:szCs w:val="24"/>
        </w:rPr>
      </w:pPr>
      <w:r w:rsidRPr="00FB6635">
        <w:rPr>
          <w:rFonts w:ascii="Times New Roman" w:eastAsia="Arial Unicode MS" w:hAnsi="Times New Roman" w:cs="Times New Roman"/>
          <w:b/>
          <w:bCs/>
          <w:color w:val="auto"/>
          <w:sz w:val="24"/>
          <w:szCs w:val="24"/>
        </w:rPr>
        <w:t>Reform of the Law on Public Service:</w:t>
      </w:r>
      <w:r w:rsidR="00A736A4" w:rsidRPr="00FB6635">
        <w:rPr>
          <w:rFonts w:ascii="Times New Roman" w:eastAsia="Arial Unicode MS" w:hAnsi="Times New Roman" w:cs="Times New Roman"/>
          <w:b/>
          <w:bCs/>
          <w:color w:val="auto"/>
          <w:sz w:val="24"/>
          <w:szCs w:val="24"/>
        </w:rPr>
        <w:t xml:space="preserve"> </w:t>
      </w:r>
      <w:r w:rsidRPr="00FB6635">
        <w:rPr>
          <w:rFonts w:ascii="Times New Roman" w:eastAsia="Arial Unicode MS" w:hAnsi="Times New Roman" w:cs="Times New Roman"/>
          <w:color w:val="auto"/>
          <w:sz w:val="24"/>
          <w:szCs w:val="24"/>
        </w:rPr>
        <w:t xml:space="preserve">The Law on Public Service should be amended through a genuine tripartite consultation process to ensure full compliance with fundamental </w:t>
      </w:r>
      <w:proofErr w:type="spellStart"/>
      <w:r w:rsidRPr="00FB6635">
        <w:rPr>
          <w:rFonts w:ascii="Times New Roman" w:eastAsia="Arial Unicode MS" w:hAnsi="Times New Roman" w:cs="Times New Roman"/>
          <w:color w:val="auto"/>
          <w:sz w:val="24"/>
          <w:szCs w:val="24"/>
        </w:rPr>
        <w:t>labour</w:t>
      </w:r>
      <w:proofErr w:type="spellEnd"/>
      <w:r w:rsidRPr="00FB6635">
        <w:rPr>
          <w:rFonts w:ascii="Times New Roman" w:eastAsia="Arial Unicode MS" w:hAnsi="Times New Roman" w:cs="Times New Roman"/>
          <w:color w:val="auto"/>
          <w:sz w:val="24"/>
          <w:szCs w:val="24"/>
        </w:rPr>
        <w:t xml:space="preserve"> standards, including freedom of association, non-discrimination, job security, and the right to collective bargaining for public servants.</w:t>
      </w:r>
    </w:p>
    <w:p w14:paraId="6F2C2321" w14:textId="2E0AFAE2" w:rsidR="00A04B62" w:rsidRPr="00A04B62" w:rsidRDefault="00FB6635" w:rsidP="00A04B62">
      <w:pPr>
        <w:pStyle w:val="BodyA"/>
        <w:numPr>
          <w:ilvl w:val="0"/>
          <w:numId w:val="43"/>
        </w:numPr>
        <w:spacing w:line="240" w:lineRule="auto"/>
        <w:jc w:val="both"/>
        <w:rPr>
          <w:rFonts w:ascii="Times New Roman" w:eastAsia="Arial Unicode MS" w:hAnsi="Times New Roman" w:cs="Times New Roman"/>
          <w:color w:val="auto"/>
          <w:sz w:val="24"/>
          <w:szCs w:val="24"/>
        </w:rPr>
      </w:pPr>
      <w:r w:rsidRPr="00FB6635">
        <w:rPr>
          <w:rFonts w:ascii="Times New Roman" w:eastAsia="Arial Unicode MS" w:hAnsi="Times New Roman" w:cs="Times New Roman"/>
          <w:b/>
          <w:bCs/>
          <w:color w:val="auto"/>
          <w:sz w:val="24"/>
          <w:szCs w:val="24"/>
        </w:rPr>
        <w:t xml:space="preserve">Ratification of the relevant international </w:t>
      </w:r>
      <w:proofErr w:type="spellStart"/>
      <w:r w:rsidRPr="00FB6635">
        <w:rPr>
          <w:rFonts w:ascii="Times New Roman" w:eastAsia="Arial Unicode MS" w:hAnsi="Times New Roman" w:cs="Times New Roman"/>
          <w:b/>
          <w:bCs/>
          <w:color w:val="auto"/>
          <w:sz w:val="24"/>
          <w:szCs w:val="24"/>
        </w:rPr>
        <w:t>labour</w:t>
      </w:r>
      <w:proofErr w:type="spellEnd"/>
      <w:r w:rsidRPr="00FB6635">
        <w:rPr>
          <w:rFonts w:ascii="Times New Roman" w:eastAsia="Arial Unicode MS" w:hAnsi="Times New Roman" w:cs="Times New Roman"/>
          <w:b/>
          <w:bCs/>
          <w:color w:val="auto"/>
          <w:sz w:val="24"/>
          <w:szCs w:val="24"/>
        </w:rPr>
        <w:t xml:space="preserve"> standards:</w:t>
      </w:r>
      <w:r>
        <w:rPr>
          <w:rFonts w:ascii="Times New Roman" w:eastAsia="Arial Unicode MS" w:hAnsi="Times New Roman" w:cs="Times New Roman"/>
          <w:color w:val="auto"/>
          <w:sz w:val="24"/>
          <w:szCs w:val="24"/>
        </w:rPr>
        <w:t xml:space="preserve"> </w:t>
      </w:r>
      <w:r w:rsidR="001B2A89" w:rsidRPr="00FB6635">
        <w:rPr>
          <w:rFonts w:ascii="Times New Roman" w:eastAsia="Arial Unicode MS" w:hAnsi="Times New Roman" w:cs="Times New Roman"/>
          <w:color w:val="auto"/>
          <w:sz w:val="24"/>
          <w:szCs w:val="24"/>
        </w:rPr>
        <w:t xml:space="preserve">The Government should ratify and effectively implement </w:t>
      </w:r>
      <w:r w:rsidR="00AA7FAF" w:rsidRPr="00FB6635">
        <w:rPr>
          <w:rFonts w:ascii="Times New Roman" w:eastAsia="Arial Unicode MS" w:hAnsi="Times New Roman" w:cs="Times New Roman"/>
          <w:color w:val="auto"/>
          <w:sz w:val="24"/>
          <w:szCs w:val="24"/>
        </w:rPr>
        <w:t xml:space="preserve">ILO Conventions relevant to the rights covered by Article 8 ICESCR such as </w:t>
      </w:r>
      <w:r w:rsidR="003A6908" w:rsidRPr="00FB6635">
        <w:rPr>
          <w:rFonts w:ascii="Times New Roman" w:eastAsia="Arial Unicode MS" w:hAnsi="Times New Roman" w:cs="Times New Roman"/>
          <w:color w:val="auto"/>
          <w:sz w:val="24"/>
          <w:szCs w:val="24"/>
        </w:rPr>
        <w:t>the</w:t>
      </w:r>
      <w:r w:rsidR="00AA7FAF" w:rsidRPr="00FB6635">
        <w:rPr>
          <w:rFonts w:ascii="Times New Roman" w:eastAsia="Arial Unicode MS" w:hAnsi="Times New Roman" w:cs="Times New Roman"/>
          <w:color w:val="auto"/>
          <w:sz w:val="24"/>
          <w:szCs w:val="24"/>
        </w:rPr>
        <w:t xml:space="preserve"> </w:t>
      </w:r>
      <w:r w:rsidR="003A6908" w:rsidRPr="00FB6635">
        <w:rPr>
          <w:rFonts w:ascii="Times New Roman" w:eastAsia="Arial Unicode MS" w:hAnsi="Times New Roman" w:cs="Times New Roman"/>
          <w:color w:val="auto"/>
          <w:sz w:val="24"/>
          <w:szCs w:val="24"/>
        </w:rPr>
        <w:t>ILO</w:t>
      </w:r>
      <w:r w:rsidR="001B2A89" w:rsidRPr="00FB6635">
        <w:rPr>
          <w:rFonts w:ascii="Times New Roman" w:eastAsia="Arial Unicode MS" w:hAnsi="Times New Roman" w:cs="Times New Roman"/>
          <w:color w:val="auto"/>
          <w:sz w:val="24"/>
          <w:szCs w:val="24"/>
        </w:rPr>
        <w:t xml:space="preserve"> Collective Bargaining Convention, No. 154</w:t>
      </w:r>
      <w:r w:rsidR="003A6908" w:rsidRPr="00FB6635">
        <w:rPr>
          <w:rFonts w:ascii="Times New Roman" w:eastAsia="Arial Unicode MS" w:hAnsi="Times New Roman" w:cs="Times New Roman"/>
          <w:color w:val="auto"/>
          <w:sz w:val="24"/>
          <w:szCs w:val="24"/>
        </w:rPr>
        <w:t xml:space="preserve"> and ILO Workers’ Representatives Convention No. 134</w:t>
      </w:r>
      <w:r w:rsidR="00A04B62">
        <w:rPr>
          <w:rFonts w:ascii="Times New Roman" w:eastAsia="Arial Unicode MS" w:hAnsi="Times New Roman" w:cs="Times New Roman"/>
          <w:color w:val="auto"/>
          <w:sz w:val="24"/>
          <w:szCs w:val="24"/>
        </w:rPr>
        <w:t xml:space="preserve"> as wells as </w:t>
      </w:r>
      <w:r w:rsidR="004A0EEE">
        <w:rPr>
          <w:rFonts w:ascii="Times New Roman" w:eastAsia="Arial Unicode MS" w:hAnsi="Times New Roman" w:cs="Times New Roman"/>
          <w:color w:val="auto"/>
          <w:sz w:val="24"/>
          <w:szCs w:val="24"/>
        </w:rPr>
        <w:t xml:space="preserve">improve the rate of ratification of the ILO </w:t>
      </w:r>
      <w:r w:rsidR="0007661E">
        <w:rPr>
          <w:rFonts w:ascii="Times New Roman" w:eastAsia="Arial Unicode MS" w:hAnsi="Times New Roman" w:cs="Times New Roman"/>
          <w:color w:val="auto"/>
          <w:sz w:val="24"/>
          <w:szCs w:val="24"/>
        </w:rPr>
        <w:t xml:space="preserve">fundamental, governance and technical Conventions containing minimum </w:t>
      </w:r>
      <w:proofErr w:type="spellStart"/>
      <w:r w:rsidR="0007661E">
        <w:rPr>
          <w:rFonts w:ascii="Times New Roman" w:eastAsia="Arial Unicode MS" w:hAnsi="Times New Roman" w:cs="Times New Roman"/>
          <w:color w:val="auto"/>
          <w:sz w:val="24"/>
          <w:szCs w:val="24"/>
        </w:rPr>
        <w:t>labour</w:t>
      </w:r>
      <w:proofErr w:type="spellEnd"/>
      <w:r w:rsidR="0007661E">
        <w:rPr>
          <w:rFonts w:ascii="Times New Roman" w:eastAsia="Arial Unicode MS" w:hAnsi="Times New Roman" w:cs="Times New Roman"/>
          <w:color w:val="auto"/>
          <w:sz w:val="24"/>
          <w:szCs w:val="24"/>
        </w:rPr>
        <w:t xml:space="preserve"> standards, in order to </w:t>
      </w:r>
      <w:r w:rsidR="00591637">
        <w:rPr>
          <w:rFonts w:ascii="Times New Roman" w:eastAsia="Arial Unicode MS" w:hAnsi="Times New Roman" w:cs="Times New Roman"/>
          <w:color w:val="auto"/>
          <w:sz w:val="24"/>
          <w:szCs w:val="24"/>
        </w:rPr>
        <w:t>ensure compliance with the provisions of the ICESCR.</w:t>
      </w:r>
    </w:p>
    <w:sectPr w:rsidR="00A04B62" w:rsidRPr="00A04B62" w:rsidSect="00DC5A9D">
      <w:footerReference w:type="default" r:id="rId8"/>
      <w:pgSz w:w="12240" w:h="15840"/>
      <w:pgMar w:top="720" w:right="9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1630DE" w14:textId="77777777" w:rsidR="00022224" w:rsidRDefault="00022224">
      <w:r>
        <w:separator/>
      </w:r>
    </w:p>
  </w:endnote>
  <w:endnote w:type="continuationSeparator" w:id="0">
    <w:p w14:paraId="77B4B426" w14:textId="77777777" w:rsidR="00022224" w:rsidRDefault="000222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rebuchet MS">
    <w:panose1 w:val="020B0603020202020204"/>
    <w:charset w:val="00"/>
    <w:family w:val="swiss"/>
    <w:pitch w:val="variable"/>
    <w:sig w:usb0="000006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Helvetica Neue">
    <w:altName w:val="Arial"/>
    <w:charset w:val="00"/>
    <w:family w:val="roman"/>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lfaen">
    <w:panose1 w:val="010A0502050306030303"/>
    <w:charset w:val="00"/>
    <w:family w:val="roman"/>
    <w:pitch w:val="variable"/>
    <w:sig w:usb0="04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15877308"/>
      <w:docPartObj>
        <w:docPartGallery w:val="Page Numbers (Bottom of Page)"/>
        <w:docPartUnique/>
      </w:docPartObj>
    </w:sdtPr>
    <w:sdtEndPr>
      <w:rPr>
        <w:noProof/>
      </w:rPr>
    </w:sdtEndPr>
    <w:sdtContent>
      <w:p w14:paraId="4AA85C2E" w14:textId="77777777" w:rsidR="001F1AB4" w:rsidRDefault="000B43CA">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14:paraId="4AA85C2F" w14:textId="77777777" w:rsidR="001F1AB4" w:rsidRDefault="001F1AB4">
    <w:pPr>
      <w:pStyle w:val="HeaderFooter"/>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B3669F" w14:textId="77777777" w:rsidR="00022224" w:rsidRDefault="00022224">
      <w:r>
        <w:separator/>
      </w:r>
    </w:p>
  </w:footnote>
  <w:footnote w:type="continuationSeparator" w:id="0">
    <w:p w14:paraId="63473B79" w14:textId="77777777" w:rsidR="00022224" w:rsidRDefault="00022224">
      <w:r>
        <w:continuationSeparator/>
      </w:r>
    </w:p>
  </w:footnote>
  <w:footnote w:type="continuationNotice" w:id="1">
    <w:p w14:paraId="218ED338" w14:textId="77777777" w:rsidR="00022224" w:rsidRDefault="00022224"/>
  </w:footnote>
  <w:footnote w:id="2">
    <w:p w14:paraId="343DF112" w14:textId="4997C618" w:rsidR="001A2F17" w:rsidRPr="00880288" w:rsidRDefault="001A2F17">
      <w:pPr>
        <w:pStyle w:val="FootnoteText"/>
      </w:pPr>
      <w:r w:rsidRPr="00880288">
        <w:rPr>
          <w:rStyle w:val="FootnoteReference"/>
        </w:rPr>
        <w:footnoteRef/>
      </w:r>
      <w:r w:rsidRPr="00880288">
        <w:t xml:space="preserve"> </w:t>
      </w:r>
      <w:hyperlink r:id="rId1" w:history="1">
        <w:r w:rsidR="003F07FF" w:rsidRPr="00880288">
          <w:rPr>
            <w:rStyle w:val="Hyperlink"/>
          </w:rPr>
          <w:t>https://normlex.ilo.org/dyn/nrmlx_en/f?p=NORMLEXPUB:11200:0::NO::P11200_INSTRUMENT_SORT,P11200_COUNTRY_ID:2,102639</w:t>
        </w:r>
      </w:hyperlink>
      <w:r w:rsidR="003F07FF" w:rsidRPr="00880288">
        <w:t xml:space="preserve"> </w:t>
      </w:r>
    </w:p>
  </w:footnote>
  <w:footnote w:id="3">
    <w:p w14:paraId="4AA85C30" w14:textId="77777777" w:rsidR="001F1AB4" w:rsidRPr="00880288" w:rsidRDefault="001F1AB4">
      <w:pPr>
        <w:pStyle w:val="BodyAA"/>
        <w:spacing w:after="0" w:line="240" w:lineRule="auto"/>
        <w:rPr>
          <w:rFonts w:ascii="Times New Roman" w:hAnsi="Times New Roman" w:cs="Times New Roman"/>
          <w:sz w:val="20"/>
          <w:szCs w:val="20"/>
        </w:rPr>
      </w:pPr>
      <w:r w:rsidRPr="00880288">
        <w:rPr>
          <w:rFonts w:ascii="Times New Roman" w:eastAsia="Times New Roman" w:hAnsi="Times New Roman" w:cs="Times New Roman"/>
          <w:sz w:val="20"/>
          <w:szCs w:val="20"/>
          <w:vertAlign w:val="superscript"/>
        </w:rPr>
        <w:footnoteRef/>
      </w:r>
      <w:r w:rsidRPr="00880288">
        <w:rPr>
          <w:rFonts w:ascii="Times New Roman" w:hAnsi="Times New Roman" w:cs="Times New Roman"/>
          <w:sz w:val="20"/>
          <w:szCs w:val="20"/>
        </w:rPr>
        <w:t xml:space="preserve"> Order of the Minister of Internally Displaced Persons from the Occupied Territories, Labour, Health and Social Affairs of Georgia 01-78 / n “On Approval of the List / List of Vital Services”, 07/09/2021</w:t>
      </w:r>
    </w:p>
  </w:footnote>
  <w:footnote w:id="4">
    <w:p w14:paraId="714729D3" w14:textId="5F18F761" w:rsidR="00321BDF" w:rsidRPr="00880288" w:rsidRDefault="008D172A" w:rsidP="00321BDF">
      <w:pPr>
        <w:pStyle w:val="FootnoteText"/>
      </w:pPr>
      <w:r w:rsidRPr="00880288">
        <w:rPr>
          <w:rStyle w:val="FootnoteReference"/>
        </w:rPr>
        <w:footnoteRef/>
      </w:r>
      <w:r w:rsidRPr="00880288">
        <w:t xml:space="preserve"> See: Compilation of </w:t>
      </w:r>
      <w:r w:rsidR="00321BDF" w:rsidRPr="00880288">
        <w:t xml:space="preserve">decisions of the ILO Committee on Freedom of Association (ILO CFA Digest), 2018, para 830, available at: </w:t>
      </w:r>
      <w:hyperlink r:id="rId2" w:history="1">
        <w:r w:rsidR="00321BDF" w:rsidRPr="00880288">
          <w:rPr>
            <w:rStyle w:val="Hyperlink"/>
          </w:rPr>
          <w:t>https://www.ilo.org/publications/freedom-association-compilation-decisions-committee-freedom-association-pdf</w:t>
        </w:r>
      </w:hyperlink>
      <w:r w:rsidR="00880288">
        <w:t xml:space="preserve"> </w:t>
      </w:r>
    </w:p>
    <w:p w14:paraId="4DC75F94" w14:textId="521C735F" w:rsidR="008D172A" w:rsidRPr="00880288" w:rsidRDefault="008D172A">
      <w:pPr>
        <w:pStyle w:val="FootnoteText"/>
      </w:pPr>
    </w:p>
  </w:footnote>
  <w:footnote w:id="5">
    <w:p w14:paraId="4AA85C32" w14:textId="77777777" w:rsidR="001F1AB4" w:rsidRPr="00880288" w:rsidRDefault="001F1AB4">
      <w:pPr>
        <w:pStyle w:val="FootnoteText"/>
      </w:pPr>
      <w:r w:rsidRPr="00880288">
        <w:rPr>
          <w:rStyle w:val="None"/>
          <w:vertAlign w:val="superscript"/>
        </w:rPr>
        <w:footnoteRef/>
      </w:r>
      <w:r w:rsidRPr="00880288">
        <w:rPr>
          <w:rFonts w:eastAsia="Arial Unicode MS"/>
        </w:rPr>
        <w:t xml:space="preserve"> Para 55 of GC 23</w:t>
      </w:r>
    </w:p>
  </w:footnote>
  <w:footnote w:id="6">
    <w:p w14:paraId="350BB3E1" w14:textId="0583CC03" w:rsidR="00084A55" w:rsidRPr="00880288" w:rsidRDefault="00084A55">
      <w:pPr>
        <w:pStyle w:val="FootnoteText"/>
      </w:pPr>
      <w:r w:rsidRPr="00880288">
        <w:rPr>
          <w:rStyle w:val="FootnoteReference"/>
        </w:rPr>
        <w:footnoteRef/>
      </w:r>
      <w:r w:rsidRPr="00880288">
        <w:t xml:space="preserve"> </w:t>
      </w:r>
      <w:r w:rsidR="00D03960" w:rsidRPr="00880288">
        <w:t xml:space="preserve">Available at: </w:t>
      </w:r>
      <w:hyperlink r:id="rId3" w:history="1">
        <w:r w:rsidR="00D03960" w:rsidRPr="00880288">
          <w:rPr>
            <w:rStyle w:val="Hyperlink"/>
          </w:rPr>
          <w:t>https://normlex.ilo.org/dyn/nrmlx_en/f?p=NORMLEXPUB:12100:0::NO:12100:P12100_INSTRUMENT_ID:312280:NO</w:t>
        </w:r>
      </w:hyperlink>
      <w:r w:rsidR="00613665" w:rsidRPr="00880288">
        <w:t xml:space="preserve"> </w:t>
      </w:r>
      <w:r w:rsidR="00D03960" w:rsidRPr="00880288">
        <w:t xml:space="preserve">. Of note Georgia has not yet ratified this Convention. However, unratified ILO Conventions </w:t>
      </w:r>
      <w:proofErr w:type="gramStart"/>
      <w:r w:rsidR="00D03960" w:rsidRPr="00880288">
        <w:t xml:space="preserve">still </w:t>
      </w:r>
      <w:r w:rsidR="00616360" w:rsidRPr="00880288">
        <w:t>remain</w:t>
      </w:r>
      <w:proofErr w:type="gramEnd"/>
      <w:r w:rsidR="00616360" w:rsidRPr="00880288">
        <w:t xml:space="preserve"> sources of </w:t>
      </w:r>
      <w:proofErr w:type="spellStart"/>
      <w:r w:rsidR="00616360" w:rsidRPr="00880288">
        <w:t>authorititative</w:t>
      </w:r>
      <w:proofErr w:type="spellEnd"/>
      <w:r w:rsidR="00616360" w:rsidRPr="00880288">
        <w:t xml:space="preserve"> international </w:t>
      </w:r>
      <w:proofErr w:type="spellStart"/>
      <w:r w:rsidR="00616360" w:rsidRPr="00880288">
        <w:t>labour</w:t>
      </w:r>
      <w:proofErr w:type="spellEnd"/>
      <w:r w:rsidR="00616360" w:rsidRPr="00880288">
        <w:t xml:space="preserve"> standard, comparable to ILO recommendations.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2pt;height:12.2pt" o:bullet="t">
        <v:imagedata r:id="rId1" o:title="clip_image001"/>
      </v:shape>
    </w:pict>
  </w:numPicBullet>
  <w:abstractNum w:abstractNumId="0" w15:restartNumberingAfterBreak="0">
    <w:nsid w:val="03CD6FA5"/>
    <w:multiLevelType w:val="hybridMultilevel"/>
    <w:tmpl w:val="3C6A0D38"/>
    <w:numStyleLink w:val="ImportedStyle7"/>
  </w:abstractNum>
  <w:abstractNum w:abstractNumId="1" w15:restartNumberingAfterBreak="0">
    <w:nsid w:val="08DD4A1C"/>
    <w:multiLevelType w:val="multilevel"/>
    <w:tmpl w:val="85B6058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1051509"/>
    <w:multiLevelType w:val="hybridMultilevel"/>
    <w:tmpl w:val="18AE103A"/>
    <w:numStyleLink w:val="ImportedStyle6"/>
  </w:abstractNum>
  <w:abstractNum w:abstractNumId="3" w15:restartNumberingAfterBreak="0">
    <w:nsid w:val="14B8145E"/>
    <w:multiLevelType w:val="hybridMultilevel"/>
    <w:tmpl w:val="304A13D2"/>
    <w:lvl w:ilvl="0" w:tplc="BE123C1A">
      <w:start w:val="1"/>
      <w:numFmt w:val="bullet"/>
      <w:lvlText w:val=""/>
      <w:lvlPicBulletId w:val="0"/>
      <w:lvlJc w:val="left"/>
      <w:pPr>
        <w:tabs>
          <w:tab w:val="num" w:pos="720"/>
        </w:tabs>
        <w:ind w:left="720" w:hanging="360"/>
      </w:pPr>
      <w:rPr>
        <w:rFonts w:ascii="Symbol" w:hAnsi="Symbol" w:hint="default"/>
      </w:rPr>
    </w:lvl>
    <w:lvl w:ilvl="1" w:tplc="33501386">
      <w:start w:val="1"/>
      <w:numFmt w:val="decimal"/>
      <w:lvlText w:val="%2."/>
      <w:lvlJc w:val="left"/>
      <w:pPr>
        <w:tabs>
          <w:tab w:val="num" w:pos="1440"/>
        </w:tabs>
        <w:ind w:left="1440" w:hanging="360"/>
      </w:pPr>
    </w:lvl>
    <w:lvl w:ilvl="2" w:tplc="806AF18E">
      <w:start w:val="1"/>
      <w:numFmt w:val="decimal"/>
      <w:lvlText w:val="%3."/>
      <w:lvlJc w:val="left"/>
      <w:pPr>
        <w:tabs>
          <w:tab w:val="num" w:pos="2160"/>
        </w:tabs>
        <w:ind w:left="2160" w:hanging="360"/>
      </w:pPr>
    </w:lvl>
    <w:lvl w:ilvl="3" w:tplc="71CC1566">
      <w:start w:val="1"/>
      <w:numFmt w:val="decimal"/>
      <w:lvlText w:val="%4."/>
      <w:lvlJc w:val="left"/>
      <w:pPr>
        <w:tabs>
          <w:tab w:val="num" w:pos="2880"/>
        </w:tabs>
        <w:ind w:left="2880" w:hanging="360"/>
      </w:pPr>
    </w:lvl>
    <w:lvl w:ilvl="4" w:tplc="2876C512">
      <w:start w:val="1"/>
      <w:numFmt w:val="decimal"/>
      <w:lvlText w:val="%5."/>
      <w:lvlJc w:val="left"/>
      <w:pPr>
        <w:tabs>
          <w:tab w:val="num" w:pos="3600"/>
        </w:tabs>
        <w:ind w:left="3600" w:hanging="360"/>
      </w:pPr>
    </w:lvl>
    <w:lvl w:ilvl="5" w:tplc="C81C60B4">
      <w:start w:val="1"/>
      <w:numFmt w:val="decimal"/>
      <w:lvlText w:val="%6."/>
      <w:lvlJc w:val="left"/>
      <w:pPr>
        <w:tabs>
          <w:tab w:val="num" w:pos="4320"/>
        </w:tabs>
        <w:ind w:left="4320" w:hanging="360"/>
      </w:pPr>
    </w:lvl>
    <w:lvl w:ilvl="6" w:tplc="4B72E226">
      <w:start w:val="1"/>
      <w:numFmt w:val="decimal"/>
      <w:lvlText w:val="%7."/>
      <w:lvlJc w:val="left"/>
      <w:pPr>
        <w:tabs>
          <w:tab w:val="num" w:pos="5040"/>
        </w:tabs>
        <w:ind w:left="5040" w:hanging="360"/>
      </w:pPr>
    </w:lvl>
    <w:lvl w:ilvl="7" w:tplc="4CF60A60">
      <w:start w:val="1"/>
      <w:numFmt w:val="decimal"/>
      <w:lvlText w:val="%8."/>
      <w:lvlJc w:val="left"/>
      <w:pPr>
        <w:tabs>
          <w:tab w:val="num" w:pos="5760"/>
        </w:tabs>
        <w:ind w:left="5760" w:hanging="360"/>
      </w:pPr>
    </w:lvl>
    <w:lvl w:ilvl="8" w:tplc="52700E1A">
      <w:start w:val="1"/>
      <w:numFmt w:val="decimal"/>
      <w:lvlText w:val="%9."/>
      <w:lvlJc w:val="left"/>
      <w:pPr>
        <w:tabs>
          <w:tab w:val="num" w:pos="6480"/>
        </w:tabs>
        <w:ind w:left="6480" w:hanging="360"/>
      </w:pPr>
    </w:lvl>
  </w:abstractNum>
  <w:abstractNum w:abstractNumId="4" w15:restartNumberingAfterBreak="0">
    <w:nsid w:val="15EF2647"/>
    <w:multiLevelType w:val="hybridMultilevel"/>
    <w:tmpl w:val="7A4E91C2"/>
    <w:numStyleLink w:val="ImportedStyle5"/>
  </w:abstractNum>
  <w:abstractNum w:abstractNumId="5" w15:restartNumberingAfterBreak="0">
    <w:nsid w:val="22CD51CA"/>
    <w:multiLevelType w:val="multilevel"/>
    <w:tmpl w:val="04E891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55F6EA5"/>
    <w:multiLevelType w:val="hybridMultilevel"/>
    <w:tmpl w:val="18AE103A"/>
    <w:styleLink w:val="ImportedStyle6"/>
    <w:lvl w:ilvl="0" w:tplc="0218D5B6">
      <w:start w:val="1"/>
      <w:numFmt w:val="bullet"/>
      <w:lvlText w:val="✓"/>
      <w:lvlJc w:val="left"/>
      <w:pPr>
        <w:ind w:left="7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3A46140E">
      <w:start w:val="1"/>
      <w:numFmt w:val="bullet"/>
      <w:lvlText w:val="□"/>
      <w:lvlJc w:val="left"/>
      <w:pPr>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B02731E">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D9EA9D0C">
      <w:start w:val="1"/>
      <w:numFmt w:val="bullet"/>
      <w:lvlText w:val="•"/>
      <w:lvlJc w:val="left"/>
      <w:pPr>
        <w:ind w:left="28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9E8A760">
      <w:start w:val="1"/>
      <w:numFmt w:val="bullet"/>
      <w:lvlText w:val="□"/>
      <w:lvlJc w:val="left"/>
      <w:pPr>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A205F24">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3024220">
      <w:start w:val="1"/>
      <w:numFmt w:val="bullet"/>
      <w:lvlText w:val="•"/>
      <w:lvlJc w:val="left"/>
      <w:pPr>
        <w:ind w:left="50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22EAAE56">
      <w:start w:val="1"/>
      <w:numFmt w:val="bullet"/>
      <w:lvlText w:val="□"/>
      <w:lvlJc w:val="left"/>
      <w:pPr>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9F82AD2">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27B7577C"/>
    <w:multiLevelType w:val="multilevel"/>
    <w:tmpl w:val="0854C95A"/>
    <w:numStyleLink w:val="ImportedStyle4"/>
  </w:abstractNum>
  <w:abstractNum w:abstractNumId="8" w15:restartNumberingAfterBreak="0">
    <w:nsid w:val="2A5C526A"/>
    <w:multiLevelType w:val="multilevel"/>
    <w:tmpl w:val="EB804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A8E3E19"/>
    <w:multiLevelType w:val="multilevel"/>
    <w:tmpl w:val="84C84B60"/>
    <w:numStyleLink w:val="ImportedStyle1"/>
  </w:abstractNum>
  <w:abstractNum w:abstractNumId="10" w15:restartNumberingAfterBreak="0">
    <w:nsid w:val="2C713044"/>
    <w:multiLevelType w:val="multilevel"/>
    <w:tmpl w:val="2BE0891E"/>
    <w:numStyleLink w:val="ImportedStyle2"/>
  </w:abstractNum>
  <w:abstractNum w:abstractNumId="11" w15:restartNumberingAfterBreak="0">
    <w:nsid w:val="36B61ED9"/>
    <w:multiLevelType w:val="hybridMultilevel"/>
    <w:tmpl w:val="5C604FF6"/>
    <w:styleLink w:val="Bullets"/>
    <w:lvl w:ilvl="0" w:tplc="FE92A9AE">
      <w:start w:val="1"/>
      <w:numFmt w:val="bullet"/>
      <w:lvlText w:val="•"/>
      <w:lvlJc w:val="left"/>
      <w:pPr>
        <w:ind w:left="894" w:hanging="174"/>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2DEB110">
      <w:start w:val="1"/>
      <w:numFmt w:val="bullet"/>
      <w:lvlText w:val="•"/>
      <w:lvlJc w:val="left"/>
      <w:pPr>
        <w:ind w:left="1494" w:hanging="174"/>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4BAA14D0">
      <w:start w:val="1"/>
      <w:numFmt w:val="bullet"/>
      <w:lvlText w:val="•"/>
      <w:lvlJc w:val="left"/>
      <w:pPr>
        <w:ind w:left="2094" w:hanging="174"/>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D9B0EC16">
      <w:start w:val="1"/>
      <w:numFmt w:val="bullet"/>
      <w:lvlText w:val="•"/>
      <w:lvlJc w:val="left"/>
      <w:pPr>
        <w:ind w:left="2694" w:hanging="174"/>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B58AE362">
      <w:start w:val="1"/>
      <w:numFmt w:val="bullet"/>
      <w:lvlText w:val="•"/>
      <w:lvlJc w:val="left"/>
      <w:pPr>
        <w:ind w:left="3294" w:hanging="174"/>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DACD7AE">
      <w:start w:val="1"/>
      <w:numFmt w:val="bullet"/>
      <w:lvlText w:val="•"/>
      <w:lvlJc w:val="left"/>
      <w:pPr>
        <w:ind w:left="3894" w:hanging="174"/>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E214AA62">
      <w:start w:val="1"/>
      <w:numFmt w:val="bullet"/>
      <w:lvlText w:val="•"/>
      <w:lvlJc w:val="left"/>
      <w:pPr>
        <w:ind w:left="4494" w:hanging="174"/>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D7E6780">
      <w:start w:val="1"/>
      <w:numFmt w:val="bullet"/>
      <w:lvlText w:val="•"/>
      <w:lvlJc w:val="left"/>
      <w:pPr>
        <w:ind w:left="5094" w:hanging="174"/>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27CC1FB4">
      <w:start w:val="1"/>
      <w:numFmt w:val="bullet"/>
      <w:lvlText w:val="•"/>
      <w:lvlJc w:val="left"/>
      <w:pPr>
        <w:ind w:left="5694" w:hanging="174"/>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2" w15:restartNumberingAfterBreak="0">
    <w:nsid w:val="3A9A66AF"/>
    <w:multiLevelType w:val="hybridMultilevel"/>
    <w:tmpl w:val="3C6A0D38"/>
    <w:styleLink w:val="ImportedStyle7"/>
    <w:lvl w:ilvl="0" w:tplc="8A80F20C">
      <w:start w:val="1"/>
      <w:numFmt w:val="bullet"/>
      <w:lvlText w:val="➢"/>
      <w:lvlJc w:val="left"/>
      <w:pPr>
        <w:ind w:left="7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E22BCBA">
      <w:start w:val="1"/>
      <w:numFmt w:val="bullet"/>
      <w:lvlText w:val="□"/>
      <w:lvlJc w:val="left"/>
      <w:pPr>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53C6ABA">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84AC45A">
      <w:start w:val="1"/>
      <w:numFmt w:val="bullet"/>
      <w:lvlText w:val="•"/>
      <w:lvlJc w:val="left"/>
      <w:pPr>
        <w:ind w:left="28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6AEA3CE">
      <w:start w:val="1"/>
      <w:numFmt w:val="bullet"/>
      <w:lvlText w:val="□"/>
      <w:lvlJc w:val="left"/>
      <w:pPr>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81CDF2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7625C40">
      <w:start w:val="1"/>
      <w:numFmt w:val="bullet"/>
      <w:lvlText w:val="•"/>
      <w:lvlJc w:val="left"/>
      <w:pPr>
        <w:ind w:left="50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B26C5C2">
      <w:start w:val="1"/>
      <w:numFmt w:val="bullet"/>
      <w:lvlText w:val="□"/>
      <w:lvlJc w:val="left"/>
      <w:pPr>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212AA05E">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3" w15:restartNumberingAfterBreak="0">
    <w:nsid w:val="3AD12FC6"/>
    <w:multiLevelType w:val="multilevel"/>
    <w:tmpl w:val="4288BCA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cstheme="majorBidi" w:hint="default"/>
        <w:color w:val="365F91" w:themeColor="accent1" w:themeShade="BF"/>
      </w:rPr>
    </w:lvl>
    <w:lvl w:ilvl="2">
      <w:start w:val="1"/>
      <w:numFmt w:val="decimal"/>
      <w:isLgl/>
      <w:lvlText w:val="%1.%2.%3."/>
      <w:lvlJc w:val="left"/>
      <w:pPr>
        <w:ind w:left="1440" w:hanging="1080"/>
      </w:pPr>
      <w:rPr>
        <w:rFonts w:cstheme="majorBidi" w:hint="default"/>
        <w:color w:val="365F91" w:themeColor="accent1" w:themeShade="BF"/>
      </w:rPr>
    </w:lvl>
    <w:lvl w:ilvl="3">
      <w:start w:val="1"/>
      <w:numFmt w:val="decimal"/>
      <w:isLgl/>
      <w:lvlText w:val="%1.%2.%3.%4."/>
      <w:lvlJc w:val="left"/>
      <w:pPr>
        <w:ind w:left="1440" w:hanging="1080"/>
      </w:pPr>
      <w:rPr>
        <w:rFonts w:cstheme="majorBidi" w:hint="default"/>
        <w:color w:val="365F91" w:themeColor="accent1" w:themeShade="BF"/>
      </w:rPr>
    </w:lvl>
    <w:lvl w:ilvl="4">
      <w:start w:val="1"/>
      <w:numFmt w:val="decimal"/>
      <w:isLgl/>
      <w:lvlText w:val="%1.%2.%3.%4.%5."/>
      <w:lvlJc w:val="left"/>
      <w:pPr>
        <w:ind w:left="1800" w:hanging="1440"/>
      </w:pPr>
      <w:rPr>
        <w:rFonts w:cstheme="majorBidi" w:hint="default"/>
        <w:color w:val="365F91" w:themeColor="accent1" w:themeShade="BF"/>
      </w:rPr>
    </w:lvl>
    <w:lvl w:ilvl="5">
      <w:start w:val="1"/>
      <w:numFmt w:val="decimal"/>
      <w:isLgl/>
      <w:lvlText w:val="%1.%2.%3.%4.%5.%6."/>
      <w:lvlJc w:val="left"/>
      <w:pPr>
        <w:ind w:left="2160" w:hanging="1800"/>
      </w:pPr>
      <w:rPr>
        <w:rFonts w:cstheme="majorBidi" w:hint="default"/>
        <w:color w:val="365F91" w:themeColor="accent1" w:themeShade="BF"/>
      </w:rPr>
    </w:lvl>
    <w:lvl w:ilvl="6">
      <w:start w:val="1"/>
      <w:numFmt w:val="decimal"/>
      <w:isLgl/>
      <w:lvlText w:val="%1.%2.%3.%4.%5.%6.%7."/>
      <w:lvlJc w:val="left"/>
      <w:pPr>
        <w:ind w:left="2520" w:hanging="2160"/>
      </w:pPr>
      <w:rPr>
        <w:rFonts w:cstheme="majorBidi" w:hint="default"/>
        <w:color w:val="365F91" w:themeColor="accent1" w:themeShade="BF"/>
      </w:rPr>
    </w:lvl>
    <w:lvl w:ilvl="7">
      <w:start w:val="1"/>
      <w:numFmt w:val="decimal"/>
      <w:isLgl/>
      <w:lvlText w:val="%1.%2.%3.%4.%5.%6.%7.%8."/>
      <w:lvlJc w:val="left"/>
      <w:pPr>
        <w:ind w:left="2520" w:hanging="2160"/>
      </w:pPr>
      <w:rPr>
        <w:rFonts w:cstheme="majorBidi" w:hint="default"/>
        <w:color w:val="365F91" w:themeColor="accent1" w:themeShade="BF"/>
      </w:rPr>
    </w:lvl>
    <w:lvl w:ilvl="8">
      <w:start w:val="1"/>
      <w:numFmt w:val="decimal"/>
      <w:isLgl/>
      <w:lvlText w:val="%1.%2.%3.%4.%5.%6.%7.%8.%9."/>
      <w:lvlJc w:val="left"/>
      <w:pPr>
        <w:ind w:left="2880" w:hanging="2520"/>
      </w:pPr>
      <w:rPr>
        <w:rFonts w:cstheme="majorBidi" w:hint="default"/>
        <w:color w:val="365F91" w:themeColor="accent1" w:themeShade="BF"/>
      </w:rPr>
    </w:lvl>
  </w:abstractNum>
  <w:abstractNum w:abstractNumId="14" w15:restartNumberingAfterBreak="0">
    <w:nsid w:val="3CEF5E0D"/>
    <w:multiLevelType w:val="multilevel"/>
    <w:tmpl w:val="A21800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DC207A4"/>
    <w:multiLevelType w:val="multilevel"/>
    <w:tmpl w:val="84C84B60"/>
    <w:styleLink w:val="ImportedStyle1"/>
    <w:lvl w:ilvl="0">
      <w:start w:val="1"/>
      <w:numFmt w:val="decimal"/>
      <w:lvlText w:val="%1."/>
      <w:lvlJc w:val="left"/>
      <w:pPr>
        <w:ind w:left="72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suff w:val="nothing"/>
      <w:lvlText w:val="%1.%2."/>
      <w:lvlJc w:val="left"/>
      <w:pPr>
        <w:ind w:left="690" w:hanging="330"/>
      </w:pPr>
      <w:rPr>
        <w:rFonts w:hAnsi="Arial Unicode MS"/>
        <w:caps w:val="0"/>
        <w:smallCaps w:val="0"/>
        <w:strike w:val="0"/>
        <w:dstrike w:val="0"/>
        <w:color w:val="000000"/>
        <w:spacing w:val="0"/>
        <w:w w:val="100"/>
        <w:kern w:val="0"/>
        <w:position w:val="0"/>
        <w:sz w:val="22"/>
        <w:szCs w:val="2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020"/>
        </w:tabs>
        <w:ind w:left="1230" w:hanging="870"/>
      </w:pPr>
      <w:rPr>
        <w:rFonts w:hAnsi="Arial Unicode MS"/>
        <w:caps w:val="0"/>
        <w:smallCaps w:val="0"/>
        <w:strike w:val="0"/>
        <w:dstrike w:val="0"/>
        <w:color w:val="000000"/>
        <w:spacing w:val="0"/>
        <w:w w:val="100"/>
        <w:kern w:val="0"/>
        <w:position w:val="0"/>
        <w:sz w:val="22"/>
        <w:szCs w:val="2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ind w:left="690" w:hanging="330"/>
      </w:pPr>
      <w:rPr>
        <w:rFonts w:hAnsi="Arial Unicode MS"/>
        <w:caps w:val="0"/>
        <w:smallCaps w:val="0"/>
        <w:strike w:val="0"/>
        <w:dstrike w:val="0"/>
        <w:color w:val="000000"/>
        <w:spacing w:val="0"/>
        <w:w w:val="100"/>
        <w:kern w:val="0"/>
        <w:position w:val="0"/>
        <w:sz w:val="22"/>
        <w:szCs w:val="2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tabs>
          <w:tab w:val="num" w:pos="1350"/>
        </w:tabs>
        <w:ind w:left="1560" w:hanging="1200"/>
      </w:pPr>
      <w:rPr>
        <w:rFonts w:hAnsi="Arial Unicode MS"/>
        <w:caps w:val="0"/>
        <w:smallCaps w:val="0"/>
        <w:strike w:val="0"/>
        <w:dstrike w:val="0"/>
        <w:color w:val="000000"/>
        <w:spacing w:val="0"/>
        <w:w w:val="100"/>
        <w:kern w:val="0"/>
        <w:position w:val="0"/>
        <w:sz w:val="22"/>
        <w:szCs w:val="2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pPr>
        <w:ind w:left="690" w:hanging="330"/>
      </w:pPr>
      <w:rPr>
        <w:rFonts w:hAnsi="Arial Unicode MS"/>
        <w:caps w:val="0"/>
        <w:smallCaps w:val="0"/>
        <w:strike w:val="0"/>
        <w:dstrike w:val="0"/>
        <w:color w:val="000000"/>
        <w:spacing w:val="0"/>
        <w:w w:val="100"/>
        <w:kern w:val="0"/>
        <w:position w:val="0"/>
        <w:sz w:val="22"/>
        <w:szCs w:val="2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1.%2.%3.%4.%5.%6.%7."/>
      <w:lvlJc w:val="left"/>
      <w:pPr>
        <w:tabs>
          <w:tab w:val="num" w:pos="1680"/>
        </w:tabs>
        <w:ind w:left="1890" w:hanging="1530"/>
      </w:pPr>
      <w:rPr>
        <w:rFonts w:hAnsi="Arial Unicode MS"/>
        <w:caps w:val="0"/>
        <w:smallCaps w:val="0"/>
        <w:strike w:val="0"/>
        <w:dstrike w:val="0"/>
        <w:color w:val="000000"/>
        <w:spacing w:val="0"/>
        <w:w w:val="100"/>
        <w:kern w:val="0"/>
        <w:position w:val="0"/>
        <w:sz w:val="22"/>
        <w:szCs w:val="2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ind w:left="690" w:hanging="330"/>
      </w:pPr>
      <w:rPr>
        <w:rFonts w:hAnsi="Arial Unicode MS"/>
        <w:caps w:val="0"/>
        <w:smallCaps w:val="0"/>
        <w:strike w:val="0"/>
        <w:dstrike w:val="0"/>
        <w:color w:val="000000"/>
        <w:spacing w:val="0"/>
        <w:w w:val="100"/>
        <w:kern w:val="0"/>
        <w:position w:val="0"/>
        <w:sz w:val="22"/>
        <w:szCs w:val="2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lvlText w:val="%1.%2.%3.%4.%5.%6.%7.%8.%9."/>
      <w:lvlJc w:val="left"/>
      <w:pPr>
        <w:tabs>
          <w:tab w:val="num" w:pos="2010"/>
        </w:tabs>
        <w:ind w:left="2220" w:hanging="1860"/>
      </w:pPr>
      <w:rPr>
        <w:rFonts w:hAnsi="Arial Unicode MS"/>
        <w:caps w:val="0"/>
        <w:smallCaps w:val="0"/>
        <w:strike w:val="0"/>
        <w:dstrike w:val="0"/>
        <w:color w:val="000000"/>
        <w:spacing w:val="0"/>
        <w:w w:val="100"/>
        <w:kern w:val="0"/>
        <w:position w:val="0"/>
        <w:sz w:val="22"/>
        <w:szCs w:val="2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6" w15:restartNumberingAfterBreak="0">
    <w:nsid w:val="41A640E1"/>
    <w:multiLevelType w:val="multilevel"/>
    <w:tmpl w:val="64F69E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3223991"/>
    <w:multiLevelType w:val="hybridMultilevel"/>
    <w:tmpl w:val="4D4607CC"/>
    <w:lvl w:ilvl="0" w:tplc="04090005">
      <w:start w:val="1"/>
      <w:numFmt w:val="bullet"/>
      <w:lvlText w:val=""/>
      <w:lvlJc w:val="left"/>
      <w:pPr>
        <w:ind w:left="720"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8" w15:restartNumberingAfterBreak="0">
    <w:nsid w:val="46FB4CDE"/>
    <w:multiLevelType w:val="multilevel"/>
    <w:tmpl w:val="5C408618"/>
    <w:lvl w:ilvl="0">
      <w:start w:val="1"/>
      <w:numFmt w:val="decimal"/>
      <w:lvlText w:val="%1"/>
      <w:lvlJc w:val="left"/>
      <w:pPr>
        <w:ind w:left="360" w:hanging="360"/>
      </w:pPr>
      <w:rPr>
        <w:rFonts w:hint="default"/>
        <w:b/>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200" w:hanging="1440"/>
      </w:pPr>
      <w:rPr>
        <w:rFonts w:hint="default"/>
        <w:b/>
      </w:rPr>
    </w:lvl>
  </w:abstractNum>
  <w:abstractNum w:abstractNumId="19" w15:restartNumberingAfterBreak="0">
    <w:nsid w:val="47E7284B"/>
    <w:multiLevelType w:val="hybridMultilevel"/>
    <w:tmpl w:val="0F60419C"/>
    <w:numStyleLink w:val="ImportedStyle8"/>
  </w:abstractNum>
  <w:abstractNum w:abstractNumId="20" w15:restartNumberingAfterBreak="0">
    <w:nsid w:val="47FC60DF"/>
    <w:multiLevelType w:val="hybridMultilevel"/>
    <w:tmpl w:val="8A38FE7C"/>
    <w:numStyleLink w:val="ImportedStyle10"/>
  </w:abstractNum>
  <w:abstractNum w:abstractNumId="21" w15:restartNumberingAfterBreak="0">
    <w:nsid w:val="4D184604"/>
    <w:multiLevelType w:val="multilevel"/>
    <w:tmpl w:val="B8EA6D90"/>
    <w:styleLink w:val="ImportedStyle3"/>
    <w:lvl w:ilvl="0">
      <w:start w:val="1"/>
      <w:numFmt w:val="decimal"/>
      <w:lvlText w:val="%1."/>
      <w:lvlJc w:val="left"/>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040"/>
        </w:tabs>
        <w:ind w:left="72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suff w:val="nothing"/>
      <w:lvlText w:val="%1.%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suff w:val="nothing"/>
      <w:lvlText w:val="%1.%2.%3."/>
      <w:lvlJc w:val="left"/>
      <w:pPr>
        <w:ind w:left="2160" w:hanging="30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suff w:val="nothing"/>
      <w:lvlText w:val="%1.%2.%3.%4.%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lowerRoman"/>
      <w:suff w:val="nothing"/>
      <w:lvlText w:val="%1.%2.%3.%4.%5.%6."/>
      <w:lvlJc w:val="left"/>
      <w:pPr>
        <w:ind w:left="4320" w:hanging="30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lowerLetter"/>
      <w:suff w:val="nothing"/>
      <w:lvlText w:val="%1.%2.%3.%4.%5.%6.%7.%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lowerRoman"/>
      <w:suff w:val="nothing"/>
      <w:lvlText w:val="%1.%2.%3.%4.%5.%6.%7.%8.%9."/>
      <w:lvlJc w:val="left"/>
      <w:pPr>
        <w:ind w:left="6480" w:hanging="30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2" w15:restartNumberingAfterBreak="0">
    <w:nsid w:val="52890A9E"/>
    <w:multiLevelType w:val="multilevel"/>
    <w:tmpl w:val="0B505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7FE60FE"/>
    <w:multiLevelType w:val="hybridMultilevel"/>
    <w:tmpl w:val="5C604FF6"/>
    <w:numStyleLink w:val="Bullets"/>
  </w:abstractNum>
  <w:abstractNum w:abstractNumId="24" w15:restartNumberingAfterBreak="0">
    <w:nsid w:val="5DCF23E9"/>
    <w:multiLevelType w:val="multilevel"/>
    <w:tmpl w:val="D422C958"/>
    <w:lvl w:ilvl="0">
      <w:start w:val="51"/>
      <w:numFmt w:val="decimal"/>
      <w:lvlText w:val="%1"/>
      <w:lvlJc w:val="left"/>
      <w:pPr>
        <w:ind w:left="384" w:hanging="384"/>
      </w:pPr>
      <w:rPr>
        <w:rFonts w:hint="default"/>
      </w:rPr>
    </w:lvl>
    <w:lvl w:ilvl="1">
      <w:start w:val="1"/>
      <w:numFmt w:val="decimal"/>
      <w:lvlText w:val="%1.%2"/>
      <w:lvlJc w:val="left"/>
      <w:pPr>
        <w:ind w:left="1104" w:hanging="384"/>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5" w15:restartNumberingAfterBreak="0">
    <w:nsid w:val="5E4D7FF6"/>
    <w:multiLevelType w:val="multilevel"/>
    <w:tmpl w:val="A4D64B10"/>
    <w:lvl w:ilvl="0">
      <w:start w:val="5"/>
      <w:numFmt w:val="decimal"/>
      <w:lvlText w:val="%1"/>
      <w:lvlJc w:val="left"/>
      <w:pPr>
        <w:ind w:left="360" w:hanging="360"/>
      </w:pPr>
      <w:rPr>
        <w:rFonts w:hint="default"/>
      </w:rPr>
    </w:lvl>
    <w:lvl w:ilvl="1">
      <w:start w:val="3"/>
      <w:numFmt w:val="decimal"/>
      <w:lvlText w:val="%1.%2"/>
      <w:lvlJc w:val="left"/>
      <w:pPr>
        <w:ind w:left="996" w:hanging="360"/>
      </w:pPr>
      <w:rPr>
        <w:rFonts w:hint="default"/>
      </w:rPr>
    </w:lvl>
    <w:lvl w:ilvl="2">
      <w:start w:val="1"/>
      <w:numFmt w:val="decimal"/>
      <w:lvlText w:val="%1.%2.%3"/>
      <w:lvlJc w:val="left"/>
      <w:pPr>
        <w:ind w:left="1992" w:hanging="720"/>
      </w:pPr>
      <w:rPr>
        <w:rFonts w:hint="default"/>
      </w:rPr>
    </w:lvl>
    <w:lvl w:ilvl="3">
      <w:start w:val="1"/>
      <w:numFmt w:val="decimal"/>
      <w:lvlText w:val="%1.%2.%3.%4"/>
      <w:lvlJc w:val="left"/>
      <w:pPr>
        <w:ind w:left="2628" w:hanging="720"/>
      </w:pPr>
      <w:rPr>
        <w:rFonts w:hint="default"/>
      </w:rPr>
    </w:lvl>
    <w:lvl w:ilvl="4">
      <w:start w:val="1"/>
      <w:numFmt w:val="decimal"/>
      <w:lvlText w:val="%1.%2.%3.%4.%5"/>
      <w:lvlJc w:val="left"/>
      <w:pPr>
        <w:ind w:left="3624" w:hanging="1080"/>
      </w:pPr>
      <w:rPr>
        <w:rFonts w:hint="default"/>
      </w:rPr>
    </w:lvl>
    <w:lvl w:ilvl="5">
      <w:start w:val="1"/>
      <w:numFmt w:val="decimal"/>
      <w:lvlText w:val="%1.%2.%3.%4.%5.%6"/>
      <w:lvlJc w:val="left"/>
      <w:pPr>
        <w:ind w:left="4260" w:hanging="1080"/>
      </w:pPr>
      <w:rPr>
        <w:rFonts w:hint="default"/>
      </w:rPr>
    </w:lvl>
    <w:lvl w:ilvl="6">
      <w:start w:val="1"/>
      <w:numFmt w:val="decimal"/>
      <w:lvlText w:val="%1.%2.%3.%4.%5.%6.%7"/>
      <w:lvlJc w:val="left"/>
      <w:pPr>
        <w:ind w:left="5256" w:hanging="1440"/>
      </w:pPr>
      <w:rPr>
        <w:rFonts w:hint="default"/>
      </w:rPr>
    </w:lvl>
    <w:lvl w:ilvl="7">
      <w:start w:val="1"/>
      <w:numFmt w:val="decimal"/>
      <w:lvlText w:val="%1.%2.%3.%4.%5.%6.%7.%8"/>
      <w:lvlJc w:val="left"/>
      <w:pPr>
        <w:ind w:left="5892" w:hanging="1440"/>
      </w:pPr>
      <w:rPr>
        <w:rFonts w:hint="default"/>
      </w:rPr>
    </w:lvl>
    <w:lvl w:ilvl="8">
      <w:start w:val="1"/>
      <w:numFmt w:val="decimal"/>
      <w:lvlText w:val="%1.%2.%3.%4.%5.%6.%7.%8.%9"/>
      <w:lvlJc w:val="left"/>
      <w:pPr>
        <w:ind w:left="6528" w:hanging="1440"/>
      </w:pPr>
      <w:rPr>
        <w:rFonts w:hint="default"/>
      </w:rPr>
    </w:lvl>
  </w:abstractNum>
  <w:abstractNum w:abstractNumId="26" w15:restartNumberingAfterBreak="0">
    <w:nsid w:val="63AC0F26"/>
    <w:multiLevelType w:val="hybridMultilevel"/>
    <w:tmpl w:val="8A38FE7C"/>
    <w:styleLink w:val="ImportedStyle10"/>
    <w:lvl w:ilvl="0" w:tplc="7D965010">
      <w:start w:val="1"/>
      <w:numFmt w:val="bullet"/>
      <w:lvlText w:val="●"/>
      <w:lvlJc w:val="left"/>
      <w:pPr>
        <w:ind w:left="720" w:hanging="36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E36E9CC">
      <w:start w:val="1"/>
      <w:numFmt w:val="bullet"/>
      <w:lvlText w:val="o"/>
      <w:lvlJc w:val="left"/>
      <w:pPr>
        <w:ind w:left="1440" w:hanging="36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D127272">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A265F7C">
      <w:start w:val="1"/>
      <w:numFmt w:val="bullet"/>
      <w:lvlText w:val="●"/>
      <w:lvlJc w:val="left"/>
      <w:pPr>
        <w:ind w:left="2880" w:hanging="36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A93CF5AA">
      <w:start w:val="1"/>
      <w:numFmt w:val="bullet"/>
      <w:lvlText w:val="o"/>
      <w:lvlJc w:val="left"/>
      <w:pPr>
        <w:ind w:left="3600" w:hanging="36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08D2D30C">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780911C">
      <w:start w:val="1"/>
      <w:numFmt w:val="bullet"/>
      <w:lvlText w:val="●"/>
      <w:lvlJc w:val="left"/>
      <w:pPr>
        <w:ind w:left="5040" w:hanging="36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F78FE30">
      <w:start w:val="1"/>
      <w:numFmt w:val="bullet"/>
      <w:lvlText w:val="o"/>
      <w:lvlJc w:val="left"/>
      <w:pPr>
        <w:ind w:left="5760" w:hanging="36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2E943854">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7" w15:restartNumberingAfterBreak="0">
    <w:nsid w:val="63DF2D4C"/>
    <w:multiLevelType w:val="multilevel"/>
    <w:tmpl w:val="0854C95A"/>
    <w:styleLink w:val="ImportedStyle4"/>
    <w:lvl w:ilvl="0">
      <w:start w:val="1"/>
      <w:numFmt w:val="decimal"/>
      <w:lvlText w:val="%1."/>
      <w:lvlJc w:val="left"/>
      <w:pPr>
        <w:tabs>
          <w:tab w:val="num"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40"/>
        </w:tabs>
        <w:ind w:left="786"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suff w:val="nothing"/>
      <w:lvlText w:val="%1.%2."/>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40"/>
        </w:tabs>
        <w:ind w:left="632" w:hanging="20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nothing"/>
      <w:lvlText w:val="%1.%2.%3."/>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40"/>
        </w:tabs>
        <w:ind w:left="632" w:hanging="20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40"/>
        </w:tabs>
        <w:ind w:left="632" w:hanging="20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1.%2.%3.%4.%5."/>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40"/>
        </w:tabs>
        <w:ind w:left="632" w:hanging="20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40"/>
        </w:tabs>
        <w:ind w:left="632" w:hanging="20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40"/>
        </w:tabs>
        <w:ind w:left="632" w:hanging="20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40"/>
        </w:tabs>
        <w:ind w:left="632" w:hanging="20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40"/>
        </w:tabs>
        <w:ind w:left="632" w:hanging="20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8" w15:restartNumberingAfterBreak="0">
    <w:nsid w:val="68C5247D"/>
    <w:multiLevelType w:val="multilevel"/>
    <w:tmpl w:val="2BE0891E"/>
    <w:styleLink w:val="ImportedStyle2"/>
    <w:lvl w:ilvl="0">
      <w:start w:val="1"/>
      <w:numFmt w:val="decimal"/>
      <w:lvlText w:val="%1."/>
      <w:lvlJc w:val="left"/>
      <w:pPr>
        <w:ind w:left="330" w:hanging="33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2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2.%3."/>
      <w:lvlJc w:val="left"/>
      <w:pPr>
        <w:ind w:left="144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2.%3.%4."/>
      <w:lvlJc w:val="left"/>
      <w:pPr>
        <w:ind w:left="180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2.%3.%4.%5."/>
      <w:lvlJc w:val="left"/>
      <w:pPr>
        <w:ind w:left="2520" w:hanging="108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2.%3.%4.%5.%6."/>
      <w:lvlJc w:val="left"/>
      <w:pPr>
        <w:ind w:left="2880" w:hanging="108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2.%3.%4.%5.%6.%7."/>
      <w:lvlJc w:val="left"/>
      <w:pPr>
        <w:ind w:left="3600" w:hanging="144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lvlText w:val="%2.%3.%4.%5.%6.%7.%8."/>
      <w:lvlJc w:val="left"/>
      <w:pPr>
        <w:ind w:left="3960" w:hanging="144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lvlText w:val="%2.%3.%4.%5.%6.%7.%8.%9."/>
      <w:lvlJc w:val="left"/>
      <w:pPr>
        <w:ind w:left="4320" w:hanging="144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9" w15:restartNumberingAfterBreak="0">
    <w:nsid w:val="6BD232ED"/>
    <w:multiLevelType w:val="hybridMultilevel"/>
    <w:tmpl w:val="BD0892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D9F3B0C"/>
    <w:multiLevelType w:val="multilevel"/>
    <w:tmpl w:val="B8EA6D90"/>
    <w:numStyleLink w:val="ImportedStyle3"/>
  </w:abstractNum>
  <w:abstractNum w:abstractNumId="31" w15:restartNumberingAfterBreak="0">
    <w:nsid w:val="70B80997"/>
    <w:multiLevelType w:val="hybridMultilevel"/>
    <w:tmpl w:val="0F60419C"/>
    <w:styleLink w:val="ImportedStyle8"/>
    <w:lvl w:ilvl="0" w:tplc="602603E0">
      <w:start w:val="1"/>
      <w:numFmt w:val="bullet"/>
      <w:lvlText w:val="·"/>
      <w:lvlJc w:val="left"/>
      <w:pPr>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07C7F50">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41E85F4">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4EC2F660">
      <w:start w:val="1"/>
      <w:numFmt w:val="bullet"/>
      <w:lvlText w:val="·"/>
      <w:lvlJc w:val="left"/>
      <w:pPr>
        <w:ind w:left="28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AFE3BB2">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DB4D10A">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3465CDC">
      <w:start w:val="1"/>
      <w:numFmt w:val="bullet"/>
      <w:lvlText w:val="·"/>
      <w:lvlJc w:val="left"/>
      <w:pPr>
        <w:ind w:left="50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FA0D784">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B1E036A">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2" w15:restartNumberingAfterBreak="0">
    <w:nsid w:val="714004BF"/>
    <w:multiLevelType w:val="hybridMultilevel"/>
    <w:tmpl w:val="961AF6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F721DCF"/>
    <w:multiLevelType w:val="hybridMultilevel"/>
    <w:tmpl w:val="7A4E91C2"/>
    <w:styleLink w:val="ImportedStyle5"/>
    <w:lvl w:ilvl="0" w:tplc="618A817C">
      <w:start w:val="1"/>
      <w:numFmt w:val="bullet"/>
      <w:lvlText w:val="▪"/>
      <w:lvlJc w:val="left"/>
      <w:pPr>
        <w:ind w:left="1033"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4F45998">
      <w:start w:val="1"/>
      <w:numFmt w:val="bullet"/>
      <w:lvlText w:val="□"/>
      <w:lvlJc w:val="left"/>
      <w:pPr>
        <w:ind w:left="1753"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AB68D22">
      <w:start w:val="1"/>
      <w:numFmt w:val="bullet"/>
      <w:lvlText w:val="▪"/>
      <w:lvlJc w:val="left"/>
      <w:pPr>
        <w:ind w:left="2473"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E88D5DA">
      <w:start w:val="1"/>
      <w:numFmt w:val="bullet"/>
      <w:lvlText w:val="•"/>
      <w:lvlJc w:val="left"/>
      <w:pPr>
        <w:ind w:left="3193"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881E6B88">
      <w:start w:val="1"/>
      <w:numFmt w:val="bullet"/>
      <w:lvlText w:val="□"/>
      <w:lvlJc w:val="left"/>
      <w:pPr>
        <w:ind w:left="3913"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CEAAD12">
      <w:start w:val="1"/>
      <w:numFmt w:val="bullet"/>
      <w:lvlText w:val="▪"/>
      <w:lvlJc w:val="left"/>
      <w:pPr>
        <w:ind w:left="4633"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1368DB36">
      <w:start w:val="1"/>
      <w:numFmt w:val="bullet"/>
      <w:lvlText w:val="•"/>
      <w:lvlJc w:val="left"/>
      <w:pPr>
        <w:ind w:left="5353"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7D86A9C">
      <w:start w:val="1"/>
      <w:numFmt w:val="bullet"/>
      <w:lvlText w:val="□"/>
      <w:lvlJc w:val="left"/>
      <w:pPr>
        <w:ind w:left="6073"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69AA3AC">
      <w:start w:val="1"/>
      <w:numFmt w:val="bullet"/>
      <w:lvlText w:val="▪"/>
      <w:lvlJc w:val="left"/>
      <w:pPr>
        <w:ind w:left="6793"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4" w15:restartNumberingAfterBreak="0">
    <w:nsid w:val="7FC27D51"/>
    <w:multiLevelType w:val="multilevel"/>
    <w:tmpl w:val="A9D4C458"/>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num w:numId="1" w16cid:durableId="1559854547">
    <w:abstractNumId w:val="15"/>
  </w:num>
  <w:num w:numId="2" w16cid:durableId="884220174">
    <w:abstractNumId w:val="9"/>
  </w:num>
  <w:num w:numId="3" w16cid:durableId="1841920651">
    <w:abstractNumId w:val="28"/>
  </w:num>
  <w:num w:numId="4" w16cid:durableId="1080057598">
    <w:abstractNumId w:val="10"/>
  </w:num>
  <w:num w:numId="5" w16cid:durableId="756907268">
    <w:abstractNumId w:val="21"/>
  </w:num>
  <w:num w:numId="6" w16cid:durableId="664092665">
    <w:abstractNumId w:val="30"/>
  </w:num>
  <w:num w:numId="7" w16cid:durableId="154611181">
    <w:abstractNumId w:val="30"/>
    <w:lvlOverride w:ilvl="0">
      <w:startOverride w:val="4"/>
    </w:lvlOverride>
  </w:num>
  <w:num w:numId="8" w16cid:durableId="1319532446">
    <w:abstractNumId w:val="26"/>
  </w:num>
  <w:num w:numId="9" w16cid:durableId="370686995">
    <w:abstractNumId w:val="20"/>
  </w:num>
  <w:num w:numId="10" w16cid:durableId="959800792">
    <w:abstractNumId w:val="11"/>
  </w:num>
  <w:num w:numId="11" w16cid:durableId="1892307175">
    <w:abstractNumId w:val="23"/>
  </w:num>
  <w:num w:numId="12" w16cid:durableId="1333222326">
    <w:abstractNumId w:val="27"/>
  </w:num>
  <w:num w:numId="13" w16cid:durableId="1264454632">
    <w:abstractNumId w:val="7"/>
  </w:num>
  <w:num w:numId="14" w16cid:durableId="1151486154">
    <w:abstractNumId w:val="7"/>
    <w:lvlOverride w:ilvl="0">
      <w:startOverride w:val="2"/>
    </w:lvlOverride>
  </w:num>
  <w:num w:numId="15" w16cid:durableId="294724429">
    <w:abstractNumId w:val="7"/>
    <w:lvlOverride w:ilvl="0">
      <w:lvl w:ilvl="0">
        <w:start w:val="1"/>
        <w:numFmt w:val="decimal"/>
        <w:lvlText w:val="%1."/>
        <w:lvlJc w:val="left"/>
        <w:pPr>
          <w:ind w:left="786"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nothing"/>
        <w:lvlText w:val="%1.%2."/>
        <w:lvlJc w:val="left"/>
        <w:pPr>
          <w:ind w:left="546" w:hanging="1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lvlText w:val="%1.%2.%3."/>
        <w:lvlJc w:val="left"/>
        <w:pPr>
          <w:ind w:left="1146"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ind w:left="546" w:hanging="1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1.%2.%3.%4.%5."/>
        <w:lvlJc w:val="left"/>
        <w:pPr>
          <w:ind w:left="1506" w:hanging="108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nothing"/>
        <w:lvlText w:val="%1.%2.%3.%4.%5.%6."/>
        <w:lvlJc w:val="left"/>
        <w:pPr>
          <w:ind w:left="546" w:hanging="1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1.%2.%3.%4.%5.%6.%7."/>
        <w:lvlJc w:val="left"/>
        <w:pPr>
          <w:ind w:left="1866" w:hanging="144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1.%2.%3.%4.%5.%6.%7.%8."/>
        <w:lvlJc w:val="left"/>
        <w:pPr>
          <w:ind w:left="546" w:hanging="1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lvlText w:val="%1.%2.%3.%4.%5.%6.%7.%8.%9."/>
        <w:lvlJc w:val="left"/>
        <w:pPr>
          <w:ind w:left="2226" w:hanging="180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16" w16cid:durableId="1440415963">
    <w:abstractNumId w:val="7"/>
    <w:lvlOverride w:ilvl="0">
      <w:lvl w:ilvl="0">
        <w:start w:val="1"/>
        <w:numFmt w:val="decimal"/>
        <w:lvlText w:val="%1."/>
        <w:lvlJc w:val="left"/>
        <w:pPr>
          <w:tabs>
            <w:tab w:val="num"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40"/>
          </w:tabs>
          <w:ind w:left="786"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nothing"/>
        <w:lvlText w:val="%1.%2."/>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40"/>
          </w:tabs>
          <w:ind w:left="612" w:hanging="186"/>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40"/>
          </w:tabs>
          <w:ind w:left="612" w:hanging="186"/>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40"/>
          </w:tabs>
          <w:ind w:left="612" w:hanging="186"/>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nothing"/>
        <w:lvlText w:val="%1.%2.%3.%4.%5."/>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40"/>
          </w:tabs>
          <w:ind w:left="612" w:hanging="186"/>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nothing"/>
        <w:lvlText w:val="%1.%2.%3.%4.%5.%6."/>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40"/>
          </w:tabs>
          <w:ind w:left="612" w:hanging="186"/>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nothing"/>
        <w:lvlText w:val="%1.%2.%3.%4.%5.%6.%7."/>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40"/>
          </w:tabs>
          <w:ind w:left="612" w:hanging="186"/>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1.%2.%3.%4.%5.%6.%7.%8."/>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40"/>
          </w:tabs>
          <w:ind w:left="612" w:hanging="186"/>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1.%2.%3.%4.%5.%6.%7.%8.%9."/>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40"/>
          </w:tabs>
          <w:ind w:left="612" w:hanging="186"/>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17" w16cid:durableId="1897663440">
    <w:abstractNumId w:val="33"/>
  </w:num>
  <w:num w:numId="18" w16cid:durableId="3091742">
    <w:abstractNumId w:val="4"/>
  </w:num>
  <w:num w:numId="19" w16cid:durableId="967784993">
    <w:abstractNumId w:val="6"/>
  </w:num>
  <w:num w:numId="20" w16cid:durableId="2137210209">
    <w:abstractNumId w:val="2"/>
  </w:num>
  <w:num w:numId="21" w16cid:durableId="531454944">
    <w:abstractNumId w:val="7"/>
    <w:lvlOverride w:ilvl="0">
      <w:startOverride w:val="5"/>
      <w:lvl w:ilvl="0">
        <w:start w:val="5"/>
        <w:numFmt w:val="decimal"/>
        <w:lvlText w:val="%1."/>
        <w:lvlJc w:val="left"/>
        <w:pPr>
          <w:ind w:left="786"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start w:val="1"/>
        <w:numFmt w:val="decimal"/>
        <w:lvlText w:val="%1.%2."/>
        <w:lvlJc w:val="left"/>
        <w:pPr>
          <w:ind w:left="786"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decimal"/>
        <w:lvlText w:val="%1.%2.%3."/>
        <w:lvlJc w:val="left"/>
        <w:pPr>
          <w:ind w:left="1146"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lvlText w:val="%1.%2.%3.%4."/>
        <w:lvlJc w:val="left"/>
        <w:pPr>
          <w:ind w:left="1146"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decimal"/>
        <w:lvlText w:val="%1.%2.%3.%4.%5."/>
        <w:lvlJc w:val="left"/>
        <w:pPr>
          <w:ind w:left="1506" w:hanging="108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decimal"/>
        <w:lvlText w:val="%1.%2.%3.%4.%5.%6."/>
        <w:lvlJc w:val="left"/>
        <w:pPr>
          <w:ind w:left="1506" w:hanging="108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lvlText w:val="%1.%2.%3.%4.%5.%6.%7."/>
        <w:lvlJc w:val="left"/>
        <w:pPr>
          <w:ind w:left="1866" w:hanging="144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decimal"/>
        <w:lvlText w:val="%1.%2.%3.%4.%5.%6.%7.%8."/>
        <w:lvlJc w:val="left"/>
        <w:pPr>
          <w:ind w:left="1866" w:hanging="144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decimal"/>
        <w:lvlText w:val="%1.%2.%3.%4.%5.%6.%7.%8.%9."/>
        <w:lvlJc w:val="left"/>
        <w:pPr>
          <w:ind w:left="2226" w:hanging="180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22" w16cid:durableId="1230505078">
    <w:abstractNumId w:val="7"/>
    <w:lvlOverride w:ilvl="0">
      <w:startOverride w:val="1"/>
      <w:lvl w:ilvl="0">
        <w:start w:val="1"/>
        <w:numFmt w:val="decimal"/>
        <w:lvlText w:val="%1."/>
        <w:lvlJc w:val="left"/>
        <w:pPr>
          <w:ind w:left="786"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2"/>
      <w:lvl w:ilvl="1">
        <w:start w:val="2"/>
        <w:numFmt w:val="decimal"/>
        <w:lvlText w:val="%1.%2."/>
        <w:lvlJc w:val="left"/>
        <w:pPr>
          <w:ind w:left="99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decimal"/>
        <w:lvlText w:val="%1.%2.%3."/>
        <w:lvlJc w:val="left"/>
        <w:pPr>
          <w:ind w:left="1146"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lvlText w:val="%1.%2.%3.%4."/>
        <w:lvlJc w:val="left"/>
        <w:pPr>
          <w:ind w:left="1146"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decimal"/>
        <w:lvlText w:val="%1.%2.%3.%4.%5."/>
        <w:lvlJc w:val="left"/>
        <w:pPr>
          <w:ind w:left="1506" w:hanging="108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decimal"/>
        <w:lvlText w:val="%1.%2.%3.%4.%5.%6."/>
        <w:lvlJc w:val="left"/>
        <w:pPr>
          <w:ind w:left="1506" w:hanging="108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lvlText w:val="%1.%2.%3.%4.%5.%6.%7."/>
        <w:lvlJc w:val="left"/>
        <w:pPr>
          <w:ind w:left="1866" w:hanging="144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decimal"/>
        <w:lvlText w:val="%1.%2.%3.%4.%5.%6.%7.%8."/>
        <w:lvlJc w:val="left"/>
        <w:pPr>
          <w:ind w:left="1866" w:hanging="144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decimal"/>
        <w:lvlText w:val="%1.%2.%3.%4.%5.%6.%7.%8.%9."/>
        <w:lvlJc w:val="left"/>
        <w:pPr>
          <w:ind w:left="2226" w:hanging="180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23" w16cid:durableId="2026444240">
    <w:abstractNumId w:val="10"/>
    <w:lvlOverride w:ilvl="0"/>
    <w:lvlOverride w:ilvl="1">
      <w:startOverride w:val="5"/>
    </w:lvlOverride>
  </w:num>
  <w:num w:numId="24" w16cid:durableId="782000652">
    <w:abstractNumId w:val="12"/>
  </w:num>
  <w:num w:numId="25" w16cid:durableId="747846382">
    <w:abstractNumId w:val="0"/>
  </w:num>
  <w:num w:numId="26" w16cid:durableId="1870333415">
    <w:abstractNumId w:val="31"/>
  </w:num>
  <w:num w:numId="27" w16cid:durableId="1678847879">
    <w:abstractNumId w:val="19"/>
  </w:num>
  <w:num w:numId="28" w16cid:durableId="1731657829">
    <w:abstractNumId w:val="0"/>
    <w:lvlOverride w:ilvl="0">
      <w:lvl w:ilvl="0" w:tplc="DFFEA1F6">
        <w:start w:val="1"/>
        <w:numFmt w:val="bullet"/>
        <w:lvlText w:val="➢"/>
        <w:lvlJc w:val="left"/>
        <w:pPr>
          <w:ind w:left="7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0414E8BE">
        <w:start w:val="1"/>
        <w:numFmt w:val="bullet"/>
        <w:lvlText w:val="□"/>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89888FEE">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2B4C9002">
        <w:start w:val="1"/>
        <w:numFmt w:val="bullet"/>
        <w:lvlText w:val="•"/>
        <w:lvlJc w:val="left"/>
        <w:pPr>
          <w:ind w:left="28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3A229B50">
        <w:start w:val="1"/>
        <w:numFmt w:val="bullet"/>
        <w:lvlText w:val="□"/>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C1A8CF96">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6CA471A8">
        <w:start w:val="1"/>
        <w:numFmt w:val="bullet"/>
        <w:lvlText w:val="•"/>
        <w:lvlJc w:val="left"/>
        <w:pPr>
          <w:ind w:left="50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A1EA3814">
        <w:start w:val="1"/>
        <w:numFmt w:val="bullet"/>
        <w:lvlText w:val="□"/>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BA62F83E">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29" w16cid:durableId="619654838">
    <w:abstractNumId w:val="34"/>
  </w:num>
  <w:num w:numId="30" w16cid:durableId="1562130201">
    <w:abstractNumId w:val="18"/>
  </w:num>
  <w:num w:numId="31" w16cid:durableId="1246457525">
    <w:abstractNumId w:val="24"/>
  </w:num>
  <w:num w:numId="32" w16cid:durableId="497622107">
    <w:abstractNumId w:val="25"/>
  </w:num>
  <w:num w:numId="33" w16cid:durableId="867714374">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8556325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316450516">
    <w:abstractNumId w:val="13"/>
  </w:num>
  <w:num w:numId="36" w16cid:durableId="2017029464">
    <w:abstractNumId w:val="22"/>
  </w:num>
  <w:num w:numId="37" w16cid:durableId="1506745133">
    <w:abstractNumId w:val="8"/>
  </w:num>
  <w:num w:numId="38" w16cid:durableId="951742722">
    <w:abstractNumId w:val="5"/>
  </w:num>
  <w:num w:numId="39" w16cid:durableId="1920095316">
    <w:abstractNumId w:val="17"/>
  </w:num>
  <w:num w:numId="40" w16cid:durableId="402483656">
    <w:abstractNumId w:val="29"/>
  </w:num>
  <w:num w:numId="41" w16cid:durableId="480467110">
    <w:abstractNumId w:val="1"/>
  </w:num>
  <w:num w:numId="42" w16cid:durableId="1796949892">
    <w:abstractNumId w:val="14"/>
  </w:num>
  <w:num w:numId="43" w16cid:durableId="1188830683">
    <w:abstractNumId w:val="16"/>
  </w:num>
  <w:num w:numId="44" w16cid:durableId="1759211865">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1134"/>
  <w:autoHyphenation/>
  <w:hyphenationZone w:val="141"/>
  <w:characterSpacingControl w:val="doNotCompress"/>
  <w:footnotePr>
    <w:footnote w:id="-1"/>
    <w:footnote w:id="0"/>
    <w:footnote w:id="1"/>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2052"/>
    <w:rsid w:val="00022224"/>
    <w:rsid w:val="00032451"/>
    <w:rsid w:val="000369D1"/>
    <w:rsid w:val="00043CBF"/>
    <w:rsid w:val="00052B5C"/>
    <w:rsid w:val="0007661E"/>
    <w:rsid w:val="00084A55"/>
    <w:rsid w:val="00087E56"/>
    <w:rsid w:val="00096A8C"/>
    <w:rsid w:val="000A5AC6"/>
    <w:rsid w:val="000B43CA"/>
    <w:rsid w:val="000C2CDB"/>
    <w:rsid w:val="000D3F73"/>
    <w:rsid w:val="000E21AC"/>
    <w:rsid w:val="001160CC"/>
    <w:rsid w:val="00135FD4"/>
    <w:rsid w:val="00142296"/>
    <w:rsid w:val="001503F5"/>
    <w:rsid w:val="001527AE"/>
    <w:rsid w:val="00180F23"/>
    <w:rsid w:val="00185B6E"/>
    <w:rsid w:val="001930BF"/>
    <w:rsid w:val="001941B7"/>
    <w:rsid w:val="001A2F17"/>
    <w:rsid w:val="001B176C"/>
    <w:rsid w:val="001B2A89"/>
    <w:rsid w:val="001B30CF"/>
    <w:rsid w:val="001F1AB4"/>
    <w:rsid w:val="002042C0"/>
    <w:rsid w:val="00211D84"/>
    <w:rsid w:val="00243A69"/>
    <w:rsid w:val="00245593"/>
    <w:rsid w:val="002630FD"/>
    <w:rsid w:val="002647CB"/>
    <w:rsid w:val="00270550"/>
    <w:rsid w:val="00275107"/>
    <w:rsid w:val="0028230C"/>
    <w:rsid w:val="00291549"/>
    <w:rsid w:val="002D16B2"/>
    <w:rsid w:val="002E15AD"/>
    <w:rsid w:val="002E7D0A"/>
    <w:rsid w:val="003104CE"/>
    <w:rsid w:val="00321BDF"/>
    <w:rsid w:val="003242DF"/>
    <w:rsid w:val="0033228F"/>
    <w:rsid w:val="003549CC"/>
    <w:rsid w:val="00363972"/>
    <w:rsid w:val="003663CA"/>
    <w:rsid w:val="00371DF3"/>
    <w:rsid w:val="00381108"/>
    <w:rsid w:val="00391FA2"/>
    <w:rsid w:val="003A6908"/>
    <w:rsid w:val="003B05A5"/>
    <w:rsid w:val="003C41D4"/>
    <w:rsid w:val="003D2FE0"/>
    <w:rsid w:val="003D7145"/>
    <w:rsid w:val="003F07FF"/>
    <w:rsid w:val="00412B1C"/>
    <w:rsid w:val="00453CA0"/>
    <w:rsid w:val="00487B0A"/>
    <w:rsid w:val="00497630"/>
    <w:rsid w:val="004A0EEE"/>
    <w:rsid w:val="004E0BD0"/>
    <w:rsid w:val="00502D09"/>
    <w:rsid w:val="00503A44"/>
    <w:rsid w:val="00533BD6"/>
    <w:rsid w:val="005414B1"/>
    <w:rsid w:val="0054637A"/>
    <w:rsid w:val="005740A4"/>
    <w:rsid w:val="00591637"/>
    <w:rsid w:val="0059177D"/>
    <w:rsid w:val="00594529"/>
    <w:rsid w:val="005A327D"/>
    <w:rsid w:val="005A629B"/>
    <w:rsid w:val="005B1993"/>
    <w:rsid w:val="005B3234"/>
    <w:rsid w:val="005E6489"/>
    <w:rsid w:val="005F7478"/>
    <w:rsid w:val="00613665"/>
    <w:rsid w:val="00616360"/>
    <w:rsid w:val="00621A81"/>
    <w:rsid w:val="00626D4B"/>
    <w:rsid w:val="006316C7"/>
    <w:rsid w:val="00633F06"/>
    <w:rsid w:val="00635853"/>
    <w:rsid w:val="0063601C"/>
    <w:rsid w:val="00645F29"/>
    <w:rsid w:val="00660496"/>
    <w:rsid w:val="006716E8"/>
    <w:rsid w:val="00677A14"/>
    <w:rsid w:val="00684311"/>
    <w:rsid w:val="0069192F"/>
    <w:rsid w:val="00697A28"/>
    <w:rsid w:val="006A18CE"/>
    <w:rsid w:val="006A18F5"/>
    <w:rsid w:val="006A27BF"/>
    <w:rsid w:val="006A7B1D"/>
    <w:rsid w:val="006D51A0"/>
    <w:rsid w:val="006D7BB2"/>
    <w:rsid w:val="00705838"/>
    <w:rsid w:val="007110D8"/>
    <w:rsid w:val="00711724"/>
    <w:rsid w:val="007401A6"/>
    <w:rsid w:val="00753839"/>
    <w:rsid w:val="007612B5"/>
    <w:rsid w:val="007710B4"/>
    <w:rsid w:val="00777FD0"/>
    <w:rsid w:val="00785D87"/>
    <w:rsid w:val="007953E9"/>
    <w:rsid w:val="007B4347"/>
    <w:rsid w:val="007B55E9"/>
    <w:rsid w:val="007F470E"/>
    <w:rsid w:val="00801389"/>
    <w:rsid w:val="00815C7D"/>
    <w:rsid w:val="00816094"/>
    <w:rsid w:val="00840893"/>
    <w:rsid w:val="008637A7"/>
    <w:rsid w:val="00870F9E"/>
    <w:rsid w:val="008769C4"/>
    <w:rsid w:val="00876C7D"/>
    <w:rsid w:val="00880288"/>
    <w:rsid w:val="00890F1B"/>
    <w:rsid w:val="00892DD1"/>
    <w:rsid w:val="00896E3D"/>
    <w:rsid w:val="008A0E46"/>
    <w:rsid w:val="008B087F"/>
    <w:rsid w:val="008B6CD7"/>
    <w:rsid w:val="008B782B"/>
    <w:rsid w:val="008D172A"/>
    <w:rsid w:val="008E1FAD"/>
    <w:rsid w:val="008F4954"/>
    <w:rsid w:val="009043DE"/>
    <w:rsid w:val="009115C1"/>
    <w:rsid w:val="00912052"/>
    <w:rsid w:val="0091722E"/>
    <w:rsid w:val="00945AE6"/>
    <w:rsid w:val="009464CE"/>
    <w:rsid w:val="00951E10"/>
    <w:rsid w:val="00953F66"/>
    <w:rsid w:val="0096516D"/>
    <w:rsid w:val="009865FA"/>
    <w:rsid w:val="0098756B"/>
    <w:rsid w:val="00997382"/>
    <w:rsid w:val="009B15D8"/>
    <w:rsid w:val="009B43AD"/>
    <w:rsid w:val="009C7B6C"/>
    <w:rsid w:val="009D557F"/>
    <w:rsid w:val="009E2811"/>
    <w:rsid w:val="00A04B62"/>
    <w:rsid w:val="00A04D6C"/>
    <w:rsid w:val="00A2732E"/>
    <w:rsid w:val="00A509A5"/>
    <w:rsid w:val="00A61A81"/>
    <w:rsid w:val="00A653D1"/>
    <w:rsid w:val="00A736A4"/>
    <w:rsid w:val="00A75316"/>
    <w:rsid w:val="00A81B20"/>
    <w:rsid w:val="00AA7FAF"/>
    <w:rsid w:val="00AB04C5"/>
    <w:rsid w:val="00AC63B5"/>
    <w:rsid w:val="00AD1730"/>
    <w:rsid w:val="00AF550F"/>
    <w:rsid w:val="00B0239E"/>
    <w:rsid w:val="00B13F03"/>
    <w:rsid w:val="00B36A53"/>
    <w:rsid w:val="00B46301"/>
    <w:rsid w:val="00B51795"/>
    <w:rsid w:val="00B532C1"/>
    <w:rsid w:val="00B53EFC"/>
    <w:rsid w:val="00B54492"/>
    <w:rsid w:val="00BB1EB7"/>
    <w:rsid w:val="00BB7751"/>
    <w:rsid w:val="00C035BA"/>
    <w:rsid w:val="00C20636"/>
    <w:rsid w:val="00C24676"/>
    <w:rsid w:val="00C508E8"/>
    <w:rsid w:val="00C63BEF"/>
    <w:rsid w:val="00C733AA"/>
    <w:rsid w:val="00C742DF"/>
    <w:rsid w:val="00C755F0"/>
    <w:rsid w:val="00C83673"/>
    <w:rsid w:val="00C87B39"/>
    <w:rsid w:val="00CB5B31"/>
    <w:rsid w:val="00CE3BC8"/>
    <w:rsid w:val="00CE5006"/>
    <w:rsid w:val="00D03960"/>
    <w:rsid w:val="00D04BBF"/>
    <w:rsid w:val="00D14CE4"/>
    <w:rsid w:val="00D26B00"/>
    <w:rsid w:val="00D3705C"/>
    <w:rsid w:val="00D432D4"/>
    <w:rsid w:val="00D5703F"/>
    <w:rsid w:val="00D82C33"/>
    <w:rsid w:val="00D930DA"/>
    <w:rsid w:val="00DA12D3"/>
    <w:rsid w:val="00DB359C"/>
    <w:rsid w:val="00DB5CC5"/>
    <w:rsid w:val="00DC1D5D"/>
    <w:rsid w:val="00DC5A9D"/>
    <w:rsid w:val="00DD279A"/>
    <w:rsid w:val="00DE000F"/>
    <w:rsid w:val="00DE4E13"/>
    <w:rsid w:val="00DF0CB0"/>
    <w:rsid w:val="00DF7889"/>
    <w:rsid w:val="00E07C01"/>
    <w:rsid w:val="00E26AEB"/>
    <w:rsid w:val="00E46429"/>
    <w:rsid w:val="00E511F2"/>
    <w:rsid w:val="00E7466B"/>
    <w:rsid w:val="00E815DA"/>
    <w:rsid w:val="00E960BF"/>
    <w:rsid w:val="00E97FC2"/>
    <w:rsid w:val="00EF198C"/>
    <w:rsid w:val="00EF2138"/>
    <w:rsid w:val="00EF3F05"/>
    <w:rsid w:val="00F0436D"/>
    <w:rsid w:val="00F06462"/>
    <w:rsid w:val="00F10939"/>
    <w:rsid w:val="00F2674B"/>
    <w:rsid w:val="00F27F84"/>
    <w:rsid w:val="00F47675"/>
    <w:rsid w:val="00F47A7B"/>
    <w:rsid w:val="00F51875"/>
    <w:rsid w:val="00F777BC"/>
    <w:rsid w:val="00F8435E"/>
    <w:rsid w:val="00F8536C"/>
    <w:rsid w:val="00FB6635"/>
    <w:rsid w:val="00FC1197"/>
    <w:rsid w:val="00FF4F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A85BA0"/>
  <w15:docId w15:val="{2CD98E31-498F-41CB-87AC-1F3FCA0F6A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5A9D"/>
    <w:rPr>
      <w:sz w:val="24"/>
      <w:szCs w:val="24"/>
    </w:rPr>
  </w:style>
  <w:style w:type="paragraph" w:styleId="Heading1">
    <w:name w:val="heading 1"/>
    <w:basedOn w:val="Normal"/>
    <w:next w:val="Normal"/>
    <w:link w:val="Heading1Char"/>
    <w:uiPriority w:val="9"/>
    <w:qFormat/>
    <w:rsid w:val="00291549"/>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semiHidden/>
    <w:unhideWhenUsed/>
    <w:qFormat/>
    <w:rsid w:val="009C7B6C"/>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DC5A9D"/>
    <w:rPr>
      <w:u w:val="single"/>
    </w:rPr>
  </w:style>
  <w:style w:type="paragraph" w:customStyle="1" w:styleId="HeaderFooter">
    <w:name w:val="Header &amp; Footer"/>
    <w:rsid w:val="00DC5A9D"/>
    <w:pPr>
      <w:tabs>
        <w:tab w:val="right" w:pos="9020"/>
      </w:tabs>
    </w:pPr>
    <w:rPr>
      <w:rFonts w:ascii="Helvetica Neue" w:hAnsi="Helvetica Neue" w:cs="Arial Unicode MS"/>
      <w:color w:val="000000"/>
      <w:sz w:val="24"/>
      <w:szCs w:val="24"/>
    </w:rPr>
  </w:style>
  <w:style w:type="paragraph" w:customStyle="1" w:styleId="Normal0">
    <w:name w:val="[Normal]"/>
    <w:rsid w:val="00DC5A9D"/>
    <w:pPr>
      <w:widowControl w:val="0"/>
    </w:pPr>
    <w:rPr>
      <w:rFonts w:ascii="Arial" w:hAnsi="Arial" w:cs="Arial Unicode MS"/>
      <w:color w:val="000000"/>
      <w:sz w:val="24"/>
      <w:szCs w:val="24"/>
      <w:u w:color="000000"/>
    </w:rPr>
  </w:style>
  <w:style w:type="paragraph" w:customStyle="1" w:styleId="BodyA">
    <w:name w:val="Body A"/>
    <w:rsid w:val="00DC5A9D"/>
    <w:pPr>
      <w:spacing w:after="200" w:line="276" w:lineRule="auto"/>
    </w:pPr>
    <w:rPr>
      <w:rFonts w:ascii="Calibri" w:eastAsia="Calibri" w:hAnsi="Calibri" w:cs="Calibri"/>
      <w:color w:val="000000"/>
      <w:sz w:val="22"/>
      <w:szCs w:val="22"/>
      <w:u w:color="000000"/>
    </w:rPr>
  </w:style>
  <w:style w:type="numbering" w:customStyle="1" w:styleId="ImportedStyle1">
    <w:name w:val="Imported Style 1"/>
    <w:rsid w:val="00DC5A9D"/>
    <w:pPr>
      <w:numPr>
        <w:numId w:val="1"/>
      </w:numPr>
    </w:pPr>
  </w:style>
  <w:style w:type="paragraph" w:customStyle="1" w:styleId="BodyAA">
    <w:name w:val="Body A A"/>
    <w:rsid w:val="00DC5A9D"/>
    <w:pPr>
      <w:spacing w:after="200" w:line="276" w:lineRule="auto"/>
    </w:pPr>
    <w:rPr>
      <w:rFonts w:ascii="Calibri" w:eastAsia="Calibri" w:hAnsi="Calibri" w:cs="Calibri"/>
      <w:color w:val="000000"/>
      <w:sz w:val="22"/>
      <w:szCs w:val="22"/>
      <w:u w:color="000000"/>
    </w:rPr>
  </w:style>
  <w:style w:type="numbering" w:customStyle="1" w:styleId="ImportedStyle2">
    <w:name w:val="Imported Style 2"/>
    <w:rsid w:val="00DC5A9D"/>
    <w:pPr>
      <w:numPr>
        <w:numId w:val="3"/>
      </w:numPr>
    </w:pPr>
  </w:style>
  <w:style w:type="numbering" w:customStyle="1" w:styleId="ImportedStyle3">
    <w:name w:val="Imported Style 3"/>
    <w:rsid w:val="00DC5A9D"/>
    <w:pPr>
      <w:numPr>
        <w:numId w:val="5"/>
      </w:numPr>
    </w:pPr>
  </w:style>
  <w:style w:type="paragraph" w:styleId="FootnoteText">
    <w:name w:val="footnote text"/>
    <w:rsid w:val="00DC5A9D"/>
    <w:rPr>
      <w:rFonts w:eastAsia="Times New Roman"/>
      <w:color w:val="000000"/>
      <w:u w:color="000000"/>
    </w:rPr>
  </w:style>
  <w:style w:type="paragraph" w:customStyle="1" w:styleId="Default">
    <w:name w:val="Default"/>
    <w:rsid w:val="00DC5A9D"/>
    <w:rPr>
      <w:rFonts w:ascii="Helvetica Neue" w:eastAsia="Helvetica Neue" w:hAnsi="Helvetica Neue" w:cs="Helvetica Neue"/>
      <w:color w:val="000000"/>
      <w:sz w:val="22"/>
      <w:szCs w:val="22"/>
      <w:u w:color="000000"/>
    </w:rPr>
  </w:style>
  <w:style w:type="numbering" w:customStyle="1" w:styleId="ImportedStyle10">
    <w:name w:val="Imported Style 1.0"/>
    <w:rsid w:val="00DC5A9D"/>
    <w:pPr>
      <w:numPr>
        <w:numId w:val="8"/>
      </w:numPr>
    </w:pPr>
  </w:style>
  <w:style w:type="character" w:styleId="FootnoteReference">
    <w:name w:val="footnote reference"/>
    <w:rsid w:val="00DC5A9D"/>
    <w:rPr>
      <w:vertAlign w:val="superscript"/>
    </w:rPr>
  </w:style>
  <w:style w:type="numbering" w:customStyle="1" w:styleId="Bullets">
    <w:name w:val="Bullets"/>
    <w:rsid w:val="00DC5A9D"/>
    <w:pPr>
      <w:numPr>
        <w:numId w:val="10"/>
      </w:numPr>
    </w:pPr>
  </w:style>
  <w:style w:type="numbering" w:customStyle="1" w:styleId="ImportedStyle4">
    <w:name w:val="Imported Style 4"/>
    <w:rsid w:val="00DC5A9D"/>
    <w:pPr>
      <w:numPr>
        <w:numId w:val="12"/>
      </w:numPr>
    </w:pPr>
  </w:style>
  <w:style w:type="numbering" w:customStyle="1" w:styleId="ImportedStyle5">
    <w:name w:val="Imported Style 5"/>
    <w:rsid w:val="00DC5A9D"/>
    <w:pPr>
      <w:numPr>
        <w:numId w:val="17"/>
      </w:numPr>
    </w:pPr>
  </w:style>
  <w:style w:type="paragraph" w:styleId="ListParagraph">
    <w:name w:val="List Paragraph"/>
    <w:uiPriority w:val="34"/>
    <w:qFormat/>
    <w:rsid w:val="00DC5A9D"/>
    <w:pPr>
      <w:spacing w:after="200" w:line="276" w:lineRule="auto"/>
      <w:ind w:left="720"/>
    </w:pPr>
    <w:rPr>
      <w:rFonts w:ascii="Calibri" w:eastAsia="Calibri" w:hAnsi="Calibri" w:cs="Calibri"/>
      <w:color w:val="000000"/>
      <w:sz w:val="22"/>
      <w:szCs w:val="22"/>
      <w:u w:color="000000"/>
      <w:lang w:val="ru-RU"/>
    </w:rPr>
  </w:style>
  <w:style w:type="numbering" w:customStyle="1" w:styleId="ImportedStyle6">
    <w:name w:val="Imported Style 6"/>
    <w:rsid w:val="00DC5A9D"/>
    <w:pPr>
      <w:numPr>
        <w:numId w:val="19"/>
      </w:numPr>
    </w:pPr>
  </w:style>
  <w:style w:type="character" w:customStyle="1" w:styleId="None">
    <w:name w:val="None"/>
    <w:rsid w:val="00DC5A9D"/>
  </w:style>
  <w:style w:type="character" w:customStyle="1" w:styleId="Hyperlink0">
    <w:name w:val="Hyperlink.0"/>
    <w:basedOn w:val="None"/>
    <w:rsid w:val="00DC5A9D"/>
    <w:rPr>
      <w:color w:val="000000"/>
      <w:sz w:val="16"/>
      <w:szCs w:val="16"/>
      <w:u w:val="single" w:color="000000"/>
    </w:rPr>
  </w:style>
  <w:style w:type="character" w:customStyle="1" w:styleId="LinkA">
    <w:name w:val="Link A"/>
    <w:rsid w:val="00DC5A9D"/>
    <w:rPr>
      <w:color w:val="0000FF"/>
      <w:u w:val="single" w:color="0000FF"/>
      <w:lang w:val="en-US"/>
    </w:rPr>
  </w:style>
  <w:style w:type="character" w:customStyle="1" w:styleId="Hyperlink1">
    <w:name w:val="Hyperlink.1"/>
    <w:rsid w:val="00DC5A9D"/>
    <w:rPr>
      <w:color w:val="0000FF"/>
      <w:sz w:val="16"/>
      <w:szCs w:val="16"/>
      <w:u w:val="single" w:color="0000FF"/>
      <w:lang w:val="en-US"/>
    </w:rPr>
  </w:style>
  <w:style w:type="paragraph" w:styleId="NoSpacing">
    <w:name w:val="No Spacing"/>
    <w:rsid w:val="00DC5A9D"/>
    <w:rPr>
      <w:rFonts w:ascii="Calibri" w:eastAsia="Calibri" w:hAnsi="Calibri" w:cs="Calibri"/>
      <w:color w:val="000000"/>
      <w:sz w:val="22"/>
      <w:szCs w:val="22"/>
      <w:u w:color="000000"/>
    </w:rPr>
  </w:style>
  <w:style w:type="numbering" w:customStyle="1" w:styleId="ImportedStyle7">
    <w:name w:val="Imported Style 7"/>
    <w:rsid w:val="00DC5A9D"/>
    <w:pPr>
      <w:numPr>
        <w:numId w:val="24"/>
      </w:numPr>
    </w:pPr>
  </w:style>
  <w:style w:type="numbering" w:customStyle="1" w:styleId="ImportedStyle8">
    <w:name w:val="Imported Style 8"/>
    <w:rsid w:val="00DC5A9D"/>
    <w:pPr>
      <w:numPr>
        <w:numId w:val="26"/>
      </w:numPr>
    </w:pPr>
  </w:style>
  <w:style w:type="paragraph" w:styleId="CommentText">
    <w:name w:val="annotation text"/>
    <w:basedOn w:val="Normal"/>
    <w:link w:val="CommentTextChar"/>
    <w:uiPriority w:val="99"/>
    <w:unhideWhenUsed/>
    <w:rsid w:val="00DC5A9D"/>
    <w:rPr>
      <w:sz w:val="20"/>
      <w:szCs w:val="20"/>
    </w:rPr>
  </w:style>
  <w:style w:type="character" w:customStyle="1" w:styleId="CommentTextChar">
    <w:name w:val="Comment Text Char"/>
    <w:basedOn w:val="DefaultParagraphFont"/>
    <w:link w:val="CommentText"/>
    <w:uiPriority w:val="99"/>
    <w:rsid w:val="00DC5A9D"/>
  </w:style>
  <w:style w:type="character" w:styleId="CommentReference">
    <w:name w:val="annotation reference"/>
    <w:basedOn w:val="DefaultParagraphFont"/>
    <w:uiPriority w:val="99"/>
    <w:semiHidden/>
    <w:unhideWhenUsed/>
    <w:rsid w:val="00DC5A9D"/>
    <w:rPr>
      <w:sz w:val="16"/>
      <w:szCs w:val="16"/>
    </w:rPr>
  </w:style>
  <w:style w:type="paragraph" w:styleId="Revision">
    <w:name w:val="Revision"/>
    <w:hidden/>
    <w:uiPriority w:val="99"/>
    <w:semiHidden/>
    <w:rsid w:val="00291549"/>
    <w:pPr>
      <w:pBdr>
        <w:top w:val="none" w:sz="0" w:space="0" w:color="auto"/>
        <w:left w:val="none" w:sz="0" w:space="0" w:color="auto"/>
        <w:bottom w:val="none" w:sz="0" w:space="0" w:color="auto"/>
        <w:right w:val="none" w:sz="0" w:space="0" w:color="auto"/>
        <w:between w:val="none" w:sz="0" w:space="0" w:color="auto"/>
        <w:bar w:val="none" w:sz="0" w:color="auto"/>
      </w:pBdr>
    </w:pPr>
    <w:rPr>
      <w:sz w:val="24"/>
      <w:szCs w:val="24"/>
    </w:rPr>
  </w:style>
  <w:style w:type="character" w:customStyle="1" w:styleId="Heading1Char">
    <w:name w:val="Heading 1 Char"/>
    <w:basedOn w:val="DefaultParagraphFont"/>
    <w:link w:val="Heading1"/>
    <w:uiPriority w:val="9"/>
    <w:rsid w:val="00291549"/>
    <w:rPr>
      <w:rFonts w:asciiTheme="majorHAnsi" w:eastAsiaTheme="majorEastAsia" w:hAnsiTheme="majorHAnsi" w:cstheme="majorBidi"/>
      <w:color w:val="365F91" w:themeColor="accent1" w:themeShade="BF"/>
      <w:sz w:val="32"/>
      <w:szCs w:val="32"/>
    </w:rPr>
  </w:style>
  <w:style w:type="paragraph" w:styleId="Header">
    <w:name w:val="header"/>
    <w:basedOn w:val="Normal"/>
    <w:link w:val="HeaderChar"/>
    <w:uiPriority w:val="99"/>
    <w:unhideWhenUsed/>
    <w:rsid w:val="008769C4"/>
    <w:pPr>
      <w:tabs>
        <w:tab w:val="center" w:pos="4680"/>
        <w:tab w:val="right" w:pos="9360"/>
      </w:tabs>
    </w:pPr>
  </w:style>
  <w:style w:type="character" w:customStyle="1" w:styleId="HeaderChar">
    <w:name w:val="Header Char"/>
    <w:basedOn w:val="DefaultParagraphFont"/>
    <w:link w:val="Header"/>
    <w:uiPriority w:val="99"/>
    <w:rsid w:val="008769C4"/>
    <w:rPr>
      <w:sz w:val="24"/>
      <w:szCs w:val="24"/>
    </w:rPr>
  </w:style>
  <w:style w:type="paragraph" w:styleId="Footer">
    <w:name w:val="footer"/>
    <w:basedOn w:val="Normal"/>
    <w:link w:val="FooterChar"/>
    <w:uiPriority w:val="99"/>
    <w:unhideWhenUsed/>
    <w:rsid w:val="008769C4"/>
    <w:pPr>
      <w:tabs>
        <w:tab w:val="center" w:pos="4680"/>
        <w:tab w:val="right" w:pos="9360"/>
      </w:tabs>
    </w:pPr>
  </w:style>
  <w:style w:type="character" w:customStyle="1" w:styleId="FooterChar">
    <w:name w:val="Footer Char"/>
    <w:basedOn w:val="DefaultParagraphFont"/>
    <w:link w:val="Footer"/>
    <w:uiPriority w:val="99"/>
    <w:rsid w:val="008769C4"/>
    <w:rPr>
      <w:sz w:val="24"/>
      <w:szCs w:val="24"/>
    </w:rPr>
  </w:style>
  <w:style w:type="character" w:customStyle="1" w:styleId="y2iqfc">
    <w:name w:val="y2iqfc"/>
    <w:basedOn w:val="DefaultParagraphFont"/>
    <w:rsid w:val="00F8435E"/>
  </w:style>
  <w:style w:type="paragraph" w:styleId="NormalWeb">
    <w:name w:val="Normal (Web)"/>
    <w:basedOn w:val="Normal"/>
    <w:uiPriority w:val="99"/>
    <w:semiHidden/>
    <w:unhideWhenUsed/>
    <w:rsid w:val="00635853"/>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rPr>
  </w:style>
  <w:style w:type="paragraph" w:customStyle="1" w:styleId="yiv2469645700msonormal">
    <w:name w:val="yiv2469645700msonormal"/>
    <w:basedOn w:val="Normal"/>
    <w:uiPriority w:val="99"/>
    <w:semiHidden/>
    <w:rsid w:val="00635853"/>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rPr>
  </w:style>
  <w:style w:type="paragraph" w:customStyle="1" w:styleId="yiv2069980862msonormal">
    <w:name w:val="yiv2069980862msonormal"/>
    <w:basedOn w:val="Normal"/>
    <w:uiPriority w:val="99"/>
    <w:semiHidden/>
    <w:rsid w:val="00635853"/>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rPr>
  </w:style>
  <w:style w:type="paragraph" w:styleId="TOCHeading">
    <w:name w:val="TOC Heading"/>
    <w:basedOn w:val="Heading1"/>
    <w:next w:val="Normal"/>
    <w:uiPriority w:val="39"/>
    <w:unhideWhenUsed/>
    <w:qFormat/>
    <w:rsid w:val="005B3234"/>
    <w:pPr>
      <w:pBdr>
        <w:top w:val="none" w:sz="0" w:space="0" w:color="auto"/>
        <w:left w:val="none" w:sz="0" w:space="0" w:color="auto"/>
        <w:bottom w:val="none" w:sz="0" w:space="0" w:color="auto"/>
        <w:right w:val="none" w:sz="0" w:space="0" w:color="auto"/>
        <w:between w:val="none" w:sz="0" w:space="0" w:color="auto"/>
        <w:bar w:val="none" w:sz="0" w:color="auto"/>
      </w:pBdr>
      <w:spacing w:line="259" w:lineRule="auto"/>
      <w:outlineLvl w:val="9"/>
    </w:pPr>
    <w:rPr>
      <w:bdr w:val="none" w:sz="0" w:space="0" w:color="auto"/>
    </w:rPr>
  </w:style>
  <w:style w:type="paragraph" w:styleId="TOC1">
    <w:name w:val="toc 1"/>
    <w:basedOn w:val="Normal"/>
    <w:next w:val="Normal"/>
    <w:autoRedefine/>
    <w:uiPriority w:val="39"/>
    <w:unhideWhenUsed/>
    <w:rsid w:val="005B3234"/>
    <w:pPr>
      <w:spacing w:after="100"/>
    </w:pPr>
  </w:style>
  <w:style w:type="character" w:customStyle="1" w:styleId="Heading2Char">
    <w:name w:val="Heading 2 Char"/>
    <w:basedOn w:val="DefaultParagraphFont"/>
    <w:link w:val="Heading2"/>
    <w:uiPriority w:val="9"/>
    <w:semiHidden/>
    <w:rsid w:val="009C7B6C"/>
    <w:rPr>
      <w:rFonts w:asciiTheme="majorHAnsi" w:eastAsiaTheme="majorEastAsia" w:hAnsiTheme="majorHAnsi" w:cstheme="majorBidi"/>
      <w:color w:val="365F91" w:themeColor="accent1" w:themeShade="BF"/>
      <w:sz w:val="26"/>
      <w:szCs w:val="26"/>
    </w:rPr>
  </w:style>
  <w:style w:type="paragraph" w:styleId="CommentSubject">
    <w:name w:val="annotation subject"/>
    <w:basedOn w:val="CommentText"/>
    <w:next w:val="CommentText"/>
    <w:link w:val="CommentSubjectChar"/>
    <w:uiPriority w:val="99"/>
    <w:semiHidden/>
    <w:unhideWhenUsed/>
    <w:rsid w:val="0028230C"/>
    <w:rPr>
      <w:b/>
      <w:bCs/>
    </w:rPr>
  </w:style>
  <w:style w:type="character" w:customStyle="1" w:styleId="CommentSubjectChar">
    <w:name w:val="Comment Subject Char"/>
    <w:basedOn w:val="CommentTextChar"/>
    <w:link w:val="CommentSubject"/>
    <w:uiPriority w:val="99"/>
    <w:semiHidden/>
    <w:rsid w:val="0028230C"/>
    <w:rPr>
      <w:b/>
      <w:bCs/>
    </w:rPr>
  </w:style>
  <w:style w:type="character" w:styleId="UnresolvedMention">
    <w:name w:val="Unresolved Mention"/>
    <w:basedOn w:val="DefaultParagraphFont"/>
    <w:uiPriority w:val="99"/>
    <w:semiHidden/>
    <w:unhideWhenUsed/>
    <w:rsid w:val="00321BD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9242083">
      <w:bodyDiv w:val="1"/>
      <w:marLeft w:val="0"/>
      <w:marRight w:val="0"/>
      <w:marTop w:val="0"/>
      <w:marBottom w:val="0"/>
      <w:divBdr>
        <w:top w:val="none" w:sz="0" w:space="0" w:color="auto"/>
        <w:left w:val="none" w:sz="0" w:space="0" w:color="auto"/>
        <w:bottom w:val="none" w:sz="0" w:space="0" w:color="auto"/>
        <w:right w:val="none" w:sz="0" w:space="0" w:color="auto"/>
      </w:divBdr>
    </w:div>
    <w:div w:id="407650025">
      <w:bodyDiv w:val="1"/>
      <w:marLeft w:val="0"/>
      <w:marRight w:val="0"/>
      <w:marTop w:val="0"/>
      <w:marBottom w:val="0"/>
      <w:divBdr>
        <w:top w:val="none" w:sz="0" w:space="0" w:color="auto"/>
        <w:left w:val="none" w:sz="0" w:space="0" w:color="auto"/>
        <w:bottom w:val="none" w:sz="0" w:space="0" w:color="auto"/>
        <w:right w:val="none" w:sz="0" w:space="0" w:color="auto"/>
      </w:divBdr>
      <w:divsChild>
        <w:div w:id="79565417">
          <w:marLeft w:val="0"/>
          <w:marRight w:val="0"/>
          <w:marTop w:val="0"/>
          <w:marBottom w:val="0"/>
          <w:divBdr>
            <w:top w:val="none" w:sz="0" w:space="0" w:color="auto"/>
            <w:left w:val="none" w:sz="0" w:space="0" w:color="auto"/>
            <w:bottom w:val="none" w:sz="0" w:space="0" w:color="auto"/>
            <w:right w:val="none" w:sz="0" w:space="0" w:color="auto"/>
          </w:divBdr>
        </w:div>
        <w:div w:id="1490094995">
          <w:marLeft w:val="0"/>
          <w:marRight w:val="0"/>
          <w:marTop w:val="0"/>
          <w:marBottom w:val="0"/>
          <w:divBdr>
            <w:top w:val="none" w:sz="0" w:space="0" w:color="auto"/>
            <w:left w:val="none" w:sz="0" w:space="0" w:color="auto"/>
            <w:bottom w:val="none" w:sz="0" w:space="0" w:color="auto"/>
            <w:right w:val="none" w:sz="0" w:space="0" w:color="auto"/>
          </w:divBdr>
        </w:div>
      </w:divsChild>
    </w:div>
    <w:div w:id="588150680">
      <w:bodyDiv w:val="1"/>
      <w:marLeft w:val="0"/>
      <w:marRight w:val="0"/>
      <w:marTop w:val="0"/>
      <w:marBottom w:val="0"/>
      <w:divBdr>
        <w:top w:val="none" w:sz="0" w:space="0" w:color="auto"/>
        <w:left w:val="none" w:sz="0" w:space="0" w:color="auto"/>
        <w:bottom w:val="none" w:sz="0" w:space="0" w:color="auto"/>
        <w:right w:val="none" w:sz="0" w:space="0" w:color="auto"/>
      </w:divBdr>
    </w:div>
    <w:div w:id="635918251">
      <w:bodyDiv w:val="1"/>
      <w:marLeft w:val="0"/>
      <w:marRight w:val="0"/>
      <w:marTop w:val="0"/>
      <w:marBottom w:val="0"/>
      <w:divBdr>
        <w:top w:val="none" w:sz="0" w:space="0" w:color="auto"/>
        <w:left w:val="none" w:sz="0" w:space="0" w:color="auto"/>
        <w:bottom w:val="none" w:sz="0" w:space="0" w:color="auto"/>
        <w:right w:val="none" w:sz="0" w:space="0" w:color="auto"/>
      </w:divBdr>
    </w:div>
    <w:div w:id="854929418">
      <w:bodyDiv w:val="1"/>
      <w:marLeft w:val="0"/>
      <w:marRight w:val="0"/>
      <w:marTop w:val="0"/>
      <w:marBottom w:val="0"/>
      <w:divBdr>
        <w:top w:val="none" w:sz="0" w:space="0" w:color="auto"/>
        <w:left w:val="none" w:sz="0" w:space="0" w:color="auto"/>
        <w:bottom w:val="none" w:sz="0" w:space="0" w:color="auto"/>
        <w:right w:val="none" w:sz="0" w:space="0" w:color="auto"/>
      </w:divBdr>
    </w:div>
    <w:div w:id="114527298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normlex.ilo.org/dyn/nrmlx_en/f?p=NORMLEXPUB:12100:0::NO:12100:P12100_INSTRUMENT_ID:312280:NO" TargetMode="External"/><Relationship Id="rId2" Type="http://schemas.openxmlformats.org/officeDocument/2006/relationships/hyperlink" Target="https://www.ilo.org/publications/freedom-association-compilation-decisions-committee-freedom-association-pdf" TargetMode="External"/><Relationship Id="rId1" Type="http://schemas.openxmlformats.org/officeDocument/2006/relationships/hyperlink" Target="https://normlex.ilo.org/dyn/nrmlx_en/f?p=NORMLEXPUB:11200:0::NO::P11200_INSTRUMENT_SORT,P11200_COUNTRY_ID:2,102639"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D0512C-BDCA-4105-AA00-64AD587904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4923</Words>
  <Characters>28064</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tgabisonia</dc:creator>
  <cp:lastModifiedBy>Muskat-Gorska, Zuzanna</cp:lastModifiedBy>
  <cp:revision>31</cp:revision>
  <cp:lastPrinted>2024-01-07T13:16:00Z</cp:lastPrinted>
  <dcterms:created xsi:type="dcterms:W3CDTF">2026-01-09T21:08:00Z</dcterms:created>
  <dcterms:modified xsi:type="dcterms:W3CDTF">2026-01-09T21:47:00Z</dcterms:modified>
</cp:coreProperties>
</file>