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0642E7" w14:textId="77777777" w:rsidR="008A01D5" w:rsidRDefault="008A01D5" w:rsidP="008A01D5">
      <w:pPr>
        <w:tabs>
          <w:tab w:val="right" w:pos="850"/>
          <w:tab w:val="left" w:pos="1134"/>
          <w:tab w:val="left" w:pos="1559"/>
          <w:tab w:val="left" w:pos="1984"/>
          <w:tab w:val="left" w:leader="dot" w:pos="7654"/>
          <w:tab w:val="right" w:pos="8929"/>
          <w:tab w:val="right" w:pos="9638"/>
        </w:tabs>
        <w:suppressAutoHyphens/>
        <w:ind w:firstLine="0"/>
        <w:jc w:val="center"/>
        <w:rPr>
          <w:rFonts w:ascii="Times New Roman" w:eastAsia="Times New Roman" w:hAnsi="Times New Roman" w:cs="Times New Roman"/>
          <w:b/>
          <w:sz w:val="24"/>
          <w:szCs w:val="24"/>
          <w:lang w:val="fr-CH" w:eastAsia="fr-FR"/>
        </w:rPr>
      </w:pPr>
      <w:bookmarkStart w:id="0" w:name="_GoBack"/>
      <w:bookmarkEnd w:id="0"/>
      <w:r>
        <w:rPr>
          <w:noProof/>
          <w:lang w:val="en-GB" w:eastAsia="en-GB"/>
        </w:rPr>
        <w:drawing>
          <wp:inline distT="0" distB="0" distL="0" distR="0" wp14:anchorId="38064391" wp14:editId="38064392">
            <wp:extent cx="2305050" cy="844550"/>
            <wp:effectExtent l="0" t="0" r="0" b="0"/>
            <wp:docPr id="1" name="Image 1" descr="Tous droits rÃ©servÃ©s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us droits rÃ©servÃ©s 20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03994" cy="880802"/>
                    </a:xfrm>
                    <a:prstGeom prst="rect">
                      <a:avLst/>
                    </a:prstGeom>
                    <a:noFill/>
                    <a:ln>
                      <a:noFill/>
                    </a:ln>
                  </pic:spPr>
                </pic:pic>
              </a:graphicData>
            </a:graphic>
          </wp:inline>
        </w:drawing>
      </w:r>
    </w:p>
    <w:p w14:paraId="380642E8" w14:textId="77777777" w:rsidR="008A01D5" w:rsidRDefault="008A01D5" w:rsidP="008A01D5">
      <w:pPr>
        <w:spacing w:after="200" w:line="276" w:lineRule="auto"/>
        <w:ind w:firstLine="0"/>
        <w:jc w:val="center"/>
        <w:rPr>
          <w:rFonts w:ascii="Times New Roman" w:eastAsia="Times New Roman" w:hAnsi="Times New Roman" w:cs="Times New Roman"/>
          <w:b/>
          <w:sz w:val="24"/>
          <w:szCs w:val="24"/>
          <w:lang w:val="fr-CH" w:eastAsia="fr-FR"/>
        </w:rPr>
      </w:pPr>
      <w:r w:rsidRPr="00BB43F2">
        <w:rPr>
          <w:rFonts w:ascii="Times New Roman" w:eastAsia="Times New Roman" w:hAnsi="Times New Roman" w:cs="Times New Roman"/>
          <w:b/>
          <w:sz w:val="24"/>
          <w:szCs w:val="24"/>
          <w:lang w:val="fr-CH" w:eastAsia="fr-FR"/>
        </w:rPr>
        <w:t>ROYAUME DU MAROC</w:t>
      </w:r>
    </w:p>
    <w:p w14:paraId="380642E9" w14:textId="77777777" w:rsidR="008A01D5" w:rsidRPr="009D7FD4" w:rsidRDefault="008A01D5" w:rsidP="008A01D5">
      <w:pPr>
        <w:spacing w:after="200" w:line="276" w:lineRule="auto"/>
        <w:ind w:firstLine="0"/>
        <w:jc w:val="center"/>
        <w:rPr>
          <w:rFonts w:ascii="Times New Roman" w:eastAsia="Times New Roman" w:hAnsi="Times New Roman" w:cs="Times New Roman"/>
          <w:b/>
          <w:sz w:val="72"/>
          <w:szCs w:val="72"/>
          <w:lang w:val="fr-CH" w:eastAsia="fr-FR"/>
        </w:rPr>
      </w:pPr>
    </w:p>
    <w:p w14:paraId="380642EA" w14:textId="77777777" w:rsidR="008A01D5" w:rsidRPr="003016DC" w:rsidRDefault="008A01D5" w:rsidP="008A01D5">
      <w:pPr>
        <w:suppressAutoHyphens/>
        <w:spacing w:before="120" w:after="200" w:line="240" w:lineRule="atLeast"/>
        <w:ind w:firstLine="0"/>
        <w:rPr>
          <w:rFonts w:ascii="Times New Roman" w:eastAsia="Times New Roman" w:hAnsi="Times New Roman" w:cs="Times New Roman"/>
          <w:b/>
          <w:sz w:val="28"/>
          <w:szCs w:val="28"/>
          <w:lang w:val="fr-CH" w:eastAsia="fr-FR"/>
        </w:rPr>
      </w:pPr>
      <w:r w:rsidRPr="003016DC">
        <w:rPr>
          <w:rFonts w:ascii="Times New Roman" w:eastAsia="Times New Roman" w:hAnsi="Times New Roman" w:cs="Times New Roman"/>
          <w:b/>
          <w:sz w:val="28"/>
          <w:szCs w:val="28"/>
          <w:lang w:val="fr-CH" w:eastAsia="fr-FR"/>
        </w:rPr>
        <w:t>Comité pour l’élimination de la discrimination raciale</w:t>
      </w:r>
    </w:p>
    <w:p w14:paraId="380642EB" w14:textId="77777777" w:rsidR="008A01D5" w:rsidRDefault="008A01D5" w:rsidP="008A01D5">
      <w:pPr>
        <w:suppressAutoHyphens/>
        <w:spacing w:before="120" w:after="200" w:line="240" w:lineRule="atLeast"/>
        <w:ind w:firstLine="0"/>
        <w:rPr>
          <w:rFonts w:ascii="Times New Roman" w:eastAsia="Times New Roman" w:hAnsi="Times New Roman" w:cs="Times New Roman"/>
          <w:b/>
          <w:sz w:val="24"/>
          <w:szCs w:val="24"/>
          <w:lang w:val="fr-CH" w:eastAsia="fr-FR"/>
        </w:rPr>
      </w:pPr>
      <w:r w:rsidRPr="003016DC">
        <w:rPr>
          <w:rFonts w:ascii="Times New Roman" w:eastAsia="Times New Roman" w:hAnsi="Times New Roman" w:cs="Times New Roman"/>
          <w:b/>
          <w:sz w:val="24"/>
          <w:szCs w:val="24"/>
          <w:lang w:val="fr-CH" w:eastAsia="fr-FR"/>
        </w:rPr>
        <w:t xml:space="preserve">Rapport valant dix-neuvième, vingtième et vingt et unième rapports périodiques soumis en application de l’article 9 de la Convention, attendu </w:t>
      </w:r>
      <w:r>
        <w:rPr>
          <w:rFonts w:ascii="Times New Roman" w:eastAsia="Times New Roman" w:hAnsi="Times New Roman" w:cs="Times New Roman"/>
          <w:b/>
          <w:sz w:val="24"/>
          <w:szCs w:val="24"/>
          <w:lang w:val="fr-CH" w:eastAsia="fr-FR"/>
        </w:rPr>
        <w:t>le 17 janvier</w:t>
      </w:r>
      <w:r w:rsidRPr="003016DC">
        <w:rPr>
          <w:rFonts w:ascii="Times New Roman" w:eastAsia="Times New Roman" w:hAnsi="Times New Roman" w:cs="Times New Roman"/>
          <w:b/>
          <w:sz w:val="24"/>
          <w:szCs w:val="24"/>
          <w:lang w:val="fr-CH" w:eastAsia="fr-FR"/>
        </w:rPr>
        <w:t xml:space="preserve"> 2014</w:t>
      </w:r>
    </w:p>
    <w:p w14:paraId="380642EC" w14:textId="77777777" w:rsidR="00013E14" w:rsidRPr="00074A87" w:rsidRDefault="00013E14" w:rsidP="00013E14">
      <w:pPr>
        <w:keepNext/>
        <w:keepLines/>
        <w:tabs>
          <w:tab w:val="right" w:pos="851"/>
        </w:tabs>
        <w:suppressAutoHyphens/>
        <w:spacing w:before="240" w:after="240" w:line="360" w:lineRule="exact"/>
        <w:ind w:right="1134"/>
        <w:rPr>
          <w:rFonts w:ascii="Times New Roman" w:eastAsia="Times New Roman" w:hAnsi="Times New Roman" w:cs="Times New Roman"/>
          <w:b/>
          <w:lang w:eastAsia="en-GB"/>
        </w:rPr>
      </w:pPr>
      <w:r w:rsidRPr="00074A87">
        <w:rPr>
          <w:rFonts w:ascii="Times New Roman" w:eastAsia="Times New Roman" w:hAnsi="Times New Roman" w:cs="Times New Roman"/>
          <w:b/>
          <w:sz w:val="32"/>
          <w:szCs w:val="18"/>
          <w:lang w:eastAsia="en-GB"/>
        </w:rPr>
        <w:t>Maroc</w:t>
      </w:r>
    </w:p>
    <w:p w14:paraId="380642ED" w14:textId="77777777" w:rsidR="00013E14" w:rsidRDefault="00013E14" w:rsidP="008A01D5">
      <w:pPr>
        <w:suppressAutoHyphens/>
        <w:spacing w:before="120" w:after="200" w:line="240" w:lineRule="atLeast"/>
        <w:ind w:firstLine="0"/>
        <w:rPr>
          <w:rFonts w:ascii="Times New Roman" w:eastAsia="Times New Roman" w:hAnsi="Times New Roman" w:cs="Times New Roman"/>
          <w:b/>
          <w:sz w:val="24"/>
          <w:szCs w:val="24"/>
          <w:lang w:val="fr-CH" w:eastAsia="fr-FR"/>
        </w:rPr>
      </w:pPr>
    </w:p>
    <w:p w14:paraId="380642EE" w14:textId="77777777" w:rsidR="008A01D5" w:rsidRPr="002C6AE2" w:rsidRDefault="008A01D5" w:rsidP="008A01D5">
      <w:pPr>
        <w:suppressAutoHyphens/>
        <w:spacing w:before="120" w:after="200" w:line="240" w:lineRule="atLeast"/>
        <w:ind w:firstLine="0"/>
        <w:jc w:val="center"/>
        <w:rPr>
          <w:rFonts w:ascii="Times New Roman" w:eastAsia="Times New Roman" w:hAnsi="Times New Roman" w:cs="Times New Roman"/>
          <w:bCs/>
          <w:sz w:val="24"/>
          <w:szCs w:val="24"/>
          <w:lang w:val="fr-CH" w:eastAsia="fr-FR"/>
        </w:rPr>
      </w:pPr>
      <w:r w:rsidRPr="002C6AE2">
        <w:rPr>
          <w:rFonts w:ascii="Times New Roman" w:eastAsia="Times New Roman" w:hAnsi="Times New Roman" w:cs="Times New Roman"/>
          <w:bCs/>
          <w:sz w:val="24"/>
          <w:szCs w:val="24"/>
          <w:lang w:val="fr-CH" w:eastAsia="fr-FR"/>
        </w:rPr>
        <w:t>====</w:t>
      </w:r>
    </w:p>
    <w:p w14:paraId="380642EF" w14:textId="77777777" w:rsidR="008A01D5" w:rsidRPr="008A01D5" w:rsidRDefault="008A01D5" w:rsidP="0074531A">
      <w:pPr>
        <w:keepNext/>
        <w:keepLines/>
        <w:tabs>
          <w:tab w:val="right" w:pos="851"/>
        </w:tabs>
        <w:suppressAutoHyphens/>
        <w:spacing w:before="240" w:after="240" w:line="360" w:lineRule="exact"/>
        <w:ind w:right="1134"/>
        <w:rPr>
          <w:rFonts w:ascii="Times New Roman" w:eastAsia="Times New Roman" w:hAnsi="Times New Roman" w:cs="Times New Roman"/>
          <w:b/>
          <w:u w:val="single"/>
          <w:lang w:eastAsia="en-GB"/>
        </w:rPr>
      </w:pPr>
      <w:r w:rsidRPr="00074A87">
        <w:rPr>
          <w:rFonts w:ascii="Times New Roman" w:eastAsia="Times New Roman" w:hAnsi="Times New Roman" w:cs="Times New Roman"/>
          <w:b/>
          <w:sz w:val="32"/>
          <w:szCs w:val="18"/>
          <w:lang w:val="fr-CH" w:eastAsia="en-GB"/>
        </w:rPr>
        <w:tab/>
      </w:r>
      <w:r w:rsidRPr="008A01D5">
        <w:rPr>
          <w:rFonts w:ascii="Times New Roman" w:eastAsia="Times New Roman" w:hAnsi="Times New Roman" w:cs="Times New Roman"/>
          <w:b/>
          <w:sz w:val="32"/>
          <w:szCs w:val="18"/>
          <w:u w:val="single"/>
          <w:lang w:eastAsia="en-GB"/>
        </w:rPr>
        <w:t xml:space="preserve">ANNEXE : </w:t>
      </w:r>
      <w:r w:rsidR="0074531A">
        <w:rPr>
          <w:rFonts w:ascii="Times New Roman" w:eastAsia="Times New Roman" w:hAnsi="Times New Roman" w:cs="Times New Roman"/>
          <w:b/>
          <w:sz w:val="32"/>
          <w:szCs w:val="18"/>
          <w:u w:val="single"/>
          <w:lang w:eastAsia="en-GB"/>
        </w:rPr>
        <w:t>2</w:t>
      </w:r>
    </w:p>
    <w:p w14:paraId="380642F0" w14:textId="77777777" w:rsidR="008A01D5" w:rsidRDefault="004F5D42" w:rsidP="008A01D5">
      <w:pPr>
        <w:tabs>
          <w:tab w:val="right" w:pos="850"/>
          <w:tab w:val="left" w:pos="1134"/>
          <w:tab w:val="left" w:pos="1559"/>
          <w:tab w:val="left" w:pos="1984"/>
          <w:tab w:val="left" w:leader="dot" w:pos="7654"/>
          <w:tab w:val="right" w:pos="8929"/>
          <w:tab w:val="right" w:pos="9638"/>
        </w:tabs>
        <w:suppressAutoHyphens/>
        <w:ind w:firstLine="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w:t>
      </w:r>
    </w:p>
    <w:p w14:paraId="380642F1" w14:textId="77777777" w:rsidR="008A01D5" w:rsidRDefault="008A01D5" w:rsidP="00221070">
      <w:pPr>
        <w:tabs>
          <w:tab w:val="right" w:pos="850"/>
          <w:tab w:val="left" w:pos="1134"/>
          <w:tab w:val="left" w:pos="1559"/>
          <w:tab w:val="left" w:pos="1984"/>
          <w:tab w:val="left" w:leader="dot" w:pos="7654"/>
          <w:tab w:val="right" w:pos="8929"/>
          <w:tab w:val="right" w:pos="9638"/>
        </w:tabs>
        <w:suppressAutoHyphens/>
        <w:ind w:firstLine="0"/>
        <w:rPr>
          <w:rFonts w:ascii="Times New Roman" w:eastAsia="Times New Roman" w:hAnsi="Times New Roman" w:cs="Times New Roman"/>
          <w:b/>
          <w:bCs/>
          <w:sz w:val="20"/>
          <w:szCs w:val="20"/>
        </w:rPr>
      </w:pPr>
    </w:p>
    <w:p w14:paraId="380642F2" w14:textId="77777777" w:rsidR="008A01D5" w:rsidRDefault="008A01D5" w:rsidP="00221070">
      <w:pPr>
        <w:tabs>
          <w:tab w:val="right" w:pos="850"/>
          <w:tab w:val="left" w:pos="1134"/>
          <w:tab w:val="left" w:pos="1559"/>
          <w:tab w:val="left" w:pos="1984"/>
          <w:tab w:val="left" w:leader="dot" w:pos="7654"/>
          <w:tab w:val="right" w:pos="8929"/>
          <w:tab w:val="right" w:pos="9638"/>
        </w:tabs>
        <w:suppressAutoHyphens/>
        <w:ind w:firstLine="0"/>
        <w:rPr>
          <w:rFonts w:ascii="Times New Roman" w:eastAsia="Times New Roman" w:hAnsi="Times New Roman" w:cs="Times New Roman"/>
          <w:b/>
          <w:bCs/>
          <w:sz w:val="20"/>
          <w:szCs w:val="20"/>
        </w:rPr>
      </w:pPr>
    </w:p>
    <w:p w14:paraId="380642F3" w14:textId="77777777" w:rsidR="008A01D5" w:rsidRDefault="008A01D5" w:rsidP="00221070">
      <w:pPr>
        <w:tabs>
          <w:tab w:val="right" w:pos="850"/>
          <w:tab w:val="left" w:pos="1134"/>
          <w:tab w:val="left" w:pos="1559"/>
          <w:tab w:val="left" w:pos="1984"/>
          <w:tab w:val="left" w:leader="dot" w:pos="7654"/>
          <w:tab w:val="right" w:pos="8929"/>
          <w:tab w:val="right" w:pos="9638"/>
        </w:tabs>
        <w:suppressAutoHyphens/>
        <w:ind w:firstLine="0"/>
        <w:rPr>
          <w:rFonts w:ascii="Times New Roman" w:eastAsia="Times New Roman" w:hAnsi="Times New Roman" w:cs="Times New Roman"/>
          <w:b/>
          <w:bCs/>
          <w:sz w:val="20"/>
          <w:szCs w:val="20"/>
        </w:rPr>
      </w:pPr>
    </w:p>
    <w:p w14:paraId="380642F4" w14:textId="77777777" w:rsidR="00221070" w:rsidRPr="008A01D5" w:rsidRDefault="00221070" w:rsidP="00221070">
      <w:pPr>
        <w:tabs>
          <w:tab w:val="right" w:pos="850"/>
          <w:tab w:val="left" w:pos="1134"/>
          <w:tab w:val="left" w:pos="1559"/>
          <w:tab w:val="left" w:pos="1984"/>
          <w:tab w:val="left" w:leader="dot" w:pos="7654"/>
          <w:tab w:val="right" w:pos="8929"/>
          <w:tab w:val="right" w:pos="9638"/>
        </w:tabs>
        <w:suppressAutoHyphens/>
        <w:ind w:firstLine="0"/>
        <w:rPr>
          <w:rFonts w:ascii="Times New Roman" w:eastAsia="Times New Roman" w:hAnsi="Times New Roman" w:cs="Times New Roman"/>
          <w:b/>
          <w:bCs/>
          <w:sz w:val="24"/>
          <w:szCs w:val="24"/>
        </w:rPr>
      </w:pPr>
      <w:r>
        <w:rPr>
          <w:rFonts w:ascii="Times New Roman" w:eastAsia="Times New Roman" w:hAnsi="Times New Roman" w:cs="Times New Roman"/>
          <w:b/>
          <w:bCs/>
          <w:sz w:val="20"/>
          <w:szCs w:val="20"/>
        </w:rPr>
        <w:t xml:space="preserve"> </w:t>
      </w:r>
      <w:r w:rsidRPr="008A01D5">
        <w:rPr>
          <w:rFonts w:ascii="Times New Roman" w:eastAsia="Times New Roman" w:hAnsi="Times New Roman" w:cs="Times New Roman"/>
          <w:b/>
          <w:bCs/>
          <w:sz w:val="28"/>
          <w:szCs w:val="28"/>
        </w:rPr>
        <w:t xml:space="preserve">Aperçu </w:t>
      </w:r>
      <w:r w:rsidR="00C646F2">
        <w:rPr>
          <w:rFonts w:ascii="Times New Roman" w:eastAsia="Times New Roman" w:hAnsi="Times New Roman" w:cs="Times New Roman"/>
          <w:b/>
          <w:bCs/>
          <w:sz w:val="28"/>
          <w:szCs w:val="28"/>
        </w:rPr>
        <w:t xml:space="preserve">complémentaire </w:t>
      </w:r>
      <w:r w:rsidRPr="008A01D5">
        <w:rPr>
          <w:rFonts w:ascii="Times New Roman" w:eastAsia="Times New Roman" w:hAnsi="Times New Roman" w:cs="Times New Roman"/>
          <w:b/>
          <w:bCs/>
          <w:sz w:val="28"/>
          <w:szCs w:val="28"/>
        </w:rPr>
        <w:t xml:space="preserve">des politiques publiques suivies depuis 2010  </w:t>
      </w:r>
    </w:p>
    <w:p w14:paraId="380642F5" w14:textId="77777777" w:rsidR="000648BA" w:rsidRDefault="000648BA"/>
    <w:p w14:paraId="380642F6" w14:textId="77777777" w:rsidR="00221070" w:rsidRPr="00735A3F" w:rsidRDefault="00221070" w:rsidP="00221070">
      <w:pPr>
        <w:ind w:left="426" w:firstLine="0"/>
        <w:jc w:val="both"/>
        <w:rPr>
          <w:rFonts w:ascii="Times New Roman" w:eastAsia="Times New Roman" w:hAnsi="Times New Roman" w:cs="Times New Roman"/>
          <w:sz w:val="20"/>
          <w:szCs w:val="20"/>
          <w:lang w:eastAsia="fr-FR"/>
        </w:rPr>
      </w:pPr>
    </w:p>
    <w:p w14:paraId="380642F7" w14:textId="77777777" w:rsidR="00F0660E" w:rsidRDefault="00F0660E" w:rsidP="00F0660E">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A l’issue des travaux de la Haute Instance du Dialogue National sur </w:t>
      </w:r>
      <w:r w:rsidRPr="00F0660E">
        <w:rPr>
          <w:rFonts w:ascii="Times New Roman" w:eastAsia="Times New Roman" w:hAnsi="Times New Roman" w:cs="Times New Roman"/>
          <w:b/>
          <w:bCs/>
          <w:sz w:val="20"/>
          <w:szCs w:val="20"/>
          <w:lang w:eastAsia="fr-FR"/>
        </w:rPr>
        <w:t>la Réforme de la Justice</w:t>
      </w:r>
      <w:r w:rsidRPr="00F0660E">
        <w:rPr>
          <w:rFonts w:ascii="Times New Roman" w:eastAsia="Times New Roman" w:hAnsi="Times New Roman" w:cs="Times New Roman"/>
          <w:sz w:val="20"/>
          <w:szCs w:val="20"/>
          <w:lang w:eastAsia="fr-FR"/>
        </w:rPr>
        <w:t xml:space="preserve">, dont les résultats ont été présentés le 12 septembre 2013 à Rabat, le Gouvernement dispose désormais d’une charte de la réforme, représentant une feuille de route devant permettre de concrétiser ce chantier de réforme à travers des propositions pratiques et concrètes susceptibles de moraliser, de moderniser et de renforcer l’indépendance du système judiciaire. </w:t>
      </w:r>
    </w:p>
    <w:p w14:paraId="380642F8" w14:textId="77777777" w:rsidR="00F0660E" w:rsidRPr="00F0660E" w:rsidRDefault="00F0660E" w:rsidP="00F0660E">
      <w:pPr>
        <w:ind w:left="426" w:firstLine="0"/>
        <w:jc w:val="both"/>
        <w:rPr>
          <w:rFonts w:ascii="Times New Roman" w:eastAsia="Times New Roman" w:hAnsi="Times New Roman" w:cs="Times New Roman"/>
          <w:sz w:val="20"/>
          <w:szCs w:val="20"/>
          <w:lang w:eastAsia="fr-FR"/>
        </w:rPr>
      </w:pPr>
    </w:p>
    <w:p w14:paraId="380642F9" w14:textId="77777777" w:rsidR="00F0660E" w:rsidRPr="00F0660E" w:rsidRDefault="00F0660E" w:rsidP="00F0660E">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Cette réforme s’articule autour des six axes ci-après : </w:t>
      </w:r>
    </w:p>
    <w:p w14:paraId="380642FA" w14:textId="77777777" w:rsidR="00F0660E" w:rsidRPr="00F0660E" w:rsidRDefault="00F0660E" w:rsidP="00F0660E">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La consolidation de l’indépendance du pouvoir judiciaire qui vise à garantir les prérequis de l’indépendance de la justice, pour assurer son bon fonctionnement et consacrer les droits des citoyens ;</w:t>
      </w:r>
    </w:p>
    <w:p w14:paraId="380642FB" w14:textId="77777777" w:rsidR="00F0660E" w:rsidRPr="00F0660E" w:rsidRDefault="00F0660E" w:rsidP="00F0660E">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La moralisation du système judiciaire à travers la mise en œuvre d’une démarche, associant l’approche juridique, qui vise à fortifier ce système contre les sources de la corruption, et l’approche morale, fondée sur un ensemble de valeurs et de devoirs qui régulent les règles de conduite professionnelle ;</w:t>
      </w:r>
    </w:p>
    <w:p w14:paraId="380642FC" w14:textId="77777777" w:rsidR="00F0660E" w:rsidRPr="00F0660E" w:rsidRDefault="00F0660E" w:rsidP="00F0660E">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Le renforcement de la protection judiciaire des droits et libertés, liée à la révision de la politique pénale et la réforme de la politique d’incrimination et de sanction ;</w:t>
      </w:r>
    </w:p>
    <w:p w14:paraId="380642FD" w14:textId="77777777" w:rsidR="00F0660E" w:rsidRPr="00F0660E" w:rsidRDefault="00F0660E" w:rsidP="00F0660E">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L’accroissement de l’efficacité et de l’efficience de la justice et la facilitation de l’accès au droit et à la justice à travers le développement de l’organisation judiciaire, la rationalisation de la carte judiciaire, l’accroissement de la performance judiciaire, la simplification des procédures, l’amélioration de la qualité des jugements et des services judiciaires et la facilitation de l’accès des justiciables aux juridictions ;</w:t>
      </w:r>
    </w:p>
    <w:p w14:paraId="380642FE" w14:textId="77777777" w:rsidR="00F0660E" w:rsidRPr="00F0660E" w:rsidRDefault="00F0660E" w:rsidP="00F0660E">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Le développement des capacités institutionnelles par le biais de l’amélioration des conditions d’accès aux professions judiciaires et juridiques, la garantie de la qualité de la formation de base et la consolidation des mécanismes de renforcement de la confiance du citoyen dans ces professions ;</w:t>
      </w:r>
    </w:p>
    <w:p w14:paraId="380642FF" w14:textId="77777777" w:rsidR="00F0660E" w:rsidRPr="00F0660E" w:rsidRDefault="00F0660E" w:rsidP="00F0660E">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La modernisation de l’administration judiciaire et le renforcement de sa gouvernance.</w:t>
      </w:r>
    </w:p>
    <w:p w14:paraId="38064300" w14:textId="77777777" w:rsidR="00F0660E" w:rsidRDefault="00F0660E" w:rsidP="00F0660E">
      <w:pPr>
        <w:ind w:left="426" w:firstLine="0"/>
        <w:jc w:val="both"/>
        <w:rPr>
          <w:rFonts w:ascii="Times New Roman" w:eastAsia="Times New Roman" w:hAnsi="Times New Roman" w:cs="Times New Roman"/>
          <w:sz w:val="20"/>
          <w:szCs w:val="20"/>
          <w:lang w:eastAsia="fr-FR"/>
        </w:rPr>
      </w:pPr>
    </w:p>
    <w:p w14:paraId="38064301" w14:textId="77777777" w:rsidR="001D2F62" w:rsidRDefault="00221070" w:rsidP="00221070">
      <w:pPr>
        <w:numPr>
          <w:ilvl w:val="0"/>
          <w:numId w:val="1"/>
        </w:numPr>
        <w:ind w:left="426" w:hanging="284"/>
        <w:jc w:val="both"/>
        <w:rPr>
          <w:rFonts w:ascii="Times New Roman" w:eastAsia="Times New Roman" w:hAnsi="Times New Roman" w:cs="Times New Roman"/>
          <w:sz w:val="20"/>
          <w:szCs w:val="20"/>
          <w:lang w:eastAsia="fr-FR"/>
        </w:rPr>
      </w:pPr>
      <w:r w:rsidRPr="001D2F62">
        <w:rPr>
          <w:rFonts w:ascii="Times New Roman" w:eastAsia="Times New Roman" w:hAnsi="Times New Roman" w:cs="Times New Roman"/>
          <w:sz w:val="20"/>
          <w:szCs w:val="20"/>
          <w:lang w:eastAsia="fr-FR"/>
        </w:rPr>
        <w:t xml:space="preserve">Poursuivant le soutien aux principes de </w:t>
      </w:r>
      <w:r w:rsidRPr="00F0660E">
        <w:rPr>
          <w:rFonts w:ascii="Times New Roman" w:eastAsia="Times New Roman" w:hAnsi="Times New Roman" w:cs="Times New Roman"/>
          <w:sz w:val="20"/>
          <w:szCs w:val="20"/>
          <w:lang w:eastAsia="fr-FR"/>
        </w:rPr>
        <w:t>l’</w:t>
      </w:r>
      <w:r w:rsidRPr="001D2F62">
        <w:rPr>
          <w:rFonts w:ascii="Times New Roman" w:eastAsia="Times New Roman" w:hAnsi="Times New Roman" w:cs="Times New Roman"/>
          <w:b/>
          <w:bCs/>
          <w:sz w:val="20"/>
          <w:szCs w:val="20"/>
          <w:lang w:eastAsia="fr-FR"/>
        </w:rPr>
        <w:t>Etat de droit, de libertés et d’égalité et de droits et dignité du citoyen</w:t>
      </w:r>
      <w:r w:rsidRPr="001D2F62">
        <w:rPr>
          <w:rFonts w:ascii="Times New Roman" w:eastAsia="Times New Roman" w:hAnsi="Times New Roman" w:cs="Times New Roman"/>
          <w:sz w:val="20"/>
          <w:szCs w:val="20"/>
          <w:lang w:eastAsia="fr-FR"/>
        </w:rPr>
        <w:t>, le programme gouvernemental 2017 - 2021 a prévu d’importantes mesures suivantes :</w:t>
      </w:r>
    </w:p>
    <w:p w14:paraId="38064302" w14:textId="77777777" w:rsidR="00221070" w:rsidRPr="001D2F62" w:rsidRDefault="00221070" w:rsidP="001D2F62">
      <w:pPr>
        <w:ind w:left="426" w:firstLine="0"/>
        <w:jc w:val="both"/>
        <w:rPr>
          <w:rFonts w:ascii="Times New Roman" w:eastAsia="Times New Roman" w:hAnsi="Times New Roman" w:cs="Times New Roman"/>
          <w:sz w:val="14"/>
          <w:szCs w:val="14"/>
          <w:lang w:eastAsia="fr-FR"/>
        </w:rPr>
      </w:pPr>
      <w:r w:rsidRPr="001D2F62">
        <w:rPr>
          <w:rFonts w:ascii="Times New Roman" w:eastAsia="Times New Roman" w:hAnsi="Times New Roman" w:cs="Times New Roman"/>
          <w:sz w:val="14"/>
          <w:szCs w:val="14"/>
          <w:lang w:eastAsia="fr-FR"/>
        </w:rPr>
        <w:lastRenderedPageBreak/>
        <w:t xml:space="preserve">  </w:t>
      </w:r>
    </w:p>
    <w:p w14:paraId="38064303" w14:textId="77777777" w:rsidR="00221070" w:rsidRPr="001D2F62" w:rsidRDefault="00221070" w:rsidP="00221070">
      <w:pPr>
        <w:pStyle w:val="ListParagraph"/>
        <w:spacing w:after="160" w:line="259" w:lineRule="auto"/>
        <w:ind w:left="567" w:firstLine="0"/>
        <w:jc w:val="both"/>
        <w:rPr>
          <w:rFonts w:ascii="Times New Roman" w:eastAsia="Times New Roman" w:hAnsi="Times New Roman" w:cs="Times New Roman"/>
          <w:sz w:val="20"/>
          <w:szCs w:val="20"/>
          <w:lang w:eastAsia="fr-FR"/>
        </w:rPr>
      </w:pPr>
      <w:r w:rsidRPr="001D2F62">
        <w:rPr>
          <w:rFonts w:ascii="Times New Roman" w:eastAsia="Times New Roman" w:hAnsi="Times New Roman" w:cs="Times New Roman"/>
          <w:sz w:val="20"/>
          <w:szCs w:val="20"/>
          <w:lang w:eastAsia="fr-FR"/>
        </w:rPr>
        <w:t>- l’adoption d’une politique gouvernementale intégrée dans le domaine des droits de l’Homme, selon une planification stratégique participative et l’actualisation, à partir de 2018, du Plan d’action national dans le domaine de la démocratie et des droits de l’homme ;</w:t>
      </w:r>
    </w:p>
    <w:p w14:paraId="38064304" w14:textId="77777777" w:rsidR="00221070" w:rsidRPr="001D2F62" w:rsidRDefault="00221070" w:rsidP="00221070">
      <w:pPr>
        <w:pStyle w:val="ListParagraph"/>
        <w:spacing w:after="160" w:line="259" w:lineRule="auto"/>
        <w:ind w:left="567" w:firstLine="0"/>
        <w:jc w:val="both"/>
        <w:rPr>
          <w:rFonts w:ascii="Times New Roman" w:eastAsia="Times New Roman" w:hAnsi="Times New Roman" w:cs="Times New Roman"/>
          <w:sz w:val="20"/>
          <w:szCs w:val="20"/>
          <w:lang w:eastAsia="fr-FR"/>
        </w:rPr>
      </w:pPr>
      <w:r w:rsidRPr="001D2F62">
        <w:rPr>
          <w:rFonts w:ascii="Times New Roman" w:eastAsia="Times New Roman" w:hAnsi="Times New Roman" w:cs="Times New Roman"/>
          <w:sz w:val="20"/>
          <w:szCs w:val="20"/>
          <w:lang w:eastAsia="fr-FR"/>
        </w:rPr>
        <w:t xml:space="preserve"> - la promotion des valeurs des droits de l’Homme, de l’égalité et de l’équité, conformément aux dispositions de la plateforme citoyenne pour la promotion de la culture des droits de l’Homme, en adéquation avec la constitution et les conventions internationales ratifiées par le Maroc et dont il est partie ;</w:t>
      </w:r>
    </w:p>
    <w:p w14:paraId="38064305" w14:textId="77777777" w:rsidR="00221070" w:rsidRPr="001D2F62" w:rsidRDefault="00221070" w:rsidP="00221070">
      <w:pPr>
        <w:pStyle w:val="ListParagraph"/>
        <w:spacing w:after="160" w:line="259" w:lineRule="auto"/>
        <w:ind w:left="567" w:firstLine="0"/>
        <w:jc w:val="both"/>
        <w:rPr>
          <w:rFonts w:ascii="Times New Roman" w:eastAsia="Times New Roman" w:hAnsi="Times New Roman" w:cs="Times New Roman"/>
          <w:sz w:val="20"/>
          <w:szCs w:val="20"/>
          <w:lang w:eastAsia="fr-FR"/>
        </w:rPr>
      </w:pPr>
      <w:r w:rsidRPr="001D2F62">
        <w:rPr>
          <w:rFonts w:ascii="Times New Roman" w:eastAsia="Times New Roman" w:hAnsi="Times New Roman" w:cs="Times New Roman"/>
          <w:sz w:val="20"/>
          <w:szCs w:val="20"/>
          <w:lang w:eastAsia="fr-FR"/>
        </w:rPr>
        <w:t xml:space="preserve"> - le renforcement du cadre juridique et le développement des institutions nationales actives dans le domaine des droits de l’Homme (…), tout en renforçant le Mécanisme de lutte contre toutes les formes de discrimination et en mettant en place les garanties d’indépendance de ce mécanisme ;</w:t>
      </w:r>
    </w:p>
    <w:p w14:paraId="38064306" w14:textId="77777777" w:rsidR="00221070" w:rsidRPr="001D2F62" w:rsidRDefault="00221070" w:rsidP="00221070">
      <w:pPr>
        <w:pStyle w:val="ListParagraph"/>
        <w:spacing w:after="160" w:line="259" w:lineRule="auto"/>
        <w:ind w:left="567" w:firstLine="0"/>
        <w:jc w:val="both"/>
        <w:rPr>
          <w:rFonts w:ascii="Times New Roman" w:eastAsia="Times New Roman" w:hAnsi="Times New Roman" w:cs="Times New Roman"/>
          <w:sz w:val="20"/>
          <w:szCs w:val="20"/>
          <w:lang w:eastAsia="fr-FR"/>
        </w:rPr>
      </w:pPr>
      <w:r w:rsidRPr="001D2F62">
        <w:rPr>
          <w:rFonts w:ascii="Times New Roman" w:eastAsia="Times New Roman" w:hAnsi="Times New Roman" w:cs="Times New Roman"/>
          <w:sz w:val="20"/>
          <w:szCs w:val="20"/>
          <w:lang w:eastAsia="fr-FR"/>
        </w:rPr>
        <w:t>- l’appui et développement de la coopération constructive et de l’interaction positive avec les mécanismes onusiens des droits de l’homme ;</w:t>
      </w:r>
    </w:p>
    <w:p w14:paraId="38064307" w14:textId="77777777" w:rsidR="00221070" w:rsidRDefault="00221070" w:rsidP="00221070">
      <w:pPr>
        <w:pStyle w:val="ListParagraph"/>
        <w:spacing w:after="160" w:line="259" w:lineRule="auto"/>
        <w:ind w:left="567" w:firstLine="0"/>
        <w:jc w:val="both"/>
        <w:rPr>
          <w:rFonts w:ascii="Times New Roman" w:eastAsia="Times New Roman" w:hAnsi="Times New Roman" w:cs="Times New Roman"/>
          <w:sz w:val="20"/>
          <w:szCs w:val="20"/>
          <w:lang w:eastAsia="fr-FR"/>
        </w:rPr>
      </w:pPr>
      <w:r w:rsidRPr="001D2F62">
        <w:rPr>
          <w:rFonts w:ascii="Times New Roman" w:eastAsia="Times New Roman" w:hAnsi="Times New Roman" w:cs="Times New Roman"/>
          <w:sz w:val="20"/>
          <w:szCs w:val="20"/>
          <w:lang w:eastAsia="fr-FR"/>
        </w:rPr>
        <w:t xml:space="preserve"> - le parachèvement de l’adhésion aux systèmes international et régional des droits de l’Homme, notamment à travers l’adoption et l’adhésion au protocole facultatif au Pacte international relatif aux droits économiques, sociaux et culturels, à la Charte arabe des droits de l’Homme, à la Charte africaine des droits de l’Homme, ainsi que l’amélioration de l’interaction avec les mécanismes créés en vertu des conventions du Conseil de l’Europe, auxquelles s’est joint le Maroc.  </w:t>
      </w:r>
    </w:p>
    <w:p w14:paraId="38064308" w14:textId="77777777" w:rsidR="00F0660E" w:rsidRPr="001D2F62" w:rsidRDefault="00F0660E" w:rsidP="00221070">
      <w:pPr>
        <w:pStyle w:val="ListParagraph"/>
        <w:spacing w:after="160" w:line="259" w:lineRule="auto"/>
        <w:ind w:left="567" w:firstLine="0"/>
        <w:jc w:val="both"/>
        <w:rPr>
          <w:rFonts w:ascii="Times New Roman" w:eastAsia="Times New Roman" w:hAnsi="Times New Roman" w:cs="Times New Roman"/>
          <w:sz w:val="20"/>
          <w:szCs w:val="20"/>
          <w:lang w:eastAsia="fr-FR"/>
        </w:rPr>
      </w:pPr>
    </w:p>
    <w:p w14:paraId="38064309" w14:textId="77777777" w:rsidR="00221070" w:rsidRPr="001D2F62" w:rsidRDefault="00221070" w:rsidP="00221070">
      <w:pPr>
        <w:pStyle w:val="ListParagraph"/>
        <w:tabs>
          <w:tab w:val="right" w:pos="850"/>
          <w:tab w:val="left" w:pos="1134"/>
          <w:tab w:val="left" w:pos="1559"/>
          <w:tab w:val="left" w:pos="1984"/>
          <w:tab w:val="left" w:leader="dot" w:pos="7654"/>
          <w:tab w:val="right" w:pos="8929"/>
          <w:tab w:val="right" w:pos="9638"/>
        </w:tabs>
        <w:suppressAutoHyphens/>
        <w:ind w:firstLine="0"/>
        <w:rPr>
          <w:rFonts w:ascii="Times New Roman" w:eastAsia="Times New Roman" w:hAnsi="Times New Roman" w:cs="Times New Roman"/>
          <w:b/>
          <w:bCs/>
          <w:sz w:val="2"/>
          <w:szCs w:val="2"/>
          <w:lang w:val="fr-CH"/>
        </w:rPr>
      </w:pPr>
    </w:p>
    <w:p w14:paraId="3806430A" w14:textId="77777777" w:rsidR="00221070" w:rsidRDefault="00221070" w:rsidP="00221070">
      <w:pPr>
        <w:numPr>
          <w:ilvl w:val="0"/>
          <w:numId w:val="1"/>
        </w:numPr>
        <w:ind w:left="426" w:hanging="284"/>
        <w:jc w:val="both"/>
        <w:rPr>
          <w:rFonts w:ascii="Times New Roman" w:eastAsia="Times New Roman" w:hAnsi="Times New Roman" w:cs="Times New Roman"/>
          <w:sz w:val="20"/>
          <w:szCs w:val="20"/>
          <w:lang w:eastAsia="fr-FR"/>
        </w:rPr>
      </w:pPr>
      <w:r>
        <w:rPr>
          <w:rFonts w:ascii="Times New Roman" w:eastAsia="Times New Roman" w:hAnsi="Times New Roman" w:cs="Times New Roman"/>
          <w:sz w:val="20"/>
          <w:szCs w:val="20"/>
          <w:lang w:eastAsia="fr-FR"/>
        </w:rPr>
        <w:t>Ainsi, l</w:t>
      </w:r>
      <w:r w:rsidRPr="00E26090">
        <w:rPr>
          <w:rFonts w:ascii="Times New Roman" w:eastAsia="Times New Roman" w:hAnsi="Times New Roman" w:cs="Times New Roman"/>
          <w:sz w:val="20"/>
          <w:szCs w:val="20"/>
          <w:lang w:eastAsia="fr-FR"/>
        </w:rPr>
        <w:t>es dispositions de la Constitution apportent un nouveau souffle aux politiques publiques en termes d’égalité. Selon l’article 19 : « L’homme et la femme jouissent, à égalité, des droits et libertés à caractère civil, politique, économique, social, culturel et environnemental (…). L’Etat œuvre à la réalisation de la parité entre les hommes et les femmes. Il est créé, à cet effet, une Autorité pour la parité et la lutte contre toutes formes de discrimination »</w:t>
      </w:r>
      <w:r w:rsidRPr="00E26090">
        <w:rPr>
          <w:rStyle w:val="FootnoteReference"/>
          <w:rFonts w:eastAsia="Times New Roman" w:cs="Times New Roman"/>
          <w:sz w:val="20"/>
          <w:szCs w:val="20"/>
          <w:lang w:eastAsia="fr-FR"/>
        </w:rPr>
        <w:footnoteReference w:id="1"/>
      </w:r>
      <w:r w:rsidRPr="00E26090">
        <w:rPr>
          <w:rFonts w:ascii="Times New Roman" w:eastAsia="Times New Roman" w:hAnsi="Times New Roman" w:cs="Times New Roman"/>
          <w:sz w:val="20"/>
          <w:szCs w:val="20"/>
          <w:lang w:eastAsia="fr-FR"/>
        </w:rPr>
        <w:t xml:space="preserve">. </w:t>
      </w:r>
    </w:p>
    <w:p w14:paraId="3806430B" w14:textId="77777777" w:rsidR="00F0660E" w:rsidRPr="00E26090" w:rsidRDefault="00F0660E" w:rsidP="00F0660E">
      <w:pPr>
        <w:ind w:left="426" w:firstLine="0"/>
        <w:jc w:val="both"/>
        <w:rPr>
          <w:rFonts w:ascii="Times New Roman" w:eastAsia="Times New Roman" w:hAnsi="Times New Roman" w:cs="Times New Roman"/>
          <w:sz w:val="20"/>
          <w:szCs w:val="20"/>
          <w:lang w:eastAsia="fr-FR"/>
        </w:rPr>
      </w:pPr>
    </w:p>
    <w:p w14:paraId="3806430C" w14:textId="77777777" w:rsidR="00221070" w:rsidRPr="00E26090" w:rsidRDefault="00221070" w:rsidP="00221070">
      <w:pPr>
        <w:numPr>
          <w:ilvl w:val="0"/>
          <w:numId w:val="1"/>
        </w:numPr>
        <w:ind w:left="426" w:hanging="284"/>
        <w:jc w:val="both"/>
        <w:rPr>
          <w:rFonts w:ascii="Times New Roman" w:eastAsia="Times New Roman" w:hAnsi="Times New Roman" w:cs="Times New Roman"/>
          <w:sz w:val="20"/>
          <w:szCs w:val="20"/>
          <w:lang w:eastAsia="fr-FR"/>
        </w:rPr>
      </w:pPr>
      <w:r w:rsidRPr="00E26090">
        <w:rPr>
          <w:rFonts w:ascii="Times New Roman" w:eastAsia="Times New Roman" w:hAnsi="Times New Roman" w:cs="Times New Roman"/>
          <w:sz w:val="20"/>
          <w:szCs w:val="20"/>
          <w:lang w:eastAsia="fr-FR"/>
        </w:rPr>
        <w:t xml:space="preserve">L’APALD se propose d’atteindre les objectifs suivants :       </w:t>
      </w:r>
    </w:p>
    <w:p w14:paraId="3806430D" w14:textId="77777777" w:rsidR="00221070" w:rsidRPr="00E26090" w:rsidRDefault="00221070" w:rsidP="00221070">
      <w:pPr>
        <w:pStyle w:val="ListParagraph"/>
        <w:numPr>
          <w:ilvl w:val="0"/>
          <w:numId w:val="2"/>
        </w:numPr>
        <w:tabs>
          <w:tab w:val="left" w:pos="993"/>
        </w:tabs>
        <w:ind w:left="567" w:firstLine="284"/>
        <w:jc w:val="both"/>
        <w:rPr>
          <w:rFonts w:ascii="Times New Roman" w:eastAsia="Times New Roman" w:hAnsi="Times New Roman" w:cs="Times New Roman"/>
          <w:sz w:val="20"/>
          <w:szCs w:val="20"/>
          <w:lang w:eastAsia="fr-FR"/>
        </w:rPr>
      </w:pPr>
      <w:r w:rsidRPr="00E26090">
        <w:rPr>
          <w:rFonts w:ascii="Times New Roman" w:eastAsia="Times New Roman" w:hAnsi="Times New Roman" w:cs="Times New Roman"/>
          <w:sz w:val="20"/>
          <w:szCs w:val="20"/>
          <w:lang w:eastAsia="fr-FR"/>
        </w:rPr>
        <w:t xml:space="preserve">Contribuer à l'élaboration des bases nécessaires pour instaurer l'égalité entre les hommes et </w:t>
      </w:r>
      <w:r>
        <w:rPr>
          <w:rFonts w:ascii="Times New Roman" w:eastAsia="Times New Roman" w:hAnsi="Times New Roman" w:cs="Times New Roman"/>
          <w:sz w:val="20"/>
          <w:szCs w:val="20"/>
          <w:lang w:eastAsia="fr-FR"/>
        </w:rPr>
        <w:t xml:space="preserve">les </w:t>
      </w:r>
      <w:r w:rsidRPr="00E26090">
        <w:rPr>
          <w:rFonts w:ascii="Times New Roman" w:eastAsia="Times New Roman" w:hAnsi="Times New Roman" w:cs="Times New Roman"/>
          <w:sz w:val="20"/>
          <w:szCs w:val="20"/>
          <w:lang w:eastAsia="fr-FR"/>
        </w:rPr>
        <w:t>femmes dans divers domaines ;</w:t>
      </w:r>
    </w:p>
    <w:p w14:paraId="3806430E" w14:textId="77777777" w:rsidR="00221070" w:rsidRPr="00E26090" w:rsidRDefault="00221070" w:rsidP="00221070">
      <w:pPr>
        <w:pStyle w:val="ListParagraph"/>
        <w:numPr>
          <w:ilvl w:val="0"/>
          <w:numId w:val="2"/>
        </w:numPr>
        <w:tabs>
          <w:tab w:val="left" w:pos="993"/>
        </w:tabs>
        <w:ind w:left="567" w:firstLine="284"/>
        <w:jc w:val="both"/>
        <w:rPr>
          <w:rFonts w:ascii="Times New Roman" w:eastAsia="Times New Roman" w:hAnsi="Times New Roman" w:cs="Times New Roman"/>
          <w:sz w:val="20"/>
          <w:szCs w:val="20"/>
          <w:lang w:eastAsia="fr-FR"/>
        </w:rPr>
      </w:pPr>
      <w:r w:rsidRPr="00E26090">
        <w:rPr>
          <w:rFonts w:ascii="Times New Roman" w:eastAsia="Times New Roman" w:hAnsi="Times New Roman" w:cs="Times New Roman"/>
          <w:sz w:val="20"/>
          <w:szCs w:val="20"/>
          <w:lang w:eastAsia="fr-FR"/>
        </w:rPr>
        <w:t>Lutter contre toutes les formes de discrimination fondée sur le sexe ;</w:t>
      </w:r>
    </w:p>
    <w:p w14:paraId="3806430F" w14:textId="77777777" w:rsidR="00221070" w:rsidRDefault="00221070" w:rsidP="00221070">
      <w:pPr>
        <w:pStyle w:val="ListParagraph"/>
        <w:numPr>
          <w:ilvl w:val="0"/>
          <w:numId w:val="2"/>
        </w:numPr>
        <w:tabs>
          <w:tab w:val="left" w:pos="993"/>
        </w:tabs>
        <w:ind w:left="567" w:firstLine="284"/>
        <w:jc w:val="both"/>
        <w:rPr>
          <w:rFonts w:ascii="Times New Roman" w:eastAsia="Times New Roman" w:hAnsi="Times New Roman" w:cs="Times New Roman"/>
          <w:sz w:val="20"/>
          <w:szCs w:val="20"/>
          <w:lang w:eastAsia="fr-FR"/>
        </w:rPr>
      </w:pPr>
      <w:r w:rsidRPr="00E26090">
        <w:rPr>
          <w:rFonts w:ascii="Times New Roman" w:eastAsia="Times New Roman" w:hAnsi="Times New Roman" w:cs="Times New Roman"/>
          <w:sz w:val="20"/>
          <w:szCs w:val="20"/>
          <w:lang w:eastAsia="fr-FR"/>
        </w:rPr>
        <w:t>Contribuer à la mise en place des mécanismes permettant la réalisation de l'objectif de l’égalité entre les hommes et femmes.</w:t>
      </w:r>
    </w:p>
    <w:p w14:paraId="38064310" w14:textId="77777777" w:rsidR="00F0660E" w:rsidRPr="00E26090" w:rsidRDefault="00F0660E" w:rsidP="00F0660E">
      <w:pPr>
        <w:pStyle w:val="ListParagraph"/>
        <w:tabs>
          <w:tab w:val="left" w:pos="993"/>
        </w:tabs>
        <w:ind w:left="851" w:firstLine="0"/>
        <w:jc w:val="both"/>
        <w:rPr>
          <w:rFonts w:ascii="Times New Roman" w:eastAsia="Times New Roman" w:hAnsi="Times New Roman" w:cs="Times New Roman"/>
          <w:sz w:val="20"/>
          <w:szCs w:val="20"/>
          <w:lang w:eastAsia="fr-FR"/>
        </w:rPr>
      </w:pPr>
    </w:p>
    <w:p w14:paraId="38064311" w14:textId="77777777" w:rsidR="00221070" w:rsidRDefault="00221070" w:rsidP="00221070">
      <w:pPr>
        <w:numPr>
          <w:ilvl w:val="0"/>
          <w:numId w:val="1"/>
        </w:numPr>
        <w:ind w:left="426" w:hanging="284"/>
        <w:jc w:val="both"/>
        <w:rPr>
          <w:rFonts w:ascii="Times New Roman" w:eastAsia="Times New Roman" w:hAnsi="Times New Roman" w:cs="Times New Roman"/>
          <w:sz w:val="20"/>
          <w:szCs w:val="20"/>
          <w:lang w:eastAsia="fr-FR"/>
        </w:rPr>
      </w:pPr>
      <w:r w:rsidRPr="001D2F62">
        <w:rPr>
          <w:rFonts w:ascii="Times New Roman" w:eastAsia="Times New Roman" w:hAnsi="Times New Roman" w:cs="Times New Roman"/>
          <w:b/>
          <w:bCs/>
          <w:sz w:val="20"/>
          <w:szCs w:val="20"/>
          <w:lang w:eastAsia="fr-FR"/>
        </w:rPr>
        <w:t>En matière de promotion de l’égalité entre les sexes via l’intégration de l’approche genre</w:t>
      </w:r>
      <w:r w:rsidRPr="00E26090">
        <w:rPr>
          <w:rFonts w:ascii="Times New Roman" w:eastAsia="Times New Roman" w:hAnsi="Times New Roman" w:cs="Times New Roman"/>
          <w:sz w:val="20"/>
          <w:szCs w:val="20"/>
          <w:lang w:eastAsia="fr-FR"/>
        </w:rPr>
        <w:t xml:space="preserve"> dans les politiques et programmes de développement, le Gouvernement marocain a pris des mesures pour élaborer et mettre en œuvre la Stratégie nationale pour l’équité et l’égalité entre les sexes, intégrant la dimension genre dans ses politiques et programmes de développement. Il s’agit du Plan gouvernemental pour l’égalité dans la perspective de la parité « ICRAM » 2012-2016, en concertation avec tous les Départements ministériels concernés.</w:t>
      </w:r>
    </w:p>
    <w:p w14:paraId="38064312" w14:textId="77777777" w:rsidR="00F0660E" w:rsidRPr="00E26090" w:rsidRDefault="00F0660E" w:rsidP="00F0660E">
      <w:pPr>
        <w:ind w:left="426" w:firstLine="0"/>
        <w:jc w:val="both"/>
        <w:rPr>
          <w:rFonts w:ascii="Times New Roman" w:eastAsia="Times New Roman" w:hAnsi="Times New Roman" w:cs="Times New Roman"/>
          <w:sz w:val="20"/>
          <w:szCs w:val="20"/>
          <w:lang w:eastAsia="fr-FR"/>
        </w:rPr>
      </w:pPr>
    </w:p>
    <w:p w14:paraId="38064313" w14:textId="77777777" w:rsidR="00221070" w:rsidRPr="00E26090" w:rsidRDefault="00221070" w:rsidP="00221070">
      <w:pPr>
        <w:numPr>
          <w:ilvl w:val="0"/>
          <w:numId w:val="1"/>
        </w:numPr>
        <w:ind w:left="426" w:hanging="284"/>
        <w:jc w:val="both"/>
        <w:rPr>
          <w:rFonts w:ascii="Times New Roman" w:eastAsia="Times New Roman" w:hAnsi="Times New Roman" w:cs="Times New Roman"/>
          <w:sz w:val="20"/>
          <w:szCs w:val="20"/>
          <w:lang w:eastAsia="fr-FR"/>
        </w:rPr>
      </w:pPr>
      <w:r w:rsidRPr="00E26090">
        <w:rPr>
          <w:rFonts w:ascii="Times New Roman" w:eastAsia="Times New Roman" w:hAnsi="Times New Roman" w:cs="Times New Roman"/>
          <w:sz w:val="20"/>
          <w:szCs w:val="20"/>
          <w:lang w:val="fr-CH" w:eastAsia="fr-FR"/>
        </w:rPr>
        <w:t xml:space="preserve">Un deuxième </w:t>
      </w:r>
      <w:r w:rsidRPr="00E26090">
        <w:rPr>
          <w:rFonts w:ascii="Times New Roman" w:eastAsia="Times New Roman" w:hAnsi="Times New Roman" w:cs="Times New Roman"/>
          <w:sz w:val="20"/>
          <w:szCs w:val="20"/>
          <w:lang w:eastAsia="fr-FR"/>
        </w:rPr>
        <w:t>Plan gouvernemental pour l’égalité dans la perspective de la parité</w:t>
      </w:r>
      <w:r w:rsidRPr="00E26090">
        <w:rPr>
          <w:rFonts w:ascii="Times New Roman" w:eastAsia="Times New Roman" w:hAnsi="Times New Roman" w:cs="Times New Roman"/>
          <w:sz w:val="20"/>
          <w:szCs w:val="20"/>
          <w:lang w:val="fr-CH" w:eastAsia="fr-FR"/>
        </w:rPr>
        <w:t xml:space="preserve"> pour la période 2017-2021 « ICRAM2» a été adopté le 03 Août 2017.</w:t>
      </w:r>
    </w:p>
    <w:p w14:paraId="38064314" w14:textId="77777777" w:rsidR="00221070" w:rsidRDefault="00221070" w:rsidP="00221070">
      <w:pPr>
        <w:numPr>
          <w:ilvl w:val="0"/>
          <w:numId w:val="1"/>
        </w:numPr>
        <w:ind w:left="426" w:hanging="284"/>
        <w:jc w:val="both"/>
        <w:rPr>
          <w:rFonts w:ascii="Times New Roman" w:eastAsia="Times New Roman" w:hAnsi="Times New Roman" w:cs="Times New Roman"/>
          <w:sz w:val="20"/>
          <w:szCs w:val="20"/>
          <w:lang w:eastAsia="fr-FR"/>
        </w:rPr>
      </w:pPr>
      <w:r w:rsidRPr="00E26090">
        <w:rPr>
          <w:rFonts w:ascii="Times New Roman" w:eastAsia="Times New Roman" w:hAnsi="Times New Roman" w:cs="Times New Roman"/>
          <w:sz w:val="20"/>
          <w:szCs w:val="20"/>
          <w:lang w:eastAsia="fr-FR"/>
        </w:rPr>
        <w:t>En 2014, a été créée une Commission Interministérielle de l’Egalité en tant que mécanisme de suivi et de mise en œuvre du Plan Gouvernemental pour l’Egalité (PGE), dotée d’un Comité Technique interministériel et d’un système d’information et de suivi.</w:t>
      </w:r>
    </w:p>
    <w:p w14:paraId="38064315" w14:textId="77777777" w:rsidR="00F0660E" w:rsidRPr="00E26090" w:rsidRDefault="00F0660E" w:rsidP="00F0660E">
      <w:pPr>
        <w:ind w:left="426" w:firstLine="0"/>
        <w:jc w:val="both"/>
        <w:rPr>
          <w:rFonts w:ascii="Times New Roman" w:eastAsia="Times New Roman" w:hAnsi="Times New Roman" w:cs="Times New Roman"/>
          <w:sz w:val="20"/>
          <w:szCs w:val="20"/>
          <w:lang w:eastAsia="fr-FR"/>
        </w:rPr>
      </w:pPr>
    </w:p>
    <w:p w14:paraId="38064316" w14:textId="77777777" w:rsidR="00221070" w:rsidRDefault="00221070" w:rsidP="00221070">
      <w:pPr>
        <w:numPr>
          <w:ilvl w:val="0"/>
          <w:numId w:val="1"/>
        </w:numPr>
        <w:ind w:left="426" w:hanging="284"/>
        <w:jc w:val="both"/>
        <w:rPr>
          <w:rFonts w:ascii="Times New Roman" w:eastAsia="Times New Roman" w:hAnsi="Times New Roman" w:cs="Times New Roman"/>
          <w:sz w:val="20"/>
          <w:szCs w:val="20"/>
          <w:lang w:eastAsia="fr-FR"/>
        </w:rPr>
      </w:pPr>
      <w:r w:rsidRPr="00E26090">
        <w:rPr>
          <w:rFonts w:ascii="Times New Roman" w:eastAsia="Times New Roman" w:hAnsi="Times New Roman" w:cs="Times New Roman"/>
          <w:sz w:val="20"/>
          <w:szCs w:val="20"/>
          <w:lang w:eastAsia="fr-FR"/>
        </w:rPr>
        <w:t xml:space="preserve">Le Maroc poursuit la mise en œuvre de sa stratégie nationale de lutte contre les violences faites aux femmes et aux filles, pilotée par le </w:t>
      </w:r>
      <w:r w:rsidRPr="00E26090">
        <w:rPr>
          <w:rFonts w:ascii="Times New Roman" w:eastAsia="Times New Roman" w:hAnsi="Times New Roman" w:cs="Times New Roman"/>
          <w:bCs/>
          <w:sz w:val="20"/>
          <w:szCs w:val="20"/>
          <w:lang w:eastAsia="fr-FR"/>
        </w:rPr>
        <w:t>MFSEDS</w:t>
      </w:r>
      <w:r w:rsidRPr="00E26090">
        <w:rPr>
          <w:rFonts w:ascii="Times New Roman" w:eastAsia="Times New Roman" w:hAnsi="Times New Roman" w:cs="Times New Roman"/>
          <w:sz w:val="20"/>
          <w:szCs w:val="20"/>
          <w:lang w:eastAsia="fr-FR"/>
        </w:rPr>
        <w:t xml:space="preserve"> et impliquant la justice, la police, la gendarmerie et les services de santé. Cette stratégie se focalise notamment</w:t>
      </w:r>
      <w:r w:rsidRPr="00E26090">
        <w:rPr>
          <w:rFonts w:ascii="TimesNewRomanPSMT" w:eastAsia="Times New Roman" w:hAnsi="TimesNewRomanPSMT" w:cs="TimesNewRomanPSMT"/>
          <w:sz w:val="20"/>
          <w:szCs w:val="20"/>
          <w:lang w:eastAsia="fr-FR"/>
        </w:rPr>
        <w:t xml:space="preserve"> sur la </w:t>
      </w:r>
      <w:r w:rsidRPr="00E26090">
        <w:rPr>
          <w:rFonts w:ascii="Times New Roman" w:eastAsia="Times New Roman" w:hAnsi="Times New Roman" w:cs="Times New Roman"/>
          <w:sz w:val="20"/>
          <w:szCs w:val="20"/>
          <w:lang w:eastAsia="fr-FR"/>
        </w:rPr>
        <w:t>chaine de prise en charge des femmes et enfants victimes de violences. Un projet de loi n° 113.13 relative à la lutte contre la violence à l’égard des femmes a été approuvé au Conseil de Gouvernement du 07/11/2013. Et après son adoption par la Chambre des Conseillers le 31 janvier 2018, ce texte a définitivement été adopté en seconde lecture par la Chambre des Représentants le 14 février 2018.</w:t>
      </w:r>
    </w:p>
    <w:p w14:paraId="38064317" w14:textId="77777777" w:rsidR="00F0660E" w:rsidRDefault="00F0660E" w:rsidP="00F0660E">
      <w:pPr>
        <w:pStyle w:val="ListParagraph"/>
        <w:rPr>
          <w:rFonts w:ascii="Times New Roman" w:eastAsia="Times New Roman" w:hAnsi="Times New Roman" w:cs="Times New Roman"/>
          <w:sz w:val="20"/>
          <w:szCs w:val="20"/>
          <w:lang w:eastAsia="fr-FR"/>
        </w:rPr>
      </w:pPr>
    </w:p>
    <w:p w14:paraId="38064318" w14:textId="77777777" w:rsidR="00221070" w:rsidRPr="00E26090" w:rsidRDefault="00221070" w:rsidP="00221070">
      <w:pPr>
        <w:numPr>
          <w:ilvl w:val="0"/>
          <w:numId w:val="1"/>
        </w:numPr>
        <w:ind w:left="426" w:hanging="284"/>
        <w:jc w:val="both"/>
        <w:rPr>
          <w:rFonts w:ascii="Times New Roman" w:eastAsia="Times New Roman" w:hAnsi="Times New Roman" w:cs="Times New Roman"/>
          <w:sz w:val="20"/>
          <w:szCs w:val="20"/>
          <w:lang w:eastAsia="fr-FR"/>
        </w:rPr>
      </w:pPr>
      <w:r w:rsidRPr="00E26090">
        <w:rPr>
          <w:rFonts w:ascii="Times New Roman" w:eastAsia="Times New Roman" w:hAnsi="Times New Roman" w:cs="Times New Roman"/>
          <w:sz w:val="20"/>
          <w:szCs w:val="20"/>
          <w:lang w:eastAsia="fr-FR"/>
        </w:rPr>
        <w:t xml:space="preserve">Un mécanisme intégré de collecte de données sur les femmes violentées a été instauré dans le but d’asseoir un référentiel institutionnel en matière de suivi et d’évaluation des prévalences de violence. Un protocole d’entente entre le </w:t>
      </w:r>
      <w:r w:rsidRPr="00E26090">
        <w:rPr>
          <w:rFonts w:ascii="Times New Roman" w:eastAsia="Times New Roman" w:hAnsi="Times New Roman" w:cs="Times New Roman"/>
          <w:bCs/>
          <w:sz w:val="20"/>
          <w:szCs w:val="20"/>
          <w:lang w:eastAsia="fr-FR"/>
        </w:rPr>
        <w:t>MFSEDS</w:t>
      </w:r>
      <w:r w:rsidRPr="00E26090">
        <w:rPr>
          <w:rFonts w:ascii="Times New Roman" w:eastAsia="Times New Roman" w:hAnsi="Times New Roman" w:cs="Times New Roman"/>
          <w:sz w:val="20"/>
          <w:szCs w:val="20"/>
          <w:lang w:eastAsia="fr-FR"/>
        </w:rPr>
        <w:t xml:space="preserve"> et le MJ, le Ministère de la Santé, la DGSN et la Gendarmerie Royale a été signé à cet effet le 11 octobre 2014.</w:t>
      </w:r>
    </w:p>
    <w:p w14:paraId="38064319" w14:textId="77777777" w:rsidR="00221070" w:rsidRDefault="00221070" w:rsidP="00221070">
      <w:pPr>
        <w:numPr>
          <w:ilvl w:val="0"/>
          <w:numId w:val="1"/>
        </w:numPr>
        <w:ind w:left="426" w:hanging="284"/>
        <w:jc w:val="both"/>
        <w:rPr>
          <w:rFonts w:ascii="Times New Roman" w:eastAsia="Times New Roman" w:hAnsi="Times New Roman" w:cs="Times New Roman"/>
          <w:sz w:val="20"/>
          <w:szCs w:val="20"/>
          <w:lang w:eastAsia="fr-FR"/>
        </w:rPr>
      </w:pPr>
      <w:r w:rsidRPr="00E26090">
        <w:rPr>
          <w:rFonts w:ascii="Times New Roman" w:eastAsia="Times New Roman" w:hAnsi="Times New Roman" w:cs="Times New Roman"/>
          <w:sz w:val="20"/>
          <w:szCs w:val="20"/>
          <w:lang w:eastAsia="fr-FR"/>
        </w:rPr>
        <w:lastRenderedPageBreak/>
        <w:t xml:space="preserve">Par ailleurs, un Observatoire national de la violence contre la femme a été mis en place en 2014. Doté d’un comité de pilotage regroupant les représentants des départements ministériels concernés, de la société civile et des centres de recherche universitaire, cet Observatoire vise notamment l’amélioration de l’image des femmes et la lutte contre les stéréotypes sexistes dans les médias. </w:t>
      </w:r>
      <w:r>
        <w:rPr>
          <w:rFonts w:ascii="Times New Roman" w:eastAsia="Times New Roman" w:hAnsi="Times New Roman" w:cs="Times New Roman"/>
          <w:sz w:val="20"/>
          <w:szCs w:val="20"/>
          <w:lang w:eastAsia="fr-FR"/>
        </w:rPr>
        <w:t>A</w:t>
      </w:r>
      <w:r w:rsidRPr="00E26090">
        <w:rPr>
          <w:rFonts w:ascii="Times New Roman" w:eastAsia="Times New Roman" w:hAnsi="Times New Roman" w:cs="Times New Roman"/>
          <w:sz w:val="20"/>
          <w:szCs w:val="20"/>
          <w:lang w:eastAsia="fr-FR"/>
        </w:rPr>
        <w:t xml:space="preserve"> cet effet, un Observatoire national de l’image de la femme dans les médias, a été créé en 2015.</w:t>
      </w:r>
    </w:p>
    <w:p w14:paraId="3806431A" w14:textId="77777777" w:rsidR="00F0660E" w:rsidRPr="00E26090" w:rsidRDefault="00F0660E" w:rsidP="00F0660E">
      <w:pPr>
        <w:ind w:left="426" w:firstLine="0"/>
        <w:jc w:val="both"/>
        <w:rPr>
          <w:rFonts w:ascii="Times New Roman" w:eastAsia="Times New Roman" w:hAnsi="Times New Roman" w:cs="Times New Roman"/>
          <w:sz w:val="20"/>
          <w:szCs w:val="20"/>
          <w:lang w:eastAsia="fr-FR"/>
        </w:rPr>
      </w:pPr>
    </w:p>
    <w:p w14:paraId="3806431B" w14:textId="77777777" w:rsidR="00221070" w:rsidRPr="00E26090" w:rsidRDefault="00221070" w:rsidP="00221070">
      <w:pPr>
        <w:numPr>
          <w:ilvl w:val="0"/>
          <w:numId w:val="1"/>
        </w:numPr>
        <w:ind w:left="426" w:hanging="284"/>
        <w:jc w:val="both"/>
        <w:rPr>
          <w:rFonts w:ascii="Times New Roman" w:eastAsia="Times New Roman" w:hAnsi="Times New Roman" w:cs="Times New Roman"/>
          <w:sz w:val="20"/>
          <w:szCs w:val="20"/>
          <w:lang w:eastAsia="fr-FR"/>
        </w:rPr>
      </w:pPr>
      <w:r w:rsidRPr="00E26090">
        <w:rPr>
          <w:rFonts w:ascii="Times New Roman" w:eastAsia="Times New Roman" w:hAnsi="Times New Roman" w:cs="Times New Roman"/>
          <w:sz w:val="20"/>
          <w:szCs w:val="20"/>
          <w:lang w:eastAsia="fr-FR"/>
        </w:rPr>
        <w:t xml:space="preserve">Afin d’appuyer cette </w:t>
      </w:r>
      <w:r w:rsidRPr="001D2F62">
        <w:rPr>
          <w:rFonts w:ascii="Times New Roman" w:eastAsia="Times New Roman" w:hAnsi="Times New Roman" w:cs="Times New Roman"/>
          <w:b/>
          <w:bCs/>
          <w:sz w:val="20"/>
          <w:szCs w:val="20"/>
          <w:lang w:eastAsia="fr-FR"/>
        </w:rPr>
        <w:t>politique de lutte contre la violence à l’égard des femmes</w:t>
      </w:r>
      <w:r w:rsidRPr="00E26090">
        <w:rPr>
          <w:rFonts w:ascii="Times New Roman" w:eastAsia="Times New Roman" w:hAnsi="Times New Roman" w:cs="Times New Roman"/>
          <w:sz w:val="20"/>
          <w:szCs w:val="20"/>
          <w:lang w:eastAsia="fr-FR"/>
        </w:rPr>
        <w:t>, plusieurs dispositions d’accompagnement ont été enclenchées, notamment :</w:t>
      </w:r>
    </w:p>
    <w:p w14:paraId="3806431C" w14:textId="77777777" w:rsidR="00221070" w:rsidRPr="00E26090" w:rsidRDefault="00221070" w:rsidP="00221070">
      <w:pPr>
        <w:pStyle w:val="ListParagraph"/>
        <w:numPr>
          <w:ilvl w:val="0"/>
          <w:numId w:val="2"/>
        </w:numPr>
        <w:ind w:left="567" w:firstLine="0"/>
        <w:jc w:val="both"/>
        <w:rPr>
          <w:rFonts w:ascii="Times New Roman" w:eastAsia="Times New Roman" w:hAnsi="Times New Roman" w:cs="Times New Roman"/>
          <w:sz w:val="20"/>
          <w:szCs w:val="20"/>
          <w:lang w:eastAsia="fr-FR"/>
        </w:rPr>
      </w:pPr>
      <w:r w:rsidRPr="00E26090">
        <w:rPr>
          <w:rFonts w:ascii="Times New Roman" w:eastAsia="Times New Roman" w:hAnsi="Times New Roman" w:cs="Times New Roman"/>
          <w:sz w:val="20"/>
          <w:szCs w:val="20"/>
          <w:lang w:eastAsia="fr-FR"/>
        </w:rPr>
        <w:t>La généralisation des cellules d’accueil pour femmes victime de violence dans les services de police judiciaire (170 cellules) ;</w:t>
      </w:r>
    </w:p>
    <w:p w14:paraId="3806431D" w14:textId="77777777" w:rsidR="00221070" w:rsidRPr="00E26090" w:rsidRDefault="00221070" w:rsidP="00221070">
      <w:pPr>
        <w:pStyle w:val="ListParagraph"/>
        <w:numPr>
          <w:ilvl w:val="0"/>
          <w:numId w:val="2"/>
        </w:numPr>
        <w:ind w:left="567" w:firstLine="0"/>
        <w:jc w:val="both"/>
        <w:rPr>
          <w:rFonts w:ascii="Times New Roman" w:eastAsia="Times New Roman" w:hAnsi="Times New Roman" w:cs="Times New Roman"/>
          <w:sz w:val="20"/>
          <w:szCs w:val="20"/>
          <w:lang w:eastAsia="fr-FR"/>
        </w:rPr>
      </w:pPr>
      <w:r w:rsidRPr="00E26090">
        <w:rPr>
          <w:rFonts w:ascii="Times New Roman" w:eastAsia="Times New Roman" w:hAnsi="Times New Roman" w:cs="Times New Roman"/>
          <w:sz w:val="20"/>
          <w:szCs w:val="20"/>
          <w:lang w:eastAsia="fr-FR"/>
        </w:rPr>
        <w:t>Le développement des mécanismes de prise en charge pour les femmes victime de violence et la création de cellules d’accueil au niveau des tribunaux de première instance (88 cellules au niveau national) ;</w:t>
      </w:r>
    </w:p>
    <w:p w14:paraId="3806431E" w14:textId="77777777" w:rsidR="00221070" w:rsidRPr="00E26090" w:rsidRDefault="00221070" w:rsidP="00221070">
      <w:pPr>
        <w:pStyle w:val="ListParagraph"/>
        <w:numPr>
          <w:ilvl w:val="0"/>
          <w:numId w:val="2"/>
        </w:numPr>
        <w:ind w:left="567" w:firstLine="0"/>
        <w:jc w:val="both"/>
        <w:rPr>
          <w:rFonts w:ascii="Times New Roman" w:eastAsia="Times New Roman" w:hAnsi="Times New Roman" w:cs="Times New Roman"/>
          <w:sz w:val="20"/>
          <w:szCs w:val="20"/>
          <w:lang w:eastAsia="fr-FR"/>
        </w:rPr>
      </w:pPr>
      <w:r w:rsidRPr="00E26090">
        <w:rPr>
          <w:rFonts w:ascii="Times New Roman" w:eastAsia="Times New Roman" w:hAnsi="Times New Roman" w:cs="Times New Roman"/>
          <w:sz w:val="20"/>
          <w:szCs w:val="20"/>
          <w:lang w:eastAsia="fr-FR"/>
        </w:rPr>
        <w:t xml:space="preserve">La mise en place de 40 Centres multifonctionnels pour femmes répartis sur l’ensemble du territoire national et ce, pour assurer </w:t>
      </w:r>
      <w:r>
        <w:rPr>
          <w:rFonts w:ascii="Times New Roman" w:eastAsia="Times New Roman" w:hAnsi="Times New Roman" w:cs="Times New Roman"/>
          <w:sz w:val="20"/>
          <w:szCs w:val="20"/>
          <w:lang w:eastAsia="fr-FR"/>
        </w:rPr>
        <w:t>l</w:t>
      </w:r>
      <w:r w:rsidRPr="00E26090">
        <w:rPr>
          <w:rFonts w:ascii="Times New Roman" w:eastAsia="Times New Roman" w:hAnsi="Times New Roman" w:cs="Times New Roman"/>
          <w:sz w:val="20"/>
          <w:szCs w:val="20"/>
          <w:lang w:eastAsia="fr-FR"/>
        </w:rPr>
        <w:t>es services d’hébergement, d’assistance sociale et juridique, d’écoute et orientation ;</w:t>
      </w:r>
    </w:p>
    <w:p w14:paraId="3806431F" w14:textId="77777777" w:rsidR="00221070" w:rsidRDefault="00221070" w:rsidP="00221070">
      <w:pPr>
        <w:pStyle w:val="ListParagraph"/>
        <w:numPr>
          <w:ilvl w:val="0"/>
          <w:numId w:val="2"/>
        </w:numPr>
        <w:ind w:left="567" w:firstLine="0"/>
        <w:jc w:val="both"/>
        <w:rPr>
          <w:rFonts w:ascii="Times New Roman" w:eastAsia="Times New Roman" w:hAnsi="Times New Roman" w:cs="Times New Roman"/>
          <w:sz w:val="20"/>
          <w:szCs w:val="20"/>
          <w:lang w:eastAsia="fr-FR"/>
        </w:rPr>
      </w:pPr>
      <w:r w:rsidRPr="00E26090">
        <w:rPr>
          <w:rFonts w:ascii="Times New Roman" w:eastAsia="Times New Roman" w:hAnsi="Times New Roman" w:cs="Times New Roman"/>
          <w:sz w:val="20"/>
          <w:szCs w:val="20"/>
          <w:lang w:eastAsia="fr-FR"/>
        </w:rPr>
        <w:t>La réalisation d'enquêtes et études sur le travail domestique des petites filles et sur le mariage précoce.</w:t>
      </w:r>
    </w:p>
    <w:p w14:paraId="38064320" w14:textId="77777777" w:rsidR="00F0660E" w:rsidRPr="00E26090" w:rsidRDefault="00F0660E" w:rsidP="00F0660E">
      <w:pPr>
        <w:pStyle w:val="ListParagraph"/>
        <w:ind w:left="567" w:firstLine="0"/>
        <w:jc w:val="both"/>
        <w:rPr>
          <w:rFonts w:ascii="Times New Roman" w:eastAsia="Times New Roman" w:hAnsi="Times New Roman" w:cs="Times New Roman"/>
          <w:sz w:val="20"/>
          <w:szCs w:val="20"/>
          <w:lang w:eastAsia="fr-FR"/>
        </w:rPr>
      </w:pPr>
    </w:p>
    <w:p w14:paraId="38064321" w14:textId="77777777" w:rsidR="00221070" w:rsidRDefault="00221070" w:rsidP="00221070">
      <w:pPr>
        <w:numPr>
          <w:ilvl w:val="0"/>
          <w:numId w:val="1"/>
        </w:numPr>
        <w:ind w:left="426" w:hanging="284"/>
        <w:jc w:val="both"/>
        <w:rPr>
          <w:rFonts w:ascii="Times New Roman" w:eastAsia="Times New Roman" w:hAnsi="Times New Roman" w:cs="Times New Roman"/>
          <w:sz w:val="20"/>
          <w:szCs w:val="20"/>
          <w:lang w:eastAsia="fr-FR"/>
        </w:rPr>
      </w:pPr>
      <w:r w:rsidRPr="00C66825">
        <w:rPr>
          <w:rFonts w:ascii="Times New Roman" w:eastAsia="Times New Roman" w:hAnsi="Times New Roman" w:cs="Times New Roman"/>
          <w:sz w:val="20"/>
          <w:szCs w:val="20"/>
          <w:lang w:eastAsia="fr-FR"/>
        </w:rPr>
        <w:t xml:space="preserve">Le </w:t>
      </w:r>
      <w:r w:rsidRPr="00C66825">
        <w:rPr>
          <w:rFonts w:ascii="Times New Roman" w:eastAsia="Times New Roman" w:hAnsi="Times New Roman" w:cs="Times New Roman"/>
          <w:bCs/>
          <w:sz w:val="20"/>
          <w:szCs w:val="20"/>
          <w:lang w:eastAsia="fr-FR"/>
        </w:rPr>
        <w:t>MFSEDS</w:t>
      </w:r>
      <w:r w:rsidRPr="00C66825">
        <w:rPr>
          <w:rFonts w:ascii="Times New Roman" w:eastAsia="Times New Roman" w:hAnsi="Times New Roman" w:cs="Times New Roman"/>
          <w:sz w:val="20"/>
          <w:szCs w:val="20"/>
          <w:lang w:eastAsia="fr-FR"/>
        </w:rPr>
        <w:t xml:space="preserve"> apporte un appui aux associations porteuses d’initiatives et de projets en faveur des femmes, dans le cadre d’appels à projets annuels. Durant les années 2012 à 2017, sur une enveloppe budgétaire globale d’environ 234 millions de dirhams, correspondant à un cumul de 1218 projets de développement social portés par les associations, 223 projets ont concerné l’appui aux centres d’écoute et d’orientation pour la lutte contre la violence à l’égard des femmes  pour un budget de 43 millions de dirhams, et 191 projets ont ciblé l’intégration sociale des femmes à travers leur autonomisation économique pour un montant global de 32.15 millions de dirhams.</w:t>
      </w:r>
    </w:p>
    <w:p w14:paraId="38064322" w14:textId="77777777" w:rsidR="00F0660E" w:rsidRDefault="00F0660E" w:rsidP="00F0660E">
      <w:pPr>
        <w:ind w:left="426" w:firstLine="0"/>
        <w:jc w:val="both"/>
        <w:rPr>
          <w:rFonts w:ascii="Times New Roman" w:eastAsia="Times New Roman" w:hAnsi="Times New Roman" w:cs="Times New Roman"/>
          <w:sz w:val="20"/>
          <w:szCs w:val="20"/>
          <w:lang w:eastAsia="fr-FR"/>
        </w:rPr>
      </w:pPr>
    </w:p>
    <w:p w14:paraId="38064323" w14:textId="77777777" w:rsidR="00221070" w:rsidRDefault="00221070" w:rsidP="00221070">
      <w:pPr>
        <w:numPr>
          <w:ilvl w:val="0"/>
          <w:numId w:val="1"/>
        </w:numPr>
        <w:ind w:left="426" w:hanging="284"/>
        <w:jc w:val="both"/>
        <w:rPr>
          <w:rFonts w:ascii="Times New Roman" w:eastAsia="Times New Roman" w:hAnsi="Times New Roman" w:cs="Times New Roman"/>
          <w:sz w:val="20"/>
          <w:szCs w:val="20"/>
          <w:lang w:eastAsia="fr-FR"/>
        </w:rPr>
      </w:pPr>
      <w:r w:rsidRPr="00C66825">
        <w:rPr>
          <w:rFonts w:ascii="Times New Roman" w:eastAsia="Times New Roman" w:hAnsi="Times New Roman" w:cs="Times New Roman"/>
          <w:sz w:val="20"/>
          <w:szCs w:val="20"/>
          <w:lang w:eastAsia="fr-FR"/>
        </w:rPr>
        <w:t xml:space="preserve">En 2015, le </w:t>
      </w:r>
      <w:r w:rsidRPr="00C66825">
        <w:rPr>
          <w:rFonts w:ascii="Times New Roman" w:eastAsia="Times New Roman" w:hAnsi="Times New Roman" w:cs="Times New Roman"/>
          <w:bCs/>
          <w:sz w:val="20"/>
          <w:szCs w:val="20"/>
          <w:lang w:eastAsia="fr-FR"/>
        </w:rPr>
        <w:t>MFSEDS</w:t>
      </w:r>
      <w:r w:rsidRPr="00C66825">
        <w:rPr>
          <w:rFonts w:ascii="Times New Roman" w:eastAsia="Times New Roman" w:hAnsi="Times New Roman" w:cs="Times New Roman"/>
          <w:sz w:val="20"/>
          <w:szCs w:val="20"/>
          <w:lang w:eastAsia="fr-FR"/>
        </w:rPr>
        <w:t xml:space="preserve"> a lancé le prix annuel "Tamayuz</w:t>
      </w:r>
      <w:r>
        <w:rPr>
          <w:rFonts w:ascii="Times New Roman" w:eastAsia="Times New Roman" w:hAnsi="Times New Roman" w:cs="Times New Roman"/>
          <w:sz w:val="20"/>
          <w:szCs w:val="20"/>
          <w:lang w:eastAsia="fr-FR"/>
        </w:rPr>
        <w:t xml:space="preserve"> </w:t>
      </w:r>
      <w:r w:rsidRPr="009D487F">
        <w:rPr>
          <w:rFonts w:ascii="Times New Roman" w:eastAsia="Times New Roman" w:hAnsi="Times New Roman" w:cs="Arial"/>
          <w:sz w:val="20"/>
          <w:szCs w:val="20"/>
          <w:lang w:eastAsia="fr-FR"/>
        </w:rPr>
        <w:t>(</w:t>
      </w:r>
      <w:r>
        <w:rPr>
          <w:rFonts w:ascii="Times New Roman" w:eastAsia="Times New Roman" w:hAnsi="Times New Roman" w:cs="Arial"/>
          <w:sz w:val="20"/>
          <w:szCs w:val="20"/>
          <w:lang w:eastAsia="fr-FR"/>
        </w:rPr>
        <w:t>Excellence</w:t>
      </w:r>
      <w:r w:rsidR="00F0660E" w:rsidRPr="009D487F">
        <w:rPr>
          <w:rFonts w:ascii="Times New Roman" w:eastAsia="Times New Roman" w:hAnsi="Times New Roman" w:cs="Arial"/>
          <w:sz w:val="20"/>
          <w:szCs w:val="20"/>
          <w:lang w:eastAsia="fr-FR"/>
        </w:rPr>
        <w:t xml:space="preserve">) </w:t>
      </w:r>
      <w:r w:rsidR="00F0660E" w:rsidRPr="00C66825">
        <w:rPr>
          <w:rFonts w:ascii="Times New Roman" w:eastAsia="Times New Roman" w:hAnsi="Times New Roman" w:cs="Times New Roman"/>
          <w:sz w:val="20"/>
          <w:szCs w:val="20"/>
          <w:lang w:eastAsia="fr-FR"/>
        </w:rPr>
        <w:t>pour</w:t>
      </w:r>
      <w:r w:rsidRPr="00C66825">
        <w:rPr>
          <w:rFonts w:ascii="Times New Roman" w:eastAsia="Times New Roman" w:hAnsi="Times New Roman" w:cs="Times New Roman"/>
          <w:sz w:val="20"/>
          <w:szCs w:val="20"/>
          <w:lang w:eastAsia="fr-FR"/>
        </w:rPr>
        <w:t xml:space="preserve"> la femme marocaine" au profit des individus, des organismes civils et des institutions nationales pour leurs efforts dans le domaine de la promotion des droits des femmes.</w:t>
      </w:r>
    </w:p>
    <w:p w14:paraId="38064324" w14:textId="77777777" w:rsidR="00F0660E" w:rsidRDefault="00F0660E" w:rsidP="00F0660E">
      <w:pPr>
        <w:pStyle w:val="ListParagraph"/>
        <w:rPr>
          <w:rFonts w:ascii="Times New Roman" w:eastAsia="Times New Roman" w:hAnsi="Times New Roman" w:cs="Times New Roman"/>
          <w:sz w:val="20"/>
          <w:szCs w:val="20"/>
          <w:lang w:eastAsia="fr-FR"/>
        </w:rPr>
      </w:pPr>
    </w:p>
    <w:p w14:paraId="38064325" w14:textId="77777777" w:rsidR="00221070" w:rsidRDefault="00221070" w:rsidP="00221070">
      <w:pPr>
        <w:numPr>
          <w:ilvl w:val="0"/>
          <w:numId w:val="1"/>
        </w:numPr>
        <w:ind w:left="426" w:hanging="284"/>
        <w:jc w:val="both"/>
        <w:rPr>
          <w:rFonts w:ascii="Times New Roman" w:eastAsia="Times New Roman" w:hAnsi="Times New Roman" w:cs="Times New Roman"/>
          <w:sz w:val="20"/>
          <w:szCs w:val="20"/>
          <w:lang w:eastAsia="fr-FR"/>
        </w:rPr>
      </w:pPr>
      <w:r w:rsidRPr="00E26090">
        <w:rPr>
          <w:rFonts w:ascii="Times New Roman" w:eastAsia="Times New Roman" w:hAnsi="Times New Roman" w:cs="Times New Roman"/>
          <w:sz w:val="20"/>
          <w:szCs w:val="20"/>
          <w:lang w:eastAsia="fr-FR"/>
        </w:rPr>
        <w:t xml:space="preserve">En parallèle au processus de préparation et d’adoption de la loi-cadre n° 97-13 relative à la protection et à </w:t>
      </w:r>
      <w:r w:rsidRPr="001D2F62">
        <w:rPr>
          <w:rFonts w:ascii="Times New Roman" w:eastAsia="Times New Roman" w:hAnsi="Times New Roman" w:cs="Times New Roman"/>
          <w:b/>
          <w:bCs/>
          <w:sz w:val="20"/>
          <w:szCs w:val="20"/>
          <w:lang w:eastAsia="fr-FR"/>
        </w:rPr>
        <w:t>la</w:t>
      </w:r>
      <w:r w:rsidRPr="00E26090">
        <w:rPr>
          <w:rFonts w:ascii="Times New Roman" w:eastAsia="Times New Roman" w:hAnsi="Times New Roman" w:cs="Times New Roman"/>
          <w:sz w:val="20"/>
          <w:szCs w:val="20"/>
          <w:lang w:eastAsia="fr-FR"/>
        </w:rPr>
        <w:t xml:space="preserve"> </w:t>
      </w:r>
      <w:r w:rsidRPr="001D2F62">
        <w:rPr>
          <w:rFonts w:ascii="Times New Roman" w:eastAsia="Times New Roman" w:hAnsi="Times New Roman" w:cs="Times New Roman"/>
          <w:b/>
          <w:bCs/>
          <w:sz w:val="20"/>
          <w:szCs w:val="20"/>
          <w:lang w:eastAsia="fr-FR"/>
        </w:rPr>
        <w:t>promotion des personnes en situation de handicap</w:t>
      </w:r>
      <w:r w:rsidRPr="00E26090">
        <w:rPr>
          <w:rFonts w:ascii="Times New Roman" w:eastAsia="Times New Roman" w:hAnsi="Times New Roman" w:cs="Times New Roman"/>
          <w:sz w:val="20"/>
          <w:szCs w:val="20"/>
          <w:lang w:eastAsia="fr-FR"/>
        </w:rPr>
        <w:t>,</w:t>
      </w:r>
      <w:r w:rsidRPr="00E26090">
        <w:rPr>
          <w:rStyle w:val="FootnoteReference"/>
          <w:rFonts w:eastAsia="Times New Roman" w:cs="Times New Roman"/>
          <w:sz w:val="20"/>
          <w:szCs w:val="20"/>
          <w:lang w:eastAsia="fr-FR"/>
        </w:rPr>
        <w:footnoteReference w:id="2"/>
      </w:r>
      <w:r w:rsidRPr="00E26090">
        <w:rPr>
          <w:rFonts w:ascii="Times New Roman" w:eastAsia="Times New Roman" w:hAnsi="Times New Roman" w:cs="Times New Roman"/>
          <w:sz w:val="20"/>
          <w:szCs w:val="20"/>
          <w:lang w:eastAsia="fr-FR"/>
        </w:rPr>
        <w:t xml:space="preserve"> le Gouvernement a mis en place une politique publique intégrée pour la promotion des droits des personnes en situation de Handicap (PPIPSH), élaborée suite à une large concertation avec l’ensemble des parties prenantes. La PPIPSH visant à garantir l’accès aux droits et la promotion de la participation sociale des PSH a été approuvée en 2015 et dotée d’un mécanisme interministériel de suivi. En outre, un plan d’action gouvernemental (2017-2021) pour la promotion des droits des </w:t>
      </w:r>
      <w:r>
        <w:rPr>
          <w:rFonts w:ascii="Times New Roman" w:eastAsia="Times New Roman" w:hAnsi="Times New Roman" w:cs="Times New Roman"/>
          <w:sz w:val="20"/>
          <w:szCs w:val="20"/>
          <w:lang w:eastAsia="fr-FR"/>
        </w:rPr>
        <w:t>PSH</w:t>
      </w:r>
      <w:r w:rsidRPr="00E26090">
        <w:rPr>
          <w:rFonts w:ascii="Times New Roman" w:eastAsia="Times New Roman" w:hAnsi="Times New Roman" w:cs="Times New Roman"/>
          <w:sz w:val="20"/>
          <w:szCs w:val="20"/>
          <w:lang w:eastAsia="fr-FR"/>
        </w:rPr>
        <w:t xml:space="preserve">, basé sur la complémentarité des actions entre les différents départements ministériels concernés a été élaboré. </w:t>
      </w:r>
    </w:p>
    <w:p w14:paraId="38064326" w14:textId="77777777" w:rsidR="00F0660E" w:rsidRDefault="00F0660E" w:rsidP="00F0660E">
      <w:pPr>
        <w:pStyle w:val="ListParagraph"/>
        <w:rPr>
          <w:rFonts w:ascii="Times New Roman" w:eastAsia="Times New Roman" w:hAnsi="Times New Roman" w:cs="Times New Roman"/>
          <w:sz w:val="20"/>
          <w:szCs w:val="20"/>
          <w:lang w:eastAsia="fr-FR"/>
        </w:rPr>
      </w:pPr>
    </w:p>
    <w:p w14:paraId="38064327" w14:textId="77777777" w:rsidR="00221070" w:rsidRDefault="00221070" w:rsidP="00221070">
      <w:pPr>
        <w:numPr>
          <w:ilvl w:val="0"/>
          <w:numId w:val="1"/>
        </w:numPr>
        <w:ind w:left="426" w:hanging="284"/>
        <w:jc w:val="both"/>
        <w:rPr>
          <w:rFonts w:ascii="Times New Roman" w:eastAsia="Times New Roman" w:hAnsi="Times New Roman" w:cs="Times New Roman"/>
          <w:sz w:val="20"/>
          <w:szCs w:val="20"/>
          <w:lang w:eastAsia="fr-FR"/>
        </w:rPr>
      </w:pPr>
      <w:r w:rsidRPr="00E26090">
        <w:rPr>
          <w:rFonts w:ascii="Times New Roman" w:eastAsia="Times New Roman" w:hAnsi="Times New Roman" w:cs="Times New Roman"/>
          <w:sz w:val="20"/>
          <w:szCs w:val="20"/>
          <w:lang w:eastAsia="fr-FR"/>
        </w:rPr>
        <w:t xml:space="preserve"> Au regard de </w:t>
      </w:r>
      <w:r w:rsidRPr="001D2F62">
        <w:rPr>
          <w:rFonts w:ascii="Times New Roman" w:eastAsia="Times New Roman" w:hAnsi="Times New Roman" w:cs="Times New Roman"/>
          <w:b/>
          <w:bCs/>
          <w:sz w:val="20"/>
          <w:szCs w:val="20"/>
          <w:lang w:eastAsia="fr-FR"/>
        </w:rPr>
        <w:t>la protection de l’enfance</w:t>
      </w:r>
      <w:r w:rsidRPr="00E26090">
        <w:rPr>
          <w:rFonts w:ascii="Times New Roman" w:eastAsia="Times New Roman" w:hAnsi="Times New Roman" w:cs="Times New Roman"/>
          <w:sz w:val="20"/>
          <w:szCs w:val="20"/>
          <w:lang w:eastAsia="fr-FR"/>
        </w:rPr>
        <w:t>, le Gouvernement a procédé en 2011 à l’évaluation à mi-parcours du PANE 2006-2015 «Un Maroc digne de ses enfants». Suite à cette évaluation, une Politique publique intégrée de protection de l’enfance (PPIPE) a été adoptée en juin 2015. Elle consacre cinq axes stratégiques centrés sur la protection des enfants contre toutes les formes de violence et d'abus, de négligence et d'exploitation, y compris l'exploitation sexuelle. La PPIPE se décline en 25 objectifs et 115 mesures avec des indicateurs de suivi et d’évaluation pour chaque mesure.</w:t>
      </w:r>
    </w:p>
    <w:p w14:paraId="38064328" w14:textId="77777777" w:rsidR="00F0660E" w:rsidRDefault="00F0660E" w:rsidP="00F0660E">
      <w:pPr>
        <w:pStyle w:val="ListParagraph"/>
        <w:rPr>
          <w:rFonts w:ascii="Times New Roman" w:eastAsia="Times New Roman" w:hAnsi="Times New Roman" w:cs="Times New Roman"/>
          <w:sz w:val="20"/>
          <w:szCs w:val="20"/>
          <w:lang w:eastAsia="fr-FR"/>
        </w:rPr>
      </w:pPr>
    </w:p>
    <w:p w14:paraId="38064329" w14:textId="77777777" w:rsidR="00221070" w:rsidRPr="009C0B31" w:rsidRDefault="00221070" w:rsidP="00221070">
      <w:pPr>
        <w:numPr>
          <w:ilvl w:val="0"/>
          <w:numId w:val="1"/>
        </w:numPr>
        <w:ind w:left="426" w:hanging="284"/>
        <w:jc w:val="both"/>
        <w:rPr>
          <w:rFonts w:ascii="Times New Roman" w:eastAsia="Times New Roman" w:hAnsi="Times New Roman" w:cs="Times New Roman"/>
          <w:sz w:val="20"/>
          <w:szCs w:val="20"/>
          <w:lang w:eastAsia="fr-FR"/>
        </w:rPr>
      </w:pPr>
      <w:r w:rsidRPr="00E26090">
        <w:rPr>
          <w:rFonts w:ascii="Times New Roman" w:eastAsia="Times New Roman" w:hAnsi="Times New Roman" w:cs="Times New Roman"/>
          <w:sz w:val="20"/>
          <w:szCs w:val="20"/>
          <w:lang w:eastAsia="fr-FR"/>
        </w:rPr>
        <w:t xml:space="preserve"> </w:t>
      </w:r>
      <w:r w:rsidRPr="009C0B31">
        <w:rPr>
          <w:rFonts w:ascii="Times New Roman" w:eastAsia="Times New Roman" w:hAnsi="Times New Roman" w:cs="Times New Roman"/>
          <w:sz w:val="20"/>
          <w:szCs w:val="20"/>
          <w:lang w:eastAsia="fr-FR"/>
        </w:rPr>
        <w:t>A l’égard des associations œuvrant dans le domaine de la protection de l’enfance, le MSFFDS apporte, moyennant des appels à projets, un appui budgétaire annuel. Durant les années 2012 à 2017, cet appui a concerné :</w:t>
      </w:r>
    </w:p>
    <w:p w14:paraId="3806432A" w14:textId="77777777" w:rsidR="00221070" w:rsidRPr="009C0B31" w:rsidRDefault="00221070" w:rsidP="00221070">
      <w:pPr>
        <w:pStyle w:val="ListParagraph"/>
        <w:numPr>
          <w:ilvl w:val="0"/>
          <w:numId w:val="2"/>
        </w:numPr>
        <w:ind w:left="567" w:firstLine="0"/>
        <w:jc w:val="both"/>
        <w:rPr>
          <w:rFonts w:ascii="Times New Roman" w:eastAsia="Times New Roman" w:hAnsi="Times New Roman" w:cs="Times New Roman"/>
          <w:sz w:val="20"/>
          <w:szCs w:val="20"/>
          <w:lang w:eastAsia="fr-FR"/>
        </w:rPr>
      </w:pPr>
      <w:r w:rsidRPr="009C0B31">
        <w:rPr>
          <w:rFonts w:ascii="Times New Roman" w:eastAsia="Times New Roman" w:hAnsi="Times New Roman" w:cs="Times New Roman"/>
          <w:sz w:val="20"/>
          <w:szCs w:val="20"/>
          <w:lang w:eastAsia="fr-FR"/>
        </w:rPr>
        <w:t>179 associations œuvrant dans le domaine de la scolarisation des enfants en situation de handicap, d’une enveloppe budgétaire de 46.1 millions de dirhams ;</w:t>
      </w:r>
    </w:p>
    <w:p w14:paraId="3806432B" w14:textId="77777777" w:rsidR="00221070" w:rsidRDefault="00221070" w:rsidP="00221070">
      <w:pPr>
        <w:pStyle w:val="ListParagraph"/>
        <w:numPr>
          <w:ilvl w:val="0"/>
          <w:numId w:val="2"/>
        </w:numPr>
        <w:ind w:left="567" w:firstLine="0"/>
        <w:jc w:val="both"/>
        <w:rPr>
          <w:rFonts w:ascii="Times New Roman" w:eastAsia="Times New Roman" w:hAnsi="Times New Roman" w:cs="Times New Roman"/>
          <w:sz w:val="20"/>
          <w:szCs w:val="20"/>
          <w:lang w:eastAsia="fr-FR"/>
        </w:rPr>
      </w:pPr>
      <w:r w:rsidRPr="009C0B31">
        <w:rPr>
          <w:rFonts w:ascii="Times New Roman" w:eastAsia="Times New Roman" w:hAnsi="Times New Roman" w:cs="Times New Roman"/>
          <w:sz w:val="20"/>
          <w:szCs w:val="20"/>
          <w:lang w:eastAsia="fr-FR"/>
        </w:rPr>
        <w:t>121 projets dans le domaine de la protection sociale des enfants, d’une enveloppe budgétaire de 35.5 millions de dirhams</w:t>
      </w:r>
      <w:r>
        <w:rPr>
          <w:rFonts w:ascii="Times New Roman" w:eastAsia="Times New Roman" w:hAnsi="Times New Roman" w:cs="Times New Roman"/>
          <w:sz w:val="20"/>
          <w:szCs w:val="20"/>
          <w:lang w:eastAsia="fr-FR"/>
        </w:rPr>
        <w:t>.</w:t>
      </w:r>
    </w:p>
    <w:p w14:paraId="3806432C" w14:textId="77777777" w:rsidR="00F0660E" w:rsidRDefault="00F0660E" w:rsidP="00F0660E">
      <w:pPr>
        <w:pStyle w:val="ListParagraph"/>
        <w:ind w:left="567" w:firstLine="0"/>
        <w:jc w:val="both"/>
        <w:rPr>
          <w:rFonts w:ascii="Times New Roman" w:eastAsia="Times New Roman" w:hAnsi="Times New Roman" w:cs="Times New Roman"/>
          <w:sz w:val="20"/>
          <w:szCs w:val="20"/>
          <w:lang w:eastAsia="fr-FR"/>
        </w:rPr>
      </w:pPr>
    </w:p>
    <w:p w14:paraId="3806432D" w14:textId="77777777" w:rsidR="00221070" w:rsidRDefault="00221070" w:rsidP="00221070">
      <w:pPr>
        <w:numPr>
          <w:ilvl w:val="0"/>
          <w:numId w:val="1"/>
        </w:numPr>
        <w:ind w:left="426" w:hanging="284"/>
        <w:jc w:val="both"/>
        <w:rPr>
          <w:rFonts w:ascii="Times New Roman" w:eastAsia="Times New Roman" w:hAnsi="Times New Roman" w:cs="Times New Roman"/>
          <w:sz w:val="20"/>
          <w:szCs w:val="20"/>
          <w:lang w:eastAsia="fr-FR"/>
        </w:rPr>
      </w:pPr>
      <w:r w:rsidRPr="001D2F62">
        <w:rPr>
          <w:rFonts w:ascii="Times New Roman" w:eastAsia="Times New Roman" w:hAnsi="Times New Roman" w:cs="Times New Roman"/>
          <w:b/>
          <w:bCs/>
          <w:sz w:val="20"/>
          <w:szCs w:val="20"/>
          <w:lang w:eastAsia="fr-FR"/>
        </w:rPr>
        <w:t>En matière de migration et d’asile</w:t>
      </w:r>
      <w:r w:rsidRPr="001C07FF">
        <w:rPr>
          <w:rFonts w:ascii="Times New Roman" w:eastAsia="Times New Roman" w:hAnsi="Times New Roman" w:cs="Times New Roman"/>
          <w:sz w:val="20"/>
          <w:szCs w:val="20"/>
          <w:lang w:eastAsia="fr-FR"/>
        </w:rPr>
        <w:t xml:space="preserve">, et suite aux recommandations du CNDH et aux Hautes Orientations de SM le Roi Mohammed VI, le Maroc s’est engagé depuis septembre 2013, dans la mise en place d’une stratégie nationale d’immigration et d’asile, humaniste dans sa philosophie, globale dans son contenu et responsable dans sa démarche. Cette </w:t>
      </w:r>
      <w:r>
        <w:rPr>
          <w:rFonts w:ascii="Times New Roman" w:eastAsia="Times New Roman" w:hAnsi="Times New Roman" w:cs="Times New Roman"/>
          <w:sz w:val="20"/>
          <w:szCs w:val="20"/>
          <w:lang w:eastAsia="fr-FR"/>
        </w:rPr>
        <w:t>stratégie</w:t>
      </w:r>
      <w:r w:rsidRPr="001C07FF">
        <w:rPr>
          <w:rFonts w:ascii="Times New Roman" w:eastAsia="Times New Roman" w:hAnsi="Times New Roman" w:cs="Times New Roman"/>
          <w:sz w:val="20"/>
          <w:szCs w:val="20"/>
          <w:lang w:eastAsia="fr-FR"/>
        </w:rPr>
        <w:t xml:space="preserve"> se décline en 11 programmes d’actions à savoir l’éducation et culture ; la jeunesse et sport ; la santé ; le logement ; l’assistance sociale ; la formation professionnelle ; l’emploi ; la gestion des flux et lutte contre la traite ; la coopération et partenariats internationaux ; le cadre règlementaire et conventionnel et la Gouvernance et communication.</w:t>
      </w:r>
    </w:p>
    <w:p w14:paraId="3806432E" w14:textId="77777777" w:rsidR="00F0660E" w:rsidRPr="001C07FF" w:rsidRDefault="00F0660E" w:rsidP="00F0660E">
      <w:pPr>
        <w:ind w:left="426" w:firstLine="0"/>
        <w:jc w:val="both"/>
        <w:rPr>
          <w:rFonts w:ascii="Times New Roman" w:eastAsia="Times New Roman" w:hAnsi="Times New Roman" w:cs="Times New Roman"/>
          <w:sz w:val="20"/>
          <w:szCs w:val="20"/>
          <w:lang w:eastAsia="fr-FR"/>
        </w:rPr>
      </w:pPr>
    </w:p>
    <w:p w14:paraId="3806432F" w14:textId="77777777" w:rsidR="00221070" w:rsidRDefault="00221070" w:rsidP="00221070">
      <w:pPr>
        <w:numPr>
          <w:ilvl w:val="0"/>
          <w:numId w:val="1"/>
        </w:numPr>
        <w:ind w:left="426" w:hanging="284"/>
        <w:jc w:val="both"/>
        <w:rPr>
          <w:rFonts w:ascii="Times New Roman" w:eastAsia="Times New Roman" w:hAnsi="Times New Roman" w:cs="Times New Roman"/>
          <w:sz w:val="20"/>
          <w:szCs w:val="20"/>
          <w:lang w:eastAsia="fr-FR"/>
        </w:rPr>
      </w:pPr>
      <w:r w:rsidRPr="00E26090">
        <w:rPr>
          <w:rFonts w:ascii="Times New Roman" w:eastAsia="Times New Roman" w:hAnsi="Times New Roman" w:cs="Times New Roman"/>
          <w:sz w:val="20"/>
          <w:szCs w:val="20"/>
          <w:lang w:eastAsia="fr-FR"/>
        </w:rPr>
        <w:t>Un plan d’urgence a été adopté pour subvenir aux besoins d’intégration des migrants ayant obtenu leurs cartes de séjour. Des projets et programmes de formation professionnelle ont été financés pour faciliter l’intégration des migrants et des réfugiés dans le marché du travail.</w:t>
      </w:r>
    </w:p>
    <w:p w14:paraId="38064330" w14:textId="77777777" w:rsidR="00F0660E" w:rsidRDefault="00F0660E" w:rsidP="00F0660E">
      <w:pPr>
        <w:pStyle w:val="ListParagraph"/>
        <w:rPr>
          <w:rFonts w:ascii="Times New Roman" w:eastAsia="Times New Roman" w:hAnsi="Times New Roman" w:cs="Times New Roman"/>
          <w:sz w:val="20"/>
          <w:szCs w:val="20"/>
          <w:lang w:eastAsia="fr-FR"/>
        </w:rPr>
      </w:pPr>
    </w:p>
    <w:p w14:paraId="38064331" w14:textId="77777777" w:rsidR="00221070" w:rsidRPr="00F0660E" w:rsidRDefault="00221070" w:rsidP="00221070">
      <w:pPr>
        <w:numPr>
          <w:ilvl w:val="0"/>
          <w:numId w:val="1"/>
        </w:numPr>
        <w:ind w:left="426" w:hanging="284"/>
        <w:jc w:val="both"/>
        <w:rPr>
          <w:rFonts w:ascii="Times New Roman" w:eastAsia="Times New Roman" w:hAnsi="Times New Roman" w:cs="Arial"/>
          <w:sz w:val="20"/>
          <w:szCs w:val="20"/>
          <w:lang w:eastAsia="fr-FR"/>
        </w:rPr>
      </w:pPr>
      <w:r w:rsidRPr="00E26090">
        <w:rPr>
          <w:rFonts w:ascii="Times New Roman" w:eastAsia="Times New Roman" w:hAnsi="Times New Roman" w:cs="Times New Roman"/>
          <w:sz w:val="20"/>
          <w:szCs w:val="20"/>
          <w:lang w:eastAsia="fr-FR"/>
        </w:rPr>
        <w:t>Des conventions cadre ont été signées avec les départements et institutions publics concernés par la dimension migratoire, en vue de faciliter l’insertion socio-économique des migrants et des réfugiés. En matière d’assistance humanitaire, une convention cadre a été également signée avec le Croissant Rouge Marocain pour assurer l’assistance humanitaire d’urgence à la catégorie des migrants vulnérables.</w:t>
      </w:r>
    </w:p>
    <w:p w14:paraId="38064332" w14:textId="77777777" w:rsidR="00F0660E" w:rsidRDefault="00F0660E" w:rsidP="00F0660E">
      <w:pPr>
        <w:pStyle w:val="ListParagraph"/>
        <w:rPr>
          <w:rFonts w:ascii="Times New Roman" w:eastAsia="Times New Roman" w:hAnsi="Times New Roman" w:cs="Arial"/>
          <w:sz w:val="20"/>
          <w:szCs w:val="20"/>
          <w:lang w:eastAsia="fr-FR"/>
        </w:rPr>
      </w:pPr>
    </w:p>
    <w:p w14:paraId="38064333" w14:textId="77777777" w:rsidR="00221070" w:rsidRPr="00533CE0" w:rsidRDefault="00221070" w:rsidP="00221070">
      <w:pPr>
        <w:numPr>
          <w:ilvl w:val="0"/>
          <w:numId w:val="1"/>
        </w:numPr>
        <w:ind w:left="426" w:hanging="284"/>
        <w:jc w:val="both"/>
        <w:rPr>
          <w:rStyle w:val="FootnoteReference"/>
          <w:sz w:val="20"/>
        </w:rPr>
      </w:pPr>
      <w:r w:rsidRPr="009D487F">
        <w:rPr>
          <w:rFonts w:ascii="Times New Roman" w:eastAsia="Times New Roman" w:hAnsi="Times New Roman" w:cs="Arial"/>
          <w:sz w:val="20"/>
          <w:szCs w:val="20"/>
          <w:lang w:eastAsia="fr-FR"/>
        </w:rPr>
        <w:t xml:space="preserve">Le Maroc a organisé, du 27 au 30 novembre 2014 à Marrakech, la seconde édition du </w:t>
      </w:r>
      <w:r w:rsidRPr="001D2F62">
        <w:rPr>
          <w:rFonts w:ascii="Times New Roman" w:eastAsia="Times New Roman" w:hAnsi="Times New Roman" w:cs="Arial"/>
          <w:b/>
          <w:bCs/>
          <w:sz w:val="20"/>
          <w:szCs w:val="20"/>
          <w:lang w:eastAsia="fr-FR"/>
        </w:rPr>
        <w:t>Forum mondial des droits de l’Homme</w:t>
      </w:r>
      <w:r w:rsidRPr="009D487F">
        <w:rPr>
          <w:rFonts w:ascii="Times New Roman" w:eastAsia="Times New Roman" w:hAnsi="Times New Roman" w:cs="Arial"/>
          <w:sz w:val="20"/>
          <w:szCs w:val="20"/>
          <w:lang w:eastAsia="fr-FR"/>
        </w:rPr>
        <w:t xml:space="preserve"> (FMDH) et a accueilli plus de neuf mille participants en provenance de 95 pays.</w:t>
      </w:r>
      <w:r w:rsidRPr="00533CE0">
        <w:rPr>
          <w:rStyle w:val="FootnoteReference"/>
          <w:rFonts w:eastAsia="Times New Roman"/>
          <w:sz w:val="20"/>
          <w:szCs w:val="20"/>
          <w:lang w:val="fr-FR" w:eastAsia="fr-FR"/>
        </w:rPr>
        <w:footnoteReference w:id="3"/>
      </w:r>
    </w:p>
    <w:p w14:paraId="38064334" w14:textId="77777777" w:rsidR="00221070" w:rsidRDefault="00221070" w:rsidP="00221070">
      <w:pPr>
        <w:ind w:left="426" w:firstLine="0"/>
        <w:jc w:val="both"/>
        <w:rPr>
          <w:rFonts w:ascii="Times New Roman" w:eastAsia="Times New Roman" w:hAnsi="Times New Roman" w:cs="Arial"/>
          <w:sz w:val="20"/>
          <w:szCs w:val="20"/>
          <w:lang w:eastAsia="fr-FR"/>
        </w:rPr>
      </w:pPr>
      <w:r w:rsidRPr="009D487F">
        <w:rPr>
          <w:rFonts w:ascii="Times New Roman" w:eastAsia="Times New Roman" w:hAnsi="Times New Roman" w:cs="Arial"/>
          <w:sz w:val="20"/>
          <w:szCs w:val="20"/>
          <w:lang w:eastAsia="fr-FR"/>
        </w:rPr>
        <w:t xml:space="preserve">Cet événement de grande envergure a été notamment marqué par le Message Royal adressé aux participants, où Sa Majesté mettait en particulier en garde les dérives et les défis inédits auxquels se heurte l’universalisme en marche des droits de l’Homme. « Dans de nombreuses régions du monde en effet, le repli sur soi, le rejet de l’autre et l’intolérance, basés sur des motifs ethniques ou sur une lecture pervertie des nobles messages religieux, aboutissent à des violations flagrantes des droits fondamentaux et notamment du principe sacré du droit à la vie ». </w:t>
      </w:r>
    </w:p>
    <w:p w14:paraId="38064335" w14:textId="77777777" w:rsidR="00F0660E" w:rsidRPr="009D487F" w:rsidRDefault="00F0660E" w:rsidP="00221070">
      <w:pPr>
        <w:ind w:left="426" w:firstLine="0"/>
        <w:jc w:val="both"/>
        <w:rPr>
          <w:rFonts w:ascii="Times New Roman" w:eastAsia="Times New Roman" w:hAnsi="Times New Roman" w:cs="Arial"/>
          <w:sz w:val="20"/>
          <w:szCs w:val="20"/>
          <w:lang w:eastAsia="fr-FR"/>
        </w:rPr>
      </w:pPr>
    </w:p>
    <w:p w14:paraId="38064336" w14:textId="77777777" w:rsidR="00221070" w:rsidRDefault="00221070" w:rsidP="00221070">
      <w:pPr>
        <w:numPr>
          <w:ilvl w:val="0"/>
          <w:numId w:val="1"/>
        </w:numPr>
        <w:ind w:left="426" w:hanging="284"/>
        <w:jc w:val="both"/>
        <w:rPr>
          <w:rFonts w:ascii="Times New Roman" w:eastAsia="Times New Roman" w:hAnsi="Times New Roman" w:cs="Arial"/>
          <w:sz w:val="20"/>
          <w:szCs w:val="20"/>
          <w:lang w:eastAsia="fr-FR"/>
        </w:rPr>
      </w:pPr>
      <w:r w:rsidRPr="009D487F">
        <w:rPr>
          <w:rFonts w:ascii="Times New Roman" w:eastAsia="Times New Roman" w:hAnsi="Times New Roman" w:cs="Arial"/>
          <w:sz w:val="20"/>
          <w:szCs w:val="20"/>
          <w:lang w:eastAsia="fr-FR"/>
        </w:rPr>
        <w:t xml:space="preserve">Suivi par 450 journalistes accrédités, le Forum avait connu la participation de 140 réseaux nationaux et internationaux, 769 organisations internationales, 3800 associations marocaines et 7 agences des Nations unies. Le Parlement marocain ainsi que toutes les instances constitutionnelles marocaines avaient réuni à cette occasion leurs partenaires nationaux et internationaux et organisé des événements spécifiques. Un village international avait permis à 150 associations et organismes internationaux de présenter leurs activités. </w:t>
      </w:r>
    </w:p>
    <w:p w14:paraId="38064337" w14:textId="77777777" w:rsidR="00F0660E" w:rsidRPr="009D487F" w:rsidRDefault="00F0660E" w:rsidP="00F0660E">
      <w:pPr>
        <w:ind w:left="426" w:firstLine="0"/>
        <w:jc w:val="both"/>
        <w:rPr>
          <w:rFonts w:ascii="Times New Roman" w:eastAsia="Times New Roman" w:hAnsi="Times New Roman" w:cs="Arial"/>
          <w:sz w:val="20"/>
          <w:szCs w:val="20"/>
          <w:lang w:eastAsia="fr-FR"/>
        </w:rPr>
      </w:pPr>
    </w:p>
    <w:p w14:paraId="38064338" w14:textId="77777777" w:rsidR="00221070" w:rsidRDefault="00221070" w:rsidP="00221070">
      <w:pPr>
        <w:numPr>
          <w:ilvl w:val="0"/>
          <w:numId w:val="1"/>
        </w:numPr>
        <w:ind w:left="426" w:hanging="284"/>
        <w:jc w:val="both"/>
        <w:rPr>
          <w:rFonts w:ascii="Times New Roman" w:eastAsia="Times New Roman" w:hAnsi="Times New Roman" w:cs="Arial"/>
          <w:sz w:val="20"/>
          <w:szCs w:val="20"/>
          <w:lang w:eastAsia="fr-FR"/>
        </w:rPr>
      </w:pPr>
      <w:r w:rsidRPr="009D487F">
        <w:rPr>
          <w:rFonts w:ascii="Times New Roman" w:eastAsia="Times New Roman" w:hAnsi="Times New Roman" w:cs="Arial"/>
          <w:sz w:val="20"/>
          <w:szCs w:val="20"/>
          <w:lang w:eastAsia="fr-FR"/>
        </w:rPr>
        <w:t xml:space="preserve">Le FMDH de Marrakech avait été aussi marqué par </w:t>
      </w:r>
      <w:r>
        <w:rPr>
          <w:rFonts w:ascii="Times New Roman" w:eastAsia="Times New Roman" w:hAnsi="Times New Roman" w:cs="Arial"/>
          <w:sz w:val="20"/>
          <w:szCs w:val="20"/>
          <w:lang w:eastAsia="fr-FR"/>
        </w:rPr>
        <w:t>plusieurs</w:t>
      </w:r>
      <w:r w:rsidRPr="009D487F">
        <w:rPr>
          <w:rFonts w:ascii="Times New Roman" w:eastAsia="Times New Roman" w:hAnsi="Times New Roman" w:cs="Arial"/>
          <w:sz w:val="20"/>
          <w:szCs w:val="20"/>
          <w:lang w:eastAsia="fr-FR"/>
        </w:rPr>
        <w:t xml:space="preserve"> initiatives qui avaient élargi la mobilisation en faveur des droits de l’Homme telles que l’émission par </w:t>
      </w:r>
      <w:r>
        <w:rPr>
          <w:rFonts w:ascii="Times New Roman" w:eastAsia="Times New Roman" w:hAnsi="Times New Roman" w:cs="Arial"/>
          <w:sz w:val="20"/>
          <w:szCs w:val="20"/>
          <w:lang w:eastAsia="fr-FR"/>
        </w:rPr>
        <w:t xml:space="preserve">la </w:t>
      </w:r>
      <w:r w:rsidRPr="009D487F">
        <w:rPr>
          <w:rFonts w:ascii="Times New Roman" w:eastAsia="Times New Roman" w:hAnsi="Times New Roman" w:cs="Arial"/>
          <w:sz w:val="20"/>
          <w:szCs w:val="20"/>
          <w:lang w:eastAsia="fr-FR"/>
        </w:rPr>
        <w:t xml:space="preserve">Poste </w:t>
      </w:r>
      <w:r>
        <w:rPr>
          <w:rFonts w:ascii="Times New Roman" w:eastAsia="Times New Roman" w:hAnsi="Times New Roman" w:cs="Arial"/>
          <w:sz w:val="20"/>
          <w:szCs w:val="20"/>
          <w:lang w:eastAsia="fr-FR"/>
        </w:rPr>
        <w:t xml:space="preserve">du </w:t>
      </w:r>
      <w:r w:rsidRPr="009D487F">
        <w:rPr>
          <w:rFonts w:ascii="Times New Roman" w:eastAsia="Times New Roman" w:hAnsi="Times New Roman" w:cs="Arial"/>
          <w:sz w:val="20"/>
          <w:szCs w:val="20"/>
          <w:lang w:eastAsia="fr-FR"/>
        </w:rPr>
        <w:t xml:space="preserve">Maroc d’un timbre spécial, la mises en place d’une radio émettant sur la bande FM et d’une WebTV, une forte implication des réseaux sociaux et l’organisation dans toutes </w:t>
      </w:r>
      <w:r>
        <w:rPr>
          <w:rFonts w:ascii="Times New Roman" w:eastAsia="Times New Roman" w:hAnsi="Times New Roman" w:cs="Arial"/>
          <w:sz w:val="20"/>
          <w:szCs w:val="20"/>
          <w:lang w:eastAsia="fr-FR"/>
        </w:rPr>
        <w:t>les écoles</w:t>
      </w:r>
      <w:r w:rsidRPr="009D487F">
        <w:rPr>
          <w:rFonts w:ascii="Times New Roman" w:eastAsia="Times New Roman" w:hAnsi="Times New Roman" w:cs="Arial"/>
          <w:sz w:val="20"/>
          <w:szCs w:val="20"/>
          <w:lang w:eastAsia="fr-FR"/>
        </w:rPr>
        <w:t xml:space="preserve"> du primaire et du secondaire du Royaume d’une heure </w:t>
      </w:r>
      <w:r>
        <w:rPr>
          <w:rFonts w:ascii="Times New Roman" w:eastAsia="Times New Roman" w:hAnsi="Times New Roman" w:cs="Arial"/>
          <w:sz w:val="20"/>
          <w:szCs w:val="20"/>
          <w:lang w:eastAsia="fr-FR"/>
        </w:rPr>
        <w:t xml:space="preserve">de cours consacrée aux </w:t>
      </w:r>
      <w:r w:rsidRPr="009D487F">
        <w:rPr>
          <w:rFonts w:ascii="Times New Roman" w:eastAsia="Times New Roman" w:hAnsi="Times New Roman" w:cs="Arial"/>
          <w:sz w:val="20"/>
          <w:szCs w:val="20"/>
          <w:lang w:eastAsia="fr-FR"/>
        </w:rPr>
        <w:t>droits de l’Homme.</w:t>
      </w:r>
    </w:p>
    <w:p w14:paraId="38064339" w14:textId="77777777" w:rsidR="00F0660E" w:rsidRDefault="00F0660E" w:rsidP="00F0660E">
      <w:pPr>
        <w:pStyle w:val="ListParagraph"/>
        <w:rPr>
          <w:rFonts w:ascii="Times New Roman" w:eastAsia="Times New Roman" w:hAnsi="Times New Roman" w:cs="Arial"/>
          <w:sz w:val="20"/>
          <w:szCs w:val="20"/>
          <w:lang w:eastAsia="fr-FR"/>
        </w:rPr>
      </w:pPr>
    </w:p>
    <w:p w14:paraId="3806433A" w14:textId="77777777" w:rsidR="00221070" w:rsidRDefault="00221070" w:rsidP="00221070">
      <w:pPr>
        <w:numPr>
          <w:ilvl w:val="0"/>
          <w:numId w:val="1"/>
        </w:numPr>
        <w:ind w:left="426" w:hanging="284"/>
        <w:jc w:val="both"/>
        <w:rPr>
          <w:rFonts w:ascii="Times New Roman" w:eastAsia="Times New Roman" w:hAnsi="Times New Roman" w:cs="Arial"/>
          <w:sz w:val="20"/>
          <w:szCs w:val="20"/>
          <w:lang w:eastAsia="fr-FR"/>
        </w:rPr>
      </w:pPr>
      <w:r w:rsidRPr="00E26090">
        <w:rPr>
          <w:rFonts w:ascii="Times New Roman" w:eastAsia="Times New Roman" w:hAnsi="Times New Roman" w:cs="Times New Roman"/>
          <w:sz w:val="20"/>
          <w:szCs w:val="20"/>
          <w:lang w:eastAsia="fr-FR"/>
        </w:rPr>
        <w:t xml:space="preserve"> </w:t>
      </w:r>
      <w:r w:rsidRPr="00E26090">
        <w:rPr>
          <w:rFonts w:ascii="Times New Roman" w:eastAsia="Times New Roman" w:hAnsi="Times New Roman" w:cs="Arial"/>
          <w:sz w:val="20"/>
          <w:szCs w:val="20"/>
          <w:lang w:eastAsia="fr-FR"/>
        </w:rPr>
        <w:t xml:space="preserve">Suite à l’approbation en Conseil de gouvernement réuni le 21 décembre 2017, le Maroc dispose de son </w:t>
      </w:r>
      <w:r w:rsidRPr="001D2F62">
        <w:rPr>
          <w:rFonts w:ascii="Times New Roman" w:eastAsia="Times New Roman" w:hAnsi="Times New Roman" w:cs="Arial"/>
          <w:b/>
          <w:bCs/>
          <w:sz w:val="20"/>
          <w:szCs w:val="20"/>
          <w:lang w:eastAsia="fr-FR"/>
        </w:rPr>
        <w:t>Plan d’action en matière de Démocratie et des Droits de l’Homme (PANDDH) pour la période 2018-2021</w:t>
      </w:r>
      <w:r w:rsidRPr="00E26090">
        <w:rPr>
          <w:rFonts w:ascii="Times New Roman" w:eastAsia="Times New Roman" w:hAnsi="Times New Roman" w:cs="Arial"/>
          <w:sz w:val="20"/>
          <w:szCs w:val="20"/>
          <w:lang w:eastAsia="fr-FR"/>
        </w:rPr>
        <w:t>, conformément au Programme et Plan d’action de Vienne de 1993.</w:t>
      </w:r>
    </w:p>
    <w:p w14:paraId="3806433B" w14:textId="77777777" w:rsidR="00F0660E" w:rsidRDefault="00F0660E" w:rsidP="00F0660E">
      <w:pPr>
        <w:pStyle w:val="ListParagraph"/>
        <w:rPr>
          <w:rFonts w:ascii="Times New Roman" w:eastAsia="Times New Roman" w:hAnsi="Times New Roman" w:cs="Arial"/>
          <w:sz w:val="20"/>
          <w:szCs w:val="20"/>
          <w:lang w:eastAsia="fr-FR"/>
        </w:rPr>
      </w:pPr>
    </w:p>
    <w:p w14:paraId="3806433C" w14:textId="77777777" w:rsidR="00221070" w:rsidRDefault="00221070" w:rsidP="00221070">
      <w:pPr>
        <w:numPr>
          <w:ilvl w:val="0"/>
          <w:numId w:val="1"/>
        </w:numPr>
        <w:ind w:left="426" w:hanging="284"/>
        <w:jc w:val="both"/>
        <w:rPr>
          <w:rFonts w:ascii="Times New Roman" w:eastAsia="Times New Roman" w:hAnsi="Times New Roman" w:cs="Arial"/>
          <w:sz w:val="20"/>
          <w:szCs w:val="20"/>
          <w:lang w:eastAsia="fr-FR"/>
        </w:rPr>
      </w:pPr>
      <w:r w:rsidRPr="00E26090">
        <w:rPr>
          <w:rFonts w:ascii="Times New Roman" w:eastAsia="Times New Roman" w:hAnsi="Times New Roman" w:cs="Arial"/>
          <w:sz w:val="20"/>
          <w:szCs w:val="20"/>
          <w:lang w:eastAsia="fr-FR"/>
        </w:rPr>
        <w:t>Cette feuille de route pour la politique gouvernementale en matière de démocratie et des droits de l’Homme a identifié quatre axes stratégiques prioritaires, à savoir la gouvernance et la démocratie ; les droits économiques, sociaux, culturels et environnementaux ; la protection et la promotion des droits humains catégoriels et le cadre juridique et institutionnel. Le thème de chaque axe est divisé en sous-axes prioritaires, avec la définition des parties prenantes concernées, des objectifs à atteindre durant l’échéance fixée pour la mise en œuvre du PANDDH (2018-2021), des mesures à entreprendre en fonction de leur nature législative ou institutionnelle, ainsi que celles liées à la sensibilisation, à la communication ou au renforcement des capacités des acteurs.</w:t>
      </w:r>
    </w:p>
    <w:p w14:paraId="3806433D" w14:textId="77777777" w:rsidR="00F0660E" w:rsidRDefault="00F0660E" w:rsidP="00F0660E">
      <w:pPr>
        <w:pStyle w:val="ListParagraph"/>
        <w:rPr>
          <w:rFonts w:ascii="Times New Roman" w:eastAsia="Times New Roman" w:hAnsi="Times New Roman" w:cs="Arial"/>
          <w:sz w:val="20"/>
          <w:szCs w:val="20"/>
          <w:lang w:eastAsia="fr-FR"/>
        </w:rPr>
      </w:pPr>
    </w:p>
    <w:p w14:paraId="3806433E" w14:textId="77777777" w:rsidR="00221070" w:rsidRPr="00E26090" w:rsidRDefault="00221070" w:rsidP="00C737D1">
      <w:pPr>
        <w:numPr>
          <w:ilvl w:val="0"/>
          <w:numId w:val="1"/>
        </w:numPr>
        <w:ind w:left="426" w:hanging="284"/>
        <w:jc w:val="both"/>
        <w:rPr>
          <w:rFonts w:ascii="Times New Roman" w:eastAsia="Times New Roman" w:hAnsi="Times New Roman" w:cs="Arial"/>
          <w:sz w:val="20"/>
          <w:szCs w:val="20"/>
          <w:lang w:eastAsia="fr-FR"/>
        </w:rPr>
      </w:pPr>
      <w:r w:rsidRPr="00E26090">
        <w:rPr>
          <w:rFonts w:ascii="Times New Roman" w:eastAsia="Times New Roman" w:hAnsi="Times New Roman" w:cs="Arial"/>
          <w:sz w:val="20"/>
          <w:szCs w:val="20"/>
          <w:lang w:eastAsia="fr-FR"/>
        </w:rPr>
        <w:t xml:space="preserve"> Afin d’assurer le suivi et l'évaluation de la mise en œuvre du PANDDH, </w:t>
      </w:r>
      <w:r w:rsidRPr="001D2F62">
        <w:rPr>
          <w:rFonts w:ascii="Times New Roman" w:eastAsia="Times New Roman" w:hAnsi="Times New Roman" w:cs="Arial"/>
          <w:sz w:val="20"/>
          <w:szCs w:val="20"/>
          <w:lang w:eastAsia="fr-FR"/>
        </w:rPr>
        <w:t xml:space="preserve">est prévu de </w:t>
      </w:r>
      <w:r w:rsidR="00C737D1" w:rsidRPr="001D2F62">
        <w:rPr>
          <w:rFonts w:ascii="Times New Roman" w:eastAsia="Times New Roman" w:hAnsi="Times New Roman" w:cs="Arial"/>
          <w:sz w:val="20"/>
          <w:szCs w:val="20"/>
          <w:lang w:eastAsia="fr-FR"/>
        </w:rPr>
        <w:t>créer</w:t>
      </w:r>
      <w:r w:rsidRPr="001D2F62">
        <w:rPr>
          <w:rFonts w:ascii="Times New Roman" w:eastAsia="Times New Roman" w:hAnsi="Times New Roman" w:cs="Arial"/>
          <w:sz w:val="20"/>
          <w:szCs w:val="20"/>
          <w:lang w:eastAsia="fr-FR"/>
        </w:rPr>
        <w:t xml:space="preserve"> un mécanisme composé </w:t>
      </w:r>
      <w:r w:rsidRPr="00E26090">
        <w:rPr>
          <w:rFonts w:ascii="Times New Roman" w:eastAsia="Times New Roman" w:hAnsi="Times New Roman" w:cs="Arial"/>
          <w:sz w:val="20"/>
          <w:szCs w:val="20"/>
          <w:lang w:eastAsia="fr-FR"/>
        </w:rPr>
        <w:t>de représentants des départements ministériels concernés, des institutions et organismes nationaux, des organisations de la société civile concernées par les questions des droits de l’Homme, de l’Université et du secteur privé. Le Ministère d'État chargé des Droits de l’Homme, en tant que département gouvernemental compétent, est mandaté pour faciliter la tâche du mécanisme de suivi et d'évaluation.</w:t>
      </w:r>
    </w:p>
    <w:p w14:paraId="3806433F" w14:textId="77777777" w:rsidR="00221070" w:rsidRDefault="00221070" w:rsidP="00221070">
      <w:pPr>
        <w:numPr>
          <w:ilvl w:val="0"/>
          <w:numId w:val="1"/>
        </w:numPr>
        <w:ind w:left="426" w:hanging="284"/>
        <w:jc w:val="both"/>
        <w:rPr>
          <w:rFonts w:ascii="Times New Roman" w:eastAsia="Times New Roman" w:hAnsi="Times New Roman" w:cs="Arial"/>
          <w:sz w:val="20"/>
          <w:szCs w:val="20"/>
          <w:lang w:eastAsia="fr-FR"/>
        </w:rPr>
      </w:pPr>
      <w:r w:rsidRPr="00E26090">
        <w:rPr>
          <w:rFonts w:ascii="Times New Roman" w:eastAsia="Times New Roman" w:hAnsi="Times New Roman" w:cs="Arial"/>
          <w:sz w:val="20"/>
          <w:szCs w:val="20"/>
          <w:lang w:eastAsia="fr-FR"/>
        </w:rPr>
        <w:t xml:space="preserve">Pour la période indiquée, le PANDDH a tracé plusieurs objectifs et prévoit de nombreuses </w:t>
      </w:r>
      <w:r>
        <w:rPr>
          <w:rFonts w:ascii="Times New Roman" w:eastAsia="Times New Roman" w:hAnsi="Times New Roman" w:cs="Arial"/>
          <w:sz w:val="20"/>
          <w:szCs w:val="20"/>
          <w:lang w:eastAsia="fr-FR"/>
        </w:rPr>
        <w:t xml:space="preserve">mesures et </w:t>
      </w:r>
      <w:r w:rsidRPr="00E26090">
        <w:rPr>
          <w:rFonts w:ascii="Times New Roman" w:eastAsia="Times New Roman" w:hAnsi="Times New Roman" w:cs="Arial"/>
          <w:sz w:val="20"/>
          <w:szCs w:val="20"/>
          <w:lang w:eastAsia="fr-FR"/>
        </w:rPr>
        <w:t>actions directement en lien avec la Convention, tels que :</w:t>
      </w:r>
    </w:p>
    <w:p w14:paraId="38064340" w14:textId="77777777" w:rsidR="00840DB6" w:rsidRPr="00840DB6" w:rsidRDefault="00840DB6" w:rsidP="00840DB6">
      <w:pPr>
        <w:ind w:left="426" w:firstLine="0"/>
        <w:jc w:val="both"/>
        <w:rPr>
          <w:rFonts w:ascii="Times New Roman" w:eastAsia="Times New Roman" w:hAnsi="Times New Roman" w:cs="Arial"/>
          <w:sz w:val="14"/>
          <w:szCs w:val="14"/>
          <w:lang w:eastAsia="fr-FR"/>
        </w:rPr>
      </w:pPr>
    </w:p>
    <w:p w14:paraId="38064341" w14:textId="77777777" w:rsidR="00221070" w:rsidRPr="00E26090" w:rsidRDefault="00221070" w:rsidP="00221070">
      <w:pPr>
        <w:pStyle w:val="ListParagraph"/>
        <w:numPr>
          <w:ilvl w:val="0"/>
          <w:numId w:val="2"/>
        </w:numPr>
        <w:ind w:hanging="153"/>
        <w:jc w:val="both"/>
        <w:rPr>
          <w:rFonts w:ascii="Times New Roman" w:eastAsia="Times New Roman" w:hAnsi="Times New Roman" w:cs="Arial"/>
          <w:sz w:val="20"/>
          <w:szCs w:val="20"/>
          <w:lang w:eastAsia="fr-FR"/>
        </w:rPr>
      </w:pPr>
      <w:r w:rsidRPr="00E26090">
        <w:rPr>
          <w:rFonts w:ascii="Times New Roman" w:eastAsia="Times New Roman" w:hAnsi="Times New Roman" w:cs="Arial"/>
          <w:sz w:val="20"/>
          <w:szCs w:val="20"/>
          <w:lang w:eastAsia="fr-FR"/>
        </w:rPr>
        <w:t>Soutenir et encourager les programmes et les activités liés à la socialisation politique et sociale, visant à diffuser les valeurs de démocratie, d’égalité, de pluralisme, de diversité, de tolérance, de coexistence, de non-discrimination et de rejet de la haine, de la violence et de l'extrémisme ;</w:t>
      </w:r>
    </w:p>
    <w:p w14:paraId="38064342" w14:textId="77777777" w:rsidR="00221070" w:rsidRPr="00E26090" w:rsidRDefault="00221070" w:rsidP="00221070">
      <w:pPr>
        <w:pStyle w:val="ListParagraph"/>
        <w:numPr>
          <w:ilvl w:val="0"/>
          <w:numId w:val="2"/>
        </w:numPr>
        <w:ind w:hanging="153"/>
        <w:jc w:val="both"/>
        <w:rPr>
          <w:rFonts w:ascii="Times New Roman" w:eastAsia="Times New Roman" w:hAnsi="Times New Roman" w:cs="Arial"/>
          <w:sz w:val="20"/>
          <w:szCs w:val="20"/>
          <w:lang w:eastAsia="fr-FR"/>
        </w:rPr>
      </w:pPr>
      <w:r w:rsidRPr="00E26090">
        <w:rPr>
          <w:rFonts w:ascii="Times New Roman" w:eastAsia="Times New Roman" w:hAnsi="Times New Roman" w:cs="Arial"/>
          <w:sz w:val="20"/>
          <w:szCs w:val="20"/>
          <w:lang w:eastAsia="fr-FR"/>
        </w:rPr>
        <w:t>Lutter contre la violence, le mauvais traitement et la discrimination dans le milieu éducatif, afin d’en faire un environnement sûr ;</w:t>
      </w:r>
    </w:p>
    <w:p w14:paraId="38064343" w14:textId="77777777" w:rsidR="00221070" w:rsidRPr="00E26090" w:rsidRDefault="00221070" w:rsidP="00221070">
      <w:pPr>
        <w:pStyle w:val="ListParagraph"/>
        <w:numPr>
          <w:ilvl w:val="0"/>
          <w:numId w:val="2"/>
        </w:numPr>
        <w:ind w:hanging="153"/>
        <w:jc w:val="both"/>
        <w:rPr>
          <w:rFonts w:ascii="Times New Roman" w:eastAsia="Times New Roman" w:hAnsi="Times New Roman" w:cs="Arial"/>
          <w:sz w:val="20"/>
          <w:szCs w:val="20"/>
          <w:lang w:eastAsia="fr-FR"/>
        </w:rPr>
      </w:pPr>
      <w:r w:rsidRPr="00E26090">
        <w:rPr>
          <w:rFonts w:ascii="Times New Roman" w:eastAsia="Times New Roman" w:hAnsi="Times New Roman" w:cs="Arial"/>
          <w:sz w:val="20"/>
          <w:szCs w:val="20"/>
          <w:lang w:eastAsia="fr-FR"/>
        </w:rPr>
        <w:t xml:space="preserve">Combattre toutes les formes de discrimination envers la diversité culturelle, afin de consolider la paix civile et d'assurer les conditions du « vivre ensemble » et du développement social ; </w:t>
      </w:r>
    </w:p>
    <w:p w14:paraId="38064344" w14:textId="77777777" w:rsidR="00221070" w:rsidRPr="00E26090" w:rsidRDefault="00221070" w:rsidP="00221070">
      <w:pPr>
        <w:pStyle w:val="ListParagraph"/>
        <w:numPr>
          <w:ilvl w:val="0"/>
          <w:numId w:val="2"/>
        </w:numPr>
        <w:ind w:hanging="153"/>
        <w:jc w:val="both"/>
        <w:rPr>
          <w:rFonts w:ascii="Times New Roman" w:eastAsia="Times New Roman" w:hAnsi="Times New Roman" w:cs="Arial"/>
          <w:sz w:val="20"/>
          <w:szCs w:val="20"/>
          <w:lang w:eastAsia="fr-FR"/>
        </w:rPr>
      </w:pPr>
      <w:r w:rsidRPr="00E26090">
        <w:rPr>
          <w:rFonts w:ascii="Times New Roman" w:eastAsia="Times New Roman" w:hAnsi="Times New Roman" w:cs="Arial"/>
          <w:sz w:val="20"/>
          <w:szCs w:val="20"/>
          <w:lang w:eastAsia="fr-FR"/>
        </w:rPr>
        <w:t>Renforcer les moyens de recours et de réparations liés à la discrimination dans le domaine des droits culturels ;</w:t>
      </w:r>
    </w:p>
    <w:p w14:paraId="38064345" w14:textId="77777777" w:rsidR="00221070" w:rsidRPr="00E26090" w:rsidRDefault="00221070" w:rsidP="00221070">
      <w:pPr>
        <w:pStyle w:val="ListParagraph"/>
        <w:numPr>
          <w:ilvl w:val="0"/>
          <w:numId w:val="2"/>
        </w:numPr>
        <w:ind w:hanging="153"/>
        <w:jc w:val="both"/>
        <w:rPr>
          <w:rFonts w:ascii="Times New Roman" w:eastAsia="Times New Roman" w:hAnsi="Times New Roman" w:cs="Arial"/>
          <w:sz w:val="20"/>
          <w:szCs w:val="20"/>
          <w:lang w:eastAsia="fr-FR"/>
        </w:rPr>
      </w:pPr>
      <w:r w:rsidRPr="00E26090">
        <w:rPr>
          <w:rFonts w:ascii="Times New Roman" w:eastAsia="Times New Roman" w:hAnsi="Times New Roman" w:cs="Arial"/>
          <w:sz w:val="20"/>
          <w:szCs w:val="20"/>
          <w:lang w:eastAsia="fr-FR"/>
        </w:rPr>
        <w:t>Promouvoir les principes d'égalité et de non-discrimination dans le traitement des patients, au sein des établissements hospitaliers ;</w:t>
      </w:r>
    </w:p>
    <w:p w14:paraId="38064346" w14:textId="77777777" w:rsidR="00221070" w:rsidRPr="00E26090" w:rsidRDefault="00221070" w:rsidP="00221070">
      <w:pPr>
        <w:pStyle w:val="ListParagraph"/>
        <w:numPr>
          <w:ilvl w:val="0"/>
          <w:numId w:val="2"/>
        </w:numPr>
        <w:ind w:hanging="153"/>
        <w:jc w:val="both"/>
        <w:rPr>
          <w:rFonts w:ascii="Times New Roman" w:eastAsia="Times New Roman" w:hAnsi="Times New Roman" w:cs="Arial"/>
          <w:sz w:val="20"/>
          <w:szCs w:val="20"/>
          <w:lang w:eastAsia="fr-FR"/>
        </w:rPr>
      </w:pPr>
      <w:r w:rsidRPr="00E26090">
        <w:rPr>
          <w:rFonts w:ascii="Times New Roman" w:eastAsia="Times New Roman" w:hAnsi="Times New Roman" w:cs="Arial"/>
          <w:sz w:val="20"/>
          <w:szCs w:val="20"/>
          <w:lang w:eastAsia="fr-FR"/>
        </w:rPr>
        <w:t>Garantir l'équité et l'égalité des chances, et éliminer la discrimination en matière de l'accès au droit au travail ;</w:t>
      </w:r>
    </w:p>
    <w:p w14:paraId="38064347" w14:textId="77777777" w:rsidR="00221070" w:rsidRPr="00E26090" w:rsidRDefault="00221070" w:rsidP="00221070">
      <w:pPr>
        <w:pStyle w:val="ListParagraph"/>
        <w:numPr>
          <w:ilvl w:val="0"/>
          <w:numId w:val="2"/>
        </w:numPr>
        <w:ind w:hanging="153"/>
        <w:jc w:val="both"/>
        <w:rPr>
          <w:rFonts w:ascii="Times New Roman" w:eastAsia="Times New Roman" w:hAnsi="Times New Roman" w:cs="Arial"/>
          <w:sz w:val="20"/>
          <w:szCs w:val="20"/>
          <w:lang w:eastAsia="fr-FR"/>
        </w:rPr>
      </w:pPr>
      <w:r w:rsidRPr="00E26090">
        <w:rPr>
          <w:rFonts w:ascii="Times New Roman" w:eastAsia="Times New Roman" w:hAnsi="Times New Roman" w:cs="Arial"/>
          <w:sz w:val="20"/>
          <w:szCs w:val="20"/>
          <w:lang w:eastAsia="fr-FR"/>
        </w:rPr>
        <w:t>Encourager la discrimination positive, pour promouvoir les droits catégoriels ;</w:t>
      </w:r>
    </w:p>
    <w:p w14:paraId="38064348" w14:textId="77777777" w:rsidR="00221070" w:rsidRPr="00E26090" w:rsidRDefault="00221070" w:rsidP="00221070">
      <w:pPr>
        <w:pStyle w:val="ListParagraph"/>
        <w:numPr>
          <w:ilvl w:val="0"/>
          <w:numId w:val="2"/>
        </w:numPr>
        <w:ind w:hanging="153"/>
        <w:jc w:val="both"/>
        <w:rPr>
          <w:rFonts w:ascii="Times New Roman" w:eastAsia="Times New Roman" w:hAnsi="Times New Roman" w:cs="Arial"/>
          <w:sz w:val="20"/>
          <w:szCs w:val="20"/>
          <w:lang w:eastAsia="fr-FR"/>
        </w:rPr>
      </w:pPr>
      <w:r w:rsidRPr="00E26090">
        <w:rPr>
          <w:rFonts w:ascii="Times New Roman" w:eastAsia="Times New Roman" w:hAnsi="Times New Roman" w:cs="Arial"/>
          <w:sz w:val="20"/>
          <w:szCs w:val="20"/>
          <w:lang w:eastAsia="fr-FR"/>
        </w:rPr>
        <w:t>Lutter contre la discrimination basée sur le handicap, afin d’assurer l’équité pour les personnes en situation de handicap ;</w:t>
      </w:r>
    </w:p>
    <w:p w14:paraId="38064349" w14:textId="77777777" w:rsidR="00221070" w:rsidRPr="00E26090" w:rsidRDefault="00221070" w:rsidP="00221070">
      <w:pPr>
        <w:pStyle w:val="ListParagraph"/>
        <w:numPr>
          <w:ilvl w:val="0"/>
          <w:numId w:val="2"/>
        </w:numPr>
        <w:ind w:hanging="153"/>
        <w:jc w:val="both"/>
        <w:rPr>
          <w:rFonts w:ascii="Times New Roman" w:eastAsia="Times New Roman" w:hAnsi="Times New Roman" w:cs="Arial"/>
          <w:sz w:val="20"/>
          <w:szCs w:val="20"/>
          <w:lang w:eastAsia="fr-FR"/>
        </w:rPr>
      </w:pPr>
      <w:r w:rsidRPr="00E26090">
        <w:rPr>
          <w:rFonts w:ascii="Times New Roman" w:eastAsia="Times New Roman" w:hAnsi="Times New Roman" w:cs="Arial"/>
          <w:sz w:val="20"/>
          <w:szCs w:val="20"/>
          <w:lang w:eastAsia="fr-FR"/>
        </w:rPr>
        <w:t>Renforcer le rôle des médias dans le développement de campagnes de prévention du handicap, et des programmes de lutte contre la discrimination et la stigmatisation envers les personnes handicapées ;</w:t>
      </w:r>
    </w:p>
    <w:p w14:paraId="3806434A" w14:textId="77777777" w:rsidR="00221070" w:rsidRPr="00E26090" w:rsidRDefault="00221070" w:rsidP="00221070">
      <w:pPr>
        <w:pStyle w:val="ListParagraph"/>
        <w:numPr>
          <w:ilvl w:val="0"/>
          <w:numId w:val="2"/>
        </w:numPr>
        <w:ind w:hanging="153"/>
        <w:jc w:val="both"/>
        <w:rPr>
          <w:rFonts w:ascii="Times New Roman" w:eastAsia="Times New Roman" w:hAnsi="Times New Roman" w:cs="Arial"/>
          <w:sz w:val="20"/>
          <w:szCs w:val="20"/>
          <w:lang w:eastAsia="fr-FR"/>
        </w:rPr>
      </w:pPr>
      <w:r w:rsidRPr="00E26090">
        <w:rPr>
          <w:rFonts w:ascii="Times New Roman" w:eastAsia="Times New Roman" w:hAnsi="Times New Roman" w:cs="Arial"/>
          <w:sz w:val="20"/>
          <w:szCs w:val="20"/>
          <w:lang w:eastAsia="fr-FR"/>
        </w:rPr>
        <w:t>Promouvoir la culture de l'égalité dans la société, et lutter contre toutes les formes de discrimination et de violence à l'égard des femmes ;</w:t>
      </w:r>
    </w:p>
    <w:p w14:paraId="3806434B" w14:textId="77777777" w:rsidR="00221070" w:rsidRDefault="00221070" w:rsidP="00221070">
      <w:pPr>
        <w:pStyle w:val="ListParagraph"/>
        <w:numPr>
          <w:ilvl w:val="0"/>
          <w:numId w:val="2"/>
        </w:numPr>
        <w:ind w:hanging="153"/>
        <w:jc w:val="both"/>
        <w:rPr>
          <w:rFonts w:ascii="Times New Roman" w:eastAsia="Times New Roman" w:hAnsi="Times New Roman" w:cs="Arial"/>
          <w:sz w:val="20"/>
          <w:szCs w:val="20"/>
          <w:lang w:eastAsia="fr-FR"/>
        </w:rPr>
      </w:pPr>
      <w:r w:rsidRPr="00E26090">
        <w:rPr>
          <w:rFonts w:ascii="Times New Roman" w:eastAsia="Times New Roman" w:hAnsi="Times New Roman" w:cs="Arial"/>
          <w:sz w:val="20"/>
          <w:szCs w:val="20"/>
          <w:lang w:eastAsia="fr-FR"/>
        </w:rPr>
        <w:t>Lutter contre toutes les formes de discrimination et de maltraitance contre les personnes âgées.</w:t>
      </w:r>
    </w:p>
    <w:p w14:paraId="3806434C" w14:textId="77777777" w:rsidR="00F0660E" w:rsidRPr="00E26090" w:rsidRDefault="00F0660E" w:rsidP="00F0660E">
      <w:pPr>
        <w:pStyle w:val="ListParagraph"/>
        <w:ind w:firstLine="0"/>
        <w:jc w:val="both"/>
        <w:rPr>
          <w:rFonts w:ascii="Times New Roman" w:eastAsia="Times New Roman" w:hAnsi="Times New Roman" w:cs="Arial"/>
          <w:sz w:val="20"/>
          <w:szCs w:val="20"/>
          <w:lang w:eastAsia="fr-FR"/>
        </w:rPr>
      </w:pPr>
    </w:p>
    <w:p w14:paraId="3806434D" w14:textId="77777777" w:rsidR="004B59C3" w:rsidRDefault="004B59C3" w:rsidP="00CC04E1">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Arial"/>
          <w:b/>
          <w:bCs/>
          <w:sz w:val="20"/>
          <w:szCs w:val="20"/>
          <w:lang w:eastAsia="fr-FR"/>
        </w:rPr>
        <w:t>En matière de santé et de sécurité au travail</w:t>
      </w:r>
      <w:r w:rsidRPr="00F0660E">
        <w:rPr>
          <w:rFonts w:ascii="Times New Roman" w:eastAsia="Times New Roman" w:hAnsi="Times New Roman" w:cs="Arial"/>
          <w:sz w:val="20"/>
          <w:szCs w:val="20"/>
          <w:lang w:eastAsia="fr-FR"/>
        </w:rPr>
        <w:t>, la politique nationale de la sécurité et de la santé au travail (SST), s’appuient sur les recommandations énoncées dans le profil national de la sécurité et la santé au</w:t>
      </w:r>
      <w:r w:rsidRPr="00F0660E">
        <w:rPr>
          <w:rFonts w:ascii="Times New Roman" w:eastAsia="Times New Roman" w:hAnsi="Times New Roman" w:cs="Times New Roman"/>
          <w:sz w:val="20"/>
          <w:szCs w:val="20"/>
          <w:lang w:eastAsia="fr-FR"/>
        </w:rPr>
        <w:t xml:space="preserve"> travail publié en septembre 2017. Ils respectent aussi les principes directeurs des conventions 187 et 155 de l’OIT, et de la recommandation 197.</w:t>
      </w:r>
    </w:p>
    <w:p w14:paraId="3806434E" w14:textId="77777777" w:rsidR="00F0660E" w:rsidRPr="00F0660E" w:rsidRDefault="00F0660E" w:rsidP="00F0660E">
      <w:pPr>
        <w:ind w:left="426" w:firstLine="0"/>
        <w:jc w:val="both"/>
        <w:rPr>
          <w:rFonts w:ascii="Times New Roman" w:eastAsia="Times New Roman" w:hAnsi="Times New Roman" w:cs="Times New Roman"/>
          <w:sz w:val="20"/>
          <w:szCs w:val="20"/>
          <w:lang w:eastAsia="fr-FR"/>
        </w:rPr>
      </w:pPr>
    </w:p>
    <w:p w14:paraId="3806434F" w14:textId="77777777" w:rsidR="004B59C3" w:rsidRPr="00F0660E" w:rsidRDefault="004B59C3" w:rsidP="00CC04E1">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Il est à signaler qu’au titre des deux années 2018 et 2017, les agents chargés de l’inspection du travail, notamment les médecins et les ingénieurs inspecteurs du travail, ont réalisé au total 5146 visites auprès de 4165 entreprises pour contrôler les conditions d’hygiène, de sécurité et de santé des travailleurs. Au terme de ces visites, ils ont adressé 2.659 mises en demeure et 15 procès-verbaux à l’encontre des employeurs récalcitrants. Aussi, les directions régionales et provinciales du travail et de l’insertion Professionnelle ont été dotées de matériels de mesures des normes appropriés.</w:t>
      </w:r>
    </w:p>
    <w:p w14:paraId="38064350" w14:textId="77777777" w:rsidR="004B59C3" w:rsidRPr="00F0660E" w:rsidRDefault="004B59C3" w:rsidP="004B59C3">
      <w:pPr>
        <w:rPr>
          <w:rFonts w:ascii="Times New Roman" w:eastAsia="Times New Roman" w:hAnsi="Times New Roman" w:cs="Times New Roman"/>
          <w:sz w:val="20"/>
          <w:szCs w:val="20"/>
          <w:lang w:eastAsia="fr-FR"/>
        </w:rPr>
      </w:pPr>
    </w:p>
    <w:p w14:paraId="38064351" w14:textId="77777777" w:rsidR="004B59C3" w:rsidRPr="00F0660E" w:rsidRDefault="004B59C3" w:rsidP="00CC04E1">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Dans le domaine de </w:t>
      </w:r>
      <w:r w:rsidRPr="00F77BB6">
        <w:rPr>
          <w:rFonts w:ascii="Times New Roman" w:eastAsia="Times New Roman" w:hAnsi="Times New Roman" w:cs="Times New Roman"/>
          <w:b/>
          <w:bCs/>
          <w:sz w:val="20"/>
          <w:szCs w:val="20"/>
          <w:lang w:eastAsia="fr-FR"/>
        </w:rPr>
        <w:t>la mise en œuvre de la Politique de la Ville</w:t>
      </w:r>
      <w:r w:rsidRPr="00F0660E">
        <w:rPr>
          <w:rFonts w:ascii="Times New Roman" w:eastAsia="Times New Roman" w:hAnsi="Times New Roman" w:cs="Times New Roman"/>
          <w:sz w:val="20"/>
          <w:szCs w:val="20"/>
          <w:lang w:eastAsia="fr-FR"/>
        </w:rPr>
        <w:t>, le département de l’Habitat et de la Politique de la Ville a réalisé les actions suivantes :</w:t>
      </w:r>
    </w:p>
    <w:p w14:paraId="38064352" w14:textId="77777777" w:rsidR="004B59C3" w:rsidRPr="00F0660E" w:rsidRDefault="004B59C3" w:rsidP="00CC04E1">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Elaboration et publication du Guide de la Politique de la ville : destiné aux acteurs locaux. Ce guide décline le concept de la politique de la ville, ses principes, ses objectifs et ses finalités. ;</w:t>
      </w:r>
    </w:p>
    <w:p w14:paraId="38064353" w14:textId="77777777" w:rsidR="004B59C3" w:rsidRPr="00F0660E" w:rsidRDefault="004B59C3" w:rsidP="00CC04E1">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Lancement de l’étude d’élaboration de la cartographie des territoires urbains prioritaires au titre de la politique de la ville. Cette étude aboutira à la définition d’une grille d’indicateurs socio-économique et à l’élaboration d’un indice composite de cohésion sociale à même de permettre d’identifier les territoires urbains prioritaires au titre de la politique de la ville.</w:t>
      </w:r>
    </w:p>
    <w:p w14:paraId="38064354" w14:textId="77777777" w:rsidR="004B59C3" w:rsidRPr="00F0660E" w:rsidRDefault="004B59C3" w:rsidP="004B59C3">
      <w:pPr>
        <w:shd w:val="clear" w:color="auto" w:fill="FFFFFF"/>
        <w:autoSpaceDE w:val="0"/>
        <w:autoSpaceDN w:val="0"/>
        <w:adjustRightInd w:val="0"/>
        <w:spacing w:after="120" w:line="240" w:lineRule="atLeast"/>
        <w:ind w:left="1134" w:right="1134" w:firstLine="0"/>
        <w:contextualSpacing/>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 </w:t>
      </w:r>
    </w:p>
    <w:p w14:paraId="38064355" w14:textId="77777777" w:rsidR="00F77BB6" w:rsidRDefault="00F77BB6" w:rsidP="00F77BB6">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En ce qui concerne, l’intervention dans les Quartiers sous équipés ou non règlementaires, il convient de préciser que 661.200 ménages ont bénéficiés de ce programme entre 2012-2018 avec un investissement total de 11 Milliards et 382 Millions de Dhs.</w:t>
      </w:r>
    </w:p>
    <w:p w14:paraId="38064356" w14:textId="77777777" w:rsidR="00F77BB6" w:rsidRDefault="00F77BB6" w:rsidP="00F77BB6">
      <w:pPr>
        <w:ind w:left="426" w:firstLine="0"/>
        <w:jc w:val="both"/>
        <w:rPr>
          <w:rFonts w:ascii="Times New Roman" w:eastAsia="Times New Roman" w:hAnsi="Times New Roman" w:cs="Times New Roman"/>
          <w:sz w:val="20"/>
          <w:szCs w:val="20"/>
          <w:lang w:eastAsia="fr-FR"/>
        </w:rPr>
      </w:pPr>
    </w:p>
    <w:p w14:paraId="38064357" w14:textId="77777777" w:rsidR="004B59C3" w:rsidRPr="00F0660E" w:rsidRDefault="004B59C3" w:rsidP="00CC04E1">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En termes de bilan opérationnel, 178 conventions ont été signées dans le cadre de la politique de la ville, avec un coût global de 66,4 Milliards de Dhs et une contribution du ministère de 13.6 Milliards de Dhs, réparties comme suit :</w:t>
      </w:r>
    </w:p>
    <w:p w14:paraId="38064358" w14:textId="77777777" w:rsidR="004B59C3" w:rsidRPr="00F0660E" w:rsidRDefault="004B59C3" w:rsidP="00CC04E1">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Les Grands projets structurants (Rabat, Casablanca, Tanger, Tanger, Tétouan, Al-Hoceima, Salé) avec un coût global de 35.91 Milliards de Dhs et une contribution du ministère de 4.86 Milliards de Dhs ;</w:t>
      </w:r>
    </w:p>
    <w:p w14:paraId="38064359" w14:textId="77777777" w:rsidR="004B59C3" w:rsidRPr="00F0660E" w:rsidRDefault="004B59C3" w:rsidP="00CC04E1">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Le Programme de développement des villes nouvelles : Tamesna (région de Rabat) avec un coût global de 537.91 Millions de Dhs et une contribution du ministère de 37,20 Millions de Dhs ; Tamansourt (région de Marrakech) avec un coût global de 1356,7 Millions de Dhs et une contribution du ministère de 21.5 Millions de Dhs et Ibn Batouta (Tanger) avec un coût global de 80 Millions de Dhs ;</w:t>
      </w:r>
    </w:p>
    <w:p w14:paraId="3806435A" w14:textId="77777777" w:rsidR="004B59C3" w:rsidRPr="00F0660E" w:rsidRDefault="004B59C3" w:rsidP="00CC04E1">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Différentes villes et centre émergents du Royaume avec un coût global de 28.52 Milliards de Dhs et une contribution du ministère de 8.61 Milliards de Dhs.</w:t>
      </w:r>
    </w:p>
    <w:p w14:paraId="3806435B" w14:textId="77777777" w:rsidR="004B59C3" w:rsidRPr="00F0660E" w:rsidRDefault="004B59C3" w:rsidP="004B59C3">
      <w:pPr>
        <w:rPr>
          <w:rFonts w:ascii="Times New Roman" w:eastAsia="Times New Roman" w:hAnsi="Times New Roman" w:cs="Times New Roman"/>
          <w:sz w:val="20"/>
          <w:szCs w:val="20"/>
          <w:lang w:eastAsia="fr-FR"/>
        </w:rPr>
      </w:pPr>
    </w:p>
    <w:p w14:paraId="3806435C" w14:textId="77777777" w:rsidR="004B59C3" w:rsidRPr="00F0660E" w:rsidRDefault="004B59C3" w:rsidP="004B59C3">
      <w:pPr>
        <w:rPr>
          <w:rFonts w:ascii="Times New Roman" w:eastAsia="Times New Roman" w:hAnsi="Times New Roman" w:cs="Times New Roman"/>
          <w:sz w:val="20"/>
          <w:szCs w:val="20"/>
          <w:lang w:eastAsia="fr-FR"/>
        </w:rPr>
      </w:pPr>
    </w:p>
    <w:p w14:paraId="3806435D" w14:textId="77777777" w:rsidR="004B59C3" w:rsidRPr="00F0660E" w:rsidRDefault="004B59C3" w:rsidP="00CC04E1">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A signaler aussi que le Royaume a abrité </w:t>
      </w:r>
      <w:r w:rsidRPr="00F77BB6">
        <w:rPr>
          <w:rFonts w:ascii="Times New Roman" w:eastAsia="Times New Roman" w:hAnsi="Times New Roman" w:cs="Times New Roman"/>
          <w:b/>
          <w:bCs/>
          <w:sz w:val="20"/>
          <w:szCs w:val="20"/>
          <w:lang w:eastAsia="fr-FR"/>
        </w:rPr>
        <w:t>la conférence diplomatique de l’OMPI</w:t>
      </w:r>
      <w:r w:rsidRPr="00F0660E">
        <w:rPr>
          <w:rFonts w:ascii="Times New Roman" w:eastAsia="Times New Roman" w:hAnsi="Times New Roman" w:cs="Times New Roman"/>
          <w:sz w:val="20"/>
          <w:szCs w:val="20"/>
          <w:lang w:eastAsia="fr-FR"/>
        </w:rPr>
        <w:t xml:space="preserve"> pour la conclusion d’un traité visant à faciliter l’accès des déficients visuels et des personnes ayant des difficultés de lecture des textes imprimés aux œuvres publiées, tenue à Marrakech en juin 2013. Le message de SM le Roi aux participants à cette conférence a rappelé que « le Maroc tient à marquer son adhésion effective à toutes les initiatives et démarches consacrées aux nobles objectifs de ce projet de Traité. De surcroit, il réaffirme souscrire pleinement aux efforts déployés par l'OMPI dans le cadre de l'harmonisation des législations nationales en vue d'adopter un Traité qui prévoit des limitations et des exceptions relatives à l'utilisation d'œuvres protégées par le droit d'auteur, en faveur des aveugles et des déficients visuels». </w:t>
      </w:r>
    </w:p>
    <w:p w14:paraId="3806435E" w14:textId="77777777" w:rsidR="004B59C3" w:rsidRPr="00F0660E" w:rsidRDefault="004B59C3" w:rsidP="004B59C3">
      <w:pPr>
        <w:rPr>
          <w:rFonts w:ascii="Times New Roman" w:eastAsia="Times New Roman" w:hAnsi="Times New Roman" w:cs="Times New Roman"/>
          <w:sz w:val="20"/>
          <w:szCs w:val="20"/>
          <w:lang w:eastAsia="fr-FR"/>
        </w:rPr>
      </w:pPr>
    </w:p>
    <w:p w14:paraId="3806435F" w14:textId="77777777" w:rsidR="004B59C3" w:rsidRDefault="004B59C3" w:rsidP="007024B0">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En 2007, le Maroc a initié au CDH, conjointement avec la Suisse, le processus de rédaction de la Déclaration des Nations Unies pour </w:t>
      </w:r>
      <w:r w:rsidRPr="00F77BB6">
        <w:rPr>
          <w:rFonts w:ascii="Times New Roman" w:eastAsia="Times New Roman" w:hAnsi="Times New Roman" w:cs="Times New Roman"/>
          <w:b/>
          <w:bCs/>
          <w:sz w:val="20"/>
          <w:szCs w:val="20"/>
          <w:lang w:eastAsia="fr-FR"/>
        </w:rPr>
        <w:t>l’éducation et</w:t>
      </w:r>
      <w:r w:rsidRPr="00F0660E">
        <w:rPr>
          <w:rFonts w:ascii="Times New Roman" w:eastAsia="Times New Roman" w:hAnsi="Times New Roman" w:cs="Times New Roman"/>
          <w:sz w:val="20"/>
          <w:szCs w:val="20"/>
          <w:lang w:eastAsia="fr-FR"/>
        </w:rPr>
        <w:t xml:space="preserve"> </w:t>
      </w:r>
      <w:r w:rsidRPr="00F77BB6">
        <w:rPr>
          <w:rFonts w:ascii="Times New Roman" w:eastAsia="Times New Roman" w:hAnsi="Times New Roman" w:cs="Times New Roman"/>
          <w:b/>
          <w:bCs/>
          <w:sz w:val="20"/>
          <w:szCs w:val="20"/>
          <w:lang w:eastAsia="fr-FR"/>
        </w:rPr>
        <w:t>la formation aux droits de l’Homme</w:t>
      </w:r>
      <w:r w:rsidRPr="00F0660E">
        <w:rPr>
          <w:rFonts w:ascii="Times New Roman" w:eastAsia="Times New Roman" w:hAnsi="Times New Roman" w:cs="Times New Roman"/>
          <w:sz w:val="20"/>
          <w:szCs w:val="20"/>
          <w:lang w:eastAsia="fr-FR"/>
        </w:rPr>
        <w:t>, laquelle a été adoptée par consensus en 2011 par l’Assemblée générale.</w:t>
      </w:r>
    </w:p>
    <w:p w14:paraId="38064360" w14:textId="77777777" w:rsidR="00F0660E" w:rsidRDefault="00F0660E" w:rsidP="00F0660E">
      <w:pPr>
        <w:pStyle w:val="ListParagraph"/>
        <w:rPr>
          <w:rFonts w:ascii="Times New Roman" w:eastAsia="Times New Roman" w:hAnsi="Times New Roman" w:cs="Times New Roman"/>
          <w:sz w:val="20"/>
          <w:szCs w:val="20"/>
          <w:lang w:eastAsia="fr-FR"/>
        </w:rPr>
      </w:pPr>
    </w:p>
    <w:p w14:paraId="38064361" w14:textId="77777777" w:rsidR="004B59C3" w:rsidRPr="00F0660E" w:rsidRDefault="004B59C3" w:rsidP="007024B0">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Au niveau de l’enseignement supérieur, la réforme pédagogique, adoptée depuis 2003-2004, a permis le développement de plusieurs unités de formation et de recherche (UFR)  pour l’obtention de maitrise ou de doctorat dans  les domaines des droits de l’Homme. Plusieurs chaires Unesco ont été créés auprès des universités des villes suivantes : sur les droits de l’Homme (Rabat) ; Environnement et Développement (Rabat) ; Culture de la Paix (Oujda) ; Femme (Kénitra) ; Dialogue interreligieux (Al-Qarawiyyin-Fès) ; Enfant, Femme et Famille (Fès) ; Eau (Casablanca).</w:t>
      </w:r>
    </w:p>
    <w:p w14:paraId="38064362" w14:textId="77777777" w:rsidR="004B59C3" w:rsidRPr="00F0660E" w:rsidRDefault="004B59C3" w:rsidP="004B59C3">
      <w:pPr>
        <w:rPr>
          <w:rFonts w:ascii="Times New Roman" w:eastAsia="Times New Roman" w:hAnsi="Times New Roman" w:cs="Times New Roman"/>
          <w:sz w:val="20"/>
          <w:szCs w:val="20"/>
          <w:lang w:eastAsia="fr-FR"/>
        </w:rPr>
      </w:pPr>
    </w:p>
    <w:p w14:paraId="38064363" w14:textId="77777777" w:rsidR="004B59C3" w:rsidRPr="00F0660E" w:rsidRDefault="004B59C3" w:rsidP="007024B0">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Pour renforcer l’approche basée sur les droits de l'Homme dans le système pénitentiaire, et afin d'humaniser les établissements pénitentiaires et d'améliorer les conditions des détenus, la DGAPR a mis en place un programme pour former et orienter son personnel en vue d’un meilleur respect des droits humains dans les prisons.</w:t>
      </w:r>
    </w:p>
    <w:p w14:paraId="38064364" w14:textId="77777777" w:rsidR="004B59C3" w:rsidRPr="00F0660E" w:rsidRDefault="004B59C3" w:rsidP="004B59C3">
      <w:pPr>
        <w:rPr>
          <w:rFonts w:ascii="Times New Roman" w:eastAsia="Times New Roman" w:hAnsi="Times New Roman" w:cs="Times New Roman"/>
          <w:sz w:val="20"/>
          <w:szCs w:val="20"/>
          <w:lang w:eastAsia="fr-FR"/>
        </w:rPr>
      </w:pPr>
    </w:p>
    <w:p w14:paraId="38064365" w14:textId="77777777" w:rsidR="004B59C3" w:rsidRPr="00F0660E" w:rsidRDefault="004B59C3" w:rsidP="007024B0">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Dans une perspective plus large de promotion et de </w:t>
      </w:r>
      <w:r w:rsidRPr="00F77BB6">
        <w:rPr>
          <w:rFonts w:ascii="Times New Roman" w:eastAsia="Times New Roman" w:hAnsi="Times New Roman" w:cs="Times New Roman"/>
          <w:b/>
          <w:bCs/>
          <w:sz w:val="20"/>
          <w:szCs w:val="20"/>
          <w:lang w:eastAsia="fr-FR"/>
        </w:rPr>
        <w:t>diffusion de la culture des droits de l’Homme</w:t>
      </w:r>
      <w:r w:rsidRPr="00F0660E">
        <w:rPr>
          <w:rFonts w:ascii="Times New Roman" w:eastAsia="Times New Roman" w:hAnsi="Times New Roman" w:cs="Times New Roman"/>
          <w:sz w:val="20"/>
          <w:szCs w:val="20"/>
          <w:lang w:eastAsia="fr-FR"/>
        </w:rPr>
        <w:t>, le CNDH qui pilote déjà le suivi de la mise en œuvre du Projet de la Plateforme citoyenne pour la promotion de la culture des droits de l’Homme, en collaboration avec d’autres partenaires institutionnels et civils et avec ses 13 Commissions Régionales des Droits de l’Homme, a aussi procédé à la mise en place de plusieurs partenariats dédiés à cet objectif :</w:t>
      </w:r>
    </w:p>
    <w:p w14:paraId="38064366" w14:textId="77777777" w:rsidR="004B59C3" w:rsidRPr="00F0660E" w:rsidRDefault="004B59C3" w:rsidP="007024B0">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Dans le cadre de la mise en œuvre du programme d’accompagnement aux recommandations de l’IER en matière d’archives, d’histoire et de mémoire, le CNDH et l’Université Mohamed V Rabat - Agdal ont signé en mars 2012, une convention de partenariat visant la création d’un Centre de recherche sur l’histoire du temps présent. Cette convention, qui fait suite à une première convention signée en janvier 2010 pour la création d’un Master intitulé « Histoire du temps présent », vient consacrer l’engagement des deux institutions en matière de préservation de la mémoire, de recherche-action et de consolidation du débat scientifique et serein sur l’histoire contemporaine du Maroc ;</w:t>
      </w:r>
    </w:p>
    <w:p w14:paraId="38064367" w14:textId="77777777" w:rsidR="004B59C3" w:rsidRPr="00F0660E" w:rsidRDefault="004B59C3" w:rsidP="007024B0">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Conformément aux dispositions de la constitution visant à enraciner l’identité culturelle plurielle marocaine, particulièrement dans sa composante Hassani, le CNDH a également conclu en 2012 un partenariat avec l’Université Mohamed V–Agdal visant la création du Centre d’Etudes et de Recherche Saharienne, dont l’objectif est de mener des recherches pluridisciplinaires dans les domaines de l’histoire sociale et culturelle afférente au Maroc Saharien ;</w:t>
      </w:r>
    </w:p>
    <w:p w14:paraId="38064368" w14:textId="77777777" w:rsidR="004B59C3" w:rsidRPr="00F0660E" w:rsidRDefault="004B59C3" w:rsidP="007024B0">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Le CNDH a aussi signé en octobre 2012, une convention de coopération et de partenariat avec l’AREF de l’Orientale, en vue de promouvoir la culture des droits de l’Homme et de la citoyenneté dans le système d’éducation et de formation de cette région ;</w:t>
      </w:r>
    </w:p>
    <w:p w14:paraId="38064369" w14:textId="77777777" w:rsidR="004B59C3" w:rsidRPr="00F0660E" w:rsidRDefault="004B59C3" w:rsidP="007024B0">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L’Institution nationale des droits de l’Homme a aussi signé en avril 2013, une convention de partenariat avec l’Université Cadi- Ayyad de Marrakech pour la création d’une Chaire sur la Citoyenneté et les droits de l’Homme et d’un Master sur « la gestion du Patrimoine », visant le renforcement de l'intérêt pour les droits culturels et la préservation de la mémoire collective, conformément aux recommandations de l'IER.</w:t>
      </w:r>
    </w:p>
    <w:p w14:paraId="3806436A" w14:textId="77777777" w:rsidR="004B59C3" w:rsidRPr="00F0660E" w:rsidRDefault="004B59C3" w:rsidP="004B59C3">
      <w:pPr>
        <w:rPr>
          <w:rFonts w:ascii="Times New Roman" w:eastAsia="Times New Roman" w:hAnsi="Times New Roman" w:cs="Times New Roman"/>
          <w:sz w:val="20"/>
          <w:szCs w:val="20"/>
          <w:lang w:eastAsia="fr-FR"/>
        </w:rPr>
      </w:pPr>
    </w:p>
    <w:p w14:paraId="3806436B" w14:textId="77777777" w:rsidR="004B59C3" w:rsidRPr="00F0660E" w:rsidRDefault="004B59C3" w:rsidP="007024B0">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A travers ce processus général de </w:t>
      </w:r>
      <w:r w:rsidRPr="00F77BB6">
        <w:rPr>
          <w:rFonts w:ascii="Times New Roman" w:eastAsia="Times New Roman" w:hAnsi="Times New Roman" w:cs="Times New Roman"/>
          <w:b/>
          <w:bCs/>
          <w:sz w:val="20"/>
          <w:szCs w:val="20"/>
          <w:lang w:eastAsia="fr-FR"/>
        </w:rPr>
        <w:t>réappropriation du patrimoine Judéo- marocain</w:t>
      </w:r>
      <w:r w:rsidRPr="00F0660E">
        <w:rPr>
          <w:rFonts w:ascii="Times New Roman" w:eastAsia="Times New Roman" w:hAnsi="Times New Roman" w:cs="Times New Roman"/>
          <w:sz w:val="20"/>
          <w:szCs w:val="20"/>
          <w:lang w:eastAsia="fr-FR"/>
        </w:rPr>
        <w:t xml:space="preserve">, voulu et soutenu au plus niveau de l'Etat, s’inscrivent également plusieurs initiatives menées par l’Institution Archives du Maroc, notamment :  </w:t>
      </w:r>
    </w:p>
    <w:p w14:paraId="3806436C" w14:textId="77777777" w:rsidR="004B59C3" w:rsidRPr="00F0660E" w:rsidRDefault="004B59C3" w:rsidP="007024B0">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La signature d’une convention de coopération, le 14 novembre 2016, entre Archives du Maroc et le Musée français mémorial de la Shoah, ayant pour but de mieux faire connaître l’histoire du judaïsme marocain et de mettre à la disposition du public des sources historiques relatives aux juifs marocains, en particulier, et maghrébins, en général.</w:t>
      </w:r>
    </w:p>
    <w:p w14:paraId="3806436D" w14:textId="77777777" w:rsidR="004B59C3" w:rsidRPr="00F0660E" w:rsidRDefault="004B59C3" w:rsidP="007024B0">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La remise par une délégation française de haut niveau, le 16 novembre 2017 à Rabat, à l'Institution Archives du Maroc, des copies de fonds de la mémoire judéo- marocaine, provenant des archives conservées en France, enrichissant ainsi ses collections et donnant une nouvelle impulsion à la recherche académique sur le judaïsme marocain.  </w:t>
      </w:r>
    </w:p>
    <w:p w14:paraId="3806436E" w14:textId="77777777" w:rsidR="004B59C3" w:rsidRPr="00F0660E" w:rsidRDefault="004B59C3" w:rsidP="007024B0">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La signature à Rabat le 6 mars 2018 d’une convention de partenariat entre l’Alliance israélite universelle et Archives du Maroc afin d’échanger des copies numériques d’archives et mener ensemble des programmes culturels sur l’histoire des Juifs du Maroc. Et lors de cette cérémonie, la Bibliothèque de l’Alliance israélite universelle a remis une copie numérique de 1100 dossiers d’archives retraçant l’histoire de la communauté juive au Maroc pour la période 1862-1940, totalisant 235.630 images et constituant une source précieuse sur l’histoire et les institutions de la communauté juive marocaine.</w:t>
      </w:r>
    </w:p>
    <w:p w14:paraId="3806436F" w14:textId="77777777" w:rsidR="004B59C3" w:rsidRPr="00F0660E" w:rsidRDefault="004B59C3" w:rsidP="007024B0">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La signature d’un accord de coopération, le 7 mai 2018 à Rabat, entre le « United States Holocaust Memorial Museum » à Washington D.C., et Archives du Maroc pour le partage des documents sur les Juifs d’Afrique du Nord pendant la seconde guerre mondiale tenue par chacune des deux institutions. Cet accord permettra d’élargir les fonds d’archives du Musée sur cet aspect peu étudié de l’histoire et permettra aux chercheurs d’Afrique du Nord, d’Europe et du monde entier de mener des recherches au Maroc et au Musée.</w:t>
      </w:r>
    </w:p>
    <w:p w14:paraId="38064370" w14:textId="77777777" w:rsidR="004B59C3" w:rsidRPr="00F0660E" w:rsidRDefault="004B59C3" w:rsidP="004B59C3">
      <w:pPr>
        <w:rPr>
          <w:rFonts w:ascii="Times New Roman" w:eastAsia="Times New Roman" w:hAnsi="Times New Roman" w:cs="Times New Roman"/>
          <w:sz w:val="20"/>
          <w:szCs w:val="20"/>
          <w:lang w:eastAsia="fr-FR"/>
        </w:rPr>
      </w:pPr>
    </w:p>
    <w:p w14:paraId="38064371" w14:textId="77777777" w:rsidR="004B59C3" w:rsidRPr="00F0660E" w:rsidRDefault="004B59C3" w:rsidP="007024B0">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L’entretien séculaire par le Royaume de cet </w:t>
      </w:r>
      <w:r w:rsidRPr="00F77BB6">
        <w:rPr>
          <w:rFonts w:ascii="Times New Roman" w:eastAsia="Times New Roman" w:hAnsi="Times New Roman" w:cs="Times New Roman"/>
          <w:b/>
          <w:bCs/>
          <w:sz w:val="20"/>
          <w:szCs w:val="20"/>
          <w:lang w:eastAsia="fr-FR"/>
        </w:rPr>
        <w:t>esprit de tolérance et de dialogue entre les religions</w:t>
      </w:r>
      <w:r w:rsidRPr="00F0660E">
        <w:rPr>
          <w:rFonts w:ascii="Times New Roman" w:eastAsia="Times New Roman" w:hAnsi="Times New Roman" w:cs="Times New Roman"/>
          <w:sz w:val="20"/>
          <w:szCs w:val="20"/>
          <w:lang w:eastAsia="fr-FR"/>
        </w:rPr>
        <w:t xml:space="preserve"> continue aujourd’hui à travers plusieurs événements significatifs, notamment :</w:t>
      </w:r>
    </w:p>
    <w:p w14:paraId="38064372" w14:textId="77777777" w:rsidR="004B59C3" w:rsidRPr="00F0660E" w:rsidRDefault="004B59C3" w:rsidP="007024B0">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L’organisation, en collaboration avec l'OIF et l’OIESC, de la Conférence internationale pour le dialogue des cultures et des religions, en octobre 2013 à Fès.</w:t>
      </w:r>
    </w:p>
    <w:p w14:paraId="38064373" w14:textId="77777777" w:rsidR="004B59C3" w:rsidRPr="00F0660E" w:rsidRDefault="004B59C3" w:rsidP="007024B0">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L’ouverture en juillet 2013 à Rabat de l’Institut «Al Mowafaqa» (convergence), fruit d’un partenariat entre Les églises catholiques et protestantes françaises. «C’est la première fois que des étudiants catholiques et protestants suivent des cours communs dans une même salle, au Maroc, un pays musulman», se félicite l’archevêque de Rabat, Mgr Vincent Landel, qui a souhaité le partenariat entre l’Institut Al Mowafaqa de Rabat, l’Institut catholique de Paris et la Faculté de théologie protestante de Strasbourg. L’institut professe également l’ouverture sur les autres religions, en particulier l’Islam ; un cours intitulé «connaître l’Islam», enseigné par un professeur marocain, est prévu dans la formation.</w:t>
      </w:r>
    </w:p>
    <w:p w14:paraId="38064374" w14:textId="77777777" w:rsidR="004B59C3" w:rsidRPr="00F0660E" w:rsidRDefault="004B59C3" w:rsidP="007024B0">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L’organisation, sous le Haut patronage de SM le Roi, à Rabat du Colloque "Réinventer Toumliline ", le 10 octobre 2015, par l’Institut Archives du Maroc, témoigne de cet esprit d’ouverture ancestral.</w:t>
      </w:r>
      <w:r w:rsidRPr="00533CE0">
        <w:rPr>
          <w:rFonts w:ascii="Times New Roman" w:eastAsia="Times New Roman" w:hAnsi="Times New Roman" w:cs="Times New Roman"/>
          <w:sz w:val="20"/>
          <w:szCs w:val="20"/>
          <w:lang w:eastAsia="fr-FR"/>
        </w:rPr>
        <w:footnoteReference w:id="4"/>
      </w:r>
      <w:r w:rsidRPr="00F0660E">
        <w:rPr>
          <w:rFonts w:ascii="Times New Roman" w:eastAsia="Times New Roman" w:hAnsi="Times New Roman" w:cs="Times New Roman"/>
          <w:sz w:val="20"/>
          <w:szCs w:val="20"/>
          <w:lang w:eastAsia="fr-FR"/>
        </w:rPr>
        <w:t xml:space="preserve"> </w:t>
      </w:r>
    </w:p>
    <w:p w14:paraId="38064375" w14:textId="77777777" w:rsidR="004B59C3" w:rsidRPr="00F0660E" w:rsidRDefault="004B59C3" w:rsidP="007024B0">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L’organisation, sous le Haut patronage de SM le Roi, à Marrakech les 25-27 janvier 2016, du Congrès sur “Les droits des minorités religieuses en terre d’Islam : Le cadre juridique et l’appel à l’action”. Lequel congrès a réuni plus de 300 personnalités, Oulémas, intellectuels, ministres, muftis, et chefs religieux musulmans, de différents rites et tendances, de plus l’organisation de la Conférence internationale pour le dialogue des cultures et des religions, en octobre 2013 à Fès de 120 pays, convaincus de la pertinence et de la gravité des enjeux liés à cette topique.</w:t>
      </w:r>
    </w:p>
    <w:p w14:paraId="38064376" w14:textId="77777777" w:rsidR="004B59C3" w:rsidRPr="00F0660E" w:rsidRDefault="004B59C3" w:rsidP="007024B0">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L’organisation sous le Haut patronage de SM le Roi, en collaboration avec l'OIF et l’OIESC, de la deuxième édition de la Conférence internationale pour le dialogue des cultures et des religions sous le thème : "Altérité en questions", les 10-12 septembre 2018 à Fès.</w:t>
      </w:r>
    </w:p>
    <w:p w14:paraId="38064377" w14:textId="77777777" w:rsidR="004B59C3" w:rsidRPr="00F0660E" w:rsidRDefault="004B59C3" w:rsidP="007024B0">
      <w:pPr>
        <w:pStyle w:val="ListParagraph"/>
        <w:numPr>
          <w:ilvl w:val="0"/>
          <w:numId w:val="2"/>
        </w:numPr>
        <w:ind w:hanging="153"/>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Le même principe a été soutenu par Sa Majesté le Roi dans son message adressé aux participants à l’événement de haut niveau, organisé par l'UNESCO le 27 septembre 2018, en marge de la 73e Assemblée générale des Nations Unies sur le thème « l’éducation dans la prévention du racisme et des discriminations : le cas de l’antisémitisme ». Après avoir dénoncé les discours de haine qui se multiplient, alimentant racisme, xénophobie, islamophobie, antisémitisme et bien d’autres formes de discriminations ; lesquels forment le terreau sur lequel prospère l’extrémisme violent et se propage l’insécurité, SM le Roi rappelle que « la bataille contre ces fléaux ne s’improvise pas. Elle n’est ni militaire ni budgétaire ; elle est, avant tout, pédagogique et culturelle. Ce combat porte un nom : l’éducation. Et dans l’intérêt de nos enfants, il importe que nous le remportions car ce sont eux qui en seront les bénéficiaires et les ambassadeurs ». </w:t>
      </w:r>
    </w:p>
    <w:p w14:paraId="38064378" w14:textId="77777777" w:rsidR="004B59C3" w:rsidRPr="00F0660E" w:rsidRDefault="004B59C3" w:rsidP="007024B0">
      <w:pPr>
        <w:pStyle w:val="ListParagraph"/>
        <w:ind w:firstLine="0"/>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L’éducation est la seule réussite qui peut, toujours, se prévaloir d’être à la fois individuelle et collective. Elle possède ce pouvoir insigne – et essentiel – de dépasser la crainte de l’Autre, de refuser les amalgames et de déconstruire les préjugés. Antidote puissant et arme salutaire, elle est également le ciment de la cohésion, un vecteur de l’égalité et une condition sine qua non du développement ».</w:t>
      </w:r>
    </w:p>
    <w:p w14:paraId="38064379" w14:textId="77777777" w:rsidR="004B59C3" w:rsidRPr="00F0660E" w:rsidRDefault="004B59C3" w:rsidP="004B59C3">
      <w:pPr>
        <w:rPr>
          <w:rFonts w:ascii="Times New Roman" w:eastAsia="Times New Roman" w:hAnsi="Times New Roman" w:cs="Times New Roman"/>
          <w:sz w:val="20"/>
          <w:szCs w:val="20"/>
          <w:lang w:eastAsia="fr-FR"/>
        </w:rPr>
      </w:pPr>
    </w:p>
    <w:p w14:paraId="3806437A" w14:textId="77777777" w:rsidR="004B59C3" w:rsidRDefault="004B59C3" w:rsidP="007024B0">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Le Maroc a également organisé en novembre 2015 à Fès, en collaboration avec l’Office du Conseiller spécial des Nations Unies pour la Prévention du Génocide et le Centre international du Roi Abdullah bin Abdulaziz pour le Dialogue Interreligieux et Interculturel, un </w:t>
      </w:r>
      <w:r w:rsidRPr="00F77BB6">
        <w:rPr>
          <w:rFonts w:ascii="Times New Roman" w:eastAsia="Times New Roman" w:hAnsi="Times New Roman" w:cs="Times New Roman"/>
          <w:b/>
          <w:bCs/>
          <w:sz w:val="20"/>
          <w:szCs w:val="20"/>
          <w:lang w:eastAsia="fr-FR"/>
        </w:rPr>
        <w:t>Forum sur le rôle des chefs religieux dans la prévention de l'incitation à la haine</w:t>
      </w:r>
      <w:r w:rsidRPr="00F0660E">
        <w:rPr>
          <w:rFonts w:ascii="Times New Roman" w:eastAsia="Times New Roman" w:hAnsi="Times New Roman" w:cs="Times New Roman"/>
          <w:sz w:val="20"/>
          <w:szCs w:val="20"/>
          <w:lang w:eastAsia="fr-FR"/>
        </w:rPr>
        <w:t xml:space="preserve"> donnant lieu à des crimes atroces. Ce Forum a développé un «Plan d’action pour la prévention de l’incitation à la violence qui pourrait conduire à des crimes d’atrocité », qui sera finalisé à l’issue de l’organisation, par les NU, de cinq réunions régionales qui se dérouleront en 2016.</w:t>
      </w:r>
    </w:p>
    <w:p w14:paraId="3806437B" w14:textId="77777777" w:rsidR="00533CE0" w:rsidRPr="00F0660E" w:rsidRDefault="00533CE0" w:rsidP="00533CE0">
      <w:pPr>
        <w:ind w:left="426" w:firstLine="0"/>
        <w:jc w:val="both"/>
        <w:rPr>
          <w:rFonts w:ascii="Times New Roman" w:eastAsia="Times New Roman" w:hAnsi="Times New Roman" w:cs="Times New Roman"/>
          <w:sz w:val="20"/>
          <w:szCs w:val="20"/>
          <w:lang w:eastAsia="fr-FR"/>
        </w:rPr>
      </w:pPr>
    </w:p>
    <w:p w14:paraId="3806437C" w14:textId="77777777" w:rsidR="004B59C3" w:rsidRDefault="004B59C3" w:rsidP="007024B0">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Le Maroc a aussi organisé un colloque international à Rabat le 23 octobre 2017, sur le thème "Le </w:t>
      </w:r>
      <w:r w:rsidRPr="00A438A4">
        <w:rPr>
          <w:rFonts w:ascii="Times New Roman" w:eastAsia="Times New Roman" w:hAnsi="Times New Roman" w:cs="Times New Roman"/>
          <w:b/>
          <w:bCs/>
          <w:sz w:val="20"/>
          <w:szCs w:val="20"/>
          <w:lang w:eastAsia="fr-FR"/>
        </w:rPr>
        <w:t>rôle des médias dans la lutte contre le discours de haine</w:t>
      </w:r>
      <w:r w:rsidRPr="00F0660E">
        <w:rPr>
          <w:rFonts w:ascii="Times New Roman" w:eastAsia="Times New Roman" w:hAnsi="Times New Roman" w:cs="Times New Roman"/>
          <w:sz w:val="20"/>
          <w:szCs w:val="20"/>
          <w:lang w:eastAsia="fr-FR"/>
        </w:rPr>
        <w:t>", en coopération avec la Commission permanente des droits de l'Homme de l'OCI et le HCDH.</w:t>
      </w:r>
    </w:p>
    <w:p w14:paraId="3806437D" w14:textId="77777777" w:rsidR="00533CE0" w:rsidRDefault="00533CE0" w:rsidP="00533CE0">
      <w:pPr>
        <w:pStyle w:val="ListParagraph"/>
        <w:rPr>
          <w:rFonts w:ascii="Times New Roman" w:eastAsia="Times New Roman" w:hAnsi="Times New Roman" w:cs="Times New Roman"/>
          <w:sz w:val="20"/>
          <w:szCs w:val="20"/>
          <w:lang w:eastAsia="fr-FR"/>
        </w:rPr>
      </w:pPr>
    </w:p>
    <w:p w14:paraId="3806437E" w14:textId="77777777" w:rsidR="004B59C3" w:rsidRDefault="004B59C3" w:rsidP="007024B0">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Les 6 et 7 décembre 2017, le Gouvernement marocain et le HCDH ont organisé à Rabat un Séminaire international sur </w:t>
      </w:r>
      <w:r w:rsidRPr="00A438A4">
        <w:rPr>
          <w:rFonts w:ascii="Times New Roman" w:eastAsia="Times New Roman" w:hAnsi="Times New Roman" w:cs="Times New Roman"/>
          <w:b/>
          <w:bCs/>
          <w:sz w:val="20"/>
          <w:szCs w:val="20"/>
          <w:lang w:eastAsia="fr-FR"/>
        </w:rPr>
        <w:t>le suivi du Plan d'action de Rabat sur l'interdiction de l'appel à la haine</w:t>
      </w:r>
      <w:r w:rsidRPr="00F0660E">
        <w:rPr>
          <w:rFonts w:ascii="Times New Roman" w:eastAsia="Times New Roman" w:hAnsi="Times New Roman" w:cs="Times New Roman"/>
          <w:sz w:val="20"/>
          <w:szCs w:val="20"/>
          <w:lang w:eastAsia="fr-FR"/>
        </w:rPr>
        <w:t xml:space="preserve"> nationale, raciale ou religieuse (Rabat+5 Symposium), auquel ont participé des experts de l'ONU, des pays membres, et des ONG, ainsi que des universitaires venus de 16 pays.</w:t>
      </w:r>
    </w:p>
    <w:p w14:paraId="3806437F" w14:textId="77777777" w:rsidR="00533CE0" w:rsidRDefault="00533CE0" w:rsidP="00533CE0">
      <w:pPr>
        <w:pStyle w:val="ListParagraph"/>
        <w:rPr>
          <w:rFonts w:ascii="Times New Roman" w:eastAsia="Times New Roman" w:hAnsi="Times New Roman" w:cs="Times New Roman"/>
          <w:sz w:val="20"/>
          <w:szCs w:val="20"/>
          <w:lang w:eastAsia="fr-FR"/>
        </w:rPr>
      </w:pPr>
    </w:p>
    <w:p w14:paraId="38064380" w14:textId="77777777" w:rsidR="004B59C3" w:rsidRDefault="004B59C3" w:rsidP="007024B0">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De son côté, la HACA a développé un </w:t>
      </w:r>
      <w:r w:rsidRPr="00A438A4">
        <w:rPr>
          <w:rFonts w:ascii="Times New Roman" w:eastAsia="Times New Roman" w:hAnsi="Times New Roman" w:cs="Times New Roman"/>
          <w:b/>
          <w:bCs/>
          <w:sz w:val="20"/>
          <w:szCs w:val="20"/>
          <w:lang w:eastAsia="fr-FR"/>
        </w:rPr>
        <w:t>baromètre de la diversité culturelle et linguistique</w:t>
      </w:r>
      <w:r w:rsidRPr="00F0660E">
        <w:rPr>
          <w:rFonts w:ascii="Times New Roman" w:eastAsia="Times New Roman" w:hAnsi="Times New Roman" w:cs="Times New Roman"/>
          <w:sz w:val="20"/>
          <w:szCs w:val="20"/>
          <w:lang w:eastAsia="fr-FR"/>
        </w:rPr>
        <w:t xml:space="preserve"> dans le cadre de suivi des programmes, ainsi qu’un indicateur du discours de la haine dit « Indicateur de Rabat » dans le cadre du suivi de la mise en œuvre du plan d’action de Rabat relatif à l'interdiction de tout appel à la haine nationale, raciale ou religieuse qui constitue une incitation à la discrimination, à l'hostilité ou la violence.</w:t>
      </w:r>
    </w:p>
    <w:p w14:paraId="38064381" w14:textId="77777777" w:rsidR="00533CE0" w:rsidRDefault="00533CE0" w:rsidP="00533CE0">
      <w:pPr>
        <w:pStyle w:val="ListParagraph"/>
        <w:rPr>
          <w:rFonts w:ascii="Times New Roman" w:eastAsia="Times New Roman" w:hAnsi="Times New Roman" w:cs="Times New Roman"/>
          <w:sz w:val="20"/>
          <w:szCs w:val="20"/>
          <w:lang w:eastAsia="fr-FR"/>
        </w:rPr>
      </w:pPr>
    </w:p>
    <w:p w14:paraId="38064382" w14:textId="77777777" w:rsidR="00533CE0" w:rsidRDefault="004B59C3" w:rsidP="007024B0">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Le Maroc s’est également aligné à l’initiative du Conseil de l’Europe de 2013 intitulée “No hate speech ”, en organisant une </w:t>
      </w:r>
      <w:r w:rsidRPr="00A438A4">
        <w:rPr>
          <w:rFonts w:ascii="Times New Roman" w:eastAsia="Times New Roman" w:hAnsi="Times New Roman" w:cs="Times New Roman"/>
          <w:b/>
          <w:bCs/>
          <w:sz w:val="20"/>
          <w:szCs w:val="20"/>
          <w:lang w:eastAsia="fr-FR"/>
        </w:rPr>
        <w:t>campagne nationale sous le thème "Non au discours de la haine au Maroc</w:t>
      </w:r>
      <w:r w:rsidRPr="00F0660E">
        <w:rPr>
          <w:rFonts w:ascii="Times New Roman" w:eastAsia="Times New Roman" w:hAnsi="Times New Roman" w:cs="Times New Roman"/>
          <w:sz w:val="20"/>
          <w:szCs w:val="20"/>
          <w:lang w:eastAsia="fr-FR"/>
        </w:rPr>
        <w:t>". Cette initiative qui a été d’abord présentée à l’occasion du Forum mondial des droits de l'homme à Marrakech, a ensuite été officiellement lancée à l’occasion de la journée d’étude organisée à cet effet par la Chambre des conseillers en partenariat avec le Conseil de l’Europe, le 6 juin 2016 à Rabat.</w:t>
      </w:r>
    </w:p>
    <w:p w14:paraId="38064383" w14:textId="77777777" w:rsidR="00533CE0" w:rsidRDefault="00533CE0" w:rsidP="00533CE0">
      <w:pPr>
        <w:pStyle w:val="ListParagraph"/>
        <w:rPr>
          <w:rFonts w:ascii="Times New Roman" w:eastAsia="Times New Roman" w:hAnsi="Times New Roman" w:cs="Times New Roman"/>
          <w:sz w:val="20"/>
          <w:szCs w:val="20"/>
          <w:lang w:eastAsia="fr-FR"/>
        </w:rPr>
      </w:pPr>
    </w:p>
    <w:p w14:paraId="38064384" w14:textId="77777777" w:rsidR="004B59C3" w:rsidRDefault="004B59C3" w:rsidP="007024B0">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En matière de </w:t>
      </w:r>
      <w:r w:rsidRPr="00A438A4">
        <w:rPr>
          <w:rFonts w:ascii="Times New Roman" w:eastAsia="Times New Roman" w:hAnsi="Times New Roman" w:cs="Times New Roman"/>
          <w:b/>
          <w:bCs/>
          <w:sz w:val="20"/>
          <w:szCs w:val="20"/>
          <w:lang w:eastAsia="fr-FR"/>
        </w:rPr>
        <w:t>liberté de culte</w:t>
      </w:r>
      <w:r w:rsidRPr="00F0660E">
        <w:rPr>
          <w:rFonts w:ascii="Times New Roman" w:eastAsia="Times New Roman" w:hAnsi="Times New Roman" w:cs="Times New Roman"/>
          <w:sz w:val="20"/>
          <w:szCs w:val="20"/>
          <w:lang w:eastAsia="fr-FR"/>
        </w:rPr>
        <w:t xml:space="preserve">, la Constitution marocaine, dans son article 25, «garantit la liberté de pensée et d’expression sous toutes ses formes en conformité avec les droits humains universels». Par ailleurs, ces dernières années une stratégie intégrée et multidimensionnelle voit le jour, visant à mettre à niveau l’encadrement du champ religieux et assurer son renouveau. </w:t>
      </w:r>
    </w:p>
    <w:p w14:paraId="38064385" w14:textId="77777777" w:rsidR="00533CE0" w:rsidRDefault="00533CE0" w:rsidP="00533CE0">
      <w:pPr>
        <w:pStyle w:val="ListParagraph"/>
        <w:rPr>
          <w:rFonts w:ascii="Times New Roman" w:eastAsia="Times New Roman" w:hAnsi="Times New Roman" w:cs="Times New Roman"/>
          <w:sz w:val="20"/>
          <w:szCs w:val="20"/>
          <w:lang w:eastAsia="fr-FR"/>
        </w:rPr>
      </w:pPr>
    </w:p>
    <w:p w14:paraId="38064386" w14:textId="77777777" w:rsidR="004B59C3" w:rsidRDefault="004B59C3" w:rsidP="007024B0">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Plusieurs dahirs sont parus au BO du 1er juillet 2014, dont deux importants "règlementent l’activité des religieux" et posent les constantes des </w:t>
      </w:r>
      <w:r w:rsidRPr="00A438A4">
        <w:rPr>
          <w:rFonts w:ascii="Times New Roman" w:eastAsia="Times New Roman" w:hAnsi="Times New Roman" w:cs="Times New Roman"/>
          <w:b/>
          <w:bCs/>
          <w:sz w:val="20"/>
          <w:szCs w:val="20"/>
          <w:lang w:eastAsia="fr-FR"/>
        </w:rPr>
        <w:t>missions religieuses des prédicateurs et des Imams</w:t>
      </w:r>
      <w:r w:rsidRPr="00F0660E">
        <w:rPr>
          <w:rFonts w:ascii="Times New Roman" w:eastAsia="Times New Roman" w:hAnsi="Times New Roman" w:cs="Times New Roman"/>
          <w:sz w:val="20"/>
          <w:szCs w:val="20"/>
          <w:lang w:eastAsia="fr-FR"/>
        </w:rPr>
        <w:t>, notamment le respect du rite Malékite, l’accomplissement des prières et des prêches conformément à la charia islamique, ainsi que la création d’un institut de formation.</w:t>
      </w:r>
    </w:p>
    <w:p w14:paraId="38064387" w14:textId="77777777" w:rsidR="00A438A4" w:rsidRDefault="00A438A4" w:rsidP="00A438A4">
      <w:pPr>
        <w:pStyle w:val="ListParagraph"/>
        <w:rPr>
          <w:rFonts w:ascii="Times New Roman" w:eastAsia="Times New Roman" w:hAnsi="Times New Roman" w:cs="Times New Roman"/>
          <w:sz w:val="20"/>
          <w:szCs w:val="20"/>
          <w:lang w:eastAsia="fr-FR"/>
        </w:rPr>
      </w:pPr>
    </w:p>
    <w:p w14:paraId="38064388" w14:textId="77777777" w:rsidR="004B59C3" w:rsidRDefault="004B59C3" w:rsidP="007024B0">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L’Institut Mohammed VI de formation des Imams prédicateurs et des prédicatrices, inauguré le 27 mars 2015 est destiné à la qualification des préposés à </w:t>
      </w:r>
      <w:r w:rsidRPr="00A438A4">
        <w:rPr>
          <w:rFonts w:ascii="Times New Roman" w:eastAsia="Times New Roman" w:hAnsi="Times New Roman" w:cs="Times New Roman"/>
          <w:b/>
          <w:bCs/>
          <w:sz w:val="20"/>
          <w:szCs w:val="20"/>
          <w:lang w:eastAsia="fr-FR"/>
        </w:rPr>
        <w:t>l’encadrement religieux</w:t>
      </w:r>
      <w:r w:rsidRPr="00F0660E">
        <w:rPr>
          <w:rFonts w:ascii="Times New Roman" w:eastAsia="Times New Roman" w:hAnsi="Times New Roman" w:cs="Times New Roman"/>
          <w:sz w:val="20"/>
          <w:szCs w:val="20"/>
          <w:lang w:eastAsia="fr-FR"/>
        </w:rPr>
        <w:t>. La formation au sein de l’Institut est dispensée dans le respect des particularités des pays de provenance des élèves-imams.</w:t>
      </w:r>
    </w:p>
    <w:p w14:paraId="38064389" w14:textId="77777777" w:rsidR="00533CE0" w:rsidRPr="00F0660E" w:rsidRDefault="00533CE0" w:rsidP="00533CE0">
      <w:pPr>
        <w:ind w:left="426" w:firstLine="0"/>
        <w:jc w:val="both"/>
        <w:rPr>
          <w:rFonts w:ascii="Times New Roman" w:eastAsia="Times New Roman" w:hAnsi="Times New Roman" w:cs="Times New Roman"/>
          <w:sz w:val="20"/>
          <w:szCs w:val="20"/>
          <w:lang w:eastAsia="fr-FR"/>
        </w:rPr>
      </w:pPr>
    </w:p>
    <w:p w14:paraId="3806438A" w14:textId="77777777" w:rsidR="004B59C3" w:rsidRDefault="004B59C3" w:rsidP="007024B0">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Un plan de soutien pour l'encadrement religieux local, auquel SM le Roi a donné le coup d'envoi le 30 juillet 2014, est assuré par plus de 1300 Imams-Morchidines/Morchidates officiant dans toutes les régions du Royaume, afin de consolider le modèle "original" du Maroc en matière de gestion de la chose religieuse. « Ce modèle repose également sur la volonté de dispenser une formation scientifique et religieuse éclairée. Celle-ci doit être imprégnée des valeurs prônant la modération, le juste milieu et la préservation des constantes islamiques, parallèlement et en concomitance avec l'effort imaginatif de l'Ijtihad et l'ouverture d'esprit. Car il s'agit de veiller à une parfaite concordance entre notre sainte religion et nos choix nationaux, ainsi que les impératifs des temps modernes ».</w:t>
      </w:r>
      <w:r w:rsidRPr="00533CE0">
        <w:rPr>
          <w:rStyle w:val="FootnoteReference"/>
          <w:rFonts w:eastAsia="Times New Roman"/>
          <w:sz w:val="20"/>
          <w:szCs w:val="20"/>
          <w:lang w:val="fr-FR" w:eastAsia="fr-FR"/>
        </w:rPr>
        <w:footnoteReference w:id="5"/>
      </w:r>
    </w:p>
    <w:p w14:paraId="3806438B" w14:textId="77777777" w:rsidR="00533CE0" w:rsidRDefault="00533CE0" w:rsidP="00533CE0">
      <w:pPr>
        <w:pStyle w:val="ListParagraph"/>
        <w:rPr>
          <w:rFonts w:ascii="Times New Roman" w:eastAsia="Times New Roman" w:hAnsi="Times New Roman" w:cs="Times New Roman"/>
          <w:sz w:val="20"/>
          <w:szCs w:val="20"/>
          <w:lang w:eastAsia="fr-FR"/>
        </w:rPr>
      </w:pPr>
    </w:p>
    <w:p w14:paraId="3806438C" w14:textId="77777777" w:rsidR="004B59C3" w:rsidRDefault="004B59C3" w:rsidP="007024B0">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En juillet 2015 a été créée la </w:t>
      </w:r>
      <w:r w:rsidRPr="00840DB6">
        <w:rPr>
          <w:rFonts w:ascii="Times New Roman" w:eastAsia="Times New Roman" w:hAnsi="Times New Roman" w:cs="Times New Roman"/>
          <w:b/>
          <w:bCs/>
          <w:sz w:val="20"/>
          <w:szCs w:val="20"/>
          <w:lang w:eastAsia="fr-FR"/>
        </w:rPr>
        <w:t>Fondation Mohammed VI des</w:t>
      </w:r>
      <w:r w:rsidRPr="00F0660E">
        <w:rPr>
          <w:rFonts w:ascii="Times New Roman" w:eastAsia="Times New Roman" w:hAnsi="Times New Roman" w:cs="Times New Roman"/>
          <w:sz w:val="20"/>
          <w:szCs w:val="20"/>
          <w:lang w:eastAsia="fr-FR"/>
        </w:rPr>
        <w:t xml:space="preserve"> </w:t>
      </w:r>
      <w:r w:rsidRPr="00A438A4">
        <w:rPr>
          <w:rFonts w:ascii="Times New Roman" w:eastAsia="Times New Roman" w:hAnsi="Times New Roman" w:cs="Times New Roman"/>
          <w:b/>
          <w:bCs/>
          <w:sz w:val="20"/>
          <w:szCs w:val="20"/>
          <w:lang w:eastAsia="fr-FR"/>
        </w:rPr>
        <w:t>Oulémas africains</w:t>
      </w:r>
      <w:r w:rsidRPr="00F0660E">
        <w:rPr>
          <w:rFonts w:ascii="Times New Roman" w:eastAsia="Times New Roman" w:hAnsi="Times New Roman" w:cs="Times New Roman"/>
          <w:sz w:val="20"/>
          <w:szCs w:val="20"/>
          <w:lang w:eastAsia="fr-FR"/>
        </w:rPr>
        <w:t>, une instance destinée à unifier et coordonner les efforts des oulémas musulmans, au Maroc et dans les autres Etats africains, en vue de faire connaître les valeurs de l’Islam tolérant, de les diffuser et de les consolider.</w:t>
      </w:r>
    </w:p>
    <w:p w14:paraId="3806438D" w14:textId="77777777" w:rsidR="00533CE0" w:rsidRDefault="00533CE0" w:rsidP="00533CE0">
      <w:pPr>
        <w:pStyle w:val="ListParagraph"/>
        <w:rPr>
          <w:rFonts w:ascii="Times New Roman" w:eastAsia="Times New Roman" w:hAnsi="Times New Roman" w:cs="Times New Roman"/>
          <w:sz w:val="20"/>
          <w:szCs w:val="20"/>
          <w:lang w:eastAsia="fr-FR"/>
        </w:rPr>
      </w:pPr>
    </w:p>
    <w:p w14:paraId="3806438E" w14:textId="77777777" w:rsidR="004B59C3" w:rsidRPr="00F0660E" w:rsidRDefault="004B59C3" w:rsidP="007024B0">
      <w:pPr>
        <w:numPr>
          <w:ilvl w:val="0"/>
          <w:numId w:val="1"/>
        </w:numPr>
        <w:ind w:left="426" w:hanging="284"/>
        <w:jc w:val="both"/>
        <w:rPr>
          <w:rFonts w:ascii="Times New Roman" w:eastAsia="Times New Roman" w:hAnsi="Times New Roman" w:cs="Times New Roman"/>
          <w:sz w:val="20"/>
          <w:szCs w:val="20"/>
          <w:lang w:eastAsia="fr-FR"/>
        </w:rPr>
      </w:pPr>
      <w:r w:rsidRPr="00F0660E">
        <w:rPr>
          <w:rFonts w:ascii="Times New Roman" w:eastAsia="Times New Roman" w:hAnsi="Times New Roman" w:cs="Times New Roman"/>
          <w:sz w:val="20"/>
          <w:szCs w:val="20"/>
          <w:lang w:eastAsia="fr-FR"/>
        </w:rPr>
        <w:t xml:space="preserve">En Mars 2014, le Maroc a signé sans </w:t>
      </w:r>
      <w:r w:rsidR="00A438A4" w:rsidRPr="00F0660E">
        <w:rPr>
          <w:rFonts w:ascii="Times New Roman" w:eastAsia="Times New Roman" w:hAnsi="Times New Roman" w:cs="Times New Roman"/>
          <w:sz w:val="20"/>
          <w:szCs w:val="20"/>
          <w:lang w:eastAsia="fr-FR"/>
        </w:rPr>
        <w:t>réserve</w:t>
      </w:r>
      <w:r w:rsidRPr="00F0660E">
        <w:rPr>
          <w:rFonts w:ascii="Times New Roman" w:eastAsia="Times New Roman" w:hAnsi="Times New Roman" w:cs="Times New Roman"/>
          <w:sz w:val="20"/>
          <w:szCs w:val="20"/>
          <w:lang w:eastAsia="fr-FR"/>
        </w:rPr>
        <w:t xml:space="preserve"> la </w:t>
      </w:r>
      <w:r w:rsidRPr="00A438A4">
        <w:rPr>
          <w:rFonts w:ascii="Times New Roman" w:eastAsia="Times New Roman" w:hAnsi="Times New Roman" w:cs="Times New Roman"/>
          <w:b/>
          <w:bCs/>
          <w:sz w:val="20"/>
          <w:szCs w:val="20"/>
          <w:lang w:eastAsia="fr-FR"/>
        </w:rPr>
        <w:t>résolution, A/HRC/25/L.19, portant sur la Liberté de Religion ou de Croyance</w:t>
      </w:r>
      <w:r w:rsidRPr="00F0660E">
        <w:rPr>
          <w:rFonts w:ascii="Times New Roman" w:eastAsia="Times New Roman" w:hAnsi="Times New Roman" w:cs="Times New Roman"/>
          <w:sz w:val="20"/>
          <w:szCs w:val="20"/>
          <w:lang w:eastAsia="fr-FR"/>
        </w:rPr>
        <w:t xml:space="preserve">, présentée à la 25ème session du CDH. Celle-ci prône notamment que "Chacun a droit à la liberté de pensée, de conscience et de religion ou de conviction, notamment la liberté d’avoir, de ne pas avoir ou de choisir une religion ou une conviction et de la manifester, individuellement ou collectivement, tant en public qu’en privé, par l’enseignement, les pratiques, le culte et l’accomplissement de rites, y compris le droit de changer de religion ou de conviction". </w:t>
      </w:r>
    </w:p>
    <w:p w14:paraId="3806438F" w14:textId="77777777" w:rsidR="004B59C3" w:rsidRPr="00F0660E" w:rsidRDefault="004B59C3" w:rsidP="004B59C3">
      <w:pPr>
        <w:rPr>
          <w:rFonts w:ascii="Times New Roman" w:eastAsia="Times New Roman" w:hAnsi="Times New Roman" w:cs="Times New Roman"/>
          <w:sz w:val="20"/>
          <w:szCs w:val="20"/>
          <w:lang w:eastAsia="fr-FR"/>
        </w:rPr>
      </w:pPr>
    </w:p>
    <w:p w14:paraId="38064390" w14:textId="77777777" w:rsidR="004B59C3" w:rsidRPr="00F0660E" w:rsidRDefault="004B59C3">
      <w:pPr>
        <w:rPr>
          <w:rFonts w:ascii="Times New Roman" w:eastAsia="Times New Roman" w:hAnsi="Times New Roman" w:cs="Times New Roman"/>
          <w:sz w:val="20"/>
          <w:szCs w:val="20"/>
          <w:lang w:eastAsia="fr-FR"/>
        </w:rPr>
      </w:pPr>
    </w:p>
    <w:sectPr w:rsidR="004B59C3" w:rsidRPr="00F0660E">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064395" w14:textId="77777777" w:rsidR="008505FE" w:rsidRDefault="008505FE" w:rsidP="00221070">
      <w:r>
        <w:separator/>
      </w:r>
    </w:p>
  </w:endnote>
  <w:endnote w:type="continuationSeparator" w:id="0">
    <w:p w14:paraId="38064396" w14:textId="77777777" w:rsidR="008505FE" w:rsidRDefault="008505FE" w:rsidP="00221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64399" w14:textId="77777777" w:rsidR="004758A6" w:rsidRDefault="004758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5647382"/>
      <w:docPartObj>
        <w:docPartGallery w:val="Page Numbers (Bottom of Page)"/>
        <w:docPartUnique/>
      </w:docPartObj>
    </w:sdtPr>
    <w:sdtEndPr/>
    <w:sdtContent>
      <w:p w14:paraId="3806439A" w14:textId="408FC35B" w:rsidR="004758A6" w:rsidRDefault="004758A6">
        <w:pPr>
          <w:pStyle w:val="Footer"/>
          <w:jc w:val="center"/>
        </w:pPr>
        <w:r>
          <w:fldChar w:fldCharType="begin"/>
        </w:r>
        <w:r>
          <w:instrText>PAGE   \* MERGEFORMAT</w:instrText>
        </w:r>
        <w:r>
          <w:fldChar w:fldCharType="separate"/>
        </w:r>
        <w:r w:rsidR="00044C6F">
          <w:rPr>
            <w:noProof/>
          </w:rPr>
          <w:t>1</w:t>
        </w:r>
        <w:r>
          <w:fldChar w:fldCharType="end"/>
        </w:r>
      </w:p>
    </w:sdtContent>
  </w:sdt>
  <w:p w14:paraId="3806439B" w14:textId="77777777" w:rsidR="004758A6" w:rsidRDefault="004758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6439D" w14:textId="77777777" w:rsidR="004758A6" w:rsidRDefault="004758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064393" w14:textId="77777777" w:rsidR="008505FE" w:rsidRDefault="008505FE" w:rsidP="00221070">
      <w:r>
        <w:separator/>
      </w:r>
    </w:p>
  </w:footnote>
  <w:footnote w:type="continuationSeparator" w:id="0">
    <w:p w14:paraId="38064394" w14:textId="77777777" w:rsidR="008505FE" w:rsidRDefault="008505FE" w:rsidP="00221070">
      <w:r>
        <w:continuationSeparator/>
      </w:r>
    </w:p>
  </w:footnote>
  <w:footnote w:id="1">
    <w:p w14:paraId="3806439E" w14:textId="77777777" w:rsidR="00221070" w:rsidRPr="00286270" w:rsidRDefault="00221070" w:rsidP="009E4E68">
      <w:pPr>
        <w:pStyle w:val="FootnoteText"/>
        <w:rPr>
          <w:rFonts w:asciiTheme="majorBidi" w:hAnsiTheme="majorBidi" w:cstheme="majorBidi"/>
          <w:sz w:val="18"/>
          <w:szCs w:val="18"/>
        </w:rPr>
      </w:pPr>
      <w:r w:rsidRPr="00A45B6E">
        <w:rPr>
          <w:rStyle w:val="FootnoteReference"/>
          <w:szCs w:val="22"/>
        </w:rPr>
        <w:footnoteRef/>
      </w:r>
      <w:r>
        <w:t xml:space="preserve"> </w:t>
      </w:r>
      <w:r w:rsidR="009E4E68" w:rsidRPr="009E4E68">
        <w:rPr>
          <w:rFonts w:asciiTheme="majorBidi" w:hAnsiTheme="majorBidi" w:cstheme="majorBidi"/>
          <w:sz w:val="18"/>
          <w:szCs w:val="18"/>
        </w:rPr>
        <w:t>Dahir n° 47-17-1 du 30 hijja 1438 (21 septembre 2017) portant promulgation de la loi 14-79 relative à l’Autorité pour la Parité et la Lutte contre toutes les Formes de Discrimination (BO n° 6612, du 12 octobre 2017).</w:t>
      </w:r>
    </w:p>
  </w:footnote>
  <w:footnote w:id="2">
    <w:p w14:paraId="3806439F" w14:textId="77777777" w:rsidR="00221070" w:rsidRDefault="00221070" w:rsidP="00221070">
      <w:r>
        <w:rPr>
          <w:rStyle w:val="FootnoteReference"/>
        </w:rPr>
        <w:footnoteRef/>
      </w:r>
      <w:r>
        <w:t xml:space="preserve"> </w:t>
      </w:r>
      <w:r w:rsidRPr="0054735C">
        <w:rPr>
          <w:rFonts w:asciiTheme="majorBidi" w:hAnsiTheme="majorBidi" w:cstheme="majorBidi"/>
          <w:sz w:val="18"/>
          <w:szCs w:val="18"/>
        </w:rPr>
        <w:t>B</w:t>
      </w:r>
      <w:r w:rsidRPr="00286270">
        <w:rPr>
          <w:rFonts w:asciiTheme="majorBidi" w:hAnsiTheme="majorBidi" w:cstheme="majorBidi"/>
          <w:sz w:val="18"/>
          <w:szCs w:val="18"/>
        </w:rPr>
        <w:t xml:space="preserve">O </w:t>
      </w:r>
      <w:r w:rsidRPr="0054735C">
        <w:rPr>
          <w:rFonts w:asciiTheme="majorBidi" w:hAnsiTheme="majorBidi" w:cstheme="majorBidi"/>
          <w:sz w:val="18"/>
          <w:szCs w:val="18"/>
        </w:rPr>
        <w:t xml:space="preserve">n° 6466, </w:t>
      </w:r>
      <w:r w:rsidRPr="00286270">
        <w:rPr>
          <w:rFonts w:asciiTheme="majorBidi" w:hAnsiTheme="majorBidi" w:cstheme="majorBidi"/>
          <w:sz w:val="18"/>
          <w:szCs w:val="18"/>
        </w:rPr>
        <w:t>du 19 rej</w:t>
      </w:r>
      <w:r>
        <w:rPr>
          <w:rFonts w:asciiTheme="majorBidi" w:hAnsiTheme="majorBidi" w:cstheme="majorBidi"/>
          <w:sz w:val="18"/>
          <w:szCs w:val="18"/>
        </w:rPr>
        <w:t>a</w:t>
      </w:r>
      <w:r w:rsidRPr="00286270">
        <w:rPr>
          <w:rFonts w:asciiTheme="majorBidi" w:hAnsiTheme="majorBidi" w:cstheme="majorBidi"/>
          <w:sz w:val="18"/>
          <w:szCs w:val="18"/>
        </w:rPr>
        <w:t>b 1437 (19-05-</w:t>
      </w:r>
      <w:r w:rsidRPr="0054735C">
        <w:rPr>
          <w:rFonts w:asciiTheme="majorBidi" w:hAnsiTheme="majorBidi" w:cstheme="majorBidi"/>
          <w:sz w:val="18"/>
          <w:szCs w:val="18"/>
        </w:rPr>
        <w:t>2016</w:t>
      </w:r>
      <w:r w:rsidRPr="00286270">
        <w:rPr>
          <w:rFonts w:asciiTheme="majorBidi" w:hAnsiTheme="majorBidi" w:cstheme="majorBidi"/>
          <w:sz w:val="18"/>
          <w:szCs w:val="18"/>
        </w:rPr>
        <w:t>)</w:t>
      </w:r>
      <w:r w:rsidRPr="0054735C">
        <w:rPr>
          <w:rFonts w:asciiTheme="majorBidi" w:hAnsiTheme="majorBidi" w:cstheme="majorBidi"/>
          <w:sz w:val="18"/>
          <w:szCs w:val="18"/>
        </w:rPr>
        <w:t>, pp.750-754</w:t>
      </w:r>
      <w:r w:rsidRPr="00286270">
        <w:rPr>
          <w:rFonts w:asciiTheme="majorBidi" w:hAnsiTheme="majorBidi" w:cstheme="majorBidi"/>
          <w:sz w:val="18"/>
          <w:szCs w:val="18"/>
        </w:rPr>
        <w:t>.</w:t>
      </w:r>
    </w:p>
    <w:p w14:paraId="380643A0" w14:textId="77777777" w:rsidR="00221070" w:rsidRPr="009D487F" w:rsidRDefault="00221070" w:rsidP="00221070">
      <w:pPr>
        <w:pStyle w:val="FootnoteText"/>
        <w:rPr>
          <w:sz w:val="2"/>
          <w:szCs w:val="2"/>
        </w:rPr>
      </w:pPr>
    </w:p>
  </w:footnote>
  <w:footnote w:id="3">
    <w:p w14:paraId="380643A1" w14:textId="77777777" w:rsidR="00221070" w:rsidRPr="0061777A" w:rsidRDefault="00221070" w:rsidP="00221070">
      <w:pPr>
        <w:jc w:val="both"/>
        <w:rPr>
          <w:rFonts w:asciiTheme="majorBidi" w:hAnsiTheme="majorBidi" w:cstheme="majorBidi"/>
          <w:sz w:val="18"/>
          <w:szCs w:val="18"/>
        </w:rPr>
      </w:pPr>
      <w:r>
        <w:rPr>
          <w:rStyle w:val="FootnoteReference"/>
        </w:rPr>
        <w:footnoteRef/>
      </w:r>
      <w:r>
        <w:t xml:space="preserve"> </w:t>
      </w:r>
      <w:r>
        <w:rPr>
          <w:rFonts w:asciiTheme="majorBidi" w:hAnsiTheme="majorBidi" w:cstheme="majorBidi"/>
          <w:sz w:val="18"/>
          <w:szCs w:val="18"/>
        </w:rPr>
        <w:t>C</w:t>
      </w:r>
      <w:r w:rsidRPr="0061777A">
        <w:rPr>
          <w:rFonts w:asciiTheme="majorBidi" w:hAnsiTheme="majorBidi" w:cstheme="majorBidi"/>
          <w:sz w:val="18"/>
          <w:szCs w:val="18"/>
        </w:rPr>
        <w:t xml:space="preserve">onçu sous forme d’espaces </w:t>
      </w:r>
      <w:r>
        <w:rPr>
          <w:rFonts w:asciiTheme="majorBidi" w:hAnsiTheme="majorBidi" w:cstheme="majorBidi"/>
          <w:sz w:val="18"/>
          <w:szCs w:val="18"/>
        </w:rPr>
        <w:t xml:space="preserve">de </w:t>
      </w:r>
      <w:r w:rsidRPr="0061777A">
        <w:rPr>
          <w:rFonts w:asciiTheme="majorBidi" w:hAnsiTheme="majorBidi" w:cstheme="majorBidi"/>
          <w:sz w:val="18"/>
          <w:szCs w:val="18"/>
        </w:rPr>
        <w:t xml:space="preserve">débats ouverts autour des droits humains «classiques» ainsi que des droits humains «émergents», </w:t>
      </w:r>
      <w:r>
        <w:rPr>
          <w:rFonts w:asciiTheme="majorBidi" w:hAnsiTheme="majorBidi" w:cstheme="majorBidi"/>
          <w:sz w:val="18"/>
          <w:szCs w:val="18"/>
        </w:rPr>
        <w:t>l</w:t>
      </w:r>
      <w:r w:rsidRPr="0061777A">
        <w:rPr>
          <w:rFonts w:asciiTheme="majorBidi" w:hAnsiTheme="majorBidi" w:cstheme="majorBidi"/>
          <w:sz w:val="18"/>
          <w:szCs w:val="18"/>
        </w:rPr>
        <w:t xml:space="preserve">e Forum a totalisé plus de 200 espaces d’échange et de formation dont la préparation et le déroulement sont assurés par la société civile, </w:t>
      </w:r>
      <w:r>
        <w:rPr>
          <w:rFonts w:asciiTheme="majorBidi" w:hAnsiTheme="majorBidi" w:cstheme="majorBidi"/>
          <w:sz w:val="18"/>
          <w:szCs w:val="18"/>
        </w:rPr>
        <w:t>l</w:t>
      </w:r>
      <w:r w:rsidRPr="0061777A">
        <w:rPr>
          <w:rFonts w:asciiTheme="majorBidi" w:hAnsiTheme="majorBidi" w:cstheme="majorBidi"/>
          <w:sz w:val="18"/>
          <w:szCs w:val="18"/>
        </w:rPr>
        <w:t xml:space="preserve">es institutions nationales des droits de l’Homme, </w:t>
      </w:r>
      <w:r>
        <w:rPr>
          <w:rFonts w:asciiTheme="majorBidi" w:hAnsiTheme="majorBidi" w:cstheme="majorBidi"/>
          <w:sz w:val="18"/>
          <w:szCs w:val="18"/>
        </w:rPr>
        <w:t>l</w:t>
      </w:r>
      <w:r w:rsidRPr="0061777A">
        <w:rPr>
          <w:rFonts w:asciiTheme="majorBidi" w:hAnsiTheme="majorBidi" w:cstheme="majorBidi"/>
          <w:sz w:val="18"/>
          <w:szCs w:val="18"/>
        </w:rPr>
        <w:t xml:space="preserve">es gouvernements et </w:t>
      </w:r>
      <w:r>
        <w:rPr>
          <w:rFonts w:asciiTheme="majorBidi" w:hAnsiTheme="majorBidi" w:cstheme="majorBidi"/>
          <w:sz w:val="18"/>
          <w:szCs w:val="18"/>
        </w:rPr>
        <w:t>l</w:t>
      </w:r>
      <w:r w:rsidRPr="0061777A">
        <w:rPr>
          <w:rFonts w:asciiTheme="majorBidi" w:hAnsiTheme="majorBidi" w:cstheme="majorBidi"/>
          <w:sz w:val="18"/>
          <w:szCs w:val="18"/>
        </w:rPr>
        <w:t xml:space="preserve">es parlements, </w:t>
      </w:r>
      <w:r>
        <w:rPr>
          <w:rFonts w:asciiTheme="majorBidi" w:hAnsiTheme="majorBidi" w:cstheme="majorBidi"/>
          <w:sz w:val="18"/>
          <w:szCs w:val="18"/>
        </w:rPr>
        <w:t>l</w:t>
      </w:r>
      <w:r w:rsidRPr="0061777A">
        <w:rPr>
          <w:rFonts w:asciiTheme="majorBidi" w:hAnsiTheme="majorBidi" w:cstheme="majorBidi"/>
          <w:sz w:val="18"/>
          <w:szCs w:val="18"/>
        </w:rPr>
        <w:t xml:space="preserve">es représentants du système international de protection des droits de l’Homme de l’ONU, </w:t>
      </w:r>
      <w:r>
        <w:rPr>
          <w:rFonts w:asciiTheme="majorBidi" w:hAnsiTheme="majorBidi" w:cstheme="majorBidi"/>
          <w:sz w:val="18"/>
          <w:szCs w:val="18"/>
        </w:rPr>
        <w:t>l</w:t>
      </w:r>
      <w:r w:rsidRPr="0061777A">
        <w:rPr>
          <w:rFonts w:asciiTheme="majorBidi" w:hAnsiTheme="majorBidi" w:cstheme="majorBidi"/>
          <w:sz w:val="18"/>
          <w:szCs w:val="18"/>
        </w:rPr>
        <w:t xml:space="preserve">es syndicats de salariés et </w:t>
      </w:r>
      <w:r>
        <w:rPr>
          <w:rFonts w:asciiTheme="majorBidi" w:hAnsiTheme="majorBidi" w:cstheme="majorBidi"/>
          <w:sz w:val="18"/>
          <w:szCs w:val="18"/>
        </w:rPr>
        <w:t>l</w:t>
      </w:r>
      <w:r w:rsidRPr="0061777A">
        <w:rPr>
          <w:rFonts w:asciiTheme="majorBidi" w:hAnsiTheme="majorBidi" w:cstheme="majorBidi"/>
          <w:sz w:val="18"/>
          <w:szCs w:val="18"/>
        </w:rPr>
        <w:t xml:space="preserve">es groupements professionnels, </w:t>
      </w:r>
      <w:r>
        <w:rPr>
          <w:rFonts w:asciiTheme="majorBidi" w:hAnsiTheme="majorBidi" w:cstheme="majorBidi"/>
          <w:sz w:val="18"/>
          <w:szCs w:val="18"/>
        </w:rPr>
        <w:t>l</w:t>
      </w:r>
      <w:r w:rsidRPr="0061777A">
        <w:rPr>
          <w:rFonts w:asciiTheme="majorBidi" w:hAnsiTheme="majorBidi" w:cstheme="majorBidi"/>
          <w:sz w:val="18"/>
          <w:szCs w:val="18"/>
        </w:rPr>
        <w:t>es équipes académiques, etc.</w:t>
      </w:r>
    </w:p>
    <w:p w14:paraId="380643A2" w14:textId="77777777" w:rsidR="00221070" w:rsidRDefault="00221070" w:rsidP="00221070">
      <w:pPr>
        <w:pStyle w:val="FootnoteText"/>
      </w:pPr>
    </w:p>
  </w:footnote>
  <w:footnote w:id="4">
    <w:p w14:paraId="380643A3" w14:textId="77777777" w:rsidR="004B59C3" w:rsidRPr="005B67E5" w:rsidRDefault="004B59C3" w:rsidP="004B59C3">
      <w:pPr>
        <w:pStyle w:val="FootnoteText"/>
        <w:jc w:val="both"/>
        <w:rPr>
          <w:rFonts w:asciiTheme="majorBidi" w:eastAsia="Calibri" w:hAnsiTheme="majorBidi" w:cstheme="majorBidi"/>
          <w:sz w:val="16"/>
          <w:szCs w:val="16"/>
        </w:rPr>
      </w:pPr>
      <w:r w:rsidRPr="0091537E">
        <w:rPr>
          <w:rStyle w:val="FootnoteReference"/>
          <w:szCs w:val="22"/>
        </w:rPr>
        <w:footnoteRef/>
      </w:r>
      <w:r w:rsidRPr="0091537E">
        <w:rPr>
          <w:sz w:val="22"/>
          <w:szCs w:val="22"/>
        </w:rPr>
        <w:t xml:space="preserve">  </w:t>
      </w:r>
      <w:r w:rsidRPr="00BF6CA6">
        <w:rPr>
          <w:rFonts w:asciiTheme="majorBidi" w:eastAsia="Calibri" w:hAnsiTheme="majorBidi" w:cstheme="majorBidi"/>
          <w:sz w:val="18"/>
          <w:szCs w:val="18"/>
        </w:rPr>
        <w:t xml:space="preserve">Toumliline, ce monastère situé dans le moyen-Atlas qui a abrité, plusieurs universités d’été, où eut lieu </w:t>
      </w:r>
      <w:r>
        <w:rPr>
          <w:rFonts w:asciiTheme="majorBidi" w:eastAsia="Calibri" w:hAnsiTheme="majorBidi" w:cstheme="majorBidi"/>
          <w:sz w:val="18"/>
          <w:szCs w:val="18"/>
        </w:rPr>
        <w:t xml:space="preserve">en </w:t>
      </w:r>
      <w:r w:rsidRPr="00BF6CA6">
        <w:rPr>
          <w:rFonts w:asciiTheme="majorBidi" w:eastAsia="Calibri" w:hAnsiTheme="majorBidi" w:cstheme="majorBidi"/>
          <w:sz w:val="18"/>
          <w:szCs w:val="18"/>
        </w:rPr>
        <w:t>1957</w:t>
      </w:r>
      <w:r>
        <w:rPr>
          <w:rFonts w:asciiTheme="majorBidi" w:eastAsia="Calibri" w:hAnsiTheme="majorBidi" w:cstheme="majorBidi"/>
          <w:sz w:val="18"/>
          <w:szCs w:val="18"/>
        </w:rPr>
        <w:t xml:space="preserve">, </w:t>
      </w:r>
      <w:r w:rsidRPr="00BF6CA6">
        <w:rPr>
          <w:rFonts w:asciiTheme="majorBidi" w:eastAsia="Calibri" w:hAnsiTheme="majorBidi" w:cstheme="majorBidi"/>
          <w:sz w:val="18"/>
          <w:szCs w:val="18"/>
        </w:rPr>
        <w:t>la première de ces rencontres pour laquelle le Prince Moulay Hassan proposa le thème de l’éducation. De grands noms y assistaient : Princesse Lalla Aïcha, docteur Benhima, M. Ben Barka, M. Louis Gardet, le Père Moubarak et de nombreux universitaires venus d’Europe, d’Amérique et de l’Asie</w:t>
      </w:r>
      <w:r>
        <w:rPr>
          <w:rFonts w:asciiTheme="majorBidi" w:eastAsia="Calibri" w:hAnsiTheme="majorBidi" w:cstheme="majorBidi"/>
          <w:sz w:val="18"/>
          <w:szCs w:val="18"/>
        </w:rPr>
        <w:t>.</w:t>
      </w:r>
      <w:r w:rsidRPr="00BF6CA6">
        <w:rPr>
          <w:rFonts w:asciiTheme="majorBidi" w:eastAsia="Calibri" w:hAnsiTheme="majorBidi" w:cstheme="majorBidi"/>
          <w:sz w:val="18"/>
          <w:szCs w:val="18"/>
        </w:rPr>
        <w:t xml:space="preserve"> </w:t>
      </w:r>
      <w:r>
        <w:rPr>
          <w:rFonts w:asciiTheme="majorBidi" w:eastAsia="Calibri" w:hAnsiTheme="majorBidi" w:cstheme="majorBidi"/>
          <w:sz w:val="18"/>
          <w:szCs w:val="18"/>
        </w:rPr>
        <w:t xml:space="preserve">A cette occasion, </w:t>
      </w:r>
      <w:r w:rsidRPr="00BF6CA6">
        <w:rPr>
          <w:rFonts w:asciiTheme="majorBidi" w:eastAsia="Calibri" w:hAnsiTheme="majorBidi" w:cstheme="majorBidi"/>
          <w:sz w:val="18"/>
          <w:szCs w:val="18"/>
        </w:rPr>
        <w:t>S</w:t>
      </w:r>
      <w:r>
        <w:rPr>
          <w:rFonts w:asciiTheme="majorBidi" w:eastAsia="Calibri" w:hAnsiTheme="majorBidi" w:cstheme="majorBidi"/>
          <w:sz w:val="18"/>
          <w:szCs w:val="18"/>
        </w:rPr>
        <w:t>M</w:t>
      </w:r>
      <w:r w:rsidRPr="00BF6CA6">
        <w:rPr>
          <w:rFonts w:asciiTheme="majorBidi" w:eastAsia="Calibri" w:hAnsiTheme="majorBidi" w:cstheme="majorBidi"/>
          <w:sz w:val="18"/>
          <w:szCs w:val="18"/>
        </w:rPr>
        <w:t xml:space="preserve"> Mohammed V voulut recevoir les sesionistes en leur disant « Le Maroc est un pays qui a de tous les temps pratiqué la tolérance religieuse permettant à de nombreuses religions de jouir de la liberté et de la dignité. En particulier, la chrétienté et l’Islam vivent côte à côte au Maroc, œuvrant ensemble dans un climat de coopération, d’amitié et de sérénité et collaborant à la réalisation du bien-être et du bonheur de l’humanité en répandant partout les prescriptions divines et en prêchant l’attachement aux principes humanitaires sacrés et aux valeurs morales et supérieures. La poursuite de cette œuvre constitue la meilleure garantie de la sauvegarde de l’humanité»</w:t>
      </w:r>
      <w:r>
        <w:rPr>
          <w:rFonts w:asciiTheme="majorBidi" w:eastAsia="Calibri" w:hAnsiTheme="majorBidi" w:cstheme="majorBidi"/>
          <w:sz w:val="18"/>
          <w:szCs w:val="18"/>
        </w:rPr>
        <w:t xml:space="preserve">. </w:t>
      </w:r>
      <w:r w:rsidRPr="0091537E">
        <w:rPr>
          <w:rFonts w:asciiTheme="majorBidi" w:eastAsia="Calibri" w:hAnsiTheme="majorBidi" w:cstheme="majorBidi"/>
          <w:sz w:val="18"/>
          <w:szCs w:val="18"/>
        </w:rPr>
        <w:t>Intervention de Mgr Vincent Landel, archevêque de Rabat, dans le Colloque "Réinventer Toumliline ".</w:t>
      </w:r>
    </w:p>
  </w:footnote>
  <w:footnote w:id="5">
    <w:p w14:paraId="380643A4" w14:textId="77777777" w:rsidR="004B59C3" w:rsidRPr="0091537E" w:rsidRDefault="004B59C3" w:rsidP="004B59C3">
      <w:pPr>
        <w:pStyle w:val="FootnoteText"/>
        <w:jc w:val="both"/>
        <w:rPr>
          <w:rFonts w:asciiTheme="majorBidi" w:eastAsia="Calibri" w:hAnsiTheme="majorBidi" w:cstheme="majorBidi"/>
          <w:sz w:val="18"/>
          <w:szCs w:val="18"/>
        </w:rPr>
      </w:pPr>
      <w:r w:rsidRPr="0091537E">
        <w:rPr>
          <w:rStyle w:val="FootnoteReference"/>
          <w:szCs w:val="24"/>
        </w:rPr>
        <w:footnoteRef/>
      </w:r>
      <w:r w:rsidRPr="0091537E">
        <w:rPr>
          <w:sz w:val="22"/>
          <w:szCs w:val="22"/>
        </w:rPr>
        <w:t xml:space="preserve"> </w:t>
      </w:r>
      <w:r w:rsidRPr="0091537E">
        <w:rPr>
          <w:rFonts w:asciiTheme="majorBidi" w:eastAsia="Calibri" w:hAnsiTheme="majorBidi" w:cstheme="majorBidi"/>
          <w:sz w:val="18"/>
          <w:szCs w:val="18"/>
        </w:rPr>
        <w:t>Discours de S</w:t>
      </w:r>
      <w:r w:rsidR="001C78D1">
        <w:rPr>
          <w:rFonts w:asciiTheme="majorBidi" w:eastAsia="Calibri" w:hAnsiTheme="majorBidi" w:cstheme="majorBidi"/>
          <w:sz w:val="18"/>
          <w:szCs w:val="18"/>
        </w:rPr>
        <w:t xml:space="preserve">a </w:t>
      </w:r>
      <w:r w:rsidRPr="0091537E">
        <w:rPr>
          <w:rFonts w:asciiTheme="majorBidi" w:eastAsia="Calibri" w:hAnsiTheme="majorBidi" w:cstheme="majorBidi"/>
          <w:sz w:val="18"/>
          <w:szCs w:val="18"/>
        </w:rPr>
        <w:t>M</w:t>
      </w:r>
      <w:r w:rsidR="001C78D1">
        <w:rPr>
          <w:rFonts w:asciiTheme="majorBidi" w:eastAsia="Calibri" w:hAnsiTheme="majorBidi" w:cstheme="majorBidi"/>
          <w:sz w:val="18"/>
          <w:szCs w:val="18"/>
        </w:rPr>
        <w:t>ajesté</w:t>
      </w:r>
      <w:r w:rsidRPr="0091537E">
        <w:rPr>
          <w:rFonts w:asciiTheme="majorBidi" w:eastAsia="Calibri" w:hAnsiTheme="majorBidi" w:cstheme="majorBidi"/>
          <w:sz w:val="18"/>
          <w:szCs w:val="18"/>
        </w:rPr>
        <w:t xml:space="preserve"> le Roi Mohammed VI, à l'occasion de la Fête du Trône, le mercredi 30 juillet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64397" w14:textId="77777777" w:rsidR="004758A6" w:rsidRDefault="004758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64398" w14:textId="77777777" w:rsidR="004758A6" w:rsidRDefault="004758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6439C" w14:textId="77777777" w:rsidR="004758A6" w:rsidRDefault="004758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B31CF2"/>
    <w:multiLevelType w:val="hybridMultilevel"/>
    <w:tmpl w:val="49B299A8"/>
    <w:lvl w:ilvl="0" w:tplc="F6444B0A">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50C02EA2"/>
    <w:multiLevelType w:val="hybridMultilevel"/>
    <w:tmpl w:val="2026A284"/>
    <w:lvl w:ilvl="0" w:tplc="168C4932">
      <w:start w:val="1"/>
      <w:numFmt w:val="decimal"/>
      <w:lvlText w:val="%1)"/>
      <w:lvlJc w:val="left"/>
      <w:pPr>
        <w:ind w:left="720" w:hanging="360"/>
      </w:pPr>
      <w:rPr>
        <w:rFonts w:hint="default"/>
        <w:sz w:val="22"/>
        <w:szCs w:val="16"/>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74EC6531"/>
    <w:multiLevelType w:val="hybridMultilevel"/>
    <w:tmpl w:val="3E26CB90"/>
    <w:lvl w:ilvl="0" w:tplc="CA6AB780">
      <w:start w:val="1"/>
      <w:numFmt w:val="decimal"/>
      <w:lvlText w:val="%1."/>
      <w:lvlJc w:val="left"/>
      <w:pPr>
        <w:ind w:left="1854" w:hanging="360"/>
      </w:pPr>
      <w:rPr>
        <w:rFonts w:asciiTheme="majorBidi" w:hAnsiTheme="majorBidi" w:cstheme="majorBidi" w:hint="default"/>
        <w:b/>
        <w:bCs/>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784B1EA4"/>
    <w:multiLevelType w:val="hybridMultilevel"/>
    <w:tmpl w:val="BB285FDC"/>
    <w:lvl w:ilvl="0" w:tplc="6BDAF7B6">
      <w:start w:val="2"/>
      <w:numFmt w:val="bullet"/>
      <w:lvlText w:val="-"/>
      <w:lvlJc w:val="left"/>
      <w:pPr>
        <w:ind w:left="1352" w:hanging="360"/>
      </w:pPr>
      <w:rPr>
        <w:rFonts w:ascii="Times New Roman" w:eastAsiaTheme="minorHAnsi" w:hAnsi="Times New Roman" w:cs="Times New Roman" w:hint="default"/>
        <w:b/>
        <w:sz w:val="22"/>
      </w:rPr>
    </w:lvl>
    <w:lvl w:ilvl="1" w:tplc="040C0003" w:tentative="1">
      <w:start w:val="1"/>
      <w:numFmt w:val="bullet"/>
      <w:lvlText w:val="o"/>
      <w:lvlJc w:val="left"/>
      <w:pPr>
        <w:ind w:left="2072" w:hanging="360"/>
      </w:pPr>
      <w:rPr>
        <w:rFonts w:ascii="Courier New" w:hAnsi="Courier New" w:cs="Courier New" w:hint="default"/>
      </w:rPr>
    </w:lvl>
    <w:lvl w:ilvl="2" w:tplc="040C0005" w:tentative="1">
      <w:start w:val="1"/>
      <w:numFmt w:val="bullet"/>
      <w:lvlText w:val=""/>
      <w:lvlJc w:val="left"/>
      <w:pPr>
        <w:ind w:left="2792" w:hanging="360"/>
      </w:pPr>
      <w:rPr>
        <w:rFonts w:ascii="Wingdings" w:hAnsi="Wingdings" w:hint="default"/>
      </w:rPr>
    </w:lvl>
    <w:lvl w:ilvl="3" w:tplc="040C0001" w:tentative="1">
      <w:start w:val="1"/>
      <w:numFmt w:val="bullet"/>
      <w:lvlText w:val=""/>
      <w:lvlJc w:val="left"/>
      <w:pPr>
        <w:ind w:left="3512" w:hanging="360"/>
      </w:pPr>
      <w:rPr>
        <w:rFonts w:ascii="Symbol" w:hAnsi="Symbol" w:hint="default"/>
      </w:rPr>
    </w:lvl>
    <w:lvl w:ilvl="4" w:tplc="040C0003" w:tentative="1">
      <w:start w:val="1"/>
      <w:numFmt w:val="bullet"/>
      <w:lvlText w:val="o"/>
      <w:lvlJc w:val="left"/>
      <w:pPr>
        <w:ind w:left="4232" w:hanging="360"/>
      </w:pPr>
      <w:rPr>
        <w:rFonts w:ascii="Courier New" w:hAnsi="Courier New" w:cs="Courier New" w:hint="default"/>
      </w:rPr>
    </w:lvl>
    <w:lvl w:ilvl="5" w:tplc="040C0005" w:tentative="1">
      <w:start w:val="1"/>
      <w:numFmt w:val="bullet"/>
      <w:lvlText w:val=""/>
      <w:lvlJc w:val="left"/>
      <w:pPr>
        <w:ind w:left="4952" w:hanging="360"/>
      </w:pPr>
      <w:rPr>
        <w:rFonts w:ascii="Wingdings" w:hAnsi="Wingdings" w:hint="default"/>
      </w:rPr>
    </w:lvl>
    <w:lvl w:ilvl="6" w:tplc="040C0001" w:tentative="1">
      <w:start w:val="1"/>
      <w:numFmt w:val="bullet"/>
      <w:lvlText w:val=""/>
      <w:lvlJc w:val="left"/>
      <w:pPr>
        <w:ind w:left="5672" w:hanging="360"/>
      </w:pPr>
      <w:rPr>
        <w:rFonts w:ascii="Symbol" w:hAnsi="Symbol" w:hint="default"/>
      </w:rPr>
    </w:lvl>
    <w:lvl w:ilvl="7" w:tplc="040C0003" w:tentative="1">
      <w:start w:val="1"/>
      <w:numFmt w:val="bullet"/>
      <w:lvlText w:val="o"/>
      <w:lvlJc w:val="left"/>
      <w:pPr>
        <w:ind w:left="6392" w:hanging="360"/>
      </w:pPr>
      <w:rPr>
        <w:rFonts w:ascii="Courier New" w:hAnsi="Courier New" w:cs="Courier New" w:hint="default"/>
      </w:rPr>
    </w:lvl>
    <w:lvl w:ilvl="8" w:tplc="040C0005" w:tentative="1">
      <w:start w:val="1"/>
      <w:numFmt w:val="bullet"/>
      <w:lvlText w:val=""/>
      <w:lvlJc w:val="left"/>
      <w:pPr>
        <w:ind w:left="7112"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A49"/>
    <w:rsid w:val="00013E14"/>
    <w:rsid w:val="00044C6F"/>
    <w:rsid w:val="00052ABB"/>
    <w:rsid w:val="000648BA"/>
    <w:rsid w:val="00112CED"/>
    <w:rsid w:val="001C78D1"/>
    <w:rsid w:val="001D2F62"/>
    <w:rsid w:val="00221070"/>
    <w:rsid w:val="00286AAE"/>
    <w:rsid w:val="002C6AE2"/>
    <w:rsid w:val="002E462B"/>
    <w:rsid w:val="003958A8"/>
    <w:rsid w:val="004758A6"/>
    <w:rsid w:val="004B59C3"/>
    <w:rsid w:val="004F5D42"/>
    <w:rsid w:val="00533CE0"/>
    <w:rsid w:val="0056633F"/>
    <w:rsid w:val="005A3A28"/>
    <w:rsid w:val="007024B0"/>
    <w:rsid w:val="0074531A"/>
    <w:rsid w:val="00840DB6"/>
    <w:rsid w:val="008505FE"/>
    <w:rsid w:val="008A01D5"/>
    <w:rsid w:val="008A7277"/>
    <w:rsid w:val="009D7FD4"/>
    <w:rsid w:val="009E4E68"/>
    <w:rsid w:val="00A438A4"/>
    <w:rsid w:val="00B55CCF"/>
    <w:rsid w:val="00C646F2"/>
    <w:rsid w:val="00C737D1"/>
    <w:rsid w:val="00C92A49"/>
    <w:rsid w:val="00CC04E1"/>
    <w:rsid w:val="00D842CE"/>
    <w:rsid w:val="00D867BC"/>
    <w:rsid w:val="00E1047B"/>
    <w:rsid w:val="00F0660E"/>
    <w:rsid w:val="00F1411D"/>
    <w:rsid w:val="00F77BB6"/>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642E7"/>
  <w15:docId w15:val="{2B72EB94-4504-42B8-9F57-31BB7522D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070"/>
    <w:pPr>
      <w:spacing w:after="0" w:line="240" w:lineRule="auto"/>
      <w:ind w:firstLine="36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21070"/>
    <w:pPr>
      <w:ind w:left="720"/>
      <w:contextualSpacing/>
    </w:pPr>
  </w:style>
  <w:style w:type="character" w:styleId="FootnoteReference">
    <w:name w:val="footnote reference"/>
    <w:aliases w:val="4_G,Footnote symbol,Footnote,Footnote reference number,note TESI,Footnote Reference Number,E FNZ,-E Fußnotenzeichen,Footnote#,Times 10 Point,Exposant 3 Point,Ref,de nota al pie,SUPERS,EN Footnote Reference,-E Fuίnotenzeichen"/>
    <w:rsid w:val="00221070"/>
    <w:rPr>
      <w:rFonts w:ascii="Times New Roman" w:hAnsi="Times New Roman"/>
      <w:sz w:val="18"/>
      <w:vertAlign w:val="superscript"/>
      <w:lang w:val="fr-CH"/>
    </w:rPr>
  </w:style>
  <w:style w:type="character" w:customStyle="1" w:styleId="ListParagraphChar">
    <w:name w:val="List Paragraph Char"/>
    <w:link w:val="ListParagraph"/>
    <w:uiPriority w:val="34"/>
    <w:rsid w:val="00221070"/>
  </w:style>
  <w:style w:type="paragraph" w:styleId="FootnoteText">
    <w:name w:val="footnote text"/>
    <w:basedOn w:val="Normal"/>
    <w:link w:val="FootnoteTextChar"/>
    <w:uiPriority w:val="99"/>
    <w:semiHidden/>
    <w:unhideWhenUsed/>
    <w:rsid w:val="00221070"/>
    <w:rPr>
      <w:sz w:val="20"/>
      <w:szCs w:val="20"/>
    </w:rPr>
  </w:style>
  <w:style w:type="character" w:customStyle="1" w:styleId="NotedebasdepageCar">
    <w:name w:val="Note de bas de page Car"/>
    <w:basedOn w:val="DefaultParagraphFont"/>
    <w:uiPriority w:val="99"/>
    <w:semiHidden/>
    <w:rsid w:val="00221070"/>
    <w:rPr>
      <w:sz w:val="20"/>
      <w:szCs w:val="20"/>
    </w:rPr>
  </w:style>
  <w:style w:type="character" w:customStyle="1" w:styleId="FootnoteTextChar">
    <w:name w:val="Footnote Text Char"/>
    <w:basedOn w:val="DefaultParagraphFont"/>
    <w:link w:val="FootnoteText"/>
    <w:uiPriority w:val="99"/>
    <w:semiHidden/>
    <w:rsid w:val="00221070"/>
    <w:rPr>
      <w:sz w:val="20"/>
      <w:szCs w:val="20"/>
    </w:rPr>
  </w:style>
  <w:style w:type="paragraph" w:styleId="BalloonText">
    <w:name w:val="Balloon Text"/>
    <w:basedOn w:val="Normal"/>
    <w:link w:val="BalloonTextChar"/>
    <w:uiPriority w:val="99"/>
    <w:semiHidden/>
    <w:unhideWhenUsed/>
    <w:rsid w:val="008A01D5"/>
    <w:rPr>
      <w:rFonts w:ascii="Tahoma" w:hAnsi="Tahoma" w:cs="Tahoma"/>
      <w:sz w:val="16"/>
      <w:szCs w:val="16"/>
    </w:rPr>
  </w:style>
  <w:style w:type="character" w:customStyle="1" w:styleId="BalloonTextChar">
    <w:name w:val="Balloon Text Char"/>
    <w:basedOn w:val="DefaultParagraphFont"/>
    <w:link w:val="BalloonText"/>
    <w:uiPriority w:val="99"/>
    <w:semiHidden/>
    <w:rsid w:val="008A01D5"/>
    <w:rPr>
      <w:rFonts w:ascii="Tahoma" w:hAnsi="Tahoma" w:cs="Tahoma"/>
      <w:sz w:val="16"/>
      <w:szCs w:val="16"/>
    </w:rPr>
  </w:style>
  <w:style w:type="paragraph" w:styleId="Header">
    <w:name w:val="header"/>
    <w:basedOn w:val="Normal"/>
    <w:link w:val="HeaderChar"/>
    <w:uiPriority w:val="99"/>
    <w:unhideWhenUsed/>
    <w:rsid w:val="004758A6"/>
    <w:pPr>
      <w:tabs>
        <w:tab w:val="center" w:pos="4536"/>
        <w:tab w:val="right" w:pos="9072"/>
      </w:tabs>
    </w:pPr>
  </w:style>
  <w:style w:type="character" w:customStyle="1" w:styleId="HeaderChar">
    <w:name w:val="Header Char"/>
    <w:basedOn w:val="DefaultParagraphFont"/>
    <w:link w:val="Header"/>
    <w:uiPriority w:val="99"/>
    <w:rsid w:val="004758A6"/>
  </w:style>
  <w:style w:type="paragraph" w:styleId="Footer">
    <w:name w:val="footer"/>
    <w:basedOn w:val="Normal"/>
    <w:link w:val="FooterChar"/>
    <w:uiPriority w:val="99"/>
    <w:unhideWhenUsed/>
    <w:rsid w:val="004758A6"/>
    <w:pPr>
      <w:tabs>
        <w:tab w:val="center" w:pos="4536"/>
        <w:tab w:val="right" w:pos="9072"/>
      </w:tabs>
    </w:pPr>
  </w:style>
  <w:style w:type="character" w:customStyle="1" w:styleId="FooterChar">
    <w:name w:val="Footer Char"/>
    <w:basedOn w:val="DefaultParagraphFont"/>
    <w:link w:val="Footer"/>
    <w:uiPriority w:val="99"/>
    <w:rsid w:val="004758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22E065-4047-44A9-9B00-24B8A05536EB}"/>
</file>

<file path=customXml/itemProps2.xml><?xml version="1.0" encoding="utf-8"?>
<ds:datastoreItem xmlns:ds="http://schemas.openxmlformats.org/officeDocument/2006/customXml" ds:itemID="{5288A93E-DBFC-4908-BB5F-26827CBCDD94}">
  <ds:schemaRefs>
    <ds:schemaRef ds:uri="http://schemas.microsoft.com/sharepoint/v3/contenttype/forms"/>
  </ds:schemaRefs>
</ds:datastoreItem>
</file>

<file path=customXml/itemProps3.xml><?xml version="1.0" encoding="utf-8"?>
<ds:datastoreItem xmlns:ds="http://schemas.openxmlformats.org/officeDocument/2006/customXml" ds:itemID="{FA387249-5766-4CA2-A02E-570CF3E28CD7}">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5224</Words>
  <Characters>29781</Characters>
  <Application>Microsoft Office Word</Application>
  <DocSecurity>0</DocSecurity>
  <Lines>248</Lines>
  <Paragraphs>69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34936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SINGH Kalpana</cp:lastModifiedBy>
  <cp:revision>2</cp:revision>
  <dcterms:created xsi:type="dcterms:W3CDTF">2020-12-29T09:11:00Z</dcterms:created>
  <dcterms:modified xsi:type="dcterms:W3CDTF">2020-12-29T09:11:00Z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