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8408F" w14:textId="77777777" w:rsidR="003534D4" w:rsidRPr="003534D4" w:rsidRDefault="003534D4" w:rsidP="001E69BA">
      <w:pPr>
        <w:spacing w:line="276" w:lineRule="auto"/>
        <w:jc w:val="both"/>
        <w:rPr>
          <w:b/>
          <w:bCs/>
        </w:rPr>
      </w:pPr>
      <w:r w:rsidRPr="003534D4">
        <w:rPr>
          <w:b/>
          <w:bCs/>
        </w:rPr>
        <w:t>Informe complementario Argentina CEDAW - 8vo Informe Periodico</w:t>
      </w:r>
    </w:p>
    <w:p w14:paraId="2CB18EFC" w14:textId="77777777" w:rsidR="003534D4" w:rsidRPr="003534D4" w:rsidRDefault="003534D4" w:rsidP="001E69BA">
      <w:pPr>
        <w:spacing w:line="276" w:lineRule="auto"/>
        <w:jc w:val="both"/>
        <w:rPr>
          <w:b/>
          <w:bCs/>
        </w:rPr>
      </w:pPr>
      <w:r w:rsidRPr="003534D4">
        <w:rPr>
          <w:b/>
          <w:bCs/>
        </w:rPr>
        <w:t>Introducción</w:t>
      </w:r>
    </w:p>
    <w:p w14:paraId="4C863A99" w14:textId="77777777" w:rsid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Desde 2023, la República Argentina emprendió un camino democrático de cambio, reflejo de una percepción social de</w:t>
      </w:r>
      <w:r>
        <w:t xml:space="preserve"> </w:t>
      </w:r>
      <w:r w:rsidRPr="003534D4">
        <w:t>determinadas políticas públicas. Interpelada por esa percepción, la nueva administración procura trabajar para la</w:t>
      </w:r>
      <w:r>
        <w:t xml:space="preserve"> </w:t>
      </w:r>
      <w:r w:rsidRPr="003534D4">
        <w:t>satisfacción integral de derechos no satisfechos por la administración anterior, de forma de ajustar sus políticas a los</w:t>
      </w:r>
      <w:r>
        <w:t xml:space="preserve"> </w:t>
      </w:r>
      <w:r w:rsidRPr="003534D4">
        <w:t>compromisos asumidos internacionalmente.</w:t>
      </w:r>
    </w:p>
    <w:p w14:paraId="2DDF78B0" w14:textId="77777777" w:rsid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Argentina es un país históricamente comprometido con los derechos humanos. Considera, como requieren los Tratados</w:t>
      </w:r>
      <w:r>
        <w:t xml:space="preserve"> </w:t>
      </w:r>
      <w:r w:rsidRPr="003534D4">
        <w:t>de los que es parte, que no cabe discriminación alguna en razón de sexo, considerando la dignidad intrínseca de todos</w:t>
      </w:r>
      <w:r>
        <w:t xml:space="preserve"> </w:t>
      </w:r>
      <w:r w:rsidRPr="003534D4">
        <w:t>los seres humanos. Por esta razón, trabaja activamente para asegurar la igualdad de oportunidades de las mujeres en la</w:t>
      </w:r>
      <w:r>
        <w:t xml:space="preserve"> </w:t>
      </w:r>
      <w:r w:rsidRPr="003534D4">
        <w:t>vida social, en respeto de su libertad y de su derecho a la vida desde su concepción y hasta su muerte, sin excepción</w:t>
      </w:r>
      <w:r>
        <w:rPr>
          <w:rStyle w:val="FootnoteReference"/>
        </w:rPr>
        <w:footnoteReference w:id="1"/>
      </w:r>
      <w:r w:rsidRPr="003534D4">
        <w:t>.</w:t>
      </w:r>
    </w:p>
    <w:p w14:paraId="0F7AFDEC" w14:textId="77777777" w:rsid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La República Argentina además de incorporar con jerarquía constitucional la CEDAW, suscribió su Protocolo Facultativo,</w:t>
      </w:r>
      <w:r>
        <w:t xml:space="preserve"> </w:t>
      </w:r>
      <w:r w:rsidRPr="003534D4">
        <w:t>a fin de que el Comité pueda recibir comunicaciones individuales, y toma debida nota de sus recomendaciones y</w:t>
      </w:r>
      <w:r>
        <w:t xml:space="preserve"> </w:t>
      </w:r>
      <w:r w:rsidRPr="003534D4">
        <w:t>observaciones. En este sentido, destacamos que el Acuerdo de Solución Amistosa sobre el Caso Olga Díaz</w:t>
      </w:r>
      <w:r>
        <w:t xml:space="preserve"> </w:t>
      </w:r>
      <w:r w:rsidRPr="003534D4">
        <w:t>Comunicación 127/2018, ha sido cumplido en su totalidad</w:t>
      </w:r>
      <w:r>
        <w:rPr>
          <w:rStyle w:val="FootnoteReference"/>
        </w:rPr>
        <w:footnoteReference w:id="2"/>
      </w:r>
      <w:r w:rsidRPr="003534D4">
        <w:t>.</w:t>
      </w:r>
    </w:p>
    <w:p w14:paraId="354E68E8" w14:textId="77777777" w:rsid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En el marco de la Convención, Argentina colabora con los exámenes periódicos del Comité, que tienen un marco</w:t>
      </w:r>
      <w:r>
        <w:t xml:space="preserve"> </w:t>
      </w:r>
      <w:r w:rsidRPr="003534D4">
        <w:t>específico de actuación delimitado por el Tratado. De tal modo, en sus respuestas, la Argentina se ceñirá a las</w:t>
      </w:r>
      <w:r>
        <w:t xml:space="preserve"> </w:t>
      </w:r>
      <w:r w:rsidRPr="003534D4">
        <w:t>obligaciones asumidas convencionalmente. Los objetivos de desarrollo sostenibles constituyen aspiraciones</w:t>
      </w:r>
      <w:r>
        <w:t xml:space="preserve"> </w:t>
      </w:r>
      <w:r w:rsidRPr="003534D4">
        <w:t>jurídicamente no vinculantes y, por ende, exorbitantes de la potestad evaluatoria del Comité.</w:t>
      </w:r>
    </w:p>
    <w:p w14:paraId="23CCC80E" w14:textId="672FDCB8" w:rsidR="003534D4" w:rsidRP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lastRenderedPageBreak/>
        <w:t>Según el último Censo (2022) hay 107 mujeres por cada 100 varones</w:t>
      </w:r>
      <w:r>
        <w:rPr>
          <w:rStyle w:val="FootnoteReference"/>
        </w:rPr>
        <w:footnoteReference w:id="3"/>
      </w:r>
      <w:r w:rsidRPr="003534D4">
        <w:t>. Argentina, tal como señala el índice del Banco</w:t>
      </w:r>
      <w:r>
        <w:t xml:space="preserve"> </w:t>
      </w:r>
      <w:r w:rsidRPr="003534D4">
        <w:t xml:space="preserve">Mundial </w:t>
      </w:r>
      <w:r w:rsidRPr="003534D4">
        <w:rPr>
          <w:i/>
          <w:iCs/>
        </w:rPr>
        <w:t xml:space="preserve">Women, Business and the Law </w:t>
      </w:r>
      <w:r w:rsidRPr="003534D4">
        <w:t>(2025) tiene uno los estándares más altos de igualdad, 75 puntos, equiparable a</w:t>
      </w:r>
      <w:r>
        <w:t xml:space="preserve"> </w:t>
      </w:r>
      <w:r w:rsidRPr="003534D4">
        <w:t>los europeos</w:t>
      </w:r>
      <w:r>
        <w:rPr>
          <w:rStyle w:val="FootnoteReference"/>
        </w:rPr>
        <w:footnoteReference w:id="4"/>
      </w:r>
      <w:r w:rsidRPr="003534D4">
        <w:t>.</w:t>
      </w:r>
    </w:p>
    <w:p w14:paraId="27B9AD47" w14:textId="77777777" w:rsidR="003534D4" w:rsidRPr="003534D4" w:rsidRDefault="003534D4" w:rsidP="001E69BA">
      <w:pPr>
        <w:spacing w:line="276" w:lineRule="auto"/>
        <w:jc w:val="both"/>
        <w:rPr>
          <w:b/>
          <w:bCs/>
        </w:rPr>
      </w:pPr>
      <w:r w:rsidRPr="003534D4">
        <w:rPr>
          <w:b/>
          <w:bCs/>
        </w:rPr>
        <w:t>Cuestión III. Visibilidad de la Convención y del Protocolo Facultativo</w:t>
      </w:r>
    </w:p>
    <w:p w14:paraId="193935AB" w14:textId="77777777" w:rsidR="003534D4" w:rsidRPr="003534D4" w:rsidRDefault="003534D4" w:rsidP="001E69BA">
      <w:pPr>
        <w:spacing w:line="276" w:lineRule="auto"/>
        <w:jc w:val="both"/>
        <w:rPr>
          <w:i/>
          <w:iCs/>
        </w:rPr>
      </w:pPr>
      <w:r w:rsidRPr="003534D4">
        <w:rPr>
          <w:i/>
          <w:iCs/>
        </w:rPr>
        <w:t>Medidas para alentar a jueces y funcionarios</w:t>
      </w:r>
    </w:p>
    <w:p w14:paraId="0AC2D218" w14:textId="77777777" w:rsid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Todos los integrantes del Poder Judicial, salvo los nuevos ingresantes, han cumplido las capacitaciones. en el marco de</w:t>
      </w:r>
      <w:r>
        <w:t xml:space="preserve"> </w:t>
      </w:r>
      <w:r w:rsidRPr="003534D4">
        <w:t>la Ley Micaela. Asimismo, se realizan encuentros anuales de capacitación a nivel provincial. El plan de capacitación de</w:t>
      </w:r>
      <w:r>
        <w:t xml:space="preserve"> </w:t>
      </w:r>
      <w:r w:rsidRPr="003534D4">
        <w:t>la Oficina de la Mujer (“OM”) fue declarado por la OEA como “buena práctica” y ha sido validado y apoyado por ONU</w:t>
      </w:r>
      <w:r>
        <w:t xml:space="preserve"> </w:t>
      </w:r>
      <w:r w:rsidRPr="003534D4">
        <w:t>Mujeres en Argentina.</w:t>
      </w:r>
    </w:p>
    <w:p w14:paraId="77517FF2" w14:textId="7293CA1D" w:rsidR="003534D4" w:rsidRP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La Oficina de la Mujer desarrolló “Bases de jurisprudencia con perspectiva de género” de libre acceso</w:t>
      </w:r>
      <w:r>
        <w:rPr>
          <w:rStyle w:val="FootnoteReference"/>
        </w:rPr>
        <w:footnoteReference w:id="5"/>
      </w:r>
      <w:r w:rsidRPr="003534D4">
        <w:t>, y varias</w:t>
      </w:r>
      <w:r>
        <w:t xml:space="preserve"> </w:t>
      </w:r>
      <w:r w:rsidRPr="003534D4">
        <w:t>provincias tienen compendios jurisprudenciales sobre los derechos de la mujer</w:t>
      </w:r>
      <w:r>
        <w:t>.</w:t>
      </w:r>
    </w:p>
    <w:p w14:paraId="64A3F4AE" w14:textId="77777777" w:rsidR="003534D4" w:rsidRPr="003534D4" w:rsidRDefault="003534D4" w:rsidP="001E69BA">
      <w:pPr>
        <w:spacing w:line="276" w:lineRule="auto"/>
        <w:jc w:val="both"/>
        <w:rPr>
          <w:b/>
          <w:bCs/>
        </w:rPr>
      </w:pPr>
      <w:r w:rsidRPr="003534D4">
        <w:rPr>
          <w:b/>
          <w:bCs/>
        </w:rPr>
        <w:t>Cuestión 5. Acceso de las Mujeres a la Justicia</w:t>
      </w:r>
    </w:p>
    <w:p w14:paraId="140090CF" w14:textId="77777777" w:rsid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Sobre esta Cuestión, la Argentina desea responder a las recomendaciones del Comité de buena fe, recordando siempre</w:t>
      </w:r>
      <w:r>
        <w:t xml:space="preserve"> </w:t>
      </w:r>
      <w:r w:rsidRPr="003534D4">
        <w:t>que el marco de aplicación del examen periódico es la Convención, si bien toma nota con atención de cada una de las</w:t>
      </w:r>
      <w:r>
        <w:t xml:space="preserve"> </w:t>
      </w:r>
      <w:r w:rsidRPr="003534D4">
        <w:t>Recomendaciones Generales.</w:t>
      </w:r>
    </w:p>
    <w:p w14:paraId="39BF8D37" w14:textId="77777777" w:rsid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Quisiéramos resaltar algunas iniciativas destacables que la Argentina realiza en los distintos niveles gubernamentales.</w:t>
      </w:r>
    </w:p>
    <w:p w14:paraId="74B61559" w14:textId="77777777" w:rsid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En las provincias de Entre Ríos, San Luis y Catamarca se crearon sistemas de justicia móvil. La justicia de cercanía</w:t>
      </w:r>
      <w:r>
        <w:t xml:space="preserve"> </w:t>
      </w:r>
      <w:r w:rsidRPr="003534D4">
        <w:t>beneficia de modo especial a las mujeres, pues atienden predominantemente casos de familia. Varias provincias ofrecen</w:t>
      </w:r>
      <w:r>
        <w:t xml:space="preserve"> </w:t>
      </w:r>
      <w:r w:rsidRPr="003534D4">
        <w:t>también servicios itinerantes (Chubut, Chaco, Formosa, La Pampa, Mendoza, Río Negro y Santiago del Estero)</w:t>
      </w:r>
      <w:r>
        <w:rPr>
          <w:rStyle w:val="FootnoteReference"/>
        </w:rPr>
        <w:footnoteReference w:id="6"/>
      </w:r>
      <w:r w:rsidRPr="003534D4">
        <w:t>.</w:t>
      </w:r>
    </w:p>
    <w:p w14:paraId="68B2D2CD" w14:textId="77777777" w:rsid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lastRenderedPageBreak/>
        <w:t>Mendoza y Misiones crearon sistemas de acceso a justicia a través de plataformas Bot y líneas telefónicas de consulta.</w:t>
      </w:r>
    </w:p>
    <w:p w14:paraId="201D791A" w14:textId="77777777" w:rsid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La Oficina de la Mujer realizó talleres sobre “Discapacidad, Acceso a Justicia y Género” y sobre vulnerabilidad de</w:t>
      </w:r>
      <w:r>
        <w:t xml:space="preserve"> </w:t>
      </w:r>
      <w:r w:rsidRPr="003534D4">
        <w:t>mujeres indígenas. Además, la Oficina Multipuertas brinda un servicio interdisciplinario de contención, orientación,</w:t>
      </w:r>
      <w:r>
        <w:t xml:space="preserve"> </w:t>
      </w:r>
      <w:r w:rsidRPr="003534D4">
        <w:t>derivación y asesoramiento jurídico gratuito. Un 64,2% de las consultas refieren a temas de familia, que afectan en forma</w:t>
      </w:r>
      <w:r>
        <w:t xml:space="preserve"> </w:t>
      </w:r>
      <w:r w:rsidRPr="003534D4">
        <w:t>desproporcionada a las mujeres. Sobre un total de 40.120 registros, un 61,2% de las consultas es femenina</w:t>
      </w:r>
      <w:r>
        <w:rPr>
          <w:rStyle w:val="FootnoteReference"/>
        </w:rPr>
        <w:footnoteReference w:id="7"/>
      </w:r>
      <w:r w:rsidRPr="003534D4">
        <w:t>. Hay</w:t>
      </w:r>
      <w:r>
        <w:t xml:space="preserve"> </w:t>
      </w:r>
      <w:r w:rsidRPr="003534D4">
        <w:t>oficinas similares en Córdoba, Neuquén, Río Negro y Tierra del Fuego.</w:t>
      </w:r>
    </w:p>
    <w:p w14:paraId="3F2B8D51" w14:textId="77777777" w:rsid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Todas las provincias cuentan con servicios específicos de protección de niños y niñas</w:t>
      </w:r>
      <w:r>
        <w:rPr>
          <w:rStyle w:val="FootnoteReference"/>
        </w:rPr>
        <w:footnoteReference w:id="8"/>
      </w:r>
      <w:r w:rsidRPr="003534D4">
        <w:t>. Para mujeres en situación de</w:t>
      </w:r>
      <w:r>
        <w:t xml:space="preserve"> </w:t>
      </w:r>
      <w:r w:rsidRPr="003534D4">
        <w:t>especial vulnerabilidad, puede consultarse el informe anual de buenas prácticas sobre acceso a la justicia y mujer</w:t>
      </w:r>
      <w:r>
        <w:rPr>
          <w:rStyle w:val="FootnoteReference"/>
        </w:rPr>
        <w:footnoteReference w:id="9"/>
      </w:r>
      <w:r w:rsidRPr="003534D4">
        <w:t>;</w:t>
      </w:r>
      <w:r>
        <w:t xml:space="preserve"> </w:t>
      </w:r>
      <w:r w:rsidRPr="003534D4">
        <w:t>también hay recursos que evalúan la cobertura territorial efectiva</w:t>
      </w:r>
      <w:r>
        <w:rPr>
          <w:rStyle w:val="FootnoteReference"/>
        </w:rPr>
        <w:footnoteReference w:id="10"/>
      </w:r>
      <w:r w:rsidRPr="003534D4">
        <w:t>.</w:t>
      </w:r>
    </w:p>
    <w:p w14:paraId="66F8F6BB" w14:textId="77777777" w:rsid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Existen dispositivos para dar respuesta y se desarrollan capacitaciones específicas para la cuestión de acceso a la</w:t>
      </w:r>
      <w:r>
        <w:t xml:space="preserve"> </w:t>
      </w:r>
      <w:r w:rsidRPr="003534D4">
        <w:t>justicia para mujeres con discapacidad</w:t>
      </w:r>
      <w:r>
        <w:rPr>
          <w:rStyle w:val="FootnoteReference"/>
        </w:rPr>
        <w:footnoteReference w:id="11"/>
      </w:r>
      <w:r w:rsidRPr="003534D4">
        <w:t>.</w:t>
      </w:r>
    </w:p>
    <w:p w14:paraId="5D781918" w14:textId="77777777" w:rsidR="0001749B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A nivel federal, el Ministerio de las Mujeres, Géneros y Diversidad</w:t>
      </w:r>
      <w:r>
        <w:rPr>
          <w:rStyle w:val="FootnoteReference"/>
        </w:rPr>
        <w:footnoteReference w:id="12"/>
      </w:r>
      <w:r w:rsidRPr="003534D4">
        <w:t xml:space="preserve"> resultó un fracaso que se ve plasmado en el</w:t>
      </w:r>
      <w:r>
        <w:t xml:space="preserve"> </w:t>
      </w:r>
      <w:r w:rsidRPr="003534D4">
        <w:t>incremento de las altísimas tasas de violencia y femicidio y, más escandalosamente, en los casos de violencia en los que</w:t>
      </w:r>
      <w:r w:rsidR="0001749B">
        <w:t xml:space="preserve"> </w:t>
      </w:r>
      <w:r w:rsidRPr="003534D4">
        <w:t>la víctima, vinculada a figuras públicas del gobierno anterior, recurrió sin éxito a la ayuda del Ministerio. De allí que la</w:t>
      </w:r>
      <w:r w:rsidR="0001749B">
        <w:t xml:space="preserve"> </w:t>
      </w:r>
      <w:r w:rsidRPr="003534D4">
        <w:t>actual administración decidiera disolverlo. Sus competencias se transfirieron al Ministerio de Justicia, sin perjuicio de las</w:t>
      </w:r>
      <w:r w:rsidR="0001749B">
        <w:t xml:space="preserve"> </w:t>
      </w:r>
      <w:r w:rsidRPr="003534D4">
        <w:t xml:space="preserve">amplias competencias en cabeza las distintas </w:t>
      </w:r>
      <w:r w:rsidRPr="003534D4">
        <w:lastRenderedPageBreak/>
        <w:t>jurisdicciones y en el Poder Judicial. Los resultados han sido favorables:</w:t>
      </w:r>
      <w:r w:rsidR="0001749B">
        <w:t xml:space="preserve"> </w:t>
      </w:r>
      <w:r w:rsidRPr="003534D4">
        <w:t>Los femicidios, según los datos de la OM, se redujeron de 245 en 2023 a 220 en 2024.</w:t>
      </w:r>
    </w:p>
    <w:p w14:paraId="63E6DA3A" w14:textId="77777777" w:rsidR="0001749B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La Dirección Nacional de Asistencia y Protección del Ministerio de Justicia implementa la “Ley Micalela” (27.499) en</w:t>
      </w:r>
      <w:r w:rsidR="0001749B">
        <w:t xml:space="preserve"> </w:t>
      </w:r>
      <w:r w:rsidRPr="003534D4">
        <w:t>articulación con los tres poderes del Estado nacional; interviene en la elaboración de informes técnicos en el marco de la</w:t>
      </w:r>
      <w:r w:rsidR="0001749B">
        <w:t xml:space="preserve"> </w:t>
      </w:r>
      <w:r w:rsidRPr="003534D4">
        <w:t>Ley de Reparación Económica para Niños, Niñas y Adolescentes víctimas de violencia, en coordinación con la</w:t>
      </w:r>
      <w:r w:rsidR="0001749B">
        <w:t xml:space="preserve"> </w:t>
      </w:r>
      <w:r w:rsidRPr="003534D4">
        <w:t>Secretaría Nacional de Niñez, Adolescencia y Familia (SENAF); implementa el Programa Acompañar, en articulación con</w:t>
      </w:r>
      <w:r w:rsidR="0001749B">
        <w:t xml:space="preserve"> </w:t>
      </w:r>
      <w:r w:rsidRPr="003534D4">
        <w:t>la ANSES y los gobiernos locales; y realiza evaluaciones interdisciplinarias en el Centro de Asistencia a Víctimas de</w:t>
      </w:r>
      <w:r w:rsidR="0001749B">
        <w:t xml:space="preserve"> </w:t>
      </w:r>
      <w:r w:rsidRPr="003534D4">
        <w:t>Violaciones de Derechos Humanos “Dr. Fernando Ulloa”.</w:t>
      </w:r>
    </w:p>
    <w:p w14:paraId="40B5663C" w14:textId="417A236E" w:rsidR="0001749B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En cuanto al acceso a justicia sin mediación, se crearon los “Principios Generales de Actuación” que son consecuencia</w:t>
      </w:r>
      <w:r w:rsidR="0001749B">
        <w:t xml:space="preserve"> </w:t>
      </w:r>
      <w:r w:rsidRPr="003534D4">
        <w:t>de las recomendaciones recibidas del Comité en la comunicación individual 127/2018</w:t>
      </w:r>
      <w:r w:rsidR="0001749B">
        <w:rPr>
          <w:rStyle w:val="FootnoteReference"/>
        </w:rPr>
        <w:footnoteReference w:id="13"/>
      </w:r>
      <w:r w:rsidRPr="003534D4">
        <w:t>.</w:t>
      </w:r>
    </w:p>
    <w:p w14:paraId="4AE6B0E0" w14:textId="67818997" w:rsidR="003534D4" w:rsidRP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Diversos servicios gratuitos, públicos y privados ayudan al acceso a la justicia a víctimas de violencia. La Oficina de</w:t>
      </w:r>
      <w:r w:rsidR="0001749B">
        <w:t xml:space="preserve"> </w:t>
      </w:r>
      <w:r w:rsidRPr="003534D4">
        <w:t>Violencia Doméstica atiende las 24 horas, con personal interdisciplinario. Algunas provincias cuentan con juzgados</w:t>
      </w:r>
      <w:r w:rsidR="0001749B">
        <w:t xml:space="preserve"> </w:t>
      </w:r>
      <w:r w:rsidRPr="003534D4">
        <w:t>especializados en violencia doméstica. En la mayoría de las jurisdicciones no es necesario el patrocinio letrado. En 2024</w:t>
      </w:r>
      <w:r w:rsidR="0001749B">
        <w:t xml:space="preserve"> </w:t>
      </w:r>
      <w:r w:rsidRPr="003534D4">
        <w:t>la OVD atendió 17.120 personas. El 81% de las presentaciones fueron iniciadas por mujeres. Los vínculos más</w:t>
      </w:r>
      <w:r w:rsidR="0001749B">
        <w:t xml:space="preserve"> </w:t>
      </w:r>
      <w:r w:rsidRPr="003534D4">
        <w:t>frecuentes fueron pareja o expareja, y el 72% correspondía a relaciones ya finalizadas.</w:t>
      </w:r>
    </w:p>
    <w:p w14:paraId="4D51853F" w14:textId="77777777" w:rsidR="003534D4" w:rsidRPr="003534D4" w:rsidRDefault="003534D4" w:rsidP="001E69BA">
      <w:pPr>
        <w:spacing w:line="276" w:lineRule="auto"/>
        <w:jc w:val="both"/>
        <w:rPr>
          <w:b/>
          <w:bCs/>
        </w:rPr>
      </w:pPr>
      <w:r w:rsidRPr="003534D4">
        <w:rPr>
          <w:b/>
          <w:bCs/>
        </w:rPr>
        <w:t>Cuestión 8. Medidas especiales de carácter temporal</w:t>
      </w:r>
    </w:p>
    <w:p w14:paraId="70D966E6" w14:textId="77777777" w:rsidR="0001749B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La Constitución dispone que la legislación promueva “</w:t>
      </w:r>
      <w:r w:rsidRPr="003534D4">
        <w:rPr>
          <w:i/>
          <w:iCs/>
        </w:rPr>
        <w:t>medidas de acción positiva que garanticen la igualdad real de</w:t>
      </w:r>
      <w:r w:rsidR="0001749B" w:rsidRPr="0001749B">
        <w:rPr>
          <w:i/>
          <w:iCs/>
        </w:rPr>
        <w:t xml:space="preserve"> </w:t>
      </w:r>
      <w:r w:rsidRPr="003534D4">
        <w:rPr>
          <w:i/>
          <w:iCs/>
        </w:rPr>
        <w:t>oportunidades y de trato, y el pleno goce y ejercicio de los derechos reconocidos por esta Constitución y por los tratados</w:t>
      </w:r>
      <w:r w:rsidR="0001749B" w:rsidRPr="0001749B">
        <w:rPr>
          <w:i/>
          <w:iCs/>
        </w:rPr>
        <w:t xml:space="preserve"> </w:t>
      </w:r>
      <w:r w:rsidRPr="003534D4">
        <w:rPr>
          <w:i/>
          <w:iCs/>
        </w:rPr>
        <w:t>internacionales vigentes sobre derechos humanos, en particular respecto de los niños, las mujeres, los ancianos y las</w:t>
      </w:r>
      <w:r w:rsidR="0001749B" w:rsidRPr="0001749B">
        <w:rPr>
          <w:i/>
          <w:iCs/>
        </w:rPr>
        <w:t xml:space="preserve"> </w:t>
      </w:r>
      <w:r w:rsidRPr="003534D4">
        <w:rPr>
          <w:i/>
          <w:iCs/>
        </w:rPr>
        <w:t>personas con discapacidad</w:t>
      </w:r>
      <w:r w:rsidRPr="003534D4">
        <w:t>”. Además, establece la necesidad de dictar un régimen de seguridad social especial e</w:t>
      </w:r>
      <w:r w:rsidR="0001749B">
        <w:t xml:space="preserve"> </w:t>
      </w:r>
      <w:r w:rsidRPr="003534D4">
        <w:t xml:space="preserve">integral en protección del niño en situación de desamparo, </w:t>
      </w:r>
      <w:r w:rsidRPr="003534D4">
        <w:rPr>
          <w:i/>
          <w:iCs/>
        </w:rPr>
        <w:t>“desde el embarazo hasta la finalización del período de</w:t>
      </w:r>
      <w:r w:rsidR="0001749B" w:rsidRPr="0001749B">
        <w:rPr>
          <w:i/>
          <w:iCs/>
        </w:rPr>
        <w:t xml:space="preserve"> </w:t>
      </w:r>
      <w:r w:rsidRPr="003534D4">
        <w:rPr>
          <w:i/>
          <w:iCs/>
        </w:rPr>
        <w:t>enseñanza elemental, y de la madre durante el embarazo y el tiempo de lactancia</w:t>
      </w:r>
      <w:r w:rsidR="0001749B">
        <w:rPr>
          <w:rStyle w:val="FootnoteReference"/>
        </w:rPr>
        <w:footnoteReference w:id="14"/>
      </w:r>
      <w:r w:rsidRPr="003534D4">
        <w:t>”. Así, la</w:t>
      </w:r>
      <w:r w:rsidR="0001749B">
        <w:t xml:space="preserve"> </w:t>
      </w:r>
      <w:r w:rsidRPr="003534D4">
        <w:t>Constitución se alinea con</w:t>
      </w:r>
      <w:r w:rsidR="0001749B">
        <w:t xml:space="preserve"> </w:t>
      </w:r>
      <w:r w:rsidRPr="003534D4">
        <w:t xml:space="preserve">la CEDAW en la promoción </w:t>
      </w:r>
      <w:r w:rsidRPr="003534D4">
        <w:rPr>
          <w:i/>
          <w:iCs/>
        </w:rPr>
        <w:t>“del gran aporte de la mujer al bienestar de la familia y al desarrollo de la sociedad”</w:t>
      </w:r>
      <w:r w:rsidRPr="003534D4">
        <w:t>, y la</w:t>
      </w:r>
      <w:r w:rsidR="0001749B">
        <w:t xml:space="preserve"> </w:t>
      </w:r>
      <w:r w:rsidRPr="003534D4">
        <w:rPr>
          <w:i/>
          <w:iCs/>
        </w:rPr>
        <w:t>“importancia social la maternidad”</w:t>
      </w:r>
      <w:r w:rsidR="0001749B">
        <w:rPr>
          <w:rStyle w:val="FootnoteReference"/>
          <w:i/>
          <w:iCs/>
        </w:rPr>
        <w:footnoteReference w:id="15"/>
      </w:r>
      <w:r w:rsidRPr="003534D4">
        <w:t>, protegiendo a la mujer y a la niña desde el embarazo y durante toda su vida.</w:t>
      </w:r>
    </w:p>
    <w:p w14:paraId="2F1F9FF0" w14:textId="77777777" w:rsidR="0001749B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lastRenderedPageBreak/>
        <w:t>La Administración Nacional de Seguridad Social</w:t>
      </w:r>
      <w:r w:rsidR="0001749B">
        <w:rPr>
          <w:rStyle w:val="FootnoteReference"/>
        </w:rPr>
        <w:footnoteReference w:id="16"/>
      </w:r>
      <w:r w:rsidRPr="003534D4">
        <w:t xml:space="preserve"> publica periódicamente información estadística desagregada por</w:t>
      </w:r>
      <w:r w:rsidR="0001749B">
        <w:t xml:space="preserve"> </w:t>
      </w:r>
      <w:r w:rsidRPr="003534D4">
        <w:t>sexo, lo que contribuye al monitoreo del impacto de las políticas públicas desde una perspectiva de igualdad y no</w:t>
      </w:r>
      <w:r w:rsidR="0001749B">
        <w:t xml:space="preserve"> </w:t>
      </w:r>
      <w:r w:rsidRPr="003534D4">
        <w:t>discriminación. Según el último informe disponible (junio 2025):</w:t>
      </w:r>
    </w:p>
    <w:p w14:paraId="72C332F5" w14:textId="77777777" w:rsidR="0001749B" w:rsidRDefault="003534D4" w:rsidP="001E69BA">
      <w:pPr>
        <w:pStyle w:val="ListParagraph"/>
        <w:numPr>
          <w:ilvl w:val="1"/>
          <w:numId w:val="1"/>
        </w:numPr>
        <w:spacing w:line="276" w:lineRule="auto"/>
        <w:contextualSpacing w:val="0"/>
        <w:jc w:val="both"/>
      </w:pPr>
      <w:r w:rsidRPr="003534D4">
        <w:t>la Asignación Universal por Hijo (AUH) alcanzó a 4.108.804 niños (49% niñas).</w:t>
      </w:r>
    </w:p>
    <w:p w14:paraId="383DE782" w14:textId="77777777" w:rsidR="0001749B" w:rsidRDefault="003534D4" w:rsidP="001E69BA">
      <w:pPr>
        <w:pStyle w:val="ListParagraph"/>
        <w:numPr>
          <w:ilvl w:val="1"/>
          <w:numId w:val="1"/>
        </w:numPr>
        <w:spacing w:line="276" w:lineRule="auto"/>
        <w:contextualSpacing w:val="0"/>
        <w:jc w:val="both"/>
      </w:pPr>
      <w:r w:rsidRPr="003534D4">
        <w:t>El número total de titulares de la AUH fue de 2.350.370 (96% mujeres). El promedio de hijos e hijas por titular fue</w:t>
      </w:r>
      <w:r w:rsidR="0001749B">
        <w:t xml:space="preserve"> </w:t>
      </w:r>
      <w:r w:rsidRPr="003534D4">
        <w:t>de 1,75.</w:t>
      </w:r>
    </w:p>
    <w:p w14:paraId="08EBDC7B" w14:textId="2012189E" w:rsidR="003534D4" w:rsidRPr="003534D4" w:rsidRDefault="003534D4" w:rsidP="001E69BA">
      <w:pPr>
        <w:pStyle w:val="ListParagraph"/>
        <w:numPr>
          <w:ilvl w:val="1"/>
          <w:numId w:val="1"/>
        </w:numPr>
        <w:spacing w:line="276" w:lineRule="auto"/>
        <w:contextualSpacing w:val="0"/>
        <w:jc w:val="both"/>
      </w:pPr>
      <w:r w:rsidRPr="003534D4">
        <w:t>La Asignación por Embarazo alcanzó a 66.217 mujeres, de las cuales el 60% tenía entre 20 y 29 años, con un</w:t>
      </w:r>
      <w:r w:rsidR="0001749B">
        <w:t xml:space="preserve"> </w:t>
      </w:r>
      <w:r w:rsidRPr="003534D4">
        <w:t>promedio de 26 años.</w:t>
      </w:r>
    </w:p>
    <w:p w14:paraId="3719658E" w14:textId="77777777" w:rsidR="003534D4" w:rsidRPr="003534D4" w:rsidRDefault="003534D4" w:rsidP="001E69BA">
      <w:pPr>
        <w:spacing w:line="276" w:lineRule="auto"/>
        <w:jc w:val="both"/>
        <w:rPr>
          <w:b/>
          <w:bCs/>
        </w:rPr>
      </w:pPr>
      <w:r w:rsidRPr="003534D4">
        <w:rPr>
          <w:b/>
          <w:bCs/>
        </w:rPr>
        <w:t>Cuestión 10. Violencia contra la mujer</w:t>
      </w:r>
    </w:p>
    <w:p w14:paraId="5F2361F6" w14:textId="77777777" w:rsidR="0001749B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La Oficina de Violencia Doméstica, con sede nacional y oficinas análogas provinciales se ocupa de la violencia en el</w:t>
      </w:r>
      <w:r w:rsidR="0001749B">
        <w:t xml:space="preserve"> </w:t>
      </w:r>
      <w:r w:rsidRPr="003534D4">
        <w:t>marco de las relaciones familiares. La ley 26.485 abarca las demás formas de violencia contra la mujer y, usualmente,</w:t>
      </w:r>
      <w:r w:rsidR="0001749B">
        <w:t xml:space="preserve"> </w:t>
      </w:r>
      <w:r w:rsidRPr="003534D4">
        <w:t>tiene canales de denuncia diferenciados, con única línea telefónica nacional de denuncia. En la mayoría de las</w:t>
      </w:r>
      <w:r w:rsidR="0001749B">
        <w:t xml:space="preserve"> </w:t>
      </w:r>
      <w:r w:rsidRPr="003534D4">
        <w:t>provincias, la primera medida dispone invariablemente un perímetro de exclusión del agresor. Según el informe de</w:t>
      </w:r>
      <w:r w:rsidR="0001749B">
        <w:t xml:space="preserve"> </w:t>
      </w:r>
      <w:r w:rsidRPr="003534D4">
        <w:t>riesgo, pueden entregarse botones de pánico o disponerse consignas policiales, la exclusión del hogar del agresor, la</w:t>
      </w:r>
      <w:r w:rsidR="0001749B">
        <w:t xml:space="preserve"> </w:t>
      </w:r>
      <w:r w:rsidRPr="003534D4">
        <w:t>confiscación de armas, alimentos, medidas de no innovar respecto de la cobertura social, acompañamiento psicológico y</w:t>
      </w:r>
      <w:r w:rsidR="0001749B">
        <w:t xml:space="preserve"> </w:t>
      </w:r>
      <w:r w:rsidRPr="003534D4">
        <w:t>tratamiento para la víctima, los niños o el agresor, y, si fuera el caso, el alojamiento de la víctima en un refugio. Si</w:t>
      </w:r>
      <w:r w:rsidR="0001749B">
        <w:t xml:space="preserve"> </w:t>
      </w:r>
      <w:r w:rsidRPr="003534D4">
        <w:t>hubiera lesiones, la justicia puede ordenar medidas de seguridad mayores, como la detención del agresor.</w:t>
      </w:r>
    </w:p>
    <w:p w14:paraId="53140711" w14:textId="0EE629E1" w:rsidR="003534D4" w:rsidRP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En relación con la Reparación Económica para Niñas, Niños y Adolescentes víctimas de violencia (Ley Brisa–27.452), se</w:t>
      </w:r>
      <w:r w:rsidR="0001749B">
        <w:t xml:space="preserve"> </w:t>
      </w:r>
      <w:r w:rsidRPr="003534D4">
        <w:t>trabaja para su implementación con la Secretaría de Niñez, Adolescencia y Familia del Ministerio de Capital Humano y</w:t>
      </w:r>
      <w:r w:rsidR="0001749B">
        <w:t xml:space="preserve"> </w:t>
      </w:r>
      <w:r w:rsidRPr="003534D4">
        <w:t>con la ANSES. En este marco, se elaboran informes técnicos, ajustados a criterios de autosuficiencia y debida diligencia.</w:t>
      </w:r>
      <w:r w:rsidR="0001749B">
        <w:t xml:space="preserve"> </w:t>
      </w:r>
      <w:r w:rsidRPr="003534D4">
        <w:t>En el marco de dicha norma se implementa el Programa RENNYA (Reparación Económica para Niñas, Niños y</w:t>
      </w:r>
      <w:r w:rsidR="0001749B">
        <w:t xml:space="preserve"> </w:t>
      </w:r>
      <w:r w:rsidRPr="003534D4">
        <w:t>Adolescentes), que otorga una reparación económica mensual equivalente a dos jubilaciones mínimas, así como</w:t>
      </w:r>
      <w:r w:rsidR="0001749B">
        <w:t xml:space="preserve"> </w:t>
      </w:r>
      <w:r w:rsidRPr="003534D4">
        <w:t>cobertura integral de salud física y psicológica.</w:t>
      </w:r>
    </w:p>
    <w:p w14:paraId="79069195" w14:textId="77777777" w:rsidR="003534D4" w:rsidRPr="003534D4" w:rsidRDefault="003534D4" w:rsidP="001E69BA">
      <w:pPr>
        <w:spacing w:line="276" w:lineRule="auto"/>
        <w:jc w:val="both"/>
        <w:rPr>
          <w:b/>
          <w:bCs/>
        </w:rPr>
      </w:pPr>
      <w:r w:rsidRPr="003534D4">
        <w:rPr>
          <w:b/>
          <w:bCs/>
        </w:rPr>
        <w:t>Cuestión 11. Trata y explotación de la prostitución</w:t>
      </w:r>
    </w:p>
    <w:p w14:paraId="14EE0B92" w14:textId="77777777" w:rsidR="000C238D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La República Argentina ha liderado, a partir de este gobierno, la lucha contra la trata con fines reproductivos,</w:t>
      </w:r>
      <w:r w:rsidR="0001749B">
        <w:t xml:space="preserve"> </w:t>
      </w:r>
      <w:r w:rsidRPr="003534D4">
        <w:t>constituyéndose en una defensora activa en el ámbito interno e internacional contra la maternidad subrogada, una forma</w:t>
      </w:r>
      <w:r w:rsidR="0001749B">
        <w:t xml:space="preserve"> </w:t>
      </w:r>
      <w:r w:rsidRPr="003534D4">
        <w:t xml:space="preserve">de explotación de las mujeres, que en los lineamientos de política internacional en derechos humanos de </w:t>
      </w:r>
      <w:r w:rsidRPr="003534D4">
        <w:lastRenderedPageBreak/>
        <w:t>2025, fue</w:t>
      </w:r>
      <w:r w:rsidR="0001749B">
        <w:t xml:space="preserve"> </w:t>
      </w:r>
      <w:r w:rsidRPr="003534D4">
        <w:t>enunciada como una nueva forma de esclavitud contemporánea, en consonancia con el Informe de la Relatora Especial</w:t>
      </w:r>
      <w:r w:rsidR="0001749B">
        <w:t xml:space="preserve"> </w:t>
      </w:r>
      <w:r w:rsidRPr="003534D4">
        <w:t>sobre la violencia contra las mujeres y las niñas, sus causas y consecuencias, sobre “Las distintas manifestaciones de</w:t>
      </w:r>
      <w:r w:rsidR="0001749B">
        <w:t xml:space="preserve"> </w:t>
      </w:r>
      <w:r w:rsidRPr="003534D4">
        <w:t>violencia contra las mujeres y las niñas en el contexto de la reproducción subrogada”</w:t>
      </w:r>
      <w:r w:rsidR="0001749B">
        <w:rPr>
          <w:rStyle w:val="FootnoteReference"/>
        </w:rPr>
        <w:footnoteReference w:id="17"/>
      </w:r>
      <w:r w:rsidRPr="003534D4">
        <w:t xml:space="preserve"> en que la Argentina fue citada</w:t>
      </w:r>
      <w:r w:rsidR="000C238D">
        <w:t xml:space="preserve"> </w:t>
      </w:r>
      <w:r w:rsidRPr="003534D4">
        <w:t>repetidamente.</w:t>
      </w:r>
    </w:p>
    <w:p w14:paraId="25FBF5A7" w14:textId="77777777" w:rsidR="000C238D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Se investiga judicialmente en diversas causas esta nueva forma de explotación de mujeres que involucran, al menos, 65</w:t>
      </w:r>
      <w:r w:rsidR="000C238D">
        <w:t xml:space="preserve"> </w:t>
      </w:r>
      <w:r w:rsidRPr="003534D4">
        <w:t>casos de posible trata. De 147 legajos de casos de maternidad subrogada entre 2018 y abril de 2024, al menos 49</w:t>
      </w:r>
      <w:r w:rsidR="000C238D">
        <w:t xml:space="preserve"> </w:t>
      </w:r>
      <w:r w:rsidRPr="003534D4">
        <w:t>presentaban características comunes, con un patrón repetido: madre gestante argentina con características de situación</w:t>
      </w:r>
      <w:r w:rsidR="000C238D">
        <w:t xml:space="preserve"> </w:t>
      </w:r>
      <w:r w:rsidRPr="003534D4">
        <w:t>de vulnerabilidad, y comitentes domiciliados en países extranjeros, sin relación previa con ella.</w:t>
      </w:r>
    </w:p>
    <w:p w14:paraId="6768D1DA" w14:textId="77777777" w:rsidR="000C238D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Se verifica un aumento considerable de inscripción de niños nacidos a través de maternidad subrogada, con parámetros</w:t>
      </w:r>
      <w:r w:rsidR="000C238D">
        <w:t xml:space="preserve"> </w:t>
      </w:r>
      <w:r w:rsidRPr="003534D4">
        <w:t>comunes indicativos de operaciones de mercado y de un negocio trasnacional catalogado por algunas agencias como</w:t>
      </w:r>
      <w:r w:rsidR="000C238D">
        <w:t xml:space="preserve"> </w:t>
      </w:r>
      <w:r w:rsidRPr="003534D4">
        <w:t>“Programa Argentina”, y por fuentes investigativas como “turismo reproductivo”.</w:t>
      </w:r>
    </w:p>
    <w:p w14:paraId="1385A2C1" w14:textId="77777777" w:rsidR="000C238D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La Dirección Nacional de Migraciones realizó un “Informe preliminar de menores argentinos”, compartido con la Dirección</w:t>
      </w:r>
      <w:r w:rsidR="000C238D">
        <w:t xml:space="preserve"> </w:t>
      </w:r>
      <w:r w:rsidRPr="003534D4">
        <w:t>Operativa del Comité para la Lucha contra la Trata, que muestra un crecimiento exponencial del traslado de bebés</w:t>
      </w:r>
      <w:r w:rsidR="000C238D">
        <w:t xml:space="preserve"> </w:t>
      </w:r>
      <w:r w:rsidRPr="003534D4">
        <w:t>argentinos hacia el extranjero. Los datos relevados entre enero y septiembre de 2024, bajo el criterio “parejas de</w:t>
      </w:r>
      <w:r w:rsidR="000C238D">
        <w:t xml:space="preserve"> </w:t>
      </w:r>
      <w:r w:rsidRPr="003534D4">
        <w:t>extranjeros que ingresan solos al país y egresan a los pocos días con un hijo recién nacido” muestran que la cifra</w:t>
      </w:r>
      <w:r w:rsidR="000C238D">
        <w:t xml:space="preserve"> </w:t>
      </w:r>
      <w:r w:rsidRPr="003534D4">
        <w:t>superaría largamente los mil casos.</w:t>
      </w:r>
    </w:p>
    <w:p w14:paraId="52AAE39F" w14:textId="77777777" w:rsidR="000C238D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La Coordinación Nacional de Rescate y Asistencia reportó en 2024 rescates de víctimas de trata bajo la modalidad de</w:t>
      </w:r>
      <w:r w:rsidR="000C238D">
        <w:t xml:space="preserve"> </w:t>
      </w:r>
      <w:r w:rsidRPr="003534D4">
        <w:t>explotación a través de “maternidad subrogada”.</w:t>
      </w:r>
    </w:p>
    <w:p w14:paraId="76775B47" w14:textId="192CA1BA" w:rsidR="003534D4" w:rsidRP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La Línea 145 de denuncias sobre trata en el país ha recibido un crecimiento notable de denuncias referidas a esta</w:t>
      </w:r>
      <w:r w:rsidR="000C238D">
        <w:t xml:space="preserve"> </w:t>
      </w:r>
      <w:r w:rsidRPr="003534D4">
        <w:t>modalidad de explotación en los últimos dos años</w:t>
      </w:r>
      <w:r w:rsidR="000C238D">
        <w:t>.</w:t>
      </w:r>
    </w:p>
    <w:p w14:paraId="7A5F83B6" w14:textId="77777777" w:rsidR="003534D4" w:rsidRPr="003534D4" w:rsidRDefault="003534D4" w:rsidP="001E69BA">
      <w:pPr>
        <w:spacing w:line="276" w:lineRule="auto"/>
        <w:jc w:val="both"/>
        <w:rPr>
          <w:b/>
          <w:bCs/>
        </w:rPr>
      </w:pPr>
      <w:r w:rsidRPr="003534D4">
        <w:rPr>
          <w:b/>
          <w:bCs/>
        </w:rPr>
        <w:t>Cuestión 13. Educación</w:t>
      </w:r>
    </w:p>
    <w:p w14:paraId="11AE547C" w14:textId="77777777" w:rsidR="000C238D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Sin desconocer la relevancia de las inquietudes expresadas sobre educación sexual integral, la República Argentina</w:t>
      </w:r>
      <w:r w:rsidR="000C238D">
        <w:t xml:space="preserve"> </w:t>
      </w:r>
      <w:r w:rsidRPr="003534D4">
        <w:t>considera prioritario promover un enfoque que contemple a las mujeres y niñas en toda su integralidad personal y</w:t>
      </w:r>
      <w:r w:rsidR="000C238D">
        <w:t xml:space="preserve"> </w:t>
      </w:r>
      <w:r w:rsidRPr="003534D4">
        <w:t>espiritual en el ámbito del derecho a la educación.</w:t>
      </w:r>
    </w:p>
    <w:p w14:paraId="1393D44F" w14:textId="77777777" w:rsidR="000C238D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Según información de la Secretaría de Educación, se registra una matrícula total de más de 1,5 millones de estudiantes</w:t>
      </w:r>
      <w:r w:rsidR="000C238D">
        <w:t xml:space="preserve"> </w:t>
      </w:r>
      <w:r w:rsidRPr="003534D4">
        <w:t>en el nivel inicial, 4,7 millones en el nivel primario y 4,0 millones en el nivel secundario, con una distribución</w:t>
      </w:r>
      <w:r w:rsidR="000C238D">
        <w:t xml:space="preserve"> </w:t>
      </w:r>
      <w:r w:rsidRPr="003534D4">
        <w:t>relativamente equilibrada entre varones y mujeres, con una ligera mayor presencia de varones en el nivel inicial y</w:t>
      </w:r>
      <w:r w:rsidR="000C238D">
        <w:t xml:space="preserve"> </w:t>
      </w:r>
      <w:r w:rsidRPr="003534D4">
        <w:t xml:space="preserve">primario, y una mayor participación de mujeres en el nivel secundario. Según las </w:t>
      </w:r>
      <w:r w:rsidRPr="003534D4">
        <w:lastRenderedPageBreak/>
        <w:t>estadísticas del INDEC, el 36,4% de las</w:t>
      </w:r>
      <w:r w:rsidR="000C238D">
        <w:t xml:space="preserve"> </w:t>
      </w:r>
      <w:r w:rsidRPr="003534D4">
        <w:t>mujeres tienen estudios superiores universitarios completos o incompletos, contra un 29,3% de los varones</w:t>
      </w:r>
      <w:r w:rsidR="000C238D">
        <w:rPr>
          <w:rStyle w:val="FootnoteReference"/>
        </w:rPr>
        <w:footnoteReference w:id="18"/>
      </w:r>
      <w:r w:rsidRPr="003534D4">
        <w:t>.</w:t>
      </w:r>
    </w:p>
    <w:p w14:paraId="45322443" w14:textId="77777777" w:rsidR="000C238D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En relación con la discapacidad, se registra una matrícula significativa de estudiantes con discapacidad, tanto varones</w:t>
      </w:r>
      <w:r w:rsidR="000C238D">
        <w:t xml:space="preserve"> </w:t>
      </w:r>
      <w:r w:rsidRPr="003534D4">
        <w:t>como mujeres en todos los niveles, lo que evidencia la implementación de políticas de inclusión educativa en el sistema</w:t>
      </w:r>
      <w:r w:rsidR="000C238D">
        <w:t xml:space="preserve"> </w:t>
      </w:r>
      <w:r w:rsidRPr="003534D4">
        <w:t>formal. La distribución por sexo muestra una mayor proporción de varones entre el alumnado con discapacidad,</w:t>
      </w:r>
      <w:r w:rsidR="000C238D">
        <w:t xml:space="preserve"> </w:t>
      </w:r>
      <w:r w:rsidRPr="003534D4">
        <w:t>tendencia consistente con registros educativos previos.</w:t>
      </w:r>
    </w:p>
    <w:p w14:paraId="452045FE" w14:textId="77777777" w:rsidR="000C238D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En cuanto a la ESI, la República Argentina recuerda que al ratificar la Convención sobre los Derechos del Niño, que</w:t>
      </w:r>
      <w:r w:rsidR="000C238D">
        <w:t xml:space="preserve"> </w:t>
      </w:r>
      <w:r w:rsidRPr="003534D4">
        <w:t>cuenta con jerarquía constitucional, formuló una declaración interpretativa por la cual: “</w:t>
      </w:r>
      <w:r w:rsidRPr="003534D4">
        <w:rPr>
          <w:i/>
          <w:iCs/>
        </w:rPr>
        <w:t>considerando que las cuestiones</w:t>
      </w:r>
      <w:r w:rsidR="000C238D" w:rsidRPr="000C238D">
        <w:rPr>
          <w:i/>
          <w:iCs/>
        </w:rPr>
        <w:t xml:space="preserve"> </w:t>
      </w:r>
      <w:r w:rsidRPr="003534D4">
        <w:rPr>
          <w:i/>
          <w:iCs/>
        </w:rPr>
        <w:t>vinculadas con la planificación familiar atañen a los padres de manera indelegable de acuerdo a principios éticos y</w:t>
      </w:r>
      <w:r w:rsidR="000C238D" w:rsidRPr="000C238D">
        <w:rPr>
          <w:i/>
          <w:iCs/>
        </w:rPr>
        <w:t xml:space="preserve"> </w:t>
      </w:r>
      <w:r w:rsidRPr="003534D4">
        <w:rPr>
          <w:i/>
          <w:iCs/>
        </w:rPr>
        <w:t>morales, interpreta que es obligación de los Estados, en el marco de este artículo, adoptar las medidas apropiadas para</w:t>
      </w:r>
      <w:r w:rsidR="000C238D" w:rsidRPr="000C238D">
        <w:rPr>
          <w:i/>
          <w:iCs/>
        </w:rPr>
        <w:t xml:space="preserve"> </w:t>
      </w:r>
      <w:r w:rsidRPr="003534D4">
        <w:rPr>
          <w:i/>
          <w:iCs/>
        </w:rPr>
        <w:t>la orientación a los padres y la educación para la paternidad responsable</w:t>
      </w:r>
      <w:r w:rsidRPr="003534D4">
        <w:t>”. Las respuestas a continuación se encuadran</w:t>
      </w:r>
      <w:r w:rsidR="000C238D">
        <w:t xml:space="preserve"> </w:t>
      </w:r>
      <w:r w:rsidRPr="003534D4">
        <w:t>en el marco de esa declaración, que delimita la obligación asumida por la República Argentina.</w:t>
      </w:r>
    </w:p>
    <w:p w14:paraId="080C41D3" w14:textId="20409556" w:rsidR="003534D4" w:rsidRP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La Secretaría de Educación incorporó acciones específicas de prevención de la violencia y los abusos, habiendo</w:t>
      </w:r>
      <w:r w:rsidR="000C238D">
        <w:t xml:space="preserve"> </w:t>
      </w:r>
      <w:r w:rsidRPr="003534D4">
        <w:t>elaborado una Guía para la prevención del abuso sexual en la infancia y materiales orientados a la prevención del</w:t>
      </w:r>
      <w:r w:rsidR="000C238D">
        <w:t xml:space="preserve"> </w:t>
      </w:r>
      <w:r w:rsidRPr="003534D4">
        <w:rPr>
          <w:i/>
          <w:iCs/>
        </w:rPr>
        <w:t>bullying</w:t>
      </w:r>
      <w:r w:rsidRPr="003534D4">
        <w:t>.</w:t>
      </w:r>
    </w:p>
    <w:p w14:paraId="5945E46A" w14:textId="77777777" w:rsidR="003534D4" w:rsidRPr="003534D4" w:rsidRDefault="003534D4" w:rsidP="001E69BA">
      <w:pPr>
        <w:spacing w:line="276" w:lineRule="auto"/>
        <w:jc w:val="both"/>
        <w:rPr>
          <w:b/>
          <w:bCs/>
        </w:rPr>
      </w:pPr>
      <w:r w:rsidRPr="003534D4">
        <w:rPr>
          <w:b/>
          <w:bCs/>
        </w:rPr>
        <w:t>Cuestión 16. Salud</w:t>
      </w:r>
    </w:p>
    <w:p w14:paraId="3B4E912F" w14:textId="77777777" w:rsidR="00ED3C7B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La República Argentina cumple con sus obligaciones internacionales exigiéndose más allá de lo requerido, para proteger</w:t>
      </w:r>
      <w:r w:rsidR="000C238D">
        <w:t xml:space="preserve"> </w:t>
      </w:r>
      <w:r w:rsidRPr="003534D4">
        <w:t xml:space="preserve">la vida de todas las niñas y todas las madres </w:t>
      </w:r>
      <w:r w:rsidRPr="003534D4">
        <w:rPr>
          <w:i/>
          <w:iCs/>
        </w:rPr>
        <w:t>“sin discriminación por razón de nacimiento”</w:t>
      </w:r>
      <w:r w:rsidR="00ED3C7B">
        <w:rPr>
          <w:rStyle w:val="FootnoteReference"/>
        </w:rPr>
        <w:footnoteReference w:id="19"/>
      </w:r>
      <w:r w:rsidRPr="003534D4">
        <w:t>. Así destacamos que la</w:t>
      </w:r>
      <w:r w:rsidR="00ED3C7B">
        <w:t xml:space="preserve"> </w:t>
      </w:r>
      <w:r w:rsidRPr="003534D4">
        <w:t>Argentina, protegiendo de manera progresiva los derechos a la vida de las niñas sin discriminación, toma particularmente</w:t>
      </w:r>
      <w:r w:rsidR="00ED3C7B">
        <w:t xml:space="preserve"> </w:t>
      </w:r>
      <w:r w:rsidRPr="003534D4">
        <w:t xml:space="preserve">en cuenta sus obligaciones conforme la Convención sobre los Derechos del Niño que exige proteger a las niñas, </w:t>
      </w:r>
      <w:r w:rsidRPr="003534D4">
        <w:rPr>
          <w:i/>
          <w:iCs/>
        </w:rPr>
        <w:t>“tanto</w:t>
      </w:r>
      <w:r w:rsidR="00ED3C7B" w:rsidRPr="00ED3C7B">
        <w:rPr>
          <w:i/>
          <w:iCs/>
        </w:rPr>
        <w:t xml:space="preserve"> </w:t>
      </w:r>
      <w:r w:rsidRPr="003534D4">
        <w:rPr>
          <w:i/>
          <w:iCs/>
        </w:rPr>
        <w:t>antes como después del nacimiento”</w:t>
      </w:r>
      <w:r w:rsidR="00ED3C7B">
        <w:rPr>
          <w:rStyle w:val="FootnoteReference"/>
          <w:i/>
          <w:iCs/>
        </w:rPr>
        <w:footnoteReference w:id="20"/>
      </w:r>
      <w:r w:rsidRPr="003534D4">
        <w:t xml:space="preserve">; la declaración interpretativa efectuada a su Artículo 1 que declara niño a </w:t>
      </w:r>
      <w:r w:rsidRPr="003534D4">
        <w:rPr>
          <w:i/>
          <w:iCs/>
        </w:rPr>
        <w:t>“toda</w:t>
      </w:r>
      <w:r w:rsidR="00ED3C7B" w:rsidRPr="00ED3C7B">
        <w:rPr>
          <w:i/>
          <w:iCs/>
        </w:rPr>
        <w:t xml:space="preserve"> </w:t>
      </w:r>
      <w:r w:rsidRPr="003534D4">
        <w:rPr>
          <w:i/>
          <w:iCs/>
        </w:rPr>
        <w:t>persona desde la concepción…”</w:t>
      </w:r>
      <w:r w:rsidRPr="003534D4">
        <w:t xml:space="preserve">, y a lo dispuesto por el artículo 4 de la Convención Americana que protege la vida </w:t>
      </w:r>
      <w:r w:rsidRPr="003534D4">
        <w:rPr>
          <w:i/>
          <w:iCs/>
        </w:rPr>
        <w:t>“en</w:t>
      </w:r>
      <w:r w:rsidR="00ED3C7B" w:rsidRPr="00ED3C7B">
        <w:rPr>
          <w:i/>
          <w:iCs/>
        </w:rPr>
        <w:t xml:space="preserve"> </w:t>
      </w:r>
      <w:r w:rsidRPr="003534D4">
        <w:rPr>
          <w:i/>
          <w:iCs/>
        </w:rPr>
        <w:t>general, desde la concepción”</w:t>
      </w:r>
      <w:r w:rsidR="00ED3C7B">
        <w:rPr>
          <w:rStyle w:val="FootnoteReference"/>
        </w:rPr>
        <w:footnoteReference w:id="21"/>
      </w:r>
      <w:r w:rsidRPr="003534D4">
        <w:t>.</w:t>
      </w:r>
    </w:p>
    <w:p w14:paraId="73807DAE" w14:textId="77777777" w:rsidR="00ED3C7B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Dicho esto, la principal causa de mortalidad de mujeres en Argentina son las enfermedades cardíacas (23,1%), seguida</w:t>
      </w:r>
      <w:r w:rsidR="00ED3C7B">
        <w:t xml:space="preserve"> </w:t>
      </w:r>
      <w:r w:rsidRPr="003534D4">
        <w:t>por los tumores malignos (17,4%), neumonía e influenza (12,8%) y las enfermedades cerebrovasculares y septicemia (5</w:t>
      </w:r>
      <w:r w:rsidR="00ED3C7B">
        <w:t xml:space="preserve"> </w:t>
      </w:r>
      <w:r w:rsidRPr="003534D4">
        <w:t xml:space="preserve">y </w:t>
      </w:r>
      <w:r w:rsidRPr="003534D4">
        <w:lastRenderedPageBreak/>
        <w:t>5,3%, respectivamente). La política sanitaria considera prioritario evitar abordajes estereotipados sobre la salud de la</w:t>
      </w:r>
      <w:r w:rsidR="00ED3C7B">
        <w:t xml:space="preserve"> </w:t>
      </w:r>
      <w:r w:rsidRPr="003534D4">
        <w:t>mujer, que la reduzcan sólo a su función procreativa, y trabaja sobre políticas basadas en evidencia, que garanticen su</w:t>
      </w:r>
      <w:r w:rsidR="00ED3C7B">
        <w:t xml:space="preserve"> </w:t>
      </w:r>
      <w:r w:rsidRPr="003534D4">
        <w:t>salud integral.</w:t>
      </w:r>
    </w:p>
    <w:p w14:paraId="18E08159" w14:textId="77777777" w:rsidR="00ED3C7B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El Ministerio de Salud ejerce, en este contexto, un rol rector en la definición, articulación y fortalecimiento de las</w:t>
      </w:r>
      <w:r w:rsidR="00ED3C7B">
        <w:t xml:space="preserve"> </w:t>
      </w:r>
      <w:r w:rsidRPr="003534D4">
        <w:t>competencias de cada una de las jurisdicciones y tiene políticas destinadas a trabajar sobre la salud integral de la mujer,</w:t>
      </w:r>
      <w:r w:rsidR="00ED3C7B">
        <w:t xml:space="preserve"> </w:t>
      </w:r>
      <w:r w:rsidRPr="003534D4">
        <w:t>considerando aspectos biológicos, sociales, culturales y territoriales. Así, respecto de las enfermedades crónicas no</w:t>
      </w:r>
      <w:r w:rsidR="00ED3C7B">
        <w:t xml:space="preserve"> </w:t>
      </w:r>
      <w:r w:rsidRPr="003534D4">
        <w:t>transmisibles, principal causa de muerte prematura de las mujeres y de discapacidad, se implementan estrategias de</w:t>
      </w:r>
      <w:r w:rsidR="00ED3C7B">
        <w:t xml:space="preserve"> </w:t>
      </w:r>
      <w:r w:rsidRPr="003534D4">
        <w:t>prevención y control, con enfoque de factores de riesgo, como alimentación inadecuada, sedentarismo, tabaquismo y</w:t>
      </w:r>
      <w:r w:rsidR="00ED3C7B">
        <w:t xml:space="preserve"> </w:t>
      </w:r>
      <w:r w:rsidRPr="003534D4">
        <w:t>consumo excesivo de alcohol, priorizando líneas de cuidado como hipertensión, diabetes tipo 2, enfermedad renal</w:t>
      </w:r>
      <w:r w:rsidR="00ED3C7B">
        <w:t xml:space="preserve"> </w:t>
      </w:r>
      <w:r w:rsidRPr="003534D4">
        <w:t>crónica y EPOC.</w:t>
      </w:r>
    </w:p>
    <w:p w14:paraId="239B50AD" w14:textId="77777777" w:rsidR="00ED3C7B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Especialmente, y considerando que la CEDAW da importancia primordial a la maternidad</w:t>
      </w:r>
      <w:r w:rsidR="00ED3C7B">
        <w:rPr>
          <w:rStyle w:val="FootnoteReference"/>
        </w:rPr>
        <w:footnoteReference w:id="22"/>
      </w:r>
      <w:r w:rsidRPr="003534D4">
        <w:t>, el deber de su</w:t>
      </w:r>
      <w:r w:rsidR="00ED3C7B">
        <w:t xml:space="preserve"> </w:t>
      </w:r>
      <w:r w:rsidRPr="003534D4">
        <w:t>protección</w:t>
      </w:r>
      <w:r w:rsidR="00ED3C7B">
        <w:rPr>
          <w:rStyle w:val="FootnoteReference"/>
        </w:rPr>
        <w:footnoteReference w:id="23"/>
      </w:r>
      <w:r w:rsidRPr="003534D4">
        <w:t>, la garantía de que la educación de la familia incluya una comprensión adecuada de la maternidad como</w:t>
      </w:r>
      <w:r w:rsidR="00ED3C7B">
        <w:t xml:space="preserve"> </w:t>
      </w:r>
      <w:r w:rsidRPr="003534D4">
        <w:t>función social</w:t>
      </w:r>
      <w:r w:rsidR="00ED3C7B">
        <w:rPr>
          <w:rStyle w:val="FootnoteReference"/>
        </w:rPr>
        <w:footnoteReference w:id="24"/>
      </w:r>
      <w:r w:rsidRPr="003534D4">
        <w:t>, y a evitar toda forma de discriminación de la mujer por maternidad</w:t>
      </w:r>
      <w:r w:rsidR="00ED3C7B">
        <w:rPr>
          <w:rStyle w:val="FootnoteReference"/>
        </w:rPr>
        <w:footnoteReference w:id="25"/>
      </w:r>
      <w:r w:rsidRPr="003534D4">
        <w:t>, la República Argentina</w:t>
      </w:r>
      <w:r w:rsidR="00ED3C7B">
        <w:t xml:space="preserve"> </w:t>
      </w:r>
      <w:r w:rsidRPr="003534D4">
        <w:t>desarrolla numerosos planes de protección de las madres durante el embarazo y de la primera infancia. Así, la</w:t>
      </w:r>
      <w:r w:rsidR="00ED3C7B">
        <w:t xml:space="preserve"> </w:t>
      </w:r>
      <w:r w:rsidRPr="003534D4">
        <w:t>Estrategia Federal de Primera infancia busca mejorar el control de salud de embarazadas y niños, promoviendo la</w:t>
      </w:r>
      <w:r w:rsidR="00ED3C7B">
        <w:t xml:space="preserve"> </w:t>
      </w:r>
      <w:r w:rsidRPr="003534D4">
        <w:t>lactancia materna. Se capacita a los equipos de salud en atención prenatal y se distribuyen insumos de vacunación. La</w:t>
      </w:r>
      <w:r w:rsidR="00ED3C7B">
        <w:t xml:space="preserve"> </w:t>
      </w:r>
      <w:r w:rsidRPr="003534D4">
        <w:t>ley 27.611 prevé la atención integral durante el embarazo, en el enfoque del plan de los primeros mil días desde la</w:t>
      </w:r>
      <w:r w:rsidR="00ED3C7B">
        <w:t xml:space="preserve"> </w:t>
      </w:r>
      <w:r w:rsidRPr="003534D4">
        <w:t>concepción. Se implementan protocolos para garantizar la atención de embarazadas y niños y se regionaliza la atención</w:t>
      </w:r>
      <w:r w:rsidR="00ED3C7B">
        <w:t xml:space="preserve"> </w:t>
      </w:r>
      <w:r w:rsidRPr="003534D4">
        <w:t>perinatal para que se creen espacios de cercanía. La cobertura de la vacuna contra el VPH en niñas de 11 años es hoy</w:t>
      </w:r>
      <w:r w:rsidR="00ED3C7B">
        <w:t xml:space="preserve"> </w:t>
      </w:r>
      <w:r w:rsidRPr="003534D4">
        <w:t>del 60,13%.</w:t>
      </w:r>
    </w:p>
    <w:p w14:paraId="7A29E0A9" w14:textId="77777777" w:rsidR="00ED3C7B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Respecto de la maternidad, Argentina implementa el Programa Nacional de Reproducción Médicamente Asistida.</w:t>
      </w:r>
      <w:r w:rsidR="00ED3C7B">
        <w:t xml:space="preserve"> </w:t>
      </w:r>
      <w:r w:rsidRPr="003534D4">
        <w:t>Asimismo, la ley de parto respetado</w:t>
      </w:r>
      <w:r w:rsidR="00ED3C7B">
        <w:rPr>
          <w:rStyle w:val="FootnoteReference"/>
        </w:rPr>
        <w:footnoteReference w:id="26"/>
      </w:r>
      <w:r w:rsidRPr="003534D4">
        <w:t xml:space="preserve"> considera violencia obstétrica toda forma de violencia respecto del</w:t>
      </w:r>
      <w:r w:rsidR="00ED3C7B">
        <w:t xml:space="preserve"> </w:t>
      </w:r>
      <w:r w:rsidRPr="003534D4">
        <w:t xml:space="preserve">consentimiento libre de la </w:t>
      </w:r>
      <w:r w:rsidRPr="003534D4">
        <w:lastRenderedPageBreak/>
        <w:t>mujer en torno al embarazo y al parto. La libertad de consentir implica recibir información</w:t>
      </w:r>
      <w:r w:rsidR="00ED3C7B">
        <w:t xml:space="preserve"> </w:t>
      </w:r>
      <w:r w:rsidRPr="003534D4">
        <w:t>suficiente, clara y con opciones, así como un trato digno.</w:t>
      </w:r>
    </w:p>
    <w:p w14:paraId="3F9DC20C" w14:textId="77777777" w:rsidR="00B81912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En cuanto a la planificación familiar, si bien la Argentina tiene cláusulas convencionales y constitucionales y de derecho</w:t>
      </w:r>
      <w:r w:rsidR="00ED3C7B">
        <w:t xml:space="preserve"> </w:t>
      </w:r>
      <w:r w:rsidRPr="003534D4">
        <w:t>interno que protegen la vida desde la concepción, en 2018 se aprobó la ley 27.610, de “Interrupción voluntaria del</w:t>
      </w:r>
      <w:r w:rsidR="00B81912">
        <w:t xml:space="preserve"> </w:t>
      </w:r>
      <w:r w:rsidRPr="003534D4">
        <w:t>embarazo”. Considerando que la provisión y el acceso a los servicios respectivos es competencia de las provincias, el</w:t>
      </w:r>
      <w:r w:rsidR="00B81912">
        <w:t xml:space="preserve"> </w:t>
      </w:r>
      <w:r w:rsidRPr="003534D4">
        <w:t>Protocolo (establecido por Resolución 1063/2023) se ejecuta bajo la responsabilidad primaria de aquéllas. El aborto</w:t>
      </w:r>
      <w:r w:rsidR="00B81912">
        <w:t xml:space="preserve"> </w:t>
      </w:r>
      <w:r w:rsidRPr="003534D4">
        <w:t>evidencia un fracaso de las políticas públicas sobre planificación familiar y la protección integral del derecho a la vida.</w:t>
      </w:r>
      <w:r w:rsidR="00B81912">
        <w:t xml:space="preserve"> </w:t>
      </w:r>
      <w:r w:rsidRPr="003534D4">
        <w:t>Las cifras argentinas son muy altas y hay un compromiso para trabajar en acompañamiento y conserjerías, que ya</w:t>
      </w:r>
      <w:r w:rsidR="00B81912">
        <w:t xml:space="preserve"> </w:t>
      </w:r>
      <w:r w:rsidRPr="003534D4">
        <w:t>funcionan en varias provincias. En 2025 se distribuyeron un total de 4.241.889 anticonceptivos de distintos tipos.</w:t>
      </w:r>
    </w:p>
    <w:p w14:paraId="1BFB2915" w14:textId="76C46A43" w:rsidR="003534D4" w:rsidRPr="003534D4" w:rsidRDefault="003534D4" w:rsidP="001E69BA">
      <w:pPr>
        <w:pStyle w:val="ListParagraph"/>
        <w:numPr>
          <w:ilvl w:val="0"/>
          <w:numId w:val="1"/>
        </w:numPr>
        <w:spacing w:line="276" w:lineRule="auto"/>
        <w:contextualSpacing w:val="0"/>
        <w:jc w:val="both"/>
      </w:pPr>
      <w:r w:rsidRPr="003534D4">
        <w:t>En el abordaje de curso vital, la salud se aborda también enfocada en el climaterio y la menopausia. Se realizaron</w:t>
      </w:r>
      <w:r w:rsidR="00B81912">
        <w:t xml:space="preserve"> </w:t>
      </w:r>
      <w:r w:rsidRPr="003534D4">
        <w:t>conversatorios y se trabaja en abordajes de salud para acompañamiento de la salud en esta etapa de la vida.</w:t>
      </w:r>
    </w:p>
    <w:p w14:paraId="25D75EA9" w14:textId="623A7355" w:rsidR="00E0357F" w:rsidRDefault="00E0357F" w:rsidP="001E69BA">
      <w:pPr>
        <w:spacing w:line="276" w:lineRule="auto"/>
        <w:jc w:val="both"/>
      </w:pPr>
    </w:p>
    <w:sectPr w:rsidR="00E0357F" w:rsidSect="006B1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268" w:right="1701" w:bottom="170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B75DB" w14:textId="77777777" w:rsidR="00335DD4" w:rsidRDefault="00335DD4" w:rsidP="003534D4">
      <w:pPr>
        <w:spacing w:after="0" w:line="240" w:lineRule="auto"/>
      </w:pPr>
      <w:r>
        <w:separator/>
      </w:r>
    </w:p>
  </w:endnote>
  <w:endnote w:type="continuationSeparator" w:id="0">
    <w:p w14:paraId="3803CB47" w14:textId="77777777" w:rsidR="00335DD4" w:rsidRDefault="00335DD4" w:rsidP="00353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8E3FC" w14:textId="77777777" w:rsidR="00EC1CC5" w:rsidRDefault="00EC1C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98921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0D8A56" w14:textId="31EE690E" w:rsidR="00EC1CC5" w:rsidRDefault="00EC1C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BE5D9D" w14:textId="77777777" w:rsidR="00EC1CC5" w:rsidRDefault="00EC1CC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11488" w14:textId="77777777" w:rsidR="00EC1CC5" w:rsidRDefault="00EC1C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FA219" w14:textId="77777777" w:rsidR="00335DD4" w:rsidRDefault="00335DD4" w:rsidP="003534D4">
      <w:pPr>
        <w:spacing w:after="0" w:line="240" w:lineRule="auto"/>
      </w:pPr>
      <w:r>
        <w:separator/>
      </w:r>
    </w:p>
  </w:footnote>
  <w:footnote w:type="continuationSeparator" w:id="0">
    <w:p w14:paraId="069ADEF4" w14:textId="77777777" w:rsidR="00335DD4" w:rsidRDefault="00335DD4" w:rsidP="003534D4">
      <w:pPr>
        <w:spacing w:after="0" w:line="240" w:lineRule="auto"/>
      </w:pPr>
      <w:r>
        <w:continuationSeparator/>
      </w:r>
    </w:p>
  </w:footnote>
  <w:footnote w:id="1">
    <w:p w14:paraId="0EDF3414" w14:textId="3A878807" w:rsidR="00B81912" w:rsidRDefault="003534D4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B81912">
        <w:t>La República Argentina, conforme a la interpretación declarativa al Art. 1 de la Convención sobre los Derechos del Niño, que formuló al momento de</w:t>
      </w:r>
      <w:r w:rsidR="00B81912">
        <w:t xml:space="preserve"> </w:t>
      </w:r>
      <w:r w:rsidR="00B81912">
        <w:t>ratificar y depositar dicha Convención, entiende que por niño debe entenderse: “todo ser humano desde el momento de su concepción y hasta los 18 años</w:t>
      </w:r>
      <w:r w:rsidR="00B81912">
        <w:t xml:space="preserve"> </w:t>
      </w:r>
      <w:r w:rsidR="00B81912">
        <w:t>de edad.” Por eso, para la Argentina, las niñas incluyen a las niñas no nacidas desde su concepción, por mandato constitucional-convencional. Se obliga</w:t>
      </w:r>
      <w:r w:rsidR="00B81912">
        <w:t xml:space="preserve"> </w:t>
      </w:r>
      <w:r w:rsidR="00B81912">
        <w:t>a un espectro de protección mayor y más progresivo que el del tratado, en consonancia con la prohibición de establecer condiciones al reconocimiento de</w:t>
      </w:r>
      <w:r w:rsidR="00B81912">
        <w:t xml:space="preserve"> </w:t>
      </w:r>
      <w:r w:rsidR="00B81912">
        <w:t>la personalidad jurídica de todo ser humano (Art. 6, DUDH) y el preámbulo de la Convención que establece que el niño merece protección tanto antes</w:t>
      </w:r>
    </w:p>
    <w:p w14:paraId="024ABFAB" w14:textId="3E2C97DF" w:rsidR="003534D4" w:rsidRDefault="00B81912" w:rsidP="00EC1CC5">
      <w:pPr>
        <w:pStyle w:val="FootnoteText"/>
        <w:jc w:val="both"/>
      </w:pPr>
      <w:r>
        <w:t>como después de su nacimiento.</w:t>
      </w:r>
    </w:p>
  </w:footnote>
  <w:footnote w:id="2">
    <w:p w14:paraId="46A5261E" w14:textId="698E2C90" w:rsidR="003534D4" w:rsidRDefault="003534D4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B81912">
        <w:t>El ASA se formalizó mediante Decreto Nacional 679/2020, el 17 de agosto de 2020. https://www.oficinadelamujer.gob.ar/om/verNoticia?idNoticia=7805</w:t>
      </w:r>
    </w:p>
  </w:footnote>
  <w:footnote w:id="3">
    <w:p w14:paraId="62BEFE35" w14:textId="3A0D7A86" w:rsidR="003534D4" w:rsidRDefault="003534D4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B81912">
        <w:t>Fuente: INDEC. Accesible en: https://censo.gob.ar/index.php/en-la-argentina-hay-107-mujeres-por-cada-100-varones/#:~:text=El%20n%C3%BAmero%20definitivo%20de%20personas,y%2022.186.791%20son%20varones.&amp;text=En%20la%20pir%C3%A1mide%20poblacional%20del,mayor%C3%ADa%20femenina%20y%20m%C3%A1s %20envejecida</w:t>
      </w:r>
      <w:r w:rsidR="00B81912">
        <w:t xml:space="preserve"> </w:t>
      </w:r>
      <w:r w:rsidR="00B81912">
        <w:t>.</w:t>
      </w:r>
    </w:p>
  </w:footnote>
  <w:footnote w:id="4">
    <w:p w14:paraId="75ED4979" w14:textId="3CFF0767" w:rsidR="003534D4" w:rsidRDefault="003534D4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B81912">
        <w:t xml:space="preserve">Fuente: Banco Mundial. Accesible en: </w:t>
      </w:r>
      <w:hyperlink r:id="rId1" w:history="1">
        <w:r w:rsidR="00B81912" w:rsidRPr="0009447E">
          <w:rPr>
            <w:rStyle w:val="Hyperlink"/>
          </w:rPr>
          <w:t>https://www.worldbank.org/content/dam/sites/wbl/documents/pilot/2024-nov-14/WBL24_2-0_ Argentina.pdf</w:t>
        </w:r>
      </w:hyperlink>
    </w:p>
  </w:footnote>
  <w:footnote w:id="5">
    <w:p w14:paraId="33C89D32" w14:textId="49F1E2AF" w:rsidR="003534D4" w:rsidRDefault="003534D4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B81912">
        <w:t>https://om.csjn.gov.ar/JurisprudenciaOM/consultaOM/consultaSentencias.html?_gl=1*1l2cruc*_ga*NTA1MjM4OTQ0LjE3NDY2MzIzOTI.*_ga_EFYJ5G9K5T*czE3NjY0MTQ5MDckbzE4MSRnMSR0MTc2NjQ xNDkxNyRqNTAkbDAkaDA</w:t>
      </w:r>
    </w:p>
  </w:footnote>
  <w:footnote w:id="6">
    <w:p w14:paraId="1DB1B97E" w14:textId="57AC9A9D" w:rsidR="003534D4" w:rsidRDefault="003534D4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B81912">
        <w:t>https://www.cnaj.gob.ar/cnaj/docs/cuadro</w:t>
      </w:r>
    </w:p>
  </w:footnote>
  <w:footnote w:id="7">
    <w:p w14:paraId="4B28BF64" w14:textId="1312F434" w:rsidR="003534D4" w:rsidRDefault="003534D4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B81912">
        <w:t>Ibid.</w:t>
      </w:r>
    </w:p>
  </w:footnote>
  <w:footnote w:id="8">
    <w:p w14:paraId="2C22D027" w14:textId="748F55C6" w:rsidR="003534D4" w:rsidRDefault="003534D4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B81912">
        <w:t>Ibid.</w:t>
      </w:r>
    </w:p>
  </w:footnote>
  <w:footnote w:id="9">
    <w:p w14:paraId="36EB81AF" w14:textId="0219BCC6" w:rsidR="003534D4" w:rsidRDefault="003534D4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B81912">
        <w:t>www.oficinadelamujer.gob.ar/om/files/informe_buenas_practicas.pdf</w:t>
      </w:r>
    </w:p>
  </w:footnote>
  <w:footnote w:id="10">
    <w:p w14:paraId="5E78285D" w14:textId="156E18E8" w:rsidR="003534D4" w:rsidRDefault="003534D4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B81912">
        <w:t>https://www.oficinadelamujer.gob.ar/om/oficinas</w:t>
      </w:r>
    </w:p>
  </w:footnote>
  <w:footnote w:id="11">
    <w:p w14:paraId="68E65604" w14:textId="42ECC2AB" w:rsidR="003534D4" w:rsidRDefault="003534D4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B81912">
        <w:t>https://www.oficinadelamujer.gob.ar/om/justicia-y-discapacidad</w:t>
      </w:r>
    </w:p>
  </w:footnote>
  <w:footnote w:id="12">
    <w:p w14:paraId="1202EF20" w14:textId="6EDB0787" w:rsidR="001E69BA" w:rsidRDefault="003534D4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0F69BB">
        <w:t>El proceso de transferencia de competencias se desarrolló mediante la modificación de la Ley de Ministerios (Ley No. 22.520 y sus modificatorias),</w:t>
      </w:r>
      <w:r w:rsidR="001E69BA">
        <w:t xml:space="preserve"> </w:t>
      </w:r>
      <w:r w:rsidR="000F69BB">
        <w:t>mediante Decreto No. 8/2023. En una primera etapa, se creó el Ministerio de Capital Humano, que concentró funciones de diversos ministerios, incluido</w:t>
      </w:r>
      <w:r w:rsidR="001E69BA">
        <w:t xml:space="preserve"> </w:t>
      </w:r>
      <w:r w:rsidR="000F69BB">
        <w:t>el ex MMGyD. Posteriormente, mediante los Decretos Nros. 450/2024 y 451/2024, las competencias y estructuras vinculadas a la Subsecretaría de</w:t>
      </w:r>
      <w:r w:rsidR="001E69BA">
        <w:t xml:space="preserve"> </w:t>
      </w:r>
      <w:r w:rsidR="000F69BB">
        <w:t>Protección contra la Violencia de Género fueron transferidas a la órbita del Ministerio de Justicia, dentro de la Secretaría de Justicia y de la Subsecretaría</w:t>
      </w:r>
      <w:r w:rsidR="001E69BA">
        <w:t xml:space="preserve"> </w:t>
      </w:r>
      <w:r w:rsidR="000F69BB">
        <w:t>de Derechos Humanos. Véase: Argentina. (2024). Decreto DNU 8/2023: Modificación de la Ley de Ministerios. Poder Ejecutivo Nacional. Recuperado de:</w:t>
      </w:r>
      <w:r w:rsidR="001E69BA">
        <w:t xml:space="preserve">  </w:t>
      </w:r>
      <w:r w:rsidR="000F69BB">
        <w:t>https://servicios.infoleg.gob.ar/infolegInternet/anexos/390000-394999/394976/norma.htm ; Argentina. (2024). Decreto DNU 450/2024: Modificación de la</w:t>
      </w:r>
      <w:r w:rsidR="001E69BA">
        <w:t xml:space="preserve"> </w:t>
      </w:r>
      <w:r w:rsidR="000F69BB">
        <w:t>Ley de Ministerios. Poder Ejecutivo Nacional. https://servicios.infoleg.gob.ar/infolegInternet/anexos/395000-399999/399724/norma.htm ; y Argentina.</w:t>
      </w:r>
      <w:r w:rsidR="001E69BA">
        <w:t xml:space="preserve"> </w:t>
      </w:r>
      <w:r w:rsidR="000F69BB">
        <w:t>(2024). Decreto 451/2024: Decreto N° 50/2019. Modificación. Administración Pública Nacional. Recuperado de:</w:t>
      </w:r>
      <w:r w:rsidR="001E69BA">
        <w:t xml:space="preserve"> </w:t>
      </w:r>
      <w:r w:rsidR="000F69BB">
        <w:t>https://servicios.infoleg.gob.ar/infolegInternet/anexos/395000-399999/399725/norma. htm</w:t>
      </w:r>
    </w:p>
    <w:p w14:paraId="5F4BAAD4" w14:textId="4F409AEB" w:rsidR="003534D4" w:rsidRDefault="003534D4" w:rsidP="00EC1CC5">
      <w:pPr>
        <w:pStyle w:val="FootnoteText"/>
        <w:jc w:val="both"/>
      </w:pPr>
    </w:p>
  </w:footnote>
  <w:footnote w:id="13">
    <w:p w14:paraId="676F32E9" w14:textId="00281C5B" w:rsidR="0001749B" w:rsidRDefault="0001749B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1E69BA">
        <w:t>www.oficinadelamujer.gob.ar/om/archivos/verDocumento?idDocumento=7360</w:t>
      </w:r>
    </w:p>
  </w:footnote>
  <w:footnote w:id="14">
    <w:p w14:paraId="4CF38484" w14:textId="070F08B8" w:rsidR="0001749B" w:rsidRDefault="0001749B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1E69BA">
        <w:t>Constitución Nacional, art. 75 inc. 23.</w:t>
      </w:r>
    </w:p>
  </w:footnote>
  <w:footnote w:id="15">
    <w:p w14:paraId="3C6BF8BF" w14:textId="2266BF1E" w:rsidR="0001749B" w:rsidRDefault="0001749B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1E69BA">
        <w:t>CEDAW, Preámbulo.</w:t>
      </w:r>
    </w:p>
  </w:footnote>
  <w:footnote w:id="16">
    <w:p w14:paraId="388D7DC7" w14:textId="539A7BAD" w:rsidR="0001749B" w:rsidRDefault="0001749B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1E69BA">
        <w:t>ANSES (2025) Informe de Estadísticas de la Seguridad Social. II Trimestre 2025. Recuperado de:</w:t>
      </w:r>
      <w:r w:rsidR="001E69BA">
        <w:t xml:space="preserve"> </w:t>
      </w:r>
      <w:r w:rsidR="001E69BA">
        <w:t>https://www.anses.gob.ar/estudiosyestadisticas/estadisticas-de-la-seguridad-social-ii- trimestre-2025</w:t>
      </w:r>
    </w:p>
  </w:footnote>
  <w:footnote w:id="17">
    <w:p w14:paraId="657FC2A2" w14:textId="05A8C72E" w:rsidR="0001749B" w:rsidRDefault="0001749B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1E69BA">
        <w:t>A/80/158.</w:t>
      </w:r>
    </w:p>
  </w:footnote>
  <w:footnote w:id="18">
    <w:p w14:paraId="571969FB" w14:textId="1D40C3AA" w:rsidR="000C238D" w:rsidRDefault="000C238D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1E69BA">
        <w:t>https://www.indec.gob.ar/ftp/cuadros/publicaciones/dosier_estadistico_8M_2025.pdf</w:t>
      </w:r>
    </w:p>
  </w:footnote>
  <w:footnote w:id="19">
    <w:p w14:paraId="159EA373" w14:textId="6797050E" w:rsidR="00ED3C7B" w:rsidRDefault="00ED3C7B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1E69BA">
        <w:t>Art. 2, Convención sobre los Derechos del Niño, Art. 2 y 6 de la Declaración Universal sobre los Derechos Humanos, y concordantes.</w:t>
      </w:r>
    </w:p>
  </w:footnote>
  <w:footnote w:id="20">
    <w:p w14:paraId="61A862B0" w14:textId="7D93EC2A" w:rsidR="00ED3C7B" w:rsidRDefault="00ED3C7B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1E69BA">
        <w:t>Convención sobre los Derechos del Niño, Preámbulo.</w:t>
      </w:r>
    </w:p>
  </w:footnote>
  <w:footnote w:id="21">
    <w:p w14:paraId="420F0E4D" w14:textId="1436848A" w:rsidR="00ED3C7B" w:rsidRDefault="00ED3C7B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1E69BA">
        <w:t>Convención Americana sobre los Derechos Humanos, Art. 4.1.</w:t>
      </w:r>
    </w:p>
  </w:footnote>
  <w:footnote w:id="22">
    <w:p w14:paraId="5A9880EB" w14:textId="1A084214" w:rsidR="00ED3C7B" w:rsidRDefault="00ED3C7B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1E69BA">
        <w:t>CEDAW, Preámbulo: “Teniendo presentes el gran aporte de la mujer al bienestar de la familia y al desarrollo de la sociedad, hasta ahora no</w:t>
      </w:r>
      <w:r w:rsidR="001E69BA">
        <w:t xml:space="preserve"> </w:t>
      </w:r>
      <w:r w:rsidR="001E69BA">
        <w:t>plenamente reconocido, la importancia social de la maternidad y la función tanto del padre como de la madre en la familia y en la educación de los hijos, y conscientes de que el papel de la mujer en la procreación no debe ser causa de discriminación, sino que la educación de los niños exige la</w:t>
      </w:r>
      <w:r w:rsidR="001E69BA">
        <w:t xml:space="preserve"> </w:t>
      </w:r>
      <w:r w:rsidR="001E69BA">
        <w:t>responsabilidad compartida entre hombres y mujeres y la sociedad en su conjunto”.</w:t>
      </w:r>
    </w:p>
  </w:footnote>
  <w:footnote w:id="23">
    <w:p w14:paraId="47C188DD" w14:textId="7718A0B4" w:rsidR="00ED3C7B" w:rsidRDefault="00ED3C7B" w:rsidP="00EC1CC5">
      <w:pPr>
        <w:pStyle w:val="FootnoteText"/>
        <w:jc w:val="both"/>
      </w:pPr>
      <w:r>
        <w:rPr>
          <w:rStyle w:val="FootnoteReference"/>
        </w:rPr>
        <w:footnoteRef/>
      </w:r>
      <w:r w:rsidRPr="001E69BA">
        <w:rPr>
          <w:lang w:val="en-US"/>
        </w:rPr>
        <w:t xml:space="preserve"> </w:t>
      </w:r>
      <w:r w:rsidR="001E69BA" w:rsidRPr="001E69BA">
        <w:rPr>
          <w:lang w:val="en-US"/>
        </w:rPr>
        <w:t>CEDAW, Art. 4, 2.</w:t>
      </w:r>
    </w:p>
  </w:footnote>
  <w:footnote w:id="24">
    <w:p w14:paraId="579AF81E" w14:textId="494193F3" w:rsidR="00ED3C7B" w:rsidRPr="001E69BA" w:rsidRDefault="00ED3C7B" w:rsidP="00EC1CC5">
      <w:pPr>
        <w:pStyle w:val="FootnoteText"/>
        <w:jc w:val="both"/>
        <w:rPr>
          <w:lang w:val="en-US"/>
        </w:rPr>
      </w:pPr>
      <w:r>
        <w:rPr>
          <w:rStyle w:val="FootnoteReference"/>
        </w:rPr>
        <w:footnoteRef/>
      </w:r>
      <w:r w:rsidRPr="001E69BA">
        <w:rPr>
          <w:lang w:val="en-US"/>
        </w:rPr>
        <w:t xml:space="preserve"> </w:t>
      </w:r>
      <w:r w:rsidR="001E69BA" w:rsidRPr="001E69BA">
        <w:rPr>
          <w:lang w:val="en-US"/>
        </w:rPr>
        <w:t>CEDAW, Art. 5, b)</w:t>
      </w:r>
    </w:p>
  </w:footnote>
  <w:footnote w:id="25">
    <w:p w14:paraId="6C079C11" w14:textId="63FDEC00" w:rsidR="00ED3C7B" w:rsidRDefault="00ED3C7B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1E69BA" w:rsidRPr="001E69BA">
        <w:rPr>
          <w:lang w:val="en-US"/>
        </w:rPr>
        <w:t>CEDAW, Art. 11</w:t>
      </w:r>
    </w:p>
  </w:footnote>
  <w:footnote w:id="26">
    <w:p w14:paraId="15038A9F" w14:textId="6D5A36EB" w:rsidR="00ED3C7B" w:rsidRDefault="00ED3C7B" w:rsidP="00EC1CC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1E69BA" w:rsidRPr="001E69BA">
        <w:t>Ley 25.929.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EF844" w14:textId="77777777" w:rsidR="00EC1CC5" w:rsidRDefault="00EC1C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BD39F" w14:textId="77777777" w:rsidR="00EC1CC5" w:rsidRDefault="00EC1CC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F6D5A" w14:textId="77777777" w:rsidR="00EC1CC5" w:rsidRDefault="00EC1C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24C00"/>
    <w:multiLevelType w:val="hybridMultilevel"/>
    <w:tmpl w:val="BF0492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AA72E8"/>
    <w:multiLevelType w:val="hybridMultilevel"/>
    <w:tmpl w:val="F76CA2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0275024">
    <w:abstractNumId w:val="1"/>
  </w:num>
  <w:num w:numId="2" w16cid:durableId="1528104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4D4"/>
    <w:rsid w:val="0001749B"/>
    <w:rsid w:val="000C238D"/>
    <w:rsid w:val="000F69BB"/>
    <w:rsid w:val="001C7C80"/>
    <w:rsid w:val="001E69BA"/>
    <w:rsid w:val="00335DD4"/>
    <w:rsid w:val="003534D4"/>
    <w:rsid w:val="00371FA0"/>
    <w:rsid w:val="003C143C"/>
    <w:rsid w:val="0069269C"/>
    <w:rsid w:val="006B1631"/>
    <w:rsid w:val="00822831"/>
    <w:rsid w:val="00B81912"/>
    <w:rsid w:val="00E0357F"/>
    <w:rsid w:val="00EC1CC5"/>
    <w:rsid w:val="00ED3C7B"/>
    <w:rsid w:val="00FF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CFBD3"/>
  <w15:chartTrackingRefBased/>
  <w15:docId w15:val="{0C490B9B-09DF-4D40-B1C5-45A3A255B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AR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34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34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34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34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34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34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34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34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34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34D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A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34D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A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34D4"/>
    <w:rPr>
      <w:rFonts w:eastAsiaTheme="majorEastAsia" w:cstheme="majorBidi"/>
      <w:color w:val="0F4761" w:themeColor="accent1" w:themeShade="BF"/>
      <w:sz w:val="28"/>
      <w:szCs w:val="28"/>
      <w:lang w:val="es-A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34D4"/>
    <w:rPr>
      <w:rFonts w:eastAsiaTheme="majorEastAsia" w:cstheme="majorBidi"/>
      <w:i/>
      <w:iCs/>
      <w:color w:val="0F4761" w:themeColor="accent1" w:themeShade="BF"/>
      <w:lang w:val="es-A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34D4"/>
    <w:rPr>
      <w:rFonts w:eastAsiaTheme="majorEastAsia" w:cstheme="majorBidi"/>
      <w:color w:val="0F4761" w:themeColor="accent1" w:themeShade="BF"/>
      <w:lang w:val="es-A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34D4"/>
    <w:rPr>
      <w:rFonts w:eastAsiaTheme="majorEastAsia" w:cstheme="majorBidi"/>
      <w:i/>
      <w:iCs/>
      <w:color w:val="595959" w:themeColor="text1" w:themeTint="A6"/>
      <w:lang w:val="es-A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34D4"/>
    <w:rPr>
      <w:rFonts w:eastAsiaTheme="majorEastAsia" w:cstheme="majorBidi"/>
      <w:color w:val="595959" w:themeColor="text1" w:themeTint="A6"/>
      <w:lang w:val="es-A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34D4"/>
    <w:rPr>
      <w:rFonts w:eastAsiaTheme="majorEastAsia" w:cstheme="majorBidi"/>
      <w:i/>
      <w:iCs/>
      <w:color w:val="272727" w:themeColor="text1" w:themeTint="D8"/>
      <w:lang w:val="es-A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34D4"/>
    <w:rPr>
      <w:rFonts w:eastAsiaTheme="majorEastAsia" w:cstheme="majorBidi"/>
      <w:color w:val="272727" w:themeColor="text1" w:themeTint="D8"/>
      <w:lang w:val="es-AR"/>
    </w:rPr>
  </w:style>
  <w:style w:type="paragraph" w:styleId="Title">
    <w:name w:val="Title"/>
    <w:basedOn w:val="Normal"/>
    <w:next w:val="Normal"/>
    <w:link w:val="TitleChar"/>
    <w:uiPriority w:val="10"/>
    <w:qFormat/>
    <w:rsid w:val="003534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34D4"/>
    <w:rPr>
      <w:rFonts w:asciiTheme="majorHAnsi" w:eastAsiaTheme="majorEastAsia" w:hAnsiTheme="majorHAnsi" w:cstheme="majorBidi"/>
      <w:spacing w:val="-10"/>
      <w:kern w:val="28"/>
      <w:sz w:val="56"/>
      <w:szCs w:val="56"/>
      <w:lang w:val="es-AR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34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34D4"/>
    <w:rPr>
      <w:rFonts w:eastAsiaTheme="majorEastAsia" w:cstheme="majorBidi"/>
      <w:color w:val="595959" w:themeColor="text1" w:themeTint="A6"/>
      <w:spacing w:val="15"/>
      <w:sz w:val="28"/>
      <w:szCs w:val="28"/>
      <w:lang w:val="es-AR"/>
    </w:rPr>
  </w:style>
  <w:style w:type="paragraph" w:styleId="Quote">
    <w:name w:val="Quote"/>
    <w:basedOn w:val="Normal"/>
    <w:next w:val="Normal"/>
    <w:link w:val="QuoteChar"/>
    <w:uiPriority w:val="29"/>
    <w:qFormat/>
    <w:rsid w:val="003534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34D4"/>
    <w:rPr>
      <w:i/>
      <w:iCs/>
      <w:color w:val="404040" w:themeColor="text1" w:themeTint="BF"/>
      <w:lang w:val="es-AR"/>
    </w:rPr>
  </w:style>
  <w:style w:type="paragraph" w:styleId="ListParagraph">
    <w:name w:val="List Paragraph"/>
    <w:basedOn w:val="Normal"/>
    <w:uiPriority w:val="34"/>
    <w:qFormat/>
    <w:rsid w:val="003534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34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34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34D4"/>
    <w:rPr>
      <w:i/>
      <w:iCs/>
      <w:color w:val="0F4761" w:themeColor="accent1" w:themeShade="BF"/>
      <w:lang w:val="es-AR"/>
    </w:rPr>
  </w:style>
  <w:style w:type="character" w:styleId="IntenseReference">
    <w:name w:val="Intense Reference"/>
    <w:basedOn w:val="DefaultParagraphFont"/>
    <w:uiPriority w:val="32"/>
    <w:qFormat/>
    <w:rsid w:val="003534D4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3534D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534D4"/>
    <w:rPr>
      <w:sz w:val="20"/>
      <w:szCs w:val="20"/>
      <w:lang w:val="es-AR"/>
    </w:rPr>
  </w:style>
  <w:style w:type="character" w:styleId="FootnoteReference">
    <w:name w:val="footnote reference"/>
    <w:basedOn w:val="DefaultParagraphFont"/>
    <w:uiPriority w:val="99"/>
    <w:semiHidden/>
    <w:unhideWhenUsed/>
    <w:rsid w:val="003534D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8191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191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C1C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CC5"/>
    <w:rPr>
      <w:lang w:val="es-AR"/>
    </w:rPr>
  </w:style>
  <w:style w:type="paragraph" w:styleId="Footer">
    <w:name w:val="footer"/>
    <w:basedOn w:val="Normal"/>
    <w:link w:val="FooterChar"/>
    <w:uiPriority w:val="99"/>
    <w:unhideWhenUsed/>
    <w:rsid w:val="00EC1C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CC5"/>
    <w:rPr>
      <w:lang w:val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worldbank.org/content/dam/sites/wbl/documents/pilot/2024-nov-14/WBL24_2-0_%20Argentin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2026-01-13T22:26:24+00:00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56AB02F-E6BD-4DFC-BF62-596A1AB3623D}"/>
</file>

<file path=customXml/itemProps2.xml><?xml version="1.0" encoding="utf-8"?>
<ds:datastoreItem xmlns:ds="http://schemas.openxmlformats.org/officeDocument/2006/customXml" ds:itemID="{FD6CA7F4-9E89-44F3-A239-5116A48B3188}"/>
</file>

<file path=customXml/itemProps3.xml><?xml version="1.0" encoding="utf-8"?>
<ds:datastoreItem xmlns:ds="http://schemas.openxmlformats.org/officeDocument/2006/customXml" ds:itemID="{E6E3903F-313D-441A-BBE5-9AFBD082D5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9</Pages>
  <Words>2808</Words>
  <Characters>16007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Alfredo Vitolo</dc:creator>
  <cp:keywords/>
  <dc:description/>
  <cp:lastModifiedBy>Alfredo Vitolo</cp:lastModifiedBy>
  <cp:revision>4</cp:revision>
  <dcterms:created xsi:type="dcterms:W3CDTF">2026-01-13T15:07:00Z</dcterms:created>
  <dcterms:modified xsi:type="dcterms:W3CDTF">2026-01-13T16:07:00Z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