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24C4F3" w14:textId="18CBB8CF" w:rsidR="00E241E0" w:rsidRDefault="00520B5B" w:rsidP="00520B5B">
      <w:pPr>
        <w:jc w:val="center"/>
        <w:rPr>
          <w:rFonts w:ascii="Calibri" w:hAnsi="Calibri" w:cs="Calibri"/>
        </w:rPr>
      </w:pPr>
      <w:r>
        <w:rPr>
          <w:noProof/>
          <w:sz w:val="32"/>
          <w:szCs w:val="32"/>
          <w:u w:val="single"/>
          <w:lang w:eastAsia="fr-FR"/>
        </w:rPr>
        <w:drawing>
          <wp:inline distT="0" distB="0" distL="0" distR="0" wp14:anchorId="5A7D93AC" wp14:editId="1E970959">
            <wp:extent cx="1494887" cy="2076967"/>
            <wp:effectExtent l="304800" t="0" r="295813" b="0"/>
            <wp:docPr id="2" name="Image 0" descr="logoCGLPL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GLPL_L.jpg"/>
                    <pic:cNvPicPr/>
                  </pic:nvPicPr>
                  <pic:blipFill>
                    <a:blip r:embed="rId7" cstate="print"/>
                    <a:stretch>
                      <a:fillRect/>
                    </a:stretch>
                  </pic:blipFill>
                  <pic:spPr>
                    <a:xfrm rot="16200000">
                      <a:off x="0" y="0"/>
                      <a:ext cx="1494887" cy="2076967"/>
                    </a:xfrm>
                    <a:prstGeom prst="rect">
                      <a:avLst/>
                    </a:prstGeom>
                  </pic:spPr>
                </pic:pic>
              </a:graphicData>
            </a:graphic>
          </wp:inline>
        </w:drawing>
      </w:r>
    </w:p>
    <w:p w14:paraId="64F6A229" w14:textId="77777777" w:rsidR="00E241E0" w:rsidRDefault="00E241E0" w:rsidP="00653601">
      <w:pPr>
        <w:jc w:val="both"/>
        <w:rPr>
          <w:rFonts w:ascii="Calibri" w:hAnsi="Calibri" w:cs="Calibri"/>
        </w:rPr>
      </w:pPr>
    </w:p>
    <w:p w14:paraId="6C6A656C" w14:textId="77777777" w:rsidR="00520B5B" w:rsidRDefault="00520B5B" w:rsidP="00653601">
      <w:pPr>
        <w:jc w:val="both"/>
        <w:rPr>
          <w:rFonts w:ascii="Calibri" w:hAnsi="Calibri" w:cs="Calibri"/>
        </w:rPr>
      </w:pPr>
    </w:p>
    <w:p w14:paraId="5F433D5E" w14:textId="77777777" w:rsidR="00602031" w:rsidRPr="00602031" w:rsidRDefault="00602031" w:rsidP="00602031">
      <w:pPr>
        <w:jc w:val="both"/>
        <w:rPr>
          <w:rFonts w:ascii="Calibri" w:hAnsi="Calibri" w:cs="Calibri"/>
        </w:rPr>
      </w:pPr>
      <w:r w:rsidRPr="00602031">
        <w:rPr>
          <w:rFonts w:ascii="Calibri" w:hAnsi="Calibri" w:cs="Calibri"/>
        </w:rPr>
        <w:t>Pour s’assurer du respect de leurs droits fondamentaux des personnes privées de liberté, le CGLPL peut visiter à tout moment et de manière inopinée, tout lieu où des personnes sont privées de leur liberté par décision d’une autorité publique. Il dispose d’un large accès aux locaux, aux documents et aux personnes, qu’il s’agisse des personnes privées de liberté elles-mêmes, de leurs proches ou de celles qui interviennent dans leur prise en charge. À la suite de ses visites, il adresse des observations aux ministres qui exercent leur tutelle ou leur autorité sur les organismes contrôlés. Dans le cadre de sa mission, le CGLPL émet des avis, formule des recommandations aux autorités publiques et propose au gouvernement toute modification des dispositions législatives et réglementaires applicables. Outre les rapports publiés à l'issue de chaque visite d'établissement, le Contrôleur général peut décider de publier au Journal Officiel de la République française des recommandations spécifiques à un ou plusieurs établissements ainsi que des avis généraux sur une problématique transversale.</w:t>
      </w:r>
    </w:p>
    <w:p w14:paraId="3FF9E637" w14:textId="5B2DB490" w:rsidR="002E3230" w:rsidRDefault="00602031" w:rsidP="00653601">
      <w:pPr>
        <w:jc w:val="both"/>
        <w:rPr>
          <w:rFonts w:ascii="Calibri" w:hAnsi="Calibri" w:cs="Calibri"/>
        </w:rPr>
      </w:pPr>
      <w:r w:rsidRPr="00602031">
        <w:rPr>
          <w:rFonts w:ascii="Calibri" w:hAnsi="Calibri" w:cs="Calibri"/>
        </w:rPr>
        <w:t>Depuis sa création, le CGLPL a contrôlé l’effectivité des droits fondamentaux des personnes privées de liberté dans tous les établissements spécialisés en santé mentale, et visité au moins une fois tous les établissements pénitentiaires et les centres de rétention administrative. 600 locaux de police et gendarmerie ont également été contrôlés ainsi que 101 visites ont eu lieu dans des centres éducatifs fermés (CEF). Chaque année, le CGLPL reçoit environ 3</w:t>
      </w:r>
      <w:r w:rsidR="008D4DDC">
        <w:rPr>
          <w:rFonts w:ascii="Calibri" w:hAnsi="Calibri" w:cs="Calibri"/>
        </w:rPr>
        <w:t>0</w:t>
      </w:r>
      <w:r w:rsidRPr="00602031">
        <w:rPr>
          <w:rFonts w:ascii="Calibri" w:hAnsi="Calibri" w:cs="Calibri"/>
        </w:rPr>
        <w:t>00 courriers signalant des atteintes aux droits fondamentaux dans les lieux de privation de liberté, qui génèrent un dialogue constructif avec les autorités, ainsi que des enquêtes sur place.</w:t>
      </w:r>
    </w:p>
    <w:p w14:paraId="53AEE82D" w14:textId="3BBEF40D" w:rsidR="00E241E0" w:rsidRDefault="00602031" w:rsidP="00653601">
      <w:pPr>
        <w:jc w:val="both"/>
        <w:rPr>
          <w:rFonts w:ascii="Calibri" w:hAnsi="Calibri" w:cs="Calibri"/>
        </w:rPr>
      </w:pPr>
      <w:r w:rsidRPr="002B5A29">
        <w:rPr>
          <w:rFonts w:ascii="Calibri" w:hAnsi="Calibri" w:cs="Calibri"/>
        </w:rPr>
        <w:t xml:space="preserve">Dans le cadre de </w:t>
      </w:r>
      <w:r w:rsidR="002B5A29" w:rsidRPr="002B5A29">
        <w:rPr>
          <w:rFonts w:ascii="Calibri" w:hAnsi="Calibri" w:cs="Calibri"/>
        </w:rPr>
        <w:t xml:space="preserve">l'examen de la France par le </w:t>
      </w:r>
      <w:r w:rsidR="00B93A43">
        <w:rPr>
          <w:rFonts w:ascii="Calibri" w:hAnsi="Calibri" w:cs="Calibri"/>
        </w:rPr>
        <w:t>Comité</w:t>
      </w:r>
      <w:r w:rsidR="002B5A29" w:rsidRPr="002B5A29">
        <w:rPr>
          <w:rFonts w:ascii="Calibri" w:hAnsi="Calibri" w:cs="Calibri"/>
        </w:rPr>
        <w:t xml:space="preserve"> des droits de l’Homme lors de </w:t>
      </w:r>
      <w:hyperlink r:id="rId8" w:history="1">
        <w:r w:rsidR="002B5A29" w:rsidRPr="002B5A29">
          <w:rPr>
            <w:rStyle w:val="Lienhypertexte"/>
            <w:rFonts w:ascii="Calibri" w:hAnsi="Calibri" w:cs="Calibri"/>
          </w:rPr>
          <w:t>la session du 14 octobre 2024 au 8 novembre 2024</w:t>
        </w:r>
      </w:hyperlink>
      <w:r w:rsidR="002B5A29" w:rsidRPr="002B5A29">
        <w:rPr>
          <w:rFonts w:ascii="Calibri" w:hAnsi="Calibri" w:cs="Calibri"/>
        </w:rPr>
        <w:t xml:space="preserve"> relativement à l’application du Pacte international relatif aux droits civils et politiques</w:t>
      </w:r>
      <w:r w:rsidR="002B5A29">
        <w:rPr>
          <w:rFonts w:ascii="Calibri" w:hAnsi="Calibri" w:cs="Calibri"/>
        </w:rPr>
        <w:t>, le C</w:t>
      </w:r>
      <w:r w:rsidR="00762AD8">
        <w:rPr>
          <w:rFonts w:ascii="Calibri" w:hAnsi="Calibri" w:cs="Calibri"/>
        </w:rPr>
        <w:t xml:space="preserve">GLPL a l’honneur d’apporter des précisions au </w:t>
      </w:r>
      <w:r w:rsidR="004C662D">
        <w:rPr>
          <w:rFonts w:ascii="Calibri" w:hAnsi="Calibri" w:cs="Calibri"/>
        </w:rPr>
        <w:t>Comité</w:t>
      </w:r>
      <w:r w:rsidR="00762AD8">
        <w:rPr>
          <w:rFonts w:ascii="Calibri" w:hAnsi="Calibri" w:cs="Calibri"/>
        </w:rPr>
        <w:t xml:space="preserve"> des droits de l’homme sur deux sujets </w:t>
      </w:r>
      <w:r w:rsidR="0076473C">
        <w:rPr>
          <w:rFonts w:ascii="Calibri" w:hAnsi="Calibri" w:cs="Calibri"/>
        </w:rPr>
        <w:t>compris</w:t>
      </w:r>
      <w:r w:rsidR="00762AD8">
        <w:rPr>
          <w:rFonts w:ascii="Calibri" w:hAnsi="Calibri" w:cs="Calibri"/>
        </w:rPr>
        <w:t xml:space="preserve"> dans sa </w:t>
      </w:r>
      <w:r w:rsidR="007B5F83" w:rsidRPr="007649FF">
        <w:rPr>
          <w:rFonts w:ascii="Calibri" w:hAnsi="Calibri" w:cs="Calibri"/>
        </w:rPr>
        <w:t xml:space="preserve"> </w:t>
      </w:r>
      <w:hyperlink r:id="rId9" w:history="1">
        <w:r w:rsidR="007B5F83" w:rsidRPr="007649FF">
          <w:rPr>
            <w:rStyle w:val="Lienhypertexte"/>
            <w:rFonts w:ascii="Calibri" w:eastAsia="Times New Roman" w:hAnsi="Calibri" w:cs="Calibri"/>
            <w:b/>
            <w:bCs/>
            <w:lang w:eastAsia="fr-FR"/>
          </w:rPr>
          <w:t>Liste de points établie avant la soumission du sixième rapport périodique de la France</w:t>
        </w:r>
      </w:hyperlink>
      <w:r w:rsidR="00762AD8">
        <w:rPr>
          <w:rFonts w:ascii="Calibri" w:hAnsi="Calibri" w:cs="Calibri"/>
        </w:rPr>
        <w:t xml:space="preserve"> du </w:t>
      </w:r>
      <w:r w:rsidR="007B5F83" w:rsidRPr="007649FF">
        <w:rPr>
          <w:rFonts w:ascii="Calibri" w:hAnsi="Calibri" w:cs="Calibri"/>
        </w:rPr>
        <w:t>24 septembre 2021</w:t>
      </w:r>
      <w:r w:rsidR="00762AD8">
        <w:rPr>
          <w:rFonts w:ascii="Calibri" w:hAnsi="Calibri" w:cs="Calibri"/>
        </w:rPr>
        <w:t xml:space="preserve">, </w:t>
      </w:r>
      <w:r w:rsidR="00E241E0">
        <w:rPr>
          <w:rFonts w:ascii="Calibri" w:hAnsi="Calibri" w:cs="Calibri"/>
        </w:rPr>
        <w:t>ainsi qu’à la réponse apportée par le gouvernement français.</w:t>
      </w:r>
    </w:p>
    <w:p w14:paraId="34A7C3DE" w14:textId="4837C3C1" w:rsidR="00746CFF" w:rsidRDefault="00746CFF" w:rsidP="00695EB6">
      <w:pPr>
        <w:jc w:val="both"/>
        <w:rPr>
          <w:rFonts w:ascii="Calibri" w:hAnsi="Calibri" w:cs="Calibri"/>
          <w:i/>
          <w:iCs/>
        </w:rPr>
      </w:pPr>
    </w:p>
    <w:p w14:paraId="7F0CDBBB" w14:textId="77777777" w:rsidR="00746CFF" w:rsidRDefault="00746CFF" w:rsidP="00695EB6">
      <w:pPr>
        <w:jc w:val="both"/>
        <w:rPr>
          <w:rFonts w:ascii="Calibri" w:hAnsi="Calibri" w:cs="Calibri"/>
          <w:i/>
          <w:iCs/>
        </w:rPr>
      </w:pPr>
    </w:p>
    <w:p w14:paraId="35329176" w14:textId="2F409E46" w:rsidR="007B5F83" w:rsidRPr="007649FF" w:rsidRDefault="00D321AC" w:rsidP="00695EB6">
      <w:pPr>
        <w:jc w:val="both"/>
        <w:rPr>
          <w:rFonts w:ascii="Calibri" w:hAnsi="Calibri" w:cs="Calibri"/>
          <w:i/>
          <w:iCs/>
        </w:rPr>
      </w:pPr>
      <w:r>
        <w:rPr>
          <w:rFonts w:ascii="Calibri" w:hAnsi="Calibri" w:cs="Calibri"/>
        </w:rPr>
        <w:lastRenderedPageBreak/>
        <w:t>L</w:t>
      </w:r>
      <w:r w:rsidR="0076473C" w:rsidRPr="006F6847">
        <w:rPr>
          <w:rFonts w:ascii="Calibri" w:hAnsi="Calibri" w:cs="Calibri"/>
        </w:rPr>
        <w:t xml:space="preserve">e </w:t>
      </w:r>
      <w:r w:rsidR="00B93A43">
        <w:rPr>
          <w:rFonts w:ascii="Calibri" w:hAnsi="Calibri" w:cs="Calibri"/>
        </w:rPr>
        <w:t>Comité</w:t>
      </w:r>
      <w:r w:rsidR="006F6847">
        <w:rPr>
          <w:rFonts w:ascii="Calibri" w:hAnsi="Calibri" w:cs="Calibri"/>
        </w:rPr>
        <w:t xml:space="preserve"> des droits de l’homme</w:t>
      </w:r>
      <w:r w:rsidR="0076473C" w:rsidRPr="006F6847">
        <w:rPr>
          <w:rFonts w:ascii="Calibri" w:hAnsi="Calibri" w:cs="Calibri"/>
        </w:rPr>
        <w:t xml:space="preserve"> a </w:t>
      </w:r>
      <w:r w:rsidR="006F6847" w:rsidRPr="006F6847">
        <w:rPr>
          <w:rFonts w:ascii="Calibri" w:hAnsi="Calibri" w:cs="Calibri"/>
        </w:rPr>
        <w:t>demandé à la France de</w:t>
      </w:r>
      <w:r w:rsidR="006F6847">
        <w:rPr>
          <w:rFonts w:ascii="Calibri" w:hAnsi="Calibri" w:cs="Calibri"/>
          <w:i/>
          <w:iCs/>
        </w:rPr>
        <w:t xml:space="preserve"> « </w:t>
      </w:r>
      <w:r w:rsidR="007B5F83" w:rsidRPr="007649FF">
        <w:rPr>
          <w:rFonts w:ascii="Calibri" w:hAnsi="Calibri" w:cs="Calibri"/>
          <w:i/>
          <w:iCs/>
        </w:rPr>
        <w:t>Donner des détails sur les garanties de recours effectif contre des conditions de détention indignes incluses dans le régime établi par la loi no 2021-403 du 8 avril 2021 tendant à garantir le droit au respect de la dignité en détention, par suite de l’affaire J.M.B. et autres c. France.</w:t>
      </w:r>
      <w:r w:rsidR="006F6847">
        <w:rPr>
          <w:rFonts w:ascii="Calibri" w:hAnsi="Calibri" w:cs="Calibri"/>
          <w:i/>
          <w:iCs/>
        </w:rPr>
        <w:t> </w:t>
      </w:r>
    </w:p>
    <w:p w14:paraId="3032245E" w14:textId="7D9D32C6" w:rsidR="007B5F83" w:rsidRDefault="007B5F83" w:rsidP="00E95E48">
      <w:pPr>
        <w:jc w:val="both"/>
        <w:rPr>
          <w:rFonts w:ascii="Calibri" w:hAnsi="Calibri" w:cs="Calibri"/>
          <w:i/>
          <w:iCs/>
        </w:rPr>
      </w:pPr>
      <w:r w:rsidRPr="007649FF">
        <w:rPr>
          <w:rFonts w:ascii="Calibri" w:hAnsi="Calibri" w:cs="Calibri"/>
          <w:i/>
          <w:iCs/>
          <w:u w:val="single"/>
        </w:rPr>
        <w:t>Donner des informations sur le nombre de requêtes qui ont été présentées</w:t>
      </w:r>
      <w:r w:rsidRPr="00312576">
        <w:rPr>
          <w:rFonts w:ascii="Calibri" w:hAnsi="Calibri" w:cs="Calibri"/>
          <w:i/>
          <w:iCs/>
        </w:rPr>
        <w:t xml:space="preserve"> </w:t>
      </w:r>
      <w:r w:rsidRPr="007649FF">
        <w:rPr>
          <w:rFonts w:ascii="Calibri" w:hAnsi="Calibri" w:cs="Calibri"/>
          <w:i/>
          <w:iCs/>
        </w:rPr>
        <w:t>sur le fondement de ladite loi par des personnes détenues pour dénoncer leurs conditions de détention indignes, le nombre de ces requêtes que les juges judiciaires ont estimées fondées et les mesures prises par les juges judiciaires ayant constaté ces conditions.</w:t>
      </w:r>
      <w:r w:rsidR="00CE6FE3">
        <w:rPr>
          <w:rFonts w:ascii="Calibri" w:hAnsi="Calibri" w:cs="Calibri"/>
          <w:i/>
          <w:iCs/>
        </w:rPr>
        <w:t> »</w:t>
      </w:r>
      <w:r w:rsidRPr="007649FF">
        <w:rPr>
          <w:rFonts w:ascii="Calibri" w:hAnsi="Calibri" w:cs="Calibri"/>
          <w:i/>
          <w:iCs/>
        </w:rPr>
        <w:t xml:space="preserve"> </w:t>
      </w:r>
    </w:p>
    <w:p w14:paraId="775E6A01" w14:textId="3D986888" w:rsidR="00A756F7" w:rsidRPr="00A756F7" w:rsidRDefault="00A756F7" w:rsidP="00E95E48">
      <w:pPr>
        <w:jc w:val="both"/>
        <w:rPr>
          <w:rFonts w:ascii="Calibri" w:hAnsi="Calibri" w:cs="Calibri"/>
          <w:u w:val="single"/>
        </w:rPr>
      </w:pPr>
      <w:r w:rsidRPr="00A756F7">
        <w:rPr>
          <w:rFonts w:ascii="Calibri" w:hAnsi="Calibri" w:cs="Calibri"/>
          <w:u w:val="single"/>
        </w:rPr>
        <w:t>Sur les garanties de recours effectif</w:t>
      </w:r>
    </w:p>
    <w:p w14:paraId="0E3696A6" w14:textId="3E073557" w:rsidR="00695EB6" w:rsidRPr="007649FF" w:rsidRDefault="00C21E81" w:rsidP="00695EB6">
      <w:pPr>
        <w:jc w:val="both"/>
        <w:rPr>
          <w:rFonts w:ascii="Calibri" w:hAnsi="Calibri" w:cs="Calibri"/>
        </w:rPr>
      </w:pPr>
      <w:r w:rsidRPr="007649FF">
        <w:rPr>
          <w:rFonts w:ascii="Calibri" w:hAnsi="Calibri" w:cs="Calibri"/>
        </w:rPr>
        <w:t xml:space="preserve">Le recours introduit par la loi no 2021-403 du 8 avril 2021 tendant à garantir le droit au respect de la dignité en détention </w:t>
      </w:r>
      <w:r w:rsidR="00E166A0">
        <w:rPr>
          <w:rFonts w:ascii="Calibri" w:hAnsi="Calibri" w:cs="Calibri"/>
        </w:rPr>
        <w:t>manque d’effectivité</w:t>
      </w:r>
      <w:r w:rsidR="0018099A">
        <w:rPr>
          <w:rFonts w:ascii="Calibri" w:hAnsi="Calibri" w:cs="Calibri"/>
        </w:rPr>
        <w:t>, et ce pour différentes raisons</w:t>
      </w:r>
      <w:r w:rsidR="007270C8">
        <w:rPr>
          <w:rFonts w:ascii="Calibri" w:hAnsi="Calibri" w:cs="Calibri"/>
        </w:rPr>
        <w:t>, comme l’ont indiqué</w:t>
      </w:r>
      <w:r w:rsidR="00A37F1B">
        <w:rPr>
          <w:rFonts w:ascii="Calibri" w:hAnsi="Calibri" w:cs="Calibri"/>
        </w:rPr>
        <w:t xml:space="preserve"> de manière répétée</w:t>
      </w:r>
      <w:r w:rsidR="007270C8">
        <w:rPr>
          <w:rFonts w:ascii="Calibri" w:hAnsi="Calibri" w:cs="Calibri"/>
        </w:rPr>
        <w:t xml:space="preserve"> le</w:t>
      </w:r>
      <w:r w:rsidR="00042704">
        <w:rPr>
          <w:rFonts w:ascii="Calibri" w:hAnsi="Calibri" w:cs="Calibri"/>
        </w:rPr>
        <w:t xml:space="preserve"> </w:t>
      </w:r>
      <w:r w:rsidR="00B44ACC">
        <w:rPr>
          <w:rFonts w:ascii="Calibri" w:hAnsi="Calibri" w:cs="Calibri"/>
        </w:rPr>
        <w:t>CGLPL</w:t>
      </w:r>
      <w:r w:rsidRPr="007649FF">
        <w:rPr>
          <w:rFonts w:ascii="Calibri" w:hAnsi="Calibri" w:cs="Calibri"/>
        </w:rPr>
        <w:t xml:space="preserve"> et la </w:t>
      </w:r>
      <w:r w:rsidR="007270C8">
        <w:rPr>
          <w:rFonts w:ascii="Calibri" w:hAnsi="Calibri" w:cs="Calibri"/>
        </w:rPr>
        <w:t xml:space="preserve">Commission nationale consultative des droits de l’homme </w:t>
      </w:r>
      <w:r w:rsidRPr="007649FF">
        <w:rPr>
          <w:rFonts w:ascii="Calibri" w:hAnsi="Calibri" w:cs="Calibri"/>
        </w:rPr>
        <w:t xml:space="preserve">dans </w:t>
      </w:r>
      <w:r w:rsidR="007270C8">
        <w:rPr>
          <w:rFonts w:ascii="Calibri" w:hAnsi="Calibri" w:cs="Calibri"/>
        </w:rPr>
        <w:t>le</w:t>
      </w:r>
      <w:r w:rsidR="00A37F1B">
        <w:rPr>
          <w:rFonts w:ascii="Calibri" w:hAnsi="Calibri" w:cs="Calibri"/>
        </w:rPr>
        <w:t xml:space="preserve">urs </w:t>
      </w:r>
      <w:r w:rsidRPr="007649FF">
        <w:rPr>
          <w:rFonts w:ascii="Calibri" w:hAnsi="Calibri" w:cs="Calibri"/>
        </w:rPr>
        <w:t>communications</w:t>
      </w:r>
      <w:r w:rsidR="006B0050">
        <w:rPr>
          <w:rFonts w:ascii="Calibri" w:hAnsi="Calibri" w:cs="Calibri"/>
        </w:rPr>
        <w:t xml:space="preserve"> conjointes</w:t>
      </w:r>
      <w:r w:rsidR="007270C8">
        <w:rPr>
          <w:rFonts w:ascii="Calibri" w:hAnsi="Calibri" w:cs="Calibri"/>
        </w:rPr>
        <w:t xml:space="preserve"> </w:t>
      </w:r>
      <w:r w:rsidRPr="007649FF">
        <w:rPr>
          <w:rFonts w:ascii="Calibri" w:hAnsi="Calibri" w:cs="Calibri"/>
        </w:rPr>
        <w:t>au Comité des ministres du Conseil de l’Europe dans le cadre du suivi de l’exécution de l’arrêt</w:t>
      </w:r>
      <w:r w:rsidR="005C375F">
        <w:rPr>
          <w:rFonts w:ascii="Calibri" w:hAnsi="Calibri" w:cs="Calibri"/>
        </w:rPr>
        <w:t xml:space="preserve"> de la Cour européenne des droits de l’homme</w:t>
      </w:r>
      <w:r w:rsidR="007649FF">
        <w:rPr>
          <w:rFonts w:ascii="Calibri" w:hAnsi="Calibri" w:cs="Calibri"/>
        </w:rPr>
        <w:t xml:space="preserve"> </w:t>
      </w:r>
      <w:r w:rsidRPr="007649FF">
        <w:rPr>
          <w:rFonts w:ascii="Calibri" w:hAnsi="Calibri" w:cs="Calibri"/>
        </w:rPr>
        <w:t xml:space="preserve">J.M.B. et autres c. </w:t>
      </w:r>
      <w:r w:rsidR="00695EB6">
        <w:rPr>
          <w:rFonts w:ascii="Calibri" w:hAnsi="Calibri" w:cs="Calibri"/>
        </w:rPr>
        <w:t>France.</w:t>
      </w:r>
    </w:p>
    <w:p w14:paraId="7F3ACF7B" w14:textId="60ED1F4C" w:rsidR="00695EB6" w:rsidRDefault="00695EB6" w:rsidP="009D535B">
      <w:pPr>
        <w:jc w:val="both"/>
        <w:rPr>
          <w:rFonts w:ascii="Calibri" w:hAnsi="Calibri" w:cs="Calibri"/>
        </w:rPr>
      </w:pPr>
      <w:r w:rsidRPr="007649FF">
        <w:rPr>
          <w:rFonts w:ascii="Calibri" w:hAnsi="Calibri" w:cs="Calibri"/>
        </w:rPr>
        <w:t xml:space="preserve">Les </w:t>
      </w:r>
      <w:r w:rsidR="00CC099C">
        <w:rPr>
          <w:rFonts w:ascii="Calibri" w:hAnsi="Calibri" w:cs="Calibri"/>
        </w:rPr>
        <w:t>juridictions apprécient</w:t>
      </w:r>
      <w:r w:rsidR="0042376E">
        <w:rPr>
          <w:rFonts w:ascii="Calibri" w:hAnsi="Calibri" w:cs="Calibri"/>
        </w:rPr>
        <w:t xml:space="preserve"> de manières très variable</w:t>
      </w:r>
      <w:r w:rsidR="00CC099C">
        <w:rPr>
          <w:rFonts w:ascii="Calibri" w:hAnsi="Calibri" w:cs="Calibri"/>
        </w:rPr>
        <w:t xml:space="preserve"> les </w:t>
      </w:r>
      <w:r w:rsidRPr="007649FF">
        <w:rPr>
          <w:rFonts w:ascii="Calibri" w:hAnsi="Calibri" w:cs="Calibri"/>
        </w:rPr>
        <w:t>conditions de recevabilité des recours</w:t>
      </w:r>
      <w:r w:rsidR="0042376E">
        <w:rPr>
          <w:rFonts w:ascii="Calibri" w:hAnsi="Calibri" w:cs="Calibri"/>
        </w:rPr>
        <w:t xml:space="preserve"> ainsi que les preuves de l’</w:t>
      </w:r>
      <w:r w:rsidR="00BA7F7D">
        <w:rPr>
          <w:rFonts w:ascii="Calibri" w:hAnsi="Calibri" w:cs="Calibri"/>
        </w:rPr>
        <w:t>indignité</w:t>
      </w:r>
      <w:r w:rsidR="0042376E">
        <w:rPr>
          <w:rFonts w:ascii="Calibri" w:hAnsi="Calibri" w:cs="Calibri"/>
        </w:rPr>
        <w:t xml:space="preserve"> des conditions de détention. </w:t>
      </w:r>
      <w:r w:rsidR="00D34A09">
        <w:rPr>
          <w:rFonts w:ascii="Calibri" w:hAnsi="Calibri" w:cs="Calibri"/>
        </w:rPr>
        <w:t>De fait</w:t>
      </w:r>
      <w:r w:rsidR="00C7772C">
        <w:rPr>
          <w:rFonts w:ascii="Calibri" w:hAnsi="Calibri" w:cs="Calibri"/>
        </w:rPr>
        <w:t xml:space="preserve">, une </w:t>
      </w:r>
      <w:r w:rsidRPr="007649FF">
        <w:rPr>
          <w:rFonts w:ascii="Calibri" w:hAnsi="Calibri" w:cs="Calibri"/>
        </w:rPr>
        <w:t>grande confiance semble être accordée aux appréciations et dénégations systématiquement opposées par l’administration</w:t>
      </w:r>
      <w:r w:rsidR="005D6895">
        <w:rPr>
          <w:rFonts w:ascii="Calibri" w:hAnsi="Calibri" w:cs="Calibri"/>
        </w:rPr>
        <w:t xml:space="preserve"> pénitentiaire</w:t>
      </w:r>
      <w:r w:rsidR="00BA7F7D">
        <w:rPr>
          <w:rFonts w:ascii="Calibri" w:hAnsi="Calibri" w:cs="Calibri"/>
        </w:rPr>
        <w:t>. En conséquence, la plupa</w:t>
      </w:r>
      <w:r w:rsidR="005D6895">
        <w:rPr>
          <w:rFonts w:ascii="Calibri" w:hAnsi="Calibri" w:cs="Calibri"/>
        </w:rPr>
        <w:t>rt des recours sont jugés irrecevables</w:t>
      </w:r>
      <w:r w:rsidR="00C7772C">
        <w:rPr>
          <w:rFonts w:ascii="Calibri" w:hAnsi="Calibri" w:cs="Calibri"/>
        </w:rPr>
        <w:t xml:space="preserve">, </w:t>
      </w:r>
      <w:r w:rsidR="00BA7F7D">
        <w:rPr>
          <w:rFonts w:ascii="Calibri" w:hAnsi="Calibri" w:cs="Calibri"/>
        </w:rPr>
        <w:t>malgré</w:t>
      </w:r>
      <w:r w:rsidR="00C7772C">
        <w:rPr>
          <w:rFonts w:ascii="Calibri" w:hAnsi="Calibri" w:cs="Calibri"/>
        </w:rPr>
        <w:t xml:space="preserve"> </w:t>
      </w:r>
      <w:r w:rsidR="00BA7F7D">
        <w:rPr>
          <w:rFonts w:ascii="Calibri" w:hAnsi="Calibri" w:cs="Calibri"/>
        </w:rPr>
        <w:t>les nombreux rapports publics et condamnations de la CED</w:t>
      </w:r>
      <w:r w:rsidR="00815578" w:rsidRPr="00815578">
        <w:rPr>
          <w:rFonts w:ascii="Calibri" w:hAnsi="Calibri" w:cs="Calibri"/>
        </w:rPr>
        <w:t>H</w:t>
      </w:r>
      <w:r w:rsidR="00BA7F7D">
        <w:rPr>
          <w:rFonts w:ascii="Calibri" w:hAnsi="Calibri" w:cs="Calibri"/>
        </w:rPr>
        <w:t xml:space="preserve"> concernant l’état des prisons en France.</w:t>
      </w:r>
      <w:r w:rsidR="003D2901">
        <w:rPr>
          <w:rFonts w:ascii="Calibri" w:hAnsi="Calibri" w:cs="Calibri"/>
        </w:rPr>
        <w:t xml:space="preserve"> </w:t>
      </w:r>
      <w:r w:rsidR="00292B9F">
        <w:rPr>
          <w:rFonts w:ascii="Calibri" w:hAnsi="Calibri" w:cs="Calibri"/>
        </w:rPr>
        <w:t>Quant à l</w:t>
      </w:r>
      <w:r w:rsidRPr="007649FF">
        <w:rPr>
          <w:rFonts w:ascii="Calibri" w:hAnsi="Calibri" w:cs="Calibri"/>
        </w:rPr>
        <w:t xml:space="preserve">’examen du bien-fondé de la demande, </w:t>
      </w:r>
      <w:r w:rsidR="004F3098">
        <w:rPr>
          <w:rFonts w:ascii="Calibri" w:hAnsi="Calibri" w:cs="Calibri"/>
        </w:rPr>
        <w:t>en raison</w:t>
      </w:r>
      <w:r w:rsidRPr="007649FF">
        <w:rPr>
          <w:rFonts w:ascii="Calibri" w:hAnsi="Calibri" w:cs="Calibri"/>
        </w:rPr>
        <w:t xml:space="preserve"> d</w:t>
      </w:r>
      <w:r w:rsidR="004F3098">
        <w:rPr>
          <w:rFonts w:ascii="Calibri" w:hAnsi="Calibri" w:cs="Calibri"/>
        </w:rPr>
        <w:t>’</w:t>
      </w:r>
      <w:r w:rsidRPr="007649FF">
        <w:rPr>
          <w:rFonts w:ascii="Calibri" w:hAnsi="Calibri" w:cs="Calibri"/>
        </w:rPr>
        <w:t>un délai très court,</w:t>
      </w:r>
      <w:r w:rsidR="00292B9F">
        <w:rPr>
          <w:rFonts w:ascii="Calibri" w:hAnsi="Calibri" w:cs="Calibri"/>
        </w:rPr>
        <w:t xml:space="preserve"> il</w:t>
      </w:r>
      <w:r w:rsidRPr="007649FF">
        <w:rPr>
          <w:rFonts w:ascii="Calibri" w:hAnsi="Calibri" w:cs="Calibri"/>
        </w:rPr>
        <w:t xml:space="preserve"> ne donne lieu qu’à une faible mobilisation des moyens d’investigation dont disposent les magistrats (expertise, déplacement sur les lieux, etc.). </w:t>
      </w:r>
    </w:p>
    <w:p w14:paraId="3B37EDA0" w14:textId="1516CA1A" w:rsidR="0021161B" w:rsidRDefault="00E92A9A" w:rsidP="007649FF">
      <w:pPr>
        <w:jc w:val="both"/>
        <w:rPr>
          <w:rFonts w:ascii="Calibri" w:hAnsi="Calibri" w:cs="Calibri"/>
        </w:rPr>
      </w:pPr>
      <w:r w:rsidRPr="007649FF">
        <w:rPr>
          <w:rFonts w:ascii="Calibri" w:hAnsi="Calibri" w:cs="Calibri"/>
        </w:rPr>
        <w:t>Pour mettre fin aux conditions indignes d’un détenu, la loi donne à</w:t>
      </w:r>
      <w:r w:rsidR="00117A5E" w:rsidRPr="007649FF">
        <w:rPr>
          <w:rFonts w:ascii="Calibri" w:hAnsi="Calibri" w:cs="Calibri"/>
        </w:rPr>
        <w:t xml:space="preserve"> l’administration pénitentiaire la possibilité de </w:t>
      </w:r>
      <w:r w:rsidRPr="007649FF">
        <w:rPr>
          <w:rFonts w:ascii="Calibri" w:hAnsi="Calibri" w:cs="Calibri"/>
        </w:rPr>
        <w:t xml:space="preserve">le </w:t>
      </w:r>
      <w:r w:rsidR="00117A5E" w:rsidRPr="007649FF">
        <w:rPr>
          <w:rFonts w:ascii="Calibri" w:hAnsi="Calibri" w:cs="Calibri"/>
        </w:rPr>
        <w:t xml:space="preserve">transférer </w:t>
      </w:r>
      <w:r w:rsidRPr="007649FF">
        <w:rPr>
          <w:rFonts w:ascii="Calibri" w:hAnsi="Calibri" w:cs="Calibri"/>
        </w:rPr>
        <w:t>dans un autre établissement</w:t>
      </w:r>
      <w:r w:rsidR="00117A5E" w:rsidRPr="007649FF">
        <w:rPr>
          <w:rFonts w:ascii="Calibri" w:hAnsi="Calibri" w:cs="Calibri"/>
        </w:rPr>
        <w:t>. Cette possibilité</w:t>
      </w:r>
      <w:r w:rsidR="00C21E81" w:rsidRPr="007649FF">
        <w:rPr>
          <w:rFonts w:ascii="Calibri" w:hAnsi="Calibri" w:cs="Calibri"/>
        </w:rPr>
        <w:t xml:space="preserve"> porte en </w:t>
      </w:r>
      <w:r w:rsidR="00117A5E" w:rsidRPr="007649FF">
        <w:rPr>
          <w:rFonts w:ascii="Calibri" w:hAnsi="Calibri" w:cs="Calibri"/>
        </w:rPr>
        <w:t>elle</w:t>
      </w:r>
      <w:r w:rsidR="00C21E81" w:rsidRPr="007649FF">
        <w:rPr>
          <w:rFonts w:ascii="Calibri" w:hAnsi="Calibri" w:cs="Calibri"/>
        </w:rPr>
        <w:t>-même un effet dissuasif très important</w:t>
      </w:r>
      <w:r w:rsidR="00A51322">
        <w:rPr>
          <w:rFonts w:ascii="Calibri" w:hAnsi="Calibri" w:cs="Calibri"/>
        </w:rPr>
        <w:t xml:space="preserve">, </w:t>
      </w:r>
      <w:r w:rsidRPr="007649FF">
        <w:rPr>
          <w:rStyle w:val="normaltextrun"/>
          <w:rFonts w:ascii="Calibri" w:hAnsi="Calibri" w:cs="Calibri"/>
        </w:rPr>
        <w:t>l</w:t>
      </w:r>
      <w:r w:rsidR="00A51322">
        <w:rPr>
          <w:rStyle w:val="normaltextrun"/>
          <w:rFonts w:ascii="Calibri" w:hAnsi="Calibri" w:cs="Calibri"/>
        </w:rPr>
        <w:t xml:space="preserve">a plupart des </w:t>
      </w:r>
      <w:r w:rsidR="007E0027">
        <w:rPr>
          <w:rStyle w:val="normaltextrun"/>
          <w:rFonts w:ascii="Calibri" w:hAnsi="Calibri" w:cs="Calibri"/>
        </w:rPr>
        <w:t>détenus</w:t>
      </w:r>
      <w:r w:rsidRPr="007649FF">
        <w:rPr>
          <w:rStyle w:val="normaltextrun"/>
          <w:rFonts w:ascii="Calibri" w:hAnsi="Calibri" w:cs="Calibri"/>
        </w:rPr>
        <w:t xml:space="preserve"> </w:t>
      </w:r>
      <w:r w:rsidR="00966302">
        <w:rPr>
          <w:rStyle w:val="normaltextrun"/>
          <w:rFonts w:ascii="Calibri" w:hAnsi="Calibri" w:cs="Calibri"/>
        </w:rPr>
        <w:t>refus</w:t>
      </w:r>
      <w:r w:rsidR="00A51322">
        <w:rPr>
          <w:rStyle w:val="normaltextrun"/>
          <w:rFonts w:ascii="Calibri" w:hAnsi="Calibri" w:cs="Calibri"/>
        </w:rPr>
        <w:t>an</w:t>
      </w:r>
      <w:r w:rsidR="00966302">
        <w:rPr>
          <w:rStyle w:val="normaltextrun"/>
          <w:rFonts w:ascii="Calibri" w:hAnsi="Calibri" w:cs="Calibri"/>
        </w:rPr>
        <w:t xml:space="preserve">t de soumettre un recours </w:t>
      </w:r>
      <w:r w:rsidR="00055BB9">
        <w:rPr>
          <w:rStyle w:val="normaltextrun"/>
          <w:rFonts w:ascii="Calibri" w:hAnsi="Calibri" w:cs="Calibri"/>
        </w:rPr>
        <w:t xml:space="preserve">de peur d’être éloignés d’un </w:t>
      </w:r>
      <w:r w:rsidRPr="007649FF">
        <w:rPr>
          <w:rStyle w:val="normaltextrun"/>
          <w:rFonts w:ascii="Calibri" w:hAnsi="Calibri" w:cs="Calibri"/>
        </w:rPr>
        <w:t xml:space="preserve">environnement </w:t>
      </w:r>
      <w:r w:rsidR="007E0027">
        <w:rPr>
          <w:rStyle w:val="normaltextrun"/>
          <w:rFonts w:ascii="Calibri" w:hAnsi="Calibri" w:cs="Calibri"/>
        </w:rPr>
        <w:t>qu’ils connaissent et situé</w:t>
      </w:r>
      <w:r w:rsidR="007649FF" w:rsidRPr="007649FF">
        <w:rPr>
          <w:rStyle w:val="normaltextrun"/>
          <w:rFonts w:ascii="Calibri" w:hAnsi="Calibri" w:cs="Calibri"/>
        </w:rPr>
        <w:t xml:space="preserve"> à proximité de leur famille.</w:t>
      </w:r>
      <w:r w:rsidRPr="007649FF">
        <w:rPr>
          <w:rStyle w:val="normaltextrun"/>
          <w:rFonts w:ascii="Calibri" w:hAnsi="Calibri" w:cs="Calibri"/>
        </w:rPr>
        <w:t xml:space="preserve"> </w:t>
      </w:r>
      <w:r w:rsidR="008D3720">
        <w:rPr>
          <w:rStyle w:val="normaltextrun"/>
          <w:rFonts w:ascii="Calibri" w:hAnsi="Calibri" w:cs="Calibri"/>
        </w:rPr>
        <w:t>De plus, e</w:t>
      </w:r>
      <w:r w:rsidR="00292B9F">
        <w:rPr>
          <w:rFonts w:ascii="Calibri" w:hAnsi="Calibri" w:cs="Calibri"/>
        </w:rPr>
        <w:t>n tout état de cause,</w:t>
      </w:r>
      <w:r w:rsidR="0021161B" w:rsidRPr="00CA7CC1">
        <w:rPr>
          <w:rFonts w:ascii="Calibri" w:hAnsi="Calibri" w:cs="Calibri"/>
        </w:rPr>
        <w:t xml:space="preserve"> </w:t>
      </w:r>
      <w:r w:rsidR="008D3720">
        <w:rPr>
          <w:rFonts w:ascii="Calibri" w:hAnsi="Calibri" w:cs="Calibri"/>
        </w:rPr>
        <w:t>cette</w:t>
      </w:r>
      <w:r w:rsidR="0021161B" w:rsidRPr="00CA7CC1">
        <w:rPr>
          <w:rFonts w:ascii="Calibri" w:hAnsi="Calibri" w:cs="Calibri"/>
        </w:rPr>
        <w:t xml:space="preserve"> possibilité </w:t>
      </w:r>
      <w:r w:rsidR="00A17717" w:rsidRPr="00CA7CC1">
        <w:rPr>
          <w:rFonts w:ascii="Calibri" w:hAnsi="Calibri" w:cs="Calibri"/>
        </w:rPr>
        <w:t>n’</w:t>
      </w:r>
      <w:r w:rsidR="00CA7CC1" w:rsidRPr="00CA7CC1">
        <w:rPr>
          <w:rFonts w:ascii="Calibri" w:hAnsi="Calibri" w:cs="Calibri"/>
        </w:rPr>
        <w:t>encourage</w:t>
      </w:r>
      <w:r w:rsidR="00A17717" w:rsidRPr="00CA7CC1">
        <w:rPr>
          <w:rFonts w:ascii="Calibri" w:hAnsi="Calibri" w:cs="Calibri"/>
        </w:rPr>
        <w:t xml:space="preserve"> pas l’administration pénitentiaire à mettre en place les </w:t>
      </w:r>
      <w:r w:rsidR="00CA7CC1" w:rsidRPr="00CA7CC1">
        <w:rPr>
          <w:rFonts w:ascii="Calibri" w:hAnsi="Calibri" w:cs="Calibri"/>
        </w:rPr>
        <w:t>mesures</w:t>
      </w:r>
      <w:r w:rsidR="00A17717" w:rsidRPr="00CA7CC1">
        <w:rPr>
          <w:rFonts w:ascii="Calibri" w:hAnsi="Calibri" w:cs="Calibri"/>
        </w:rPr>
        <w:t xml:space="preserve"> correctives </w:t>
      </w:r>
      <w:r w:rsidR="00AD7E95">
        <w:rPr>
          <w:rFonts w:ascii="Calibri" w:hAnsi="Calibri" w:cs="Calibri"/>
        </w:rPr>
        <w:t>permettant de</w:t>
      </w:r>
      <w:r w:rsidR="00674892">
        <w:rPr>
          <w:rFonts w:ascii="Calibri" w:hAnsi="Calibri" w:cs="Calibri"/>
        </w:rPr>
        <w:t xml:space="preserve"> remédier aux conditions indignes de détention </w:t>
      </w:r>
      <w:r w:rsidR="00F32870">
        <w:rPr>
          <w:rFonts w:ascii="Calibri" w:hAnsi="Calibri" w:cs="Calibri"/>
        </w:rPr>
        <w:t>constatées par</w:t>
      </w:r>
      <w:r w:rsidR="00CA7CC1" w:rsidRPr="00CA7CC1">
        <w:rPr>
          <w:rFonts w:ascii="Calibri" w:hAnsi="Calibri" w:cs="Calibri"/>
        </w:rPr>
        <w:t xml:space="preserve"> le juge</w:t>
      </w:r>
      <w:r w:rsidR="00CA7CC1">
        <w:rPr>
          <w:rFonts w:ascii="Calibri" w:hAnsi="Calibri" w:cs="Calibri"/>
        </w:rPr>
        <w:t>.</w:t>
      </w:r>
    </w:p>
    <w:p w14:paraId="450BF7A2" w14:textId="2DB9C4A3" w:rsidR="006F6847" w:rsidRPr="008D3720" w:rsidRDefault="00846E1D" w:rsidP="007649FF">
      <w:pPr>
        <w:jc w:val="both"/>
        <w:rPr>
          <w:rFonts w:ascii="Calibri" w:hAnsi="Calibri" w:cs="Calibri"/>
        </w:rPr>
      </w:pPr>
      <w:r>
        <w:rPr>
          <w:rFonts w:ascii="Calibri" w:hAnsi="Calibri" w:cs="Calibri"/>
        </w:rPr>
        <w:t>Selon les informations recueillies par le CGLPL, seules</w:t>
      </w:r>
      <w:r w:rsidR="0009780B" w:rsidRPr="007649FF">
        <w:rPr>
          <w:rFonts w:ascii="Calibri" w:hAnsi="Calibri" w:cs="Calibri"/>
        </w:rPr>
        <w:t xml:space="preserve"> quelques remises en liberté semblent avoir été prononcées par le juge, à la suite de recours sur la dignité des conditions de détention, et seulement à Nouméa. Cette possibilité n’est cependant pas offerte si le demandeur est un condamné non éligible à un aménagement de peine.</w:t>
      </w:r>
    </w:p>
    <w:p w14:paraId="4C38F6A3" w14:textId="77777777" w:rsidR="00B44ACC" w:rsidRDefault="00F90AD5" w:rsidP="00925019">
      <w:pPr>
        <w:pBdr>
          <w:top w:val="single" w:sz="4" w:space="1" w:color="auto"/>
          <w:left w:val="single" w:sz="4" w:space="4" w:color="auto"/>
          <w:bottom w:val="single" w:sz="4" w:space="1" w:color="auto"/>
          <w:right w:val="single" w:sz="4" w:space="4" w:color="auto"/>
        </w:pBdr>
        <w:rPr>
          <w:rFonts w:ascii="Calibri" w:hAnsi="Calibri" w:cs="Calibri"/>
          <w:b/>
          <w:bCs/>
          <w:i/>
          <w:iCs/>
        </w:rPr>
      </w:pPr>
      <w:r w:rsidRPr="00116A73">
        <w:rPr>
          <w:rFonts w:ascii="Calibri" w:hAnsi="Calibri" w:cs="Calibri"/>
          <w:b/>
          <w:bCs/>
          <w:i/>
          <w:iCs/>
        </w:rPr>
        <w:t>Recommandation :</w:t>
      </w:r>
    </w:p>
    <w:p w14:paraId="386DE21B" w14:textId="5C07B2A6" w:rsidR="00925019" w:rsidRDefault="008D4DDC" w:rsidP="00925019">
      <w:pPr>
        <w:pBdr>
          <w:top w:val="single" w:sz="4" w:space="1" w:color="auto"/>
          <w:left w:val="single" w:sz="4" w:space="4" w:color="auto"/>
          <w:bottom w:val="single" w:sz="4" w:space="1" w:color="auto"/>
          <w:right w:val="single" w:sz="4" w:space="4" w:color="auto"/>
        </w:pBdr>
        <w:jc w:val="both"/>
        <w:rPr>
          <w:rFonts w:ascii="Calibri" w:hAnsi="Calibri" w:cs="Calibri"/>
          <w:b/>
          <w:bCs/>
          <w:i/>
          <w:iCs/>
        </w:rPr>
      </w:pPr>
      <w:r>
        <w:rPr>
          <w:rFonts w:ascii="Calibri" w:hAnsi="Calibri" w:cs="Calibri"/>
          <w:i/>
          <w:iCs/>
        </w:rPr>
        <w:t>Rendre le recours accessible à tous les détenus et s</w:t>
      </w:r>
      <w:r w:rsidR="00F90AD5" w:rsidRPr="000351F1">
        <w:rPr>
          <w:rFonts w:ascii="Calibri" w:hAnsi="Calibri" w:cs="Calibri"/>
          <w:i/>
          <w:iCs/>
        </w:rPr>
        <w:t>upprimer la possibilité d’un transfèrement administratif</w:t>
      </w:r>
      <w:r w:rsidR="000351F1" w:rsidRPr="000351F1">
        <w:rPr>
          <w:rFonts w:ascii="Calibri" w:hAnsi="Calibri" w:cs="Calibri"/>
          <w:i/>
          <w:iCs/>
        </w:rPr>
        <w:t xml:space="preserve"> pour </w:t>
      </w:r>
      <w:r w:rsidR="006674E6">
        <w:rPr>
          <w:rFonts w:ascii="Calibri" w:hAnsi="Calibri" w:cs="Calibri"/>
          <w:i/>
          <w:iCs/>
        </w:rPr>
        <w:t>mettre fin</w:t>
      </w:r>
      <w:r w:rsidR="000351F1" w:rsidRPr="000351F1">
        <w:rPr>
          <w:rFonts w:ascii="Calibri" w:hAnsi="Calibri" w:cs="Calibri"/>
          <w:i/>
          <w:iCs/>
        </w:rPr>
        <w:t xml:space="preserve"> </w:t>
      </w:r>
      <w:r>
        <w:rPr>
          <w:rFonts w:ascii="Calibri" w:hAnsi="Calibri" w:cs="Calibri"/>
          <w:i/>
          <w:iCs/>
        </w:rPr>
        <w:t>aux</w:t>
      </w:r>
      <w:r w:rsidR="006674E6">
        <w:rPr>
          <w:rFonts w:ascii="Calibri" w:hAnsi="Calibri" w:cs="Calibri"/>
          <w:i/>
          <w:iCs/>
        </w:rPr>
        <w:t xml:space="preserve"> </w:t>
      </w:r>
      <w:r w:rsidR="000351F1" w:rsidRPr="000351F1">
        <w:rPr>
          <w:rFonts w:ascii="Calibri" w:hAnsi="Calibri" w:cs="Calibri"/>
          <w:i/>
          <w:iCs/>
        </w:rPr>
        <w:t>conditions</w:t>
      </w:r>
      <w:r w:rsidR="006674E6" w:rsidRPr="006674E6">
        <w:rPr>
          <w:rFonts w:ascii="Calibri" w:hAnsi="Calibri" w:cs="Calibri"/>
          <w:i/>
          <w:iCs/>
        </w:rPr>
        <w:t xml:space="preserve"> </w:t>
      </w:r>
      <w:r w:rsidR="006674E6" w:rsidRPr="000351F1">
        <w:rPr>
          <w:rFonts w:ascii="Calibri" w:hAnsi="Calibri" w:cs="Calibri"/>
          <w:i/>
          <w:iCs/>
        </w:rPr>
        <w:t>de détention</w:t>
      </w:r>
      <w:r w:rsidR="000351F1" w:rsidRPr="000351F1">
        <w:rPr>
          <w:rFonts w:ascii="Calibri" w:hAnsi="Calibri" w:cs="Calibri"/>
          <w:i/>
          <w:iCs/>
        </w:rPr>
        <w:t xml:space="preserve"> indi</w:t>
      </w:r>
      <w:r w:rsidR="00925019">
        <w:rPr>
          <w:rFonts w:ascii="Calibri" w:hAnsi="Calibri" w:cs="Calibri"/>
          <w:i/>
          <w:iCs/>
        </w:rPr>
        <w:t>gnes</w:t>
      </w:r>
      <w:r w:rsidR="00A871ED">
        <w:rPr>
          <w:rFonts w:ascii="Calibri" w:hAnsi="Calibri" w:cs="Calibri"/>
          <w:i/>
          <w:iCs/>
        </w:rPr>
        <w:t>.</w:t>
      </w:r>
    </w:p>
    <w:p w14:paraId="4378C2B8" w14:textId="6C06392B" w:rsidR="00925019" w:rsidRPr="0052275B" w:rsidRDefault="00925019" w:rsidP="00925019">
      <w:pPr>
        <w:jc w:val="both"/>
        <w:rPr>
          <w:rFonts w:ascii="Calibri" w:hAnsi="Calibri" w:cs="Calibri"/>
          <w:b/>
          <w:bCs/>
          <w:i/>
          <w:iCs/>
        </w:rPr>
      </w:pPr>
      <w:r>
        <w:rPr>
          <w:rFonts w:ascii="Calibri" w:hAnsi="Calibri" w:cs="Calibri"/>
          <w:u w:val="single"/>
        </w:rPr>
        <w:lastRenderedPageBreak/>
        <w:t>Sur le</w:t>
      </w:r>
      <w:r w:rsidRPr="008D3720">
        <w:rPr>
          <w:rFonts w:ascii="Calibri" w:hAnsi="Calibri" w:cs="Calibri"/>
          <w:u w:val="single"/>
        </w:rPr>
        <w:t xml:space="preserve"> nombre de requêtes</w:t>
      </w:r>
    </w:p>
    <w:p w14:paraId="02058337" w14:textId="1AE93A95" w:rsidR="00C04353" w:rsidRPr="007649FF" w:rsidRDefault="008D3720" w:rsidP="0009780B">
      <w:pPr>
        <w:jc w:val="both"/>
        <w:rPr>
          <w:rFonts w:ascii="Calibri" w:hAnsi="Calibri" w:cs="Calibri"/>
        </w:rPr>
      </w:pPr>
      <w:r>
        <w:rPr>
          <w:rFonts w:ascii="Calibri" w:hAnsi="Calibri" w:cs="Calibri"/>
        </w:rPr>
        <w:t>I</w:t>
      </w:r>
      <w:r w:rsidR="00C04353" w:rsidRPr="007649FF">
        <w:rPr>
          <w:rFonts w:ascii="Calibri" w:hAnsi="Calibri" w:cs="Calibri"/>
        </w:rPr>
        <w:t xml:space="preserve">l n’est pas possible de </w:t>
      </w:r>
      <w:r w:rsidR="00D04544">
        <w:rPr>
          <w:rFonts w:ascii="Calibri" w:hAnsi="Calibri" w:cs="Calibri"/>
        </w:rPr>
        <w:t>faire état de données précises relatives au nombre</w:t>
      </w:r>
      <w:r w:rsidR="00C04353" w:rsidRPr="007649FF">
        <w:rPr>
          <w:rFonts w:ascii="Calibri" w:hAnsi="Calibri" w:cs="Calibri"/>
        </w:rPr>
        <w:t xml:space="preserve"> de recours</w:t>
      </w:r>
      <w:r w:rsidR="00232A9C">
        <w:rPr>
          <w:rFonts w:ascii="Calibri" w:hAnsi="Calibri" w:cs="Calibri"/>
        </w:rPr>
        <w:t xml:space="preserve"> </w:t>
      </w:r>
      <w:r w:rsidR="002C2BE8">
        <w:rPr>
          <w:rFonts w:ascii="Calibri" w:hAnsi="Calibri" w:cs="Calibri"/>
        </w:rPr>
        <w:t>car elles en sont pas</w:t>
      </w:r>
      <w:r w:rsidR="00232A9C" w:rsidRPr="007649FF">
        <w:rPr>
          <w:rFonts w:ascii="Calibri" w:hAnsi="Calibri" w:cs="Calibri"/>
        </w:rPr>
        <w:t xml:space="preserve"> centralisées</w:t>
      </w:r>
      <w:r w:rsidR="00574136">
        <w:rPr>
          <w:rFonts w:ascii="Calibri" w:hAnsi="Calibri" w:cs="Calibri"/>
        </w:rPr>
        <w:t xml:space="preserve"> par le ministère de la Justice</w:t>
      </w:r>
      <w:r w:rsidR="00C04353" w:rsidRPr="007649FF">
        <w:rPr>
          <w:rFonts w:ascii="Calibri" w:hAnsi="Calibri" w:cs="Calibri"/>
        </w:rPr>
        <w:t xml:space="preserve">. Le </w:t>
      </w:r>
      <w:r w:rsidR="00B44ACC">
        <w:rPr>
          <w:rFonts w:ascii="Calibri" w:hAnsi="Calibri" w:cs="Calibri"/>
        </w:rPr>
        <w:t>CGLPL</w:t>
      </w:r>
      <w:r w:rsidR="00C04353" w:rsidRPr="007649FF">
        <w:rPr>
          <w:rFonts w:ascii="Calibri" w:hAnsi="Calibri" w:cs="Calibri"/>
        </w:rPr>
        <w:t>, parmi d’autres institutions et organisations de défense des droits humains</w:t>
      </w:r>
      <w:r w:rsidR="00D04544">
        <w:rPr>
          <w:rFonts w:ascii="Calibri" w:hAnsi="Calibri" w:cs="Calibri"/>
        </w:rPr>
        <w:t>,</w:t>
      </w:r>
      <w:r w:rsidR="00C04353" w:rsidRPr="007649FF">
        <w:rPr>
          <w:rFonts w:ascii="Calibri" w:hAnsi="Calibri" w:cs="Calibri"/>
        </w:rPr>
        <w:t xml:space="preserve"> a pourtant demandé</w:t>
      </w:r>
      <w:r w:rsidR="00574136">
        <w:rPr>
          <w:rFonts w:ascii="Calibri" w:hAnsi="Calibri" w:cs="Calibri"/>
        </w:rPr>
        <w:t xml:space="preserve"> </w:t>
      </w:r>
      <w:r w:rsidR="00574136" w:rsidRPr="007649FF">
        <w:rPr>
          <w:rFonts w:ascii="Calibri" w:hAnsi="Calibri" w:cs="Calibri"/>
        </w:rPr>
        <w:t xml:space="preserve">la mise à disposition de telles données chiffrées </w:t>
      </w:r>
      <w:r w:rsidR="00C04353" w:rsidRPr="007649FF">
        <w:rPr>
          <w:rFonts w:ascii="Calibri" w:hAnsi="Calibri" w:cs="Calibri"/>
        </w:rPr>
        <w:t>dès la mise en application de la loi</w:t>
      </w:r>
      <w:r w:rsidR="00177953" w:rsidRPr="007649FF">
        <w:rPr>
          <w:rFonts w:ascii="Calibri" w:hAnsi="Calibri" w:cs="Calibri"/>
        </w:rPr>
        <w:t xml:space="preserve">. </w:t>
      </w:r>
      <w:r w:rsidR="00C21E81" w:rsidRPr="007649FF">
        <w:rPr>
          <w:rFonts w:ascii="Calibri" w:hAnsi="Calibri" w:cs="Calibri"/>
        </w:rPr>
        <w:t xml:space="preserve">Au cours de ses visites d’établissements pénitentiaires, et par le biais des saisines qui lui sont adressées, le </w:t>
      </w:r>
      <w:r w:rsidR="00B44ACC">
        <w:rPr>
          <w:rFonts w:ascii="Calibri" w:hAnsi="Calibri" w:cs="Calibri"/>
        </w:rPr>
        <w:t>CGLPL</w:t>
      </w:r>
      <w:r w:rsidR="00C21E81" w:rsidRPr="007649FF">
        <w:rPr>
          <w:rFonts w:ascii="Calibri" w:hAnsi="Calibri" w:cs="Calibri"/>
        </w:rPr>
        <w:t xml:space="preserve"> </w:t>
      </w:r>
      <w:r w:rsidR="00574136">
        <w:rPr>
          <w:rFonts w:ascii="Calibri" w:hAnsi="Calibri" w:cs="Calibri"/>
        </w:rPr>
        <w:t>tâche de recueillir</w:t>
      </w:r>
      <w:r w:rsidR="00C21E81" w:rsidRPr="007649FF">
        <w:rPr>
          <w:rFonts w:ascii="Calibri" w:hAnsi="Calibri" w:cs="Calibri"/>
        </w:rPr>
        <w:t xml:space="preserve"> ces </w:t>
      </w:r>
      <w:r w:rsidR="00470829">
        <w:rPr>
          <w:rFonts w:ascii="Calibri" w:hAnsi="Calibri" w:cs="Calibri"/>
        </w:rPr>
        <w:t>chiffres</w:t>
      </w:r>
      <w:r w:rsidR="00C21E81" w:rsidRPr="007649FF">
        <w:rPr>
          <w:rFonts w:ascii="Calibri" w:hAnsi="Calibri" w:cs="Calibri"/>
        </w:rPr>
        <w:t>,</w:t>
      </w:r>
      <w:r w:rsidR="00C11303">
        <w:rPr>
          <w:rFonts w:ascii="Calibri" w:hAnsi="Calibri" w:cs="Calibri"/>
        </w:rPr>
        <w:t xml:space="preserve"> mais</w:t>
      </w:r>
      <w:r w:rsidR="00C21E81" w:rsidRPr="007649FF">
        <w:rPr>
          <w:rFonts w:ascii="Calibri" w:hAnsi="Calibri" w:cs="Calibri"/>
        </w:rPr>
        <w:t xml:space="preserve"> </w:t>
      </w:r>
      <w:r w:rsidR="001B74AA">
        <w:rPr>
          <w:rFonts w:ascii="Calibri" w:hAnsi="Calibri" w:cs="Calibri"/>
        </w:rPr>
        <w:t>de manière parcellaire et</w:t>
      </w:r>
      <w:r w:rsidR="00C21E81" w:rsidRPr="007649FF">
        <w:rPr>
          <w:rFonts w:ascii="Calibri" w:hAnsi="Calibri" w:cs="Calibri"/>
        </w:rPr>
        <w:t xml:space="preserve"> incomplète. A ce jour</w:t>
      </w:r>
      <w:r w:rsidR="00177953" w:rsidRPr="007649FF">
        <w:rPr>
          <w:rFonts w:ascii="Calibri" w:hAnsi="Calibri" w:cs="Calibri"/>
        </w:rPr>
        <w:t xml:space="preserve">, le nombre des recours recensés est de quelques dizaines, </w:t>
      </w:r>
      <w:r w:rsidR="00574136">
        <w:rPr>
          <w:rFonts w:ascii="Calibri" w:hAnsi="Calibri" w:cs="Calibri"/>
        </w:rPr>
        <w:t>principalement</w:t>
      </w:r>
      <w:r w:rsidR="00177953" w:rsidRPr="007649FF">
        <w:rPr>
          <w:rFonts w:ascii="Calibri" w:hAnsi="Calibri" w:cs="Calibri"/>
        </w:rPr>
        <w:t xml:space="preserve"> concentrés à Nouméa, Paris et Toulouse. Dans quelques autres juridictions ils se comptent par unités.</w:t>
      </w:r>
    </w:p>
    <w:p w14:paraId="1F0EDE23" w14:textId="3A5B3EBE" w:rsidR="00C11303" w:rsidRPr="005C375F" w:rsidRDefault="00C11303" w:rsidP="00514564">
      <w:pPr>
        <w:pBdr>
          <w:top w:val="single" w:sz="4" w:space="1" w:color="auto"/>
          <w:left w:val="single" w:sz="4" w:space="4" w:color="auto"/>
          <w:bottom w:val="single" w:sz="4" w:space="1" w:color="auto"/>
          <w:right w:val="single" w:sz="4" w:space="4" w:color="auto"/>
        </w:pBdr>
        <w:rPr>
          <w:rFonts w:ascii="Calibri" w:hAnsi="Calibri" w:cs="Calibri"/>
          <w:b/>
          <w:bCs/>
          <w:i/>
          <w:iCs/>
        </w:rPr>
      </w:pPr>
      <w:r w:rsidRPr="005C375F">
        <w:rPr>
          <w:rFonts w:ascii="Calibri" w:hAnsi="Calibri" w:cs="Calibri"/>
          <w:b/>
          <w:bCs/>
          <w:i/>
          <w:iCs/>
        </w:rPr>
        <w:t>Recommandation</w:t>
      </w:r>
      <w:r w:rsidR="005C375F" w:rsidRPr="005C375F">
        <w:rPr>
          <w:rFonts w:ascii="Calibri" w:hAnsi="Calibri" w:cs="Calibri"/>
          <w:b/>
          <w:bCs/>
          <w:i/>
          <w:iCs/>
        </w:rPr>
        <w:t> :</w:t>
      </w:r>
    </w:p>
    <w:p w14:paraId="466D5A11" w14:textId="4595D11A" w:rsidR="00F35D81" w:rsidRPr="00190C1A" w:rsidRDefault="00C04353" w:rsidP="00190C1A">
      <w:pPr>
        <w:pBdr>
          <w:top w:val="single" w:sz="4" w:space="1" w:color="auto"/>
          <w:left w:val="single" w:sz="4" w:space="4" w:color="auto"/>
          <w:bottom w:val="single" w:sz="4" w:space="1" w:color="auto"/>
          <w:right w:val="single" w:sz="4" w:space="4" w:color="auto"/>
        </w:pBdr>
        <w:rPr>
          <w:rFonts w:ascii="Calibri" w:hAnsi="Calibri" w:cs="Calibri"/>
          <w:i/>
          <w:iCs/>
        </w:rPr>
      </w:pPr>
      <w:r w:rsidRPr="0009780B">
        <w:rPr>
          <w:rFonts w:ascii="Calibri" w:hAnsi="Calibri" w:cs="Calibri"/>
          <w:i/>
          <w:iCs/>
        </w:rPr>
        <w:t xml:space="preserve"> </w:t>
      </w:r>
      <w:r w:rsidR="005C375F">
        <w:rPr>
          <w:rFonts w:ascii="Calibri" w:hAnsi="Calibri" w:cs="Calibri"/>
          <w:i/>
          <w:iCs/>
        </w:rPr>
        <w:t>Mettre en place un</w:t>
      </w:r>
      <w:r w:rsidRPr="0009780B">
        <w:rPr>
          <w:rFonts w:ascii="Calibri" w:hAnsi="Calibri" w:cs="Calibri"/>
          <w:i/>
          <w:iCs/>
        </w:rPr>
        <w:t xml:space="preserve"> processus de centralisation des données relatives </w:t>
      </w:r>
      <w:r w:rsidR="00177953" w:rsidRPr="0009780B">
        <w:rPr>
          <w:rFonts w:ascii="Calibri" w:hAnsi="Calibri" w:cs="Calibri"/>
          <w:i/>
          <w:iCs/>
        </w:rPr>
        <w:t xml:space="preserve">à l’utilisation </w:t>
      </w:r>
      <w:r w:rsidR="00574136" w:rsidRPr="0009780B">
        <w:rPr>
          <w:rFonts w:ascii="Calibri" w:hAnsi="Calibri" w:cs="Calibri"/>
          <w:i/>
          <w:iCs/>
        </w:rPr>
        <w:t>du</w:t>
      </w:r>
      <w:r w:rsidR="00177953" w:rsidRPr="0009780B">
        <w:rPr>
          <w:rFonts w:ascii="Calibri" w:hAnsi="Calibri" w:cs="Calibri"/>
          <w:i/>
          <w:iCs/>
        </w:rPr>
        <w:t xml:space="preserve"> recours</w:t>
      </w:r>
      <w:r w:rsidR="00C11303" w:rsidRPr="0009780B">
        <w:rPr>
          <w:rFonts w:ascii="Calibri" w:hAnsi="Calibri" w:cs="Calibri"/>
          <w:i/>
          <w:iCs/>
        </w:rPr>
        <w:t xml:space="preserve"> </w:t>
      </w:r>
      <w:r w:rsidR="003238DD" w:rsidRPr="0009780B">
        <w:rPr>
          <w:rFonts w:ascii="Calibri" w:hAnsi="Calibri" w:cs="Calibri"/>
          <w:i/>
          <w:iCs/>
        </w:rPr>
        <w:t xml:space="preserve">803-8 du </w:t>
      </w:r>
      <w:r w:rsidR="00C24D20">
        <w:rPr>
          <w:rFonts w:ascii="Calibri" w:hAnsi="Calibri" w:cs="Calibri"/>
          <w:i/>
          <w:iCs/>
        </w:rPr>
        <w:t>Code de procédure pénale</w:t>
      </w:r>
      <w:r w:rsidR="008D4DDC">
        <w:rPr>
          <w:rFonts w:ascii="Calibri" w:hAnsi="Calibri" w:cs="Calibri"/>
          <w:i/>
          <w:iCs/>
        </w:rPr>
        <w:t>, et rendre ces données publiques.</w:t>
      </w:r>
    </w:p>
    <w:p w14:paraId="2E06EC0F" w14:textId="318D2A13" w:rsidR="009D535B" w:rsidRDefault="00423659" w:rsidP="009D535B">
      <w:pPr>
        <w:jc w:val="both"/>
        <w:rPr>
          <w:rFonts w:ascii="Calibri" w:hAnsi="Calibri" w:cs="Calibri"/>
        </w:rPr>
      </w:pPr>
      <w:r>
        <w:rPr>
          <w:rFonts w:ascii="Calibri" w:hAnsi="Calibri" w:cs="Calibri"/>
        </w:rPr>
        <w:t>Au-delà</w:t>
      </w:r>
      <w:r w:rsidR="00F35D81">
        <w:rPr>
          <w:rFonts w:ascii="Calibri" w:hAnsi="Calibri" w:cs="Calibri"/>
        </w:rPr>
        <w:t xml:space="preserve"> </w:t>
      </w:r>
      <w:r>
        <w:rPr>
          <w:rFonts w:ascii="Calibri" w:hAnsi="Calibri" w:cs="Calibri"/>
        </w:rPr>
        <w:t>du</w:t>
      </w:r>
      <w:r w:rsidR="00F35D81">
        <w:rPr>
          <w:rFonts w:ascii="Calibri" w:hAnsi="Calibri" w:cs="Calibri"/>
        </w:rPr>
        <w:t xml:space="preserve"> caractère dissuasif de la possibilité de transfèrement</w:t>
      </w:r>
      <w:r>
        <w:rPr>
          <w:rFonts w:ascii="Calibri" w:hAnsi="Calibri" w:cs="Calibri"/>
        </w:rPr>
        <w:t xml:space="preserve"> pré</w:t>
      </w:r>
      <w:r w:rsidR="00C24D20">
        <w:rPr>
          <w:rFonts w:ascii="Calibri" w:hAnsi="Calibri" w:cs="Calibri"/>
        </w:rPr>
        <w:t xml:space="preserve">vue </w:t>
      </w:r>
      <w:r w:rsidR="00001818">
        <w:rPr>
          <w:rFonts w:ascii="Calibri" w:hAnsi="Calibri" w:cs="Calibri"/>
        </w:rPr>
        <w:t>dans le cadre du</w:t>
      </w:r>
      <w:r w:rsidR="00C24D20">
        <w:rPr>
          <w:rFonts w:ascii="Calibri" w:hAnsi="Calibri" w:cs="Calibri"/>
        </w:rPr>
        <w:t xml:space="preserve"> recours 803-</w:t>
      </w:r>
      <w:r w:rsidR="00603778">
        <w:rPr>
          <w:rFonts w:ascii="Calibri" w:hAnsi="Calibri" w:cs="Calibri"/>
        </w:rPr>
        <w:t xml:space="preserve">8 </w:t>
      </w:r>
      <w:r w:rsidR="00F35D81">
        <w:rPr>
          <w:rFonts w:ascii="Calibri" w:hAnsi="Calibri" w:cs="Calibri"/>
        </w:rPr>
        <w:t xml:space="preserve">(voir supra), </w:t>
      </w:r>
      <w:r w:rsidR="00C3245B">
        <w:rPr>
          <w:rFonts w:ascii="Calibri" w:hAnsi="Calibri" w:cs="Calibri"/>
        </w:rPr>
        <w:t xml:space="preserve">le </w:t>
      </w:r>
      <w:r w:rsidR="008F7F1A" w:rsidRPr="008F7F1A">
        <w:rPr>
          <w:rFonts w:ascii="Calibri" w:hAnsi="Calibri" w:cs="Calibri"/>
        </w:rPr>
        <w:t xml:space="preserve">CGLPL </w:t>
      </w:r>
      <w:r w:rsidR="00C3245B">
        <w:rPr>
          <w:rFonts w:ascii="Calibri" w:hAnsi="Calibri" w:cs="Calibri"/>
        </w:rPr>
        <w:t>constate lors de ses visites que les</w:t>
      </w:r>
      <w:r w:rsidR="009D535B">
        <w:rPr>
          <w:rFonts w:ascii="Calibri" w:hAnsi="Calibri" w:cs="Calibri"/>
        </w:rPr>
        <w:t xml:space="preserve"> personnes détenues sont peu</w:t>
      </w:r>
      <w:r w:rsidR="00C3245B">
        <w:rPr>
          <w:rFonts w:ascii="Calibri" w:hAnsi="Calibri" w:cs="Calibri"/>
        </w:rPr>
        <w:t xml:space="preserve"> voire pas</w:t>
      </w:r>
      <w:r w:rsidR="009D535B">
        <w:rPr>
          <w:rFonts w:ascii="Calibri" w:hAnsi="Calibri" w:cs="Calibri"/>
        </w:rPr>
        <w:t xml:space="preserve"> informées de l’existence de ce recours</w:t>
      </w:r>
      <w:r w:rsidR="00611A0F">
        <w:rPr>
          <w:rFonts w:ascii="Calibri" w:hAnsi="Calibri" w:cs="Calibri"/>
        </w:rPr>
        <w:t>. En première lieu,</w:t>
      </w:r>
      <w:r w:rsidR="009D535B">
        <w:rPr>
          <w:rFonts w:ascii="Calibri" w:hAnsi="Calibri" w:cs="Calibri"/>
        </w:rPr>
        <w:t xml:space="preserve"> la procédure à suivre est complexe</w:t>
      </w:r>
      <w:r w:rsidR="00611A0F">
        <w:rPr>
          <w:rFonts w:ascii="Calibri" w:hAnsi="Calibri" w:cs="Calibri"/>
        </w:rPr>
        <w:t xml:space="preserve"> et nécessite</w:t>
      </w:r>
      <w:r w:rsidR="00603778">
        <w:rPr>
          <w:rFonts w:ascii="Calibri" w:hAnsi="Calibri" w:cs="Calibri"/>
        </w:rPr>
        <w:t xml:space="preserve"> </w:t>
      </w:r>
      <w:r w:rsidR="00B209B5">
        <w:rPr>
          <w:rFonts w:ascii="Calibri" w:hAnsi="Calibri" w:cs="Calibri"/>
        </w:rPr>
        <w:t>une assistance juridique</w:t>
      </w:r>
      <w:r w:rsidR="00603778">
        <w:rPr>
          <w:rFonts w:ascii="Calibri" w:hAnsi="Calibri" w:cs="Calibri"/>
        </w:rPr>
        <w:t>, ce qui la rend peu accessible</w:t>
      </w:r>
      <w:r w:rsidR="009D535B">
        <w:rPr>
          <w:rFonts w:ascii="Calibri" w:hAnsi="Calibri" w:cs="Calibri"/>
        </w:rPr>
        <w:t xml:space="preserve">. </w:t>
      </w:r>
      <w:r w:rsidR="0082612B" w:rsidRPr="0082612B">
        <w:rPr>
          <w:rFonts w:ascii="Calibri" w:hAnsi="Calibri" w:cs="Calibri"/>
        </w:rPr>
        <w:t>Tous les détenus n’ont pas un accès facile à des avocats spécialisés</w:t>
      </w:r>
      <w:r w:rsidR="0082612B">
        <w:rPr>
          <w:rFonts w:ascii="Calibri" w:hAnsi="Calibri" w:cs="Calibri"/>
        </w:rPr>
        <w:t>, et l</w:t>
      </w:r>
      <w:r w:rsidR="0082612B" w:rsidRPr="0082612B">
        <w:rPr>
          <w:rFonts w:ascii="Calibri" w:hAnsi="Calibri" w:cs="Calibri"/>
        </w:rPr>
        <w:t>es délais de traitement des demandes d’aide juridictionnelle peuvent également être un obstacle</w:t>
      </w:r>
      <w:r w:rsidR="0082612B">
        <w:rPr>
          <w:rFonts w:ascii="Calibri" w:hAnsi="Calibri" w:cs="Calibri"/>
        </w:rPr>
        <w:t>.</w:t>
      </w:r>
      <w:r w:rsidR="00001818">
        <w:rPr>
          <w:rFonts w:ascii="Calibri" w:hAnsi="Calibri" w:cs="Calibri"/>
        </w:rPr>
        <w:t xml:space="preserve"> La population pénale étrangère non francophone a de fait un accès encore plus limité à l’exercice de ce recours.</w:t>
      </w:r>
    </w:p>
    <w:p w14:paraId="32A8BBE0" w14:textId="2CBD747E" w:rsidR="007C3A65" w:rsidRPr="007649FF" w:rsidRDefault="008F7F1A" w:rsidP="009D535B">
      <w:pPr>
        <w:jc w:val="both"/>
        <w:rPr>
          <w:rFonts w:ascii="Calibri" w:hAnsi="Calibri" w:cs="Calibri"/>
        </w:rPr>
      </w:pPr>
      <w:r>
        <w:rPr>
          <w:rFonts w:ascii="Calibri" w:hAnsi="Calibri" w:cs="Calibri"/>
        </w:rPr>
        <w:t>Par ailleurs, au cours de ses visites le</w:t>
      </w:r>
      <w:r w:rsidRPr="008F7F1A">
        <w:rPr>
          <w:rFonts w:ascii="Calibri" w:hAnsi="Calibri" w:cs="Calibri"/>
        </w:rPr>
        <w:t xml:space="preserve"> CGLPL ne constate </w:t>
      </w:r>
      <w:r>
        <w:rPr>
          <w:rFonts w:ascii="Calibri" w:hAnsi="Calibri" w:cs="Calibri"/>
        </w:rPr>
        <w:t xml:space="preserve">généralement </w:t>
      </w:r>
      <w:r w:rsidRPr="008F7F1A">
        <w:rPr>
          <w:rFonts w:ascii="Calibri" w:hAnsi="Calibri" w:cs="Calibri"/>
        </w:rPr>
        <w:t>ni affichage ni information individualisée de la population pénale concernant ce recours</w:t>
      </w:r>
      <w:r w:rsidR="002C6310">
        <w:rPr>
          <w:rFonts w:ascii="Calibri" w:hAnsi="Calibri" w:cs="Calibri"/>
        </w:rPr>
        <w:t>. Les détenus étrangers, ils ont encore moins accès à l’information et à l’exercice de ce recours.</w:t>
      </w:r>
      <w:r w:rsidR="002C6310" w:rsidRPr="007649FF">
        <w:rPr>
          <w:rFonts w:ascii="Calibri" w:hAnsi="Calibri" w:cs="Calibri"/>
        </w:rPr>
        <w:t xml:space="preserve"> </w:t>
      </w:r>
    </w:p>
    <w:p w14:paraId="57CAE148" w14:textId="02E6690A" w:rsidR="00B166D4" w:rsidRDefault="003238DD" w:rsidP="00B166D4">
      <w:pPr>
        <w:jc w:val="both"/>
        <w:rPr>
          <w:rFonts w:ascii="Calibri" w:hAnsi="Calibri" w:cs="Calibri"/>
        </w:rPr>
      </w:pPr>
      <w:r>
        <w:rPr>
          <w:rStyle w:val="normaltextrun"/>
          <w:rFonts w:ascii="Calibri" w:hAnsi="Calibri" w:cs="Calibri"/>
        </w:rPr>
        <w:t>Enfin,</w:t>
      </w:r>
      <w:r w:rsidRPr="003238DD">
        <w:rPr>
          <w:rStyle w:val="normaltextrun"/>
          <w:rFonts w:ascii="Calibri" w:hAnsi="Calibri" w:cs="Calibri"/>
        </w:rPr>
        <w:t xml:space="preserve"> la peur</w:t>
      </w:r>
      <w:r w:rsidRPr="003238DD">
        <w:rPr>
          <w:rStyle w:val="normaltextrun"/>
          <w:rFonts w:ascii="Calibri" w:eastAsiaTheme="majorEastAsia" w:hAnsi="Calibri" w:cs="Calibri"/>
        </w:rPr>
        <w:t xml:space="preserve"> des </w:t>
      </w:r>
      <w:r w:rsidRPr="003238DD">
        <w:rPr>
          <w:rStyle w:val="normaltextrun"/>
          <w:rFonts w:ascii="Calibri" w:hAnsi="Calibri" w:cs="Calibri"/>
        </w:rPr>
        <w:t>représailles de la part de l’administration pénitentiaire</w:t>
      </w:r>
      <w:r>
        <w:rPr>
          <w:rStyle w:val="normaltextrun"/>
          <w:rFonts w:ascii="Calibri" w:hAnsi="Calibri" w:cs="Calibri"/>
        </w:rPr>
        <w:t xml:space="preserve"> </w:t>
      </w:r>
      <w:r w:rsidR="00C25DB2">
        <w:rPr>
          <w:rStyle w:val="normaltextrun"/>
          <w:rFonts w:ascii="Calibri" w:hAnsi="Calibri" w:cs="Calibri"/>
        </w:rPr>
        <w:t>peut avoir</w:t>
      </w:r>
      <w:r>
        <w:rPr>
          <w:rStyle w:val="normaltextrun"/>
          <w:rFonts w:ascii="Calibri" w:hAnsi="Calibri" w:cs="Calibri"/>
        </w:rPr>
        <w:t xml:space="preserve"> un effet dissuasif</w:t>
      </w:r>
      <w:r w:rsidR="00C25DB2">
        <w:rPr>
          <w:rStyle w:val="normaltextrun"/>
          <w:rFonts w:ascii="Calibri" w:hAnsi="Calibri" w:cs="Calibri"/>
        </w:rPr>
        <w:t xml:space="preserve"> sur la population pénale.</w:t>
      </w:r>
      <w:r w:rsidRPr="003238DD">
        <w:rPr>
          <w:rStyle w:val="normaltextrun"/>
          <w:rFonts w:ascii="Calibri" w:eastAsiaTheme="majorEastAsia" w:hAnsi="Calibri" w:cs="Calibri"/>
        </w:rPr>
        <w:t xml:space="preserve"> </w:t>
      </w:r>
      <w:r w:rsidRPr="003238DD">
        <w:rPr>
          <w:rStyle w:val="normaltextrun"/>
          <w:rFonts w:ascii="Calibri" w:hAnsi="Calibri" w:cs="Calibri"/>
        </w:rPr>
        <w:t>A titre d’exemple, il a été établi qu’une personne détenue a été convoquée en entretien par un officier de détention pour s’expliquer sur le recours qu</w:t>
      </w:r>
      <w:r w:rsidR="0009780B">
        <w:rPr>
          <w:rStyle w:val="normaltextrun"/>
          <w:rFonts w:ascii="Calibri" w:hAnsi="Calibri" w:cs="Calibri"/>
        </w:rPr>
        <w:t>’</w:t>
      </w:r>
      <w:r w:rsidRPr="003238DD">
        <w:rPr>
          <w:rStyle w:val="normaltextrun"/>
          <w:rFonts w:ascii="Calibri" w:hAnsi="Calibri" w:cs="Calibri"/>
        </w:rPr>
        <w:t>elle avait formé.</w:t>
      </w:r>
    </w:p>
    <w:p w14:paraId="2B0F9792" w14:textId="390AE7EF" w:rsidR="00374662" w:rsidRPr="00EA58E0" w:rsidRDefault="00374662" w:rsidP="00374662">
      <w:pPr>
        <w:pBdr>
          <w:top w:val="single" w:sz="4" w:space="1" w:color="auto"/>
          <w:left w:val="single" w:sz="4" w:space="4" w:color="auto"/>
          <w:bottom w:val="single" w:sz="4" w:space="1" w:color="auto"/>
          <w:right w:val="single" w:sz="4" w:space="4" w:color="auto"/>
        </w:pBdr>
        <w:rPr>
          <w:rFonts w:ascii="Calibri" w:hAnsi="Calibri" w:cs="Calibri"/>
          <w:b/>
          <w:bCs/>
          <w:i/>
          <w:iCs/>
        </w:rPr>
      </w:pPr>
      <w:r w:rsidRPr="00EA58E0">
        <w:rPr>
          <w:rFonts w:ascii="Calibri" w:hAnsi="Calibri" w:cs="Calibri"/>
          <w:b/>
          <w:bCs/>
          <w:i/>
          <w:iCs/>
        </w:rPr>
        <w:t>Recommandation</w:t>
      </w:r>
      <w:r w:rsidR="007C3A65" w:rsidRPr="00EA58E0">
        <w:rPr>
          <w:rFonts w:ascii="Calibri" w:hAnsi="Calibri" w:cs="Calibri"/>
          <w:b/>
          <w:bCs/>
          <w:i/>
          <w:iCs/>
        </w:rPr>
        <w:t> :</w:t>
      </w:r>
    </w:p>
    <w:p w14:paraId="2A41C056" w14:textId="004BE930" w:rsidR="008D4DDC" w:rsidRPr="00192581" w:rsidRDefault="00374662" w:rsidP="00192581">
      <w:pPr>
        <w:pBdr>
          <w:top w:val="single" w:sz="4" w:space="1" w:color="auto"/>
          <w:left w:val="single" w:sz="4" w:space="4" w:color="auto"/>
          <w:bottom w:val="single" w:sz="4" w:space="1" w:color="auto"/>
          <w:right w:val="single" w:sz="4" w:space="4" w:color="auto"/>
        </w:pBdr>
        <w:rPr>
          <w:rFonts w:ascii="Calibri" w:hAnsi="Calibri" w:cs="Calibri"/>
          <w:i/>
          <w:iCs/>
        </w:rPr>
      </w:pPr>
      <w:r w:rsidRPr="007C3A65">
        <w:rPr>
          <w:rFonts w:ascii="Calibri" w:hAnsi="Calibri" w:cs="Calibri"/>
          <w:i/>
          <w:iCs/>
        </w:rPr>
        <w:t>Mettre en place une information systématique des personnes détenues sur les recours existants contre les conditions indignes de détention</w:t>
      </w:r>
      <w:r w:rsidR="00370A64">
        <w:rPr>
          <w:rFonts w:ascii="Calibri" w:hAnsi="Calibri" w:cs="Calibri"/>
          <w:i/>
          <w:iCs/>
        </w:rPr>
        <w:t>,</w:t>
      </w:r>
      <w:r w:rsidR="0009780B" w:rsidRPr="007C3A65">
        <w:rPr>
          <w:rFonts w:ascii="Calibri" w:hAnsi="Calibri" w:cs="Calibri"/>
          <w:i/>
          <w:iCs/>
        </w:rPr>
        <w:t xml:space="preserve"> </w:t>
      </w:r>
      <w:r w:rsidR="00370A64">
        <w:rPr>
          <w:rFonts w:ascii="Calibri" w:hAnsi="Calibri" w:cs="Calibri"/>
          <w:i/>
          <w:iCs/>
        </w:rPr>
        <w:t>leur remettre systématiquement un</w:t>
      </w:r>
      <w:r w:rsidR="00CC1C12" w:rsidRPr="008D4DDC">
        <w:rPr>
          <w:rFonts w:ascii="Calibri" w:hAnsi="Calibri" w:cs="Calibri"/>
          <w:i/>
          <w:iCs/>
        </w:rPr>
        <w:t xml:space="preserve"> formulaire de saisie du juge</w:t>
      </w:r>
      <w:r w:rsidR="00370A64">
        <w:rPr>
          <w:rFonts w:ascii="Calibri" w:hAnsi="Calibri" w:cs="Calibri"/>
          <w:i/>
          <w:iCs/>
        </w:rPr>
        <w:t xml:space="preserve"> </w:t>
      </w:r>
      <w:r w:rsidR="00323D34">
        <w:rPr>
          <w:rFonts w:ascii="Calibri" w:hAnsi="Calibri" w:cs="Calibri"/>
          <w:i/>
          <w:iCs/>
        </w:rPr>
        <w:t>et créer</w:t>
      </w:r>
      <w:r w:rsidR="0009780B" w:rsidRPr="007C3A65">
        <w:rPr>
          <w:rFonts w:ascii="Calibri" w:hAnsi="Calibri" w:cs="Calibri"/>
          <w:i/>
          <w:iCs/>
        </w:rPr>
        <w:t xml:space="preserve"> un</w:t>
      </w:r>
      <w:r w:rsidR="00192581">
        <w:rPr>
          <w:rFonts w:ascii="Calibri" w:hAnsi="Calibri" w:cs="Calibri"/>
          <w:i/>
          <w:iCs/>
        </w:rPr>
        <w:t xml:space="preserve"> dispositif d’</w:t>
      </w:r>
      <w:r w:rsidR="0009780B" w:rsidRPr="007C3A65">
        <w:rPr>
          <w:rFonts w:ascii="Calibri" w:hAnsi="Calibri" w:cs="Calibri"/>
          <w:i/>
          <w:iCs/>
        </w:rPr>
        <w:t>assistance juridique</w:t>
      </w:r>
      <w:r w:rsidR="00370A64">
        <w:rPr>
          <w:rFonts w:ascii="Calibri" w:hAnsi="Calibri" w:cs="Calibri"/>
          <w:i/>
          <w:iCs/>
        </w:rPr>
        <w:t>.</w:t>
      </w:r>
      <w:r w:rsidR="008D4DDC">
        <w:rPr>
          <w:rFonts w:ascii="Calibri" w:hAnsi="Calibri" w:cs="Calibri"/>
          <w:i/>
          <w:iCs/>
        </w:rPr>
        <w:t xml:space="preserve"> </w:t>
      </w:r>
    </w:p>
    <w:p w14:paraId="549F5E39" w14:textId="29A13742" w:rsidR="00433B9C" w:rsidRPr="007649FF" w:rsidRDefault="00C04353" w:rsidP="00271D6D">
      <w:pPr>
        <w:jc w:val="both"/>
        <w:rPr>
          <w:rFonts w:ascii="Calibri" w:hAnsi="Calibri" w:cs="Calibri"/>
        </w:rPr>
      </w:pPr>
      <w:r w:rsidRPr="007649FF">
        <w:rPr>
          <w:rFonts w:ascii="Calibri" w:hAnsi="Calibri" w:cs="Calibri"/>
        </w:rPr>
        <w:t>Ce bilan conforte les alertes du CGLPL lors de l’adoption de l’article 803-8 du CPP : ce recours ne peut être regardé comme effectif car il ne bénéficie pas à tous les détenus et parce que le risque d’un transfert décidé par l’administration en réponse au recours porte en lui-même un effet dissuasif très important</w:t>
      </w:r>
      <w:r w:rsidR="009C01B6">
        <w:rPr>
          <w:rFonts w:ascii="Calibri" w:hAnsi="Calibri" w:cs="Calibri"/>
        </w:rPr>
        <w:t xml:space="preserve">. En tout état de cause, le </w:t>
      </w:r>
      <w:r w:rsidRPr="007649FF">
        <w:rPr>
          <w:rFonts w:ascii="Calibri" w:hAnsi="Calibri" w:cs="Calibri"/>
        </w:rPr>
        <w:t xml:space="preserve">règlement d’une situation individuelle par un transfert ne répond pas aux exigences de la CEDH, qui, dans l’arrêt JMB contre France, considère que n’est pas effectif un recours qui n’a pour effet que de transférer des conditions </w:t>
      </w:r>
      <w:r w:rsidRPr="007649FF">
        <w:rPr>
          <w:rFonts w:ascii="Calibri" w:hAnsi="Calibri" w:cs="Calibri"/>
        </w:rPr>
        <w:lastRenderedPageBreak/>
        <w:t>indignes de détention d’un détenu à l’autre, sans apporter de réponse structurelle à cette indignité</w:t>
      </w:r>
      <w:r w:rsidR="00323D34">
        <w:rPr>
          <w:rFonts w:ascii="Calibri" w:hAnsi="Calibri" w:cs="Calibri"/>
        </w:rPr>
        <w:t>.</w:t>
      </w:r>
    </w:p>
    <w:p w14:paraId="06F25F4B" w14:textId="77777777" w:rsidR="00925019" w:rsidRDefault="00925019" w:rsidP="00190C1A">
      <w:pPr>
        <w:jc w:val="both"/>
        <w:rPr>
          <w:rFonts w:ascii="Calibri" w:hAnsi="Calibri" w:cs="Calibri"/>
        </w:rPr>
      </w:pPr>
    </w:p>
    <w:p w14:paraId="7D407E89" w14:textId="1603CC95" w:rsidR="00181275" w:rsidRDefault="00433B9C" w:rsidP="00190C1A">
      <w:pPr>
        <w:jc w:val="both"/>
        <w:rPr>
          <w:rFonts w:ascii="Calibri" w:hAnsi="Calibri" w:cs="Calibri"/>
          <w:i/>
          <w:iCs/>
        </w:rPr>
      </w:pPr>
      <w:r>
        <w:rPr>
          <w:rFonts w:ascii="Calibri" w:hAnsi="Calibri" w:cs="Calibri"/>
        </w:rPr>
        <w:t xml:space="preserve">Le </w:t>
      </w:r>
      <w:r w:rsidR="004C662D">
        <w:rPr>
          <w:rFonts w:ascii="Calibri" w:hAnsi="Calibri" w:cs="Calibri"/>
        </w:rPr>
        <w:t>Comité</w:t>
      </w:r>
      <w:r>
        <w:rPr>
          <w:rFonts w:ascii="Calibri" w:hAnsi="Calibri" w:cs="Calibri"/>
        </w:rPr>
        <w:t xml:space="preserve"> des droits de l’homme</w:t>
      </w:r>
      <w:r w:rsidRPr="006F6847">
        <w:rPr>
          <w:rFonts w:ascii="Calibri" w:hAnsi="Calibri" w:cs="Calibri"/>
        </w:rPr>
        <w:t xml:space="preserve"> a </w:t>
      </w:r>
      <w:r>
        <w:rPr>
          <w:rFonts w:ascii="Calibri" w:hAnsi="Calibri" w:cs="Calibri"/>
        </w:rPr>
        <w:t xml:space="preserve">également </w:t>
      </w:r>
      <w:r w:rsidRPr="006F6847">
        <w:rPr>
          <w:rFonts w:ascii="Calibri" w:hAnsi="Calibri" w:cs="Calibri"/>
        </w:rPr>
        <w:t>demandé à la</w:t>
      </w:r>
      <w:r>
        <w:rPr>
          <w:rFonts w:ascii="Calibri" w:hAnsi="Calibri" w:cs="Calibri"/>
        </w:rPr>
        <w:t xml:space="preserve"> France de</w:t>
      </w:r>
      <w:r w:rsidRPr="006F6847">
        <w:rPr>
          <w:rFonts w:ascii="Calibri" w:hAnsi="Calibri" w:cs="Calibri"/>
        </w:rPr>
        <w:t xml:space="preserve"> </w:t>
      </w:r>
      <w:r>
        <w:rPr>
          <w:rFonts w:ascii="Calibri" w:hAnsi="Calibri" w:cs="Calibri"/>
        </w:rPr>
        <w:t>« </w:t>
      </w:r>
      <w:r>
        <w:rPr>
          <w:rFonts w:ascii="Calibri" w:hAnsi="Calibri" w:cs="Calibri"/>
          <w:i/>
          <w:iCs/>
        </w:rPr>
        <w:t>d</w:t>
      </w:r>
      <w:r w:rsidR="00DF2574" w:rsidRPr="00181275">
        <w:rPr>
          <w:rFonts w:ascii="Calibri" w:hAnsi="Calibri" w:cs="Calibri"/>
          <w:i/>
          <w:iCs/>
        </w:rPr>
        <w:t>onner des détails sur des mesures prises pour assurer le non-refoulement des migrants et des demandeurs d’asile, notamment à la frontière franco-italienne, et pour garantir un examen individuel et un accès à la procédure d’asile effectif.</w:t>
      </w:r>
      <w:r>
        <w:rPr>
          <w:rFonts w:ascii="Calibri" w:hAnsi="Calibri" w:cs="Calibri"/>
          <w:i/>
          <w:iCs/>
        </w:rPr>
        <w:t> »</w:t>
      </w:r>
    </w:p>
    <w:p w14:paraId="1F32F32C" w14:textId="2961095B" w:rsidR="009C0882" w:rsidRDefault="009C0882" w:rsidP="009C0882">
      <w:pPr>
        <w:jc w:val="both"/>
        <w:rPr>
          <w:rFonts w:ascii="Calibri" w:hAnsi="Calibri" w:cs="Calibri"/>
        </w:rPr>
      </w:pPr>
      <w:r>
        <w:rPr>
          <w:rFonts w:ascii="Calibri" w:hAnsi="Calibri" w:cs="Calibri"/>
        </w:rPr>
        <w:t xml:space="preserve">Le </w:t>
      </w:r>
      <w:r w:rsidRPr="007649FF">
        <w:rPr>
          <w:rFonts w:ascii="Calibri" w:hAnsi="Calibri" w:cs="Calibri"/>
        </w:rPr>
        <w:t xml:space="preserve">CGLPL </w:t>
      </w:r>
      <w:r>
        <w:rPr>
          <w:rFonts w:ascii="Calibri" w:hAnsi="Calibri" w:cs="Calibri"/>
        </w:rPr>
        <w:t>a contrôlé le respect des droits fondamentaux des personnes privées de liberté à la frontière franco-italienne en 2015, 2017 et 2018 (plus spécifiquement à Menton et Modane). Depuis, il est régulièrement saisi sur la question par différents acteurs</w:t>
      </w:r>
      <w:r>
        <w:rPr>
          <w:rFonts w:ascii="Calibri" w:hAnsi="Calibri" w:cs="Calibri"/>
        </w:rPr>
        <w:t xml:space="preserve"> de terrain</w:t>
      </w:r>
      <w:r>
        <w:rPr>
          <w:rFonts w:ascii="Calibri" w:hAnsi="Calibri" w:cs="Calibri"/>
        </w:rPr>
        <w:t>. A partir de 2018, les personnes interpellées à la frontière à Menton étaient</w:t>
      </w:r>
      <w:r w:rsidRPr="006E030C">
        <w:rPr>
          <w:rFonts w:ascii="Calibri" w:hAnsi="Calibri" w:cs="Calibri"/>
        </w:rPr>
        <w:t xml:space="preserve"> amenées au poste de police puis invitées à regagner l’Italie à pied une fois leur procédure de refus d’entrée terminée</w:t>
      </w:r>
      <w:r>
        <w:rPr>
          <w:rFonts w:ascii="Calibri" w:hAnsi="Calibri" w:cs="Calibri"/>
        </w:rPr>
        <w:t>.</w:t>
      </w:r>
      <w:r w:rsidRPr="007D0F70">
        <w:t xml:space="preserve"> </w:t>
      </w:r>
      <w:r>
        <w:t>L</w:t>
      </w:r>
      <w:r w:rsidRPr="007D0F70">
        <w:rPr>
          <w:rFonts w:ascii="Calibri" w:hAnsi="Calibri" w:cs="Calibri"/>
        </w:rPr>
        <w:t>es décisions de refus</w:t>
      </w:r>
      <w:r>
        <w:rPr>
          <w:rFonts w:ascii="Calibri" w:hAnsi="Calibri" w:cs="Calibri"/>
        </w:rPr>
        <w:t xml:space="preserve"> d’entrée étaient n</w:t>
      </w:r>
      <w:r w:rsidRPr="00145CC4">
        <w:rPr>
          <w:rFonts w:ascii="Calibri" w:hAnsi="Calibri" w:cs="Calibri"/>
        </w:rPr>
        <w:t>otifiées dans des conditions insatisfaisantes, sans examen approfondi</w:t>
      </w:r>
      <w:r>
        <w:rPr>
          <w:rFonts w:ascii="Calibri" w:hAnsi="Calibri" w:cs="Calibri"/>
        </w:rPr>
        <w:t xml:space="preserve"> </w:t>
      </w:r>
      <w:r w:rsidRPr="00145CC4">
        <w:rPr>
          <w:rFonts w:ascii="Calibri" w:hAnsi="Calibri" w:cs="Calibri"/>
        </w:rPr>
        <w:t>des situations, sans délivrance d’informations complètes et sans interprétariat, rendant illusoire</w:t>
      </w:r>
      <w:r>
        <w:rPr>
          <w:rFonts w:ascii="Calibri" w:hAnsi="Calibri" w:cs="Calibri"/>
        </w:rPr>
        <w:t xml:space="preserve"> </w:t>
      </w:r>
      <w:r w:rsidRPr="00145CC4">
        <w:rPr>
          <w:rFonts w:ascii="Calibri" w:hAnsi="Calibri" w:cs="Calibri"/>
        </w:rPr>
        <w:t>toute possibilité pour les étrangers d’exercer leurs droits</w:t>
      </w:r>
      <w:r>
        <w:rPr>
          <w:rFonts w:ascii="Calibri" w:hAnsi="Calibri" w:cs="Calibri"/>
        </w:rPr>
        <w:t xml:space="preserve">. Plus tard en 2018, le Comité </w:t>
      </w:r>
      <w:r>
        <w:rPr>
          <w:rFonts w:ascii="Calibri" w:hAnsi="Calibri" w:cs="Calibri"/>
        </w:rPr>
        <w:t>européen pour</w:t>
      </w:r>
      <w:r>
        <w:rPr>
          <w:rFonts w:ascii="Calibri" w:hAnsi="Calibri" w:cs="Calibri"/>
        </w:rPr>
        <w:t xml:space="preserve"> la prévention de la torture et des peines ou traitements inhumains ou dégradants a fait les mêmes constats : </w:t>
      </w:r>
      <w:r w:rsidRPr="006F02C4">
        <w:rPr>
          <w:rFonts w:ascii="Calibri" w:hAnsi="Calibri" w:cs="Calibri"/>
          <w:i/>
          <w:iCs/>
        </w:rPr>
        <w:t>« Enfin, sur la base des observations faites par la délégation, le Comité émet de sérieuses réserves quant à la possibilité des personnes qui se voient refuser l’entrée sur le territoire de connaître leurs droits et d’être en mesure de les exercer. »</w:t>
      </w:r>
      <w:r>
        <w:rPr>
          <w:rFonts w:ascii="Calibri" w:hAnsi="Calibri" w:cs="Calibri"/>
        </w:rPr>
        <w:t xml:space="preserve"> De même, lors de ses visites, le </w:t>
      </w:r>
      <w:r w:rsidRPr="007649FF">
        <w:rPr>
          <w:rFonts w:ascii="Calibri" w:hAnsi="Calibri" w:cs="Calibri"/>
        </w:rPr>
        <w:t>CGLPL</w:t>
      </w:r>
      <w:r>
        <w:rPr>
          <w:rFonts w:ascii="Calibri" w:hAnsi="Calibri" w:cs="Calibri"/>
        </w:rPr>
        <w:t xml:space="preserve"> a établi que les fonctionnaires de police n’enregistraient pas les éventuelles demandes d’asile à la frontière et qu’il était en pratique impossible d’exercer ce droit (il n’existait d’ailleurs aucun fichier de suivi d’enregistrements des demandes d’asile).</w:t>
      </w:r>
    </w:p>
    <w:p w14:paraId="478E0A80" w14:textId="2C7E92AB" w:rsidR="00925019" w:rsidRPr="00F57B59" w:rsidRDefault="009C0882" w:rsidP="009C0882">
      <w:pPr>
        <w:jc w:val="both"/>
        <w:rPr>
          <w:rFonts w:ascii="Calibri" w:hAnsi="Calibri" w:cs="Calibri"/>
        </w:rPr>
      </w:pPr>
      <w:r w:rsidRPr="00F57B59">
        <w:rPr>
          <w:rFonts w:ascii="Calibri" w:hAnsi="Calibri" w:cs="Calibri"/>
        </w:rPr>
        <w:t>A la suite de l’arrêt du 21 septembre 2023</w:t>
      </w:r>
      <w:r>
        <w:rPr>
          <w:rFonts w:ascii="Calibri" w:hAnsi="Calibri" w:cs="Calibri"/>
        </w:rPr>
        <w:t xml:space="preserve"> </w:t>
      </w:r>
      <w:r w:rsidRPr="00F57B59">
        <w:rPr>
          <w:rFonts w:ascii="Calibri" w:hAnsi="Calibri" w:cs="Calibri"/>
        </w:rPr>
        <w:t>de la Cour de justice de l’Union européenne</w:t>
      </w:r>
      <w:r>
        <w:rPr>
          <w:rFonts w:ascii="Calibri" w:hAnsi="Calibri" w:cs="Calibri"/>
        </w:rPr>
        <w:t xml:space="preserve"> demandant l’application de la directive « Retour » de la Commission européenne, </w:t>
      </w:r>
      <w:r w:rsidRPr="00F57B59">
        <w:rPr>
          <w:rFonts w:ascii="Calibri" w:hAnsi="Calibri" w:cs="Calibri"/>
        </w:rPr>
        <w:t xml:space="preserve">le Conseil d’État </w:t>
      </w:r>
      <w:r>
        <w:rPr>
          <w:rFonts w:ascii="Calibri" w:hAnsi="Calibri" w:cs="Calibri"/>
        </w:rPr>
        <w:t>a r</w:t>
      </w:r>
      <w:r w:rsidRPr="00F57B59">
        <w:rPr>
          <w:rFonts w:ascii="Calibri" w:hAnsi="Calibri" w:cs="Calibri"/>
        </w:rPr>
        <w:t>end</w:t>
      </w:r>
      <w:r>
        <w:rPr>
          <w:rFonts w:ascii="Calibri" w:hAnsi="Calibri" w:cs="Calibri"/>
        </w:rPr>
        <w:t>u</w:t>
      </w:r>
      <w:r w:rsidRPr="00F57B59">
        <w:rPr>
          <w:rFonts w:ascii="Calibri" w:hAnsi="Calibri" w:cs="Calibri"/>
        </w:rPr>
        <w:t xml:space="preserve"> </w:t>
      </w:r>
      <w:r>
        <w:rPr>
          <w:rFonts w:ascii="Calibri" w:hAnsi="Calibri" w:cs="Calibri"/>
        </w:rPr>
        <w:t>une</w:t>
      </w:r>
      <w:r w:rsidRPr="00F57B59">
        <w:rPr>
          <w:rFonts w:ascii="Calibri" w:hAnsi="Calibri" w:cs="Calibri"/>
        </w:rPr>
        <w:t xml:space="preserve"> décision</w:t>
      </w:r>
      <w:r>
        <w:rPr>
          <w:rFonts w:ascii="Calibri" w:hAnsi="Calibri" w:cs="Calibri"/>
        </w:rPr>
        <w:t xml:space="preserve"> du </w:t>
      </w:r>
      <w:r w:rsidRPr="00F57B59">
        <w:rPr>
          <w:rFonts w:ascii="Calibri" w:hAnsi="Calibri" w:cs="Calibri"/>
        </w:rPr>
        <w:t>2 février 2024 sur le régime juridique appli</w:t>
      </w:r>
      <w:r>
        <w:rPr>
          <w:rFonts w:ascii="Calibri" w:hAnsi="Calibri" w:cs="Calibri"/>
        </w:rPr>
        <w:t>cable</w:t>
      </w:r>
      <w:r w:rsidRPr="00F57B59">
        <w:rPr>
          <w:rFonts w:ascii="Calibri" w:hAnsi="Calibri" w:cs="Calibri"/>
        </w:rPr>
        <w:t xml:space="preserve"> aux frontières intérieures depuis 2015.</w:t>
      </w:r>
      <w:r>
        <w:rPr>
          <w:rFonts w:ascii="Calibri" w:hAnsi="Calibri" w:cs="Calibri"/>
        </w:rPr>
        <w:t xml:space="preserve"> Notamment, le Conseil d’Etat a </w:t>
      </w:r>
      <w:r w:rsidRPr="000B2759">
        <w:rPr>
          <w:rFonts w:ascii="Calibri" w:hAnsi="Calibri" w:cs="Calibri"/>
        </w:rPr>
        <w:t>constat</w:t>
      </w:r>
      <w:r>
        <w:rPr>
          <w:rFonts w:ascii="Calibri" w:hAnsi="Calibri" w:cs="Calibri"/>
        </w:rPr>
        <w:t>é</w:t>
      </w:r>
      <w:r w:rsidRPr="000B2759">
        <w:rPr>
          <w:rFonts w:ascii="Calibri" w:hAnsi="Calibri" w:cs="Calibri"/>
        </w:rPr>
        <w:t xml:space="preserve"> que </w:t>
      </w:r>
      <w:r>
        <w:rPr>
          <w:rFonts w:ascii="Calibri" w:hAnsi="Calibri" w:cs="Calibri"/>
        </w:rPr>
        <w:t>l</w:t>
      </w:r>
      <w:r w:rsidRPr="000B2759">
        <w:rPr>
          <w:rFonts w:ascii="Calibri" w:hAnsi="Calibri" w:cs="Calibri"/>
        </w:rPr>
        <w:t xml:space="preserve">es dispositions du </w:t>
      </w:r>
      <w:r>
        <w:rPr>
          <w:rFonts w:ascii="Calibri" w:hAnsi="Calibri" w:cs="Calibri"/>
        </w:rPr>
        <w:t>c</w:t>
      </w:r>
      <w:r w:rsidRPr="004D600E">
        <w:rPr>
          <w:rFonts w:ascii="Calibri" w:hAnsi="Calibri" w:cs="Calibri"/>
        </w:rPr>
        <w:t xml:space="preserve">ode de l'entrée et du séjour des étrangers et du droit d'asile </w:t>
      </w:r>
      <w:r w:rsidRPr="000B2759">
        <w:rPr>
          <w:rFonts w:ascii="Calibri" w:hAnsi="Calibri" w:cs="Calibri"/>
        </w:rPr>
        <w:t>relatives à la retenue et à la rétention</w:t>
      </w:r>
      <w:r>
        <w:rPr>
          <w:rFonts w:ascii="Calibri" w:hAnsi="Calibri" w:cs="Calibri"/>
        </w:rPr>
        <w:t xml:space="preserve"> administratives, s’appliquait, </w:t>
      </w:r>
      <w:r w:rsidRPr="000B2759">
        <w:rPr>
          <w:rFonts w:ascii="Calibri" w:hAnsi="Calibri" w:cs="Calibri"/>
        </w:rPr>
        <w:t>offr</w:t>
      </w:r>
      <w:r>
        <w:rPr>
          <w:rFonts w:ascii="Calibri" w:hAnsi="Calibri" w:cs="Calibri"/>
        </w:rPr>
        <w:t>a</w:t>
      </w:r>
      <w:r w:rsidRPr="000B2759">
        <w:rPr>
          <w:rFonts w:ascii="Calibri" w:hAnsi="Calibri" w:cs="Calibri"/>
        </w:rPr>
        <w:t xml:space="preserve">nt un cadre et des garanties minimales. </w:t>
      </w:r>
      <w:r>
        <w:rPr>
          <w:rFonts w:ascii="Calibri" w:hAnsi="Calibri" w:cs="Calibri"/>
        </w:rPr>
        <w:t xml:space="preserve">Il a également </w:t>
      </w:r>
      <w:r w:rsidRPr="000B2759">
        <w:rPr>
          <w:rFonts w:ascii="Calibri" w:hAnsi="Calibri" w:cs="Calibri"/>
        </w:rPr>
        <w:t>rappel</w:t>
      </w:r>
      <w:r>
        <w:rPr>
          <w:rFonts w:ascii="Calibri" w:hAnsi="Calibri" w:cs="Calibri"/>
        </w:rPr>
        <w:t xml:space="preserve">é </w:t>
      </w:r>
      <w:r w:rsidRPr="000B2759">
        <w:rPr>
          <w:rFonts w:ascii="Calibri" w:hAnsi="Calibri" w:cs="Calibri"/>
        </w:rPr>
        <w:t>l’obligation de respecter le droit d’asile.</w:t>
      </w:r>
    </w:p>
    <w:p w14:paraId="2F4692CF" w14:textId="519E7589" w:rsidR="0052275B" w:rsidRDefault="009C0882" w:rsidP="009C0882">
      <w:pPr>
        <w:jc w:val="both"/>
        <w:rPr>
          <w:rFonts w:ascii="Calibri" w:hAnsi="Calibri" w:cs="Calibri"/>
        </w:rPr>
      </w:pPr>
      <w:r>
        <w:rPr>
          <w:rFonts w:ascii="Calibri" w:hAnsi="Calibri" w:cs="Calibri"/>
        </w:rPr>
        <w:t xml:space="preserve">Si cette décision représente une avancée pour le respect des droits fondamentaux des personnes privées à la frontière franco-italienne, le </w:t>
      </w:r>
      <w:r w:rsidRPr="007649FF">
        <w:rPr>
          <w:rFonts w:ascii="Calibri" w:hAnsi="Calibri" w:cs="Calibri"/>
        </w:rPr>
        <w:t>CGLPL</w:t>
      </w:r>
      <w:r>
        <w:rPr>
          <w:rFonts w:ascii="Calibri" w:hAnsi="Calibri" w:cs="Calibri"/>
        </w:rPr>
        <w:t xml:space="preserve"> ne peut qu’émettre des doutes quant à l’application réelle du droit d’asile, qui a toujours été nié sur cette partie du territoire. </w:t>
      </w:r>
    </w:p>
    <w:p w14:paraId="499A53A4" w14:textId="77777777" w:rsidR="00925019" w:rsidRDefault="00925019" w:rsidP="009C0882">
      <w:pPr>
        <w:jc w:val="both"/>
        <w:rPr>
          <w:rFonts w:ascii="Calibri" w:hAnsi="Calibri" w:cs="Calibri"/>
        </w:rPr>
      </w:pPr>
    </w:p>
    <w:p w14:paraId="6159FC1B" w14:textId="77777777" w:rsidR="009C0882" w:rsidRPr="004646D7" w:rsidRDefault="009C0882" w:rsidP="009C0882">
      <w:pPr>
        <w:pBdr>
          <w:top w:val="single" w:sz="4" w:space="1" w:color="auto"/>
          <w:left w:val="single" w:sz="4" w:space="4" w:color="auto"/>
          <w:bottom w:val="single" w:sz="4" w:space="1" w:color="auto"/>
          <w:right w:val="single" w:sz="4" w:space="4" w:color="auto"/>
        </w:pBdr>
        <w:jc w:val="both"/>
        <w:rPr>
          <w:rFonts w:ascii="Calibri" w:hAnsi="Calibri" w:cs="Calibri"/>
          <w:i/>
          <w:iCs/>
        </w:rPr>
      </w:pPr>
      <w:r w:rsidRPr="004646D7">
        <w:rPr>
          <w:rFonts w:ascii="Calibri" w:hAnsi="Calibri" w:cs="Calibri"/>
          <w:b/>
          <w:bCs/>
          <w:i/>
          <w:iCs/>
        </w:rPr>
        <w:t>Recommandation</w:t>
      </w:r>
      <w:r w:rsidRPr="004646D7">
        <w:rPr>
          <w:rFonts w:ascii="Calibri" w:hAnsi="Calibri" w:cs="Calibri"/>
          <w:i/>
          <w:iCs/>
        </w:rPr>
        <w:t> </w:t>
      </w:r>
      <w:r w:rsidRPr="004646D7">
        <w:rPr>
          <w:rFonts w:ascii="Calibri" w:hAnsi="Calibri" w:cs="Calibri"/>
          <w:b/>
          <w:bCs/>
          <w:i/>
          <w:iCs/>
        </w:rPr>
        <w:t>:</w:t>
      </w:r>
    </w:p>
    <w:p w14:paraId="561FB24C" w14:textId="5D721A73" w:rsidR="004646D7" w:rsidRPr="004646D7" w:rsidRDefault="009C0882" w:rsidP="00632708">
      <w:pPr>
        <w:pBdr>
          <w:top w:val="single" w:sz="4" w:space="1" w:color="auto"/>
          <w:left w:val="single" w:sz="4" w:space="4" w:color="auto"/>
          <w:bottom w:val="single" w:sz="4" w:space="1" w:color="auto"/>
          <w:right w:val="single" w:sz="4" w:space="4" w:color="auto"/>
        </w:pBdr>
        <w:jc w:val="both"/>
        <w:rPr>
          <w:rFonts w:ascii="Calibri" w:hAnsi="Calibri" w:cs="Calibri"/>
          <w:i/>
          <w:iCs/>
        </w:rPr>
      </w:pPr>
      <w:r w:rsidRPr="004646D7">
        <w:rPr>
          <w:rFonts w:ascii="Calibri" w:hAnsi="Calibri" w:cs="Calibri"/>
          <w:i/>
          <w:iCs/>
        </w:rPr>
        <w:t>Prendre des dispositions afin de s’assurer que le droit d’asile est effectivement appliqué à la frontière franco-italienne.</w:t>
      </w:r>
    </w:p>
    <w:sectPr w:rsidR="004646D7" w:rsidRPr="004646D7">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9E0B2F" w14:textId="77777777" w:rsidR="00BC15C8" w:rsidRDefault="00BC15C8" w:rsidP="00DF2574">
      <w:pPr>
        <w:spacing w:after="0" w:line="240" w:lineRule="auto"/>
      </w:pPr>
      <w:r>
        <w:separator/>
      </w:r>
    </w:p>
  </w:endnote>
  <w:endnote w:type="continuationSeparator" w:id="0">
    <w:p w14:paraId="4BED3460" w14:textId="77777777" w:rsidR="00BC15C8" w:rsidRDefault="00BC15C8" w:rsidP="00DF2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2307340"/>
      <w:docPartObj>
        <w:docPartGallery w:val="Page Numbers (Bottom of Page)"/>
        <w:docPartUnique/>
      </w:docPartObj>
    </w:sdtPr>
    <w:sdtEndPr/>
    <w:sdtContent>
      <w:p w14:paraId="63E0AAA7" w14:textId="3A2BF74F" w:rsidR="00E8520A" w:rsidRDefault="00E8520A">
        <w:pPr>
          <w:pStyle w:val="Pieddepage"/>
        </w:pPr>
        <w:r>
          <w:fldChar w:fldCharType="begin"/>
        </w:r>
        <w:r>
          <w:instrText>PAGE   \* MERGEFORMAT</w:instrText>
        </w:r>
        <w:r>
          <w:fldChar w:fldCharType="separate"/>
        </w:r>
        <w:r>
          <w:t>2</w:t>
        </w:r>
        <w:r>
          <w:fldChar w:fldCharType="end"/>
        </w:r>
      </w:p>
    </w:sdtContent>
  </w:sdt>
  <w:p w14:paraId="60B5FAF8" w14:textId="77777777" w:rsidR="00E8520A" w:rsidRDefault="00E8520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A6C692" w14:textId="77777777" w:rsidR="00BC15C8" w:rsidRDefault="00BC15C8" w:rsidP="00DF2574">
      <w:pPr>
        <w:spacing w:after="0" w:line="240" w:lineRule="auto"/>
      </w:pPr>
      <w:r>
        <w:separator/>
      </w:r>
    </w:p>
  </w:footnote>
  <w:footnote w:type="continuationSeparator" w:id="0">
    <w:p w14:paraId="39EBD5DD" w14:textId="77777777" w:rsidR="00BC15C8" w:rsidRDefault="00BC15C8" w:rsidP="00DF25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F83"/>
    <w:rsid w:val="00001818"/>
    <w:rsid w:val="0002159E"/>
    <w:rsid w:val="000351F1"/>
    <w:rsid w:val="00042704"/>
    <w:rsid w:val="00044DFD"/>
    <w:rsid w:val="00046175"/>
    <w:rsid w:val="00055BB9"/>
    <w:rsid w:val="000679BC"/>
    <w:rsid w:val="0009780B"/>
    <w:rsid w:val="000A5B13"/>
    <w:rsid w:val="000B2759"/>
    <w:rsid w:val="000F7270"/>
    <w:rsid w:val="0011042D"/>
    <w:rsid w:val="00116A73"/>
    <w:rsid w:val="00117A5E"/>
    <w:rsid w:val="00145CC4"/>
    <w:rsid w:val="00177953"/>
    <w:rsid w:val="0018099A"/>
    <w:rsid w:val="00181275"/>
    <w:rsid w:val="00186DA6"/>
    <w:rsid w:val="00190C1A"/>
    <w:rsid w:val="00192581"/>
    <w:rsid w:val="001A2C2C"/>
    <w:rsid w:val="001A5AB9"/>
    <w:rsid w:val="001B3356"/>
    <w:rsid w:val="001B74AA"/>
    <w:rsid w:val="002059B9"/>
    <w:rsid w:val="0021161B"/>
    <w:rsid w:val="00232A9C"/>
    <w:rsid w:val="002624A8"/>
    <w:rsid w:val="00271D6D"/>
    <w:rsid w:val="00274497"/>
    <w:rsid w:val="00292B9F"/>
    <w:rsid w:val="002B5A29"/>
    <w:rsid w:val="002C2BE8"/>
    <w:rsid w:val="002C6310"/>
    <w:rsid w:val="002E3230"/>
    <w:rsid w:val="00312576"/>
    <w:rsid w:val="003238DD"/>
    <w:rsid w:val="00323D34"/>
    <w:rsid w:val="00370A64"/>
    <w:rsid w:val="00374662"/>
    <w:rsid w:val="00386E19"/>
    <w:rsid w:val="003C25A3"/>
    <w:rsid w:val="003D2901"/>
    <w:rsid w:val="003D65B9"/>
    <w:rsid w:val="003E432D"/>
    <w:rsid w:val="003F2C60"/>
    <w:rsid w:val="003F3AD7"/>
    <w:rsid w:val="00423659"/>
    <w:rsid w:val="0042376E"/>
    <w:rsid w:val="00425D60"/>
    <w:rsid w:val="0043277A"/>
    <w:rsid w:val="00433B9C"/>
    <w:rsid w:val="004646D7"/>
    <w:rsid w:val="00470829"/>
    <w:rsid w:val="004913DC"/>
    <w:rsid w:val="004C662D"/>
    <w:rsid w:val="004D600E"/>
    <w:rsid w:val="004F3098"/>
    <w:rsid w:val="00500300"/>
    <w:rsid w:val="00514564"/>
    <w:rsid w:val="00520B5B"/>
    <w:rsid w:val="0052275B"/>
    <w:rsid w:val="00553960"/>
    <w:rsid w:val="00560160"/>
    <w:rsid w:val="00574136"/>
    <w:rsid w:val="005C375F"/>
    <w:rsid w:val="005D6895"/>
    <w:rsid w:val="00602031"/>
    <w:rsid w:val="00603778"/>
    <w:rsid w:val="00611A0F"/>
    <w:rsid w:val="00632708"/>
    <w:rsid w:val="00653601"/>
    <w:rsid w:val="006674E6"/>
    <w:rsid w:val="00674892"/>
    <w:rsid w:val="00695EB6"/>
    <w:rsid w:val="006A6857"/>
    <w:rsid w:val="006B0050"/>
    <w:rsid w:val="006B46C1"/>
    <w:rsid w:val="006D50EC"/>
    <w:rsid w:val="006E030C"/>
    <w:rsid w:val="006F02C4"/>
    <w:rsid w:val="006F1476"/>
    <w:rsid w:val="006F6847"/>
    <w:rsid w:val="007270C8"/>
    <w:rsid w:val="007316AB"/>
    <w:rsid w:val="00746CFF"/>
    <w:rsid w:val="00762AD8"/>
    <w:rsid w:val="0076473C"/>
    <w:rsid w:val="007649FF"/>
    <w:rsid w:val="0077730B"/>
    <w:rsid w:val="007A5DAE"/>
    <w:rsid w:val="007B5F83"/>
    <w:rsid w:val="007C3A65"/>
    <w:rsid w:val="007D0F70"/>
    <w:rsid w:val="007D5EB4"/>
    <w:rsid w:val="007E0027"/>
    <w:rsid w:val="008001F5"/>
    <w:rsid w:val="00815578"/>
    <w:rsid w:val="0082612B"/>
    <w:rsid w:val="00846E1D"/>
    <w:rsid w:val="0088050A"/>
    <w:rsid w:val="00887EC3"/>
    <w:rsid w:val="008D3720"/>
    <w:rsid w:val="008D4DDC"/>
    <w:rsid w:val="008F7F1A"/>
    <w:rsid w:val="00925019"/>
    <w:rsid w:val="00935BE2"/>
    <w:rsid w:val="00966302"/>
    <w:rsid w:val="009857FC"/>
    <w:rsid w:val="009A6096"/>
    <w:rsid w:val="009C01B6"/>
    <w:rsid w:val="009C0882"/>
    <w:rsid w:val="009D535B"/>
    <w:rsid w:val="009E2D8B"/>
    <w:rsid w:val="009E63E2"/>
    <w:rsid w:val="009E7C20"/>
    <w:rsid w:val="00A17717"/>
    <w:rsid w:val="00A37F1B"/>
    <w:rsid w:val="00A51322"/>
    <w:rsid w:val="00A756F7"/>
    <w:rsid w:val="00A871ED"/>
    <w:rsid w:val="00A9341E"/>
    <w:rsid w:val="00AA0C05"/>
    <w:rsid w:val="00AD4175"/>
    <w:rsid w:val="00AD7E95"/>
    <w:rsid w:val="00B166D4"/>
    <w:rsid w:val="00B209B5"/>
    <w:rsid w:val="00B44ACC"/>
    <w:rsid w:val="00B50D8A"/>
    <w:rsid w:val="00B6663F"/>
    <w:rsid w:val="00B76DC2"/>
    <w:rsid w:val="00B92E28"/>
    <w:rsid w:val="00B93A43"/>
    <w:rsid w:val="00B9516C"/>
    <w:rsid w:val="00BA7F7D"/>
    <w:rsid w:val="00BC15C8"/>
    <w:rsid w:val="00BD40C6"/>
    <w:rsid w:val="00BE05F0"/>
    <w:rsid w:val="00C04353"/>
    <w:rsid w:val="00C11303"/>
    <w:rsid w:val="00C143C6"/>
    <w:rsid w:val="00C21E81"/>
    <w:rsid w:val="00C24D20"/>
    <w:rsid w:val="00C25DB2"/>
    <w:rsid w:val="00C3245B"/>
    <w:rsid w:val="00C33FEB"/>
    <w:rsid w:val="00C62500"/>
    <w:rsid w:val="00C64566"/>
    <w:rsid w:val="00C7772C"/>
    <w:rsid w:val="00CA7CC1"/>
    <w:rsid w:val="00CC099C"/>
    <w:rsid w:val="00CC1C12"/>
    <w:rsid w:val="00CE6FE3"/>
    <w:rsid w:val="00CF7874"/>
    <w:rsid w:val="00D04544"/>
    <w:rsid w:val="00D321AC"/>
    <w:rsid w:val="00D34A09"/>
    <w:rsid w:val="00DB6C4D"/>
    <w:rsid w:val="00DC02A8"/>
    <w:rsid w:val="00DC077F"/>
    <w:rsid w:val="00DF2574"/>
    <w:rsid w:val="00E166A0"/>
    <w:rsid w:val="00E241E0"/>
    <w:rsid w:val="00E557CB"/>
    <w:rsid w:val="00E7033D"/>
    <w:rsid w:val="00E8520A"/>
    <w:rsid w:val="00E9262E"/>
    <w:rsid w:val="00E92A9A"/>
    <w:rsid w:val="00E95E48"/>
    <w:rsid w:val="00EA58E0"/>
    <w:rsid w:val="00F32870"/>
    <w:rsid w:val="00F35D81"/>
    <w:rsid w:val="00F57B59"/>
    <w:rsid w:val="00F848EB"/>
    <w:rsid w:val="00F90AD5"/>
    <w:rsid w:val="00F965C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F3CFB"/>
  <w15:chartTrackingRefBased/>
  <w15:docId w15:val="{4DB93292-7C00-4BD3-B47F-10670256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7B5F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7B5F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7B5F83"/>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7B5F83"/>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7B5F83"/>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7B5F83"/>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B5F83"/>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B5F83"/>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B5F83"/>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B5F83"/>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7B5F83"/>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7B5F83"/>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7B5F83"/>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7B5F83"/>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7B5F83"/>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B5F83"/>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B5F83"/>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B5F83"/>
    <w:rPr>
      <w:rFonts w:eastAsiaTheme="majorEastAsia" w:cstheme="majorBidi"/>
      <w:color w:val="272727" w:themeColor="text1" w:themeTint="D8"/>
    </w:rPr>
  </w:style>
  <w:style w:type="paragraph" w:styleId="Titre">
    <w:name w:val="Title"/>
    <w:basedOn w:val="Normal"/>
    <w:next w:val="Normal"/>
    <w:link w:val="TitreCar"/>
    <w:uiPriority w:val="10"/>
    <w:qFormat/>
    <w:rsid w:val="007B5F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B5F83"/>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B5F83"/>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B5F83"/>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B5F83"/>
    <w:pPr>
      <w:spacing w:before="160"/>
      <w:jc w:val="center"/>
    </w:pPr>
    <w:rPr>
      <w:i/>
      <w:iCs/>
      <w:color w:val="404040" w:themeColor="text1" w:themeTint="BF"/>
    </w:rPr>
  </w:style>
  <w:style w:type="character" w:customStyle="1" w:styleId="CitationCar">
    <w:name w:val="Citation Car"/>
    <w:basedOn w:val="Policepardfaut"/>
    <w:link w:val="Citation"/>
    <w:uiPriority w:val="29"/>
    <w:rsid w:val="007B5F83"/>
    <w:rPr>
      <w:i/>
      <w:iCs/>
      <w:color w:val="404040" w:themeColor="text1" w:themeTint="BF"/>
    </w:rPr>
  </w:style>
  <w:style w:type="paragraph" w:styleId="Paragraphedeliste">
    <w:name w:val="List Paragraph"/>
    <w:basedOn w:val="Normal"/>
    <w:uiPriority w:val="34"/>
    <w:qFormat/>
    <w:rsid w:val="007B5F83"/>
    <w:pPr>
      <w:ind w:left="720"/>
      <w:contextualSpacing/>
    </w:pPr>
  </w:style>
  <w:style w:type="character" w:styleId="Accentuationintense">
    <w:name w:val="Intense Emphasis"/>
    <w:basedOn w:val="Policepardfaut"/>
    <w:uiPriority w:val="21"/>
    <w:qFormat/>
    <w:rsid w:val="007B5F83"/>
    <w:rPr>
      <w:i/>
      <w:iCs/>
      <w:color w:val="0F4761" w:themeColor="accent1" w:themeShade="BF"/>
    </w:rPr>
  </w:style>
  <w:style w:type="paragraph" w:styleId="Citationintense">
    <w:name w:val="Intense Quote"/>
    <w:basedOn w:val="Normal"/>
    <w:next w:val="Normal"/>
    <w:link w:val="CitationintenseCar"/>
    <w:uiPriority w:val="30"/>
    <w:qFormat/>
    <w:rsid w:val="007B5F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7B5F83"/>
    <w:rPr>
      <w:i/>
      <w:iCs/>
      <w:color w:val="0F4761" w:themeColor="accent1" w:themeShade="BF"/>
    </w:rPr>
  </w:style>
  <w:style w:type="character" w:styleId="Rfrenceintense">
    <w:name w:val="Intense Reference"/>
    <w:basedOn w:val="Policepardfaut"/>
    <w:uiPriority w:val="32"/>
    <w:qFormat/>
    <w:rsid w:val="007B5F83"/>
    <w:rPr>
      <w:b/>
      <w:bCs/>
      <w:smallCaps/>
      <w:color w:val="0F4761" w:themeColor="accent1" w:themeShade="BF"/>
      <w:spacing w:val="5"/>
    </w:rPr>
  </w:style>
  <w:style w:type="paragraph" w:customStyle="1" w:styleId="textecourantalinea">
    <w:name w:val="texte courant_alinea"/>
    <w:basedOn w:val="Normal"/>
    <w:rsid w:val="007B5F83"/>
    <w:pPr>
      <w:suppressAutoHyphens/>
      <w:autoSpaceDE w:val="0"/>
      <w:autoSpaceDN w:val="0"/>
      <w:adjustRightInd w:val="0"/>
      <w:spacing w:before="120" w:after="120" w:line="240" w:lineRule="auto"/>
      <w:ind w:firstLine="709"/>
      <w:jc w:val="both"/>
    </w:pPr>
    <w:rPr>
      <w:rFonts w:ascii="Garamond" w:eastAsia="Times New Roman" w:hAnsi="Garamond"/>
      <w:kern w:val="0"/>
      <w:szCs w:val="28"/>
      <w:lang w:eastAsia="fr-FR"/>
      <w14:ligatures w14:val="none"/>
    </w:rPr>
  </w:style>
  <w:style w:type="paragraph" w:customStyle="1" w:styleId="textebleu">
    <w:name w:val="texte_bleu"/>
    <w:basedOn w:val="Normal"/>
    <w:qFormat/>
    <w:rsid w:val="007B5F83"/>
    <w:pPr>
      <w:pBdr>
        <w:left w:val="single" w:sz="12" w:space="4" w:color="0070C0"/>
        <w:right w:val="single" w:sz="12" w:space="4" w:color="0070C0"/>
      </w:pBdr>
      <w:spacing w:before="140" w:after="140" w:line="240" w:lineRule="auto"/>
      <w:ind w:left="1134" w:right="1134"/>
      <w:jc w:val="both"/>
    </w:pPr>
    <w:rPr>
      <w:rFonts w:ascii="Garamond" w:hAnsi="Garamond"/>
      <w:color w:val="0070C0"/>
      <w:kern w:val="0"/>
      <w:sz w:val="23"/>
      <w:szCs w:val="22"/>
      <w14:ligatures w14:val="none"/>
    </w:rPr>
  </w:style>
  <w:style w:type="character" w:styleId="Lienhypertexte">
    <w:name w:val="Hyperlink"/>
    <w:basedOn w:val="Policepardfaut"/>
    <w:uiPriority w:val="99"/>
    <w:unhideWhenUsed/>
    <w:rsid w:val="007B5F83"/>
    <w:rPr>
      <w:color w:val="467886" w:themeColor="hyperlink"/>
      <w:u w:val="single"/>
    </w:rPr>
  </w:style>
  <w:style w:type="character" w:styleId="Mentionnonrsolue">
    <w:name w:val="Unresolved Mention"/>
    <w:basedOn w:val="Policepardfaut"/>
    <w:uiPriority w:val="99"/>
    <w:semiHidden/>
    <w:unhideWhenUsed/>
    <w:rsid w:val="007B5F83"/>
    <w:rPr>
      <w:color w:val="605E5C"/>
      <w:shd w:val="clear" w:color="auto" w:fill="E1DFDD"/>
    </w:rPr>
  </w:style>
  <w:style w:type="character" w:customStyle="1" w:styleId="normaltextrun">
    <w:name w:val="normaltextrun"/>
    <w:basedOn w:val="Policepardfaut"/>
    <w:rsid w:val="00E92A9A"/>
  </w:style>
  <w:style w:type="paragraph" w:customStyle="1" w:styleId="paragraph">
    <w:name w:val="paragraph"/>
    <w:basedOn w:val="Normal"/>
    <w:rsid w:val="00E92A9A"/>
    <w:pPr>
      <w:spacing w:before="100" w:beforeAutospacing="1" w:after="100" w:afterAutospacing="1" w:line="240" w:lineRule="auto"/>
    </w:pPr>
    <w:rPr>
      <w:rFonts w:ascii="Times New Roman" w:eastAsia="Times New Roman" w:hAnsi="Times New Roman" w:cs="Times New Roman"/>
      <w:kern w:val="0"/>
      <w:lang w:eastAsia="fr-FR"/>
      <w14:ligatures w14:val="none"/>
    </w:rPr>
  </w:style>
  <w:style w:type="paragraph" w:customStyle="1" w:styleId="TexteAlinea">
    <w:name w:val="Texte_Alinea"/>
    <w:basedOn w:val="Normal"/>
    <w:rsid w:val="00374662"/>
    <w:pPr>
      <w:widowControl w:val="0"/>
      <w:autoSpaceDE w:val="0"/>
      <w:autoSpaceDN w:val="0"/>
      <w:adjustRightInd w:val="0"/>
      <w:spacing w:after="0" w:line="220" w:lineRule="atLeast"/>
      <w:ind w:firstLine="283"/>
      <w:jc w:val="both"/>
      <w:textAlignment w:val="center"/>
    </w:pPr>
    <w:rPr>
      <w:rFonts w:ascii="Times" w:eastAsia="Times New Roman" w:hAnsi="Times" w:cs="Times"/>
      <w:color w:val="000000"/>
      <w:kern w:val="0"/>
      <w:sz w:val="20"/>
      <w:szCs w:val="20"/>
      <w:lang w:eastAsia="fr-FR"/>
      <w14:ligatures w14:val="none"/>
    </w:rPr>
  </w:style>
  <w:style w:type="paragraph" w:customStyle="1" w:styleId="SingleTxtG">
    <w:name w:val="_ Single Txt_G"/>
    <w:basedOn w:val="Normal"/>
    <w:link w:val="SingleTxtGChar"/>
    <w:qFormat/>
    <w:rsid w:val="00DF257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kern w:val="0"/>
      <w:sz w:val="20"/>
      <w:szCs w:val="20"/>
      <w:lang w:val="fr-CH"/>
      <w14:ligatures w14:val="none"/>
    </w:rPr>
  </w:style>
  <w:style w:type="character" w:styleId="Appelnotedebasdep">
    <w:name w:val="footnote reference"/>
    <w:aliases w:val="4_G,ftref,BVI fnr,16 Point,Superscript 6 Point,Footnote,Footnote symbol,Footnote Refernece,Texto de nota al pie,Fußnotenzeichen_Raxen"/>
    <w:basedOn w:val="Policepardfaut"/>
    <w:qFormat/>
    <w:rsid w:val="00DF2574"/>
    <w:rPr>
      <w:rFonts w:ascii="Times New Roman" w:hAnsi="Times New Roman"/>
      <w:sz w:val="18"/>
      <w:vertAlign w:val="superscript"/>
      <w:lang w:val="fr-CH"/>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F2574"/>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kern w:val="0"/>
      <w:sz w:val="18"/>
      <w:szCs w:val="20"/>
      <w:lang w:val="fr-CH"/>
      <w14:ligatures w14:val="none"/>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F2574"/>
    <w:rPr>
      <w:rFonts w:ascii="Times New Roman" w:hAnsi="Times New Roman" w:cs="Times New Roman"/>
      <w:kern w:val="0"/>
      <w:sz w:val="18"/>
      <w:szCs w:val="20"/>
      <w:lang w:val="fr-CH"/>
      <w14:ligatures w14:val="none"/>
    </w:rPr>
  </w:style>
  <w:style w:type="character" w:customStyle="1" w:styleId="SingleTxtGChar">
    <w:name w:val="_ Single Txt_G Char"/>
    <w:link w:val="SingleTxtG"/>
    <w:rsid w:val="00DF2574"/>
    <w:rPr>
      <w:rFonts w:ascii="Times New Roman" w:hAnsi="Times New Roman" w:cs="Times New Roman"/>
      <w:kern w:val="0"/>
      <w:sz w:val="20"/>
      <w:szCs w:val="20"/>
      <w:lang w:val="fr-CH"/>
      <w14:ligatures w14:val="none"/>
    </w:rPr>
  </w:style>
  <w:style w:type="paragraph" w:styleId="En-tte">
    <w:name w:val="header"/>
    <w:basedOn w:val="Normal"/>
    <w:link w:val="En-tteCar"/>
    <w:uiPriority w:val="99"/>
    <w:unhideWhenUsed/>
    <w:rsid w:val="00E8520A"/>
    <w:pPr>
      <w:tabs>
        <w:tab w:val="center" w:pos="4536"/>
        <w:tab w:val="right" w:pos="9072"/>
      </w:tabs>
      <w:spacing w:after="0" w:line="240" w:lineRule="auto"/>
    </w:pPr>
  </w:style>
  <w:style w:type="character" w:customStyle="1" w:styleId="En-tteCar">
    <w:name w:val="En-tête Car"/>
    <w:basedOn w:val="Policepardfaut"/>
    <w:link w:val="En-tte"/>
    <w:uiPriority w:val="99"/>
    <w:rsid w:val="00E8520A"/>
  </w:style>
  <w:style w:type="paragraph" w:styleId="Pieddepage">
    <w:name w:val="footer"/>
    <w:basedOn w:val="Normal"/>
    <w:link w:val="PieddepageCar"/>
    <w:uiPriority w:val="99"/>
    <w:unhideWhenUsed/>
    <w:rsid w:val="00E8520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8520A"/>
  </w:style>
  <w:style w:type="character" w:styleId="Marquedecommentaire">
    <w:name w:val="annotation reference"/>
    <w:basedOn w:val="Policepardfaut"/>
    <w:uiPriority w:val="99"/>
    <w:semiHidden/>
    <w:unhideWhenUsed/>
    <w:rsid w:val="00D321AC"/>
    <w:rPr>
      <w:sz w:val="16"/>
      <w:szCs w:val="16"/>
    </w:rPr>
  </w:style>
  <w:style w:type="paragraph" w:styleId="Commentaire">
    <w:name w:val="annotation text"/>
    <w:basedOn w:val="Normal"/>
    <w:link w:val="CommentaireCar"/>
    <w:uiPriority w:val="99"/>
    <w:unhideWhenUsed/>
    <w:rsid w:val="00D321AC"/>
    <w:pPr>
      <w:spacing w:line="240" w:lineRule="auto"/>
    </w:pPr>
    <w:rPr>
      <w:sz w:val="20"/>
      <w:szCs w:val="20"/>
    </w:rPr>
  </w:style>
  <w:style w:type="character" w:customStyle="1" w:styleId="CommentaireCar">
    <w:name w:val="Commentaire Car"/>
    <w:basedOn w:val="Policepardfaut"/>
    <w:link w:val="Commentaire"/>
    <w:uiPriority w:val="99"/>
    <w:rsid w:val="00D321AC"/>
    <w:rPr>
      <w:sz w:val="20"/>
      <w:szCs w:val="20"/>
    </w:rPr>
  </w:style>
  <w:style w:type="paragraph" w:styleId="Objetducommentaire">
    <w:name w:val="annotation subject"/>
    <w:basedOn w:val="Commentaire"/>
    <w:next w:val="Commentaire"/>
    <w:link w:val="ObjetducommentaireCar"/>
    <w:uiPriority w:val="99"/>
    <w:semiHidden/>
    <w:unhideWhenUsed/>
    <w:rsid w:val="00D321AC"/>
    <w:rPr>
      <w:b/>
      <w:bCs/>
    </w:rPr>
  </w:style>
  <w:style w:type="character" w:customStyle="1" w:styleId="ObjetducommentaireCar">
    <w:name w:val="Objet du commentaire Car"/>
    <w:basedOn w:val="CommentaireCar"/>
    <w:link w:val="Objetducommentaire"/>
    <w:uiPriority w:val="99"/>
    <w:semiHidden/>
    <w:rsid w:val="00D321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8781494">
      <w:bodyDiv w:val="1"/>
      <w:marLeft w:val="0"/>
      <w:marRight w:val="0"/>
      <w:marTop w:val="0"/>
      <w:marBottom w:val="0"/>
      <w:divBdr>
        <w:top w:val="none" w:sz="0" w:space="0" w:color="auto"/>
        <w:left w:val="none" w:sz="0" w:space="0" w:color="auto"/>
        <w:bottom w:val="none" w:sz="0" w:space="0" w:color="auto"/>
        <w:right w:val="none" w:sz="0" w:space="0" w:color="auto"/>
      </w:divBdr>
    </w:div>
    <w:div w:id="1425029912">
      <w:bodyDiv w:val="1"/>
      <w:marLeft w:val="0"/>
      <w:marRight w:val="0"/>
      <w:marTop w:val="0"/>
      <w:marBottom w:val="0"/>
      <w:divBdr>
        <w:top w:val="none" w:sz="0" w:space="0" w:color="auto"/>
        <w:left w:val="none" w:sz="0" w:space="0" w:color="auto"/>
        <w:bottom w:val="none" w:sz="0" w:space="0" w:color="auto"/>
        <w:right w:val="none" w:sz="0" w:space="0" w:color="auto"/>
      </w:divBdr>
    </w:div>
    <w:div w:id="1863082597">
      <w:bodyDiv w:val="1"/>
      <w:marLeft w:val="0"/>
      <w:marRight w:val="0"/>
      <w:marTop w:val="0"/>
      <w:marBottom w:val="0"/>
      <w:divBdr>
        <w:top w:val="none" w:sz="0" w:space="0" w:color="auto"/>
        <w:left w:val="none" w:sz="0" w:space="0" w:color="auto"/>
        <w:bottom w:val="none" w:sz="0" w:space="0" w:color="auto"/>
        <w:right w:val="none" w:sz="0" w:space="0" w:color="auto"/>
      </w:divBdr>
    </w:div>
    <w:div w:id="198018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737&amp;Lang=en"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FRA%2FQPR%2F6&amp;Lang=en" TargetMode="Externa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EEB891-1A1F-4348-A09D-FB241903032B}">
  <ds:schemaRefs>
    <ds:schemaRef ds:uri="http://schemas.openxmlformats.org/officeDocument/2006/bibliography"/>
  </ds:schemaRefs>
</ds:datastoreItem>
</file>

<file path=customXml/itemProps2.xml><?xml version="1.0" encoding="utf-8"?>
<ds:datastoreItem xmlns:ds="http://schemas.openxmlformats.org/officeDocument/2006/customXml" ds:itemID="{407BAB5C-54FC-4460-BBAD-601FB633CC3F}"/>
</file>

<file path=customXml/itemProps3.xml><?xml version="1.0" encoding="utf-8"?>
<ds:datastoreItem xmlns:ds="http://schemas.openxmlformats.org/officeDocument/2006/customXml" ds:itemID="{3485D672-8177-47D1-AB9F-D0D9CF6C889E}"/>
</file>

<file path=docProps/app.xml><?xml version="1.0" encoding="utf-8"?>
<Properties xmlns="http://schemas.openxmlformats.org/officeDocument/2006/extended-properties" xmlns:vt="http://schemas.openxmlformats.org/officeDocument/2006/docPropsVTypes">
  <Template>Normal</Template>
  <TotalTime>3821</TotalTime>
  <Pages>4</Pages>
  <Words>1759</Words>
  <Characters>9679</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BONNET Anne-Sophie</dc:creator>
  <cp:keywords/>
  <dc:description/>
  <cp:lastModifiedBy>BONNET Anne-Sophie</cp:lastModifiedBy>
  <cp:revision>19</cp:revision>
  <dcterms:created xsi:type="dcterms:W3CDTF">2024-09-13T16:04:00Z</dcterms:created>
  <dcterms:modified xsi:type="dcterms:W3CDTF">2024-09-16T15:45:00Z</dcterms:modified>
</cp:coreProperties>
</file>