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DE3D9" w14:textId="77777777" w:rsidR="007E517B" w:rsidRPr="00035B76" w:rsidRDefault="003A2957" w:rsidP="007A660C">
      <w:pPr>
        <w:spacing w:after="300"/>
        <w:jc w:val="center"/>
        <w:rPr>
          <w:rFonts w:ascii="Palatino Linotype" w:hAnsi="Palatino Linotype"/>
          <w:b/>
          <w:bCs/>
          <w:sz w:val="22"/>
          <w:szCs w:val="22"/>
          <w:u w:val="single"/>
        </w:rPr>
      </w:pPr>
      <w:r w:rsidRPr="00035B76">
        <w:rPr>
          <w:rFonts w:ascii="Palatino Linotype" w:hAnsi="Palatino Linotype"/>
          <w:b/>
          <w:bCs/>
          <w:sz w:val="22"/>
          <w:szCs w:val="22"/>
          <w:u w:val="single"/>
        </w:rPr>
        <w:t>Informe 4. Interseccionalidades: Mujeres y Niñas con Discapacidad</w:t>
      </w:r>
    </w:p>
    <w:p w14:paraId="0464330C" w14:textId="77777777" w:rsidR="007A660C" w:rsidRPr="00035B76" w:rsidRDefault="007A660C" w:rsidP="007A660C">
      <w:pPr>
        <w:spacing w:after="300"/>
        <w:rPr>
          <w:rFonts w:ascii="Palatino Linotype" w:hAnsi="Palatino Linotype"/>
          <w:sz w:val="22"/>
          <w:szCs w:val="22"/>
        </w:rPr>
      </w:pPr>
    </w:p>
    <w:p w14:paraId="3ADABA66" w14:textId="77777777" w:rsidR="007E517B" w:rsidRPr="00035B76" w:rsidRDefault="003A2957" w:rsidP="007A660C">
      <w:pPr>
        <w:spacing w:before="300" w:after="200"/>
        <w:jc w:val="both"/>
        <w:rPr>
          <w:rFonts w:ascii="Palatino Linotype" w:hAnsi="Palatino Linotype"/>
          <w:sz w:val="22"/>
          <w:szCs w:val="22"/>
        </w:rPr>
      </w:pPr>
      <w:r w:rsidRPr="00035B76">
        <w:rPr>
          <w:rFonts w:ascii="Palatino Linotype" w:hAnsi="Palatino Linotype"/>
          <w:b/>
          <w:bCs/>
          <w:sz w:val="22"/>
          <w:szCs w:val="22"/>
          <w:u w:val="single"/>
        </w:rPr>
        <w:t>1. Metodología</w:t>
      </w:r>
    </w:p>
    <w:p w14:paraId="742DA83A" w14:textId="77777777" w:rsidR="007E517B" w:rsidRPr="00035B76" w:rsidRDefault="003A2957" w:rsidP="007A660C">
      <w:pPr>
        <w:spacing w:after="200"/>
        <w:jc w:val="both"/>
        <w:rPr>
          <w:rFonts w:ascii="Palatino Linotype" w:hAnsi="Palatino Linotype"/>
          <w:sz w:val="22"/>
          <w:szCs w:val="22"/>
        </w:rPr>
      </w:pPr>
      <w:r w:rsidRPr="00035B76">
        <w:rPr>
          <w:rFonts w:ascii="Palatino Linotype" w:hAnsi="Palatino Linotype"/>
          <w:sz w:val="22"/>
          <w:szCs w:val="22"/>
        </w:rPr>
        <w:t>Este capítulo adopta la estructura del Informe temático para el Examen Periódico Universal (EPU). Se fundamenta en un análisis cuantitativo y cualitativo de datos oficiales del Estado chileno, cruzados y analizados mediante los estudios técnicos y el trabajo de defensa de derechos humanos territorial levantado por dos organizaciones civiles clave: el Círculo Emancipador de Mujeres y Niñas con Discapacidad de Chile (CIMUNIDIS)</w:t>
      </w:r>
      <w:r w:rsidRPr="00035B76">
        <w:rPr>
          <w:rStyle w:val="FootnoteReference"/>
          <w:rFonts w:ascii="Palatino Linotype" w:hAnsi="Palatino Linotype"/>
          <w:sz w:val="22"/>
          <w:szCs w:val="22"/>
        </w:rPr>
        <w:footnoteReference w:id="1"/>
      </w:r>
      <w:r w:rsidRPr="00035B76">
        <w:rPr>
          <w:rFonts w:ascii="Palatino Linotype" w:hAnsi="Palatino Linotype"/>
          <w:sz w:val="22"/>
          <w:szCs w:val="22"/>
        </w:rPr>
        <w:t xml:space="preserve"> y la Agrupación Líderes con Mil Capacidades (LÍDERES)</w:t>
      </w:r>
      <w:r w:rsidRPr="00035B76">
        <w:rPr>
          <w:rStyle w:val="FootnoteReference"/>
          <w:rFonts w:ascii="Palatino Linotype" w:hAnsi="Palatino Linotype"/>
          <w:sz w:val="22"/>
          <w:szCs w:val="22"/>
        </w:rPr>
        <w:footnoteReference w:id="2"/>
      </w:r>
      <w:r w:rsidRPr="00035B76">
        <w:rPr>
          <w:rFonts w:ascii="Palatino Linotype" w:hAnsi="Palatino Linotype"/>
          <w:sz w:val="22"/>
          <w:szCs w:val="22"/>
        </w:rPr>
        <w:t>.</w:t>
      </w:r>
    </w:p>
    <w:p w14:paraId="169BBCB9" w14:textId="77777777" w:rsidR="007E517B" w:rsidRPr="00035B76" w:rsidRDefault="003A2957" w:rsidP="007A660C">
      <w:pPr>
        <w:spacing w:after="200"/>
        <w:jc w:val="both"/>
        <w:rPr>
          <w:rFonts w:ascii="Palatino Linotype" w:hAnsi="Palatino Linotype"/>
          <w:sz w:val="22"/>
          <w:szCs w:val="22"/>
        </w:rPr>
      </w:pPr>
      <w:r w:rsidRPr="00035B76">
        <w:rPr>
          <w:rFonts w:ascii="Palatino Linotype" w:hAnsi="Palatino Linotype"/>
          <w:sz w:val="22"/>
          <w:szCs w:val="22"/>
        </w:rPr>
        <w:t>Para garantizar un escrutinio riguroso e irrefutable del cumplimiento normativo, esta sección metodológica se estructuró en base a las siguientes fuentes de evidencia:</w:t>
      </w:r>
    </w:p>
    <w:p w14:paraId="6FA3BE3A"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Análisis de registros sanitarios y violencia institucional: </w:t>
      </w:r>
      <w:r w:rsidRPr="00035B76">
        <w:rPr>
          <w:rFonts w:ascii="Palatino Linotype" w:hAnsi="Palatino Linotype"/>
          <w:sz w:val="22"/>
          <w:szCs w:val="22"/>
        </w:rPr>
        <w:t>Se evaluaron las estadísticas vitales del Instituto Nacional de Estadísticas (INE) y los egresos hospitalarios consolidados por el DEIS (período 2001-2019), evidenciando el crecimiento sistemático de muertes dudosas en camas psiquiátricas públicas</w:t>
      </w:r>
      <w:r w:rsidRPr="00035B76">
        <w:rPr>
          <w:rStyle w:val="FootnoteReference"/>
          <w:rFonts w:ascii="Palatino Linotype" w:hAnsi="Palatino Linotype"/>
          <w:sz w:val="22"/>
          <w:szCs w:val="22"/>
        </w:rPr>
        <w:footnoteReference w:id="3"/>
      </w:r>
      <w:r w:rsidRPr="00035B76">
        <w:rPr>
          <w:rFonts w:ascii="Palatino Linotype" w:hAnsi="Palatino Linotype"/>
          <w:sz w:val="22"/>
          <w:szCs w:val="22"/>
        </w:rPr>
        <w:t>,</w:t>
      </w:r>
      <w:r w:rsidRPr="00035B76">
        <w:rPr>
          <w:rStyle w:val="FootnoteReference"/>
          <w:rFonts w:ascii="Palatino Linotype" w:hAnsi="Palatino Linotype"/>
          <w:sz w:val="22"/>
          <w:szCs w:val="22"/>
        </w:rPr>
        <w:footnoteReference w:id="4"/>
      </w:r>
      <w:r w:rsidRPr="00035B76">
        <w:rPr>
          <w:rFonts w:ascii="Palatino Linotype" w:hAnsi="Palatino Linotype"/>
          <w:sz w:val="22"/>
          <w:szCs w:val="22"/>
        </w:rPr>
        <w:t xml:space="preserve">. Asimismo, se analizaron los registros históricos del MINSAL (2003-2015) sobre los casos aprobados bajo la Norma Técnica </w:t>
      </w:r>
      <w:proofErr w:type="spellStart"/>
      <w:r w:rsidRPr="00035B76">
        <w:rPr>
          <w:rFonts w:ascii="Palatino Linotype" w:hAnsi="Palatino Linotype"/>
          <w:sz w:val="22"/>
          <w:szCs w:val="22"/>
        </w:rPr>
        <w:t>N°</w:t>
      </w:r>
      <w:proofErr w:type="spellEnd"/>
      <w:r w:rsidRPr="00035B76">
        <w:rPr>
          <w:rFonts w:ascii="Palatino Linotype" w:hAnsi="Palatino Linotype"/>
          <w:sz w:val="22"/>
          <w:szCs w:val="22"/>
        </w:rPr>
        <w:t xml:space="preserve"> 71 relativos a esterilizaciones quirúrgicas involuntarias en mujeres carentes de capacidad para consentir.</w:t>
      </w:r>
    </w:p>
    <w:p w14:paraId="77C599AC"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Análisis de resoluciones y fiscalizaciones en terreno: </w:t>
      </w:r>
      <w:r w:rsidRPr="00035B76">
        <w:rPr>
          <w:rFonts w:ascii="Palatino Linotype" w:hAnsi="Palatino Linotype"/>
          <w:sz w:val="22"/>
          <w:szCs w:val="22"/>
        </w:rPr>
        <w:t xml:space="preserve">Se incorporó el levantamiento en terreno realizado por el Comité Nacional para la Prevención de la Tortura (CPT) y la Comisión Regional de Protección de Derechos (COREPREM). Estas fiscalizaciones documentan el uso de Terapia </w:t>
      </w:r>
      <w:proofErr w:type="spellStart"/>
      <w:r w:rsidRPr="00035B76">
        <w:rPr>
          <w:rFonts w:ascii="Palatino Linotype" w:hAnsi="Palatino Linotype"/>
          <w:sz w:val="22"/>
          <w:szCs w:val="22"/>
        </w:rPr>
        <w:t>Electroconvulsivante</w:t>
      </w:r>
      <w:proofErr w:type="spellEnd"/>
      <w:r w:rsidRPr="00035B76">
        <w:rPr>
          <w:rFonts w:ascii="Palatino Linotype" w:hAnsi="Palatino Linotype"/>
          <w:sz w:val="22"/>
          <w:szCs w:val="22"/>
        </w:rPr>
        <w:t xml:space="preserve"> (TEC) sin anestesia, segmentación etaria inadecuada y regímenes de aislamiento prolongado en el Hospital Psiquiátrico del Salvador de Valparaíso</w:t>
      </w:r>
      <w:r w:rsidRPr="00035B76">
        <w:rPr>
          <w:rStyle w:val="FootnoteReference"/>
          <w:rFonts w:ascii="Palatino Linotype" w:hAnsi="Palatino Linotype"/>
          <w:sz w:val="22"/>
          <w:szCs w:val="22"/>
        </w:rPr>
        <w:footnoteReference w:id="5"/>
      </w:r>
      <w:r w:rsidRPr="00035B76">
        <w:rPr>
          <w:rFonts w:ascii="Palatino Linotype" w:hAnsi="Palatino Linotype"/>
          <w:sz w:val="22"/>
          <w:szCs w:val="22"/>
        </w:rPr>
        <w:t>. Respecto de los centros penitenciarios, el CPT constató un limitado acceso a servicios de salud especializados para las personas privadas de libertad</w:t>
      </w:r>
      <w:r w:rsidRPr="00035B76">
        <w:rPr>
          <w:rStyle w:val="FootnoteReference"/>
          <w:rFonts w:ascii="Palatino Linotype" w:hAnsi="Palatino Linotype"/>
          <w:sz w:val="22"/>
          <w:szCs w:val="22"/>
        </w:rPr>
        <w:footnoteReference w:id="6"/>
      </w:r>
      <w:r w:rsidRPr="00035B76">
        <w:rPr>
          <w:rFonts w:ascii="Palatino Linotype" w:hAnsi="Palatino Linotype"/>
          <w:sz w:val="22"/>
          <w:szCs w:val="22"/>
        </w:rPr>
        <w:t>.</w:t>
      </w:r>
    </w:p>
    <w:p w14:paraId="72A55D2F"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Evaluación de la Convención (CDPD) y brechas legislativas: </w:t>
      </w:r>
      <w:r w:rsidRPr="00035B76">
        <w:rPr>
          <w:rFonts w:ascii="Palatino Linotype" w:hAnsi="Palatino Linotype"/>
          <w:sz w:val="22"/>
          <w:szCs w:val="22"/>
        </w:rPr>
        <w:t xml:space="preserve">Mediante el análisis jurídico de normativas vigentes, se evaluó el nivel de cumplimiento del Estado chileno respecto a los artículos 6, 7, 12 y 15 de la Convención. Este enfoque integró la revisión </w:t>
      </w:r>
      <w:r w:rsidRPr="00035B76">
        <w:rPr>
          <w:rFonts w:ascii="Palatino Linotype" w:hAnsi="Palatino Linotype"/>
          <w:sz w:val="22"/>
          <w:szCs w:val="22"/>
        </w:rPr>
        <w:lastRenderedPageBreak/>
        <w:t xml:space="preserve">exhaustiva del estancamiento en la Ley de Salud Mental Integral (Boletín </w:t>
      </w:r>
      <w:proofErr w:type="spellStart"/>
      <w:r w:rsidRPr="00035B76">
        <w:rPr>
          <w:rFonts w:ascii="Palatino Linotype" w:hAnsi="Palatino Linotype"/>
          <w:sz w:val="22"/>
          <w:szCs w:val="22"/>
        </w:rPr>
        <w:t>N°</w:t>
      </w:r>
      <w:proofErr w:type="spellEnd"/>
      <w:r w:rsidRPr="00035B76">
        <w:rPr>
          <w:rFonts w:ascii="Palatino Linotype" w:hAnsi="Palatino Linotype"/>
          <w:sz w:val="22"/>
          <w:szCs w:val="22"/>
        </w:rPr>
        <w:t xml:space="preserve"> 17003-11) y la perpetuación de la voluntad sustitutiva en la norma técnica de Interrupción Voluntaria del Embarazo (IVE)</w:t>
      </w:r>
      <w:r w:rsidRPr="00035B76">
        <w:rPr>
          <w:rStyle w:val="FootnoteReference"/>
          <w:rFonts w:ascii="Palatino Linotype" w:hAnsi="Palatino Linotype"/>
          <w:sz w:val="22"/>
          <w:szCs w:val="22"/>
        </w:rPr>
        <w:footnoteReference w:id="7"/>
      </w:r>
      <w:r w:rsidRPr="00035B76">
        <w:rPr>
          <w:rFonts w:ascii="Palatino Linotype" w:hAnsi="Palatino Linotype"/>
          <w:sz w:val="22"/>
          <w:szCs w:val="22"/>
        </w:rPr>
        <w:t>,</w:t>
      </w:r>
      <w:r w:rsidRPr="00035B76">
        <w:rPr>
          <w:rStyle w:val="FootnoteReference"/>
          <w:rFonts w:ascii="Palatino Linotype" w:hAnsi="Palatino Linotype"/>
          <w:sz w:val="22"/>
          <w:szCs w:val="22"/>
        </w:rPr>
        <w:footnoteReference w:id="8"/>
      </w:r>
      <w:r w:rsidRPr="00035B76">
        <w:rPr>
          <w:rFonts w:ascii="Palatino Linotype" w:hAnsi="Palatino Linotype"/>
          <w:sz w:val="22"/>
          <w:szCs w:val="22"/>
        </w:rPr>
        <w:t>.</w:t>
      </w:r>
    </w:p>
    <w:p w14:paraId="4CF4BE19"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Levantamiento cualitativo sobre discriminación interseccional e infancia: </w:t>
      </w:r>
      <w:r w:rsidRPr="00035B76">
        <w:rPr>
          <w:rFonts w:ascii="Palatino Linotype" w:hAnsi="Palatino Linotype"/>
          <w:sz w:val="22"/>
          <w:szCs w:val="22"/>
        </w:rPr>
        <w:t>Finalmente, el diagnóstico integró la evidencia aportada por encuestas nacionales, como la ENDIDE 2022 y la Encuesta GENDISC 2026</w:t>
      </w:r>
      <w:r w:rsidRPr="00035B76">
        <w:rPr>
          <w:rStyle w:val="FootnoteReference"/>
          <w:rFonts w:ascii="Palatino Linotype" w:hAnsi="Palatino Linotype"/>
          <w:sz w:val="22"/>
          <w:szCs w:val="22"/>
        </w:rPr>
        <w:footnoteReference w:id="9"/>
      </w:r>
      <w:r w:rsidRPr="00035B76">
        <w:rPr>
          <w:rFonts w:ascii="Palatino Linotype" w:hAnsi="Palatino Linotype"/>
          <w:sz w:val="22"/>
          <w:szCs w:val="22"/>
        </w:rPr>
        <w:t>, sumado a denuncias documentadas por medios nacionales, oficios forenses y estudios de la sociedad civil sobre la doble discriminación, las muertes bajo custodia estatal y la situación de niños, niñas y adolescentes (NNA) con discapacidad en recintos de Mejor Niñez</w:t>
      </w:r>
      <w:r w:rsidRPr="00035B76">
        <w:rPr>
          <w:rStyle w:val="FootnoteReference"/>
          <w:rFonts w:ascii="Palatino Linotype" w:hAnsi="Palatino Linotype"/>
          <w:sz w:val="22"/>
          <w:szCs w:val="22"/>
        </w:rPr>
        <w:footnoteReference w:id="10"/>
      </w:r>
      <w:r w:rsidRPr="00035B76">
        <w:rPr>
          <w:rFonts w:ascii="Palatino Linotype" w:hAnsi="Palatino Linotype"/>
          <w:sz w:val="22"/>
          <w:szCs w:val="22"/>
        </w:rPr>
        <w:t>,</w:t>
      </w:r>
      <w:r w:rsidRPr="00035B76">
        <w:rPr>
          <w:rStyle w:val="FootnoteReference"/>
          <w:rFonts w:ascii="Palatino Linotype" w:hAnsi="Palatino Linotype"/>
          <w:sz w:val="22"/>
          <w:szCs w:val="22"/>
        </w:rPr>
        <w:footnoteReference w:id="11"/>
      </w:r>
      <w:r w:rsidRPr="00035B76">
        <w:rPr>
          <w:rFonts w:ascii="Palatino Linotype" w:hAnsi="Palatino Linotype"/>
          <w:sz w:val="22"/>
          <w:szCs w:val="22"/>
        </w:rPr>
        <w:t>.</w:t>
      </w:r>
    </w:p>
    <w:p w14:paraId="4E15BF74" w14:textId="77777777" w:rsidR="007A660C" w:rsidRPr="00035B76" w:rsidRDefault="007A660C" w:rsidP="007A660C">
      <w:pPr>
        <w:spacing w:after="200"/>
        <w:jc w:val="both"/>
        <w:rPr>
          <w:rFonts w:ascii="Palatino Linotype" w:hAnsi="Palatino Linotype"/>
          <w:sz w:val="22"/>
          <w:szCs w:val="22"/>
        </w:rPr>
      </w:pPr>
    </w:p>
    <w:p w14:paraId="642D9FD1" w14:textId="77777777" w:rsidR="007E517B" w:rsidRPr="00035B76" w:rsidRDefault="003A2957" w:rsidP="007A660C">
      <w:pPr>
        <w:spacing w:before="300" w:after="200"/>
        <w:jc w:val="both"/>
        <w:rPr>
          <w:rFonts w:ascii="Palatino Linotype" w:hAnsi="Palatino Linotype"/>
          <w:sz w:val="22"/>
          <w:szCs w:val="22"/>
        </w:rPr>
      </w:pPr>
      <w:r w:rsidRPr="00035B76">
        <w:rPr>
          <w:rFonts w:ascii="Palatino Linotype" w:hAnsi="Palatino Linotype"/>
          <w:b/>
          <w:bCs/>
          <w:sz w:val="22"/>
          <w:szCs w:val="22"/>
          <w:u w:val="single"/>
        </w:rPr>
        <w:t>2. Seguimiento del estado actual (Avances)</w:t>
      </w:r>
    </w:p>
    <w:p w14:paraId="455913DB" w14:textId="77777777" w:rsidR="007E517B" w:rsidRPr="00035B76" w:rsidRDefault="003A2957" w:rsidP="007A660C">
      <w:pPr>
        <w:spacing w:after="200"/>
        <w:jc w:val="both"/>
        <w:rPr>
          <w:rFonts w:ascii="Palatino Linotype" w:hAnsi="Palatino Linotype"/>
          <w:sz w:val="22"/>
          <w:szCs w:val="22"/>
        </w:rPr>
      </w:pPr>
      <w:r w:rsidRPr="00035B76">
        <w:rPr>
          <w:rFonts w:ascii="Palatino Linotype" w:hAnsi="Palatino Linotype"/>
          <w:sz w:val="22"/>
          <w:szCs w:val="22"/>
        </w:rPr>
        <w:t>El Estado de Chile ha promovido ciertas normativas e iniciativas institucionales enfocadas en la protección de derechos y la inclusión de las mujeres y niñas con discapacidad, destacando los siguientes instrumentos y medidas:</w:t>
      </w:r>
    </w:p>
    <w:p w14:paraId="055B86DD"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Ley integral de las personas mayores (2026): </w:t>
      </w:r>
      <w:r w:rsidRPr="00035B76">
        <w:rPr>
          <w:rFonts w:ascii="Palatino Linotype" w:hAnsi="Palatino Linotype"/>
          <w:sz w:val="22"/>
          <w:szCs w:val="22"/>
        </w:rPr>
        <w:t xml:space="preserve">Promulgación de la Ley </w:t>
      </w:r>
      <w:proofErr w:type="spellStart"/>
      <w:r w:rsidRPr="00035B76">
        <w:rPr>
          <w:rFonts w:ascii="Palatino Linotype" w:hAnsi="Palatino Linotype"/>
          <w:sz w:val="22"/>
          <w:szCs w:val="22"/>
        </w:rPr>
        <w:t>N°</w:t>
      </w:r>
      <w:proofErr w:type="spellEnd"/>
      <w:r w:rsidRPr="00035B76">
        <w:rPr>
          <w:rFonts w:ascii="Palatino Linotype" w:hAnsi="Palatino Linotype"/>
          <w:sz w:val="22"/>
          <w:szCs w:val="22"/>
        </w:rPr>
        <w:t xml:space="preserve"> 21.822, orientada a la promoción del envejecimiento digno, activo y saludable, efectuada el 22 de mayo de 2026.</w:t>
      </w:r>
    </w:p>
    <w:p w14:paraId="235178A5"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Proyecto de ley de salud mental integral (2026): </w:t>
      </w:r>
      <w:r w:rsidRPr="00035B76">
        <w:rPr>
          <w:rFonts w:ascii="Palatino Linotype" w:hAnsi="Palatino Linotype"/>
          <w:sz w:val="22"/>
          <w:szCs w:val="22"/>
        </w:rPr>
        <w:t>Ingreso del proyecto de ley (Boletín 17003-11) que establece la ley de salud mental integral, actualmente en primer trámite constitucional en el Senado. Sin embargo, esta iniciativa mantiene brechas de género y discapacidad al carecer de presupuesto para labores intersectoriales, omitir la atención en salud mental para mujeres con discapacidad auditiva, y no derogar la voluntad sustitutiva, el Régimen de Curatelas de 1855 ni las normas de esterilización quirúrgica vigentes</w:t>
      </w:r>
      <w:r w:rsidRPr="00035B76">
        <w:rPr>
          <w:rStyle w:val="FootnoteReference"/>
          <w:rFonts w:ascii="Palatino Linotype" w:hAnsi="Palatino Linotype"/>
          <w:sz w:val="22"/>
          <w:szCs w:val="22"/>
        </w:rPr>
        <w:footnoteReference w:id="12"/>
      </w:r>
      <w:r w:rsidRPr="00035B76">
        <w:rPr>
          <w:rFonts w:ascii="Palatino Linotype" w:hAnsi="Palatino Linotype"/>
          <w:sz w:val="22"/>
          <w:szCs w:val="22"/>
        </w:rPr>
        <w:t>,</w:t>
      </w:r>
      <w:r w:rsidRPr="00035B76">
        <w:rPr>
          <w:rStyle w:val="FootnoteReference"/>
          <w:rFonts w:ascii="Palatino Linotype" w:hAnsi="Palatino Linotype"/>
          <w:sz w:val="22"/>
          <w:szCs w:val="22"/>
        </w:rPr>
        <w:footnoteReference w:id="13"/>
      </w:r>
      <w:r w:rsidRPr="00035B76">
        <w:rPr>
          <w:rFonts w:ascii="Palatino Linotype" w:hAnsi="Palatino Linotype"/>
          <w:sz w:val="22"/>
          <w:szCs w:val="22"/>
        </w:rPr>
        <w:t>.</w:t>
      </w:r>
    </w:p>
    <w:p w14:paraId="078E19CD"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Incremento de la cuota de inclusión laboral (2024): </w:t>
      </w:r>
      <w:r w:rsidRPr="00035B76">
        <w:rPr>
          <w:rFonts w:ascii="Palatino Linotype" w:hAnsi="Palatino Linotype"/>
          <w:sz w:val="22"/>
          <w:szCs w:val="22"/>
        </w:rPr>
        <w:t xml:space="preserve">Aprobación parlamentaria del incremento de la cuota de contratación de personas con discapacidad al 2%. Si bien el </w:t>
      </w:r>
      <w:r w:rsidRPr="00035B76">
        <w:rPr>
          <w:rFonts w:ascii="Palatino Linotype" w:hAnsi="Palatino Linotype"/>
          <w:sz w:val="22"/>
          <w:szCs w:val="22"/>
        </w:rPr>
        <w:lastRenderedPageBreak/>
        <w:t>Poder Ejecutivo destacó la participación civil en esta reforma, la medida no resuelve la persistente brecha de género (con un 60,3% de mujeres con discapacidad inactivas), ni la exclusión por discapacidad psicosocial, derivado de los efectos perversos donde las empresas prefieren pagar las multas en lugar de contratar</w:t>
      </w:r>
      <w:r w:rsidRPr="00035B76">
        <w:rPr>
          <w:rStyle w:val="FootnoteReference"/>
          <w:rFonts w:ascii="Palatino Linotype" w:hAnsi="Palatino Linotype"/>
          <w:sz w:val="22"/>
          <w:szCs w:val="22"/>
        </w:rPr>
        <w:footnoteReference w:id="14"/>
      </w:r>
      <w:r w:rsidRPr="00035B76">
        <w:rPr>
          <w:rFonts w:ascii="Palatino Linotype" w:hAnsi="Palatino Linotype"/>
          <w:sz w:val="22"/>
          <w:szCs w:val="22"/>
        </w:rPr>
        <w:t>,</w:t>
      </w:r>
      <w:r w:rsidRPr="00035B76">
        <w:rPr>
          <w:rStyle w:val="FootnoteReference"/>
          <w:rFonts w:ascii="Palatino Linotype" w:hAnsi="Palatino Linotype"/>
          <w:sz w:val="22"/>
          <w:szCs w:val="22"/>
        </w:rPr>
        <w:footnoteReference w:id="15"/>
      </w:r>
      <w:r w:rsidRPr="00035B76">
        <w:rPr>
          <w:rFonts w:ascii="Palatino Linotype" w:hAnsi="Palatino Linotype"/>
          <w:sz w:val="22"/>
          <w:szCs w:val="22"/>
        </w:rPr>
        <w:t>.</w:t>
      </w:r>
    </w:p>
    <w:p w14:paraId="7180885D"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Iniciativas de maternidad inclusiva (2025): </w:t>
      </w:r>
      <w:r w:rsidRPr="00035B76">
        <w:rPr>
          <w:rFonts w:ascii="Palatino Linotype" w:hAnsi="Palatino Linotype"/>
          <w:sz w:val="22"/>
          <w:szCs w:val="22"/>
        </w:rPr>
        <w:t xml:space="preserve">Acogida estatal a la iniciativa de ACNUDH y </w:t>
      </w:r>
      <w:proofErr w:type="spellStart"/>
      <w:r w:rsidRPr="00035B76">
        <w:rPr>
          <w:rFonts w:ascii="Palatino Linotype" w:hAnsi="Palatino Linotype"/>
          <w:sz w:val="22"/>
          <w:szCs w:val="22"/>
        </w:rPr>
        <w:t>Dignitem</w:t>
      </w:r>
      <w:proofErr w:type="spellEnd"/>
      <w:r w:rsidRPr="00035B76">
        <w:rPr>
          <w:rFonts w:ascii="Palatino Linotype" w:hAnsi="Palatino Linotype"/>
          <w:sz w:val="22"/>
          <w:szCs w:val="22"/>
        </w:rPr>
        <w:t xml:space="preserve"> para implementar en los Servicios de Salud una política a favor de la maternidad de las mujeres con discapacidad, basada en un enfoque de derechos humanos, género y discapacidad.</w:t>
      </w:r>
    </w:p>
    <w:p w14:paraId="6AFC4F25" w14:textId="7FB7D46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Levantamiento de denuncias sobre violencia obstétrica (2026): </w:t>
      </w:r>
      <w:r w:rsidRPr="00035B76">
        <w:rPr>
          <w:rFonts w:ascii="Palatino Linotype" w:hAnsi="Palatino Linotype"/>
          <w:sz w:val="22"/>
          <w:szCs w:val="22"/>
        </w:rPr>
        <w:t xml:space="preserve">Lanzamiento de la Encuesta GENDISC 26, iniciativa de UDLA y SENADIS para recoger denuncias sobre las múltiples formas de violencia gineco-obstétrica. Pese a este avance, falta integrar estas demandas en la Ley </w:t>
      </w:r>
      <w:proofErr w:type="spellStart"/>
      <w:r w:rsidRPr="00035B76">
        <w:rPr>
          <w:rFonts w:ascii="Palatino Linotype" w:hAnsi="Palatino Linotype"/>
          <w:sz w:val="22"/>
          <w:szCs w:val="22"/>
        </w:rPr>
        <w:t>N°</w:t>
      </w:r>
      <w:proofErr w:type="spellEnd"/>
      <w:r w:rsidRPr="00035B76">
        <w:rPr>
          <w:rFonts w:ascii="Palatino Linotype" w:hAnsi="Palatino Linotype"/>
          <w:sz w:val="22"/>
          <w:szCs w:val="22"/>
        </w:rPr>
        <w:t xml:space="preserve"> 21.675 contra la Violencia Integral y en la Encuesta Nacional de Violencia contra las Mujeres</w:t>
      </w:r>
      <w:r w:rsidRPr="00035B76">
        <w:rPr>
          <w:rStyle w:val="FootnoteReference"/>
          <w:rFonts w:ascii="Palatino Linotype" w:hAnsi="Palatino Linotype"/>
          <w:sz w:val="22"/>
          <w:szCs w:val="22"/>
        </w:rPr>
        <w:footnoteReference w:id="16"/>
      </w:r>
      <w:r w:rsidRPr="00035B76">
        <w:rPr>
          <w:rFonts w:ascii="Palatino Linotype" w:hAnsi="Palatino Linotype"/>
          <w:sz w:val="22"/>
          <w:szCs w:val="22"/>
        </w:rPr>
        <w:t>,</w:t>
      </w:r>
      <w:r w:rsidRPr="00035B76">
        <w:rPr>
          <w:rStyle w:val="FootnoteReference"/>
          <w:rFonts w:ascii="Palatino Linotype" w:hAnsi="Palatino Linotype"/>
          <w:sz w:val="22"/>
          <w:szCs w:val="22"/>
        </w:rPr>
        <w:footnoteReference w:id="17"/>
      </w:r>
      <w:r w:rsidR="00295BF2" w:rsidRPr="00035B76">
        <w:rPr>
          <w:rFonts w:ascii="Palatino Linotype" w:hAnsi="Palatino Linotype"/>
          <w:sz w:val="22"/>
          <w:szCs w:val="22"/>
        </w:rPr>
        <w:t xml:space="preserve"> incluyendo l</w:t>
      </w:r>
      <w:r w:rsidR="00D52DB4" w:rsidRPr="00035B76">
        <w:rPr>
          <w:rFonts w:ascii="Palatino Linotype" w:hAnsi="Palatino Linotype"/>
          <w:sz w:val="22"/>
          <w:szCs w:val="22"/>
        </w:rPr>
        <w:t>o</w:t>
      </w:r>
      <w:r w:rsidR="00295BF2" w:rsidRPr="00035B76">
        <w:rPr>
          <w:rFonts w:ascii="Palatino Linotype" w:hAnsi="Palatino Linotype"/>
          <w:sz w:val="22"/>
          <w:szCs w:val="22"/>
        </w:rPr>
        <w:t xml:space="preserve">s </w:t>
      </w:r>
      <w:r w:rsidR="00D52DB4" w:rsidRPr="00035B76">
        <w:rPr>
          <w:rFonts w:ascii="Palatino Linotype" w:hAnsi="Palatino Linotype"/>
          <w:sz w:val="22"/>
          <w:szCs w:val="22"/>
        </w:rPr>
        <w:t>protocolos</w:t>
      </w:r>
      <w:r w:rsidR="00295BF2" w:rsidRPr="00035B76">
        <w:rPr>
          <w:rFonts w:ascii="Palatino Linotype" w:hAnsi="Palatino Linotype"/>
          <w:sz w:val="22"/>
          <w:szCs w:val="22"/>
        </w:rPr>
        <w:t xml:space="preserve"> hospitalari</w:t>
      </w:r>
      <w:r w:rsidR="00D52DB4" w:rsidRPr="00035B76">
        <w:rPr>
          <w:rFonts w:ascii="Palatino Linotype" w:hAnsi="Palatino Linotype"/>
          <w:sz w:val="22"/>
          <w:szCs w:val="22"/>
        </w:rPr>
        <w:t>o</w:t>
      </w:r>
      <w:r w:rsidR="00295BF2" w:rsidRPr="00035B76">
        <w:rPr>
          <w:rFonts w:ascii="Palatino Linotype" w:hAnsi="Palatino Linotype"/>
          <w:sz w:val="22"/>
          <w:szCs w:val="22"/>
        </w:rPr>
        <w:t>s de adopción forzada contra madres con discapacidad</w:t>
      </w:r>
      <w:r w:rsidR="008D154E" w:rsidRPr="00035B76">
        <w:rPr>
          <w:rFonts w:ascii="Palatino Linotype" w:hAnsi="Palatino Linotype"/>
          <w:sz w:val="22"/>
          <w:szCs w:val="22"/>
        </w:rPr>
        <w:t xml:space="preserve"> </w:t>
      </w:r>
      <w:r w:rsidR="00D52DB4" w:rsidRPr="00035B76">
        <w:rPr>
          <w:rFonts w:ascii="Palatino Linotype" w:hAnsi="Palatino Linotype"/>
          <w:sz w:val="22"/>
          <w:szCs w:val="22"/>
        </w:rPr>
        <w:t>intelectual y psicosocial.</w:t>
      </w:r>
    </w:p>
    <w:p w14:paraId="6C7525EA"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Consentimiento Informado en Lectura Fácil (2026): </w:t>
      </w:r>
      <w:r w:rsidRPr="00035B76">
        <w:rPr>
          <w:rFonts w:ascii="Palatino Linotype" w:hAnsi="Palatino Linotype"/>
          <w:sz w:val="22"/>
          <w:szCs w:val="22"/>
        </w:rPr>
        <w:t>Implementación mediante CONAPREM-MINSAL de un formulario de Consentimiento Informado en Lectura Fácil aplicable a peticiones de esterilización quirúrgica en mujeres con discapacidad mental. No obstante, este avance es limitado, ya que excluye procedimientos irreversibles como el aborto legal o la anticoncepción forzada, y no incorpora otros formatos accesibles como el sistema braille, pictogramas o la Lengua de Señas Chilena (</w:t>
      </w:r>
      <w:proofErr w:type="spellStart"/>
      <w:r w:rsidRPr="00035B76">
        <w:rPr>
          <w:rFonts w:ascii="Palatino Linotype" w:hAnsi="Palatino Linotype"/>
          <w:sz w:val="22"/>
          <w:szCs w:val="22"/>
        </w:rPr>
        <w:t>LSCh</w:t>
      </w:r>
      <w:proofErr w:type="spellEnd"/>
      <w:r w:rsidRPr="00035B76">
        <w:rPr>
          <w:rFonts w:ascii="Palatino Linotype" w:hAnsi="Palatino Linotype"/>
          <w:sz w:val="22"/>
          <w:szCs w:val="22"/>
        </w:rPr>
        <w:t>)</w:t>
      </w:r>
      <w:r w:rsidRPr="00035B76">
        <w:rPr>
          <w:rStyle w:val="FootnoteReference"/>
          <w:rFonts w:ascii="Palatino Linotype" w:hAnsi="Palatino Linotype"/>
          <w:sz w:val="22"/>
          <w:szCs w:val="22"/>
        </w:rPr>
        <w:footnoteReference w:id="18"/>
      </w:r>
      <w:r w:rsidRPr="00035B76">
        <w:rPr>
          <w:rFonts w:ascii="Palatino Linotype" w:hAnsi="Palatino Linotype"/>
          <w:sz w:val="22"/>
          <w:szCs w:val="22"/>
        </w:rPr>
        <w:t>.</w:t>
      </w:r>
    </w:p>
    <w:p w14:paraId="0F915B7C" w14:textId="77777777" w:rsidR="007A660C" w:rsidRPr="00035B76" w:rsidRDefault="007A660C" w:rsidP="007A660C">
      <w:pPr>
        <w:spacing w:after="200"/>
        <w:jc w:val="both"/>
        <w:rPr>
          <w:rFonts w:ascii="Palatino Linotype" w:hAnsi="Palatino Linotype"/>
          <w:sz w:val="22"/>
          <w:szCs w:val="22"/>
        </w:rPr>
      </w:pPr>
    </w:p>
    <w:p w14:paraId="653C7C5D" w14:textId="77777777" w:rsidR="007E517B" w:rsidRPr="00035B76" w:rsidRDefault="003A2957" w:rsidP="007A660C">
      <w:pPr>
        <w:spacing w:before="300" w:after="200"/>
        <w:jc w:val="both"/>
        <w:rPr>
          <w:rFonts w:ascii="Palatino Linotype" w:hAnsi="Palatino Linotype"/>
          <w:sz w:val="22"/>
          <w:szCs w:val="22"/>
        </w:rPr>
      </w:pPr>
      <w:r w:rsidRPr="00035B76">
        <w:rPr>
          <w:rFonts w:ascii="Palatino Linotype" w:hAnsi="Palatino Linotype"/>
          <w:b/>
          <w:bCs/>
          <w:sz w:val="22"/>
          <w:szCs w:val="22"/>
          <w:u w:val="single"/>
        </w:rPr>
        <w:t>3. Nudos críticos y brechas</w:t>
      </w:r>
    </w:p>
    <w:p w14:paraId="5C7BED73" w14:textId="77777777" w:rsidR="007E517B" w:rsidRPr="00035B76" w:rsidRDefault="003A2957" w:rsidP="007A660C">
      <w:pPr>
        <w:spacing w:before="200" w:after="150"/>
        <w:jc w:val="both"/>
        <w:rPr>
          <w:rFonts w:ascii="Palatino Linotype" w:hAnsi="Palatino Linotype"/>
          <w:sz w:val="22"/>
          <w:szCs w:val="22"/>
        </w:rPr>
      </w:pPr>
      <w:r w:rsidRPr="00035B76">
        <w:rPr>
          <w:rFonts w:ascii="Palatino Linotype" w:hAnsi="Palatino Linotype"/>
          <w:b/>
          <w:bCs/>
          <w:sz w:val="22"/>
          <w:szCs w:val="22"/>
        </w:rPr>
        <w:t>A. Brechas en la igualdad, capacidad jurídica y no discriminación</w:t>
      </w:r>
    </w:p>
    <w:p w14:paraId="195143AD"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Ausencia de un principio amplio de igualdad: </w:t>
      </w:r>
      <w:r w:rsidRPr="00035B76">
        <w:rPr>
          <w:rFonts w:ascii="Palatino Linotype" w:hAnsi="Palatino Linotype"/>
          <w:sz w:val="22"/>
          <w:szCs w:val="22"/>
        </w:rPr>
        <w:t>En Chile no se encuentra consagrado un principio de igualdad y no discriminación hacia las personas con discapacidad que oriente a todo el ordenamiento jurídico y al Estado</w:t>
      </w:r>
      <w:r w:rsidRPr="00035B76">
        <w:rPr>
          <w:rStyle w:val="FootnoteReference"/>
          <w:rFonts w:ascii="Palatino Linotype" w:hAnsi="Palatino Linotype"/>
          <w:sz w:val="22"/>
          <w:szCs w:val="22"/>
        </w:rPr>
        <w:footnoteReference w:id="19"/>
      </w:r>
      <w:r w:rsidRPr="00035B76">
        <w:rPr>
          <w:rFonts w:ascii="Palatino Linotype" w:hAnsi="Palatino Linotype"/>
          <w:sz w:val="22"/>
          <w:szCs w:val="22"/>
        </w:rPr>
        <w:t xml:space="preserve">. A esto se suma el peligro de rechazo del proyecto que busca darle eficacia a la Ley </w:t>
      </w:r>
      <w:proofErr w:type="spellStart"/>
      <w:r w:rsidRPr="00035B76">
        <w:rPr>
          <w:rFonts w:ascii="Palatino Linotype" w:hAnsi="Palatino Linotype"/>
          <w:sz w:val="22"/>
          <w:szCs w:val="22"/>
        </w:rPr>
        <w:t>N°</w:t>
      </w:r>
      <w:proofErr w:type="spellEnd"/>
      <w:r w:rsidRPr="00035B76">
        <w:rPr>
          <w:rFonts w:ascii="Palatino Linotype" w:hAnsi="Palatino Linotype"/>
          <w:sz w:val="22"/>
          <w:szCs w:val="22"/>
        </w:rPr>
        <w:t xml:space="preserve"> 20.609 debido a discursos </w:t>
      </w:r>
      <w:proofErr w:type="spellStart"/>
      <w:r w:rsidRPr="00035B76">
        <w:rPr>
          <w:rFonts w:ascii="Palatino Linotype" w:hAnsi="Palatino Linotype"/>
          <w:sz w:val="22"/>
          <w:szCs w:val="22"/>
        </w:rPr>
        <w:lastRenderedPageBreak/>
        <w:t>antiderechos</w:t>
      </w:r>
      <w:proofErr w:type="spellEnd"/>
      <w:r w:rsidRPr="00035B76">
        <w:rPr>
          <w:rFonts w:ascii="Palatino Linotype" w:hAnsi="Palatino Linotype"/>
          <w:sz w:val="22"/>
          <w:szCs w:val="22"/>
        </w:rPr>
        <w:t>, lo que impide reconocer, sancionar y reparar la discriminación indirecta, múltiple y estructural hacia mujeres y niñas</w:t>
      </w:r>
      <w:r w:rsidRPr="00035B76">
        <w:rPr>
          <w:rStyle w:val="FootnoteReference"/>
          <w:rFonts w:ascii="Palatino Linotype" w:hAnsi="Palatino Linotype"/>
          <w:sz w:val="22"/>
          <w:szCs w:val="22"/>
        </w:rPr>
        <w:footnoteReference w:id="20"/>
      </w:r>
      <w:r w:rsidRPr="00035B76">
        <w:rPr>
          <w:rFonts w:ascii="Palatino Linotype" w:hAnsi="Palatino Linotype"/>
          <w:sz w:val="22"/>
          <w:szCs w:val="22"/>
        </w:rPr>
        <w:t>.</w:t>
      </w:r>
    </w:p>
    <w:p w14:paraId="5D9DF0BA"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Restricción a la capacidad jurídica (Art. 12 CDPD): </w:t>
      </w:r>
      <w:r w:rsidRPr="00035B76">
        <w:rPr>
          <w:rFonts w:ascii="Palatino Linotype" w:hAnsi="Palatino Linotype"/>
          <w:sz w:val="22"/>
          <w:szCs w:val="22"/>
        </w:rPr>
        <w:t>Persiste la plena vigencia del Régimen de Curatelas e interdicciones del Código Civil de 1855, el cual priva de autonomía a las personas con discapacidad mental bajo una vulneración del principio de igualdad ante la ley</w:t>
      </w:r>
      <w:r w:rsidRPr="00035B76">
        <w:rPr>
          <w:rStyle w:val="FootnoteReference"/>
          <w:rFonts w:ascii="Palatino Linotype" w:hAnsi="Palatino Linotype"/>
          <w:sz w:val="22"/>
          <w:szCs w:val="22"/>
        </w:rPr>
        <w:footnoteReference w:id="21"/>
      </w:r>
      <w:r w:rsidRPr="00035B76">
        <w:rPr>
          <w:rFonts w:ascii="Palatino Linotype" w:hAnsi="Palatino Linotype"/>
          <w:sz w:val="22"/>
          <w:szCs w:val="22"/>
        </w:rPr>
        <w:t>. A pesar de existir 14 proyectos legislativos para reformar la capacidad jurídica, ninguno cumple con el estándar internacional exigido, y el Estado no ha contemplado presupuesto para transitar hacia un modelo de toma de decisiones con apoyos</w:t>
      </w:r>
      <w:r w:rsidRPr="00035B76">
        <w:rPr>
          <w:rStyle w:val="FootnoteReference"/>
          <w:rFonts w:ascii="Palatino Linotype" w:hAnsi="Palatino Linotype"/>
          <w:sz w:val="22"/>
          <w:szCs w:val="22"/>
        </w:rPr>
        <w:footnoteReference w:id="22"/>
      </w:r>
      <w:r w:rsidRPr="00035B76">
        <w:rPr>
          <w:rFonts w:ascii="Palatino Linotype" w:hAnsi="Palatino Linotype"/>
          <w:sz w:val="22"/>
          <w:szCs w:val="22"/>
        </w:rPr>
        <w:t>.</w:t>
      </w:r>
    </w:p>
    <w:p w14:paraId="0F290835" w14:textId="77777777" w:rsidR="007E517B" w:rsidRPr="00035B76" w:rsidRDefault="003A2957" w:rsidP="007A660C">
      <w:pPr>
        <w:spacing w:before="200" w:after="150"/>
        <w:jc w:val="both"/>
        <w:rPr>
          <w:rFonts w:ascii="Palatino Linotype" w:hAnsi="Palatino Linotype"/>
          <w:sz w:val="22"/>
          <w:szCs w:val="22"/>
        </w:rPr>
      </w:pPr>
      <w:r w:rsidRPr="00035B76">
        <w:rPr>
          <w:rFonts w:ascii="Palatino Linotype" w:hAnsi="Palatino Linotype"/>
          <w:b/>
          <w:bCs/>
          <w:sz w:val="22"/>
          <w:szCs w:val="22"/>
        </w:rPr>
        <w:t>B. Precarización laboral y brecha de género</w:t>
      </w:r>
    </w:p>
    <w:p w14:paraId="342C9DAA"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Inactividad laboral femenina: </w:t>
      </w:r>
      <w:r w:rsidRPr="00035B76">
        <w:rPr>
          <w:rFonts w:ascii="Palatino Linotype" w:hAnsi="Palatino Linotype"/>
          <w:sz w:val="22"/>
          <w:szCs w:val="22"/>
        </w:rPr>
        <w:t>Existe una profunda brecha de género en el acceso al empleo formal. La ENDIDE 2022 demostró que el porcentaje de mujeres con discapacidad inactivas alcanza el 60,3%, frente a un 48,9% de hombres con discapacidad inactivos. Según SENADIS (2023), el porcentaje de hombres con discapacidad activos es 11,4 puntos porcentuales mayor que el de mujeres que se encuentran en la misma situación</w:t>
      </w:r>
      <w:r w:rsidRPr="00035B76">
        <w:rPr>
          <w:rStyle w:val="FootnoteReference"/>
          <w:rFonts w:ascii="Palatino Linotype" w:hAnsi="Palatino Linotype"/>
          <w:sz w:val="22"/>
          <w:szCs w:val="22"/>
        </w:rPr>
        <w:footnoteReference w:id="23"/>
      </w:r>
      <w:r w:rsidRPr="00035B76">
        <w:rPr>
          <w:rFonts w:ascii="Palatino Linotype" w:hAnsi="Palatino Linotype"/>
          <w:sz w:val="22"/>
          <w:szCs w:val="22"/>
        </w:rPr>
        <w:t>.</w:t>
      </w:r>
    </w:p>
    <w:p w14:paraId="2EA95661"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Efectos perversos de las multas de Inclusión Laboral: </w:t>
      </w:r>
      <w:r w:rsidRPr="00035B76">
        <w:rPr>
          <w:rFonts w:ascii="Palatino Linotype" w:hAnsi="Palatino Linotype"/>
          <w:sz w:val="22"/>
          <w:szCs w:val="22"/>
        </w:rPr>
        <w:t>La resistencia del sector empleador ha provocado que las empresas frecuentemente prefieran pagar la multa, utilizándola como una mitigación financiera, en lugar de cumplir con la obligación real de contratar a personas con discapacidad, dilatando injustificadamente la superación de estas brechas históricas</w:t>
      </w:r>
      <w:r w:rsidRPr="00035B76">
        <w:rPr>
          <w:rStyle w:val="FootnoteReference"/>
          <w:rFonts w:ascii="Palatino Linotype" w:hAnsi="Palatino Linotype"/>
          <w:sz w:val="22"/>
          <w:szCs w:val="22"/>
        </w:rPr>
        <w:footnoteReference w:id="24"/>
      </w:r>
      <w:r w:rsidRPr="00035B76">
        <w:rPr>
          <w:rFonts w:ascii="Palatino Linotype" w:hAnsi="Palatino Linotype"/>
          <w:sz w:val="22"/>
          <w:szCs w:val="22"/>
        </w:rPr>
        <w:t>.</w:t>
      </w:r>
    </w:p>
    <w:p w14:paraId="316395FD" w14:textId="77777777" w:rsidR="007E517B" w:rsidRPr="00035B76" w:rsidRDefault="003A2957" w:rsidP="007A660C">
      <w:pPr>
        <w:spacing w:before="200" w:after="150"/>
        <w:jc w:val="both"/>
        <w:rPr>
          <w:rFonts w:ascii="Palatino Linotype" w:hAnsi="Palatino Linotype"/>
          <w:sz w:val="22"/>
          <w:szCs w:val="22"/>
        </w:rPr>
      </w:pPr>
      <w:r w:rsidRPr="00035B76">
        <w:rPr>
          <w:rFonts w:ascii="Palatino Linotype" w:hAnsi="Palatino Linotype"/>
          <w:b/>
          <w:bCs/>
          <w:sz w:val="22"/>
          <w:szCs w:val="22"/>
        </w:rPr>
        <w:t>C. Vulneración de la salud reproductiva y omisión de consentimiento</w:t>
      </w:r>
    </w:p>
    <w:p w14:paraId="547DE114"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Voluntad sustitutiva en la Interrupción Voluntaria del Embarazo (IVE): </w:t>
      </w:r>
      <w:r w:rsidRPr="00035B76">
        <w:rPr>
          <w:rFonts w:ascii="Palatino Linotype" w:hAnsi="Palatino Linotype"/>
          <w:sz w:val="22"/>
          <w:szCs w:val="22"/>
        </w:rPr>
        <w:t>La actualización de la Norma Técnica de la Ley 21.030 omite de facto la igualdad reproductiva de las gestantes con discapacidad intelectual o psicosocial</w:t>
      </w:r>
      <w:r w:rsidRPr="00035B76">
        <w:rPr>
          <w:rStyle w:val="FootnoteReference"/>
          <w:rFonts w:ascii="Palatino Linotype" w:hAnsi="Palatino Linotype"/>
          <w:sz w:val="22"/>
          <w:szCs w:val="22"/>
        </w:rPr>
        <w:footnoteReference w:id="25"/>
      </w:r>
      <w:r w:rsidRPr="00035B76">
        <w:rPr>
          <w:rFonts w:ascii="Palatino Linotype" w:hAnsi="Palatino Linotype"/>
          <w:sz w:val="22"/>
          <w:szCs w:val="22"/>
        </w:rPr>
        <w:t>. Las decisiones se dirimen con normativas (como la Ley 20.584) que subordinan los derechos de las mujeres a la voluntad sustitutiva de médicos o curadores, asegurando intervenciones irreversibles y anticoncepción forzada sin consultar su voluntad real</w:t>
      </w:r>
      <w:r w:rsidRPr="00035B76">
        <w:rPr>
          <w:rStyle w:val="FootnoteReference"/>
          <w:rFonts w:ascii="Palatino Linotype" w:hAnsi="Palatino Linotype"/>
          <w:sz w:val="22"/>
          <w:szCs w:val="22"/>
        </w:rPr>
        <w:footnoteReference w:id="26"/>
      </w:r>
      <w:r w:rsidRPr="00035B76">
        <w:rPr>
          <w:rFonts w:ascii="Palatino Linotype" w:hAnsi="Palatino Linotype"/>
          <w:sz w:val="22"/>
          <w:szCs w:val="22"/>
        </w:rPr>
        <w:t>.</w:t>
      </w:r>
    </w:p>
    <w:p w14:paraId="7C3091C1"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lastRenderedPageBreak/>
        <w:t xml:space="preserve">Esterilizaciones involuntarias: </w:t>
      </w:r>
      <w:r w:rsidRPr="00035B76">
        <w:rPr>
          <w:rFonts w:ascii="Palatino Linotype" w:hAnsi="Palatino Linotype"/>
          <w:sz w:val="22"/>
          <w:szCs w:val="22"/>
        </w:rPr>
        <w:t>El Estado chileno no ha penalizado ni reparado las esterilizaciones forzadas aplicadas históricamente a decenas de mujeres y niñas con discapacidad</w:t>
      </w:r>
      <w:r w:rsidRPr="00035B76">
        <w:rPr>
          <w:rStyle w:val="FootnoteReference"/>
          <w:rFonts w:ascii="Palatino Linotype" w:hAnsi="Palatino Linotype"/>
          <w:sz w:val="22"/>
          <w:szCs w:val="22"/>
        </w:rPr>
        <w:footnoteReference w:id="27"/>
      </w:r>
      <w:r w:rsidRPr="00035B76">
        <w:rPr>
          <w:rFonts w:ascii="Palatino Linotype" w:hAnsi="Palatino Linotype"/>
          <w:sz w:val="22"/>
          <w:szCs w:val="22"/>
        </w:rPr>
        <w:t>. Los registros oficiales del Ministerio de Salud revelan que entre los años 2003 y 2015 se aprobaron 44 esterilizaciones de esta índole, de las cuales solo 8 correspondían a víctimas que contaban con capacidad legal para consentir</w:t>
      </w:r>
      <w:r w:rsidRPr="00035B76">
        <w:rPr>
          <w:rStyle w:val="FootnoteReference"/>
          <w:rFonts w:ascii="Palatino Linotype" w:hAnsi="Palatino Linotype"/>
          <w:sz w:val="22"/>
          <w:szCs w:val="22"/>
        </w:rPr>
        <w:footnoteReference w:id="28"/>
      </w:r>
      <w:r w:rsidRPr="00035B76">
        <w:rPr>
          <w:rFonts w:ascii="Palatino Linotype" w:hAnsi="Palatino Linotype"/>
          <w:sz w:val="22"/>
          <w:szCs w:val="22"/>
        </w:rPr>
        <w:t>.</w:t>
      </w:r>
    </w:p>
    <w:p w14:paraId="6E54A2FB" w14:textId="77777777" w:rsidR="007E517B" w:rsidRPr="00035B76" w:rsidRDefault="003A2957" w:rsidP="007A660C">
      <w:pPr>
        <w:spacing w:before="200" w:after="150"/>
        <w:jc w:val="both"/>
        <w:rPr>
          <w:rFonts w:ascii="Palatino Linotype" w:hAnsi="Palatino Linotype"/>
          <w:sz w:val="22"/>
          <w:szCs w:val="22"/>
        </w:rPr>
      </w:pPr>
      <w:r w:rsidRPr="00035B76">
        <w:rPr>
          <w:rFonts w:ascii="Palatino Linotype" w:hAnsi="Palatino Linotype"/>
          <w:b/>
          <w:bCs/>
          <w:sz w:val="22"/>
          <w:szCs w:val="22"/>
        </w:rPr>
        <w:t>D. Violencia estructural, tortura y privación de libertad</w:t>
      </w:r>
    </w:p>
    <w:p w14:paraId="3FFD596A"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Muertes dudosas bajo custodia del Estado: </w:t>
      </w:r>
      <w:r w:rsidRPr="00035B76">
        <w:rPr>
          <w:rFonts w:ascii="Palatino Linotype" w:hAnsi="Palatino Linotype"/>
          <w:sz w:val="22"/>
          <w:szCs w:val="22"/>
        </w:rPr>
        <w:t>Se evidencia una grave violencia institucional con un número alarmante de muertes dudosas en camas psiquiátricas del sector público</w:t>
      </w:r>
      <w:r w:rsidRPr="00035B76">
        <w:rPr>
          <w:rStyle w:val="FootnoteReference"/>
          <w:rFonts w:ascii="Palatino Linotype" w:hAnsi="Palatino Linotype"/>
          <w:sz w:val="22"/>
          <w:szCs w:val="22"/>
        </w:rPr>
        <w:footnoteReference w:id="29"/>
      </w:r>
      <w:r w:rsidRPr="00035B76">
        <w:rPr>
          <w:rFonts w:ascii="Palatino Linotype" w:hAnsi="Palatino Linotype"/>
          <w:sz w:val="22"/>
          <w:szCs w:val="22"/>
        </w:rPr>
        <w:t>. Los registros estadísticos demuestran que estos casos de fallecimientos se triplican en el caso de las mujeres con discapacidad psicosocial e intelectual en comparación al sistema privado, visibilizando una violencia patriarcal sistemática y falta de acceso a la justicia</w:t>
      </w:r>
      <w:r w:rsidRPr="00035B76">
        <w:rPr>
          <w:rStyle w:val="FootnoteReference"/>
          <w:rFonts w:ascii="Palatino Linotype" w:hAnsi="Palatino Linotype"/>
          <w:sz w:val="22"/>
          <w:szCs w:val="22"/>
        </w:rPr>
        <w:footnoteReference w:id="30"/>
      </w:r>
      <w:r w:rsidRPr="00035B76">
        <w:rPr>
          <w:rFonts w:ascii="Palatino Linotype" w:hAnsi="Palatino Linotype"/>
          <w:sz w:val="22"/>
          <w:szCs w:val="22"/>
        </w:rPr>
        <w:t>.</w:t>
      </w:r>
    </w:p>
    <w:p w14:paraId="755C1670"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Tortura y Terapia </w:t>
      </w:r>
      <w:proofErr w:type="spellStart"/>
      <w:r w:rsidRPr="00035B76">
        <w:rPr>
          <w:rFonts w:ascii="Palatino Linotype" w:hAnsi="Palatino Linotype"/>
          <w:b/>
          <w:bCs/>
          <w:sz w:val="22"/>
          <w:szCs w:val="22"/>
        </w:rPr>
        <w:t>Electroconvulsivante</w:t>
      </w:r>
      <w:proofErr w:type="spellEnd"/>
      <w:r w:rsidRPr="00035B76">
        <w:rPr>
          <w:rFonts w:ascii="Palatino Linotype" w:hAnsi="Palatino Linotype"/>
          <w:b/>
          <w:bCs/>
          <w:sz w:val="22"/>
          <w:szCs w:val="22"/>
        </w:rPr>
        <w:t xml:space="preserve"> (TEC): </w:t>
      </w:r>
      <w:r w:rsidRPr="00035B76">
        <w:rPr>
          <w:rFonts w:ascii="Palatino Linotype" w:hAnsi="Palatino Linotype"/>
          <w:sz w:val="22"/>
          <w:szCs w:val="22"/>
        </w:rPr>
        <w:t>Diferentes fiscalizaciones del CPT y COREPREM han documentado prácticas constitutivas de tortura en el Hospital Psiquiátrico del Salvador de Valparaíso</w:t>
      </w:r>
      <w:r w:rsidRPr="00035B76">
        <w:rPr>
          <w:rStyle w:val="FootnoteReference"/>
          <w:rFonts w:ascii="Palatino Linotype" w:hAnsi="Palatino Linotype"/>
          <w:sz w:val="22"/>
          <w:szCs w:val="22"/>
        </w:rPr>
        <w:footnoteReference w:id="31"/>
      </w:r>
      <w:r w:rsidRPr="00035B76">
        <w:rPr>
          <w:rFonts w:ascii="Palatino Linotype" w:hAnsi="Palatino Linotype"/>
          <w:sz w:val="22"/>
          <w:szCs w:val="22"/>
        </w:rPr>
        <w:t xml:space="preserve">. En dicho establecimiento se constató la aplicación de la Terapia </w:t>
      </w:r>
      <w:proofErr w:type="spellStart"/>
      <w:r w:rsidRPr="00035B76">
        <w:rPr>
          <w:rFonts w:ascii="Palatino Linotype" w:hAnsi="Palatino Linotype"/>
          <w:sz w:val="22"/>
          <w:szCs w:val="22"/>
        </w:rPr>
        <w:t>Electroconvulsivante</w:t>
      </w:r>
      <w:proofErr w:type="spellEnd"/>
      <w:r w:rsidRPr="00035B76">
        <w:rPr>
          <w:rFonts w:ascii="Palatino Linotype" w:hAnsi="Palatino Linotype"/>
          <w:sz w:val="22"/>
          <w:szCs w:val="22"/>
        </w:rPr>
        <w:t xml:space="preserve"> (TEC) sin anestesia y sin el consentimiento libre e informado de los pacientes, vulnerando de manera directa su derecho a la integridad física y psíquica</w:t>
      </w:r>
      <w:r w:rsidRPr="00035B76">
        <w:rPr>
          <w:rStyle w:val="FootnoteReference"/>
          <w:rFonts w:ascii="Palatino Linotype" w:hAnsi="Palatino Linotype"/>
          <w:sz w:val="22"/>
          <w:szCs w:val="22"/>
        </w:rPr>
        <w:footnoteReference w:id="32"/>
      </w:r>
      <w:r w:rsidRPr="00035B76">
        <w:rPr>
          <w:rFonts w:ascii="Palatino Linotype" w:hAnsi="Palatino Linotype"/>
          <w:sz w:val="22"/>
          <w:szCs w:val="22"/>
        </w:rPr>
        <w:t>.</w:t>
      </w:r>
    </w:p>
    <w:p w14:paraId="68D5CC35"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Aislamiento y precariedad hospitalaria e institucional: </w:t>
      </w:r>
      <w:r w:rsidRPr="00035B76">
        <w:rPr>
          <w:rFonts w:ascii="Palatino Linotype" w:hAnsi="Palatino Linotype"/>
          <w:sz w:val="22"/>
          <w:szCs w:val="22"/>
        </w:rPr>
        <w:t>Informes de expertos advierten sobre regímenes de encierro, aislamiento prolongado y segmentación inadecuada en los hospitales. En particular, el CPT constató que menores de edad de entre 15 y 17 años comparten dependencias clínicas con población adulta, en contravención de los estándares internacionales de derechos humanos que contraindican esta práctica para niños, niñas y adolescentes</w:t>
      </w:r>
      <w:r w:rsidRPr="00035B76">
        <w:rPr>
          <w:rStyle w:val="FootnoteReference"/>
          <w:rFonts w:ascii="Palatino Linotype" w:hAnsi="Palatino Linotype"/>
          <w:sz w:val="22"/>
          <w:szCs w:val="22"/>
        </w:rPr>
        <w:footnoteReference w:id="33"/>
      </w:r>
      <w:r w:rsidRPr="00035B76">
        <w:rPr>
          <w:rFonts w:ascii="Palatino Linotype" w:hAnsi="Palatino Linotype"/>
          <w:sz w:val="22"/>
          <w:szCs w:val="22"/>
        </w:rPr>
        <w:t>. A esto se suman infraestructuras con falta de calefacción y sin actividades de rehabilitación</w:t>
      </w:r>
      <w:r w:rsidRPr="00035B76">
        <w:rPr>
          <w:rStyle w:val="FootnoteReference"/>
          <w:rFonts w:ascii="Palatino Linotype" w:hAnsi="Palatino Linotype"/>
          <w:sz w:val="22"/>
          <w:szCs w:val="22"/>
        </w:rPr>
        <w:footnoteReference w:id="34"/>
      </w:r>
      <w:r w:rsidRPr="00035B76">
        <w:rPr>
          <w:rFonts w:ascii="Palatino Linotype" w:hAnsi="Palatino Linotype"/>
          <w:sz w:val="22"/>
          <w:szCs w:val="22"/>
        </w:rPr>
        <w:t>.</w:t>
      </w:r>
    </w:p>
    <w:p w14:paraId="6D080177"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lastRenderedPageBreak/>
        <w:t xml:space="preserve">Niñas, niños y adolescentes con discapacidad privados de libertad en Mejor Niñez: </w:t>
      </w:r>
      <w:r w:rsidRPr="00035B76">
        <w:rPr>
          <w:rFonts w:ascii="Palatino Linotype" w:hAnsi="Palatino Linotype"/>
          <w:sz w:val="22"/>
          <w:szCs w:val="22"/>
        </w:rPr>
        <w:t>La situación afecta desproporcionadamente a NNA con discapacidad retenidos en Hogares de Protección del Estado. El propio Estado reconoce que solo el 66% de NNA bajo su protección ha sido trasladado a familias de acogida</w:t>
      </w:r>
      <w:r w:rsidRPr="00035B76">
        <w:rPr>
          <w:rStyle w:val="FootnoteReference"/>
          <w:rFonts w:ascii="Palatino Linotype" w:hAnsi="Palatino Linotype"/>
          <w:sz w:val="22"/>
          <w:szCs w:val="22"/>
        </w:rPr>
        <w:footnoteReference w:id="35"/>
      </w:r>
      <w:r w:rsidRPr="00035B76">
        <w:rPr>
          <w:rFonts w:ascii="Palatino Linotype" w:hAnsi="Palatino Linotype"/>
          <w:sz w:val="22"/>
          <w:szCs w:val="22"/>
        </w:rPr>
        <w:t>. Esta realidad fue denunciada a propósito del suicidio de M. G. O., a los 18 años, con discapacidad múltiple de causa psicosocial e intelectual, ocurrido bajo custodia del Estado en el Hogar Villa María Goretti de Mejor Niñez, en Chiguayante</w:t>
      </w:r>
      <w:r w:rsidRPr="00035B76">
        <w:rPr>
          <w:rStyle w:val="FootnoteReference"/>
          <w:rFonts w:ascii="Palatino Linotype" w:hAnsi="Palatino Linotype"/>
          <w:sz w:val="22"/>
          <w:szCs w:val="22"/>
        </w:rPr>
        <w:footnoteReference w:id="36"/>
      </w:r>
      <w:r w:rsidRPr="00035B76">
        <w:rPr>
          <w:rFonts w:ascii="Palatino Linotype" w:hAnsi="Palatino Linotype"/>
          <w:sz w:val="22"/>
          <w:szCs w:val="22"/>
        </w:rPr>
        <w:t>. La Defensoría de la Niñez ha criticado el cambio del modelo SENAME a Mejor Niñez, señalando que el sistema de protección no está centrado en el sujeto de derecho que es la niñez, sino que opera bajo una lógica de oferta y demanda</w:t>
      </w:r>
      <w:r w:rsidRPr="00035B76">
        <w:rPr>
          <w:rStyle w:val="FootnoteReference"/>
          <w:rFonts w:ascii="Palatino Linotype" w:hAnsi="Palatino Linotype"/>
          <w:sz w:val="22"/>
          <w:szCs w:val="22"/>
        </w:rPr>
        <w:footnoteReference w:id="37"/>
      </w:r>
      <w:r w:rsidRPr="00035B76">
        <w:rPr>
          <w:rFonts w:ascii="Palatino Linotype" w:hAnsi="Palatino Linotype"/>
          <w:sz w:val="22"/>
          <w:szCs w:val="22"/>
        </w:rPr>
        <w:t>.</w:t>
      </w:r>
    </w:p>
    <w:p w14:paraId="672D27DE"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Cárceles: </w:t>
      </w:r>
      <w:r w:rsidRPr="00035B76">
        <w:rPr>
          <w:rFonts w:ascii="Palatino Linotype" w:hAnsi="Palatino Linotype"/>
          <w:sz w:val="22"/>
          <w:szCs w:val="22"/>
        </w:rPr>
        <w:t>Esta violencia estructural se traslada de igual forma a las cárceles, donde el uso de medidas de seguridad punitivas cobra irreversiblemente la vida de personas con discapacidad</w:t>
      </w:r>
      <w:r w:rsidRPr="00035B76">
        <w:rPr>
          <w:rStyle w:val="FootnoteReference"/>
          <w:rFonts w:ascii="Palatino Linotype" w:hAnsi="Palatino Linotype"/>
          <w:sz w:val="22"/>
          <w:szCs w:val="22"/>
        </w:rPr>
        <w:footnoteReference w:id="38"/>
      </w:r>
      <w:r w:rsidRPr="00035B76">
        <w:rPr>
          <w:rFonts w:ascii="Palatino Linotype" w:hAnsi="Palatino Linotype"/>
          <w:sz w:val="22"/>
          <w:szCs w:val="22"/>
        </w:rPr>
        <w:t>.</w:t>
      </w:r>
    </w:p>
    <w:p w14:paraId="3D846E05" w14:textId="77777777" w:rsidR="007A660C" w:rsidRPr="00035B76" w:rsidRDefault="007A660C" w:rsidP="007A660C">
      <w:pPr>
        <w:spacing w:after="200"/>
        <w:jc w:val="both"/>
        <w:rPr>
          <w:rFonts w:ascii="Palatino Linotype" w:hAnsi="Palatino Linotype"/>
          <w:sz w:val="22"/>
          <w:szCs w:val="22"/>
        </w:rPr>
      </w:pPr>
    </w:p>
    <w:p w14:paraId="4A5F5061" w14:textId="77777777" w:rsidR="007E517B" w:rsidRPr="00035B76" w:rsidRDefault="003A2957" w:rsidP="007A660C">
      <w:pPr>
        <w:spacing w:before="300" w:after="200"/>
        <w:jc w:val="both"/>
        <w:rPr>
          <w:rFonts w:ascii="Palatino Linotype" w:hAnsi="Palatino Linotype"/>
          <w:sz w:val="22"/>
          <w:szCs w:val="22"/>
        </w:rPr>
      </w:pPr>
      <w:r w:rsidRPr="00035B76">
        <w:rPr>
          <w:rFonts w:ascii="Palatino Linotype" w:hAnsi="Palatino Linotype"/>
          <w:b/>
          <w:bCs/>
          <w:sz w:val="22"/>
          <w:szCs w:val="22"/>
          <w:u w:val="single"/>
        </w:rPr>
        <w:t>4. Recomendaciones</w:t>
      </w:r>
    </w:p>
    <w:p w14:paraId="459B862F"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Que el Poder Legislativo y Ejecutivo impulsen una reforma a la Constitución vigente que consagre la igualdad inclusiva, estableciendo el deber del Estado de remover obstáculos para los grupos de especial protección, y aprueben la reforma a la Ley </w:t>
      </w:r>
      <w:proofErr w:type="spellStart"/>
      <w:r w:rsidRPr="00035B76">
        <w:rPr>
          <w:rFonts w:ascii="Palatino Linotype" w:hAnsi="Palatino Linotype"/>
          <w:b/>
          <w:bCs/>
          <w:sz w:val="22"/>
          <w:szCs w:val="22"/>
        </w:rPr>
        <w:t>N°</w:t>
      </w:r>
      <w:proofErr w:type="spellEnd"/>
      <w:r w:rsidRPr="00035B76">
        <w:rPr>
          <w:rFonts w:ascii="Palatino Linotype" w:hAnsi="Palatino Linotype"/>
          <w:b/>
          <w:bCs/>
          <w:sz w:val="22"/>
          <w:szCs w:val="22"/>
        </w:rPr>
        <w:t xml:space="preserve"> 20.609 contra la discriminación</w:t>
      </w:r>
      <w:r w:rsidRPr="00035B76">
        <w:rPr>
          <w:rStyle w:val="FootnoteReference"/>
          <w:rFonts w:ascii="Palatino Linotype" w:hAnsi="Palatino Linotype"/>
          <w:sz w:val="22"/>
          <w:szCs w:val="22"/>
        </w:rPr>
        <w:footnoteReference w:id="39"/>
      </w:r>
      <w:r w:rsidRPr="00035B76">
        <w:rPr>
          <w:rFonts w:ascii="Palatino Linotype" w:hAnsi="Palatino Linotype"/>
          <w:sz w:val="22"/>
          <w:szCs w:val="22"/>
        </w:rPr>
        <w:t>. Asimismo, se debe garantizar la participación vinculante de la sociedad civil en todo el proceso de debate de la Ley integral de salud mental</w:t>
      </w:r>
      <w:r w:rsidRPr="00035B76">
        <w:rPr>
          <w:rStyle w:val="FootnoteReference"/>
          <w:rFonts w:ascii="Palatino Linotype" w:hAnsi="Palatino Linotype"/>
          <w:sz w:val="22"/>
          <w:szCs w:val="22"/>
        </w:rPr>
        <w:footnoteReference w:id="40"/>
      </w:r>
      <w:r w:rsidRPr="00035B76">
        <w:rPr>
          <w:rFonts w:ascii="Palatino Linotype" w:hAnsi="Palatino Linotype"/>
          <w:sz w:val="22"/>
          <w:szCs w:val="22"/>
        </w:rPr>
        <w:t>.</w:t>
      </w:r>
    </w:p>
    <w:p w14:paraId="7A7796F5"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Que el Poder Ejecutivo y Legislativo deroguen el Régimen de Curatelas e interdicciones (que data de 1855</w:t>
      </w:r>
      <w:r w:rsidRPr="00035B76">
        <w:rPr>
          <w:rFonts w:ascii="Palatino Linotype" w:hAnsi="Palatino Linotype"/>
          <w:sz w:val="22"/>
          <w:szCs w:val="22"/>
        </w:rPr>
        <w:t>), priorizando la reforma de los procedimientos civiles para garantizar el derecho a la capacidad jurídica universal y transitar hacia un modelo de toma de decisiones con apoyos exigido en el Artículo 12 de la CDPD</w:t>
      </w:r>
      <w:r w:rsidRPr="00035B76">
        <w:rPr>
          <w:rStyle w:val="FootnoteReference"/>
          <w:rFonts w:ascii="Palatino Linotype" w:hAnsi="Palatino Linotype"/>
          <w:sz w:val="22"/>
          <w:szCs w:val="22"/>
        </w:rPr>
        <w:footnoteReference w:id="41"/>
      </w:r>
      <w:r w:rsidRPr="00035B76">
        <w:rPr>
          <w:rFonts w:ascii="Palatino Linotype" w:hAnsi="Palatino Linotype"/>
          <w:sz w:val="22"/>
          <w:szCs w:val="22"/>
        </w:rPr>
        <w:t>.</w:t>
      </w:r>
    </w:p>
    <w:p w14:paraId="58E725B2"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 xml:space="preserve">Que el Estado de Chile prohíba de forma absoluta e inmediata las internaciones y tratamientos médicos forzados, erradicando legalmente la aplicación de Terapia </w:t>
      </w:r>
      <w:proofErr w:type="spellStart"/>
      <w:r w:rsidRPr="00035B76">
        <w:rPr>
          <w:rFonts w:ascii="Palatino Linotype" w:hAnsi="Palatino Linotype"/>
          <w:b/>
          <w:bCs/>
          <w:sz w:val="22"/>
          <w:szCs w:val="22"/>
        </w:rPr>
        <w:lastRenderedPageBreak/>
        <w:t>Electroconvulsivante</w:t>
      </w:r>
      <w:proofErr w:type="spellEnd"/>
      <w:r w:rsidRPr="00035B76">
        <w:rPr>
          <w:rFonts w:ascii="Palatino Linotype" w:hAnsi="Palatino Linotype"/>
          <w:b/>
          <w:bCs/>
          <w:sz w:val="22"/>
          <w:szCs w:val="22"/>
        </w:rPr>
        <w:t xml:space="preserve"> (TEC), </w:t>
      </w:r>
      <w:r w:rsidRPr="00035B76">
        <w:rPr>
          <w:rFonts w:ascii="Palatino Linotype" w:hAnsi="Palatino Linotype"/>
          <w:sz w:val="22"/>
          <w:szCs w:val="22"/>
        </w:rPr>
        <w:t>la contención mecánica y química, y el aislamiento, adoptando la Guía de Desinstitucionalización de la CDPD</w:t>
      </w:r>
      <w:r w:rsidRPr="00035B76">
        <w:rPr>
          <w:rStyle w:val="FootnoteReference"/>
          <w:rFonts w:ascii="Palatino Linotype" w:hAnsi="Palatino Linotype"/>
          <w:sz w:val="22"/>
          <w:szCs w:val="22"/>
        </w:rPr>
        <w:footnoteReference w:id="42"/>
      </w:r>
      <w:r w:rsidRPr="00035B76">
        <w:rPr>
          <w:rFonts w:ascii="Palatino Linotype" w:hAnsi="Palatino Linotype"/>
          <w:sz w:val="22"/>
          <w:szCs w:val="22"/>
        </w:rPr>
        <w:t>.</w:t>
      </w:r>
    </w:p>
    <w:p w14:paraId="369DFEB2" w14:textId="5E35351B"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Que el Estado garantice ajustes de procedimiento para el acceso a la justicia penal y reparación para las víctimas de violencia bajo su custodia, abarcando muertes dudosas en camas psiquiátricas públicas, cárceles y recintos de Mejor Niñez</w:t>
      </w:r>
      <w:r w:rsidRPr="00035B76">
        <w:rPr>
          <w:rStyle w:val="FootnoteReference"/>
          <w:rFonts w:ascii="Palatino Linotype" w:hAnsi="Palatino Linotype"/>
          <w:sz w:val="22"/>
          <w:szCs w:val="22"/>
        </w:rPr>
        <w:footnoteReference w:id="43"/>
      </w:r>
      <w:r w:rsidRPr="00035B76">
        <w:rPr>
          <w:rFonts w:ascii="Palatino Linotype" w:hAnsi="Palatino Linotype"/>
          <w:sz w:val="22"/>
          <w:szCs w:val="22"/>
        </w:rPr>
        <w:t>. Esto debe incluir procesos de justicia restaurativa urgentes para las víctimas de esterilizaciones, abortos forzados</w:t>
      </w:r>
      <w:r w:rsidR="00295BF2" w:rsidRPr="00035B76">
        <w:rPr>
          <w:rFonts w:ascii="Palatino Linotype" w:hAnsi="Palatino Linotype"/>
          <w:sz w:val="22"/>
          <w:szCs w:val="22"/>
        </w:rPr>
        <w:t>, adopciones forzadas</w:t>
      </w:r>
      <w:r w:rsidRPr="00035B76">
        <w:rPr>
          <w:rFonts w:ascii="Palatino Linotype" w:hAnsi="Palatino Linotype"/>
          <w:sz w:val="22"/>
          <w:szCs w:val="22"/>
        </w:rPr>
        <w:t xml:space="preserve"> y torturas</w:t>
      </w:r>
      <w:r w:rsidRPr="00035B76">
        <w:rPr>
          <w:rStyle w:val="FootnoteReference"/>
          <w:rFonts w:ascii="Palatino Linotype" w:hAnsi="Palatino Linotype"/>
          <w:sz w:val="22"/>
          <w:szCs w:val="22"/>
        </w:rPr>
        <w:footnoteReference w:id="44"/>
      </w:r>
      <w:r w:rsidRPr="00035B76">
        <w:rPr>
          <w:rFonts w:ascii="Palatino Linotype" w:hAnsi="Palatino Linotype"/>
          <w:sz w:val="22"/>
          <w:szCs w:val="22"/>
        </w:rPr>
        <w:t>.</w:t>
      </w:r>
    </w:p>
    <w:p w14:paraId="6640D51E"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Que el Estado intervenga las brechas históricas de género y exclusión por discapacidad psicosocial en el empleo, adoptando medidas eficaces y eficientes para lograr la paridad laboral y asegurar la autonomía económica de las mujeres con discapacidad</w:t>
      </w:r>
      <w:r w:rsidRPr="00035B76">
        <w:rPr>
          <w:rStyle w:val="FootnoteReference"/>
          <w:rFonts w:ascii="Palatino Linotype" w:hAnsi="Palatino Linotype"/>
          <w:sz w:val="22"/>
          <w:szCs w:val="22"/>
        </w:rPr>
        <w:footnoteReference w:id="45"/>
      </w:r>
      <w:r w:rsidRPr="00035B76">
        <w:rPr>
          <w:rFonts w:ascii="Palatino Linotype" w:hAnsi="Palatino Linotype"/>
          <w:sz w:val="22"/>
          <w:szCs w:val="22"/>
        </w:rPr>
        <w:t>.</w:t>
      </w:r>
    </w:p>
    <w:p w14:paraId="603CD3A9"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Que el Poder Ejecutivo garantice el ejercicio y goce de la autonomía reproductiva de las mujeres con discapacidad, asegurando los apoyos, cuidados y programas de vida independiente en la comunidad para una maternidad inclusiva y proyectos de familias inclusivas</w:t>
      </w:r>
      <w:r w:rsidRPr="00035B76">
        <w:rPr>
          <w:rStyle w:val="FootnoteReference"/>
          <w:rFonts w:ascii="Palatino Linotype" w:hAnsi="Palatino Linotype"/>
          <w:sz w:val="22"/>
          <w:szCs w:val="22"/>
        </w:rPr>
        <w:footnoteReference w:id="46"/>
      </w:r>
      <w:r w:rsidRPr="00035B76">
        <w:rPr>
          <w:rFonts w:ascii="Palatino Linotype" w:hAnsi="Palatino Linotype"/>
          <w:sz w:val="22"/>
          <w:szCs w:val="22"/>
        </w:rPr>
        <w:t>.</w:t>
      </w:r>
    </w:p>
    <w:p w14:paraId="1890EC97" w14:textId="77777777" w:rsidR="007E517B" w:rsidRPr="00035B76" w:rsidRDefault="003A2957" w:rsidP="007A660C">
      <w:pPr>
        <w:pStyle w:val="ListParagraph"/>
        <w:numPr>
          <w:ilvl w:val="0"/>
          <w:numId w:val="2"/>
        </w:numPr>
        <w:spacing w:after="200"/>
        <w:jc w:val="both"/>
        <w:rPr>
          <w:rFonts w:ascii="Palatino Linotype" w:hAnsi="Palatino Linotype"/>
          <w:sz w:val="22"/>
          <w:szCs w:val="22"/>
        </w:rPr>
      </w:pPr>
      <w:r w:rsidRPr="00035B76">
        <w:rPr>
          <w:rFonts w:ascii="Palatino Linotype" w:hAnsi="Palatino Linotype"/>
          <w:b/>
          <w:bCs/>
          <w:sz w:val="22"/>
          <w:szCs w:val="22"/>
        </w:rPr>
        <w:t>Que el Estado apruebe la implementación del Mecanismo de Monitoreo Independiente sobre los Derechos de las Personas con Discapacidad en el Instituto Nacional de Derechos Humanos (INDH), garantizando su plena autonomía conforme a los Principios de París para prevenir, promover y proteger los derechos</w:t>
      </w:r>
      <w:r w:rsidRPr="00035B76">
        <w:rPr>
          <w:rStyle w:val="FootnoteReference"/>
          <w:rFonts w:ascii="Palatino Linotype" w:hAnsi="Palatino Linotype"/>
          <w:sz w:val="22"/>
          <w:szCs w:val="22"/>
        </w:rPr>
        <w:footnoteReference w:id="47"/>
      </w:r>
      <w:r w:rsidRPr="00035B76">
        <w:rPr>
          <w:rFonts w:ascii="Palatino Linotype" w:hAnsi="Palatino Linotype"/>
          <w:sz w:val="22"/>
          <w:szCs w:val="22"/>
        </w:rPr>
        <w:t>.</w:t>
      </w:r>
    </w:p>
    <w:sectPr w:rsidR="007E517B" w:rsidRPr="00035B76">
      <w:head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004DE" w14:textId="77777777" w:rsidR="003A2957" w:rsidRDefault="003A2957">
      <w:r>
        <w:separator/>
      </w:r>
    </w:p>
  </w:endnote>
  <w:endnote w:type="continuationSeparator" w:id="0">
    <w:p w14:paraId="0E2058FB" w14:textId="77777777" w:rsidR="003A2957" w:rsidRDefault="003A2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5A6CD" w14:textId="77777777" w:rsidR="003A2957" w:rsidRDefault="003A2957">
      <w:r>
        <w:separator/>
      </w:r>
    </w:p>
  </w:footnote>
  <w:footnote w:type="continuationSeparator" w:id="0">
    <w:p w14:paraId="3F0369D2" w14:textId="77777777" w:rsidR="003A2957" w:rsidRDefault="003A2957">
      <w:r>
        <w:continuationSeparator/>
      </w:r>
    </w:p>
  </w:footnote>
  <w:footnote w:id="1">
    <w:p w14:paraId="1DE7B023" w14:textId="13071214"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Círculo Emancipador de Mujeres y Niñas con Discapacidad de Chile (CIMUNIDIS). Organización nacional de mujeres líderes, fundada en 2013.</w:t>
      </w:r>
    </w:p>
  </w:footnote>
  <w:footnote w:id="2">
    <w:p w14:paraId="5C5CF572" w14:textId="114D3E05"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Agrupación Líderes con Mil Capacidades (LÍDERES). Agrupación local de personas con discapacidad intelectual autogestoras, fundada en 2008.</w:t>
      </w:r>
    </w:p>
  </w:footnote>
  <w:footnote w:id="3">
    <w:p w14:paraId="7541023C" w14:textId="5B50F47F"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proofErr w:type="spellStart"/>
      <w:r w:rsidRPr="007A660C">
        <w:rPr>
          <w:rFonts w:ascii="Palatino Linotype" w:hAnsi="Palatino Linotype"/>
          <w:i/>
          <w:iCs/>
          <w:sz w:val="18"/>
          <w:szCs w:val="18"/>
        </w:rPr>
        <w:t>Pavéz</w:t>
      </w:r>
      <w:proofErr w:type="spellEnd"/>
      <w:r w:rsidRPr="007A660C">
        <w:rPr>
          <w:rFonts w:ascii="Palatino Linotype" w:hAnsi="Palatino Linotype"/>
          <w:i/>
          <w:iCs/>
          <w:sz w:val="18"/>
          <w:szCs w:val="18"/>
        </w:rPr>
        <w:t xml:space="preserve"> y Benavides (2021). Estudio sobre Salud Mental en Chile: una revisión de las estadísticas 2001-2018 sobre la situación de las personas con discapacidad psicosocial. Patrocinado por ACNUDH.</w:t>
      </w:r>
    </w:p>
  </w:footnote>
  <w:footnote w:id="4">
    <w:p w14:paraId="59FFA03F" w14:textId="4BC08C32"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DEIS (2020) e INE (2019). Egresos Hospitalarios. Estadísticas Vitales. Procesamiento de datos estadísticos.</w:t>
      </w:r>
    </w:p>
  </w:footnote>
  <w:footnote w:id="5">
    <w:p w14:paraId="3EB372D2" w14:textId="34CF2EC2"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 xml:space="preserve">Oficio respuesta </w:t>
      </w:r>
      <w:proofErr w:type="spellStart"/>
      <w:r w:rsidRPr="007A660C">
        <w:rPr>
          <w:rFonts w:ascii="Palatino Linotype" w:hAnsi="Palatino Linotype"/>
          <w:i/>
          <w:iCs/>
          <w:sz w:val="18"/>
          <w:szCs w:val="18"/>
        </w:rPr>
        <w:t>n°</w:t>
      </w:r>
      <w:proofErr w:type="spellEnd"/>
      <w:r w:rsidRPr="007A660C">
        <w:rPr>
          <w:rFonts w:ascii="Palatino Linotype" w:hAnsi="Palatino Linotype"/>
          <w:i/>
          <w:iCs/>
          <w:sz w:val="18"/>
          <w:szCs w:val="18"/>
        </w:rPr>
        <w:t xml:space="preserve"> 0065/2022: Hallazgos de la visita del CPT al Hospital del Salvador de Valparaíso (30.06.2022) y Acta </w:t>
      </w:r>
      <w:proofErr w:type="spellStart"/>
      <w:r w:rsidRPr="007A660C">
        <w:rPr>
          <w:rFonts w:ascii="Palatino Linotype" w:hAnsi="Palatino Linotype"/>
          <w:i/>
          <w:iCs/>
          <w:sz w:val="18"/>
          <w:szCs w:val="18"/>
        </w:rPr>
        <w:t>n°</w:t>
      </w:r>
      <w:proofErr w:type="spellEnd"/>
      <w:r w:rsidRPr="007A660C">
        <w:rPr>
          <w:rFonts w:ascii="Palatino Linotype" w:hAnsi="Palatino Linotype"/>
          <w:i/>
          <w:iCs/>
          <w:sz w:val="18"/>
          <w:szCs w:val="18"/>
        </w:rPr>
        <w:t xml:space="preserve"> 0114876 de SEREMI Valparaíso.</w:t>
      </w:r>
    </w:p>
  </w:footnote>
  <w:footnote w:id="6">
    <w:p w14:paraId="0548A547" w14:textId="40CF196D"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Comité de Prevención de la Tortura. Segundo Informe Anual 2021|2022. Santiago de Chile, 2022, p. 251.</w:t>
      </w:r>
    </w:p>
  </w:footnote>
  <w:footnote w:id="7">
    <w:p w14:paraId="4EF9571B" w14:textId="44CDE658"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 xml:space="preserve">Senado de Chile. Boletín </w:t>
      </w:r>
      <w:proofErr w:type="spellStart"/>
      <w:r w:rsidRPr="007A660C">
        <w:rPr>
          <w:rFonts w:ascii="Palatino Linotype" w:hAnsi="Palatino Linotype"/>
          <w:i/>
          <w:iCs/>
          <w:sz w:val="18"/>
          <w:szCs w:val="18"/>
        </w:rPr>
        <w:t>N°</w:t>
      </w:r>
      <w:proofErr w:type="spellEnd"/>
      <w:r w:rsidRPr="007A660C">
        <w:rPr>
          <w:rFonts w:ascii="Palatino Linotype" w:hAnsi="Palatino Linotype"/>
          <w:i/>
          <w:iCs/>
          <w:sz w:val="18"/>
          <w:szCs w:val="18"/>
        </w:rPr>
        <w:t xml:space="preserve"> 17003-11 sobre Proyecto de Ley integral de Salud Mental. </w:t>
      </w:r>
      <w:hyperlink r:id="rId1" w:history="1">
        <w:r w:rsidR="007A660C" w:rsidRPr="00A31FEA">
          <w:rPr>
            <w:rStyle w:val="Hyperlink"/>
            <w:rFonts w:ascii="Palatino Linotype" w:hAnsi="Palatino Linotype"/>
            <w:i/>
            <w:iCs/>
            <w:sz w:val="18"/>
            <w:szCs w:val="18"/>
          </w:rPr>
          <w:t>https://tramitacion.senado.cl/appsenado/templates/tramitacion/index.php?boletin_ini=17003-11</w:t>
        </w:r>
      </w:hyperlink>
      <w:r w:rsidRPr="007A660C">
        <w:rPr>
          <w:rFonts w:ascii="Palatino Linotype" w:hAnsi="Palatino Linotype"/>
          <w:i/>
          <w:iCs/>
          <w:sz w:val="18"/>
          <w:szCs w:val="18"/>
        </w:rPr>
        <w:t>.</w:t>
      </w:r>
      <w:r w:rsidR="007A660C">
        <w:rPr>
          <w:rFonts w:ascii="Palatino Linotype" w:hAnsi="Palatino Linotype"/>
          <w:i/>
          <w:iCs/>
          <w:sz w:val="18"/>
          <w:szCs w:val="18"/>
        </w:rPr>
        <w:t xml:space="preserve"> </w:t>
      </w:r>
    </w:p>
  </w:footnote>
  <w:footnote w:id="8">
    <w:p w14:paraId="4E8F7722" w14:textId="33B53550"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Subsecretaría de Salud Pública, Ministerio de Salud (2018). Norma Técnica Nacional: Acompañamiento y atención integral a la mujer que se encuentra en alguna de las tres causales que regula la ley 21.030.</w:t>
      </w:r>
    </w:p>
  </w:footnote>
  <w:footnote w:id="9">
    <w:p w14:paraId="70DA2266" w14:textId="391D4A39"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Primera Encuesta Nacional sobre Violencia Ginecológica y Obstétrica hacia Mujeres con Discapacidad en Chile – Encuesta GENDISC 2026.</w:t>
      </w:r>
    </w:p>
  </w:footnote>
  <w:footnote w:id="10">
    <w:p w14:paraId="7B669518" w14:textId="067346FD"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 xml:space="preserve">CIPER Chile (24 de julio de 2024). El suicidio de Micaela. </w:t>
      </w:r>
      <w:hyperlink r:id="rId2" w:history="1">
        <w:r w:rsidR="007A660C" w:rsidRPr="00A31FEA">
          <w:rPr>
            <w:rStyle w:val="Hyperlink"/>
            <w:rFonts w:ascii="Palatino Linotype" w:hAnsi="Palatino Linotype"/>
            <w:i/>
            <w:iCs/>
            <w:sz w:val="18"/>
            <w:szCs w:val="18"/>
          </w:rPr>
          <w:t>https://www.ciperchile.cl/2024/07/24/el-suicidio-de-micaela/</w:t>
        </w:r>
      </w:hyperlink>
      <w:r w:rsidRPr="007A660C">
        <w:rPr>
          <w:rFonts w:ascii="Palatino Linotype" w:hAnsi="Palatino Linotype"/>
          <w:i/>
          <w:iCs/>
          <w:sz w:val="18"/>
          <w:szCs w:val="18"/>
        </w:rPr>
        <w:t>.</w:t>
      </w:r>
      <w:r w:rsidR="007A660C">
        <w:rPr>
          <w:rFonts w:ascii="Palatino Linotype" w:hAnsi="Palatino Linotype"/>
          <w:i/>
          <w:iCs/>
          <w:sz w:val="18"/>
          <w:szCs w:val="18"/>
        </w:rPr>
        <w:t xml:space="preserve"> </w:t>
      </w:r>
    </w:p>
  </w:footnote>
  <w:footnote w:id="11">
    <w:p w14:paraId="2972A53E" w14:textId="7BDAC6DE"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 xml:space="preserve">ADN Radio (12 de junio de 2024). Defensor de la Niñez, por crisis en el sistema: "No están pensando con el centro de la mirada en los niños, sino que en lógica de oferta y demanda". </w:t>
      </w:r>
      <w:hyperlink r:id="rId3" w:history="1">
        <w:r w:rsidR="007A660C" w:rsidRPr="00A31FEA">
          <w:rPr>
            <w:rStyle w:val="Hyperlink"/>
            <w:rFonts w:ascii="Palatino Linotype" w:hAnsi="Palatino Linotype"/>
            <w:i/>
            <w:iCs/>
            <w:sz w:val="18"/>
            <w:szCs w:val="18"/>
          </w:rPr>
          <w:t>https://www.adnradio.cl/2024/06/12/defensor-de-la-ninez-por-crisis-en-el-sistema-no-estan-pensando-con-el-centro-de-la-mirada-en-los-ninos-sino-que-logica-de-oferta-y-demanda</w:t>
        </w:r>
      </w:hyperlink>
      <w:r w:rsidR="007A660C">
        <w:rPr>
          <w:rFonts w:ascii="Palatino Linotype" w:hAnsi="Palatino Linotype"/>
          <w:i/>
          <w:iCs/>
          <w:sz w:val="18"/>
          <w:szCs w:val="18"/>
        </w:rPr>
        <w:t xml:space="preserve"> </w:t>
      </w:r>
      <w:r w:rsidRPr="007A660C">
        <w:rPr>
          <w:rFonts w:ascii="Palatino Linotype" w:hAnsi="Palatino Linotype"/>
          <w:i/>
          <w:iCs/>
          <w:sz w:val="18"/>
          <w:szCs w:val="18"/>
        </w:rPr>
        <w:t>/.</w:t>
      </w:r>
    </w:p>
  </w:footnote>
  <w:footnote w:id="12">
    <w:p w14:paraId="2E3A082D" w14:textId="41E3F7DF"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 xml:space="preserve">Senado de Chile. Boletín </w:t>
      </w:r>
      <w:proofErr w:type="spellStart"/>
      <w:r w:rsidRPr="007A660C">
        <w:rPr>
          <w:rFonts w:ascii="Palatino Linotype" w:hAnsi="Palatino Linotype"/>
          <w:i/>
          <w:iCs/>
          <w:sz w:val="18"/>
          <w:szCs w:val="18"/>
        </w:rPr>
        <w:t>N°</w:t>
      </w:r>
      <w:proofErr w:type="spellEnd"/>
      <w:r w:rsidRPr="007A660C">
        <w:rPr>
          <w:rFonts w:ascii="Palatino Linotype" w:hAnsi="Palatino Linotype"/>
          <w:i/>
          <w:iCs/>
          <w:sz w:val="18"/>
          <w:szCs w:val="18"/>
        </w:rPr>
        <w:t xml:space="preserve"> 17003-11 que establece la ley de salud mental integral. </w:t>
      </w:r>
      <w:hyperlink r:id="rId4" w:history="1">
        <w:r w:rsidR="007A660C" w:rsidRPr="00A31FEA">
          <w:rPr>
            <w:rStyle w:val="Hyperlink"/>
            <w:rFonts w:ascii="Palatino Linotype" w:hAnsi="Palatino Linotype"/>
            <w:i/>
            <w:iCs/>
            <w:sz w:val="18"/>
            <w:szCs w:val="18"/>
          </w:rPr>
          <w:t>https://tramitacion.senado.cl/appsenado/templates/tramitacion/index.php?boletin_ini=17003-11</w:t>
        </w:r>
      </w:hyperlink>
      <w:r w:rsidRPr="007A660C">
        <w:rPr>
          <w:rFonts w:ascii="Palatino Linotype" w:hAnsi="Palatino Linotype"/>
          <w:i/>
          <w:iCs/>
          <w:sz w:val="18"/>
          <w:szCs w:val="18"/>
        </w:rPr>
        <w:t>.</w:t>
      </w:r>
      <w:r w:rsidR="007A660C">
        <w:rPr>
          <w:rFonts w:ascii="Palatino Linotype" w:hAnsi="Palatino Linotype"/>
          <w:i/>
          <w:iCs/>
          <w:sz w:val="18"/>
          <w:szCs w:val="18"/>
        </w:rPr>
        <w:t xml:space="preserve"> </w:t>
      </w:r>
    </w:p>
  </w:footnote>
  <w:footnote w:id="13">
    <w:p w14:paraId="03587939" w14:textId="09B3BC21"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Para visualizar la tramitación en el Congreso Nacional de Chile, véase Boletín del Senado sobre PDL integral de Salud Mental.</w:t>
      </w:r>
    </w:p>
  </w:footnote>
  <w:footnote w:id="14">
    <w:p w14:paraId="742F2F22" w14:textId="7905EF96"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 xml:space="preserve">Cámara de Diputadas y Diputados de Chile. Antecedentes de la modificación de la Ley 21.015 de inclusión laboral. </w:t>
      </w:r>
      <w:hyperlink r:id="rId5" w:history="1">
        <w:r w:rsidR="007A660C" w:rsidRPr="00A31FEA">
          <w:rPr>
            <w:rStyle w:val="Hyperlink"/>
            <w:rFonts w:ascii="Palatino Linotype" w:hAnsi="Palatino Linotype"/>
            <w:i/>
            <w:iCs/>
            <w:sz w:val="18"/>
            <w:szCs w:val="18"/>
          </w:rPr>
          <w:t>https://www.camara.cl/cms/despachan-a-ley-mayor-inclusion-laboral-de-personas-con-discapacidad/</w:t>
        </w:r>
      </w:hyperlink>
      <w:r w:rsidRPr="007A660C">
        <w:rPr>
          <w:rFonts w:ascii="Palatino Linotype" w:hAnsi="Palatino Linotype"/>
          <w:i/>
          <w:iCs/>
          <w:sz w:val="18"/>
          <w:szCs w:val="18"/>
        </w:rPr>
        <w:t>.</w:t>
      </w:r>
      <w:r w:rsidR="007A660C">
        <w:rPr>
          <w:rFonts w:ascii="Palatino Linotype" w:hAnsi="Palatino Linotype"/>
          <w:i/>
          <w:iCs/>
          <w:sz w:val="18"/>
          <w:szCs w:val="18"/>
        </w:rPr>
        <w:t xml:space="preserve"> </w:t>
      </w:r>
    </w:p>
  </w:footnote>
  <w:footnote w:id="15">
    <w:p w14:paraId="51302ABB" w14:textId="73C54560"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Observatorio de Inclusión Laboral WAZÚ. Nota sobre plazos de cumplimiento de la ley.</w:t>
      </w:r>
    </w:p>
  </w:footnote>
  <w:footnote w:id="16">
    <w:p w14:paraId="3FE419AE" w14:textId="720365B0"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Primera Encuesta Nacional sobre Violencia Ginecológica y Obstétrica hacia Mujeres con Discapacidad en Chile – Encuesta GENDISC 2026.</w:t>
      </w:r>
    </w:p>
  </w:footnote>
  <w:footnote w:id="17">
    <w:p w14:paraId="2CBA0892" w14:textId="07610DD9"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 xml:space="preserve">Subsecretaría de Prevención del Delito. Encuesta Nacional de Violencia contra las Mujeres. </w:t>
      </w:r>
      <w:hyperlink r:id="rId6" w:history="1">
        <w:r w:rsidR="007A660C" w:rsidRPr="00A31FEA">
          <w:rPr>
            <w:rStyle w:val="Hyperlink"/>
            <w:rFonts w:ascii="Palatino Linotype" w:hAnsi="Palatino Linotype"/>
            <w:i/>
            <w:iCs/>
            <w:sz w:val="18"/>
            <w:szCs w:val="18"/>
          </w:rPr>
          <w:t>https://spd-archivo.subprevenciondeldelito.gob.cl/</w:t>
        </w:r>
      </w:hyperlink>
      <w:r w:rsidRPr="007A660C">
        <w:rPr>
          <w:rFonts w:ascii="Palatino Linotype" w:hAnsi="Palatino Linotype"/>
          <w:i/>
          <w:iCs/>
          <w:sz w:val="18"/>
          <w:szCs w:val="18"/>
        </w:rPr>
        <w:t>.</w:t>
      </w:r>
      <w:r w:rsidR="007A660C">
        <w:rPr>
          <w:rFonts w:ascii="Palatino Linotype" w:hAnsi="Palatino Linotype"/>
          <w:i/>
          <w:iCs/>
          <w:sz w:val="18"/>
          <w:szCs w:val="18"/>
        </w:rPr>
        <w:t xml:space="preserve"> </w:t>
      </w:r>
    </w:p>
  </w:footnote>
  <w:footnote w:id="18">
    <w:p w14:paraId="77E79324" w14:textId="315CE984"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 xml:space="preserve">Ministerio de Salud (MINSAL). Información al profesional de salud de la mujer y Consentimiento Informado. </w:t>
      </w:r>
      <w:hyperlink r:id="rId7" w:history="1">
        <w:r w:rsidR="007A660C" w:rsidRPr="00A31FEA">
          <w:rPr>
            <w:rStyle w:val="Hyperlink"/>
            <w:rFonts w:ascii="Palatino Linotype" w:hAnsi="Palatino Linotype"/>
            <w:i/>
            <w:iCs/>
            <w:sz w:val="18"/>
            <w:szCs w:val="18"/>
          </w:rPr>
          <w:t>https://diprece.minsal.cl/programas-de-salud/programas-ciclo-vital/informacion-al-profesional-salud-de-la-mujer/</w:t>
        </w:r>
      </w:hyperlink>
      <w:r w:rsidRPr="007A660C">
        <w:rPr>
          <w:rFonts w:ascii="Palatino Linotype" w:hAnsi="Palatino Linotype"/>
          <w:i/>
          <w:iCs/>
          <w:sz w:val="18"/>
          <w:szCs w:val="18"/>
        </w:rPr>
        <w:t>.</w:t>
      </w:r>
      <w:r w:rsidR="007A660C">
        <w:rPr>
          <w:rFonts w:ascii="Palatino Linotype" w:hAnsi="Palatino Linotype"/>
          <w:i/>
          <w:iCs/>
          <w:sz w:val="18"/>
          <w:szCs w:val="18"/>
        </w:rPr>
        <w:t xml:space="preserve"> </w:t>
      </w:r>
    </w:p>
  </w:footnote>
  <w:footnote w:id="19">
    <w:p w14:paraId="0A04BE92" w14:textId="547742D2"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Igualdad y no discriminación, p. 2.</w:t>
      </w:r>
    </w:p>
  </w:footnote>
  <w:footnote w:id="20">
    <w:p w14:paraId="730FAF7E" w14:textId="7E4B5245"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Igualdad y no discriminación, p. 2.</w:t>
      </w:r>
    </w:p>
  </w:footnote>
  <w:footnote w:id="21">
    <w:p w14:paraId="3BCC676A" w14:textId="2AA0150F"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Igualdad y no discriminación, p. 3.</w:t>
      </w:r>
    </w:p>
  </w:footnote>
  <w:footnote w:id="22">
    <w:p w14:paraId="2BA8240D" w14:textId="5A549AD1"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Igualdad y no discriminación, p. 3.</w:t>
      </w:r>
    </w:p>
  </w:footnote>
  <w:footnote w:id="23">
    <w:p w14:paraId="6C7BD8B1" w14:textId="7AC430DE"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Empleo, p. 4.</w:t>
      </w:r>
    </w:p>
  </w:footnote>
  <w:footnote w:id="24">
    <w:p w14:paraId="6634F390" w14:textId="5393B8E5"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Empleo, p. 4.</w:t>
      </w:r>
    </w:p>
  </w:footnote>
  <w:footnote w:id="25">
    <w:p w14:paraId="1870BF7F" w14:textId="652919F5"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Salud Reproductiva, p. 5.</w:t>
      </w:r>
    </w:p>
  </w:footnote>
  <w:footnote w:id="26">
    <w:p w14:paraId="386F18FE" w14:textId="74D5B400"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Salud Reproductiva, p. 5.</w:t>
      </w:r>
    </w:p>
  </w:footnote>
  <w:footnote w:id="27">
    <w:p w14:paraId="191EA869" w14:textId="456768B3"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Salud Reproductiva, p. 6.</w:t>
      </w:r>
    </w:p>
  </w:footnote>
  <w:footnote w:id="28">
    <w:p w14:paraId="482F7958" w14:textId="2B2868E1"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Salud Reproductiva, p. 6.</w:t>
      </w:r>
    </w:p>
  </w:footnote>
  <w:footnote w:id="29">
    <w:p w14:paraId="604EFD75" w14:textId="484C4F03"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Privación de libertad y violencia, p. 9.</w:t>
      </w:r>
    </w:p>
  </w:footnote>
  <w:footnote w:id="30">
    <w:p w14:paraId="515E5F33" w14:textId="328006AC"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Privación de libertad y violencia, p. 10.</w:t>
      </w:r>
    </w:p>
  </w:footnote>
  <w:footnote w:id="31">
    <w:p w14:paraId="2C76FE5F" w14:textId="748CD37E"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Hospital Psiquiátrico de Valparaíso, p. 15.</w:t>
      </w:r>
    </w:p>
  </w:footnote>
  <w:footnote w:id="32">
    <w:p w14:paraId="6C0949FE" w14:textId="599A6EE6"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Hospital Psiquiátrico de Valparaíso, p. 16.</w:t>
      </w:r>
    </w:p>
  </w:footnote>
  <w:footnote w:id="33">
    <w:p w14:paraId="3B687A0D" w14:textId="149D5D93"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Hospital Psiquiátrico de Valparaíso, p. 16.</w:t>
      </w:r>
    </w:p>
  </w:footnote>
  <w:footnote w:id="34">
    <w:p w14:paraId="321F2A67" w14:textId="741B9914"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Hospital Psiquiátrico de Valparaíso, p. 16.</w:t>
      </w:r>
    </w:p>
  </w:footnote>
  <w:footnote w:id="35">
    <w:p w14:paraId="70AA778C" w14:textId="61CC9BCF"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Mejor Niñez, p. 14.</w:t>
      </w:r>
    </w:p>
  </w:footnote>
  <w:footnote w:id="36">
    <w:p w14:paraId="56B936A9" w14:textId="018244AC"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Mejor Niñez, p. 14.</w:t>
      </w:r>
    </w:p>
  </w:footnote>
  <w:footnote w:id="37">
    <w:p w14:paraId="1A72D487" w14:textId="7D91203F"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Mejor Niñez, p. 14.</w:t>
      </w:r>
    </w:p>
  </w:footnote>
  <w:footnote w:id="38">
    <w:p w14:paraId="424FFE6F" w14:textId="438EFFB5"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Mejor Niñez y cárceles, p. 13.</w:t>
      </w:r>
    </w:p>
  </w:footnote>
  <w:footnote w:id="39">
    <w:p w14:paraId="11E0B56E" w14:textId="5FF49AA5"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Igualdad y no discriminación, p. 3.</w:t>
      </w:r>
    </w:p>
  </w:footnote>
  <w:footnote w:id="40">
    <w:p w14:paraId="749CECEA" w14:textId="45DD8841"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Igualdad y no discriminación, p. 4.</w:t>
      </w:r>
    </w:p>
  </w:footnote>
  <w:footnote w:id="41">
    <w:p w14:paraId="4339B070" w14:textId="5EC0F70F"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Capacidad Jurídica y Reformas civiles, pp. 3 y 16.</w:t>
      </w:r>
    </w:p>
  </w:footnote>
  <w:footnote w:id="42">
    <w:p w14:paraId="17329407" w14:textId="2BD2E54C"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Prohibición de tortura y tratamientos forzados, pp. 7 y 15.</w:t>
      </w:r>
    </w:p>
  </w:footnote>
  <w:footnote w:id="43">
    <w:p w14:paraId="0A659422" w14:textId="54B36F32"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Justicia penal, reparación y muertes bajo custodia, pp. 8, 9 y 11.</w:t>
      </w:r>
    </w:p>
  </w:footnote>
  <w:footnote w:id="44">
    <w:p w14:paraId="75F089AE" w14:textId="02BDC229"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Salud reproductiva y tortura, pp. 6 y 15.</w:t>
      </w:r>
    </w:p>
  </w:footnote>
  <w:footnote w:id="45">
    <w:p w14:paraId="27DED44B" w14:textId="44CE4F13"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Empleo y paridad laboral, p. 4.</w:t>
      </w:r>
    </w:p>
  </w:footnote>
  <w:footnote w:id="46">
    <w:p w14:paraId="2A83134B" w14:textId="39BC5DE0"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Salud reproductiva, p. 6.</w:t>
      </w:r>
    </w:p>
  </w:footnote>
  <w:footnote w:id="47">
    <w:p w14:paraId="0187FA1E" w14:textId="0A6A4048" w:rsidR="007E517B" w:rsidRPr="007A660C" w:rsidRDefault="003A2957" w:rsidP="007A660C">
      <w:pPr>
        <w:jc w:val="both"/>
        <w:rPr>
          <w:rFonts w:ascii="Palatino Linotype" w:hAnsi="Palatino Linotype"/>
          <w:sz w:val="18"/>
          <w:szCs w:val="18"/>
        </w:rPr>
      </w:pPr>
      <w:r w:rsidRPr="007A660C">
        <w:rPr>
          <w:rStyle w:val="FootnoteReference"/>
          <w:rFonts w:ascii="Palatino Linotype" w:hAnsi="Palatino Linotype"/>
          <w:sz w:val="18"/>
          <w:szCs w:val="18"/>
        </w:rPr>
        <w:footnoteRef/>
      </w:r>
      <w:r w:rsidR="007A660C">
        <w:rPr>
          <w:rFonts w:ascii="Palatino Linotype" w:hAnsi="Palatino Linotype"/>
          <w:i/>
          <w:iCs/>
          <w:sz w:val="18"/>
          <w:szCs w:val="18"/>
        </w:rPr>
        <w:t xml:space="preserve"> </w:t>
      </w:r>
      <w:r w:rsidRPr="007A660C">
        <w:rPr>
          <w:rFonts w:ascii="Palatino Linotype" w:hAnsi="Palatino Linotype"/>
          <w:i/>
          <w:iCs/>
          <w:sz w:val="18"/>
          <w:szCs w:val="18"/>
        </w:rPr>
        <w:t>CIMUNIDIS y LÍDERES (2026). Informe Alternativo conjunto para el Examen de Chile (CDPD). Mecanismo de Monitoreo Independiente, p.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2E8E5" w14:textId="6DC7BEC2" w:rsidR="00BF6CD5" w:rsidRDefault="00BF6CD5">
    <w:pPr>
      <w:pStyle w:val="Header"/>
    </w:pPr>
    <w:r>
      <w:rPr>
        <w:noProof/>
      </w:rPr>
      <w:drawing>
        <wp:anchor distT="0" distB="0" distL="114300" distR="114300" simplePos="0" relativeHeight="251659264" behindDoc="0" locked="0" layoutInCell="1" allowOverlap="1" wp14:anchorId="687F1B5C" wp14:editId="6CB4737A">
          <wp:simplePos x="0" y="0"/>
          <wp:positionH relativeFrom="column">
            <wp:posOffset>3583940</wp:posOffset>
          </wp:positionH>
          <wp:positionV relativeFrom="paragraph">
            <wp:posOffset>486410</wp:posOffset>
          </wp:positionV>
          <wp:extent cx="1893570" cy="400685"/>
          <wp:effectExtent l="0" t="0" r="0" b="0"/>
          <wp:wrapTopAndBottom/>
          <wp:docPr id="136766872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3570" cy="400685"/>
                  </a:xfrm>
                  <a:prstGeom prst="rect">
                    <a:avLst/>
                  </a:prstGeom>
                  <a:noFill/>
                  <a:ln>
                    <a:noFill/>
                  </a:ln>
                </pic:spPr>
              </pic:pic>
            </a:graphicData>
          </a:graphic>
        </wp:anchor>
      </w:drawing>
    </w:r>
    <w:r>
      <w:rPr>
        <w:noProof/>
      </w:rPr>
      <w:drawing>
        <wp:anchor distT="0" distB="0" distL="114300" distR="114300" simplePos="0" relativeHeight="251660288" behindDoc="0" locked="0" layoutInCell="1" allowOverlap="1" wp14:anchorId="7437B1E4" wp14:editId="01DBEA34">
          <wp:simplePos x="0" y="0"/>
          <wp:positionH relativeFrom="column">
            <wp:posOffset>2637790</wp:posOffset>
          </wp:positionH>
          <wp:positionV relativeFrom="paragraph">
            <wp:posOffset>277495</wp:posOffset>
          </wp:positionV>
          <wp:extent cx="652780" cy="652780"/>
          <wp:effectExtent l="0" t="0" r="0" b="0"/>
          <wp:wrapTopAndBottom/>
          <wp:docPr id="115117341" name="Imagen 6" descr="Fundación Pro Bono | Abogadas y abogados voluntari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undación Pro Bono | Abogadas y abogados voluntario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2780" cy="652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D4939">
      <w:rPr>
        <w:rFonts w:asciiTheme="majorHAnsi" w:hAnsiTheme="majorHAnsi" w:cstheme="majorHAnsi"/>
        <w:b/>
        <w:bCs/>
        <w:noProof/>
      </w:rPr>
      <w:drawing>
        <wp:anchor distT="0" distB="0" distL="114300" distR="114300" simplePos="0" relativeHeight="251661312" behindDoc="0" locked="0" layoutInCell="1" allowOverlap="1" wp14:anchorId="663EF091" wp14:editId="6C7FE75E">
          <wp:simplePos x="0" y="0"/>
          <wp:positionH relativeFrom="column">
            <wp:posOffset>255905</wp:posOffset>
          </wp:positionH>
          <wp:positionV relativeFrom="paragraph">
            <wp:posOffset>145415</wp:posOffset>
          </wp:positionV>
          <wp:extent cx="798830" cy="847725"/>
          <wp:effectExtent l="0" t="0" r="1270" b="9525"/>
          <wp:wrapTopAndBottom/>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98830" cy="847725"/>
                  </a:xfrm>
                  <a:prstGeom prst="rect">
                    <a:avLst/>
                  </a:prstGeom>
                  <a:noFill/>
                  <a:ln>
                    <a:noFill/>
                  </a:ln>
                </pic:spPr>
              </pic:pic>
            </a:graphicData>
          </a:graphic>
        </wp:anchor>
      </w:drawing>
    </w:r>
    <w:r>
      <w:rPr>
        <w:noProof/>
      </w:rPr>
      <w:drawing>
        <wp:anchor distT="0" distB="0" distL="114300" distR="114300" simplePos="0" relativeHeight="251662336" behindDoc="0" locked="0" layoutInCell="1" allowOverlap="1" wp14:anchorId="6B5BFE6B" wp14:editId="498E2074">
          <wp:simplePos x="0" y="0"/>
          <wp:positionH relativeFrom="column">
            <wp:posOffset>1275207</wp:posOffset>
          </wp:positionH>
          <wp:positionV relativeFrom="paragraph">
            <wp:posOffset>232410</wp:posOffset>
          </wp:positionV>
          <wp:extent cx="1152490" cy="657225"/>
          <wp:effectExtent l="0" t="0" r="0" b="0"/>
          <wp:wrapTopAndBottom/>
          <wp:docPr id="750631068" name="Imagen 750631068"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31068" name="Imagen 750631068" descr="Logotipo&#10;&#10;Descripción generada automáticamente"/>
                  <pic:cNvPicPr/>
                </pic:nvPicPr>
                <pic:blipFill rotWithShape="1">
                  <a:blip r:embed="rId4">
                    <a:extLst>
                      <a:ext uri="{28A0092B-C50C-407E-A947-70E740481C1C}">
                        <a14:useLocalDpi xmlns:a14="http://schemas.microsoft.com/office/drawing/2010/main" val="0"/>
                      </a:ext>
                    </a:extLst>
                  </a:blip>
                  <a:srcRect t="12363" b="7751"/>
                  <a:stretch/>
                </pic:blipFill>
                <pic:spPr bwMode="auto">
                  <a:xfrm>
                    <a:off x="0" y="0"/>
                    <a:ext cx="1152490" cy="657225"/>
                  </a:xfrm>
                  <a:prstGeom prst="rect">
                    <a:avLst/>
                  </a:prstGeom>
                  <a:ln>
                    <a:noFill/>
                  </a:ln>
                  <a:extLst>
                    <a:ext uri="{53640926-AAD7-44d8-BBD7-CCE9431645EC}">
                      <a14:shadowObscured xmlns:w16cei="http://schemas.microsoft.com/office/word/2026/wordml/cei" xmlns:ve="http://schemas.openxmlformats.org/markup-compatibility/2006"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97B40"/>
    <w:multiLevelType w:val="hybridMultilevel"/>
    <w:tmpl w:val="179E4DA6"/>
    <w:lvl w:ilvl="0" w:tplc="2B7CA5B2">
      <w:start w:val="1"/>
      <w:numFmt w:val="bullet"/>
      <w:lvlText w:val="●"/>
      <w:lvlJc w:val="left"/>
      <w:pPr>
        <w:ind w:left="720" w:hanging="360"/>
      </w:pPr>
    </w:lvl>
    <w:lvl w:ilvl="1" w:tplc="2D9C0734">
      <w:start w:val="1"/>
      <w:numFmt w:val="bullet"/>
      <w:lvlText w:val="○"/>
      <w:lvlJc w:val="left"/>
      <w:pPr>
        <w:ind w:left="1440" w:hanging="360"/>
      </w:pPr>
    </w:lvl>
    <w:lvl w:ilvl="2" w:tplc="D9D2FE4A">
      <w:start w:val="1"/>
      <w:numFmt w:val="bullet"/>
      <w:lvlText w:val="■"/>
      <w:lvlJc w:val="left"/>
      <w:pPr>
        <w:ind w:left="2160" w:hanging="360"/>
      </w:pPr>
    </w:lvl>
    <w:lvl w:ilvl="3" w:tplc="E7F68A06">
      <w:start w:val="1"/>
      <w:numFmt w:val="bullet"/>
      <w:lvlText w:val="●"/>
      <w:lvlJc w:val="left"/>
      <w:pPr>
        <w:ind w:left="2880" w:hanging="360"/>
      </w:pPr>
    </w:lvl>
    <w:lvl w:ilvl="4" w:tplc="9092B846">
      <w:start w:val="1"/>
      <w:numFmt w:val="bullet"/>
      <w:lvlText w:val="○"/>
      <w:lvlJc w:val="left"/>
      <w:pPr>
        <w:ind w:left="3600" w:hanging="360"/>
      </w:pPr>
    </w:lvl>
    <w:lvl w:ilvl="5" w:tplc="E22407E4">
      <w:start w:val="1"/>
      <w:numFmt w:val="bullet"/>
      <w:lvlText w:val="■"/>
      <w:lvlJc w:val="left"/>
      <w:pPr>
        <w:ind w:left="4320" w:hanging="360"/>
      </w:pPr>
    </w:lvl>
    <w:lvl w:ilvl="6" w:tplc="082CDBB8">
      <w:start w:val="1"/>
      <w:numFmt w:val="bullet"/>
      <w:lvlText w:val="●"/>
      <w:lvlJc w:val="left"/>
      <w:pPr>
        <w:ind w:left="5040" w:hanging="360"/>
      </w:pPr>
    </w:lvl>
    <w:lvl w:ilvl="7" w:tplc="E1809684">
      <w:start w:val="1"/>
      <w:numFmt w:val="bullet"/>
      <w:lvlText w:val="●"/>
      <w:lvlJc w:val="left"/>
      <w:pPr>
        <w:ind w:left="5760" w:hanging="360"/>
      </w:pPr>
    </w:lvl>
    <w:lvl w:ilvl="8" w:tplc="ACA818AA">
      <w:start w:val="1"/>
      <w:numFmt w:val="bullet"/>
      <w:lvlText w:val="●"/>
      <w:lvlJc w:val="left"/>
      <w:pPr>
        <w:ind w:left="6480" w:hanging="360"/>
      </w:pPr>
    </w:lvl>
  </w:abstractNum>
  <w:abstractNum w:abstractNumId="1" w15:restartNumberingAfterBreak="0">
    <w:nsid w:val="535F28A7"/>
    <w:multiLevelType w:val="hybridMultilevel"/>
    <w:tmpl w:val="AFD63F52"/>
    <w:lvl w:ilvl="0" w:tplc="89B434DA">
      <w:start w:val="1"/>
      <w:numFmt w:val="bullet"/>
      <w:lvlText w:val="•"/>
      <w:lvlJc w:val="left"/>
      <w:pPr>
        <w:ind w:left="720" w:hanging="360"/>
      </w:pPr>
    </w:lvl>
    <w:lvl w:ilvl="1" w:tplc="F8B60D92">
      <w:numFmt w:val="decimal"/>
      <w:lvlText w:val=""/>
      <w:lvlJc w:val="left"/>
    </w:lvl>
    <w:lvl w:ilvl="2" w:tplc="D8689D6C">
      <w:numFmt w:val="decimal"/>
      <w:lvlText w:val=""/>
      <w:lvlJc w:val="left"/>
    </w:lvl>
    <w:lvl w:ilvl="3" w:tplc="BAB42BFC">
      <w:numFmt w:val="decimal"/>
      <w:lvlText w:val=""/>
      <w:lvlJc w:val="left"/>
    </w:lvl>
    <w:lvl w:ilvl="4" w:tplc="C7AC9EE0">
      <w:numFmt w:val="decimal"/>
      <w:lvlText w:val=""/>
      <w:lvlJc w:val="left"/>
    </w:lvl>
    <w:lvl w:ilvl="5" w:tplc="5E10296A">
      <w:numFmt w:val="decimal"/>
      <w:lvlText w:val=""/>
      <w:lvlJc w:val="left"/>
    </w:lvl>
    <w:lvl w:ilvl="6" w:tplc="3C7EFDBE">
      <w:numFmt w:val="decimal"/>
      <w:lvlText w:val=""/>
      <w:lvlJc w:val="left"/>
    </w:lvl>
    <w:lvl w:ilvl="7" w:tplc="1DF6D2AC">
      <w:numFmt w:val="decimal"/>
      <w:lvlText w:val=""/>
      <w:lvlJc w:val="left"/>
    </w:lvl>
    <w:lvl w:ilvl="8" w:tplc="AF88679C">
      <w:numFmt w:val="decimal"/>
      <w:lvlText w:val=""/>
      <w:lvlJc w:val="left"/>
    </w:lvl>
  </w:abstractNum>
  <w:num w:numId="1" w16cid:durableId="192040932">
    <w:abstractNumId w:val="0"/>
    <w:lvlOverride w:ilvl="0">
      <w:startOverride w:val="1"/>
    </w:lvlOverride>
  </w:num>
  <w:num w:numId="2" w16cid:durableId="205248826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17B"/>
    <w:rsid w:val="00035B76"/>
    <w:rsid w:val="0018359B"/>
    <w:rsid w:val="001B50B5"/>
    <w:rsid w:val="001D0BA9"/>
    <w:rsid w:val="00280704"/>
    <w:rsid w:val="00295BF2"/>
    <w:rsid w:val="003A2957"/>
    <w:rsid w:val="006A5ABB"/>
    <w:rsid w:val="007A660C"/>
    <w:rsid w:val="007E517B"/>
    <w:rsid w:val="008D154E"/>
    <w:rsid w:val="009A1283"/>
    <w:rsid w:val="00B73A89"/>
    <w:rsid w:val="00BB0DB0"/>
    <w:rsid w:val="00BF6CD5"/>
    <w:rsid w:val="00C5393D"/>
    <w:rsid w:val="00D52DB4"/>
  </w:rsids>
  <m:mathPr>
    <m:mathFont m:val="Cambria Math"/>
    <m:brkBin m:val="before"/>
    <m:brkBinSub m:val="--"/>
    <m:smallFrac m:val="0"/>
    <m:dispDef/>
    <m:lMargin m:val="0"/>
    <m:rMargin m:val="0"/>
    <m:defJc m:val="centerGroup"/>
    <m:wrapIndent m:val="1440"/>
    <m:intLim m:val="subSup"/>
    <m:naryLim m:val="undOvr"/>
  </m:mathPr>
  <w:themeFontLang w:val="es-C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BD2BF"/>
  <w15:docId w15:val="{B621E1A4-6BB0-4E69-92D7-C9FC89802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L" w:eastAsia="es-C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Fuerte1">
    <w:name w:val="Fuerte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7A660C"/>
    <w:rPr>
      <w:color w:val="605E5C"/>
      <w:shd w:val="clear" w:color="auto" w:fill="E1DFDD"/>
    </w:rPr>
  </w:style>
  <w:style w:type="paragraph" w:styleId="Header">
    <w:name w:val="header"/>
    <w:basedOn w:val="Normal"/>
    <w:link w:val="HeaderChar"/>
    <w:uiPriority w:val="99"/>
    <w:unhideWhenUsed/>
    <w:rsid w:val="00BF6CD5"/>
    <w:pPr>
      <w:tabs>
        <w:tab w:val="center" w:pos="4419"/>
        <w:tab w:val="right" w:pos="8838"/>
      </w:tabs>
    </w:pPr>
  </w:style>
  <w:style w:type="character" w:customStyle="1" w:styleId="HeaderChar">
    <w:name w:val="Header Char"/>
    <w:basedOn w:val="DefaultParagraphFont"/>
    <w:link w:val="Header"/>
    <w:uiPriority w:val="99"/>
    <w:rsid w:val="00BF6CD5"/>
  </w:style>
  <w:style w:type="paragraph" w:styleId="Footer">
    <w:name w:val="footer"/>
    <w:basedOn w:val="Normal"/>
    <w:link w:val="FooterChar"/>
    <w:uiPriority w:val="99"/>
    <w:unhideWhenUsed/>
    <w:rsid w:val="00BF6CD5"/>
    <w:pPr>
      <w:tabs>
        <w:tab w:val="center" w:pos="4419"/>
        <w:tab w:val="right" w:pos="8838"/>
      </w:tabs>
    </w:pPr>
  </w:style>
  <w:style w:type="character" w:customStyle="1" w:styleId="FooterChar">
    <w:name w:val="Footer Char"/>
    <w:basedOn w:val="DefaultParagraphFont"/>
    <w:link w:val="Footer"/>
    <w:uiPriority w:val="99"/>
    <w:rsid w:val="00BF6C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adnradio.cl/2024/06/12/defensor-de-la-ninez-por-crisis-en-el-sistema-no-estan-pensando-con-el-centro-de-la-mirada-en-los-ninos-sino-que-logica-de-oferta-y-demanda" TargetMode="External"/><Relationship Id="rId7" Type="http://schemas.openxmlformats.org/officeDocument/2006/relationships/hyperlink" Target="https://diprece.minsal.cl/programas-de-salud/programas-ciclo-vital/informacion-al-profesional-salud-de-la-mujer/" TargetMode="External"/><Relationship Id="rId2" Type="http://schemas.openxmlformats.org/officeDocument/2006/relationships/hyperlink" Target="https://www.ciperchile.cl/2024/07/24/el-suicidio-de-micaela/" TargetMode="External"/><Relationship Id="rId1" Type="http://schemas.openxmlformats.org/officeDocument/2006/relationships/hyperlink" Target="https://tramitacion.senado.cl/appsenado/templates/tramitacion/index.php?boletin_ini=17003-11" TargetMode="External"/><Relationship Id="rId6" Type="http://schemas.openxmlformats.org/officeDocument/2006/relationships/hyperlink" Target="https://spd-archivo.subprevenciondeldelito.gob.cl/" TargetMode="External"/><Relationship Id="rId5" Type="http://schemas.openxmlformats.org/officeDocument/2006/relationships/hyperlink" Target="https://www.camara.cl/cms/despachan-a-ley-mayor-inclusion-laboral-de-personas-con-discapacidad/" TargetMode="External"/><Relationship Id="rId4" Type="http://schemas.openxmlformats.org/officeDocument/2006/relationships/hyperlink" Target="https://tramitacion.senado.cl/appsenado/templates/tramitacion/index.php?boletin_ini=17003-1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2026-07-20T16:23:17+00:00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F11987F-0224-4D48-85CB-FC48CFD27A1C}"/>
</file>

<file path=customXml/itemProps2.xml><?xml version="1.0" encoding="utf-8"?>
<ds:datastoreItem xmlns:ds="http://schemas.openxmlformats.org/officeDocument/2006/customXml" ds:itemID="{6B4C73A7-040F-4B50-A34A-CC23638FDA2F}"/>
</file>

<file path=customXml/itemProps3.xml><?xml version="1.0" encoding="utf-8"?>
<ds:datastoreItem xmlns:ds="http://schemas.openxmlformats.org/officeDocument/2006/customXml" ds:itemID="{8EA73061-6610-4DA8-BC0C-04530BAE4D46}"/>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7</Pages>
  <Words>1966</Words>
  <Characters>11189</Characters>
  <Application>Microsoft Office Word</Application>
  <DocSecurity>4</DocSecurity>
  <Lines>183</Lines>
  <Paragraphs>46</Paragraphs>
  <ScaleCrop>false</ScaleCrop>
  <Company/>
  <LinksUpToDate>false</LinksUpToDate>
  <CharactersWithSpaces>13109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Jorge Araya</cp:lastModifiedBy>
  <cp:revision>2</cp:revision>
  <dcterms:created xsi:type="dcterms:W3CDTF">2026-07-20T16:23:00Z</dcterms:created>
  <dcterms:modified xsi:type="dcterms:W3CDTF">2026-07-20T16:23:00Z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