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ore.xml" ContentType="application/vnd.openxmlformats-package.core-properties+xml"/>
  <Override PartName="/word/stylesWithEffects.xml" ContentType="application/vnd.ms-word.stylesWithEffects+xml"/>
  <Override PartName="/word/fontTable.xml" ContentType="application/vnd.openxmlformats-officedocument.wordprocessingml.fontTable+xml"/>
  <Override PartName="/word/webSettings.xml" ContentType="application/vnd.openxmlformats-officedocument.wordprocessingml.webSettings+xml"/>
  <Override PartName="/word/commentsExtended.xml" ContentType="application/vnd.openxmlformats-officedocument.wordprocessingml.commentsExtended+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7" w:rightFromText="187" w:horzAnchor="margin" w:tblpXSpec="center" w:tblpY="2881"/>
        <w:tblW w:w="4330" w:type="pct"/>
        <w:tblBorders>
          <w:left w:val="single" w:sz="18" w:space="0" w:color="4F81BD" w:themeColor="accent1"/>
        </w:tblBorders>
        <w:tblLook w:val="04A0" w:firstRow="1" w:lastRow="0" w:firstColumn="1" w:lastColumn="0" w:noHBand="0" w:noVBand="1"/>
      </w:tblPr>
      <w:tblGrid>
        <w:gridCol w:w="8760"/>
      </w:tblGrid>
      <w:tr w:rsidR="008365D4" w:rsidTr="00706E0D">
        <w:tc>
          <w:tcPr>
            <w:tcW w:w="8760" w:type="dxa"/>
          </w:tcPr>
          <w:sdt>
            <w:sdtPr>
              <w:rPr>
                <w:rFonts w:ascii="Roboto" w:eastAsiaTheme="minorHAnsi" w:hAnsi="Roboto" w:cs="Times New Roman"/>
                <w:b/>
                <w:sz w:val="34"/>
                <w:szCs w:val="34"/>
              </w:rPr>
              <w:alias w:val="Title"/>
              <w:id w:val="13406919"/>
              <w:dataBinding w:prefixMappings="xmlns:ns0='http://schemas.openxmlformats.org/package/2006/metadata/core-properties' xmlns:ns1='http://purl.org/dc/elements/1.1/'" w:xpath="/ns0:coreProperties[1]/ns1:title[1]" w:storeItemID="{6C3C8BC8-F283-45AE-878A-BAB7291924A1}"/>
              <w:text/>
            </w:sdtPr>
            <w:sdtContent>
              <w:p w:rsidR="008365D4" w:rsidRDefault="000D00E7" w:rsidP="00C077B6">
                <w:pPr>
                  <w:pStyle w:val="NoSpacing"/>
                  <w:rPr>
                    <w:rFonts w:asciiTheme="majorHAnsi" w:eastAsiaTheme="majorEastAsia" w:hAnsiTheme="majorHAnsi" w:cstheme="majorBidi"/>
                    <w:color w:val="4F81BD" w:themeColor="accent1"/>
                    <w:sz w:val="80"/>
                    <w:szCs w:val="80"/>
                  </w:rPr>
                </w:pPr>
                <w:r>
                  <w:rPr>
                    <w:rFonts w:ascii="Roboto" w:eastAsiaTheme="minorHAnsi" w:hAnsi="Roboto" w:cs="Times New Roman"/>
                    <w:b/>
                    <w:sz w:val="34"/>
                    <w:szCs w:val="34"/>
                  </w:rPr>
                  <w:t>Joint submission for the List of Issues in relation to the fourth periodic report of Azerbaijan under the International Covenant on Economic, Social and Cultural Rights</w:t>
                </w:r>
              </w:p>
            </w:sdtContent>
          </w:sdt>
        </w:tc>
      </w:tr>
      <w:tr w:rsidR="008365D4" w:rsidTr="00706E0D">
        <w:tc>
          <w:tcPr>
            <w:tcW w:w="8760" w:type="dxa"/>
            <w:tcMar>
              <w:top w:w="216" w:type="dxa"/>
              <w:left w:w="115" w:type="dxa"/>
              <w:bottom w:w="216" w:type="dxa"/>
              <w:right w:w="115" w:type="dxa"/>
            </w:tcMar>
          </w:tcPr>
          <w:p w:rsidR="008365D4" w:rsidRPr="004246ED" w:rsidRDefault="008365D4" w:rsidP="00C077B6">
            <w:pPr>
              <w:pStyle w:val="NoSpacing"/>
              <w:rPr>
                <w:rFonts w:ascii="Roboto" w:eastAsiaTheme="majorEastAsia" w:hAnsi="Roboto" w:cstheme="majorBidi"/>
                <w:i/>
              </w:rPr>
            </w:pPr>
            <w:r w:rsidRPr="004246ED">
              <w:rPr>
                <w:rFonts w:ascii="Roboto" w:eastAsiaTheme="majorEastAsia" w:hAnsi="Roboto" w:cstheme="majorBidi"/>
                <w:i/>
              </w:rPr>
              <w:t>65 Pre-Sessional Working Group (21 Oct 2019 - 25 Oct 2019)</w:t>
            </w:r>
          </w:p>
        </w:tc>
      </w:tr>
    </w:tbl>
    <w:p w:rsidR="008365D4" w:rsidRPr="004246ED" w:rsidRDefault="0060006D" w:rsidP="00706E0D">
      <w:pPr>
        <w:spacing w:line="480" w:lineRule="auto"/>
        <w:jc w:val="center"/>
        <w:rPr>
          <w:rFonts w:ascii="Roboto" w:hAnsi="Roboto"/>
        </w:rPr>
      </w:pPr>
      <w:r>
        <w:rPr>
          <w:noProof/>
        </w:rPr>
        <mc:AlternateContent>
          <mc:Choice Requires="wps">
            <w:drawing>
              <wp:anchor distT="0" distB="0" distL="114300" distR="114300" simplePos="0" relativeHeight="251667456" behindDoc="0" locked="0" layoutInCell="1" allowOverlap="1" wp14:anchorId="5C65E073" wp14:editId="4B60746B">
                <wp:simplePos x="0" y="0"/>
                <wp:positionH relativeFrom="column">
                  <wp:posOffset>3644900</wp:posOffset>
                </wp:positionH>
                <wp:positionV relativeFrom="paragraph">
                  <wp:posOffset>850900</wp:posOffset>
                </wp:positionV>
                <wp:extent cx="2095500" cy="8255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825500"/>
                        </a:xfrm>
                        <a:prstGeom prst="rect">
                          <a:avLst/>
                        </a:prstGeom>
                        <a:solidFill>
                          <a:srgbClr val="FFFFFF"/>
                        </a:solidFill>
                        <a:ln w="9525">
                          <a:noFill/>
                          <a:miter lim="800000"/>
                          <a:headEnd/>
                          <a:tailEnd/>
                        </a:ln>
                      </wps:spPr>
                      <wps:txbx>
                        <w:txbxContent>
                          <w:p w:rsidR="00706E0D" w:rsidRDefault="00706E0D" w:rsidP="00706E0D">
                            <w:r>
                              <w:rPr>
                                <w:noProof/>
                              </w:rPr>
                              <w:drawing>
                                <wp:inline distT="0" distB="0" distL="0" distR="0" wp14:anchorId="2D5B59C9" wp14:editId="24903E0D">
                                  <wp:extent cx="2051050" cy="7739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AD+lgbt-logo+(2).png"/>
                                          <pic:cNvPicPr/>
                                        </pic:nvPicPr>
                                        <pic:blipFill>
                                          <a:blip r:embed="rId10">
                                            <a:extLst>
                                              <a:ext uri="{28A0092B-C50C-407E-A947-70E740481C1C}">
                                                <a14:useLocalDpi xmlns:a14="http://schemas.microsoft.com/office/drawing/2010/main" val="0"/>
                                              </a:ext>
                                            </a:extLst>
                                          </a:blip>
                                          <a:stretch>
                                            <a:fillRect/>
                                          </a:stretch>
                                        </pic:blipFill>
                                        <pic:spPr>
                                          <a:xfrm>
                                            <a:off x="0" y="0"/>
                                            <a:ext cx="2049920" cy="773523"/>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7pt;margin-top:67pt;width:165pt;height: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" stroked="f">
                <v:textbox>
                  <w:txbxContent>
                    <w:p w:rsidR="00706E0D" w:rsidRDefault="00706E0D" w:rsidP="00706E0D">
                      <w:r>
                        <w:rPr>
                          <w:noProof/>
                        </w:rPr>
                        <w:drawing>
                          <wp:inline distT="0" distB="0" distL="0" distR="0" wp14:anchorId="2D5B59C9" wp14:editId="24903E0D">
                            <wp:extent cx="2051050" cy="77394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ZAD+lgbt-logo+(2).png"/>
                                    <pic:cNvPicPr/>
                                  </pic:nvPicPr>
                                  <pic:blipFill>
                                    <a:blip r:embed="rId10">
                                      <a:extLst>
                                        <a:ext uri="{28A0092B-C50C-407E-A947-70E740481C1C}">
                                          <a14:useLocalDpi xmlns:a14="http://schemas.microsoft.com/office/drawing/2010/main" val="0"/>
                                        </a:ext>
                                      </a:extLst>
                                    </a:blip>
                                    <a:stretch>
                                      <a:fillRect/>
                                    </a:stretch>
                                  </pic:blipFill>
                                  <pic:spPr>
                                    <a:xfrm>
                                      <a:off x="0" y="0"/>
                                      <a:ext cx="2049920" cy="773523"/>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13B7D3AE" wp14:editId="0E40861E">
                <wp:simplePos x="0" y="0"/>
                <wp:positionH relativeFrom="column">
                  <wp:posOffset>2870200</wp:posOffset>
                </wp:positionH>
                <wp:positionV relativeFrom="paragraph">
                  <wp:posOffset>863600</wp:posOffset>
                </wp:positionV>
                <wp:extent cx="1111250" cy="80645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0" cy="806450"/>
                        </a:xfrm>
                        <a:prstGeom prst="rect">
                          <a:avLst/>
                        </a:prstGeom>
                        <a:solidFill>
                          <a:srgbClr val="FFFFFF"/>
                        </a:solidFill>
                        <a:ln w="9525">
                          <a:noFill/>
                          <a:miter lim="800000"/>
                          <a:headEnd/>
                          <a:tailEnd/>
                        </a:ln>
                      </wps:spPr>
                      <wps:txbx>
                        <w:txbxContent>
                          <w:p w:rsidR="00706E0D" w:rsidRDefault="00706E0D" w:rsidP="00706E0D">
                            <w:r>
                              <w:rPr>
                                <w:noProof/>
                              </w:rPr>
                              <w:drawing>
                                <wp:inline distT="0" distB="0" distL="0" distR="0" wp14:anchorId="6B0FEA16" wp14:editId="5C94334B">
                                  <wp:extent cx="754380" cy="754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ority.png"/>
                                          <pic:cNvPicPr/>
                                        </pic:nvPicPr>
                                        <pic:blipFill>
                                          <a:blip r:embed="rId11">
                                            <a:extLst>
                                              <a:ext uri="{28A0092B-C50C-407E-A947-70E740481C1C}">
                                                <a14:useLocalDpi xmlns:a14="http://schemas.microsoft.com/office/drawing/2010/main" val="0"/>
                                              </a:ext>
                                            </a:extLst>
                                          </a:blip>
                                          <a:stretch>
                                            <a:fillRect/>
                                          </a:stretch>
                                        </pic:blipFill>
                                        <pic:spPr>
                                          <a:xfrm>
                                            <a:off x="0" y="0"/>
                                            <a:ext cx="753965" cy="75396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26pt;margin-top:68pt;width:87.5pt;height: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" stroked="f">
                <v:textbox>
                  <w:txbxContent>
                    <w:p w:rsidR="00706E0D" w:rsidRDefault="00706E0D" w:rsidP="00706E0D">
                      <w:r>
                        <w:rPr>
                          <w:noProof/>
                        </w:rPr>
                        <w:drawing>
                          <wp:inline distT="0" distB="0" distL="0" distR="0" wp14:anchorId="6B0FEA16" wp14:editId="5C94334B">
                            <wp:extent cx="754380" cy="754380"/>
                            <wp:effectExtent l="0" t="0" r="762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ority.png"/>
                                    <pic:cNvPicPr/>
                                  </pic:nvPicPr>
                                  <pic:blipFill>
                                    <a:blip r:embed="rId11">
                                      <a:extLst>
                                        <a:ext uri="{28A0092B-C50C-407E-A947-70E740481C1C}">
                                          <a14:useLocalDpi xmlns:a14="http://schemas.microsoft.com/office/drawing/2010/main" val="0"/>
                                        </a:ext>
                                      </a:extLst>
                                    </a:blip>
                                    <a:stretch>
                                      <a:fillRect/>
                                    </a:stretch>
                                  </pic:blipFill>
                                  <pic:spPr>
                                    <a:xfrm>
                                      <a:off x="0" y="0"/>
                                      <a:ext cx="753965" cy="753965"/>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2374399A" wp14:editId="3CD28F01">
                <wp:simplePos x="0" y="0"/>
                <wp:positionH relativeFrom="column">
                  <wp:posOffset>247650</wp:posOffset>
                </wp:positionH>
                <wp:positionV relativeFrom="paragraph">
                  <wp:posOffset>939800</wp:posOffset>
                </wp:positionV>
                <wp:extent cx="2374265" cy="70485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704850"/>
                        </a:xfrm>
                        <a:prstGeom prst="rect">
                          <a:avLst/>
                        </a:prstGeom>
                        <a:solidFill>
                          <a:srgbClr val="FFFFFF"/>
                        </a:solidFill>
                        <a:ln w="9525">
                          <a:noFill/>
                          <a:miter lim="800000"/>
                          <a:headEnd/>
                          <a:tailEnd/>
                        </a:ln>
                      </wps:spPr>
                      <wps:txbx>
                        <w:txbxContent>
                          <w:p w:rsidR="00706E0D" w:rsidRDefault="0060006D">
                            <w:r>
                              <w:rPr>
                                <w:noProof/>
                              </w:rPr>
                              <w:drawing>
                                <wp:inline distT="0" distB="0" distL="0" distR="0" wp14:anchorId="5677EBD0" wp14:editId="519E7722">
                                  <wp:extent cx="2322830" cy="57467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line for Parliamen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830" cy="574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left:0;text-align:left;margin-left:19.5pt;margin-top:74pt;width:186.95pt;height:55.5pt;z-index:251663360;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" stroked="f">
                <v:textbox>
                  <w:txbxContent>
                    <w:p w:rsidR="00706E0D" w:rsidRDefault="0060006D">
                      <w:r>
                        <w:rPr>
                          <w:noProof/>
                        </w:rPr>
                        <w:drawing>
                          <wp:inline distT="0" distB="0" distL="0" distR="0" wp14:anchorId="5677EBD0" wp14:editId="519E7722">
                            <wp:extent cx="2322830" cy="57467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line for Parliamen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22830" cy="574675"/>
                                    </a:xfrm>
                                    <a:prstGeom prst="rect">
                                      <a:avLst/>
                                    </a:prstGeom>
                                  </pic:spPr>
                                </pic:pic>
                              </a:graphicData>
                            </a:graphic>
                          </wp:inline>
                        </w:drawing>
                      </w:r>
                    </w:p>
                  </w:txbxContent>
                </v:textbox>
              </v:shape>
            </w:pict>
          </mc:Fallback>
        </mc:AlternateContent>
      </w:r>
      <w:r w:rsidR="008365D4" w:rsidRPr="004246ED">
        <w:rPr>
          <w:rFonts w:ascii="Roboto" w:hAnsi="Roboto"/>
        </w:rPr>
        <w:t>Nafas</w:t>
      </w:r>
      <w:r w:rsidR="008365D4">
        <w:rPr>
          <w:rFonts w:ascii="Roboto" w:hAnsi="Roboto"/>
        </w:rPr>
        <w:t xml:space="preserve"> LGBT Azerbaijan Alliance</w:t>
      </w:r>
      <w:r w:rsidR="008365D4">
        <w:rPr>
          <w:rFonts w:ascii="Roboto" w:hAnsi="Roboto"/>
        </w:rPr>
        <w:br/>
        <w:t>Minority Azerbaijan</w:t>
      </w:r>
      <w:r w:rsidR="008365D4">
        <w:rPr>
          <w:rFonts w:ascii="Roboto" w:hAnsi="Roboto"/>
        </w:rPr>
        <w:br/>
        <w:t>AZAD LGBT Collective</w:t>
      </w:r>
    </w:p>
    <w:p w:rsidR="008365D4" w:rsidRDefault="008365D4" w:rsidP="008365D4"/>
    <w:tbl>
      <w:tblPr>
        <w:tblpPr w:leftFromText="187" w:rightFromText="187" w:horzAnchor="margin" w:tblpXSpec="center" w:tblpYSpec="bottom"/>
        <w:tblW w:w="4000" w:type="pct"/>
        <w:tblLook w:val="04A0" w:firstRow="1" w:lastRow="0" w:firstColumn="1" w:lastColumn="0" w:noHBand="0" w:noVBand="1"/>
      </w:tblPr>
      <w:tblGrid>
        <w:gridCol w:w="8104"/>
      </w:tblGrid>
      <w:tr w:rsidR="008365D4" w:rsidTr="00C077B6">
        <w:tc>
          <w:tcPr>
            <w:tcW w:w="7672" w:type="dxa"/>
            <w:tcMar>
              <w:top w:w="216" w:type="dxa"/>
              <w:left w:w="115" w:type="dxa"/>
              <w:bottom w:w="216" w:type="dxa"/>
              <w:right w:w="115" w:type="dxa"/>
            </w:tcMar>
          </w:tcPr>
          <w:p w:rsidR="008365D4" w:rsidRDefault="008365D4" w:rsidP="00C077B6">
            <w:pPr>
              <w:pStyle w:val="NoSpacing"/>
              <w:rPr>
                <w:color w:val="4F81BD" w:themeColor="accent1"/>
              </w:rPr>
            </w:pPr>
            <w:sdt>
              <w:sdtPr>
                <w:rPr>
                  <w:color w:val="4F81BD" w:themeColor="accent1"/>
                </w:rPr>
                <w:alias w:val="Author"/>
                <w:id w:val="13406928"/>
                <w:dataBinding w:prefixMappings="xmlns:ns0='http://schemas.openxmlformats.org/package/2006/metadata/core-properties' xmlns:ns1='http://purl.org/dc/elements/1.1/'" w:xpath="/ns0:coreProperties[1]/ns1:creator[1]" w:storeItemID="{6C3C8BC8-F283-45AE-878A-BAB7291924A1}"/>
                <w:text/>
              </w:sdtPr>
              <w:sdtContent>
                <w:r>
                  <w:rPr>
                    <w:color w:val="4F81BD" w:themeColor="accent1"/>
                  </w:rPr>
                  <w:t>Date of Submission</w:t>
                </w:r>
              </w:sdtContent>
            </w:sdt>
          </w:p>
          <w:sdt>
            <w:sdtPr>
              <w:rPr>
                <w:color w:val="4F81BD" w:themeColor="accent1"/>
              </w:rPr>
              <w:alias w:val="Date"/>
              <w:id w:val="13406932"/>
              <w:dataBinding w:prefixMappings="xmlns:ns0='http://schemas.microsoft.com/office/2006/coverPageProps'" w:xpath="/ns0:CoverPageProperties[1]/ns0:PublishDate[1]" w:storeItemID="{55AF091B-3C7A-41E3-B477-F2FDAA23CFDA}"/>
              <w:date w:fullDate="2019-08-26T00:00:00Z">
                <w:dateFormat w:val="M/d/yyyy"/>
                <w:lid w:val="en-US"/>
                <w:storeMappedDataAs w:val="dateTime"/>
                <w:calendar w:val="gregorian"/>
              </w:date>
            </w:sdtPr>
            <w:sdtContent>
              <w:p w:rsidR="008365D4" w:rsidRDefault="008365D4" w:rsidP="00C077B6">
                <w:pPr>
                  <w:pStyle w:val="NoSpacing"/>
                  <w:rPr>
                    <w:color w:val="4F81BD" w:themeColor="accent1"/>
                  </w:rPr>
                </w:pPr>
                <w:r>
                  <w:rPr>
                    <w:color w:val="4F81BD" w:themeColor="accent1"/>
                  </w:rPr>
                  <w:t>8/26/2019</w:t>
                </w:r>
              </w:p>
            </w:sdtContent>
          </w:sdt>
          <w:p w:rsidR="008365D4" w:rsidRDefault="008365D4" w:rsidP="00C077B6">
            <w:pPr>
              <w:pStyle w:val="NoSpacing"/>
              <w:rPr>
                <w:color w:val="4F81BD" w:themeColor="accent1"/>
              </w:rPr>
            </w:pPr>
          </w:p>
        </w:tc>
      </w:tr>
    </w:tbl>
    <w:p w:rsidR="00162A84" w:rsidRDefault="00162A84"/>
    <w:p w:rsidR="00162A84" w:rsidRDefault="008365D4">
      <w:r w:rsidRPr="00123C2E">
        <w:rPr>
          <w:noProof/>
          <w:sz w:val="36"/>
          <w:szCs w:val="36"/>
        </w:rPr>
        <mc:AlternateContent>
          <mc:Choice Requires="wps">
            <w:drawing>
              <wp:anchor distT="0" distB="0" distL="114300" distR="114300" simplePos="0" relativeHeight="251661312" behindDoc="0" locked="0" layoutInCell="1" allowOverlap="1" wp14:anchorId="6B03F9D9" wp14:editId="1294E0DD">
                <wp:simplePos x="0" y="0"/>
                <wp:positionH relativeFrom="column">
                  <wp:posOffset>-5746115</wp:posOffset>
                </wp:positionH>
                <wp:positionV relativeFrom="paragraph">
                  <wp:posOffset>3656330</wp:posOffset>
                </wp:positionV>
                <wp:extent cx="4191000" cy="1062990"/>
                <wp:effectExtent l="0" t="0" r="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062990"/>
                        </a:xfrm>
                        <a:prstGeom prst="rect">
                          <a:avLst/>
                        </a:prstGeom>
                        <a:solidFill>
                          <a:srgbClr val="FFFFFF"/>
                        </a:solidFill>
                        <a:ln w="9525">
                          <a:noFill/>
                          <a:miter lim="800000"/>
                          <a:headEnd/>
                          <a:tailEnd/>
                        </a:ln>
                      </wps:spPr>
                      <wps:txbx>
                        <w:txbxContent>
                          <w:p w:rsidR="008365D4" w:rsidRPr="004246ED" w:rsidRDefault="008365D4" w:rsidP="008365D4">
                            <w:pPr>
                              <w:rPr>
                                <w:rFonts w:ascii="Roboto" w:hAnsi="Roboto"/>
                                <w:b/>
                                <w:sz w:val="34"/>
                                <w:szCs w:val="34"/>
                              </w:rPr>
                            </w:pPr>
                            <w:r>
                              <w:rPr>
                                <w:rFonts w:ascii="Roboto" w:hAnsi="Roboto"/>
                                <w:b/>
                                <w:sz w:val="34"/>
                                <w:szCs w:val="34"/>
                              </w:rPr>
                              <w:t xml:space="preserve">Addressing Discrimination </w:t>
                            </w:r>
                            <w:r w:rsidRPr="004246ED">
                              <w:rPr>
                                <w:rFonts w:ascii="Roboto" w:hAnsi="Roboto"/>
                                <w:b/>
                                <w:sz w:val="34"/>
                                <w:szCs w:val="34"/>
                              </w:rPr>
                              <w:t xml:space="preserve">and Inequality </w:t>
                            </w:r>
                            <w:r>
                              <w:rPr>
                                <w:rFonts w:ascii="Roboto" w:hAnsi="Roboto"/>
                                <w:b/>
                                <w:sz w:val="34"/>
                                <w:szCs w:val="34"/>
                              </w:rPr>
                              <w:br/>
                            </w:r>
                            <w:r w:rsidRPr="004246ED">
                              <w:rPr>
                                <w:rFonts w:ascii="Roboto" w:hAnsi="Roboto"/>
                                <w:b/>
                                <w:sz w:val="34"/>
                                <w:szCs w:val="34"/>
                              </w:rPr>
                              <w:t>in Economic, Social and Cultural R</w:t>
                            </w:r>
                            <w:r>
                              <w:rPr>
                                <w:rFonts w:ascii="Roboto" w:hAnsi="Roboto"/>
                                <w:b/>
                                <w:sz w:val="34"/>
                                <w:szCs w:val="34"/>
                              </w:rPr>
                              <w:t>ights</w:t>
                            </w:r>
                            <w:r>
                              <w:rPr>
                                <w:rFonts w:ascii="Roboto" w:hAnsi="Roboto"/>
                                <w:b/>
                                <w:sz w:val="34"/>
                                <w:szCs w:val="34"/>
                              </w:rPr>
                              <w:br/>
                              <w:t>Faced by LGBTI Population</w:t>
                            </w:r>
                            <w:r>
                              <w:rPr>
                                <w:rFonts w:ascii="Roboto" w:hAnsi="Roboto"/>
                                <w:b/>
                                <w:sz w:val="34"/>
                                <w:szCs w:val="34"/>
                              </w:rPr>
                              <w:t xml:space="preserve"> </w:t>
                            </w:r>
                            <w:r w:rsidRPr="004246ED">
                              <w:rPr>
                                <w:rFonts w:ascii="Roboto" w:hAnsi="Roboto"/>
                                <w:b/>
                                <w:sz w:val="34"/>
                                <w:szCs w:val="34"/>
                              </w:rPr>
                              <w:t xml:space="preserve">in Azerbaijan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452.45pt;margin-top:287.9pt;width:330pt;height:8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" stroked="f">
                <v:textbox>
                  <w:txbxContent>
                    <w:p w:rsidR="008365D4" w:rsidRPr="004246ED" w:rsidRDefault="008365D4" w:rsidP="008365D4">
                      <w:pPr>
                        <w:rPr>
                          <w:rFonts w:ascii="Roboto" w:hAnsi="Roboto"/>
                          <w:b/>
                          <w:sz w:val="34"/>
                          <w:szCs w:val="34"/>
                        </w:rPr>
                      </w:pPr>
                      <w:r>
                        <w:rPr>
                          <w:rFonts w:ascii="Roboto" w:hAnsi="Roboto"/>
                          <w:b/>
                          <w:sz w:val="34"/>
                          <w:szCs w:val="34"/>
                        </w:rPr>
                        <w:t xml:space="preserve">Addressing Discrimination </w:t>
                      </w:r>
                      <w:r w:rsidRPr="004246ED">
                        <w:rPr>
                          <w:rFonts w:ascii="Roboto" w:hAnsi="Roboto"/>
                          <w:b/>
                          <w:sz w:val="34"/>
                          <w:szCs w:val="34"/>
                        </w:rPr>
                        <w:t xml:space="preserve">and Inequality </w:t>
                      </w:r>
                      <w:r>
                        <w:rPr>
                          <w:rFonts w:ascii="Roboto" w:hAnsi="Roboto"/>
                          <w:b/>
                          <w:sz w:val="34"/>
                          <w:szCs w:val="34"/>
                        </w:rPr>
                        <w:br/>
                      </w:r>
                      <w:r w:rsidRPr="004246ED">
                        <w:rPr>
                          <w:rFonts w:ascii="Roboto" w:hAnsi="Roboto"/>
                          <w:b/>
                          <w:sz w:val="34"/>
                          <w:szCs w:val="34"/>
                        </w:rPr>
                        <w:t>in Economic, Social and Cultural R</w:t>
                      </w:r>
                      <w:r>
                        <w:rPr>
                          <w:rFonts w:ascii="Roboto" w:hAnsi="Roboto"/>
                          <w:b/>
                          <w:sz w:val="34"/>
                          <w:szCs w:val="34"/>
                        </w:rPr>
                        <w:t>ights</w:t>
                      </w:r>
                      <w:r>
                        <w:rPr>
                          <w:rFonts w:ascii="Roboto" w:hAnsi="Roboto"/>
                          <w:b/>
                          <w:sz w:val="34"/>
                          <w:szCs w:val="34"/>
                        </w:rPr>
                        <w:br/>
                        <w:t>Faced by LGBTI Population</w:t>
                      </w:r>
                      <w:r>
                        <w:rPr>
                          <w:rFonts w:ascii="Roboto" w:hAnsi="Roboto"/>
                          <w:b/>
                          <w:sz w:val="34"/>
                          <w:szCs w:val="34"/>
                        </w:rPr>
                        <w:t xml:space="preserve"> </w:t>
                      </w:r>
                      <w:r w:rsidRPr="004246ED">
                        <w:rPr>
                          <w:rFonts w:ascii="Roboto" w:hAnsi="Roboto"/>
                          <w:b/>
                          <w:sz w:val="34"/>
                          <w:szCs w:val="34"/>
                        </w:rPr>
                        <w:t xml:space="preserve">in Azerbaijan </w:t>
                      </w:r>
                    </w:p>
                  </w:txbxContent>
                </v:textbox>
              </v:shape>
            </w:pict>
          </mc:Fallback>
        </mc:AlternateContent>
      </w:r>
      <w:r w:rsidR="003D6614">
        <w:br w:type="page"/>
      </w:r>
      <w:r w:rsidR="003D6614">
        <w:rPr>
          <w:noProof/>
        </w:rPr>
        <mc:AlternateContent>
          <mc:Choice Requires="wps">
            <w:drawing>
              <wp:anchor distT="0" distB="0" distL="114300" distR="114300" simplePos="0" relativeHeight="251659264" behindDoc="0" locked="0" layoutInCell="1" hidden="0" allowOverlap="1">
                <wp:simplePos x="0" y="0"/>
                <wp:positionH relativeFrom="column">
                  <wp:posOffset>5753100</wp:posOffset>
                </wp:positionH>
                <wp:positionV relativeFrom="paragraph">
                  <wp:posOffset>7137400</wp:posOffset>
                </wp:positionV>
                <wp:extent cx="923925" cy="492125"/>
                <wp:effectExtent l="0" t="0" r="0" b="0"/>
                <wp:wrapNone/>
                <wp:docPr id="3" name="Rectangle 3"/>
                <wp:cNvGraphicFramePr/>
                <a:graphic xmlns:a="http://schemas.openxmlformats.org/drawingml/2006/main">
                  <a:graphicData uri="http://schemas.microsoft.com/office/word/2010/wordprocessingShape">
                    <wps:wsp>
                      <wps:cNvSpPr/>
                      <wps:spPr>
                        <a:xfrm>
                          <a:off x="4888800" y="3538700"/>
                          <a:ext cx="914400" cy="482600"/>
                        </a:xfrm>
                        <a:prstGeom prst="rect">
                          <a:avLst/>
                        </a:prstGeom>
                        <a:solidFill>
                          <a:schemeClr val="lt1"/>
                        </a:solidFill>
                        <a:ln>
                          <a:noFill/>
                        </a:ln>
                      </wps:spPr>
                      <wps:txbx>
                        <w:txbxContent>
                          <w:p w:rsidR="00162A84" w:rsidRDefault="00162A8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3" o:spid="_x0000_s1030" style="position:absolute;margin-left:453pt;margin-top:562pt;width:72.75pt;height:3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" fillcolor="white [3201]" stroked="f">
                <v:textbox inset="2.53958mm,2.53958mm,2.53958mm,2.53958mm">
                  <w:txbxContent>
                    <w:p w:rsidR="00162A84" w:rsidRDefault="00162A84">
                      <w:pPr>
                        <w:spacing w:after="0" w:line="240" w:lineRule="auto"/>
                        <w:textDirection w:val="btLr"/>
                      </w:pPr>
                    </w:p>
                  </w:txbxContent>
                </v:textbox>
              </v:rect>
            </w:pict>
          </mc:Fallback>
        </mc:AlternateContent>
      </w:r>
    </w:p>
    <w:p w:rsidR="00162A84" w:rsidRDefault="00162A84"/>
    <w:p w:rsidR="00162A84" w:rsidRDefault="003D6614">
      <w:pPr>
        <w:keepNext/>
        <w:keepLines/>
        <w:pBdr>
          <w:top w:val="nil"/>
          <w:left w:val="nil"/>
          <w:bottom w:val="nil"/>
          <w:right w:val="nil"/>
          <w:between w:val="nil"/>
        </w:pBdr>
        <w:spacing w:before="480" w:after="0"/>
        <w:rPr>
          <w:rFonts w:ascii="Cambria" w:eastAsia="Cambria" w:hAnsi="Cambria" w:cs="Cambria"/>
          <w:b/>
          <w:color w:val="366091"/>
          <w:sz w:val="28"/>
          <w:szCs w:val="28"/>
        </w:rPr>
      </w:pPr>
      <w:r>
        <w:rPr>
          <w:rFonts w:ascii="Cambria" w:eastAsia="Cambria" w:hAnsi="Cambria" w:cs="Cambria"/>
          <w:b/>
          <w:color w:val="366091"/>
          <w:sz w:val="28"/>
          <w:szCs w:val="28"/>
        </w:rPr>
        <w:t>Contents</w:t>
      </w:r>
    </w:p>
    <w:sdt>
      <w:sdtPr>
        <w:id w:val="1885677212"/>
        <w:docPartObj>
          <w:docPartGallery w:val="Table of Contents"/>
          <w:docPartUnique/>
        </w:docPartObj>
      </w:sdtPr>
      <w:sdtEndPr/>
      <w:sdtContent>
        <w:p w:rsidR="00162A84" w:rsidRPr="000D00E7" w:rsidRDefault="003D6614">
          <w:pPr>
            <w:pBdr>
              <w:top w:val="nil"/>
              <w:left w:val="nil"/>
              <w:bottom w:val="nil"/>
              <w:right w:val="nil"/>
              <w:between w:val="nil"/>
            </w:pBdr>
            <w:tabs>
              <w:tab w:val="right" w:pos="9350"/>
            </w:tabs>
            <w:spacing w:after="100"/>
            <w:rPr>
              <w:rFonts w:ascii="Roboto" w:hAnsi="Roboto"/>
              <w:color w:val="000000"/>
            </w:rPr>
          </w:pPr>
          <w:r w:rsidRPr="000D00E7">
            <w:rPr>
              <w:rFonts w:ascii="Roboto" w:hAnsi="Roboto"/>
            </w:rPr>
            <w:fldChar w:fldCharType="begin"/>
          </w:r>
          <w:r w:rsidRPr="000D00E7">
            <w:rPr>
              <w:rFonts w:ascii="Roboto" w:hAnsi="Roboto"/>
            </w:rPr>
            <w:instrText xml:space="preserve"> TOC \h \u \z </w:instrText>
          </w:r>
          <w:r w:rsidRPr="000D00E7">
            <w:rPr>
              <w:rFonts w:ascii="Roboto" w:hAnsi="Roboto"/>
            </w:rPr>
            <w:fldChar w:fldCharType="separate"/>
          </w:r>
          <w:hyperlink w:anchor="_heading=h.30j0zll">
            <w:r w:rsidRPr="000D00E7">
              <w:rPr>
                <w:rFonts w:ascii="Roboto" w:eastAsia="Roboto" w:hAnsi="Roboto" w:cs="Roboto"/>
                <w:color w:val="000000"/>
              </w:rPr>
              <w:t>Introduction</w:t>
            </w:r>
          </w:hyperlink>
          <w:hyperlink w:anchor="_heading=h.30j0zll">
            <w:r w:rsidRPr="000D00E7">
              <w:rPr>
                <w:rFonts w:ascii="Roboto" w:hAnsi="Roboto"/>
                <w:color w:val="000000"/>
              </w:rPr>
              <w:tab/>
              <w:t>3</w:t>
            </w:r>
          </w:hyperlink>
        </w:p>
        <w:p w:rsidR="00162A84" w:rsidRPr="000D00E7" w:rsidRDefault="003D6614">
          <w:pPr>
            <w:pBdr>
              <w:top w:val="nil"/>
              <w:left w:val="nil"/>
              <w:bottom w:val="nil"/>
              <w:right w:val="nil"/>
              <w:between w:val="nil"/>
            </w:pBdr>
            <w:tabs>
              <w:tab w:val="right" w:pos="9350"/>
            </w:tabs>
            <w:spacing w:after="100"/>
            <w:rPr>
              <w:rFonts w:ascii="Roboto" w:hAnsi="Roboto"/>
              <w:color w:val="000000"/>
            </w:rPr>
          </w:pPr>
          <w:hyperlink w:anchor="_heading=h.1fob9te">
            <w:r w:rsidRPr="000D00E7">
              <w:rPr>
                <w:rFonts w:ascii="Roboto" w:eastAsia="Roboto" w:hAnsi="Roboto" w:cs="Roboto"/>
                <w:color w:val="000000"/>
              </w:rPr>
              <w:t>Overall situation</w:t>
            </w:r>
          </w:hyperlink>
          <w:hyperlink w:anchor="_heading=h.1fob9te">
            <w:r w:rsidRPr="000D00E7">
              <w:rPr>
                <w:rFonts w:ascii="Roboto" w:hAnsi="Roboto"/>
                <w:color w:val="000000"/>
              </w:rPr>
              <w:tab/>
              <w:t>4</w:t>
            </w:r>
          </w:hyperlink>
        </w:p>
        <w:p w:rsidR="00162A84" w:rsidRPr="000D00E7" w:rsidRDefault="003D6614">
          <w:pPr>
            <w:pBdr>
              <w:top w:val="nil"/>
              <w:left w:val="nil"/>
              <w:bottom w:val="nil"/>
              <w:right w:val="nil"/>
              <w:between w:val="nil"/>
            </w:pBdr>
            <w:tabs>
              <w:tab w:val="left" w:pos="440"/>
              <w:tab w:val="right" w:pos="9350"/>
            </w:tabs>
            <w:spacing w:after="100"/>
            <w:rPr>
              <w:rFonts w:ascii="Roboto" w:hAnsi="Roboto"/>
              <w:color w:val="000000"/>
            </w:rPr>
          </w:pPr>
          <w:hyperlink w:anchor="_heading=h.3znysh7">
            <w:r w:rsidRPr="000D00E7">
              <w:rPr>
                <w:rFonts w:ascii="Roboto" w:eastAsia="Roboto" w:hAnsi="Roboto" w:cs="Roboto"/>
                <w:color w:val="000000"/>
              </w:rPr>
              <w:t>1.</w:t>
            </w:r>
          </w:hyperlink>
          <w:hyperlink w:anchor="_heading=h.3znysh7">
            <w:r w:rsidRPr="000D00E7">
              <w:rPr>
                <w:rFonts w:ascii="Roboto" w:hAnsi="Roboto"/>
                <w:color w:val="000000"/>
              </w:rPr>
              <w:tab/>
            </w:r>
          </w:hyperlink>
          <w:r w:rsidR="000D00E7">
            <w:rPr>
              <w:rFonts w:ascii="Roboto" w:hAnsi="Roboto"/>
              <w:color w:val="000000"/>
            </w:rPr>
            <w:t xml:space="preserve"> </w:t>
          </w:r>
          <w:r w:rsidRPr="000D00E7">
            <w:rPr>
              <w:rFonts w:ascii="Roboto" w:hAnsi="Roboto"/>
            </w:rPr>
            <w:fldChar w:fldCharType="begin"/>
          </w:r>
          <w:r w:rsidRPr="000D00E7">
            <w:rPr>
              <w:rFonts w:ascii="Roboto" w:hAnsi="Roboto"/>
            </w:rPr>
            <w:instrText xml:space="preserve"> PAGEREF _heading=h.3znysh7 \h </w:instrText>
          </w:r>
          <w:r w:rsidRPr="000D00E7">
            <w:rPr>
              <w:rFonts w:ascii="Roboto" w:hAnsi="Roboto"/>
            </w:rPr>
          </w:r>
          <w:r w:rsidRPr="000D00E7">
            <w:rPr>
              <w:rFonts w:ascii="Roboto" w:hAnsi="Roboto"/>
            </w:rPr>
            <w:fldChar w:fldCharType="separate"/>
          </w:r>
          <w:r w:rsidR="000D00E7">
            <w:rPr>
              <w:rFonts w:ascii="Roboto" w:eastAsia="Roboto" w:hAnsi="Roboto" w:cs="Roboto"/>
              <w:color w:val="000000"/>
            </w:rPr>
            <w:t>N</w:t>
          </w:r>
          <w:r w:rsidRPr="000D00E7">
            <w:rPr>
              <w:rFonts w:ascii="Roboto" w:eastAsia="Roboto" w:hAnsi="Roboto" w:cs="Roboto"/>
              <w:color w:val="000000"/>
            </w:rPr>
            <w:t>on-discrimination – Article 2(2)</w:t>
          </w:r>
          <w:r w:rsidRPr="000D00E7">
            <w:rPr>
              <w:rFonts w:ascii="Roboto" w:hAnsi="Roboto"/>
              <w:color w:val="000000"/>
            </w:rPr>
            <w:tab/>
            <w:t>5</w:t>
          </w:r>
          <w:r w:rsidRPr="000D00E7">
            <w:rPr>
              <w:rFonts w:ascii="Roboto" w:hAnsi="Roboto"/>
            </w:rPr>
            <w:fldChar w:fldCharType="end"/>
          </w:r>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2et92p0">
            <w:r w:rsidR="003D6614" w:rsidRPr="000D00E7">
              <w:rPr>
                <w:rFonts w:ascii="Roboto" w:eastAsia="Roboto" w:hAnsi="Roboto" w:cs="Roboto"/>
                <w:color w:val="000000"/>
              </w:rPr>
              <w:t>Recommended Questions</w:t>
            </w:r>
          </w:hyperlink>
          <w:hyperlink w:anchor="_heading=h.2et92p0">
            <w:r w:rsidR="003D6614" w:rsidRPr="000D00E7">
              <w:rPr>
                <w:rFonts w:ascii="Roboto" w:hAnsi="Roboto"/>
                <w:color w:val="000000"/>
              </w:rPr>
              <w:tab/>
            </w:r>
            <w:r w:rsidRPr="000D00E7">
              <w:rPr>
                <w:rFonts w:ascii="Roboto" w:hAnsi="Roboto"/>
                <w:color w:val="000000"/>
              </w:rPr>
              <w:t>7</w:t>
            </w:r>
          </w:hyperlink>
        </w:p>
        <w:p w:rsidR="00162A84" w:rsidRPr="000D00E7" w:rsidRDefault="003D6614">
          <w:pPr>
            <w:pBdr>
              <w:top w:val="nil"/>
              <w:left w:val="nil"/>
              <w:bottom w:val="nil"/>
              <w:right w:val="nil"/>
              <w:between w:val="nil"/>
            </w:pBdr>
            <w:tabs>
              <w:tab w:val="left" w:pos="440"/>
              <w:tab w:val="right" w:pos="9350"/>
            </w:tabs>
            <w:spacing w:after="100"/>
            <w:rPr>
              <w:rFonts w:ascii="Roboto" w:hAnsi="Roboto"/>
              <w:color w:val="000000"/>
            </w:rPr>
          </w:pPr>
          <w:hyperlink w:anchor="_heading=h.tyjcwt">
            <w:r w:rsidRPr="000D00E7">
              <w:rPr>
                <w:rFonts w:ascii="Roboto" w:eastAsia="Roboto" w:hAnsi="Roboto" w:cs="Roboto"/>
                <w:color w:val="000000"/>
              </w:rPr>
              <w:t>2.</w:t>
            </w:r>
          </w:hyperlink>
          <w:hyperlink w:anchor="_heading=h.tyjcwt">
            <w:r w:rsidRPr="000D00E7">
              <w:rPr>
                <w:rFonts w:ascii="Roboto" w:hAnsi="Roboto"/>
                <w:color w:val="000000"/>
              </w:rPr>
              <w:tab/>
            </w:r>
          </w:hyperlink>
          <w:r w:rsidR="000D00E7">
            <w:rPr>
              <w:rFonts w:ascii="Roboto" w:hAnsi="Roboto"/>
              <w:color w:val="000000"/>
            </w:rPr>
            <w:t xml:space="preserve"> </w:t>
          </w:r>
          <w:r w:rsidRPr="000D00E7">
            <w:rPr>
              <w:rFonts w:ascii="Roboto" w:hAnsi="Roboto"/>
            </w:rPr>
            <w:fldChar w:fldCharType="begin"/>
          </w:r>
          <w:r w:rsidRPr="000D00E7">
            <w:rPr>
              <w:rFonts w:ascii="Roboto" w:hAnsi="Roboto"/>
            </w:rPr>
            <w:instrText xml:space="preserve"> PAGEREF _heading=h.tyjcwt \h </w:instrText>
          </w:r>
          <w:r w:rsidRPr="000D00E7">
            <w:rPr>
              <w:rFonts w:ascii="Roboto" w:hAnsi="Roboto"/>
            </w:rPr>
          </w:r>
          <w:r w:rsidRPr="000D00E7">
            <w:rPr>
              <w:rFonts w:ascii="Roboto" w:hAnsi="Roboto"/>
            </w:rPr>
            <w:fldChar w:fldCharType="separate"/>
          </w:r>
          <w:r w:rsidRPr="000D00E7">
            <w:rPr>
              <w:rFonts w:ascii="Roboto" w:eastAsia="Roboto" w:hAnsi="Roboto" w:cs="Roboto"/>
              <w:color w:val="000000"/>
            </w:rPr>
            <w:t>The right to work – Articles 6 and 7</w:t>
          </w:r>
          <w:r w:rsidRPr="000D00E7">
            <w:rPr>
              <w:rFonts w:ascii="Roboto" w:hAnsi="Roboto"/>
              <w:color w:val="000000"/>
            </w:rPr>
            <w:tab/>
          </w:r>
          <w:r w:rsidR="000D00E7" w:rsidRPr="000D00E7">
            <w:rPr>
              <w:rFonts w:ascii="Roboto" w:hAnsi="Roboto"/>
              <w:color w:val="000000"/>
            </w:rPr>
            <w:t>8</w:t>
          </w:r>
          <w:r w:rsidRPr="000D00E7">
            <w:rPr>
              <w:rFonts w:ascii="Roboto" w:hAnsi="Roboto"/>
            </w:rPr>
            <w:fldChar w:fldCharType="end"/>
          </w:r>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3dy6vkm">
            <w:r w:rsidR="003D6614" w:rsidRPr="000D00E7">
              <w:rPr>
                <w:rFonts w:ascii="Roboto" w:eastAsia="Roboto" w:hAnsi="Roboto" w:cs="Roboto"/>
                <w:color w:val="000000"/>
              </w:rPr>
              <w:t>Recommended Questions</w:t>
            </w:r>
          </w:hyperlink>
          <w:hyperlink w:anchor="_heading=h.3dy6vkm">
            <w:r w:rsidR="003D6614" w:rsidRPr="000D00E7">
              <w:rPr>
                <w:rFonts w:ascii="Roboto" w:hAnsi="Roboto"/>
                <w:color w:val="000000"/>
              </w:rPr>
              <w:tab/>
            </w:r>
            <w:r w:rsidRPr="000D00E7">
              <w:rPr>
                <w:rFonts w:ascii="Roboto" w:hAnsi="Roboto"/>
                <w:color w:val="000000"/>
              </w:rPr>
              <w:t>9</w:t>
            </w:r>
          </w:hyperlink>
        </w:p>
        <w:p w:rsidR="00162A84" w:rsidRPr="000D00E7" w:rsidRDefault="003D6614">
          <w:pPr>
            <w:pBdr>
              <w:top w:val="nil"/>
              <w:left w:val="nil"/>
              <w:bottom w:val="nil"/>
              <w:right w:val="nil"/>
              <w:between w:val="nil"/>
            </w:pBdr>
            <w:tabs>
              <w:tab w:val="right" w:pos="9350"/>
            </w:tabs>
            <w:spacing w:after="100"/>
            <w:rPr>
              <w:rFonts w:ascii="Roboto" w:hAnsi="Roboto"/>
              <w:color w:val="FFFFFF"/>
            </w:rPr>
          </w:pPr>
          <w:hyperlink w:anchor="_heading=h.1t3h5sf">
            <w:r w:rsidRPr="000D00E7">
              <w:rPr>
                <w:rFonts w:ascii="Roboto" w:eastAsia="Roboto" w:hAnsi="Roboto" w:cs="Roboto"/>
                <w:color w:val="000000"/>
              </w:rPr>
              <w:t xml:space="preserve">3.     </w:t>
            </w:r>
            <w:r w:rsidR="000D00E7">
              <w:rPr>
                <w:rFonts w:ascii="Roboto" w:eastAsia="Roboto" w:hAnsi="Roboto" w:cs="Roboto"/>
                <w:color w:val="000000"/>
              </w:rPr>
              <w:t xml:space="preserve"> </w:t>
            </w:r>
            <w:r w:rsidRPr="000D00E7">
              <w:rPr>
                <w:rFonts w:ascii="Roboto" w:eastAsia="Roboto" w:hAnsi="Roboto" w:cs="Roboto"/>
                <w:color w:val="000000"/>
              </w:rPr>
              <w:t>The right to education – Article 13</w:t>
            </w:r>
          </w:hyperlink>
          <w:hyperlink w:anchor="_heading=h.1t3h5sf">
            <w:r w:rsidRPr="000D00E7">
              <w:rPr>
                <w:rFonts w:ascii="Roboto" w:hAnsi="Roboto"/>
                <w:color w:val="000000"/>
              </w:rPr>
              <w:tab/>
            </w:r>
            <w:r w:rsidR="000D00E7" w:rsidRPr="000D00E7">
              <w:rPr>
                <w:rFonts w:ascii="Roboto" w:hAnsi="Roboto"/>
                <w:color w:val="000000"/>
              </w:rPr>
              <w:t>10</w:t>
            </w:r>
          </w:hyperlink>
        </w:p>
        <w:p w:rsidR="00162A84" w:rsidRPr="000D00E7" w:rsidRDefault="000D00E7">
          <w:pPr>
            <w:pBdr>
              <w:top w:val="nil"/>
              <w:left w:val="nil"/>
              <w:bottom w:val="nil"/>
              <w:right w:val="nil"/>
              <w:between w:val="nil"/>
            </w:pBdr>
            <w:tabs>
              <w:tab w:val="right" w:pos="9350"/>
            </w:tabs>
            <w:spacing w:after="100"/>
            <w:ind w:left="450" w:hanging="450"/>
            <w:rPr>
              <w:rFonts w:ascii="Roboto" w:hAnsi="Roboto"/>
              <w:color w:val="000000"/>
            </w:rPr>
          </w:pPr>
          <w:r>
            <w:rPr>
              <w:rFonts w:ascii="Roboto" w:hAnsi="Roboto"/>
            </w:rPr>
            <w:t xml:space="preserve">          </w:t>
          </w:r>
          <w:hyperlink w:anchor="_heading=h.4d34og8">
            <w:r w:rsidR="003D6614" w:rsidRPr="000D00E7">
              <w:rPr>
                <w:rFonts w:ascii="Roboto" w:eastAsia="Roboto" w:hAnsi="Roboto" w:cs="Roboto"/>
                <w:color w:val="000000"/>
              </w:rPr>
              <w:t>Recommended Questions</w:t>
            </w:r>
          </w:hyperlink>
          <w:hyperlink w:anchor="_heading=h.4d34og8">
            <w:r w:rsidR="003D6614" w:rsidRPr="000D00E7">
              <w:rPr>
                <w:rFonts w:ascii="Roboto" w:hAnsi="Roboto"/>
                <w:color w:val="000000"/>
              </w:rPr>
              <w:tab/>
              <w:t>1</w:t>
            </w:r>
            <w:r w:rsidRPr="000D00E7">
              <w:rPr>
                <w:rFonts w:ascii="Roboto" w:hAnsi="Roboto"/>
                <w:color w:val="000000"/>
              </w:rPr>
              <w:t>1</w:t>
            </w:r>
          </w:hyperlink>
        </w:p>
        <w:p w:rsidR="00162A84" w:rsidRDefault="003D6614">
          <w:r w:rsidRPr="000D00E7">
            <w:rPr>
              <w:rFonts w:ascii="Roboto" w:hAnsi="Roboto"/>
            </w:rPr>
            <w:fldChar w:fldCharType="end"/>
          </w:r>
        </w:p>
      </w:sdtContent>
    </w:sdt>
    <w:p w:rsidR="00162A84" w:rsidRDefault="003D6614">
      <w:r>
        <w:br w:type="page"/>
      </w:r>
    </w:p>
    <w:p w:rsidR="00162A84" w:rsidRDefault="003D6614">
      <w:pPr>
        <w:pStyle w:val="Heading1"/>
        <w:rPr>
          <w:rFonts w:ascii="Roboto" w:eastAsia="Roboto" w:hAnsi="Roboto" w:cs="Roboto"/>
        </w:rPr>
      </w:pPr>
      <w:bookmarkStart w:id="0" w:name="_heading=h.30j0zll" w:colFirst="0" w:colLast="0"/>
      <w:bookmarkEnd w:id="0"/>
      <w:r>
        <w:rPr>
          <w:rFonts w:ascii="Roboto" w:eastAsia="Roboto" w:hAnsi="Roboto" w:cs="Roboto"/>
        </w:rPr>
        <w:lastRenderedPageBreak/>
        <w:t>Introduction</w:t>
      </w:r>
    </w:p>
    <w:p w:rsidR="00162A84" w:rsidRDefault="00162A84">
      <w:pPr>
        <w:rPr>
          <w:rFonts w:ascii="Roboto" w:eastAsia="Roboto" w:hAnsi="Roboto" w:cs="Roboto"/>
        </w:rPr>
      </w:pPr>
    </w:p>
    <w:p w:rsidR="00162A84" w:rsidRDefault="003D6614">
      <w:pPr>
        <w:spacing w:line="240" w:lineRule="auto"/>
        <w:rPr>
          <w:rFonts w:ascii="Roboto" w:eastAsia="Roboto" w:hAnsi="Roboto" w:cs="Roboto"/>
          <w:color w:val="404040"/>
        </w:rPr>
      </w:pPr>
      <w:r>
        <w:rPr>
          <w:rFonts w:ascii="Roboto" w:eastAsia="Roboto" w:hAnsi="Roboto" w:cs="Roboto"/>
          <w:color w:val="404040"/>
        </w:rPr>
        <w:t>This report is submitted to the Committee on Economic, Social, and Cultural Rights in anticipation of the Committee’s upcoming review of the Republic of Azerbaijan’s compliance with the International Covenant on Economic, Social, and Cultural Rights (ICESC</w:t>
      </w:r>
      <w:r>
        <w:rPr>
          <w:rFonts w:ascii="Roboto" w:eastAsia="Roboto" w:hAnsi="Roboto" w:cs="Roboto"/>
          <w:color w:val="404040"/>
        </w:rPr>
        <w:t>R). The report is submitted by the following organizations: Naf</w:t>
      </w:r>
      <w:r w:rsidR="00ED7832">
        <w:rPr>
          <w:rFonts w:ascii="Roboto" w:eastAsia="Roboto" w:hAnsi="Roboto" w:cs="Roboto"/>
          <w:color w:val="404040"/>
        </w:rPr>
        <w:t xml:space="preserve">as LGBT Azerbaijan Alliance, </w:t>
      </w:r>
      <w:r>
        <w:rPr>
          <w:rFonts w:ascii="Roboto" w:eastAsia="Roboto" w:hAnsi="Roboto" w:cs="Roboto"/>
          <w:color w:val="404040"/>
        </w:rPr>
        <w:t>Minority Azerbaijan</w:t>
      </w:r>
      <w:r w:rsidR="00ED7832">
        <w:rPr>
          <w:rFonts w:ascii="Roboto" w:eastAsia="Roboto" w:hAnsi="Roboto" w:cs="Roboto"/>
          <w:color w:val="404040"/>
        </w:rPr>
        <w:t xml:space="preserve"> and AZAD LGBT Collective</w:t>
      </w:r>
      <w:r>
        <w:rPr>
          <w:rFonts w:ascii="Roboto" w:eastAsia="Roboto" w:hAnsi="Roboto" w:cs="Roboto"/>
          <w:color w:val="404040"/>
        </w:rPr>
        <w:t>.</w:t>
      </w:r>
    </w:p>
    <w:p w:rsidR="00162A84" w:rsidRDefault="003D6614">
      <w:pPr>
        <w:spacing w:line="240" w:lineRule="auto"/>
        <w:rPr>
          <w:rFonts w:ascii="Roboto" w:eastAsia="Roboto" w:hAnsi="Roboto" w:cs="Roboto"/>
          <w:color w:val="404040"/>
        </w:rPr>
      </w:pPr>
      <w:r>
        <w:rPr>
          <w:rFonts w:ascii="Roboto" w:eastAsia="Roboto" w:hAnsi="Roboto" w:cs="Roboto"/>
          <w:color w:val="404040"/>
        </w:rPr>
        <w:t>The purpose of this report is to direct the Committee’s attention to serious and ongoing violations of the Covenant rights of persons with d</w:t>
      </w:r>
      <w:r>
        <w:rPr>
          <w:rFonts w:ascii="Roboto" w:eastAsia="Roboto" w:hAnsi="Roboto" w:cs="Roboto"/>
          <w:color w:val="404040"/>
        </w:rPr>
        <w:t>iverse sexual orientations, gender identity and expression, and sex characteristics (SOGIESC) in Azerbaijan. In particular, this report focuses on Azerbaijan’s violation of its obligation to guarantee the enjoyment, without discrimination on the basis of s</w:t>
      </w:r>
      <w:r>
        <w:rPr>
          <w:rFonts w:ascii="Roboto" w:eastAsia="Roboto" w:hAnsi="Roboto" w:cs="Roboto"/>
          <w:color w:val="404040"/>
        </w:rPr>
        <w:t xml:space="preserve">exual orientation and gender identity, of the following rights: </w:t>
      </w:r>
    </w:p>
    <w:p w:rsidR="00162A84" w:rsidRDefault="003D6614">
      <w:pPr>
        <w:numPr>
          <w:ilvl w:val="0"/>
          <w:numId w:val="5"/>
        </w:numPr>
        <w:pBdr>
          <w:top w:val="nil"/>
          <w:left w:val="nil"/>
          <w:bottom w:val="nil"/>
          <w:right w:val="nil"/>
          <w:between w:val="nil"/>
        </w:pBdr>
        <w:spacing w:after="0" w:line="240" w:lineRule="auto"/>
        <w:rPr>
          <w:rFonts w:ascii="Roboto" w:eastAsia="Roboto" w:hAnsi="Roboto" w:cs="Roboto"/>
          <w:color w:val="404040"/>
        </w:rPr>
      </w:pPr>
      <w:r>
        <w:rPr>
          <w:rFonts w:ascii="Roboto" w:eastAsia="Roboto" w:hAnsi="Roboto" w:cs="Roboto"/>
          <w:color w:val="404040"/>
        </w:rPr>
        <w:t>Non-discrimination (article 2(2))</w:t>
      </w:r>
    </w:p>
    <w:p w:rsidR="00162A84" w:rsidRDefault="003D6614">
      <w:pPr>
        <w:numPr>
          <w:ilvl w:val="0"/>
          <w:numId w:val="5"/>
        </w:numPr>
        <w:pBdr>
          <w:top w:val="nil"/>
          <w:left w:val="nil"/>
          <w:bottom w:val="nil"/>
          <w:right w:val="nil"/>
          <w:between w:val="nil"/>
        </w:pBdr>
        <w:spacing w:after="0" w:line="240" w:lineRule="auto"/>
        <w:rPr>
          <w:rFonts w:ascii="Roboto" w:eastAsia="Roboto" w:hAnsi="Roboto" w:cs="Roboto"/>
          <w:color w:val="404040"/>
        </w:rPr>
      </w:pPr>
      <w:r>
        <w:rPr>
          <w:rFonts w:ascii="Roboto" w:eastAsia="Roboto" w:hAnsi="Roboto" w:cs="Roboto"/>
          <w:color w:val="404040"/>
        </w:rPr>
        <w:t xml:space="preserve">The right to work (articles 6 and 7); </w:t>
      </w:r>
    </w:p>
    <w:p w:rsidR="00162A84" w:rsidRDefault="003D6614">
      <w:pPr>
        <w:numPr>
          <w:ilvl w:val="0"/>
          <w:numId w:val="5"/>
        </w:numPr>
        <w:pBdr>
          <w:top w:val="nil"/>
          <w:left w:val="nil"/>
          <w:bottom w:val="nil"/>
          <w:right w:val="nil"/>
          <w:between w:val="nil"/>
        </w:pBdr>
        <w:spacing w:line="240" w:lineRule="auto"/>
        <w:rPr>
          <w:rFonts w:ascii="Roboto" w:eastAsia="Roboto" w:hAnsi="Roboto" w:cs="Roboto"/>
          <w:color w:val="404040"/>
        </w:rPr>
      </w:pPr>
      <w:r>
        <w:rPr>
          <w:rFonts w:ascii="Roboto" w:eastAsia="Roboto" w:hAnsi="Roboto" w:cs="Roboto"/>
          <w:color w:val="404040"/>
        </w:rPr>
        <w:t>The right to education (article 13).</w:t>
      </w:r>
    </w:p>
    <w:p w:rsidR="00162A84" w:rsidRDefault="003D6614">
      <w:pPr>
        <w:spacing w:line="240" w:lineRule="auto"/>
        <w:rPr>
          <w:rFonts w:ascii="Roboto" w:eastAsia="Roboto" w:hAnsi="Roboto" w:cs="Roboto"/>
          <w:color w:val="404040"/>
        </w:rPr>
      </w:pPr>
      <w:r>
        <w:rPr>
          <w:rFonts w:ascii="Roboto" w:eastAsia="Roboto" w:hAnsi="Roboto" w:cs="Roboto"/>
          <w:color w:val="404040"/>
        </w:rPr>
        <w:t xml:space="preserve">Optional Protocol to the International Covenant on Economic, Social and Cultural </w:t>
      </w:r>
      <w:r>
        <w:rPr>
          <w:rFonts w:ascii="Roboto" w:eastAsia="Roboto" w:hAnsi="Roboto" w:cs="Roboto"/>
          <w:color w:val="404040"/>
        </w:rPr>
        <w:t>Rights (ICESCR-OP) was signed by the Republic of Azerbaijan in 2009. At the 2</w:t>
      </w:r>
      <w:r>
        <w:rPr>
          <w:rFonts w:ascii="Roboto" w:eastAsia="Roboto" w:hAnsi="Roboto" w:cs="Roboto"/>
          <w:color w:val="404040"/>
          <w:vertAlign w:val="superscript"/>
        </w:rPr>
        <w:t>nd</w:t>
      </w:r>
      <w:r>
        <w:rPr>
          <w:rFonts w:ascii="Roboto" w:eastAsia="Roboto" w:hAnsi="Roboto" w:cs="Roboto"/>
          <w:color w:val="404040"/>
        </w:rPr>
        <w:t xml:space="preserve"> cycle of UPR in 2013, Azerbaijan accepted the recommendation made by Spain to ratify ICESCR-OP</w:t>
      </w:r>
      <w:r>
        <w:rPr>
          <w:rFonts w:ascii="Roboto" w:eastAsia="Roboto" w:hAnsi="Roboto" w:cs="Roboto"/>
          <w:color w:val="404040"/>
          <w:vertAlign w:val="superscript"/>
        </w:rPr>
        <w:footnoteReference w:id="1"/>
      </w:r>
      <w:r>
        <w:rPr>
          <w:rFonts w:ascii="Roboto" w:eastAsia="Roboto" w:hAnsi="Roboto" w:cs="Roboto"/>
          <w:color w:val="404040"/>
        </w:rPr>
        <w:t>. At the 3</w:t>
      </w:r>
      <w:r>
        <w:rPr>
          <w:rFonts w:ascii="Roboto" w:eastAsia="Roboto" w:hAnsi="Roboto" w:cs="Roboto"/>
          <w:color w:val="404040"/>
          <w:vertAlign w:val="superscript"/>
        </w:rPr>
        <w:t>rd</w:t>
      </w:r>
      <w:r>
        <w:rPr>
          <w:rFonts w:ascii="Roboto" w:eastAsia="Roboto" w:hAnsi="Roboto" w:cs="Roboto"/>
          <w:color w:val="404040"/>
        </w:rPr>
        <w:t xml:space="preserve"> cycle of UPR in 2018, Portugal and Spain again recommended Azerbaija</w:t>
      </w:r>
      <w:r>
        <w:rPr>
          <w:rFonts w:ascii="Roboto" w:eastAsia="Roboto" w:hAnsi="Roboto" w:cs="Roboto"/>
          <w:color w:val="404040"/>
        </w:rPr>
        <w:t>n to ratify the optional protocol and this time state left that recommendation by just noting it</w:t>
      </w:r>
      <w:r>
        <w:rPr>
          <w:rFonts w:ascii="Roboto" w:eastAsia="Roboto" w:hAnsi="Roboto" w:cs="Roboto"/>
          <w:color w:val="404040"/>
          <w:vertAlign w:val="superscript"/>
        </w:rPr>
        <w:footnoteReference w:id="2"/>
      </w:r>
      <w:r>
        <w:rPr>
          <w:rFonts w:ascii="Roboto" w:eastAsia="Roboto" w:hAnsi="Roboto" w:cs="Roboto"/>
          <w:color w:val="404040"/>
        </w:rPr>
        <w:t xml:space="preserve">. In the </w:t>
      </w:r>
      <w:r w:rsidRPr="008365D4">
        <w:rPr>
          <w:rFonts w:ascii="Roboto" w:eastAsia="Roboto" w:hAnsi="Roboto" w:cs="Roboto"/>
          <w:color w:val="404040"/>
        </w:rPr>
        <w:t>c</w:t>
      </w:r>
      <w:r>
        <w:rPr>
          <w:rFonts w:ascii="Roboto" w:eastAsia="Roboto" w:hAnsi="Roboto" w:cs="Roboto"/>
          <w:color w:val="404040"/>
        </w:rPr>
        <w:t>oncluding observations on the third periodic report of Azerbaijan, the Committee also recommended the State to ratify the ICESCR-OP</w:t>
      </w:r>
      <w:r>
        <w:rPr>
          <w:rFonts w:ascii="Roboto" w:eastAsia="Roboto" w:hAnsi="Roboto" w:cs="Roboto"/>
          <w:color w:val="404040"/>
          <w:vertAlign w:val="superscript"/>
        </w:rPr>
        <w:footnoteReference w:id="3"/>
      </w:r>
      <w:r>
        <w:rPr>
          <w:rFonts w:ascii="Roboto" w:eastAsia="Roboto" w:hAnsi="Roboto" w:cs="Roboto"/>
          <w:color w:val="404040"/>
        </w:rPr>
        <w:t>. Nevertheless, to date</w:t>
      </w:r>
      <w:r>
        <w:rPr>
          <w:rFonts w:ascii="Roboto" w:eastAsia="Roboto" w:hAnsi="Roboto" w:cs="Roboto"/>
          <w:color w:val="404040"/>
          <w:highlight w:val="yellow"/>
        </w:rPr>
        <w:t>,</w:t>
      </w:r>
      <w:r>
        <w:rPr>
          <w:rFonts w:ascii="Roboto" w:eastAsia="Roboto" w:hAnsi="Roboto" w:cs="Roboto"/>
          <w:color w:val="404040"/>
        </w:rPr>
        <w:t xml:space="preserve"> the ICESCR-OP has not yet been ratified and in its fourth periodic report</w:t>
      </w:r>
      <w:r w:rsidRPr="008365D4">
        <w:rPr>
          <w:rFonts w:ascii="Roboto" w:eastAsia="Roboto" w:hAnsi="Roboto" w:cs="Roboto"/>
          <w:color w:val="404040"/>
        </w:rPr>
        <w:t>,</w:t>
      </w:r>
      <w:r>
        <w:rPr>
          <w:rFonts w:ascii="Roboto" w:eastAsia="Roboto" w:hAnsi="Roboto" w:cs="Roboto"/>
          <w:color w:val="404040"/>
        </w:rPr>
        <w:t xml:space="preserve"> the state highlights that the inter-state approval is required for the ratification of the Optional Protocol</w:t>
      </w:r>
      <w:r>
        <w:rPr>
          <w:rFonts w:ascii="Roboto" w:eastAsia="Roboto" w:hAnsi="Roboto" w:cs="Roboto"/>
          <w:color w:val="404040"/>
          <w:vertAlign w:val="superscript"/>
        </w:rPr>
        <w:footnoteReference w:id="4"/>
      </w:r>
      <w:r>
        <w:rPr>
          <w:rFonts w:ascii="Roboto" w:eastAsia="Roboto" w:hAnsi="Roboto" w:cs="Roboto"/>
          <w:color w:val="404040"/>
        </w:rPr>
        <w:t>.</w:t>
      </w:r>
    </w:p>
    <w:p w:rsidR="00162A84" w:rsidRDefault="003D6614">
      <w:pPr>
        <w:spacing w:line="240" w:lineRule="auto"/>
        <w:rPr>
          <w:rFonts w:ascii="Roboto" w:eastAsia="Roboto" w:hAnsi="Roboto" w:cs="Roboto"/>
          <w:color w:val="333333"/>
          <w:highlight w:val="white"/>
        </w:rPr>
      </w:pPr>
      <w:bookmarkStart w:id="1" w:name="_heading=h.1fob9te" w:colFirst="0" w:colLast="0"/>
      <w:bookmarkEnd w:id="1"/>
      <w:r>
        <w:rPr>
          <w:rFonts w:ascii="Roboto" w:eastAsia="Roboto" w:hAnsi="Roboto" w:cs="Roboto"/>
          <w:color w:val="333333"/>
          <w:highlight w:val="white"/>
        </w:rPr>
        <w:t>If we take into account the ability to submit</w:t>
      </w:r>
      <w:r>
        <w:rPr>
          <w:rFonts w:ascii="Roboto" w:eastAsia="Roboto" w:hAnsi="Roboto" w:cs="Roboto"/>
          <w:color w:val="333333"/>
          <w:highlight w:val="white"/>
        </w:rPr>
        <w:t xml:space="preserve"> claims at the international level, it proves the vitality of ratifying the Optional </w:t>
      </w:r>
      <w:r w:rsidRPr="008365D4">
        <w:rPr>
          <w:rFonts w:ascii="Roboto" w:eastAsia="Roboto" w:hAnsi="Roboto" w:cs="Roboto"/>
          <w:color w:val="404040"/>
        </w:rPr>
        <w:t xml:space="preserve">Protocol </w:t>
      </w:r>
      <w:r w:rsidRPr="008365D4">
        <w:rPr>
          <w:rFonts w:ascii="Roboto" w:eastAsia="Roboto" w:hAnsi="Roboto" w:cs="Roboto"/>
          <w:color w:val="404040"/>
        </w:rPr>
        <w:t>whereby</w:t>
      </w:r>
      <w:r w:rsidRPr="008365D4">
        <w:rPr>
          <w:rFonts w:ascii="Roboto" w:eastAsia="Roboto" w:hAnsi="Roboto" w:cs="Roboto"/>
          <w:color w:val="404040"/>
        </w:rPr>
        <w:t xml:space="preserve"> benefiting</w:t>
      </w:r>
      <w:r>
        <w:rPr>
          <w:rFonts w:ascii="Roboto" w:eastAsia="Roboto" w:hAnsi="Roboto" w:cs="Roboto"/>
          <w:color w:val="333333"/>
          <w:highlight w:val="white"/>
        </w:rPr>
        <w:t xml:space="preserve"> from the complaint mechanism we can submit claims against violations of economic, social and cultural rights of LGBTI people in Azerbaijan. </w:t>
      </w:r>
    </w:p>
    <w:p w:rsidR="00162A84" w:rsidRDefault="003D6614">
      <w:pPr>
        <w:spacing w:line="240" w:lineRule="auto"/>
        <w:rPr>
          <w:rFonts w:ascii="Roboto" w:eastAsia="Roboto" w:hAnsi="Roboto" w:cs="Roboto"/>
          <w:color w:val="333333"/>
          <w:highlight w:val="white"/>
        </w:rPr>
      </w:pPr>
      <w:r>
        <w:rPr>
          <w:rFonts w:ascii="Roboto" w:eastAsia="Roboto" w:hAnsi="Roboto" w:cs="Roboto"/>
          <w:color w:val="333333"/>
          <w:highlight w:val="white"/>
        </w:rPr>
        <w:t>By</w:t>
      </w:r>
      <w:r>
        <w:rPr>
          <w:rFonts w:ascii="Roboto" w:eastAsia="Roboto" w:hAnsi="Roboto" w:cs="Roboto"/>
          <w:color w:val="333333"/>
          <w:highlight w:val="white"/>
        </w:rPr>
        <w:t xml:space="preserve"> all means, the Optional Protocol could become an important and practical human rights mechanism that will not only enable the access to justice where LGBTI people cannot seek within the country but also will open avenues for remedies for structural and sy</w:t>
      </w:r>
      <w:r>
        <w:rPr>
          <w:rFonts w:ascii="Roboto" w:eastAsia="Roboto" w:hAnsi="Roboto" w:cs="Roboto"/>
          <w:color w:val="333333"/>
          <w:highlight w:val="white"/>
        </w:rPr>
        <w:t>stemic violations of rights that highlighted in this submission.</w:t>
      </w:r>
    </w:p>
    <w:p w:rsidR="00162A84" w:rsidRDefault="003D6614">
      <w:pPr>
        <w:pStyle w:val="Heading1"/>
        <w:rPr>
          <w:rFonts w:ascii="Roboto" w:eastAsia="Roboto" w:hAnsi="Roboto" w:cs="Roboto"/>
        </w:rPr>
      </w:pPr>
      <w:r>
        <w:br w:type="page"/>
      </w:r>
      <w:r>
        <w:rPr>
          <w:rFonts w:ascii="Roboto" w:eastAsia="Roboto" w:hAnsi="Roboto" w:cs="Roboto"/>
        </w:rPr>
        <w:lastRenderedPageBreak/>
        <w:t xml:space="preserve">Overall situation </w:t>
      </w:r>
    </w:p>
    <w:p w:rsidR="00162A84" w:rsidRDefault="00162A84">
      <w:pPr>
        <w:rPr>
          <w:rFonts w:ascii="Roboto" w:eastAsia="Roboto" w:hAnsi="Roboto" w:cs="Roboto"/>
        </w:rPr>
      </w:pP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Discrimination against LGBTI people is more widespread and socially accepted than discrimination against any other group in Azerbaijan. The Williams Institute’s “Global Acceptance Index (GAI)” shows that Azerbaijan has the lowest score on social acceptance</w:t>
      </w:r>
      <w:r>
        <w:rPr>
          <w:rFonts w:ascii="Roboto" w:eastAsia="Roboto" w:hAnsi="Roboto" w:cs="Roboto"/>
          <w:color w:val="404040"/>
        </w:rPr>
        <w:t xml:space="preserve"> of LGBTI people among the 141 countries around the world – 0.96 out of 10</w:t>
      </w:r>
      <w:r>
        <w:rPr>
          <w:rFonts w:ascii="Roboto" w:eastAsia="Roboto" w:hAnsi="Roboto" w:cs="Roboto"/>
          <w:color w:val="404040"/>
          <w:vertAlign w:val="superscript"/>
        </w:rPr>
        <w:footnoteReference w:id="5"/>
      </w:r>
      <w:r>
        <w:rPr>
          <w:rFonts w:ascii="Roboto" w:eastAsia="Roboto" w:hAnsi="Roboto" w:cs="Roboto"/>
          <w:color w:val="404040"/>
        </w:rPr>
        <w:t xml:space="preserve">. According to ILGA Europe’s annual report for 2019, Azerbaijan has been ranked the worst place in Europe to live as an LGBTI citizen and has been ranked 49th in the list of 49 countries in Europe with only 3% level of the respect of human rights and full </w:t>
      </w:r>
      <w:r>
        <w:rPr>
          <w:rFonts w:ascii="Roboto" w:eastAsia="Roboto" w:hAnsi="Roboto" w:cs="Roboto"/>
          <w:color w:val="404040"/>
        </w:rPr>
        <w:t>equality</w:t>
      </w:r>
      <w:r w:rsidRPr="008365D4">
        <w:rPr>
          <w:rFonts w:ascii="Roboto" w:eastAsia="Roboto" w:hAnsi="Roboto" w:cs="Roboto"/>
          <w:color w:val="404040"/>
        </w:rPr>
        <w:footnoteReference w:id="6"/>
      </w:r>
      <w:r>
        <w:rPr>
          <w:rFonts w:ascii="Roboto" w:eastAsia="Roboto" w:hAnsi="Roboto" w:cs="Roboto"/>
          <w:color w:val="404040"/>
        </w:rPr>
        <w:t xml:space="preserve">. It should be noted that Azerbaijan has been </w:t>
      </w:r>
      <w:r w:rsidRPr="008365D4">
        <w:rPr>
          <w:rFonts w:ascii="Roboto" w:eastAsia="Roboto" w:hAnsi="Roboto" w:cs="Roboto"/>
          <w:color w:val="404040"/>
        </w:rPr>
        <w:t>in</w:t>
      </w:r>
      <w:r>
        <w:rPr>
          <w:rFonts w:ascii="Roboto" w:eastAsia="Roboto" w:hAnsi="Roboto" w:cs="Roboto"/>
          <w:color w:val="404040"/>
        </w:rPr>
        <w:t xml:space="preserve"> </w:t>
      </w:r>
      <w:r w:rsidRPr="008365D4">
        <w:rPr>
          <w:rFonts w:ascii="Roboto" w:eastAsia="Roboto" w:hAnsi="Roboto" w:cs="Roboto"/>
          <w:color w:val="404040"/>
        </w:rPr>
        <w:t>the</w:t>
      </w:r>
      <w:r>
        <w:rPr>
          <w:rFonts w:ascii="Roboto" w:eastAsia="Roboto" w:hAnsi="Roboto" w:cs="Roboto"/>
          <w:color w:val="404040"/>
        </w:rPr>
        <w:t xml:space="preserve"> last place </w:t>
      </w:r>
      <w:r w:rsidRPr="008365D4">
        <w:rPr>
          <w:rFonts w:ascii="Roboto" w:eastAsia="Roboto" w:hAnsi="Roboto" w:cs="Roboto"/>
          <w:color w:val="404040"/>
        </w:rPr>
        <w:t>on</w:t>
      </w:r>
      <w:r>
        <w:rPr>
          <w:rFonts w:ascii="Roboto" w:eastAsia="Roboto" w:hAnsi="Roboto" w:cs="Roboto"/>
          <w:color w:val="404040"/>
        </w:rPr>
        <w:t xml:space="preserve"> the same list since 2015.</w:t>
      </w: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The human rights situation of LGBTI people has been exacerbated over the past four years and there are several reasons behind it. According to 2017 ILGA-R</w:t>
      </w:r>
      <w:r>
        <w:rPr>
          <w:rFonts w:ascii="Roboto" w:eastAsia="Roboto" w:hAnsi="Roboto" w:cs="Roboto"/>
          <w:color w:val="404040"/>
        </w:rPr>
        <w:t>IWI Global attitudes survey, 40% of the respondents in Azerbaijan believed that people who engage in romantic or sexual relationships with people of the same sex should be charged as criminals</w:t>
      </w:r>
      <w:r w:rsidRPr="008365D4">
        <w:rPr>
          <w:rFonts w:ascii="Roboto" w:eastAsia="Roboto" w:hAnsi="Roboto" w:cs="Roboto"/>
          <w:color w:val="404040"/>
        </w:rPr>
        <w:footnoteReference w:id="7"/>
      </w:r>
      <w:r>
        <w:rPr>
          <w:rFonts w:ascii="Roboto" w:eastAsia="Roboto" w:hAnsi="Roboto" w:cs="Roboto"/>
          <w:color w:val="404040"/>
        </w:rPr>
        <w:t>. LGBTI people are struggling with the oppressive social constr</w:t>
      </w:r>
      <w:r>
        <w:rPr>
          <w:rFonts w:ascii="Roboto" w:eastAsia="Roboto" w:hAnsi="Roboto" w:cs="Roboto"/>
          <w:color w:val="404040"/>
        </w:rPr>
        <w:t>uction of gender and related norms, and at the same time</w:t>
      </w:r>
      <w:r w:rsidRPr="008365D4">
        <w:rPr>
          <w:rFonts w:ascii="Roboto" w:eastAsia="Roboto" w:hAnsi="Roboto" w:cs="Roboto"/>
          <w:color w:val="404040"/>
        </w:rPr>
        <w:t xml:space="preserve">, </w:t>
      </w:r>
      <w:r>
        <w:rPr>
          <w:rFonts w:ascii="Roboto" w:eastAsia="Roboto" w:hAnsi="Roboto" w:cs="Roboto"/>
          <w:color w:val="404040"/>
        </w:rPr>
        <w:t xml:space="preserve">there is the lack of legal protective measures available for LGBTI. </w:t>
      </w:r>
    </w:p>
    <w:p w:rsidR="00162A84" w:rsidRDefault="00162A84">
      <w:pPr>
        <w:pBdr>
          <w:top w:val="nil"/>
          <w:left w:val="nil"/>
          <w:bottom w:val="nil"/>
          <w:right w:val="nil"/>
          <w:between w:val="nil"/>
        </w:pBdr>
        <w:spacing w:after="0" w:line="240" w:lineRule="auto"/>
        <w:ind w:right="60"/>
        <w:rPr>
          <w:rFonts w:ascii="Roboto" w:eastAsia="Roboto" w:hAnsi="Roboto" w:cs="Roboto"/>
          <w:color w:val="404040"/>
        </w:rPr>
      </w:pPr>
    </w:p>
    <w:p w:rsidR="00162A84" w:rsidRDefault="003D6614">
      <w:pPr>
        <w:pBdr>
          <w:top w:val="nil"/>
          <w:left w:val="nil"/>
          <w:bottom w:val="nil"/>
          <w:right w:val="nil"/>
          <w:between w:val="nil"/>
        </w:pBdr>
        <w:spacing w:after="0" w:line="240" w:lineRule="auto"/>
        <w:ind w:right="60"/>
        <w:rPr>
          <w:rFonts w:ascii="Roboto" w:eastAsia="Roboto" w:hAnsi="Roboto" w:cs="Roboto"/>
          <w:color w:val="404040"/>
        </w:rPr>
      </w:pPr>
      <w:r>
        <w:rPr>
          <w:rFonts w:ascii="Roboto" w:eastAsia="Roboto" w:hAnsi="Roboto" w:cs="Roboto"/>
          <w:color w:val="404040"/>
        </w:rPr>
        <w:t xml:space="preserve">The negative cycle of LGBTI persons’ limited opportunities in education, the reflection of the oppressive societal norms in the </w:t>
      </w:r>
      <w:r>
        <w:rPr>
          <w:rFonts w:ascii="Roboto" w:eastAsia="Roboto" w:hAnsi="Roboto" w:cs="Roboto"/>
          <w:color w:val="404040"/>
        </w:rPr>
        <w:t>work climate, and the absence of legal support lead to limited opportunities in employment available for LGBTI individuals. These factors result in weaker capacities and poverty of this population.</w:t>
      </w:r>
    </w:p>
    <w:p w:rsidR="00162A84" w:rsidRDefault="00162A84">
      <w:pPr>
        <w:pBdr>
          <w:top w:val="nil"/>
          <w:left w:val="nil"/>
          <w:bottom w:val="nil"/>
          <w:right w:val="nil"/>
          <w:between w:val="nil"/>
        </w:pBdr>
        <w:spacing w:after="0" w:line="240" w:lineRule="auto"/>
        <w:ind w:right="60"/>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A perfect example of the overall situation of LGBTI perso</w:t>
      </w:r>
      <w:r>
        <w:rPr>
          <w:rFonts w:ascii="Roboto" w:eastAsia="Roboto" w:hAnsi="Roboto" w:cs="Roboto"/>
          <w:color w:val="404040"/>
        </w:rPr>
        <w:t>ns in Azerbaijan – widespread abuses, including by police, lack of any effective protective measures and consequently additional violations of economic, social and cultural rights – is the following case.</w:t>
      </w:r>
    </w:p>
    <w:p w:rsidR="00162A84" w:rsidRDefault="00162A84">
      <w:pPr>
        <w:widowControl w:val="0"/>
        <w:spacing w:after="0" w:line="240" w:lineRule="auto"/>
        <w:ind w:left="9"/>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In September 2017, 83 gay man and transgender pers</w:t>
      </w:r>
      <w:r>
        <w:rPr>
          <w:rFonts w:ascii="Roboto" w:eastAsia="Roboto" w:hAnsi="Roboto" w:cs="Roboto"/>
          <w:color w:val="404040"/>
        </w:rPr>
        <w:t>ons were, not for the first time, arrested and sentenced under articles 510 (“minor hooliganism”) and 535.1 (“resistance to police order”) of the Code of Administrative Offences of Azerbaijan</w:t>
      </w:r>
      <w:r>
        <w:rPr>
          <w:rFonts w:ascii="Roboto" w:eastAsia="Roboto" w:hAnsi="Roboto" w:cs="Roboto"/>
          <w:color w:val="404040"/>
          <w:vertAlign w:val="superscript"/>
        </w:rPr>
        <w:footnoteReference w:id="8"/>
      </w:r>
      <w:r>
        <w:rPr>
          <w:rFonts w:ascii="Roboto" w:eastAsia="Roboto" w:hAnsi="Roboto" w:cs="Roboto"/>
          <w:color w:val="404040"/>
        </w:rPr>
        <w:t>. They were arrested in public places, private apartments or wor</w:t>
      </w:r>
      <w:r>
        <w:rPr>
          <w:rFonts w:ascii="Roboto" w:eastAsia="Roboto" w:hAnsi="Roboto" w:cs="Roboto"/>
          <w:color w:val="404040"/>
        </w:rPr>
        <w:t>king places based on “their gay behavior”. The survivors were then targeted to torture and ill-treatment in detention by police officers. During the Court of Appeal hearings of 45 lodged cases, victims manifested that after denying being sex workers they w</w:t>
      </w:r>
      <w:r>
        <w:rPr>
          <w:rFonts w:ascii="Roboto" w:eastAsia="Roboto" w:hAnsi="Roboto" w:cs="Roboto"/>
          <w:color w:val="404040"/>
        </w:rPr>
        <w:t>ere beaten, tortured with electric shocks, forced to undergo traumatic medical examinations without their consent, head shaving, sexually abused, were forced to reveal their friends and sign fake statements. As the victims claimed during</w:t>
      </w:r>
      <w:r w:rsidRPr="008365D4">
        <w:rPr>
          <w:rFonts w:ascii="Roboto" w:eastAsia="Roboto" w:hAnsi="Roboto" w:cs="Roboto"/>
          <w:color w:val="404040"/>
        </w:rPr>
        <w:t xml:space="preserve"> the </w:t>
      </w:r>
      <w:r>
        <w:rPr>
          <w:rFonts w:ascii="Roboto" w:eastAsia="Roboto" w:hAnsi="Roboto" w:cs="Roboto"/>
          <w:color w:val="404040"/>
        </w:rPr>
        <w:t>court hearing,</w:t>
      </w:r>
      <w:r>
        <w:rPr>
          <w:rFonts w:ascii="Roboto" w:eastAsia="Roboto" w:hAnsi="Roboto" w:cs="Roboto"/>
          <w:color w:val="404040"/>
        </w:rPr>
        <w:t xml:space="preserve"> the way of treatment/language of judges, court employees, police officers toward the detained people wasn`t adequate but instead very discriminatory and insulting of </w:t>
      </w:r>
      <w:r>
        <w:rPr>
          <w:rFonts w:ascii="Roboto" w:eastAsia="Roboto" w:hAnsi="Roboto" w:cs="Roboto"/>
          <w:color w:val="404040"/>
        </w:rPr>
        <w:lastRenderedPageBreak/>
        <w:t>dignity. Moreover, after the mass arrests</w:t>
      </w:r>
      <w:r w:rsidRPr="008365D4">
        <w:rPr>
          <w:rFonts w:ascii="Roboto" w:eastAsia="Roboto" w:hAnsi="Roboto" w:cs="Roboto"/>
          <w:color w:val="404040"/>
        </w:rPr>
        <w:t>,</w:t>
      </w:r>
      <w:r>
        <w:rPr>
          <w:rFonts w:ascii="Roboto" w:eastAsia="Roboto" w:hAnsi="Roboto" w:cs="Roboto"/>
          <w:color w:val="404040"/>
        </w:rPr>
        <w:t xml:space="preserve"> many victims/survivors faced additional proble</w:t>
      </w:r>
      <w:r>
        <w:rPr>
          <w:rFonts w:ascii="Roboto" w:eastAsia="Roboto" w:hAnsi="Roboto" w:cs="Roboto"/>
          <w:color w:val="404040"/>
        </w:rPr>
        <w:t>ms in realization of their social and economic rights, including evictions, due to the disclosure of information about them by police</w:t>
      </w:r>
      <w:r>
        <w:rPr>
          <w:rFonts w:ascii="Roboto" w:eastAsia="Roboto" w:hAnsi="Roboto" w:cs="Roboto"/>
          <w:color w:val="404040"/>
          <w:vertAlign w:val="superscript"/>
        </w:rPr>
        <w:footnoteReference w:id="9"/>
      </w:r>
      <w:r>
        <w:rPr>
          <w:rFonts w:ascii="Roboto" w:eastAsia="Roboto" w:hAnsi="Roboto" w:cs="Roboto"/>
          <w:color w:val="404040"/>
        </w:rPr>
        <w:t xml:space="preserve">. </w:t>
      </w:r>
    </w:p>
    <w:p w:rsidR="00162A84" w:rsidRDefault="00162A84">
      <w:pPr>
        <w:widowControl w:val="0"/>
        <w:spacing w:after="0" w:line="240" w:lineRule="auto"/>
        <w:ind w:left="9"/>
        <w:rPr>
          <w:rFonts w:ascii="Roboto" w:eastAsia="Roboto" w:hAnsi="Roboto" w:cs="Roboto"/>
          <w:color w:val="404040"/>
        </w:rPr>
      </w:pPr>
    </w:p>
    <w:p w:rsidR="00162A84" w:rsidRDefault="003D6614">
      <w:pPr>
        <w:widowControl w:val="0"/>
        <w:spacing w:after="0" w:line="240" w:lineRule="auto"/>
        <w:ind w:left="9"/>
        <w:rPr>
          <w:rFonts w:ascii="Roboto" w:eastAsia="Roboto" w:hAnsi="Roboto" w:cs="Roboto"/>
          <w:color w:val="404040"/>
        </w:rPr>
      </w:pPr>
      <w:r>
        <w:rPr>
          <w:rFonts w:ascii="Roboto" w:eastAsia="Roboto" w:hAnsi="Roboto" w:cs="Roboto"/>
          <w:color w:val="404040"/>
        </w:rPr>
        <w:t xml:space="preserve">In October 2017, the UN human rights experts, including </w:t>
      </w:r>
      <w:r>
        <w:rPr>
          <w:rFonts w:ascii="Roboto" w:eastAsia="Roboto" w:hAnsi="Roboto" w:cs="Roboto"/>
          <w:b/>
          <w:color w:val="404040"/>
        </w:rPr>
        <w:t>the Independent Expert on sexual orientation and gender identi</w:t>
      </w:r>
      <w:r>
        <w:rPr>
          <w:rFonts w:ascii="Roboto" w:eastAsia="Roboto" w:hAnsi="Roboto" w:cs="Roboto"/>
          <w:b/>
          <w:color w:val="404040"/>
        </w:rPr>
        <w:t>ty, the Special Rapporteur on health, and the Chair-Rapporteur of the Working Group on Arbitrary Detention</w:t>
      </w:r>
      <w:r>
        <w:rPr>
          <w:rFonts w:ascii="Roboto" w:eastAsia="Roboto" w:hAnsi="Roboto" w:cs="Roboto"/>
          <w:color w:val="404040"/>
        </w:rPr>
        <w:t>, urged Azerbaijan to act after receiving credible reports of these human rights abuses against gay and transgender people, including arbitrary arrests and ill-treatment, torture and forced medical examinations in detention</w:t>
      </w:r>
      <w:r>
        <w:rPr>
          <w:rFonts w:ascii="Roboto" w:eastAsia="Roboto" w:hAnsi="Roboto" w:cs="Roboto"/>
          <w:color w:val="404040"/>
          <w:vertAlign w:val="superscript"/>
        </w:rPr>
        <w:footnoteReference w:id="10"/>
      </w:r>
      <w:r>
        <w:rPr>
          <w:rFonts w:ascii="Roboto" w:eastAsia="Roboto" w:hAnsi="Roboto" w:cs="Roboto"/>
          <w:color w:val="404040"/>
        </w:rPr>
        <w:t>. A joint urgent allegation by t</w:t>
      </w:r>
      <w:r>
        <w:rPr>
          <w:rFonts w:ascii="Roboto" w:eastAsia="Roboto" w:hAnsi="Roboto" w:cs="Roboto"/>
          <w:color w:val="404040"/>
        </w:rPr>
        <w:t xml:space="preserve">he </w:t>
      </w:r>
      <w:r>
        <w:rPr>
          <w:rFonts w:ascii="Roboto" w:eastAsia="Roboto" w:hAnsi="Roboto" w:cs="Roboto"/>
          <w:b/>
          <w:color w:val="404040"/>
        </w:rPr>
        <w:t>Working Group on Arbitrary Detention, the Special Rapporteur on health, the Independent Expert on sexual orientation and gender identity, and the Special Rapporteur on torture</w:t>
      </w:r>
      <w:r>
        <w:rPr>
          <w:rFonts w:ascii="Roboto" w:eastAsia="Roboto" w:hAnsi="Roboto" w:cs="Roboto"/>
          <w:color w:val="404040"/>
        </w:rPr>
        <w:t xml:space="preserve">, has been sent to the Government on Azerbaijan regarding the mass arrests of </w:t>
      </w:r>
      <w:r>
        <w:rPr>
          <w:rFonts w:ascii="Roboto" w:eastAsia="Roboto" w:hAnsi="Roboto" w:cs="Roboto"/>
          <w:color w:val="404040"/>
        </w:rPr>
        <w:t>gay men and transgender persons in September 2017</w:t>
      </w:r>
      <w:r>
        <w:rPr>
          <w:rFonts w:ascii="Roboto" w:eastAsia="Roboto" w:hAnsi="Roboto" w:cs="Roboto"/>
          <w:color w:val="404040"/>
          <w:vertAlign w:val="superscript"/>
        </w:rPr>
        <w:footnoteReference w:id="11"/>
      </w:r>
      <w:r>
        <w:rPr>
          <w:rFonts w:ascii="Roboto" w:eastAsia="Roboto" w:hAnsi="Roboto" w:cs="Roboto"/>
          <w:color w:val="404040"/>
        </w:rPr>
        <w:t xml:space="preserve">. The </w:t>
      </w:r>
      <w:r>
        <w:rPr>
          <w:rFonts w:ascii="Roboto" w:eastAsia="Roboto" w:hAnsi="Roboto" w:cs="Roboto"/>
          <w:b/>
          <w:color w:val="404040"/>
        </w:rPr>
        <w:t>European Court of Human Rights</w:t>
      </w:r>
      <w:r>
        <w:rPr>
          <w:rFonts w:ascii="Roboto" w:eastAsia="Roboto" w:hAnsi="Roboto" w:cs="Roboto"/>
          <w:color w:val="404040"/>
        </w:rPr>
        <w:t xml:space="preserve"> already started communication process of 25 cases related to the September </w:t>
      </w:r>
      <w:r>
        <w:rPr>
          <w:rFonts w:ascii="Roboto" w:eastAsia="Roboto" w:hAnsi="Roboto" w:cs="Roboto"/>
        </w:rPr>
        <w:t>Arr</w:t>
      </w:r>
      <w:r>
        <w:rPr>
          <w:rFonts w:ascii="Roboto" w:eastAsia="Roboto" w:hAnsi="Roboto" w:cs="Roboto"/>
          <w:color w:val="404040"/>
        </w:rPr>
        <w:t>ests</w:t>
      </w:r>
      <w:r>
        <w:rPr>
          <w:rFonts w:ascii="Roboto" w:eastAsia="Roboto" w:hAnsi="Roboto" w:cs="Roboto"/>
          <w:color w:val="404040"/>
          <w:vertAlign w:val="superscript"/>
        </w:rPr>
        <w:footnoteReference w:id="12"/>
      </w:r>
      <w:r>
        <w:rPr>
          <w:rFonts w:ascii="Roboto" w:eastAsia="Roboto" w:hAnsi="Roboto" w:cs="Roboto"/>
          <w:color w:val="404040"/>
        </w:rPr>
        <w:t xml:space="preserve">. </w:t>
      </w:r>
    </w:p>
    <w:p w:rsidR="00162A84" w:rsidRDefault="00162A84">
      <w:pPr>
        <w:rPr>
          <w:rFonts w:ascii="Roboto" w:eastAsia="Roboto" w:hAnsi="Roboto" w:cs="Roboto"/>
        </w:rPr>
      </w:pPr>
    </w:p>
    <w:p w:rsidR="00162A84" w:rsidRDefault="000D00E7">
      <w:pPr>
        <w:pStyle w:val="Heading1"/>
        <w:numPr>
          <w:ilvl w:val="0"/>
          <w:numId w:val="6"/>
        </w:numPr>
        <w:tabs>
          <w:tab w:val="left" w:pos="360"/>
        </w:tabs>
        <w:ind w:hanging="720"/>
        <w:rPr>
          <w:rFonts w:ascii="Roboto" w:eastAsia="Roboto" w:hAnsi="Roboto" w:cs="Roboto"/>
        </w:rPr>
      </w:pPr>
      <w:bookmarkStart w:id="2" w:name="_heading=h.3znysh7" w:colFirst="0" w:colLast="0"/>
      <w:bookmarkEnd w:id="2"/>
      <w:r>
        <w:rPr>
          <w:rFonts w:ascii="Roboto" w:eastAsia="Roboto" w:hAnsi="Roboto" w:cs="Roboto"/>
        </w:rPr>
        <w:t>Non</w:t>
      </w:r>
      <w:r w:rsidR="003D6614">
        <w:rPr>
          <w:rFonts w:ascii="Roboto" w:eastAsia="Roboto" w:hAnsi="Roboto" w:cs="Roboto"/>
        </w:rPr>
        <w:t>-discrimination – Article 2(2)</w:t>
      </w:r>
    </w:p>
    <w:p w:rsidR="00162A84" w:rsidRDefault="00162A84">
      <w:pPr>
        <w:rPr>
          <w:rFonts w:ascii="Roboto" w:eastAsia="Roboto" w:hAnsi="Roboto" w:cs="Roboto"/>
        </w:rPr>
      </w:pPr>
    </w:p>
    <w:p w:rsidR="00162A84" w:rsidRDefault="003D6614">
      <w:pPr>
        <w:spacing w:line="240" w:lineRule="auto"/>
        <w:rPr>
          <w:rFonts w:ascii="Roboto" w:eastAsia="Roboto" w:hAnsi="Roboto" w:cs="Roboto"/>
          <w:color w:val="404040"/>
        </w:rPr>
      </w:pPr>
      <w:r>
        <w:rPr>
          <w:rFonts w:ascii="Roboto" w:eastAsia="Roboto" w:hAnsi="Roboto" w:cs="Roboto"/>
          <w:color w:val="404040"/>
        </w:rPr>
        <w:t>1.1 SOGIESC are covered by ar</w:t>
      </w:r>
      <w:r>
        <w:rPr>
          <w:rFonts w:ascii="Roboto" w:eastAsia="Roboto" w:hAnsi="Roboto" w:cs="Roboto"/>
          <w:color w:val="404040"/>
        </w:rPr>
        <w:t>ticle 2(2) of the ICESCR under the “other grounds” clause, which means that Azerbaijan has an international obligation to protect LGBTI persons from any discrimination. However, no measures, including</w:t>
      </w:r>
      <w:r w:rsidRPr="008365D4">
        <w:rPr>
          <w:rFonts w:ascii="Roboto" w:eastAsia="Roboto" w:hAnsi="Roboto" w:cs="Roboto"/>
          <w:color w:val="404040"/>
        </w:rPr>
        <w:t xml:space="preserve"> the </w:t>
      </w:r>
      <w:r>
        <w:rPr>
          <w:rFonts w:ascii="Roboto" w:eastAsia="Roboto" w:hAnsi="Roboto" w:cs="Roboto"/>
          <w:color w:val="404040"/>
        </w:rPr>
        <w:t>elimination of SOGIESC-based discrimination in acce</w:t>
      </w:r>
      <w:r>
        <w:rPr>
          <w:rFonts w:ascii="Roboto" w:eastAsia="Roboto" w:hAnsi="Roboto" w:cs="Roboto"/>
          <w:color w:val="404040"/>
        </w:rPr>
        <w:t>ss to health care, employment, and education through specific policies, action plans or strategies, have been taken by Azerbaijan.</w:t>
      </w:r>
    </w:p>
    <w:p w:rsidR="00162A84" w:rsidRDefault="003D6614">
      <w:pPr>
        <w:spacing w:line="240" w:lineRule="auto"/>
        <w:rPr>
          <w:rFonts w:ascii="Roboto" w:eastAsia="Roboto" w:hAnsi="Roboto" w:cs="Roboto"/>
          <w:i/>
          <w:color w:val="404040"/>
        </w:rPr>
      </w:pPr>
      <w:r>
        <w:rPr>
          <w:rFonts w:ascii="Roboto" w:eastAsia="Roboto" w:hAnsi="Roboto" w:cs="Roboto"/>
          <w:color w:val="404040"/>
        </w:rPr>
        <w:t>1.2 The only law in place that addresses protection from sexual harassment on</w:t>
      </w:r>
      <w:r w:rsidRPr="008365D4">
        <w:rPr>
          <w:rFonts w:ascii="Roboto" w:eastAsia="Roboto" w:hAnsi="Roboto" w:cs="Roboto"/>
          <w:color w:val="404040"/>
        </w:rPr>
        <w:t xml:space="preserve"> the </w:t>
      </w:r>
      <w:r>
        <w:rPr>
          <w:rFonts w:ascii="Roboto" w:eastAsia="Roboto" w:hAnsi="Roboto" w:cs="Roboto"/>
          <w:color w:val="404040"/>
        </w:rPr>
        <w:t>ground of sexual orientation, the Gender Eq</w:t>
      </w:r>
      <w:r>
        <w:rPr>
          <w:rFonts w:ascii="Roboto" w:eastAsia="Roboto" w:hAnsi="Roboto" w:cs="Roboto"/>
          <w:color w:val="404040"/>
        </w:rPr>
        <w:t>uality Law (2006) fails to cover GIESC and all other forms of discrimination in political, economic, social and cultural life. Even the term “gender” is still restricted in Azerbaijan to heterosexual men and women and the social aspect of relationships bet</w:t>
      </w:r>
      <w:r>
        <w:rPr>
          <w:rFonts w:ascii="Roboto" w:eastAsia="Roboto" w:hAnsi="Roboto" w:cs="Roboto"/>
          <w:color w:val="404040"/>
        </w:rPr>
        <w:t>ween them.</w:t>
      </w:r>
    </w:p>
    <w:p w:rsidR="00162A84" w:rsidRDefault="003D6614">
      <w:pPr>
        <w:spacing w:line="240" w:lineRule="auto"/>
        <w:rPr>
          <w:rFonts w:ascii="Roboto" w:eastAsia="Roboto" w:hAnsi="Roboto" w:cs="Roboto"/>
          <w:color w:val="404040"/>
        </w:rPr>
      </w:pPr>
      <w:r>
        <w:rPr>
          <w:rFonts w:ascii="Roboto" w:eastAsia="Roboto" w:hAnsi="Roboto" w:cs="Roboto"/>
          <w:color w:val="404040"/>
        </w:rPr>
        <w:t>1.3 Though the right to freedom of association is not covered by ICESCR, the presence of NGOs capable of advocating for equal economic, social and cultural rights of LGBTI persons and providing relevant services to the community in the absence o</w:t>
      </w:r>
      <w:r>
        <w:rPr>
          <w:rFonts w:ascii="Roboto" w:eastAsia="Roboto" w:hAnsi="Roboto" w:cs="Roboto"/>
          <w:color w:val="404040"/>
        </w:rPr>
        <w:t xml:space="preserve">f any public programmes, is crucial. At the same time, NGOs aiming at supporting LGBTI persons’ rights, including those enshrined in the ICESCR, face significant struggles in Azerbaijan. For instance, the applications submitted by the </w:t>
      </w:r>
      <w:r>
        <w:rPr>
          <w:rFonts w:ascii="Roboto" w:eastAsia="Roboto" w:hAnsi="Roboto" w:cs="Roboto"/>
          <w:i/>
          <w:color w:val="404040"/>
        </w:rPr>
        <w:t>Nafas LGBT Azerbaijan</w:t>
      </w:r>
      <w:r>
        <w:rPr>
          <w:rFonts w:ascii="Roboto" w:eastAsia="Roboto" w:hAnsi="Roboto" w:cs="Roboto"/>
          <w:i/>
          <w:color w:val="404040"/>
        </w:rPr>
        <w:t xml:space="preserve"> Alliance</w:t>
      </w:r>
      <w:r>
        <w:rPr>
          <w:rFonts w:ascii="Roboto" w:eastAsia="Roboto" w:hAnsi="Roboto" w:cs="Roboto"/>
          <w:color w:val="404040"/>
        </w:rPr>
        <w:t xml:space="preserve"> in order to get an official registration </w:t>
      </w:r>
      <w:r w:rsidRPr="008365D4">
        <w:rPr>
          <w:rFonts w:ascii="Roboto" w:eastAsia="Roboto" w:hAnsi="Roboto" w:cs="Roboto"/>
          <w:color w:val="404040"/>
        </w:rPr>
        <w:t xml:space="preserve">have been left without any official response </w:t>
      </w:r>
      <w:r>
        <w:rPr>
          <w:rFonts w:ascii="Roboto" w:eastAsia="Roboto" w:hAnsi="Roboto" w:cs="Roboto"/>
          <w:color w:val="404040"/>
        </w:rPr>
        <w:t xml:space="preserve">twice by the Ministry of Justice, and </w:t>
      </w:r>
      <w:r w:rsidRPr="008365D4">
        <w:rPr>
          <w:rFonts w:ascii="Roboto" w:eastAsia="Roboto" w:hAnsi="Roboto" w:cs="Roboto"/>
          <w:color w:val="404040"/>
        </w:rPr>
        <w:t>no explanation has been provided by the officials</w:t>
      </w:r>
      <w:r>
        <w:rPr>
          <w:rFonts w:ascii="Roboto" w:eastAsia="Roboto" w:hAnsi="Roboto" w:cs="Roboto"/>
          <w:color w:val="404040"/>
        </w:rPr>
        <w:t>. As far as unregistered activities of NGOs are considered illegal and ev</w:t>
      </w:r>
      <w:r>
        <w:rPr>
          <w:rFonts w:ascii="Roboto" w:eastAsia="Roboto" w:hAnsi="Roboto" w:cs="Roboto"/>
          <w:color w:val="404040"/>
        </w:rPr>
        <w:t xml:space="preserve">en a crime under Article 192 of the Criminal Code of Azerbaijan, </w:t>
      </w:r>
      <w:r>
        <w:rPr>
          <w:rFonts w:ascii="Roboto" w:eastAsia="Roboto" w:hAnsi="Roboto" w:cs="Roboto"/>
          <w:i/>
          <w:color w:val="404040"/>
        </w:rPr>
        <w:t>Nafas</w:t>
      </w:r>
      <w:r>
        <w:rPr>
          <w:rFonts w:ascii="Roboto" w:eastAsia="Roboto" w:hAnsi="Roboto" w:cs="Roboto"/>
          <w:color w:val="404040"/>
        </w:rPr>
        <w:t xml:space="preserve"> had to stop its in-country activities.  </w:t>
      </w:r>
    </w:p>
    <w:p w:rsidR="00162A84" w:rsidRPr="008365D4" w:rsidRDefault="003D6614">
      <w:pPr>
        <w:spacing w:after="375" w:line="240" w:lineRule="auto"/>
        <w:rPr>
          <w:rFonts w:ascii="Roboto" w:eastAsia="Roboto" w:hAnsi="Roboto" w:cs="Roboto"/>
          <w:color w:val="404040"/>
        </w:rPr>
      </w:pPr>
      <w:r>
        <w:rPr>
          <w:rFonts w:ascii="Roboto" w:eastAsia="Roboto" w:hAnsi="Roboto" w:cs="Roboto"/>
          <w:color w:val="404040"/>
        </w:rPr>
        <w:lastRenderedPageBreak/>
        <w:t>1.4 LGBT people in Azerbaijan face violations of their right to housing, including evictions. For example, according to the testimonies of several victims of arbitrary arrests conducted in 2017 (the case described in more details earlier in this report), t</w:t>
      </w:r>
      <w:r>
        <w:rPr>
          <w:rFonts w:ascii="Roboto" w:eastAsia="Roboto" w:hAnsi="Roboto" w:cs="Roboto"/>
          <w:color w:val="404040"/>
        </w:rPr>
        <w:t xml:space="preserve">hey suffered from discrimination in the rental housing market or evictions. They and their friends have been evicted by their renters as a result of information about their identities disclosed by local police officers. It is known </w:t>
      </w:r>
      <w:r w:rsidRPr="008365D4">
        <w:rPr>
          <w:rFonts w:ascii="Roboto" w:eastAsia="Roboto" w:hAnsi="Roboto" w:cs="Roboto"/>
          <w:color w:val="404040"/>
        </w:rPr>
        <w:t xml:space="preserve">that dozens </w:t>
      </w:r>
      <w:r w:rsidR="008365D4">
        <w:rPr>
          <w:rFonts w:ascii="Roboto" w:eastAsia="Roboto" w:hAnsi="Roboto" w:cs="Roboto"/>
          <w:color w:val="404040"/>
        </w:rPr>
        <w:t xml:space="preserve">of </w:t>
      </w:r>
      <w:r w:rsidRPr="008365D4">
        <w:rPr>
          <w:rFonts w:ascii="Roboto" w:eastAsia="Roboto" w:hAnsi="Roboto" w:cs="Roboto"/>
          <w:color w:val="404040"/>
        </w:rPr>
        <w:t>lesb</w:t>
      </w:r>
      <w:r w:rsidRPr="008365D4">
        <w:rPr>
          <w:rFonts w:ascii="Roboto" w:eastAsia="Roboto" w:hAnsi="Roboto" w:cs="Roboto"/>
          <w:color w:val="404040"/>
        </w:rPr>
        <w:t>ian, gay and transgender victims experienced this kind of evictions.</w:t>
      </w:r>
    </w:p>
    <w:p w:rsidR="00162A84" w:rsidRDefault="003D6614">
      <w:pPr>
        <w:spacing w:after="375" w:line="240" w:lineRule="auto"/>
        <w:rPr>
          <w:rFonts w:ascii="Roboto" w:eastAsia="Roboto" w:hAnsi="Roboto" w:cs="Roboto"/>
          <w:color w:val="404040"/>
        </w:rPr>
      </w:pPr>
      <w:r>
        <w:rPr>
          <w:rFonts w:ascii="Roboto" w:eastAsia="Roboto" w:hAnsi="Roboto" w:cs="Roboto"/>
          <w:color w:val="404040"/>
        </w:rPr>
        <w:t>1.5 The lack of any institution, such as marriage, registered partnership or civil union, available to same-sex couples in Azerbaijan, limits the access to any family-related social and economic rights only to heterosexual unions. This gap increases same-s</w:t>
      </w:r>
      <w:r>
        <w:rPr>
          <w:rFonts w:ascii="Roboto" w:eastAsia="Roboto" w:hAnsi="Roboto" w:cs="Roboto"/>
          <w:color w:val="404040"/>
        </w:rPr>
        <w:t>ex couples’ inequality and discrimination in so many fundamental spheres of lifetime such as taxes, ownership over common property, usage and order rights and property distribution, joint adoption, succession to a tenancy, health insurance and access to me</w:t>
      </w:r>
      <w:r>
        <w:rPr>
          <w:rFonts w:ascii="Roboto" w:eastAsia="Roboto" w:hAnsi="Roboto" w:cs="Roboto"/>
          <w:color w:val="404040"/>
        </w:rPr>
        <w:t>dical care, domestic violence, alimony, as regards death and inheritance, extend access to survivor’s pensions, etc.</w:t>
      </w:r>
    </w:p>
    <w:p w:rsidR="00162A84" w:rsidRDefault="003D6614" w:rsidP="008365D4">
      <w:pPr>
        <w:shd w:val="clear" w:color="auto" w:fill="FFFFFF"/>
        <w:spacing w:line="240" w:lineRule="auto"/>
        <w:rPr>
          <w:rFonts w:ascii="Roboto" w:eastAsia="Roboto" w:hAnsi="Roboto" w:cs="Roboto"/>
          <w:color w:val="777777"/>
          <w:sz w:val="27"/>
          <w:szCs w:val="27"/>
        </w:rPr>
      </w:pPr>
      <w:r w:rsidRPr="008365D4">
        <w:rPr>
          <w:rFonts w:ascii="Roboto" w:eastAsia="Roboto" w:hAnsi="Roboto" w:cs="Roboto"/>
          <w:color w:val="404040" w:themeColor="text1" w:themeTint="BF"/>
        </w:rPr>
        <w:t xml:space="preserve">1.6 The absence of necessary legislative and administrative measures toward legal recognition of gender identity is a huge </w:t>
      </w:r>
      <w:r w:rsidRPr="008365D4">
        <w:rPr>
          <w:rFonts w:ascii="Roboto" w:eastAsia="Roboto" w:hAnsi="Roboto" w:cs="Roboto"/>
          <w:color w:val="404040" w:themeColor="text1" w:themeTint="BF"/>
        </w:rPr>
        <w:t>problem for tran</w:t>
      </w:r>
      <w:r w:rsidRPr="008365D4">
        <w:rPr>
          <w:rFonts w:ascii="Roboto" w:eastAsia="Roboto" w:hAnsi="Roboto" w:cs="Roboto"/>
          <w:color w:val="404040" w:themeColor="text1" w:themeTint="BF"/>
        </w:rPr>
        <w:t>sgender persons. Lack of legal gender recognition hinders their access to economic, social and cultural rights. There were individual cases where transgender people were able to change their ID, but only through court proceedings. In all of these cases gen</w:t>
      </w:r>
      <w:r w:rsidRPr="008365D4">
        <w:rPr>
          <w:rFonts w:ascii="Roboto" w:eastAsia="Roboto" w:hAnsi="Roboto" w:cs="Roboto"/>
          <w:color w:val="404040" w:themeColor="text1" w:themeTint="BF"/>
        </w:rPr>
        <w:t xml:space="preserve">der reassignment surgery (GRS) and sterilization were required by courts for legal gender recognition, and the applicants also had to acquire and submit a doctor's certificate stating that the person has completed the full transition process. However, the </w:t>
      </w:r>
      <w:r w:rsidRPr="008365D4">
        <w:rPr>
          <w:rFonts w:ascii="Roboto" w:eastAsia="Roboto" w:hAnsi="Roboto" w:cs="Roboto"/>
          <w:color w:val="404040" w:themeColor="text1" w:themeTint="BF"/>
        </w:rPr>
        <w:t>domestic legislation neither prohibits nor regulates GRS.</w:t>
      </w:r>
      <w:r w:rsidRPr="008365D4">
        <w:rPr>
          <w:color w:val="404040" w:themeColor="text1" w:themeTint="BF"/>
        </w:rPr>
        <w:t xml:space="preserve"> </w:t>
      </w:r>
      <w:r w:rsidRPr="008365D4">
        <w:rPr>
          <w:rFonts w:ascii="Roboto" w:eastAsia="Roboto" w:hAnsi="Roboto" w:cs="Roboto"/>
          <w:color w:val="404040" w:themeColor="text1" w:themeTint="BF"/>
        </w:rPr>
        <w:t>The only law in force in this area is the Law of the Republic of Azerbaijan “On transplantation of human organs and /or cells/tissues”</w:t>
      </w:r>
      <w:r w:rsidRPr="008365D4">
        <w:rPr>
          <w:rFonts w:ascii="Roboto" w:eastAsia="Roboto" w:hAnsi="Roboto" w:cs="Roboto"/>
          <w:color w:val="404040" w:themeColor="text1" w:themeTint="BF"/>
          <w:vertAlign w:val="superscript"/>
        </w:rPr>
        <w:footnoteReference w:id="13"/>
      </w:r>
      <w:r w:rsidRPr="008365D4">
        <w:rPr>
          <w:rFonts w:ascii="Roboto" w:eastAsia="Roboto" w:hAnsi="Roboto" w:cs="Roboto"/>
          <w:color w:val="404040" w:themeColor="text1" w:themeTint="BF"/>
        </w:rPr>
        <w:t>. It establishes who can perform the transplantation and in wha</w:t>
      </w:r>
      <w:r w:rsidRPr="008365D4">
        <w:rPr>
          <w:rFonts w:ascii="Roboto" w:eastAsia="Roboto" w:hAnsi="Roboto" w:cs="Roboto"/>
          <w:color w:val="404040" w:themeColor="text1" w:themeTint="BF"/>
        </w:rPr>
        <w:t xml:space="preserve">t institutions these operations should be performed, but there is no clear provision on GRSs and </w:t>
      </w:r>
      <w:r w:rsidRPr="008365D4">
        <w:rPr>
          <w:rFonts w:ascii="Roboto" w:eastAsia="Roboto" w:hAnsi="Roboto" w:cs="Roboto"/>
          <w:color w:val="404040" w:themeColor="text1" w:themeTint="BF"/>
        </w:rPr>
        <w:t>GRSs did not list</w:t>
      </w:r>
      <w:r w:rsidRPr="008365D4">
        <w:rPr>
          <w:rFonts w:ascii="Roboto" w:eastAsia="Roboto" w:hAnsi="Roboto" w:cs="Roboto"/>
          <w:color w:val="404040" w:themeColor="text1" w:themeTint="BF"/>
        </w:rPr>
        <w:t xml:space="preserve"> explicitly in the transplant procedure. In other words, GRS is not prohibited in Azerbaijan. However, the issues regarding how and where thes</w:t>
      </w:r>
      <w:r w:rsidRPr="008365D4">
        <w:rPr>
          <w:rFonts w:ascii="Roboto" w:eastAsia="Roboto" w:hAnsi="Roboto" w:cs="Roboto"/>
          <w:color w:val="404040" w:themeColor="text1" w:themeTint="BF"/>
        </w:rPr>
        <w:t xml:space="preserve">e surgeries should be performed and what specific procedures should be followed by those wishing to perform this procedure are not regulated. This creates a special gap in the legislation, leading to many problems also in practice. Transgender individuals </w:t>
      </w:r>
      <w:r w:rsidRPr="008365D4">
        <w:rPr>
          <w:rFonts w:ascii="Roboto" w:eastAsia="Roboto" w:hAnsi="Roboto" w:cs="Roboto"/>
          <w:color w:val="404040" w:themeColor="text1" w:themeTint="BF"/>
        </w:rPr>
        <w:t>are also denied access to free of charge hormone treatment and psychological support. Personal health insurance is too expensive to meet those costs.</w:t>
      </w:r>
    </w:p>
    <w:p w:rsidR="00162A84" w:rsidRDefault="003D6614">
      <w:pPr>
        <w:pBdr>
          <w:top w:val="nil"/>
          <w:left w:val="nil"/>
          <w:bottom w:val="single" w:sz="4" w:space="4" w:color="4F81BD"/>
          <w:right w:val="nil"/>
          <w:between w:val="nil"/>
        </w:pBdr>
        <w:spacing w:before="200" w:after="280"/>
        <w:ind w:left="936" w:right="936" w:hanging="936"/>
        <w:rPr>
          <w:b/>
          <w:i/>
          <w:color w:val="4F81BD"/>
        </w:rPr>
      </w:pPr>
      <w:r>
        <w:rPr>
          <w:b/>
          <w:i/>
          <w:color w:val="4F81BD"/>
        </w:rPr>
        <w:t>I had to take a testosterone hormone therapy and I tried to figure out how to take it. I was looking for d</w:t>
      </w:r>
      <w:r>
        <w:rPr>
          <w:b/>
          <w:i/>
          <w:color w:val="4F81BD"/>
        </w:rPr>
        <w:t>octors who had to measure and determine the appropriate dose. I have visited 7-8 doctors and all of them did not admit it, saying that surgery and related procedures are permitted only by a court order. To obtain a court order, however, you must obtain a f</w:t>
      </w:r>
      <w:r>
        <w:rPr>
          <w:b/>
          <w:i/>
          <w:color w:val="4F81BD"/>
        </w:rPr>
        <w:t>amily permit, regardless of your age. I couldn't say it to my family in any way, so I could not start with my therapy</w:t>
      </w:r>
      <w:r>
        <w:rPr>
          <w:b/>
          <w:i/>
          <w:color w:val="4F81BD"/>
          <w:vertAlign w:val="superscript"/>
        </w:rPr>
        <w:footnoteReference w:id="14"/>
      </w:r>
      <w:r>
        <w:rPr>
          <w:b/>
          <w:i/>
          <w:color w:val="4F81BD"/>
        </w:rPr>
        <w:t xml:space="preserve">. </w:t>
      </w:r>
      <w:r>
        <w:rPr>
          <w:i/>
          <w:color w:val="4F81BD"/>
        </w:rPr>
        <w:t>(A.S., a transgender man, 24 years old)</w:t>
      </w:r>
      <w:r>
        <w:rPr>
          <w:b/>
          <w:i/>
          <w:color w:val="4F81BD"/>
        </w:rPr>
        <w:t xml:space="preserve"> </w:t>
      </w:r>
    </w:p>
    <w:p w:rsidR="00162A84" w:rsidRDefault="003D6614">
      <w:pPr>
        <w:spacing w:after="375" w:line="240" w:lineRule="auto"/>
        <w:rPr>
          <w:rFonts w:ascii="Roboto" w:eastAsia="Roboto" w:hAnsi="Roboto" w:cs="Roboto"/>
          <w:color w:val="404040"/>
          <w:highlight w:val="yellow"/>
        </w:rPr>
      </w:pPr>
      <w:r>
        <w:rPr>
          <w:rFonts w:ascii="Roboto" w:eastAsia="Roboto" w:hAnsi="Roboto" w:cs="Roboto"/>
          <w:color w:val="404040"/>
        </w:rPr>
        <w:t xml:space="preserve">1.7 This also presents a problematic view or assumption for intersex people. In Azerbaijan, the national identity card, educational and other official documents are among the struggle areas for </w:t>
      </w:r>
      <w:r>
        <w:rPr>
          <w:rFonts w:ascii="Roboto" w:eastAsia="Roboto" w:hAnsi="Roboto" w:cs="Roboto"/>
          <w:color w:val="404040"/>
        </w:rPr>
        <w:lastRenderedPageBreak/>
        <w:t>intersex persons, as they bear only female and male gender bin</w:t>
      </w:r>
      <w:r>
        <w:rPr>
          <w:rFonts w:ascii="Roboto" w:eastAsia="Roboto" w:hAnsi="Roboto" w:cs="Roboto"/>
          <w:color w:val="404040"/>
        </w:rPr>
        <w:t>aries. It is a site for discrimination and inequality, as intersex persons struggle to have an appropriate gender allocated for them and it is therefore disconnected to the reality of those in the gender margins. It is also known that intersex born childre</w:t>
      </w:r>
      <w:r>
        <w:rPr>
          <w:rFonts w:ascii="Roboto" w:eastAsia="Roboto" w:hAnsi="Roboto" w:cs="Roboto"/>
          <w:color w:val="404040"/>
        </w:rPr>
        <w:t xml:space="preserve">n are subjected to genital surgery and consequences of it are emotional, </w:t>
      </w:r>
      <w:r w:rsidRPr="008365D4">
        <w:rPr>
          <w:rFonts w:ascii="Roboto" w:eastAsia="Roboto" w:hAnsi="Roboto" w:cs="Roboto"/>
          <w:color w:val="404040"/>
        </w:rPr>
        <w:t>physical, mental and health-wise fatal.</w:t>
      </w:r>
    </w:p>
    <w:p w:rsidR="00162A84" w:rsidRDefault="003D6614">
      <w:pPr>
        <w:pBdr>
          <w:top w:val="nil"/>
          <w:left w:val="nil"/>
          <w:bottom w:val="single" w:sz="4" w:space="4" w:color="4F81BD"/>
          <w:right w:val="nil"/>
          <w:between w:val="nil"/>
        </w:pBdr>
        <w:tabs>
          <w:tab w:val="left" w:pos="9360"/>
        </w:tabs>
        <w:spacing w:before="200" w:after="280"/>
        <w:ind w:left="540" w:right="540" w:hanging="936"/>
        <w:rPr>
          <w:i/>
          <w:color w:val="4F81BD"/>
        </w:rPr>
      </w:pPr>
      <w:r>
        <w:rPr>
          <w:i/>
          <w:color w:val="4F81BD"/>
        </w:rPr>
        <w:t xml:space="preserve">In September 2016, the Ministry of Health commented on an operation carried out on a 12-year-old intersex child. The operation took place at a </w:t>
      </w:r>
      <w:r>
        <w:rPr>
          <w:i/>
          <w:color w:val="4F81BD"/>
        </w:rPr>
        <w:t>private clinic in Baku and the Ministry stated in media reports that they “…received the relevant documents from the Ministry of Health and Forensic Medicine, which allow us to do this operation. This operation is carried out lawfully. Even a little bit to</w:t>
      </w:r>
      <w:r>
        <w:rPr>
          <w:i/>
          <w:color w:val="4F81BD"/>
        </w:rPr>
        <w:t>o late. This operation should be carried out before the child is aware of their gender.”</w:t>
      </w:r>
      <w:r>
        <w:rPr>
          <w:i/>
          <w:color w:val="4F81BD"/>
          <w:vertAlign w:val="superscript"/>
        </w:rPr>
        <w:footnoteReference w:id="15"/>
      </w:r>
    </w:p>
    <w:p w:rsidR="00162A84" w:rsidRDefault="00162A84">
      <w:pPr>
        <w:spacing w:after="375" w:line="240" w:lineRule="auto"/>
        <w:rPr>
          <w:rFonts w:ascii="Roboto" w:eastAsia="Roboto" w:hAnsi="Roboto" w:cs="Roboto"/>
          <w:color w:val="000000"/>
        </w:rPr>
      </w:pPr>
    </w:p>
    <w:p w:rsidR="00162A84" w:rsidRDefault="003D6614">
      <w:pPr>
        <w:pStyle w:val="Heading2"/>
        <w:rPr>
          <w:color w:val="000000"/>
        </w:rPr>
      </w:pPr>
      <w:bookmarkStart w:id="3" w:name="_heading=h.2et92p0" w:colFirst="0" w:colLast="0"/>
      <w:bookmarkEnd w:id="3"/>
      <w:r>
        <w:t>Recommended Questions</w:t>
      </w:r>
    </w:p>
    <w:p w:rsidR="00162A84" w:rsidRDefault="003D6614">
      <w:pPr>
        <w:spacing w:line="240" w:lineRule="auto"/>
        <w:rPr>
          <w:rFonts w:ascii="Roboto" w:eastAsia="Roboto" w:hAnsi="Roboto" w:cs="Roboto"/>
          <w:color w:val="404040"/>
        </w:rPr>
      </w:pPr>
      <w:r>
        <w:rPr>
          <w:color w:val="000000"/>
        </w:rPr>
        <w:br/>
      </w:r>
      <w:r>
        <w:rPr>
          <w:rFonts w:ascii="Roboto" w:eastAsia="Roboto" w:hAnsi="Roboto" w:cs="Roboto"/>
          <w:color w:val="404040"/>
        </w:rPr>
        <w:t>Considering the article 2 paragraph 2 of the Covenant and taking into account the Committee’s general comment No. 20 (2009) on non-discrimination in economic, social and cultural rights:</w:t>
      </w:r>
    </w:p>
    <w:p w:rsidR="00162A84" w:rsidRDefault="003D6614">
      <w:pPr>
        <w:numPr>
          <w:ilvl w:val="0"/>
          <w:numId w:val="3"/>
        </w:numPr>
        <w:pBdr>
          <w:top w:val="nil"/>
          <w:left w:val="nil"/>
          <w:bottom w:val="nil"/>
          <w:right w:val="nil"/>
          <w:between w:val="nil"/>
        </w:pBdr>
        <w:spacing w:before="280" w:after="0" w:line="240" w:lineRule="auto"/>
        <w:ind w:left="270" w:right="20" w:hanging="270"/>
        <w:rPr>
          <w:rFonts w:ascii="Roboto" w:eastAsia="Roboto" w:hAnsi="Roboto" w:cs="Roboto"/>
          <w:b/>
          <w:color w:val="000000"/>
        </w:rPr>
      </w:pPr>
      <w:r>
        <w:rPr>
          <w:rFonts w:ascii="Roboto" w:eastAsia="Roboto" w:hAnsi="Roboto" w:cs="Roboto"/>
          <w:b/>
          <w:color w:val="000000"/>
        </w:rPr>
        <w:t>Please indicate whether steps have been or are being taken to adopt comprehensive anti-discrimination legislation;</w:t>
      </w:r>
    </w:p>
    <w:p w:rsidR="00162A84" w:rsidRDefault="003D6614">
      <w:pPr>
        <w:numPr>
          <w:ilvl w:val="0"/>
          <w:numId w:val="3"/>
        </w:numPr>
        <w:pBdr>
          <w:top w:val="nil"/>
          <w:left w:val="nil"/>
          <w:bottom w:val="nil"/>
          <w:right w:val="nil"/>
          <w:between w:val="nil"/>
        </w:pBdr>
        <w:spacing w:after="280" w:line="240" w:lineRule="auto"/>
        <w:ind w:left="270" w:right="20" w:hanging="270"/>
        <w:rPr>
          <w:rFonts w:ascii="Roboto" w:eastAsia="Roboto" w:hAnsi="Roboto" w:cs="Roboto"/>
          <w:b/>
          <w:color w:val="000000"/>
        </w:rPr>
      </w:pPr>
      <w:r>
        <w:rPr>
          <w:rFonts w:ascii="Roboto" w:eastAsia="Roboto" w:hAnsi="Roboto" w:cs="Roboto"/>
          <w:b/>
          <w:color w:val="000000"/>
        </w:rPr>
        <w:t>Please provide information on whether domestic legal framework, including Constitution and the Law on Gender Equality (2006), effectively pro</w:t>
      </w:r>
      <w:r>
        <w:rPr>
          <w:rFonts w:ascii="Roboto" w:eastAsia="Roboto" w:hAnsi="Roboto" w:cs="Roboto"/>
          <w:b/>
          <w:color w:val="000000"/>
        </w:rPr>
        <w:t>hibit discrimination on all grounds, including sexual orientation, gender identity and gender expression, and sex characteristics, in particular in the field of education, health care and employment.</w:t>
      </w:r>
    </w:p>
    <w:p w:rsidR="00162A84" w:rsidRDefault="003D6614">
      <w:pPr>
        <w:spacing w:after="375" w:line="240" w:lineRule="auto"/>
        <w:rPr>
          <w:rFonts w:ascii="Roboto" w:eastAsia="Roboto" w:hAnsi="Roboto" w:cs="Roboto"/>
          <w:color w:val="404040"/>
        </w:rPr>
      </w:pPr>
      <w:r>
        <w:rPr>
          <w:rFonts w:ascii="Roboto" w:eastAsia="Roboto" w:hAnsi="Roboto" w:cs="Roboto"/>
          <w:color w:val="404040"/>
        </w:rPr>
        <w:t>Considering one of the components of the right to health</w:t>
      </w:r>
      <w:r>
        <w:rPr>
          <w:rFonts w:ascii="Roboto" w:eastAsia="Roboto" w:hAnsi="Roboto" w:cs="Roboto"/>
          <w:color w:val="404040"/>
        </w:rPr>
        <w:t>, – right to control one’s health and body, – identified by the ESCR Committee in General Comment No. 14:</w:t>
      </w:r>
    </w:p>
    <w:p w:rsidR="00162A84" w:rsidRDefault="003D6614">
      <w:pPr>
        <w:numPr>
          <w:ilvl w:val="0"/>
          <w:numId w:val="2"/>
        </w:numPr>
        <w:pBdr>
          <w:top w:val="nil"/>
          <w:left w:val="nil"/>
          <w:bottom w:val="nil"/>
          <w:right w:val="nil"/>
          <w:between w:val="nil"/>
        </w:pBdr>
        <w:spacing w:after="0" w:line="240" w:lineRule="auto"/>
        <w:ind w:left="270" w:hanging="270"/>
        <w:rPr>
          <w:rFonts w:ascii="Roboto" w:eastAsia="Roboto" w:hAnsi="Roboto" w:cs="Roboto"/>
          <w:b/>
          <w:color w:val="000000"/>
        </w:rPr>
      </w:pPr>
      <w:r>
        <w:rPr>
          <w:rFonts w:ascii="Roboto" w:eastAsia="Roboto" w:hAnsi="Roboto" w:cs="Roboto"/>
          <w:b/>
          <w:color w:val="000000"/>
        </w:rPr>
        <w:t xml:space="preserve">Please provide information whether the State party plans to establish transparent and accessible procedure for legal gender recognition to facilitate </w:t>
      </w:r>
      <w:r>
        <w:rPr>
          <w:rFonts w:ascii="Roboto" w:eastAsia="Roboto" w:hAnsi="Roboto" w:cs="Roboto"/>
          <w:b/>
          <w:color w:val="000000"/>
        </w:rPr>
        <w:t>the enjoyment of the Covenant’s rights by transgender and intersex persons;</w:t>
      </w:r>
    </w:p>
    <w:p w:rsidR="00162A84" w:rsidRDefault="003D6614">
      <w:pPr>
        <w:numPr>
          <w:ilvl w:val="0"/>
          <w:numId w:val="2"/>
        </w:numPr>
        <w:pBdr>
          <w:top w:val="nil"/>
          <w:left w:val="nil"/>
          <w:bottom w:val="nil"/>
          <w:right w:val="nil"/>
          <w:between w:val="nil"/>
        </w:pBdr>
        <w:spacing w:after="375" w:line="240" w:lineRule="auto"/>
        <w:ind w:left="270" w:hanging="270"/>
        <w:rPr>
          <w:rFonts w:ascii="Roboto" w:eastAsia="Roboto" w:hAnsi="Roboto" w:cs="Roboto"/>
          <w:b/>
          <w:color w:val="000000"/>
        </w:rPr>
      </w:pPr>
      <w:r>
        <w:rPr>
          <w:rFonts w:ascii="Roboto" w:eastAsia="Roboto" w:hAnsi="Roboto" w:cs="Roboto"/>
          <w:b/>
          <w:color w:val="000000"/>
        </w:rPr>
        <w:t>Please also provide information on the number of surgeries performed on intersex infants and children; on the measures taken to address the severe physical and mental risks facing by intersex infants and children undergoing such surgery without free and in</w:t>
      </w:r>
      <w:r>
        <w:rPr>
          <w:rFonts w:ascii="Roboto" w:eastAsia="Roboto" w:hAnsi="Roboto" w:cs="Roboto"/>
          <w:b/>
          <w:color w:val="000000"/>
        </w:rPr>
        <w:t>formed consent; and whether the State party intends to address the problems caused by the performance of such surgery.</w:t>
      </w:r>
    </w:p>
    <w:p w:rsidR="00162A84" w:rsidRDefault="00162A84">
      <w:pPr>
        <w:spacing w:after="375" w:line="240" w:lineRule="auto"/>
        <w:rPr>
          <w:rFonts w:ascii="Roboto" w:eastAsia="Roboto" w:hAnsi="Roboto" w:cs="Roboto"/>
        </w:rPr>
      </w:pPr>
    </w:p>
    <w:p w:rsidR="00162A84" w:rsidRDefault="003D6614">
      <w:pPr>
        <w:pStyle w:val="Heading1"/>
        <w:numPr>
          <w:ilvl w:val="0"/>
          <w:numId w:val="6"/>
        </w:numPr>
        <w:ind w:left="360"/>
        <w:rPr>
          <w:rFonts w:ascii="Roboto" w:eastAsia="Roboto" w:hAnsi="Roboto" w:cs="Roboto"/>
        </w:rPr>
      </w:pPr>
      <w:bookmarkStart w:id="4" w:name="_heading=h.tyjcwt" w:colFirst="0" w:colLast="0"/>
      <w:bookmarkEnd w:id="4"/>
      <w:r>
        <w:rPr>
          <w:rFonts w:ascii="Roboto" w:eastAsia="Roboto" w:hAnsi="Roboto" w:cs="Roboto"/>
        </w:rPr>
        <w:lastRenderedPageBreak/>
        <w:t>The right to work – Articles 6 and 7</w:t>
      </w:r>
    </w:p>
    <w:p w:rsidR="00162A84" w:rsidRDefault="003D6614">
      <w:pPr>
        <w:pBdr>
          <w:top w:val="nil"/>
          <w:left w:val="nil"/>
          <w:bottom w:val="nil"/>
          <w:right w:val="nil"/>
          <w:between w:val="nil"/>
        </w:pBdr>
        <w:spacing w:after="0" w:line="240" w:lineRule="auto"/>
        <w:ind w:right="60"/>
        <w:rPr>
          <w:rFonts w:ascii="Roboto" w:eastAsia="Roboto" w:hAnsi="Roboto" w:cs="Roboto"/>
          <w:color w:val="000000"/>
        </w:rPr>
      </w:pPr>
      <w:r>
        <w:rPr>
          <w:rFonts w:ascii="Roboto" w:eastAsia="Roboto" w:hAnsi="Roboto" w:cs="Roboto"/>
          <w:color w:val="000000"/>
        </w:rPr>
        <w:t> </w:t>
      </w:r>
    </w:p>
    <w:p w:rsidR="00162A84" w:rsidRDefault="003D6614">
      <w:pPr>
        <w:spacing w:line="240" w:lineRule="auto"/>
        <w:rPr>
          <w:rFonts w:ascii="Roboto" w:eastAsia="Roboto" w:hAnsi="Roboto" w:cs="Roboto"/>
          <w:color w:val="404040"/>
        </w:rPr>
      </w:pPr>
      <w:r>
        <w:rPr>
          <w:rFonts w:ascii="Roboto" w:eastAsia="Roboto" w:hAnsi="Roboto" w:cs="Roboto"/>
          <w:color w:val="404040"/>
        </w:rPr>
        <w:t>2.1 The principle of prohibition of discrimination, which is enshrined in the Constitution of Aze</w:t>
      </w:r>
      <w:r>
        <w:rPr>
          <w:rFonts w:ascii="Roboto" w:eastAsia="Roboto" w:hAnsi="Roboto" w:cs="Roboto"/>
          <w:color w:val="404040"/>
        </w:rPr>
        <w:t xml:space="preserve">rbaijan, as well as in the Law on Gender Equality, the Labor Code and </w:t>
      </w:r>
      <w:r w:rsidRPr="008365D4">
        <w:rPr>
          <w:rFonts w:ascii="Roboto" w:eastAsia="Roboto" w:hAnsi="Roboto" w:cs="Roboto"/>
          <w:color w:val="404040"/>
        </w:rPr>
        <w:t xml:space="preserve">several </w:t>
      </w:r>
      <w:r>
        <w:rPr>
          <w:rFonts w:ascii="Roboto" w:eastAsia="Roboto" w:hAnsi="Roboto" w:cs="Roboto"/>
          <w:color w:val="404040"/>
        </w:rPr>
        <w:t xml:space="preserve">other laws, applies to all aspects of employment. Particularly, </w:t>
      </w:r>
      <w:r w:rsidRPr="008365D4">
        <w:rPr>
          <w:rFonts w:ascii="Roboto" w:eastAsia="Roboto" w:hAnsi="Roboto" w:cs="Roboto"/>
          <w:color w:val="404040"/>
        </w:rPr>
        <w:t>A</w:t>
      </w:r>
      <w:r>
        <w:rPr>
          <w:rFonts w:ascii="Roboto" w:eastAsia="Roboto" w:hAnsi="Roboto" w:cs="Roboto"/>
          <w:color w:val="404040"/>
        </w:rPr>
        <w:t xml:space="preserve">rticle 16 of the Labor Code prohibits discrimination on several grounds. However, no explicit prohibition of the </w:t>
      </w:r>
      <w:r>
        <w:rPr>
          <w:rFonts w:ascii="Roboto" w:eastAsia="Roboto" w:hAnsi="Roboto" w:cs="Roboto"/>
          <w:color w:val="404040"/>
        </w:rPr>
        <w:t>discrimination on the grounds of SOGIESC has hitherto been added to the Labor Code</w:t>
      </w:r>
      <w:r>
        <w:rPr>
          <w:rFonts w:ascii="Roboto" w:eastAsia="Roboto" w:hAnsi="Roboto" w:cs="Roboto"/>
          <w:color w:val="404040"/>
          <w:vertAlign w:val="superscript"/>
        </w:rPr>
        <w:footnoteReference w:id="16"/>
      </w:r>
      <w:r>
        <w:rPr>
          <w:rFonts w:ascii="Roboto" w:eastAsia="Roboto" w:hAnsi="Roboto" w:cs="Roboto"/>
          <w:color w:val="404040"/>
        </w:rPr>
        <w:t>.</w:t>
      </w:r>
    </w:p>
    <w:p w:rsidR="00162A84" w:rsidRDefault="003D6614">
      <w:pPr>
        <w:pBdr>
          <w:top w:val="nil"/>
          <w:left w:val="nil"/>
          <w:bottom w:val="nil"/>
          <w:right w:val="nil"/>
          <w:between w:val="nil"/>
        </w:pBdr>
        <w:spacing w:before="60" w:after="0" w:line="240" w:lineRule="auto"/>
        <w:ind w:right="180"/>
        <w:rPr>
          <w:rFonts w:ascii="Roboto" w:eastAsia="Roboto" w:hAnsi="Roboto" w:cs="Roboto"/>
          <w:color w:val="404040"/>
        </w:rPr>
      </w:pPr>
      <w:r>
        <w:rPr>
          <w:rFonts w:ascii="Roboto" w:eastAsia="Roboto" w:hAnsi="Roboto" w:cs="Roboto"/>
          <w:color w:val="404040"/>
        </w:rPr>
        <w:t xml:space="preserve">2.2 In Azerbaijan, LGBTI people face two kinds of discrimination: (1) exclusion when seeking to enter into the workplace; and (2) once on the job, harassment and few opportunities for advancement. </w:t>
      </w:r>
      <w:r>
        <w:rPr>
          <w:rFonts w:ascii="Roboto" w:eastAsia="Roboto" w:hAnsi="Roboto" w:cs="Roboto"/>
          <w:color w:val="404040"/>
        </w:rPr>
        <w:br/>
      </w:r>
      <w:r>
        <w:rPr>
          <w:rFonts w:ascii="Roboto" w:eastAsia="Roboto" w:hAnsi="Roboto" w:cs="Roboto"/>
          <w:color w:val="404040"/>
        </w:rPr>
        <w:br/>
        <w:t>2.3 According to the results of the survey conducted in 2</w:t>
      </w:r>
      <w:r>
        <w:rPr>
          <w:rFonts w:ascii="Roboto" w:eastAsia="Roboto" w:hAnsi="Roboto" w:cs="Roboto"/>
          <w:color w:val="404040"/>
        </w:rPr>
        <w:t xml:space="preserve">014 by </w:t>
      </w:r>
      <w:r>
        <w:rPr>
          <w:rFonts w:ascii="Roboto" w:eastAsia="Roboto" w:hAnsi="Roboto" w:cs="Roboto"/>
          <w:i/>
          <w:color w:val="404040"/>
        </w:rPr>
        <w:t>Nafas LGBT Azerbaijan Alliance</w:t>
      </w:r>
      <w:r>
        <w:rPr>
          <w:rFonts w:ascii="Roboto" w:eastAsia="Roboto" w:hAnsi="Roboto" w:cs="Roboto"/>
          <w:color w:val="404040"/>
        </w:rPr>
        <w:t>, encompassed such fields as tourism, banking and trade malls, and included 496 representatives of these businesses, the climate of business in Azerbaijan is not LGBTI friendly. 64% of the respondents did not want to wo</w:t>
      </w:r>
      <w:r>
        <w:rPr>
          <w:rFonts w:ascii="Roboto" w:eastAsia="Roboto" w:hAnsi="Roboto" w:cs="Roboto"/>
          <w:color w:val="404040"/>
        </w:rPr>
        <w:t xml:space="preserve">rk with LGBTI persons together and overall, 60% has a negative attitude towards LGBTI persons, and same 60% would not hire an LGBTI person if they were an employer. </w:t>
      </w:r>
      <w:r>
        <w:rPr>
          <w:rFonts w:ascii="Roboto" w:eastAsia="Roboto" w:hAnsi="Roboto" w:cs="Roboto"/>
          <w:color w:val="404040"/>
        </w:rPr>
        <w:br/>
      </w:r>
      <w:r>
        <w:rPr>
          <w:rFonts w:ascii="Roboto" w:eastAsia="Roboto" w:hAnsi="Roboto" w:cs="Roboto"/>
          <w:color w:val="404040"/>
        </w:rPr>
        <w:br/>
        <w:t>2.4 LGBT people may disguise their true sexual orientation and gender identity and preten</w:t>
      </w:r>
      <w:r>
        <w:rPr>
          <w:rFonts w:ascii="Roboto" w:eastAsia="Roboto" w:hAnsi="Roboto" w:cs="Roboto"/>
          <w:color w:val="404040"/>
        </w:rPr>
        <w:t xml:space="preserve">d to be heterosexual and cisgender in order to avoid discrimination or harassment. Found </w:t>
      </w:r>
      <w:r w:rsidRPr="008365D4">
        <w:rPr>
          <w:rFonts w:ascii="Roboto" w:eastAsia="Roboto" w:hAnsi="Roboto" w:cs="Roboto"/>
          <w:color w:val="404040"/>
        </w:rPr>
        <w:t>pieces of evidence</w:t>
      </w:r>
      <w:r>
        <w:rPr>
          <w:rFonts w:ascii="Roboto" w:eastAsia="Roboto" w:hAnsi="Roboto" w:cs="Roboto"/>
          <w:color w:val="404040"/>
        </w:rPr>
        <w:t xml:space="preserve"> indicate that hiding one’s sexual orientation and gender identity at work appears to be linked to a number of negative working life outcomes. It is </w:t>
      </w:r>
      <w:r>
        <w:rPr>
          <w:rFonts w:ascii="Roboto" w:eastAsia="Roboto" w:hAnsi="Roboto" w:cs="Roboto"/>
          <w:color w:val="404040"/>
        </w:rPr>
        <w:t xml:space="preserve">important to note that the indicators of perceived discrimination would be much higher, and the number of incidents of discrimination in the workplace (unlawful dismissals, refusals to promote) would be significantly greater if more employees did not hide </w:t>
      </w:r>
      <w:r>
        <w:rPr>
          <w:rFonts w:ascii="Roboto" w:eastAsia="Roboto" w:hAnsi="Roboto" w:cs="Roboto"/>
          <w:color w:val="404040"/>
        </w:rPr>
        <w:t>their sexual orientation or gender identity. Having the fear of being discriminated against in a hostile condition every day could be stressful and may have a negative impact on the individual’s productivity, self-esteem, depth of friendships, and the abil</w:t>
      </w:r>
      <w:r>
        <w:rPr>
          <w:rFonts w:ascii="Roboto" w:eastAsia="Roboto" w:hAnsi="Roboto" w:cs="Roboto"/>
          <w:color w:val="404040"/>
        </w:rPr>
        <w:t>ity to work as part of a team</w:t>
      </w:r>
      <w:r>
        <w:rPr>
          <w:rFonts w:ascii="Roboto" w:eastAsia="Roboto" w:hAnsi="Roboto" w:cs="Roboto"/>
          <w:color w:val="404040"/>
          <w:vertAlign w:val="superscript"/>
        </w:rPr>
        <w:footnoteReference w:id="17"/>
      </w:r>
      <w:r>
        <w:rPr>
          <w:rFonts w:ascii="Roboto" w:eastAsia="Roboto" w:hAnsi="Roboto" w:cs="Roboto"/>
          <w:color w:val="404040"/>
        </w:rPr>
        <w:t>. If discriminated against or harassed, many LGBTI people do not dare to take action, often out of fear of being disclosed or because they do not believe that authorities and legal procedures would be helpful.</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Bdr>
          <w:top w:val="nil"/>
          <w:left w:val="nil"/>
          <w:bottom w:val="nil"/>
          <w:right w:val="nil"/>
          <w:between w:val="nil"/>
        </w:pBdr>
        <w:spacing w:before="60" w:after="0" w:line="240" w:lineRule="auto"/>
        <w:ind w:right="180"/>
        <w:rPr>
          <w:rFonts w:ascii="Roboto" w:eastAsia="Roboto" w:hAnsi="Roboto" w:cs="Roboto"/>
          <w:color w:val="404040"/>
        </w:rPr>
      </w:pPr>
      <w:r>
        <w:rPr>
          <w:rFonts w:ascii="Roboto" w:eastAsia="Roboto" w:hAnsi="Roboto" w:cs="Roboto"/>
          <w:color w:val="404040"/>
        </w:rPr>
        <w:t>2.5 Based on the evidence, another main problem occurs during the conscription military process that has a huge influence on gay man’s access to economic rights. Every gay men who was out about his sexual orientation, is directed to the psychological dispe</w:t>
      </w:r>
      <w:r>
        <w:rPr>
          <w:rFonts w:ascii="Roboto" w:eastAsia="Roboto" w:hAnsi="Roboto" w:cs="Roboto"/>
          <w:color w:val="404040"/>
        </w:rPr>
        <w:t>nsary with diagnosing 18B (affective retentions, mid-level personality disorders easily caused reactive phases, appearing as signs of instability of vegetative nerve system, psychopathy, pathological development of identity). Later this occurs in their cer</w:t>
      </w:r>
      <w:r>
        <w:rPr>
          <w:rFonts w:ascii="Roboto" w:eastAsia="Roboto" w:hAnsi="Roboto" w:cs="Roboto"/>
          <w:color w:val="404040"/>
        </w:rPr>
        <w:t>tificate of military service that makes their access to the legal labor market practically impossible. In practice, every male citizen is being asked for the military certificate by employers that affect the decision-making process.</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lastRenderedPageBreak/>
        <w:t>I was not able to serv</w:t>
      </w:r>
      <w:r>
        <w:rPr>
          <w:i/>
          <w:color w:val="4F81BD"/>
        </w:rPr>
        <w:t xml:space="preserve">e in the military because of the 18B description. This created an odd situation for me, I have been denied by every employer because of my “mental health” condition. Later it became difficult for me literally to pay my bills, I had no job, no income and I </w:t>
      </w:r>
      <w:r>
        <w:rPr>
          <w:i/>
          <w:color w:val="4F81BD"/>
        </w:rPr>
        <w:t>had to move to Turkey where I could work in the shadow market. (A.Y., a gay man, 23 years old)</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2.5 Transgender and intersex persons do not have effective access to the labor market due to the absence of legal gender recognition. The resulting mismatch between the gender identity and expression of the person and the sex/gender marker on their identit</w:t>
      </w:r>
      <w:r>
        <w:rPr>
          <w:rFonts w:ascii="Roboto" w:eastAsia="Roboto" w:hAnsi="Roboto" w:cs="Roboto"/>
          <w:color w:val="404040"/>
        </w:rPr>
        <w:t>y documents can create mistrust among potential employers, as well as focusing attention on the candidate’s gender identity and expression rather than their suitability for a job.</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 xml:space="preserve">I graduated from university with honors, but I couldn’t work. Because of my </w:t>
      </w:r>
      <w:r>
        <w:rPr>
          <w:i/>
          <w:color w:val="4F81BD"/>
        </w:rPr>
        <w:t>appearance, all [my] applications were rejected. I cannot stand in front of the mirror every day and see that look which never was my true-self. I refused to dress what employers and society wanted from me. But I also need to pay my bills and cover the tra</w:t>
      </w:r>
      <w:r>
        <w:rPr>
          <w:i/>
          <w:color w:val="4F81BD"/>
        </w:rPr>
        <w:t>nsition expenses. Health insurance doesn’t cover such expensive expenses. (Z.T., a transgender woman, 26 years old)</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2.6 Many of gay men and trans people feel forced into sex work because of the absence of employment opportunities. According to the Article</w:t>
      </w:r>
      <w:r>
        <w:rPr>
          <w:rFonts w:ascii="Roboto" w:eastAsia="Roboto" w:hAnsi="Roboto" w:cs="Roboto"/>
          <w:color w:val="404040"/>
        </w:rPr>
        <w:t xml:space="preserve"> 308 of the Code of Administrative Offences of Azerbaijan, sex work is illegal. This law is used by authorities as a tool for oppression and persecution against transgender women and cisgender gay men. Most of the time state uses the Law on the Fight Again</w:t>
      </w:r>
      <w:r>
        <w:rPr>
          <w:rFonts w:ascii="Roboto" w:eastAsia="Roboto" w:hAnsi="Roboto" w:cs="Roboto"/>
          <w:color w:val="404040"/>
        </w:rPr>
        <w:t xml:space="preserve">st Illness Caused by HIV to justify their actions. This strategy allowed the authorities to gain wider public support to continue prosecution of gay men and transgender women periodically. </w:t>
      </w:r>
    </w:p>
    <w:p w:rsidR="00162A84" w:rsidRDefault="00162A84">
      <w:pPr>
        <w:pBdr>
          <w:top w:val="nil"/>
          <w:left w:val="nil"/>
          <w:bottom w:val="nil"/>
          <w:right w:val="nil"/>
          <w:between w:val="nil"/>
        </w:pBdr>
        <w:spacing w:after="0" w:line="240" w:lineRule="auto"/>
        <w:ind w:right="20"/>
        <w:rPr>
          <w:rFonts w:ascii="Roboto" w:eastAsia="Roboto" w:hAnsi="Roboto" w:cs="Roboto"/>
          <w:color w:val="404040"/>
        </w:rPr>
      </w:pPr>
    </w:p>
    <w:p w:rsidR="00162A84" w:rsidRDefault="003D6614">
      <w:pPr>
        <w:pStyle w:val="Heading2"/>
        <w:rPr>
          <w:color w:val="000000"/>
        </w:rPr>
      </w:pPr>
      <w:bookmarkStart w:id="5" w:name="_heading=h.3dy6vkm" w:colFirst="0" w:colLast="0"/>
      <w:bookmarkEnd w:id="5"/>
      <w:r>
        <w:t>Recommended Questions</w:t>
      </w:r>
    </w:p>
    <w:p w:rsidR="00162A84" w:rsidRDefault="00162A84">
      <w:pPr>
        <w:pBdr>
          <w:top w:val="nil"/>
          <w:left w:val="nil"/>
          <w:bottom w:val="nil"/>
          <w:right w:val="nil"/>
          <w:between w:val="nil"/>
        </w:pBdr>
        <w:spacing w:after="0" w:line="240" w:lineRule="auto"/>
        <w:ind w:right="20"/>
        <w:rPr>
          <w:rFonts w:ascii="Roboto" w:eastAsia="Roboto" w:hAnsi="Roboto" w:cs="Roboto"/>
          <w:color w:val="000000"/>
        </w:rPr>
      </w:pPr>
    </w:p>
    <w:p w:rsidR="00162A84" w:rsidRDefault="003D6614">
      <w:pPr>
        <w:pBdr>
          <w:top w:val="nil"/>
          <w:left w:val="nil"/>
          <w:bottom w:val="nil"/>
          <w:right w:val="nil"/>
          <w:between w:val="nil"/>
        </w:pBdr>
        <w:spacing w:after="0" w:line="240" w:lineRule="auto"/>
        <w:ind w:right="20"/>
        <w:rPr>
          <w:rFonts w:ascii="Roboto" w:eastAsia="Roboto" w:hAnsi="Roboto" w:cs="Roboto"/>
          <w:color w:val="000000"/>
        </w:rPr>
      </w:pPr>
      <w:r>
        <w:rPr>
          <w:rFonts w:ascii="Roboto" w:eastAsia="Roboto" w:hAnsi="Roboto" w:cs="Roboto"/>
          <w:color w:val="404040"/>
        </w:rPr>
        <w:t>Taking into account the State party’s obligations under Article 6 of the Convention recognizing the right to work, and Article 7 recognizing the right to just and favorable conditions of work, please clarify:</w:t>
      </w:r>
      <w:r>
        <w:rPr>
          <w:rFonts w:ascii="Roboto" w:eastAsia="Roboto" w:hAnsi="Roboto" w:cs="Roboto"/>
          <w:color w:val="000000"/>
        </w:rPr>
        <w:br/>
      </w:r>
    </w:p>
    <w:p w:rsidR="00162A84" w:rsidRDefault="003D6614">
      <w:pPr>
        <w:numPr>
          <w:ilvl w:val="0"/>
          <w:numId w:val="4"/>
        </w:numPr>
        <w:pBdr>
          <w:top w:val="nil"/>
          <w:left w:val="nil"/>
          <w:bottom w:val="nil"/>
          <w:right w:val="nil"/>
          <w:between w:val="nil"/>
        </w:pBdr>
        <w:spacing w:after="0" w:line="240" w:lineRule="auto"/>
        <w:ind w:left="270" w:right="20" w:hanging="270"/>
        <w:rPr>
          <w:rFonts w:ascii="Roboto" w:eastAsia="Roboto" w:hAnsi="Roboto" w:cs="Roboto"/>
          <w:b/>
          <w:color w:val="000000"/>
        </w:rPr>
      </w:pPr>
      <w:r>
        <w:rPr>
          <w:rFonts w:ascii="Roboto" w:eastAsia="Roboto" w:hAnsi="Roboto" w:cs="Roboto"/>
          <w:b/>
          <w:color w:val="000000"/>
        </w:rPr>
        <w:t>What steps, including specifically any legal m</w:t>
      </w:r>
      <w:r>
        <w:rPr>
          <w:rFonts w:ascii="Roboto" w:eastAsia="Roboto" w:hAnsi="Roboto" w:cs="Roboto"/>
          <w:b/>
          <w:color w:val="000000"/>
        </w:rPr>
        <w:t>easures, training programmes and informational campaigns, have been put in place to elimination discrimination based on sexual orientation, gender identity and gender expression and sex characteristics in all areas and dimensions of work, including hiring,</w:t>
      </w:r>
      <w:r>
        <w:rPr>
          <w:rFonts w:ascii="Roboto" w:eastAsia="Roboto" w:hAnsi="Roboto" w:cs="Roboto"/>
          <w:b/>
          <w:color w:val="000000"/>
        </w:rPr>
        <w:t xml:space="preserve"> promotion, dismissal, remuneration and working conditions, and in both public and private sectors;</w:t>
      </w:r>
    </w:p>
    <w:p w:rsidR="00162A84" w:rsidRDefault="00162A84">
      <w:pPr>
        <w:pBdr>
          <w:top w:val="nil"/>
          <w:left w:val="nil"/>
          <w:bottom w:val="nil"/>
          <w:right w:val="nil"/>
          <w:between w:val="nil"/>
        </w:pBdr>
        <w:spacing w:after="0" w:line="240" w:lineRule="auto"/>
        <w:ind w:right="20"/>
        <w:rPr>
          <w:rFonts w:ascii="Times New Roman" w:eastAsia="Times New Roman" w:hAnsi="Times New Roman" w:cs="Times New Roman"/>
          <w:b/>
          <w:color w:val="000000"/>
          <w:sz w:val="24"/>
          <w:szCs w:val="24"/>
        </w:rPr>
      </w:pPr>
    </w:p>
    <w:p w:rsidR="00162A84" w:rsidRDefault="003D6614">
      <w:pPr>
        <w:pBdr>
          <w:top w:val="nil"/>
          <w:left w:val="nil"/>
          <w:bottom w:val="nil"/>
          <w:right w:val="nil"/>
          <w:between w:val="nil"/>
        </w:pBdr>
        <w:spacing w:after="0" w:line="240" w:lineRule="auto"/>
        <w:ind w:right="20"/>
        <w:rPr>
          <w:rFonts w:ascii="Roboto" w:eastAsia="Roboto" w:hAnsi="Roboto" w:cs="Roboto"/>
          <w:color w:val="404040"/>
        </w:rPr>
      </w:pPr>
      <w:r>
        <w:rPr>
          <w:rFonts w:ascii="Roboto" w:eastAsia="Roboto" w:hAnsi="Roboto" w:cs="Roboto"/>
          <w:color w:val="404040"/>
        </w:rPr>
        <w:t xml:space="preserve">and </w:t>
      </w:r>
      <w:r>
        <w:rPr>
          <w:rFonts w:ascii="Roboto" w:eastAsia="Roboto" w:hAnsi="Roboto" w:cs="Roboto"/>
          <w:color w:val="404040"/>
        </w:rPr>
        <w:br/>
      </w:r>
    </w:p>
    <w:p w:rsidR="00162A84" w:rsidRPr="000D00E7" w:rsidRDefault="003D6614" w:rsidP="000D00E7">
      <w:pPr>
        <w:numPr>
          <w:ilvl w:val="0"/>
          <w:numId w:val="4"/>
        </w:numPr>
        <w:pBdr>
          <w:top w:val="nil"/>
          <w:left w:val="nil"/>
          <w:bottom w:val="nil"/>
          <w:right w:val="nil"/>
          <w:between w:val="nil"/>
        </w:pBdr>
        <w:spacing w:after="0" w:line="240" w:lineRule="auto"/>
        <w:ind w:left="270" w:right="20" w:hanging="270"/>
        <w:rPr>
          <w:rFonts w:ascii="Roboto" w:eastAsia="Roboto" w:hAnsi="Roboto" w:cs="Roboto"/>
          <w:b/>
          <w:color w:val="000000"/>
        </w:rPr>
      </w:pPr>
      <w:r>
        <w:rPr>
          <w:rFonts w:ascii="Roboto" w:eastAsia="Roboto" w:hAnsi="Roboto" w:cs="Roboto"/>
          <w:b/>
          <w:color w:val="000000"/>
        </w:rPr>
        <w:t>Whether the State party plans to repeal the “18B” diagnosis from the Classification of Diseases List of the Military Cervices that affects gay individuals and, consequently, their rights to work?</w:t>
      </w:r>
    </w:p>
    <w:p w:rsidR="00162A84" w:rsidRDefault="003D6614">
      <w:pPr>
        <w:pStyle w:val="Heading1"/>
        <w:rPr>
          <w:rFonts w:ascii="Roboto" w:eastAsia="Roboto" w:hAnsi="Roboto" w:cs="Roboto"/>
        </w:rPr>
      </w:pPr>
      <w:bookmarkStart w:id="6" w:name="_heading=h.1t3h5sf" w:colFirst="0" w:colLast="0"/>
      <w:bookmarkEnd w:id="6"/>
      <w:r>
        <w:rPr>
          <w:rFonts w:ascii="Roboto" w:eastAsia="Roboto" w:hAnsi="Roboto" w:cs="Roboto"/>
        </w:rPr>
        <w:lastRenderedPageBreak/>
        <w:t>3. The right to education - Article 13</w:t>
      </w:r>
      <w:r>
        <w:rPr>
          <w:rFonts w:ascii="Roboto" w:eastAsia="Roboto" w:hAnsi="Roboto" w:cs="Roboto"/>
        </w:rPr>
        <w:br/>
      </w:r>
    </w:p>
    <w:p w:rsidR="00162A84" w:rsidRDefault="003D6614">
      <w:pPr>
        <w:spacing w:line="240" w:lineRule="auto"/>
        <w:rPr>
          <w:rFonts w:ascii="Roboto" w:eastAsia="Roboto" w:hAnsi="Roboto" w:cs="Roboto"/>
          <w:color w:val="404040"/>
        </w:rPr>
      </w:pPr>
      <w:r>
        <w:rPr>
          <w:rFonts w:ascii="Roboto" w:eastAsia="Roboto" w:hAnsi="Roboto" w:cs="Roboto"/>
          <w:color w:val="404040"/>
        </w:rPr>
        <w:t>3.1 The right to ed</w:t>
      </w:r>
      <w:r>
        <w:rPr>
          <w:rFonts w:ascii="Roboto" w:eastAsia="Roboto" w:hAnsi="Roboto" w:cs="Roboto"/>
          <w:color w:val="404040"/>
        </w:rPr>
        <w:t>ucation is regulated by the Constitution of the Republic of Azerbaijan, the Law of the Republic of Azerbaijan on Education, other normative legal acts concerning education, and international treaties to which the Republic of Azerbaijan is a party. Although</w:t>
      </w:r>
      <w:r>
        <w:rPr>
          <w:rFonts w:ascii="Roboto" w:eastAsia="Roboto" w:hAnsi="Roboto" w:cs="Roboto"/>
          <w:color w:val="404040"/>
        </w:rPr>
        <w:t xml:space="preserve"> the national legislations declares that everyone has equal access to education and prohibits discrimination regardless of sex, race, language, religion, political view, nationality and social status, the law does not explicitly mention SOGIESC among the p</w:t>
      </w:r>
      <w:r>
        <w:rPr>
          <w:rFonts w:ascii="Roboto" w:eastAsia="Roboto" w:hAnsi="Roboto" w:cs="Roboto"/>
          <w:color w:val="404040"/>
        </w:rPr>
        <w:t>rotected grounds.</w:t>
      </w:r>
    </w:p>
    <w:p w:rsidR="00162A84" w:rsidRDefault="003D6614">
      <w:pPr>
        <w:spacing w:line="240" w:lineRule="auto"/>
        <w:rPr>
          <w:rFonts w:ascii="Roboto" w:eastAsia="Roboto" w:hAnsi="Roboto" w:cs="Roboto"/>
          <w:color w:val="404040"/>
        </w:rPr>
      </w:pPr>
      <w:r>
        <w:rPr>
          <w:rFonts w:ascii="Roboto" w:eastAsia="Roboto" w:hAnsi="Roboto" w:cs="Roboto"/>
          <w:color w:val="404040"/>
        </w:rPr>
        <w:t xml:space="preserve">3.2 LGBT students are constantly bullied at school because of their sexual orientation, gender identity and self-expression by other students, and oftentimes, by faculty and other school staff. The lack of policies or programs at schools </w:t>
      </w:r>
      <w:r>
        <w:rPr>
          <w:rFonts w:ascii="Roboto" w:eastAsia="Roboto" w:hAnsi="Roboto" w:cs="Roboto"/>
          <w:color w:val="404040"/>
        </w:rPr>
        <w:t>to prevent bullying, mobbing and other forms of discrimination for sure affects LGBT students’ academic performance and, therefore, their access to higher education institutions.</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I was being bullied because of my sexual orientation at middle school by one classmate. When teachers found out about this, I was made to stand beside that one guy in front of the entire class and present my facts to “protect myself” while others sat there</w:t>
      </w:r>
      <w:r>
        <w:rPr>
          <w:i/>
          <w:color w:val="4F81BD"/>
        </w:rPr>
        <w:t xml:space="preserve"> and watched the process and evaluated my reasons “to prove that I was not, in fact, gay”. It reminded me of a courtroom with the judge and the jury.  (M.K., a non-binary person, 20 years old)</w:t>
      </w:r>
    </w:p>
    <w:p w:rsidR="00162A84" w:rsidRDefault="003D6614">
      <w:pPr>
        <w:spacing w:before="20" w:after="0" w:line="240" w:lineRule="auto"/>
        <w:rPr>
          <w:rFonts w:ascii="Roboto" w:eastAsia="Roboto" w:hAnsi="Roboto" w:cs="Roboto"/>
          <w:color w:val="404040"/>
          <w:sz w:val="24"/>
          <w:szCs w:val="24"/>
        </w:rPr>
      </w:pPr>
      <w:r>
        <w:rPr>
          <w:rFonts w:ascii="Roboto" w:eastAsia="Roboto" w:hAnsi="Roboto" w:cs="Roboto"/>
          <w:color w:val="404040"/>
        </w:rPr>
        <w:t>3.3 One of the reasons behind stigmatization and bullying at schools is in the curriculum itself. When the curriculum does not reflect the fundamental human rights, gender equality, peace and non-violence, and human diversity, it not only makes bullying lo</w:t>
      </w:r>
      <w:r>
        <w:rPr>
          <w:rFonts w:ascii="Roboto" w:eastAsia="Roboto" w:hAnsi="Roboto" w:cs="Roboto"/>
          <w:color w:val="404040"/>
        </w:rPr>
        <w:t>ok normal and natural but also creates a new path for new cases. The lack of knowledge and information holds grounds for bullying, oppression and mobbing against LGBTI students at schools and in other learning environments.</w:t>
      </w:r>
    </w:p>
    <w:p w:rsidR="00162A84" w:rsidRDefault="00162A84">
      <w:pPr>
        <w:spacing w:after="0" w:line="240" w:lineRule="auto"/>
        <w:rPr>
          <w:rFonts w:ascii="Roboto" w:eastAsia="Roboto" w:hAnsi="Roboto" w:cs="Roboto"/>
          <w:color w:val="404040"/>
          <w:sz w:val="24"/>
          <w:szCs w:val="24"/>
        </w:rPr>
      </w:pPr>
    </w:p>
    <w:p w:rsidR="00162A84" w:rsidRDefault="003D6614">
      <w:pPr>
        <w:spacing w:before="20" w:after="0" w:line="240" w:lineRule="auto"/>
        <w:rPr>
          <w:rFonts w:ascii="Roboto" w:eastAsia="Roboto" w:hAnsi="Roboto" w:cs="Roboto"/>
          <w:color w:val="404040"/>
          <w:sz w:val="24"/>
          <w:szCs w:val="24"/>
        </w:rPr>
      </w:pPr>
      <w:r>
        <w:rPr>
          <w:rFonts w:ascii="Roboto" w:eastAsia="Roboto" w:hAnsi="Roboto" w:cs="Roboto"/>
          <w:color w:val="404040"/>
        </w:rPr>
        <w:t>3.4 The government has been dev</w:t>
      </w:r>
      <w:r>
        <w:rPr>
          <w:rFonts w:ascii="Roboto" w:eastAsia="Roboto" w:hAnsi="Roboto" w:cs="Roboto"/>
          <w:color w:val="404040"/>
        </w:rPr>
        <w:t>eloping a new curriculum for three years, and it will be the first comprehensive sexuality education curriculum in Azerbaijan</w:t>
      </w:r>
      <w:r>
        <w:rPr>
          <w:rFonts w:ascii="Roboto" w:eastAsia="Roboto" w:hAnsi="Roboto" w:cs="Roboto"/>
          <w:color w:val="404040"/>
          <w:vertAlign w:val="superscript"/>
        </w:rPr>
        <w:footnoteReference w:id="18"/>
      </w:r>
      <w:r>
        <w:rPr>
          <w:rFonts w:ascii="Roboto" w:eastAsia="Roboto" w:hAnsi="Roboto" w:cs="Roboto"/>
          <w:color w:val="404040"/>
        </w:rPr>
        <w:t xml:space="preserve">. However, the success of the program will rely on its implementation by teachers who are often poorly qualified and have a </w:t>
      </w:r>
      <w:r>
        <w:rPr>
          <w:rFonts w:ascii="Roboto" w:eastAsia="Roboto" w:hAnsi="Roboto" w:cs="Roboto"/>
          <w:i/>
          <w:color w:val="404040"/>
        </w:rPr>
        <w:t>biased</w:t>
      </w:r>
      <w:r>
        <w:rPr>
          <w:rFonts w:ascii="Roboto" w:eastAsia="Roboto" w:hAnsi="Roboto" w:cs="Roboto"/>
          <w:i/>
          <w:color w:val="404040"/>
        </w:rPr>
        <w:t xml:space="preserve"> </w:t>
      </w:r>
      <w:r>
        <w:rPr>
          <w:rFonts w:ascii="Roboto" w:eastAsia="Roboto" w:hAnsi="Roboto" w:cs="Roboto"/>
          <w:color w:val="404040"/>
        </w:rPr>
        <w:t>attitude against sex education. The new curriculum also fails to appropriately address a variety of sexual orientations, gender identities, behaviors and experiences.</w:t>
      </w:r>
    </w:p>
    <w:p w:rsidR="00162A84" w:rsidRDefault="00162A84">
      <w:pPr>
        <w:pBdr>
          <w:top w:val="nil"/>
          <w:left w:val="nil"/>
          <w:bottom w:val="nil"/>
          <w:right w:val="nil"/>
          <w:between w:val="nil"/>
        </w:pBdr>
        <w:spacing w:before="20" w:after="0" w:line="240" w:lineRule="auto"/>
        <w:rPr>
          <w:rFonts w:ascii="Roboto" w:eastAsia="Roboto" w:hAnsi="Roboto" w:cs="Roboto"/>
          <w:color w:val="000000"/>
        </w:rPr>
      </w:pP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A while ago, mistakes groundless in medical terms were found by our organization in a t</w:t>
      </w:r>
      <w:r>
        <w:rPr>
          <w:i/>
          <w:color w:val="4F81BD"/>
        </w:rPr>
        <w:t>extbook on “Family Psychology” taught in the Faculty of Psychology of the Azerbaijan Teachers Institute. The “Family Psychology” textbook was published in 2015 and approved by the Ministry of Education. It is used as a curriculum material in the Azerbaijan</w:t>
      </w:r>
      <w:r>
        <w:rPr>
          <w:i/>
          <w:color w:val="4F81BD"/>
        </w:rPr>
        <w:t xml:space="preserve"> Teachers Institute. It describes homosexuality as an “abnormal sexual orientation disorder” and pathology, alongside with pedophilia and necrophilia. Also, it is mentioned that homosexuality occurs mainly in psychopaths. There is also a sentence about hom</w:t>
      </w:r>
      <w:r>
        <w:rPr>
          <w:i/>
          <w:color w:val="4F81BD"/>
        </w:rPr>
        <w:t>osexuals being sick people.</w:t>
      </w:r>
    </w:p>
    <w:p w:rsidR="00162A84" w:rsidRDefault="003D6614">
      <w:pPr>
        <w:pBdr>
          <w:top w:val="nil"/>
          <w:left w:val="nil"/>
          <w:bottom w:val="nil"/>
          <w:right w:val="nil"/>
          <w:between w:val="nil"/>
        </w:pBdr>
        <w:spacing w:after="0" w:line="240" w:lineRule="auto"/>
        <w:ind w:right="220"/>
        <w:rPr>
          <w:rFonts w:ascii="Roboto" w:eastAsia="Roboto" w:hAnsi="Roboto" w:cs="Roboto"/>
          <w:color w:val="404040"/>
        </w:rPr>
      </w:pPr>
      <w:r>
        <w:rPr>
          <w:rFonts w:ascii="Roboto" w:eastAsia="Roboto" w:hAnsi="Roboto" w:cs="Roboto"/>
          <w:color w:val="404040"/>
        </w:rPr>
        <w:lastRenderedPageBreak/>
        <w:t xml:space="preserve">3.5 Hostile school environment has a great effect on students’ mental health. It not only keeps </w:t>
      </w:r>
      <w:r w:rsidRPr="008365D4">
        <w:rPr>
          <w:rFonts w:ascii="Roboto" w:eastAsia="Roboto" w:hAnsi="Roboto" w:cs="Roboto"/>
          <w:color w:val="404040"/>
        </w:rPr>
        <w:t>them</w:t>
      </w:r>
      <w:r w:rsidRPr="008365D4">
        <w:rPr>
          <w:rFonts w:ascii="Roboto" w:eastAsia="Roboto" w:hAnsi="Roboto" w:cs="Roboto"/>
          <w:color w:val="404040"/>
        </w:rPr>
        <w:t xml:space="preserve"> f</w:t>
      </w:r>
      <w:r>
        <w:rPr>
          <w:rFonts w:ascii="Roboto" w:eastAsia="Roboto" w:hAnsi="Roboto" w:cs="Roboto"/>
          <w:color w:val="404040"/>
        </w:rPr>
        <w:t>rom learning but also damages their psychology. There is a lack (zero) of trained counselors to assist the vulnerable groups and deal with such situations like bullying based on perceived SOGIESC, and it affects students negatively. There are also no tools</w:t>
      </w:r>
      <w:r>
        <w:rPr>
          <w:rFonts w:ascii="Roboto" w:eastAsia="Roboto" w:hAnsi="Roboto" w:cs="Roboto"/>
          <w:color w:val="404040"/>
        </w:rPr>
        <w:t>/ guidelines offered by schools for students to protect themselves from prejudice, violence or stigmatization. Students with damaged self-esteem and psychologica</w:t>
      </w:r>
      <w:r w:rsidRPr="008365D4">
        <w:rPr>
          <w:rFonts w:ascii="Roboto" w:eastAsia="Roboto" w:hAnsi="Roboto" w:cs="Roboto"/>
          <w:color w:val="404040"/>
        </w:rPr>
        <w:t xml:space="preserve">l </w:t>
      </w:r>
      <w:r w:rsidRPr="008365D4">
        <w:rPr>
          <w:rFonts w:ascii="Roboto" w:eastAsia="Roboto" w:hAnsi="Roboto" w:cs="Roboto"/>
          <w:color w:val="404040"/>
        </w:rPr>
        <w:t>state</w:t>
      </w:r>
      <w:r>
        <w:rPr>
          <w:rFonts w:ascii="Roboto" w:eastAsia="Roboto" w:hAnsi="Roboto" w:cs="Roboto"/>
          <w:color w:val="404040"/>
        </w:rPr>
        <w:t xml:space="preserve"> do not seem to succeed </w:t>
      </w:r>
      <w:r>
        <w:rPr>
          <w:rFonts w:ascii="Roboto" w:eastAsia="Roboto" w:hAnsi="Roboto" w:cs="Roboto"/>
          <w:color w:val="404040"/>
        </w:rPr>
        <w:t xml:space="preserve">in </w:t>
      </w:r>
      <w:r w:rsidRPr="008365D4">
        <w:rPr>
          <w:rFonts w:ascii="Roboto" w:eastAsia="Roboto" w:hAnsi="Roboto" w:cs="Roboto"/>
          <w:color w:val="404040"/>
        </w:rPr>
        <w:t>the</w:t>
      </w:r>
      <w:r>
        <w:rPr>
          <w:rFonts w:ascii="Roboto" w:eastAsia="Roboto" w:hAnsi="Roboto" w:cs="Roboto"/>
          <w:color w:val="404040"/>
        </w:rPr>
        <w:t xml:space="preserve"> future</w:t>
      </w:r>
      <w:r>
        <w:rPr>
          <w:rFonts w:ascii="Roboto" w:eastAsia="Roboto" w:hAnsi="Roboto" w:cs="Roboto"/>
          <w:color w:val="404040"/>
        </w:rPr>
        <w:t>. When reaching out to people who are currently stu</w:t>
      </w:r>
      <w:r>
        <w:rPr>
          <w:rFonts w:ascii="Roboto" w:eastAsia="Roboto" w:hAnsi="Roboto" w:cs="Roboto"/>
          <w:color w:val="404040"/>
        </w:rPr>
        <w:t>dying or had been studied, while preparing this submission, we found out that the majority of interviewers said they attempted suicide one or two times during their school years. And Azerbaijan failed to take steps to prevent the root causes of suicide, in</w:t>
      </w:r>
      <w:r>
        <w:rPr>
          <w:rFonts w:ascii="Roboto" w:eastAsia="Roboto" w:hAnsi="Roboto" w:cs="Roboto"/>
          <w:color w:val="404040"/>
        </w:rPr>
        <w:t>cluding by not addressing discrimination and stigma against LGBTI people.</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When I was in college, other students would hint at some of my feminine behavior. I was sick and tired of some girls making fun of my clothing and manner, hearing words like "let's g</w:t>
      </w:r>
      <w:r>
        <w:rPr>
          <w:i/>
          <w:color w:val="4F81BD"/>
        </w:rPr>
        <w:t>et him naked and see if it is a boy or a girl", "would learn if he was beaten up", "it's a psychological illness". It was affecting me negatively. I was getting depressed and distanced. I could feel from some teachers' an attitude that they were being stri</w:t>
      </w:r>
      <w:r>
        <w:rPr>
          <w:i/>
          <w:color w:val="4F81BD"/>
        </w:rPr>
        <w:t xml:space="preserve">ct with me just because of my orientation. I couldn't even complain to them. </w:t>
      </w:r>
      <w:r w:rsidR="008365D4" w:rsidRPr="008365D4">
        <w:rPr>
          <w:i/>
          <w:color w:val="4F81BD"/>
        </w:rPr>
        <w:t>Besides</w:t>
      </w:r>
      <w:r w:rsidRPr="008365D4">
        <w:rPr>
          <w:i/>
          <w:color w:val="4F81BD"/>
        </w:rPr>
        <w:t xml:space="preserve"> feeling</w:t>
      </w:r>
      <w:r w:rsidRPr="008365D4">
        <w:rPr>
          <w:i/>
          <w:color w:val="4F81BD"/>
        </w:rPr>
        <w:t xml:space="preserve"> terrible</w:t>
      </w:r>
      <w:r>
        <w:rPr>
          <w:i/>
          <w:color w:val="4F81BD"/>
        </w:rPr>
        <w:t>, I was usually alone, wasn't leaving the classroom. I felt depressed and frenzy. (C.O., a gay man)</w:t>
      </w:r>
    </w:p>
    <w:p w:rsidR="00162A84" w:rsidRDefault="003D6614">
      <w:pPr>
        <w:pBdr>
          <w:top w:val="nil"/>
          <w:left w:val="nil"/>
          <w:bottom w:val="single" w:sz="4" w:space="4" w:color="4F81BD"/>
          <w:right w:val="nil"/>
          <w:between w:val="nil"/>
        </w:pBdr>
        <w:spacing w:before="200" w:after="280"/>
        <w:ind w:left="540" w:right="540" w:hanging="936"/>
        <w:rPr>
          <w:i/>
          <w:color w:val="4F81BD"/>
        </w:rPr>
      </w:pPr>
      <w:r>
        <w:rPr>
          <w:i/>
          <w:color w:val="4F81BD"/>
        </w:rPr>
        <w:t>I had problems with my identity during my school years, but at that time I didn't realize I was transgender. I have always had problems communicating with people of the same gender who are born with the same sex and I have always been misunderstood. In one</w:t>
      </w:r>
      <w:r>
        <w:rPr>
          <w:i/>
          <w:color w:val="4F81BD"/>
        </w:rPr>
        <w:t xml:space="preserve"> point </w:t>
      </w:r>
      <w:r w:rsidRPr="008365D4">
        <w:rPr>
          <w:i/>
          <w:color w:val="4F81BD"/>
        </w:rPr>
        <w:t>I believed that</w:t>
      </w:r>
      <w:r>
        <w:rPr>
          <w:i/>
          <w:color w:val="4F81BD"/>
        </w:rPr>
        <w:t xml:space="preserve"> – I’m the wrong one and decided to end all of this </w:t>
      </w:r>
      <w:r w:rsidR="008365D4">
        <w:rPr>
          <w:i/>
          <w:color w:val="4F81BD"/>
        </w:rPr>
        <w:t>suffers</w:t>
      </w:r>
      <w:r>
        <w:rPr>
          <w:i/>
          <w:color w:val="4F81BD"/>
        </w:rPr>
        <w:t xml:space="preserve"> when I was already 17. Six </w:t>
      </w:r>
      <w:r w:rsidRPr="008365D4">
        <w:rPr>
          <w:i/>
          <w:color w:val="4F81BD"/>
        </w:rPr>
        <w:t>years have passed</w:t>
      </w:r>
      <w:r>
        <w:rPr>
          <w:i/>
          <w:color w:val="4F81BD"/>
        </w:rPr>
        <w:t xml:space="preserve"> </w:t>
      </w:r>
      <w:r w:rsidRPr="008365D4">
        <w:rPr>
          <w:i/>
          <w:color w:val="4F81BD"/>
        </w:rPr>
        <w:t>since</w:t>
      </w:r>
      <w:r>
        <w:rPr>
          <w:i/>
          <w:color w:val="4F81BD"/>
        </w:rPr>
        <w:t xml:space="preserve"> that day and now I’m talking to you. (C.O., a transgender woman, 23 years old)</w:t>
      </w:r>
    </w:p>
    <w:p w:rsidR="00162A84" w:rsidRDefault="00162A84">
      <w:bookmarkStart w:id="7" w:name="_heading=h.4d34og8" w:colFirst="0" w:colLast="0"/>
      <w:bookmarkEnd w:id="7"/>
    </w:p>
    <w:p w:rsidR="00162A84" w:rsidRDefault="003D6614">
      <w:pPr>
        <w:pStyle w:val="Heading2"/>
        <w:rPr>
          <w:color w:val="000000"/>
          <w:sz w:val="2"/>
          <w:szCs w:val="2"/>
        </w:rPr>
      </w:pPr>
      <w:r>
        <w:t>Recommended Questions</w:t>
      </w:r>
      <w:r>
        <w:br/>
      </w:r>
      <w:r>
        <w:rPr>
          <w:sz w:val="2"/>
          <w:szCs w:val="2"/>
        </w:rPr>
        <w:br/>
      </w:r>
      <w:r>
        <w:rPr>
          <w:sz w:val="2"/>
          <w:szCs w:val="2"/>
        </w:rPr>
        <w:br/>
      </w:r>
    </w:p>
    <w:p w:rsidR="00162A84" w:rsidRDefault="003D6614">
      <w:pPr>
        <w:spacing w:line="240" w:lineRule="auto"/>
        <w:rPr>
          <w:rFonts w:ascii="Roboto" w:eastAsia="Roboto" w:hAnsi="Roboto" w:cs="Roboto"/>
          <w:color w:val="404040"/>
        </w:rPr>
      </w:pPr>
      <w:r>
        <w:rPr>
          <w:rFonts w:ascii="Roboto" w:eastAsia="Roboto" w:hAnsi="Roboto" w:cs="Roboto"/>
          <w:color w:val="404040"/>
        </w:rPr>
        <w:t>Considering the Committee’s General Comment No. 13 where it specifies that education must be accessible to all “in fact” as well as “in law”, please provide information:</w:t>
      </w:r>
    </w:p>
    <w:p w:rsidR="00162A84" w:rsidRDefault="003D6614">
      <w:pPr>
        <w:numPr>
          <w:ilvl w:val="0"/>
          <w:numId w:val="1"/>
        </w:numPr>
        <w:pBdr>
          <w:top w:val="nil"/>
          <w:left w:val="nil"/>
          <w:bottom w:val="nil"/>
          <w:right w:val="nil"/>
          <w:between w:val="nil"/>
        </w:pBdr>
        <w:spacing w:after="0"/>
        <w:ind w:left="360"/>
        <w:rPr>
          <w:rFonts w:ascii="Roboto" w:eastAsia="Roboto" w:hAnsi="Roboto" w:cs="Roboto"/>
          <w:b/>
          <w:color w:val="000000"/>
        </w:rPr>
      </w:pPr>
      <w:r>
        <w:rPr>
          <w:rFonts w:ascii="Roboto" w:eastAsia="Roboto" w:hAnsi="Roboto" w:cs="Roboto"/>
          <w:b/>
          <w:color w:val="000000"/>
        </w:rPr>
        <w:t>Whether the State party plans to adopt anti-bullying policy against harassment in scho</w:t>
      </w:r>
      <w:r>
        <w:rPr>
          <w:rFonts w:ascii="Roboto" w:eastAsia="Roboto" w:hAnsi="Roboto" w:cs="Roboto"/>
          <w:b/>
          <w:color w:val="000000"/>
        </w:rPr>
        <w:t>ols, paying particular attention to lesbian, gay, bisexual and transgender children or children of lesbian, gay, bisexual and transgender families;</w:t>
      </w:r>
    </w:p>
    <w:p w:rsidR="00162A84" w:rsidRDefault="003D6614">
      <w:pPr>
        <w:numPr>
          <w:ilvl w:val="0"/>
          <w:numId w:val="1"/>
        </w:numPr>
        <w:pBdr>
          <w:top w:val="nil"/>
          <w:left w:val="nil"/>
          <w:bottom w:val="nil"/>
          <w:right w:val="nil"/>
          <w:between w:val="nil"/>
        </w:pBdr>
        <w:spacing w:after="0"/>
        <w:ind w:left="360"/>
        <w:rPr>
          <w:rFonts w:ascii="Roboto" w:eastAsia="Roboto" w:hAnsi="Roboto" w:cs="Roboto"/>
          <w:b/>
          <w:color w:val="000000"/>
        </w:rPr>
      </w:pPr>
      <w:r>
        <w:rPr>
          <w:rFonts w:ascii="Roboto" w:eastAsia="Roboto" w:hAnsi="Roboto" w:cs="Roboto"/>
          <w:b/>
          <w:color w:val="000000"/>
        </w:rPr>
        <w:t>Whether the State party has been taken specific measures to raise awareness of the rights of lesbian, gay, b</w:t>
      </w:r>
      <w:r>
        <w:rPr>
          <w:rFonts w:ascii="Roboto" w:eastAsia="Roboto" w:hAnsi="Roboto" w:cs="Roboto"/>
          <w:b/>
          <w:color w:val="000000"/>
        </w:rPr>
        <w:t>isexual, transgender and intersex persons among teachers and other school staff, and to combat bullying and assaults against lesbian, gay, bisexual, transgender and intersex children and young people at education settings; and</w:t>
      </w:r>
    </w:p>
    <w:p w:rsidR="00162A84" w:rsidRPr="000D00E7" w:rsidRDefault="003D6614" w:rsidP="000D00E7">
      <w:pPr>
        <w:numPr>
          <w:ilvl w:val="0"/>
          <w:numId w:val="1"/>
        </w:numPr>
        <w:pBdr>
          <w:top w:val="nil"/>
          <w:left w:val="nil"/>
          <w:bottom w:val="nil"/>
          <w:right w:val="nil"/>
          <w:between w:val="nil"/>
        </w:pBdr>
        <w:ind w:left="360"/>
        <w:rPr>
          <w:rFonts w:ascii="Roboto" w:eastAsia="Roboto" w:hAnsi="Roboto" w:cs="Roboto"/>
          <w:b/>
          <w:color w:val="000000"/>
        </w:rPr>
      </w:pPr>
      <w:r>
        <w:rPr>
          <w:rFonts w:ascii="Roboto" w:eastAsia="Roboto" w:hAnsi="Roboto" w:cs="Roboto"/>
          <w:b/>
          <w:color w:val="000000"/>
        </w:rPr>
        <w:t>Whether sexuality education c</w:t>
      </w:r>
      <w:r>
        <w:rPr>
          <w:rFonts w:ascii="Roboto" w:eastAsia="Roboto" w:hAnsi="Roboto" w:cs="Roboto"/>
          <w:b/>
          <w:color w:val="000000"/>
        </w:rPr>
        <w:t xml:space="preserve">urriculum includes or if there are any plans to include in </w:t>
      </w:r>
      <w:r w:rsidRPr="008365D4">
        <w:rPr>
          <w:rFonts w:ascii="Roboto" w:eastAsia="Roboto" w:hAnsi="Roboto" w:cs="Roboto"/>
          <w:b/>
          <w:color w:val="000000"/>
        </w:rPr>
        <w:t xml:space="preserve">it`s </w:t>
      </w:r>
      <w:r>
        <w:rPr>
          <w:rFonts w:ascii="Roboto" w:eastAsia="Roboto" w:hAnsi="Roboto" w:cs="Roboto"/>
          <w:b/>
          <w:color w:val="000000"/>
        </w:rPr>
        <w:t xml:space="preserve">appropriate education </w:t>
      </w:r>
      <w:r w:rsidRPr="008365D4">
        <w:rPr>
          <w:rFonts w:ascii="Roboto" w:eastAsia="Roboto" w:hAnsi="Roboto" w:cs="Roboto"/>
          <w:b/>
          <w:color w:val="000000"/>
        </w:rPr>
        <w:t>on</w:t>
      </w:r>
      <w:r w:rsidRPr="008365D4">
        <w:rPr>
          <w:rFonts w:ascii="Roboto" w:eastAsia="Roboto" w:hAnsi="Roboto" w:cs="Roboto"/>
          <w:b/>
          <w:color w:val="000000"/>
        </w:rPr>
        <w:t xml:space="preserve"> a </w:t>
      </w:r>
      <w:r w:rsidRPr="008365D4">
        <w:rPr>
          <w:rFonts w:ascii="Roboto" w:eastAsia="Roboto" w:hAnsi="Roboto" w:cs="Roboto"/>
          <w:b/>
          <w:color w:val="000000"/>
        </w:rPr>
        <w:t>variety</w:t>
      </w:r>
      <w:r>
        <w:rPr>
          <w:rFonts w:ascii="Roboto" w:eastAsia="Roboto" w:hAnsi="Roboto" w:cs="Roboto"/>
          <w:b/>
          <w:color w:val="000000"/>
        </w:rPr>
        <w:t xml:space="preserve"> of sexual orientations, gender identities, behaviors and experiences.</w:t>
      </w:r>
    </w:p>
    <w:sectPr w:rsidR="00162A84" w:rsidRPr="000D00E7">
      <w:footerReference w:type="default" r:id="rId13"/>
      <w:pgSz w:w="12240" w:h="15840"/>
      <w:pgMar w:top="1620" w:right="1170" w:bottom="1980" w:left="1170" w:header="720" w:footer="720" w:gutter="0"/>
      <w:pgNumType w:start="1"/>
      <w:cols w:space="720"/>
    </w:sectPr>
  </w:body>
</w:document>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15:commentEx w15:paraId="0000008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6614" w:rsidRDefault="003D6614">
      <w:pPr>
        <w:spacing w:after="0" w:line="240" w:lineRule="auto"/>
      </w:pPr>
      <w:r>
        <w:separator/>
      </w:r>
    </w:p>
  </w:endnote>
  <w:endnote w:type="continuationSeparator" w:id="0">
    <w:p w:rsidR="003D6614" w:rsidRDefault="003D6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Roboto">
    <w:panose1 w:val="02000000000000000000"/>
    <w:charset w:val="00"/>
    <w:family w:val="auto"/>
    <w:pitch w:val="variable"/>
    <w:sig w:usb0="E00002FF" w:usb1="5000205B" w:usb2="00000020" w:usb3="00000000" w:csb0="000001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A84" w:rsidRDefault="003D661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sidR="008365D4">
      <w:rPr>
        <w:color w:val="000000"/>
      </w:rPr>
      <w:fldChar w:fldCharType="separate"/>
    </w:r>
    <w:r w:rsidR="000D00E7">
      <w:rPr>
        <w:noProof/>
        <w:color w:val="000000"/>
      </w:rPr>
      <w:t>1</w:t>
    </w:r>
    <w:r>
      <w:rPr>
        <w:color w:val="000000"/>
      </w:rPr>
      <w:fldChar w:fldCharType="end"/>
    </w:r>
  </w:p>
  <w:p w:rsidR="00162A84" w:rsidRDefault="00162A8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6614" w:rsidRDefault="003D6614">
      <w:pPr>
        <w:spacing w:after="0" w:line="240" w:lineRule="auto"/>
      </w:pPr>
      <w:r>
        <w:separator/>
      </w:r>
    </w:p>
  </w:footnote>
  <w:footnote w:type="continuationSeparator" w:id="0">
    <w:p w:rsidR="003D6614" w:rsidRDefault="003D6614">
      <w:pPr>
        <w:spacing w:after="0" w:line="240" w:lineRule="auto"/>
      </w:pPr>
      <w:r>
        <w:continuationSeparator/>
      </w:r>
    </w:p>
  </w:footnote>
  <w:footnote w:id="1">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UPR 2013/A-109.5 | </w:t>
      </w:r>
      <w:hyperlink r:id="rId1">
        <w:r>
          <w:rPr>
            <w:rFonts w:ascii="Roboto" w:eastAsia="Roboto" w:hAnsi="Roboto" w:cs="Roboto"/>
            <w:color w:val="0000FF"/>
            <w:sz w:val="16"/>
            <w:szCs w:val="16"/>
            <w:u w:val="single"/>
          </w:rPr>
          <w:t>https://www.upr-info.org/sites/default/files/document/azerbai</w:t>
        </w:r>
        <w:r>
          <w:rPr>
            <w:rFonts w:ascii="Roboto" w:eastAsia="Roboto" w:hAnsi="Roboto" w:cs="Roboto"/>
            <w:color w:val="0000FF"/>
            <w:sz w:val="16"/>
            <w:szCs w:val="16"/>
            <w:u w:val="single"/>
          </w:rPr>
          <w:t>jan/session_16_-_april_2013/recommendations_and_pledges_azerbaijan_2013.pdf</w:t>
        </w:r>
      </w:hyperlink>
    </w:p>
  </w:footnote>
  <w:footnote w:id="2">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UPR 2018/N-141.1 | </w:t>
      </w:r>
      <w:hyperlink r:id="rId2">
        <w:r>
          <w:rPr>
            <w:rFonts w:ascii="Roboto" w:eastAsia="Roboto" w:hAnsi="Roboto" w:cs="Roboto"/>
            <w:color w:val="0000FF"/>
            <w:sz w:val="16"/>
            <w:szCs w:val="16"/>
            <w:u w:val="single"/>
          </w:rPr>
          <w:t>https://www.upr-info.org/sites/def</w:t>
        </w:r>
        <w:r>
          <w:rPr>
            <w:rFonts w:ascii="Roboto" w:eastAsia="Roboto" w:hAnsi="Roboto" w:cs="Roboto"/>
            <w:color w:val="0000FF"/>
            <w:sz w:val="16"/>
            <w:szCs w:val="16"/>
            <w:u w:val="single"/>
          </w:rPr>
          <w:t>ault/files/document/azerbaijan/sesion_30_-_mayo_2018/azerbaijan_2rp.pdf</w:t>
        </w:r>
      </w:hyperlink>
    </w:p>
  </w:footnote>
  <w:footnote w:id="3">
    <w:p w:rsidR="00162A84" w:rsidRPr="008365D4" w:rsidRDefault="003D6614">
      <w:pPr>
        <w:pBdr>
          <w:top w:val="nil"/>
          <w:left w:val="nil"/>
          <w:bottom w:val="nil"/>
          <w:right w:val="nil"/>
          <w:between w:val="nil"/>
        </w:pBdr>
        <w:spacing w:after="0" w:line="240" w:lineRule="auto"/>
        <w:rPr>
          <w:rFonts w:ascii="Roboto" w:eastAsia="Roboto" w:hAnsi="Roboto" w:cs="Roboto"/>
          <w:color w:val="000000"/>
          <w:sz w:val="16"/>
          <w:szCs w:val="16"/>
          <w:lang w:val="de-DE"/>
        </w:rPr>
      </w:pPr>
      <w:r>
        <w:rPr>
          <w:rStyle w:val="FootnoteReference"/>
        </w:rPr>
        <w:footnoteRef/>
      </w:r>
      <w:r w:rsidRPr="008365D4">
        <w:rPr>
          <w:rFonts w:ascii="Roboto" w:eastAsia="Roboto" w:hAnsi="Roboto" w:cs="Roboto"/>
          <w:color w:val="000000"/>
          <w:sz w:val="16"/>
          <w:szCs w:val="16"/>
          <w:lang w:val="de-DE"/>
        </w:rPr>
        <w:t xml:space="preserve"> E/C.12/AZE/CO/3 | Paragraph 26</w:t>
      </w:r>
    </w:p>
  </w:footnote>
  <w:footnote w:id="4">
    <w:p w:rsidR="00162A84" w:rsidRPr="008365D4" w:rsidRDefault="003D6614">
      <w:pPr>
        <w:pBdr>
          <w:top w:val="nil"/>
          <w:left w:val="nil"/>
          <w:bottom w:val="nil"/>
          <w:right w:val="nil"/>
          <w:between w:val="nil"/>
        </w:pBdr>
        <w:spacing w:after="0" w:line="240" w:lineRule="auto"/>
        <w:rPr>
          <w:rFonts w:ascii="Roboto" w:eastAsia="Roboto" w:hAnsi="Roboto" w:cs="Roboto"/>
          <w:color w:val="000000"/>
          <w:sz w:val="16"/>
          <w:szCs w:val="16"/>
          <w:lang w:val="de-DE"/>
        </w:rPr>
      </w:pPr>
      <w:r>
        <w:rPr>
          <w:rStyle w:val="FootnoteReference"/>
        </w:rPr>
        <w:footnoteRef/>
      </w:r>
      <w:r w:rsidRPr="008365D4">
        <w:rPr>
          <w:rFonts w:ascii="Roboto" w:eastAsia="Roboto" w:hAnsi="Roboto" w:cs="Roboto"/>
          <w:color w:val="000000"/>
          <w:sz w:val="16"/>
          <w:szCs w:val="16"/>
          <w:lang w:val="de-DE"/>
        </w:rPr>
        <w:t xml:space="preserve"> E/C.12/AZE/4 | Paragraph 26 </w:t>
      </w:r>
    </w:p>
  </w:footnote>
  <w:footnote w:id="5">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Table A.2. Ranking countries by their Global Acceptance Index (GAI) score | </w:t>
      </w:r>
      <w:hyperlink r:id="rId3">
        <w:r>
          <w:rPr>
            <w:rFonts w:ascii="Roboto" w:eastAsia="Roboto" w:hAnsi="Roboto" w:cs="Roboto"/>
            <w:color w:val="0000FF"/>
            <w:sz w:val="16"/>
            <w:szCs w:val="16"/>
            <w:u w:val="single"/>
          </w:rPr>
          <w:t>https://williamsinstitute.law.ucla.edu/wp-content/uploads/Polarized-Progress-April-2018.pdf</w:t>
        </w:r>
      </w:hyperlink>
    </w:p>
  </w:footnote>
  <w:footnote w:id="6">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Annual Report by ILGA Europe for 2019 | </w:t>
      </w:r>
      <w:hyperlink r:id="rId4">
        <w:r>
          <w:rPr>
            <w:rFonts w:ascii="Roboto" w:eastAsia="Roboto" w:hAnsi="Roboto" w:cs="Roboto"/>
            <w:color w:val="0000FF"/>
            <w:sz w:val="16"/>
            <w:szCs w:val="16"/>
            <w:u w:val="single"/>
          </w:rPr>
          <w:t>https://rainbow-europe.org/country-ranking</w:t>
        </w:r>
      </w:hyperlink>
    </w:p>
  </w:footnote>
  <w:footnote w:id="7">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With </w:t>
      </w:r>
      <w:r>
        <w:rPr>
          <w:rFonts w:ascii="Roboto" w:eastAsia="Roboto" w:hAnsi="Roboto" w:cs="Roboto"/>
          <w:b/>
          <w:color w:val="000000"/>
          <w:sz w:val="16"/>
          <w:szCs w:val="16"/>
        </w:rPr>
        <w:t>32%</w:t>
      </w:r>
      <w:r>
        <w:rPr>
          <w:rFonts w:ascii="Roboto" w:eastAsia="Roboto" w:hAnsi="Roboto" w:cs="Roboto"/>
          <w:color w:val="000000"/>
          <w:sz w:val="16"/>
          <w:szCs w:val="16"/>
        </w:rPr>
        <w:t xml:space="preserve"> of the respondents from Azerbaijan being </w:t>
      </w:r>
      <w:r>
        <w:rPr>
          <w:rFonts w:ascii="Roboto" w:eastAsia="Roboto" w:hAnsi="Roboto" w:cs="Roboto"/>
          <w:b/>
          <w:color w:val="000000"/>
          <w:sz w:val="16"/>
          <w:szCs w:val="16"/>
        </w:rPr>
        <w:t>strongly agree</w:t>
      </w:r>
      <w:r>
        <w:rPr>
          <w:rFonts w:ascii="Roboto" w:eastAsia="Roboto" w:hAnsi="Roboto" w:cs="Roboto"/>
          <w:color w:val="000000"/>
          <w:sz w:val="16"/>
          <w:szCs w:val="16"/>
        </w:rPr>
        <w:t xml:space="preserve"> with the mentioned statement. To compare, same indicator on Turkey amounted to only 15</w:t>
      </w:r>
      <w:r>
        <w:rPr>
          <w:rFonts w:ascii="Roboto" w:eastAsia="Roboto" w:hAnsi="Roboto" w:cs="Roboto"/>
          <w:color w:val="000000"/>
          <w:sz w:val="16"/>
          <w:szCs w:val="16"/>
        </w:rPr>
        <w:t xml:space="preserve">% of the respondents, in Russia there were 19%, and in Kazakhstan there were 24%. See: </w:t>
      </w:r>
      <w:hyperlink r:id="rId5">
        <w:r>
          <w:rPr>
            <w:rFonts w:ascii="Roboto" w:eastAsia="Roboto" w:hAnsi="Roboto" w:cs="Roboto"/>
            <w:color w:val="0000FF"/>
            <w:sz w:val="16"/>
            <w:szCs w:val="16"/>
            <w:u w:val="single"/>
          </w:rPr>
          <w:t>https://ilga.org/ilga-riwi-global-attitudes-survey</w:t>
        </w:r>
      </w:hyperlink>
      <w:r>
        <w:rPr>
          <w:rFonts w:ascii="Roboto" w:eastAsia="Roboto" w:hAnsi="Roboto" w:cs="Roboto"/>
          <w:color w:val="000000"/>
          <w:sz w:val="16"/>
          <w:szCs w:val="16"/>
        </w:rPr>
        <w:t xml:space="preserve">. </w:t>
      </w:r>
    </w:p>
  </w:footnote>
  <w:footnote w:id="8">
    <w:p w:rsidR="00162A84" w:rsidRDefault="003D6614">
      <w:pPr>
        <w:widowControl w:val="0"/>
        <w:spacing w:after="0" w:line="240" w:lineRule="auto"/>
        <w:rPr>
          <w:rFonts w:ascii="Roboto" w:eastAsia="Roboto" w:hAnsi="Roboto" w:cs="Roboto"/>
          <w:sz w:val="16"/>
          <w:szCs w:val="16"/>
        </w:rPr>
      </w:pPr>
      <w:r>
        <w:rPr>
          <w:rStyle w:val="FootnoteReference"/>
        </w:rPr>
        <w:footnoteRef/>
      </w:r>
      <w:r>
        <w:rPr>
          <w:rFonts w:ascii="Roboto" w:eastAsia="Roboto" w:hAnsi="Roboto" w:cs="Roboto"/>
          <w:sz w:val="16"/>
          <w:szCs w:val="16"/>
        </w:rPr>
        <w:t xml:space="preserve"> RFERL  |  </w:t>
      </w:r>
      <w:hyperlink r:id="rId6">
        <w:r>
          <w:rPr>
            <w:rFonts w:ascii="Roboto" w:eastAsia="Roboto" w:hAnsi="Roboto" w:cs="Roboto"/>
            <w:color w:val="0000FF"/>
            <w:sz w:val="16"/>
            <w:szCs w:val="16"/>
            <w:u w:val="single"/>
          </w:rPr>
          <w:t>https://www.rferl.org/a/azerbaijan-lgbt-crackdown/28811188.html</w:t>
        </w:r>
      </w:hyperlink>
    </w:p>
  </w:footnote>
  <w:footnote w:id="9">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Roboto" w:eastAsia="Roboto" w:hAnsi="Roboto" w:cs="Roboto"/>
          <w:color w:val="000000"/>
          <w:sz w:val="16"/>
          <w:szCs w:val="16"/>
        </w:rPr>
        <w:t>Information collected during the implementation of programmes by Nafas LGBT Azerbaijan Alliance and Minority Azerbaijan</w:t>
      </w:r>
    </w:p>
  </w:footnote>
  <w:footnote w:id="10">
    <w:p w:rsidR="00162A84" w:rsidRDefault="003D6614">
      <w:pPr>
        <w:widowControl w:val="0"/>
        <w:spacing w:after="0" w:line="240" w:lineRule="auto"/>
        <w:rPr>
          <w:rFonts w:ascii="Roboto" w:eastAsia="Roboto" w:hAnsi="Roboto" w:cs="Roboto"/>
          <w:sz w:val="16"/>
          <w:szCs w:val="16"/>
          <w:vertAlign w:val="superscript"/>
        </w:rPr>
      </w:pPr>
      <w:r>
        <w:rPr>
          <w:rStyle w:val="FootnoteReference"/>
        </w:rPr>
        <w:footnoteRef/>
      </w:r>
      <w:r>
        <w:rPr>
          <w:rFonts w:ascii="Roboto" w:eastAsia="Roboto" w:hAnsi="Roboto" w:cs="Roboto"/>
          <w:sz w:val="16"/>
          <w:szCs w:val="16"/>
        </w:rPr>
        <w:t xml:space="preserve"> UN rights experts statement | </w:t>
      </w:r>
      <w:hyperlink r:id="rId7">
        <w:r>
          <w:rPr>
            <w:rFonts w:ascii="Roboto" w:eastAsia="Roboto" w:hAnsi="Roboto" w:cs="Roboto"/>
            <w:color w:val="0000FF"/>
            <w:sz w:val="16"/>
            <w:szCs w:val="16"/>
            <w:u w:val="single"/>
          </w:rPr>
          <w:t>http://www.ohchr.org/EN/NewsEvents/Pages/DisplayNews.aspx?NewsID=22230&amp;LangID=E</w:t>
        </w:r>
      </w:hyperlink>
    </w:p>
  </w:footnote>
  <w:footnote w:id="11">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9 Oct 2017, AZE 2/2017 | </w:t>
      </w:r>
      <w:hyperlink r:id="rId8">
        <w:r>
          <w:rPr>
            <w:rFonts w:ascii="Roboto" w:eastAsia="Roboto" w:hAnsi="Roboto" w:cs="Roboto"/>
            <w:color w:val="0000FF"/>
            <w:sz w:val="16"/>
            <w:szCs w:val="16"/>
            <w:u w:val="single"/>
          </w:rPr>
          <w:t>https://spcommreports.ohchr.org/TMResultsBase/DownLoadPublicCommunicationFile?gId=23369</w:t>
        </w:r>
      </w:hyperlink>
      <w:r>
        <w:rPr>
          <w:rFonts w:ascii="Roboto" w:eastAsia="Roboto" w:hAnsi="Roboto" w:cs="Roboto"/>
          <w:color w:val="000000"/>
          <w:sz w:val="16"/>
          <w:szCs w:val="16"/>
        </w:rPr>
        <w:t xml:space="preserve"> </w:t>
      </w:r>
    </w:p>
  </w:footnote>
  <w:footnote w:id="12">
    <w:p w:rsidR="00162A84" w:rsidRDefault="003D6614">
      <w:pPr>
        <w:pBdr>
          <w:top w:val="nil"/>
          <w:left w:val="nil"/>
          <w:bottom w:val="nil"/>
          <w:right w:val="nil"/>
          <w:between w:val="nil"/>
        </w:pBdr>
        <w:spacing w:after="0" w:line="240" w:lineRule="auto"/>
        <w:rPr>
          <w:rFonts w:ascii="Times" w:eastAsia="Times" w:hAnsi="Times" w:cs="Times"/>
          <w:color w:val="000000"/>
          <w:sz w:val="16"/>
          <w:szCs w:val="16"/>
        </w:rPr>
      </w:pPr>
      <w:r>
        <w:rPr>
          <w:rStyle w:val="FootnoteReference"/>
        </w:rPr>
        <w:footnoteRef/>
      </w:r>
      <w:r>
        <w:rPr>
          <w:rFonts w:ascii="Roboto" w:eastAsia="Roboto" w:hAnsi="Roboto" w:cs="Roboto"/>
          <w:color w:val="000000"/>
          <w:sz w:val="16"/>
          <w:szCs w:val="16"/>
        </w:rPr>
        <w:t xml:space="preserve"> Application no. 17184/18, </w:t>
      </w:r>
      <w:r>
        <w:rPr>
          <w:rFonts w:ascii="Roboto" w:eastAsia="Roboto" w:hAnsi="Roboto" w:cs="Roboto"/>
          <w:i/>
          <w:color w:val="000000"/>
          <w:sz w:val="16"/>
          <w:szCs w:val="16"/>
        </w:rPr>
        <w:t>A against Azerbaijan and 24 other applications</w:t>
      </w:r>
      <w:r>
        <w:rPr>
          <w:rFonts w:ascii="Roboto" w:eastAsia="Roboto" w:hAnsi="Roboto" w:cs="Roboto"/>
          <w:color w:val="000000"/>
          <w:sz w:val="16"/>
          <w:szCs w:val="16"/>
        </w:rPr>
        <w:t>, communicated on 26 Feb 2019 | http://hudoc.echr.coe.int/eng?i=001-192028</w:t>
      </w:r>
      <w:r>
        <w:rPr>
          <w:rFonts w:ascii="Times" w:eastAsia="Times" w:hAnsi="Times" w:cs="Times"/>
          <w:color w:val="000000"/>
          <w:sz w:val="16"/>
          <w:szCs w:val="16"/>
        </w:rPr>
        <w:t>.</w:t>
      </w:r>
    </w:p>
  </w:footnote>
  <w:footnote w:id="13">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The Law “On transplantation of human organs and /or cells/tissues” | </w:t>
      </w:r>
      <w:hyperlink r:id="rId9">
        <w:r>
          <w:rPr>
            <w:color w:val="0000FF"/>
            <w:sz w:val="20"/>
            <w:szCs w:val="20"/>
            <w:u w:val="single"/>
          </w:rPr>
          <w:t>http://e-qanun.az/framework/85</w:t>
        </w:r>
      </w:hyperlink>
      <w:r>
        <w:rPr>
          <w:color w:val="0000FF"/>
          <w:sz w:val="20"/>
          <w:szCs w:val="20"/>
          <w:u w:val="single"/>
        </w:rPr>
        <w:t xml:space="preserve"> </w:t>
      </w:r>
    </w:p>
  </w:footnote>
  <w:footnote w:id="14">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Interview with A.S. (in Azerbaijani) | </w:t>
      </w:r>
      <w:hyperlink r:id="rId10">
        <w:r>
          <w:rPr>
            <w:rFonts w:ascii="Roboto" w:eastAsia="Roboto" w:hAnsi="Roboto" w:cs="Roboto"/>
            <w:color w:val="0000FF"/>
            <w:sz w:val="16"/>
            <w:szCs w:val="16"/>
            <w:u w:val="single"/>
          </w:rPr>
          <w:t>https://minorityaze.org/en/49-i-couldnt-look-at-myself-on-a-mirror</w:t>
        </w:r>
      </w:hyperlink>
      <w:r>
        <w:rPr>
          <w:rFonts w:ascii="Roboto" w:eastAsia="Roboto" w:hAnsi="Roboto" w:cs="Roboto"/>
          <w:color w:val="000000"/>
          <w:sz w:val="16"/>
          <w:szCs w:val="16"/>
        </w:rPr>
        <w:t xml:space="preserve"> </w:t>
      </w:r>
    </w:p>
  </w:footnote>
  <w:footnote w:id="15">
    <w:p w:rsidR="00162A84" w:rsidRDefault="003D6614">
      <w:pPr>
        <w:rPr>
          <w:rFonts w:ascii="Times" w:eastAsia="Times" w:hAnsi="Times" w:cs="Times"/>
          <w:sz w:val="16"/>
          <w:szCs w:val="16"/>
        </w:rPr>
      </w:pPr>
      <w:r>
        <w:rPr>
          <w:rStyle w:val="FootnoteReference"/>
        </w:rPr>
        <w:footnoteRef/>
      </w:r>
      <w:r>
        <w:rPr>
          <w:rFonts w:ascii="Roboto" w:eastAsia="Roboto" w:hAnsi="Roboto" w:cs="Roboto"/>
          <w:sz w:val="16"/>
          <w:szCs w:val="16"/>
        </w:rPr>
        <w:t xml:space="preserve"> ILGA Europe, 2017 Annual Review. Page 51, Paragraph Bodily i</w:t>
      </w:r>
      <w:r>
        <w:rPr>
          <w:rFonts w:ascii="Roboto" w:eastAsia="Roboto" w:hAnsi="Roboto" w:cs="Roboto"/>
          <w:sz w:val="16"/>
          <w:szCs w:val="16"/>
        </w:rPr>
        <w:t xml:space="preserve">ntegrity | </w:t>
      </w:r>
      <w:hyperlink r:id="rId11">
        <w:r>
          <w:rPr>
            <w:rFonts w:ascii="Roboto" w:eastAsia="Roboto" w:hAnsi="Roboto" w:cs="Roboto"/>
            <w:color w:val="0000FF"/>
            <w:sz w:val="16"/>
            <w:szCs w:val="16"/>
            <w:u w:val="single"/>
          </w:rPr>
          <w:t>https://www.ilga-europe.org/sites/default/files/Attachments/annual_review_2017_online.pdf</w:t>
        </w:r>
      </w:hyperlink>
      <w:r>
        <w:t xml:space="preserve"> </w:t>
      </w:r>
    </w:p>
  </w:footnote>
  <w:footnote w:id="16">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The Labor Code of Azerbaijan (in English): </w:t>
      </w:r>
      <w:hyperlink r:id="rId12">
        <w:r>
          <w:rPr>
            <w:rFonts w:ascii="Roboto" w:eastAsia="Roboto" w:hAnsi="Roboto" w:cs="Roboto"/>
            <w:color w:val="0000FF"/>
            <w:sz w:val="16"/>
            <w:szCs w:val="16"/>
            <w:u w:val="single"/>
          </w:rPr>
          <w:t>https://www.ilo.org/dyn/natlex/docs/WEBTEXT/54131/65184/E99AZE01.htm</w:t>
        </w:r>
      </w:hyperlink>
      <w:r>
        <w:rPr>
          <w:rFonts w:ascii="Roboto" w:eastAsia="Roboto" w:hAnsi="Roboto" w:cs="Roboto"/>
          <w:color w:val="0000FF"/>
          <w:sz w:val="16"/>
          <w:szCs w:val="16"/>
          <w:u w:val="single"/>
        </w:rPr>
        <w:t>.</w:t>
      </w:r>
    </w:p>
  </w:footnote>
  <w:footnote w:id="17">
    <w:p w:rsidR="00162A84" w:rsidRDefault="003D6614">
      <w:pPr>
        <w:pBdr>
          <w:top w:val="nil"/>
          <w:left w:val="nil"/>
          <w:bottom w:val="nil"/>
          <w:right w:val="nil"/>
          <w:between w:val="nil"/>
        </w:pBdr>
        <w:spacing w:after="0" w:line="240" w:lineRule="auto"/>
        <w:rPr>
          <w:rFonts w:ascii="Roboto" w:eastAsia="Roboto" w:hAnsi="Roboto" w:cs="Roboto"/>
          <w:color w:val="000000"/>
          <w:sz w:val="16"/>
          <w:szCs w:val="16"/>
        </w:rPr>
      </w:pPr>
      <w:r>
        <w:rPr>
          <w:rStyle w:val="FootnoteReference"/>
        </w:rPr>
        <w:footnoteRef/>
      </w:r>
      <w:r>
        <w:rPr>
          <w:rFonts w:ascii="Roboto" w:eastAsia="Roboto" w:hAnsi="Roboto" w:cs="Roboto"/>
          <w:color w:val="000000"/>
          <w:sz w:val="16"/>
          <w:szCs w:val="16"/>
        </w:rPr>
        <w:t xml:space="preserve"> Information collected in the course of implementation of our programmes</w:t>
      </w:r>
    </w:p>
  </w:footnote>
  <w:footnote w:id="18">
    <w:p w:rsidR="00162A84" w:rsidRDefault="003D6614">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w:t>
      </w:r>
      <w:r>
        <w:rPr>
          <w:rFonts w:ascii="Times" w:eastAsia="Times" w:hAnsi="Times" w:cs="Times"/>
          <w:color w:val="000000"/>
          <w:sz w:val="16"/>
          <w:szCs w:val="16"/>
        </w:rPr>
        <w:t xml:space="preserve">Azerbaijan is rolling out a new sex-education curriculum | </w:t>
      </w:r>
      <w:hyperlink r:id="rId13">
        <w:r>
          <w:rPr>
            <w:rFonts w:ascii="Times" w:eastAsia="Times" w:hAnsi="Times" w:cs="Times"/>
            <w:color w:val="0000FF"/>
            <w:sz w:val="16"/>
            <w:szCs w:val="16"/>
            <w:u w:val="single"/>
          </w:rPr>
          <w:t>https://eurasianet.org/azerbaijans-new-sex-ed-curriculum-targets-sex-selective-abortions</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9054F"/>
    <w:multiLevelType w:val="multilevel"/>
    <w:tmpl w:val="A7A88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5F3380C"/>
    <w:multiLevelType w:val="multilevel"/>
    <w:tmpl w:val="B16028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nsid w:val="33DC322B"/>
    <w:multiLevelType w:val="multilevel"/>
    <w:tmpl w:val="ADBEEF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38B06400"/>
    <w:multiLevelType w:val="multilevel"/>
    <w:tmpl w:val="42702A5A"/>
    <w:lvl w:ilvl="0">
      <w:start w:val="1"/>
      <w:numFmt w:val="decimal"/>
      <w:lvlText w:val="%1."/>
      <w:lvlJc w:val="left"/>
      <w:pPr>
        <w:ind w:left="720" w:hanging="360"/>
      </w:pPr>
    </w:lvl>
    <w:lvl w:ilvl="1">
      <w:start w:val="4"/>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4">
    <w:nsid w:val="4BF53BBC"/>
    <w:multiLevelType w:val="multilevel"/>
    <w:tmpl w:val="C6F2D0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5CF32443"/>
    <w:multiLevelType w:val="multilevel"/>
    <w:tmpl w:val="B01830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162A84"/>
    <w:rsid w:val="000D00E7"/>
    <w:rsid w:val="00162A84"/>
    <w:rsid w:val="003D6614"/>
    <w:rsid w:val="0060006D"/>
    <w:rsid w:val="00706E0D"/>
    <w:rsid w:val="008365D4"/>
    <w:rsid w:val="00ED78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3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33DE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4167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1412C"/>
    <w:pPr>
      <w:spacing w:after="0" w:line="240" w:lineRule="auto"/>
    </w:pPr>
    <w:rPr>
      <w:sz w:val="20"/>
      <w:szCs w:val="20"/>
    </w:rPr>
  </w:style>
  <w:style w:type="character" w:customStyle="1" w:styleId="FootnoteTextChar">
    <w:name w:val="Footnote Text Char"/>
    <w:basedOn w:val="DefaultParagraphFont"/>
    <w:link w:val="FootnoteText"/>
    <w:uiPriority w:val="99"/>
    <w:rsid w:val="00D1412C"/>
    <w:rPr>
      <w:sz w:val="20"/>
      <w:szCs w:val="20"/>
    </w:rPr>
  </w:style>
  <w:style w:type="character" w:styleId="FootnoteReference">
    <w:name w:val="footnote reference"/>
    <w:basedOn w:val="DefaultParagraphFont"/>
    <w:uiPriority w:val="99"/>
    <w:unhideWhenUsed/>
    <w:rsid w:val="00D1412C"/>
    <w:rPr>
      <w:vertAlign w:val="superscript"/>
    </w:rPr>
  </w:style>
  <w:style w:type="character" w:styleId="Hyperlink">
    <w:name w:val="Hyperlink"/>
    <w:basedOn w:val="DefaultParagraphFont"/>
    <w:uiPriority w:val="99"/>
    <w:unhideWhenUsed/>
    <w:rsid w:val="00D1412C"/>
    <w:rPr>
      <w:color w:val="0000FF"/>
      <w:u w:val="single"/>
    </w:rPr>
  </w:style>
  <w:style w:type="character" w:customStyle="1" w:styleId="Heading2Char">
    <w:name w:val="Heading 2 Char"/>
    <w:basedOn w:val="DefaultParagraphFont"/>
    <w:link w:val="Heading2"/>
    <w:uiPriority w:val="9"/>
    <w:rsid w:val="004B63A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B6455"/>
    <w:pPr>
      <w:ind w:left="720"/>
      <w:contextualSpacing/>
    </w:pPr>
  </w:style>
  <w:style w:type="paragraph" w:styleId="EndnoteText">
    <w:name w:val="endnote text"/>
    <w:basedOn w:val="Normal"/>
    <w:link w:val="EndnoteTextChar"/>
    <w:uiPriority w:val="99"/>
    <w:semiHidden/>
    <w:unhideWhenUsed/>
    <w:rsid w:val="00EA5B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5B20"/>
    <w:rPr>
      <w:sz w:val="20"/>
      <w:szCs w:val="20"/>
    </w:rPr>
  </w:style>
  <w:style w:type="character" w:styleId="EndnoteReference">
    <w:name w:val="endnote reference"/>
    <w:basedOn w:val="DefaultParagraphFont"/>
    <w:uiPriority w:val="99"/>
    <w:semiHidden/>
    <w:unhideWhenUsed/>
    <w:rsid w:val="00EA5B20"/>
    <w:rPr>
      <w:vertAlign w:val="superscript"/>
    </w:rPr>
  </w:style>
  <w:style w:type="paragraph" w:styleId="IntenseQuote">
    <w:name w:val="Intense Quote"/>
    <w:basedOn w:val="Normal"/>
    <w:next w:val="Normal"/>
    <w:link w:val="IntenseQuoteChar"/>
    <w:uiPriority w:val="30"/>
    <w:qFormat/>
    <w:rsid w:val="00EA5B2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A5B20"/>
    <w:rPr>
      <w:b/>
      <w:bCs/>
      <w:i/>
      <w:iCs/>
      <w:color w:val="4F81BD" w:themeColor="accent1"/>
    </w:rPr>
  </w:style>
  <w:style w:type="paragraph" w:styleId="Header">
    <w:name w:val="header"/>
    <w:basedOn w:val="Normal"/>
    <w:link w:val="HeaderChar"/>
    <w:uiPriority w:val="99"/>
    <w:unhideWhenUsed/>
    <w:rsid w:val="00123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C2E"/>
  </w:style>
  <w:style w:type="paragraph" w:styleId="Footer">
    <w:name w:val="footer"/>
    <w:basedOn w:val="Normal"/>
    <w:link w:val="FooterChar"/>
    <w:uiPriority w:val="99"/>
    <w:unhideWhenUsed/>
    <w:rsid w:val="00123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C2E"/>
  </w:style>
  <w:style w:type="paragraph" w:styleId="BalloonText">
    <w:name w:val="Balloon Text"/>
    <w:basedOn w:val="Normal"/>
    <w:link w:val="BalloonTextChar"/>
    <w:uiPriority w:val="99"/>
    <w:semiHidden/>
    <w:unhideWhenUsed/>
    <w:rsid w:val="00123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C2E"/>
    <w:rPr>
      <w:rFonts w:ascii="Tahoma" w:hAnsi="Tahoma" w:cs="Tahoma"/>
      <w:sz w:val="16"/>
      <w:szCs w:val="16"/>
    </w:rPr>
  </w:style>
  <w:style w:type="paragraph" w:styleId="NoSpacing">
    <w:name w:val="No Spacing"/>
    <w:link w:val="NoSpacingChar"/>
    <w:uiPriority w:val="1"/>
    <w:qFormat/>
    <w:rsid w:val="00BE539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E5393"/>
    <w:rPr>
      <w:rFonts w:eastAsiaTheme="minorEastAsia"/>
      <w:lang w:eastAsia="ja-JP"/>
    </w:rPr>
  </w:style>
  <w:style w:type="paragraph" w:styleId="TOCHeading">
    <w:name w:val="TOC Heading"/>
    <w:basedOn w:val="Heading1"/>
    <w:next w:val="Normal"/>
    <w:uiPriority w:val="39"/>
    <w:semiHidden/>
    <w:unhideWhenUsed/>
    <w:qFormat/>
    <w:rsid w:val="005F77C6"/>
    <w:pPr>
      <w:outlineLvl w:val="9"/>
    </w:pPr>
    <w:rPr>
      <w:lang w:eastAsia="ja-JP"/>
    </w:rPr>
  </w:style>
  <w:style w:type="paragraph" w:styleId="TOC1">
    <w:name w:val="toc 1"/>
    <w:basedOn w:val="Normal"/>
    <w:next w:val="Normal"/>
    <w:autoRedefine/>
    <w:uiPriority w:val="39"/>
    <w:unhideWhenUsed/>
    <w:qFormat/>
    <w:rsid w:val="005F77C6"/>
    <w:pPr>
      <w:spacing w:after="100"/>
    </w:pPr>
  </w:style>
  <w:style w:type="paragraph" w:styleId="TOC2">
    <w:name w:val="toc 2"/>
    <w:basedOn w:val="Normal"/>
    <w:next w:val="Normal"/>
    <w:autoRedefine/>
    <w:uiPriority w:val="39"/>
    <w:unhideWhenUsed/>
    <w:qFormat/>
    <w:rsid w:val="00E142AC"/>
    <w:pPr>
      <w:tabs>
        <w:tab w:val="right" w:leader="dot" w:pos="9350"/>
      </w:tabs>
      <w:spacing w:after="100"/>
      <w:ind w:left="450"/>
    </w:pPr>
  </w:style>
  <w:style w:type="paragraph" w:styleId="TOC3">
    <w:name w:val="toc 3"/>
    <w:basedOn w:val="Normal"/>
    <w:next w:val="Normal"/>
    <w:autoRedefine/>
    <w:uiPriority w:val="39"/>
    <w:semiHidden/>
    <w:unhideWhenUsed/>
    <w:qFormat/>
    <w:rsid w:val="00070740"/>
    <w:pPr>
      <w:spacing w:after="100"/>
      <w:ind w:left="440"/>
    </w:pPr>
    <w:rPr>
      <w:rFonts w:eastAsiaTheme="minorEastAsia"/>
      <w:lang w:eastAsia="ja-JP"/>
    </w:rPr>
  </w:style>
  <w:style w:type="character" w:styleId="CommentReference">
    <w:name w:val="annotation reference"/>
    <w:basedOn w:val="DefaultParagraphFont"/>
    <w:uiPriority w:val="99"/>
    <w:semiHidden/>
    <w:unhideWhenUsed/>
    <w:rsid w:val="004D5001"/>
    <w:rPr>
      <w:sz w:val="18"/>
      <w:szCs w:val="18"/>
    </w:rPr>
  </w:style>
  <w:style w:type="paragraph" w:styleId="CommentText">
    <w:name w:val="annotation text"/>
    <w:basedOn w:val="Normal"/>
    <w:link w:val="CommentTextChar"/>
    <w:uiPriority w:val="99"/>
    <w:semiHidden/>
    <w:unhideWhenUsed/>
    <w:rsid w:val="004D5001"/>
    <w:pPr>
      <w:spacing w:line="240" w:lineRule="auto"/>
    </w:pPr>
    <w:rPr>
      <w:sz w:val="24"/>
      <w:szCs w:val="24"/>
    </w:rPr>
  </w:style>
  <w:style w:type="character" w:customStyle="1" w:styleId="CommentTextChar">
    <w:name w:val="Comment Text Char"/>
    <w:basedOn w:val="DefaultParagraphFont"/>
    <w:link w:val="CommentText"/>
    <w:uiPriority w:val="99"/>
    <w:semiHidden/>
    <w:rsid w:val="004D5001"/>
    <w:rPr>
      <w:sz w:val="24"/>
      <w:szCs w:val="24"/>
    </w:rPr>
  </w:style>
  <w:style w:type="paragraph" w:styleId="CommentSubject">
    <w:name w:val="annotation subject"/>
    <w:basedOn w:val="CommentText"/>
    <w:next w:val="CommentText"/>
    <w:link w:val="CommentSubjectChar"/>
    <w:uiPriority w:val="99"/>
    <w:semiHidden/>
    <w:unhideWhenUsed/>
    <w:rsid w:val="004D5001"/>
    <w:rPr>
      <w:b/>
      <w:bCs/>
      <w:sz w:val="20"/>
      <w:szCs w:val="20"/>
    </w:rPr>
  </w:style>
  <w:style w:type="character" w:customStyle="1" w:styleId="CommentSubjectChar">
    <w:name w:val="Comment Subject Char"/>
    <w:basedOn w:val="CommentTextChar"/>
    <w:link w:val="CommentSubject"/>
    <w:uiPriority w:val="99"/>
    <w:semiHidden/>
    <w:rsid w:val="004D5001"/>
    <w:rPr>
      <w:b/>
      <w:bCs/>
      <w:sz w:val="20"/>
      <w:szCs w:val="20"/>
    </w:rPr>
  </w:style>
  <w:style w:type="character" w:styleId="FollowedHyperlink">
    <w:name w:val="FollowedHyperlink"/>
    <w:basedOn w:val="DefaultParagraphFont"/>
    <w:uiPriority w:val="99"/>
    <w:semiHidden/>
    <w:unhideWhenUsed/>
    <w:rsid w:val="00B97E59"/>
    <w:rPr>
      <w:color w:val="800080" w:themeColor="followedHyperlink"/>
      <w:u w:val="single"/>
    </w:rPr>
  </w:style>
  <w:style w:type="character" w:customStyle="1" w:styleId="tlid-translation">
    <w:name w:val="tlid-translation"/>
    <w:basedOn w:val="DefaultParagraphFont"/>
    <w:rsid w:val="00475D8E"/>
  </w:style>
  <w:style w:type="character" w:styleId="Emphasis">
    <w:name w:val="Emphasis"/>
    <w:basedOn w:val="DefaultParagraphFont"/>
    <w:uiPriority w:val="20"/>
    <w:qFormat/>
    <w:rsid w:val="001A7ACF"/>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3DE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B63A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B33DE6"/>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64167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rsid w:val="00D1412C"/>
    <w:pPr>
      <w:spacing w:after="0" w:line="240" w:lineRule="auto"/>
    </w:pPr>
    <w:rPr>
      <w:sz w:val="20"/>
      <w:szCs w:val="20"/>
    </w:rPr>
  </w:style>
  <w:style w:type="character" w:customStyle="1" w:styleId="FootnoteTextChar">
    <w:name w:val="Footnote Text Char"/>
    <w:basedOn w:val="DefaultParagraphFont"/>
    <w:link w:val="FootnoteText"/>
    <w:uiPriority w:val="99"/>
    <w:rsid w:val="00D1412C"/>
    <w:rPr>
      <w:sz w:val="20"/>
      <w:szCs w:val="20"/>
    </w:rPr>
  </w:style>
  <w:style w:type="character" w:styleId="FootnoteReference">
    <w:name w:val="footnote reference"/>
    <w:basedOn w:val="DefaultParagraphFont"/>
    <w:uiPriority w:val="99"/>
    <w:unhideWhenUsed/>
    <w:rsid w:val="00D1412C"/>
    <w:rPr>
      <w:vertAlign w:val="superscript"/>
    </w:rPr>
  </w:style>
  <w:style w:type="character" w:styleId="Hyperlink">
    <w:name w:val="Hyperlink"/>
    <w:basedOn w:val="DefaultParagraphFont"/>
    <w:uiPriority w:val="99"/>
    <w:unhideWhenUsed/>
    <w:rsid w:val="00D1412C"/>
    <w:rPr>
      <w:color w:val="0000FF"/>
      <w:u w:val="single"/>
    </w:rPr>
  </w:style>
  <w:style w:type="character" w:customStyle="1" w:styleId="Heading2Char">
    <w:name w:val="Heading 2 Char"/>
    <w:basedOn w:val="DefaultParagraphFont"/>
    <w:link w:val="Heading2"/>
    <w:uiPriority w:val="9"/>
    <w:rsid w:val="004B63A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B6455"/>
    <w:pPr>
      <w:ind w:left="720"/>
      <w:contextualSpacing/>
    </w:pPr>
  </w:style>
  <w:style w:type="paragraph" w:styleId="EndnoteText">
    <w:name w:val="endnote text"/>
    <w:basedOn w:val="Normal"/>
    <w:link w:val="EndnoteTextChar"/>
    <w:uiPriority w:val="99"/>
    <w:semiHidden/>
    <w:unhideWhenUsed/>
    <w:rsid w:val="00EA5B2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A5B20"/>
    <w:rPr>
      <w:sz w:val="20"/>
      <w:szCs w:val="20"/>
    </w:rPr>
  </w:style>
  <w:style w:type="character" w:styleId="EndnoteReference">
    <w:name w:val="endnote reference"/>
    <w:basedOn w:val="DefaultParagraphFont"/>
    <w:uiPriority w:val="99"/>
    <w:semiHidden/>
    <w:unhideWhenUsed/>
    <w:rsid w:val="00EA5B20"/>
    <w:rPr>
      <w:vertAlign w:val="superscript"/>
    </w:rPr>
  </w:style>
  <w:style w:type="paragraph" w:styleId="IntenseQuote">
    <w:name w:val="Intense Quote"/>
    <w:basedOn w:val="Normal"/>
    <w:next w:val="Normal"/>
    <w:link w:val="IntenseQuoteChar"/>
    <w:uiPriority w:val="30"/>
    <w:qFormat/>
    <w:rsid w:val="00EA5B20"/>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EA5B20"/>
    <w:rPr>
      <w:b/>
      <w:bCs/>
      <w:i/>
      <w:iCs/>
      <w:color w:val="4F81BD" w:themeColor="accent1"/>
    </w:rPr>
  </w:style>
  <w:style w:type="paragraph" w:styleId="Header">
    <w:name w:val="header"/>
    <w:basedOn w:val="Normal"/>
    <w:link w:val="HeaderChar"/>
    <w:uiPriority w:val="99"/>
    <w:unhideWhenUsed/>
    <w:rsid w:val="00123C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3C2E"/>
  </w:style>
  <w:style w:type="paragraph" w:styleId="Footer">
    <w:name w:val="footer"/>
    <w:basedOn w:val="Normal"/>
    <w:link w:val="FooterChar"/>
    <w:uiPriority w:val="99"/>
    <w:unhideWhenUsed/>
    <w:rsid w:val="00123C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3C2E"/>
  </w:style>
  <w:style w:type="paragraph" w:styleId="BalloonText">
    <w:name w:val="Balloon Text"/>
    <w:basedOn w:val="Normal"/>
    <w:link w:val="BalloonTextChar"/>
    <w:uiPriority w:val="99"/>
    <w:semiHidden/>
    <w:unhideWhenUsed/>
    <w:rsid w:val="00123C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C2E"/>
    <w:rPr>
      <w:rFonts w:ascii="Tahoma" w:hAnsi="Tahoma" w:cs="Tahoma"/>
      <w:sz w:val="16"/>
      <w:szCs w:val="16"/>
    </w:rPr>
  </w:style>
  <w:style w:type="paragraph" w:styleId="NoSpacing">
    <w:name w:val="No Spacing"/>
    <w:link w:val="NoSpacingChar"/>
    <w:uiPriority w:val="1"/>
    <w:qFormat/>
    <w:rsid w:val="00BE5393"/>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BE5393"/>
    <w:rPr>
      <w:rFonts w:eastAsiaTheme="minorEastAsia"/>
      <w:lang w:eastAsia="ja-JP"/>
    </w:rPr>
  </w:style>
  <w:style w:type="paragraph" w:styleId="TOCHeading">
    <w:name w:val="TOC Heading"/>
    <w:basedOn w:val="Heading1"/>
    <w:next w:val="Normal"/>
    <w:uiPriority w:val="39"/>
    <w:semiHidden/>
    <w:unhideWhenUsed/>
    <w:qFormat/>
    <w:rsid w:val="005F77C6"/>
    <w:pPr>
      <w:outlineLvl w:val="9"/>
    </w:pPr>
    <w:rPr>
      <w:lang w:eastAsia="ja-JP"/>
    </w:rPr>
  </w:style>
  <w:style w:type="paragraph" w:styleId="TOC1">
    <w:name w:val="toc 1"/>
    <w:basedOn w:val="Normal"/>
    <w:next w:val="Normal"/>
    <w:autoRedefine/>
    <w:uiPriority w:val="39"/>
    <w:unhideWhenUsed/>
    <w:qFormat/>
    <w:rsid w:val="005F77C6"/>
    <w:pPr>
      <w:spacing w:after="100"/>
    </w:pPr>
  </w:style>
  <w:style w:type="paragraph" w:styleId="TOC2">
    <w:name w:val="toc 2"/>
    <w:basedOn w:val="Normal"/>
    <w:next w:val="Normal"/>
    <w:autoRedefine/>
    <w:uiPriority w:val="39"/>
    <w:unhideWhenUsed/>
    <w:qFormat/>
    <w:rsid w:val="00E142AC"/>
    <w:pPr>
      <w:tabs>
        <w:tab w:val="right" w:leader="dot" w:pos="9350"/>
      </w:tabs>
      <w:spacing w:after="100"/>
      <w:ind w:left="450"/>
    </w:pPr>
  </w:style>
  <w:style w:type="paragraph" w:styleId="TOC3">
    <w:name w:val="toc 3"/>
    <w:basedOn w:val="Normal"/>
    <w:next w:val="Normal"/>
    <w:autoRedefine/>
    <w:uiPriority w:val="39"/>
    <w:semiHidden/>
    <w:unhideWhenUsed/>
    <w:qFormat/>
    <w:rsid w:val="00070740"/>
    <w:pPr>
      <w:spacing w:after="100"/>
      <w:ind w:left="440"/>
    </w:pPr>
    <w:rPr>
      <w:rFonts w:eastAsiaTheme="minorEastAsia"/>
      <w:lang w:eastAsia="ja-JP"/>
    </w:rPr>
  </w:style>
  <w:style w:type="character" w:styleId="CommentReference">
    <w:name w:val="annotation reference"/>
    <w:basedOn w:val="DefaultParagraphFont"/>
    <w:uiPriority w:val="99"/>
    <w:semiHidden/>
    <w:unhideWhenUsed/>
    <w:rsid w:val="004D5001"/>
    <w:rPr>
      <w:sz w:val="18"/>
      <w:szCs w:val="18"/>
    </w:rPr>
  </w:style>
  <w:style w:type="paragraph" w:styleId="CommentText">
    <w:name w:val="annotation text"/>
    <w:basedOn w:val="Normal"/>
    <w:link w:val="CommentTextChar"/>
    <w:uiPriority w:val="99"/>
    <w:semiHidden/>
    <w:unhideWhenUsed/>
    <w:rsid w:val="004D5001"/>
    <w:pPr>
      <w:spacing w:line="240" w:lineRule="auto"/>
    </w:pPr>
    <w:rPr>
      <w:sz w:val="24"/>
      <w:szCs w:val="24"/>
    </w:rPr>
  </w:style>
  <w:style w:type="character" w:customStyle="1" w:styleId="CommentTextChar">
    <w:name w:val="Comment Text Char"/>
    <w:basedOn w:val="DefaultParagraphFont"/>
    <w:link w:val="CommentText"/>
    <w:uiPriority w:val="99"/>
    <w:semiHidden/>
    <w:rsid w:val="004D5001"/>
    <w:rPr>
      <w:sz w:val="24"/>
      <w:szCs w:val="24"/>
    </w:rPr>
  </w:style>
  <w:style w:type="paragraph" w:styleId="CommentSubject">
    <w:name w:val="annotation subject"/>
    <w:basedOn w:val="CommentText"/>
    <w:next w:val="CommentText"/>
    <w:link w:val="CommentSubjectChar"/>
    <w:uiPriority w:val="99"/>
    <w:semiHidden/>
    <w:unhideWhenUsed/>
    <w:rsid w:val="004D5001"/>
    <w:rPr>
      <w:b/>
      <w:bCs/>
      <w:sz w:val="20"/>
      <w:szCs w:val="20"/>
    </w:rPr>
  </w:style>
  <w:style w:type="character" w:customStyle="1" w:styleId="CommentSubjectChar">
    <w:name w:val="Comment Subject Char"/>
    <w:basedOn w:val="CommentTextChar"/>
    <w:link w:val="CommentSubject"/>
    <w:uiPriority w:val="99"/>
    <w:semiHidden/>
    <w:rsid w:val="004D5001"/>
    <w:rPr>
      <w:b/>
      <w:bCs/>
      <w:sz w:val="20"/>
      <w:szCs w:val="20"/>
    </w:rPr>
  </w:style>
  <w:style w:type="character" w:styleId="FollowedHyperlink">
    <w:name w:val="FollowedHyperlink"/>
    <w:basedOn w:val="DefaultParagraphFont"/>
    <w:uiPriority w:val="99"/>
    <w:semiHidden/>
    <w:unhideWhenUsed/>
    <w:rsid w:val="00B97E59"/>
    <w:rPr>
      <w:color w:val="800080" w:themeColor="followedHyperlink"/>
      <w:u w:val="single"/>
    </w:rPr>
  </w:style>
  <w:style w:type="character" w:customStyle="1" w:styleId="tlid-translation">
    <w:name w:val="tlid-translation"/>
    <w:basedOn w:val="DefaultParagraphFont"/>
    <w:rsid w:val="00475D8E"/>
  </w:style>
  <w:style w:type="character" w:styleId="Emphasis">
    <w:name w:val="Emphasis"/>
    <w:basedOn w:val="DefaultParagraphFont"/>
    <w:uiPriority w:val="20"/>
    <w:qFormat/>
    <w:rsid w:val="001A7ACF"/>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customXml" Target="../customXml/item3.xm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3369" TargetMode="External"/><Relationship Id="rId13" Type="http://schemas.openxmlformats.org/officeDocument/2006/relationships/hyperlink" Target="https://eurasianet.org/azerbaijans-new-sex-ed-curriculum-targets-sex-selective-abortions" TargetMode="External"/><Relationship Id="rId3" Type="http://schemas.openxmlformats.org/officeDocument/2006/relationships/hyperlink" Target="https://williamsinstitute.law.ucla.edu/wp-content/uploads/Polarized-Progress-April-2018.pdf" TargetMode="External"/><Relationship Id="rId7" Type="http://schemas.openxmlformats.org/officeDocument/2006/relationships/hyperlink" Target="http://www.ohchr.org/EN/NewsEvents/Pages/DisplayNews.aspx?NewsID=22230&amp;LangID=E" TargetMode="External"/><Relationship Id="rId12" Type="http://schemas.openxmlformats.org/officeDocument/2006/relationships/hyperlink" Target="https://www.ilo.org/dyn/natlex/docs/WEBTEXT/54131/65184/E99AZE01.htm" TargetMode="External"/><Relationship Id="rId2" Type="http://schemas.openxmlformats.org/officeDocument/2006/relationships/hyperlink" Target="https://www.upr-info.org/sites/default/files/document/azerbaijan/sesion_30_-_mayo_2018/azerbaijan_2rp.pdf" TargetMode="External"/><Relationship Id="rId1" Type="http://schemas.openxmlformats.org/officeDocument/2006/relationships/hyperlink" Target="https://www.upr-info.org/sites/default/files/document/azerbaijan/session_16_-_april_2013/recommendations_and_pledges_azerbaijan_2013.pdf" TargetMode="External"/><Relationship Id="rId6" Type="http://schemas.openxmlformats.org/officeDocument/2006/relationships/hyperlink" Target="https://www.rferl.org/a/azerbaijan-lgbt-crackdown/28811188.html" TargetMode="External"/><Relationship Id="rId11" Type="http://schemas.openxmlformats.org/officeDocument/2006/relationships/hyperlink" Target="https://www.ilga-europe.org/sites/default/files/Attachments/annual_review_2017_online.pdf" TargetMode="External"/><Relationship Id="rId5" Type="http://schemas.openxmlformats.org/officeDocument/2006/relationships/hyperlink" Target="https://ilga.org/ilga-riwi-global-attitudes-survey" TargetMode="External"/><Relationship Id="rId10" Type="http://schemas.openxmlformats.org/officeDocument/2006/relationships/hyperlink" Target="https://minorityaze.org/en/49-i-couldnt-look-at-myself-on-a-mirror" TargetMode="External"/><Relationship Id="rId4" Type="http://schemas.openxmlformats.org/officeDocument/2006/relationships/hyperlink" Target="https://rainbow-europe.org/country-ranking" TargetMode="External"/><Relationship Id="rId9" Type="http://schemas.openxmlformats.org/officeDocument/2006/relationships/hyperlink" Target="http://e-qanun.az/framework/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2019-08-26T00:00:00</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hJKdeN7BxgQeMu2WIkUG81GfigjQ==">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</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1F85669-03A5-4C59-A7B0-379B4F858B29}"/>
</file>

<file path=customXml/itemProps4.xml><?xml version="1.0" encoding="utf-8"?>
<ds:datastoreItem xmlns:ds="http://schemas.openxmlformats.org/officeDocument/2006/customXml" ds:itemID="{E847AED2-3BF2-45D1-8950-348228E3CAE2}"/>
</file>

<file path=customXml/itemProps5.xml><?xml version="1.0" encoding="utf-8"?>
<ds:datastoreItem xmlns:ds="http://schemas.openxmlformats.org/officeDocument/2006/customXml" ds:itemID="{E1A88314-39FF-4AF9-8730-8F34571D3FAD}"/>
</file>

<file path=docProps/app.xml><?xml version="1.0" encoding="utf-8"?>
<Properties xmlns="http://schemas.openxmlformats.org/officeDocument/2006/extended-properties" xmlns:vt="http://schemas.openxmlformats.org/officeDocument/2006/docPropsVTypes">
  <Template>Normal.dotm</Template>
  <TotalTime>1</TotalTime>
  <Pages>11</Pages>
  <Words>4028</Words>
  <Characters>22960</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submission for the List of Issues in relation to the fourth periodic report of Azerbaijan under the International Covenant on Economic, Social and Cultural Rights</dc:title>
  <dc:creator>Date of Submission</dc:creator>
  <cp:lastModifiedBy>Customer</cp:lastModifiedBy>
  <cp:revision>2</cp:revision>
  <dcterms:created xsi:type="dcterms:W3CDTF">2019-08-26T13:18:00Z</dcterms:created>
  <dcterms:modified xsi:type="dcterms:W3CDTF">2019-08-26T13:18:00Z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