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2FE" w:rsidRDefault="00C11CCE">
      <w:pPr>
        <w:spacing w:before="240"/>
        <w:jc w:val="center"/>
        <w:rPr>
          <w:rFonts w:ascii="Times New Roman" w:eastAsia="Times New Roman" w:hAnsi="Times New Roman" w:cs="Times New Roman"/>
          <w:b/>
          <w:sz w:val="24"/>
          <w:szCs w:val="24"/>
          <w:u w:val="single"/>
        </w:rPr>
      </w:pPr>
      <w:r>
        <w:rPr>
          <w:rFonts w:ascii="Times New Roman" w:eastAsia="Times New Roman" w:hAnsi="Times New Roman" w:cs="Times New Roman"/>
          <w:b/>
          <w:noProof/>
          <w:sz w:val="24"/>
          <w:szCs w:val="24"/>
          <w:u w:val="single"/>
          <w:lang w:val="fr-FR"/>
        </w:rPr>
        <w:drawing>
          <wp:inline distT="114300" distB="114300" distL="114300" distR="114300">
            <wp:extent cx="4495800" cy="23526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95800" cy="2352675"/>
                    </a:xfrm>
                    <a:prstGeom prst="rect">
                      <a:avLst/>
                    </a:prstGeom>
                    <a:ln/>
                  </pic:spPr>
                </pic:pic>
              </a:graphicData>
            </a:graphic>
          </wp:inline>
        </w:drawing>
      </w:r>
    </w:p>
    <w:p w:rsidR="004672FE" w:rsidRDefault="004672FE">
      <w:pPr>
        <w:spacing w:before="240"/>
        <w:rPr>
          <w:rFonts w:ascii="Times New Roman" w:eastAsia="Times New Roman" w:hAnsi="Times New Roman" w:cs="Times New Roman"/>
          <w:b/>
          <w:sz w:val="24"/>
          <w:szCs w:val="24"/>
          <w:u w:val="single"/>
        </w:rPr>
      </w:pPr>
    </w:p>
    <w:p w:rsidR="004672FE" w:rsidRDefault="00C11CCE">
      <w:pPr>
        <w:spacing w:before="240"/>
        <w:jc w:val="center"/>
        <w:rPr>
          <w:sz w:val="26"/>
          <w:szCs w:val="26"/>
        </w:rPr>
      </w:pPr>
      <w:r>
        <w:rPr>
          <w:rFonts w:ascii="Times New Roman" w:eastAsia="Times New Roman" w:hAnsi="Times New Roman" w:cs="Times New Roman"/>
          <w:b/>
          <w:sz w:val="40"/>
          <w:szCs w:val="40"/>
        </w:rPr>
        <w:t>International Covenant on Civil and Political Rights</w:t>
      </w:r>
    </w:p>
    <w:p w:rsidR="004672FE" w:rsidRDefault="00C11CCE">
      <w:pPr>
        <w:spacing w:before="2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135</w:t>
      </w:r>
      <w:r>
        <w:rPr>
          <w:rFonts w:ascii="Times New Roman" w:eastAsia="Times New Roman" w:hAnsi="Times New Roman" w:cs="Times New Roman"/>
          <w:b/>
          <w:sz w:val="32"/>
          <w:szCs w:val="32"/>
          <w:vertAlign w:val="superscript"/>
        </w:rPr>
        <w:t>th</w:t>
      </w:r>
      <w:r>
        <w:rPr>
          <w:rFonts w:ascii="Times New Roman" w:eastAsia="Times New Roman" w:hAnsi="Times New Roman" w:cs="Times New Roman"/>
          <w:b/>
          <w:sz w:val="32"/>
          <w:szCs w:val="32"/>
        </w:rPr>
        <w:t xml:space="preserve"> Session of the Human Rights Committee</w:t>
      </w:r>
    </w:p>
    <w:p w:rsidR="004672FE" w:rsidRDefault="00C11CCE">
      <w:pPr>
        <w:spacing w:before="240"/>
        <w:jc w:val="center"/>
      </w:pPr>
      <w:r>
        <w:rPr>
          <w:rFonts w:ascii="Times New Roman" w:eastAsia="Times New Roman" w:hAnsi="Times New Roman" w:cs="Times New Roman"/>
          <w:sz w:val="24"/>
          <w:szCs w:val="24"/>
        </w:rPr>
        <w:t>A submission under the follow-up procedures to the 2018 Concluding Observations of the Committee submitted by</w:t>
      </w:r>
      <w:r>
        <w:t xml:space="preserve"> </w:t>
      </w:r>
    </w:p>
    <w:p w:rsidR="004672FE" w:rsidRDefault="00C11CCE">
      <w:pPr>
        <w:pStyle w:val="Heading1"/>
        <w:keepNext w:val="0"/>
        <w:keepLines w:val="0"/>
        <w:spacing w:before="480"/>
        <w:jc w:val="center"/>
        <w:rPr>
          <w:b/>
          <w:sz w:val="42"/>
          <w:szCs w:val="42"/>
        </w:rPr>
      </w:pPr>
      <w:bookmarkStart w:id="0" w:name="_xi0wodq7yvjj" w:colFirst="0" w:colLast="0"/>
      <w:bookmarkEnd w:id="0"/>
      <w:r>
        <w:rPr>
          <w:b/>
          <w:sz w:val="42"/>
          <w:szCs w:val="42"/>
        </w:rPr>
        <w:t>Salam for Democracy and Human Rights</w:t>
      </w:r>
    </w:p>
    <w:p w:rsidR="004672FE" w:rsidRDefault="00C11CCE">
      <w:pPr>
        <w:pStyle w:val="Heading1"/>
        <w:keepNext w:val="0"/>
        <w:keepLines w:val="0"/>
        <w:spacing w:before="480"/>
        <w:jc w:val="center"/>
        <w:rPr>
          <w:b/>
          <w:sz w:val="42"/>
          <w:szCs w:val="42"/>
        </w:rPr>
      </w:pPr>
      <w:bookmarkStart w:id="1" w:name="_gq8qikz2kvbg" w:colFirst="0" w:colLast="0"/>
      <w:bookmarkEnd w:id="1"/>
      <w:r>
        <w:rPr>
          <w:b/>
          <w:sz w:val="42"/>
          <w:szCs w:val="42"/>
        </w:rPr>
        <w:t>On Bahrain</w:t>
      </w:r>
    </w:p>
    <w:p w:rsidR="004672FE" w:rsidRDefault="00C11CCE">
      <w:pPr>
        <w:spacing w:before="240" w:after="240"/>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4672FE" w:rsidRDefault="00C11CCE">
      <w:pPr>
        <w:spacing w:before="240" w:after="240"/>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4672FE" w:rsidRDefault="00C11CCE">
      <w:pPr>
        <w:spacing w:before="240" w:after="240"/>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4672FE" w:rsidRDefault="00C11CCE">
      <w:pPr>
        <w:spacing w:before="240" w:after="240"/>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 </w:t>
      </w:r>
    </w:p>
    <w:p w:rsidR="004672FE" w:rsidRDefault="00C11CCE">
      <w:pPr>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Submitted on 14 April, 2022</w:t>
      </w:r>
    </w:p>
    <w:p w:rsidR="004672FE" w:rsidRDefault="00C11CCE">
      <w:pPr>
        <w:spacing w:before="240" w:after="160" w:line="256" w:lineRule="auto"/>
      </w:pPr>
      <w:r>
        <w:t xml:space="preserve"> </w:t>
      </w:r>
    </w:p>
    <w:p w:rsidR="004672FE" w:rsidRDefault="00C11CCE">
      <w:pPr>
        <w:spacing w:before="240" w:after="160" w:line="256" w:lineRule="auto"/>
      </w:pPr>
      <w:r>
        <w:t xml:space="preserve"> </w:t>
      </w:r>
    </w:p>
    <w:p w:rsidR="004672FE" w:rsidRDefault="00C11CCE">
      <w:pPr>
        <w:spacing w:before="240" w:after="160" w:line="256" w:lineRule="auto"/>
      </w:pPr>
      <w:r>
        <w:t xml:space="preserve"> </w:t>
      </w:r>
    </w:p>
    <w:p w:rsidR="004672FE" w:rsidRDefault="00C11CCE">
      <w:pPr>
        <w:spacing w:before="240" w:after="160" w:line="256"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Salam for Democracy and Human Rights</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(SALAM DHR)</w:t>
      </w:r>
      <w:r>
        <w:rPr>
          <w:rFonts w:ascii="Times New Roman" w:eastAsia="Times New Roman" w:hAnsi="Times New Roman" w:cs="Times New Roman"/>
          <w:sz w:val="24"/>
          <w:szCs w:val="24"/>
        </w:rPr>
        <w:t xml:space="preserve"> is an independent non-governmental organization that promotes adherence to international human rights standards and the principles of democracy, including through partnerships. SALAM DHR is a UK-based NGO, registered in several European states. It is not </w:t>
      </w:r>
      <w:r>
        <w:rPr>
          <w:rFonts w:ascii="Times New Roman" w:eastAsia="Times New Roman" w:hAnsi="Times New Roman" w:cs="Times New Roman"/>
          <w:sz w:val="24"/>
          <w:szCs w:val="24"/>
        </w:rPr>
        <w:t>able to work in Bahrain, where it nonetheless has members.</w:t>
      </w:r>
    </w:p>
    <w:p w:rsidR="004672FE" w:rsidRDefault="00C11CCE" w:rsidP="008B6CBB">
      <w:pPr>
        <w:pStyle w:val="NoSpacing"/>
        <w:spacing w:before="240" w:after="240" w:line="276" w:lineRule="auto"/>
      </w:pPr>
      <w:r>
        <w:t xml:space="preserve"> </w:t>
      </w:r>
    </w:p>
    <w:p w:rsidR="004672FE" w:rsidRPr="00083992" w:rsidRDefault="00C11CCE" w:rsidP="00083992">
      <w:pPr>
        <w:pStyle w:val="NoSpacing"/>
        <w:rPr>
          <w:rFonts w:asciiTheme="majorBidi" w:hAnsiTheme="majorBidi" w:cstheme="majorBidi"/>
        </w:rPr>
      </w:pPr>
      <w:r w:rsidRPr="00083992">
        <w:rPr>
          <w:rFonts w:asciiTheme="majorBidi" w:hAnsiTheme="majorBidi" w:cstheme="majorBidi"/>
          <w:u w:val="single"/>
        </w:rPr>
        <w:t>Address:</w:t>
      </w:r>
      <w:r w:rsidRPr="00083992">
        <w:rPr>
          <w:rFonts w:asciiTheme="majorBidi" w:hAnsiTheme="majorBidi" w:cstheme="majorBidi"/>
        </w:rPr>
        <w:t xml:space="preserve"> Unit 16 Commercial Way, Park Royal, London, England, NW10 7XF, United Kingdom</w:t>
      </w:r>
    </w:p>
    <w:p w:rsidR="004672FE" w:rsidRPr="00083992" w:rsidRDefault="00C11CCE" w:rsidP="00083992">
      <w:pPr>
        <w:pStyle w:val="NoSpacing"/>
        <w:rPr>
          <w:rFonts w:asciiTheme="majorBidi" w:hAnsiTheme="majorBidi" w:cstheme="majorBidi"/>
        </w:rPr>
      </w:pPr>
      <w:r w:rsidRPr="00083992">
        <w:rPr>
          <w:rFonts w:asciiTheme="majorBidi" w:hAnsiTheme="majorBidi" w:cstheme="majorBidi"/>
          <w:u w:val="single"/>
        </w:rPr>
        <w:t>Director:</w:t>
      </w:r>
      <w:r w:rsidRPr="00083992">
        <w:rPr>
          <w:rFonts w:asciiTheme="majorBidi" w:hAnsiTheme="majorBidi" w:cstheme="majorBidi"/>
        </w:rPr>
        <w:t xml:space="preserve"> Jawad </w:t>
      </w:r>
      <w:proofErr w:type="spellStart"/>
      <w:r w:rsidRPr="00083992">
        <w:rPr>
          <w:rFonts w:asciiTheme="majorBidi" w:hAnsiTheme="majorBidi" w:cstheme="majorBidi"/>
        </w:rPr>
        <w:t>Fairooz</w:t>
      </w:r>
      <w:proofErr w:type="spellEnd"/>
    </w:p>
    <w:p w:rsidR="004672FE" w:rsidRPr="00083992" w:rsidRDefault="00C11CCE" w:rsidP="00083992">
      <w:pPr>
        <w:pStyle w:val="NoSpacing"/>
        <w:rPr>
          <w:rFonts w:asciiTheme="majorBidi" w:hAnsiTheme="majorBidi" w:cstheme="majorBidi"/>
          <w:color w:val="1155CC"/>
        </w:rPr>
      </w:pPr>
      <w:r w:rsidRPr="00083992">
        <w:rPr>
          <w:rFonts w:asciiTheme="majorBidi" w:hAnsiTheme="majorBidi" w:cstheme="majorBidi"/>
          <w:sz w:val="24"/>
          <w:szCs w:val="24"/>
          <w:u w:val="single"/>
        </w:rPr>
        <w:t>Email:</w:t>
      </w:r>
      <w:r w:rsidRPr="00083992">
        <w:rPr>
          <w:rFonts w:asciiTheme="majorBidi" w:hAnsiTheme="majorBidi" w:cstheme="majorBidi"/>
          <w:sz w:val="24"/>
          <w:szCs w:val="24"/>
        </w:rPr>
        <w:t xml:space="preserve"> </w:t>
      </w:r>
      <w:hyperlink r:id="rId9" w:history="1">
        <w:r w:rsidR="00083992" w:rsidRPr="00083992">
          <w:rPr>
            <w:rStyle w:val="Hyperlink"/>
            <w:rFonts w:asciiTheme="majorBidi" w:hAnsiTheme="majorBidi" w:cstheme="majorBidi"/>
          </w:rPr>
          <w:t>info@salam-dhr.org</w:t>
        </w:r>
      </w:hyperlink>
      <w:r w:rsidR="00083992" w:rsidRPr="00083992">
        <w:rPr>
          <w:rFonts w:asciiTheme="majorBidi" w:hAnsiTheme="majorBidi" w:cstheme="majorBidi"/>
          <w:color w:val="1155CC"/>
        </w:rPr>
        <w:t xml:space="preserve"> </w:t>
      </w:r>
    </w:p>
    <w:p w:rsidR="004672FE" w:rsidRPr="00083992" w:rsidRDefault="00C11CCE" w:rsidP="00083992">
      <w:pPr>
        <w:pStyle w:val="NoSpacing"/>
        <w:rPr>
          <w:rFonts w:asciiTheme="majorBidi" w:hAnsiTheme="majorBidi" w:cstheme="majorBidi"/>
          <w:color w:val="1155CC"/>
          <w:u w:val="single"/>
        </w:rPr>
      </w:pPr>
      <w:r w:rsidRPr="00083992">
        <w:rPr>
          <w:rFonts w:asciiTheme="majorBidi" w:hAnsiTheme="majorBidi" w:cstheme="majorBidi"/>
          <w:u w:val="single"/>
        </w:rPr>
        <w:t>Webpage:</w:t>
      </w:r>
      <w:hyperlink r:id="rId10">
        <w:r w:rsidRPr="00083992">
          <w:rPr>
            <w:rFonts w:asciiTheme="majorBidi" w:hAnsiTheme="majorBidi" w:cstheme="majorBidi"/>
          </w:rPr>
          <w:t xml:space="preserve"> </w:t>
        </w:r>
      </w:hyperlink>
      <w:hyperlink r:id="rId11">
        <w:r w:rsidRPr="00083992">
          <w:rPr>
            <w:rFonts w:asciiTheme="majorBidi" w:hAnsiTheme="majorBidi" w:cstheme="majorBidi"/>
            <w:color w:val="1155CC"/>
            <w:u w:val="single"/>
          </w:rPr>
          <w:t>https://salam-dhr.org</w:t>
        </w:r>
      </w:hyperlink>
      <w:r w:rsidR="00083992" w:rsidRPr="00083992">
        <w:rPr>
          <w:rFonts w:asciiTheme="majorBidi" w:hAnsiTheme="majorBidi" w:cstheme="majorBidi"/>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4672FE" w:rsidRDefault="00C11CCE">
      <w:pPr>
        <w:spacing w:before="240" w:after="160" w:line="256" w:lineRule="auto"/>
        <w:rPr>
          <w:color w:val="1155CC"/>
          <w:u w:val="single"/>
        </w:rPr>
      </w:pPr>
      <w:r>
        <w:rPr>
          <w:color w:val="1155CC"/>
          <w:u w:val="single"/>
        </w:rPr>
        <w:t xml:space="preserve"> </w:t>
      </w:r>
    </w:p>
    <w:p w:rsidR="008B6CBB" w:rsidRDefault="008B6CBB">
      <w:pPr>
        <w:spacing w:before="240" w:after="160" w:line="256" w:lineRule="auto"/>
        <w:rPr>
          <w:color w:val="1155CC"/>
          <w:u w:val="single"/>
        </w:rPr>
      </w:pPr>
    </w:p>
    <w:p w:rsidR="004672FE" w:rsidRDefault="00C11CCE">
      <w:pPr>
        <w:spacing w:before="240" w:after="160" w:line="256" w:lineRule="auto"/>
        <w:rPr>
          <w:color w:val="1155CC"/>
          <w:u w:val="single"/>
        </w:rPr>
      </w:pPr>
      <w:r>
        <w:rPr>
          <w:color w:val="1155CC"/>
          <w:u w:val="single"/>
        </w:rPr>
        <w:t xml:space="preserve"> </w:t>
      </w:r>
    </w:p>
    <w:p w:rsidR="004142BB" w:rsidRDefault="004142BB">
      <w:pPr>
        <w:numPr>
          <w:ilvl w:val="0"/>
          <w:numId w:val="3"/>
        </w:numPr>
        <w:spacing w:before="240" w:after="160" w:line="256" w:lineRule="auto"/>
        <w:rPr>
          <w:rFonts w:ascii="Times New Roman" w:eastAsia="Times New Roman" w:hAnsi="Times New Roman" w:cs="Times New Roman"/>
          <w:b/>
          <w:sz w:val="28"/>
          <w:szCs w:val="28"/>
        </w:rPr>
        <w:sectPr w:rsidR="004142BB">
          <w:footerReference w:type="default" r:id="rId12"/>
          <w:pgSz w:w="11909" w:h="16834"/>
          <w:pgMar w:top="1440" w:right="1440" w:bottom="1440" w:left="1440" w:header="720" w:footer="720" w:gutter="0"/>
          <w:pgNumType w:start="1"/>
          <w:cols w:space="720"/>
        </w:sectPr>
      </w:pPr>
    </w:p>
    <w:p w:rsidR="004672FE" w:rsidRDefault="00C11CCE">
      <w:pPr>
        <w:numPr>
          <w:ilvl w:val="0"/>
          <w:numId w:val="3"/>
        </w:numPr>
        <w:spacing w:before="240" w:after="160" w:line="25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Introduction</w:t>
      </w:r>
    </w:p>
    <w:p w:rsidR="004672FE" w:rsidRDefault="004672FE" w:rsidP="008B21DB">
      <w:pPr>
        <w:pStyle w:val="NoSpacing"/>
      </w:pPr>
    </w:p>
    <w:p w:rsidR="004672FE" w:rsidRDefault="00C11CCE">
      <w:pPr>
        <w:numPr>
          <w:ilvl w:val="0"/>
          <w:numId w:val="1"/>
        </w:numPr>
      </w:pPr>
      <w:r>
        <w:rPr>
          <w:rFonts w:ascii="Times New Roman" w:eastAsia="Times New Roman" w:hAnsi="Times New Roman" w:cs="Times New Roman"/>
          <w:sz w:val="24"/>
          <w:szCs w:val="24"/>
        </w:rPr>
        <w:t>Salam for Democracy and Human Rights (SALAM DHR) provides this submission to the Human Rights Committee, following-up to the concluding observations of 15 November, 2018 on Bahrain’s initial report.</w:t>
      </w:r>
    </w:p>
    <w:p w:rsidR="004672FE" w:rsidRDefault="00C11CCE">
      <w:pPr>
        <w:numPr>
          <w:ilvl w:val="0"/>
          <w:numId w:val="1"/>
        </w:numPr>
      </w:pPr>
      <w:r>
        <w:rPr>
          <w:rFonts w:ascii="Times New Roman" w:eastAsia="Times New Roman" w:hAnsi="Times New Roman" w:cs="Times New Roman"/>
          <w:sz w:val="24"/>
          <w:szCs w:val="24"/>
        </w:rPr>
        <w:t>The Committee will consider Bahrain under the follow-up p</w:t>
      </w:r>
      <w:r>
        <w:rPr>
          <w:rFonts w:ascii="Times New Roman" w:eastAsia="Times New Roman" w:hAnsi="Times New Roman" w:cs="Times New Roman"/>
          <w:sz w:val="24"/>
          <w:szCs w:val="24"/>
        </w:rPr>
        <w:t>rocedure during its 135th session between 27 June, and 29 July, 2022.</w:t>
      </w:r>
    </w:p>
    <w:p w:rsidR="004672FE" w:rsidRDefault="00C11CCE">
      <w:pPr>
        <w:numPr>
          <w:ilvl w:val="0"/>
          <w:numId w:val="1"/>
        </w:numPr>
      </w:pPr>
      <w:r>
        <w:rPr>
          <w:rFonts w:ascii="Times New Roman" w:eastAsia="Times New Roman" w:hAnsi="Times New Roman" w:cs="Times New Roman"/>
          <w:sz w:val="24"/>
          <w:szCs w:val="24"/>
        </w:rPr>
        <w:t>The Kingdom of Bahrain acceded to the International Covenant on Civil and Political Rights in 2006, pursuant to Act No. 56 of 2006, and submitted its initial report on 02 March, 2017, in</w:t>
      </w:r>
      <w:r>
        <w:rPr>
          <w:rFonts w:ascii="Times New Roman" w:eastAsia="Times New Roman" w:hAnsi="Times New Roman" w:cs="Times New Roman"/>
          <w:sz w:val="24"/>
          <w:szCs w:val="24"/>
        </w:rPr>
        <w:t xml:space="preserve"> accordance with article 40 of the Covenant.</w:t>
      </w:r>
      <w:r>
        <w:rPr>
          <w:rFonts w:ascii="Times New Roman" w:eastAsia="Times New Roman" w:hAnsi="Times New Roman" w:cs="Times New Roman"/>
          <w:sz w:val="24"/>
          <w:szCs w:val="24"/>
          <w:vertAlign w:val="superscript"/>
        </w:rPr>
        <w:footnoteReference w:id="1"/>
      </w:r>
    </w:p>
    <w:p w:rsidR="004672FE" w:rsidRDefault="00C11CCE">
      <w:pPr>
        <w:numPr>
          <w:ilvl w:val="0"/>
          <w:numId w:val="1"/>
        </w:numPr>
      </w:pPr>
      <w:r>
        <w:rPr>
          <w:rFonts w:ascii="Times New Roman" w:eastAsia="Times New Roman" w:hAnsi="Times New Roman" w:cs="Times New Roman"/>
          <w:sz w:val="24"/>
          <w:szCs w:val="24"/>
        </w:rPr>
        <w:t>The Committee considered the initial report of Bahrain at its 3492nd and 3493rd meetings, held on 3 and 4 July, 2018. At its 3516th meeting, held on 19 July, 2018, it adopted its concluding observations.</w:t>
      </w:r>
      <w:r>
        <w:rPr>
          <w:rFonts w:ascii="Times New Roman" w:eastAsia="Times New Roman" w:hAnsi="Times New Roman" w:cs="Times New Roman"/>
          <w:sz w:val="24"/>
          <w:szCs w:val="24"/>
          <w:vertAlign w:val="superscript"/>
        </w:rPr>
        <w:footnoteReference w:id="2"/>
      </w:r>
    </w:p>
    <w:p w:rsidR="004672FE" w:rsidRDefault="00C11CCE">
      <w:pPr>
        <w:numPr>
          <w:ilvl w:val="0"/>
          <w:numId w:val="1"/>
        </w:numPr>
      </w:pPr>
      <w:r>
        <w:rPr>
          <w:rFonts w:ascii="Times New Roman" w:eastAsia="Times New Roman" w:hAnsi="Times New Roman" w:cs="Times New Roman"/>
          <w:sz w:val="24"/>
          <w:szCs w:val="24"/>
        </w:rPr>
        <w:t>In ac</w:t>
      </w:r>
      <w:r>
        <w:rPr>
          <w:rFonts w:ascii="Times New Roman" w:eastAsia="Times New Roman" w:hAnsi="Times New Roman" w:cs="Times New Roman"/>
          <w:sz w:val="24"/>
          <w:szCs w:val="24"/>
        </w:rPr>
        <w:t>cordance with rule 71, paragraph 5, of the Committee’s rules of procedure, the Government of Bahrain (GoB) was requested to provide, by 27 July, 2020, information on the implementation of the recommendations made by the Committee in paragraphs 13 (military</w:t>
      </w:r>
      <w:r>
        <w:rPr>
          <w:rFonts w:ascii="Times New Roman" w:eastAsia="Times New Roman" w:hAnsi="Times New Roman" w:cs="Times New Roman"/>
          <w:sz w:val="24"/>
          <w:szCs w:val="24"/>
        </w:rPr>
        <w:t xml:space="preserve"> courts), 31 (death penalty) and 53 (freedom of expression) in the above mentioned Concluding Observations (CO)s.</w:t>
      </w:r>
    </w:p>
    <w:p w:rsidR="004672FE" w:rsidRDefault="00C11CCE">
      <w:pPr>
        <w:numPr>
          <w:ilvl w:val="0"/>
          <w:numId w:val="1"/>
        </w:numPr>
      </w:pPr>
      <w:r>
        <w:rPr>
          <w:rFonts w:ascii="Times New Roman" w:eastAsia="Times New Roman" w:hAnsi="Times New Roman" w:cs="Times New Roman"/>
          <w:sz w:val="24"/>
          <w:szCs w:val="24"/>
        </w:rPr>
        <w:t>The GoB submitted its follow-up to the COs report on 14 June, 2021, where it responded to the priority recommendations set out by the Committe</w:t>
      </w:r>
      <w:r>
        <w:rPr>
          <w:rFonts w:ascii="Times New Roman" w:eastAsia="Times New Roman" w:hAnsi="Times New Roman" w:cs="Times New Roman"/>
          <w:sz w:val="24"/>
          <w:szCs w:val="24"/>
        </w:rPr>
        <w:t>e</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after a follow-up letter was sent to the State party by the Special Rapporteur for Follow-up to Concluding Observations of the Human Rights Committee.</w:t>
      </w:r>
      <w:r>
        <w:rPr>
          <w:rFonts w:ascii="Times New Roman" w:eastAsia="Times New Roman" w:hAnsi="Times New Roman" w:cs="Times New Roman"/>
          <w:sz w:val="24"/>
          <w:szCs w:val="24"/>
          <w:vertAlign w:val="superscript"/>
        </w:rPr>
        <w:footnoteReference w:id="4"/>
      </w:r>
    </w:p>
    <w:p w:rsidR="004672FE" w:rsidRDefault="00C11CCE">
      <w:pPr>
        <w:numPr>
          <w:ilvl w:val="0"/>
          <w:numId w:val="1"/>
        </w:numPr>
      </w:pPr>
      <w:r>
        <w:rPr>
          <w:rFonts w:ascii="Times New Roman" w:eastAsia="Times New Roman" w:hAnsi="Times New Roman" w:cs="Times New Roman"/>
          <w:sz w:val="24"/>
          <w:szCs w:val="24"/>
        </w:rPr>
        <w:t>In this report, SALAM DHR will review the implementation by the GoB of recommendations highlighted i</w:t>
      </w:r>
      <w:r>
        <w:rPr>
          <w:rFonts w:ascii="Times New Roman" w:eastAsia="Times New Roman" w:hAnsi="Times New Roman" w:cs="Times New Roman"/>
          <w:sz w:val="24"/>
          <w:szCs w:val="24"/>
        </w:rPr>
        <w:t>n the COs of 2018 for consideration under the follow-up procedure by comparing between the State’s follow-up report and the practices of the GoB.</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this report, the form of presentation is the same as the report submitted by the GoB in compliance with the</w:t>
      </w:r>
      <w:r>
        <w:rPr>
          <w:rFonts w:ascii="Times New Roman" w:eastAsia="Times New Roman" w:hAnsi="Times New Roman" w:cs="Times New Roman"/>
          <w:sz w:val="24"/>
          <w:szCs w:val="24"/>
        </w:rPr>
        <w:t xml:space="preserve"> guidelines set out in the NGO Information Note.</w:t>
      </w:r>
      <w:r>
        <w:rPr>
          <w:rFonts w:ascii="Times New Roman" w:eastAsia="Times New Roman" w:hAnsi="Times New Roman" w:cs="Times New Roman"/>
          <w:sz w:val="24"/>
          <w:szCs w:val="24"/>
          <w:vertAlign w:val="superscript"/>
        </w:rPr>
        <w:footnoteReference w:id="5"/>
      </w:r>
    </w:p>
    <w:p w:rsidR="004672FE" w:rsidRDefault="004672FE" w:rsidP="008B6CBB">
      <w:pPr>
        <w:pStyle w:val="NoSpacing"/>
      </w:pPr>
    </w:p>
    <w:p w:rsidR="008B6CBB" w:rsidRDefault="008B6CBB" w:rsidP="008B6CBB">
      <w:pPr>
        <w:pStyle w:val="NoSpacing"/>
      </w:pPr>
    </w:p>
    <w:p w:rsidR="004672FE" w:rsidRDefault="00C11CCE">
      <w:pPr>
        <w:numPr>
          <w:ilvl w:val="0"/>
          <w:numId w:val="7"/>
        </w:numPr>
        <w:ind w:left="720"/>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Follow-up information </w:t>
      </w:r>
    </w:p>
    <w:p w:rsidR="004672FE" w:rsidRDefault="004672FE" w:rsidP="008B6CBB">
      <w:pPr>
        <w:pStyle w:val="NoSpacing"/>
      </w:pPr>
    </w:p>
    <w:p w:rsidR="004672FE" w:rsidRDefault="00C11CCE">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Follow-up information relating to paragraph 13 of the concluding observations</w:t>
      </w:r>
      <w:r>
        <w:rPr>
          <w:rFonts w:ascii="Times New Roman" w:eastAsia="Times New Roman" w:hAnsi="Times New Roman" w:cs="Times New Roman"/>
          <w:sz w:val="24"/>
          <w:szCs w:val="24"/>
        </w:rPr>
        <w:t xml:space="preserve"> </w:t>
      </w:r>
    </w:p>
    <w:p w:rsidR="004672FE" w:rsidRDefault="004672FE" w:rsidP="008B6CBB">
      <w:pPr>
        <w:pStyle w:val="NoSpacing"/>
      </w:pPr>
    </w:p>
    <w:p w:rsidR="004672FE" w:rsidRDefault="00C11CCE">
      <w:pPr>
        <w:ind w:left="720"/>
        <w:rPr>
          <w:rFonts w:ascii="Times New Roman" w:eastAsia="Times New Roman" w:hAnsi="Times New Roman" w:cs="Times New Roman"/>
          <w:b/>
          <w:sz w:val="26"/>
          <w:szCs w:val="26"/>
        </w:rPr>
      </w:pPr>
      <w:r>
        <w:rPr>
          <w:rFonts w:ascii="Times New Roman" w:eastAsia="Times New Roman" w:hAnsi="Times New Roman" w:cs="Times New Roman"/>
          <w:b/>
          <w:sz w:val="26"/>
          <w:szCs w:val="26"/>
        </w:rPr>
        <w:t>Military courts</w:t>
      </w:r>
    </w:p>
    <w:p w:rsidR="004672FE" w:rsidRDefault="004672FE" w:rsidP="008B6CBB">
      <w:pPr>
        <w:pStyle w:val="NoSpacing"/>
      </w:pPr>
    </w:p>
    <w:p w:rsidR="008B6CBB" w:rsidRPr="008B21DB" w:rsidRDefault="00C11CCE" w:rsidP="008B21DB">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Military courts are described in the 2002 Constitution of the Kingdom of Bahrain</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and particularly in section (b) of Article 105 thereof, which stipulates that: </w:t>
      </w:r>
    </w:p>
    <w:p w:rsidR="004672FE" w:rsidRDefault="00C11CCE">
      <w:pPr>
        <w:ind w:left="1080" w:right="840"/>
        <w:rPr>
          <w:rFonts w:ascii="Times New Roman" w:eastAsia="Times New Roman" w:hAnsi="Times New Roman" w:cs="Times New Roman"/>
          <w:i/>
          <w:sz w:val="24"/>
          <w:szCs w:val="24"/>
        </w:rPr>
      </w:pPr>
      <w:r>
        <w:rPr>
          <w:rFonts w:ascii="Times New Roman" w:eastAsia="Times New Roman" w:hAnsi="Times New Roman" w:cs="Times New Roman"/>
          <w:i/>
          <w:sz w:val="24"/>
          <w:szCs w:val="24"/>
        </w:rPr>
        <w:t>“</w:t>
      </w:r>
      <w:r>
        <w:rPr>
          <w:rFonts w:ascii="Times New Roman" w:eastAsia="Times New Roman" w:hAnsi="Times New Roman" w:cs="Times New Roman"/>
          <w:i/>
          <w:sz w:val="24"/>
          <w:szCs w:val="24"/>
        </w:rPr>
        <w:t>The jurisdiction of military courts shall be confined to military offenses committed by members of the Defense Force, the National Guard, and the Security Forces. It does no</w:t>
      </w:r>
      <w:r>
        <w:rPr>
          <w:rFonts w:ascii="Times New Roman" w:eastAsia="Times New Roman" w:hAnsi="Times New Roman" w:cs="Times New Roman"/>
          <w:i/>
          <w:sz w:val="24"/>
          <w:szCs w:val="24"/>
        </w:rPr>
        <w:t>t extend to other persons except when martial law is declared and within the bounds prescribed by law”.</w:t>
      </w:r>
    </w:p>
    <w:p w:rsidR="004672FE" w:rsidRPr="008B21DB" w:rsidRDefault="004672FE" w:rsidP="008B21DB">
      <w:pPr>
        <w:pStyle w:val="NoSpacing"/>
      </w:pP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On 30 March, 2017, and after the report of the Bahrain Independent Commission of Inquiry (BICI) was issued on 29 June, 2011</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the aforementioned Articl</w:t>
      </w:r>
      <w:r>
        <w:rPr>
          <w:rFonts w:ascii="Times New Roman" w:eastAsia="Times New Roman" w:hAnsi="Times New Roman" w:cs="Times New Roman"/>
          <w:sz w:val="24"/>
          <w:szCs w:val="24"/>
        </w:rPr>
        <w:t xml:space="preserve">e 105 was amended with the following text: </w:t>
      </w:r>
    </w:p>
    <w:p w:rsidR="004672FE" w:rsidRDefault="004672FE" w:rsidP="008B21DB">
      <w:pPr>
        <w:pStyle w:val="NoSpacing"/>
      </w:pPr>
    </w:p>
    <w:p w:rsidR="004672FE" w:rsidRDefault="00C11CCE">
      <w:pPr>
        <w:ind w:left="1080" w:right="750"/>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“The law regulates the military judiciary and shows its competencies with regards to Bahrain Defense Force, the National Guard </w:t>
      </w:r>
      <w:r w:rsidR="008B21DB">
        <w:rPr>
          <w:rFonts w:ascii="Times New Roman" w:eastAsia="Times New Roman" w:hAnsi="Times New Roman" w:cs="Times New Roman"/>
          <w:i/>
          <w:sz w:val="24"/>
          <w:szCs w:val="24"/>
        </w:rPr>
        <w:t>and the Public Security Forces”.</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vertAlign w:val="superscript"/>
        </w:rPr>
        <w:footnoteReference w:id="8"/>
      </w:r>
    </w:p>
    <w:p w:rsidR="004672FE" w:rsidRDefault="004672FE" w:rsidP="008B21DB">
      <w:pPr>
        <w:pStyle w:val="NoSpacing"/>
      </w:pP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SALAM DHR believes that the purpose of this cons</w:t>
      </w:r>
      <w:r>
        <w:rPr>
          <w:rFonts w:ascii="Times New Roman" w:eastAsia="Times New Roman" w:hAnsi="Times New Roman" w:cs="Times New Roman"/>
          <w:sz w:val="24"/>
          <w:szCs w:val="24"/>
        </w:rPr>
        <w:t xml:space="preserve">titutional amendment was to lift the constitutional guarantee established in the old text, which prevented the trial of civilians before military courts. Two sentences: </w:t>
      </w:r>
      <w:r>
        <w:rPr>
          <w:rFonts w:ascii="Times New Roman" w:eastAsia="Times New Roman" w:hAnsi="Times New Roman" w:cs="Times New Roman"/>
          <w:i/>
          <w:sz w:val="24"/>
          <w:szCs w:val="24"/>
        </w:rPr>
        <w:t>“It does not extend to other persons except when martial law is declared”</w:t>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“within t</w:t>
      </w:r>
      <w:r>
        <w:rPr>
          <w:rFonts w:ascii="Times New Roman" w:eastAsia="Times New Roman" w:hAnsi="Times New Roman" w:cs="Times New Roman"/>
          <w:i/>
          <w:sz w:val="24"/>
          <w:szCs w:val="24"/>
        </w:rPr>
        <w:t>he bounds prescribed by law”</w:t>
      </w:r>
      <w:r>
        <w:rPr>
          <w:rFonts w:ascii="Times New Roman" w:eastAsia="Times New Roman" w:hAnsi="Times New Roman" w:cs="Times New Roman"/>
          <w:sz w:val="24"/>
          <w:szCs w:val="24"/>
        </w:rPr>
        <w:t xml:space="preserve"> were deleted. It is believed that the purpose behind this deletion was to avoid legal objections and appeals to military judgments or laws. </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This constitutional amendment introduced on 18 April, 2017, Law No 12 of 2017</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amendin</w:t>
      </w:r>
      <w:r>
        <w:rPr>
          <w:rFonts w:ascii="Times New Roman" w:eastAsia="Times New Roman" w:hAnsi="Times New Roman" w:cs="Times New Roman"/>
          <w:sz w:val="24"/>
          <w:szCs w:val="24"/>
        </w:rPr>
        <w:t xml:space="preserve">g the Military Judiciary Decree-Law No. 34 of 2002, i.e. after less than twenty days of the constitutional amendment and on an expedited basis. Law No 12 of 2017 added to the Military Judiciary Decree-Law Article 17 </w:t>
      </w:r>
      <w:proofErr w:type="spellStart"/>
      <w:r>
        <w:rPr>
          <w:rFonts w:ascii="Times New Roman" w:eastAsia="Times New Roman" w:hAnsi="Times New Roman" w:cs="Times New Roman"/>
          <w:sz w:val="24"/>
          <w:szCs w:val="24"/>
        </w:rPr>
        <w:t>bis</w:t>
      </w:r>
      <w:proofErr w:type="spellEnd"/>
      <w:r>
        <w:rPr>
          <w:rFonts w:ascii="Times New Roman" w:eastAsia="Times New Roman" w:hAnsi="Times New Roman" w:cs="Times New Roman"/>
          <w:sz w:val="24"/>
          <w:szCs w:val="24"/>
        </w:rPr>
        <w:t xml:space="preserve"> and Article 17 </w:t>
      </w:r>
      <w:proofErr w:type="spellStart"/>
      <w:r>
        <w:rPr>
          <w:rFonts w:ascii="Times New Roman" w:eastAsia="Times New Roman" w:hAnsi="Times New Roman" w:cs="Times New Roman"/>
          <w:sz w:val="24"/>
          <w:szCs w:val="24"/>
        </w:rPr>
        <w:t>bis</w:t>
      </w:r>
      <w:proofErr w:type="spellEnd"/>
      <w:r>
        <w:rPr>
          <w:rFonts w:ascii="Times New Roman" w:eastAsia="Times New Roman" w:hAnsi="Times New Roman" w:cs="Times New Roman"/>
          <w:sz w:val="24"/>
          <w:szCs w:val="24"/>
        </w:rPr>
        <w:t xml:space="preserve"> 1</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which expanded </w:t>
      </w:r>
      <w:r>
        <w:rPr>
          <w:rFonts w:ascii="Times New Roman" w:eastAsia="Times New Roman" w:hAnsi="Times New Roman" w:cs="Times New Roman"/>
          <w:sz w:val="24"/>
          <w:szCs w:val="24"/>
        </w:rPr>
        <w:t>the jurisdiction of the military judiciary to become specialized in prosecuting civilians accused in the political cases as stated in Article 105</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of the Military Judiciary Decree-Law. Pursuant to this law, military courts also have the jurisdiction to try </w:t>
      </w:r>
      <w:r>
        <w:rPr>
          <w:rFonts w:ascii="Times New Roman" w:eastAsia="Times New Roman" w:hAnsi="Times New Roman" w:cs="Times New Roman"/>
          <w:sz w:val="24"/>
          <w:szCs w:val="24"/>
        </w:rPr>
        <w:t>civilians permanently, and all criminal lawsuits, which are based on political cases, that have not been referred to civil criminal courts, are referred to military courts, according to Article 3 of Law No.12 of 2017.</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Also, the latter judiciary is concerne</w:t>
      </w:r>
      <w:r>
        <w:rPr>
          <w:rFonts w:ascii="Times New Roman" w:eastAsia="Times New Roman" w:hAnsi="Times New Roman" w:cs="Times New Roman"/>
          <w:sz w:val="24"/>
          <w:szCs w:val="24"/>
        </w:rPr>
        <w:t>d with the prosecution of civilians under Articles 112 to 185 of the Penal Code No.15 of 1976</w:t>
      </w:r>
      <w:r>
        <w:rPr>
          <w:rFonts w:ascii="Times New Roman" w:eastAsia="Times New Roman" w:hAnsi="Times New Roman" w:cs="Times New Roman"/>
          <w:sz w:val="24"/>
          <w:szCs w:val="24"/>
          <w:vertAlign w:val="superscript"/>
        </w:rPr>
        <w:footnoteReference w:id="10"/>
      </w:r>
      <w:r w:rsidR="008B21D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relating to the crimes against the external and internal security of the State, and the prosecution of civilians based on the Law No. 58 of 2006 on the Protectio</w:t>
      </w:r>
      <w:r>
        <w:rPr>
          <w:rFonts w:ascii="Times New Roman" w:eastAsia="Times New Roman" w:hAnsi="Times New Roman" w:cs="Times New Roman"/>
          <w:sz w:val="24"/>
          <w:szCs w:val="24"/>
        </w:rPr>
        <w:t>n of Society from Terrorist Acts.</w:t>
      </w:r>
      <w:r>
        <w:rPr>
          <w:rFonts w:ascii="Times New Roman" w:eastAsia="Times New Roman" w:hAnsi="Times New Roman" w:cs="Times New Roman"/>
          <w:sz w:val="24"/>
          <w:szCs w:val="24"/>
          <w:vertAlign w:val="superscript"/>
        </w:rPr>
        <w:footnoteReference w:id="11"/>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Hence, the April 2017 Constitutional amendment paved the way for military trials of those not subject to military procedure, in a context in which there was no armed conflict.</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Bahrain’s Military Courts are not bound by ei</w:t>
      </w:r>
      <w:r>
        <w:rPr>
          <w:rFonts w:ascii="Times New Roman" w:eastAsia="Times New Roman" w:hAnsi="Times New Roman" w:cs="Times New Roman"/>
          <w:sz w:val="24"/>
          <w:szCs w:val="24"/>
        </w:rPr>
        <w:t>ther the Code of Criminal Procedures, Article 14 of ICCPR, or the Juvenile Act. Consequently, the accused before these courts lack fair trial guarantees and children are susceptible to military trials.</w:t>
      </w:r>
      <w:r>
        <w:rPr>
          <w:rFonts w:ascii="Times New Roman" w:eastAsia="Times New Roman" w:hAnsi="Times New Roman" w:cs="Times New Roman"/>
          <w:sz w:val="24"/>
          <w:szCs w:val="24"/>
          <w:vertAlign w:val="superscript"/>
        </w:rPr>
        <w:footnoteReference w:id="12"/>
      </w:r>
    </w:p>
    <w:p w:rsidR="004672FE" w:rsidRPr="008B21DB" w:rsidRDefault="00C11CCE" w:rsidP="008B21DB">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fact, on 10 May, 2017, the Bahrain National Contac</w:t>
      </w:r>
      <w:r>
        <w:rPr>
          <w:rFonts w:ascii="Times New Roman" w:eastAsia="Times New Roman" w:hAnsi="Times New Roman" w:cs="Times New Roman"/>
          <w:sz w:val="24"/>
          <w:szCs w:val="24"/>
        </w:rPr>
        <w:t xml:space="preserve">t Center announced that the Military Judiciary considered for the first time after the constitutional and legal amendment </w:t>
      </w:r>
      <w:r>
        <w:rPr>
          <w:rFonts w:ascii="Times New Roman" w:eastAsia="Times New Roman" w:hAnsi="Times New Roman" w:cs="Times New Roman"/>
          <w:b/>
          <w:sz w:val="24"/>
          <w:szCs w:val="24"/>
        </w:rPr>
        <w:t>the case “No. (Terrorism -2017)”</w:t>
      </w:r>
      <w:r>
        <w:rPr>
          <w:rFonts w:ascii="Times New Roman" w:eastAsia="Times New Roman" w:hAnsi="Times New Roman" w:cs="Times New Roman"/>
          <w:sz w:val="24"/>
          <w:szCs w:val="24"/>
        </w:rPr>
        <w:t xml:space="preserve"> of three persons, one of whom was associated with the military and the other two were not, accused of</w:t>
      </w:r>
      <w:r>
        <w:rPr>
          <w:rFonts w:ascii="Times New Roman" w:eastAsia="Times New Roman" w:hAnsi="Times New Roman" w:cs="Times New Roman"/>
          <w:sz w:val="24"/>
          <w:szCs w:val="24"/>
        </w:rPr>
        <w:t xml:space="preserve"> committing </w:t>
      </w:r>
      <w:r w:rsidRPr="008B21DB">
        <w:rPr>
          <w:rFonts w:ascii="Times New Roman" w:eastAsia="Times New Roman" w:hAnsi="Times New Roman" w:cs="Times New Roman"/>
          <w:sz w:val="24"/>
          <w:szCs w:val="24"/>
        </w:rPr>
        <w:t>crimes on terrorist purposes related to planning to target military facilities and Defense Force personnel. These three persons were subject to enforced disappearance.</w:t>
      </w:r>
      <w:r>
        <w:rPr>
          <w:rFonts w:ascii="Times New Roman" w:eastAsia="Times New Roman" w:hAnsi="Times New Roman" w:cs="Times New Roman"/>
          <w:sz w:val="24"/>
          <w:szCs w:val="24"/>
          <w:vertAlign w:val="superscript"/>
        </w:rPr>
        <w:footnoteReference w:id="13"/>
      </w:r>
      <w:r w:rsidRPr="008B21DB">
        <w:rPr>
          <w:rFonts w:ascii="Times New Roman" w:eastAsia="Times New Roman" w:hAnsi="Times New Roman" w:cs="Times New Roman"/>
          <w:sz w:val="24"/>
          <w:szCs w:val="24"/>
        </w:rPr>
        <w:t xml:space="preserve"> </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two trials of this case were held respectively on 23 and 30 October, 2017. On 02 November, 2017, the third hearing took place and the head of the Military Judiciary, Brigadier </w:t>
      </w:r>
      <w:proofErr w:type="spellStart"/>
      <w:r>
        <w:rPr>
          <w:rFonts w:ascii="Times New Roman" w:eastAsia="Times New Roman" w:hAnsi="Times New Roman" w:cs="Times New Roman"/>
          <w:sz w:val="24"/>
          <w:szCs w:val="24"/>
        </w:rPr>
        <w:t>Fleifel</w:t>
      </w:r>
      <w:proofErr w:type="spellEnd"/>
      <w:r>
        <w:rPr>
          <w:rFonts w:ascii="Times New Roman" w:eastAsia="Times New Roman" w:hAnsi="Times New Roman" w:cs="Times New Roman"/>
          <w:sz w:val="24"/>
          <w:szCs w:val="24"/>
        </w:rPr>
        <w:t>, stated that the High Military Court issued a decree which ban</w:t>
      </w:r>
      <w:r>
        <w:rPr>
          <w:rFonts w:ascii="Times New Roman" w:eastAsia="Times New Roman" w:hAnsi="Times New Roman" w:cs="Times New Roman"/>
          <w:sz w:val="24"/>
          <w:szCs w:val="24"/>
        </w:rPr>
        <w:t>s reporting any information, data, or news about this case in all read, visual, audio, or electronic media outlets, for the public interest, and for maintaining the integrity of the evidence and ensuring the right of the witnesses to legal protection, with</w:t>
      </w:r>
      <w:r>
        <w:rPr>
          <w:rFonts w:ascii="Times New Roman" w:eastAsia="Times New Roman" w:hAnsi="Times New Roman" w:cs="Times New Roman"/>
          <w:sz w:val="24"/>
          <w:szCs w:val="24"/>
        </w:rPr>
        <w:t xml:space="preserve"> the exception of the parties that will be authorized by the Court.</w:t>
      </w:r>
      <w:r>
        <w:rPr>
          <w:rFonts w:ascii="Times New Roman" w:eastAsia="Times New Roman" w:hAnsi="Times New Roman" w:cs="Times New Roman"/>
          <w:sz w:val="24"/>
          <w:szCs w:val="24"/>
          <w:vertAlign w:val="superscript"/>
        </w:rPr>
        <w:footnoteReference w:id="14"/>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Such a blanket ban could constitute a violation of Bahrain's obligations under the ICCPR in relation to freedom of expression and, at the very least, serves to erode freedom of expression</w:t>
      </w:r>
      <w:r>
        <w:rPr>
          <w:rFonts w:ascii="Times New Roman" w:eastAsia="Times New Roman" w:hAnsi="Times New Roman" w:cs="Times New Roman"/>
          <w:sz w:val="24"/>
          <w:szCs w:val="24"/>
        </w:rPr>
        <w:t>: worldwide experience shows that a populous that understands the administration of justice also tends to expect higher, more transparent standards in justice systems. To this extent, policies that restrict expression on even difficult issues can therefore</w:t>
      </w:r>
      <w:r>
        <w:rPr>
          <w:rFonts w:ascii="Times New Roman" w:eastAsia="Times New Roman" w:hAnsi="Times New Roman" w:cs="Times New Roman"/>
          <w:sz w:val="24"/>
          <w:szCs w:val="24"/>
        </w:rPr>
        <w:t xml:space="preserve"> also weaken the integrity of the overall justice system.</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Regarding the proceedings of case </w:t>
      </w:r>
      <w:proofErr w:type="gramStart"/>
      <w:r>
        <w:rPr>
          <w:rFonts w:ascii="Times New Roman" w:eastAsia="Times New Roman" w:hAnsi="Times New Roman" w:cs="Times New Roman"/>
          <w:sz w:val="24"/>
          <w:szCs w:val="24"/>
        </w:rPr>
        <w:t>No</w:t>
      </w:r>
      <w:proofErr w:type="gramEnd"/>
      <w:r>
        <w:rPr>
          <w:rFonts w:ascii="Times New Roman" w:eastAsia="Times New Roman" w:hAnsi="Times New Roman" w:cs="Times New Roman"/>
          <w:sz w:val="24"/>
          <w:szCs w:val="24"/>
        </w:rPr>
        <w:t xml:space="preserve">. (Terrorism -2017), it should be noted that the military court did not apply safeguards in terms of fair and public trials. In fact, in the first hearing of the </w:t>
      </w:r>
      <w:r>
        <w:rPr>
          <w:rFonts w:ascii="Times New Roman" w:eastAsia="Times New Roman" w:hAnsi="Times New Roman" w:cs="Times New Roman"/>
          <w:sz w:val="24"/>
          <w:szCs w:val="24"/>
        </w:rPr>
        <w:t>trial, the court refused to hear the accused, and denied the request of defense lawyers for a copy of the case file. At the third hearing, the same request was presented, but the court stipulated that the hearings were secretive.</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NIHR came in late to observe the case. In fact, it was present for the first time at the fourth hearing, and did not listen to complaints made on the use of torture and ill-treatment against the detainees. Furthermore, the NIHR statement, issued on 14 </w:t>
      </w:r>
      <w:r>
        <w:rPr>
          <w:rFonts w:ascii="Times New Roman" w:eastAsia="Times New Roman" w:hAnsi="Times New Roman" w:cs="Times New Roman"/>
          <w:sz w:val="24"/>
          <w:szCs w:val="24"/>
        </w:rPr>
        <w:t>November, 2017, did not mention that the Military Judiciary is not the normal judge provided for in Article 14 of the ICCPR. Therefore, this is a contribution to legitimize the role of the Military Judiciary in the trial of civilians, despite the violation</w:t>
      </w:r>
      <w:r>
        <w:rPr>
          <w:rFonts w:ascii="Times New Roman" w:eastAsia="Times New Roman" w:hAnsi="Times New Roman" w:cs="Times New Roman"/>
          <w:sz w:val="24"/>
          <w:szCs w:val="24"/>
        </w:rPr>
        <w:t xml:space="preserve">s of the International Law found in the Military Judiciary Law. To add, the NIHR did not have a clear position on the enforced disappearance of the defendants in the case, and </w:t>
      </w:r>
      <w:r>
        <w:rPr>
          <w:rFonts w:ascii="Times New Roman" w:eastAsia="Times New Roman" w:hAnsi="Times New Roman" w:cs="Times New Roman"/>
          <w:sz w:val="24"/>
          <w:szCs w:val="24"/>
        </w:rPr>
        <w:lastRenderedPageBreak/>
        <w:t>praised the trial, although three children under the age of 18 were present, whi</w:t>
      </w:r>
      <w:r>
        <w:rPr>
          <w:rFonts w:ascii="Times New Roman" w:eastAsia="Times New Roman" w:hAnsi="Times New Roman" w:cs="Times New Roman"/>
          <w:sz w:val="24"/>
          <w:szCs w:val="24"/>
        </w:rPr>
        <w:t>ch contravene the International Bill of Human Rights.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In its 2017 report, the NIHR addresses aspects of the administration of justice. Pointedly, it made no reference to this issue.</w:t>
      </w:r>
      <w:r>
        <w:rPr>
          <w:rFonts w:ascii="Times New Roman" w:eastAsia="Times New Roman" w:hAnsi="Times New Roman" w:cs="Times New Roman"/>
          <w:sz w:val="24"/>
          <w:szCs w:val="24"/>
          <w:vertAlign w:val="superscript"/>
        </w:rPr>
        <w:footnoteReference w:id="16"/>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SALAM for DHR expresses its deep concern over unfair trials in Bahrain a</w:t>
      </w:r>
      <w:r>
        <w:rPr>
          <w:rFonts w:ascii="Times New Roman" w:eastAsia="Times New Roman" w:hAnsi="Times New Roman" w:cs="Times New Roman"/>
          <w:sz w:val="24"/>
          <w:szCs w:val="24"/>
        </w:rPr>
        <w:t>nd the failure to adhere to international standards in the administration of justice. This includes the use of vaguely worded laws relating to security that either provide for forms of punishment not commensurate w</w:t>
      </w:r>
      <w:r w:rsidR="008B21DB">
        <w:rPr>
          <w:rFonts w:ascii="Times New Roman" w:eastAsia="Times New Roman" w:hAnsi="Times New Roman" w:cs="Times New Roman"/>
          <w:sz w:val="24"/>
          <w:szCs w:val="24"/>
        </w:rPr>
        <w:t>ith the alleged act or even the criminalization</w:t>
      </w:r>
      <w:r>
        <w:rPr>
          <w:rFonts w:ascii="Times New Roman" w:eastAsia="Times New Roman" w:hAnsi="Times New Roman" w:cs="Times New Roman"/>
          <w:sz w:val="24"/>
          <w:szCs w:val="24"/>
        </w:rPr>
        <w:t xml:space="preserve"> of acts that may not or do not amount to internationally </w:t>
      </w:r>
      <w:r w:rsidR="008B21DB">
        <w:rPr>
          <w:rFonts w:ascii="Times New Roman" w:eastAsia="Times New Roman" w:hAnsi="Times New Roman" w:cs="Times New Roman"/>
          <w:sz w:val="24"/>
          <w:szCs w:val="24"/>
        </w:rPr>
        <w:t>recognizable</w:t>
      </w:r>
      <w:r>
        <w:rPr>
          <w:rFonts w:ascii="Times New Roman" w:eastAsia="Times New Roman" w:hAnsi="Times New Roman" w:cs="Times New Roman"/>
          <w:sz w:val="24"/>
          <w:szCs w:val="24"/>
        </w:rPr>
        <w:t xml:space="preserve"> criminal conduct as well as court procedure.</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25 April, 2018, the authorities tried three individuals </w:t>
      </w:r>
      <w:proofErr w:type="spellStart"/>
      <w:r>
        <w:rPr>
          <w:rFonts w:ascii="Times New Roman" w:eastAsia="Times New Roman" w:hAnsi="Times New Roman" w:cs="Times New Roman"/>
          <w:sz w:val="24"/>
          <w:szCs w:val="24"/>
        </w:rPr>
        <w:t>Sayed</w:t>
      </w:r>
      <w:proofErr w:type="spellEnd"/>
      <w:r>
        <w:rPr>
          <w:rFonts w:ascii="Times New Roman" w:eastAsia="Times New Roman" w:hAnsi="Times New Roman" w:cs="Times New Roman"/>
          <w:sz w:val="24"/>
          <w:szCs w:val="24"/>
        </w:rPr>
        <w:t xml:space="preserve"> Alawi </w:t>
      </w:r>
      <w:proofErr w:type="spellStart"/>
      <w:r>
        <w:rPr>
          <w:rFonts w:ascii="Times New Roman" w:eastAsia="Times New Roman" w:hAnsi="Times New Roman" w:cs="Times New Roman"/>
          <w:sz w:val="24"/>
          <w:szCs w:val="24"/>
        </w:rPr>
        <w:t>Hussain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Sayed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Fadel</w:t>
      </w:r>
      <w:proofErr w:type="spellEnd"/>
      <w:r>
        <w:rPr>
          <w:rFonts w:ascii="Times New Roman" w:eastAsia="Times New Roman" w:hAnsi="Times New Roman" w:cs="Times New Roman"/>
          <w:sz w:val="24"/>
          <w:szCs w:val="24"/>
        </w:rPr>
        <w:t xml:space="preserve"> Abbas, Mohamed Al </w:t>
      </w:r>
      <w:proofErr w:type="spellStart"/>
      <w:r>
        <w:rPr>
          <w:rFonts w:ascii="Times New Roman" w:eastAsia="Times New Roman" w:hAnsi="Times New Roman" w:cs="Times New Roman"/>
          <w:sz w:val="24"/>
          <w:szCs w:val="24"/>
        </w:rPr>
        <w:t>Mutghawi</w:t>
      </w:r>
      <w:proofErr w:type="spellEnd"/>
      <w:r>
        <w:rPr>
          <w:rFonts w:ascii="Times New Roman" w:eastAsia="Times New Roman" w:hAnsi="Times New Roman" w:cs="Times New Roman"/>
          <w:sz w:val="24"/>
          <w:szCs w:val="24"/>
        </w:rPr>
        <w:t xml:space="preserve"> and a military i</w:t>
      </w:r>
      <w:r>
        <w:rPr>
          <w:rFonts w:ascii="Times New Roman" w:eastAsia="Times New Roman" w:hAnsi="Times New Roman" w:cs="Times New Roman"/>
          <w:sz w:val="24"/>
          <w:szCs w:val="24"/>
        </w:rPr>
        <w:t xml:space="preserve">ndividual Mubarak </w:t>
      </w:r>
      <w:proofErr w:type="spellStart"/>
      <w:r>
        <w:rPr>
          <w:rFonts w:ascii="Times New Roman" w:eastAsia="Times New Roman" w:hAnsi="Times New Roman" w:cs="Times New Roman"/>
          <w:sz w:val="24"/>
          <w:szCs w:val="24"/>
        </w:rPr>
        <w:t>Muhanna</w:t>
      </w:r>
      <w:proofErr w:type="spellEnd"/>
      <w:r>
        <w:rPr>
          <w:rFonts w:ascii="Times New Roman" w:eastAsia="Times New Roman" w:hAnsi="Times New Roman" w:cs="Times New Roman"/>
          <w:sz w:val="24"/>
          <w:szCs w:val="24"/>
        </w:rPr>
        <w:t xml:space="preserve"> under Law No. 58 of 2006</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on protecting society from acts of terrorism</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and the final verdict of death penalty was handed down by the Military Court of Cassation on charges of “having intentions to target the general commander o</w:t>
      </w:r>
      <w:r>
        <w:rPr>
          <w:rFonts w:ascii="Times New Roman" w:eastAsia="Times New Roman" w:hAnsi="Times New Roman" w:cs="Times New Roman"/>
          <w:sz w:val="24"/>
          <w:szCs w:val="24"/>
        </w:rPr>
        <w:t xml:space="preserve">f the Bahrain Defense Force”. This legislation is transnational in scope and </w:t>
      </w:r>
      <w:r w:rsidR="008B21DB">
        <w:rPr>
          <w:rFonts w:ascii="Times New Roman" w:eastAsia="Times New Roman" w:hAnsi="Times New Roman" w:cs="Times New Roman"/>
          <w:sz w:val="24"/>
          <w:szCs w:val="24"/>
        </w:rPr>
        <w:t>criminalizes</w:t>
      </w:r>
      <w:r>
        <w:rPr>
          <w:rFonts w:ascii="Times New Roman" w:eastAsia="Times New Roman" w:hAnsi="Times New Roman" w:cs="Times New Roman"/>
          <w:sz w:val="24"/>
          <w:szCs w:val="24"/>
        </w:rPr>
        <w:t xml:space="preserve"> acts including "damaging the environment, carrying out any hostile action [not defined] against transport facilities and institutions; promoting terrorism and encoura</w:t>
      </w:r>
      <w:r>
        <w:rPr>
          <w:rFonts w:ascii="Times New Roman" w:eastAsia="Times New Roman" w:hAnsi="Times New Roman" w:cs="Times New Roman"/>
          <w:sz w:val="24"/>
          <w:szCs w:val="24"/>
        </w:rPr>
        <w:t xml:space="preserve">ging the commission of acts of terrorism; funding and supporting [terrorist] </w:t>
      </w:r>
      <w:r w:rsidR="008B21DB">
        <w:rPr>
          <w:rFonts w:ascii="Times New Roman" w:eastAsia="Times New Roman" w:hAnsi="Times New Roman" w:cs="Times New Roman"/>
          <w:sz w:val="24"/>
          <w:szCs w:val="24"/>
        </w:rPr>
        <w:t>organizations</w:t>
      </w:r>
      <w:r>
        <w:rPr>
          <w:rFonts w:ascii="Times New Roman" w:eastAsia="Times New Roman" w:hAnsi="Times New Roman" w:cs="Times New Roman"/>
          <w:sz w:val="24"/>
          <w:szCs w:val="24"/>
        </w:rPr>
        <w:t xml:space="preserve">; joining or cooperating with any </w:t>
      </w:r>
      <w:r w:rsidR="008B21DB">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or group abroad that trains to commit acts of terrorism or uses terrorism as a means of achieving its goals”, though no</w:t>
      </w:r>
      <w:r>
        <w:rPr>
          <w:rFonts w:ascii="Times New Roman" w:eastAsia="Times New Roman" w:hAnsi="Times New Roman" w:cs="Times New Roman"/>
          <w:sz w:val="24"/>
          <w:szCs w:val="24"/>
        </w:rPr>
        <w:t>ne of these acts are defined. In this regard, the legislation provides for unfair trials.</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day, the 26th of April 2018, the King of Bahrain </w:t>
      </w:r>
      <w:proofErr w:type="spellStart"/>
      <w:r>
        <w:rPr>
          <w:rFonts w:ascii="Times New Roman" w:eastAsia="Times New Roman" w:hAnsi="Times New Roman" w:cs="Times New Roman"/>
          <w:sz w:val="24"/>
          <w:szCs w:val="24"/>
        </w:rPr>
        <w:t>Hamad</w:t>
      </w:r>
      <w:proofErr w:type="spellEnd"/>
      <w:r>
        <w:rPr>
          <w:rFonts w:ascii="Times New Roman" w:eastAsia="Times New Roman" w:hAnsi="Times New Roman" w:cs="Times New Roman"/>
          <w:sz w:val="24"/>
          <w:szCs w:val="24"/>
        </w:rPr>
        <w:t xml:space="preserve"> bin Isa al-Khalifa commuted the death sentence against the four mentioned individuals to life imprison</w:t>
      </w:r>
      <w:r>
        <w:rPr>
          <w:rFonts w:ascii="Times New Roman" w:eastAsia="Times New Roman" w:hAnsi="Times New Roman" w:cs="Times New Roman"/>
          <w:sz w:val="24"/>
          <w:szCs w:val="24"/>
        </w:rPr>
        <w:t xml:space="preserve">ment. The King of Bahrain is the person who approves the execution of the death penalty. </w:t>
      </w:r>
    </w:p>
    <w:p w:rsidR="008B21DB" w:rsidRPr="006C2544" w:rsidRDefault="00C11CCE" w:rsidP="006C2544">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King of Bahrain ratified a constitutional amendment on 18 April, 2017</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regarding </w:t>
      </w:r>
      <w:r w:rsidRPr="008B21DB">
        <w:rPr>
          <w:rFonts w:ascii="Times New Roman" w:eastAsia="Times New Roman" w:hAnsi="Times New Roman" w:cs="Times New Roman"/>
          <w:bCs/>
          <w:sz w:val="24"/>
          <w:szCs w:val="24"/>
        </w:rPr>
        <w:t>Article 105 (b)</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which abolished the civil judiciary’s competence in terms of t</w:t>
      </w:r>
      <w:r>
        <w:rPr>
          <w:rFonts w:ascii="Times New Roman" w:eastAsia="Times New Roman" w:hAnsi="Times New Roman" w:cs="Times New Roman"/>
          <w:sz w:val="24"/>
          <w:szCs w:val="24"/>
        </w:rPr>
        <w:t>he trial of those charged under terrorism and security-related charges and granted the powers to try them for military justice. These powers shall be determined for military trials of an exceptional and temporary nature during the period of war and crises.</w:t>
      </w:r>
      <w:r>
        <w:rPr>
          <w:rFonts w:ascii="Times New Roman" w:eastAsia="Times New Roman" w:hAnsi="Times New Roman" w:cs="Times New Roman"/>
          <w:sz w:val="24"/>
          <w:szCs w:val="24"/>
        </w:rPr>
        <w:t xml:space="preserve"> Herein lies the difference between the military courts, which are permanent and competent to try military personnel, and military courts of exceptional character.</w:t>
      </w:r>
      <w:r>
        <w:rPr>
          <w:rFonts w:ascii="Times New Roman" w:eastAsia="Times New Roman" w:hAnsi="Times New Roman" w:cs="Times New Roman"/>
          <w:sz w:val="24"/>
          <w:szCs w:val="24"/>
          <w:vertAlign w:val="superscript"/>
        </w:rPr>
        <w:footnoteReference w:id="21"/>
      </w:r>
      <w:bookmarkStart w:id="2" w:name="_GoBack"/>
      <w:bookmarkEnd w:id="2"/>
    </w:p>
    <w:p w:rsidR="008B21DB" w:rsidRDefault="008B21DB" w:rsidP="008B21DB">
      <w:pPr>
        <w:pStyle w:val="NoSpacing"/>
      </w:pPr>
    </w:p>
    <w:p w:rsidR="008B21DB" w:rsidRDefault="008B21DB" w:rsidP="008B21DB">
      <w:pPr>
        <w:pStyle w:val="NoSpacing"/>
      </w:pPr>
    </w:p>
    <w:p w:rsidR="004672FE" w:rsidRDefault="00C11CCE">
      <w:pPr>
        <w:numPr>
          <w:ilvl w:val="0"/>
          <w:numId w:val="6"/>
        </w:numPr>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Follow-up information relating to paragraph 31 of the concluding observations </w:t>
      </w:r>
    </w:p>
    <w:p w:rsidR="004672FE" w:rsidRDefault="004672FE"/>
    <w:p w:rsidR="004672FE" w:rsidRDefault="00C11CCE">
      <w:pPr>
        <w:ind w:left="720"/>
        <w:rPr>
          <w:rFonts w:ascii="Times New Roman" w:eastAsia="Times New Roman" w:hAnsi="Times New Roman" w:cs="Times New Roman"/>
          <w:b/>
          <w:sz w:val="26"/>
          <w:szCs w:val="26"/>
        </w:rPr>
      </w:pPr>
      <w:r>
        <w:rPr>
          <w:rFonts w:ascii="Times New Roman" w:eastAsia="Times New Roman" w:hAnsi="Times New Roman" w:cs="Times New Roman"/>
          <w:b/>
          <w:sz w:val="26"/>
          <w:szCs w:val="26"/>
        </w:rPr>
        <w:t>Death pen</w:t>
      </w:r>
      <w:r>
        <w:rPr>
          <w:rFonts w:ascii="Times New Roman" w:eastAsia="Times New Roman" w:hAnsi="Times New Roman" w:cs="Times New Roman"/>
          <w:b/>
          <w:sz w:val="26"/>
          <w:szCs w:val="26"/>
        </w:rPr>
        <w:t xml:space="preserve">alty </w:t>
      </w:r>
    </w:p>
    <w:p w:rsidR="004672FE" w:rsidRDefault="004672FE" w:rsidP="008B21DB">
      <w:pPr>
        <w:pStyle w:val="NoSpacing"/>
      </w:pP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Throughout the past four years, the GoB has failed to enact repeated recommendations to immediately halt executions after breaking a seven year de facto moratorium.</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GoB’s</w:t>
      </w:r>
      <w:proofErr w:type="spellEnd"/>
      <w:r>
        <w:rPr>
          <w:rFonts w:ascii="Times New Roman" w:eastAsia="Times New Roman" w:hAnsi="Times New Roman" w:cs="Times New Roman"/>
          <w:sz w:val="24"/>
          <w:szCs w:val="24"/>
        </w:rPr>
        <w:t xml:space="preserve"> flawed legal system continues to enable executions that can, in themselve</w:t>
      </w:r>
      <w:r>
        <w:rPr>
          <w:rFonts w:ascii="Times New Roman" w:eastAsia="Times New Roman" w:hAnsi="Times New Roman" w:cs="Times New Roman"/>
          <w:sz w:val="24"/>
          <w:szCs w:val="24"/>
        </w:rPr>
        <w:t xml:space="preserve">s, amount to the ultimate expression of cruel, inhuman and degrading treatment. </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At the time of writing, the GoB had not acceded to the Second Optional Protocol to ICCPR, aiming at the abolition of the death penalty</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and Bahrain’s courts continued to sente</w:t>
      </w:r>
      <w:r>
        <w:rPr>
          <w:rFonts w:ascii="Times New Roman" w:eastAsia="Times New Roman" w:hAnsi="Times New Roman" w:cs="Times New Roman"/>
          <w:sz w:val="24"/>
          <w:szCs w:val="24"/>
        </w:rPr>
        <w:t>nce people to death in cases where flagrant fair trial violations may have taken place.</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GoB maintains that it imposes the death penalty “in accordance with international law and human rights standards including the United Nations Safeguards”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However,</w:t>
      </w:r>
      <w:r>
        <w:rPr>
          <w:rFonts w:ascii="Times New Roman" w:eastAsia="Times New Roman" w:hAnsi="Times New Roman" w:cs="Times New Roman"/>
          <w:sz w:val="24"/>
          <w:szCs w:val="24"/>
        </w:rPr>
        <w:t xml:space="preserve"> the imposition of the death penalty for non-lethal </w:t>
      </w:r>
      <w:r w:rsidR="008B21DB">
        <w:rPr>
          <w:rFonts w:ascii="Times New Roman" w:eastAsia="Times New Roman" w:hAnsi="Times New Roman" w:cs="Times New Roman"/>
          <w:sz w:val="24"/>
          <w:szCs w:val="24"/>
        </w:rPr>
        <w:t>offences and</w:t>
      </w:r>
      <w:r>
        <w:rPr>
          <w:rFonts w:ascii="Times New Roman" w:eastAsia="Times New Roman" w:hAnsi="Times New Roman" w:cs="Times New Roman"/>
          <w:sz w:val="24"/>
          <w:szCs w:val="24"/>
        </w:rPr>
        <w:t xml:space="preserve"> under vaguely worded provisions that may not amount to internationally </w:t>
      </w:r>
      <w:r w:rsidR="008B21DB">
        <w:rPr>
          <w:rFonts w:ascii="Times New Roman" w:eastAsia="Times New Roman" w:hAnsi="Times New Roman" w:cs="Times New Roman"/>
          <w:sz w:val="24"/>
          <w:szCs w:val="24"/>
        </w:rPr>
        <w:t>recognizable</w:t>
      </w:r>
      <w:r>
        <w:rPr>
          <w:rFonts w:ascii="Times New Roman" w:eastAsia="Times New Roman" w:hAnsi="Times New Roman" w:cs="Times New Roman"/>
          <w:sz w:val="24"/>
          <w:szCs w:val="24"/>
        </w:rPr>
        <w:t xml:space="preserve"> criminal conduct is explicitly prohibited under international law.</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Despite this, Bahraini authorities are</w:t>
      </w:r>
      <w:r>
        <w:rPr>
          <w:rFonts w:ascii="Times New Roman" w:eastAsia="Times New Roman" w:hAnsi="Times New Roman" w:cs="Times New Roman"/>
          <w:sz w:val="24"/>
          <w:szCs w:val="24"/>
        </w:rPr>
        <w:t xml:space="preserve"> increasingly implementing </w:t>
      </w:r>
      <w:r w:rsidR="008B21DB">
        <w:rPr>
          <w:rFonts w:ascii="Times New Roman" w:eastAsia="Times New Roman" w:hAnsi="Times New Roman" w:cs="Times New Roman"/>
          <w:sz w:val="24"/>
          <w:szCs w:val="24"/>
        </w:rPr>
        <w:t>the death</w:t>
      </w:r>
      <w:r>
        <w:rPr>
          <w:rFonts w:ascii="Times New Roman" w:eastAsia="Times New Roman" w:hAnsi="Times New Roman" w:cs="Times New Roman"/>
          <w:sz w:val="24"/>
          <w:szCs w:val="24"/>
        </w:rPr>
        <w:t xml:space="preserve"> penalty for non-lethal offences, in direct violation of international law.</w:t>
      </w:r>
      <w:r>
        <w:rPr>
          <w:rFonts w:ascii="Times New Roman" w:eastAsia="Times New Roman" w:hAnsi="Times New Roman" w:cs="Times New Roman"/>
          <w:sz w:val="24"/>
          <w:szCs w:val="24"/>
          <w:vertAlign w:val="superscript"/>
        </w:rPr>
        <w:footnoteReference w:id="26"/>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GoB stated in its follow-up report that the death penalty may be imposed only for the “most serious crimes against society” while in fact </w:t>
      </w:r>
      <w:r>
        <w:rPr>
          <w:rFonts w:ascii="Times New Roman" w:eastAsia="Times New Roman" w:hAnsi="Times New Roman" w:cs="Times New Roman"/>
          <w:sz w:val="24"/>
          <w:szCs w:val="24"/>
        </w:rPr>
        <w:t xml:space="preserve">around 86 acts in different Bahraini Legislations entail the death penalty sanction, which is a relatively large number of articles for serious crimes. For instance, with regards to the crimes against the external security of the state, </w:t>
      </w:r>
      <w:r>
        <w:rPr>
          <w:rFonts w:ascii="Times New Roman" w:eastAsia="Times New Roman" w:hAnsi="Times New Roman" w:cs="Times New Roman"/>
          <w:i/>
          <w:sz w:val="24"/>
          <w:szCs w:val="24"/>
        </w:rPr>
        <w:t>“anyone who willful</w:t>
      </w:r>
      <w:r>
        <w:rPr>
          <w:rFonts w:ascii="Times New Roman" w:eastAsia="Times New Roman" w:hAnsi="Times New Roman" w:cs="Times New Roman"/>
          <w:i/>
          <w:sz w:val="24"/>
          <w:szCs w:val="24"/>
        </w:rPr>
        <w:t>ly commits an act that undermines the country's independence, unity, or territorial integrity shall be punished with the death penalty”</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and </w:t>
      </w:r>
      <w:r>
        <w:rPr>
          <w:rFonts w:ascii="Times New Roman" w:eastAsia="Times New Roman" w:hAnsi="Times New Roman" w:cs="Times New Roman"/>
          <w:i/>
          <w:sz w:val="24"/>
          <w:szCs w:val="24"/>
        </w:rPr>
        <w:t>“anyone who attacks the life or freedom of the Emir of the country shall be punished with the death penalty”</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in c</w:t>
      </w:r>
      <w:r>
        <w:rPr>
          <w:rFonts w:ascii="Times New Roman" w:eastAsia="Times New Roman" w:hAnsi="Times New Roman" w:cs="Times New Roman"/>
          <w:sz w:val="24"/>
          <w:szCs w:val="24"/>
        </w:rPr>
        <w:t>rimes against the internal security of the state. These provisions do not sanction intentional killings (most serious crimes) but rather non-lethal offenses, and by that violates the Article 6 paragraph 2 of the ICCPR.</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Over the past decade the rate of deat</w:t>
      </w:r>
      <w:r>
        <w:rPr>
          <w:rFonts w:ascii="Times New Roman" w:eastAsia="Times New Roman" w:hAnsi="Times New Roman" w:cs="Times New Roman"/>
          <w:sz w:val="24"/>
          <w:szCs w:val="24"/>
        </w:rPr>
        <w:t xml:space="preserve">h sentences in Bahrain has increased by 600%, with </w:t>
      </w:r>
      <w:r>
        <w:rPr>
          <w:rFonts w:ascii="Times New Roman" w:eastAsia="Times New Roman" w:hAnsi="Times New Roman" w:cs="Times New Roman"/>
          <w:b/>
          <w:sz w:val="24"/>
          <w:szCs w:val="24"/>
        </w:rPr>
        <w:t>51 official</w:t>
      </w:r>
      <w:r>
        <w:rPr>
          <w:rFonts w:ascii="Times New Roman" w:eastAsia="Times New Roman" w:hAnsi="Times New Roman" w:cs="Times New Roman"/>
          <w:sz w:val="24"/>
          <w:szCs w:val="24"/>
        </w:rPr>
        <w:t xml:space="preserve"> new death sentences from 2011 to 2020.</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In contrast to what the GoB claims. </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of October 2021, </w:t>
      </w:r>
      <w:r>
        <w:rPr>
          <w:rFonts w:ascii="Times New Roman" w:eastAsia="Times New Roman" w:hAnsi="Times New Roman" w:cs="Times New Roman"/>
          <w:b/>
          <w:sz w:val="24"/>
          <w:szCs w:val="24"/>
        </w:rPr>
        <w:t>27 individuals</w:t>
      </w:r>
      <w:r>
        <w:rPr>
          <w:rFonts w:ascii="Times New Roman" w:eastAsia="Times New Roman" w:hAnsi="Times New Roman" w:cs="Times New Roman"/>
          <w:sz w:val="24"/>
          <w:szCs w:val="24"/>
        </w:rPr>
        <w:t>, 12 of whom are political prisoners, have exhausted all legal avenues for appeal.</w:t>
      </w:r>
      <w:r>
        <w:rPr>
          <w:rFonts w:ascii="Times New Roman" w:eastAsia="Times New Roman" w:hAnsi="Times New Roman" w:cs="Times New Roman"/>
          <w:sz w:val="24"/>
          <w:szCs w:val="24"/>
        </w:rPr>
        <w:t xml:space="preserve"> Whilst the GoB does not publicly release the names of individuals who are on death row, the below 12 individuals have had their death sentences confirmed by the Court of Cassation, the highest court in Bahrain. Under </w:t>
      </w:r>
      <w:r>
        <w:rPr>
          <w:rFonts w:ascii="Times New Roman" w:eastAsia="Times New Roman" w:hAnsi="Times New Roman" w:cs="Times New Roman"/>
          <w:b/>
          <w:sz w:val="24"/>
          <w:szCs w:val="24"/>
        </w:rPr>
        <w:t>Article 328</w:t>
      </w:r>
      <w:r>
        <w:rPr>
          <w:rFonts w:ascii="Times New Roman" w:eastAsia="Times New Roman" w:hAnsi="Times New Roman" w:cs="Times New Roman"/>
          <w:sz w:val="24"/>
          <w:szCs w:val="24"/>
        </w:rPr>
        <w:t xml:space="preserve"> of the Code of Criminal Pr</w:t>
      </w:r>
      <w:r>
        <w:rPr>
          <w:rFonts w:ascii="Times New Roman" w:eastAsia="Times New Roman" w:hAnsi="Times New Roman" w:cs="Times New Roman"/>
          <w:sz w:val="24"/>
          <w:szCs w:val="24"/>
        </w:rPr>
        <w:t>ocedure No. 46 of 2002</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once the Court of Cassation upholds the death sentence of an individual, they can no longer appeal it and must await the final stage of the process, the king’s ratification of their sentence.</w:t>
      </w:r>
      <w:r>
        <w:rPr>
          <w:rFonts w:ascii="Times New Roman" w:eastAsia="Times New Roman" w:hAnsi="Times New Roman" w:cs="Times New Roman"/>
          <w:sz w:val="24"/>
          <w:szCs w:val="24"/>
          <w:vertAlign w:val="superscript"/>
        </w:rPr>
        <w:footnoteReference w:id="31"/>
      </w:r>
    </w:p>
    <w:p w:rsidR="004672FE" w:rsidRDefault="00C11CCE">
      <w:pPr>
        <w:ind w:left="719"/>
        <w:rPr>
          <w:rFonts w:ascii="Times New Roman" w:eastAsia="Times New Roman" w:hAnsi="Times New Roman" w:cs="Times New Roman"/>
          <w:sz w:val="24"/>
          <w:szCs w:val="24"/>
        </w:rPr>
      </w:pPr>
      <w:r>
        <w:rPr>
          <w:rFonts w:ascii="Times New Roman" w:eastAsia="Times New Roman" w:hAnsi="Times New Roman" w:cs="Times New Roman"/>
          <w:sz w:val="24"/>
          <w:szCs w:val="24"/>
        </w:rPr>
        <w:t>1) Maher Abbas al-</w:t>
      </w:r>
      <w:proofErr w:type="spellStart"/>
      <w:r>
        <w:rPr>
          <w:rFonts w:ascii="Times New Roman" w:eastAsia="Times New Roman" w:hAnsi="Times New Roman" w:cs="Times New Roman"/>
          <w:sz w:val="24"/>
          <w:szCs w:val="24"/>
        </w:rPr>
        <w:t>Khabbaz</w:t>
      </w:r>
      <w:proofErr w:type="spellEnd"/>
      <w:r>
        <w:rPr>
          <w:rFonts w:ascii="Times New Roman" w:eastAsia="Times New Roman" w:hAnsi="Times New Roman" w:cs="Times New Roman"/>
          <w:sz w:val="24"/>
          <w:szCs w:val="24"/>
        </w:rPr>
        <w:t xml:space="preserve"> – sentenced:</w:t>
      </w:r>
      <w:r>
        <w:rPr>
          <w:rFonts w:ascii="Times New Roman" w:eastAsia="Times New Roman" w:hAnsi="Times New Roman" w:cs="Times New Roman"/>
          <w:sz w:val="24"/>
          <w:szCs w:val="24"/>
        </w:rPr>
        <w:t xml:space="preserve"> 29 January 2018. </w:t>
      </w:r>
    </w:p>
    <w:p w:rsidR="004672FE" w:rsidRDefault="00C11CCE">
      <w:pPr>
        <w:ind w:left="71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Hussein Ibrahim Ali Hussein </w:t>
      </w:r>
      <w:proofErr w:type="spellStart"/>
      <w:r>
        <w:rPr>
          <w:rFonts w:ascii="Times New Roman" w:eastAsia="Times New Roman" w:hAnsi="Times New Roman" w:cs="Times New Roman"/>
          <w:sz w:val="24"/>
          <w:szCs w:val="24"/>
        </w:rPr>
        <w:t>Marzouq</w:t>
      </w:r>
      <w:proofErr w:type="spellEnd"/>
      <w:r>
        <w:rPr>
          <w:rFonts w:ascii="Times New Roman" w:eastAsia="Times New Roman" w:hAnsi="Times New Roman" w:cs="Times New Roman"/>
          <w:sz w:val="24"/>
          <w:szCs w:val="24"/>
        </w:rPr>
        <w:t xml:space="preserve"> – sentenced: 26 February 2018. </w:t>
      </w:r>
    </w:p>
    <w:p w:rsidR="004672FE" w:rsidRDefault="00C11CCE">
      <w:pPr>
        <w:ind w:left="71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proofErr w:type="spellStart"/>
      <w:r>
        <w:rPr>
          <w:rFonts w:ascii="Times New Roman" w:eastAsia="Times New Roman" w:hAnsi="Times New Roman" w:cs="Times New Roman"/>
          <w:sz w:val="24"/>
          <w:szCs w:val="24"/>
        </w:rPr>
        <w:t>Sayed</w:t>
      </w:r>
      <w:proofErr w:type="spellEnd"/>
      <w:r>
        <w:rPr>
          <w:rFonts w:ascii="Times New Roman" w:eastAsia="Times New Roman" w:hAnsi="Times New Roman" w:cs="Times New Roman"/>
          <w:sz w:val="24"/>
          <w:szCs w:val="24"/>
        </w:rPr>
        <w:t xml:space="preserve"> Ahmed </w:t>
      </w:r>
      <w:proofErr w:type="spellStart"/>
      <w:r>
        <w:rPr>
          <w:rFonts w:ascii="Times New Roman" w:eastAsia="Times New Roman" w:hAnsi="Times New Roman" w:cs="Times New Roman"/>
          <w:sz w:val="24"/>
          <w:szCs w:val="24"/>
        </w:rPr>
        <w:t>Fawad</w:t>
      </w:r>
      <w:proofErr w:type="spellEnd"/>
      <w:r>
        <w:rPr>
          <w:rFonts w:ascii="Times New Roman" w:eastAsia="Times New Roman" w:hAnsi="Times New Roman" w:cs="Times New Roman"/>
          <w:sz w:val="24"/>
          <w:szCs w:val="24"/>
        </w:rPr>
        <w:t xml:space="preserve"> Abbas al-</w:t>
      </w:r>
      <w:proofErr w:type="spellStart"/>
      <w:r>
        <w:rPr>
          <w:rFonts w:ascii="Times New Roman" w:eastAsia="Times New Roman" w:hAnsi="Times New Roman" w:cs="Times New Roman"/>
          <w:sz w:val="24"/>
          <w:szCs w:val="24"/>
        </w:rPr>
        <w:t>Abbar</w:t>
      </w:r>
      <w:proofErr w:type="spellEnd"/>
      <w:r>
        <w:rPr>
          <w:rFonts w:ascii="Times New Roman" w:eastAsia="Times New Roman" w:hAnsi="Times New Roman" w:cs="Times New Roman"/>
          <w:sz w:val="24"/>
          <w:szCs w:val="24"/>
        </w:rPr>
        <w:t xml:space="preserve"> – sentenced: 21 May 2018. </w:t>
      </w:r>
    </w:p>
    <w:p w:rsidR="004672FE" w:rsidRDefault="00C11CCE">
      <w:pPr>
        <w:ind w:left="71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Hussein Ali Mahdi </w:t>
      </w:r>
      <w:proofErr w:type="spellStart"/>
      <w:r>
        <w:rPr>
          <w:rFonts w:ascii="Times New Roman" w:eastAsia="Times New Roman" w:hAnsi="Times New Roman" w:cs="Times New Roman"/>
          <w:sz w:val="24"/>
          <w:szCs w:val="24"/>
        </w:rPr>
        <w:t>Jasim</w:t>
      </w:r>
      <w:proofErr w:type="spellEnd"/>
      <w:r>
        <w:rPr>
          <w:rFonts w:ascii="Times New Roman" w:eastAsia="Times New Roman" w:hAnsi="Times New Roman" w:cs="Times New Roman"/>
          <w:sz w:val="24"/>
          <w:szCs w:val="24"/>
        </w:rPr>
        <w:t xml:space="preserve"> – sentenced: 21 May 2018. </w:t>
      </w:r>
    </w:p>
    <w:p w:rsidR="004672FE" w:rsidRDefault="00C11CCE">
      <w:pPr>
        <w:ind w:left="719"/>
        <w:rPr>
          <w:rFonts w:ascii="Times New Roman" w:eastAsia="Times New Roman" w:hAnsi="Times New Roman" w:cs="Times New Roman"/>
          <w:sz w:val="24"/>
          <w:szCs w:val="24"/>
        </w:rPr>
      </w:pPr>
      <w:r>
        <w:rPr>
          <w:rFonts w:ascii="Times New Roman" w:eastAsia="Times New Roman" w:hAnsi="Times New Roman" w:cs="Times New Roman"/>
          <w:sz w:val="24"/>
          <w:szCs w:val="24"/>
        </w:rPr>
        <w:t>5) Salman Isa Ali Salman – sentenced: 4 June 2018</w:t>
      </w:r>
      <w:r>
        <w:rPr>
          <w:rFonts w:ascii="Times New Roman" w:eastAsia="Times New Roman" w:hAnsi="Times New Roman" w:cs="Times New Roman"/>
          <w:sz w:val="24"/>
          <w:szCs w:val="24"/>
        </w:rPr>
        <w:t xml:space="preserve">. </w:t>
      </w:r>
    </w:p>
    <w:p w:rsidR="004672FE" w:rsidRDefault="00C11CCE">
      <w:pPr>
        <w:ind w:left="71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Mohamed </w:t>
      </w:r>
      <w:proofErr w:type="spellStart"/>
      <w:r>
        <w:rPr>
          <w:rFonts w:ascii="Times New Roman" w:eastAsia="Times New Roman" w:hAnsi="Times New Roman" w:cs="Times New Roman"/>
          <w:sz w:val="24"/>
          <w:szCs w:val="24"/>
        </w:rPr>
        <w:t>Radi</w:t>
      </w:r>
      <w:proofErr w:type="spellEnd"/>
      <w:r>
        <w:rPr>
          <w:rFonts w:ascii="Times New Roman" w:eastAsia="Times New Roman" w:hAnsi="Times New Roman" w:cs="Times New Roman"/>
          <w:sz w:val="24"/>
          <w:szCs w:val="24"/>
        </w:rPr>
        <w:t xml:space="preserve"> Abdullah </w:t>
      </w:r>
      <w:proofErr w:type="spellStart"/>
      <w:r>
        <w:rPr>
          <w:rFonts w:ascii="Times New Roman" w:eastAsia="Times New Roman" w:hAnsi="Times New Roman" w:cs="Times New Roman"/>
          <w:sz w:val="24"/>
          <w:szCs w:val="24"/>
        </w:rPr>
        <w:t>Hasan</w:t>
      </w:r>
      <w:proofErr w:type="spellEnd"/>
      <w:r>
        <w:rPr>
          <w:rFonts w:ascii="Times New Roman" w:eastAsia="Times New Roman" w:hAnsi="Times New Roman" w:cs="Times New Roman"/>
          <w:sz w:val="24"/>
          <w:szCs w:val="24"/>
        </w:rPr>
        <w:t xml:space="preserve"> – sentenced: 25 February 2019. </w:t>
      </w:r>
    </w:p>
    <w:p w:rsidR="004672FE" w:rsidRDefault="00C11CCE">
      <w:pPr>
        <w:ind w:left="71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Hussein Abdullah </w:t>
      </w:r>
      <w:proofErr w:type="spellStart"/>
      <w:r>
        <w:rPr>
          <w:rFonts w:ascii="Times New Roman" w:eastAsia="Times New Roman" w:hAnsi="Times New Roman" w:cs="Times New Roman"/>
          <w:sz w:val="24"/>
          <w:szCs w:val="24"/>
        </w:rPr>
        <w:t>Marhoun</w:t>
      </w:r>
      <w:proofErr w:type="spellEnd"/>
      <w:r>
        <w:rPr>
          <w:rFonts w:ascii="Times New Roman" w:eastAsia="Times New Roman" w:hAnsi="Times New Roman" w:cs="Times New Roman"/>
          <w:sz w:val="24"/>
          <w:szCs w:val="24"/>
        </w:rPr>
        <w:t xml:space="preserve"> – sentenced: 20 May 2019. </w:t>
      </w:r>
    </w:p>
    <w:p w:rsidR="004672FE" w:rsidRDefault="00C11CCE">
      <w:pPr>
        <w:ind w:left="71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proofErr w:type="spellStart"/>
      <w:r>
        <w:rPr>
          <w:rFonts w:ascii="Times New Roman" w:eastAsia="Times New Roman" w:hAnsi="Times New Roman" w:cs="Times New Roman"/>
          <w:sz w:val="24"/>
          <w:szCs w:val="24"/>
        </w:rPr>
        <w:t>Mousa</w:t>
      </w:r>
      <w:proofErr w:type="spellEnd"/>
      <w:r>
        <w:rPr>
          <w:rFonts w:ascii="Times New Roman" w:eastAsia="Times New Roman" w:hAnsi="Times New Roman" w:cs="Times New Roman"/>
          <w:sz w:val="24"/>
          <w:szCs w:val="24"/>
        </w:rPr>
        <w:t xml:space="preserve"> Abdullah </w:t>
      </w:r>
      <w:proofErr w:type="spellStart"/>
      <w:r>
        <w:rPr>
          <w:rFonts w:ascii="Times New Roman" w:eastAsia="Times New Roman" w:hAnsi="Times New Roman" w:cs="Times New Roman"/>
          <w:sz w:val="24"/>
          <w:szCs w:val="24"/>
        </w:rPr>
        <w:t>Mousa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Jaafar</w:t>
      </w:r>
      <w:proofErr w:type="spellEnd"/>
      <w:r>
        <w:rPr>
          <w:rFonts w:ascii="Times New Roman" w:eastAsia="Times New Roman" w:hAnsi="Times New Roman" w:cs="Times New Roman"/>
          <w:sz w:val="24"/>
          <w:szCs w:val="24"/>
        </w:rPr>
        <w:t xml:space="preserve"> – sentenced: 3 June 2019. </w:t>
      </w:r>
    </w:p>
    <w:p w:rsidR="004672FE" w:rsidRDefault="00C11CCE">
      <w:pPr>
        <w:ind w:left="71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Hussein Abdullah Khalil Rashid – sentenced: 15 June 2020. </w:t>
      </w:r>
    </w:p>
    <w:p w:rsidR="004672FE" w:rsidRDefault="00C11CCE">
      <w:pPr>
        <w:ind w:left="71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w:t>
      </w:r>
      <w:proofErr w:type="spellStart"/>
      <w:r>
        <w:rPr>
          <w:rFonts w:ascii="Times New Roman" w:eastAsia="Times New Roman" w:hAnsi="Times New Roman" w:cs="Times New Roman"/>
          <w:sz w:val="24"/>
          <w:szCs w:val="24"/>
        </w:rPr>
        <w:t>Zuhair</w:t>
      </w:r>
      <w:proofErr w:type="spellEnd"/>
      <w:r>
        <w:rPr>
          <w:rFonts w:ascii="Times New Roman" w:eastAsia="Times New Roman" w:hAnsi="Times New Roman" w:cs="Times New Roman"/>
          <w:sz w:val="24"/>
          <w:szCs w:val="24"/>
        </w:rPr>
        <w:t xml:space="preserve"> Ibrahim </w:t>
      </w:r>
      <w:proofErr w:type="spellStart"/>
      <w:r>
        <w:rPr>
          <w:rFonts w:ascii="Times New Roman" w:eastAsia="Times New Roman" w:hAnsi="Times New Roman" w:cs="Times New Roman"/>
          <w:sz w:val="24"/>
          <w:szCs w:val="24"/>
        </w:rPr>
        <w:t>Jasim</w:t>
      </w:r>
      <w:proofErr w:type="spellEnd"/>
      <w:r>
        <w:rPr>
          <w:rFonts w:ascii="Times New Roman" w:eastAsia="Times New Roman" w:hAnsi="Times New Roman" w:cs="Times New Roman"/>
          <w:sz w:val="24"/>
          <w:szCs w:val="24"/>
        </w:rPr>
        <w:t xml:space="preserve"> Abdullah – sentenced: 15 June 2020. </w:t>
      </w:r>
    </w:p>
    <w:p w:rsidR="004672FE" w:rsidRDefault="00C11CCE">
      <w:pPr>
        <w:ind w:left="71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Mohamed </w:t>
      </w:r>
      <w:proofErr w:type="spellStart"/>
      <w:r>
        <w:rPr>
          <w:rFonts w:ascii="Times New Roman" w:eastAsia="Times New Roman" w:hAnsi="Times New Roman" w:cs="Times New Roman"/>
          <w:sz w:val="24"/>
          <w:szCs w:val="24"/>
        </w:rPr>
        <w:t>Ramadhan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Issa</w:t>
      </w:r>
      <w:proofErr w:type="spellEnd"/>
      <w:r>
        <w:rPr>
          <w:rFonts w:ascii="Times New Roman" w:eastAsia="Times New Roman" w:hAnsi="Times New Roman" w:cs="Times New Roman"/>
          <w:sz w:val="24"/>
          <w:szCs w:val="24"/>
        </w:rPr>
        <w:t xml:space="preserve"> Ali </w:t>
      </w:r>
      <w:proofErr w:type="spellStart"/>
      <w:r>
        <w:rPr>
          <w:rFonts w:ascii="Times New Roman" w:eastAsia="Times New Roman" w:hAnsi="Times New Roman" w:cs="Times New Roman"/>
          <w:sz w:val="24"/>
          <w:szCs w:val="24"/>
        </w:rPr>
        <w:t>Hussain</w:t>
      </w:r>
      <w:proofErr w:type="spellEnd"/>
      <w:r>
        <w:rPr>
          <w:rFonts w:ascii="Times New Roman" w:eastAsia="Times New Roman" w:hAnsi="Times New Roman" w:cs="Times New Roman"/>
          <w:sz w:val="24"/>
          <w:szCs w:val="24"/>
        </w:rPr>
        <w:t xml:space="preserve"> – sentenced: 13 July 2020. </w:t>
      </w:r>
    </w:p>
    <w:p w:rsidR="004672FE" w:rsidRDefault="00C11CCE">
      <w:pPr>
        <w:ind w:left="71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Hussein Ali </w:t>
      </w:r>
      <w:proofErr w:type="spellStart"/>
      <w:r>
        <w:rPr>
          <w:rFonts w:ascii="Times New Roman" w:eastAsia="Times New Roman" w:hAnsi="Times New Roman" w:cs="Times New Roman"/>
          <w:sz w:val="24"/>
          <w:szCs w:val="24"/>
        </w:rPr>
        <w:t>Mousa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Hasan</w:t>
      </w:r>
      <w:proofErr w:type="spellEnd"/>
      <w:r>
        <w:rPr>
          <w:rFonts w:ascii="Times New Roman" w:eastAsia="Times New Roman" w:hAnsi="Times New Roman" w:cs="Times New Roman"/>
          <w:sz w:val="24"/>
          <w:szCs w:val="24"/>
        </w:rPr>
        <w:t xml:space="preserve"> Mohamed – sentenced: 13 July 2020.</w:t>
      </w:r>
      <w:r>
        <w:rPr>
          <w:rFonts w:ascii="Times New Roman" w:eastAsia="Times New Roman" w:hAnsi="Times New Roman" w:cs="Times New Roman"/>
          <w:sz w:val="24"/>
          <w:szCs w:val="24"/>
          <w:vertAlign w:val="superscript"/>
        </w:rPr>
        <w:footnoteReference w:id="32"/>
      </w:r>
    </w:p>
    <w:p w:rsidR="004672FE" w:rsidRDefault="00C11CCE">
      <w:pPr>
        <w:ind w:left="719"/>
        <w:rPr>
          <w:rFonts w:ascii="Times New Roman" w:eastAsia="Times New Roman" w:hAnsi="Times New Roman" w:cs="Times New Roman"/>
          <w:sz w:val="24"/>
          <w:szCs w:val="24"/>
        </w:rPr>
      </w:pPr>
      <w:r>
        <w:rPr>
          <w:rFonts w:ascii="Times New Roman" w:eastAsia="Times New Roman" w:hAnsi="Times New Roman" w:cs="Times New Roman"/>
          <w:sz w:val="24"/>
          <w:szCs w:val="24"/>
        </w:rPr>
        <w:t>In May 2020 SALAM DHR wrote to the government’s Ombudsman in rel</w:t>
      </w:r>
      <w:r>
        <w:rPr>
          <w:rFonts w:ascii="Times New Roman" w:eastAsia="Times New Roman" w:hAnsi="Times New Roman" w:cs="Times New Roman"/>
          <w:sz w:val="24"/>
          <w:szCs w:val="24"/>
        </w:rPr>
        <w:t>ation to these cases and set out fair trial concerns, notably in relation to effective representation of the accused. We sought assurances in relation to this issue, and in relation to the treatment of the detainees.</w:t>
      </w:r>
      <w:r>
        <w:rPr>
          <w:rFonts w:ascii="Times New Roman" w:eastAsia="Times New Roman" w:hAnsi="Times New Roman" w:cs="Times New Roman"/>
          <w:sz w:val="24"/>
          <w:szCs w:val="24"/>
          <w:vertAlign w:val="superscript"/>
        </w:rPr>
        <w:footnoteReference w:id="33"/>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Under the current system, these people</w:t>
      </w:r>
      <w:r>
        <w:rPr>
          <w:rFonts w:ascii="Times New Roman" w:eastAsia="Times New Roman" w:hAnsi="Times New Roman" w:cs="Times New Roman"/>
          <w:sz w:val="24"/>
          <w:szCs w:val="24"/>
        </w:rPr>
        <w:t xml:space="preserve"> could be executed at any moment with no warning, a practice that violates both international law and Bahrain’s Constitution. Executions have occurred this way in 2017 and 2019 after the death penalty was brought out of de-facto moratorium in January 2017.</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Under international law and Bahraini law, evidence and/or confessions obtained through torture are considered tainted and are therefore inadmissible in a court of law. It is something, however, Bahraini law enforcement and courts continue to ignore with i</w:t>
      </w:r>
      <w:r>
        <w:rPr>
          <w:rFonts w:ascii="Times New Roman" w:eastAsia="Times New Roman" w:hAnsi="Times New Roman" w:cs="Times New Roman"/>
          <w:sz w:val="24"/>
          <w:szCs w:val="24"/>
        </w:rPr>
        <w:t>mpunity.</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 the past decade, there have been multiple instances of individuals confessing to the crime of terrorism under torture. For instance, on 29 December 2014, Mohammed </w:t>
      </w:r>
      <w:proofErr w:type="spellStart"/>
      <w:r>
        <w:rPr>
          <w:rFonts w:ascii="Times New Roman" w:eastAsia="Times New Roman" w:hAnsi="Times New Roman" w:cs="Times New Roman"/>
          <w:sz w:val="24"/>
          <w:szCs w:val="24"/>
        </w:rPr>
        <w:t>Ramadhan</w:t>
      </w:r>
      <w:proofErr w:type="spellEnd"/>
      <w:r>
        <w:rPr>
          <w:rFonts w:ascii="Times New Roman" w:eastAsia="Times New Roman" w:hAnsi="Times New Roman" w:cs="Times New Roman"/>
          <w:sz w:val="24"/>
          <w:szCs w:val="24"/>
        </w:rPr>
        <w:t xml:space="preserve"> and Husain Ali </w:t>
      </w:r>
      <w:proofErr w:type="spellStart"/>
      <w:r>
        <w:rPr>
          <w:rFonts w:ascii="Times New Roman" w:eastAsia="Times New Roman" w:hAnsi="Times New Roman" w:cs="Times New Roman"/>
          <w:sz w:val="24"/>
          <w:szCs w:val="24"/>
        </w:rPr>
        <w:t>Moosa</w:t>
      </w:r>
      <w:proofErr w:type="spellEnd"/>
      <w:r>
        <w:rPr>
          <w:rFonts w:ascii="Times New Roman" w:eastAsia="Times New Roman" w:hAnsi="Times New Roman" w:cs="Times New Roman"/>
          <w:sz w:val="24"/>
          <w:szCs w:val="24"/>
        </w:rPr>
        <w:t xml:space="preserve"> were sentenced to death by a Bahraini criminal </w:t>
      </w:r>
      <w:r>
        <w:rPr>
          <w:rFonts w:ascii="Times New Roman" w:eastAsia="Times New Roman" w:hAnsi="Times New Roman" w:cs="Times New Roman"/>
          <w:sz w:val="24"/>
          <w:szCs w:val="24"/>
        </w:rPr>
        <w:lastRenderedPageBreak/>
        <w:t>co</w:t>
      </w:r>
      <w:r>
        <w:rPr>
          <w:rFonts w:ascii="Times New Roman" w:eastAsia="Times New Roman" w:hAnsi="Times New Roman" w:cs="Times New Roman"/>
          <w:sz w:val="24"/>
          <w:szCs w:val="24"/>
        </w:rPr>
        <w:t xml:space="preserve">urt for their alleged involvement in a February 2014 bomb explosion that killed a police officer. Both defendants state that Bahraini authorities tortured them into providing false confessions. </w:t>
      </w:r>
      <w:proofErr w:type="spellStart"/>
      <w:r>
        <w:rPr>
          <w:rFonts w:ascii="Times New Roman" w:eastAsia="Times New Roman" w:hAnsi="Times New Roman" w:cs="Times New Roman"/>
          <w:sz w:val="24"/>
          <w:szCs w:val="24"/>
        </w:rPr>
        <w:t>Moosa</w:t>
      </w:r>
      <w:proofErr w:type="spellEnd"/>
      <w:r>
        <w:rPr>
          <w:rFonts w:ascii="Times New Roman" w:eastAsia="Times New Roman" w:hAnsi="Times New Roman" w:cs="Times New Roman"/>
          <w:sz w:val="24"/>
          <w:szCs w:val="24"/>
        </w:rPr>
        <w:t xml:space="preserve"> was allegedly hung from a ceiling for three days, beaten</w:t>
      </w:r>
      <w:r>
        <w:rPr>
          <w:rFonts w:ascii="Times New Roman" w:eastAsia="Times New Roman" w:hAnsi="Times New Roman" w:cs="Times New Roman"/>
          <w:sz w:val="24"/>
          <w:szCs w:val="24"/>
        </w:rPr>
        <w:t xml:space="preserve">, and on several occasions, told by authorities that they would harm his relatives if he did not confess. </w:t>
      </w:r>
      <w:proofErr w:type="spellStart"/>
      <w:r>
        <w:rPr>
          <w:rFonts w:ascii="Times New Roman" w:eastAsia="Times New Roman" w:hAnsi="Times New Roman" w:cs="Times New Roman"/>
          <w:sz w:val="24"/>
          <w:szCs w:val="24"/>
        </w:rPr>
        <w:t>Ramadhan</w:t>
      </w:r>
      <w:proofErr w:type="spellEnd"/>
      <w:r>
        <w:rPr>
          <w:rFonts w:ascii="Times New Roman" w:eastAsia="Times New Roman" w:hAnsi="Times New Roman" w:cs="Times New Roman"/>
          <w:sz w:val="24"/>
          <w:szCs w:val="24"/>
        </w:rPr>
        <w:t xml:space="preserve"> was allegedly arrested without a warrant and violently beaten on his genitals until he agreed to confess.</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These confessions, made under tortu</w:t>
      </w:r>
      <w:r>
        <w:rPr>
          <w:rFonts w:ascii="Times New Roman" w:eastAsia="Times New Roman" w:hAnsi="Times New Roman" w:cs="Times New Roman"/>
          <w:sz w:val="24"/>
          <w:szCs w:val="24"/>
        </w:rPr>
        <w:t xml:space="preserve">re and threats against family members, were used to convict and sentence </w:t>
      </w:r>
      <w:proofErr w:type="spellStart"/>
      <w:r>
        <w:rPr>
          <w:rFonts w:ascii="Times New Roman" w:eastAsia="Times New Roman" w:hAnsi="Times New Roman" w:cs="Times New Roman"/>
          <w:sz w:val="24"/>
          <w:szCs w:val="24"/>
        </w:rPr>
        <w:t>Ramadhan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Moosa</w:t>
      </w:r>
      <w:proofErr w:type="spellEnd"/>
      <w:r>
        <w:rPr>
          <w:rFonts w:ascii="Times New Roman" w:eastAsia="Times New Roman" w:hAnsi="Times New Roman" w:cs="Times New Roman"/>
          <w:sz w:val="24"/>
          <w:szCs w:val="24"/>
        </w:rPr>
        <w:t xml:space="preserve"> to death, breaching international law. Both men have subsequently had their sentences upheld by the Court of Cassation on 16 November 2015</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despite having recanted</w:t>
      </w:r>
      <w:r>
        <w:rPr>
          <w:rFonts w:ascii="Times New Roman" w:eastAsia="Times New Roman" w:hAnsi="Times New Roman" w:cs="Times New Roman"/>
          <w:sz w:val="24"/>
          <w:szCs w:val="24"/>
        </w:rPr>
        <w:t xml:space="preserve"> their confessions and affirming that they confessed under torture. Their allegations have not been investigated by Bahraini authorities. </w:t>
      </w:r>
      <w:proofErr w:type="spellStart"/>
      <w:r>
        <w:rPr>
          <w:rFonts w:ascii="Times New Roman" w:eastAsia="Times New Roman" w:hAnsi="Times New Roman" w:cs="Times New Roman"/>
          <w:sz w:val="24"/>
          <w:szCs w:val="24"/>
        </w:rPr>
        <w:t>Ramadhan</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Moosa</w:t>
      </w:r>
      <w:proofErr w:type="spellEnd"/>
      <w:r>
        <w:rPr>
          <w:rFonts w:ascii="Times New Roman" w:eastAsia="Times New Roman" w:hAnsi="Times New Roman" w:cs="Times New Roman"/>
          <w:sz w:val="24"/>
          <w:szCs w:val="24"/>
        </w:rPr>
        <w:t xml:space="preserve"> have exhausted all legal options and now face imminent execution by firing squad.</w:t>
      </w:r>
      <w:r>
        <w:rPr>
          <w:rFonts w:ascii="Times New Roman" w:eastAsia="Times New Roman" w:hAnsi="Times New Roman" w:cs="Times New Roman"/>
          <w:sz w:val="24"/>
          <w:szCs w:val="24"/>
          <w:vertAlign w:val="superscript"/>
        </w:rPr>
        <w:footnoteReference w:id="35"/>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January 2017,</w:t>
      </w:r>
      <w:r>
        <w:rPr>
          <w:rFonts w:ascii="Times New Roman" w:eastAsia="Times New Roman" w:hAnsi="Times New Roman" w:cs="Times New Roman"/>
          <w:sz w:val="24"/>
          <w:szCs w:val="24"/>
        </w:rPr>
        <w:t xml:space="preserve"> Bahrain executed three people: Sami </w:t>
      </w:r>
      <w:proofErr w:type="spellStart"/>
      <w:r>
        <w:rPr>
          <w:rFonts w:ascii="Times New Roman" w:eastAsia="Times New Roman" w:hAnsi="Times New Roman" w:cs="Times New Roman"/>
          <w:sz w:val="24"/>
          <w:szCs w:val="24"/>
        </w:rPr>
        <w:t>Merza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Mushaima</w:t>
      </w:r>
      <w:proofErr w:type="spellEnd"/>
      <w:r>
        <w:rPr>
          <w:rFonts w:ascii="Times New Roman" w:eastAsia="Times New Roman" w:hAnsi="Times New Roman" w:cs="Times New Roman"/>
          <w:sz w:val="24"/>
          <w:szCs w:val="24"/>
        </w:rPr>
        <w:t>, Abbas Jamil al-</w:t>
      </w:r>
      <w:proofErr w:type="spellStart"/>
      <w:r>
        <w:rPr>
          <w:rFonts w:ascii="Times New Roman" w:eastAsia="Times New Roman" w:hAnsi="Times New Roman" w:cs="Times New Roman"/>
          <w:sz w:val="24"/>
          <w:szCs w:val="24"/>
        </w:rPr>
        <w:t>Samea</w:t>
      </w:r>
      <w:proofErr w:type="spellEnd"/>
      <w:r>
        <w:rPr>
          <w:rFonts w:ascii="Times New Roman" w:eastAsia="Times New Roman" w:hAnsi="Times New Roman" w:cs="Times New Roman"/>
          <w:sz w:val="24"/>
          <w:szCs w:val="24"/>
        </w:rPr>
        <w:t xml:space="preserve"> and Ali Abdul </w:t>
      </w:r>
      <w:proofErr w:type="spellStart"/>
      <w:r>
        <w:rPr>
          <w:rFonts w:ascii="Times New Roman" w:eastAsia="Times New Roman" w:hAnsi="Times New Roman" w:cs="Times New Roman"/>
          <w:sz w:val="24"/>
          <w:szCs w:val="24"/>
        </w:rPr>
        <w:t>Shahid</w:t>
      </w:r>
      <w:proofErr w:type="spellEnd"/>
      <w:r>
        <w:rPr>
          <w:rFonts w:ascii="Times New Roman" w:eastAsia="Times New Roman" w:hAnsi="Times New Roman" w:cs="Times New Roman"/>
          <w:sz w:val="24"/>
          <w:szCs w:val="24"/>
        </w:rPr>
        <w:t xml:space="preserve"> al-</w:t>
      </w:r>
      <w:proofErr w:type="spellStart"/>
      <w:r>
        <w:rPr>
          <w:rFonts w:ascii="Times New Roman" w:eastAsia="Times New Roman" w:hAnsi="Times New Roman" w:cs="Times New Roman"/>
          <w:sz w:val="24"/>
          <w:szCs w:val="24"/>
        </w:rPr>
        <w:t>Singace</w:t>
      </w:r>
      <w:proofErr w:type="spellEnd"/>
      <w:r>
        <w:rPr>
          <w:rFonts w:ascii="Times New Roman" w:eastAsia="Times New Roman" w:hAnsi="Times New Roman" w:cs="Times New Roman"/>
          <w:sz w:val="24"/>
          <w:szCs w:val="24"/>
        </w:rPr>
        <w:t>. The authorities arrested them and seven others, who received life sentences, in connection with the death of three police officers. In 2015, they wer</w:t>
      </w:r>
      <w:r>
        <w:rPr>
          <w:rFonts w:ascii="Times New Roman" w:eastAsia="Times New Roman" w:hAnsi="Times New Roman" w:cs="Times New Roman"/>
          <w:sz w:val="24"/>
          <w:szCs w:val="24"/>
        </w:rPr>
        <w:t>e all convicted in an unfair trial which used evidence extracted through torture. Despite this, Bahrain proceeded to execute the three men on 15 January, 2017.</w:t>
      </w:r>
      <w:r>
        <w:rPr>
          <w:rFonts w:ascii="Times New Roman" w:eastAsia="Times New Roman" w:hAnsi="Times New Roman" w:cs="Times New Roman"/>
          <w:sz w:val="24"/>
          <w:szCs w:val="24"/>
          <w:vertAlign w:val="superscript"/>
        </w:rPr>
        <w:footnoteReference w:id="36"/>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While no executions were reported in 2018, on 26 July, 2019, Bahrain executed Ali Al-Arab, Ahme</w:t>
      </w:r>
      <w:r>
        <w:rPr>
          <w:rFonts w:ascii="Times New Roman" w:eastAsia="Times New Roman" w:hAnsi="Times New Roman" w:cs="Times New Roman"/>
          <w:sz w:val="24"/>
          <w:szCs w:val="24"/>
        </w:rPr>
        <w:t>d Al-</w:t>
      </w:r>
      <w:proofErr w:type="spellStart"/>
      <w:r>
        <w:rPr>
          <w:rFonts w:ascii="Times New Roman" w:eastAsia="Times New Roman" w:hAnsi="Times New Roman" w:cs="Times New Roman"/>
          <w:sz w:val="24"/>
          <w:szCs w:val="24"/>
        </w:rPr>
        <w:t>Malali</w:t>
      </w:r>
      <w:proofErr w:type="spellEnd"/>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as well as an unnamed Bangladeshi national. They did not receive fair trials, despite calls from UN human rights experts for Bahrain to halt the executions amid concerns that Ali and Ahmed were coerced into making confessions through torture.</w:t>
      </w:r>
      <w:r>
        <w:rPr>
          <w:rFonts w:ascii="Times New Roman" w:eastAsia="Times New Roman" w:hAnsi="Times New Roman" w:cs="Times New Roman"/>
          <w:sz w:val="24"/>
          <w:szCs w:val="24"/>
          <w:vertAlign w:val="superscript"/>
        </w:rPr>
        <w:footnoteReference w:id="38"/>
      </w:r>
    </w:p>
    <w:p w:rsidR="004672FE" w:rsidRDefault="004672FE" w:rsidP="008B21DB">
      <w:pPr>
        <w:pStyle w:val="NoSpacing"/>
      </w:pPr>
    </w:p>
    <w:p w:rsidR="004672FE" w:rsidRDefault="004672FE" w:rsidP="008B21DB">
      <w:pPr>
        <w:pStyle w:val="NoSpacing"/>
      </w:pPr>
    </w:p>
    <w:p w:rsidR="004672FE" w:rsidRDefault="00C11CCE">
      <w:pPr>
        <w:numPr>
          <w:ilvl w:val="0"/>
          <w:numId w:val="4"/>
        </w:numPr>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Follow-up information relating to paragraph 53 of the concluding observations </w:t>
      </w:r>
    </w:p>
    <w:p w:rsidR="004672FE" w:rsidRDefault="004672FE" w:rsidP="008B21DB">
      <w:pPr>
        <w:pStyle w:val="NoSpacing"/>
      </w:pPr>
    </w:p>
    <w:p w:rsidR="004672FE" w:rsidRDefault="00C11CCE">
      <w:pPr>
        <w:ind w:left="720"/>
        <w:rPr>
          <w:rFonts w:ascii="Times New Roman" w:eastAsia="Times New Roman" w:hAnsi="Times New Roman" w:cs="Times New Roman"/>
          <w:b/>
          <w:sz w:val="26"/>
          <w:szCs w:val="26"/>
        </w:rPr>
      </w:pPr>
      <w:r>
        <w:rPr>
          <w:rFonts w:ascii="Times New Roman" w:eastAsia="Times New Roman" w:hAnsi="Times New Roman" w:cs="Times New Roman"/>
          <w:b/>
          <w:sz w:val="26"/>
          <w:szCs w:val="26"/>
        </w:rPr>
        <w:t>Freedom of expression</w:t>
      </w:r>
    </w:p>
    <w:p w:rsidR="004672FE" w:rsidRDefault="004672FE" w:rsidP="008B21DB">
      <w:pPr>
        <w:pStyle w:val="NoSpacing"/>
      </w:pP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Bahraini authorities violate the local constitution (Article 23)</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and international legislation in the strict control of freedom of expression and information. </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King used his powers under paragraph (c) of Article 10 of the Nationality Law</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which stipulates that “the ruler may order the overthrow of the Bahraini nat</w:t>
      </w:r>
      <w:r>
        <w:rPr>
          <w:rFonts w:ascii="Times New Roman" w:eastAsia="Times New Roman" w:hAnsi="Times New Roman" w:cs="Times New Roman"/>
          <w:sz w:val="24"/>
          <w:szCs w:val="24"/>
        </w:rPr>
        <w:t>ionality if it causes harm to the security of the state”. The text of the “harm to the security of the state” is vague and can be used by the King against his critics, including journalists.</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 8 December, 2018, the Public Prosecution summoned the Bahraini</w:t>
      </w:r>
      <w:r>
        <w:rPr>
          <w:rFonts w:ascii="Times New Roman" w:eastAsia="Times New Roman" w:hAnsi="Times New Roman" w:cs="Times New Roman"/>
          <w:sz w:val="24"/>
          <w:szCs w:val="24"/>
        </w:rPr>
        <w:t xml:space="preserve"> artist and producer </w:t>
      </w:r>
      <w:proofErr w:type="spellStart"/>
      <w:r>
        <w:rPr>
          <w:rFonts w:ascii="Times New Roman" w:eastAsia="Times New Roman" w:hAnsi="Times New Roman" w:cs="Times New Roman"/>
          <w:sz w:val="24"/>
          <w:szCs w:val="24"/>
        </w:rPr>
        <w:t>Qahtan</w:t>
      </w:r>
      <w:proofErr w:type="spellEnd"/>
      <w:r>
        <w:rPr>
          <w:rFonts w:ascii="Times New Roman" w:eastAsia="Times New Roman" w:hAnsi="Times New Roman" w:cs="Times New Roman"/>
          <w:sz w:val="24"/>
          <w:szCs w:val="24"/>
        </w:rPr>
        <w:t xml:space="preserve"> al-</w:t>
      </w:r>
      <w:proofErr w:type="spellStart"/>
      <w:r>
        <w:rPr>
          <w:rFonts w:ascii="Times New Roman" w:eastAsia="Times New Roman" w:hAnsi="Times New Roman" w:cs="Times New Roman"/>
          <w:sz w:val="24"/>
          <w:szCs w:val="24"/>
        </w:rPr>
        <w:t>Qahtani</w:t>
      </w:r>
      <w:proofErr w:type="spellEnd"/>
      <w:r>
        <w:rPr>
          <w:rFonts w:ascii="Times New Roman" w:eastAsia="Times New Roman" w:hAnsi="Times New Roman" w:cs="Times New Roman"/>
          <w:sz w:val="24"/>
          <w:szCs w:val="24"/>
        </w:rPr>
        <w:t xml:space="preserve"> for re-sending a message on the social media containing criticism of the re-appointment of the Minister of Information Affairs Ali bin Mohammed al-</w:t>
      </w:r>
      <w:proofErr w:type="spellStart"/>
      <w:r>
        <w:rPr>
          <w:rFonts w:ascii="Times New Roman" w:eastAsia="Times New Roman" w:hAnsi="Times New Roman" w:cs="Times New Roman"/>
          <w:sz w:val="24"/>
          <w:szCs w:val="24"/>
        </w:rPr>
        <w:t>Rumaihi</w:t>
      </w:r>
      <w:proofErr w:type="spellEnd"/>
      <w:r>
        <w:rPr>
          <w:rFonts w:ascii="Times New Roman" w:eastAsia="Times New Roman" w:hAnsi="Times New Roman" w:cs="Times New Roman"/>
          <w:sz w:val="24"/>
          <w:szCs w:val="24"/>
        </w:rPr>
        <w:t xml:space="preserve"> as part of a new ministerial reshuffle in Bahrain. He has been</w:t>
      </w:r>
      <w:r>
        <w:rPr>
          <w:rFonts w:ascii="Times New Roman" w:eastAsia="Times New Roman" w:hAnsi="Times New Roman" w:cs="Times New Roman"/>
          <w:sz w:val="24"/>
          <w:szCs w:val="24"/>
        </w:rPr>
        <w:t xml:space="preserve"> charged with “Insulting a regulatory body and the abuse of telecommunications devices”. He was requested to discharge his mobile phone and detained under custody for one week for further investigation, but he was released on December 10, 2018. </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In March 2</w:t>
      </w:r>
      <w:r>
        <w:rPr>
          <w:rFonts w:ascii="Times New Roman" w:eastAsia="Times New Roman" w:hAnsi="Times New Roman" w:cs="Times New Roman"/>
          <w:sz w:val="24"/>
          <w:szCs w:val="24"/>
        </w:rPr>
        <w:t xml:space="preserve">018, the Court of Appeal upheld a one-year prison sentence against the activist </w:t>
      </w:r>
      <w:proofErr w:type="spellStart"/>
      <w:r>
        <w:rPr>
          <w:rFonts w:ascii="Times New Roman" w:eastAsia="Times New Roman" w:hAnsi="Times New Roman" w:cs="Times New Roman"/>
          <w:sz w:val="24"/>
          <w:szCs w:val="24"/>
        </w:rPr>
        <w:t>Jalila</w:t>
      </w:r>
      <w:proofErr w:type="spellEnd"/>
      <w:r>
        <w:rPr>
          <w:rFonts w:ascii="Times New Roman" w:eastAsia="Times New Roman" w:hAnsi="Times New Roman" w:cs="Times New Roman"/>
          <w:sz w:val="24"/>
          <w:szCs w:val="24"/>
        </w:rPr>
        <w:t xml:space="preserve"> al-</w:t>
      </w:r>
      <w:proofErr w:type="spellStart"/>
      <w:r>
        <w:rPr>
          <w:rFonts w:ascii="Times New Roman" w:eastAsia="Times New Roman" w:hAnsi="Times New Roman" w:cs="Times New Roman"/>
          <w:sz w:val="24"/>
          <w:szCs w:val="24"/>
        </w:rPr>
        <w:t>Sayed</w:t>
      </w:r>
      <w:proofErr w:type="spellEnd"/>
      <w:r>
        <w:rPr>
          <w:rFonts w:ascii="Times New Roman" w:eastAsia="Times New Roman" w:hAnsi="Times New Roman" w:cs="Times New Roman"/>
          <w:sz w:val="24"/>
          <w:szCs w:val="24"/>
        </w:rPr>
        <w:t xml:space="preserve"> Amin and a fine of BD 1,000 for “running an account on a social media site that criticized the government.”</w:t>
      </w:r>
      <w:r>
        <w:rPr>
          <w:rFonts w:ascii="Times New Roman" w:eastAsia="Times New Roman" w:hAnsi="Times New Roman" w:cs="Times New Roman"/>
          <w:sz w:val="24"/>
          <w:szCs w:val="24"/>
          <w:vertAlign w:val="superscript"/>
        </w:rPr>
        <w:footnoteReference w:id="41"/>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Bahraini authorities used tweets in which activists</w:t>
      </w:r>
      <w:r>
        <w:rPr>
          <w:rFonts w:ascii="Times New Roman" w:eastAsia="Times New Roman" w:hAnsi="Times New Roman" w:cs="Times New Roman"/>
          <w:sz w:val="24"/>
          <w:szCs w:val="24"/>
        </w:rPr>
        <w:t xml:space="preserve"> express their views on social media as evidence of interrogation and imprisonment in trials that lack of due process. This is what happened with the prominent human rights activist </w:t>
      </w:r>
      <w:proofErr w:type="spellStart"/>
      <w:r>
        <w:rPr>
          <w:rFonts w:ascii="Times New Roman" w:eastAsia="Times New Roman" w:hAnsi="Times New Roman" w:cs="Times New Roman"/>
          <w:sz w:val="24"/>
          <w:szCs w:val="24"/>
        </w:rPr>
        <w:t>Nabeel</w:t>
      </w:r>
      <w:proofErr w:type="spellEnd"/>
      <w:r>
        <w:rPr>
          <w:rFonts w:ascii="Times New Roman" w:eastAsia="Times New Roman" w:hAnsi="Times New Roman" w:cs="Times New Roman"/>
          <w:sz w:val="24"/>
          <w:szCs w:val="24"/>
        </w:rPr>
        <w:t xml:space="preserve"> Rajab, who is the head of the Bahrain Center for Human Rights, wher</w:t>
      </w:r>
      <w:r>
        <w:rPr>
          <w:rFonts w:ascii="Times New Roman" w:eastAsia="Times New Roman" w:hAnsi="Times New Roman" w:cs="Times New Roman"/>
          <w:sz w:val="24"/>
          <w:szCs w:val="24"/>
        </w:rPr>
        <w:t>e he was sentenced to a total of seven years in prison for criticism posted on the social media platform, Twitter, as he wrote his testimony about police officers at the central prison of Jaw beat inmates in the underage section, in addition to other tweet</w:t>
      </w:r>
      <w:r>
        <w:rPr>
          <w:rFonts w:ascii="Times New Roman" w:eastAsia="Times New Roman" w:hAnsi="Times New Roman" w:cs="Times New Roman"/>
          <w:sz w:val="24"/>
          <w:szCs w:val="24"/>
        </w:rPr>
        <w:t xml:space="preserve">s criticizing the war led by the Saudi alliance in Yemen. </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columnist in </w:t>
      </w:r>
      <w:proofErr w:type="spellStart"/>
      <w:r>
        <w:rPr>
          <w:rFonts w:ascii="Times New Roman" w:eastAsia="Times New Roman" w:hAnsi="Times New Roman" w:cs="Times New Roman"/>
          <w:sz w:val="24"/>
          <w:szCs w:val="24"/>
        </w:rPr>
        <w:t>Akhbar</w:t>
      </w:r>
      <w:proofErr w:type="spellEnd"/>
      <w:r>
        <w:rPr>
          <w:rFonts w:ascii="Times New Roman" w:eastAsia="Times New Roman" w:hAnsi="Times New Roman" w:cs="Times New Roman"/>
          <w:sz w:val="24"/>
          <w:szCs w:val="24"/>
        </w:rPr>
        <w:t xml:space="preserve"> Al-</w:t>
      </w:r>
      <w:proofErr w:type="spellStart"/>
      <w:r>
        <w:rPr>
          <w:rFonts w:ascii="Times New Roman" w:eastAsia="Times New Roman" w:hAnsi="Times New Roman" w:cs="Times New Roman"/>
          <w:sz w:val="24"/>
          <w:szCs w:val="24"/>
        </w:rPr>
        <w:t>Khaleej</w:t>
      </w:r>
      <w:proofErr w:type="spellEnd"/>
      <w:r>
        <w:rPr>
          <w:rFonts w:ascii="Times New Roman" w:eastAsia="Times New Roman" w:hAnsi="Times New Roman" w:cs="Times New Roman"/>
          <w:sz w:val="24"/>
          <w:szCs w:val="24"/>
        </w:rPr>
        <w:t xml:space="preserve"> newspaper Ibrahim al-Sheikh wrote an article entitled “media disinformation and military upsets”. Subsequently, the Foreign Affairs, Defense and National Security</w:t>
      </w:r>
      <w:r>
        <w:rPr>
          <w:rFonts w:ascii="Times New Roman" w:eastAsia="Times New Roman" w:hAnsi="Times New Roman" w:cs="Times New Roman"/>
          <w:sz w:val="24"/>
          <w:szCs w:val="24"/>
        </w:rPr>
        <w:t xml:space="preserve"> Committee of the Parliament issued an inflammatory statement against him, and he was accused of challenging the Bahrain Defense Force during the war. On 14 April, 2019, he was arrested before being released by the Public Prosecution on 18 April, 2019.</w:t>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w:t>
      </w:r>
      <w:r>
        <w:rPr>
          <w:rFonts w:ascii="Times New Roman" w:eastAsia="Times New Roman" w:hAnsi="Times New Roman" w:cs="Times New Roman"/>
          <w:sz w:val="24"/>
          <w:szCs w:val="24"/>
        </w:rPr>
        <w:t xml:space="preserve">22 June, 2021, a UN expert called on Bahrain to immediately release three human rights defenders suffering long term detention as a result of their legitimate promotion and protection of human rights in the country. Human rights defenders Mr. </w:t>
      </w:r>
      <w:proofErr w:type="spellStart"/>
      <w:r>
        <w:rPr>
          <w:rFonts w:ascii="Times New Roman" w:eastAsia="Times New Roman" w:hAnsi="Times New Roman" w:cs="Times New Roman"/>
          <w:sz w:val="24"/>
          <w:szCs w:val="24"/>
        </w:rPr>
        <w:t>Abdulhadi</w:t>
      </w:r>
      <w:proofErr w:type="spellEnd"/>
      <w:r>
        <w:rPr>
          <w:rFonts w:ascii="Times New Roman" w:eastAsia="Times New Roman" w:hAnsi="Times New Roman" w:cs="Times New Roman"/>
          <w:sz w:val="24"/>
          <w:szCs w:val="24"/>
        </w:rPr>
        <w:t xml:space="preserve"> al-</w:t>
      </w:r>
      <w:r>
        <w:rPr>
          <w:rFonts w:ascii="Times New Roman" w:eastAsia="Times New Roman" w:hAnsi="Times New Roman" w:cs="Times New Roman"/>
          <w:sz w:val="24"/>
          <w:szCs w:val="24"/>
        </w:rPr>
        <w:t xml:space="preserve">Khawaja, whose detention was declared arbitrary by the UN Working Group on Arbitrary Detention, and Mr. </w:t>
      </w:r>
      <w:proofErr w:type="spellStart"/>
      <w:r>
        <w:rPr>
          <w:rFonts w:ascii="Times New Roman" w:eastAsia="Times New Roman" w:hAnsi="Times New Roman" w:cs="Times New Roman"/>
          <w:sz w:val="24"/>
          <w:szCs w:val="24"/>
        </w:rPr>
        <w:t>Abduljalil</w:t>
      </w:r>
      <w:proofErr w:type="spellEnd"/>
      <w:r>
        <w:rPr>
          <w:rFonts w:ascii="Times New Roman" w:eastAsia="Times New Roman" w:hAnsi="Times New Roman" w:cs="Times New Roman"/>
          <w:sz w:val="24"/>
          <w:szCs w:val="24"/>
        </w:rPr>
        <w:t xml:space="preserve"> al-</w:t>
      </w:r>
      <w:proofErr w:type="spellStart"/>
      <w:r>
        <w:rPr>
          <w:rFonts w:ascii="Times New Roman" w:eastAsia="Times New Roman" w:hAnsi="Times New Roman" w:cs="Times New Roman"/>
          <w:sz w:val="24"/>
          <w:szCs w:val="24"/>
        </w:rPr>
        <w:t>Singace</w:t>
      </w:r>
      <w:proofErr w:type="spellEnd"/>
      <w:r>
        <w:rPr>
          <w:rFonts w:ascii="Times New Roman" w:eastAsia="Times New Roman" w:hAnsi="Times New Roman" w:cs="Times New Roman"/>
          <w:sz w:val="24"/>
          <w:szCs w:val="24"/>
        </w:rPr>
        <w:t xml:space="preserve">, were sentenced to life imprisonment on terrorism related charges in 2011. Another defender, Mr. </w:t>
      </w:r>
      <w:proofErr w:type="spellStart"/>
      <w:r>
        <w:rPr>
          <w:rFonts w:ascii="Times New Roman" w:eastAsia="Times New Roman" w:hAnsi="Times New Roman" w:cs="Times New Roman"/>
          <w:sz w:val="24"/>
          <w:szCs w:val="24"/>
        </w:rPr>
        <w:t>Naji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Fateel</w:t>
      </w:r>
      <w:proofErr w:type="spellEnd"/>
      <w:r>
        <w:rPr>
          <w:rFonts w:ascii="Times New Roman" w:eastAsia="Times New Roman" w:hAnsi="Times New Roman" w:cs="Times New Roman"/>
          <w:sz w:val="24"/>
          <w:szCs w:val="24"/>
        </w:rPr>
        <w:t xml:space="preserve"> was sentenced to 15 y</w:t>
      </w:r>
      <w:r>
        <w:rPr>
          <w:rFonts w:ascii="Times New Roman" w:eastAsia="Times New Roman" w:hAnsi="Times New Roman" w:cs="Times New Roman"/>
          <w:sz w:val="24"/>
          <w:szCs w:val="24"/>
        </w:rPr>
        <w:t xml:space="preserve">ears in prison in 2013 for "forming illegal organizations". Reportedly, these organizations worked to promote and protect human rights in the country. </w:t>
      </w:r>
      <w:r>
        <w:rPr>
          <w:rFonts w:ascii="Times New Roman" w:eastAsia="Times New Roman" w:hAnsi="Times New Roman" w:cs="Times New Roman"/>
          <w:sz w:val="24"/>
          <w:szCs w:val="24"/>
          <w:vertAlign w:val="superscript"/>
        </w:rPr>
        <w:footnoteReference w:id="42"/>
      </w:r>
    </w:p>
    <w:p w:rsidR="004672FE" w:rsidRDefault="00C11CCE">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initiative taken by the Kingdom of Bahrain to amend the Regulation of the Press, Printing a</w:t>
      </w:r>
      <w:r>
        <w:rPr>
          <w:rFonts w:ascii="Times New Roman" w:eastAsia="Times New Roman" w:hAnsi="Times New Roman" w:cs="Times New Roman"/>
          <w:sz w:val="24"/>
          <w:szCs w:val="24"/>
        </w:rPr>
        <w:t>nd Publishing Act before the Legislative Council on 5 April, 2021,  replacing the word “</w:t>
      </w:r>
      <w:r>
        <w:rPr>
          <w:rFonts w:ascii="Times New Roman" w:eastAsia="Times New Roman" w:hAnsi="Times New Roman" w:cs="Times New Roman"/>
          <w:sz w:val="24"/>
          <w:szCs w:val="24"/>
        </w:rPr>
        <w:t>discipline”</w:t>
      </w:r>
      <w:r w:rsidR="0043360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the word “accountability” and replacing prison sentences with fines (articles 16, 22, 86), the Bahrain Penal Code, 1976 still stipulates the imprisonmen</w:t>
      </w:r>
      <w:r>
        <w:rPr>
          <w:rFonts w:ascii="Times New Roman" w:eastAsia="Times New Roman" w:hAnsi="Times New Roman" w:cs="Times New Roman"/>
          <w:sz w:val="24"/>
          <w:szCs w:val="24"/>
        </w:rPr>
        <w:t>t sanction in 6 articles (articles 160, 165, 173, 214, 215, 216) limiting freedom of expression in the context of:</w:t>
      </w:r>
    </w:p>
    <w:p w:rsidR="004672FE" w:rsidRDefault="00C11CCE">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Favoring or advocating the overthrow or change of the country's political, social or economic system </w:t>
      </w:r>
    </w:p>
    <w:p w:rsidR="004672FE" w:rsidRDefault="00C11CCE">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Inciting others to develop hatred or hostility towards the system of government, </w:t>
      </w:r>
    </w:p>
    <w:p w:rsidR="004672FE" w:rsidRDefault="00C11CCE">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Offending the Amir of the country, the national flag or emblem, </w:t>
      </w:r>
    </w:p>
    <w:p w:rsidR="004672FE" w:rsidRDefault="00C11CCE">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Offending in public a foreign country or on international organization based in the State of Bahrain or its p</w:t>
      </w:r>
      <w:r>
        <w:rPr>
          <w:rFonts w:ascii="Times New Roman" w:eastAsia="Times New Roman" w:hAnsi="Times New Roman" w:cs="Times New Roman"/>
          <w:sz w:val="24"/>
          <w:szCs w:val="24"/>
        </w:rPr>
        <w:t xml:space="preserve">resident or representative, </w:t>
      </w:r>
    </w:p>
    <w:p w:rsidR="004672FE" w:rsidRDefault="00C11CCE">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Offending the army, law courts, authorities or government agencies.</w:t>
      </w:r>
    </w:p>
    <w:p w:rsidR="004672FE" w:rsidRDefault="00C11CCE">
      <w:pPr>
        <w:numPr>
          <w:ilvl w:val="0"/>
          <w:numId w:val="9"/>
        </w:numPr>
        <w:spacing w:after="240"/>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Hence, the Kingdom of Bahrain relies on the Penal Code</w:t>
      </w:r>
      <w:r>
        <w:rPr>
          <w:rFonts w:ascii="Times New Roman" w:eastAsia="Times New Roman" w:hAnsi="Times New Roman" w:cs="Times New Roman"/>
          <w:sz w:val="24"/>
          <w:szCs w:val="24"/>
          <w:vertAlign w:val="superscript"/>
        </w:rPr>
        <w:footnoteReference w:id="43"/>
      </w:r>
      <w:r>
        <w:rPr>
          <w:rFonts w:ascii="Times New Roman" w:eastAsia="Times New Roman" w:hAnsi="Times New Roman" w:cs="Times New Roman"/>
          <w:sz w:val="24"/>
          <w:szCs w:val="24"/>
        </w:rPr>
        <w:t xml:space="preserve"> to impose punishment on human rights defenders and journalists publicly exercising their freedom of exp</w:t>
      </w:r>
      <w:r>
        <w:rPr>
          <w:rFonts w:ascii="Times New Roman" w:eastAsia="Times New Roman" w:hAnsi="Times New Roman" w:cs="Times New Roman"/>
          <w:sz w:val="24"/>
          <w:szCs w:val="24"/>
        </w:rPr>
        <w:t>ression.</w:t>
      </w:r>
    </w:p>
    <w:p w:rsidR="004672FE" w:rsidRDefault="004672FE">
      <w:pPr>
        <w:rPr>
          <w:rFonts w:ascii="Times New Roman" w:eastAsia="Times New Roman" w:hAnsi="Times New Roman" w:cs="Times New Roman"/>
          <w:sz w:val="24"/>
          <w:szCs w:val="24"/>
        </w:rPr>
      </w:pPr>
    </w:p>
    <w:p w:rsidR="004672FE" w:rsidRDefault="00C11CCE">
      <w:pPr>
        <w:numPr>
          <w:ilvl w:val="0"/>
          <w:numId w:val="2"/>
        </w:numPr>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Political Rights</w:t>
      </w:r>
    </w:p>
    <w:p w:rsidR="004672FE" w:rsidRDefault="004672FE"/>
    <w:p w:rsidR="004672FE" w:rsidRDefault="00C11CCE">
      <w:pPr>
        <w:numPr>
          <w:ilvl w:val="0"/>
          <w:numId w:val="9"/>
        </w:numPr>
        <w:ind w:left="720"/>
      </w:pPr>
      <w:r>
        <w:rPr>
          <w:rFonts w:ascii="Times New Roman" w:eastAsia="Times New Roman" w:hAnsi="Times New Roman" w:cs="Times New Roman"/>
          <w:sz w:val="24"/>
          <w:szCs w:val="24"/>
        </w:rPr>
        <w:t>In light of the upcoming Bahraini parliamentary and municipal elections, expected to take place in October</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November 2022, SALAM DHR would like to draw the attention of the Human Rights Committee on the political isolation situat</w:t>
      </w:r>
      <w:r>
        <w:rPr>
          <w:rFonts w:ascii="Times New Roman" w:eastAsia="Times New Roman" w:hAnsi="Times New Roman" w:cs="Times New Roman"/>
          <w:sz w:val="24"/>
          <w:szCs w:val="24"/>
        </w:rPr>
        <w:t xml:space="preserve">ion in Bahrain which violates the provisions of the ICCPR. </w:t>
      </w:r>
    </w:p>
    <w:p w:rsidR="004672FE" w:rsidRDefault="00C11CCE">
      <w:pPr>
        <w:numPr>
          <w:ilvl w:val="0"/>
          <w:numId w:val="9"/>
        </w:numPr>
        <w:ind w:left="720"/>
      </w:pPr>
      <w:r>
        <w:rPr>
          <w:rFonts w:ascii="Times New Roman" w:eastAsia="Times New Roman" w:hAnsi="Times New Roman" w:cs="Times New Roman"/>
          <w:sz w:val="24"/>
          <w:szCs w:val="24"/>
        </w:rPr>
        <w:t xml:space="preserve">In 2018, an amendment to </w:t>
      </w:r>
      <w:r>
        <w:rPr>
          <w:rFonts w:ascii="Times New Roman" w:eastAsia="Times New Roman" w:hAnsi="Times New Roman" w:cs="Times New Roman"/>
          <w:b/>
          <w:sz w:val="24"/>
          <w:szCs w:val="24"/>
        </w:rPr>
        <w:t xml:space="preserve">Article 3 </w:t>
      </w:r>
      <w:r>
        <w:rPr>
          <w:rFonts w:ascii="Times New Roman" w:eastAsia="Times New Roman" w:hAnsi="Times New Roman" w:cs="Times New Roman"/>
          <w:sz w:val="24"/>
          <w:szCs w:val="24"/>
        </w:rPr>
        <w:t xml:space="preserve">of decree law No. 14 of 2002 regarding </w:t>
      </w:r>
      <w:r>
        <w:rPr>
          <w:rFonts w:ascii="Times New Roman" w:eastAsia="Times New Roman" w:hAnsi="Times New Roman" w:cs="Times New Roman"/>
        </w:rPr>
        <w:t xml:space="preserve">the exercise of political rights </w:t>
      </w:r>
      <w:r>
        <w:rPr>
          <w:rFonts w:ascii="Times New Roman" w:eastAsia="Times New Roman" w:hAnsi="Times New Roman" w:cs="Times New Roman"/>
          <w:sz w:val="24"/>
          <w:szCs w:val="24"/>
        </w:rPr>
        <w:t>was enacted, prohibiting leaders of dissolved political societies from running for parliament. The same measure was used against those who had resigned from parliament. These measures appear to have also been expanded to include the right to vote.</w:t>
      </w:r>
      <w:r>
        <w:rPr>
          <w:rFonts w:ascii="Times New Roman" w:eastAsia="Times New Roman" w:hAnsi="Times New Roman" w:cs="Times New Roman"/>
          <w:sz w:val="24"/>
          <w:szCs w:val="24"/>
          <w:vertAlign w:val="superscript"/>
        </w:rPr>
        <w:footnoteReference w:id="44"/>
      </w:r>
    </w:p>
    <w:p w:rsidR="004672FE" w:rsidRDefault="00C11CCE">
      <w:pPr>
        <w:numPr>
          <w:ilvl w:val="0"/>
          <w:numId w:val="9"/>
        </w:numPr>
        <w:ind w:left="720"/>
      </w:pPr>
      <w:r>
        <w:rPr>
          <w:rFonts w:ascii="Times New Roman" w:eastAsia="Times New Roman" w:hAnsi="Times New Roman" w:cs="Times New Roman"/>
          <w:sz w:val="24"/>
          <w:szCs w:val="24"/>
        </w:rPr>
        <w:t>Consequ</w:t>
      </w:r>
      <w:r>
        <w:rPr>
          <w:rFonts w:ascii="Times New Roman" w:eastAsia="Times New Roman" w:hAnsi="Times New Roman" w:cs="Times New Roman"/>
          <w:sz w:val="24"/>
          <w:szCs w:val="24"/>
        </w:rPr>
        <w:t>ently, the November 2018 election to the Council of Deputies systematically excluded political figures from formerly prominent political groupings such as Al-</w:t>
      </w:r>
      <w:proofErr w:type="spellStart"/>
      <w:r>
        <w:rPr>
          <w:rFonts w:ascii="Times New Roman" w:eastAsia="Times New Roman" w:hAnsi="Times New Roman" w:cs="Times New Roman"/>
          <w:sz w:val="24"/>
          <w:szCs w:val="24"/>
        </w:rPr>
        <w:t>Wefaq</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Wa’ad</w:t>
      </w:r>
      <w:proofErr w:type="spellEnd"/>
      <w:r>
        <w:rPr>
          <w:rFonts w:ascii="Times New Roman" w:eastAsia="Times New Roman" w:hAnsi="Times New Roman" w:cs="Times New Roman"/>
          <w:sz w:val="24"/>
          <w:szCs w:val="24"/>
        </w:rPr>
        <w:t xml:space="preserve"> as well as human rights defenders not affiliated with any political association. </w:t>
      </w:r>
    </w:p>
    <w:p w:rsidR="004672FE" w:rsidRDefault="00C11CCE">
      <w:pPr>
        <w:numPr>
          <w:ilvl w:val="0"/>
          <w:numId w:val="9"/>
        </w:num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Leaders and members of dissolved political societies are also prohibited from running for boards of directors of charitable societies, civil organizations, and sports clubs. This was made possible by the issuing of Law No. 36 of 2018</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amending Article 43 o</w:t>
      </w:r>
      <w:r>
        <w:rPr>
          <w:rFonts w:ascii="Times New Roman" w:eastAsia="Times New Roman" w:hAnsi="Times New Roman" w:cs="Times New Roman"/>
          <w:sz w:val="24"/>
          <w:szCs w:val="24"/>
        </w:rPr>
        <w:t>f Law No. 21 of 1989. This amendment stated that a member of the board of directors must enjoy their full civil and political rights.</w:t>
      </w:r>
    </w:p>
    <w:p w:rsidR="004672FE" w:rsidRDefault="00C11CCE">
      <w:pPr>
        <w:numPr>
          <w:ilvl w:val="0"/>
          <w:numId w:val="9"/>
        </w:numPr>
        <w:ind w:left="720"/>
      </w:pPr>
      <w:r>
        <w:rPr>
          <w:rFonts w:ascii="Times New Roman" w:eastAsia="Times New Roman" w:hAnsi="Times New Roman" w:cs="Times New Roman"/>
          <w:sz w:val="24"/>
          <w:szCs w:val="24"/>
        </w:rPr>
        <w:t xml:space="preserve">The Ministry of Labor also requires that candidates for boards of directors of NGOs should be subject to security checks. </w:t>
      </w:r>
      <w:r>
        <w:rPr>
          <w:rFonts w:ascii="Times New Roman" w:eastAsia="Times New Roman" w:hAnsi="Times New Roman" w:cs="Times New Roman"/>
          <w:sz w:val="24"/>
          <w:szCs w:val="24"/>
        </w:rPr>
        <w:t>This is likely meant to exclude former leaders and members of dissolved societies.</w:t>
      </w:r>
    </w:p>
    <w:p w:rsidR="004672FE" w:rsidRDefault="00C11CCE">
      <w:pPr>
        <w:numPr>
          <w:ilvl w:val="0"/>
          <w:numId w:val="9"/>
        </w:numPr>
        <w:spacing w:after="240"/>
        <w:ind w:left="720"/>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GoB’s</w:t>
      </w:r>
      <w:proofErr w:type="spellEnd"/>
      <w:r>
        <w:rPr>
          <w:rFonts w:ascii="Times New Roman" w:eastAsia="Times New Roman" w:hAnsi="Times New Roman" w:cs="Times New Roman"/>
          <w:sz w:val="24"/>
          <w:szCs w:val="24"/>
        </w:rPr>
        <w:t xml:space="preserve"> 2017 Exercise of Political Representation Law removed the right of association for swathes of activists and people.</w:t>
      </w:r>
    </w:p>
    <w:p w:rsidR="004672FE" w:rsidRDefault="004672FE">
      <w:pPr>
        <w:ind w:left="720"/>
      </w:pPr>
    </w:p>
    <w:sectPr w:rsidR="004672FE">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CCE" w:rsidRDefault="00C11CCE">
      <w:pPr>
        <w:spacing w:line="240" w:lineRule="auto"/>
      </w:pPr>
      <w:r>
        <w:separator/>
      </w:r>
    </w:p>
  </w:endnote>
  <w:endnote w:type="continuationSeparator" w:id="0">
    <w:p w:rsidR="00C11CCE" w:rsidRDefault="00C11C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42BB" w:rsidRDefault="004142BB" w:rsidP="004142BB">
    <w:pPr>
      <w:pStyle w:val="Footer"/>
      <w:jc w:val="center"/>
    </w:pPr>
  </w:p>
  <w:p w:rsidR="004142BB" w:rsidRDefault="004142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0486580"/>
      <w:docPartObj>
        <w:docPartGallery w:val="Page Numbers (Bottom of Page)"/>
        <w:docPartUnique/>
      </w:docPartObj>
    </w:sdtPr>
    <w:sdtEndPr>
      <w:rPr>
        <w:noProof/>
      </w:rPr>
    </w:sdtEndPr>
    <w:sdtContent>
      <w:p w:rsidR="004142BB" w:rsidRDefault="004142BB">
        <w:pPr>
          <w:pStyle w:val="Footer"/>
          <w:jc w:val="center"/>
        </w:pPr>
        <w:r>
          <w:fldChar w:fldCharType="begin"/>
        </w:r>
        <w:r>
          <w:instrText xml:space="preserve"> PAGE   \* MERGEFORMAT </w:instrText>
        </w:r>
        <w:r>
          <w:fldChar w:fldCharType="separate"/>
        </w:r>
        <w:r w:rsidR="006C2544">
          <w:rPr>
            <w:noProof/>
          </w:rPr>
          <w:t>9</w:t>
        </w:r>
        <w:r>
          <w:rPr>
            <w:noProof/>
          </w:rPr>
          <w:fldChar w:fldCharType="end"/>
        </w:r>
      </w:p>
    </w:sdtContent>
  </w:sdt>
  <w:p w:rsidR="004142BB" w:rsidRDefault="004142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CCE" w:rsidRDefault="00C11CCE">
      <w:pPr>
        <w:spacing w:line="240" w:lineRule="auto"/>
      </w:pPr>
      <w:r>
        <w:separator/>
      </w:r>
    </w:p>
  </w:footnote>
  <w:footnote w:type="continuationSeparator" w:id="0">
    <w:p w:rsidR="00C11CCE" w:rsidRDefault="00C11CCE">
      <w:pPr>
        <w:spacing w:line="240" w:lineRule="auto"/>
      </w:pPr>
      <w:r>
        <w:continuationSeparator/>
      </w:r>
    </w:p>
  </w:footnote>
  <w:footnote w:id="1">
    <w:p w:rsidR="004672FE" w:rsidRDefault="00C11CCE">
      <w:pPr>
        <w:spacing w:line="240" w:lineRule="auto"/>
        <w:rPr>
          <w:sz w:val="16"/>
          <w:szCs w:val="16"/>
        </w:rPr>
      </w:pPr>
      <w:r>
        <w:rPr>
          <w:vertAlign w:val="superscript"/>
        </w:rPr>
        <w:footnoteRef/>
      </w:r>
      <w:r>
        <w:rPr>
          <w:sz w:val="20"/>
          <w:szCs w:val="20"/>
        </w:rPr>
        <w:t xml:space="preserve"> </w:t>
      </w:r>
      <w:hyperlink r:id="rId1">
        <w:r>
          <w:rPr>
            <w:rFonts w:ascii="Times New Roman" w:eastAsia="Times New Roman" w:hAnsi="Times New Roman" w:cs="Times New Roman"/>
            <w:color w:val="1155CC"/>
            <w:sz w:val="18"/>
            <w:szCs w:val="18"/>
            <w:u w:val="single"/>
          </w:rPr>
          <w:t>CCPR/C/BHR/1</w:t>
        </w:r>
      </w:hyperlink>
    </w:p>
  </w:footnote>
  <w:footnote w:id="2">
    <w:p w:rsidR="004672FE" w:rsidRDefault="00C11CCE">
      <w:pPr>
        <w:spacing w:line="240" w:lineRule="auto"/>
        <w:rPr>
          <w:sz w:val="18"/>
          <w:szCs w:val="18"/>
        </w:rPr>
      </w:pPr>
      <w:r>
        <w:rPr>
          <w:vertAlign w:val="superscript"/>
        </w:rPr>
        <w:footnoteRef/>
      </w:r>
      <w:r>
        <w:rPr>
          <w:sz w:val="20"/>
          <w:szCs w:val="20"/>
        </w:rPr>
        <w:t xml:space="preserve"> </w:t>
      </w:r>
      <w:r>
        <w:rPr>
          <w:rFonts w:ascii="Times New Roman" w:eastAsia="Times New Roman" w:hAnsi="Times New Roman" w:cs="Times New Roman"/>
          <w:sz w:val="20"/>
          <w:szCs w:val="20"/>
        </w:rPr>
        <w:t>Concluding observations on the initial repor</w:t>
      </w:r>
      <w:r>
        <w:rPr>
          <w:rFonts w:ascii="Times New Roman" w:eastAsia="Times New Roman" w:hAnsi="Times New Roman" w:cs="Times New Roman"/>
          <w:sz w:val="20"/>
          <w:szCs w:val="20"/>
        </w:rPr>
        <w:t>t of Bahrain</w:t>
      </w:r>
      <w:hyperlink r:id="rId2">
        <w:r>
          <w:rPr>
            <w:rFonts w:ascii="Times New Roman" w:eastAsia="Times New Roman" w:hAnsi="Times New Roman" w:cs="Times New Roman"/>
          </w:rPr>
          <w:t xml:space="preserve"> </w:t>
        </w:r>
      </w:hyperlink>
      <w:hyperlink r:id="rId3">
        <w:r>
          <w:rPr>
            <w:rFonts w:ascii="Times New Roman" w:eastAsia="Times New Roman" w:hAnsi="Times New Roman" w:cs="Times New Roman"/>
            <w:color w:val="1155CC"/>
            <w:sz w:val="18"/>
            <w:szCs w:val="18"/>
            <w:u w:val="single"/>
          </w:rPr>
          <w:t>CCPR/C/BHR/CO/1</w:t>
        </w:r>
      </w:hyperlink>
    </w:p>
  </w:footnote>
  <w:footnote w:id="3">
    <w:p w:rsidR="004672FE" w:rsidRDefault="00C11CCE">
      <w:pPr>
        <w:spacing w:line="240" w:lineRule="auto"/>
        <w:rPr>
          <w:sz w:val="16"/>
          <w:szCs w:val="16"/>
        </w:rPr>
      </w:pPr>
      <w:r>
        <w:rPr>
          <w:vertAlign w:val="superscript"/>
        </w:rPr>
        <w:footnoteRef/>
      </w:r>
      <w:r>
        <w:rPr>
          <w:sz w:val="20"/>
          <w:szCs w:val="20"/>
        </w:rPr>
        <w:t xml:space="preserve"> </w:t>
      </w:r>
      <w:r>
        <w:rPr>
          <w:rFonts w:ascii="Times New Roman" w:eastAsia="Times New Roman" w:hAnsi="Times New Roman" w:cs="Times New Roman"/>
          <w:sz w:val="20"/>
          <w:szCs w:val="20"/>
        </w:rPr>
        <w:t>Information received from Bahrain on follow-up to the concluding observations on its initial report</w:t>
      </w:r>
      <w:hyperlink r:id="rId4">
        <w:r>
          <w:rPr>
            <w:rFonts w:ascii="Times New Roman" w:eastAsia="Times New Roman" w:hAnsi="Times New Roman" w:cs="Times New Roman"/>
            <w:sz w:val="20"/>
            <w:szCs w:val="20"/>
          </w:rPr>
          <w:t xml:space="preserve">  </w:t>
        </w:r>
      </w:hyperlink>
      <w:hyperlink r:id="rId5">
        <w:r>
          <w:rPr>
            <w:rFonts w:ascii="Times New Roman" w:eastAsia="Times New Roman" w:hAnsi="Times New Roman" w:cs="Times New Roman"/>
          </w:rPr>
          <w:t xml:space="preserve">       </w:t>
        </w:r>
      </w:hyperlink>
      <w:hyperlink r:id="rId6">
        <w:r>
          <w:rPr>
            <w:rFonts w:ascii="Times New Roman" w:eastAsia="Times New Roman" w:hAnsi="Times New Roman" w:cs="Times New Roman"/>
            <w:color w:val="1155CC"/>
            <w:sz w:val="18"/>
            <w:szCs w:val="18"/>
            <w:u w:val="single"/>
          </w:rPr>
          <w:t>CCPR/C/BHR/FCO/1</w:t>
        </w:r>
      </w:hyperlink>
    </w:p>
  </w:footnote>
  <w:footnote w:id="4">
    <w:p w:rsidR="004672FE" w:rsidRDefault="00C11CCE">
      <w:pPr>
        <w:spacing w:line="240" w:lineRule="auto"/>
        <w:rPr>
          <w:sz w:val="20"/>
          <w:szCs w:val="20"/>
        </w:rPr>
      </w:pPr>
      <w:r>
        <w:rPr>
          <w:vertAlign w:val="superscript"/>
        </w:rPr>
        <w:footnoteRef/>
      </w:r>
      <w:r>
        <w:rPr>
          <w:sz w:val="18"/>
          <w:szCs w:val="18"/>
        </w:rPr>
        <w:t xml:space="preserve"> </w:t>
      </w:r>
      <w:hyperlink r:id="rId7">
        <w:r>
          <w:rPr>
            <w:rFonts w:ascii="Times New Roman" w:eastAsia="Times New Roman" w:hAnsi="Times New Roman" w:cs="Times New Roman"/>
            <w:color w:val="1155CC"/>
            <w:sz w:val="20"/>
            <w:szCs w:val="20"/>
            <w:u w:val="single"/>
          </w:rPr>
          <w:t>Treaty bodies Download (ohchr.org)</w:t>
        </w:r>
      </w:hyperlink>
      <w:r>
        <w:rPr>
          <w:sz w:val="20"/>
          <w:szCs w:val="20"/>
        </w:rPr>
        <w:t xml:space="preserve"> </w:t>
      </w:r>
    </w:p>
  </w:footnote>
  <w:footnote w:id="5">
    <w:p w:rsidR="004672FE" w:rsidRDefault="00C11CCE">
      <w:pPr>
        <w:spacing w:line="240" w:lineRule="auto"/>
        <w:rPr>
          <w:sz w:val="20"/>
          <w:szCs w:val="20"/>
        </w:rPr>
      </w:pPr>
      <w:r>
        <w:rPr>
          <w:vertAlign w:val="superscript"/>
        </w:rPr>
        <w:footnoteRef/>
      </w:r>
      <w:r>
        <w:rPr>
          <w:sz w:val="20"/>
          <w:szCs w:val="20"/>
        </w:rPr>
        <w:t xml:space="preserve"> </w:t>
      </w:r>
      <w:hyperlink r:id="rId8">
        <w:r>
          <w:rPr>
            <w:rFonts w:ascii="Times New Roman" w:eastAsia="Times New Roman" w:hAnsi="Times New Roman" w:cs="Times New Roman"/>
            <w:color w:val="1155CC"/>
            <w:sz w:val="20"/>
            <w:szCs w:val="20"/>
            <w:u w:val="single"/>
          </w:rPr>
          <w:t>Treaty bodies Download (ohchr.org)</w:t>
        </w:r>
      </w:hyperlink>
      <w:r>
        <w:rPr>
          <w:sz w:val="20"/>
          <w:szCs w:val="20"/>
        </w:rPr>
        <w:t xml:space="preserve"> </w:t>
      </w:r>
    </w:p>
  </w:footnote>
  <w:footnote w:id="6">
    <w:p w:rsidR="004672FE" w:rsidRDefault="00C11CCE">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Before the amendment:</w:t>
      </w:r>
      <w:r>
        <w:rPr>
          <w:sz w:val="20"/>
          <w:szCs w:val="20"/>
        </w:rPr>
        <w:t xml:space="preserve"> </w:t>
      </w:r>
      <w:hyperlink r:id="rId9">
        <w:r>
          <w:rPr>
            <w:rFonts w:ascii="Times New Roman" w:eastAsia="Times New Roman" w:hAnsi="Times New Roman" w:cs="Times New Roman"/>
            <w:color w:val="1155CC"/>
            <w:sz w:val="20"/>
            <w:szCs w:val="20"/>
            <w:u w:val="single"/>
          </w:rPr>
          <w:t>Constitution of the Kingdom of Bahrain (wipo.int)</w:t>
        </w:r>
      </w:hyperlink>
    </w:p>
  </w:footnote>
  <w:footnote w:id="7">
    <w:p w:rsidR="004672FE" w:rsidRDefault="00C11CCE">
      <w:pPr>
        <w:spacing w:line="240" w:lineRule="auto"/>
        <w:rPr>
          <w:sz w:val="20"/>
          <w:szCs w:val="20"/>
        </w:rPr>
      </w:pPr>
      <w:r>
        <w:rPr>
          <w:vertAlign w:val="superscript"/>
        </w:rPr>
        <w:footnoteRef/>
      </w:r>
      <w:r>
        <w:rPr>
          <w:sz w:val="20"/>
          <w:szCs w:val="20"/>
        </w:rPr>
        <w:t xml:space="preserve"> </w:t>
      </w:r>
      <w:hyperlink r:id="rId10">
        <w:r>
          <w:rPr>
            <w:rFonts w:ascii="Times New Roman" w:eastAsia="Times New Roman" w:hAnsi="Times New Roman" w:cs="Times New Roman"/>
            <w:color w:val="1155CC"/>
            <w:sz w:val="20"/>
            <w:szCs w:val="20"/>
            <w:u w:val="single"/>
          </w:rPr>
          <w:t>BICI | Bahrain Independent Commission of Inquiry</w:t>
        </w:r>
      </w:hyperlink>
    </w:p>
  </w:footnote>
  <w:footnote w:id="8">
    <w:p w:rsidR="004672FE" w:rsidRDefault="00C11CCE">
      <w:pPr>
        <w:spacing w:line="240" w:lineRule="auto"/>
        <w:rPr>
          <w:sz w:val="20"/>
          <w:szCs w:val="20"/>
        </w:rPr>
      </w:pPr>
      <w:r>
        <w:rPr>
          <w:vertAlign w:val="superscript"/>
        </w:rPr>
        <w:footnoteRef/>
      </w:r>
      <w:r>
        <w:rPr>
          <w:sz w:val="20"/>
          <w:szCs w:val="20"/>
        </w:rPr>
        <w:t xml:space="preserve"> </w:t>
      </w:r>
      <w:hyperlink r:id="rId11">
        <w:r>
          <w:rPr>
            <w:rFonts w:ascii="Times New Roman" w:eastAsia="Times New Roman" w:hAnsi="Times New Roman" w:cs="Times New Roman"/>
            <w:color w:val="1155CC"/>
            <w:sz w:val="20"/>
            <w:szCs w:val="20"/>
            <w:u w:val="single"/>
          </w:rPr>
          <w:t>Constitution of Bahrain</w:t>
        </w:r>
      </w:hyperlink>
      <w:hyperlink r:id="rId12">
        <w:r>
          <w:rPr>
            <w:rFonts w:ascii="Times New Roman" w:eastAsia="Times New Roman" w:hAnsi="Times New Roman" w:cs="Times New Roman"/>
            <w:color w:val="1155CC"/>
            <w:sz w:val="20"/>
            <w:szCs w:val="20"/>
            <w:u w:val="single"/>
          </w:rPr>
          <w:t xml:space="preserve"> - Legislation and Legal Opinion Commission (lloc.gov.bh)</w:t>
        </w:r>
      </w:hyperlink>
      <w:r>
        <w:rPr>
          <w:rFonts w:ascii="Times New Roman" w:eastAsia="Times New Roman" w:hAnsi="Times New Roman" w:cs="Times New Roman"/>
          <w:sz w:val="20"/>
          <w:szCs w:val="20"/>
        </w:rPr>
        <w:t xml:space="preserve"> - (Arabic version).</w:t>
      </w:r>
    </w:p>
    <w:p w:rsidR="004672FE" w:rsidRDefault="00C11CCE">
      <w:pPr>
        <w:spacing w:line="240" w:lineRule="auto"/>
        <w:rPr>
          <w:sz w:val="20"/>
          <w:szCs w:val="20"/>
        </w:rPr>
      </w:pPr>
      <w:hyperlink r:id="rId13">
        <w:r>
          <w:rPr>
            <w:color w:val="1155CC"/>
            <w:sz w:val="20"/>
            <w:szCs w:val="20"/>
          </w:rPr>
          <w:t xml:space="preserve"> </w:t>
        </w:r>
      </w:hyperlink>
      <w:hyperlink r:id="rId14">
        <w:r>
          <w:rPr>
            <w:rFonts w:ascii="Times New Roman" w:eastAsia="Times New Roman" w:hAnsi="Times New Roman" w:cs="Times New Roman"/>
            <w:color w:val="1155CC"/>
            <w:sz w:val="20"/>
            <w:szCs w:val="20"/>
          </w:rPr>
          <w:t xml:space="preserve"> </w:t>
        </w:r>
      </w:hyperlink>
      <w:hyperlink r:id="rId15">
        <w:r>
          <w:rPr>
            <w:rFonts w:ascii="Times New Roman" w:eastAsia="Times New Roman" w:hAnsi="Times New Roman" w:cs="Times New Roman"/>
            <w:color w:val="1155CC"/>
            <w:sz w:val="20"/>
            <w:szCs w:val="20"/>
            <w:u w:val="single"/>
          </w:rPr>
          <w:t>Constitution of Bahrain - UN Women (constitutions.unwomen.org)</w:t>
        </w:r>
      </w:hyperlink>
      <w:r>
        <w:rPr>
          <w:rFonts w:ascii="Times New Roman" w:eastAsia="Times New Roman" w:hAnsi="Times New Roman" w:cs="Times New Roman"/>
          <w:sz w:val="20"/>
          <w:szCs w:val="20"/>
        </w:rPr>
        <w:t xml:space="preserve"> - (English version).</w:t>
      </w:r>
    </w:p>
  </w:footnote>
  <w:footnote w:id="9">
    <w:p w:rsidR="004672FE" w:rsidRDefault="00C11CC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6">
        <w:r>
          <w:rPr>
            <w:rFonts w:ascii="Times New Roman" w:eastAsia="Times New Roman" w:hAnsi="Times New Roman" w:cs="Times New Roman"/>
            <w:color w:val="1155CC"/>
            <w:sz w:val="20"/>
            <w:szCs w:val="20"/>
            <w:u w:val="single"/>
          </w:rPr>
          <w:t>Law No 12 of 2017 amending the Military Judi</w:t>
        </w:r>
        <w:r>
          <w:rPr>
            <w:rFonts w:ascii="Times New Roman" w:eastAsia="Times New Roman" w:hAnsi="Times New Roman" w:cs="Times New Roman"/>
            <w:color w:val="1155CC"/>
            <w:sz w:val="20"/>
            <w:szCs w:val="20"/>
            <w:u w:val="single"/>
          </w:rPr>
          <w:t>ciary Decree-Law No. 34 of 2002</w:t>
        </w:r>
      </w:hyperlink>
      <w:r>
        <w:rPr>
          <w:rFonts w:ascii="Times New Roman" w:eastAsia="Times New Roman" w:hAnsi="Times New Roman" w:cs="Times New Roman"/>
          <w:sz w:val="20"/>
          <w:szCs w:val="20"/>
        </w:rPr>
        <w:t xml:space="preserve"> - Legislation &amp; Legal Opinion Commission. </w:t>
      </w:r>
    </w:p>
  </w:footnote>
  <w:footnote w:id="10">
    <w:p w:rsidR="004672FE" w:rsidRDefault="00C11CC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17">
        <w:r>
          <w:rPr>
            <w:rFonts w:ascii="Times New Roman" w:eastAsia="Times New Roman" w:hAnsi="Times New Roman" w:cs="Times New Roman"/>
            <w:color w:val="1155CC"/>
            <w:sz w:val="20"/>
            <w:szCs w:val="20"/>
            <w:u w:val="single"/>
          </w:rPr>
          <w:t>Penal Code No.15 of 1976</w:t>
        </w:r>
      </w:hyperlink>
      <w:r>
        <w:rPr>
          <w:rFonts w:ascii="Times New Roman" w:eastAsia="Times New Roman" w:hAnsi="Times New Roman" w:cs="Times New Roman"/>
          <w:sz w:val="20"/>
          <w:szCs w:val="20"/>
        </w:rPr>
        <w:t xml:space="preserve"> - Legislation &amp; Legal Opinion Commission. </w:t>
      </w:r>
    </w:p>
  </w:footnote>
  <w:footnote w:id="11">
    <w:p w:rsidR="004672FE" w:rsidRDefault="00C11CC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w:t>
      </w:r>
      <w:hyperlink r:id="rId18">
        <w:r>
          <w:rPr>
            <w:rFonts w:ascii="Times New Roman" w:eastAsia="Times New Roman" w:hAnsi="Times New Roman" w:cs="Times New Roman"/>
            <w:color w:val="1155CC"/>
            <w:sz w:val="20"/>
            <w:szCs w:val="20"/>
            <w:u w:val="single"/>
          </w:rPr>
          <w:t xml:space="preserve">Law No. (58) </w:t>
        </w:r>
        <w:proofErr w:type="gramStart"/>
        <w:r>
          <w:rPr>
            <w:rFonts w:ascii="Times New Roman" w:eastAsia="Times New Roman" w:hAnsi="Times New Roman" w:cs="Times New Roman"/>
            <w:color w:val="1155CC"/>
            <w:sz w:val="20"/>
            <w:szCs w:val="20"/>
            <w:u w:val="single"/>
          </w:rPr>
          <w:t>of</w:t>
        </w:r>
        <w:proofErr w:type="gramEnd"/>
        <w:r>
          <w:rPr>
            <w:rFonts w:ascii="Times New Roman" w:eastAsia="Times New Roman" w:hAnsi="Times New Roman" w:cs="Times New Roman"/>
            <w:color w:val="1155CC"/>
            <w:sz w:val="20"/>
            <w:szCs w:val="20"/>
            <w:u w:val="single"/>
          </w:rPr>
          <w:t xml:space="preserve"> 2006 with respect t</w:t>
        </w:r>
        <w:r>
          <w:rPr>
            <w:rFonts w:ascii="Times New Roman" w:eastAsia="Times New Roman" w:hAnsi="Times New Roman" w:cs="Times New Roman"/>
            <w:color w:val="1155CC"/>
            <w:sz w:val="20"/>
            <w:szCs w:val="20"/>
            <w:u w:val="single"/>
          </w:rPr>
          <w:t>o protecting the society from terrorist acts</w:t>
        </w:r>
      </w:hyperlink>
      <w:r>
        <w:rPr>
          <w:rFonts w:ascii="Times New Roman" w:eastAsia="Times New Roman" w:hAnsi="Times New Roman" w:cs="Times New Roman"/>
          <w:sz w:val="20"/>
          <w:szCs w:val="20"/>
        </w:rPr>
        <w:t xml:space="preserve"> - Legislation &amp; Legal Opinion Commission. </w:t>
      </w:r>
    </w:p>
    <w:p w:rsidR="004672FE" w:rsidRDefault="004672FE">
      <w:pPr>
        <w:spacing w:line="240" w:lineRule="auto"/>
        <w:rPr>
          <w:sz w:val="20"/>
          <w:szCs w:val="20"/>
        </w:rPr>
      </w:pPr>
    </w:p>
  </w:footnote>
  <w:footnote w:id="12">
    <w:p w:rsidR="004672FE" w:rsidRDefault="00C11CCE">
      <w:pPr>
        <w:spacing w:line="240" w:lineRule="auto"/>
        <w:rPr>
          <w:sz w:val="20"/>
          <w:szCs w:val="20"/>
        </w:rPr>
      </w:pPr>
      <w:r>
        <w:rPr>
          <w:vertAlign w:val="superscript"/>
        </w:rPr>
        <w:footnoteRef/>
      </w:r>
      <w:r>
        <w:rPr>
          <w:sz w:val="20"/>
          <w:szCs w:val="20"/>
        </w:rPr>
        <w:t xml:space="preserve"> </w:t>
      </w:r>
      <w:hyperlink r:id="rId19">
        <w:r>
          <w:rPr>
            <w:rFonts w:ascii="Times New Roman" w:eastAsia="Times New Roman" w:hAnsi="Times New Roman" w:cs="Times New Roman"/>
            <w:color w:val="1155CC"/>
            <w:sz w:val="20"/>
            <w:szCs w:val="20"/>
            <w:u w:val="single"/>
          </w:rPr>
          <w:t>Death or Confession | Bahrain: Secret military courts sentence civilians forced to confess under torture – SALAM DHR (salam-dhr.org)</w:t>
        </w:r>
      </w:hyperlink>
      <w:r>
        <w:rPr>
          <w:rFonts w:ascii="Times New Roman" w:eastAsia="Times New Roman" w:hAnsi="Times New Roman" w:cs="Times New Roman"/>
          <w:sz w:val="20"/>
          <w:szCs w:val="20"/>
        </w:rPr>
        <w:t xml:space="preserve"> Pages 13-14.</w:t>
      </w:r>
      <w:r>
        <w:rPr>
          <w:sz w:val="20"/>
          <w:szCs w:val="20"/>
        </w:rPr>
        <w:t xml:space="preserve"> </w:t>
      </w:r>
    </w:p>
  </w:footnote>
  <w:footnote w:id="13">
    <w:p w:rsidR="004672FE" w:rsidRDefault="00C11CCE">
      <w:pPr>
        <w:spacing w:line="240" w:lineRule="auto"/>
        <w:rPr>
          <w:sz w:val="20"/>
          <w:szCs w:val="20"/>
        </w:rPr>
      </w:pPr>
      <w:r>
        <w:rPr>
          <w:vertAlign w:val="superscript"/>
        </w:rPr>
        <w:footnoteRef/>
      </w:r>
      <w:r>
        <w:rPr>
          <w:sz w:val="20"/>
          <w:szCs w:val="20"/>
        </w:rPr>
        <w:t xml:space="preserve"> </w:t>
      </w:r>
      <w:hyperlink r:id="rId20">
        <w:r>
          <w:rPr>
            <w:rFonts w:ascii="Times New Roman" w:eastAsia="Times New Roman" w:hAnsi="Times New Roman" w:cs="Times New Roman"/>
            <w:color w:val="1155CC"/>
            <w:sz w:val="20"/>
            <w:szCs w:val="20"/>
            <w:u w:val="single"/>
          </w:rPr>
          <w:t>Death or Confession | Bahrain: Secret military courts sentence civilians forced to confess under torture – SALAM DHR (salam-dhr.org)</w:t>
        </w:r>
      </w:hyperlink>
    </w:p>
  </w:footnote>
  <w:footnote w:id="14">
    <w:p w:rsidR="004672FE" w:rsidRDefault="00C11CCE">
      <w:pPr>
        <w:spacing w:line="240" w:lineRule="auto"/>
        <w:rPr>
          <w:rFonts w:ascii="Times New Roman" w:eastAsia="Times New Roman" w:hAnsi="Times New Roman" w:cs="Times New Roman"/>
          <w:color w:val="1155CC"/>
          <w:sz w:val="20"/>
          <w:szCs w:val="20"/>
          <w:u w:val="single"/>
        </w:rPr>
      </w:pPr>
      <w:r>
        <w:rPr>
          <w:vertAlign w:val="superscript"/>
        </w:rPr>
        <w:footnoteRef/>
      </w:r>
      <w:r>
        <w:rPr>
          <w:sz w:val="20"/>
          <w:szCs w:val="20"/>
        </w:rPr>
        <w:t xml:space="preserve"> </w:t>
      </w:r>
      <w:hyperlink r:id="rId21">
        <w:r>
          <w:rPr>
            <w:rFonts w:ascii="Times New Roman" w:eastAsia="Times New Roman" w:hAnsi="Times New Roman" w:cs="Times New Roman"/>
            <w:color w:val="1155CC"/>
            <w:sz w:val="20"/>
            <w:szCs w:val="20"/>
            <w:u w:val="single"/>
          </w:rPr>
          <w:t>Death or Confession | Bahrain: Secret military courts sentence civilians forced to confess under torture – SALAM DHR (salam-dhr.org)</w:t>
        </w:r>
      </w:hyperlink>
    </w:p>
  </w:footnote>
  <w:footnote w:id="15">
    <w:p w:rsidR="004672FE" w:rsidRDefault="00C11CCE">
      <w:pPr>
        <w:spacing w:line="240" w:lineRule="auto"/>
        <w:rPr>
          <w:sz w:val="20"/>
          <w:szCs w:val="20"/>
        </w:rPr>
      </w:pPr>
      <w:r>
        <w:rPr>
          <w:vertAlign w:val="superscript"/>
        </w:rPr>
        <w:footnoteRef/>
      </w:r>
      <w:r>
        <w:rPr>
          <w:sz w:val="20"/>
          <w:szCs w:val="20"/>
        </w:rPr>
        <w:t xml:space="preserve"> </w:t>
      </w:r>
      <w:hyperlink r:id="rId22">
        <w:r>
          <w:rPr>
            <w:rFonts w:ascii="Times New Roman" w:eastAsia="Times New Roman" w:hAnsi="Times New Roman" w:cs="Times New Roman"/>
            <w:color w:val="1155CC"/>
            <w:sz w:val="20"/>
            <w:szCs w:val="20"/>
            <w:u w:val="single"/>
          </w:rPr>
          <w:t>Death or Confession | Bahrain: Secret military courts sentence civilians forced to confess under torture – SALAM DHR (salam-dhr.org)</w:t>
        </w:r>
      </w:hyperlink>
      <w:r>
        <w:rPr>
          <w:sz w:val="20"/>
          <w:szCs w:val="20"/>
        </w:rPr>
        <w:t xml:space="preserve"> </w:t>
      </w:r>
    </w:p>
  </w:footnote>
  <w:footnote w:id="16">
    <w:p w:rsidR="004672FE" w:rsidRDefault="00C11CCE">
      <w:pPr>
        <w:spacing w:line="240" w:lineRule="auto"/>
        <w:rPr>
          <w:sz w:val="20"/>
          <w:szCs w:val="20"/>
        </w:rPr>
      </w:pPr>
      <w:r>
        <w:rPr>
          <w:vertAlign w:val="superscript"/>
        </w:rPr>
        <w:footnoteRef/>
      </w:r>
      <w:r>
        <w:rPr>
          <w:sz w:val="20"/>
          <w:szCs w:val="20"/>
        </w:rPr>
        <w:t xml:space="preserve"> </w:t>
      </w:r>
      <w:hyperlink r:id="rId23">
        <w:r>
          <w:rPr>
            <w:rFonts w:ascii="Times New Roman" w:eastAsia="Times New Roman" w:hAnsi="Times New Roman" w:cs="Times New Roman"/>
            <w:color w:val="1155CC"/>
            <w:sz w:val="20"/>
            <w:szCs w:val="20"/>
            <w:u w:val="single"/>
          </w:rPr>
          <w:t>NIHR_2017_En.pdf</w:t>
        </w:r>
      </w:hyperlink>
      <w:r>
        <w:rPr>
          <w:rFonts w:ascii="Times New Roman" w:eastAsia="Times New Roman" w:hAnsi="Times New Roman" w:cs="Times New Roman"/>
          <w:color w:val="1155CC"/>
          <w:sz w:val="20"/>
          <w:szCs w:val="20"/>
          <w:u w:val="single"/>
        </w:rPr>
        <w:t xml:space="preserve"> </w:t>
      </w:r>
    </w:p>
  </w:footnote>
  <w:footnote w:id="17">
    <w:p w:rsidR="004672FE" w:rsidRDefault="00C11CC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24">
        <w:r>
          <w:rPr>
            <w:rFonts w:ascii="Times New Roman" w:eastAsia="Times New Roman" w:hAnsi="Times New Roman" w:cs="Times New Roman"/>
            <w:color w:val="1155CC"/>
            <w:sz w:val="20"/>
            <w:szCs w:val="20"/>
            <w:u w:val="single"/>
          </w:rPr>
          <w:t xml:space="preserve">Law No. (58) </w:t>
        </w:r>
        <w:proofErr w:type="gramStart"/>
        <w:r>
          <w:rPr>
            <w:rFonts w:ascii="Times New Roman" w:eastAsia="Times New Roman" w:hAnsi="Times New Roman" w:cs="Times New Roman"/>
            <w:color w:val="1155CC"/>
            <w:sz w:val="20"/>
            <w:szCs w:val="20"/>
            <w:u w:val="single"/>
          </w:rPr>
          <w:t>of</w:t>
        </w:r>
        <w:proofErr w:type="gramEnd"/>
        <w:r>
          <w:rPr>
            <w:rFonts w:ascii="Times New Roman" w:eastAsia="Times New Roman" w:hAnsi="Times New Roman" w:cs="Times New Roman"/>
            <w:color w:val="1155CC"/>
            <w:sz w:val="20"/>
            <w:szCs w:val="20"/>
            <w:u w:val="single"/>
          </w:rPr>
          <w:t xml:space="preserve"> 2006 with respect to protecting the society from terrorist acts</w:t>
        </w:r>
      </w:hyperlink>
      <w:r>
        <w:rPr>
          <w:rFonts w:ascii="Times New Roman" w:eastAsia="Times New Roman" w:hAnsi="Times New Roman" w:cs="Times New Roman"/>
          <w:sz w:val="20"/>
          <w:szCs w:val="20"/>
        </w:rPr>
        <w:t xml:space="preserve"> - Legislation &amp; Legal Opinion</w:t>
      </w:r>
      <w:r>
        <w:rPr>
          <w:rFonts w:ascii="Times New Roman" w:eastAsia="Times New Roman" w:hAnsi="Times New Roman" w:cs="Times New Roman"/>
          <w:sz w:val="20"/>
          <w:szCs w:val="20"/>
        </w:rPr>
        <w:t xml:space="preserve"> Commission. </w:t>
      </w:r>
    </w:p>
  </w:footnote>
  <w:footnote w:id="18">
    <w:p w:rsidR="004672FE" w:rsidRDefault="00C11CCE">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 UN provided an English summary of the law at:</w:t>
      </w:r>
      <w:r>
        <w:rPr>
          <w:rFonts w:ascii="Roboto" w:eastAsia="Roboto" w:hAnsi="Roboto" w:cs="Roboto"/>
          <w:color w:val="3C4043"/>
          <w:sz w:val="21"/>
          <w:szCs w:val="21"/>
          <w:highlight w:val="white"/>
        </w:rPr>
        <w:t xml:space="preserve"> </w:t>
      </w:r>
      <w:hyperlink r:id="rId25">
        <w:r>
          <w:rPr>
            <w:rFonts w:ascii="Times New Roman" w:eastAsia="Times New Roman" w:hAnsi="Times New Roman" w:cs="Times New Roman"/>
            <w:color w:val="1155CC"/>
            <w:sz w:val="20"/>
            <w:szCs w:val="20"/>
            <w:u w:val="single"/>
          </w:rPr>
          <w:t>Bahrain -- Measures to eliminate international terrorism (un.org)</w:t>
        </w:r>
      </w:hyperlink>
    </w:p>
  </w:footnote>
  <w:footnote w:id="19">
    <w:p w:rsidR="004672FE" w:rsidRDefault="00C11CCE">
      <w:pPr>
        <w:spacing w:line="240" w:lineRule="auto"/>
        <w:rPr>
          <w:sz w:val="20"/>
          <w:szCs w:val="20"/>
        </w:rPr>
      </w:pPr>
      <w:r>
        <w:rPr>
          <w:vertAlign w:val="superscript"/>
        </w:rPr>
        <w:footnoteRef/>
      </w:r>
      <w:r>
        <w:rPr>
          <w:sz w:val="20"/>
          <w:szCs w:val="20"/>
        </w:rPr>
        <w:t xml:space="preserve"> </w:t>
      </w:r>
      <w:hyperlink r:id="rId26">
        <w:r>
          <w:rPr>
            <w:rFonts w:ascii="Times New Roman" w:eastAsia="Times New Roman" w:hAnsi="Times New Roman" w:cs="Times New Roman"/>
            <w:color w:val="1155CC"/>
            <w:sz w:val="20"/>
            <w:szCs w:val="20"/>
            <w:u w:val="single"/>
          </w:rPr>
          <w:t>Bahrain: First civilian case referred to military court - Amnes</w:t>
        </w:r>
        <w:r>
          <w:rPr>
            <w:rFonts w:ascii="Times New Roman" w:eastAsia="Times New Roman" w:hAnsi="Times New Roman" w:cs="Times New Roman"/>
            <w:color w:val="1155CC"/>
            <w:sz w:val="20"/>
            <w:szCs w:val="20"/>
            <w:u w:val="single"/>
          </w:rPr>
          <w:t>ty International</w:t>
        </w:r>
      </w:hyperlink>
    </w:p>
  </w:footnote>
  <w:footnote w:id="20">
    <w:p w:rsidR="004672FE" w:rsidRDefault="00C11CCE">
      <w:pPr>
        <w:spacing w:line="240" w:lineRule="auto"/>
        <w:rPr>
          <w:sz w:val="20"/>
          <w:szCs w:val="20"/>
        </w:rPr>
      </w:pPr>
      <w:r>
        <w:rPr>
          <w:vertAlign w:val="superscript"/>
        </w:rPr>
        <w:footnoteRef/>
      </w:r>
      <w:r>
        <w:rPr>
          <w:sz w:val="20"/>
          <w:szCs w:val="20"/>
        </w:rPr>
        <w:t xml:space="preserve"> </w:t>
      </w:r>
      <w:hyperlink r:id="rId27">
        <w:r>
          <w:rPr>
            <w:rFonts w:ascii="Times New Roman" w:eastAsia="Times New Roman" w:hAnsi="Times New Roman" w:cs="Times New Roman"/>
            <w:color w:val="1155CC"/>
            <w:sz w:val="20"/>
            <w:szCs w:val="20"/>
            <w:u w:val="single"/>
          </w:rPr>
          <w:t>Constitution of Bahrain - UN Women (constitutions.unwomen.org)</w:t>
        </w:r>
      </w:hyperlink>
      <w:r>
        <w:rPr>
          <w:sz w:val="20"/>
          <w:szCs w:val="20"/>
        </w:rPr>
        <w:t xml:space="preserve"> </w:t>
      </w:r>
    </w:p>
  </w:footnote>
  <w:footnote w:id="21">
    <w:p w:rsidR="004672FE" w:rsidRDefault="00C11CC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28">
        <w:r>
          <w:rPr>
            <w:rFonts w:ascii="Times New Roman" w:eastAsia="Times New Roman" w:hAnsi="Times New Roman" w:cs="Times New Roman"/>
            <w:color w:val="1155CC"/>
            <w:sz w:val="20"/>
            <w:szCs w:val="20"/>
            <w:u w:val="single"/>
          </w:rPr>
          <w:t>Bahrain: Death Penalties at Military Courts Commuted to Life Imprisonments against Civilians Subjected to Torture - Salam DHR</w:t>
        </w:r>
      </w:hyperlink>
      <w:r>
        <w:rPr>
          <w:rFonts w:ascii="Times New Roman" w:eastAsia="Times New Roman" w:hAnsi="Times New Roman" w:cs="Times New Roman"/>
          <w:sz w:val="20"/>
          <w:szCs w:val="20"/>
        </w:rPr>
        <w:t xml:space="preserve"> - 26 April 2018</w:t>
      </w:r>
    </w:p>
  </w:footnote>
  <w:footnote w:id="22">
    <w:p w:rsidR="004672FE" w:rsidRDefault="00C11CC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Re-introduce the moratorium on executions with a view to definitively abolishing the death penalty (Spain) A/HRC/36/3/Add.1 - Para. 36.</w:t>
      </w:r>
    </w:p>
  </w:footnote>
  <w:footnote w:id="23">
    <w:p w:rsidR="004672FE" w:rsidRDefault="00C11CCE">
      <w:pPr>
        <w:spacing w:line="240" w:lineRule="auto"/>
      </w:pPr>
      <w:r>
        <w:rPr>
          <w:vertAlign w:val="superscript"/>
        </w:rPr>
        <w:footnoteRef/>
      </w:r>
      <w:r>
        <w:rPr>
          <w:sz w:val="20"/>
          <w:szCs w:val="20"/>
        </w:rPr>
        <w:t xml:space="preserve"> </w:t>
      </w:r>
      <w:hyperlink r:id="rId29">
        <w:r>
          <w:rPr>
            <w:rFonts w:ascii="Times New Roman" w:eastAsia="Times New Roman" w:hAnsi="Times New Roman" w:cs="Times New Roman"/>
            <w:color w:val="1155CC"/>
            <w:sz w:val="20"/>
            <w:szCs w:val="20"/>
            <w:u w:val="single"/>
          </w:rPr>
          <w:t>Treaty bodies countries (ohchr.org)</w:t>
        </w:r>
      </w:hyperlink>
    </w:p>
  </w:footnote>
  <w:footnote w:id="24">
    <w:p w:rsidR="004672FE" w:rsidRDefault="00C11CC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Embassy of the Kingdom of Bahrain London, Statement, 8 July 2020, on file at Reprieve.</w:t>
      </w:r>
    </w:p>
  </w:footnote>
  <w:footnote w:id="25">
    <w:p w:rsidR="004672FE" w:rsidRDefault="00C11CCE">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General comment no. 36, Article 6 (Right to Life), 3 September 2019,</w:t>
      </w:r>
      <w:r>
        <w:rPr>
          <w:rFonts w:ascii="Times New Roman" w:eastAsia="Times New Roman" w:hAnsi="Times New Roman" w:cs="Times New Roman"/>
          <w:sz w:val="18"/>
          <w:szCs w:val="18"/>
        </w:rPr>
        <w:t xml:space="preserve"> </w:t>
      </w:r>
      <w:hyperlink r:id="rId30">
        <w:r>
          <w:rPr>
            <w:rFonts w:ascii="Times New Roman" w:eastAsia="Times New Roman" w:hAnsi="Times New Roman" w:cs="Times New Roman"/>
            <w:color w:val="1155CC"/>
            <w:sz w:val="18"/>
            <w:szCs w:val="18"/>
            <w:u w:val="single"/>
          </w:rPr>
          <w:t>CCPR/C/GC/36</w:t>
        </w:r>
      </w:hyperlink>
      <w:r>
        <w:rPr>
          <w:sz w:val="18"/>
          <w:szCs w:val="18"/>
        </w:rPr>
        <w:t xml:space="preserve"> </w:t>
      </w:r>
      <w:r>
        <w:rPr>
          <w:sz w:val="20"/>
          <w:szCs w:val="20"/>
        </w:rPr>
        <w:t xml:space="preserve"> </w:t>
      </w:r>
    </w:p>
  </w:footnote>
  <w:footnote w:id="26">
    <w:p w:rsidR="004672FE" w:rsidRDefault="00C11CC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General comment no. 36, Article 6 (Right to Life), 3 September 2019,</w:t>
      </w:r>
      <w:r>
        <w:rPr>
          <w:rFonts w:ascii="Times New Roman" w:eastAsia="Times New Roman" w:hAnsi="Times New Roman" w:cs="Times New Roman"/>
          <w:sz w:val="18"/>
          <w:szCs w:val="18"/>
        </w:rPr>
        <w:t xml:space="preserve"> </w:t>
      </w:r>
      <w:hyperlink r:id="rId31">
        <w:r>
          <w:rPr>
            <w:rFonts w:ascii="Times New Roman" w:eastAsia="Times New Roman" w:hAnsi="Times New Roman" w:cs="Times New Roman"/>
            <w:color w:val="1155CC"/>
            <w:sz w:val="18"/>
            <w:szCs w:val="18"/>
            <w:u w:val="single"/>
          </w:rPr>
          <w:t>CCPR/C/GC/36</w:t>
        </w:r>
      </w:hyperlink>
      <w:r>
        <w:rPr>
          <w:sz w:val="20"/>
          <w:szCs w:val="20"/>
        </w:rPr>
        <w:t xml:space="preserve">; </w:t>
      </w:r>
      <w:r>
        <w:rPr>
          <w:rFonts w:ascii="Times New Roman" w:eastAsia="Times New Roman" w:hAnsi="Times New Roman" w:cs="Times New Roman"/>
          <w:sz w:val="20"/>
          <w:szCs w:val="20"/>
        </w:rPr>
        <w:t>Bahrain Institute of Rights and Democracy, Reprieve, and the European Commission, From Uprising to Executions: The Death Penalty in Bahrain, Ten Years on From the Arab Spring, 2021, p 14.</w:t>
      </w:r>
    </w:p>
  </w:footnote>
  <w:footnote w:id="27">
    <w:p w:rsidR="004672FE" w:rsidRDefault="00C11CC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b/>
          <w:sz w:val="20"/>
          <w:szCs w:val="20"/>
        </w:rPr>
        <w:t xml:space="preserve">Article 112 </w:t>
      </w:r>
      <w:r>
        <w:rPr>
          <w:rFonts w:ascii="Times New Roman" w:eastAsia="Times New Roman" w:hAnsi="Times New Roman" w:cs="Times New Roman"/>
          <w:sz w:val="20"/>
          <w:szCs w:val="20"/>
        </w:rPr>
        <w:t>o</w:t>
      </w:r>
      <w:r>
        <w:rPr>
          <w:rFonts w:ascii="Times New Roman" w:eastAsia="Times New Roman" w:hAnsi="Times New Roman" w:cs="Times New Roman"/>
          <w:sz w:val="20"/>
          <w:szCs w:val="20"/>
        </w:rPr>
        <w:t xml:space="preserve">f the Penal Code - Special Section, Chapter 1, Crimes against the external security of the state Page 21- </w:t>
      </w:r>
      <w:hyperlink r:id="rId32">
        <w:r>
          <w:rPr>
            <w:rFonts w:ascii="Times New Roman" w:eastAsia="Times New Roman" w:hAnsi="Times New Roman" w:cs="Times New Roman"/>
            <w:color w:val="1155CC"/>
            <w:sz w:val="20"/>
            <w:szCs w:val="20"/>
            <w:u w:val="single"/>
          </w:rPr>
          <w:t>untitled (legalaffairs.gov.bh)</w:t>
        </w:r>
      </w:hyperlink>
      <w:r>
        <w:rPr>
          <w:rFonts w:ascii="Times New Roman" w:eastAsia="Times New Roman" w:hAnsi="Times New Roman" w:cs="Times New Roman"/>
          <w:sz w:val="20"/>
          <w:szCs w:val="20"/>
        </w:rPr>
        <w:t xml:space="preserve"> </w:t>
      </w:r>
    </w:p>
  </w:footnote>
  <w:footnote w:id="28">
    <w:p w:rsidR="004672FE" w:rsidRDefault="00C11CC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b/>
          <w:sz w:val="20"/>
          <w:szCs w:val="20"/>
        </w:rPr>
        <w:t>Article 147</w:t>
      </w:r>
      <w:r>
        <w:rPr>
          <w:sz w:val="20"/>
          <w:szCs w:val="20"/>
        </w:rPr>
        <w:t xml:space="preserve"> </w:t>
      </w:r>
      <w:r>
        <w:rPr>
          <w:rFonts w:ascii="Times New Roman" w:eastAsia="Times New Roman" w:hAnsi="Times New Roman" w:cs="Times New Roman"/>
          <w:sz w:val="20"/>
          <w:szCs w:val="20"/>
        </w:rPr>
        <w:t>of the Penal Code - Special Section, Ch</w:t>
      </w:r>
      <w:r>
        <w:rPr>
          <w:rFonts w:ascii="Times New Roman" w:eastAsia="Times New Roman" w:hAnsi="Times New Roman" w:cs="Times New Roman"/>
          <w:sz w:val="20"/>
          <w:szCs w:val="20"/>
        </w:rPr>
        <w:t xml:space="preserve">apter 2, Crimes against the internal security of the state Page 28 - </w:t>
      </w:r>
      <w:hyperlink r:id="rId33">
        <w:r>
          <w:rPr>
            <w:rFonts w:ascii="Times New Roman" w:eastAsia="Times New Roman" w:hAnsi="Times New Roman" w:cs="Times New Roman"/>
            <w:color w:val="1155CC"/>
            <w:sz w:val="20"/>
            <w:szCs w:val="20"/>
            <w:u w:val="single"/>
          </w:rPr>
          <w:t>untitled (legalaffairs.gov.bh)</w:t>
        </w:r>
      </w:hyperlink>
      <w:r>
        <w:rPr>
          <w:rFonts w:ascii="Times New Roman" w:eastAsia="Times New Roman" w:hAnsi="Times New Roman" w:cs="Times New Roman"/>
          <w:sz w:val="20"/>
          <w:szCs w:val="20"/>
        </w:rPr>
        <w:t xml:space="preserve"> </w:t>
      </w:r>
    </w:p>
  </w:footnote>
  <w:footnote w:id="29">
    <w:p w:rsidR="004672FE" w:rsidRDefault="00C11CC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34">
        <w:r>
          <w:rPr>
            <w:rFonts w:ascii="Times New Roman" w:eastAsia="Times New Roman" w:hAnsi="Times New Roman" w:cs="Times New Roman"/>
            <w:color w:val="1155CC"/>
            <w:sz w:val="20"/>
            <w:szCs w:val="20"/>
            <w:u w:val="single"/>
          </w:rPr>
          <w:t>The Death Penalty in Bahrain: A system built on torture – SALAM DHR (salam-dhr.org)</w:t>
        </w:r>
      </w:hyperlink>
      <w:r>
        <w:rPr>
          <w:rFonts w:ascii="Times New Roman" w:eastAsia="Times New Roman" w:hAnsi="Times New Roman" w:cs="Times New Roman"/>
          <w:sz w:val="20"/>
          <w:szCs w:val="20"/>
        </w:rPr>
        <w:t xml:space="preserve"> - October 21.</w:t>
      </w:r>
    </w:p>
  </w:footnote>
  <w:footnote w:id="30">
    <w:p w:rsidR="004672FE" w:rsidRDefault="00C11CCE">
      <w:pPr>
        <w:spacing w:line="240" w:lineRule="auto"/>
        <w:rPr>
          <w:sz w:val="20"/>
          <w:szCs w:val="20"/>
        </w:rPr>
      </w:pPr>
      <w:r>
        <w:rPr>
          <w:vertAlign w:val="superscript"/>
        </w:rPr>
        <w:footnoteRef/>
      </w:r>
      <w:hyperlink r:id="rId35">
        <w:r>
          <w:rPr>
            <w:rFonts w:ascii="Times New Roman" w:eastAsia="Times New Roman" w:hAnsi="Times New Roman" w:cs="Times New Roman"/>
            <w:sz w:val="20"/>
            <w:szCs w:val="20"/>
          </w:rPr>
          <w:t xml:space="preserve"> </w:t>
        </w:r>
      </w:hyperlink>
      <w:hyperlink r:id="rId36">
        <w:r>
          <w:rPr>
            <w:rFonts w:ascii="Times New Roman" w:eastAsia="Times New Roman" w:hAnsi="Times New Roman" w:cs="Times New Roman"/>
            <w:color w:val="1155CC"/>
            <w:sz w:val="20"/>
            <w:szCs w:val="20"/>
            <w:u w:val="single"/>
          </w:rPr>
          <w:t>Code of Criminal Procedure No. 46 of 2002</w:t>
        </w:r>
      </w:hyperlink>
      <w:hyperlink r:id="rId37">
        <w:r>
          <w:rPr>
            <w:rFonts w:ascii="Times New Roman" w:eastAsia="Times New Roman" w:hAnsi="Times New Roman" w:cs="Times New Roman"/>
            <w:color w:val="1155CC"/>
            <w:sz w:val="20"/>
            <w:szCs w:val="20"/>
            <w:u w:val="single"/>
          </w:rPr>
          <w:t xml:space="preserve"> - ICRC (ihl-databases.icrc.org)</w:t>
        </w:r>
      </w:hyperlink>
      <w:r>
        <w:rPr>
          <w:rFonts w:ascii="Times New Roman" w:eastAsia="Times New Roman" w:hAnsi="Times New Roman" w:cs="Times New Roman"/>
          <w:sz w:val="20"/>
          <w:szCs w:val="20"/>
        </w:rPr>
        <w:t xml:space="preserve"> </w:t>
      </w:r>
    </w:p>
  </w:footnote>
  <w:footnote w:id="31">
    <w:p w:rsidR="004672FE" w:rsidRDefault="00C11CC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38">
        <w:r>
          <w:rPr>
            <w:rFonts w:ascii="Times New Roman" w:eastAsia="Times New Roman" w:hAnsi="Times New Roman" w:cs="Times New Roman"/>
            <w:color w:val="1155CC"/>
            <w:sz w:val="20"/>
            <w:szCs w:val="20"/>
            <w:u w:val="single"/>
          </w:rPr>
          <w:t>The Death Penalty in Bahrain: A system built on torture – SALAM DHR (salam-dhr.org)</w:t>
        </w:r>
      </w:hyperlink>
      <w:r>
        <w:rPr>
          <w:rFonts w:ascii="Times New Roman" w:eastAsia="Times New Roman" w:hAnsi="Times New Roman" w:cs="Times New Roman"/>
          <w:sz w:val="20"/>
          <w:szCs w:val="20"/>
        </w:rPr>
        <w:t xml:space="preserve"> - October 21.</w:t>
      </w:r>
    </w:p>
  </w:footnote>
  <w:footnote w:id="32">
    <w:p w:rsidR="004672FE" w:rsidRDefault="00C11CCE">
      <w:pPr>
        <w:spacing w:line="240" w:lineRule="auto"/>
        <w:rPr>
          <w:sz w:val="20"/>
          <w:szCs w:val="20"/>
        </w:rPr>
      </w:pPr>
      <w:r>
        <w:rPr>
          <w:vertAlign w:val="superscript"/>
        </w:rPr>
        <w:footnoteRef/>
      </w:r>
      <w:r>
        <w:rPr>
          <w:sz w:val="20"/>
          <w:szCs w:val="20"/>
        </w:rPr>
        <w:t xml:space="preserve"> </w:t>
      </w:r>
      <w:hyperlink r:id="rId39">
        <w:r>
          <w:rPr>
            <w:rFonts w:ascii="Times New Roman" w:eastAsia="Times New Roman" w:hAnsi="Times New Roman" w:cs="Times New Roman"/>
            <w:color w:val="1155CC"/>
            <w:sz w:val="20"/>
            <w:szCs w:val="20"/>
            <w:u w:val="single"/>
          </w:rPr>
          <w:t xml:space="preserve">Bahrain: Open appeal to His Majesty, King </w:t>
        </w:r>
        <w:proofErr w:type="spellStart"/>
        <w:r>
          <w:rPr>
            <w:rFonts w:ascii="Times New Roman" w:eastAsia="Times New Roman" w:hAnsi="Times New Roman" w:cs="Times New Roman"/>
            <w:color w:val="1155CC"/>
            <w:sz w:val="20"/>
            <w:szCs w:val="20"/>
            <w:u w:val="single"/>
          </w:rPr>
          <w:t>Hamad</w:t>
        </w:r>
        <w:proofErr w:type="spellEnd"/>
        <w:r>
          <w:rPr>
            <w:rFonts w:ascii="Times New Roman" w:eastAsia="Times New Roman" w:hAnsi="Times New Roman" w:cs="Times New Roman"/>
            <w:color w:val="1155CC"/>
            <w:sz w:val="20"/>
            <w:szCs w:val="20"/>
            <w:u w:val="single"/>
          </w:rPr>
          <w:t xml:space="preserve"> bin Isa Al </w:t>
        </w:r>
        <w:proofErr w:type="spellStart"/>
        <w:r>
          <w:rPr>
            <w:rFonts w:ascii="Times New Roman" w:eastAsia="Times New Roman" w:hAnsi="Times New Roman" w:cs="Times New Roman"/>
            <w:color w:val="1155CC"/>
            <w:sz w:val="20"/>
            <w:szCs w:val="20"/>
            <w:u w:val="single"/>
          </w:rPr>
          <w:t>Khalifa</w:t>
        </w:r>
        <w:proofErr w:type="spellEnd"/>
        <w:r>
          <w:rPr>
            <w:rFonts w:ascii="Times New Roman" w:eastAsia="Times New Roman" w:hAnsi="Times New Roman" w:cs="Times New Roman"/>
            <w:color w:val="1155CC"/>
            <w:sz w:val="20"/>
            <w:szCs w:val="20"/>
            <w:u w:val="single"/>
          </w:rPr>
          <w:t>, Kingdo</w:t>
        </w:r>
        <w:r>
          <w:rPr>
            <w:rFonts w:ascii="Times New Roman" w:eastAsia="Times New Roman" w:hAnsi="Times New Roman" w:cs="Times New Roman"/>
            <w:color w:val="1155CC"/>
            <w:sz w:val="20"/>
            <w:szCs w:val="20"/>
            <w:u w:val="single"/>
          </w:rPr>
          <w:t>m of Bahrain – SALAM DHR (salam-dhr.org)</w:t>
        </w:r>
      </w:hyperlink>
      <w:r>
        <w:rPr>
          <w:rFonts w:ascii="Times New Roman" w:eastAsia="Times New Roman" w:hAnsi="Times New Roman" w:cs="Times New Roman"/>
          <w:color w:val="1155CC"/>
          <w:sz w:val="20"/>
          <w:szCs w:val="20"/>
          <w:u w:val="single"/>
        </w:rPr>
        <w:t xml:space="preserve"> </w:t>
      </w:r>
    </w:p>
  </w:footnote>
  <w:footnote w:id="33">
    <w:p w:rsidR="004672FE" w:rsidRDefault="00C11CCE">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See the exchanges copied in the “Appendix 1”.</w:t>
      </w:r>
    </w:p>
  </w:footnote>
  <w:footnote w:id="34">
    <w:p w:rsidR="004672FE" w:rsidRDefault="00C11CCE">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On 22 October 2018, Bahrain’s Cassation Court overturned the</w:t>
      </w:r>
      <w:r>
        <w:rPr>
          <w:rFonts w:ascii="Times New Roman" w:eastAsia="Times New Roman" w:hAnsi="Times New Roman" w:cs="Times New Roman"/>
          <w:sz w:val="20"/>
          <w:szCs w:val="20"/>
        </w:rPr>
        <w:t xml:space="preserve">ir death sentences, which it had confirmed in 2015, and returned their cases to the Appeal Court for re-examination, based on new evidence: </w:t>
      </w:r>
      <w:hyperlink r:id="rId40">
        <w:r>
          <w:rPr>
            <w:rFonts w:ascii="Times New Roman" w:eastAsia="Times New Roman" w:hAnsi="Times New Roman" w:cs="Times New Roman"/>
            <w:color w:val="1155CC"/>
            <w:sz w:val="20"/>
            <w:szCs w:val="20"/>
            <w:u w:val="single"/>
          </w:rPr>
          <w:t>Bahrain: Further Information: Expected V</w:t>
        </w:r>
        <w:r>
          <w:rPr>
            <w:rFonts w:ascii="Times New Roman" w:eastAsia="Times New Roman" w:hAnsi="Times New Roman" w:cs="Times New Roman"/>
            <w:color w:val="1155CC"/>
            <w:sz w:val="20"/>
            <w:szCs w:val="20"/>
            <w:u w:val="single"/>
          </w:rPr>
          <w:t>erdict On Death Penalty Case - Amnesty International</w:t>
        </w:r>
      </w:hyperlink>
      <w:r>
        <w:rPr>
          <w:sz w:val="20"/>
          <w:szCs w:val="20"/>
        </w:rPr>
        <w:t xml:space="preserve"> </w:t>
      </w:r>
    </w:p>
  </w:footnote>
  <w:footnote w:id="35">
    <w:p w:rsidR="004672FE" w:rsidRDefault="00C11CCE">
      <w:pPr>
        <w:spacing w:line="240" w:lineRule="auto"/>
        <w:rPr>
          <w:sz w:val="20"/>
          <w:szCs w:val="20"/>
        </w:rPr>
      </w:pPr>
      <w:r>
        <w:rPr>
          <w:vertAlign w:val="superscript"/>
        </w:rPr>
        <w:footnoteRef/>
      </w:r>
      <w:r>
        <w:rPr>
          <w:sz w:val="20"/>
          <w:szCs w:val="20"/>
        </w:rPr>
        <w:t xml:space="preserve"> </w:t>
      </w:r>
      <w:hyperlink r:id="rId41">
        <w:r>
          <w:rPr>
            <w:rFonts w:ascii="Times New Roman" w:eastAsia="Times New Roman" w:hAnsi="Times New Roman" w:cs="Times New Roman"/>
            <w:color w:val="1155CC"/>
            <w:sz w:val="20"/>
            <w:szCs w:val="20"/>
            <w:u w:val="single"/>
          </w:rPr>
          <w:t>The Death Penalty in Ba</w:t>
        </w:r>
        <w:r>
          <w:rPr>
            <w:rFonts w:ascii="Times New Roman" w:eastAsia="Times New Roman" w:hAnsi="Times New Roman" w:cs="Times New Roman"/>
            <w:color w:val="1155CC"/>
            <w:sz w:val="20"/>
            <w:szCs w:val="20"/>
            <w:u w:val="single"/>
          </w:rPr>
          <w:t>hrain: A system built on torture – SALAM DHR (salam-dhr.org)</w:t>
        </w:r>
      </w:hyperlink>
      <w:r>
        <w:rPr>
          <w:rFonts w:ascii="Times New Roman" w:eastAsia="Times New Roman" w:hAnsi="Times New Roman" w:cs="Times New Roman"/>
          <w:sz w:val="20"/>
          <w:szCs w:val="20"/>
        </w:rPr>
        <w:t xml:space="preserve"> - October 21.</w:t>
      </w:r>
    </w:p>
  </w:footnote>
  <w:footnote w:id="36">
    <w:p w:rsidR="004672FE" w:rsidRDefault="00C11CCE">
      <w:pPr>
        <w:spacing w:line="240" w:lineRule="auto"/>
        <w:rPr>
          <w:rFonts w:ascii="Times New Roman" w:eastAsia="Times New Roman" w:hAnsi="Times New Roman" w:cs="Times New Roman"/>
          <w:color w:val="1155CC"/>
          <w:sz w:val="20"/>
          <w:szCs w:val="20"/>
          <w:u w:val="single"/>
        </w:rPr>
      </w:pPr>
      <w:r>
        <w:rPr>
          <w:vertAlign w:val="superscript"/>
        </w:rPr>
        <w:footnoteRef/>
      </w:r>
      <w:r>
        <w:rPr>
          <w:sz w:val="20"/>
          <w:szCs w:val="20"/>
        </w:rPr>
        <w:t xml:space="preserve"> </w:t>
      </w:r>
      <w:hyperlink r:id="rId42">
        <w:r>
          <w:rPr>
            <w:rFonts w:ascii="Times New Roman" w:eastAsia="Times New Roman" w:hAnsi="Times New Roman" w:cs="Times New Roman"/>
            <w:color w:val="1155CC"/>
            <w:sz w:val="20"/>
            <w:szCs w:val="20"/>
            <w:u w:val="single"/>
          </w:rPr>
          <w:t xml:space="preserve">Bahrain: Open appeal to His Majesty, King </w:t>
        </w:r>
        <w:proofErr w:type="spellStart"/>
        <w:r>
          <w:rPr>
            <w:rFonts w:ascii="Times New Roman" w:eastAsia="Times New Roman" w:hAnsi="Times New Roman" w:cs="Times New Roman"/>
            <w:color w:val="1155CC"/>
            <w:sz w:val="20"/>
            <w:szCs w:val="20"/>
            <w:u w:val="single"/>
          </w:rPr>
          <w:t>Hamad</w:t>
        </w:r>
        <w:proofErr w:type="spellEnd"/>
        <w:r>
          <w:rPr>
            <w:rFonts w:ascii="Times New Roman" w:eastAsia="Times New Roman" w:hAnsi="Times New Roman" w:cs="Times New Roman"/>
            <w:color w:val="1155CC"/>
            <w:sz w:val="20"/>
            <w:szCs w:val="20"/>
            <w:u w:val="single"/>
          </w:rPr>
          <w:t xml:space="preserve"> bin Isa Al </w:t>
        </w:r>
        <w:proofErr w:type="spellStart"/>
        <w:r>
          <w:rPr>
            <w:rFonts w:ascii="Times New Roman" w:eastAsia="Times New Roman" w:hAnsi="Times New Roman" w:cs="Times New Roman"/>
            <w:color w:val="1155CC"/>
            <w:sz w:val="20"/>
            <w:szCs w:val="20"/>
            <w:u w:val="single"/>
          </w:rPr>
          <w:t>Khalifa</w:t>
        </w:r>
        <w:proofErr w:type="spellEnd"/>
        <w:r>
          <w:rPr>
            <w:rFonts w:ascii="Times New Roman" w:eastAsia="Times New Roman" w:hAnsi="Times New Roman" w:cs="Times New Roman"/>
            <w:color w:val="1155CC"/>
            <w:sz w:val="20"/>
            <w:szCs w:val="20"/>
            <w:u w:val="single"/>
          </w:rPr>
          <w:t>, Kingdom of Bahrain</w:t>
        </w:r>
        <w:r>
          <w:rPr>
            <w:rFonts w:ascii="Times New Roman" w:eastAsia="Times New Roman" w:hAnsi="Times New Roman" w:cs="Times New Roman"/>
            <w:color w:val="1155CC"/>
            <w:sz w:val="20"/>
            <w:szCs w:val="20"/>
            <w:u w:val="single"/>
          </w:rPr>
          <w:t xml:space="preserve"> – SALAM DHR (salam-dhr.org)</w:t>
        </w:r>
      </w:hyperlink>
    </w:p>
  </w:footnote>
  <w:footnote w:id="37">
    <w:p w:rsidR="004672FE" w:rsidRDefault="00C11CCE">
      <w:pPr>
        <w:spacing w:line="240" w:lineRule="auto"/>
        <w:rPr>
          <w:sz w:val="20"/>
          <w:szCs w:val="20"/>
        </w:rPr>
      </w:pPr>
      <w:r>
        <w:rPr>
          <w:vertAlign w:val="superscript"/>
        </w:rPr>
        <w:footnoteRef/>
      </w:r>
      <w:r>
        <w:rPr>
          <w:sz w:val="20"/>
          <w:szCs w:val="20"/>
        </w:rPr>
        <w:t xml:space="preserve"> </w:t>
      </w:r>
      <w:hyperlink r:id="rId43">
        <w:r>
          <w:rPr>
            <w:rFonts w:ascii="Times New Roman" w:eastAsia="Times New Roman" w:hAnsi="Times New Roman" w:cs="Times New Roman"/>
            <w:color w:val="1155CC"/>
            <w:sz w:val="20"/>
            <w:szCs w:val="20"/>
            <w:u w:val="single"/>
          </w:rPr>
          <w:t>The Death Penalty in Bahrain: A system built on torture – SALAM DHR (salam-dhr.org</w:t>
        </w:r>
        <w:r>
          <w:rPr>
            <w:rFonts w:ascii="Times New Roman" w:eastAsia="Times New Roman" w:hAnsi="Times New Roman" w:cs="Times New Roman"/>
            <w:color w:val="1155CC"/>
            <w:sz w:val="20"/>
            <w:szCs w:val="20"/>
            <w:u w:val="single"/>
          </w:rPr>
          <w:t>)</w:t>
        </w:r>
      </w:hyperlink>
      <w:r>
        <w:rPr>
          <w:rFonts w:ascii="Times New Roman" w:eastAsia="Times New Roman" w:hAnsi="Times New Roman" w:cs="Times New Roman"/>
          <w:sz w:val="20"/>
          <w:szCs w:val="20"/>
        </w:rPr>
        <w:t xml:space="preserve"> - October 21.</w:t>
      </w:r>
    </w:p>
  </w:footnote>
  <w:footnote w:id="38">
    <w:p w:rsidR="004672FE" w:rsidRDefault="00C11CC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44">
        <w:r>
          <w:rPr>
            <w:rFonts w:ascii="Times New Roman" w:eastAsia="Times New Roman" w:hAnsi="Times New Roman" w:cs="Times New Roman"/>
            <w:color w:val="1155CC"/>
            <w:sz w:val="20"/>
            <w:szCs w:val="20"/>
            <w:u w:val="single"/>
          </w:rPr>
          <w:t>UN experts call on Bahrain to halt executions of two individuals amid torture al</w:t>
        </w:r>
        <w:r>
          <w:rPr>
            <w:rFonts w:ascii="Times New Roman" w:eastAsia="Times New Roman" w:hAnsi="Times New Roman" w:cs="Times New Roman"/>
            <w:color w:val="1155CC"/>
            <w:sz w:val="20"/>
            <w:szCs w:val="20"/>
            <w:u w:val="single"/>
          </w:rPr>
          <w:t>legations | OHCHR</w:t>
        </w:r>
      </w:hyperlink>
    </w:p>
  </w:footnote>
  <w:footnote w:id="39">
    <w:p w:rsidR="004672FE" w:rsidRDefault="00C11CCE">
      <w:pPr>
        <w:spacing w:line="240" w:lineRule="auto"/>
        <w:rPr>
          <w:sz w:val="20"/>
          <w:szCs w:val="20"/>
        </w:rPr>
      </w:pPr>
      <w:r>
        <w:rPr>
          <w:vertAlign w:val="superscript"/>
        </w:rPr>
        <w:footnoteRef/>
      </w:r>
      <w:r>
        <w:rPr>
          <w:sz w:val="20"/>
          <w:szCs w:val="20"/>
        </w:rPr>
        <w:t xml:space="preserve"> </w:t>
      </w:r>
      <w:hyperlink r:id="rId45">
        <w:r>
          <w:rPr>
            <w:rFonts w:ascii="Times New Roman" w:eastAsia="Times New Roman" w:hAnsi="Times New Roman" w:cs="Times New Roman"/>
            <w:color w:val="1155CC"/>
            <w:sz w:val="20"/>
            <w:szCs w:val="20"/>
            <w:u w:val="single"/>
          </w:rPr>
          <w:t>Constitution of Bahrain - L</w:t>
        </w:r>
        <w:r>
          <w:rPr>
            <w:rFonts w:ascii="Times New Roman" w:eastAsia="Times New Roman" w:hAnsi="Times New Roman" w:cs="Times New Roman"/>
            <w:color w:val="1155CC"/>
            <w:sz w:val="20"/>
            <w:szCs w:val="20"/>
            <w:u w:val="single"/>
          </w:rPr>
          <w:t>egislation and Legal Opinion Commission (lloc.gov.bh)</w:t>
        </w:r>
      </w:hyperlink>
    </w:p>
  </w:footnote>
  <w:footnote w:id="40">
    <w:p w:rsidR="004672FE" w:rsidRDefault="00C11CCE">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hyperlink r:id="rId46">
        <w:r>
          <w:rPr>
            <w:rFonts w:ascii="Times New Roman" w:eastAsia="Times New Roman" w:hAnsi="Times New Roman" w:cs="Times New Roman"/>
            <w:color w:val="1155CC"/>
            <w:sz w:val="20"/>
            <w:szCs w:val="20"/>
            <w:u w:val="single"/>
          </w:rPr>
          <w:t>Bahrain Nationality Law of 1963</w:t>
        </w:r>
      </w:hyperlink>
    </w:p>
  </w:footnote>
  <w:footnote w:id="41">
    <w:p w:rsidR="004672FE" w:rsidRDefault="00C11CCE">
      <w:pPr>
        <w:spacing w:line="240" w:lineRule="auto"/>
        <w:rPr>
          <w:sz w:val="20"/>
          <w:szCs w:val="20"/>
        </w:rPr>
      </w:pPr>
      <w:r>
        <w:rPr>
          <w:vertAlign w:val="superscript"/>
        </w:rPr>
        <w:footnoteRef/>
      </w:r>
      <w:r>
        <w:rPr>
          <w:sz w:val="20"/>
          <w:szCs w:val="20"/>
        </w:rPr>
        <w:t xml:space="preserve"> </w:t>
      </w:r>
      <w:hyperlink r:id="rId47">
        <w:r>
          <w:rPr>
            <w:rFonts w:ascii="Times New Roman" w:eastAsia="Times New Roman" w:hAnsi="Times New Roman" w:cs="Times New Roman"/>
            <w:color w:val="1155CC"/>
            <w:sz w:val="20"/>
            <w:szCs w:val="20"/>
            <w:u w:val="single"/>
          </w:rPr>
          <w:t xml:space="preserve">Bahrain: </w:t>
        </w:r>
        <w:proofErr w:type="spellStart"/>
        <w:r>
          <w:rPr>
            <w:rFonts w:ascii="Times New Roman" w:eastAsia="Times New Roman" w:hAnsi="Times New Roman" w:cs="Times New Roman"/>
            <w:color w:val="1155CC"/>
            <w:sz w:val="20"/>
            <w:szCs w:val="20"/>
            <w:u w:val="single"/>
          </w:rPr>
          <w:t>Nationalisation</w:t>
        </w:r>
        <w:proofErr w:type="spellEnd"/>
        <w:r>
          <w:rPr>
            <w:rFonts w:ascii="Times New Roman" w:eastAsia="Times New Roman" w:hAnsi="Times New Roman" w:cs="Times New Roman"/>
            <w:color w:val="1155CC"/>
            <w:sz w:val="20"/>
            <w:szCs w:val="20"/>
            <w:u w:val="single"/>
          </w:rPr>
          <w:t xml:space="preserve"> the media and </w:t>
        </w:r>
        <w:proofErr w:type="spellStart"/>
        <w:proofErr w:type="gramStart"/>
        <w:r>
          <w:rPr>
            <w:rFonts w:ascii="Times New Roman" w:eastAsia="Times New Roman" w:hAnsi="Times New Roman" w:cs="Times New Roman"/>
            <w:color w:val="1155CC"/>
            <w:sz w:val="20"/>
            <w:szCs w:val="20"/>
            <w:u w:val="single"/>
          </w:rPr>
          <w:t>Legitimising</w:t>
        </w:r>
        <w:proofErr w:type="spellEnd"/>
        <w:proofErr w:type="gramEnd"/>
        <w:r>
          <w:rPr>
            <w:rFonts w:ascii="Times New Roman" w:eastAsia="Times New Roman" w:hAnsi="Times New Roman" w:cs="Times New Roman"/>
            <w:color w:val="1155CC"/>
            <w:sz w:val="20"/>
            <w:szCs w:val="20"/>
            <w:u w:val="single"/>
          </w:rPr>
          <w:t xml:space="preserve"> the restriction of social media platforms - SALAM</w:t>
        </w:r>
        <w:r>
          <w:rPr>
            <w:rFonts w:ascii="Times New Roman" w:eastAsia="Times New Roman" w:hAnsi="Times New Roman" w:cs="Times New Roman"/>
            <w:color w:val="1155CC"/>
            <w:sz w:val="20"/>
            <w:szCs w:val="20"/>
            <w:u w:val="single"/>
          </w:rPr>
          <w:t xml:space="preserve"> DHR (salam-dhr.org)</w:t>
        </w:r>
      </w:hyperlink>
      <w:r>
        <w:rPr>
          <w:rFonts w:ascii="Times New Roman" w:eastAsia="Times New Roman" w:hAnsi="Times New Roman" w:cs="Times New Roman"/>
          <w:sz w:val="20"/>
          <w:szCs w:val="20"/>
        </w:rPr>
        <w:t xml:space="preserve"> - September 2021.</w:t>
      </w:r>
    </w:p>
  </w:footnote>
  <w:footnote w:id="42">
    <w:p w:rsidR="004672FE" w:rsidRDefault="00C11CC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48">
        <w:r>
          <w:rPr>
            <w:rFonts w:ascii="Times New Roman" w:eastAsia="Times New Roman" w:hAnsi="Times New Roman" w:cs="Times New Roman"/>
            <w:color w:val="1155CC"/>
            <w:sz w:val="20"/>
            <w:szCs w:val="20"/>
            <w:u w:val="single"/>
          </w:rPr>
          <w:t>Bahrain: UN expert alarmed by prolonged detention of human rights defenders - S</w:t>
        </w:r>
        <w:r>
          <w:rPr>
            <w:rFonts w:ascii="Times New Roman" w:eastAsia="Times New Roman" w:hAnsi="Times New Roman" w:cs="Times New Roman"/>
            <w:color w:val="1155CC"/>
            <w:sz w:val="20"/>
            <w:szCs w:val="20"/>
            <w:u w:val="single"/>
          </w:rPr>
          <w:t>pecial Procedure Press Releases (ohchr.org)</w:t>
        </w:r>
      </w:hyperlink>
      <w:r>
        <w:rPr>
          <w:rFonts w:ascii="Times New Roman" w:eastAsia="Times New Roman" w:hAnsi="Times New Roman" w:cs="Times New Roman"/>
          <w:sz w:val="20"/>
          <w:szCs w:val="20"/>
        </w:rPr>
        <w:t xml:space="preserve"> - June 2021.</w:t>
      </w:r>
    </w:p>
  </w:footnote>
  <w:footnote w:id="43">
    <w:p w:rsidR="004672FE" w:rsidRDefault="00C11CCE">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49">
        <w:r>
          <w:rPr>
            <w:rFonts w:ascii="Times New Roman" w:eastAsia="Times New Roman" w:hAnsi="Times New Roman" w:cs="Times New Roman"/>
            <w:color w:val="1155CC"/>
            <w:sz w:val="20"/>
            <w:szCs w:val="20"/>
            <w:u w:val="single"/>
          </w:rPr>
          <w:t>Decree-Law No. (15) of 1976 promulgating the Penal Code</w:t>
        </w:r>
      </w:hyperlink>
    </w:p>
  </w:footnote>
  <w:footnote w:id="44">
    <w:p w:rsidR="004672FE" w:rsidRDefault="00C11CCE">
      <w:pPr>
        <w:spacing w:line="240" w:lineRule="auto"/>
        <w:rPr>
          <w:sz w:val="20"/>
          <w:szCs w:val="20"/>
        </w:rPr>
      </w:pPr>
      <w:r>
        <w:rPr>
          <w:vertAlign w:val="superscript"/>
        </w:rPr>
        <w:footnoteRef/>
      </w:r>
      <w:r>
        <w:rPr>
          <w:sz w:val="20"/>
          <w:szCs w:val="20"/>
        </w:rPr>
        <w:t xml:space="preserve"> </w:t>
      </w:r>
      <w:hyperlink r:id="rId50">
        <w:r>
          <w:rPr>
            <w:rFonts w:ascii="Times New Roman" w:eastAsia="Times New Roman" w:hAnsi="Times New Roman" w:cs="Times New Roman"/>
            <w:color w:val="1155CC"/>
            <w:sz w:val="20"/>
            <w:szCs w:val="20"/>
            <w:u w:val="single"/>
          </w:rPr>
          <w:t>Law No. 25 of 2018</w:t>
        </w:r>
      </w:hyperlink>
    </w:p>
  </w:footnote>
  <w:footnote w:id="45">
    <w:p w:rsidR="004672FE" w:rsidRDefault="00C11CCE">
      <w:pPr>
        <w:spacing w:line="240" w:lineRule="auto"/>
        <w:rPr>
          <w:sz w:val="20"/>
          <w:szCs w:val="20"/>
        </w:rPr>
      </w:pPr>
      <w:r>
        <w:rPr>
          <w:vertAlign w:val="superscript"/>
        </w:rPr>
        <w:footnoteRef/>
      </w:r>
      <w:r>
        <w:rPr>
          <w:sz w:val="20"/>
          <w:szCs w:val="20"/>
        </w:rPr>
        <w:t xml:space="preserve"> </w:t>
      </w:r>
      <w:hyperlink r:id="rId51">
        <w:r>
          <w:rPr>
            <w:rFonts w:ascii="Times New Roman" w:eastAsia="Times New Roman" w:hAnsi="Times New Roman" w:cs="Times New Roman"/>
            <w:color w:val="1155CC"/>
            <w:sz w:val="20"/>
            <w:szCs w:val="20"/>
            <w:u w:val="single"/>
          </w:rPr>
          <w:t>Law No. 36 of 2018</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03E50"/>
    <w:multiLevelType w:val="multilevel"/>
    <w:tmpl w:val="71F8D43C"/>
    <w:lvl w:ilvl="0">
      <w:start w:val="1"/>
      <w:numFmt w:val="upperLetter"/>
      <w:lvlText w:val="%1."/>
      <w:lvlJc w:val="left"/>
      <w:pPr>
        <w:ind w:left="720" w:hanging="360"/>
      </w:pPr>
      <w:rPr>
        <w:rFonts w:ascii="Arial" w:eastAsia="Arial" w:hAnsi="Arial" w:cs="Arial"/>
        <w:b/>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293F0CAD"/>
    <w:multiLevelType w:val="multilevel"/>
    <w:tmpl w:val="07443F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3CAA7BC7"/>
    <w:multiLevelType w:val="multilevel"/>
    <w:tmpl w:val="B9547A3C"/>
    <w:lvl w:ilvl="0">
      <w:start w:val="3"/>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nsid w:val="5E472245"/>
    <w:multiLevelType w:val="multilevel"/>
    <w:tmpl w:val="CDD60DFE"/>
    <w:lvl w:ilvl="0">
      <w:start w:val="45"/>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nsid w:val="65E37C98"/>
    <w:multiLevelType w:val="multilevel"/>
    <w:tmpl w:val="5F26BAF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nsid w:val="66CB519E"/>
    <w:multiLevelType w:val="multilevel"/>
    <w:tmpl w:val="9E2467D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6F2C373E"/>
    <w:multiLevelType w:val="multilevel"/>
    <w:tmpl w:val="F89055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6F6B1F22"/>
    <w:multiLevelType w:val="multilevel"/>
    <w:tmpl w:val="0EF4EC04"/>
    <w:lvl w:ilvl="0">
      <w:start w:val="2"/>
      <w:numFmt w:val="upperLetter"/>
      <w:lvlText w:val="%1."/>
      <w:lvlJc w:val="left"/>
      <w:pPr>
        <w:ind w:left="708"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nsid w:val="739020D4"/>
    <w:multiLevelType w:val="multilevel"/>
    <w:tmpl w:val="18083686"/>
    <w:lvl w:ilvl="0">
      <w:start w:val="2"/>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6"/>
  </w:num>
  <w:num w:numId="2">
    <w:abstractNumId w:val="1"/>
  </w:num>
  <w:num w:numId="3">
    <w:abstractNumId w:val="5"/>
  </w:num>
  <w:num w:numId="4">
    <w:abstractNumId w:val="2"/>
  </w:num>
  <w:num w:numId="5">
    <w:abstractNumId w:val="4"/>
  </w:num>
  <w:num w:numId="6">
    <w:abstractNumId w:val="7"/>
  </w:num>
  <w:num w:numId="7">
    <w:abstractNumId w:val="8"/>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2FE"/>
    <w:rsid w:val="00083992"/>
    <w:rsid w:val="004142BB"/>
    <w:rsid w:val="00433600"/>
    <w:rsid w:val="004672FE"/>
    <w:rsid w:val="006C2544"/>
    <w:rsid w:val="008B21DB"/>
    <w:rsid w:val="008B6CBB"/>
    <w:rsid w:val="00C11CC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95D8A6D-0B67-4532-8F81-0C64953C8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fr-F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Spacing">
    <w:name w:val="No Spacing"/>
    <w:uiPriority w:val="1"/>
    <w:qFormat/>
    <w:rsid w:val="00083992"/>
    <w:pPr>
      <w:spacing w:line="240" w:lineRule="auto"/>
    </w:pPr>
  </w:style>
  <w:style w:type="character" w:styleId="Hyperlink">
    <w:name w:val="Hyperlink"/>
    <w:basedOn w:val="DefaultParagraphFont"/>
    <w:uiPriority w:val="99"/>
    <w:unhideWhenUsed/>
    <w:rsid w:val="00083992"/>
    <w:rPr>
      <w:color w:val="0000FF" w:themeColor="hyperlink"/>
      <w:u w:val="single"/>
    </w:rPr>
  </w:style>
  <w:style w:type="paragraph" w:styleId="Header">
    <w:name w:val="header"/>
    <w:basedOn w:val="Normal"/>
    <w:link w:val="HeaderChar"/>
    <w:uiPriority w:val="99"/>
    <w:unhideWhenUsed/>
    <w:rsid w:val="004142BB"/>
    <w:pPr>
      <w:tabs>
        <w:tab w:val="center" w:pos="4153"/>
        <w:tab w:val="right" w:pos="8306"/>
      </w:tabs>
      <w:spacing w:line="240" w:lineRule="auto"/>
    </w:pPr>
  </w:style>
  <w:style w:type="character" w:customStyle="1" w:styleId="HeaderChar">
    <w:name w:val="Header Char"/>
    <w:basedOn w:val="DefaultParagraphFont"/>
    <w:link w:val="Header"/>
    <w:uiPriority w:val="99"/>
    <w:rsid w:val="004142BB"/>
  </w:style>
  <w:style w:type="paragraph" w:styleId="Footer">
    <w:name w:val="footer"/>
    <w:basedOn w:val="Normal"/>
    <w:link w:val="FooterChar"/>
    <w:uiPriority w:val="99"/>
    <w:unhideWhenUsed/>
    <w:rsid w:val="004142BB"/>
    <w:pPr>
      <w:tabs>
        <w:tab w:val="center" w:pos="4153"/>
        <w:tab w:val="right" w:pos="8306"/>
      </w:tabs>
      <w:spacing w:line="240" w:lineRule="auto"/>
    </w:pPr>
  </w:style>
  <w:style w:type="character" w:customStyle="1" w:styleId="FooterChar">
    <w:name w:val="Footer Char"/>
    <w:basedOn w:val="DefaultParagraphFont"/>
    <w:link w:val="Footer"/>
    <w:uiPriority w:val="99"/>
    <w:rsid w:val="004142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lam-dhr.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alam-dhr.org/" TargetMode="External"/><Relationship Id="rId4" Type="http://schemas.openxmlformats.org/officeDocument/2006/relationships/settings" Target="settings.xml"/><Relationship Id="rId9" Type="http://schemas.openxmlformats.org/officeDocument/2006/relationships/hyperlink" Target="mailto:info@salam-dhr.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constitutions.unwomen.org/en/countries/asia/bahrain" TargetMode="External"/><Relationship Id="rId18" Type="http://schemas.openxmlformats.org/officeDocument/2006/relationships/hyperlink" Target="https://view.officeapps.live.com/op/view.aspx?src=https%3A%2F%2Fwww.legalaffairs.gov.bh%2FFullEn%2FK5806.docx&amp;wdOrigin=BROWSELINK" TargetMode="External"/><Relationship Id="rId26" Type="http://schemas.openxmlformats.org/officeDocument/2006/relationships/hyperlink" Target="https://www.amnesty.org/en/latest/news/2017/05/bahrain-first-civilian-case-referred-to-military-court/" TargetMode="External"/><Relationship Id="rId39" Type="http://schemas.openxmlformats.org/officeDocument/2006/relationships/hyperlink" Target="https://salam-dhr.org/bahrain-open-appeal-to-his-majesty-king-hamad-bin-isa-al-khalifa-kingdom-of-bahrain/" TargetMode="External"/><Relationship Id="rId3" Type="http://schemas.openxmlformats.org/officeDocument/2006/relationships/hyperlink" Target="https://tbinternet.ohchr.org/_layouts/15/treatybodyexternal/Download.aspx?symbolno=CCPR%2fC%2fBHR%2fCO%2f1&amp;Lang=en" TargetMode="External"/><Relationship Id="rId21" Type="http://schemas.openxmlformats.org/officeDocument/2006/relationships/hyperlink" Target="https://salam-dhr.org/death-or-confession-bahrain-secret-military-courts-sentence-civilians-forced-to-confess-under-torture/" TargetMode="External"/><Relationship Id="rId34" Type="http://schemas.openxmlformats.org/officeDocument/2006/relationships/hyperlink" Target="https://salam-dhr.org/the-death-penalty-in-bahrain-a-system-built-on-torture/" TargetMode="External"/><Relationship Id="rId42" Type="http://schemas.openxmlformats.org/officeDocument/2006/relationships/hyperlink" Target="https://salam-dhr.org/bahrain-open-appeal-to-his-majesty-king-hamad-bin-isa-al-khalifa-kingdom-of-bahrain/" TargetMode="External"/><Relationship Id="rId47" Type="http://schemas.openxmlformats.org/officeDocument/2006/relationships/hyperlink" Target="https://salam-dhr.org/bahrain-nationalisation-the-media-and-legitimising-the-restriction-of-social-media-platforms/" TargetMode="External"/><Relationship Id="rId50" Type="http://schemas.openxmlformats.org/officeDocument/2006/relationships/hyperlink" Target="https://www.lloc.gov.bh/PDF/K2518.pdf" TargetMode="External"/><Relationship Id="rId7" Type="http://schemas.openxmlformats.org/officeDocument/2006/relationships/hyperlink" Target="https://tbinternet.ohchr.org/_layouts/15/treatybodyexternal/Download.aspx?symbolno=INT%2fCCPR%2fFUL%2fBHR%2f44762&amp;Lang=en" TargetMode="External"/><Relationship Id="rId12" Type="http://schemas.openxmlformats.org/officeDocument/2006/relationships/hyperlink" Target="https://www.legalaffairs.gov.bh/page/%D8%AF%D8%B3%D8%AA%D9%88%D8%B1%20%D9%85%D9%85%D9%84%D9%83%D8%A9%20%D8%A7%D9%84%D8%A8%D8%AD%D8%B1%D9%8A%D9%86" TargetMode="External"/><Relationship Id="rId17" Type="http://schemas.openxmlformats.org/officeDocument/2006/relationships/hyperlink" Target="https://www.legalaffairs.gov.bh/PDF/L1576.pdf" TargetMode="External"/><Relationship Id="rId25" Type="http://schemas.openxmlformats.org/officeDocument/2006/relationships/hyperlink" Target="https://www.un.org/en/ga/sixth/75/int_terrorism/bahrain_e.pdf" TargetMode="External"/><Relationship Id="rId33" Type="http://schemas.openxmlformats.org/officeDocument/2006/relationships/hyperlink" Target="https://www.legalaffairs.gov.bh/PDF/L1576.pdf" TargetMode="External"/><Relationship Id="rId38" Type="http://schemas.openxmlformats.org/officeDocument/2006/relationships/hyperlink" Target="https://salam-dhr.org/the-death-penalty-in-bahrain-a-system-built-on-torture/" TargetMode="External"/><Relationship Id="rId46" Type="http://schemas.openxmlformats.org/officeDocument/2006/relationships/hyperlink" Target="https://www.lloc.gov.bh/HTM/K0863.htm" TargetMode="External"/><Relationship Id="rId2" Type="http://schemas.openxmlformats.org/officeDocument/2006/relationships/hyperlink" Target="https://tbinternet.ohchr.org/_layouts/15/treatybodyexternal/Download.aspx?symbolno=CCPR%2fC%2fBHR%2fCO%2f1&amp;Lang=en" TargetMode="External"/><Relationship Id="rId16" Type="http://schemas.openxmlformats.org/officeDocument/2006/relationships/hyperlink" Target="https://www.legalaffairs.gov.bh/HTM/K1217.htm" TargetMode="External"/><Relationship Id="rId20" Type="http://schemas.openxmlformats.org/officeDocument/2006/relationships/hyperlink" Target="https://salam-dhr.org/death-or-confession-bahrain-secret-military-courts-sentence-civilians-forced-to-confess-under-torture/" TargetMode="External"/><Relationship Id="rId29" Type="http://schemas.openxmlformats.org/officeDocument/2006/relationships/hyperlink" Target="https://tbinternet.ohchr.org/_layouts/15/TreatyBodyExternal/countries.aspx?CountryCode=BHR&amp;Lang=EN" TargetMode="External"/><Relationship Id="rId41" Type="http://schemas.openxmlformats.org/officeDocument/2006/relationships/hyperlink" Target="https://salam-dhr.org/the-death-penalty-in-bahrain-a-system-built-on-torture/" TargetMode="External"/><Relationship Id="rId1" Type="http://schemas.openxmlformats.org/officeDocument/2006/relationships/hyperlink" Target="https://tbinternet.ohchr.org/_layouts/15/treatybodyexternal/Download.aspx?symbolno=CCPR%2fC%2fBHR%2f1&amp;Lang=en" TargetMode="External"/><Relationship Id="rId6" Type="http://schemas.openxmlformats.org/officeDocument/2006/relationships/hyperlink" Target="https://tbinternet.ohchr.org/_layouts/15/treatybodyexternal/Download.aspx?symbolno=CCPR%2fC%2fBHR%2fFCO%2f1&amp;Lang=en" TargetMode="External"/><Relationship Id="rId11" Type="http://schemas.openxmlformats.org/officeDocument/2006/relationships/hyperlink" Target="https://www.legalaffairs.gov.bh/page/%D8%AF%D8%B3%D8%AA%D9%88%D8%B1%20%D9%85%D9%85%D9%84%D9%83%D8%A9%20%D8%A7%D9%84%D8%A8%D8%AD%D8%B1%D9%8A%D9%86" TargetMode="External"/><Relationship Id="rId24" Type="http://schemas.openxmlformats.org/officeDocument/2006/relationships/hyperlink" Target="https://view.officeapps.live.com/op/view.aspx?src=https%3A%2F%2Fwww.legalaffairs.gov.bh%2FFullEn%2FK5806.docx&amp;wdOrigin=BROWSELINK" TargetMode="External"/><Relationship Id="rId32" Type="http://schemas.openxmlformats.org/officeDocument/2006/relationships/hyperlink" Target="https://www.legalaffairs.gov.bh/PDF/L1576.pdf" TargetMode="External"/><Relationship Id="rId37" Type="http://schemas.openxmlformats.org/officeDocument/2006/relationships/hyperlink" Target="https://ihl-databases.icrc.org/applic/ihl/ihl-nat.nsf/implementingLaws.xsp?documentId=47F7B5C41CBE6EEEC12576B1003C9EB6&amp;action=openDocument&amp;xp_countrySelected=BH&amp;xp_topicSelected=GVAL-992BU6&amp;from=topic&amp;SessionID=DMTOPKMSFW" TargetMode="External"/><Relationship Id="rId40" Type="http://schemas.openxmlformats.org/officeDocument/2006/relationships/hyperlink" Target="https://www.amnesty.org/en/documents/mde11/1515/2019/en/" TargetMode="External"/><Relationship Id="rId45" Type="http://schemas.openxmlformats.org/officeDocument/2006/relationships/hyperlink" Target="https://www.legalaffairs.gov.bh/page/%D8%AF%D8%B3%D8%AA%D9%88%D8%B1%20%D9%85%D9%85%D9%84%D9%83%D8%A9%20%D8%A7%D9%84%D8%A8%D8%AD%D8%B1%D9%8A%D9%86" TargetMode="External"/><Relationship Id="rId5" Type="http://schemas.openxmlformats.org/officeDocument/2006/relationships/hyperlink" Target="https://tbinternet.ohchr.org/_layouts/15/treatybodyexternal/Download.aspx?symbolno=CCPR%2fC%2fBHR%2fFCO%2f1&amp;Lang=en" TargetMode="External"/><Relationship Id="rId15" Type="http://schemas.openxmlformats.org/officeDocument/2006/relationships/hyperlink" Target="https://constitutions.unwomen.org/en/countries/asia/bahrain" TargetMode="External"/><Relationship Id="rId23" Type="http://schemas.openxmlformats.org/officeDocument/2006/relationships/hyperlink" Target="https://www.nihr.org.bh/en/MediaHandler/GenericHandler/documents/download/NIHR_2017_En.pdf" TargetMode="External"/><Relationship Id="rId28" Type="http://schemas.openxmlformats.org/officeDocument/2006/relationships/hyperlink" Target="https://salam-dhr.org/bahrain-death-sentences-against-civilians-in-military-courts-lack-the-minimum-standard-of-fair-trials/" TargetMode="External"/><Relationship Id="rId36" Type="http://schemas.openxmlformats.org/officeDocument/2006/relationships/hyperlink" Target="https://ihl-databases.icrc.org/applic/ihl/ihl-nat.nsf/implementingLaws.xsp?documentId=47F7B5C41CBE6EEEC12576B1003C9EB6&amp;action=openDocument&amp;xp_countrySelected=BH&amp;xp_topicSelected=GVAL-992BU6&amp;from=topic&amp;SessionID=DMTOPKMSFW" TargetMode="External"/><Relationship Id="rId49" Type="http://schemas.openxmlformats.org/officeDocument/2006/relationships/hyperlink" Target="https://www.lloc.gov.bh/HTM/L1576.htm" TargetMode="External"/><Relationship Id="rId10" Type="http://schemas.openxmlformats.org/officeDocument/2006/relationships/hyperlink" Target="https://www.bici.org.bh/" TargetMode="External"/><Relationship Id="rId19" Type="http://schemas.openxmlformats.org/officeDocument/2006/relationships/hyperlink" Target="https://salam-dhr.org/death-or-confession-bahrain-secret-military-courts-sentence-civilians-forced-to-confess-under-torture/" TargetMode="External"/><Relationship Id="rId31" Type="http://schemas.openxmlformats.org/officeDocument/2006/relationships/hyperlink" Target="https://undocs.org/Home/Mobile?FinalSymbol=CCPR%2FC%2FGC%2F36&amp;Language=E&amp;DeviceType=Desktop&amp;LangRequested=False" TargetMode="External"/><Relationship Id="rId44" Type="http://schemas.openxmlformats.org/officeDocument/2006/relationships/hyperlink" Target="https://www.ohchr.org/en/press-releases/2019/05/un-experts-call-bahrain-halt-executions-two-individuals-amid-torture?LangID=E&amp;NewsID=24635" TargetMode="External"/><Relationship Id="rId4" Type="http://schemas.openxmlformats.org/officeDocument/2006/relationships/hyperlink" Target="https://tbinternet.ohchr.org/_layouts/15/treatybodyexternal/Download.aspx?symbolno=CCPR%2fC%2fBHR%2fFCO%2f1&amp;Lang=en" TargetMode="External"/><Relationship Id="rId9" Type="http://schemas.openxmlformats.org/officeDocument/2006/relationships/hyperlink" Target="https://www.wipo.int/edocs/lexdocs/laws/en/bh/bh020en.pdf" TargetMode="External"/><Relationship Id="rId14" Type="http://schemas.openxmlformats.org/officeDocument/2006/relationships/hyperlink" Target="https://constitutions.unwomen.org/en/countries/asia/bahrain" TargetMode="External"/><Relationship Id="rId22" Type="http://schemas.openxmlformats.org/officeDocument/2006/relationships/hyperlink" Target="https://salam-dhr.org/death-or-confession-bahrain-secret-military-courts-sentence-civilians-forced-to-confess-under-torture/" TargetMode="External"/><Relationship Id="rId27" Type="http://schemas.openxmlformats.org/officeDocument/2006/relationships/hyperlink" Target="https://constitutions.unwomen.org/en/countries/asia/bahrain" TargetMode="External"/><Relationship Id="rId30" Type="http://schemas.openxmlformats.org/officeDocument/2006/relationships/hyperlink" Target="https://undocs.org/Home/Mobile?FinalSymbol=CCPR%2FC%2FGC%2F36&amp;Language=E&amp;DeviceType=Desktop&amp;LangRequested=False" TargetMode="External"/><Relationship Id="rId35" Type="http://schemas.openxmlformats.org/officeDocument/2006/relationships/hyperlink" Target="https://ihl-databases.icrc.org/applic/ihl/ihl-nat.nsf/implementingLaws.xsp?documentId=47F7B5C41CBE6EEEC12576B1003C9EB6&amp;action=openDocument&amp;xp_countrySelected=BH&amp;xp_topicSelected=GVAL-992BU6&amp;from=topic&amp;SessionID=DMTOPKMSFW" TargetMode="External"/><Relationship Id="rId43" Type="http://schemas.openxmlformats.org/officeDocument/2006/relationships/hyperlink" Target="https://salam-dhr.org/the-death-penalty-in-bahrain-a-system-built-on-torture/" TargetMode="External"/><Relationship Id="rId48" Type="http://schemas.openxmlformats.org/officeDocument/2006/relationships/hyperlink" Target="https://www.ohchr.org/en/press-releases/2021/06/bahrain-un-expert-alarmed-prolonged-detention-human-rights-defenders" TargetMode="External"/><Relationship Id="rId8" Type="http://schemas.openxmlformats.org/officeDocument/2006/relationships/hyperlink" Target="https://tbinternet.ohchr.org/_layouts/15/treatybodyexternal/Download.aspx?symbolno=INT%2fCCPR%2fINF%2f135%2f33626&amp;Lang=en" TargetMode="External"/><Relationship Id="rId51" Type="http://schemas.openxmlformats.org/officeDocument/2006/relationships/hyperlink" Target="https://www.lloc.gov.bh/PDF/K36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StyleName="MLA" SelectedStyle="/MLASeventhEditionOfficeOnline.xsl" Version="7">
  <b:Source>
    <b:Tag>source1</b:Tag>
    <b:Month>September</b:Month>
    <b:DayAccessed>11</b:DayAccessed>
    <b:Day>9</b:Day>
    <b:Year>2021</b:Year>
    <b:SourceType>DocumentFromInternetSite</b:SourceType>
    <b:URL>https://salam-dhr.org/bahrain-nationalisation-the-media-and-legitimising-the-restriction-of-social-media-platforms/</b:URL>
    <b:Title>Bahrain: Nationalisation the media and Legitimising the restriction of social media platforms</b:Title>
    <b:InternetSiteTitle>SALAM DHR</b:InternetSiteTitle>
    <b:MonthAccessed>April</b:MonthAccessed>
    <b:YearAccessed>2022</b:YearAccessed>
    <b:Gdcea>{"AccessedType":"Website"}</b:Gdcea>
    <b:Author>
      <b:Author>
        <b:Corporate>SALAM DHR</b:Corporate>
      </b:Author>
    </b:Autho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23DBE9-A831-4108-9BD1-EC2CDC6D15FB}">
  <ds:schemaRefs>
    <ds:schemaRef ds:uri="http://schemas.openxmlformats.org/officeDocument/2006/bibliography"/>
  </ds:schemaRefs>
</ds:datastoreItem>
</file>

<file path=customXml/itemProps2.xml><?xml version="1.0" encoding="utf-8"?>
<ds:datastoreItem xmlns:ds="http://schemas.openxmlformats.org/officeDocument/2006/customXml" ds:itemID="{93A24727-BA51-4478-9931-6257B85AA18E}"/>
</file>

<file path=customXml/itemProps3.xml><?xml version="1.0" encoding="utf-8"?>
<ds:datastoreItem xmlns:ds="http://schemas.openxmlformats.org/officeDocument/2006/customXml" ds:itemID="{699262C4-BE8B-45CC-A785-E9A499D0A886}"/>
</file>

<file path=customXml/itemProps4.xml><?xml version="1.0" encoding="utf-8"?>
<ds:datastoreItem xmlns:ds="http://schemas.openxmlformats.org/officeDocument/2006/customXml" ds:itemID="{63803FB1-FCE7-4EA9-92E3-3BE51D0DE25F}"/>
</file>

<file path=docProps/app.xml><?xml version="1.0" encoding="utf-8"?>
<Properties xmlns="http://schemas.openxmlformats.org/officeDocument/2006/extended-properties" xmlns:vt="http://schemas.openxmlformats.org/officeDocument/2006/docPropsVTypes">
  <Template>Normal</Template>
  <TotalTime>10</TotalTime>
  <Pages>11</Pages>
  <Words>3730</Words>
  <Characters>19695</Characters>
  <Application>Microsoft Office Word</Application>
  <DocSecurity>0</DocSecurity>
  <Lines>378</Lines>
  <Paragraphs>109</Paragraphs>
  <ScaleCrop>false</ScaleCrop>
  <Company>Microsoft (C)</Company>
  <LinksUpToDate>false</LinksUpToDate>
  <CharactersWithSpaces>23316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account</cp:lastModifiedBy>
  <cp:revision>10</cp:revision>
  <dcterms:created xsi:type="dcterms:W3CDTF">2022-04-14T10:13:00Z</dcterms:created>
  <dcterms:modified xsi:type="dcterms:W3CDTF">2022-04-14T10:23:00Z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