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7C4D" w14:textId="76C6FBED" w:rsidR="00134E7E" w:rsidRPr="00134E7E" w:rsidRDefault="005C5443" w:rsidP="00134E7E">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 xml:space="preserve">Report </w:t>
      </w:r>
      <w:r w:rsidR="00326596">
        <w:rPr>
          <w:rFonts w:ascii="Times New Roman" w:eastAsia="Times New Roman" w:hAnsi="Times New Roman" w:cs="Times New Roman"/>
          <w:b/>
          <w:sz w:val="24"/>
          <w:szCs w:val="24"/>
        </w:rPr>
        <w:t>for</w:t>
      </w:r>
      <w:r w:rsidRPr="00182315">
        <w:rPr>
          <w:rFonts w:ascii="Times New Roman" w:eastAsia="Times New Roman" w:hAnsi="Times New Roman" w:cs="Times New Roman"/>
          <w:b/>
          <w:sz w:val="24"/>
          <w:szCs w:val="24"/>
        </w:rPr>
        <w:t xml:space="preserve"> the </w:t>
      </w:r>
      <w:r w:rsidR="00134E7E" w:rsidRPr="00134E7E">
        <w:rPr>
          <w:rFonts w:ascii="Times New Roman" w:eastAsia="Times New Roman" w:hAnsi="Times New Roman" w:cs="Times New Roman"/>
          <w:b/>
          <w:sz w:val="24"/>
          <w:szCs w:val="24"/>
        </w:rPr>
        <w:t>7</w:t>
      </w:r>
      <w:r w:rsidR="00B87868">
        <w:rPr>
          <w:rFonts w:ascii="Times New Roman" w:eastAsia="Times New Roman" w:hAnsi="Times New Roman" w:cs="Times New Roman"/>
          <w:b/>
          <w:sz w:val="24"/>
          <w:szCs w:val="24"/>
        </w:rPr>
        <w:t>8th</w:t>
      </w:r>
      <w:r w:rsidR="00134E7E" w:rsidRPr="00134E7E">
        <w:rPr>
          <w:rFonts w:ascii="Times New Roman" w:eastAsia="Times New Roman" w:hAnsi="Times New Roman" w:cs="Times New Roman"/>
          <w:b/>
          <w:sz w:val="24"/>
          <w:szCs w:val="24"/>
        </w:rPr>
        <w:t xml:space="preserve"> </w:t>
      </w:r>
      <w:r w:rsidR="00B87868">
        <w:rPr>
          <w:rFonts w:ascii="Times New Roman" w:eastAsia="Times New Roman" w:hAnsi="Times New Roman" w:cs="Times New Roman"/>
          <w:b/>
          <w:sz w:val="24"/>
          <w:szCs w:val="24"/>
        </w:rPr>
        <w:t>Session</w:t>
      </w:r>
      <w:r w:rsidR="00134E7E" w:rsidRPr="00134E7E">
        <w:rPr>
          <w:rFonts w:ascii="Times New Roman" w:eastAsia="Times New Roman" w:hAnsi="Times New Roman" w:cs="Times New Roman"/>
          <w:b/>
          <w:sz w:val="24"/>
          <w:szCs w:val="24"/>
        </w:rPr>
        <w:t xml:space="preserve"> (</w:t>
      </w:r>
      <w:r w:rsidR="00E46DEB" w:rsidRPr="00E46DEB">
        <w:rPr>
          <w:rFonts w:ascii="Times New Roman" w:eastAsia="Times New Roman" w:hAnsi="Times New Roman" w:cs="Times New Roman"/>
          <w:b/>
          <w:sz w:val="24"/>
          <w:szCs w:val="24"/>
        </w:rPr>
        <w:t>8 – 26 September 2025</w:t>
      </w:r>
      <w:r w:rsidR="00134E7E" w:rsidRPr="00134E7E">
        <w:rPr>
          <w:rFonts w:ascii="Times New Roman" w:eastAsia="Times New Roman" w:hAnsi="Times New Roman" w:cs="Times New Roman"/>
          <w:b/>
          <w:sz w:val="24"/>
          <w:szCs w:val="24"/>
        </w:rPr>
        <w:t>)</w:t>
      </w:r>
      <w:r w:rsidR="004C52FF">
        <w:rPr>
          <w:rFonts w:ascii="Times New Roman" w:eastAsia="Times New Roman" w:hAnsi="Times New Roman" w:cs="Times New Roman"/>
          <w:b/>
          <w:sz w:val="24"/>
          <w:szCs w:val="24"/>
        </w:rPr>
        <w:t xml:space="preserve"> of the </w:t>
      </w:r>
      <w:r w:rsidR="00A23445">
        <w:rPr>
          <w:rFonts w:ascii="Times New Roman" w:eastAsia="Times New Roman" w:hAnsi="Times New Roman" w:cs="Times New Roman"/>
          <w:b/>
          <w:sz w:val="24"/>
          <w:szCs w:val="24"/>
        </w:rPr>
        <w:t xml:space="preserve">Committee </w:t>
      </w:r>
      <w:r w:rsidR="00134E7E" w:rsidRPr="00134E7E">
        <w:rPr>
          <w:rFonts w:ascii="Times New Roman" w:eastAsia="Times New Roman" w:hAnsi="Times New Roman" w:cs="Times New Roman"/>
          <w:b/>
          <w:sz w:val="24"/>
          <w:szCs w:val="24"/>
        </w:rPr>
        <w:t>on Economic, Social and Cultural Rights</w:t>
      </w:r>
    </w:p>
    <w:p w14:paraId="7CC8385D" w14:textId="77777777" w:rsidR="00134E7E" w:rsidRPr="00134E7E" w:rsidRDefault="00134E7E" w:rsidP="00134E7E">
      <w:pPr>
        <w:spacing w:after="0" w:line="23" w:lineRule="atLeast"/>
        <w:jc w:val="center"/>
        <w:rPr>
          <w:rFonts w:ascii="Times New Roman" w:eastAsia="Times New Roman" w:hAnsi="Times New Roman" w:cs="Times New Roman"/>
          <w:b/>
          <w:sz w:val="24"/>
          <w:szCs w:val="24"/>
        </w:rPr>
      </w:pPr>
    </w:p>
    <w:p w14:paraId="276B1CB9" w14:textId="77777777" w:rsidR="00B01DD2" w:rsidRDefault="005C5443" w:rsidP="00134E7E">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 xml:space="preserve">in relation to the review of the </w:t>
      </w:r>
      <w:r w:rsidR="00B01DD2">
        <w:rPr>
          <w:rFonts w:ascii="Times New Roman" w:eastAsia="Times New Roman" w:hAnsi="Times New Roman" w:cs="Times New Roman"/>
          <w:b/>
          <w:sz w:val="24"/>
          <w:szCs w:val="24"/>
        </w:rPr>
        <w:t>7</w:t>
      </w:r>
      <w:r w:rsidRPr="00182315">
        <w:rPr>
          <w:rFonts w:ascii="Times New Roman" w:eastAsia="Times New Roman" w:hAnsi="Times New Roman" w:cs="Times New Roman"/>
          <w:b/>
          <w:sz w:val="24"/>
          <w:szCs w:val="24"/>
        </w:rPr>
        <w:t xml:space="preserve">th Periodic Report of the Russian Federation </w:t>
      </w:r>
    </w:p>
    <w:p w14:paraId="105768B6" w14:textId="2153D04F" w:rsidR="005C5443" w:rsidRPr="00182315" w:rsidRDefault="00B01DD2" w:rsidP="00134E7E">
      <w:pPr>
        <w:spacing w:after="0" w:line="23" w:lineRule="atLeast"/>
        <w:jc w:val="center"/>
        <w:rPr>
          <w:rFonts w:ascii="Times New Roman" w:eastAsia="Times New Roman" w:hAnsi="Times New Roman" w:cs="Times New Roman"/>
          <w:b/>
          <w:sz w:val="24"/>
          <w:szCs w:val="24"/>
        </w:rPr>
      </w:pPr>
      <w:r w:rsidRPr="00B01DD2">
        <w:rPr>
          <w:rFonts w:ascii="Times New Roman" w:eastAsia="Times New Roman" w:hAnsi="Times New Roman" w:cs="Times New Roman"/>
          <w:b/>
          <w:sz w:val="24"/>
          <w:szCs w:val="24"/>
        </w:rPr>
        <w:t>E/C.12/RUS/7</w:t>
      </w:r>
    </w:p>
    <w:p w14:paraId="0458D587" w14:textId="77777777" w:rsidR="005C5443" w:rsidRPr="00182315" w:rsidRDefault="005C5443" w:rsidP="005C5443">
      <w:pPr>
        <w:spacing w:after="0" w:line="23" w:lineRule="atLeast"/>
        <w:jc w:val="center"/>
        <w:rPr>
          <w:rFonts w:ascii="Times New Roman" w:eastAsia="Times New Roman" w:hAnsi="Times New Roman" w:cs="Times New Roman"/>
          <w:b/>
          <w:sz w:val="24"/>
          <w:szCs w:val="24"/>
        </w:rPr>
      </w:pPr>
      <w:r w:rsidRPr="00182315">
        <w:rPr>
          <w:rFonts w:ascii="Times New Roman" w:eastAsia="Times New Roman" w:hAnsi="Times New Roman" w:cs="Times New Roman"/>
          <w:b/>
          <w:sz w:val="24"/>
          <w:szCs w:val="24"/>
        </w:rPr>
        <w:t>_____________________</w:t>
      </w:r>
    </w:p>
    <w:p w14:paraId="5F04537D" w14:textId="77777777" w:rsidR="005C5443" w:rsidRPr="00182315" w:rsidRDefault="005C5443" w:rsidP="005C5443">
      <w:pPr>
        <w:spacing w:after="0" w:line="23" w:lineRule="atLeast"/>
        <w:jc w:val="center"/>
        <w:rPr>
          <w:rFonts w:ascii="Times New Roman" w:eastAsia="Times New Roman" w:hAnsi="Times New Roman" w:cs="Times New Roman"/>
          <w:b/>
          <w:sz w:val="24"/>
          <w:szCs w:val="24"/>
        </w:rPr>
      </w:pPr>
    </w:p>
    <w:p w14:paraId="794453D5" w14:textId="7D25A827" w:rsidR="005C5443" w:rsidRPr="00182315" w:rsidRDefault="00907044" w:rsidP="00907044">
      <w:pPr>
        <w:spacing w:after="0" w:line="23" w:lineRule="atLeast"/>
        <w:jc w:val="center"/>
        <w:rPr>
          <w:rFonts w:ascii="Times New Roman" w:eastAsia="Times New Roman" w:hAnsi="Times New Roman" w:cs="Times New Roman"/>
          <w:sz w:val="24"/>
          <w:szCs w:val="24"/>
        </w:rPr>
      </w:pPr>
      <w:r w:rsidRPr="00182315">
        <w:rPr>
          <w:rFonts w:ascii="Times New Roman" w:eastAsia="Times New Roman" w:hAnsi="Times New Roman" w:cs="Times New Roman"/>
          <w:sz w:val="24"/>
          <w:szCs w:val="24"/>
        </w:rPr>
        <w:t>F</w:t>
      </w:r>
      <w:r w:rsidR="005C5443" w:rsidRPr="00182315">
        <w:rPr>
          <w:rFonts w:ascii="Times New Roman" w:eastAsia="Times New Roman" w:hAnsi="Times New Roman" w:cs="Times New Roman"/>
          <w:sz w:val="24"/>
          <w:szCs w:val="24"/>
        </w:rPr>
        <w:t>rom</w:t>
      </w:r>
      <w:r>
        <w:rPr>
          <w:rFonts w:ascii="Times New Roman" w:eastAsia="Times New Roman" w:hAnsi="Times New Roman" w:cs="Times New Roman"/>
          <w:sz w:val="24"/>
          <w:szCs w:val="24"/>
        </w:rPr>
        <w:t xml:space="preserve"> </w:t>
      </w:r>
      <w:r w:rsidR="005C5443" w:rsidRPr="00182315">
        <w:rPr>
          <w:rFonts w:ascii="Times New Roman" w:eastAsia="Times New Roman" w:hAnsi="Times New Roman" w:cs="Times New Roman"/>
          <w:sz w:val="24"/>
          <w:szCs w:val="24"/>
        </w:rPr>
        <w:t>HIV Legal Network</w:t>
      </w:r>
      <w:r w:rsidR="001354C3">
        <w:rPr>
          <w:rStyle w:val="FootnoteReference"/>
          <w:rFonts w:ascii="Times New Roman" w:eastAsia="Times New Roman" w:hAnsi="Times New Roman" w:cs="Times New Roman"/>
          <w:sz w:val="24"/>
          <w:szCs w:val="24"/>
        </w:rPr>
        <w:footnoteReference w:id="1"/>
      </w:r>
    </w:p>
    <w:p w14:paraId="4D51192D" w14:textId="77777777" w:rsidR="005C5443" w:rsidRPr="00182315" w:rsidRDefault="005C5443" w:rsidP="005C5443">
      <w:pPr>
        <w:spacing w:after="0" w:line="23" w:lineRule="atLeast"/>
        <w:jc w:val="center"/>
        <w:rPr>
          <w:rFonts w:ascii="Times New Roman" w:eastAsia="Times New Roman" w:hAnsi="Times New Roman" w:cs="Times New Roman"/>
          <w:sz w:val="24"/>
          <w:szCs w:val="24"/>
        </w:rPr>
      </w:pPr>
    </w:p>
    <w:p w14:paraId="3B3FA47F" w14:textId="4E0EC507" w:rsidR="005C5443" w:rsidRDefault="008605A2" w:rsidP="005C5443">
      <w:pPr>
        <w:pBdr>
          <w:bottom w:val="single" w:sz="12" w:space="1" w:color="000000"/>
        </w:pBdr>
        <w:spacing w:after="0" w:line="23"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August</w:t>
      </w:r>
      <w:r w:rsidR="005C5443" w:rsidRPr="00182315">
        <w:rPr>
          <w:rFonts w:ascii="Times New Roman" w:eastAsia="Times New Roman" w:hAnsi="Times New Roman" w:cs="Times New Roman"/>
          <w:sz w:val="24"/>
          <w:szCs w:val="24"/>
        </w:rPr>
        <w:t xml:space="preserve"> 202</w:t>
      </w:r>
      <w:r w:rsidR="0054723D">
        <w:rPr>
          <w:rFonts w:ascii="Times New Roman" w:eastAsia="Times New Roman" w:hAnsi="Times New Roman" w:cs="Times New Roman"/>
          <w:sz w:val="24"/>
          <w:szCs w:val="24"/>
        </w:rPr>
        <w:t>5</w:t>
      </w:r>
    </w:p>
    <w:p w14:paraId="23B3F7B6" w14:textId="77777777" w:rsidR="002238BA" w:rsidRDefault="002238BA" w:rsidP="00AD7631">
      <w:pPr>
        <w:spacing w:after="200" w:line="276" w:lineRule="auto"/>
        <w:rPr>
          <w:rFonts w:ascii="Times New Roman" w:eastAsia="Times New Roman" w:hAnsi="Times New Roman" w:cs="Times New Roman"/>
          <w:sz w:val="24"/>
          <w:szCs w:val="24"/>
          <w:lang w:val="en-US"/>
        </w:rPr>
      </w:pPr>
    </w:p>
    <w:p w14:paraId="29EDB74D" w14:textId="17639017" w:rsidR="00AD7631" w:rsidRPr="002238BA" w:rsidRDefault="002238BA" w:rsidP="00AD7631">
      <w:pPr>
        <w:spacing w:after="200" w:line="276" w:lineRule="auto"/>
        <w:rPr>
          <w:rFonts w:ascii="Times New Roman" w:eastAsia="Times New Roman" w:hAnsi="Times New Roman" w:cs="Times New Roman"/>
          <w:b/>
          <w:bCs/>
          <w:sz w:val="24"/>
          <w:szCs w:val="24"/>
          <w:lang w:val="en-US"/>
        </w:rPr>
      </w:pPr>
      <w:r w:rsidRPr="002238BA">
        <w:rPr>
          <w:rFonts w:ascii="Times New Roman" w:eastAsia="Times New Roman" w:hAnsi="Times New Roman" w:cs="Times New Roman"/>
          <w:b/>
          <w:bCs/>
          <w:sz w:val="24"/>
          <w:szCs w:val="24"/>
          <w:lang w:val="en-US"/>
        </w:rPr>
        <w:t>INTRODUCTION</w:t>
      </w:r>
    </w:p>
    <w:p w14:paraId="5E312752" w14:textId="320AA84E" w:rsidR="00AD7631" w:rsidRPr="00AD7631" w:rsidRDefault="00AD7631" w:rsidP="00AD7631">
      <w:pPr>
        <w:spacing w:after="200" w:line="276" w:lineRule="auto"/>
        <w:rPr>
          <w:rFonts w:ascii="Times New Roman" w:eastAsia="Times New Roman" w:hAnsi="Times New Roman" w:cs="Times New Roman"/>
          <w:sz w:val="24"/>
          <w:szCs w:val="24"/>
          <w:lang w:val="en-US"/>
        </w:rPr>
      </w:pPr>
      <w:r w:rsidRPr="00AD7631">
        <w:rPr>
          <w:rFonts w:ascii="Times New Roman" w:eastAsia="Times New Roman" w:hAnsi="Times New Roman" w:cs="Times New Roman"/>
          <w:sz w:val="24"/>
          <w:szCs w:val="24"/>
          <w:lang w:val="en-US"/>
        </w:rPr>
        <w:t>This submission builds upon our previous report provided to the 73rd Pre-Sessional Working Group in August 2023 and addresses the State Party’s subsequent Replies to the List of Issues (E/C.12/RUS/RQ/7).</w:t>
      </w:r>
      <w:r w:rsidR="00125879">
        <w:rPr>
          <w:rFonts w:ascii="Times New Roman" w:eastAsia="Times New Roman" w:hAnsi="Times New Roman" w:cs="Times New Roman"/>
          <w:sz w:val="24"/>
          <w:szCs w:val="24"/>
          <w:lang w:val="en-US"/>
        </w:rPr>
        <w:t xml:space="preserve"> </w:t>
      </w:r>
    </w:p>
    <w:p w14:paraId="421D9BE4" w14:textId="77777777" w:rsidR="007340C7" w:rsidRDefault="00AD7631" w:rsidP="00AD7631">
      <w:pPr>
        <w:spacing w:after="200" w:line="276" w:lineRule="auto"/>
        <w:rPr>
          <w:rFonts w:ascii="Times New Roman" w:eastAsia="Times New Roman" w:hAnsi="Times New Roman" w:cs="Times New Roman"/>
          <w:sz w:val="24"/>
          <w:szCs w:val="24"/>
          <w:lang w:val="en-US"/>
        </w:rPr>
      </w:pPr>
      <w:r w:rsidRPr="00AD7631">
        <w:rPr>
          <w:rFonts w:ascii="Times New Roman" w:eastAsia="Times New Roman" w:hAnsi="Times New Roman" w:cs="Times New Roman"/>
          <w:sz w:val="24"/>
          <w:szCs w:val="24"/>
          <w:lang w:val="en-US"/>
        </w:rPr>
        <w:t xml:space="preserve">The Russian Federation's Replies to the LoI is entirely evasive regarding the impact of restrictive legislation on freedom of association and the work of human rights defenders, a concern raised in LoI Question 3. </w:t>
      </w:r>
    </w:p>
    <w:p w14:paraId="374EA007" w14:textId="26E0D031" w:rsidR="0024645E" w:rsidRDefault="00AD7631" w:rsidP="00AD7631">
      <w:pPr>
        <w:spacing w:after="200" w:line="276" w:lineRule="auto"/>
        <w:rPr>
          <w:rFonts w:ascii="Times New Roman" w:eastAsia="Times New Roman" w:hAnsi="Times New Roman" w:cs="Times New Roman"/>
          <w:sz w:val="24"/>
          <w:szCs w:val="24"/>
          <w:lang w:val="en-US"/>
        </w:rPr>
      </w:pPr>
      <w:r w:rsidRPr="00AD7631">
        <w:rPr>
          <w:rFonts w:ascii="Times New Roman" w:eastAsia="Times New Roman" w:hAnsi="Times New Roman" w:cs="Times New Roman"/>
          <w:sz w:val="24"/>
          <w:szCs w:val="24"/>
          <w:lang w:val="en-US"/>
        </w:rPr>
        <w:t xml:space="preserve">Furthermore, its response to LoI Question 22 , which inquired about the country's punitive drug policy, alternative treatments for drug dependence, and measures to address the HIV/AIDS epidemic, was purely formal, offering no substantive information on the actual human rights impact of its policies. </w:t>
      </w:r>
    </w:p>
    <w:p w14:paraId="4045FF1C" w14:textId="77777777" w:rsidR="00AA033F" w:rsidRDefault="00AD7631" w:rsidP="00AD7631">
      <w:pPr>
        <w:spacing w:after="200" w:line="276" w:lineRule="auto"/>
        <w:rPr>
          <w:rFonts w:ascii="Times New Roman" w:eastAsia="Times New Roman" w:hAnsi="Times New Roman" w:cs="Times New Roman"/>
          <w:sz w:val="24"/>
          <w:szCs w:val="24"/>
          <w:lang w:val="ru-RU"/>
        </w:rPr>
      </w:pPr>
      <w:r w:rsidRPr="00AD7631">
        <w:rPr>
          <w:rFonts w:ascii="Times New Roman" w:eastAsia="Times New Roman" w:hAnsi="Times New Roman" w:cs="Times New Roman"/>
          <w:sz w:val="24"/>
          <w:szCs w:val="24"/>
          <w:lang w:val="en-US"/>
        </w:rPr>
        <w:t>This report aims to provide the evidence and analysis that the State Party omitted.</w:t>
      </w:r>
      <w:r w:rsidR="0024645E">
        <w:rPr>
          <w:rFonts w:ascii="Times New Roman" w:eastAsia="Times New Roman" w:hAnsi="Times New Roman" w:cs="Times New Roman"/>
          <w:sz w:val="24"/>
          <w:szCs w:val="24"/>
          <w:lang w:val="en-US"/>
        </w:rPr>
        <w:t xml:space="preserve"> </w:t>
      </w:r>
    </w:p>
    <w:p w14:paraId="10CA1785" w14:textId="332B7939" w:rsidR="00AD7631" w:rsidRPr="00AD7631" w:rsidRDefault="0024645E" w:rsidP="00AD7631">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Please note that</w:t>
      </w:r>
      <w:r w:rsidR="00AD7631" w:rsidRPr="00AD7631">
        <w:rPr>
          <w:rFonts w:ascii="Times New Roman" w:eastAsia="Times New Roman" w:hAnsi="Times New Roman" w:cs="Times New Roman"/>
          <w:sz w:val="24"/>
          <w:szCs w:val="24"/>
          <w:lang w:val="en-US"/>
        </w:rPr>
        <w:t xml:space="preserve"> this report is prepared in a context of a rapidly shrinking and increasingly hostile civic space within the Russian Federation. The systematic persecution of civil society organizations and human rights defenders has severely diminished the capacity for independent, community-led monitoring of human rights violations. The climate of fear makes it dangerous for individuals to report abuses and for organizations to document new cases. Consequently, while the punitive policies we describe continue to inflict harm</w:t>
      </w:r>
      <w:r w:rsidR="00AA033F" w:rsidRPr="00AA033F">
        <w:rPr>
          <w:rFonts w:ascii="Times New Roman" w:eastAsia="Times New Roman" w:hAnsi="Times New Roman" w:cs="Times New Roman"/>
          <w:sz w:val="24"/>
          <w:szCs w:val="24"/>
        </w:rPr>
        <w:t xml:space="preserve"> </w:t>
      </w:r>
      <w:r w:rsidR="00AA033F">
        <w:rPr>
          <w:rFonts w:ascii="Times New Roman" w:eastAsia="Times New Roman" w:hAnsi="Times New Roman" w:cs="Times New Roman"/>
          <w:sz w:val="24"/>
          <w:szCs w:val="24"/>
          <w:lang w:val="en-US"/>
        </w:rPr>
        <w:t>and violate the right to health</w:t>
      </w:r>
      <w:r w:rsidR="00AD7631" w:rsidRPr="00AD7631">
        <w:rPr>
          <w:rFonts w:ascii="Times New Roman" w:eastAsia="Times New Roman" w:hAnsi="Times New Roman" w:cs="Times New Roman"/>
          <w:sz w:val="24"/>
          <w:szCs w:val="24"/>
          <w:lang w:val="en-US"/>
        </w:rPr>
        <w:t>, our ability to present new, detailed case studies is limited. This report will therefore rely on documented examples</w:t>
      </w:r>
      <w:r w:rsidR="006F7C3E">
        <w:rPr>
          <w:rFonts w:ascii="Times New Roman" w:eastAsia="Times New Roman" w:hAnsi="Times New Roman" w:cs="Times New Roman"/>
          <w:sz w:val="24"/>
          <w:szCs w:val="24"/>
          <w:lang w:val="en-US"/>
        </w:rPr>
        <w:t xml:space="preserve"> that we submitted in August 2023 for the </w:t>
      </w:r>
      <w:r w:rsidR="00691882">
        <w:rPr>
          <w:rFonts w:ascii="Times New Roman" w:eastAsia="Times New Roman" w:hAnsi="Times New Roman" w:cs="Times New Roman"/>
          <w:sz w:val="24"/>
          <w:szCs w:val="24"/>
          <w:lang w:val="en-US"/>
        </w:rPr>
        <w:t>List of Issues</w:t>
      </w:r>
      <w:r w:rsidR="001C20DC">
        <w:rPr>
          <w:rFonts w:ascii="Times New Roman" w:eastAsia="Times New Roman" w:hAnsi="Times New Roman" w:cs="Times New Roman"/>
          <w:sz w:val="24"/>
          <w:szCs w:val="24"/>
          <w:lang w:val="en-US"/>
        </w:rPr>
        <w:t xml:space="preserve"> (</w:t>
      </w:r>
      <w:r w:rsidR="001C20DC" w:rsidRPr="001C20DC">
        <w:rPr>
          <w:rFonts w:ascii="Times New Roman" w:eastAsia="Times New Roman" w:hAnsi="Times New Roman" w:cs="Times New Roman"/>
          <w:sz w:val="24"/>
          <w:szCs w:val="24"/>
          <w:lang w:val="en-US"/>
        </w:rPr>
        <w:t>INT_CESCR_INF_78_37171_E</w:t>
      </w:r>
      <w:r w:rsidR="001C20DC">
        <w:rPr>
          <w:rFonts w:ascii="Times New Roman" w:eastAsia="Times New Roman" w:hAnsi="Times New Roman" w:cs="Times New Roman"/>
          <w:sz w:val="24"/>
          <w:szCs w:val="24"/>
          <w:lang w:val="en-US"/>
        </w:rPr>
        <w:t>)</w:t>
      </w:r>
      <w:r w:rsidR="008C2145">
        <w:rPr>
          <w:rFonts w:ascii="Times New Roman" w:eastAsia="Times New Roman" w:hAnsi="Times New Roman" w:cs="Times New Roman"/>
          <w:sz w:val="24"/>
          <w:szCs w:val="24"/>
          <w:lang w:val="en-US"/>
        </w:rPr>
        <w:t>. We provide additional</w:t>
      </w:r>
      <w:r w:rsidR="00AD7631" w:rsidRPr="00AD7631">
        <w:rPr>
          <w:rFonts w:ascii="Times New Roman" w:eastAsia="Times New Roman" w:hAnsi="Times New Roman" w:cs="Times New Roman"/>
          <w:sz w:val="24"/>
          <w:szCs w:val="24"/>
          <w:lang w:val="en-US"/>
        </w:rPr>
        <w:t xml:space="preserve"> analysis of legislative frameworks, and </w:t>
      </w:r>
      <w:r w:rsidR="00AD7631" w:rsidRPr="00AD7631">
        <w:rPr>
          <w:rFonts w:ascii="Times New Roman" w:eastAsia="Times New Roman" w:hAnsi="Times New Roman" w:cs="Times New Roman"/>
          <w:sz w:val="24"/>
          <w:szCs w:val="24"/>
          <w:lang w:val="en-US"/>
        </w:rPr>
        <w:lastRenderedPageBreak/>
        <w:t>publicly available information to illustrate the State Party's ongoing failure to uphold its obligations under the Covenant.</w:t>
      </w:r>
      <w:r w:rsidR="002D3755">
        <w:rPr>
          <w:rFonts w:ascii="Times New Roman" w:eastAsia="Times New Roman" w:hAnsi="Times New Roman" w:cs="Times New Roman"/>
          <w:sz w:val="24"/>
          <w:szCs w:val="24"/>
          <w:lang w:val="en-US"/>
        </w:rPr>
        <w:t xml:space="preserve"> </w:t>
      </w:r>
    </w:p>
    <w:p w14:paraId="37B81874" w14:textId="7560E2D5" w:rsidR="0097715B" w:rsidRDefault="00AD7631" w:rsidP="00AD7631">
      <w:pPr>
        <w:spacing w:after="200" w:line="276" w:lineRule="auto"/>
        <w:rPr>
          <w:rFonts w:ascii="Times New Roman" w:eastAsia="Times New Roman" w:hAnsi="Times New Roman" w:cs="Times New Roman"/>
          <w:sz w:val="24"/>
          <w:szCs w:val="24"/>
          <w:lang w:val="en-US"/>
        </w:rPr>
      </w:pPr>
      <w:r w:rsidRPr="00AD7631">
        <w:rPr>
          <w:rFonts w:ascii="Times New Roman" w:eastAsia="Times New Roman" w:hAnsi="Times New Roman" w:cs="Times New Roman"/>
          <w:sz w:val="24"/>
          <w:szCs w:val="24"/>
          <w:lang w:val="en-US"/>
        </w:rPr>
        <w:t xml:space="preserve">This report will focus on </w:t>
      </w:r>
      <w:r w:rsidR="00763823">
        <w:rPr>
          <w:rFonts w:ascii="Times New Roman" w:eastAsia="Times New Roman" w:hAnsi="Times New Roman" w:cs="Times New Roman"/>
          <w:sz w:val="24"/>
          <w:szCs w:val="24"/>
          <w:lang w:val="en-US"/>
        </w:rPr>
        <w:t>three</w:t>
      </w:r>
      <w:r w:rsidRPr="00AD7631">
        <w:rPr>
          <w:rFonts w:ascii="Times New Roman" w:eastAsia="Times New Roman" w:hAnsi="Times New Roman" w:cs="Times New Roman"/>
          <w:sz w:val="24"/>
          <w:szCs w:val="24"/>
          <w:lang w:val="en-US"/>
        </w:rPr>
        <w:t xml:space="preserve"> key areas where the State Party's actions and omissions constitute a violation of its Covenant obligations: 1) the persecution of non-governmental organizations providing essential health services; 2) the continuation of a punitive drug policy; 3) the harmful impact of HIV criminalization</w:t>
      </w:r>
      <w:r w:rsidR="0097715B">
        <w:rPr>
          <w:rFonts w:ascii="Times New Roman" w:eastAsia="Times New Roman" w:hAnsi="Times New Roman" w:cs="Times New Roman"/>
          <w:sz w:val="24"/>
          <w:szCs w:val="24"/>
          <w:lang w:val="en-US"/>
        </w:rPr>
        <w:t>.</w:t>
      </w:r>
    </w:p>
    <w:p w14:paraId="6F766296" w14:textId="7664AE37" w:rsidR="00763823" w:rsidRDefault="00116FC0" w:rsidP="00116FC0">
      <w:pPr>
        <w:spacing w:after="200" w:line="276"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14:paraId="041FE015" w14:textId="2C4950AC" w:rsidR="004C67BD" w:rsidRPr="004C67BD" w:rsidRDefault="009057BB" w:rsidP="004C67BD">
      <w:pPr>
        <w:pStyle w:val="NormalWeb"/>
        <w:rPr>
          <w:b/>
          <w:bCs/>
        </w:rPr>
      </w:pPr>
      <w:r>
        <w:rPr>
          <w:b/>
          <w:bCs/>
          <w:color w:val="000000"/>
        </w:rPr>
        <w:t xml:space="preserve">SECTION I: </w:t>
      </w:r>
      <w:r w:rsidR="004C67BD" w:rsidRPr="004C67BD">
        <w:rPr>
          <w:b/>
          <w:bCs/>
        </w:rPr>
        <w:t xml:space="preserve">Persecution of Non-Governmental Organizations and the Dismantling of </w:t>
      </w:r>
      <w:r w:rsidR="00A102E9">
        <w:rPr>
          <w:b/>
          <w:bCs/>
        </w:rPr>
        <w:t xml:space="preserve">Community-Led </w:t>
      </w:r>
      <w:r w:rsidR="004C67BD" w:rsidRPr="004C67BD">
        <w:rPr>
          <w:b/>
          <w:bCs/>
        </w:rPr>
        <w:t>HIV Prevention Infrastructure</w:t>
      </w:r>
    </w:p>
    <w:p w14:paraId="55E42DCA" w14:textId="0F7C784F"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The Russian Federation’s official reply to the List of Issues is entirely silent on the Committee’s request for information regarding the impact of restrictive legislation on freedom of association, as raised in LoI Question 3. This omission conceals a legislative and administrative assault on non-governmental organizations (NGOs) that has effectively dismantled the country's most effective HIV prevention and support infrastructure, in direct violation of the right to health. This assault is waged through three primary legal instruments: the law on "foreign agents," the law on "undesirable organizations," and laws prohibiting the dissemination of information on so-called "non-traditional sexual relations."</w:t>
      </w:r>
    </w:p>
    <w:p w14:paraId="2DBD8603" w14:textId="5D251DEF"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Since 2012, the legal environment for NGOs in Russia has steadily deteriorated. The cornerstone of this repression is the Federal Law "On Control of Persons Under the Foreign Influence" (the "foreign agent" law), which consolidated and hardened previous statutes</w:t>
      </w:r>
      <w:r w:rsidR="00A10443">
        <w:rPr>
          <w:rFonts w:ascii="Times New Roman" w:eastAsia="Times New Roman" w:hAnsi="Times New Roman" w:cs="Times New Roman"/>
          <w:sz w:val="24"/>
          <w:szCs w:val="24"/>
        </w:rPr>
        <w:t xml:space="preserve"> (please see our report of August 2023 for the List of Issues)</w:t>
      </w:r>
      <w:r w:rsidRPr="004C67BD">
        <w:rPr>
          <w:rFonts w:ascii="Times New Roman" w:eastAsia="Times New Roman" w:hAnsi="Times New Roman" w:cs="Times New Roman"/>
          <w:sz w:val="24"/>
          <w:szCs w:val="24"/>
        </w:rPr>
        <w:t>. This law uses overly broad definitions of "foreign influence" and "political activity" to target any organization receiving foreign support, including technical and organizational assistance . Activities such as publishing informational materials or appealing to government bodies can be deemed "political". As of 202</w:t>
      </w:r>
      <w:r w:rsidR="00961B1A">
        <w:rPr>
          <w:rFonts w:ascii="Times New Roman" w:eastAsia="Times New Roman" w:hAnsi="Times New Roman" w:cs="Times New Roman"/>
          <w:sz w:val="24"/>
          <w:szCs w:val="24"/>
        </w:rPr>
        <w:t>5</w:t>
      </w:r>
      <w:r w:rsidRPr="004C67BD">
        <w:rPr>
          <w:rFonts w:ascii="Times New Roman" w:eastAsia="Times New Roman" w:hAnsi="Times New Roman" w:cs="Times New Roman"/>
          <w:sz w:val="24"/>
          <w:szCs w:val="24"/>
        </w:rPr>
        <w:t>, over 15 NGOs providing health services, including vital HIV prevention, have been branded "foreign agents". This label renders them "toxic," cutting them off from state cooperation and funding and exposing them to severe fines for non-compliance with onerous reporting requirements.</w:t>
      </w:r>
    </w:p>
    <w:p w14:paraId="5ACADC95" w14:textId="03E16B4C"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An even more extreme tool is the law on "undesirable organizations," which completely outlaws an organization's activities on Russian territory. In 202</w:t>
      </w:r>
      <w:r w:rsidR="00961B1A">
        <w:rPr>
          <w:rFonts w:ascii="Times New Roman" w:eastAsia="Times New Roman" w:hAnsi="Times New Roman" w:cs="Times New Roman"/>
          <w:sz w:val="24"/>
          <w:szCs w:val="24"/>
        </w:rPr>
        <w:t>5</w:t>
      </w:r>
      <w:r w:rsidRPr="004C67BD">
        <w:rPr>
          <w:rFonts w:ascii="Times New Roman" w:eastAsia="Times New Roman" w:hAnsi="Times New Roman" w:cs="Times New Roman"/>
          <w:sz w:val="24"/>
          <w:szCs w:val="24"/>
        </w:rPr>
        <w:t xml:space="preserve">, the state specifically targeted international bodies central to </w:t>
      </w:r>
      <w:r w:rsidR="00674DAA">
        <w:rPr>
          <w:rFonts w:ascii="Times New Roman" w:eastAsia="Times New Roman" w:hAnsi="Times New Roman" w:cs="Times New Roman"/>
          <w:sz w:val="24"/>
          <w:szCs w:val="24"/>
        </w:rPr>
        <w:t xml:space="preserve">community-led </w:t>
      </w:r>
      <w:r w:rsidRPr="004C67BD">
        <w:rPr>
          <w:rFonts w:ascii="Times New Roman" w:eastAsia="Times New Roman" w:hAnsi="Times New Roman" w:cs="Times New Roman"/>
          <w:sz w:val="24"/>
          <w:szCs w:val="24"/>
        </w:rPr>
        <w:t>HIV response and harm reduction in the region, declaring the Elton John AIDS Foundation (EJAF), the Eurasian Harm Reduction Association (EHRA), the Eurasian Coalition on Health, Rights, Gender and Sexual Diversity (ECOM)</w:t>
      </w:r>
      <w:r w:rsidR="00A80C62">
        <w:rPr>
          <w:rFonts w:ascii="Times New Roman" w:eastAsia="Times New Roman" w:hAnsi="Times New Roman" w:cs="Times New Roman"/>
          <w:sz w:val="24"/>
          <w:szCs w:val="24"/>
        </w:rPr>
        <w:t xml:space="preserve">, </w:t>
      </w:r>
      <w:r w:rsidR="006B6367">
        <w:rPr>
          <w:rFonts w:ascii="Times New Roman" w:eastAsia="Times New Roman" w:hAnsi="Times New Roman" w:cs="Times New Roman"/>
          <w:sz w:val="24"/>
          <w:szCs w:val="24"/>
          <w:lang w:val="en-US"/>
        </w:rPr>
        <w:t xml:space="preserve">Robert Carr Fund, </w:t>
      </w:r>
      <w:r w:rsidR="00A80C62">
        <w:rPr>
          <w:rFonts w:ascii="Times New Roman" w:eastAsia="Times New Roman" w:hAnsi="Times New Roman" w:cs="Times New Roman"/>
          <w:sz w:val="24"/>
          <w:szCs w:val="24"/>
        </w:rPr>
        <w:t xml:space="preserve">and </w:t>
      </w:r>
      <w:r w:rsidR="00A80C62" w:rsidRPr="00A80C62">
        <w:rPr>
          <w:rFonts w:ascii="Times New Roman" w:eastAsia="Times New Roman" w:hAnsi="Times New Roman" w:cs="Times New Roman"/>
          <w:sz w:val="24"/>
          <w:szCs w:val="24"/>
        </w:rPr>
        <w:t>Sex Workers' Rights Advocacy Network</w:t>
      </w:r>
      <w:r w:rsidR="00A80C62">
        <w:rPr>
          <w:rFonts w:ascii="Times New Roman" w:eastAsia="Times New Roman" w:hAnsi="Times New Roman" w:cs="Times New Roman"/>
          <w:sz w:val="24"/>
          <w:szCs w:val="24"/>
        </w:rPr>
        <w:t xml:space="preserve"> (SWAN)</w:t>
      </w:r>
      <w:r w:rsidR="00BE4607">
        <w:rPr>
          <w:rFonts w:ascii="Times New Roman" w:eastAsia="Times New Roman" w:hAnsi="Times New Roman" w:cs="Times New Roman"/>
          <w:sz w:val="24"/>
          <w:szCs w:val="24"/>
        </w:rPr>
        <w:t xml:space="preserve"> </w:t>
      </w:r>
      <w:r w:rsidRPr="004C67BD">
        <w:rPr>
          <w:rFonts w:ascii="Times New Roman" w:eastAsia="Times New Roman" w:hAnsi="Times New Roman" w:cs="Times New Roman"/>
          <w:sz w:val="24"/>
          <w:szCs w:val="24"/>
        </w:rPr>
        <w:t>"undesirable." These actions are compounded by laws banning "propaganda of non-traditional sexual relations," which effectively criminalize the provision of essential health information to gay, bisexual, and other men who have sex with men (MSM) and transgender people—key populations disproportionately affected by HIV.</w:t>
      </w:r>
    </w:p>
    <w:p w14:paraId="66B98FF2" w14:textId="03B8F030" w:rsidR="00CE7BE1"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 xml:space="preserve">This legislative assault is particularly devastating because the Russian Federation itself provides no funding or political support for the very services these </w:t>
      </w:r>
      <w:r w:rsidR="008D1BD0">
        <w:rPr>
          <w:rFonts w:ascii="Times New Roman" w:eastAsia="Times New Roman" w:hAnsi="Times New Roman" w:cs="Times New Roman"/>
          <w:sz w:val="24"/>
          <w:szCs w:val="24"/>
        </w:rPr>
        <w:t>international organizations</w:t>
      </w:r>
      <w:r w:rsidRPr="004C67BD">
        <w:rPr>
          <w:rFonts w:ascii="Times New Roman" w:eastAsia="Times New Roman" w:hAnsi="Times New Roman" w:cs="Times New Roman"/>
          <w:sz w:val="24"/>
          <w:szCs w:val="24"/>
        </w:rPr>
        <w:t xml:space="preserve"> </w:t>
      </w:r>
      <w:r w:rsidR="008D1BD0">
        <w:rPr>
          <w:rFonts w:ascii="Times New Roman" w:eastAsia="Times New Roman" w:hAnsi="Times New Roman" w:cs="Times New Roman"/>
          <w:sz w:val="24"/>
          <w:szCs w:val="24"/>
        </w:rPr>
        <w:t xml:space="preserve">help </w:t>
      </w:r>
      <w:r w:rsidRPr="004C67BD">
        <w:rPr>
          <w:rFonts w:ascii="Times New Roman" w:eastAsia="Times New Roman" w:hAnsi="Times New Roman" w:cs="Times New Roman"/>
          <w:sz w:val="24"/>
          <w:szCs w:val="24"/>
        </w:rPr>
        <w:t>deliver: namely, WHO</w:t>
      </w:r>
      <w:r>
        <w:rPr>
          <w:rFonts w:ascii="Times New Roman" w:eastAsia="Times New Roman" w:hAnsi="Times New Roman" w:cs="Times New Roman"/>
          <w:sz w:val="24"/>
          <w:szCs w:val="24"/>
        </w:rPr>
        <w:t xml:space="preserve"> </w:t>
      </w:r>
      <w:r w:rsidRPr="004C67BD">
        <w:rPr>
          <w:rFonts w:ascii="Times New Roman" w:eastAsia="Times New Roman" w:hAnsi="Times New Roman" w:cs="Times New Roman"/>
          <w:sz w:val="24"/>
          <w:szCs w:val="24"/>
        </w:rPr>
        <w:t xml:space="preserve">recommended harm reduction programs, and HIV prevention and care </w:t>
      </w:r>
      <w:r w:rsidRPr="004C67BD">
        <w:rPr>
          <w:rFonts w:ascii="Times New Roman" w:eastAsia="Times New Roman" w:hAnsi="Times New Roman" w:cs="Times New Roman"/>
          <w:sz w:val="24"/>
          <w:szCs w:val="24"/>
        </w:rPr>
        <w:lastRenderedPageBreak/>
        <w:t xml:space="preserve">services tailored for MSM and sex workers. This is a deliberate policy rooted in a state ideology that refuses to recognize these key populations as legitimate groups deserving of tailored, evidence-based health care. </w:t>
      </w:r>
    </w:p>
    <w:p w14:paraId="62A1C205" w14:textId="5C9F25F0"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 xml:space="preserve">Instead, the state applies an official stigma—enshrined in its criminal and administrative </w:t>
      </w:r>
      <w:r w:rsidR="00DC7CEA">
        <w:rPr>
          <w:rFonts w:ascii="Times New Roman" w:eastAsia="Times New Roman" w:hAnsi="Times New Roman" w:cs="Times New Roman"/>
          <w:sz w:val="24"/>
          <w:szCs w:val="24"/>
        </w:rPr>
        <w:t>laws</w:t>
      </w:r>
      <w:r w:rsidRPr="004C67BD">
        <w:rPr>
          <w:rFonts w:ascii="Times New Roman" w:eastAsia="Times New Roman" w:hAnsi="Times New Roman" w:cs="Times New Roman"/>
          <w:sz w:val="24"/>
          <w:szCs w:val="24"/>
        </w:rPr>
        <w:t>—with the aim of marginalizing and ultimately eradicating these communities from society. Therefore, the destruction of NGOs that serve these groups is part of an official policy to render people who use drugs, MSM, and sex workers as social outcasts, ensuring they cannot access life-saving services.</w:t>
      </w:r>
    </w:p>
    <w:p w14:paraId="729D3020" w14:textId="77777777"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These actions constitute a clear violation of the Russian Federation's obligations under Article 12 of the Covenant, as interpreted by the Committee in its General Comment No. 14.</w:t>
      </w:r>
    </w:p>
    <w:p w14:paraId="134C3490" w14:textId="76A5FDD5" w:rsidR="004C67BD" w:rsidRPr="004C67BD" w:rsidRDefault="004C67BD" w:rsidP="004C67BD">
      <w:pPr>
        <w:numPr>
          <w:ilvl w:val="0"/>
          <w:numId w:val="8"/>
        </w:num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 xml:space="preserve">The State has an obligation to ensure the availability of functioning public health services. By systematically </w:t>
      </w:r>
      <w:r w:rsidR="00C673FD">
        <w:rPr>
          <w:rFonts w:ascii="Times New Roman" w:eastAsia="Times New Roman" w:hAnsi="Times New Roman" w:cs="Times New Roman"/>
          <w:sz w:val="24"/>
          <w:szCs w:val="24"/>
        </w:rPr>
        <w:t xml:space="preserve"> banning international organizations who help </w:t>
      </w:r>
      <w:r w:rsidRPr="004C67BD">
        <w:rPr>
          <w:rFonts w:ascii="Times New Roman" w:eastAsia="Times New Roman" w:hAnsi="Times New Roman" w:cs="Times New Roman"/>
          <w:sz w:val="24"/>
          <w:szCs w:val="24"/>
        </w:rPr>
        <w:t xml:space="preserve">providing effective HIV prevention programs for key populations, the Russian Federation is actively </w:t>
      </w:r>
      <w:r w:rsidRPr="004C67BD">
        <w:rPr>
          <w:rFonts w:ascii="Times New Roman" w:eastAsia="Times New Roman" w:hAnsi="Times New Roman" w:cs="Times New Roman"/>
          <w:i/>
          <w:iCs/>
          <w:sz w:val="24"/>
          <w:szCs w:val="24"/>
        </w:rPr>
        <w:t>reducing</w:t>
      </w:r>
      <w:r w:rsidRPr="004C67BD">
        <w:rPr>
          <w:rFonts w:ascii="Times New Roman" w:eastAsia="Times New Roman" w:hAnsi="Times New Roman" w:cs="Times New Roman"/>
          <w:sz w:val="24"/>
          <w:szCs w:val="24"/>
        </w:rPr>
        <w:t xml:space="preserve"> the availability of essential health services.</w:t>
      </w:r>
    </w:p>
    <w:p w14:paraId="6D893261" w14:textId="35A5F098" w:rsidR="004C67BD" w:rsidRPr="004C67BD" w:rsidRDefault="004C67BD" w:rsidP="004C67BD">
      <w:pPr>
        <w:numPr>
          <w:ilvl w:val="0"/>
          <w:numId w:val="8"/>
        </w:num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General Comment No. 14 requires that health facilities, goods, and services be accessible to all, especially the most vulnerable, without discrimination. These laws specifically target services for key populations, creating insurmountable barriers. They foster a climate of fear and suspicion that prevents individuals from seeking help, directly undermining the principle of accessibility.</w:t>
      </w:r>
    </w:p>
    <w:p w14:paraId="435EAAAD" w14:textId="3A0BC9F1" w:rsidR="004C67BD" w:rsidRPr="004C67BD" w:rsidRDefault="004C67BD" w:rsidP="004C67BD">
      <w:pPr>
        <w:numPr>
          <w:ilvl w:val="0"/>
          <w:numId w:val="8"/>
        </w:num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The right to health demands that services be scientifically and medically appropriate and of good quality. The State's legislative framework rejects internationally recognized, evidence-based interventions like harm reduction and comprehensive support for LGBTQ+ people. It replaces these scientifically proven methods with a punitive, ideological approach, which is contrary to the principles of medical ethics and quality of care.</w:t>
      </w:r>
    </w:p>
    <w:p w14:paraId="21C67701" w14:textId="77777777" w:rsidR="004C67BD" w:rsidRPr="004C67BD" w:rsidRDefault="004C67BD" w:rsidP="004C67BD">
      <w:pPr>
        <w:spacing w:line="23" w:lineRule="atLeast"/>
        <w:rPr>
          <w:rFonts w:ascii="Times New Roman" w:eastAsia="Times New Roman" w:hAnsi="Times New Roman" w:cs="Times New Roman"/>
          <w:sz w:val="24"/>
          <w:szCs w:val="24"/>
        </w:rPr>
      </w:pPr>
      <w:r w:rsidRPr="004C67BD">
        <w:rPr>
          <w:rFonts w:ascii="Times New Roman" w:eastAsia="Times New Roman" w:hAnsi="Times New Roman" w:cs="Times New Roman"/>
          <w:sz w:val="24"/>
          <w:szCs w:val="24"/>
        </w:rPr>
        <w:t>In effect, the Russian Federation is failing in its core obligations to respect the right to health (by not interfering with it), protect it (from social discrimination and harmful practices), and fulfill it (by adopting appropriate measures). By passing and implementing these laws, the state is actively engineering the failure of its HIV response and legislating a public health crisis.</w:t>
      </w:r>
    </w:p>
    <w:p w14:paraId="218305E5" w14:textId="77777777" w:rsidR="009057BB" w:rsidRDefault="009057BB" w:rsidP="009057BB">
      <w:pPr>
        <w:spacing w:line="23" w:lineRule="atLeast"/>
        <w:rPr>
          <w:rFonts w:ascii="Times New Roman" w:eastAsia="Times New Roman" w:hAnsi="Times New Roman" w:cs="Times New Roman"/>
          <w:sz w:val="24"/>
          <w:szCs w:val="24"/>
        </w:rPr>
      </w:pPr>
    </w:p>
    <w:p w14:paraId="48D35858" w14:textId="0AFDA205" w:rsidR="00137DD3" w:rsidRPr="00137DD3" w:rsidRDefault="002F13BE" w:rsidP="00137DD3">
      <w:pPr>
        <w:spacing w:line="23" w:lineRule="atLeast"/>
        <w:rPr>
          <w:rFonts w:ascii="Times New Roman" w:eastAsia="Times New Roman" w:hAnsi="Times New Roman" w:cs="Times New Roman"/>
          <w:b/>
          <w:bCs/>
          <w:sz w:val="24"/>
          <w:szCs w:val="24"/>
        </w:rPr>
      </w:pPr>
      <w:r w:rsidRPr="00137DD3">
        <w:rPr>
          <w:rFonts w:ascii="Times New Roman" w:eastAsia="Times New Roman" w:hAnsi="Times New Roman" w:cs="Times New Roman"/>
          <w:b/>
          <w:bCs/>
          <w:sz w:val="24"/>
          <w:szCs w:val="24"/>
        </w:rPr>
        <w:t>SECTION 2</w:t>
      </w:r>
      <w:r w:rsidR="00137DD3" w:rsidRPr="00137DD3">
        <w:rPr>
          <w:rFonts w:ascii="Times New Roman" w:eastAsia="Times New Roman" w:hAnsi="Times New Roman" w:cs="Times New Roman"/>
          <w:b/>
          <w:bCs/>
          <w:sz w:val="24"/>
          <w:szCs w:val="24"/>
        </w:rPr>
        <w:t>: Punitive Drug Policy as a Violation of the Right to Health</w:t>
      </w:r>
    </w:p>
    <w:p w14:paraId="3C7F65FD" w14:textId="05D3C64B" w:rsidR="009057BB" w:rsidRDefault="00137DD3" w:rsidP="00137DD3">
      <w:pPr>
        <w:spacing w:line="23" w:lineRule="atLeast"/>
        <w:rPr>
          <w:rFonts w:ascii="Times New Roman" w:eastAsia="Times New Roman" w:hAnsi="Times New Roman" w:cs="Times New Roman"/>
          <w:sz w:val="24"/>
          <w:szCs w:val="24"/>
        </w:rPr>
      </w:pPr>
      <w:r w:rsidRPr="00137DD3">
        <w:rPr>
          <w:rFonts w:ascii="Times New Roman" w:eastAsia="Times New Roman" w:hAnsi="Times New Roman" w:cs="Times New Roman"/>
          <w:sz w:val="24"/>
          <w:szCs w:val="24"/>
        </w:rPr>
        <w:t xml:space="preserve">The detailed analysis of the Russian Federation's punitive drug policy submitted to the Committee in our August 2023 report remains fully relevant and should be considered alongside this submission. </w:t>
      </w:r>
      <w:r w:rsidR="00F248E7">
        <w:rPr>
          <w:rFonts w:ascii="Times New Roman" w:eastAsia="Times New Roman" w:hAnsi="Times New Roman" w:cs="Times New Roman"/>
          <w:sz w:val="24"/>
          <w:szCs w:val="24"/>
        </w:rPr>
        <w:t>In this report we</w:t>
      </w:r>
      <w:r w:rsidRPr="00137DD3">
        <w:rPr>
          <w:rFonts w:ascii="Times New Roman" w:eastAsia="Times New Roman" w:hAnsi="Times New Roman" w:cs="Times New Roman"/>
          <w:sz w:val="24"/>
          <w:szCs w:val="24"/>
        </w:rPr>
        <w:t xml:space="preserve"> provide additional evidence illustrating how this policy continues to violate the right to health by prioritizing the punishment of vulnerable individuals over public health and human rights.</w:t>
      </w:r>
    </w:p>
    <w:p w14:paraId="2905BFFB" w14:textId="73FB8114" w:rsidR="00D779B8" w:rsidRDefault="00133DBF" w:rsidP="00137DD3">
      <w:pPr>
        <w:spacing w:line="23" w:lineRule="atLeast"/>
        <w:rPr>
          <w:rFonts w:ascii="Times New Roman" w:eastAsia="Times New Roman" w:hAnsi="Times New Roman" w:cs="Times New Roman"/>
          <w:sz w:val="24"/>
          <w:szCs w:val="24"/>
        </w:rPr>
      </w:pPr>
      <w:r w:rsidRPr="00133DBF">
        <w:rPr>
          <w:rFonts w:ascii="Times New Roman" w:eastAsia="Times New Roman" w:hAnsi="Times New Roman" w:cs="Times New Roman"/>
          <w:sz w:val="24"/>
          <w:szCs w:val="24"/>
        </w:rPr>
        <w:t xml:space="preserve">The official court </w:t>
      </w:r>
      <w:r w:rsidR="00104B1B" w:rsidRPr="00133DBF">
        <w:rPr>
          <w:rFonts w:ascii="Times New Roman" w:eastAsia="Times New Roman" w:hAnsi="Times New Roman" w:cs="Times New Roman"/>
          <w:sz w:val="24"/>
          <w:szCs w:val="24"/>
        </w:rPr>
        <w:t>statistics</w:t>
      </w:r>
      <w:r w:rsidR="00104B1B">
        <w:rPr>
          <w:rFonts w:ascii="Times New Roman" w:eastAsia="Times New Roman" w:hAnsi="Times New Roman" w:cs="Times New Roman"/>
          <w:sz w:val="24"/>
          <w:szCs w:val="24"/>
        </w:rPr>
        <w:t xml:space="preserve"> </w:t>
      </w:r>
      <w:r w:rsidR="0092684C">
        <w:rPr>
          <w:rFonts w:ascii="Times New Roman" w:eastAsia="Times New Roman" w:hAnsi="Times New Roman" w:cs="Times New Roman"/>
          <w:sz w:val="24"/>
          <w:szCs w:val="24"/>
        </w:rPr>
        <w:t xml:space="preserve">for 2024 </w:t>
      </w:r>
      <w:r w:rsidR="00104B1B" w:rsidRPr="00133DBF">
        <w:rPr>
          <w:rFonts w:ascii="Times New Roman" w:eastAsia="Times New Roman" w:hAnsi="Times New Roman" w:cs="Times New Roman"/>
          <w:sz w:val="24"/>
          <w:szCs w:val="24"/>
        </w:rPr>
        <w:t>reveal</w:t>
      </w:r>
      <w:r w:rsidRPr="00133DBF">
        <w:rPr>
          <w:rFonts w:ascii="Times New Roman" w:eastAsia="Times New Roman" w:hAnsi="Times New Roman" w:cs="Times New Roman"/>
          <w:sz w:val="24"/>
          <w:szCs w:val="24"/>
        </w:rPr>
        <w:t xml:space="preserve"> that the overwhelming majority of drug-related convictions in Russia target individuals involved in offenses related to personal drug use, not commercial trafficking. A staggering 77% of all convictions fall into this category. This includes the 47,428 convictions for simple possession under Article 228, but it also encompasses an additional 4,396 convictions under parts 1, 2, and 3 of Article 228.1. Although formally </w:t>
      </w:r>
      <w:r w:rsidRPr="00133DBF">
        <w:rPr>
          <w:rFonts w:ascii="Times New Roman" w:eastAsia="Times New Roman" w:hAnsi="Times New Roman" w:cs="Times New Roman"/>
          <w:sz w:val="24"/>
          <w:szCs w:val="24"/>
        </w:rPr>
        <w:lastRenderedPageBreak/>
        <w:t>classified as "trafficking," these offenses often involve handling small or "significant" amounts of a substance (e.g., between 0.5 and 2.5 grams of heroin) and frequently represent peer-to-peer transactions among users rather than organized criminal enterprise. This data demonstrates that Russia's drug policy is a) ineffective at tackling the drug problem as it focuses on punishing users, and b) produces more harm by creating a climate of fear and stigma that prevents people who use drugs from seeking essential health services.</w:t>
      </w:r>
    </w:p>
    <w:p w14:paraId="0C4C6FAE" w14:textId="471479E9" w:rsidR="00D779B8" w:rsidRPr="00D779B8" w:rsidRDefault="00D779B8" w:rsidP="00D779B8">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D779B8">
        <w:rPr>
          <w:rFonts w:ascii="Times New Roman" w:eastAsia="Times New Roman" w:hAnsi="Times New Roman" w:cs="Times New Roman"/>
          <w:b/>
          <w:bCs/>
          <w:kern w:val="0"/>
          <w:sz w:val="27"/>
          <w:szCs w:val="27"/>
          <w:lang w:eastAsia="en-CA"/>
          <w14:ligatures w14:val="none"/>
        </w:rPr>
        <w:t>Breakdown of Drug-Related Convictions</w:t>
      </w:r>
      <w:r w:rsidR="00133DBF">
        <w:rPr>
          <w:rFonts w:ascii="Times New Roman" w:eastAsia="Times New Roman" w:hAnsi="Times New Roman" w:cs="Times New Roman"/>
          <w:b/>
          <w:bCs/>
          <w:kern w:val="0"/>
          <w:sz w:val="27"/>
          <w:szCs w:val="27"/>
          <w:lang w:eastAsia="en-CA"/>
          <w14:ligatures w14:val="none"/>
        </w:rPr>
        <w:t xml:space="preserve"> in</w:t>
      </w:r>
      <w:r w:rsidR="006B53BF">
        <w:rPr>
          <w:rFonts w:ascii="Times New Roman" w:eastAsia="Times New Roman" w:hAnsi="Times New Roman" w:cs="Times New Roman"/>
          <w:b/>
          <w:bCs/>
          <w:kern w:val="0"/>
          <w:sz w:val="27"/>
          <w:szCs w:val="27"/>
          <w:lang w:eastAsia="en-CA"/>
          <w14:ligatures w14:val="none"/>
        </w:rPr>
        <w:t xml:space="preserve"> 2024</w:t>
      </w:r>
      <w:r w:rsidR="006077BD">
        <w:rPr>
          <w:rStyle w:val="FootnoteReference"/>
          <w:rFonts w:ascii="Times New Roman" w:eastAsia="Times New Roman" w:hAnsi="Times New Roman" w:cs="Times New Roman"/>
          <w:b/>
          <w:bCs/>
          <w:kern w:val="0"/>
          <w:sz w:val="27"/>
          <w:szCs w:val="27"/>
          <w:lang w:eastAsia="en-CA"/>
          <w14:ligatures w14:val="none"/>
        </w:rPr>
        <w:footnoteReference w:id="2"/>
      </w:r>
    </w:p>
    <w:tbl>
      <w:tblPr>
        <w:tblStyle w:val="TableGrid"/>
        <w:tblpPr w:leftFromText="180" w:rightFromText="180" w:vertAnchor="text" w:tblpY="1"/>
        <w:tblOverlap w:val="never"/>
        <w:tblW w:w="9985" w:type="dxa"/>
        <w:tblLook w:val="04A0" w:firstRow="1" w:lastRow="0" w:firstColumn="1" w:lastColumn="0" w:noHBand="0" w:noVBand="1"/>
      </w:tblPr>
      <w:tblGrid>
        <w:gridCol w:w="1615"/>
        <w:gridCol w:w="1029"/>
        <w:gridCol w:w="1794"/>
        <w:gridCol w:w="3030"/>
        <w:gridCol w:w="2517"/>
      </w:tblGrid>
      <w:tr w:rsidR="00D779B8" w:rsidRPr="00D779B8" w14:paraId="68586F4F" w14:textId="77777777" w:rsidTr="00181B81">
        <w:tc>
          <w:tcPr>
            <w:tcW w:w="1615" w:type="dxa"/>
            <w:shd w:val="clear" w:color="auto" w:fill="8EAADB" w:themeFill="accent1" w:themeFillTint="99"/>
            <w:hideMark/>
          </w:tcPr>
          <w:p w14:paraId="6B650B4C" w14:textId="77777777" w:rsidR="00D779B8" w:rsidRPr="00D779B8" w:rsidRDefault="00D779B8" w:rsidP="00181B81">
            <w:pPr>
              <w:rPr>
                <w:rFonts w:ascii="Times New Roman" w:eastAsia="Times New Roman" w:hAnsi="Times New Roman" w:cs="Times New Roman"/>
                <w:b/>
                <w:bCs/>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Article</w:t>
            </w:r>
          </w:p>
        </w:tc>
        <w:tc>
          <w:tcPr>
            <w:tcW w:w="1029" w:type="dxa"/>
            <w:shd w:val="clear" w:color="auto" w:fill="8EAADB" w:themeFill="accent1" w:themeFillTint="99"/>
            <w:hideMark/>
          </w:tcPr>
          <w:p w14:paraId="1E6F5F71" w14:textId="77777777" w:rsidR="00D779B8" w:rsidRPr="00D779B8" w:rsidRDefault="00D779B8" w:rsidP="00181B81">
            <w:pPr>
              <w:rPr>
                <w:rFonts w:ascii="Times New Roman" w:eastAsia="Times New Roman" w:hAnsi="Times New Roman" w:cs="Times New Roman"/>
                <w:b/>
                <w:bCs/>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Part</w:t>
            </w:r>
          </w:p>
        </w:tc>
        <w:tc>
          <w:tcPr>
            <w:tcW w:w="0" w:type="auto"/>
            <w:shd w:val="clear" w:color="auto" w:fill="8EAADB" w:themeFill="accent1" w:themeFillTint="99"/>
            <w:hideMark/>
          </w:tcPr>
          <w:p w14:paraId="31AD3D34" w14:textId="37045D4F" w:rsidR="00D779B8" w:rsidRPr="00D779B8" w:rsidRDefault="00D779B8" w:rsidP="00181B81">
            <w:pPr>
              <w:rPr>
                <w:rFonts w:ascii="Times New Roman" w:eastAsia="Times New Roman" w:hAnsi="Times New Roman" w:cs="Times New Roman"/>
                <w:b/>
                <w:bCs/>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 xml:space="preserve">Number of </w:t>
            </w:r>
            <w:r w:rsidR="009021E0">
              <w:rPr>
                <w:rFonts w:ascii="Times New Roman" w:eastAsia="Times New Roman" w:hAnsi="Times New Roman" w:cs="Times New Roman"/>
                <w:b/>
                <w:bCs/>
                <w:kern w:val="0"/>
                <w:sz w:val="24"/>
                <w:szCs w:val="24"/>
                <w:lang w:eastAsia="en-CA"/>
                <w14:ligatures w14:val="none"/>
              </w:rPr>
              <w:t>persons convicted</w:t>
            </w:r>
          </w:p>
        </w:tc>
        <w:tc>
          <w:tcPr>
            <w:tcW w:w="0" w:type="auto"/>
            <w:shd w:val="clear" w:color="auto" w:fill="8EAADB" w:themeFill="accent1" w:themeFillTint="99"/>
            <w:hideMark/>
          </w:tcPr>
          <w:p w14:paraId="5E11D4D9" w14:textId="77777777" w:rsidR="00D779B8" w:rsidRPr="00D779B8" w:rsidRDefault="00D779B8" w:rsidP="00181B81">
            <w:pPr>
              <w:rPr>
                <w:rFonts w:ascii="Times New Roman" w:eastAsia="Times New Roman" w:hAnsi="Times New Roman" w:cs="Times New Roman"/>
                <w:b/>
                <w:bCs/>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Brief Description</w:t>
            </w:r>
          </w:p>
        </w:tc>
        <w:tc>
          <w:tcPr>
            <w:tcW w:w="2517" w:type="dxa"/>
            <w:shd w:val="clear" w:color="auto" w:fill="8EAADB" w:themeFill="accent1" w:themeFillTint="99"/>
            <w:hideMark/>
          </w:tcPr>
          <w:p w14:paraId="6D1F6451" w14:textId="77777777" w:rsidR="00D779B8" w:rsidRPr="00D779B8" w:rsidRDefault="00D779B8" w:rsidP="00181B81">
            <w:pPr>
              <w:rPr>
                <w:rFonts w:ascii="Times New Roman" w:eastAsia="Times New Roman" w:hAnsi="Times New Roman" w:cs="Times New Roman"/>
                <w:b/>
                <w:bCs/>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Max Imprisonment</w:t>
            </w:r>
          </w:p>
        </w:tc>
      </w:tr>
      <w:tr w:rsidR="00D779B8" w:rsidRPr="00D779B8" w14:paraId="524F35D3" w14:textId="77777777" w:rsidTr="00181B81">
        <w:tc>
          <w:tcPr>
            <w:tcW w:w="1615" w:type="dxa"/>
            <w:hideMark/>
          </w:tcPr>
          <w:p w14:paraId="23B31B84"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Art. 228 (Possession)</w:t>
            </w:r>
          </w:p>
        </w:tc>
        <w:tc>
          <w:tcPr>
            <w:tcW w:w="1029" w:type="dxa"/>
            <w:hideMark/>
          </w:tcPr>
          <w:p w14:paraId="29336D6C"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1</w:t>
            </w:r>
          </w:p>
        </w:tc>
        <w:tc>
          <w:tcPr>
            <w:tcW w:w="0" w:type="auto"/>
            <w:hideMark/>
          </w:tcPr>
          <w:p w14:paraId="34F9933D"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28,479</w:t>
            </w:r>
          </w:p>
        </w:tc>
        <w:tc>
          <w:tcPr>
            <w:tcW w:w="0" w:type="auto"/>
            <w:hideMark/>
          </w:tcPr>
          <w:p w14:paraId="65925E2E"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Possession of a </w:t>
            </w:r>
            <w:r w:rsidRPr="00D779B8">
              <w:rPr>
                <w:rFonts w:ascii="Times New Roman" w:eastAsia="Times New Roman" w:hAnsi="Times New Roman" w:cs="Times New Roman"/>
                <w:b/>
                <w:bCs/>
                <w:kern w:val="0"/>
                <w:sz w:val="24"/>
                <w:szCs w:val="24"/>
                <w:lang w:eastAsia="en-CA"/>
                <w14:ligatures w14:val="none"/>
              </w:rPr>
              <w:t>'significant'</w:t>
            </w:r>
            <w:r w:rsidRPr="00D779B8">
              <w:rPr>
                <w:rFonts w:ascii="Times New Roman" w:eastAsia="Times New Roman" w:hAnsi="Times New Roman" w:cs="Times New Roman"/>
                <w:kern w:val="0"/>
                <w:sz w:val="24"/>
                <w:szCs w:val="24"/>
                <w:lang w:eastAsia="en-CA"/>
                <w14:ligatures w14:val="none"/>
              </w:rPr>
              <w:t xml:space="preserve"> amount without intent to sell.</w:t>
            </w:r>
          </w:p>
        </w:tc>
        <w:tc>
          <w:tcPr>
            <w:tcW w:w="2517" w:type="dxa"/>
            <w:hideMark/>
          </w:tcPr>
          <w:p w14:paraId="3B33EE7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3 years</w:t>
            </w:r>
          </w:p>
        </w:tc>
      </w:tr>
      <w:tr w:rsidR="00D779B8" w:rsidRPr="00D779B8" w14:paraId="484E99D2" w14:textId="77777777" w:rsidTr="00181B81">
        <w:tc>
          <w:tcPr>
            <w:tcW w:w="1615" w:type="dxa"/>
            <w:hideMark/>
          </w:tcPr>
          <w:p w14:paraId="43D0B226"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384F351F"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2</w:t>
            </w:r>
          </w:p>
        </w:tc>
        <w:tc>
          <w:tcPr>
            <w:tcW w:w="0" w:type="auto"/>
            <w:hideMark/>
          </w:tcPr>
          <w:p w14:paraId="51B5AD85"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18,864</w:t>
            </w:r>
          </w:p>
        </w:tc>
        <w:tc>
          <w:tcPr>
            <w:tcW w:w="0" w:type="auto"/>
            <w:hideMark/>
          </w:tcPr>
          <w:p w14:paraId="41CE973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Possession of a </w:t>
            </w:r>
            <w:r w:rsidRPr="00D779B8">
              <w:rPr>
                <w:rFonts w:ascii="Times New Roman" w:eastAsia="Times New Roman" w:hAnsi="Times New Roman" w:cs="Times New Roman"/>
                <w:b/>
                <w:bCs/>
                <w:kern w:val="0"/>
                <w:sz w:val="24"/>
                <w:szCs w:val="24"/>
                <w:lang w:eastAsia="en-CA"/>
                <w14:ligatures w14:val="none"/>
              </w:rPr>
              <w:t>'large'</w:t>
            </w:r>
            <w:r w:rsidRPr="00D779B8">
              <w:rPr>
                <w:rFonts w:ascii="Times New Roman" w:eastAsia="Times New Roman" w:hAnsi="Times New Roman" w:cs="Times New Roman"/>
                <w:kern w:val="0"/>
                <w:sz w:val="24"/>
                <w:szCs w:val="24"/>
                <w:lang w:eastAsia="en-CA"/>
                <w14:ligatures w14:val="none"/>
              </w:rPr>
              <w:t xml:space="preserve"> amount without intent to sell.</w:t>
            </w:r>
          </w:p>
        </w:tc>
        <w:tc>
          <w:tcPr>
            <w:tcW w:w="2517" w:type="dxa"/>
            <w:hideMark/>
          </w:tcPr>
          <w:p w14:paraId="2D8AFE68"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10 years</w:t>
            </w:r>
          </w:p>
        </w:tc>
      </w:tr>
      <w:tr w:rsidR="00D779B8" w:rsidRPr="00D779B8" w14:paraId="5F9C7B78" w14:textId="77777777" w:rsidTr="00181B81">
        <w:tc>
          <w:tcPr>
            <w:tcW w:w="1615" w:type="dxa"/>
            <w:hideMark/>
          </w:tcPr>
          <w:p w14:paraId="0A6FF66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044D1448"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3</w:t>
            </w:r>
          </w:p>
        </w:tc>
        <w:tc>
          <w:tcPr>
            <w:tcW w:w="0" w:type="auto"/>
            <w:hideMark/>
          </w:tcPr>
          <w:p w14:paraId="1C0FC47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85</w:t>
            </w:r>
          </w:p>
        </w:tc>
        <w:tc>
          <w:tcPr>
            <w:tcW w:w="0" w:type="auto"/>
            <w:hideMark/>
          </w:tcPr>
          <w:p w14:paraId="23F1709C"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Possession of an </w:t>
            </w:r>
            <w:r w:rsidRPr="00D779B8">
              <w:rPr>
                <w:rFonts w:ascii="Times New Roman" w:eastAsia="Times New Roman" w:hAnsi="Times New Roman" w:cs="Times New Roman"/>
                <w:b/>
                <w:bCs/>
                <w:kern w:val="0"/>
                <w:sz w:val="24"/>
                <w:szCs w:val="24"/>
                <w:lang w:eastAsia="en-CA"/>
                <w14:ligatures w14:val="none"/>
              </w:rPr>
              <w:t>'especially large'</w:t>
            </w:r>
            <w:r w:rsidRPr="00D779B8">
              <w:rPr>
                <w:rFonts w:ascii="Times New Roman" w:eastAsia="Times New Roman" w:hAnsi="Times New Roman" w:cs="Times New Roman"/>
                <w:kern w:val="0"/>
                <w:sz w:val="24"/>
                <w:szCs w:val="24"/>
                <w:lang w:eastAsia="en-CA"/>
                <w14:ligatures w14:val="none"/>
              </w:rPr>
              <w:t xml:space="preserve"> amount without intent to sell.</w:t>
            </w:r>
          </w:p>
        </w:tc>
        <w:tc>
          <w:tcPr>
            <w:tcW w:w="2517" w:type="dxa"/>
            <w:hideMark/>
          </w:tcPr>
          <w:p w14:paraId="0079E6E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15 years</w:t>
            </w:r>
          </w:p>
        </w:tc>
      </w:tr>
      <w:tr w:rsidR="00D779B8" w:rsidRPr="00D779B8" w14:paraId="22FF224D" w14:textId="77777777" w:rsidTr="00181B81">
        <w:tc>
          <w:tcPr>
            <w:tcW w:w="1615" w:type="dxa"/>
            <w:hideMark/>
          </w:tcPr>
          <w:p w14:paraId="113989F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676F29E3"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Total</w:t>
            </w:r>
          </w:p>
        </w:tc>
        <w:tc>
          <w:tcPr>
            <w:tcW w:w="0" w:type="auto"/>
            <w:hideMark/>
          </w:tcPr>
          <w:p w14:paraId="2EA6E326"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47,428</w:t>
            </w:r>
          </w:p>
        </w:tc>
        <w:tc>
          <w:tcPr>
            <w:tcW w:w="0" w:type="auto"/>
            <w:hideMark/>
          </w:tcPr>
          <w:p w14:paraId="5365020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2517" w:type="dxa"/>
            <w:hideMark/>
          </w:tcPr>
          <w:p w14:paraId="650C46A5" w14:textId="77777777" w:rsidR="00D779B8" w:rsidRPr="00D779B8" w:rsidRDefault="00D779B8" w:rsidP="00181B81">
            <w:pPr>
              <w:rPr>
                <w:rFonts w:ascii="Times New Roman" w:eastAsia="Times New Roman" w:hAnsi="Times New Roman" w:cs="Times New Roman"/>
                <w:kern w:val="0"/>
                <w:sz w:val="20"/>
                <w:szCs w:val="20"/>
                <w:lang w:eastAsia="en-CA"/>
                <w14:ligatures w14:val="none"/>
              </w:rPr>
            </w:pPr>
          </w:p>
        </w:tc>
      </w:tr>
      <w:tr w:rsidR="00D779B8" w:rsidRPr="00D779B8" w14:paraId="3E4277D0" w14:textId="77777777" w:rsidTr="00181B81">
        <w:tc>
          <w:tcPr>
            <w:tcW w:w="1615" w:type="dxa"/>
            <w:hideMark/>
          </w:tcPr>
          <w:p w14:paraId="30D3AF34"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Art. 228.1 (Trafficking)</w:t>
            </w:r>
          </w:p>
        </w:tc>
        <w:tc>
          <w:tcPr>
            <w:tcW w:w="1029" w:type="dxa"/>
            <w:hideMark/>
          </w:tcPr>
          <w:p w14:paraId="43F51F74"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1</w:t>
            </w:r>
          </w:p>
        </w:tc>
        <w:tc>
          <w:tcPr>
            <w:tcW w:w="0" w:type="auto"/>
            <w:hideMark/>
          </w:tcPr>
          <w:p w14:paraId="2DC47C82"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1,287</w:t>
            </w:r>
          </w:p>
        </w:tc>
        <w:tc>
          <w:tcPr>
            <w:tcW w:w="0" w:type="auto"/>
            <w:hideMark/>
          </w:tcPr>
          <w:p w14:paraId="65E9591F"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Basic sale or production of narcotics.</w:t>
            </w:r>
          </w:p>
        </w:tc>
        <w:tc>
          <w:tcPr>
            <w:tcW w:w="2517" w:type="dxa"/>
            <w:hideMark/>
          </w:tcPr>
          <w:p w14:paraId="440CE88E"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8 years</w:t>
            </w:r>
          </w:p>
        </w:tc>
      </w:tr>
      <w:tr w:rsidR="00D779B8" w:rsidRPr="00D779B8" w14:paraId="2729018C" w14:textId="77777777" w:rsidTr="00181B81">
        <w:tc>
          <w:tcPr>
            <w:tcW w:w="1615" w:type="dxa"/>
            <w:hideMark/>
          </w:tcPr>
          <w:p w14:paraId="16FB337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3DF13777"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2</w:t>
            </w:r>
          </w:p>
        </w:tc>
        <w:tc>
          <w:tcPr>
            <w:tcW w:w="0" w:type="auto"/>
            <w:hideMark/>
          </w:tcPr>
          <w:p w14:paraId="69E999A8"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123</w:t>
            </w:r>
          </w:p>
        </w:tc>
        <w:tc>
          <w:tcPr>
            <w:tcW w:w="0" w:type="auto"/>
            <w:hideMark/>
          </w:tcPr>
          <w:p w14:paraId="41B8C289"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Sale in specific locations (e.g., schools, transport) or via the internet.</w:t>
            </w:r>
          </w:p>
        </w:tc>
        <w:tc>
          <w:tcPr>
            <w:tcW w:w="2517" w:type="dxa"/>
            <w:hideMark/>
          </w:tcPr>
          <w:p w14:paraId="680BC8F3"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12 years</w:t>
            </w:r>
          </w:p>
        </w:tc>
      </w:tr>
      <w:tr w:rsidR="00D779B8" w:rsidRPr="00D779B8" w14:paraId="56BB738D" w14:textId="77777777" w:rsidTr="00181B81">
        <w:tc>
          <w:tcPr>
            <w:tcW w:w="1615" w:type="dxa"/>
            <w:hideMark/>
          </w:tcPr>
          <w:p w14:paraId="6B2D2795"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3E546329"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3</w:t>
            </w:r>
          </w:p>
        </w:tc>
        <w:tc>
          <w:tcPr>
            <w:tcW w:w="0" w:type="auto"/>
            <w:hideMark/>
          </w:tcPr>
          <w:p w14:paraId="466CE24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2,986</w:t>
            </w:r>
          </w:p>
        </w:tc>
        <w:tc>
          <w:tcPr>
            <w:tcW w:w="0" w:type="auto"/>
            <w:hideMark/>
          </w:tcPr>
          <w:p w14:paraId="5A30A098"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Trafficking by a group or in a </w:t>
            </w:r>
            <w:r w:rsidRPr="00D779B8">
              <w:rPr>
                <w:rFonts w:ascii="Times New Roman" w:eastAsia="Times New Roman" w:hAnsi="Times New Roman" w:cs="Times New Roman"/>
                <w:b/>
                <w:bCs/>
                <w:kern w:val="0"/>
                <w:sz w:val="24"/>
                <w:szCs w:val="24"/>
                <w:lang w:eastAsia="en-CA"/>
                <w14:ligatures w14:val="none"/>
              </w:rPr>
              <w:t>'significant'</w:t>
            </w:r>
            <w:r w:rsidRPr="00D779B8">
              <w:rPr>
                <w:rFonts w:ascii="Times New Roman" w:eastAsia="Times New Roman" w:hAnsi="Times New Roman" w:cs="Times New Roman"/>
                <w:kern w:val="0"/>
                <w:sz w:val="24"/>
                <w:szCs w:val="24"/>
                <w:lang w:eastAsia="en-CA"/>
                <w14:ligatures w14:val="none"/>
              </w:rPr>
              <w:t xml:space="preserve"> amount.</w:t>
            </w:r>
          </w:p>
        </w:tc>
        <w:tc>
          <w:tcPr>
            <w:tcW w:w="2517" w:type="dxa"/>
            <w:hideMark/>
          </w:tcPr>
          <w:p w14:paraId="168DBDEA"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15 years</w:t>
            </w:r>
          </w:p>
        </w:tc>
      </w:tr>
      <w:tr w:rsidR="00D779B8" w:rsidRPr="00D779B8" w14:paraId="16AAE659" w14:textId="77777777" w:rsidTr="00181B81">
        <w:tc>
          <w:tcPr>
            <w:tcW w:w="1615" w:type="dxa"/>
            <w:hideMark/>
          </w:tcPr>
          <w:p w14:paraId="704CD53E"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4E9D9060"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4</w:t>
            </w:r>
          </w:p>
        </w:tc>
        <w:tc>
          <w:tcPr>
            <w:tcW w:w="0" w:type="auto"/>
            <w:hideMark/>
          </w:tcPr>
          <w:p w14:paraId="0DB89F99"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12,774</w:t>
            </w:r>
          </w:p>
        </w:tc>
        <w:tc>
          <w:tcPr>
            <w:tcW w:w="0" w:type="auto"/>
            <w:hideMark/>
          </w:tcPr>
          <w:p w14:paraId="7ECF798F"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Trafficking by an organized group or in a </w:t>
            </w:r>
            <w:r w:rsidRPr="00D779B8">
              <w:rPr>
                <w:rFonts w:ascii="Times New Roman" w:eastAsia="Times New Roman" w:hAnsi="Times New Roman" w:cs="Times New Roman"/>
                <w:b/>
                <w:bCs/>
                <w:kern w:val="0"/>
                <w:sz w:val="24"/>
                <w:szCs w:val="24"/>
                <w:lang w:eastAsia="en-CA"/>
                <w14:ligatures w14:val="none"/>
              </w:rPr>
              <w:t>'large'</w:t>
            </w:r>
            <w:r w:rsidRPr="00D779B8">
              <w:rPr>
                <w:rFonts w:ascii="Times New Roman" w:eastAsia="Times New Roman" w:hAnsi="Times New Roman" w:cs="Times New Roman"/>
                <w:kern w:val="0"/>
                <w:sz w:val="24"/>
                <w:szCs w:val="24"/>
                <w:lang w:eastAsia="en-CA"/>
                <w14:ligatures w14:val="none"/>
              </w:rPr>
              <w:t xml:space="preserve"> amount.</w:t>
            </w:r>
          </w:p>
        </w:tc>
        <w:tc>
          <w:tcPr>
            <w:tcW w:w="2517" w:type="dxa"/>
            <w:hideMark/>
          </w:tcPr>
          <w:p w14:paraId="78776000"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20 years</w:t>
            </w:r>
          </w:p>
        </w:tc>
      </w:tr>
      <w:tr w:rsidR="00D779B8" w:rsidRPr="00D779B8" w14:paraId="58C2BCA3" w14:textId="77777777" w:rsidTr="00181B81">
        <w:tc>
          <w:tcPr>
            <w:tcW w:w="1615" w:type="dxa"/>
            <w:hideMark/>
          </w:tcPr>
          <w:p w14:paraId="3553B209"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66E1C49B"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Part 5</w:t>
            </w:r>
          </w:p>
        </w:tc>
        <w:tc>
          <w:tcPr>
            <w:tcW w:w="0" w:type="auto"/>
            <w:hideMark/>
          </w:tcPr>
          <w:p w14:paraId="7E40572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2,653</w:t>
            </w:r>
          </w:p>
        </w:tc>
        <w:tc>
          <w:tcPr>
            <w:tcW w:w="0" w:type="auto"/>
            <w:hideMark/>
          </w:tcPr>
          <w:p w14:paraId="055B919E"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 xml:space="preserve">Trafficking in an </w:t>
            </w:r>
            <w:r w:rsidRPr="00D779B8">
              <w:rPr>
                <w:rFonts w:ascii="Times New Roman" w:eastAsia="Times New Roman" w:hAnsi="Times New Roman" w:cs="Times New Roman"/>
                <w:b/>
                <w:bCs/>
                <w:kern w:val="0"/>
                <w:sz w:val="24"/>
                <w:szCs w:val="24"/>
                <w:lang w:eastAsia="en-CA"/>
                <w14:ligatures w14:val="none"/>
              </w:rPr>
              <w:t>'especially large'</w:t>
            </w:r>
            <w:r w:rsidRPr="00D779B8">
              <w:rPr>
                <w:rFonts w:ascii="Times New Roman" w:eastAsia="Times New Roman" w:hAnsi="Times New Roman" w:cs="Times New Roman"/>
                <w:kern w:val="0"/>
                <w:sz w:val="24"/>
                <w:szCs w:val="24"/>
                <w:lang w:eastAsia="en-CA"/>
                <w14:ligatures w14:val="none"/>
              </w:rPr>
              <w:t xml:space="preserve"> amount.</w:t>
            </w:r>
          </w:p>
        </w:tc>
        <w:tc>
          <w:tcPr>
            <w:tcW w:w="2517" w:type="dxa"/>
            <w:hideMark/>
          </w:tcPr>
          <w:p w14:paraId="24EDFAFF"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kern w:val="0"/>
                <w:sz w:val="24"/>
                <w:szCs w:val="24"/>
                <w:lang w:eastAsia="en-CA"/>
                <w14:ligatures w14:val="none"/>
              </w:rPr>
              <w:t>Up to 20 years or Life</w:t>
            </w:r>
          </w:p>
        </w:tc>
      </w:tr>
      <w:tr w:rsidR="00D779B8" w:rsidRPr="00D779B8" w14:paraId="44513829" w14:textId="77777777" w:rsidTr="00181B81">
        <w:tc>
          <w:tcPr>
            <w:tcW w:w="1615" w:type="dxa"/>
            <w:hideMark/>
          </w:tcPr>
          <w:p w14:paraId="41CB954D"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1029" w:type="dxa"/>
            <w:hideMark/>
          </w:tcPr>
          <w:p w14:paraId="3A2B8DE1"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Total</w:t>
            </w:r>
          </w:p>
        </w:tc>
        <w:tc>
          <w:tcPr>
            <w:tcW w:w="0" w:type="auto"/>
            <w:hideMark/>
          </w:tcPr>
          <w:p w14:paraId="33EEC196"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r w:rsidRPr="00D779B8">
              <w:rPr>
                <w:rFonts w:ascii="Times New Roman" w:eastAsia="Times New Roman" w:hAnsi="Times New Roman" w:cs="Times New Roman"/>
                <w:b/>
                <w:bCs/>
                <w:kern w:val="0"/>
                <w:sz w:val="24"/>
                <w:szCs w:val="24"/>
                <w:lang w:eastAsia="en-CA"/>
                <w14:ligatures w14:val="none"/>
              </w:rPr>
              <w:t>19,823</w:t>
            </w:r>
          </w:p>
        </w:tc>
        <w:tc>
          <w:tcPr>
            <w:tcW w:w="0" w:type="auto"/>
            <w:hideMark/>
          </w:tcPr>
          <w:p w14:paraId="698570F4" w14:textId="77777777" w:rsidR="00D779B8" w:rsidRPr="00D779B8" w:rsidRDefault="00D779B8" w:rsidP="00181B81">
            <w:pPr>
              <w:rPr>
                <w:rFonts w:ascii="Times New Roman" w:eastAsia="Times New Roman" w:hAnsi="Times New Roman" w:cs="Times New Roman"/>
                <w:kern w:val="0"/>
                <w:sz w:val="24"/>
                <w:szCs w:val="24"/>
                <w:lang w:eastAsia="en-CA"/>
                <w14:ligatures w14:val="none"/>
              </w:rPr>
            </w:pPr>
          </w:p>
        </w:tc>
        <w:tc>
          <w:tcPr>
            <w:tcW w:w="2517" w:type="dxa"/>
            <w:hideMark/>
          </w:tcPr>
          <w:p w14:paraId="3F4B3C33" w14:textId="77777777" w:rsidR="00D779B8" w:rsidRPr="00D779B8" w:rsidRDefault="00D779B8" w:rsidP="00181B81">
            <w:pPr>
              <w:rPr>
                <w:rFonts w:ascii="Times New Roman" w:eastAsia="Times New Roman" w:hAnsi="Times New Roman" w:cs="Times New Roman"/>
                <w:kern w:val="0"/>
                <w:sz w:val="20"/>
                <w:szCs w:val="20"/>
                <w:lang w:eastAsia="en-CA"/>
                <w14:ligatures w14:val="none"/>
              </w:rPr>
            </w:pPr>
          </w:p>
        </w:tc>
      </w:tr>
    </w:tbl>
    <w:p w14:paraId="4BBB7DFF" w14:textId="77777777" w:rsidR="00D779B8" w:rsidRDefault="00D779B8" w:rsidP="00164580">
      <w:pPr>
        <w:spacing w:line="23" w:lineRule="atLeast"/>
        <w:jc w:val="both"/>
        <w:rPr>
          <w:rFonts w:ascii="Times New Roman" w:eastAsia="Times New Roman" w:hAnsi="Times New Roman" w:cs="Times New Roman"/>
          <w:b/>
          <w:bCs/>
          <w:sz w:val="24"/>
          <w:szCs w:val="24"/>
          <w:lang w:val="en-US"/>
        </w:rPr>
      </w:pPr>
    </w:p>
    <w:p w14:paraId="1F0DF76A" w14:textId="6A974130" w:rsidR="006077BD" w:rsidRPr="006077BD" w:rsidRDefault="006077BD" w:rsidP="006077B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6077BD">
        <w:rPr>
          <w:rFonts w:ascii="Times New Roman" w:eastAsia="Times New Roman" w:hAnsi="Times New Roman" w:cs="Times New Roman"/>
          <w:b/>
          <w:bCs/>
          <w:kern w:val="0"/>
          <w:sz w:val="27"/>
          <w:szCs w:val="27"/>
          <w:lang w:eastAsia="en-CA"/>
          <w14:ligatures w14:val="none"/>
        </w:rPr>
        <w:t>Illustrative Drug Quantity Thresholds in Russia</w:t>
      </w:r>
      <w:r w:rsidR="006B53BF">
        <w:rPr>
          <w:rStyle w:val="FootnoteReference"/>
          <w:rFonts w:ascii="Times New Roman" w:eastAsia="Times New Roman" w:hAnsi="Times New Roman" w:cs="Times New Roman"/>
          <w:b/>
          <w:bCs/>
          <w:kern w:val="0"/>
          <w:sz w:val="27"/>
          <w:szCs w:val="27"/>
          <w:lang w:eastAsia="en-CA"/>
          <w14:ligatures w14:val="none"/>
        </w:rPr>
        <w:footnoteReference w:id="3"/>
      </w:r>
    </w:p>
    <w:tbl>
      <w:tblPr>
        <w:tblStyle w:val="TableGrid"/>
        <w:tblW w:w="0" w:type="auto"/>
        <w:tblLook w:val="04A0" w:firstRow="1" w:lastRow="0" w:firstColumn="1" w:lastColumn="0" w:noHBand="0" w:noVBand="1"/>
      </w:tblPr>
      <w:tblGrid>
        <w:gridCol w:w="1376"/>
        <w:gridCol w:w="2783"/>
        <w:gridCol w:w="2327"/>
        <w:gridCol w:w="2864"/>
      </w:tblGrid>
      <w:tr w:rsidR="006077BD" w:rsidRPr="006077BD" w14:paraId="47A17458" w14:textId="77777777" w:rsidTr="006077BD">
        <w:tc>
          <w:tcPr>
            <w:tcW w:w="0" w:type="auto"/>
            <w:shd w:val="clear" w:color="auto" w:fill="8EAADB" w:themeFill="accent1" w:themeFillTint="99"/>
            <w:hideMark/>
          </w:tcPr>
          <w:p w14:paraId="75D96210" w14:textId="77777777" w:rsidR="006077BD" w:rsidRPr="006077BD" w:rsidRDefault="006077BD" w:rsidP="006077BD">
            <w:pPr>
              <w:rPr>
                <w:rFonts w:ascii="Times New Roman" w:eastAsia="Times New Roman" w:hAnsi="Times New Roman" w:cs="Times New Roman"/>
                <w:b/>
                <w:bCs/>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Substance</w:t>
            </w:r>
          </w:p>
        </w:tc>
        <w:tc>
          <w:tcPr>
            <w:tcW w:w="0" w:type="auto"/>
            <w:shd w:val="clear" w:color="auto" w:fill="8EAADB" w:themeFill="accent1" w:themeFillTint="99"/>
            <w:hideMark/>
          </w:tcPr>
          <w:p w14:paraId="2F9407BC" w14:textId="77777777" w:rsidR="006077BD" w:rsidRPr="006077BD" w:rsidRDefault="006077BD" w:rsidP="006077BD">
            <w:pPr>
              <w:rPr>
                <w:rFonts w:ascii="Times New Roman" w:eastAsia="Times New Roman" w:hAnsi="Times New Roman" w:cs="Times New Roman"/>
                <w:b/>
                <w:bCs/>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Significant Amount (grams)</w:t>
            </w:r>
          </w:p>
        </w:tc>
        <w:tc>
          <w:tcPr>
            <w:tcW w:w="0" w:type="auto"/>
            <w:shd w:val="clear" w:color="auto" w:fill="8EAADB" w:themeFill="accent1" w:themeFillTint="99"/>
            <w:hideMark/>
          </w:tcPr>
          <w:p w14:paraId="5CF97DF4" w14:textId="77777777" w:rsidR="006077BD" w:rsidRPr="006077BD" w:rsidRDefault="006077BD" w:rsidP="006077BD">
            <w:pPr>
              <w:rPr>
                <w:rFonts w:ascii="Times New Roman" w:eastAsia="Times New Roman" w:hAnsi="Times New Roman" w:cs="Times New Roman"/>
                <w:b/>
                <w:bCs/>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Large Amount (grams)</w:t>
            </w:r>
          </w:p>
        </w:tc>
        <w:tc>
          <w:tcPr>
            <w:tcW w:w="0" w:type="auto"/>
            <w:shd w:val="clear" w:color="auto" w:fill="8EAADB" w:themeFill="accent1" w:themeFillTint="99"/>
            <w:hideMark/>
          </w:tcPr>
          <w:p w14:paraId="6A61DE7E" w14:textId="77777777" w:rsidR="006077BD" w:rsidRPr="006077BD" w:rsidRDefault="006077BD" w:rsidP="006077BD">
            <w:pPr>
              <w:rPr>
                <w:rFonts w:ascii="Times New Roman" w:eastAsia="Times New Roman" w:hAnsi="Times New Roman" w:cs="Times New Roman"/>
                <w:b/>
                <w:bCs/>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Extra Large Amount (grams)</w:t>
            </w:r>
          </w:p>
        </w:tc>
      </w:tr>
      <w:tr w:rsidR="006077BD" w:rsidRPr="006077BD" w14:paraId="1B05F5F7" w14:textId="77777777" w:rsidTr="006077BD">
        <w:tc>
          <w:tcPr>
            <w:tcW w:w="0" w:type="auto"/>
            <w:hideMark/>
          </w:tcPr>
          <w:p w14:paraId="17F93561"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Heroin</w:t>
            </w:r>
          </w:p>
        </w:tc>
        <w:tc>
          <w:tcPr>
            <w:tcW w:w="0" w:type="auto"/>
            <w:hideMark/>
          </w:tcPr>
          <w:p w14:paraId="4E8182CF"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0.5</w:t>
            </w:r>
          </w:p>
        </w:tc>
        <w:tc>
          <w:tcPr>
            <w:tcW w:w="0" w:type="auto"/>
            <w:hideMark/>
          </w:tcPr>
          <w:p w14:paraId="59841E5B"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2.5</w:t>
            </w:r>
          </w:p>
        </w:tc>
        <w:tc>
          <w:tcPr>
            <w:tcW w:w="0" w:type="auto"/>
            <w:hideMark/>
          </w:tcPr>
          <w:p w14:paraId="3C8D7D20"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1000</w:t>
            </w:r>
          </w:p>
        </w:tc>
      </w:tr>
      <w:tr w:rsidR="006077BD" w:rsidRPr="006077BD" w14:paraId="65D946C4" w14:textId="77777777" w:rsidTr="006077BD">
        <w:tc>
          <w:tcPr>
            <w:tcW w:w="0" w:type="auto"/>
            <w:hideMark/>
          </w:tcPr>
          <w:p w14:paraId="4EB9C731"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lastRenderedPageBreak/>
              <w:t>Methadone</w:t>
            </w:r>
          </w:p>
        </w:tc>
        <w:tc>
          <w:tcPr>
            <w:tcW w:w="0" w:type="auto"/>
            <w:hideMark/>
          </w:tcPr>
          <w:p w14:paraId="481B810F"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0.2</w:t>
            </w:r>
          </w:p>
        </w:tc>
        <w:tc>
          <w:tcPr>
            <w:tcW w:w="0" w:type="auto"/>
            <w:hideMark/>
          </w:tcPr>
          <w:p w14:paraId="6233099E"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1</w:t>
            </w:r>
          </w:p>
        </w:tc>
        <w:tc>
          <w:tcPr>
            <w:tcW w:w="0" w:type="auto"/>
            <w:hideMark/>
          </w:tcPr>
          <w:p w14:paraId="5B04E530"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100</w:t>
            </w:r>
          </w:p>
        </w:tc>
      </w:tr>
      <w:tr w:rsidR="006077BD" w:rsidRPr="006077BD" w14:paraId="46EB7DA3" w14:textId="77777777" w:rsidTr="006077BD">
        <w:tc>
          <w:tcPr>
            <w:tcW w:w="0" w:type="auto"/>
            <w:hideMark/>
          </w:tcPr>
          <w:p w14:paraId="5B7CAF5C"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b/>
                <w:bCs/>
                <w:kern w:val="0"/>
                <w:sz w:val="24"/>
                <w:szCs w:val="24"/>
                <w:lang w:eastAsia="en-CA"/>
                <w14:ligatures w14:val="none"/>
              </w:rPr>
              <w:t>Psilocybin</w:t>
            </w:r>
          </w:p>
        </w:tc>
        <w:tc>
          <w:tcPr>
            <w:tcW w:w="0" w:type="auto"/>
            <w:hideMark/>
          </w:tcPr>
          <w:p w14:paraId="59603450"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0.05</w:t>
            </w:r>
          </w:p>
        </w:tc>
        <w:tc>
          <w:tcPr>
            <w:tcW w:w="0" w:type="auto"/>
            <w:hideMark/>
          </w:tcPr>
          <w:p w14:paraId="5AC3BD5F"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0.25</w:t>
            </w:r>
          </w:p>
        </w:tc>
        <w:tc>
          <w:tcPr>
            <w:tcW w:w="0" w:type="auto"/>
            <w:hideMark/>
          </w:tcPr>
          <w:p w14:paraId="2244DD53" w14:textId="77777777" w:rsidR="006077BD" w:rsidRPr="006077BD" w:rsidRDefault="006077BD" w:rsidP="006077BD">
            <w:pPr>
              <w:rPr>
                <w:rFonts w:ascii="Times New Roman" w:eastAsia="Times New Roman" w:hAnsi="Times New Roman" w:cs="Times New Roman"/>
                <w:kern w:val="0"/>
                <w:sz w:val="24"/>
                <w:szCs w:val="24"/>
                <w:lang w:eastAsia="en-CA"/>
                <w14:ligatures w14:val="none"/>
              </w:rPr>
            </w:pPr>
            <w:r w:rsidRPr="006077BD">
              <w:rPr>
                <w:rFonts w:ascii="Times New Roman" w:eastAsia="Times New Roman" w:hAnsi="Times New Roman" w:cs="Times New Roman"/>
                <w:kern w:val="0"/>
                <w:sz w:val="24"/>
                <w:szCs w:val="24"/>
                <w:lang w:eastAsia="en-CA"/>
                <w14:ligatures w14:val="none"/>
              </w:rPr>
              <w:t>&gt; 50</w:t>
            </w:r>
          </w:p>
        </w:tc>
      </w:tr>
    </w:tbl>
    <w:p w14:paraId="533FB0CD" w14:textId="37C4204D" w:rsidR="006077BD" w:rsidRPr="006077BD" w:rsidRDefault="006077BD" w:rsidP="006077BD">
      <w:pPr>
        <w:spacing w:after="0" w:line="240" w:lineRule="auto"/>
        <w:rPr>
          <w:rFonts w:ascii="Times New Roman" w:eastAsia="Times New Roman" w:hAnsi="Times New Roman" w:cs="Times New Roman"/>
          <w:kern w:val="0"/>
          <w:sz w:val="24"/>
          <w:szCs w:val="24"/>
          <w:lang w:eastAsia="en-CA"/>
          <w14:ligatures w14:val="none"/>
        </w:rPr>
      </w:pPr>
    </w:p>
    <w:p w14:paraId="5E8EB1BA" w14:textId="77777777" w:rsidR="00D779B8" w:rsidRDefault="00D779B8" w:rsidP="00164580">
      <w:pPr>
        <w:spacing w:line="23" w:lineRule="atLeast"/>
        <w:jc w:val="both"/>
        <w:rPr>
          <w:rFonts w:ascii="Times New Roman" w:eastAsia="Times New Roman" w:hAnsi="Times New Roman" w:cs="Times New Roman"/>
          <w:b/>
          <w:bCs/>
          <w:sz w:val="24"/>
          <w:szCs w:val="24"/>
          <w:lang w:val="en-US"/>
        </w:rPr>
      </w:pPr>
    </w:p>
    <w:p w14:paraId="6070C629" w14:textId="1155805E" w:rsidR="0073215E" w:rsidRPr="0073215E" w:rsidRDefault="0073215E" w:rsidP="0073215E">
      <w:pPr>
        <w:spacing w:line="23" w:lineRule="atLeast"/>
        <w:jc w:val="both"/>
        <w:rPr>
          <w:rFonts w:ascii="Times New Roman" w:eastAsia="Times New Roman" w:hAnsi="Times New Roman" w:cs="Times New Roman"/>
          <w:sz w:val="24"/>
          <w:szCs w:val="24"/>
          <w:lang w:val="en-US"/>
        </w:rPr>
      </w:pPr>
      <w:r w:rsidRPr="0073215E">
        <w:rPr>
          <w:rFonts w:ascii="Times New Roman" w:eastAsia="Times New Roman" w:hAnsi="Times New Roman" w:cs="Times New Roman"/>
          <w:sz w:val="24"/>
          <w:szCs w:val="24"/>
          <w:lang w:val="en-US"/>
        </w:rPr>
        <w:t>In May 2025, the Plenum of the Supreme Court of the Russian Federation introduced a bill to the State Duma to amend the Criminal Code concerning drug-related crimes. The key proposed changes include</w:t>
      </w:r>
      <w:r w:rsidR="00B801E2">
        <w:rPr>
          <w:rFonts w:ascii="Times New Roman" w:eastAsia="Times New Roman" w:hAnsi="Times New Roman" w:cs="Times New Roman"/>
          <w:sz w:val="24"/>
          <w:szCs w:val="24"/>
          <w:lang w:val="en-US"/>
        </w:rPr>
        <w:t xml:space="preserve"> </w:t>
      </w:r>
      <w:r w:rsidR="0014115F">
        <w:rPr>
          <w:rFonts w:ascii="Times New Roman" w:eastAsia="Times New Roman" w:hAnsi="Times New Roman" w:cs="Times New Roman"/>
          <w:sz w:val="24"/>
          <w:szCs w:val="24"/>
          <w:lang w:val="en-US"/>
        </w:rPr>
        <w:t xml:space="preserve">the reduction of </w:t>
      </w:r>
      <w:r w:rsidRPr="0073215E">
        <w:rPr>
          <w:rFonts w:ascii="Times New Roman" w:eastAsia="Times New Roman" w:hAnsi="Times New Roman" w:cs="Times New Roman"/>
          <w:sz w:val="24"/>
          <w:szCs w:val="24"/>
          <w:lang w:val="en-US"/>
        </w:rPr>
        <w:t>prison terms for possession of large and especially large amounts of drugs</w:t>
      </w:r>
      <w:r w:rsidR="0014115F">
        <w:rPr>
          <w:rFonts w:ascii="Times New Roman" w:eastAsia="Times New Roman" w:hAnsi="Times New Roman" w:cs="Times New Roman"/>
          <w:sz w:val="24"/>
          <w:szCs w:val="24"/>
          <w:lang w:val="en-US"/>
        </w:rPr>
        <w:t>; the d</w:t>
      </w:r>
      <w:r w:rsidRPr="0073215E">
        <w:rPr>
          <w:rFonts w:ascii="Times New Roman" w:eastAsia="Times New Roman" w:hAnsi="Times New Roman" w:cs="Times New Roman"/>
          <w:sz w:val="24"/>
          <w:szCs w:val="24"/>
          <w:lang w:val="en-US"/>
        </w:rPr>
        <w:t xml:space="preserve">eferred </w:t>
      </w:r>
      <w:r w:rsidR="0014115F">
        <w:rPr>
          <w:rFonts w:ascii="Times New Roman" w:eastAsia="Times New Roman" w:hAnsi="Times New Roman" w:cs="Times New Roman"/>
          <w:sz w:val="24"/>
          <w:szCs w:val="24"/>
          <w:lang w:val="en-US"/>
        </w:rPr>
        <w:t>s</w:t>
      </w:r>
      <w:r w:rsidRPr="0073215E">
        <w:rPr>
          <w:rFonts w:ascii="Times New Roman" w:eastAsia="Times New Roman" w:hAnsi="Times New Roman" w:cs="Times New Roman"/>
          <w:sz w:val="24"/>
          <w:szCs w:val="24"/>
          <w:lang w:val="en-US"/>
        </w:rPr>
        <w:t xml:space="preserve">entences for </w:t>
      </w:r>
      <w:r w:rsidR="0014115F">
        <w:rPr>
          <w:rFonts w:ascii="Times New Roman" w:eastAsia="Times New Roman" w:hAnsi="Times New Roman" w:cs="Times New Roman"/>
          <w:sz w:val="24"/>
          <w:szCs w:val="24"/>
          <w:lang w:val="en-US"/>
        </w:rPr>
        <w:t>t</w:t>
      </w:r>
      <w:r w:rsidRPr="0073215E">
        <w:rPr>
          <w:rFonts w:ascii="Times New Roman" w:eastAsia="Times New Roman" w:hAnsi="Times New Roman" w:cs="Times New Roman"/>
          <w:sz w:val="24"/>
          <w:szCs w:val="24"/>
          <w:lang w:val="en-US"/>
        </w:rPr>
        <w:t>reatment</w:t>
      </w:r>
      <w:r w:rsidR="0014115F">
        <w:rPr>
          <w:rFonts w:ascii="Times New Roman" w:eastAsia="Times New Roman" w:hAnsi="Times New Roman" w:cs="Times New Roman"/>
          <w:sz w:val="24"/>
          <w:szCs w:val="24"/>
          <w:lang w:val="en-US"/>
        </w:rPr>
        <w:t xml:space="preserve"> </w:t>
      </w:r>
      <w:r w:rsidRPr="0073215E">
        <w:rPr>
          <w:rFonts w:ascii="Times New Roman" w:eastAsia="Times New Roman" w:hAnsi="Times New Roman" w:cs="Times New Roman"/>
          <w:sz w:val="24"/>
          <w:szCs w:val="24"/>
          <w:lang w:val="en-US"/>
        </w:rPr>
        <w:t>to individuals convicted under Part 2 of Article 228 who are diagnosed with drug addiction, allowing them to undergo treatment and rehabilitation instead of imprisonment</w:t>
      </w:r>
      <w:r w:rsidR="0014115F">
        <w:rPr>
          <w:rFonts w:ascii="Times New Roman" w:eastAsia="Times New Roman" w:hAnsi="Times New Roman" w:cs="Times New Roman"/>
          <w:sz w:val="24"/>
          <w:szCs w:val="24"/>
          <w:lang w:val="en-US"/>
        </w:rPr>
        <w:t xml:space="preserve">; and </w:t>
      </w:r>
      <w:r w:rsidR="00DC7307">
        <w:rPr>
          <w:rFonts w:ascii="Times New Roman" w:eastAsia="Times New Roman" w:hAnsi="Times New Roman" w:cs="Times New Roman"/>
          <w:sz w:val="24"/>
          <w:szCs w:val="24"/>
          <w:lang w:val="en-US"/>
        </w:rPr>
        <w:t>f</w:t>
      </w:r>
      <w:r w:rsidRPr="0073215E">
        <w:rPr>
          <w:rFonts w:ascii="Times New Roman" w:eastAsia="Times New Roman" w:hAnsi="Times New Roman" w:cs="Times New Roman"/>
          <w:sz w:val="24"/>
          <w:szCs w:val="24"/>
          <w:lang w:val="en-US"/>
        </w:rPr>
        <w:t xml:space="preserve">airer </w:t>
      </w:r>
      <w:r w:rsidR="00DC7307">
        <w:rPr>
          <w:rFonts w:ascii="Times New Roman" w:eastAsia="Times New Roman" w:hAnsi="Times New Roman" w:cs="Times New Roman"/>
          <w:sz w:val="24"/>
          <w:szCs w:val="24"/>
          <w:lang w:val="en-US"/>
        </w:rPr>
        <w:t>p</w:t>
      </w:r>
      <w:r w:rsidRPr="0073215E">
        <w:rPr>
          <w:rFonts w:ascii="Times New Roman" w:eastAsia="Times New Roman" w:hAnsi="Times New Roman" w:cs="Times New Roman"/>
          <w:sz w:val="24"/>
          <w:szCs w:val="24"/>
          <w:lang w:val="en-US"/>
        </w:rPr>
        <w:t>re-</w:t>
      </w:r>
      <w:r w:rsidR="00DC7307">
        <w:rPr>
          <w:rFonts w:ascii="Times New Roman" w:eastAsia="Times New Roman" w:hAnsi="Times New Roman" w:cs="Times New Roman"/>
          <w:sz w:val="24"/>
          <w:szCs w:val="24"/>
          <w:lang w:val="en-US"/>
        </w:rPr>
        <w:t>t</w:t>
      </w:r>
      <w:r w:rsidRPr="0073215E">
        <w:rPr>
          <w:rFonts w:ascii="Times New Roman" w:eastAsia="Times New Roman" w:hAnsi="Times New Roman" w:cs="Times New Roman"/>
          <w:sz w:val="24"/>
          <w:szCs w:val="24"/>
          <w:lang w:val="en-US"/>
        </w:rPr>
        <w:t xml:space="preserve">rial </w:t>
      </w:r>
      <w:r w:rsidR="00DC7307">
        <w:rPr>
          <w:rFonts w:ascii="Times New Roman" w:eastAsia="Times New Roman" w:hAnsi="Times New Roman" w:cs="Times New Roman"/>
          <w:sz w:val="24"/>
          <w:szCs w:val="24"/>
          <w:lang w:val="en-US"/>
        </w:rPr>
        <w:t>d</w:t>
      </w:r>
      <w:r w:rsidRPr="0073215E">
        <w:rPr>
          <w:rFonts w:ascii="Times New Roman" w:eastAsia="Times New Roman" w:hAnsi="Times New Roman" w:cs="Times New Roman"/>
          <w:sz w:val="24"/>
          <w:szCs w:val="24"/>
          <w:lang w:val="en-US"/>
        </w:rPr>
        <w:t xml:space="preserve">etention </w:t>
      </w:r>
      <w:r w:rsidR="00DC7307">
        <w:rPr>
          <w:rFonts w:ascii="Times New Roman" w:eastAsia="Times New Roman" w:hAnsi="Times New Roman" w:cs="Times New Roman"/>
          <w:sz w:val="24"/>
          <w:szCs w:val="24"/>
          <w:lang w:val="en-US"/>
        </w:rPr>
        <w:t>r</w:t>
      </w:r>
      <w:r w:rsidRPr="0073215E">
        <w:rPr>
          <w:rFonts w:ascii="Times New Roman" w:eastAsia="Times New Roman" w:hAnsi="Times New Roman" w:cs="Times New Roman"/>
          <w:sz w:val="24"/>
          <w:szCs w:val="24"/>
          <w:lang w:val="en-US"/>
        </w:rPr>
        <w:t>ules</w:t>
      </w:r>
      <w:r w:rsidR="00DC7307">
        <w:rPr>
          <w:rFonts w:ascii="Times New Roman" w:eastAsia="Times New Roman" w:hAnsi="Times New Roman" w:cs="Times New Roman"/>
          <w:sz w:val="24"/>
          <w:szCs w:val="24"/>
          <w:lang w:val="en-US"/>
        </w:rPr>
        <w:t xml:space="preserve">. </w:t>
      </w:r>
      <w:r w:rsidRPr="0073215E">
        <w:rPr>
          <w:rFonts w:ascii="Times New Roman" w:eastAsia="Times New Roman" w:hAnsi="Times New Roman" w:cs="Times New Roman"/>
          <w:sz w:val="24"/>
          <w:szCs w:val="24"/>
          <w:lang w:val="en-US"/>
        </w:rPr>
        <w:t>The Supreme Court justified these changes by noting that the current harsh sentences are "not in demand in judicial practice and clearly excessive". As evidence, it pointed out that in 2024, of 85 individuals convicted under the most severe possession charge (Part 3), the vast majority received sentences below the current mandatory minimum of 10 years, indicating that judges already find the prescribed punishment too severe.</w:t>
      </w:r>
      <w:r w:rsidR="00A87D64">
        <w:rPr>
          <w:rStyle w:val="FootnoteReference"/>
          <w:rFonts w:ascii="Times New Roman" w:eastAsia="Times New Roman" w:hAnsi="Times New Roman" w:cs="Times New Roman"/>
          <w:sz w:val="24"/>
          <w:szCs w:val="24"/>
          <w:lang w:val="en-US"/>
        </w:rPr>
        <w:footnoteReference w:id="4"/>
      </w:r>
    </w:p>
    <w:p w14:paraId="5B71A9FF" w14:textId="77777777" w:rsidR="00EA02A0" w:rsidRDefault="00E202EF" w:rsidP="0073215E">
      <w:pPr>
        <w:spacing w:line="23" w:lineRule="atLeast"/>
        <w:jc w:val="both"/>
        <w:rPr>
          <w:rFonts w:ascii="Times New Roman" w:eastAsia="Times New Roman" w:hAnsi="Times New Roman" w:cs="Times New Roman"/>
          <w:sz w:val="24"/>
          <w:szCs w:val="24"/>
          <w:lang w:val="en-US"/>
        </w:rPr>
      </w:pPr>
      <w:r w:rsidRPr="00E202EF">
        <w:rPr>
          <w:rFonts w:ascii="Times New Roman" w:eastAsia="Times New Roman" w:hAnsi="Times New Roman" w:cs="Times New Roman"/>
          <w:sz w:val="24"/>
          <w:szCs w:val="24"/>
          <w:lang w:val="en-US"/>
        </w:rPr>
        <w:t>While a positive step, this must be seen as a largely cosmetic attempt to reduce sentencing for crimes that have already occurred. This initiative fails to address the substantive issue: it does nothing to reorient the focus of law enforcement away from targeting and prosecuting people who use drugs and towards combating actual commercial drug trafficking. Thus, even if passed, the reform would not change the system's core problem.</w:t>
      </w:r>
      <w:r w:rsidR="00516261">
        <w:rPr>
          <w:rFonts w:ascii="Times New Roman" w:eastAsia="Times New Roman" w:hAnsi="Times New Roman" w:cs="Times New Roman"/>
          <w:sz w:val="24"/>
          <w:szCs w:val="24"/>
          <w:lang w:val="en-US"/>
        </w:rPr>
        <w:t xml:space="preserve"> </w:t>
      </w:r>
    </w:p>
    <w:p w14:paraId="62E87ABA" w14:textId="3BD4529A" w:rsidR="0073215E" w:rsidRDefault="00516261" w:rsidP="0073215E">
      <w:pPr>
        <w:spacing w:line="23" w:lineRule="atLeast"/>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Please see documented cases concerning the </w:t>
      </w:r>
      <w:r w:rsidR="00EA02A0">
        <w:rPr>
          <w:rFonts w:ascii="Times New Roman" w:eastAsia="Times New Roman" w:hAnsi="Times New Roman" w:cs="Times New Roman"/>
          <w:sz w:val="24"/>
          <w:szCs w:val="24"/>
          <w:lang w:val="en-US"/>
        </w:rPr>
        <w:t>negative impact of punitive drug policy in our report for the List of Issues. These cases are still very relevant.</w:t>
      </w:r>
    </w:p>
    <w:p w14:paraId="602822CE" w14:textId="77777777" w:rsidR="00EA02A0" w:rsidRDefault="00EA02A0" w:rsidP="0073215E">
      <w:pPr>
        <w:spacing w:line="23" w:lineRule="atLeast"/>
        <w:jc w:val="both"/>
        <w:rPr>
          <w:rFonts w:ascii="Times New Roman" w:eastAsia="Times New Roman" w:hAnsi="Times New Roman" w:cs="Times New Roman"/>
          <w:sz w:val="24"/>
          <w:szCs w:val="24"/>
          <w:lang w:val="en-US"/>
        </w:rPr>
      </w:pPr>
    </w:p>
    <w:p w14:paraId="36C688F1" w14:textId="6692206E" w:rsidR="002F13BE" w:rsidRPr="002F13BE" w:rsidRDefault="002F13BE" w:rsidP="002F13BE">
      <w:pPr>
        <w:spacing w:line="23" w:lineRule="atLeast"/>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SECTION 3: </w:t>
      </w:r>
      <w:r w:rsidRPr="002F13BE">
        <w:rPr>
          <w:rFonts w:ascii="Times New Roman" w:eastAsia="Times New Roman" w:hAnsi="Times New Roman" w:cs="Times New Roman"/>
          <w:b/>
          <w:bCs/>
          <w:sz w:val="24"/>
          <w:szCs w:val="24"/>
        </w:rPr>
        <w:t>Denial of Access to Opioid Substitution Therapy (OST)</w:t>
      </w:r>
    </w:p>
    <w:p w14:paraId="4C067A71" w14:textId="283BF9AA" w:rsidR="002F13BE" w:rsidRPr="002F13BE" w:rsidRDefault="002F13BE" w:rsidP="002F13BE">
      <w:pPr>
        <w:spacing w:line="23" w:lineRule="atLeast"/>
        <w:jc w:val="both"/>
        <w:rPr>
          <w:rFonts w:ascii="Times New Roman" w:eastAsia="Times New Roman" w:hAnsi="Times New Roman" w:cs="Times New Roman"/>
          <w:sz w:val="24"/>
          <w:szCs w:val="24"/>
        </w:rPr>
      </w:pPr>
      <w:r w:rsidRPr="002F13BE">
        <w:rPr>
          <w:rFonts w:ascii="Times New Roman" w:eastAsia="Times New Roman" w:hAnsi="Times New Roman" w:cs="Times New Roman"/>
          <w:sz w:val="24"/>
          <w:szCs w:val="24"/>
        </w:rPr>
        <w:t>Despite repeated recommendations from this Committee, the World Health Organization, and other UN bodies</w:t>
      </w:r>
      <w:r w:rsidR="009630E3">
        <w:rPr>
          <w:rFonts w:ascii="Times New Roman" w:eastAsia="Times New Roman" w:hAnsi="Times New Roman" w:cs="Times New Roman"/>
          <w:sz w:val="24"/>
          <w:szCs w:val="24"/>
        </w:rPr>
        <w:t xml:space="preserve"> (please see our report for the List of Issues of August 2023)</w:t>
      </w:r>
      <w:r w:rsidRPr="002F13BE">
        <w:rPr>
          <w:rFonts w:ascii="Times New Roman" w:eastAsia="Times New Roman" w:hAnsi="Times New Roman" w:cs="Times New Roman"/>
          <w:sz w:val="24"/>
          <w:szCs w:val="24"/>
        </w:rPr>
        <w:t>, the Russian Federation has done nothing to lift the absolute legislative ban on Opioid Substitution Therapy (OST). This medical intervention is the global standard of care for opioid dependence, yet it remains completely prohibited in Russia.</w:t>
      </w:r>
    </w:p>
    <w:p w14:paraId="5EE1399F" w14:textId="26696B0E" w:rsidR="002F13BE" w:rsidRPr="002F13BE" w:rsidRDefault="002F13BE" w:rsidP="002F13BE">
      <w:pPr>
        <w:spacing w:line="23" w:lineRule="atLeast"/>
        <w:jc w:val="both"/>
        <w:rPr>
          <w:rFonts w:ascii="Times New Roman" w:eastAsia="Times New Roman" w:hAnsi="Times New Roman" w:cs="Times New Roman"/>
          <w:sz w:val="24"/>
          <w:szCs w:val="24"/>
        </w:rPr>
      </w:pPr>
      <w:r w:rsidRPr="002F13BE">
        <w:rPr>
          <w:rFonts w:ascii="Times New Roman" w:eastAsia="Times New Roman" w:hAnsi="Times New Roman" w:cs="Times New Roman"/>
          <w:sz w:val="24"/>
          <w:szCs w:val="24"/>
        </w:rPr>
        <w:t xml:space="preserve">The State Party’s complete silence on this matter in its reply to the Committee’s List of Issues is a de facto admission of this continued prohibition. Instead of providing this life-saving treatment, the state offers only ineffective, abstinence-based programs. </w:t>
      </w:r>
      <w:r w:rsidR="004170A8">
        <w:rPr>
          <w:rFonts w:ascii="Times New Roman" w:eastAsia="Times New Roman" w:hAnsi="Times New Roman" w:cs="Times New Roman"/>
          <w:sz w:val="24"/>
          <w:szCs w:val="24"/>
        </w:rPr>
        <w:t xml:space="preserve"> </w:t>
      </w:r>
      <w:r w:rsidRPr="002F13BE">
        <w:rPr>
          <w:rFonts w:ascii="Times New Roman" w:eastAsia="Times New Roman" w:hAnsi="Times New Roman" w:cs="Times New Roman"/>
          <w:sz w:val="24"/>
          <w:szCs w:val="24"/>
        </w:rPr>
        <w:t>The absolute prohibition of OST is a clear violation of the right to the highest attainable standard of health under Article 12 of the Covenant, as the state actively denies its citizens access to an essential, evidence-based medical treatment.</w:t>
      </w:r>
    </w:p>
    <w:p w14:paraId="5FE399E3" w14:textId="77777777" w:rsidR="002F13BE" w:rsidRPr="002F13BE" w:rsidRDefault="002F13BE" w:rsidP="0073215E">
      <w:pPr>
        <w:spacing w:line="23" w:lineRule="atLeast"/>
        <w:jc w:val="both"/>
        <w:rPr>
          <w:rFonts w:ascii="Times New Roman" w:eastAsia="Times New Roman" w:hAnsi="Times New Roman" w:cs="Times New Roman"/>
          <w:sz w:val="24"/>
          <w:szCs w:val="24"/>
        </w:rPr>
      </w:pPr>
    </w:p>
    <w:p w14:paraId="0554C119" w14:textId="77777777" w:rsidR="00BA12FB" w:rsidRPr="00BA12FB" w:rsidRDefault="007C6268" w:rsidP="00BA12FB">
      <w:pPr>
        <w:spacing w:line="23" w:lineRule="atLeast"/>
        <w:jc w:val="both"/>
        <w:rPr>
          <w:rFonts w:ascii="Times New Roman" w:eastAsia="Times New Roman" w:hAnsi="Times New Roman" w:cs="Times New Roman"/>
          <w:b/>
          <w:bCs/>
        </w:rPr>
      </w:pPr>
      <w:r w:rsidRPr="00BA12FB">
        <w:rPr>
          <w:rFonts w:ascii="Times New Roman" w:eastAsia="Times New Roman" w:hAnsi="Times New Roman" w:cs="Times New Roman"/>
          <w:b/>
          <w:bCs/>
          <w:sz w:val="24"/>
          <w:szCs w:val="24"/>
          <w:lang w:val="en-US"/>
        </w:rPr>
        <w:t xml:space="preserve">SECTION 4: </w:t>
      </w:r>
      <w:r w:rsidR="00BA12FB" w:rsidRPr="00BA12FB">
        <w:rPr>
          <w:rFonts w:ascii="Times New Roman" w:eastAsia="Times New Roman" w:hAnsi="Times New Roman" w:cs="Times New Roman"/>
          <w:b/>
          <w:bCs/>
        </w:rPr>
        <w:t>Suppressing Health Information Through "Anti-Drug Propaganda" Laws</w:t>
      </w:r>
    </w:p>
    <w:p w14:paraId="1F809C13" w14:textId="77777777" w:rsidR="00BA12FB" w:rsidRPr="00BA12FB" w:rsidRDefault="00BA12FB" w:rsidP="00BA12FB">
      <w:pPr>
        <w:spacing w:line="23" w:lineRule="atLeast"/>
        <w:jc w:val="both"/>
        <w:rPr>
          <w:rFonts w:ascii="Times New Roman" w:eastAsia="Times New Roman" w:hAnsi="Times New Roman" w:cs="Times New Roman"/>
          <w:sz w:val="24"/>
          <w:szCs w:val="24"/>
        </w:rPr>
      </w:pPr>
      <w:r w:rsidRPr="00BA12FB">
        <w:rPr>
          <w:rFonts w:ascii="Times New Roman" w:eastAsia="Times New Roman" w:hAnsi="Times New Roman" w:cs="Times New Roman"/>
          <w:sz w:val="24"/>
          <w:szCs w:val="24"/>
        </w:rPr>
        <w:lastRenderedPageBreak/>
        <w:t>The Russian Federation actively restricts access to essential health information for people who use drugs by aggressively applying vaguely defined "anti-drug propaganda" laws. This state-led censorship creates an information vacuum, prevents people from accessing non-judgmental and evidence-based health services, and directly violates the right to health.</w:t>
      </w:r>
    </w:p>
    <w:p w14:paraId="23F03D07" w14:textId="6F831AFE" w:rsidR="00BA12FB" w:rsidRPr="00BA12FB" w:rsidRDefault="00BA12FB" w:rsidP="00BA12FB">
      <w:pPr>
        <w:spacing w:line="23" w:lineRule="atLeast"/>
        <w:jc w:val="both"/>
        <w:rPr>
          <w:rFonts w:ascii="Times New Roman" w:eastAsia="Times New Roman" w:hAnsi="Times New Roman" w:cs="Times New Roman"/>
          <w:sz w:val="24"/>
          <w:szCs w:val="24"/>
        </w:rPr>
      </w:pPr>
      <w:r w:rsidRPr="00BA12FB">
        <w:rPr>
          <w:rFonts w:ascii="Times New Roman" w:eastAsia="Times New Roman" w:hAnsi="Times New Roman" w:cs="Times New Roman"/>
          <w:sz w:val="24"/>
          <w:szCs w:val="24"/>
        </w:rPr>
        <w:t>As detailed in our 2023 report, Russian law allows authorities to administratively block any online information containing drug-related terms or which they deem to be creating a "positive image" of people who use drugs. This has been used for years to suppress human rights and health information, including scientific discussions on WHO-recommended treatments like OST and practical information on reducing drug-related harm provided by NGOs like the Andrey Rylkov Foundation.</w:t>
      </w:r>
    </w:p>
    <w:p w14:paraId="5261EAE4" w14:textId="51E61CC3" w:rsidR="00BA12FB" w:rsidRPr="00BA12FB" w:rsidRDefault="00BA12FB" w:rsidP="00BA12FB">
      <w:pPr>
        <w:spacing w:line="23" w:lineRule="atLeast"/>
        <w:jc w:val="both"/>
        <w:rPr>
          <w:rFonts w:ascii="Times New Roman" w:eastAsia="Times New Roman" w:hAnsi="Times New Roman" w:cs="Times New Roman"/>
          <w:sz w:val="24"/>
          <w:szCs w:val="24"/>
        </w:rPr>
      </w:pPr>
      <w:r w:rsidRPr="00BA12FB">
        <w:rPr>
          <w:rFonts w:ascii="Times New Roman" w:eastAsia="Times New Roman" w:hAnsi="Times New Roman" w:cs="Times New Roman"/>
          <w:sz w:val="24"/>
          <w:szCs w:val="24"/>
        </w:rPr>
        <w:t>This practice continue</w:t>
      </w:r>
      <w:r w:rsidR="000F4DD0">
        <w:rPr>
          <w:rFonts w:ascii="Times New Roman" w:eastAsia="Times New Roman" w:hAnsi="Times New Roman" w:cs="Times New Roman"/>
          <w:sz w:val="24"/>
          <w:szCs w:val="24"/>
        </w:rPr>
        <w:t>s</w:t>
      </w:r>
      <w:r w:rsidRPr="00BA12FB">
        <w:rPr>
          <w:rFonts w:ascii="Times New Roman" w:eastAsia="Times New Roman" w:hAnsi="Times New Roman" w:cs="Times New Roman"/>
          <w:sz w:val="24"/>
          <w:szCs w:val="24"/>
        </w:rPr>
        <w:t xml:space="preserve">. According to official data from the unified registry of prohibited information, </w:t>
      </w:r>
      <w:r w:rsidR="00DF1E38">
        <w:rPr>
          <w:rFonts w:ascii="Times New Roman" w:eastAsia="Times New Roman" w:hAnsi="Times New Roman" w:cs="Times New Roman"/>
          <w:sz w:val="24"/>
          <w:szCs w:val="24"/>
        </w:rPr>
        <w:t xml:space="preserve">from January to </w:t>
      </w:r>
      <w:r w:rsidRPr="00BA12FB">
        <w:rPr>
          <w:rFonts w:ascii="Times New Roman" w:eastAsia="Times New Roman" w:hAnsi="Times New Roman" w:cs="Times New Roman"/>
          <w:sz w:val="24"/>
          <w:szCs w:val="24"/>
        </w:rPr>
        <w:t>June 2024, Russian authorities have blocked or deleted over 117,000 websites for "drug propaganda."</w:t>
      </w:r>
      <w:r w:rsidR="002E0D7A">
        <w:rPr>
          <w:rStyle w:val="FootnoteReference"/>
          <w:rFonts w:ascii="Times New Roman" w:eastAsia="Times New Roman" w:hAnsi="Times New Roman" w:cs="Times New Roman"/>
          <w:sz w:val="24"/>
          <w:szCs w:val="24"/>
        </w:rPr>
        <w:footnoteReference w:id="5"/>
      </w:r>
      <w:r w:rsidRPr="00BA12FB">
        <w:rPr>
          <w:rFonts w:ascii="Times New Roman" w:eastAsia="Times New Roman" w:hAnsi="Times New Roman" w:cs="Times New Roman"/>
          <w:sz w:val="24"/>
          <w:szCs w:val="24"/>
        </w:rPr>
        <w:t xml:space="preserve"> This sweeping censorship does not distinguish between genuine trafficking sites and essential health resources. Among these tens of thousands of blocked pages is vital information on harm reduction, overdose prevention, and where to access health services catered to people who use drugs without prejudice and stigma.</w:t>
      </w:r>
    </w:p>
    <w:p w14:paraId="117D1342" w14:textId="77777777" w:rsidR="00BA12FB" w:rsidRDefault="00BA12FB" w:rsidP="00BA12FB">
      <w:pPr>
        <w:spacing w:line="23" w:lineRule="atLeast"/>
        <w:jc w:val="both"/>
        <w:rPr>
          <w:rFonts w:ascii="Times New Roman" w:eastAsia="Times New Roman" w:hAnsi="Times New Roman" w:cs="Times New Roman"/>
          <w:sz w:val="24"/>
          <w:szCs w:val="24"/>
        </w:rPr>
      </w:pPr>
      <w:r w:rsidRPr="00BA12FB">
        <w:rPr>
          <w:rFonts w:ascii="Times New Roman" w:eastAsia="Times New Roman" w:hAnsi="Times New Roman" w:cs="Times New Roman"/>
          <w:sz w:val="24"/>
          <w:szCs w:val="24"/>
        </w:rPr>
        <w:t>This constitutes a clear violation of Article 12 of the Covenant. The Committee, in its General Comment No. 14, affirms that the right to health includes the right to seek, receive, and impart information and ideas concerning health issues. By deliberately blocking access to proven, life-saving health information, the Russian Federation is actively preventing individuals from taking steps to protect their own health and is directly contributing to the harms associated with drug use, including the spread of HIV, Hepatitis C, and fatal overdoses.</w:t>
      </w:r>
    </w:p>
    <w:p w14:paraId="56A2BEB9" w14:textId="77777777" w:rsidR="00022263" w:rsidRPr="00BA12FB" w:rsidRDefault="00022263" w:rsidP="00BA12FB">
      <w:pPr>
        <w:spacing w:line="23" w:lineRule="atLeast"/>
        <w:jc w:val="both"/>
        <w:rPr>
          <w:rFonts w:ascii="Times New Roman" w:eastAsia="Times New Roman" w:hAnsi="Times New Roman" w:cs="Times New Roman"/>
          <w:sz w:val="24"/>
          <w:szCs w:val="24"/>
        </w:rPr>
      </w:pPr>
    </w:p>
    <w:p w14:paraId="55374ED3" w14:textId="77777777" w:rsidR="00B16358" w:rsidRPr="00B16358" w:rsidRDefault="00B16358" w:rsidP="00B16358">
      <w:pPr>
        <w:spacing w:line="23" w:lineRule="atLeast"/>
        <w:jc w:val="both"/>
        <w:rPr>
          <w:rFonts w:ascii="Times New Roman" w:eastAsia="Times New Roman" w:hAnsi="Times New Roman" w:cs="Times New Roman"/>
          <w:b/>
          <w:bCs/>
        </w:rPr>
      </w:pPr>
      <w:r w:rsidRPr="009612C6">
        <w:rPr>
          <w:rFonts w:ascii="Times New Roman" w:eastAsia="Times New Roman" w:hAnsi="Times New Roman" w:cs="Times New Roman"/>
          <w:b/>
          <w:bCs/>
          <w:sz w:val="24"/>
          <w:szCs w:val="24"/>
        </w:rPr>
        <w:t>SECTION 5:</w:t>
      </w:r>
      <w:r>
        <w:rPr>
          <w:rFonts w:ascii="Times New Roman" w:eastAsia="Times New Roman" w:hAnsi="Times New Roman" w:cs="Times New Roman"/>
          <w:sz w:val="24"/>
          <w:szCs w:val="24"/>
        </w:rPr>
        <w:t xml:space="preserve"> </w:t>
      </w:r>
      <w:r w:rsidRPr="00B16358">
        <w:rPr>
          <w:rFonts w:ascii="Times New Roman" w:eastAsia="Times New Roman" w:hAnsi="Times New Roman" w:cs="Times New Roman"/>
          <w:b/>
          <w:bCs/>
        </w:rPr>
        <w:t>The Misapplication of HIV Criminalization in Russia</w:t>
      </w:r>
    </w:p>
    <w:p w14:paraId="45D7D888"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While the Russian Federation's official reply to the List of Issues failed to provide any substantive information on its efforts to counteract the HIV epidemic, its approach to public health often relies on punitive tools of criminal law rather than on evidence-based practices. A primary example is the application of </w:t>
      </w:r>
      <w:r w:rsidRPr="00B16358">
        <w:rPr>
          <w:rFonts w:ascii="Times New Roman" w:eastAsia="Times New Roman" w:hAnsi="Times New Roman" w:cs="Times New Roman"/>
          <w:i/>
          <w:iCs/>
          <w:sz w:val="24"/>
          <w:szCs w:val="24"/>
        </w:rPr>
        <w:t>Article 122 of the Criminal Code.</w:t>
      </w:r>
    </w:p>
    <w:p w14:paraId="049AB81F"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This article criminalizes both knowingly placing another person at risk of HIV infection (Part 1) and actual transmission of the virus (Part 2), with more severe penalties for cases involving minors or multiple people (Part 3). A note to the article stipulates that a person is exempt from liability if they warned their partner of their HIV status and the partner voluntarily consented to the risk of infection.</w:t>
      </w:r>
    </w:p>
    <w:p w14:paraId="3E962127"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The community of people living with HIV in Russia has documented several dozen cases of human rights violations related to the application of this article. However, due to a justifiable fear of repercussions and revenge from the state, particularly in the context of the repressive law "On Control of Persons Under the Foreign Influence," we are unable to share identifying information </w:t>
      </w:r>
      <w:r w:rsidRPr="00B16358">
        <w:rPr>
          <w:rFonts w:ascii="Times New Roman" w:eastAsia="Times New Roman" w:hAnsi="Times New Roman" w:cs="Times New Roman"/>
          <w:sz w:val="24"/>
          <w:szCs w:val="24"/>
        </w:rPr>
        <w:lastRenderedPageBreak/>
        <w:t>about these cases. Instead, we provide an anonymized analysis of the patterns of abuse and rights violations that emerge from these incidents.</w:t>
      </w:r>
    </w:p>
    <w:p w14:paraId="2082AF3C"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The provided case studies demonstrate that Article 122, far from serving its intended public health purpose, functions primarily as a tool for blackmail, coercion, and psychological terror against people living with HIV (PLHIV). Its application in practice is counterproductive to public health, creates barriers to essential services, and violates fundamental principles of Russian procedural and constitutional law, as well as the state's obligations under international human rights law.</w:t>
      </w:r>
    </w:p>
    <w:p w14:paraId="71FF273F" w14:textId="7A863289"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The law's stated purpose is to protect </w:t>
      </w:r>
      <w:r w:rsidR="002500C4">
        <w:rPr>
          <w:rFonts w:ascii="Times New Roman" w:eastAsia="Times New Roman" w:hAnsi="Times New Roman" w:cs="Times New Roman"/>
          <w:sz w:val="24"/>
          <w:szCs w:val="24"/>
        </w:rPr>
        <w:t>public health</w:t>
      </w:r>
      <w:r w:rsidRPr="00B16358">
        <w:rPr>
          <w:rFonts w:ascii="Times New Roman" w:eastAsia="Times New Roman" w:hAnsi="Times New Roman" w:cs="Times New Roman"/>
          <w:sz w:val="24"/>
          <w:szCs w:val="24"/>
        </w:rPr>
        <w:t>, but the cases reveal it is systematically weaponized in contexts that have nothing to do with public health. The predominant pattern is the use of Article 122 by partners or ex-partners as leverage during relationship breakdowns, divorces, and domestic violence disputes.</w:t>
      </w:r>
    </w:p>
    <w:p w14:paraId="64918370" w14:textId="544BE973" w:rsidR="00B16358" w:rsidRPr="00B16358" w:rsidRDefault="00B16358" w:rsidP="00B16358">
      <w:pPr>
        <w:numPr>
          <w:ilvl w:val="0"/>
          <w:numId w:val="9"/>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In multiple cases, the threat of filing a complaint under Article 122 was used to try and force a partner to withdraw a divorce filing, drop a property division lawsuit, relinquish rights to property, or even transfer ownership of a house. The law provides abusers with a powerful weapon to control and silence their victims.</w:t>
      </w:r>
    </w:p>
    <w:p w14:paraId="3D6C3ABA" w14:textId="5B6CFA45" w:rsidR="00B16358" w:rsidRPr="00B16358" w:rsidRDefault="00B16358" w:rsidP="00B16358">
      <w:pPr>
        <w:numPr>
          <w:ilvl w:val="0"/>
          <w:numId w:val="9"/>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The constant threat of prosecution and public disclosure instills a state of "constant stress and fear" in PLHIV, as noted in nearly every case study. This fear is a significant barrier to seeking essential health and support services. </w:t>
      </w:r>
      <w:r w:rsidR="008E675A">
        <w:rPr>
          <w:rFonts w:ascii="Times New Roman" w:eastAsia="Times New Roman" w:hAnsi="Times New Roman" w:cs="Times New Roman"/>
          <w:sz w:val="24"/>
          <w:szCs w:val="24"/>
        </w:rPr>
        <w:t>The</w:t>
      </w:r>
      <w:r w:rsidRPr="00B16358">
        <w:rPr>
          <w:rFonts w:ascii="Times New Roman" w:eastAsia="Times New Roman" w:hAnsi="Times New Roman" w:cs="Times New Roman"/>
          <w:sz w:val="24"/>
          <w:szCs w:val="24"/>
        </w:rPr>
        <w:t xml:space="preserve"> climate of fear directly undermines public health efforts that rely on trust and openness.</w:t>
      </w:r>
    </w:p>
    <w:p w14:paraId="0945D68F"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The note to Article 122 is intended to protect individuals who disclose their status to their partners. However, in practice, it fails as a safeguard and instead undermines the presumption of innocence guaranteed by Section 49 of the Criminal Procedural Code of Russia.</w:t>
      </w:r>
    </w:p>
    <w:p w14:paraId="5744ECB0"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Section 49 stipulates that a defendant is presumed innocent until proven guilty and that the benefit of the doubt rests with the accused. However, the application of Article 122 effectively reverses this. The entire legal threat hinges not on actual intent or transmission, but on whether the PLHIV can prove they disclosed their status.</w:t>
      </w:r>
    </w:p>
    <w:p w14:paraId="0A38F362" w14:textId="5F120FA8" w:rsidR="00B16358" w:rsidRPr="00B16358" w:rsidRDefault="00B16358" w:rsidP="00B16358">
      <w:pPr>
        <w:numPr>
          <w:ilvl w:val="0"/>
          <w:numId w:val="10"/>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In </w:t>
      </w:r>
      <w:r w:rsidR="009B6E6C">
        <w:rPr>
          <w:rFonts w:ascii="Times New Roman" w:eastAsia="Times New Roman" w:hAnsi="Times New Roman" w:cs="Times New Roman"/>
          <w:sz w:val="24"/>
          <w:szCs w:val="24"/>
        </w:rPr>
        <w:t>several</w:t>
      </w:r>
      <w:r w:rsidRPr="00B16358">
        <w:rPr>
          <w:rFonts w:ascii="Times New Roman" w:eastAsia="Times New Roman" w:hAnsi="Times New Roman" w:cs="Times New Roman"/>
          <w:sz w:val="24"/>
          <w:szCs w:val="24"/>
        </w:rPr>
        <w:t xml:space="preserve"> cases, the partners were demonstrably aware of the clients' HIV status. Yet, </w:t>
      </w:r>
      <w:r w:rsidR="00F031F6">
        <w:rPr>
          <w:rFonts w:ascii="Times New Roman" w:eastAsia="Times New Roman" w:hAnsi="Times New Roman" w:cs="Times New Roman"/>
          <w:sz w:val="24"/>
          <w:szCs w:val="24"/>
        </w:rPr>
        <w:t>PL</w:t>
      </w:r>
      <w:r w:rsidR="001C5FB2">
        <w:rPr>
          <w:rFonts w:ascii="Times New Roman" w:eastAsia="Times New Roman" w:hAnsi="Times New Roman" w:cs="Times New Roman"/>
          <w:sz w:val="24"/>
          <w:szCs w:val="24"/>
        </w:rPr>
        <w:t>HIV</w:t>
      </w:r>
      <w:r w:rsidRPr="00B16358">
        <w:rPr>
          <w:rFonts w:ascii="Times New Roman" w:eastAsia="Times New Roman" w:hAnsi="Times New Roman" w:cs="Times New Roman"/>
          <w:sz w:val="24"/>
          <w:szCs w:val="24"/>
        </w:rPr>
        <w:t xml:space="preserve"> were still forced onto the defensive, needing to gather evidence like text messages and medical records to prepare for a potential legal battle. The burden shifted to them to prove their innocence (that they had disclosed) rather than on the state to prove their guilt. This is a clear inversion of the principle of presumed innocence.</w:t>
      </w:r>
    </w:p>
    <w:p w14:paraId="45DDA91A" w14:textId="54748658" w:rsidR="00B16358" w:rsidRPr="00B16358" w:rsidRDefault="00B16358" w:rsidP="00B16358">
      <w:pPr>
        <w:numPr>
          <w:ilvl w:val="0"/>
          <w:numId w:val="10"/>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The threat of prosecution under Article 122 is so potent that it often achieves the blackmailer's aims without ever reaching a courtroom. This effectively denies the PLHIV a fair, adversarial procedure where evidence can be contested. The law's power lies in its potential for abuse, circumventing the very legal processes designed to ensure justice. This practice conflicts with constitutional guarantees ensuring the right to legal protection and fair treatment.</w:t>
      </w:r>
    </w:p>
    <w:p w14:paraId="53FD1B5B" w14:textId="77777777" w:rsidR="00B16358" w:rsidRPr="00B16358" w:rsidRDefault="00B16358" w:rsidP="00B16358">
      <w:p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The implementation of Article 122 is in direct contravention of the Russian Federation's obligation to respect, protect, and fulfill the right to the highest attainable standard of health under Article 12 of the ICESCR.</w:t>
      </w:r>
    </w:p>
    <w:p w14:paraId="300F453B" w14:textId="52EF761F" w:rsidR="00B16358" w:rsidRPr="00B16358" w:rsidRDefault="00B16358" w:rsidP="00B16358">
      <w:pPr>
        <w:numPr>
          <w:ilvl w:val="0"/>
          <w:numId w:val="11"/>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lastRenderedPageBreak/>
        <w:t>The right to health includes access to services without discrimination and the right to seek and receive health information. Article 122 creates a powerful disincentive for disclosure, a key public health strategy. The fear that an intimate partner could weaponize this information discourages openness and trust, which are essential for preventing transmission and supporting adherence to treatment.</w:t>
      </w:r>
    </w:p>
    <w:p w14:paraId="54DFB3BC" w14:textId="2931321D" w:rsidR="00B16358" w:rsidRPr="00B16358" w:rsidRDefault="009F7DCD" w:rsidP="00B16358">
      <w:pPr>
        <w:numPr>
          <w:ilvl w:val="0"/>
          <w:numId w:val="11"/>
        </w:numPr>
        <w:spacing w:line="23" w:lineRule="atLeast"/>
        <w:jc w:val="both"/>
        <w:rPr>
          <w:rFonts w:ascii="Times New Roman" w:eastAsia="Times New Roman" w:hAnsi="Times New Roman" w:cs="Times New Roman"/>
          <w:sz w:val="24"/>
          <w:szCs w:val="24"/>
        </w:rPr>
      </w:pPr>
      <w:r w:rsidRPr="009612C6">
        <w:rPr>
          <w:rFonts w:ascii="Times New Roman" w:eastAsia="Times New Roman" w:hAnsi="Times New Roman" w:cs="Times New Roman"/>
          <w:sz w:val="24"/>
          <w:szCs w:val="24"/>
        </w:rPr>
        <w:t xml:space="preserve">Article 122 is </w:t>
      </w:r>
      <w:r w:rsidR="00B16358" w:rsidRPr="00B16358">
        <w:rPr>
          <w:rFonts w:ascii="Times New Roman" w:eastAsia="Times New Roman" w:hAnsi="Times New Roman" w:cs="Times New Roman"/>
          <w:sz w:val="24"/>
          <w:szCs w:val="24"/>
        </w:rPr>
        <w:t xml:space="preserve">outdated </w:t>
      </w:r>
      <w:r w:rsidR="007C4AA0">
        <w:rPr>
          <w:rFonts w:ascii="Times New Roman" w:eastAsia="Times New Roman" w:hAnsi="Times New Roman" w:cs="Times New Roman"/>
          <w:sz w:val="24"/>
          <w:szCs w:val="24"/>
        </w:rPr>
        <w:t>because it subjects under the risk of criminal prosecution even people with</w:t>
      </w:r>
      <w:r w:rsidR="00B16358" w:rsidRPr="00B16358">
        <w:rPr>
          <w:rFonts w:ascii="Times New Roman" w:eastAsia="Times New Roman" w:hAnsi="Times New Roman" w:cs="Times New Roman"/>
          <w:sz w:val="24"/>
          <w:szCs w:val="24"/>
        </w:rPr>
        <w:t xml:space="preserve"> undetectable viral load</w:t>
      </w:r>
      <w:r w:rsidR="00C0384F">
        <w:rPr>
          <w:rFonts w:ascii="Times New Roman" w:eastAsia="Times New Roman" w:hAnsi="Times New Roman" w:cs="Times New Roman"/>
          <w:sz w:val="24"/>
          <w:szCs w:val="24"/>
        </w:rPr>
        <w:t xml:space="preserve">. </w:t>
      </w:r>
      <w:r w:rsidR="00B16358" w:rsidRPr="00B16358">
        <w:rPr>
          <w:rFonts w:ascii="Times New Roman" w:eastAsia="Times New Roman" w:hAnsi="Times New Roman" w:cs="Times New Roman"/>
          <w:sz w:val="24"/>
          <w:szCs w:val="24"/>
        </w:rPr>
        <w:t>A law that does not account for modern medical realities like U=U is not a public health tool; it is a blunt instrument of discrimination.</w:t>
      </w:r>
    </w:p>
    <w:p w14:paraId="24FF2231" w14:textId="4CE4731B" w:rsidR="00B16358" w:rsidRPr="00B16358" w:rsidRDefault="00B16358" w:rsidP="00B16358">
      <w:pPr>
        <w:numPr>
          <w:ilvl w:val="0"/>
          <w:numId w:val="11"/>
        </w:numPr>
        <w:spacing w:line="23" w:lineRule="atLeast"/>
        <w:jc w:val="both"/>
        <w:rPr>
          <w:rFonts w:ascii="Times New Roman" w:eastAsia="Times New Roman" w:hAnsi="Times New Roman" w:cs="Times New Roman"/>
          <w:sz w:val="24"/>
          <w:szCs w:val="24"/>
        </w:rPr>
      </w:pPr>
      <w:r w:rsidRPr="00B16358">
        <w:rPr>
          <w:rFonts w:ascii="Times New Roman" w:eastAsia="Times New Roman" w:hAnsi="Times New Roman" w:cs="Times New Roman"/>
          <w:sz w:val="24"/>
          <w:szCs w:val="24"/>
        </w:rPr>
        <w:t xml:space="preserve">The right to health includes mental health. </w:t>
      </w:r>
      <w:r w:rsidR="00C0384F">
        <w:rPr>
          <w:rFonts w:ascii="Times New Roman" w:eastAsia="Times New Roman" w:hAnsi="Times New Roman" w:cs="Times New Roman"/>
          <w:sz w:val="24"/>
          <w:szCs w:val="24"/>
        </w:rPr>
        <w:t>E</w:t>
      </w:r>
      <w:r w:rsidRPr="00B16358">
        <w:rPr>
          <w:rFonts w:ascii="Times New Roman" w:eastAsia="Times New Roman" w:hAnsi="Times New Roman" w:cs="Times New Roman"/>
          <w:sz w:val="24"/>
          <w:szCs w:val="24"/>
        </w:rPr>
        <w:t>very case study shows, the primary outcome of Article 122's application is severe psychological distress. A law that systematically inflicts "constant stress and fear" on a specific, vulnerable population is a direct violation of their right to health.</w:t>
      </w:r>
    </w:p>
    <w:p w14:paraId="6ACF850B" w14:textId="77D57674" w:rsidR="00B16358" w:rsidRPr="00B16358" w:rsidRDefault="00B16358" w:rsidP="00B16358">
      <w:pPr>
        <w:spacing w:line="23" w:lineRule="atLeast"/>
        <w:jc w:val="both"/>
        <w:rPr>
          <w:rFonts w:ascii="Times New Roman" w:eastAsia="Times New Roman" w:hAnsi="Times New Roman" w:cs="Times New Roman"/>
          <w:sz w:val="24"/>
          <w:szCs w:val="24"/>
        </w:rPr>
      </w:pPr>
    </w:p>
    <w:p w14:paraId="0DB585C5" w14:textId="3B93CA22" w:rsidR="00BA12FB" w:rsidRDefault="00D00E2F" w:rsidP="00BA12FB">
      <w:pPr>
        <w:spacing w:line="23"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FOR THE RUSSIAN FEDERATION</w:t>
      </w:r>
    </w:p>
    <w:p w14:paraId="3429680B" w14:textId="77777777" w:rsidR="00D00E2F" w:rsidRDefault="00D00E2F" w:rsidP="00BA12FB">
      <w:pPr>
        <w:spacing w:line="23" w:lineRule="atLeast"/>
        <w:jc w:val="both"/>
        <w:rPr>
          <w:rFonts w:ascii="Times New Roman" w:eastAsia="Times New Roman" w:hAnsi="Times New Roman" w:cs="Times New Roman"/>
          <w:sz w:val="24"/>
          <w:szCs w:val="24"/>
        </w:rPr>
      </w:pPr>
    </w:p>
    <w:p w14:paraId="7D6C69D4" w14:textId="44154C7D" w:rsidR="00567FDA" w:rsidRPr="00892860" w:rsidRDefault="00567FDA" w:rsidP="00BA12FB">
      <w:pPr>
        <w:spacing w:line="23" w:lineRule="atLeast"/>
        <w:jc w:val="both"/>
        <w:rPr>
          <w:rFonts w:ascii="Times New Roman" w:eastAsia="Times New Roman" w:hAnsi="Times New Roman" w:cs="Times New Roman"/>
          <w:b/>
          <w:bCs/>
          <w:sz w:val="24"/>
          <w:szCs w:val="24"/>
        </w:rPr>
      </w:pPr>
      <w:r w:rsidRPr="00892860">
        <w:rPr>
          <w:rFonts w:ascii="Times New Roman" w:eastAsia="Times New Roman" w:hAnsi="Times New Roman" w:cs="Times New Roman"/>
          <w:b/>
          <w:bCs/>
          <w:sz w:val="24"/>
          <w:szCs w:val="24"/>
        </w:rPr>
        <w:t xml:space="preserve">Freedom of association </w:t>
      </w:r>
      <w:r w:rsidR="00892860" w:rsidRPr="00892860">
        <w:rPr>
          <w:rFonts w:ascii="Times New Roman" w:eastAsia="Times New Roman" w:hAnsi="Times New Roman" w:cs="Times New Roman"/>
          <w:b/>
          <w:bCs/>
          <w:sz w:val="24"/>
          <w:szCs w:val="24"/>
        </w:rPr>
        <w:t>enabling the right to health</w:t>
      </w:r>
    </w:p>
    <w:p w14:paraId="6E94D27B" w14:textId="77777777" w:rsidR="00567FDA" w:rsidRDefault="00567FDA" w:rsidP="00567FDA">
      <w:pPr>
        <w:spacing w:line="23" w:lineRule="atLeast"/>
        <w:jc w:val="both"/>
        <w:rPr>
          <w:rFonts w:ascii="Times New Roman" w:eastAsia="Times New Roman" w:hAnsi="Times New Roman" w:cs="Times New Roman"/>
          <w:sz w:val="24"/>
          <w:szCs w:val="24"/>
        </w:rPr>
      </w:pPr>
    </w:p>
    <w:p w14:paraId="1C738FDA" w14:textId="11C285D4" w:rsidR="000A4244" w:rsidRPr="000A4244" w:rsidRDefault="000A4244" w:rsidP="00567FDA">
      <w:pPr>
        <w:spacing w:line="23" w:lineRule="atLeast"/>
        <w:jc w:val="both"/>
        <w:rPr>
          <w:rFonts w:ascii="Times New Roman" w:eastAsia="Times New Roman" w:hAnsi="Times New Roman" w:cs="Times New Roman"/>
          <w:sz w:val="24"/>
          <w:szCs w:val="24"/>
        </w:rPr>
      </w:pPr>
      <w:r w:rsidRPr="00567FDA">
        <w:rPr>
          <w:rFonts w:ascii="Times New Roman" w:eastAsia="Times New Roman" w:hAnsi="Times New Roman" w:cs="Times New Roman"/>
          <w:sz w:val="24"/>
          <w:szCs w:val="24"/>
        </w:rPr>
        <w:t>T</w:t>
      </w:r>
      <w:r w:rsidRPr="000A4244">
        <w:rPr>
          <w:rFonts w:ascii="Times New Roman" w:eastAsia="Times New Roman" w:hAnsi="Times New Roman" w:cs="Times New Roman"/>
          <w:sz w:val="24"/>
          <w:szCs w:val="24"/>
        </w:rPr>
        <w:t xml:space="preserve">he Russian Federation </w:t>
      </w:r>
      <w:r w:rsidRPr="00567FDA">
        <w:rPr>
          <w:rFonts w:ascii="Times New Roman" w:eastAsia="Times New Roman" w:hAnsi="Times New Roman" w:cs="Times New Roman"/>
          <w:sz w:val="24"/>
          <w:szCs w:val="24"/>
        </w:rPr>
        <w:t xml:space="preserve">shall </w:t>
      </w:r>
      <w:r w:rsidRPr="000A4244">
        <w:rPr>
          <w:rFonts w:ascii="Times New Roman" w:eastAsia="Times New Roman" w:hAnsi="Times New Roman" w:cs="Times New Roman"/>
          <w:sz w:val="24"/>
          <w:szCs w:val="24"/>
        </w:rPr>
        <w:t>fundamentally amend its legislation on "foreign agents" and "undesirable organizations" to bring it into compliance with international human rights standards and to protect the right to health.</w:t>
      </w:r>
      <w:r w:rsidRPr="00567FDA">
        <w:rPr>
          <w:rFonts w:ascii="Times New Roman" w:eastAsia="Times New Roman" w:hAnsi="Times New Roman" w:cs="Times New Roman"/>
          <w:sz w:val="24"/>
          <w:szCs w:val="24"/>
        </w:rPr>
        <w:t xml:space="preserve"> </w:t>
      </w:r>
      <w:r w:rsidRPr="000A4244">
        <w:rPr>
          <w:rFonts w:ascii="Times New Roman" w:eastAsia="Times New Roman" w:hAnsi="Times New Roman" w:cs="Times New Roman"/>
          <w:sz w:val="24"/>
          <w:szCs w:val="24"/>
        </w:rPr>
        <w:t>The application of these laws should be severely limited to exceptional cases where malicious foreign influence aimed at undermining national security is proven beyond a reasonable doubt in a court of law, not through arbitrary administrative decisions.</w:t>
      </w:r>
      <w:r w:rsidR="00567FDA" w:rsidRPr="00567FDA">
        <w:rPr>
          <w:rFonts w:ascii="Times New Roman" w:eastAsia="Times New Roman" w:hAnsi="Times New Roman" w:cs="Times New Roman"/>
          <w:sz w:val="24"/>
          <w:szCs w:val="24"/>
        </w:rPr>
        <w:t xml:space="preserve"> Al</w:t>
      </w:r>
      <w:r w:rsidRPr="000A4244">
        <w:rPr>
          <w:rFonts w:ascii="Times New Roman" w:eastAsia="Times New Roman" w:hAnsi="Times New Roman" w:cs="Times New Roman"/>
          <w:sz w:val="24"/>
          <w:szCs w:val="24"/>
        </w:rPr>
        <w:t>l health and social support organizations should be explicitly and completely exempted from the scope of these laws. The current framework is used to dismantle essential HIV prevention and support infrastructure, directly violating the state's obligation to protect the right to health under Article 12 of the Covenant.</w:t>
      </w:r>
    </w:p>
    <w:p w14:paraId="75980E28" w14:textId="77777777" w:rsidR="000A4244" w:rsidRDefault="000A4244" w:rsidP="00BA12FB">
      <w:pPr>
        <w:spacing w:line="23" w:lineRule="atLeast"/>
        <w:jc w:val="both"/>
        <w:rPr>
          <w:rFonts w:ascii="Times New Roman" w:eastAsia="Times New Roman" w:hAnsi="Times New Roman" w:cs="Times New Roman"/>
          <w:sz w:val="24"/>
          <w:szCs w:val="24"/>
        </w:rPr>
      </w:pPr>
    </w:p>
    <w:p w14:paraId="35A3EE75" w14:textId="61FD3058" w:rsidR="00236087" w:rsidRPr="00236087" w:rsidRDefault="00236087" w:rsidP="00C47FA1">
      <w:pPr>
        <w:pBdr>
          <w:top w:val="nil"/>
          <w:left w:val="nil"/>
          <w:bottom w:val="nil"/>
          <w:right w:val="nil"/>
          <w:between w:val="nil"/>
          <w:bar w:val="nil"/>
        </w:pBdr>
        <w:tabs>
          <w:tab w:val="left" w:pos="90"/>
        </w:tabs>
        <w:spacing w:after="0" w:line="240" w:lineRule="auto"/>
        <w:rPr>
          <w:rFonts w:ascii="Times New Roman" w:eastAsia="Arial Unicode MS" w:hAnsi="Times New Roman" w:cs="Arial Unicode MS"/>
          <w:b/>
          <w:bCs/>
          <w:color w:val="000000"/>
          <w:kern w:val="0"/>
          <w:sz w:val="24"/>
          <w:szCs w:val="24"/>
          <w:u w:color="000000"/>
          <w:bdr w:val="nil"/>
          <w:lang w:val="en-US" w:eastAsia="en-CA"/>
          <w14:ligatures w14:val="none"/>
        </w:rPr>
      </w:pPr>
      <w:r w:rsidRPr="00236087">
        <w:rPr>
          <w:rFonts w:ascii="Times New Roman" w:eastAsia="Arial Unicode MS" w:hAnsi="Times New Roman" w:cs="Arial Unicode MS"/>
          <w:b/>
          <w:bCs/>
          <w:color w:val="000000"/>
          <w:kern w:val="0"/>
          <w:sz w:val="24"/>
          <w:szCs w:val="24"/>
          <w:u w:color="000000"/>
          <w:bdr w:val="nil"/>
          <w:lang w:val="en-US" w:eastAsia="en-CA"/>
          <w14:ligatures w14:val="none"/>
        </w:rPr>
        <w:t>Right to health of people who use drugs</w:t>
      </w:r>
    </w:p>
    <w:p w14:paraId="7D0C6D8D" w14:textId="77777777" w:rsidR="00236087" w:rsidRDefault="00236087" w:rsidP="00C47FA1">
      <w:pPr>
        <w:pBdr>
          <w:top w:val="nil"/>
          <w:left w:val="nil"/>
          <w:bottom w:val="nil"/>
          <w:right w:val="nil"/>
          <w:between w:val="nil"/>
          <w:bar w:val="nil"/>
        </w:pBdr>
        <w:tabs>
          <w:tab w:val="left" w:pos="90"/>
        </w:tabs>
        <w:spacing w:after="0" w:line="240" w:lineRule="auto"/>
        <w:rPr>
          <w:rFonts w:ascii="Times New Roman" w:eastAsia="Arial Unicode MS" w:hAnsi="Times New Roman" w:cs="Arial Unicode MS"/>
          <w:color w:val="000000"/>
          <w:kern w:val="0"/>
          <w:sz w:val="24"/>
          <w:szCs w:val="24"/>
          <w:u w:color="000000"/>
          <w:bdr w:val="nil"/>
          <w:lang w:val="en-US" w:eastAsia="en-CA"/>
          <w14:ligatures w14:val="none"/>
        </w:rPr>
      </w:pPr>
    </w:p>
    <w:p w14:paraId="719BBC0B" w14:textId="069FC75E" w:rsidR="00C47FA1" w:rsidRPr="00C47FA1" w:rsidRDefault="00C47FA1" w:rsidP="00C47FA1">
      <w:pPr>
        <w:pBdr>
          <w:top w:val="nil"/>
          <w:left w:val="nil"/>
          <w:bottom w:val="nil"/>
          <w:right w:val="nil"/>
          <w:between w:val="nil"/>
          <w:bar w:val="nil"/>
        </w:pBdr>
        <w:tabs>
          <w:tab w:val="left" w:pos="90"/>
        </w:tabs>
        <w:spacing w:after="0" w:line="240" w:lineRule="auto"/>
        <w:rPr>
          <w:rFonts w:ascii="Times New Roman" w:eastAsia="Arial Unicode MS" w:hAnsi="Times New Roman" w:cs="Arial Unicode MS"/>
          <w:color w:val="000000"/>
          <w:kern w:val="0"/>
          <w:sz w:val="24"/>
          <w:szCs w:val="24"/>
          <w:u w:color="000000"/>
          <w:bdr w:val="nil"/>
          <w:lang w:val="en-US" w:eastAsia="en-CA"/>
          <w14:ligatures w14:val="none"/>
        </w:rPr>
      </w:pP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Create favorable conditions for implementing socio-medical and human rights based approach to drug </w:t>
      </w:r>
      <w:r w:rsidR="00DB00F2" w:rsidRPr="00C47FA1">
        <w:rPr>
          <w:rFonts w:ascii="Times New Roman" w:eastAsia="Arial Unicode MS" w:hAnsi="Times New Roman" w:cs="Arial Unicode MS"/>
          <w:color w:val="000000"/>
          <w:kern w:val="0"/>
          <w:sz w:val="24"/>
          <w:szCs w:val="24"/>
          <w:u w:color="000000"/>
          <w:bdr w:val="nil"/>
          <w:lang w:val="en-US" w:eastAsia="en-CA"/>
          <w14:ligatures w14:val="none"/>
        </w:rPr>
        <w:t>use including</w:t>
      </w: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 harm reduction and overdose prevention programs rather than punitive law enforcement methods. For this purpose</w:t>
      </w:r>
    </w:p>
    <w:p w14:paraId="7E89EDED" w14:textId="77777777" w:rsidR="00C47FA1" w:rsidRPr="00C47FA1" w:rsidRDefault="00C47FA1" w:rsidP="00C47FA1">
      <w:pPr>
        <w:pBdr>
          <w:top w:val="nil"/>
          <w:left w:val="nil"/>
          <w:bottom w:val="nil"/>
          <w:right w:val="nil"/>
          <w:between w:val="nil"/>
          <w:bar w:val="nil"/>
        </w:pBdr>
        <w:tabs>
          <w:tab w:val="left" w:pos="90"/>
        </w:tabs>
        <w:spacing w:after="0" w:line="240" w:lineRule="auto"/>
        <w:rPr>
          <w:rFonts w:ascii="Times New Roman" w:eastAsia="Arial Unicode MS" w:hAnsi="Times New Roman" w:cs="Arial Unicode MS"/>
          <w:color w:val="000000"/>
          <w:kern w:val="0"/>
          <w:sz w:val="24"/>
          <w:szCs w:val="24"/>
          <w:u w:color="000000"/>
          <w:bdr w:val="nil"/>
          <w:lang w:val="en-US" w:eastAsia="en-CA"/>
          <w14:ligatures w14:val="none"/>
        </w:rPr>
      </w:pPr>
    </w:p>
    <w:p w14:paraId="0C7987B9" w14:textId="30145212" w:rsidR="00C47FA1" w:rsidRPr="00C47FA1" w:rsidRDefault="00C47FA1" w:rsidP="00C47FA1">
      <w:pPr>
        <w:pBdr>
          <w:top w:val="nil"/>
          <w:left w:val="nil"/>
          <w:bottom w:val="nil"/>
          <w:right w:val="nil"/>
          <w:between w:val="nil"/>
          <w:bar w:val="nil"/>
        </w:pBdr>
        <w:tabs>
          <w:tab w:val="left" w:pos="90"/>
        </w:tabs>
        <w:spacing w:after="0" w:line="276" w:lineRule="auto"/>
        <w:ind w:left="180" w:hanging="180"/>
        <w:jc w:val="both"/>
        <w:rPr>
          <w:rFonts w:ascii="Times New Roman" w:eastAsia="Arial Unicode MS" w:hAnsi="Times New Roman" w:cs="Arial Unicode MS"/>
          <w:color w:val="000000"/>
          <w:kern w:val="0"/>
          <w:sz w:val="24"/>
          <w:szCs w:val="24"/>
          <w:u w:color="000000"/>
          <w:bdr w:val="nil"/>
          <w:lang w:val="en-US" w:eastAsia="en-CA"/>
          <w14:ligatures w14:val="none"/>
        </w:rPr>
      </w:pPr>
      <w:r w:rsidRPr="00C47FA1">
        <w:rPr>
          <w:rFonts w:ascii="Times New Roman" w:eastAsia="Arial Unicode MS" w:hAnsi="Times New Roman" w:cs="Arial Unicode MS"/>
          <w:color w:val="000000"/>
          <w:kern w:val="0"/>
          <w:sz w:val="24"/>
          <w:szCs w:val="24"/>
          <w:u w:color="000000"/>
          <w:bdr w:val="nil"/>
          <w:lang w:val="en-US" w:eastAsia="en-CA"/>
          <w14:ligatures w14:val="none"/>
        </w:rPr>
        <w:t>a) De</w:t>
      </w:r>
      <w:r w:rsidR="005F2381">
        <w:rPr>
          <w:rFonts w:ascii="Times New Roman" w:eastAsia="Arial Unicode MS" w:hAnsi="Times New Roman" w:cs="Arial Unicode MS"/>
          <w:color w:val="000000"/>
          <w:kern w:val="0"/>
          <w:sz w:val="24"/>
          <w:szCs w:val="24"/>
          <w:u w:color="000000"/>
          <w:bdr w:val="nil"/>
          <w:lang w:val="en-US" w:eastAsia="en-CA"/>
          <w14:ligatures w14:val="none"/>
        </w:rPr>
        <w:t>criminalize</w:t>
      </w: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 drug use related behavior, including the possession of narcotic drugs for personal use, and offences related to social distribution of drugs (Article 228, part 1 </w:t>
      </w:r>
      <w:r w:rsidR="00AE74E6">
        <w:rPr>
          <w:rFonts w:ascii="Times New Roman" w:eastAsia="Arial Unicode MS" w:hAnsi="Times New Roman" w:cs="Arial Unicode MS"/>
          <w:color w:val="000000"/>
          <w:kern w:val="0"/>
          <w:sz w:val="24"/>
          <w:szCs w:val="24"/>
          <w:u w:color="000000"/>
          <w:bdr w:val="nil"/>
          <w:lang w:val="en-US" w:eastAsia="en-CA"/>
          <w14:ligatures w14:val="none"/>
        </w:rPr>
        <w:t>-</w:t>
      </w: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 3 of Article 228.1, part 1 of Article 231, Article 232 of the Criminal Code of the Russian Federation); </w:t>
      </w:r>
    </w:p>
    <w:p w14:paraId="2D5889F7" w14:textId="73977A80" w:rsidR="00C47FA1" w:rsidRPr="00C47FA1" w:rsidRDefault="00C47FA1" w:rsidP="00C47FA1">
      <w:pPr>
        <w:pBdr>
          <w:top w:val="nil"/>
          <w:left w:val="nil"/>
          <w:bottom w:val="nil"/>
          <w:right w:val="nil"/>
          <w:between w:val="nil"/>
          <w:bar w:val="nil"/>
        </w:pBdr>
        <w:tabs>
          <w:tab w:val="left" w:pos="90"/>
        </w:tabs>
        <w:spacing w:after="0" w:line="276" w:lineRule="auto"/>
        <w:ind w:left="180" w:hanging="180"/>
        <w:jc w:val="both"/>
        <w:rPr>
          <w:rFonts w:ascii="Times New Roman" w:eastAsia="Arial Unicode MS" w:hAnsi="Times New Roman" w:cs="Arial Unicode MS"/>
          <w:color w:val="000000"/>
          <w:kern w:val="0"/>
          <w:sz w:val="24"/>
          <w:szCs w:val="24"/>
          <w:u w:color="000000"/>
          <w:bdr w:val="nil"/>
          <w:lang w:val="en-US" w:eastAsia="en-CA"/>
          <w14:ligatures w14:val="none"/>
        </w:rPr>
      </w:pP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b) limit the scope of so-called drug propaganda laws, so that they do not prevent public </w:t>
      </w:r>
      <w:r w:rsidR="00FA7809" w:rsidRPr="00C47FA1">
        <w:rPr>
          <w:rFonts w:ascii="Times New Roman" w:eastAsia="Arial Unicode MS" w:hAnsi="Times New Roman" w:cs="Arial Unicode MS"/>
          <w:color w:val="000000"/>
          <w:kern w:val="0"/>
          <w:sz w:val="24"/>
          <w:szCs w:val="24"/>
          <w:u w:color="000000"/>
          <w:bdr w:val="nil"/>
          <w:lang w:val="en-US" w:eastAsia="en-CA"/>
          <w14:ligatures w14:val="none"/>
        </w:rPr>
        <w:t>access</w:t>
      </w: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 to information  on actual facts about drugs and possible ways to reduce harm from their use; </w:t>
      </w:r>
    </w:p>
    <w:p w14:paraId="38B1A6B1" w14:textId="5ABB7EFB" w:rsidR="00C47FA1" w:rsidRPr="00C47FA1" w:rsidRDefault="00C47FA1" w:rsidP="00C47FA1">
      <w:pPr>
        <w:pBdr>
          <w:top w:val="nil"/>
          <w:left w:val="nil"/>
          <w:bottom w:val="nil"/>
          <w:right w:val="nil"/>
          <w:between w:val="nil"/>
          <w:bar w:val="nil"/>
        </w:pBdr>
        <w:tabs>
          <w:tab w:val="left" w:pos="90"/>
        </w:tabs>
        <w:spacing w:after="0" w:line="276" w:lineRule="auto"/>
        <w:ind w:left="180" w:hanging="180"/>
        <w:jc w:val="both"/>
        <w:rPr>
          <w:rFonts w:ascii="Times New Roman" w:eastAsia="Arial Unicode MS" w:hAnsi="Times New Roman" w:cs="Arial Unicode MS"/>
          <w:color w:val="000000"/>
          <w:kern w:val="0"/>
          <w:sz w:val="24"/>
          <w:szCs w:val="24"/>
          <w:u w:color="000000"/>
          <w:bdr w:val="nil"/>
          <w:lang w:val="en-US" w:eastAsia="en-CA"/>
          <w14:ligatures w14:val="none"/>
        </w:rPr>
      </w:pP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c) immediately </w:t>
      </w:r>
      <w:r w:rsidR="00FA7809" w:rsidRPr="00C47FA1">
        <w:rPr>
          <w:rFonts w:ascii="Times New Roman" w:eastAsia="Arial Unicode MS" w:hAnsi="Times New Roman" w:cs="Arial Unicode MS"/>
          <w:color w:val="000000"/>
          <w:kern w:val="0"/>
          <w:sz w:val="24"/>
          <w:szCs w:val="24"/>
          <w:u w:color="000000"/>
          <w:bdr w:val="nil"/>
          <w:lang w:val="en-US" w:eastAsia="en-CA"/>
          <w14:ligatures w14:val="none"/>
        </w:rPr>
        <w:t>provide</w:t>
      </w:r>
      <w:r w:rsidRPr="00C47FA1">
        <w:rPr>
          <w:rFonts w:ascii="Times New Roman" w:eastAsia="Arial Unicode MS" w:hAnsi="Times New Roman" w:cs="Arial Unicode MS"/>
          <w:color w:val="000000"/>
          <w:kern w:val="0"/>
          <w:sz w:val="24"/>
          <w:szCs w:val="24"/>
          <w:u w:color="000000"/>
          <w:bdr w:val="nil"/>
          <w:lang w:val="en-US" w:eastAsia="en-CA"/>
          <w14:ligatures w14:val="none"/>
        </w:rPr>
        <w:t xml:space="preserve"> legal, political and financial support to make opioid substitution therapy available, accessible, and of the good quality for all in need. </w:t>
      </w:r>
    </w:p>
    <w:p w14:paraId="1254A59A" w14:textId="77777777" w:rsidR="00C47FA1" w:rsidRPr="00C47FA1" w:rsidRDefault="00C47FA1" w:rsidP="00C47FA1">
      <w:pPr>
        <w:pBdr>
          <w:top w:val="nil"/>
          <w:left w:val="nil"/>
          <w:bottom w:val="nil"/>
          <w:right w:val="nil"/>
          <w:between w:val="nil"/>
          <w:bar w:val="nil"/>
        </w:pBdr>
        <w:tabs>
          <w:tab w:val="left" w:pos="90"/>
        </w:tabs>
        <w:spacing w:after="0" w:line="276" w:lineRule="auto"/>
        <w:ind w:left="180" w:hanging="180"/>
        <w:jc w:val="both"/>
        <w:rPr>
          <w:rFonts w:ascii="Times New Roman" w:eastAsia="Arial Unicode MS" w:hAnsi="Times New Roman" w:cs="Arial Unicode MS"/>
          <w:color w:val="000000"/>
          <w:kern w:val="0"/>
          <w:sz w:val="24"/>
          <w:szCs w:val="24"/>
          <w:u w:color="000000"/>
          <w:bdr w:val="nil"/>
          <w:lang w:val="en-US" w:eastAsia="en-CA"/>
          <w14:ligatures w14:val="none"/>
        </w:rPr>
      </w:pPr>
      <w:r w:rsidRPr="00C47FA1">
        <w:rPr>
          <w:rFonts w:ascii="Times New Roman" w:eastAsia="Arial Unicode MS" w:hAnsi="Times New Roman" w:cs="Arial Unicode MS"/>
          <w:color w:val="000000"/>
          <w:kern w:val="0"/>
          <w:sz w:val="24"/>
          <w:szCs w:val="24"/>
          <w:u w:color="000000"/>
          <w:bdr w:val="nil"/>
          <w:lang w:val="en-US" w:eastAsia="en-CA"/>
          <w14:ligatures w14:val="none"/>
        </w:rPr>
        <w:lastRenderedPageBreak/>
        <w:t>d) stop the widespread practice of immediate application of article 69 of the Family code for termination of parental rights against parents who use drugs or against drug dependent parents, and provide such parents and families with social and medical support as a measure of first line response.</w:t>
      </w:r>
    </w:p>
    <w:p w14:paraId="30907ACA" w14:textId="7B690001" w:rsidR="00C47FA1" w:rsidRDefault="00C47FA1" w:rsidP="00D00E2F">
      <w:pPr>
        <w:spacing w:line="23" w:lineRule="atLeast"/>
        <w:jc w:val="both"/>
        <w:rPr>
          <w:rFonts w:ascii="Times New Roman" w:eastAsia="Times New Roman" w:hAnsi="Times New Roman" w:cs="Times New Roman"/>
          <w:sz w:val="24"/>
          <w:szCs w:val="24"/>
          <w:lang w:val="en-US"/>
        </w:rPr>
      </w:pPr>
    </w:p>
    <w:p w14:paraId="5582F5BD" w14:textId="270360F6" w:rsidR="00781053" w:rsidRPr="00781053" w:rsidRDefault="00781053" w:rsidP="00D00E2F">
      <w:pPr>
        <w:spacing w:line="23" w:lineRule="atLeast"/>
        <w:jc w:val="both"/>
        <w:rPr>
          <w:rFonts w:ascii="Times New Roman" w:eastAsia="Times New Roman" w:hAnsi="Times New Roman" w:cs="Times New Roman"/>
          <w:b/>
          <w:bCs/>
          <w:sz w:val="24"/>
          <w:szCs w:val="24"/>
          <w:lang w:val="en-US"/>
        </w:rPr>
      </w:pPr>
      <w:r w:rsidRPr="00781053">
        <w:rPr>
          <w:rFonts w:ascii="Times New Roman" w:eastAsia="Times New Roman" w:hAnsi="Times New Roman" w:cs="Times New Roman"/>
          <w:b/>
          <w:bCs/>
          <w:sz w:val="24"/>
          <w:szCs w:val="24"/>
          <w:lang w:val="en-US"/>
        </w:rPr>
        <w:t>Right to health of people living with HIV</w:t>
      </w:r>
    </w:p>
    <w:p w14:paraId="05ABF834" w14:textId="6814328A" w:rsidR="00781053" w:rsidRPr="00781053" w:rsidRDefault="00FA7809" w:rsidP="002C6263">
      <w:pPr>
        <w:tabs>
          <w:tab w:val="num" w:pos="720"/>
        </w:tabs>
        <w:spacing w:line="23" w:lineRule="atLeast"/>
        <w:jc w:val="both"/>
        <w:rPr>
          <w:rFonts w:ascii="Times New Roman" w:eastAsia="Times New Roman" w:hAnsi="Times New Roman" w:cs="Times New Roman"/>
          <w:sz w:val="24"/>
          <w:szCs w:val="24"/>
        </w:rPr>
      </w:pPr>
      <w:r w:rsidRPr="002C6263">
        <w:rPr>
          <w:rFonts w:ascii="Times New Roman" w:eastAsia="Times New Roman" w:hAnsi="Times New Roman" w:cs="Times New Roman"/>
          <w:sz w:val="24"/>
          <w:szCs w:val="24"/>
        </w:rPr>
        <w:t>R</w:t>
      </w:r>
      <w:r w:rsidRPr="00781053">
        <w:rPr>
          <w:rFonts w:ascii="Times New Roman" w:eastAsia="Times New Roman" w:hAnsi="Times New Roman" w:cs="Times New Roman"/>
          <w:sz w:val="24"/>
          <w:szCs w:val="24"/>
        </w:rPr>
        <w:t>epeal</w:t>
      </w:r>
      <w:r w:rsidR="00781053" w:rsidRPr="00781053">
        <w:rPr>
          <w:rFonts w:ascii="Times New Roman" w:eastAsia="Times New Roman" w:hAnsi="Times New Roman" w:cs="Times New Roman"/>
          <w:sz w:val="24"/>
          <w:szCs w:val="24"/>
        </w:rPr>
        <w:t xml:space="preserve"> Article 122 of the Criminal Code, in line with UNAIDS's evidence-based recommendations for creating an effective and rights-based HIV response. </w:t>
      </w:r>
      <w:r w:rsidR="00BB31A4" w:rsidRPr="002C6263">
        <w:rPr>
          <w:rFonts w:ascii="Times New Roman" w:eastAsia="Times New Roman" w:hAnsi="Times New Roman" w:cs="Times New Roman"/>
          <w:sz w:val="24"/>
          <w:szCs w:val="24"/>
        </w:rPr>
        <w:t>Limit the application of the criminal law</w:t>
      </w:r>
      <w:r w:rsidR="00781053" w:rsidRPr="00781053">
        <w:rPr>
          <w:rFonts w:ascii="Times New Roman" w:eastAsia="Times New Roman" w:hAnsi="Times New Roman" w:cs="Times New Roman"/>
          <w:sz w:val="24"/>
          <w:szCs w:val="24"/>
        </w:rPr>
        <w:t xml:space="preserve"> to the rare cases of intentional transmission, where the prosecution must prove, beyond a reasonable doubt, that a person acted with specific intent to transmit HIV and that transmission actually occurred. </w:t>
      </w:r>
      <w:r w:rsidR="002C6263" w:rsidRPr="002C6263">
        <w:rPr>
          <w:rFonts w:ascii="Times New Roman" w:eastAsia="Times New Roman" w:hAnsi="Times New Roman" w:cs="Times New Roman"/>
          <w:sz w:val="24"/>
          <w:szCs w:val="24"/>
        </w:rPr>
        <w:t>U</w:t>
      </w:r>
      <w:r w:rsidR="00781053" w:rsidRPr="00781053">
        <w:rPr>
          <w:rFonts w:ascii="Times New Roman" w:eastAsia="Times New Roman" w:hAnsi="Times New Roman" w:cs="Times New Roman"/>
          <w:sz w:val="24"/>
          <w:szCs w:val="24"/>
        </w:rPr>
        <w:t>phold scientific principles by ensuring the law can never be applied when a person has an undetectable viral load (U=U) or when other effective prevention methods, like condoms, were used.</w:t>
      </w:r>
    </w:p>
    <w:sectPr w:rsidR="00781053" w:rsidRPr="007810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C6E6E" w14:textId="77777777" w:rsidR="0083324D" w:rsidRDefault="0083324D" w:rsidP="00164580">
      <w:pPr>
        <w:spacing w:after="0" w:line="240" w:lineRule="auto"/>
      </w:pPr>
      <w:r>
        <w:separator/>
      </w:r>
    </w:p>
  </w:endnote>
  <w:endnote w:type="continuationSeparator" w:id="0">
    <w:p w14:paraId="435F18CF" w14:textId="77777777" w:rsidR="0083324D" w:rsidRDefault="0083324D" w:rsidP="0016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750B8" w14:textId="77777777" w:rsidR="002863B0" w:rsidRDefault="00286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369757"/>
      <w:docPartObj>
        <w:docPartGallery w:val="Page Numbers (Bottom of Page)"/>
        <w:docPartUnique/>
      </w:docPartObj>
    </w:sdtPr>
    <w:sdtEndPr>
      <w:rPr>
        <w:noProof/>
      </w:rPr>
    </w:sdtEndPr>
    <w:sdtContent>
      <w:p w14:paraId="362C4B20" w14:textId="722F4052" w:rsidR="002863B0" w:rsidRDefault="002863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F1CA0" w14:textId="77777777" w:rsidR="002863B0" w:rsidRDefault="002863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3AF63" w14:textId="77777777" w:rsidR="002863B0" w:rsidRDefault="00286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B657B" w14:textId="77777777" w:rsidR="0083324D" w:rsidRDefault="0083324D" w:rsidP="00164580">
      <w:pPr>
        <w:spacing w:after="0" w:line="240" w:lineRule="auto"/>
      </w:pPr>
      <w:r>
        <w:separator/>
      </w:r>
    </w:p>
  </w:footnote>
  <w:footnote w:type="continuationSeparator" w:id="0">
    <w:p w14:paraId="435EC633" w14:textId="77777777" w:rsidR="0083324D" w:rsidRDefault="0083324D" w:rsidP="00164580">
      <w:pPr>
        <w:spacing w:after="0" w:line="240" w:lineRule="auto"/>
      </w:pPr>
      <w:r>
        <w:continuationSeparator/>
      </w:r>
    </w:p>
  </w:footnote>
  <w:footnote w:id="1">
    <w:p w14:paraId="30790065" w14:textId="52FA238B" w:rsidR="00C740FB" w:rsidRPr="00C740FB" w:rsidRDefault="001354C3" w:rsidP="00C740FB">
      <w:pPr>
        <w:suppressAutoHyphens/>
        <w:spacing w:after="120" w:line="240" w:lineRule="auto"/>
        <w:ind w:right="-7"/>
        <w:jc w:val="both"/>
        <w:rPr>
          <w:rFonts w:ascii="Times New Roman" w:eastAsia="Calibri" w:hAnsi="Times New Roman" w:cs="Times New Roman"/>
          <w:i/>
          <w:kern w:val="0"/>
          <w:sz w:val="20"/>
          <w:szCs w:val="20"/>
          <w:lang w:eastAsia="ar-SA"/>
          <w14:ligatures w14:val="none"/>
        </w:rPr>
      </w:pPr>
      <w:bookmarkStart w:id="0" w:name="_Hlk205585790"/>
      <w:bookmarkEnd w:id="0"/>
      <w:r>
        <w:rPr>
          <w:rStyle w:val="FootnoteReference"/>
        </w:rPr>
        <w:footnoteRef/>
      </w:r>
      <w:r>
        <w:t xml:space="preserve"> </w:t>
      </w:r>
      <w:r w:rsidR="00C740FB" w:rsidRPr="00C740FB">
        <w:rPr>
          <w:rFonts w:ascii="Times New Roman" w:eastAsia="Calibri" w:hAnsi="Times New Roman" w:cs="Times New Roman"/>
          <w:kern w:val="0"/>
          <w:sz w:val="20"/>
          <w:szCs w:val="20"/>
          <w:lang w:eastAsia="en-CA"/>
          <w14:ligatures w14:val="none"/>
        </w:rPr>
        <w:t>The HIV Legal Network (www.hivlegalnetwork.ca) promotes the human rights of people living with, at risk of, or affected by HIV or AIDS, in Canada and internationally, through research and analysis, litigation and other advocacy, public education, and community mobilization.</w:t>
      </w:r>
      <w:r w:rsidR="00C740FB" w:rsidRPr="00C740FB">
        <w:rPr>
          <w:rFonts w:ascii="Times New Roman" w:eastAsia="Calibri" w:hAnsi="Times New Roman" w:cs="Times New Roman"/>
          <w:kern w:val="0"/>
          <w:sz w:val="20"/>
          <w:szCs w:val="20"/>
          <w:lang w:eastAsia="ar-SA"/>
          <w14:ligatures w14:val="none"/>
        </w:rPr>
        <w:t xml:space="preserve"> </w:t>
      </w:r>
      <w:r w:rsidR="00C740FB" w:rsidRPr="00C740FB">
        <w:rPr>
          <w:rFonts w:ascii="Times New Roman" w:eastAsia="Calibri" w:hAnsi="Times New Roman" w:cs="Times New Roman"/>
          <w:i/>
          <w:kern w:val="0"/>
          <w:sz w:val="20"/>
          <w:szCs w:val="20"/>
          <w:lang w:eastAsia="ar-SA"/>
          <w14:ligatures w14:val="none"/>
        </w:rPr>
        <w:t>Address: 1240 Bay Street, Suite 600, Toronto, Ontario, Canada, M5R 2A7 Tel: 1(416)595 1666; Fax: 1 (416) 595 0094</w:t>
      </w:r>
    </w:p>
    <w:p w14:paraId="28B0C972" w14:textId="2D10EB86" w:rsidR="001354C3" w:rsidRPr="001354C3" w:rsidRDefault="001354C3">
      <w:pPr>
        <w:pStyle w:val="FootnoteText"/>
      </w:pPr>
    </w:p>
  </w:footnote>
  <w:footnote w:id="2">
    <w:p w14:paraId="0323D919" w14:textId="77839487" w:rsidR="006077BD" w:rsidRPr="005E3DA8" w:rsidRDefault="006077BD" w:rsidP="005E3DA8">
      <w:pPr>
        <w:pStyle w:val="FootnoteText"/>
        <w:rPr>
          <w:lang w:val="en-US"/>
        </w:rPr>
      </w:pPr>
      <w:r>
        <w:rPr>
          <w:rStyle w:val="FootnoteReference"/>
        </w:rPr>
        <w:footnoteRef/>
      </w:r>
      <w:r>
        <w:t xml:space="preserve"> According to the Supreme Court’s Stati</w:t>
      </w:r>
      <w:r w:rsidR="0023543B">
        <w:t>stics, 2024.</w:t>
      </w:r>
      <w:r w:rsidR="005E3DA8">
        <w:t xml:space="preserve"> </w:t>
      </w:r>
      <w:r w:rsidR="005E3DA8" w:rsidRPr="005E3DA8">
        <w:rPr>
          <w:lang w:val="ru-RU"/>
        </w:rPr>
        <w:t xml:space="preserve">ОТЧЕТ О ВИДАХ НАКАЗАНИЯ ПО НАИБОЛЕЕ ТЯЖКОМУ ПРЕСТУПЛЕНИЮ (БЕЗ УЧЕТА СЛОЖЕНИЯ). </w:t>
      </w:r>
      <w:r w:rsidR="005E3DA8">
        <w:rPr>
          <w:lang w:val="en-US"/>
        </w:rPr>
        <w:t xml:space="preserve">Online: </w:t>
      </w:r>
      <w:hyperlink r:id="rId1" w:history="1">
        <w:r w:rsidR="002A2341" w:rsidRPr="00EA1343">
          <w:rPr>
            <w:rStyle w:val="Hyperlink"/>
            <w:lang w:val="en-US"/>
          </w:rPr>
          <w:t>https://cdep.ru/userimages/Statistika_2024/K7-svod_vse_sudy-2024.xls</w:t>
        </w:r>
      </w:hyperlink>
      <w:r w:rsidR="002A2341">
        <w:rPr>
          <w:lang w:val="en-US"/>
        </w:rPr>
        <w:t xml:space="preserve"> </w:t>
      </w:r>
    </w:p>
  </w:footnote>
  <w:footnote w:id="3">
    <w:p w14:paraId="47ACC4F9" w14:textId="08333F6F" w:rsidR="006B53BF" w:rsidRPr="006B53BF" w:rsidRDefault="006B53BF">
      <w:pPr>
        <w:pStyle w:val="FootnoteText"/>
      </w:pPr>
      <w:r>
        <w:rPr>
          <w:rStyle w:val="FootnoteReference"/>
        </w:rPr>
        <w:footnoteRef/>
      </w:r>
      <w:r>
        <w:t xml:space="preserve"> According to the Decree of the Government of the Russian Federation </w:t>
      </w:r>
      <w:r w:rsidR="00BB2202">
        <w:t xml:space="preserve">of 1 October 2012 </w:t>
      </w:r>
      <w:r>
        <w:t>No 100</w:t>
      </w:r>
      <w:r w:rsidR="00BB2202">
        <w:t>2</w:t>
      </w:r>
    </w:p>
  </w:footnote>
  <w:footnote w:id="4">
    <w:p w14:paraId="226A6E03" w14:textId="1F310338" w:rsidR="00A87D64" w:rsidRPr="00A87D64" w:rsidRDefault="00A87D64">
      <w:pPr>
        <w:pStyle w:val="FootnoteText"/>
      </w:pPr>
      <w:r>
        <w:rPr>
          <w:rStyle w:val="FootnoteReference"/>
        </w:rPr>
        <w:footnoteRef/>
      </w:r>
      <w:r>
        <w:t xml:space="preserve"> </w:t>
      </w:r>
      <w:r w:rsidRPr="00A87D64">
        <w:t>See: “Such an approach deserves unconditional support,” Federal Chamber of Lawyers of the Russian Federation, 29 May 2025.</w:t>
      </w:r>
      <w:r w:rsidR="002841E1">
        <w:t xml:space="preserve"> Online: </w:t>
      </w:r>
      <w:hyperlink r:id="rId2" w:history="1">
        <w:r w:rsidR="002841E1" w:rsidRPr="00EA1343">
          <w:rPr>
            <w:rStyle w:val="Hyperlink"/>
          </w:rPr>
          <w:t>https://fparf.ru/news/fpa/takoy-podkhod-zasluzhivaet-bezuslovnoy-podderzhki/</w:t>
        </w:r>
      </w:hyperlink>
      <w:r w:rsidR="002841E1">
        <w:t xml:space="preserve"> </w:t>
      </w:r>
    </w:p>
  </w:footnote>
  <w:footnote w:id="5">
    <w:p w14:paraId="6C974957" w14:textId="175BA7D9" w:rsidR="002E0D7A" w:rsidRPr="002E0D7A" w:rsidRDefault="002E0D7A">
      <w:pPr>
        <w:pStyle w:val="FootnoteText"/>
      </w:pPr>
      <w:r>
        <w:rPr>
          <w:rStyle w:val="FootnoteReference"/>
        </w:rPr>
        <w:footnoteRef/>
      </w:r>
      <w:r>
        <w:t xml:space="preserve"> </w:t>
      </w:r>
      <w:r w:rsidRPr="002E0D7A">
        <w:t>Alexandra Ippolitova, “Roskomnadzor blocked thousands of sites about drugs since the beginning of the year,” Gazeta.ru, June 21, 2024.</w:t>
      </w:r>
      <w:r w:rsidR="005D2EEB">
        <w:t xml:space="preserve"> Online: </w:t>
      </w:r>
      <w:hyperlink r:id="rId3" w:history="1">
        <w:r w:rsidR="005D2EEB" w:rsidRPr="00EA1343">
          <w:rPr>
            <w:rStyle w:val="Hyperlink"/>
          </w:rPr>
          <w:t>https://www.gazeta.ru/social/news/2024/06/21/23291905.shtml?ysclid=me3f6xlexa843436861&amp;updated</w:t>
        </w:r>
      </w:hyperlink>
      <w:r w:rsidR="005D2EE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821E" w14:textId="77777777" w:rsidR="002863B0" w:rsidRDefault="002863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BA49" w14:textId="77777777" w:rsidR="002863B0" w:rsidRDefault="00286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10C6" w14:textId="77777777" w:rsidR="002863B0" w:rsidRDefault="00286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277"/>
    <w:multiLevelType w:val="multilevel"/>
    <w:tmpl w:val="447E0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2C72F9"/>
    <w:multiLevelType w:val="multilevel"/>
    <w:tmpl w:val="37484B8E"/>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437F4"/>
    <w:multiLevelType w:val="hybridMultilevel"/>
    <w:tmpl w:val="3C98F268"/>
    <w:lvl w:ilvl="0" w:tplc="10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9F1578E"/>
    <w:multiLevelType w:val="hybridMultilevel"/>
    <w:tmpl w:val="4FDC3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F862F6"/>
    <w:multiLevelType w:val="hybridMultilevel"/>
    <w:tmpl w:val="78DE646A"/>
    <w:lvl w:ilvl="0" w:tplc="F9083A1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28F6F20"/>
    <w:multiLevelType w:val="multilevel"/>
    <w:tmpl w:val="BFDC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8256C"/>
    <w:multiLevelType w:val="multilevel"/>
    <w:tmpl w:val="91E2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6C3971"/>
    <w:multiLevelType w:val="multilevel"/>
    <w:tmpl w:val="D702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142438"/>
    <w:multiLevelType w:val="multilevel"/>
    <w:tmpl w:val="6AD0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43F92"/>
    <w:multiLevelType w:val="multilevel"/>
    <w:tmpl w:val="037C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7958A1"/>
    <w:multiLevelType w:val="hybridMultilevel"/>
    <w:tmpl w:val="ADD42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72047CB"/>
    <w:multiLevelType w:val="multilevel"/>
    <w:tmpl w:val="E3C6D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16585671">
    <w:abstractNumId w:val="11"/>
  </w:num>
  <w:num w:numId="2" w16cid:durableId="1121220164">
    <w:abstractNumId w:val="0"/>
  </w:num>
  <w:num w:numId="3" w16cid:durableId="1764374269">
    <w:abstractNumId w:val="1"/>
  </w:num>
  <w:num w:numId="4" w16cid:durableId="1878152570">
    <w:abstractNumId w:val="10"/>
  </w:num>
  <w:num w:numId="5" w16cid:durableId="301890295">
    <w:abstractNumId w:val="3"/>
  </w:num>
  <w:num w:numId="6" w16cid:durableId="100728957">
    <w:abstractNumId w:val="4"/>
  </w:num>
  <w:num w:numId="7" w16cid:durableId="1069496694">
    <w:abstractNumId w:val="2"/>
  </w:num>
  <w:num w:numId="8" w16cid:durableId="853029750">
    <w:abstractNumId w:val="5"/>
  </w:num>
  <w:num w:numId="9" w16cid:durableId="1626931417">
    <w:abstractNumId w:val="9"/>
  </w:num>
  <w:num w:numId="10" w16cid:durableId="1022439881">
    <w:abstractNumId w:val="8"/>
  </w:num>
  <w:num w:numId="11" w16cid:durableId="1959945645">
    <w:abstractNumId w:val="7"/>
  </w:num>
  <w:num w:numId="12" w16cid:durableId="661272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4C"/>
    <w:rsid w:val="00006BAE"/>
    <w:rsid w:val="00022263"/>
    <w:rsid w:val="00026F28"/>
    <w:rsid w:val="000422A3"/>
    <w:rsid w:val="00067D18"/>
    <w:rsid w:val="00085B95"/>
    <w:rsid w:val="000A4244"/>
    <w:rsid w:val="000D0CD0"/>
    <w:rsid w:val="000D68CE"/>
    <w:rsid w:val="000E280B"/>
    <w:rsid w:val="000E6852"/>
    <w:rsid w:val="000F4DD0"/>
    <w:rsid w:val="00104B1B"/>
    <w:rsid w:val="00116FC0"/>
    <w:rsid w:val="00125879"/>
    <w:rsid w:val="00133DBF"/>
    <w:rsid w:val="00134E7E"/>
    <w:rsid w:val="001354C3"/>
    <w:rsid w:val="00137DD3"/>
    <w:rsid w:val="00140079"/>
    <w:rsid w:val="0014115F"/>
    <w:rsid w:val="00143981"/>
    <w:rsid w:val="00160A2E"/>
    <w:rsid w:val="00164580"/>
    <w:rsid w:val="0016685A"/>
    <w:rsid w:val="0018158E"/>
    <w:rsid w:val="00181B81"/>
    <w:rsid w:val="00191993"/>
    <w:rsid w:val="001B1DCB"/>
    <w:rsid w:val="001B40DC"/>
    <w:rsid w:val="001C20DC"/>
    <w:rsid w:val="001C5FB2"/>
    <w:rsid w:val="001E0FF9"/>
    <w:rsid w:val="001F4BBC"/>
    <w:rsid w:val="0020050D"/>
    <w:rsid w:val="002238BA"/>
    <w:rsid w:val="0022790F"/>
    <w:rsid w:val="0023543B"/>
    <w:rsid w:val="00236087"/>
    <w:rsid w:val="00240E62"/>
    <w:rsid w:val="0024645E"/>
    <w:rsid w:val="002500C4"/>
    <w:rsid w:val="002538D3"/>
    <w:rsid w:val="0026103D"/>
    <w:rsid w:val="002841E1"/>
    <w:rsid w:val="002863B0"/>
    <w:rsid w:val="002A2341"/>
    <w:rsid w:val="002C35AD"/>
    <w:rsid w:val="002C5DAD"/>
    <w:rsid w:val="002C6263"/>
    <w:rsid w:val="002D0826"/>
    <w:rsid w:val="002D0E85"/>
    <w:rsid w:val="002D3755"/>
    <w:rsid w:val="002D5BD7"/>
    <w:rsid w:val="002E05EA"/>
    <w:rsid w:val="002E0D7A"/>
    <w:rsid w:val="002E47ED"/>
    <w:rsid w:val="002F13BE"/>
    <w:rsid w:val="003005C4"/>
    <w:rsid w:val="0030331C"/>
    <w:rsid w:val="00321BD6"/>
    <w:rsid w:val="00326596"/>
    <w:rsid w:val="00330CDE"/>
    <w:rsid w:val="00357944"/>
    <w:rsid w:val="00360904"/>
    <w:rsid w:val="0037594A"/>
    <w:rsid w:val="00384451"/>
    <w:rsid w:val="00385134"/>
    <w:rsid w:val="003A0068"/>
    <w:rsid w:val="003A1E7B"/>
    <w:rsid w:val="003A31EA"/>
    <w:rsid w:val="003F7DD4"/>
    <w:rsid w:val="00406C50"/>
    <w:rsid w:val="00415451"/>
    <w:rsid w:val="00416C0E"/>
    <w:rsid w:val="004170A8"/>
    <w:rsid w:val="0044423B"/>
    <w:rsid w:val="004627CB"/>
    <w:rsid w:val="00466796"/>
    <w:rsid w:val="004C52FF"/>
    <w:rsid w:val="004C67BD"/>
    <w:rsid w:val="004E3328"/>
    <w:rsid w:val="004F4191"/>
    <w:rsid w:val="00511E1E"/>
    <w:rsid w:val="00516261"/>
    <w:rsid w:val="005170E5"/>
    <w:rsid w:val="00531A56"/>
    <w:rsid w:val="0054070E"/>
    <w:rsid w:val="0054723D"/>
    <w:rsid w:val="00567FDA"/>
    <w:rsid w:val="00570DB7"/>
    <w:rsid w:val="0057232D"/>
    <w:rsid w:val="005B07C9"/>
    <w:rsid w:val="005B5F4E"/>
    <w:rsid w:val="005C05B3"/>
    <w:rsid w:val="005C5443"/>
    <w:rsid w:val="005D2EEB"/>
    <w:rsid w:val="005D45A9"/>
    <w:rsid w:val="005E2369"/>
    <w:rsid w:val="005E3DA8"/>
    <w:rsid w:val="005F2381"/>
    <w:rsid w:val="005F3E9E"/>
    <w:rsid w:val="006077BD"/>
    <w:rsid w:val="00622855"/>
    <w:rsid w:val="00631D68"/>
    <w:rsid w:val="00640779"/>
    <w:rsid w:val="00646B42"/>
    <w:rsid w:val="006470EB"/>
    <w:rsid w:val="006474F7"/>
    <w:rsid w:val="00674DAA"/>
    <w:rsid w:val="00682297"/>
    <w:rsid w:val="00686EEA"/>
    <w:rsid w:val="00691882"/>
    <w:rsid w:val="006A36FE"/>
    <w:rsid w:val="006B1CD5"/>
    <w:rsid w:val="006B52A5"/>
    <w:rsid w:val="006B53BF"/>
    <w:rsid w:val="006B6367"/>
    <w:rsid w:val="006E37C0"/>
    <w:rsid w:val="006F3E38"/>
    <w:rsid w:val="006F7C3E"/>
    <w:rsid w:val="007300A7"/>
    <w:rsid w:val="0073215E"/>
    <w:rsid w:val="007340C7"/>
    <w:rsid w:val="00742977"/>
    <w:rsid w:val="00744E00"/>
    <w:rsid w:val="00756BED"/>
    <w:rsid w:val="00763823"/>
    <w:rsid w:val="00763ED8"/>
    <w:rsid w:val="00765520"/>
    <w:rsid w:val="00781053"/>
    <w:rsid w:val="007C4AA0"/>
    <w:rsid w:val="007C6268"/>
    <w:rsid w:val="007C63A1"/>
    <w:rsid w:val="007D4EB0"/>
    <w:rsid w:val="007F4EDC"/>
    <w:rsid w:val="008020ED"/>
    <w:rsid w:val="0083324D"/>
    <w:rsid w:val="0084046F"/>
    <w:rsid w:val="00846E63"/>
    <w:rsid w:val="0085014D"/>
    <w:rsid w:val="008530B6"/>
    <w:rsid w:val="008605A2"/>
    <w:rsid w:val="0087155E"/>
    <w:rsid w:val="00876F17"/>
    <w:rsid w:val="00886292"/>
    <w:rsid w:val="00892860"/>
    <w:rsid w:val="008B103D"/>
    <w:rsid w:val="008C2145"/>
    <w:rsid w:val="008C2C35"/>
    <w:rsid w:val="008D1BD0"/>
    <w:rsid w:val="008E4702"/>
    <w:rsid w:val="008E675A"/>
    <w:rsid w:val="00901F4D"/>
    <w:rsid w:val="009021E0"/>
    <w:rsid w:val="009057BB"/>
    <w:rsid w:val="00907044"/>
    <w:rsid w:val="00917F2D"/>
    <w:rsid w:val="0092684C"/>
    <w:rsid w:val="00935DB6"/>
    <w:rsid w:val="009612C6"/>
    <w:rsid w:val="00961B1A"/>
    <w:rsid w:val="009630E3"/>
    <w:rsid w:val="00966CF2"/>
    <w:rsid w:val="0097715B"/>
    <w:rsid w:val="0099496B"/>
    <w:rsid w:val="00997A48"/>
    <w:rsid w:val="009A123B"/>
    <w:rsid w:val="009B6E6C"/>
    <w:rsid w:val="009C5814"/>
    <w:rsid w:val="009D254C"/>
    <w:rsid w:val="009F7DCD"/>
    <w:rsid w:val="00A0091B"/>
    <w:rsid w:val="00A07ABB"/>
    <w:rsid w:val="00A102E9"/>
    <w:rsid w:val="00A10443"/>
    <w:rsid w:val="00A23445"/>
    <w:rsid w:val="00A314F0"/>
    <w:rsid w:val="00A37673"/>
    <w:rsid w:val="00A63682"/>
    <w:rsid w:val="00A65FB2"/>
    <w:rsid w:val="00A7541D"/>
    <w:rsid w:val="00A80C62"/>
    <w:rsid w:val="00A87D64"/>
    <w:rsid w:val="00A93226"/>
    <w:rsid w:val="00A97B93"/>
    <w:rsid w:val="00AA033F"/>
    <w:rsid w:val="00AD7631"/>
    <w:rsid w:val="00AE74E6"/>
    <w:rsid w:val="00AF02FF"/>
    <w:rsid w:val="00AF7229"/>
    <w:rsid w:val="00B01DD2"/>
    <w:rsid w:val="00B057BE"/>
    <w:rsid w:val="00B077C4"/>
    <w:rsid w:val="00B14279"/>
    <w:rsid w:val="00B16358"/>
    <w:rsid w:val="00B34D57"/>
    <w:rsid w:val="00B432A3"/>
    <w:rsid w:val="00B76ABF"/>
    <w:rsid w:val="00B801E2"/>
    <w:rsid w:val="00B86308"/>
    <w:rsid w:val="00B87868"/>
    <w:rsid w:val="00BA12FB"/>
    <w:rsid w:val="00BA2A13"/>
    <w:rsid w:val="00BB2202"/>
    <w:rsid w:val="00BB31A4"/>
    <w:rsid w:val="00BD04A8"/>
    <w:rsid w:val="00BD27E7"/>
    <w:rsid w:val="00BE3D71"/>
    <w:rsid w:val="00BE4607"/>
    <w:rsid w:val="00BE662B"/>
    <w:rsid w:val="00BF0282"/>
    <w:rsid w:val="00C00BC0"/>
    <w:rsid w:val="00C0384F"/>
    <w:rsid w:val="00C40EB1"/>
    <w:rsid w:val="00C47FA1"/>
    <w:rsid w:val="00C673FD"/>
    <w:rsid w:val="00C740FB"/>
    <w:rsid w:val="00C82C1B"/>
    <w:rsid w:val="00CA3E72"/>
    <w:rsid w:val="00CB0196"/>
    <w:rsid w:val="00CB075F"/>
    <w:rsid w:val="00CB44E7"/>
    <w:rsid w:val="00CB4915"/>
    <w:rsid w:val="00CD2C2A"/>
    <w:rsid w:val="00CE7BE1"/>
    <w:rsid w:val="00CE7CC9"/>
    <w:rsid w:val="00CF7C18"/>
    <w:rsid w:val="00D00E2F"/>
    <w:rsid w:val="00D01375"/>
    <w:rsid w:val="00D077DC"/>
    <w:rsid w:val="00D1018C"/>
    <w:rsid w:val="00D359BC"/>
    <w:rsid w:val="00D6415D"/>
    <w:rsid w:val="00D65042"/>
    <w:rsid w:val="00D779B8"/>
    <w:rsid w:val="00D849D0"/>
    <w:rsid w:val="00D853CA"/>
    <w:rsid w:val="00DA2ED5"/>
    <w:rsid w:val="00DA657D"/>
    <w:rsid w:val="00DB00F2"/>
    <w:rsid w:val="00DB102B"/>
    <w:rsid w:val="00DB5039"/>
    <w:rsid w:val="00DC7307"/>
    <w:rsid w:val="00DC7CEA"/>
    <w:rsid w:val="00DF1352"/>
    <w:rsid w:val="00DF1E38"/>
    <w:rsid w:val="00E1078E"/>
    <w:rsid w:val="00E202EF"/>
    <w:rsid w:val="00E421AE"/>
    <w:rsid w:val="00E46DEB"/>
    <w:rsid w:val="00E71529"/>
    <w:rsid w:val="00E76144"/>
    <w:rsid w:val="00EA02A0"/>
    <w:rsid w:val="00EA1A08"/>
    <w:rsid w:val="00EA6640"/>
    <w:rsid w:val="00EC7AF8"/>
    <w:rsid w:val="00EE431C"/>
    <w:rsid w:val="00EF2A03"/>
    <w:rsid w:val="00EF2B37"/>
    <w:rsid w:val="00EF63BB"/>
    <w:rsid w:val="00F031F6"/>
    <w:rsid w:val="00F04EAD"/>
    <w:rsid w:val="00F248E7"/>
    <w:rsid w:val="00F3446A"/>
    <w:rsid w:val="00F423BD"/>
    <w:rsid w:val="00F755B9"/>
    <w:rsid w:val="00F815E6"/>
    <w:rsid w:val="00F84802"/>
    <w:rsid w:val="00F85769"/>
    <w:rsid w:val="00F85CF9"/>
    <w:rsid w:val="00F960B4"/>
    <w:rsid w:val="00FA3BE7"/>
    <w:rsid w:val="00FA7809"/>
    <w:rsid w:val="00FB743A"/>
    <w:rsid w:val="00FE43BC"/>
    <w:rsid w:val="00FF2157"/>
    <w:rsid w:val="00FF7F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AECC"/>
  <w15:chartTrackingRefBased/>
  <w15:docId w15:val="{05777563-3AEF-4814-985F-202C2968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CB44E7"/>
    <w:pPr>
      <w:keepNext/>
      <w:keepLines/>
      <w:spacing w:before="480" w:after="0" w:line="276" w:lineRule="auto"/>
      <w:outlineLvl w:val="0"/>
    </w:pPr>
    <w:rPr>
      <w:rFonts w:ascii="Cambria" w:eastAsia="Cambria" w:hAnsi="Cambria" w:cs="Cambria"/>
      <w:b/>
      <w:color w:val="366091"/>
      <w:kern w:val="0"/>
      <w:sz w:val="28"/>
      <w:szCs w:val="28"/>
      <w:lang w:eastAsia="en-CA"/>
      <w14:ligatures w14:val="none"/>
    </w:rPr>
  </w:style>
  <w:style w:type="paragraph" w:styleId="Heading2">
    <w:name w:val="heading 2"/>
    <w:basedOn w:val="Normal"/>
    <w:next w:val="Normal"/>
    <w:link w:val="Heading2Char"/>
    <w:uiPriority w:val="9"/>
    <w:semiHidden/>
    <w:unhideWhenUsed/>
    <w:qFormat/>
    <w:rsid w:val="007810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57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163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5DAD"/>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Heading1Char">
    <w:name w:val="Heading 1 Char"/>
    <w:basedOn w:val="DefaultParagraphFont"/>
    <w:link w:val="Heading1"/>
    <w:rsid w:val="00CB44E7"/>
    <w:rPr>
      <w:rFonts w:ascii="Cambria" w:eastAsia="Cambria" w:hAnsi="Cambria" w:cs="Cambria"/>
      <w:b/>
      <w:color w:val="366091"/>
      <w:kern w:val="0"/>
      <w:sz w:val="28"/>
      <w:szCs w:val="28"/>
      <w:lang w:eastAsia="en-CA"/>
      <w14:ligatures w14:val="none"/>
    </w:rPr>
  </w:style>
  <w:style w:type="paragraph" w:styleId="FootnoteText">
    <w:name w:val="footnote text"/>
    <w:basedOn w:val="Normal"/>
    <w:link w:val="FootnoteTextChar"/>
    <w:uiPriority w:val="99"/>
    <w:semiHidden/>
    <w:unhideWhenUsed/>
    <w:rsid w:val="00A97B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7B93"/>
    <w:rPr>
      <w:sz w:val="20"/>
      <w:szCs w:val="20"/>
    </w:rPr>
  </w:style>
  <w:style w:type="character" w:styleId="FootnoteReference">
    <w:name w:val="footnote reference"/>
    <w:basedOn w:val="DefaultParagraphFont"/>
    <w:uiPriority w:val="99"/>
    <w:semiHidden/>
    <w:unhideWhenUsed/>
    <w:rsid w:val="00A97B93"/>
    <w:rPr>
      <w:vertAlign w:val="superscript"/>
    </w:rPr>
  </w:style>
  <w:style w:type="paragraph" w:styleId="ListParagraph">
    <w:name w:val="List Paragraph"/>
    <w:basedOn w:val="Normal"/>
    <w:uiPriority w:val="34"/>
    <w:qFormat/>
    <w:rsid w:val="00A7541D"/>
    <w:pPr>
      <w:ind w:left="720"/>
      <w:contextualSpacing/>
    </w:pPr>
  </w:style>
  <w:style w:type="character" w:styleId="Hyperlink">
    <w:name w:val="Hyperlink"/>
    <w:basedOn w:val="DefaultParagraphFont"/>
    <w:uiPriority w:val="99"/>
    <w:unhideWhenUsed/>
    <w:rsid w:val="004E3328"/>
    <w:rPr>
      <w:color w:val="0563C1" w:themeColor="hyperlink"/>
      <w:u w:val="single"/>
    </w:rPr>
  </w:style>
  <w:style w:type="character" w:styleId="UnresolvedMention">
    <w:name w:val="Unresolved Mention"/>
    <w:basedOn w:val="DefaultParagraphFont"/>
    <w:uiPriority w:val="99"/>
    <w:semiHidden/>
    <w:unhideWhenUsed/>
    <w:rsid w:val="004E3328"/>
    <w:rPr>
      <w:color w:val="605E5C"/>
      <w:shd w:val="clear" w:color="auto" w:fill="E1DFDD"/>
    </w:rPr>
  </w:style>
  <w:style w:type="paragraph" w:styleId="Revision">
    <w:name w:val="Revision"/>
    <w:hidden/>
    <w:uiPriority w:val="99"/>
    <w:semiHidden/>
    <w:rsid w:val="003A0068"/>
    <w:pPr>
      <w:spacing w:after="0" w:line="240" w:lineRule="auto"/>
    </w:pPr>
  </w:style>
  <w:style w:type="character" w:styleId="EndnoteReference">
    <w:name w:val="endnote reference"/>
    <w:basedOn w:val="DefaultParagraphFont"/>
    <w:uiPriority w:val="99"/>
    <w:semiHidden/>
    <w:unhideWhenUsed/>
    <w:rsid w:val="00EE431C"/>
    <w:rPr>
      <w:vertAlign w:val="superscript"/>
    </w:rPr>
  </w:style>
  <w:style w:type="character" w:styleId="CommentReference">
    <w:name w:val="annotation reference"/>
    <w:basedOn w:val="DefaultParagraphFont"/>
    <w:uiPriority w:val="99"/>
    <w:semiHidden/>
    <w:unhideWhenUsed/>
    <w:rsid w:val="007300A7"/>
    <w:rPr>
      <w:sz w:val="16"/>
      <w:szCs w:val="16"/>
    </w:rPr>
  </w:style>
  <w:style w:type="paragraph" w:styleId="CommentText">
    <w:name w:val="annotation text"/>
    <w:basedOn w:val="Normal"/>
    <w:link w:val="CommentTextChar"/>
    <w:uiPriority w:val="99"/>
    <w:semiHidden/>
    <w:unhideWhenUsed/>
    <w:rsid w:val="007300A7"/>
    <w:pPr>
      <w:spacing w:line="240" w:lineRule="auto"/>
    </w:pPr>
    <w:rPr>
      <w:sz w:val="20"/>
      <w:szCs w:val="20"/>
    </w:rPr>
  </w:style>
  <w:style w:type="character" w:customStyle="1" w:styleId="CommentTextChar">
    <w:name w:val="Comment Text Char"/>
    <w:basedOn w:val="DefaultParagraphFont"/>
    <w:link w:val="CommentText"/>
    <w:uiPriority w:val="99"/>
    <w:semiHidden/>
    <w:rsid w:val="007300A7"/>
    <w:rPr>
      <w:sz w:val="20"/>
      <w:szCs w:val="20"/>
    </w:rPr>
  </w:style>
  <w:style w:type="paragraph" w:styleId="CommentSubject">
    <w:name w:val="annotation subject"/>
    <w:basedOn w:val="CommentText"/>
    <w:next w:val="CommentText"/>
    <w:link w:val="CommentSubjectChar"/>
    <w:uiPriority w:val="99"/>
    <w:semiHidden/>
    <w:unhideWhenUsed/>
    <w:rsid w:val="007300A7"/>
    <w:rPr>
      <w:b/>
      <w:bCs/>
    </w:rPr>
  </w:style>
  <w:style w:type="character" w:customStyle="1" w:styleId="CommentSubjectChar">
    <w:name w:val="Comment Subject Char"/>
    <w:basedOn w:val="CommentTextChar"/>
    <w:link w:val="CommentSubject"/>
    <w:uiPriority w:val="99"/>
    <w:semiHidden/>
    <w:rsid w:val="007300A7"/>
    <w:rPr>
      <w:b/>
      <w:bCs/>
      <w:sz w:val="20"/>
      <w:szCs w:val="20"/>
    </w:rPr>
  </w:style>
  <w:style w:type="paragraph" w:styleId="Header">
    <w:name w:val="header"/>
    <w:basedOn w:val="Normal"/>
    <w:link w:val="HeaderChar"/>
    <w:uiPriority w:val="99"/>
    <w:unhideWhenUsed/>
    <w:rsid w:val="00286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3B0"/>
  </w:style>
  <w:style w:type="paragraph" w:styleId="Footer">
    <w:name w:val="footer"/>
    <w:basedOn w:val="Normal"/>
    <w:link w:val="FooterChar"/>
    <w:uiPriority w:val="99"/>
    <w:unhideWhenUsed/>
    <w:rsid w:val="00286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3B0"/>
  </w:style>
  <w:style w:type="character" w:customStyle="1" w:styleId="Heading3Char">
    <w:name w:val="Heading 3 Char"/>
    <w:basedOn w:val="DefaultParagraphFont"/>
    <w:link w:val="Heading3"/>
    <w:uiPriority w:val="9"/>
    <w:semiHidden/>
    <w:rsid w:val="009057B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16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1635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78105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12424">
      <w:bodyDiv w:val="1"/>
      <w:marLeft w:val="0"/>
      <w:marRight w:val="0"/>
      <w:marTop w:val="0"/>
      <w:marBottom w:val="0"/>
      <w:divBdr>
        <w:top w:val="none" w:sz="0" w:space="0" w:color="auto"/>
        <w:left w:val="none" w:sz="0" w:space="0" w:color="auto"/>
        <w:bottom w:val="none" w:sz="0" w:space="0" w:color="auto"/>
        <w:right w:val="none" w:sz="0" w:space="0" w:color="auto"/>
      </w:divBdr>
    </w:div>
    <w:div w:id="973366712">
      <w:bodyDiv w:val="1"/>
      <w:marLeft w:val="0"/>
      <w:marRight w:val="0"/>
      <w:marTop w:val="0"/>
      <w:marBottom w:val="0"/>
      <w:divBdr>
        <w:top w:val="none" w:sz="0" w:space="0" w:color="auto"/>
        <w:left w:val="none" w:sz="0" w:space="0" w:color="auto"/>
        <w:bottom w:val="none" w:sz="0" w:space="0" w:color="auto"/>
        <w:right w:val="none" w:sz="0" w:space="0" w:color="auto"/>
      </w:divBdr>
      <w:divsChild>
        <w:div w:id="1183013352">
          <w:marLeft w:val="0"/>
          <w:marRight w:val="0"/>
          <w:marTop w:val="0"/>
          <w:marBottom w:val="0"/>
          <w:divBdr>
            <w:top w:val="none" w:sz="0" w:space="0" w:color="auto"/>
            <w:left w:val="none" w:sz="0" w:space="0" w:color="auto"/>
            <w:bottom w:val="none" w:sz="0" w:space="0" w:color="auto"/>
            <w:right w:val="none" w:sz="0" w:space="0" w:color="auto"/>
          </w:divBdr>
          <w:divsChild>
            <w:div w:id="540747967">
              <w:marLeft w:val="0"/>
              <w:marRight w:val="0"/>
              <w:marTop w:val="0"/>
              <w:marBottom w:val="0"/>
              <w:divBdr>
                <w:top w:val="none" w:sz="0" w:space="0" w:color="auto"/>
                <w:left w:val="none" w:sz="0" w:space="0" w:color="auto"/>
                <w:bottom w:val="none" w:sz="0" w:space="0" w:color="auto"/>
                <w:right w:val="none" w:sz="0" w:space="0" w:color="auto"/>
              </w:divBdr>
              <w:divsChild>
                <w:div w:id="15256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01740">
      <w:bodyDiv w:val="1"/>
      <w:marLeft w:val="0"/>
      <w:marRight w:val="0"/>
      <w:marTop w:val="0"/>
      <w:marBottom w:val="0"/>
      <w:divBdr>
        <w:top w:val="none" w:sz="0" w:space="0" w:color="auto"/>
        <w:left w:val="none" w:sz="0" w:space="0" w:color="auto"/>
        <w:bottom w:val="none" w:sz="0" w:space="0" w:color="auto"/>
        <w:right w:val="none" w:sz="0" w:space="0" w:color="auto"/>
      </w:divBdr>
      <w:divsChild>
        <w:div w:id="1033192996">
          <w:marLeft w:val="0"/>
          <w:marRight w:val="0"/>
          <w:marTop w:val="0"/>
          <w:marBottom w:val="0"/>
          <w:divBdr>
            <w:top w:val="none" w:sz="0" w:space="0" w:color="auto"/>
            <w:left w:val="none" w:sz="0" w:space="0" w:color="auto"/>
            <w:bottom w:val="none" w:sz="0" w:space="0" w:color="auto"/>
            <w:right w:val="none" w:sz="0" w:space="0" w:color="auto"/>
          </w:divBdr>
          <w:divsChild>
            <w:div w:id="1738741616">
              <w:marLeft w:val="0"/>
              <w:marRight w:val="0"/>
              <w:marTop w:val="0"/>
              <w:marBottom w:val="0"/>
              <w:divBdr>
                <w:top w:val="none" w:sz="0" w:space="0" w:color="auto"/>
                <w:left w:val="none" w:sz="0" w:space="0" w:color="auto"/>
                <w:bottom w:val="none" w:sz="0" w:space="0" w:color="auto"/>
                <w:right w:val="none" w:sz="0" w:space="0" w:color="auto"/>
              </w:divBdr>
              <w:divsChild>
                <w:div w:id="93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azeta.ru/social/news/2024/06/21/23291905.shtml?ysclid=me3f6xlexa843436861&amp;updated" TargetMode="External"/><Relationship Id="rId2" Type="http://schemas.openxmlformats.org/officeDocument/2006/relationships/hyperlink" Target="https://fparf.ru/news/fpa/takoy-podkhod-zasluzhivaet-bezuslovnoy-podderzhki/" TargetMode="External"/><Relationship Id="rId1" Type="http://schemas.openxmlformats.org/officeDocument/2006/relationships/hyperlink" Target="https://cdep.ru/userimages/Statistika_2024/K7-svod_vse_sudy-2024.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6F368-0FD5-43DB-A2B1-6AB8FFB61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9</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Golichenko</dc:creator>
  <cp:keywords/>
  <dc:description/>
  <cp:lastModifiedBy>Mikhail Golichenko</cp:lastModifiedBy>
  <cp:revision>111</cp:revision>
  <dcterms:created xsi:type="dcterms:W3CDTF">2025-08-01T00:07:00Z</dcterms:created>
  <dcterms:modified xsi:type="dcterms:W3CDTF">2025-08-09T02:50:00Z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a6bf078c2b6da6df563c5615006ae00912ae765a8c7b2dd70d46ec45d06b7790</vt:lpwstr>
  </property>
</Properties>
</file>