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78BED3" w14:textId="257BC348" w:rsidR="00B00CE5" w:rsidRDefault="00000000">
      <w:pPr>
        <w:pStyle w:val="P68B1DB1-SingleTxtG1"/>
        <w:spacing w:line="276" w:lineRule="auto"/>
        <w:ind w:left="0" w:right="0"/>
      </w:pPr>
      <w:r>
        <w:t>Addendum to question 24 — Provisions of the Pact on the Right to Adequate Housing</w:t>
      </w:r>
    </w:p>
    <w:p w14:paraId="411C459A" w14:textId="23C06B54" w:rsidR="00B00CE5" w:rsidRDefault="00C84394">
      <w:pPr>
        <w:pStyle w:val="SingleTxtG"/>
        <w:spacing w:line="276" w:lineRule="auto"/>
        <w:ind w:left="0" w:right="0"/>
        <w:rPr>
          <w:b/>
          <w:sz w:val="24"/>
        </w:rPr>
      </w:pPr>
      <w:r>
        <w:rPr>
          <w:b/>
          <w:sz w:val="24"/>
        </w:rPr>
        <w:t>I.</w:t>
      </w:r>
    </w:p>
    <w:p w14:paraId="2EABD4FD" w14:textId="4BAC5141" w:rsidR="00B00CE5" w:rsidRDefault="00000000">
      <w:pPr>
        <w:pStyle w:val="P68B1DB1-SingleTxtG2"/>
        <w:spacing w:line="276" w:lineRule="auto"/>
        <w:ind w:left="0" w:right="0"/>
        <w:rPr>
          <w:b/>
        </w:rPr>
      </w:pPr>
      <w:r>
        <w:rPr>
          <w:b/>
        </w:rPr>
        <w:t>The number of residential</w:t>
      </w:r>
      <w:r>
        <w:t xml:space="preserve"> </w:t>
      </w:r>
      <w:r>
        <w:rPr>
          <w:b/>
        </w:rPr>
        <w:t>users</w:t>
      </w:r>
      <w:r>
        <w:t xml:space="preserve"> cared for by the </w:t>
      </w:r>
      <w:bookmarkStart w:id="0" w:name="_Hlk165627844"/>
      <w:r w:rsidR="00C84394" w:rsidRPr="00416224">
        <w:rPr>
          <w:szCs w:val="24"/>
          <w:lang w:val="en-AU"/>
        </w:rPr>
        <w:t>CSOFRH</w:t>
      </w:r>
      <w:bookmarkEnd w:id="0"/>
      <w:r>
        <w:t xml:space="preserve"> was </w:t>
      </w:r>
      <w:r>
        <w:rPr>
          <w:b/>
        </w:rPr>
        <w:t xml:space="preserve">significantly higher than the extracted data </w:t>
      </w:r>
      <w:proofErr w:type="gramStart"/>
      <w:r>
        <w:rPr>
          <w:b/>
        </w:rPr>
        <w:t>and also</w:t>
      </w:r>
      <w:proofErr w:type="gramEnd"/>
      <w:r>
        <w:rPr>
          <w:b/>
        </w:rPr>
        <w:t xml:space="preserve"> contained:</w:t>
      </w:r>
    </w:p>
    <w:p w14:paraId="1116BEC3" w14:textId="28DDA1A3" w:rsidR="00B00CE5" w:rsidRDefault="00000000">
      <w:pPr>
        <w:pStyle w:val="SingleTxtG"/>
        <w:spacing w:line="276" w:lineRule="auto"/>
        <w:ind w:left="0" w:right="0"/>
        <w:rPr>
          <w:sz w:val="24"/>
        </w:rPr>
      </w:pPr>
      <w:r>
        <w:rPr>
          <w:b/>
          <w:sz w:val="24"/>
        </w:rPr>
        <w:t>-</w:t>
      </w:r>
      <w:r>
        <w:rPr>
          <w:sz w:val="24"/>
        </w:rPr>
        <w:t xml:space="preserve"> priority areas for public policies to reduce the risk of poverty and social exclusion, as well as the reduction of inequalities in society, as identified through a part of jobs: payment of aid, organised level I-III level IV-VI renewal under the Reconstruction Act</w:t>
      </w:r>
      <w:r>
        <w:rPr>
          <w:rStyle w:val="Referencafusnote"/>
          <w:sz w:val="24"/>
        </w:rPr>
        <w:footnoteReference w:id="1"/>
      </w:r>
      <w:r>
        <w:rPr>
          <w:sz w:val="24"/>
        </w:rPr>
        <w:t xml:space="preserve">(hereinafter: </w:t>
      </w:r>
      <w:r w:rsidR="00C84394">
        <w:rPr>
          <w:sz w:val="24"/>
        </w:rPr>
        <w:t>RA</w:t>
      </w:r>
      <w:r>
        <w:rPr>
          <w:sz w:val="24"/>
        </w:rPr>
        <w:t xml:space="preserve">) – equipping households with furniture and appliances for white techniques, </w:t>
      </w:r>
    </w:p>
    <w:p w14:paraId="30A0F1F1" w14:textId="6890F07B" w:rsidR="00B00CE5" w:rsidRDefault="00C84394">
      <w:pPr>
        <w:pStyle w:val="P68B1DB1-SingleTxtG2"/>
        <w:spacing w:line="276" w:lineRule="auto"/>
        <w:ind w:left="0" w:right="0"/>
      </w:pPr>
      <w:r>
        <w:t xml:space="preserve">- </w:t>
      </w:r>
      <w:r w:rsidR="00000000">
        <w:t xml:space="preserve">donation of construction material for the renovation, upgrading, upgrading, completion and construction of family houses owned by the beneficiary, </w:t>
      </w:r>
    </w:p>
    <w:p w14:paraId="296E7FBF" w14:textId="2DE9C4F0" w:rsidR="00B00CE5" w:rsidRDefault="00C84394">
      <w:pPr>
        <w:pStyle w:val="P68B1DB1-SingleTxtG2"/>
        <w:spacing w:line="276" w:lineRule="auto"/>
        <w:ind w:left="0" w:right="0"/>
      </w:pPr>
      <w:r>
        <w:t>- organized</w:t>
      </w:r>
      <w:r w:rsidR="00000000">
        <w:t xml:space="preserve"> installation of construction material, financial support paid upon completion of installation of construction material, </w:t>
      </w:r>
    </w:p>
    <w:p w14:paraId="0F278A05" w14:textId="711AC8F9" w:rsidR="00B00CE5" w:rsidRDefault="00C84394">
      <w:pPr>
        <w:pStyle w:val="P68B1DB1-SingleTxtG2"/>
        <w:spacing w:line="276" w:lineRule="auto"/>
        <w:ind w:left="0" w:right="0"/>
      </w:pPr>
      <w:r>
        <w:t xml:space="preserve">- </w:t>
      </w:r>
      <w:r w:rsidR="00000000">
        <w:t xml:space="preserve">renovation and construction of state-owned housing units, renovation and construction of state-owned multi-dwelling </w:t>
      </w:r>
      <w:proofErr w:type="gramStart"/>
      <w:r w:rsidR="00000000">
        <w:t>buildings;</w:t>
      </w:r>
      <w:proofErr w:type="gramEnd"/>
      <w:r w:rsidR="00000000">
        <w:t xml:space="preserve"> </w:t>
      </w:r>
    </w:p>
    <w:p w14:paraId="7AE6AE2A" w14:textId="22BFA117" w:rsidR="00B00CE5" w:rsidRDefault="00C84394">
      <w:pPr>
        <w:pStyle w:val="P68B1DB1-SingleTxtG2"/>
        <w:spacing w:line="276" w:lineRule="auto"/>
        <w:ind w:left="0" w:right="0"/>
      </w:pPr>
      <w:r>
        <w:t xml:space="preserve">- </w:t>
      </w:r>
      <w:r w:rsidR="00000000">
        <w:t xml:space="preserve">lease agreements concluded, </w:t>
      </w:r>
    </w:p>
    <w:p w14:paraId="7EB484FA" w14:textId="379E0E42" w:rsidR="00B00CE5" w:rsidRDefault="00C84394">
      <w:pPr>
        <w:pStyle w:val="P68B1DB1-SingleTxtG2"/>
        <w:spacing w:line="276" w:lineRule="auto"/>
        <w:ind w:left="0" w:right="0"/>
      </w:pPr>
      <w:r>
        <w:t xml:space="preserve">- </w:t>
      </w:r>
      <w:r w:rsidR="00000000">
        <w:t xml:space="preserve">housing for former tenants, housing for the most vulnerable groups of returnees, displaced persons and refugees, housing and improvement of living conditions for members of the Roma national minority, housing in exceptional circumstances, housing for persons of certain professions and occupations whose work has a particularly demonstrated need, housing for victims of domestic </w:t>
      </w:r>
      <w:proofErr w:type="gramStart"/>
      <w:r w:rsidR="00000000">
        <w:t>violence;</w:t>
      </w:r>
      <w:proofErr w:type="gramEnd"/>
      <w:r w:rsidR="00000000">
        <w:t xml:space="preserve"> </w:t>
      </w:r>
    </w:p>
    <w:p w14:paraId="6E5E779C" w14:textId="0A8DE5D6" w:rsidR="00B00CE5" w:rsidRDefault="00C84394">
      <w:pPr>
        <w:pStyle w:val="P68B1DB1-SingleTxtG2"/>
        <w:spacing w:line="276" w:lineRule="auto"/>
        <w:ind w:left="0" w:right="0"/>
      </w:pPr>
      <w:r>
        <w:t xml:space="preserve">- </w:t>
      </w:r>
      <w:r w:rsidR="00000000">
        <w:t xml:space="preserve">provision of accommodation for asylum seekers and persons under subsidiary </w:t>
      </w:r>
      <w:proofErr w:type="gramStart"/>
      <w:r w:rsidR="00000000">
        <w:t>protection;</w:t>
      </w:r>
      <w:proofErr w:type="gramEnd"/>
      <w:r w:rsidR="00000000">
        <w:t xml:space="preserve"> </w:t>
      </w:r>
    </w:p>
    <w:p w14:paraId="391F8133" w14:textId="33C54AEA" w:rsidR="00B00CE5" w:rsidRDefault="00C84394">
      <w:pPr>
        <w:pStyle w:val="P68B1DB1-SingleTxtG2"/>
        <w:spacing w:line="276" w:lineRule="auto"/>
        <w:ind w:left="0" w:right="0"/>
      </w:pPr>
      <w:r>
        <w:t xml:space="preserve">- </w:t>
      </w:r>
      <w:r w:rsidR="00000000">
        <w:t xml:space="preserve">renovation and repair of destroyed or damaged family houses of Croatians in Bosnia and </w:t>
      </w:r>
      <w:proofErr w:type="gramStart"/>
      <w:r w:rsidR="00000000">
        <w:t>Herzegovina;</w:t>
      </w:r>
      <w:proofErr w:type="gramEnd"/>
      <w:r w:rsidR="00000000">
        <w:t xml:space="preserve"> </w:t>
      </w:r>
    </w:p>
    <w:p w14:paraId="08AC602A" w14:textId="66A4430B" w:rsidR="00B00CE5" w:rsidRDefault="00C84394">
      <w:pPr>
        <w:pStyle w:val="P68B1DB1-SingleTxtG2"/>
        <w:spacing w:line="276" w:lineRule="auto"/>
        <w:ind w:left="0" w:right="0"/>
      </w:pPr>
      <w:r>
        <w:t xml:space="preserve">- </w:t>
      </w:r>
      <w:r w:rsidR="00000000">
        <w:t xml:space="preserve">rehabilitation and construction of basic municipal and social infrastructure </w:t>
      </w:r>
      <w:proofErr w:type="gramStart"/>
      <w:r w:rsidR="00000000">
        <w:t>facilities;</w:t>
      </w:r>
      <w:proofErr w:type="gramEnd"/>
    </w:p>
    <w:p w14:paraId="57F1EE8B" w14:textId="4C3EEBB7" w:rsidR="00B00CE5" w:rsidRDefault="00C84394">
      <w:pPr>
        <w:pStyle w:val="P68B1DB1-SingleTxtG2"/>
        <w:spacing w:line="276" w:lineRule="auto"/>
        <w:ind w:left="0" w:right="0"/>
      </w:pPr>
      <w:r>
        <w:t xml:space="preserve">- </w:t>
      </w:r>
      <w:r w:rsidR="00000000">
        <w:t xml:space="preserve">inter-departmental cooperation with local self-government </w:t>
      </w:r>
      <w:proofErr w:type="gramStart"/>
      <w:r w:rsidR="00000000">
        <w:t>units;</w:t>
      </w:r>
      <w:proofErr w:type="gramEnd"/>
      <w:r w:rsidR="00000000">
        <w:t xml:space="preserve"> </w:t>
      </w:r>
    </w:p>
    <w:p w14:paraId="775928AE" w14:textId="4B8E10CD" w:rsidR="00B00CE5" w:rsidRDefault="00C84394">
      <w:pPr>
        <w:pStyle w:val="P68B1DB1-SingleTxtG2"/>
        <w:spacing w:line="276" w:lineRule="auto"/>
        <w:ind w:left="0" w:right="0"/>
      </w:pPr>
      <w:r>
        <w:t xml:space="preserve">- </w:t>
      </w:r>
      <w:r w:rsidR="00000000">
        <w:t xml:space="preserve">implementation of the fight against energy poverty (307 buildings in earthquake-stricken areas whose inhabitants are unable to participate in the financing of the necessary repairs or energy renovation of buildings have been monitored and energy renovation projects are planned to be fully financed in these areas), as well as </w:t>
      </w:r>
    </w:p>
    <w:p w14:paraId="327A816A" w14:textId="467D41E9" w:rsidR="00B00CE5" w:rsidRDefault="00C84394">
      <w:pPr>
        <w:pStyle w:val="P68B1DB1-SingleTxtG2"/>
        <w:spacing w:line="276" w:lineRule="auto"/>
        <w:ind w:left="0" w:right="0"/>
      </w:pPr>
      <w:r>
        <w:t xml:space="preserve">- </w:t>
      </w:r>
      <w:r w:rsidR="00000000">
        <w:t>maintaining mobile housing and creating conditions to return to safe family homes in earthquake-stricken areas.</w:t>
      </w:r>
    </w:p>
    <w:p w14:paraId="20C3900F" w14:textId="77777777" w:rsidR="00B00CE5" w:rsidRDefault="00B00CE5">
      <w:pPr>
        <w:pStyle w:val="SingleTxtG"/>
        <w:spacing w:line="276" w:lineRule="auto"/>
        <w:ind w:left="0" w:right="0"/>
        <w:rPr>
          <w:sz w:val="24"/>
        </w:rPr>
      </w:pPr>
    </w:p>
    <w:p w14:paraId="3B782457" w14:textId="77777777" w:rsidR="00B00CE5" w:rsidRDefault="00B00CE5">
      <w:pPr>
        <w:pStyle w:val="SingleTxtG"/>
        <w:spacing w:line="276" w:lineRule="auto"/>
        <w:ind w:left="0" w:right="0"/>
        <w:rPr>
          <w:sz w:val="24"/>
        </w:rPr>
      </w:pPr>
    </w:p>
    <w:p w14:paraId="0A8D08AF" w14:textId="77777777" w:rsidR="00B00CE5" w:rsidRDefault="00B00CE5">
      <w:pPr>
        <w:pStyle w:val="SingleTxtG"/>
        <w:spacing w:line="276" w:lineRule="auto"/>
        <w:ind w:left="0" w:right="0"/>
        <w:rPr>
          <w:sz w:val="24"/>
        </w:rPr>
      </w:pPr>
    </w:p>
    <w:p w14:paraId="21B3267D" w14:textId="77777777" w:rsidR="00B00CE5" w:rsidRDefault="00B00CE5">
      <w:pPr>
        <w:pStyle w:val="SingleTxtG"/>
        <w:spacing w:line="276" w:lineRule="auto"/>
        <w:ind w:left="0" w:right="0"/>
        <w:rPr>
          <w:sz w:val="24"/>
        </w:rPr>
      </w:pPr>
    </w:p>
    <w:p w14:paraId="097A4D0B" w14:textId="77777777" w:rsidR="00B00CE5" w:rsidRDefault="00000000">
      <w:pPr>
        <w:pStyle w:val="P68B1DB1-SingleTxtG2"/>
        <w:spacing w:line="276" w:lineRule="auto"/>
        <w:ind w:left="0" w:right="0"/>
      </w:pPr>
      <w:r>
        <w:lastRenderedPageBreak/>
        <w:t>The following activities are also covered:</w:t>
      </w:r>
    </w:p>
    <w:p w14:paraId="33EA5E50" w14:textId="490BC689" w:rsidR="00B00CE5" w:rsidRDefault="00000000" w:rsidP="00C84394">
      <w:pPr>
        <w:pStyle w:val="P68B1DB1-SingleTxtG2"/>
        <w:numPr>
          <w:ilvl w:val="0"/>
          <w:numId w:val="1"/>
        </w:numPr>
        <w:spacing w:line="276" w:lineRule="auto"/>
        <w:ind w:right="0"/>
      </w:pPr>
      <w:r>
        <w:t xml:space="preserve">inter-departmental cooperation with </w:t>
      </w:r>
      <w:r w:rsidR="00C84394" w:rsidRPr="00416224">
        <w:rPr>
          <w:szCs w:val="24"/>
          <w:lang w:val="en-AU"/>
        </w:rPr>
        <w:t>LSGU</w:t>
      </w:r>
      <w:r w:rsidR="00C84394">
        <w:t xml:space="preserve"> </w:t>
      </w:r>
      <w:r>
        <w:t xml:space="preserve">s and state administration bodies, under which agreements have been concluded with the municipalities of </w:t>
      </w:r>
      <w:proofErr w:type="spellStart"/>
      <w:r>
        <w:t>Konavle</w:t>
      </w:r>
      <w:proofErr w:type="spellEnd"/>
      <w:r>
        <w:t xml:space="preserve"> and </w:t>
      </w:r>
      <w:proofErr w:type="spellStart"/>
      <w:r>
        <w:t>Brinje</w:t>
      </w:r>
      <w:proofErr w:type="spellEnd"/>
      <w:r>
        <w:t xml:space="preserve"> on the construction and regulation of new housing units; works are being carried out in the towns of </w:t>
      </w:r>
      <w:proofErr w:type="spellStart"/>
      <w:r>
        <w:t>Drniš</w:t>
      </w:r>
      <w:proofErr w:type="spellEnd"/>
      <w:r>
        <w:t xml:space="preserve"> and </w:t>
      </w:r>
      <w:proofErr w:type="spellStart"/>
      <w:r>
        <w:t>Novska</w:t>
      </w:r>
      <w:proofErr w:type="spellEnd"/>
      <w:r>
        <w:t xml:space="preserve"> for the construction of new buildings with 25 and 20 apartments, respectively;  a building permit for the construction of a multi-apartment building is ongoing in the city of </w:t>
      </w:r>
      <w:proofErr w:type="spellStart"/>
      <w:r>
        <w:t>Benkovc</w:t>
      </w:r>
      <w:proofErr w:type="spellEnd"/>
      <w:r>
        <w:t xml:space="preserve"> and three multi-dwelling buildings with a total of 94 apartments are under design in the city of Knin. </w:t>
      </w:r>
    </w:p>
    <w:p w14:paraId="4130E932" w14:textId="65F93EE5" w:rsidR="00B00CE5" w:rsidRDefault="00C84394" w:rsidP="00C84394">
      <w:pPr>
        <w:pStyle w:val="P68B1DB1-SingleTxtG2"/>
        <w:numPr>
          <w:ilvl w:val="0"/>
          <w:numId w:val="1"/>
        </w:numPr>
        <w:spacing w:line="276" w:lineRule="auto"/>
        <w:ind w:right="0"/>
      </w:pPr>
      <w:r>
        <w:t>c</w:t>
      </w:r>
      <w:r w:rsidR="00000000">
        <w:t xml:space="preserve">ross-departmental cooperation </w:t>
      </w:r>
      <w:proofErr w:type="spellStart"/>
      <w:r w:rsidR="00000000">
        <w:t>programmes</w:t>
      </w:r>
      <w:proofErr w:type="spellEnd"/>
      <w:r w:rsidR="00000000">
        <w:t xml:space="preserve"> take place in environments where the lack of available housing stock is evident and housing needs are extremely high, covering the following activities:</w:t>
      </w:r>
    </w:p>
    <w:p w14:paraId="0C6EFD9B" w14:textId="43D7CE28" w:rsidR="00B00CE5" w:rsidRDefault="00000000" w:rsidP="00C84394">
      <w:pPr>
        <w:pStyle w:val="P68B1DB1-SingleTxtG2"/>
        <w:numPr>
          <w:ilvl w:val="0"/>
          <w:numId w:val="1"/>
        </w:numPr>
        <w:spacing w:line="276" w:lineRule="auto"/>
        <w:ind w:right="0"/>
      </w:pPr>
      <w:r>
        <w:t>donation of an unusable family house or state-owned building land (211 non-unistable family houses or state-owned building land in 2022</w:t>
      </w:r>
      <w:proofErr w:type="gramStart"/>
      <w:r>
        <w:t>);</w:t>
      </w:r>
      <w:proofErr w:type="gramEnd"/>
    </w:p>
    <w:p w14:paraId="1903E001" w14:textId="580B0428" w:rsidR="00B00CE5" w:rsidRDefault="00000000" w:rsidP="00C84394">
      <w:pPr>
        <w:pStyle w:val="P68B1DB1-SingleTxtG2"/>
        <w:numPr>
          <w:ilvl w:val="0"/>
          <w:numId w:val="1"/>
        </w:numPr>
        <w:spacing w:line="276" w:lineRule="auto"/>
        <w:ind w:right="0"/>
      </w:pPr>
      <w:r>
        <w:t>donation of a state-owned dwelling or family house (278 apartments or family houses administered by the state in 2022</w:t>
      </w:r>
      <w:proofErr w:type="gramStart"/>
      <w:r>
        <w:t>);</w:t>
      </w:r>
      <w:proofErr w:type="gramEnd"/>
    </w:p>
    <w:p w14:paraId="44B53EC9" w14:textId="4F08C0AE" w:rsidR="00B00CE5" w:rsidRDefault="00000000" w:rsidP="00C84394">
      <w:pPr>
        <w:pStyle w:val="P68B1DB1-SingleTxtG2"/>
        <w:numPr>
          <w:ilvl w:val="0"/>
          <w:numId w:val="1"/>
        </w:numPr>
        <w:spacing w:line="276" w:lineRule="auto"/>
        <w:ind w:right="0"/>
      </w:pPr>
      <w:r>
        <w:t>sale of a state-owned dwelling or family house (409 state-owned dwellings or family houses sold in 2022</w:t>
      </w:r>
      <w:proofErr w:type="gramStart"/>
      <w:r>
        <w:t>);</w:t>
      </w:r>
      <w:proofErr w:type="gramEnd"/>
    </w:p>
    <w:p w14:paraId="7836763D" w14:textId="208AAF05" w:rsidR="00B00CE5" w:rsidRDefault="00000000" w:rsidP="00C84394">
      <w:pPr>
        <w:pStyle w:val="P68B1DB1-SingleTxtG2"/>
        <w:numPr>
          <w:ilvl w:val="0"/>
          <w:numId w:val="1"/>
        </w:numPr>
        <w:spacing w:line="276" w:lineRule="auto"/>
        <w:ind w:right="0"/>
      </w:pPr>
      <w:r>
        <w:t xml:space="preserve"> co-financing of </w:t>
      </w:r>
      <w:r w:rsidR="00C84394" w:rsidRPr="00416224">
        <w:rPr>
          <w:szCs w:val="24"/>
          <w:lang w:val="en-AU"/>
        </w:rPr>
        <w:t>LSGU</w:t>
      </w:r>
      <w:r>
        <w:t xml:space="preserve"> activities and projects (following the Public Call, 23 contracts were concluded in 2022, allowing for the creation of conditions to stay, settle and return sustainably in assisted and state care areas</w:t>
      </w:r>
      <w:proofErr w:type="gramStart"/>
      <w:r>
        <w:t>);</w:t>
      </w:r>
      <w:proofErr w:type="gramEnd"/>
    </w:p>
    <w:p w14:paraId="5C62FE77" w14:textId="5AA441BA" w:rsidR="00B00CE5" w:rsidRDefault="00000000" w:rsidP="00C84394">
      <w:pPr>
        <w:pStyle w:val="P68B1DB1-SingleTxtG2"/>
        <w:numPr>
          <w:ilvl w:val="0"/>
          <w:numId w:val="1"/>
        </w:numPr>
        <w:spacing w:line="276" w:lineRule="auto"/>
        <w:ind w:right="0"/>
      </w:pPr>
      <w:r>
        <w:t xml:space="preserve">a </w:t>
      </w:r>
      <w:proofErr w:type="spellStart"/>
      <w:r>
        <w:t>programme</w:t>
      </w:r>
      <w:proofErr w:type="spellEnd"/>
      <w:r>
        <w:t xml:space="preserve"> to combat energy poverty (energy renovation works were contracted for seven buildings in 2022</w:t>
      </w:r>
      <w:proofErr w:type="gramStart"/>
      <w:r>
        <w:t>);</w:t>
      </w:r>
      <w:proofErr w:type="gramEnd"/>
    </w:p>
    <w:p w14:paraId="5CC90241" w14:textId="2BF19923" w:rsidR="00B00CE5" w:rsidRDefault="00000000" w:rsidP="00C84394">
      <w:pPr>
        <w:pStyle w:val="P68B1DB1-SingleTxtG2"/>
        <w:numPr>
          <w:ilvl w:val="0"/>
          <w:numId w:val="1"/>
        </w:numPr>
        <w:spacing w:line="276" w:lineRule="auto"/>
        <w:ind w:right="0"/>
      </w:pPr>
      <w:r>
        <w:t>purchase of housing units (purchased 34 in 2022</w:t>
      </w:r>
      <w:proofErr w:type="gramStart"/>
      <w:r>
        <w:t>);</w:t>
      </w:r>
      <w:proofErr w:type="gramEnd"/>
    </w:p>
    <w:p w14:paraId="26686E74" w14:textId="2082DFC9" w:rsidR="00B00CE5" w:rsidRDefault="00000000" w:rsidP="00C84394">
      <w:pPr>
        <w:pStyle w:val="P68B1DB1-SingleTxtG2"/>
        <w:numPr>
          <w:ilvl w:val="0"/>
          <w:numId w:val="1"/>
        </w:numPr>
        <w:spacing w:line="276" w:lineRule="auto"/>
        <w:ind w:right="0"/>
      </w:pPr>
      <w:r>
        <w:t>rehabilitation of non-constructive elements in the earthquakes of privately owned housing units affected (4.119 renovation of housing units was completed, 538 houses were undergoing repair work, and 155 houses were transferred from structural to non-structural rehabilitation in 2022</w:t>
      </w:r>
      <w:proofErr w:type="gramStart"/>
      <w:r>
        <w:t>);</w:t>
      </w:r>
      <w:proofErr w:type="gramEnd"/>
    </w:p>
    <w:p w14:paraId="0F620EC4" w14:textId="7B200225" w:rsidR="00B00CE5" w:rsidRDefault="00000000" w:rsidP="00C84394">
      <w:pPr>
        <w:pStyle w:val="P68B1DB1-SingleTxtG2"/>
        <w:numPr>
          <w:ilvl w:val="0"/>
          <w:numId w:val="1"/>
        </w:numPr>
        <w:spacing w:line="276" w:lineRule="auto"/>
        <w:ind w:right="0"/>
      </w:pPr>
      <w:r>
        <w:t xml:space="preserve">structural reconstruction of earthquake-affected housing units (privately owned family houses), six structural renovations were carried out in </w:t>
      </w:r>
      <w:proofErr w:type="gramStart"/>
      <w:r>
        <w:t>2022;</w:t>
      </w:r>
      <w:proofErr w:type="gramEnd"/>
    </w:p>
    <w:p w14:paraId="3FDD38A4" w14:textId="132583E1" w:rsidR="00B00CE5" w:rsidRDefault="00000000" w:rsidP="00C84394">
      <w:pPr>
        <w:pStyle w:val="P68B1DB1-SingleTxtG2"/>
        <w:numPr>
          <w:ilvl w:val="0"/>
          <w:numId w:val="1"/>
        </w:numPr>
        <w:spacing w:line="276" w:lineRule="auto"/>
        <w:ind w:right="0"/>
      </w:pPr>
      <w:r>
        <w:t>removal and construction of replacement housing units owned by the Republic of Croatia (multi-apartment buildings and family houses) in the earthquake-stricken area (this activity is delayed and the construction of 20 multi-dwelling buildings was contracted in 2022</w:t>
      </w:r>
      <w:proofErr w:type="gramStart"/>
      <w:r>
        <w:t>);</w:t>
      </w:r>
      <w:proofErr w:type="gramEnd"/>
    </w:p>
    <w:p w14:paraId="24D2B157" w14:textId="007A834F" w:rsidR="00B00CE5" w:rsidRDefault="00000000" w:rsidP="00C84394">
      <w:pPr>
        <w:pStyle w:val="P68B1DB1-SingleTxtG2"/>
        <w:numPr>
          <w:ilvl w:val="0"/>
          <w:numId w:val="1"/>
        </w:numPr>
        <w:spacing w:line="276" w:lineRule="auto"/>
        <w:ind w:right="0"/>
      </w:pPr>
      <w:r>
        <w:t>the reconstruction of earthquake-stricken state-owned housing units (family houses) in the earthquake-stricken areas (delayed activity and project documentation for the renovation of houses started in 2022</w:t>
      </w:r>
      <w:proofErr w:type="gramStart"/>
      <w:r>
        <w:t>);</w:t>
      </w:r>
      <w:proofErr w:type="gramEnd"/>
    </w:p>
    <w:p w14:paraId="41EA0E34" w14:textId="2D861A2C" w:rsidR="00B00CE5" w:rsidRDefault="00000000" w:rsidP="00C84394">
      <w:pPr>
        <w:pStyle w:val="P68B1DB1-SingleTxtG2"/>
        <w:numPr>
          <w:ilvl w:val="0"/>
          <w:numId w:val="1"/>
        </w:numPr>
        <w:spacing w:line="276" w:lineRule="auto"/>
        <w:ind w:right="0"/>
      </w:pPr>
      <w:r>
        <w:t xml:space="preserve">maintenance of mobile houses for temporary residential care of owners whose family houses and apartments have been damaged as a result of the earthquake (maintenance interventions were carried out at 359 mobile housing units and participation in the </w:t>
      </w:r>
      <w:r>
        <w:lastRenderedPageBreak/>
        <w:t>organisation of the transport, exclusion and relocation of 201 mobile housing units in 2022</w:t>
      </w:r>
      <w:proofErr w:type="gramStart"/>
      <w:r>
        <w:t>);</w:t>
      </w:r>
      <w:proofErr w:type="gramEnd"/>
    </w:p>
    <w:p w14:paraId="4B2FB230" w14:textId="56306757" w:rsidR="00B00CE5" w:rsidRDefault="00000000" w:rsidP="00C84394">
      <w:pPr>
        <w:pStyle w:val="P68B1DB1-SingleTxtG2"/>
        <w:numPr>
          <w:ilvl w:val="0"/>
          <w:numId w:val="1"/>
        </w:numPr>
        <w:spacing w:line="276" w:lineRule="auto"/>
        <w:ind w:right="0"/>
      </w:pPr>
      <w:r>
        <w:t>residential disposal of the user by donation of construction material for the construction or renovation of houses owned by Croatians in Bosnia and Herzegovina (23 supplies of construction material have been completed in 2022); and</w:t>
      </w:r>
    </w:p>
    <w:p w14:paraId="7FD3B858" w14:textId="343A8DC3" w:rsidR="00B00CE5" w:rsidRDefault="00000000" w:rsidP="00C84394">
      <w:pPr>
        <w:pStyle w:val="P68B1DB1-SingleTxtG2"/>
        <w:numPr>
          <w:ilvl w:val="0"/>
          <w:numId w:val="1"/>
        </w:numPr>
        <w:spacing w:line="276" w:lineRule="auto"/>
        <w:ind w:right="0"/>
      </w:pPr>
      <w:r>
        <w:t>co-financing of basic municipal and social infrastructure and public buildings (55 projects were allocated in 2022).</w:t>
      </w:r>
    </w:p>
    <w:p w14:paraId="04C5947C" w14:textId="02118237" w:rsidR="00B00CE5" w:rsidRPr="00C84394" w:rsidRDefault="00C84394">
      <w:pPr>
        <w:rPr>
          <w:rFonts w:ascii="Times New Roman" w:hAnsi="Times New Roman" w:cs="Times New Roman"/>
          <w:b/>
          <w:bCs/>
        </w:rPr>
      </w:pPr>
      <w:r w:rsidRPr="00C84394">
        <w:rPr>
          <w:rFonts w:ascii="Times New Roman" w:hAnsi="Times New Roman" w:cs="Times New Roman"/>
          <w:b/>
          <w:bCs/>
        </w:rPr>
        <w:t>II.</w:t>
      </w:r>
    </w:p>
    <w:p w14:paraId="699AD0CE" w14:textId="77777777" w:rsidR="00B00CE5" w:rsidRDefault="00000000" w:rsidP="00C84394">
      <w:pPr>
        <w:pStyle w:val="P68B1DB1-Normal3"/>
        <w:spacing w:after="0" w:line="276" w:lineRule="auto"/>
        <w:ind w:firstLine="708"/>
        <w:jc w:val="both"/>
      </w:pPr>
      <w:r>
        <w:t xml:space="preserve">Following the earthquakes of 22 March and 28 and 29 December 2020, the Croatian Government adopted, between 2020 and 2024, three decisions on the financing of rent for temporary housing, </w:t>
      </w:r>
      <w:proofErr w:type="gramStart"/>
      <w:r>
        <w:t>on the basis of</w:t>
      </w:r>
      <w:proofErr w:type="gramEnd"/>
      <w:r>
        <w:t xml:space="preserve"> which the Ministry of Physical Planning, Construction and State Assets issued seven calls for the financing of rent in replacement housing for people affected by the earthquake in the five affected counties. In 2023, the Croatian Government also adopted two decisions on the co-financing of utility bills, by which it provided persons in temporary housing during the renovation with an amount of between EUR 100 and 160 per month to cover the costs of utility bills depending on the number of family members. Overall, between 2020 and 31 December 2023, 864 positive solutions were adopted, allowing for the financing of rents for 1960 people, and the monthly rent payment on 31 December 2023 covered 570 households co-financing and housing utility costs. </w:t>
      </w:r>
    </w:p>
    <w:p w14:paraId="734959FB" w14:textId="77777777" w:rsidR="00B00CE5" w:rsidRDefault="00000000" w:rsidP="00C84394">
      <w:pPr>
        <w:pStyle w:val="P68B1DB1-Normal3"/>
        <w:spacing w:after="0" w:line="276" w:lineRule="auto"/>
        <w:ind w:firstLine="708"/>
        <w:jc w:val="both"/>
      </w:pPr>
      <w:r>
        <w:t>The entry into force of the Act on the renovation of buildings damaged by the earthquake in the City of Zagreb, Krapina-Zagorje County, Zagreb County, Sisak-Moslavina County and Karlovac County on 23 February 2023 also allowed temporary housing by renting out housing owned by local and regional self-government units and the Republic of Croatia during renovation, in which way 129 households and 279 people were temporarily housed in the apartments owned by the Republic of Croatia.</w:t>
      </w:r>
    </w:p>
    <w:p w14:paraId="32F74010" w14:textId="600DE8A5" w:rsidR="00B00CE5" w:rsidRDefault="00000000" w:rsidP="00C84394">
      <w:pPr>
        <w:pStyle w:val="P68B1DB1-Normal3"/>
        <w:spacing w:line="276" w:lineRule="auto"/>
      </w:pPr>
      <w:r>
        <w:t>In addition to the above, the Ministry of Physical Planning, Construction and State Assets started housing in prefabricated facilities in Sisak-Moslavina and Krapina-Zagorje counties, and this temporary housing model covers</w:t>
      </w:r>
      <w:r>
        <w:rPr>
          <w:b/>
        </w:rPr>
        <w:t xml:space="preserve"> </w:t>
      </w:r>
      <w:r>
        <w:t>17 households and 41 people respectively.</w:t>
      </w:r>
    </w:p>
    <w:sectPr w:rsidR="00B00CE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58010" w14:textId="77777777" w:rsidR="00346745" w:rsidRDefault="00346745">
      <w:pPr>
        <w:spacing w:after="0" w:line="240" w:lineRule="auto"/>
      </w:pPr>
      <w:r>
        <w:separator/>
      </w:r>
    </w:p>
  </w:endnote>
  <w:endnote w:type="continuationSeparator" w:id="0">
    <w:p w14:paraId="21A3DAF4" w14:textId="77777777" w:rsidR="00346745" w:rsidRDefault="00346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2D5D9" w14:textId="77777777" w:rsidR="00346745" w:rsidRDefault="00346745">
      <w:pPr>
        <w:spacing w:after="0" w:line="240" w:lineRule="auto"/>
      </w:pPr>
      <w:r>
        <w:separator/>
      </w:r>
    </w:p>
  </w:footnote>
  <w:footnote w:type="continuationSeparator" w:id="0">
    <w:p w14:paraId="7A109ECA" w14:textId="77777777" w:rsidR="00346745" w:rsidRDefault="00346745">
      <w:pPr>
        <w:spacing w:after="0" w:line="240" w:lineRule="auto"/>
      </w:pPr>
      <w:r>
        <w:continuationSeparator/>
      </w:r>
    </w:p>
  </w:footnote>
  <w:footnote w:id="1">
    <w:p w14:paraId="7FAFF63E" w14:textId="77777777" w:rsidR="00B00CE5" w:rsidRDefault="00000000">
      <w:pPr>
        <w:pStyle w:val="Tekstfusnote"/>
      </w:pPr>
      <w:r>
        <w:rPr>
          <w:rStyle w:val="Referencafusnote"/>
        </w:rPr>
        <w:footnoteRef/>
      </w:r>
      <w:r>
        <w:t xml:space="preserve"> NN Nos 24/96, 54/96, 87/96, 57/00, 38/09, 45/11, 51/13, 98/19 – hereinafter: ZO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A943B2"/>
    <w:multiLevelType w:val="hybridMultilevel"/>
    <w:tmpl w:val="EE1E944A"/>
    <w:lvl w:ilvl="0" w:tplc="DE96A3AE">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876386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ED7"/>
    <w:rsid w:val="000A7FCE"/>
    <w:rsid w:val="000D1C67"/>
    <w:rsid w:val="001714D4"/>
    <w:rsid w:val="00346745"/>
    <w:rsid w:val="00383658"/>
    <w:rsid w:val="00470F3E"/>
    <w:rsid w:val="00634A07"/>
    <w:rsid w:val="00681DB3"/>
    <w:rsid w:val="007F48A1"/>
    <w:rsid w:val="009B36D1"/>
    <w:rsid w:val="00B00CE5"/>
    <w:rsid w:val="00B4080C"/>
    <w:rsid w:val="00C30ED7"/>
    <w:rsid w:val="00C84394"/>
    <w:rsid w:val="00D15C0A"/>
    <w:rsid w:val="00EF6E7A"/>
    <w:rsid w:val="00F1280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33B1F"/>
  <w15:chartTrackingRefBased/>
  <w15:docId w15:val="{24B3B782-181A-467B-AFA7-DA6592D41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lang w:val="en" w:eastAsia="hr-H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C30ED7"/>
    <w:pPr>
      <w:keepNext/>
      <w:keepLines/>
      <w:spacing w:before="360" w:after="80"/>
      <w:outlineLvl w:val="0"/>
    </w:pPr>
    <w:rPr>
      <w:rFonts w:asciiTheme="majorHAnsi" w:eastAsiaTheme="majorEastAsia" w:hAnsiTheme="majorHAnsi" w:cstheme="majorBidi"/>
      <w:color w:val="0F4761" w:themeColor="accent1" w:themeShade="BF"/>
      <w:sz w:val="40"/>
    </w:rPr>
  </w:style>
  <w:style w:type="paragraph" w:styleId="Naslov2">
    <w:name w:val="heading 2"/>
    <w:basedOn w:val="Normal"/>
    <w:next w:val="Normal"/>
    <w:link w:val="Naslov2Char"/>
    <w:uiPriority w:val="9"/>
    <w:semiHidden/>
    <w:unhideWhenUsed/>
    <w:qFormat/>
    <w:rsid w:val="00C30ED7"/>
    <w:pPr>
      <w:keepNext/>
      <w:keepLines/>
      <w:spacing w:before="160" w:after="80"/>
      <w:outlineLvl w:val="1"/>
    </w:pPr>
    <w:rPr>
      <w:rFonts w:asciiTheme="majorHAnsi" w:eastAsiaTheme="majorEastAsia" w:hAnsiTheme="majorHAnsi" w:cstheme="majorBidi"/>
      <w:color w:val="0F4761" w:themeColor="accent1" w:themeShade="BF"/>
      <w:sz w:val="32"/>
    </w:rPr>
  </w:style>
  <w:style w:type="paragraph" w:styleId="Naslov3">
    <w:name w:val="heading 3"/>
    <w:basedOn w:val="Normal"/>
    <w:next w:val="Normal"/>
    <w:link w:val="Naslov3Char"/>
    <w:uiPriority w:val="9"/>
    <w:semiHidden/>
    <w:unhideWhenUsed/>
    <w:qFormat/>
    <w:rsid w:val="00C30ED7"/>
    <w:pPr>
      <w:keepNext/>
      <w:keepLines/>
      <w:spacing w:before="160" w:after="80"/>
      <w:outlineLvl w:val="2"/>
    </w:pPr>
    <w:rPr>
      <w:rFonts w:eastAsiaTheme="majorEastAsia" w:cstheme="majorBidi"/>
      <w:color w:val="0F4761" w:themeColor="accent1" w:themeShade="BF"/>
      <w:sz w:val="28"/>
    </w:rPr>
  </w:style>
  <w:style w:type="paragraph" w:styleId="Naslov4">
    <w:name w:val="heading 4"/>
    <w:basedOn w:val="Normal"/>
    <w:next w:val="Normal"/>
    <w:link w:val="Naslov4Char"/>
    <w:uiPriority w:val="9"/>
    <w:semiHidden/>
    <w:unhideWhenUsed/>
    <w:qFormat/>
    <w:rsid w:val="00C30ED7"/>
    <w:pPr>
      <w:keepNext/>
      <w:keepLines/>
      <w:spacing w:before="80" w:after="40"/>
      <w:outlineLvl w:val="3"/>
    </w:pPr>
    <w:rPr>
      <w:rFonts w:eastAsiaTheme="majorEastAsia" w:cstheme="majorBidi"/>
      <w:i/>
      <w:color w:val="0F4761" w:themeColor="accent1" w:themeShade="BF"/>
    </w:rPr>
  </w:style>
  <w:style w:type="paragraph" w:styleId="Naslov5">
    <w:name w:val="heading 5"/>
    <w:basedOn w:val="Normal"/>
    <w:next w:val="Normal"/>
    <w:link w:val="Naslov5Char"/>
    <w:uiPriority w:val="9"/>
    <w:semiHidden/>
    <w:unhideWhenUsed/>
    <w:qFormat/>
    <w:rsid w:val="00C30ED7"/>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C30ED7"/>
    <w:pPr>
      <w:keepNext/>
      <w:keepLines/>
      <w:spacing w:before="40" w:after="0"/>
      <w:outlineLvl w:val="5"/>
    </w:pPr>
    <w:rPr>
      <w:rFonts w:eastAsiaTheme="majorEastAsia" w:cstheme="majorBidi"/>
      <w:i/>
      <w:color w:val="595959" w:themeColor="text1" w:themeTint="A6"/>
    </w:rPr>
  </w:style>
  <w:style w:type="paragraph" w:styleId="Naslov7">
    <w:name w:val="heading 7"/>
    <w:basedOn w:val="Normal"/>
    <w:next w:val="Normal"/>
    <w:link w:val="Naslov7Char"/>
    <w:uiPriority w:val="9"/>
    <w:semiHidden/>
    <w:unhideWhenUsed/>
    <w:qFormat/>
    <w:rsid w:val="00C30ED7"/>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C30ED7"/>
    <w:pPr>
      <w:keepNext/>
      <w:keepLines/>
      <w:spacing w:after="0"/>
      <w:outlineLvl w:val="7"/>
    </w:pPr>
    <w:rPr>
      <w:rFonts w:eastAsiaTheme="majorEastAsia" w:cstheme="majorBidi"/>
      <w:i/>
      <w:color w:val="272727" w:themeColor="text1" w:themeTint="D8"/>
    </w:rPr>
  </w:style>
  <w:style w:type="paragraph" w:styleId="Naslov9">
    <w:name w:val="heading 9"/>
    <w:basedOn w:val="Normal"/>
    <w:next w:val="Normal"/>
    <w:link w:val="Naslov9Char"/>
    <w:uiPriority w:val="9"/>
    <w:semiHidden/>
    <w:unhideWhenUsed/>
    <w:qFormat/>
    <w:rsid w:val="00C30ED7"/>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C30ED7"/>
    <w:rPr>
      <w:rFonts w:asciiTheme="majorHAnsi" w:eastAsiaTheme="majorEastAsia" w:hAnsiTheme="majorHAnsi" w:cstheme="majorBidi"/>
      <w:color w:val="0F4761" w:themeColor="accent1" w:themeShade="BF"/>
      <w:sz w:val="40"/>
    </w:rPr>
  </w:style>
  <w:style w:type="character" w:customStyle="1" w:styleId="Naslov2Char">
    <w:name w:val="Naslov 2 Char"/>
    <w:basedOn w:val="Zadanifontodlomka"/>
    <w:link w:val="Naslov2"/>
    <w:uiPriority w:val="9"/>
    <w:semiHidden/>
    <w:rsid w:val="00C30ED7"/>
    <w:rPr>
      <w:rFonts w:asciiTheme="majorHAnsi" w:eastAsiaTheme="majorEastAsia" w:hAnsiTheme="majorHAnsi" w:cstheme="majorBidi"/>
      <w:color w:val="0F4761" w:themeColor="accent1" w:themeShade="BF"/>
      <w:sz w:val="32"/>
    </w:rPr>
  </w:style>
  <w:style w:type="character" w:customStyle="1" w:styleId="Naslov3Char">
    <w:name w:val="Naslov 3 Char"/>
    <w:basedOn w:val="Zadanifontodlomka"/>
    <w:link w:val="Naslov3"/>
    <w:uiPriority w:val="9"/>
    <w:semiHidden/>
    <w:rsid w:val="00C30ED7"/>
    <w:rPr>
      <w:rFonts w:eastAsiaTheme="majorEastAsia" w:cstheme="majorBidi"/>
      <w:color w:val="0F4761" w:themeColor="accent1" w:themeShade="BF"/>
      <w:sz w:val="28"/>
    </w:rPr>
  </w:style>
  <w:style w:type="character" w:customStyle="1" w:styleId="Naslov4Char">
    <w:name w:val="Naslov 4 Char"/>
    <w:basedOn w:val="Zadanifontodlomka"/>
    <w:link w:val="Naslov4"/>
    <w:uiPriority w:val="9"/>
    <w:semiHidden/>
    <w:rsid w:val="00C30ED7"/>
    <w:rPr>
      <w:rFonts w:eastAsiaTheme="majorEastAsia" w:cstheme="majorBidi"/>
      <w:i/>
      <w:color w:val="0F4761" w:themeColor="accent1" w:themeShade="BF"/>
    </w:rPr>
  </w:style>
  <w:style w:type="character" w:customStyle="1" w:styleId="Naslov5Char">
    <w:name w:val="Naslov 5 Char"/>
    <w:basedOn w:val="Zadanifontodlomka"/>
    <w:link w:val="Naslov5"/>
    <w:uiPriority w:val="9"/>
    <w:semiHidden/>
    <w:rsid w:val="00C30ED7"/>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C30ED7"/>
    <w:rPr>
      <w:rFonts w:eastAsiaTheme="majorEastAsia" w:cstheme="majorBidi"/>
      <w:i/>
      <w:color w:val="595959" w:themeColor="text1" w:themeTint="A6"/>
    </w:rPr>
  </w:style>
  <w:style w:type="character" w:customStyle="1" w:styleId="Naslov7Char">
    <w:name w:val="Naslov 7 Char"/>
    <w:basedOn w:val="Zadanifontodlomka"/>
    <w:link w:val="Naslov7"/>
    <w:uiPriority w:val="9"/>
    <w:semiHidden/>
    <w:rsid w:val="00C30ED7"/>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C30ED7"/>
    <w:rPr>
      <w:rFonts w:eastAsiaTheme="majorEastAsia" w:cstheme="majorBidi"/>
      <w:i/>
      <w:color w:val="272727" w:themeColor="text1" w:themeTint="D8"/>
    </w:rPr>
  </w:style>
  <w:style w:type="character" w:customStyle="1" w:styleId="Naslov9Char">
    <w:name w:val="Naslov 9 Char"/>
    <w:basedOn w:val="Zadanifontodlomka"/>
    <w:link w:val="Naslov9"/>
    <w:uiPriority w:val="9"/>
    <w:semiHidden/>
    <w:rsid w:val="00C30ED7"/>
    <w:rPr>
      <w:rFonts w:eastAsiaTheme="majorEastAsia" w:cstheme="majorBidi"/>
      <w:color w:val="272727" w:themeColor="text1" w:themeTint="D8"/>
    </w:rPr>
  </w:style>
  <w:style w:type="paragraph" w:styleId="Naslov">
    <w:name w:val="Title"/>
    <w:basedOn w:val="Normal"/>
    <w:next w:val="Normal"/>
    <w:link w:val="NaslovChar"/>
    <w:uiPriority w:val="10"/>
    <w:qFormat/>
    <w:rsid w:val="00C30ED7"/>
    <w:pPr>
      <w:spacing w:after="80" w:line="240" w:lineRule="auto"/>
      <w:contextualSpacing/>
    </w:pPr>
    <w:rPr>
      <w:rFonts w:asciiTheme="majorHAnsi" w:eastAsiaTheme="majorEastAsia" w:hAnsiTheme="majorHAnsi" w:cstheme="majorBidi"/>
      <w:kern w:val="28"/>
      <w:sz w:val="56"/>
    </w:rPr>
  </w:style>
  <w:style w:type="character" w:customStyle="1" w:styleId="NaslovChar">
    <w:name w:val="Naslov Char"/>
    <w:basedOn w:val="Zadanifontodlomka"/>
    <w:link w:val="Naslov"/>
    <w:uiPriority w:val="10"/>
    <w:rsid w:val="00C30ED7"/>
    <w:rPr>
      <w:rFonts w:asciiTheme="majorHAnsi" w:eastAsiaTheme="majorEastAsia" w:hAnsiTheme="majorHAnsi" w:cstheme="majorBidi"/>
      <w:kern w:val="28"/>
      <w:sz w:val="56"/>
    </w:rPr>
  </w:style>
  <w:style w:type="paragraph" w:styleId="Podnaslov">
    <w:name w:val="Subtitle"/>
    <w:basedOn w:val="Normal"/>
    <w:next w:val="Normal"/>
    <w:link w:val="PodnaslovChar"/>
    <w:uiPriority w:val="11"/>
    <w:qFormat/>
    <w:rsid w:val="00C30ED7"/>
    <w:pPr>
      <w:numPr>
        <w:ilvl w:val="1"/>
      </w:numPr>
    </w:pPr>
    <w:rPr>
      <w:rFonts w:eastAsiaTheme="majorEastAsia" w:cstheme="majorBidi"/>
      <w:color w:val="595959" w:themeColor="text1" w:themeTint="A6"/>
      <w:sz w:val="28"/>
    </w:rPr>
  </w:style>
  <w:style w:type="character" w:customStyle="1" w:styleId="PodnaslovChar">
    <w:name w:val="Podnaslov Char"/>
    <w:basedOn w:val="Zadanifontodlomka"/>
    <w:link w:val="Podnaslov"/>
    <w:uiPriority w:val="11"/>
    <w:rsid w:val="00C30ED7"/>
    <w:rPr>
      <w:rFonts w:eastAsiaTheme="majorEastAsia" w:cstheme="majorBidi"/>
      <w:color w:val="595959" w:themeColor="text1" w:themeTint="A6"/>
      <w:sz w:val="28"/>
    </w:rPr>
  </w:style>
  <w:style w:type="paragraph" w:styleId="Citat">
    <w:name w:val="Quote"/>
    <w:basedOn w:val="Normal"/>
    <w:next w:val="Normal"/>
    <w:link w:val="CitatChar"/>
    <w:uiPriority w:val="29"/>
    <w:qFormat/>
    <w:rsid w:val="00C30ED7"/>
    <w:pPr>
      <w:spacing w:before="160"/>
      <w:jc w:val="center"/>
    </w:pPr>
    <w:rPr>
      <w:i/>
      <w:color w:val="404040" w:themeColor="text1" w:themeTint="BF"/>
    </w:rPr>
  </w:style>
  <w:style w:type="character" w:customStyle="1" w:styleId="CitatChar">
    <w:name w:val="Citat Char"/>
    <w:basedOn w:val="Zadanifontodlomka"/>
    <w:link w:val="Citat"/>
    <w:uiPriority w:val="29"/>
    <w:rsid w:val="00C30ED7"/>
    <w:rPr>
      <w:i/>
      <w:color w:val="404040" w:themeColor="text1" w:themeTint="BF"/>
    </w:rPr>
  </w:style>
  <w:style w:type="paragraph" w:styleId="Odlomakpopisa">
    <w:name w:val="List Paragraph"/>
    <w:basedOn w:val="Normal"/>
    <w:uiPriority w:val="34"/>
    <w:qFormat/>
    <w:rsid w:val="00C30ED7"/>
    <w:pPr>
      <w:ind w:left="720"/>
      <w:contextualSpacing/>
    </w:pPr>
  </w:style>
  <w:style w:type="character" w:styleId="Jakoisticanje">
    <w:name w:val="Intense Emphasis"/>
    <w:basedOn w:val="Zadanifontodlomka"/>
    <w:uiPriority w:val="21"/>
    <w:qFormat/>
    <w:rsid w:val="00C30ED7"/>
    <w:rPr>
      <w:i/>
      <w:color w:val="0F4761" w:themeColor="accent1" w:themeShade="BF"/>
    </w:rPr>
  </w:style>
  <w:style w:type="paragraph" w:styleId="Naglaencitat">
    <w:name w:val="Intense Quote"/>
    <w:basedOn w:val="Normal"/>
    <w:next w:val="Normal"/>
    <w:link w:val="NaglaencitatChar"/>
    <w:uiPriority w:val="30"/>
    <w:qFormat/>
    <w:rsid w:val="00C30ED7"/>
    <w:pPr>
      <w:pBdr>
        <w:top w:val="single" w:sz="4" w:space="10" w:color="0F4761" w:themeColor="accent1" w:themeShade="BF"/>
        <w:bottom w:val="single" w:sz="4" w:space="10" w:color="0F4761" w:themeColor="accent1" w:themeShade="BF"/>
      </w:pBdr>
      <w:spacing w:before="360" w:after="360"/>
      <w:ind w:left="864" w:right="864"/>
      <w:jc w:val="center"/>
    </w:pPr>
    <w:rPr>
      <w:i/>
      <w:color w:val="0F4761" w:themeColor="accent1" w:themeShade="BF"/>
    </w:rPr>
  </w:style>
  <w:style w:type="character" w:customStyle="1" w:styleId="NaglaencitatChar">
    <w:name w:val="Naglašen citat Char"/>
    <w:basedOn w:val="Zadanifontodlomka"/>
    <w:link w:val="Naglaencitat"/>
    <w:uiPriority w:val="30"/>
    <w:rsid w:val="00C30ED7"/>
    <w:rPr>
      <w:i/>
      <w:color w:val="0F4761" w:themeColor="accent1" w:themeShade="BF"/>
    </w:rPr>
  </w:style>
  <w:style w:type="character" w:styleId="Istaknutareferenca">
    <w:name w:val="Intense Reference"/>
    <w:basedOn w:val="Zadanifontodlomka"/>
    <w:uiPriority w:val="32"/>
    <w:qFormat/>
    <w:rsid w:val="00C30ED7"/>
    <w:rPr>
      <w:b/>
      <w:smallCaps/>
      <w:color w:val="0F4761" w:themeColor="accent1" w:themeShade="BF"/>
    </w:rPr>
  </w:style>
  <w:style w:type="paragraph" w:customStyle="1" w:styleId="SingleTxtG">
    <w:name w:val="_ Single Txt_G"/>
    <w:basedOn w:val="Normal"/>
    <w:link w:val="SingleTxtGChar"/>
    <w:qFormat/>
    <w:rsid w:val="00F12809"/>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kern w:val="0"/>
      <w:sz w:val="20"/>
      <w14:ligatures w14:val="none"/>
    </w:rPr>
  </w:style>
  <w:style w:type="character" w:customStyle="1" w:styleId="SingleTxtGChar">
    <w:name w:val="_ Single Txt_G Char"/>
    <w:link w:val="SingleTxtG"/>
    <w:locked/>
    <w:rsid w:val="00F12809"/>
    <w:rPr>
      <w:rFonts w:ascii="Times New Roman" w:hAnsi="Times New Roman" w:cs="Times New Roman"/>
      <w:kern w:val="0"/>
      <w:sz w:val="20"/>
      <w14:ligatures w14:val="none"/>
    </w:rPr>
  </w:style>
  <w:style w:type="character" w:styleId="Referencakomentara">
    <w:name w:val="annotation reference"/>
    <w:basedOn w:val="Zadanifontodlomka"/>
    <w:uiPriority w:val="99"/>
    <w:semiHidden/>
    <w:unhideWhenUsed/>
    <w:rsid w:val="00F12809"/>
    <w:rPr>
      <w:sz w:val="16"/>
    </w:rPr>
  </w:style>
  <w:style w:type="paragraph" w:styleId="Tekstkomentara">
    <w:name w:val="annotation text"/>
    <w:basedOn w:val="Normal"/>
    <w:link w:val="TekstkomentaraChar"/>
    <w:uiPriority w:val="99"/>
    <w:semiHidden/>
    <w:unhideWhenUsed/>
    <w:rsid w:val="00F12809"/>
    <w:pPr>
      <w:spacing w:line="240" w:lineRule="auto"/>
    </w:pPr>
    <w:rPr>
      <w:kern w:val="0"/>
      <w:sz w:val="20"/>
      <w14:ligatures w14:val="none"/>
    </w:rPr>
  </w:style>
  <w:style w:type="character" w:customStyle="1" w:styleId="TekstkomentaraChar">
    <w:name w:val="Tekst komentara Char"/>
    <w:basedOn w:val="Zadanifontodlomka"/>
    <w:link w:val="Tekstkomentara"/>
    <w:uiPriority w:val="99"/>
    <w:semiHidden/>
    <w:rsid w:val="00F12809"/>
    <w:rPr>
      <w:kern w:val="0"/>
      <w:sz w:val="20"/>
      <w14:ligatures w14:val="none"/>
    </w:rPr>
  </w:style>
  <w:style w:type="paragraph" w:styleId="Tekstfusnote">
    <w:name w:val="footnote text"/>
    <w:basedOn w:val="Normal"/>
    <w:link w:val="TekstfusnoteChar"/>
    <w:uiPriority w:val="99"/>
    <w:semiHidden/>
    <w:unhideWhenUsed/>
    <w:rsid w:val="00F12809"/>
    <w:pPr>
      <w:spacing w:after="0" w:line="240" w:lineRule="auto"/>
    </w:pPr>
    <w:rPr>
      <w:rFonts w:ascii="Times New Roman" w:eastAsia="Times New Roman" w:hAnsi="Times New Roman" w:cs="Times New Roman"/>
      <w:kern w:val="0"/>
      <w:sz w:val="20"/>
      <w14:ligatures w14:val="none"/>
    </w:rPr>
  </w:style>
  <w:style w:type="character" w:customStyle="1" w:styleId="TekstfusnoteChar">
    <w:name w:val="Tekst fusnote Char"/>
    <w:basedOn w:val="Zadanifontodlomka"/>
    <w:link w:val="Tekstfusnote"/>
    <w:uiPriority w:val="99"/>
    <w:semiHidden/>
    <w:rsid w:val="00F12809"/>
    <w:rPr>
      <w:rFonts w:ascii="Times New Roman" w:eastAsia="Times New Roman" w:hAnsi="Times New Roman" w:cs="Times New Roman"/>
      <w:kern w:val="0"/>
      <w:sz w:val="20"/>
      <w14:ligatures w14:val="none"/>
    </w:rPr>
  </w:style>
  <w:style w:type="character" w:styleId="Referencafusnote">
    <w:name w:val="footnote reference"/>
    <w:basedOn w:val="Zadanifontodlomka"/>
    <w:uiPriority w:val="99"/>
    <w:semiHidden/>
    <w:unhideWhenUsed/>
    <w:rsid w:val="00F12809"/>
    <w:rPr>
      <w:vertAlign w:val="superscript"/>
    </w:rPr>
  </w:style>
  <w:style w:type="paragraph" w:customStyle="1" w:styleId="P68B1DB1-SingleTxtG1">
    <w:name w:val="P68B1DB1-SingleTxtG1"/>
    <w:basedOn w:val="SingleTxtG"/>
    <w:rPr>
      <w:b/>
      <w:sz w:val="24"/>
    </w:rPr>
  </w:style>
  <w:style w:type="paragraph" w:customStyle="1" w:styleId="P68B1DB1-SingleTxtG2">
    <w:name w:val="P68B1DB1-SingleTxtG2"/>
    <w:basedOn w:val="SingleTxtG"/>
    <w:rPr>
      <w:sz w:val="24"/>
    </w:rPr>
  </w:style>
  <w:style w:type="paragraph" w:customStyle="1" w:styleId="P68B1DB1-Normal3">
    <w:name w:val="P68B1DB1-Normal3"/>
    <w:basedOn w:val="Normal"/>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627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6" ma:contentTypeDescription="Create a new document." ma:contentTypeScope="" ma:versionID="31dcd707ebbca97b32d53542fe6ce10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150583dcc260f5aef49e11bcffb8f30"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6168F0-1843-4213-84B7-3EA884462D7D}"/>
</file>

<file path=customXml/itemProps2.xml><?xml version="1.0" encoding="utf-8"?>
<ds:datastoreItem xmlns:ds="http://schemas.openxmlformats.org/officeDocument/2006/customXml" ds:itemID="{3DEC8DE6-5BAD-4B61-9A52-2198E65D228A}"/>
</file>

<file path=docProps/app.xml><?xml version="1.0" encoding="utf-8"?>
<Properties xmlns="http://schemas.openxmlformats.org/officeDocument/2006/extended-properties" xmlns:vt="http://schemas.openxmlformats.org/officeDocument/2006/docPropsVTypes">
  <Template>Normal.dotm</Template>
  <TotalTime>6</TotalTime>
  <Pages>3</Pages>
  <Words>1056</Words>
  <Characters>6023</Characters>
  <Application>Microsoft Office Word</Application>
  <DocSecurity>0</DocSecurity>
  <Lines>50</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Blagus</dc:creator>
  <cp:keywords/>
  <dc:description/>
  <cp:lastModifiedBy>Jelena Blagus</cp:lastModifiedBy>
  <cp:revision>3</cp:revision>
  <dcterms:created xsi:type="dcterms:W3CDTF">2024-05-28T08:38:00Z</dcterms:created>
  <dcterms:modified xsi:type="dcterms:W3CDTF">2024-05-28T10:55:00Z</dcterms:modified>
</cp:coreProperties>
</file>