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9E31B" w14:textId="77777777" w:rsidR="007F1607" w:rsidRPr="000B1627" w:rsidRDefault="007F1607" w:rsidP="00D57ADA">
      <w:pPr>
        <w:jc w:val="center"/>
        <w:rPr>
          <w:b/>
          <w:bCs/>
        </w:rPr>
      </w:pPr>
      <w:r w:rsidRPr="000B1627">
        <w:rPr>
          <w:b/>
          <w:bCs/>
        </w:rPr>
        <w:t>Submission to the UN Human Rights Committee of</w:t>
      </w:r>
    </w:p>
    <w:p w14:paraId="049A6E1C" w14:textId="77777777" w:rsidR="007F1607" w:rsidRPr="000B1627" w:rsidRDefault="007F1607" w:rsidP="00D57ADA">
      <w:pPr>
        <w:jc w:val="center"/>
        <w:rPr>
          <w:b/>
          <w:bCs/>
        </w:rPr>
      </w:pPr>
      <w:r w:rsidRPr="000B1627">
        <w:rPr>
          <w:b/>
          <w:bCs/>
        </w:rPr>
        <w:t>the Second Periodic Review of Türkiye at its 142</w:t>
      </w:r>
      <w:r w:rsidRPr="000B1627">
        <w:rPr>
          <w:b/>
          <w:bCs/>
          <w:vertAlign w:val="superscript"/>
        </w:rPr>
        <w:t>nd</w:t>
      </w:r>
      <w:r w:rsidRPr="000B1627">
        <w:rPr>
          <w:b/>
          <w:bCs/>
        </w:rPr>
        <w:t xml:space="preserve"> Session</w:t>
      </w:r>
    </w:p>
    <w:p w14:paraId="337EDFD8" w14:textId="77777777" w:rsidR="007F1607" w:rsidRPr="000B1627" w:rsidRDefault="007F1607" w:rsidP="00D57ADA">
      <w:pPr>
        <w:jc w:val="center"/>
        <w:rPr>
          <w:b/>
        </w:rPr>
      </w:pPr>
    </w:p>
    <w:p w14:paraId="255E39BC" w14:textId="77777777" w:rsidR="007F1607" w:rsidRPr="000B1627" w:rsidRDefault="007F1607" w:rsidP="00350FA8">
      <w:pPr>
        <w:jc w:val="center"/>
        <w:rPr>
          <w:b/>
        </w:rPr>
      </w:pPr>
    </w:p>
    <w:p w14:paraId="303881AE" w14:textId="77777777" w:rsidR="00DB5DF0" w:rsidRPr="000B1627" w:rsidRDefault="00DB5DF0" w:rsidP="00350FA8">
      <w:pPr>
        <w:jc w:val="center"/>
        <w:rPr>
          <w:b/>
          <w:bCs/>
        </w:rPr>
      </w:pPr>
    </w:p>
    <w:p w14:paraId="02D3CA6E" w14:textId="4B57A7DE" w:rsidR="00DB5DF0" w:rsidRPr="000B1627" w:rsidRDefault="00DB5DF0" w:rsidP="00350FA8">
      <w:pPr>
        <w:ind w:left="720" w:firstLine="720"/>
        <w:rPr>
          <w:b/>
          <w:bCs/>
        </w:rPr>
      </w:pPr>
      <w:r w:rsidRPr="000B1627">
        <w:rPr>
          <w:b/>
          <w:bCs/>
        </w:rPr>
        <w:t>TURKEY LITIGATION SUPPORT PROJECT</w:t>
      </w:r>
      <w:r w:rsidR="00350FA8" w:rsidRPr="000B1627">
        <w:rPr>
          <w:b/>
          <w:bCs/>
        </w:rPr>
        <w:t xml:space="preserve"> (TLSP)</w:t>
      </w:r>
      <w:r w:rsidRPr="000B1627">
        <w:rPr>
          <w:rStyle w:val="FootnoteReference"/>
          <w:b/>
          <w:bCs/>
        </w:rPr>
        <w:footnoteReference w:id="1"/>
      </w:r>
    </w:p>
    <w:p w14:paraId="120985C0" w14:textId="7495A8A2" w:rsidR="00DB5DF0" w:rsidRPr="000B1627" w:rsidRDefault="00DB5DF0" w:rsidP="00350FA8">
      <w:pPr>
        <w:jc w:val="center"/>
        <w:rPr>
          <w:b/>
          <w:bCs/>
        </w:rPr>
      </w:pPr>
      <w:r w:rsidRPr="000B1627">
        <w:rPr>
          <w:b/>
          <w:bCs/>
        </w:rPr>
        <w:t>LONDON LEGAL GROUP</w:t>
      </w:r>
      <w:r w:rsidR="00350FA8" w:rsidRPr="000B1627">
        <w:rPr>
          <w:b/>
          <w:bCs/>
        </w:rPr>
        <w:t xml:space="preserve"> (LLG)</w:t>
      </w:r>
      <w:r w:rsidRPr="000B1627">
        <w:rPr>
          <w:rStyle w:val="FootnoteReference"/>
          <w:b/>
          <w:bCs/>
        </w:rPr>
        <w:footnoteReference w:id="2"/>
      </w:r>
    </w:p>
    <w:p w14:paraId="125CDB8A" w14:textId="77777777" w:rsidR="00DB5DF0" w:rsidRPr="000B1627" w:rsidRDefault="00DB5DF0" w:rsidP="00350FA8">
      <w:pPr>
        <w:jc w:val="center"/>
        <w:rPr>
          <w:b/>
          <w:bCs/>
          <w:color w:val="000000" w:themeColor="text1"/>
        </w:rPr>
      </w:pPr>
      <w:r w:rsidRPr="000B1627">
        <w:rPr>
          <w:b/>
          <w:bCs/>
          <w:color w:val="000000" w:themeColor="text1"/>
        </w:rPr>
        <w:t>THE FOUNDATION FOR SOCIETY AND LEGAL STUDIES (TOHAV)</w:t>
      </w:r>
      <w:r w:rsidRPr="000B1627">
        <w:rPr>
          <w:rStyle w:val="FootnoteReference"/>
          <w:b/>
          <w:bCs/>
          <w:color w:val="000000" w:themeColor="text1"/>
        </w:rPr>
        <w:footnoteReference w:id="3"/>
      </w:r>
    </w:p>
    <w:p w14:paraId="4A3E2B74" w14:textId="77777777" w:rsidR="00DB5DF0" w:rsidRPr="000B1627" w:rsidRDefault="00DB5DF0" w:rsidP="00350FA8">
      <w:pPr>
        <w:jc w:val="center"/>
        <w:rPr>
          <w:b/>
          <w:bCs/>
        </w:rPr>
      </w:pPr>
    </w:p>
    <w:p w14:paraId="34BCA5ED" w14:textId="77777777" w:rsidR="00DB5DF0" w:rsidRPr="000B1627" w:rsidRDefault="00DB5DF0" w:rsidP="00350FA8">
      <w:pPr>
        <w:jc w:val="center"/>
        <w:rPr>
          <w:b/>
          <w:bCs/>
        </w:rPr>
      </w:pPr>
    </w:p>
    <w:p w14:paraId="018C4CE2" w14:textId="77777777" w:rsidR="00DB5DF0" w:rsidRPr="000B1627" w:rsidRDefault="00DB5DF0" w:rsidP="00DB5DF0">
      <w:pPr>
        <w:jc w:val="center"/>
        <w:rPr>
          <w:b/>
          <w:bCs/>
        </w:rPr>
      </w:pPr>
    </w:p>
    <w:p w14:paraId="089EC0A7" w14:textId="605618E1" w:rsidR="00DB5DF0" w:rsidRPr="000B1627" w:rsidRDefault="00DB5DF0" w:rsidP="00DB5DF0">
      <w:pPr>
        <w:jc w:val="center"/>
        <w:rPr>
          <w:b/>
          <w:bCs/>
        </w:rPr>
      </w:pPr>
      <w:r w:rsidRPr="000B1627">
        <w:rPr>
          <w:b/>
          <w:bCs/>
        </w:rPr>
        <w:t>1</w:t>
      </w:r>
      <w:r w:rsidR="00F712E8" w:rsidRPr="000B1627">
        <w:rPr>
          <w:b/>
          <w:bCs/>
        </w:rPr>
        <w:t>6</w:t>
      </w:r>
      <w:r w:rsidRPr="000B1627">
        <w:rPr>
          <w:b/>
          <w:bCs/>
        </w:rPr>
        <w:t xml:space="preserve"> September 2024</w:t>
      </w:r>
    </w:p>
    <w:p w14:paraId="4E15DA01" w14:textId="77777777" w:rsidR="00DB5DF0" w:rsidRPr="000B1627" w:rsidRDefault="00DB5DF0" w:rsidP="00DB5DF0">
      <w:pPr>
        <w:rPr>
          <w:b/>
          <w:bCs/>
        </w:rPr>
      </w:pPr>
    </w:p>
    <w:p w14:paraId="3759428A" w14:textId="77777777" w:rsidR="00DB5DF0" w:rsidRPr="000B1627" w:rsidRDefault="00DB5DF0" w:rsidP="00DB5DF0">
      <w:pPr>
        <w:spacing w:after="120"/>
        <w:ind w:left="357"/>
        <w:rPr>
          <w:b/>
        </w:rPr>
      </w:pPr>
      <w:r w:rsidRPr="000B1627">
        <w:rPr>
          <w:b/>
        </w:rPr>
        <w:t>Contact Information:</w:t>
      </w:r>
    </w:p>
    <w:p w14:paraId="765A6A5E" w14:textId="77777777" w:rsidR="00DB5DF0" w:rsidRPr="000B1627" w:rsidRDefault="00DB5DF0" w:rsidP="00DB5DF0">
      <w:pPr>
        <w:ind w:left="357"/>
        <w:contextualSpacing/>
      </w:pPr>
      <w:r w:rsidRPr="000B1627">
        <w:t xml:space="preserve">Turkey Human Rights Litigation </w:t>
      </w:r>
      <w:r w:rsidRPr="000B1627">
        <w:tab/>
      </w:r>
      <w:r w:rsidRPr="000B1627">
        <w:tab/>
      </w:r>
      <w:r w:rsidRPr="000B1627">
        <w:tab/>
        <w:t>London Legal Group</w:t>
      </w:r>
    </w:p>
    <w:p w14:paraId="05AF87DF" w14:textId="59BF0F0D" w:rsidR="00DB5DF0" w:rsidRPr="000B1627" w:rsidRDefault="00DB5DF0" w:rsidP="00DB5DF0">
      <w:pPr>
        <w:ind w:left="357"/>
        <w:contextualSpacing/>
      </w:pPr>
      <w:r w:rsidRPr="000B1627">
        <w:t xml:space="preserve">Support Project </w:t>
      </w:r>
      <w:r w:rsidRPr="000B1627">
        <w:tab/>
      </w:r>
      <w:r w:rsidRPr="000B1627">
        <w:tab/>
      </w:r>
      <w:r w:rsidRPr="000B1627">
        <w:tab/>
      </w:r>
      <w:r w:rsidRPr="000B1627">
        <w:tab/>
      </w:r>
      <w:r w:rsidR="00053695" w:rsidRPr="000B1627">
        <w:t xml:space="preserve">            </w:t>
      </w:r>
      <w:r w:rsidRPr="000B1627">
        <w:t>11 Guilford Street</w:t>
      </w:r>
      <w:r w:rsidRPr="000B1627">
        <w:tab/>
      </w:r>
    </w:p>
    <w:p w14:paraId="39FC22E5" w14:textId="6356BC20" w:rsidR="00DB5DF0" w:rsidRPr="000B1627" w:rsidRDefault="00DB5DF0" w:rsidP="00DB5DF0">
      <w:pPr>
        <w:ind w:left="357"/>
        <w:contextualSpacing/>
      </w:pPr>
      <w:r w:rsidRPr="000B1627">
        <w:t>School of Law</w:t>
      </w:r>
      <w:r w:rsidR="00053695" w:rsidRPr="000B1627">
        <w:t xml:space="preserve">         </w:t>
      </w:r>
      <w:r w:rsidRPr="000B1627">
        <w:tab/>
      </w:r>
      <w:r w:rsidRPr="000B1627">
        <w:tab/>
      </w:r>
      <w:r w:rsidRPr="000B1627">
        <w:tab/>
      </w:r>
      <w:r w:rsidRPr="000B1627">
        <w:tab/>
        <w:t>WC1N 1DH</w:t>
      </w:r>
      <w:r w:rsidRPr="000B1627">
        <w:tab/>
      </w:r>
      <w:r w:rsidRPr="000B1627">
        <w:tab/>
      </w:r>
      <w:r w:rsidRPr="000B1627">
        <w:tab/>
      </w:r>
    </w:p>
    <w:p w14:paraId="18D37D77" w14:textId="77777777" w:rsidR="00DB5DF0" w:rsidRPr="000B1627" w:rsidRDefault="00DB5DF0" w:rsidP="00DB5DF0">
      <w:pPr>
        <w:ind w:left="357"/>
        <w:contextualSpacing/>
      </w:pPr>
      <w:r w:rsidRPr="000B1627">
        <w:t>Middlesex University</w:t>
      </w:r>
      <w:r w:rsidRPr="000B1627">
        <w:tab/>
      </w:r>
      <w:r w:rsidRPr="000B1627">
        <w:tab/>
      </w:r>
      <w:r w:rsidRPr="000B1627">
        <w:tab/>
      </w:r>
      <w:r w:rsidRPr="000B1627">
        <w:tab/>
        <w:t>United Kingdom</w:t>
      </w:r>
    </w:p>
    <w:p w14:paraId="048102A5" w14:textId="77777777" w:rsidR="00DB5DF0" w:rsidRPr="000B1627" w:rsidRDefault="00DB5DF0" w:rsidP="00DB5DF0">
      <w:pPr>
        <w:ind w:left="357"/>
        <w:contextualSpacing/>
      </w:pPr>
      <w:r w:rsidRPr="000B1627">
        <w:t>The Burroughs</w:t>
      </w:r>
      <w:r w:rsidRPr="000B1627">
        <w:tab/>
      </w:r>
      <w:r w:rsidRPr="000B1627">
        <w:tab/>
      </w:r>
      <w:r w:rsidRPr="000B1627">
        <w:tab/>
      </w:r>
      <w:r w:rsidRPr="000B1627">
        <w:tab/>
      </w:r>
      <w:r w:rsidRPr="000B1627">
        <w:tab/>
        <w:t>+44 0207 405 3835</w:t>
      </w:r>
    </w:p>
    <w:p w14:paraId="644F2132" w14:textId="77777777" w:rsidR="00DB5DF0" w:rsidRPr="000B1627" w:rsidRDefault="00DB5DF0" w:rsidP="00DB5DF0">
      <w:pPr>
        <w:ind w:left="357"/>
        <w:contextualSpacing/>
      </w:pPr>
      <w:r w:rsidRPr="000B1627">
        <w:t>London NW4 4BT United Kingdom</w:t>
      </w:r>
      <w:r w:rsidRPr="000B1627">
        <w:tab/>
      </w:r>
      <w:r w:rsidRPr="000B1627">
        <w:tab/>
      </w:r>
      <w:hyperlink r:id="rId8" w:history="1">
        <w:r w:rsidRPr="000B1627">
          <w:rPr>
            <w:rStyle w:val="Hyperlink"/>
          </w:rPr>
          <w:t>cases.skarakas@gmail.com</w:t>
        </w:r>
      </w:hyperlink>
      <w:r w:rsidRPr="000B1627">
        <w:tab/>
      </w:r>
    </w:p>
    <w:p w14:paraId="4AB97047" w14:textId="77777777" w:rsidR="00DB5DF0" w:rsidRPr="000B1627" w:rsidRDefault="00000000" w:rsidP="00DB5DF0">
      <w:pPr>
        <w:ind w:firstLine="357"/>
        <w:contextualSpacing/>
      </w:pPr>
      <w:hyperlink r:id="rId9" w:history="1">
        <w:r w:rsidR="00DB5DF0" w:rsidRPr="000B1627">
          <w:rPr>
            <w:rStyle w:val="Hyperlink"/>
          </w:rPr>
          <w:t>info@turkeylitigationsupport.com</w:t>
        </w:r>
      </w:hyperlink>
      <w:r w:rsidR="00DB5DF0" w:rsidRPr="000B1627">
        <w:t xml:space="preserve"> </w:t>
      </w:r>
    </w:p>
    <w:p w14:paraId="05AFA9EA" w14:textId="77777777" w:rsidR="007F1607" w:rsidRPr="000B1627" w:rsidRDefault="007F1607" w:rsidP="00D57ADA">
      <w:pPr>
        <w:contextualSpacing/>
        <w:jc w:val="center"/>
      </w:pPr>
    </w:p>
    <w:p w14:paraId="3F16255D" w14:textId="77777777" w:rsidR="007F1607" w:rsidRPr="000B1627" w:rsidRDefault="007F1607" w:rsidP="00D57ADA">
      <w:pPr>
        <w:jc w:val="center"/>
      </w:pPr>
    </w:p>
    <w:p w14:paraId="4FA432D5" w14:textId="77777777" w:rsidR="00E65314" w:rsidRPr="000B1627" w:rsidRDefault="00E65314" w:rsidP="00D57ADA">
      <w:pPr>
        <w:rPr>
          <w:rStyle w:val="Hyperlink"/>
        </w:rPr>
      </w:pPr>
    </w:p>
    <w:p w14:paraId="693EEB3F" w14:textId="77777777" w:rsidR="007F1607" w:rsidRDefault="007F1607" w:rsidP="00D57ADA">
      <w:pPr>
        <w:rPr>
          <w:rStyle w:val="Hyperlink"/>
        </w:rPr>
      </w:pPr>
    </w:p>
    <w:p w14:paraId="73FD209B" w14:textId="77777777" w:rsidR="000B1627" w:rsidRPr="000B1627" w:rsidRDefault="000B1627" w:rsidP="00D57ADA">
      <w:pPr>
        <w:rPr>
          <w:rStyle w:val="Hyperlink"/>
        </w:rPr>
      </w:pPr>
    </w:p>
    <w:p w14:paraId="2DD3AFDF" w14:textId="77777777" w:rsidR="007F1607" w:rsidRPr="000B1627" w:rsidRDefault="007F1607" w:rsidP="00D57ADA">
      <w:pPr>
        <w:rPr>
          <w:rStyle w:val="Hyperlink"/>
        </w:rPr>
      </w:pPr>
    </w:p>
    <w:p w14:paraId="2D0ECBA4" w14:textId="77777777" w:rsidR="007F1607" w:rsidRPr="000B1627" w:rsidRDefault="007F1607" w:rsidP="00B37C81">
      <w:pPr>
        <w:rPr>
          <w:rStyle w:val="Hyperlink"/>
        </w:rPr>
      </w:pPr>
    </w:p>
    <w:p w14:paraId="150720AC" w14:textId="77777777" w:rsidR="00C111B0" w:rsidRPr="000B1627" w:rsidRDefault="00C111B0" w:rsidP="00B37C81">
      <w:pPr>
        <w:rPr>
          <w:rStyle w:val="Hyperlink"/>
        </w:rPr>
      </w:pPr>
    </w:p>
    <w:p w14:paraId="60593FA2" w14:textId="77777777" w:rsidR="00C111B0" w:rsidRPr="000B1627" w:rsidRDefault="00C111B0" w:rsidP="00D57ADA">
      <w:pPr>
        <w:rPr>
          <w:rStyle w:val="Hyperlink"/>
        </w:rPr>
      </w:pPr>
    </w:p>
    <w:p w14:paraId="58ADB5BC" w14:textId="77777777" w:rsidR="003F024A" w:rsidRPr="000B1627" w:rsidRDefault="003F024A" w:rsidP="00D57ADA">
      <w:pPr>
        <w:rPr>
          <w:rStyle w:val="Hyperlink"/>
        </w:rPr>
      </w:pPr>
    </w:p>
    <w:p w14:paraId="29588057" w14:textId="77777777" w:rsidR="00086F2E" w:rsidRPr="000B1627" w:rsidRDefault="00086F2E" w:rsidP="00D57ADA">
      <w:pPr>
        <w:rPr>
          <w:rStyle w:val="Hyperlink"/>
        </w:rPr>
      </w:pPr>
    </w:p>
    <w:p w14:paraId="6BFAF2C7" w14:textId="77777777" w:rsidR="00086F2E" w:rsidRPr="000B1627" w:rsidRDefault="00086F2E" w:rsidP="00D57ADA">
      <w:pPr>
        <w:rPr>
          <w:rStyle w:val="Hyperlink"/>
        </w:rPr>
      </w:pPr>
    </w:p>
    <w:p w14:paraId="78F7C6E5" w14:textId="77777777" w:rsidR="00086F2E" w:rsidRPr="000B1627" w:rsidRDefault="00086F2E" w:rsidP="00D57ADA">
      <w:pPr>
        <w:rPr>
          <w:rStyle w:val="Hyperlink"/>
        </w:rPr>
      </w:pPr>
    </w:p>
    <w:p w14:paraId="4E72B7C9" w14:textId="77777777" w:rsidR="00350FA8" w:rsidRPr="000B1627" w:rsidRDefault="00350FA8" w:rsidP="00D57ADA">
      <w:pPr>
        <w:rPr>
          <w:rStyle w:val="Hyperlink"/>
        </w:rPr>
      </w:pPr>
    </w:p>
    <w:p w14:paraId="539C9849" w14:textId="77777777" w:rsidR="00086F2E" w:rsidRPr="000B1627" w:rsidRDefault="00086F2E" w:rsidP="00D57ADA">
      <w:pPr>
        <w:rPr>
          <w:rStyle w:val="Hyperlink"/>
        </w:rPr>
      </w:pPr>
    </w:p>
    <w:p w14:paraId="5730B1CE" w14:textId="77777777" w:rsidR="007F1607" w:rsidRPr="000B1627" w:rsidRDefault="007F1607" w:rsidP="00D57ADA">
      <w:pPr>
        <w:rPr>
          <w:rStyle w:val="Hyperlink"/>
        </w:rPr>
      </w:pPr>
    </w:p>
    <w:p w14:paraId="2307390B" w14:textId="5299676E" w:rsidR="00E66DC1" w:rsidRPr="000B1627" w:rsidRDefault="00E66DC1" w:rsidP="00350FA8">
      <w:pPr>
        <w:pStyle w:val="ListParagraph"/>
        <w:numPr>
          <w:ilvl w:val="0"/>
          <w:numId w:val="33"/>
        </w:numPr>
        <w:spacing w:after="120"/>
        <w:contextualSpacing w:val="0"/>
        <w:jc w:val="both"/>
        <w:rPr>
          <w:rFonts w:ascii="Times New Roman" w:eastAsia="Times New Roman" w:hAnsi="Times New Roman" w:cs="Times New Roman"/>
          <w:b/>
          <w:bCs/>
          <w:lang w:eastAsia="en-GB"/>
        </w:rPr>
      </w:pPr>
      <w:r w:rsidRPr="000B1627">
        <w:rPr>
          <w:rFonts w:ascii="Times New Roman" w:eastAsia="Times New Roman" w:hAnsi="Times New Roman" w:cs="Times New Roman"/>
          <w:b/>
          <w:bCs/>
          <w:lang w:eastAsia="en-GB"/>
        </w:rPr>
        <w:lastRenderedPageBreak/>
        <w:t>Introduction</w:t>
      </w:r>
    </w:p>
    <w:p w14:paraId="02221C88" w14:textId="10792D5C" w:rsidR="00C33D22" w:rsidRPr="000B1627" w:rsidRDefault="00E9152A"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hAnsi="Times New Roman" w:cs="Times New Roman"/>
          <w:color w:val="000000" w:themeColor="text1"/>
        </w:rPr>
        <w:t xml:space="preserve">This </w:t>
      </w:r>
      <w:r w:rsidR="008A46AB" w:rsidRPr="000B1627">
        <w:rPr>
          <w:rFonts w:ascii="Times New Roman" w:hAnsi="Times New Roman" w:cs="Times New Roman"/>
          <w:color w:val="000000" w:themeColor="text1"/>
        </w:rPr>
        <w:t>submission</w:t>
      </w:r>
      <w:r w:rsidRPr="000B1627">
        <w:rPr>
          <w:rFonts w:ascii="Times New Roman" w:hAnsi="Times New Roman" w:cs="Times New Roman"/>
          <w:color w:val="000000" w:themeColor="text1"/>
        </w:rPr>
        <w:t xml:space="preserve"> is a response to the Turkish government’s State Report to the United Nations Human Rights Committee </w:t>
      </w:r>
      <w:r w:rsidR="005A1B95" w:rsidRPr="000B1627">
        <w:rPr>
          <w:rFonts w:ascii="Times New Roman" w:hAnsi="Times New Roman" w:cs="Times New Roman"/>
          <w:color w:val="000000" w:themeColor="text1"/>
        </w:rPr>
        <w:t>(</w:t>
      </w:r>
      <w:r w:rsidR="00E725AD" w:rsidRPr="000B1627">
        <w:rPr>
          <w:rFonts w:ascii="Times New Roman" w:hAnsi="Times New Roman" w:cs="Times New Roman"/>
          <w:color w:val="000000" w:themeColor="text1"/>
        </w:rPr>
        <w:t xml:space="preserve">“the HRC” or </w:t>
      </w:r>
      <w:r w:rsidR="00334B76" w:rsidRPr="000B1627">
        <w:rPr>
          <w:rFonts w:ascii="Times New Roman" w:hAnsi="Times New Roman" w:cs="Times New Roman"/>
          <w:color w:val="000000" w:themeColor="text1"/>
        </w:rPr>
        <w:t>“</w:t>
      </w:r>
      <w:r w:rsidR="005A1B95" w:rsidRPr="000B1627">
        <w:rPr>
          <w:rFonts w:ascii="Times New Roman" w:hAnsi="Times New Roman" w:cs="Times New Roman"/>
          <w:color w:val="000000" w:themeColor="text1"/>
        </w:rPr>
        <w:t>the Committee</w:t>
      </w:r>
      <w:r w:rsidR="00334B76" w:rsidRPr="000B1627">
        <w:rPr>
          <w:rFonts w:ascii="Times New Roman" w:hAnsi="Times New Roman" w:cs="Times New Roman"/>
          <w:color w:val="000000" w:themeColor="text1"/>
        </w:rPr>
        <w:t>”</w:t>
      </w:r>
      <w:r w:rsidR="005A1B95" w:rsidRPr="000B1627">
        <w:rPr>
          <w:rFonts w:ascii="Times New Roman" w:hAnsi="Times New Roman" w:cs="Times New Roman"/>
          <w:color w:val="000000" w:themeColor="text1"/>
        </w:rPr>
        <w:t xml:space="preserve">) </w:t>
      </w:r>
      <w:r w:rsidRPr="000B1627">
        <w:rPr>
          <w:rFonts w:ascii="Times New Roman" w:hAnsi="Times New Roman" w:cs="Times New Roman"/>
          <w:color w:val="000000" w:themeColor="text1"/>
        </w:rPr>
        <w:t>under the International Convention on Civil and Political Rights (</w:t>
      </w:r>
      <w:r w:rsidR="00334B76" w:rsidRPr="000B1627">
        <w:rPr>
          <w:rFonts w:ascii="Times New Roman" w:hAnsi="Times New Roman" w:cs="Times New Roman"/>
          <w:color w:val="000000" w:themeColor="text1"/>
        </w:rPr>
        <w:t xml:space="preserve">“the </w:t>
      </w:r>
      <w:r w:rsidRPr="000B1627">
        <w:rPr>
          <w:rFonts w:ascii="Times New Roman" w:hAnsi="Times New Roman" w:cs="Times New Roman"/>
          <w:color w:val="000000" w:themeColor="text1"/>
        </w:rPr>
        <w:t>ICCPR</w:t>
      </w:r>
      <w:r w:rsidR="00334B76" w:rsidRPr="000B1627">
        <w:rPr>
          <w:rFonts w:ascii="Times New Roman" w:hAnsi="Times New Roman" w:cs="Times New Roman"/>
          <w:color w:val="000000" w:themeColor="text1"/>
        </w:rPr>
        <w:t>”</w:t>
      </w:r>
      <w:r w:rsidR="005A1B95" w:rsidRPr="000B1627">
        <w:rPr>
          <w:rFonts w:ascii="Times New Roman" w:hAnsi="Times New Roman" w:cs="Times New Roman"/>
          <w:color w:val="000000" w:themeColor="text1"/>
        </w:rPr>
        <w:t xml:space="preserve"> or </w:t>
      </w:r>
      <w:r w:rsidR="00334B76" w:rsidRPr="000B1627">
        <w:rPr>
          <w:rFonts w:ascii="Times New Roman" w:hAnsi="Times New Roman" w:cs="Times New Roman"/>
          <w:color w:val="000000" w:themeColor="text1"/>
        </w:rPr>
        <w:t xml:space="preserve">“the </w:t>
      </w:r>
      <w:r w:rsidR="005A1B95" w:rsidRPr="000B1627">
        <w:rPr>
          <w:rFonts w:ascii="Times New Roman" w:hAnsi="Times New Roman" w:cs="Times New Roman"/>
          <w:color w:val="000000" w:themeColor="text1"/>
        </w:rPr>
        <w:t>Convention</w:t>
      </w:r>
      <w:r w:rsidR="00334B76" w:rsidRPr="000B1627">
        <w:rPr>
          <w:rFonts w:ascii="Times New Roman" w:hAnsi="Times New Roman" w:cs="Times New Roman"/>
          <w:color w:val="000000" w:themeColor="text1"/>
        </w:rPr>
        <w:t>”</w:t>
      </w:r>
      <w:r w:rsidRPr="000B1627">
        <w:rPr>
          <w:rFonts w:ascii="Times New Roman" w:hAnsi="Times New Roman" w:cs="Times New Roman"/>
          <w:color w:val="000000" w:themeColor="text1"/>
        </w:rPr>
        <w:t xml:space="preserve">), as part of its second predictable review. The report has been prepared </w:t>
      </w:r>
      <w:r w:rsidRPr="000B1627">
        <w:rPr>
          <w:rFonts w:ascii="Times New Roman" w:hAnsi="Times New Roman" w:cs="Times New Roman"/>
          <w:color w:val="000000" w:themeColor="text1"/>
          <w:shd w:val="clear" w:color="auto" w:fill="FFFFFF"/>
        </w:rPr>
        <w:t xml:space="preserve">by </w:t>
      </w:r>
      <w:r w:rsidR="00DB5DF0" w:rsidRPr="000B1627">
        <w:rPr>
          <w:rFonts w:ascii="Times New Roman" w:hAnsi="Times New Roman" w:cs="Times New Roman"/>
          <w:color w:val="000000" w:themeColor="text1"/>
          <w:shd w:val="clear" w:color="auto" w:fill="FFFFFF"/>
        </w:rPr>
        <w:t>the</w:t>
      </w:r>
      <w:r w:rsidR="00DB5DF0" w:rsidRPr="000B1627">
        <w:rPr>
          <w:rFonts w:ascii="Times New Roman" w:hAnsi="Times New Roman" w:cs="Times New Roman"/>
          <w:color w:val="000000" w:themeColor="text1"/>
        </w:rPr>
        <w:t xml:space="preserve"> Turkey Human Rights Litigation Support Project,</w:t>
      </w:r>
      <w:r w:rsidR="00DB5DF0" w:rsidRPr="000B1627">
        <w:rPr>
          <w:rFonts w:ascii="Times New Roman" w:hAnsi="Times New Roman" w:cs="Times New Roman"/>
          <w:color w:val="000000" w:themeColor="text1"/>
          <w:shd w:val="clear" w:color="auto" w:fill="FFFFFF"/>
        </w:rPr>
        <w:t xml:space="preserve"> London Legal Group, </w:t>
      </w:r>
      <w:r w:rsidR="00DB5DF0" w:rsidRPr="000B1627">
        <w:rPr>
          <w:rFonts w:ascii="Times New Roman" w:hAnsi="Times New Roman" w:cs="Times New Roman"/>
          <w:color w:val="000000" w:themeColor="text1"/>
        </w:rPr>
        <w:t>the Foundation for Society and Legal Studies and the Association of Lawyers for Freedom (“the NGOs”).</w:t>
      </w:r>
      <w:r w:rsidRPr="000B1627">
        <w:rPr>
          <w:rFonts w:ascii="Times New Roman" w:hAnsi="Times New Roman" w:cs="Times New Roman"/>
          <w:color w:val="000000" w:themeColor="text1"/>
        </w:rPr>
        <w:t xml:space="preserve"> It provides the NGO’s perspective on Türkiye’s implementation of provisions outlined in the ICCPR, and safeguarding the rights guaranteed under the </w:t>
      </w:r>
      <w:r w:rsidR="005A1B95" w:rsidRPr="000B1627">
        <w:rPr>
          <w:rFonts w:ascii="Times New Roman" w:hAnsi="Times New Roman" w:cs="Times New Roman"/>
          <w:color w:val="000000" w:themeColor="text1"/>
        </w:rPr>
        <w:t>C</w:t>
      </w:r>
      <w:r w:rsidRPr="000B1627">
        <w:rPr>
          <w:rFonts w:ascii="Times New Roman" w:hAnsi="Times New Roman" w:cs="Times New Roman"/>
          <w:color w:val="000000" w:themeColor="text1"/>
        </w:rPr>
        <w:t>onvention</w:t>
      </w:r>
      <w:r w:rsidR="001E1666" w:rsidRPr="000B1627">
        <w:rPr>
          <w:rFonts w:ascii="Times New Roman" w:hAnsi="Times New Roman" w:cs="Times New Roman"/>
          <w:color w:val="000000" w:themeColor="text1"/>
        </w:rPr>
        <w:t>.</w:t>
      </w:r>
    </w:p>
    <w:p w14:paraId="2CC924C1" w14:textId="77777777" w:rsidR="00F63A68" w:rsidRPr="000B1627" w:rsidRDefault="00F63A68" w:rsidP="00D57ADA">
      <w:pPr>
        <w:pStyle w:val="ListParagraph"/>
        <w:ind w:left="0"/>
        <w:jc w:val="both"/>
        <w:rPr>
          <w:rFonts w:ascii="Times New Roman" w:eastAsia="Times New Roman" w:hAnsi="Times New Roman" w:cs="Times New Roman"/>
          <w:lang w:eastAsia="en-GB"/>
        </w:rPr>
      </w:pPr>
    </w:p>
    <w:p w14:paraId="3B93BBE8" w14:textId="13CDE57C" w:rsidR="00F63A68" w:rsidRPr="000B1627" w:rsidRDefault="005F4414"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This submission is presented to the </w:t>
      </w:r>
      <w:r w:rsidR="00EF0C6B" w:rsidRPr="000B1627">
        <w:rPr>
          <w:rFonts w:ascii="Times New Roman" w:eastAsia="Times New Roman" w:hAnsi="Times New Roman" w:cs="Times New Roman"/>
          <w:lang w:eastAsia="en-GB"/>
        </w:rPr>
        <w:t>HRC</w:t>
      </w:r>
      <w:r w:rsidRPr="000B1627">
        <w:rPr>
          <w:rFonts w:ascii="Times New Roman" w:eastAsia="Times New Roman" w:hAnsi="Times New Roman" w:cs="Times New Roman"/>
          <w:lang w:eastAsia="en-GB"/>
        </w:rPr>
        <w:t xml:space="preserve"> as part of Türkiye’s Second Periodic Review under the ICCPR during its 142nd session. While Türkiye’s state report provides an overview of legal provisions and initiatives </w:t>
      </w:r>
      <w:r w:rsidR="00562537" w:rsidRPr="000B1627">
        <w:rPr>
          <w:rFonts w:ascii="Times New Roman" w:eastAsia="Times New Roman" w:hAnsi="Times New Roman" w:cs="Times New Roman"/>
          <w:lang w:eastAsia="en-GB"/>
        </w:rPr>
        <w:t xml:space="preserve">purportedly </w:t>
      </w:r>
      <w:r w:rsidRPr="000B1627">
        <w:rPr>
          <w:rFonts w:ascii="Times New Roman" w:eastAsia="Times New Roman" w:hAnsi="Times New Roman" w:cs="Times New Roman"/>
          <w:lang w:eastAsia="en-GB"/>
        </w:rPr>
        <w:t>undertaken to fulfil its obligations under the ICCPR, it falls short in addressing critical gaps in implementation, accountability, and enforcement. These shortcomings have contributed to systematic human rights violations that continue to undermine the effectiveness of legal protections.</w:t>
      </w:r>
    </w:p>
    <w:p w14:paraId="2D9C8B2C" w14:textId="77777777" w:rsidR="00F63A68" w:rsidRPr="000B1627" w:rsidRDefault="00F63A68" w:rsidP="00D57ADA">
      <w:pPr>
        <w:pStyle w:val="ListParagraph"/>
        <w:ind w:left="0"/>
        <w:jc w:val="both"/>
        <w:rPr>
          <w:rFonts w:ascii="Times New Roman" w:hAnsi="Times New Roman" w:cs="Times New Roman"/>
        </w:rPr>
      </w:pPr>
    </w:p>
    <w:p w14:paraId="6993F34B" w14:textId="1CA71ECF" w:rsidR="00F63A68" w:rsidRPr="000B1627" w:rsidRDefault="005F4414" w:rsidP="00BE077C">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hAnsi="Times New Roman" w:cs="Times New Roman"/>
        </w:rPr>
        <w:t xml:space="preserve">This submission </w:t>
      </w:r>
      <w:r w:rsidR="00F126E2" w:rsidRPr="000B1627">
        <w:rPr>
          <w:rFonts w:ascii="Times New Roman" w:hAnsi="Times New Roman" w:cs="Times New Roman"/>
        </w:rPr>
        <w:t>provides</w:t>
      </w:r>
      <w:r w:rsidRPr="000B1627">
        <w:rPr>
          <w:rFonts w:ascii="Times New Roman" w:hAnsi="Times New Roman" w:cs="Times New Roman"/>
        </w:rPr>
        <w:t xml:space="preserve"> a non-exhaustive list of critical areas outlined in the </w:t>
      </w:r>
      <w:r w:rsidRPr="000B1627">
        <w:rPr>
          <w:rFonts w:ascii="Times New Roman" w:eastAsia="Times New Roman" w:hAnsi="Times New Roman" w:cs="Times New Roman"/>
          <w:lang w:eastAsia="en-GB"/>
        </w:rPr>
        <w:t>List of Issues Prior to Reporting</w:t>
      </w:r>
      <w:r w:rsidRPr="000B1627">
        <w:rPr>
          <w:rFonts w:ascii="Times New Roman" w:hAnsi="Times New Roman" w:cs="Times New Roman"/>
        </w:rPr>
        <w:t xml:space="preserve"> that the </w:t>
      </w:r>
      <w:r w:rsidR="00E32708" w:rsidRPr="000B1627">
        <w:rPr>
          <w:rFonts w:ascii="Times New Roman" w:hAnsi="Times New Roman" w:cs="Times New Roman"/>
        </w:rPr>
        <w:t>St</w:t>
      </w:r>
      <w:r w:rsidRPr="000B1627">
        <w:rPr>
          <w:rFonts w:ascii="Times New Roman" w:hAnsi="Times New Roman" w:cs="Times New Roman"/>
        </w:rPr>
        <w:t xml:space="preserve">ate </w:t>
      </w:r>
      <w:r w:rsidR="00E32708" w:rsidRPr="000B1627">
        <w:rPr>
          <w:rFonts w:ascii="Times New Roman" w:hAnsi="Times New Roman" w:cs="Times New Roman"/>
        </w:rPr>
        <w:t>P</w:t>
      </w:r>
      <w:r w:rsidRPr="000B1627">
        <w:rPr>
          <w:rFonts w:ascii="Times New Roman" w:hAnsi="Times New Roman" w:cs="Times New Roman"/>
        </w:rPr>
        <w:t xml:space="preserve">arty </w:t>
      </w:r>
      <w:r w:rsidR="00BE077C" w:rsidRPr="000B1627">
        <w:rPr>
          <w:rFonts w:ascii="Times New Roman" w:hAnsi="Times New Roman" w:cs="Times New Roman"/>
        </w:rPr>
        <w:t>r</w:t>
      </w:r>
      <w:r w:rsidRPr="000B1627">
        <w:rPr>
          <w:rFonts w:ascii="Times New Roman" w:hAnsi="Times New Roman" w:cs="Times New Roman"/>
        </w:rPr>
        <w:t xml:space="preserve">eport fails to </w:t>
      </w:r>
      <w:r w:rsidR="009D00A2" w:rsidRPr="000B1627">
        <w:rPr>
          <w:rFonts w:ascii="Times New Roman" w:hAnsi="Times New Roman" w:cs="Times New Roman"/>
        </w:rPr>
        <w:t>a</w:t>
      </w:r>
      <w:r w:rsidRPr="000B1627">
        <w:rPr>
          <w:rFonts w:ascii="Times New Roman" w:hAnsi="Times New Roman" w:cs="Times New Roman"/>
        </w:rPr>
        <w:t>dequately</w:t>
      </w:r>
      <w:r w:rsidR="009D00A2" w:rsidRPr="000B1627">
        <w:rPr>
          <w:rFonts w:ascii="Times New Roman" w:hAnsi="Times New Roman" w:cs="Times New Roman"/>
        </w:rPr>
        <w:t xml:space="preserve"> address</w:t>
      </w:r>
      <w:r w:rsidRPr="000B1627">
        <w:rPr>
          <w:rFonts w:ascii="Times New Roman" w:eastAsia="Times New Roman" w:hAnsi="Times New Roman" w:cs="Times New Roman"/>
          <w:lang w:eastAsia="en-GB"/>
        </w:rPr>
        <w:t xml:space="preserve">. </w:t>
      </w:r>
      <w:r w:rsidR="00F126E2" w:rsidRPr="000B1627">
        <w:rPr>
          <w:rFonts w:ascii="Times New Roman" w:eastAsia="Times New Roman" w:hAnsi="Times New Roman" w:cs="Times New Roman"/>
          <w:lang w:eastAsia="en-GB"/>
        </w:rPr>
        <w:t>Key areas of focus</w:t>
      </w:r>
      <w:r w:rsidR="00E32708" w:rsidRPr="000B1627">
        <w:rPr>
          <w:rFonts w:ascii="Times New Roman" w:eastAsia="Times New Roman" w:hAnsi="Times New Roman" w:cs="Times New Roman"/>
          <w:lang w:eastAsia="en-GB"/>
        </w:rPr>
        <w:t xml:space="preserve"> this submission</w:t>
      </w:r>
      <w:r w:rsidR="00F126E2" w:rsidRPr="000B1627">
        <w:rPr>
          <w:rFonts w:ascii="Times New Roman" w:eastAsia="Times New Roman" w:hAnsi="Times New Roman" w:cs="Times New Roman"/>
          <w:lang w:eastAsia="en-GB"/>
        </w:rPr>
        <w:t xml:space="preserve"> include</w:t>
      </w:r>
      <w:r w:rsidR="00406391" w:rsidRPr="000B1627">
        <w:rPr>
          <w:rFonts w:ascii="Times New Roman" w:eastAsia="Times New Roman" w:hAnsi="Times New Roman" w:cs="Times New Roman"/>
          <w:lang w:eastAsia="en-GB"/>
        </w:rPr>
        <w:t xml:space="preserve"> </w:t>
      </w:r>
      <w:r w:rsidR="00406391" w:rsidRPr="000B1627">
        <w:rPr>
          <w:rFonts w:ascii="Times New Roman" w:hAnsi="Times New Roman" w:cs="Times New Roman"/>
        </w:rPr>
        <w:t>procedural deficiencies in the right to a fair trial, access to justice, and the lack of judicial independence and impartiality; the systemic issue of torture and cruel, inhuman, or degrading treatment or punishment; the abuse of criminal proceedings to stifle dissent, target human rights defenders, and silence political opposition; violations of the right to peaceful assembly and association; entrenched discrimination against Kurdish people; and the inadequate treatment of migrants, refugees, and asylum seekers. Each section concludes with specific recommendations to address these concerns.</w:t>
      </w:r>
    </w:p>
    <w:p w14:paraId="6BE97C0E" w14:textId="77777777" w:rsidR="00F63A68" w:rsidRPr="000B1627" w:rsidRDefault="00F63A68" w:rsidP="00D57ADA">
      <w:pPr>
        <w:pStyle w:val="ListParagraph"/>
        <w:ind w:left="0"/>
        <w:jc w:val="both"/>
        <w:rPr>
          <w:rFonts w:ascii="Times New Roman" w:eastAsia="Times New Roman" w:hAnsi="Times New Roman" w:cs="Times New Roman"/>
          <w:lang w:eastAsia="en-GB"/>
        </w:rPr>
      </w:pPr>
    </w:p>
    <w:p w14:paraId="77490FEE" w14:textId="52559C0D" w:rsidR="005F4414" w:rsidRPr="000B1627" w:rsidRDefault="00F126E2"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This submission underscores the urgent need for the Turkish government to take concrete and meaningful steps to bridge the gap between its international obligations under the ICCPR mandate and domestic </w:t>
      </w:r>
      <w:r w:rsidR="00CB0F06" w:rsidRPr="000B1627">
        <w:rPr>
          <w:rFonts w:ascii="Times New Roman" w:eastAsia="Times New Roman" w:hAnsi="Times New Roman" w:cs="Times New Roman"/>
          <w:lang w:eastAsia="en-GB"/>
        </w:rPr>
        <w:t xml:space="preserve">law and </w:t>
      </w:r>
      <w:r w:rsidRPr="000B1627">
        <w:rPr>
          <w:rFonts w:ascii="Times New Roman" w:eastAsia="Times New Roman" w:hAnsi="Times New Roman" w:cs="Times New Roman"/>
          <w:lang w:eastAsia="en-GB"/>
        </w:rPr>
        <w:t>practice. The submission calls for stronger accountability measures, the protection of civil and political rights for all individuals, and the reversal of policies that are incompatible with Türkiye’s international commitments.</w:t>
      </w:r>
    </w:p>
    <w:p w14:paraId="48F51E6A" w14:textId="77777777" w:rsidR="007F1607" w:rsidRPr="000B1627" w:rsidRDefault="007F1607" w:rsidP="00D57ADA"/>
    <w:p w14:paraId="069666C8" w14:textId="045FFB62" w:rsidR="00533207" w:rsidRPr="000B1627" w:rsidRDefault="00533207" w:rsidP="00533207">
      <w:pPr>
        <w:pStyle w:val="ListParagraph"/>
        <w:numPr>
          <w:ilvl w:val="0"/>
          <w:numId w:val="33"/>
        </w:numPr>
        <w:spacing w:after="120"/>
        <w:contextualSpacing w:val="0"/>
        <w:rPr>
          <w:rFonts w:ascii="Times New Roman" w:hAnsi="Times New Roman" w:cs="Times New Roman"/>
          <w:b/>
          <w:bCs/>
        </w:rPr>
      </w:pPr>
      <w:r w:rsidRPr="000B1627">
        <w:rPr>
          <w:rFonts w:ascii="Times New Roman" w:hAnsi="Times New Roman" w:cs="Times New Roman"/>
          <w:b/>
          <w:bCs/>
        </w:rPr>
        <w:t>The Right to a Fair Trial, Access to Justice and the Independence of Judiciary (Concerning Articles 2, 7, 9, 10 and 14 of the ICCPR</w:t>
      </w:r>
      <w:r w:rsidR="00F62F76" w:rsidRPr="000B1627">
        <w:rPr>
          <w:rFonts w:ascii="Times New Roman" w:hAnsi="Times New Roman" w:cs="Times New Roman"/>
          <w:b/>
          <w:bCs/>
        </w:rPr>
        <w:t>)</w:t>
      </w:r>
    </w:p>
    <w:p w14:paraId="1BACC6FD" w14:textId="77777777" w:rsidR="0042341E" w:rsidRPr="000B1627" w:rsidRDefault="0042341E" w:rsidP="0042341E">
      <w:pPr>
        <w:pStyle w:val="ListParagraph"/>
        <w:numPr>
          <w:ilvl w:val="0"/>
          <w:numId w:val="18"/>
        </w:numPr>
        <w:tabs>
          <w:tab w:val="left" w:pos="851"/>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 xml:space="preserve">Lack of Independence and Impartiality of Judiciary </w:t>
      </w:r>
    </w:p>
    <w:p w14:paraId="4E5AA5FC" w14:textId="77777777" w:rsidR="0042341E" w:rsidRPr="000B1627" w:rsidRDefault="0042341E" w:rsidP="0042341E">
      <w:pPr>
        <w:pStyle w:val="ListParagraph"/>
        <w:ind w:left="0"/>
        <w:jc w:val="both"/>
        <w:rPr>
          <w:rFonts w:ascii="Times New Roman" w:hAnsi="Times New Roman" w:cs="Times New Roman"/>
          <w:i/>
          <w:iCs/>
          <w:color w:val="000000"/>
        </w:rPr>
      </w:pPr>
    </w:p>
    <w:p w14:paraId="069E98BB"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Despite claims by the State Party that the 2017 constitutional amendments did not affect judicial independence in Türkiye, the restructuring of the Council of Judges and Prosecutors (“the CJP”) under the control of the Ministry of Justice raises significant concerns regarding impartiality. The selection process of CJP members involves the executive and legislature directly, making the independence of these appointees questionable. According to international norms, a judicial council should primarily consist of judges elected by their peers to maintain impartiality.</w:t>
      </w:r>
      <w:r w:rsidRPr="000B1627">
        <w:rPr>
          <w:rStyle w:val="FootnoteReference"/>
          <w:rFonts w:ascii="Times New Roman" w:hAnsi="Times New Roman" w:cs="Times New Roman"/>
          <w:color w:val="000000"/>
        </w:rPr>
        <w:footnoteReference w:id="4"/>
      </w:r>
    </w:p>
    <w:p w14:paraId="0D55EBCB" w14:textId="77777777" w:rsidR="0042341E" w:rsidRPr="000B1627" w:rsidRDefault="0042341E" w:rsidP="0042341E">
      <w:pPr>
        <w:pStyle w:val="ListParagraph"/>
        <w:ind w:left="0"/>
        <w:jc w:val="both"/>
        <w:rPr>
          <w:rFonts w:ascii="Times New Roman" w:hAnsi="Times New Roman" w:cs="Times New Roman"/>
          <w:color w:val="000000"/>
        </w:rPr>
      </w:pPr>
      <w:r w:rsidRPr="000B1627">
        <w:rPr>
          <w:rFonts w:ascii="Times New Roman" w:hAnsi="Times New Roman" w:cs="Times New Roman"/>
          <w:color w:val="000000"/>
        </w:rPr>
        <w:lastRenderedPageBreak/>
        <w:t xml:space="preserve"> </w:t>
      </w:r>
    </w:p>
    <w:p w14:paraId="34438484"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The European Commission for Democracy through Law (Venice Commission) has affirmed that “</w:t>
      </w:r>
      <w:r w:rsidRPr="000B1627">
        <w:rPr>
          <w:rFonts w:ascii="Times New Roman" w:hAnsi="Times New Roman" w:cs="Times New Roman"/>
          <w:i/>
          <w:iCs/>
          <w:color w:val="000000"/>
        </w:rPr>
        <w:t>other members should be elected by Parliament among persons with appropriate legal qualification taking into account possible conflicts of interest</w:t>
      </w:r>
      <w:r w:rsidRPr="000B1627">
        <w:rPr>
          <w:rFonts w:ascii="Times New Roman" w:hAnsi="Times New Roman" w:cs="Times New Roman"/>
          <w:color w:val="000000"/>
        </w:rPr>
        <w:t>".</w:t>
      </w:r>
      <w:r w:rsidRPr="000B1627">
        <w:rPr>
          <w:rFonts w:ascii="Times New Roman" w:hAnsi="Times New Roman" w:cs="Times New Roman"/>
          <w:vertAlign w:val="superscript"/>
        </w:rPr>
        <w:footnoteReference w:id="5"/>
      </w:r>
      <w:r w:rsidRPr="000B1627">
        <w:rPr>
          <w:rFonts w:ascii="Times New Roman" w:hAnsi="Times New Roman" w:cs="Times New Roman"/>
          <w:color w:val="000000"/>
        </w:rPr>
        <w:t xml:space="preserve"> The amendment also decreased the number of CJP members from 22 to 13: nearly half are now directly appointed by the President or represent the executive </w:t>
      </w:r>
      <w:r w:rsidRPr="000B1627">
        <w:rPr>
          <w:rFonts w:ascii="Times New Roman" w:hAnsi="Times New Roman" w:cs="Times New Roman"/>
          <w:i/>
          <w:iCs/>
          <w:color w:val="000000"/>
        </w:rPr>
        <w:t>ex officio</w:t>
      </w:r>
      <w:r w:rsidRPr="000B1627">
        <w:rPr>
          <w:rFonts w:ascii="Times New Roman" w:hAnsi="Times New Roman" w:cs="Times New Roman"/>
          <w:color w:val="000000"/>
        </w:rPr>
        <w:t xml:space="preserve"> (6 out of 13).</w:t>
      </w:r>
      <w:r w:rsidRPr="000B1627">
        <w:rPr>
          <w:rFonts w:ascii="Times New Roman" w:hAnsi="Times New Roman" w:cs="Times New Roman"/>
          <w:vertAlign w:val="superscript"/>
        </w:rPr>
        <w:footnoteReference w:id="6"/>
      </w:r>
      <w:r w:rsidRPr="000B1627">
        <w:rPr>
          <w:rFonts w:ascii="Times New Roman" w:hAnsi="Times New Roman" w:cs="Times New Roman"/>
          <w:color w:val="000000"/>
        </w:rPr>
        <w:t xml:space="preserve"> The remaining 7 members are chosen by the Grand National Assembly (“Parliament”), which is largely controlled by the ruling coalition.</w:t>
      </w:r>
      <w:r w:rsidRPr="000B1627">
        <w:rPr>
          <w:rFonts w:ascii="Times New Roman" w:hAnsi="Times New Roman" w:cs="Times New Roman"/>
          <w:vertAlign w:val="superscript"/>
        </w:rPr>
        <w:footnoteReference w:id="7"/>
      </w:r>
      <w:r w:rsidRPr="000B1627">
        <w:rPr>
          <w:rFonts w:ascii="Times New Roman" w:hAnsi="Times New Roman" w:cs="Times New Roman"/>
          <w:color w:val="000000"/>
        </w:rPr>
        <w:t xml:space="preserve">  This is a clear deviation from  international standards, significantly increasing the threat to judicial impartiality.</w:t>
      </w:r>
    </w:p>
    <w:p w14:paraId="1D3F9785" w14:textId="77777777" w:rsidR="0042341E" w:rsidRPr="000B1627" w:rsidRDefault="0042341E" w:rsidP="0042341E">
      <w:pPr>
        <w:pStyle w:val="ListParagraph"/>
        <w:ind w:left="0"/>
        <w:jc w:val="both"/>
        <w:rPr>
          <w:rFonts w:ascii="Times New Roman" w:hAnsi="Times New Roman" w:cs="Times New Roman"/>
          <w:color w:val="000000"/>
        </w:rPr>
      </w:pPr>
    </w:p>
    <w:p w14:paraId="2BA47B72"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 xml:space="preserve">Furthermore, the process for appointing members to the Constitutional Court is similarly problematic. Of the 15 members, 12 are appointed by the President, raising concerns that the judiciary may lack the necessary independence to act as an effective check on the executive branch. </w:t>
      </w:r>
    </w:p>
    <w:p w14:paraId="60208BBF" w14:textId="77777777" w:rsidR="0042341E" w:rsidRPr="000B1627" w:rsidRDefault="0042341E" w:rsidP="0042341E">
      <w:pPr>
        <w:pStyle w:val="ListParagraph"/>
        <w:rPr>
          <w:rFonts w:ascii="Times New Roman" w:hAnsi="Times New Roman" w:cs="Times New Roman"/>
          <w:color w:val="000000"/>
        </w:rPr>
      </w:pPr>
    </w:p>
    <w:p w14:paraId="5B9DF53A"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The extremely problematic recruitment system for judges and prosecutors raises additional serious concerns for the independence of judiciary. The recruitment process formally includes an oral interview following a written exam. Notably, the board conducting the interviews is composed entirely of members of the executive, including several officials from the Ministry of Justice, one representative from the Justice Academy -a state institution under the Ministry’s control- and the General Secretary of the CJP, who is appointed by the Minister of Justice.</w:t>
      </w:r>
      <w:r w:rsidRPr="000B1627">
        <w:rPr>
          <w:rFonts w:ascii="Times New Roman" w:hAnsi="Times New Roman" w:cs="Times New Roman"/>
          <w:color w:val="000000"/>
          <w:vertAlign w:val="superscript"/>
        </w:rPr>
        <w:footnoteReference w:id="8"/>
      </w:r>
      <w:r w:rsidRPr="000B1627">
        <w:rPr>
          <w:rFonts w:ascii="Times New Roman" w:hAnsi="Times New Roman" w:cs="Times New Roman"/>
          <w:color w:val="000000"/>
        </w:rPr>
        <w:t xml:space="preserve"> Rather than being based on objective criteria, these interviews lack transparency and multiple judicial actors have expressed concern that their outcome is  pre-determined on the basis of whether candidates had been informally approved by the ruling political parties.</w:t>
      </w:r>
      <w:r w:rsidRPr="000B1627">
        <w:rPr>
          <w:rFonts w:ascii="Times New Roman" w:hAnsi="Times New Roman" w:cs="Times New Roman"/>
          <w:color w:val="000000"/>
          <w:vertAlign w:val="superscript"/>
        </w:rPr>
        <w:footnoteReference w:id="9"/>
      </w:r>
      <w:r w:rsidRPr="000B1627">
        <w:rPr>
          <w:rFonts w:ascii="Times New Roman" w:hAnsi="Times New Roman" w:cs="Times New Roman"/>
          <w:color w:val="000000"/>
        </w:rPr>
        <w:t xml:space="preserve"> This level of control over the judiciary does not align with international standards and threatens the impartiality of the legal system in Türkiye.</w:t>
      </w:r>
    </w:p>
    <w:p w14:paraId="55D59FEA" w14:textId="77777777" w:rsidR="0042341E" w:rsidRPr="000B1627" w:rsidRDefault="0042341E" w:rsidP="0042341E">
      <w:pPr>
        <w:pStyle w:val="ListParagraph"/>
        <w:ind w:left="0"/>
        <w:jc w:val="both"/>
        <w:rPr>
          <w:rFonts w:ascii="Times New Roman" w:hAnsi="Times New Roman" w:cs="Times New Roman"/>
          <w:color w:val="000000"/>
        </w:rPr>
      </w:pPr>
    </w:p>
    <w:p w14:paraId="7F64B8C8" w14:textId="77777777" w:rsidR="0042341E" w:rsidRPr="000B1627" w:rsidRDefault="0042341E" w:rsidP="0042341E">
      <w:pPr>
        <w:pStyle w:val="ListParagraph"/>
        <w:numPr>
          <w:ilvl w:val="0"/>
          <w:numId w:val="18"/>
        </w:numPr>
        <w:tabs>
          <w:tab w:val="left" w:pos="709"/>
          <w:tab w:val="left" w:pos="851"/>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Post-Coup Judicial Purges</w:t>
      </w:r>
    </w:p>
    <w:p w14:paraId="5611DC9F" w14:textId="77777777" w:rsidR="0042341E" w:rsidRPr="000B1627" w:rsidRDefault="0042341E" w:rsidP="0042341E">
      <w:pPr>
        <w:pStyle w:val="ListParagraph"/>
        <w:ind w:left="0"/>
        <w:jc w:val="both"/>
        <w:rPr>
          <w:rFonts w:ascii="Times New Roman" w:hAnsi="Times New Roman" w:cs="Times New Roman"/>
          <w:color w:val="000000"/>
        </w:rPr>
      </w:pPr>
    </w:p>
    <w:p w14:paraId="0649A54B"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The dismissal of judges and prosecutors for the alleged links to the Gülenists, described as urgent and necessary to protect the judiciary's integrity, raises serious concerns about the fairness of the process. The mass dismissal of over 2,700 judges and prosecutors were based on their alleged affiliation with “the Gülenist Terror Organization” (‘FETÖ’).</w:t>
      </w:r>
      <w:r w:rsidRPr="000B1627">
        <w:rPr>
          <w:rStyle w:val="FootnoteReference"/>
          <w:rFonts w:ascii="Times New Roman" w:hAnsi="Times New Roman" w:cs="Times New Roman"/>
          <w:color w:val="000000"/>
        </w:rPr>
        <w:footnoteReference w:id="10"/>
      </w:r>
      <w:r w:rsidRPr="000B1627">
        <w:rPr>
          <w:rFonts w:ascii="Times New Roman" w:hAnsi="Times New Roman" w:cs="Times New Roman"/>
          <w:color w:val="000000"/>
        </w:rPr>
        <w:t xml:space="preserve"> However, the process lacked transparency, as decisions were made collectively, and judges and prosecutors were dismissed </w:t>
      </w:r>
      <w:proofErr w:type="spellStart"/>
      <w:r w:rsidRPr="000B1627">
        <w:rPr>
          <w:rFonts w:ascii="Times New Roman" w:hAnsi="Times New Roman" w:cs="Times New Roman"/>
          <w:i/>
          <w:iCs/>
          <w:color w:val="000000"/>
        </w:rPr>
        <w:t>en</w:t>
      </w:r>
      <w:proofErr w:type="spellEnd"/>
      <w:r w:rsidRPr="000B1627">
        <w:rPr>
          <w:rFonts w:ascii="Times New Roman" w:hAnsi="Times New Roman" w:cs="Times New Roman"/>
          <w:i/>
          <w:iCs/>
          <w:color w:val="000000"/>
        </w:rPr>
        <w:t xml:space="preserve"> masse</w:t>
      </w:r>
      <w:r w:rsidRPr="000B1627">
        <w:rPr>
          <w:rFonts w:ascii="Times New Roman" w:hAnsi="Times New Roman" w:cs="Times New Roman"/>
          <w:color w:val="000000"/>
        </w:rPr>
        <w:t xml:space="preserve"> rather than through individual case reviews. This sweeping measure </w:t>
      </w:r>
      <w:r w:rsidRPr="000B1627">
        <w:rPr>
          <w:rFonts w:ascii="Times New Roman" w:hAnsi="Times New Roman" w:cs="Times New Roman"/>
          <w:color w:val="000000"/>
        </w:rPr>
        <w:lastRenderedPageBreak/>
        <w:t>raises doubts about whether those dismissed enjoyed sufficient opportunities to defend themselves.</w:t>
      </w:r>
    </w:p>
    <w:p w14:paraId="5256E671" w14:textId="77777777" w:rsidR="0042341E" w:rsidRPr="000B1627" w:rsidRDefault="0042341E" w:rsidP="0042341E">
      <w:pPr>
        <w:pStyle w:val="ListParagraph"/>
        <w:ind w:left="0"/>
        <w:jc w:val="both"/>
        <w:rPr>
          <w:rFonts w:ascii="Times New Roman" w:hAnsi="Times New Roman" w:cs="Times New Roman"/>
          <w:color w:val="000000"/>
        </w:rPr>
      </w:pPr>
    </w:p>
    <w:p w14:paraId="6AD35FBB" w14:textId="77777777" w:rsidR="0042341E" w:rsidRPr="000B1627" w:rsidRDefault="0042341E" w:rsidP="0042341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The State Party’s reliance on the </w:t>
      </w:r>
      <w:r w:rsidRPr="000B1627">
        <w:rPr>
          <w:rFonts w:ascii="Times New Roman" w:eastAsia="Times New Roman" w:hAnsi="Times New Roman" w:cs="Times New Roman"/>
          <w:i/>
          <w:iCs/>
          <w:lang w:eastAsia="en-GB"/>
        </w:rPr>
        <w:t>Micallef v. Malta</w:t>
      </w:r>
      <w:r w:rsidRPr="000B1627">
        <w:rPr>
          <w:rStyle w:val="FootnoteReference"/>
          <w:rFonts w:ascii="Times New Roman" w:eastAsia="Times New Roman" w:hAnsi="Times New Roman" w:cs="Times New Roman"/>
          <w:lang w:eastAsia="en-GB"/>
        </w:rPr>
        <w:footnoteReference w:id="11"/>
      </w:r>
      <w:r w:rsidRPr="000B1627">
        <w:rPr>
          <w:rFonts w:ascii="Times New Roman" w:eastAsia="Times New Roman" w:hAnsi="Times New Roman" w:cs="Times New Roman"/>
          <w:lang w:eastAsia="en-GB"/>
        </w:rPr>
        <w:t xml:space="preserve"> ECtHR judgment to justify mass dismissal of judges is problematic. The ruling in </w:t>
      </w:r>
      <w:r w:rsidRPr="000B1627">
        <w:rPr>
          <w:rFonts w:ascii="Times New Roman" w:eastAsia="Times New Roman" w:hAnsi="Times New Roman" w:cs="Times New Roman"/>
          <w:i/>
          <w:iCs/>
          <w:lang w:eastAsia="en-GB"/>
        </w:rPr>
        <w:t xml:space="preserve">Micallef </w:t>
      </w:r>
      <w:r w:rsidRPr="000B1627">
        <w:rPr>
          <w:rFonts w:ascii="Times New Roman" w:eastAsia="Times New Roman" w:hAnsi="Times New Roman" w:cs="Times New Roman"/>
          <w:lang w:eastAsia="en-GB"/>
        </w:rPr>
        <w:t>refers to extraordinary circumstances allowing for deviations from Article 6 (right to a fair trial) guarantees. However, the situation in Türkiye went beyond isolated instances and involved widespread suspensions, calling into question whether basic procedural safeguards were adequately implemented. Even if the state faces extraordinary circumstances, judicial dismissals should still ensure adherence to fairness and impartiality, which does not appear fully evident here.</w:t>
      </w:r>
    </w:p>
    <w:p w14:paraId="4A0C6B3D" w14:textId="77777777" w:rsidR="0042341E" w:rsidRPr="000B1627" w:rsidRDefault="0042341E" w:rsidP="0042341E">
      <w:pPr>
        <w:pStyle w:val="ListParagraph"/>
        <w:ind w:left="0"/>
        <w:jc w:val="both"/>
        <w:rPr>
          <w:rFonts w:ascii="Times New Roman" w:eastAsia="Times New Roman" w:hAnsi="Times New Roman" w:cs="Times New Roman"/>
          <w:lang w:eastAsia="en-GB"/>
        </w:rPr>
      </w:pPr>
    </w:p>
    <w:p w14:paraId="597AE8FD" w14:textId="77777777" w:rsidR="0042341E" w:rsidRPr="000B1627" w:rsidRDefault="0042341E" w:rsidP="0042341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Despite the formal end of the </w:t>
      </w:r>
      <w:proofErr w:type="spellStart"/>
      <w:r w:rsidRPr="000B1627">
        <w:rPr>
          <w:rFonts w:ascii="Times New Roman" w:eastAsia="Times New Roman" w:hAnsi="Times New Roman" w:cs="Times New Roman"/>
          <w:lang w:eastAsia="en-GB"/>
        </w:rPr>
        <w:t>SoE</w:t>
      </w:r>
      <w:proofErr w:type="spellEnd"/>
      <w:r w:rsidRPr="000B1627">
        <w:rPr>
          <w:rFonts w:ascii="Times New Roman" w:eastAsia="Times New Roman" w:hAnsi="Times New Roman" w:cs="Times New Roman"/>
          <w:lang w:eastAsia="en-GB"/>
        </w:rPr>
        <w:t xml:space="preserve"> in 2018, the practice of dismissing judges and prosecutors based on emergency powers has persisted</w:t>
      </w:r>
      <w:r w:rsidRPr="000B1627">
        <w:rPr>
          <w:rFonts w:ascii="Times New Roman" w:hAnsi="Times New Roman" w:cs="Times New Roman"/>
          <w:color w:val="000000"/>
        </w:rPr>
        <w:t>.</w:t>
      </w:r>
      <w:r w:rsidRPr="000B1627">
        <w:rPr>
          <w:rFonts w:ascii="Times New Roman" w:hAnsi="Times New Roman" w:cs="Times New Roman"/>
          <w:vertAlign w:val="superscript"/>
        </w:rPr>
        <w:footnoteReference w:id="12"/>
      </w:r>
      <w:r w:rsidRPr="000B1627">
        <w:rPr>
          <w:rFonts w:ascii="Times New Roman" w:hAnsi="Times New Roman" w:cs="Times New Roman"/>
          <w:color w:val="000000"/>
        </w:rPr>
        <w:t xml:space="preserve"> Those dismissed on purported terrorism-related grounds following the coup attempt of 2016 technically have the right to request judicial review of their dismissals through administrative courts. However, substantial evidence suggests that this process is neither effective nor offers a realistic prospect of success.</w:t>
      </w:r>
      <w:r w:rsidRPr="000B1627">
        <w:rPr>
          <w:rStyle w:val="FootnoteReference"/>
          <w:rFonts w:ascii="Times New Roman" w:hAnsi="Times New Roman" w:cs="Times New Roman"/>
          <w:color w:val="000000"/>
        </w:rPr>
        <w:footnoteReference w:id="13"/>
      </w:r>
      <w:r w:rsidRPr="000B1627">
        <w:rPr>
          <w:rFonts w:ascii="Times New Roman" w:hAnsi="Times New Roman" w:cs="Times New Roman"/>
          <w:color w:val="000000"/>
        </w:rPr>
        <w:t xml:space="preserve"> The high level of political influence and control over these judicial reviews raises serious concerns about the fairness of these proceedings.</w:t>
      </w:r>
    </w:p>
    <w:p w14:paraId="5B4905FA" w14:textId="77777777" w:rsidR="0042341E" w:rsidRPr="000B1627" w:rsidRDefault="0042341E" w:rsidP="0042341E">
      <w:pPr>
        <w:pStyle w:val="ListParagraph"/>
        <w:ind w:left="0"/>
        <w:jc w:val="both"/>
        <w:rPr>
          <w:rFonts w:ascii="Times New Roman" w:eastAsia="Times New Roman" w:hAnsi="Times New Roman" w:cs="Times New Roman"/>
          <w:lang w:eastAsia="en-GB"/>
        </w:rPr>
      </w:pPr>
    </w:p>
    <w:p w14:paraId="1B774062" w14:textId="77777777" w:rsidR="0042341E" w:rsidRPr="000B1627" w:rsidRDefault="0042341E" w:rsidP="0042341E">
      <w:pPr>
        <w:pStyle w:val="ListParagraph"/>
        <w:numPr>
          <w:ilvl w:val="0"/>
          <w:numId w:val="18"/>
        </w:numPr>
        <w:tabs>
          <w:tab w:val="left" w:pos="851"/>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Use of Disciplinary Proceedings, Transfers and Reassignment to Exert Pressure on the Judiciary</w:t>
      </w:r>
    </w:p>
    <w:p w14:paraId="48EDAD0B" w14:textId="77777777" w:rsidR="0042341E" w:rsidRPr="000B1627" w:rsidRDefault="0042341E" w:rsidP="0042341E">
      <w:pPr>
        <w:rPr>
          <w:i/>
          <w:iCs/>
        </w:rPr>
      </w:pPr>
    </w:p>
    <w:p w14:paraId="611456BC" w14:textId="77777777" w:rsidR="0042341E" w:rsidRPr="000B1627" w:rsidRDefault="0042341E" w:rsidP="0042341E">
      <w:pPr>
        <w:pStyle w:val="ListParagraph"/>
        <w:numPr>
          <w:ilvl w:val="0"/>
          <w:numId w:val="1"/>
        </w:numPr>
        <w:ind w:left="0"/>
        <w:jc w:val="both"/>
        <w:rPr>
          <w:rFonts w:ascii="Times New Roman" w:eastAsia="Times New Roman" w:hAnsi="Times New Roman" w:cs="Times New Roman"/>
          <w:i/>
          <w:iCs/>
          <w:lang w:eastAsia="en-GB"/>
        </w:rPr>
      </w:pPr>
      <w:r w:rsidRPr="000B1627">
        <w:rPr>
          <w:rFonts w:ascii="Times New Roman" w:hAnsi="Times New Roman" w:cs="Times New Roman"/>
          <w:color w:val="000000"/>
        </w:rPr>
        <w:t xml:space="preserve">Disciplinary proceedings are commonly used to exert pressure on judges and to make them confirm to government interests. A clear example of this can be seen following the 18 February 2020 acquittal of Osman Kavala, the CJP conducted an inquiry into the judges who had been in favour of acquitting Mr. Kavala – pointedly ignoring the ECtHR </w:t>
      </w:r>
      <w:r w:rsidRPr="000B1627">
        <w:rPr>
          <w:rFonts w:ascii="Times New Roman" w:hAnsi="Times New Roman" w:cs="Times New Roman"/>
          <w:i/>
          <w:iCs/>
          <w:color w:val="000000"/>
        </w:rPr>
        <w:t>Kavala v Türkiye</w:t>
      </w:r>
      <w:r w:rsidRPr="000B1627">
        <w:rPr>
          <w:rFonts w:ascii="Times New Roman" w:hAnsi="Times New Roman" w:cs="Times New Roman"/>
          <w:color w:val="000000"/>
        </w:rPr>
        <w:t xml:space="preserve"> judgment of 2019.</w:t>
      </w:r>
      <w:r w:rsidRPr="000B1627">
        <w:rPr>
          <w:rStyle w:val="FootnoteReference"/>
          <w:rFonts w:ascii="Times New Roman" w:hAnsi="Times New Roman" w:cs="Times New Roman"/>
          <w:color w:val="000000"/>
        </w:rPr>
        <w:footnoteReference w:id="14"/>
      </w:r>
      <w:r w:rsidRPr="000B1627">
        <w:rPr>
          <w:rFonts w:ascii="Times New Roman" w:hAnsi="Times New Roman" w:cs="Times New Roman"/>
          <w:color w:val="000000"/>
        </w:rPr>
        <w:t xml:space="preserve"> The inquiry lasted around two years, creating strong pressure for other judges to convict Osman Kavala.</w:t>
      </w:r>
      <w:r w:rsidRPr="000B1627">
        <w:rPr>
          <w:rStyle w:val="FootnoteReference"/>
          <w:rFonts w:ascii="Times New Roman" w:hAnsi="Times New Roman" w:cs="Times New Roman"/>
          <w:color w:val="000000"/>
        </w:rPr>
        <w:footnoteReference w:id="15"/>
      </w:r>
    </w:p>
    <w:p w14:paraId="64505F09" w14:textId="77777777" w:rsidR="0042341E" w:rsidRPr="000B1627" w:rsidRDefault="0042341E" w:rsidP="0042341E">
      <w:pPr>
        <w:pStyle w:val="ListParagraph"/>
        <w:ind w:left="0"/>
        <w:jc w:val="both"/>
        <w:rPr>
          <w:rFonts w:ascii="Times New Roman" w:eastAsia="Times New Roman" w:hAnsi="Times New Roman" w:cs="Times New Roman"/>
          <w:i/>
          <w:iCs/>
          <w:lang w:eastAsia="en-GB"/>
        </w:rPr>
      </w:pPr>
    </w:p>
    <w:p w14:paraId="7A5AB5F5" w14:textId="77777777" w:rsidR="0042341E" w:rsidRPr="000B1627" w:rsidRDefault="0042341E" w:rsidP="0042341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practice of reassigning or transferring judges as a veiled sanction is also widespread, particularly against those seen as opposing government interests or favouring dissidents.</w:t>
      </w:r>
      <w:r w:rsidRPr="000B1627">
        <w:rPr>
          <w:rFonts w:ascii="Times New Roman" w:hAnsi="Times New Roman" w:cs="Times New Roman"/>
          <w:color w:val="000000"/>
        </w:rPr>
        <w:t xml:space="preserve"> In 2010, only 190 judges and prosecutors were subjected to transfers,</w:t>
      </w:r>
      <w:r w:rsidRPr="000B1627">
        <w:rPr>
          <w:rStyle w:val="FootnoteReference"/>
          <w:rFonts w:ascii="Times New Roman" w:hAnsi="Times New Roman" w:cs="Times New Roman"/>
          <w:color w:val="000000"/>
        </w:rPr>
        <w:footnoteReference w:id="16"/>
      </w:r>
      <w:r w:rsidRPr="000B1627">
        <w:rPr>
          <w:rFonts w:ascii="Times New Roman" w:hAnsi="Times New Roman" w:cs="Times New Roman"/>
          <w:color w:val="000000"/>
        </w:rPr>
        <w:t xml:space="preserve"> but by July 2023, this number had surged to 3,423.</w:t>
      </w:r>
      <w:r w:rsidRPr="000B1627">
        <w:rPr>
          <w:rStyle w:val="FootnoteReference"/>
          <w:rFonts w:ascii="Times New Roman" w:hAnsi="Times New Roman" w:cs="Times New Roman"/>
          <w:color w:val="000000"/>
        </w:rPr>
        <w:footnoteReference w:id="17"/>
      </w:r>
      <w:r w:rsidRPr="000B1627">
        <w:rPr>
          <w:rFonts w:ascii="Times New Roman" w:hAnsi="Times New Roman" w:cs="Times New Roman"/>
          <w:color w:val="000000"/>
        </w:rPr>
        <w:t xml:space="preserve"> Under Article 159 of the Turkish Constitution, these transfers </w:t>
      </w:r>
      <w:r w:rsidRPr="000B1627">
        <w:rPr>
          <w:rFonts w:ascii="Times New Roman" w:hAnsi="Times New Roman" w:cs="Times New Roman"/>
          <w:color w:val="000000"/>
        </w:rPr>
        <w:lastRenderedPageBreak/>
        <w:t>cannot be challenged through judicial review, further limiting the independence of the judiciary.</w:t>
      </w:r>
      <w:r w:rsidRPr="000B1627">
        <w:rPr>
          <w:rStyle w:val="FootnoteReference"/>
          <w:rFonts w:ascii="Times New Roman" w:hAnsi="Times New Roman" w:cs="Times New Roman"/>
          <w:color w:val="000000"/>
        </w:rPr>
        <w:footnoteReference w:id="18"/>
      </w:r>
    </w:p>
    <w:p w14:paraId="0503621B" w14:textId="77777777" w:rsidR="0042341E" w:rsidRPr="000B1627" w:rsidRDefault="0042341E" w:rsidP="0042341E">
      <w:pPr>
        <w:pStyle w:val="ListParagraph"/>
        <w:ind w:left="0"/>
        <w:jc w:val="both"/>
        <w:rPr>
          <w:rFonts w:ascii="Times New Roman" w:eastAsia="Times New Roman" w:hAnsi="Times New Roman" w:cs="Times New Roman"/>
          <w:i/>
          <w:iCs/>
          <w:lang w:eastAsia="en-GB"/>
        </w:rPr>
      </w:pPr>
    </w:p>
    <w:p w14:paraId="6DD76113" w14:textId="77777777" w:rsidR="0042341E" w:rsidRPr="000B1627" w:rsidRDefault="0042341E" w:rsidP="0042341E">
      <w:pPr>
        <w:pStyle w:val="ListParagraph"/>
        <w:numPr>
          <w:ilvl w:val="0"/>
          <w:numId w:val="24"/>
        </w:numPr>
        <w:tabs>
          <w:tab w:val="left" w:pos="709"/>
          <w:tab w:val="left" w:pos="851"/>
          <w:tab w:val="left" w:pos="993"/>
        </w:tabs>
        <w:ind w:left="0" w:firstLine="567"/>
        <w:jc w:val="both"/>
        <w:rPr>
          <w:rFonts w:ascii="Times New Roman" w:eastAsia="Times New Roman" w:hAnsi="Times New Roman" w:cs="Times New Roman"/>
          <w:lang w:eastAsia="en-GB"/>
        </w:rPr>
      </w:pPr>
      <w:r w:rsidRPr="000B1627">
        <w:rPr>
          <w:rFonts w:ascii="Times New Roman" w:eastAsia="Times New Roman" w:hAnsi="Times New Roman" w:cs="Times New Roman"/>
          <w:i/>
          <w:iCs/>
          <w:lang w:eastAsia="en-GB"/>
        </w:rPr>
        <w:t xml:space="preserve">  Lack of Fair Trial Procedure</w:t>
      </w:r>
    </w:p>
    <w:p w14:paraId="7AB409BD" w14:textId="77777777" w:rsidR="0042341E" w:rsidRPr="000B1627" w:rsidRDefault="0042341E" w:rsidP="0042341E">
      <w:pPr>
        <w:pStyle w:val="ListParagraph"/>
        <w:ind w:left="0"/>
        <w:jc w:val="both"/>
        <w:rPr>
          <w:rFonts w:ascii="Times New Roman" w:eastAsia="Times New Roman" w:hAnsi="Times New Roman" w:cs="Times New Roman"/>
          <w:lang w:eastAsia="en-GB"/>
        </w:rPr>
      </w:pPr>
    </w:p>
    <w:p w14:paraId="67E690F8"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rPr>
        <w:t>The assurances provided by the Code of Criminal Procedure (CCP) concerning the right to legal representation and access to justice are severely compromised by the realities of political trials, suppression of dissent, and excessive pre-trial detention, particularly targeting government critics. Despite formal legal protections in place, the judiciary’s increasing politicization has led to a growing perception that certain trials lack fairness, especially when involving political dissidents, journalists, and human rights defenders.</w:t>
      </w:r>
    </w:p>
    <w:p w14:paraId="135456EF" w14:textId="77777777" w:rsidR="0042341E" w:rsidRPr="000B1627" w:rsidRDefault="0042341E" w:rsidP="0042341E">
      <w:pPr>
        <w:pStyle w:val="ListParagraph"/>
        <w:ind w:left="0"/>
        <w:jc w:val="both"/>
        <w:rPr>
          <w:rFonts w:ascii="Times New Roman" w:eastAsia="Times New Roman" w:hAnsi="Times New Roman" w:cs="Times New Roman"/>
          <w:lang w:eastAsia="en-GB"/>
        </w:rPr>
      </w:pPr>
    </w:p>
    <w:p w14:paraId="2597C453" w14:textId="5547769A"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eastAsia="Times New Roman" w:hAnsi="Times New Roman" w:cs="Times New Roman"/>
          <w:lang w:eastAsia="en-GB"/>
        </w:rPr>
        <w:t xml:space="preserve">In the cases of Ebru </w:t>
      </w:r>
      <w:proofErr w:type="spellStart"/>
      <w:r w:rsidRPr="000B1627">
        <w:rPr>
          <w:rFonts w:ascii="Times New Roman" w:eastAsia="Times New Roman" w:hAnsi="Times New Roman" w:cs="Times New Roman"/>
          <w:lang w:eastAsia="en-GB"/>
        </w:rPr>
        <w:t>Timtik</w:t>
      </w:r>
      <w:proofErr w:type="spellEnd"/>
      <w:r w:rsidRPr="000B1627">
        <w:rPr>
          <w:rFonts w:ascii="Times New Roman" w:eastAsia="Times New Roman" w:hAnsi="Times New Roman" w:cs="Times New Roman"/>
          <w:lang w:eastAsia="en-GB"/>
        </w:rPr>
        <w:t xml:space="preserve"> and </w:t>
      </w:r>
      <w:proofErr w:type="spellStart"/>
      <w:r w:rsidRPr="000B1627">
        <w:rPr>
          <w:rFonts w:ascii="Times New Roman" w:eastAsia="Times New Roman" w:hAnsi="Times New Roman" w:cs="Times New Roman"/>
          <w:lang w:eastAsia="en-GB"/>
        </w:rPr>
        <w:t>Aytaç</w:t>
      </w:r>
      <w:proofErr w:type="spellEnd"/>
      <w:r w:rsidRPr="000B1627">
        <w:rPr>
          <w:rFonts w:ascii="Times New Roman" w:eastAsia="Times New Roman" w:hAnsi="Times New Roman" w:cs="Times New Roman"/>
          <w:lang w:eastAsia="en-GB"/>
        </w:rPr>
        <w:t xml:space="preserve"> Ünsal, (both lawyers who went on hunger strike to protest the systemic fair trial right issues and their imprisonment), there were widespread accusations of political interference in legal proceedings. The right to a fair trial, free from external political influence is systematically threatened in cases against perceived dissidents and government critics. </w:t>
      </w:r>
      <w:proofErr w:type="spellStart"/>
      <w:r w:rsidRPr="000B1627">
        <w:rPr>
          <w:rFonts w:ascii="Times New Roman" w:hAnsi="Times New Roman" w:cs="Times New Roman"/>
          <w:color w:val="000000"/>
        </w:rPr>
        <w:t>Timtik</w:t>
      </w:r>
      <w:proofErr w:type="spellEnd"/>
      <w:r w:rsidRPr="000B1627">
        <w:rPr>
          <w:rFonts w:ascii="Times New Roman" w:hAnsi="Times New Roman" w:cs="Times New Roman"/>
          <w:color w:val="000000"/>
        </w:rPr>
        <w:t xml:space="preserve"> and </w:t>
      </w:r>
      <w:r w:rsidRPr="000B1627">
        <w:rPr>
          <w:rFonts w:ascii="Times New Roman" w:eastAsia="Times New Roman" w:hAnsi="Times New Roman" w:cs="Times New Roman"/>
          <w:lang w:eastAsia="en-GB"/>
        </w:rPr>
        <w:t>Ünsal</w:t>
      </w:r>
      <w:r w:rsidRPr="000B1627">
        <w:rPr>
          <w:rFonts w:ascii="Times New Roman" w:hAnsi="Times New Roman" w:cs="Times New Roman"/>
          <w:color w:val="000000"/>
        </w:rPr>
        <w:t xml:space="preserve">’s hunger strikes, which tragically resulted in </w:t>
      </w:r>
      <w:proofErr w:type="spellStart"/>
      <w:r w:rsidRPr="000B1627">
        <w:rPr>
          <w:rFonts w:ascii="Times New Roman" w:hAnsi="Times New Roman" w:cs="Times New Roman"/>
          <w:color w:val="000000"/>
        </w:rPr>
        <w:t>Timtik's</w:t>
      </w:r>
      <w:proofErr w:type="spellEnd"/>
      <w:r w:rsidRPr="000B1627">
        <w:rPr>
          <w:rFonts w:ascii="Times New Roman" w:hAnsi="Times New Roman" w:cs="Times New Roman"/>
          <w:color w:val="000000"/>
        </w:rPr>
        <w:t xml:space="preserve"> death, were a direct </w:t>
      </w:r>
      <w:proofErr w:type="gramStart"/>
      <w:r w:rsidRPr="000B1627">
        <w:rPr>
          <w:rFonts w:ascii="Times New Roman" w:hAnsi="Times New Roman" w:cs="Times New Roman"/>
          <w:color w:val="000000"/>
        </w:rPr>
        <w:t>protest against</w:t>
      </w:r>
      <w:proofErr w:type="gramEnd"/>
      <w:r w:rsidRPr="000B1627">
        <w:rPr>
          <w:rFonts w:ascii="Times New Roman" w:hAnsi="Times New Roman" w:cs="Times New Roman"/>
          <w:color w:val="000000"/>
        </w:rPr>
        <w:t xml:space="preserve"> the lack of fair trial guarantees in cases deemed politically sensitive. The</w:t>
      </w:r>
      <w:r w:rsidR="006946B7">
        <w:rPr>
          <w:rFonts w:ascii="Times New Roman" w:hAnsi="Times New Roman" w:cs="Times New Roman"/>
          <w:color w:val="000000"/>
        </w:rPr>
        <w:t xml:space="preserve"> ECtHR </w:t>
      </w:r>
      <w:r w:rsidRPr="000B1627">
        <w:rPr>
          <w:rFonts w:ascii="Times New Roman" w:hAnsi="Times New Roman" w:cs="Times New Roman"/>
          <w:color w:val="000000"/>
        </w:rPr>
        <w:t>has similarly raised concerns, particularly in a recent ruling involving the “</w:t>
      </w:r>
      <w:proofErr w:type="spellStart"/>
      <w:r w:rsidRPr="000B1627">
        <w:rPr>
          <w:rFonts w:ascii="Times New Roman" w:hAnsi="Times New Roman" w:cs="Times New Roman"/>
          <w:color w:val="000000"/>
        </w:rPr>
        <w:t>Bylock</w:t>
      </w:r>
      <w:proofErr w:type="spellEnd"/>
      <w:r w:rsidRPr="000B1627">
        <w:rPr>
          <w:rFonts w:ascii="Times New Roman" w:hAnsi="Times New Roman" w:cs="Times New Roman"/>
          <w:color w:val="000000"/>
        </w:rPr>
        <w:t>” case, which acknowledged the applicant's well-founded doubts about the legitimacy of the criminal proceedings against them. These cases highlight systematic violations of due process in terrorism-related cases, where legal procedures often appear to be conducted only as a form.</w:t>
      </w:r>
      <w:r w:rsidRPr="000B1627">
        <w:rPr>
          <w:rStyle w:val="FootnoteReference"/>
          <w:rFonts w:ascii="Times New Roman" w:hAnsi="Times New Roman" w:cs="Times New Roman"/>
          <w:color w:val="000000"/>
        </w:rPr>
        <w:footnoteReference w:id="19"/>
      </w:r>
      <w:r w:rsidRPr="000B1627">
        <w:rPr>
          <w:rFonts w:ascii="Times New Roman" w:hAnsi="Times New Roman" w:cs="Times New Roman"/>
          <w:color w:val="000000"/>
        </w:rPr>
        <w:t xml:space="preserve">  </w:t>
      </w:r>
    </w:p>
    <w:p w14:paraId="4A537227" w14:textId="77777777" w:rsidR="0042341E" w:rsidRPr="000B1627" w:rsidRDefault="0042341E" w:rsidP="0042341E">
      <w:pPr>
        <w:pStyle w:val="ListParagraph"/>
        <w:ind w:left="0"/>
        <w:jc w:val="both"/>
        <w:rPr>
          <w:rFonts w:ascii="Times New Roman" w:hAnsi="Times New Roman" w:cs="Times New Roman"/>
          <w:color w:val="000000"/>
        </w:rPr>
      </w:pPr>
    </w:p>
    <w:p w14:paraId="7E4F1F60" w14:textId="77777777" w:rsidR="0042341E" w:rsidRPr="000B1627" w:rsidRDefault="0042341E" w:rsidP="0042341E">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 xml:space="preserve">The Kobani case, which involves the prosecution of numerous pro-Kurdish politicians, including Selahattin Demirtaş and </w:t>
      </w:r>
      <w:proofErr w:type="spellStart"/>
      <w:r w:rsidRPr="000B1627">
        <w:rPr>
          <w:rFonts w:ascii="Times New Roman" w:hAnsi="Times New Roman" w:cs="Times New Roman"/>
          <w:color w:val="000000"/>
        </w:rPr>
        <w:t>Figen</w:t>
      </w:r>
      <w:proofErr w:type="spellEnd"/>
      <w:r w:rsidRPr="000B1627">
        <w:rPr>
          <w:rFonts w:ascii="Times New Roman" w:hAnsi="Times New Roman" w:cs="Times New Roman"/>
          <w:color w:val="000000"/>
        </w:rPr>
        <w:t xml:space="preserve"> </w:t>
      </w:r>
      <w:proofErr w:type="spellStart"/>
      <w:r w:rsidRPr="000B1627">
        <w:rPr>
          <w:rFonts w:ascii="Times New Roman" w:hAnsi="Times New Roman" w:cs="Times New Roman"/>
          <w:color w:val="000000"/>
        </w:rPr>
        <w:t>Yüksekdağ</w:t>
      </w:r>
      <w:proofErr w:type="spellEnd"/>
      <w:r w:rsidRPr="000B1627">
        <w:rPr>
          <w:rFonts w:ascii="Times New Roman" w:hAnsi="Times New Roman" w:cs="Times New Roman"/>
          <w:color w:val="000000"/>
        </w:rPr>
        <w:t xml:space="preserve"> </w:t>
      </w:r>
      <w:proofErr w:type="spellStart"/>
      <w:r w:rsidRPr="000B1627">
        <w:rPr>
          <w:rFonts w:ascii="Times New Roman" w:hAnsi="Times New Roman" w:cs="Times New Roman"/>
          <w:color w:val="000000"/>
        </w:rPr>
        <w:t>Şenoğlu</w:t>
      </w:r>
      <w:proofErr w:type="spellEnd"/>
      <w:r w:rsidRPr="000B1627">
        <w:rPr>
          <w:rFonts w:ascii="Times New Roman" w:hAnsi="Times New Roman" w:cs="Times New Roman"/>
          <w:color w:val="000000"/>
        </w:rPr>
        <w:t xml:space="preserve">, is another example of the systematic violation of the right to a fair trial, particularly targeting Kurdish political figures. The trial has been widely criticized for its lack of impartiality and procedural irregularities with the defendants being held in prolonged pre-trial detention without substantive evidence directly linking them to any violent acts. Despite a clear ruling by the ECtHR, which found that Demirtaş's and </w:t>
      </w:r>
      <w:proofErr w:type="spellStart"/>
      <w:r w:rsidRPr="000B1627">
        <w:rPr>
          <w:rFonts w:ascii="Times New Roman" w:hAnsi="Times New Roman" w:cs="Times New Roman"/>
          <w:color w:val="000000"/>
        </w:rPr>
        <w:t>Yüksekdağ</w:t>
      </w:r>
      <w:proofErr w:type="spellEnd"/>
      <w:r w:rsidRPr="000B1627">
        <w:rPr>
          <w:rFonts w:ascii="Times New Roman" w:hAnsi="Times New Roman" w:cs="Times New Roman"/>
          <w:color w:val="000000"/>
        </w:rPr>
        <w:t xml:space="preserve"> </w:t>
      </w:r>
      <w:proofErr w:type="spellStart"/>
      <w:r w:rsidRPr="000B1627">
        <w:rPr>
          <w:rFonts w:ascii="Times New Roman" w:hAnsi="Times New Roman" w:cs="Times New Roman"/>
          <w:color w:val="000000"/>
        </w:rPr>
        <w:t>Şenoğlu’s</w:t>
      </w:r>
      <w:proofErr w:type="spellEnd"/>
      <w:r w:rsidRPr="000B1627">
        <w:rPr>
          <w:rFonts w:ascii="Times New Roman" w:hAnsi="Times New Roman" w:cs="Times New Roman"/>
          <w:color w:val="000000"/>
        </w:rPr>
        <w:t xml:space="preserve"> detentions were politically motivated and in violation of their rights to freedom of expression and free elections,</w:t>
      </w:r>
      <w:r w:rsidRPr="000B1627">
        <w:rPr>
          <w:rStyle w:val="FootnoteReference"/>
          <w:rFonts w:ascii="Times New Roman" w:hAnsi="Times New Roman" w:cs="Times New Roman"/>
          <w:color w:val="000000"/>
        </w:rPr>
        <w:footnoteReference w:id="20"/>
      </w:r>
      <w:r w:rsidRPr="000B1627">
        <w:rPr>
          <w:rFonts w:ascii="Times New Roman" w:hAnsi="Times New Roman" w:cs="Times New Roman"/>
          <w:color w:val="000000"/>
        </w:rPr>
        <w:t xml:space="preserve"> a domestic court sentenced them to lengthy prison terms (42-year in prison for Demirtaş and more than 30 years for </w:t>
      </w:r>
      <w:proofErr w:type="spellStart"/>
      <w:r w:rsidRPr="000B1627">
        <w:rPr>
          <w:rFonts w:ascii="Times New Roman" w:hAnsi="Times New Roman" w:cs="Times New Roman"/>
          <w:color w:val="000000"/>
        </w:rPr>
        <w:t>Yüksekdağ</w:t>
      </w:r>
      <w:proofErr w:type="spellEnd"/>
      <w:r w:rsidRPr="000B1627">
        <w:rPr>
          <w:rFonts w:ascii="Times New Roman" w:hAnsi="Times New Roman" w:cs="Times New Roman"/>
          <w:color w:val="000000"/>
        </w:rPr>
        <w:t xml:space="preserve"> </w:t>
      </w:r>
      <w:proofErr w:type="spellStart"/>
      <w:r w:rsidRPr="000B1627">
        <w:rPr>
          <w:rFonts w:ascii="Times New Roman" w:hAnsi="Times New Roman" w:cs="Times New Roman"/>
          <w:color w:val="000000"/>
        </w:rPr>
        <w:t>Şenoğlu</w:t>
      </w:r>
      <w:proofErr w:type="spellEnd"/>
      <w:r w:rsidRPr="000B1627">
        <w:rPr>
          <w:rFonts w:ascii="Times New Roman" w:hAnsi="Times New Roman" w:cs="Times New Roman"/>
          <w:color w:val="000000"/>
        </w:rPr>
        <w:t>) in May 2024.</w:t>
      </w:r>
      <w:r w:rsidRPr="000B1627">
        <w:rPr>
          <w:rStyle w:val="FootnoteReference"/>
          <w:rFonts w:ascii="Times New Roman" w:hAnsi="Times New Roman" w:cs="Times New Roman"/>
          <w:color w:val="000000"/>
        </w:rPr>
        <w:footnoteReference w:id="21"/>
      </w:r>
      <w:r w:rsidRPr="000B1627">
        <w:rPr>
          <w:rFonts w:ascii="Times New Roman" w:hAnsi="Times New Roman" w:cs="Times New Roman"/>
          <w:color w:val="000000"/>
        </w:rPr>
        <w:t xml:space="preserve"> The reliance of this trial on anonymous witnesses testimonials and clear political motivations are indicative of an eroding state of judicial independence in Türkiye.</w:t>
      </w:r>
      <w:r w:rsidRPr="000B1627">
        <w:rPr>
          <w:rStyle w:val="FootnoteReference"/>
          <w:rFonts w:ascii="Times New Roman" w:hAnsi="Times New Roman" w:cs="Times New Roman"/>
          <w:color w:val="000000"/>
        </w:rPr>
        <w:footnoteReference w:id="22"/>
      </w:r>
    </w:p>
    <w:p w14:paraId="3C73A494" w14:textId="77777777" w:rsidR="0042341E" w:rsidRPr="000B1627" w:rsidRDefault="0042341E" w:rsidP="0042341E">
      <w:pPr>
        <w:pStyle w:val="ListParagraph"/>
        <w:ind w:left="0"/>
        <w:jc w:val="both"/>
        <w:rPr>
          <w:rFonts w:ascii="Times New Roman" w:hAnsi="Times New Roman" w:cs="Times New Roman"/>
          <w:color w:val="000000"/>
        </w:rPr>
      </w:pPr>
    </w:p>
    <w:p w14:paraId="3B7DA199" w14:textId="77777777" w:rsidR="0042341E" w:rsidRPr="000B1627" w:rsidRDefault="0042341E" w:rsidP="0042341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Prolonged pre-trial detention remains a serious issue in Türkiye, particularly in cases involving political dissent, human rights defenders, and journalists. Turkish authorities frequently resort to long-term detention without trial as a tool to suppress opposition, despite clear legal </w:t>
      </w:r>
      <w:r w:rsidRPr="000B1627">
        <w:rPr>
          <w:rFonts w:ascii="Times New Roman" w:eastAsia="Times New Roman" w:hAnsi="Times New Roman" w:cs="Times New Roman"/>
          <w:lang w:eastAsia="en-GB"/>
        </w:rPr>
        <w:lastRenderedPageBreak/>
        <w:t>provisions that mandate trials within a reasonable time.</w:t>
      </w:r>
      <w:r w:rsidRPr="000B1627">
        <w:rPr>
          <w:rStyle w:val="FootnoteReference"/>
          <w:rFonts w:ascii="Times New Roman" w:eastAsia="Times New Roman" w:hAnsi="Times New Roman" w:cs="Times New Roman"/>
          <w:lang w:eastAsia="en-GB"/>
        </w:rPr>
        <w:footnoteReference w:id="23"/>
      </w:r>
      <w:r w:rsidRPr="000B1627">
        <w:rPr>
          <w:rFonts w:ascii="Times New Roman" w:eastAsia="Times New Roman" w:hAnsi="Times New Roman" w:cs="Times New Roman"/>
          <w:lang w:eastAsia="en-GB"/>
        </w:rPr>
        <w:t xml:space="preserve"> This pattern of abuse is exacerbated in terrorism-related cases, where individuals are often held for extended periods based on flimsy evidence or vague accusations. Such practices are incompatible with international standards of fairness and constitute a violation of the right to a fair trial under the ICCPR. </w:t>
      </w:r>
    </w:p>
    <w:p w14:paraId="5DAD50A2" w14:textId="77777777" w:rsidR="0042341E" w:rsidRPr="000B1627" w:rsidRDefault="0042341E" w:rsidP="0042341E">
      <w:pPr>
        <w:pStyle w:val="ListParagraph"/>
        <w:ind w:left="0"/>
        <w:jc w:val="both"/>
        <w:rPr>
          <w:rFonts w:ascii="Times New Roman" w:hAnsi="Times New Roman" w:cs="Times New Roman"/>
          <w:color w:val="000000"/>
        </w:rPr>
      </w:pPr>
    </w:p>
    <w:p w14:paraId="5CFB3FD3" w14:textId="77777777" w:rsidR="0042341E" w:rsidRPr="000B1627" w:rsidRDefault="0042341E" w:rsidP="0042341E">
      <w:pPr>
        <w:pStyle w:val="ListParagraph"/>
        <w:numPr>
          <w:ilvl w:val="0"/>
          <w:numId w:val="1"/>
        </w:numPr>
        <w:ind w:left="0"/>
        <w:jc w:val="both"/>
        <w:rPr>
          <w:rFonts w:ascii="Times New Roman" w:eastAsia="Times New Roman" w:hAnsi="Times New Roman" w:cs="Times New Roman"/>
          <w:b/>
          <w:bCs/>
          <w:i/>
          <w:iCs/>
          <w:lang w:eastAsia="en-GB"/>
        </w:rPr>
      </w:pPr>
      <w:r w:rsidRPr="000B1627">
        <w:rPr>
          <w:rFonts w:ascii="Times New Roman" w:hAnsi="Times New Roman" w:cs="Times New Roman"/>
          <w:b/>
          <w:bCs/>
          <w:i/>
          <w:iCs/>
          <w:color w:val="000000"/>
        </w:rPr>
        <w:t>Recommendations to the State Party</w:t>
      </w:r>
    </w:p>
    <w:p w14:paraId="2DCC6DDA" w14:textId="77777777" w:rsidR="0042341E" w:rsidRPr="000B1627" w:rsidRDefault="0042341E" w:rsidP="0042341E">
      <w:pPr>
        <w:pStyle w:val="ListParagraph"/>
        <w:ind w:left="0"/>
        <w:jc w:val="both"/>
        <w:rPr>
          <w:rFonts w:ascii="Times New Roman" w:hAnsi="Times New Roman" w:cs="Times New Roman"/>
          <w:b/>
          <w:bCs/>
          <w:color w:val="000000"/>
          <w:u w:val="single"/>
        </w:rPr>
      </w:pPr>
    </w:p>
    <w:p w14:paraId="169F02C3"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Türkiye must repeal the President's power to appoint members of the CJP, as the President is not a neutral figure but the leader of a political party. It should ensure that, in accordance with international human rights standards, a significant portion of CJP members are judges elected by their peers. </w:t>
      </w:r>
    </w:p>
    <w:p w14:paraId="6D39C003"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Turkish government must establish a fair election process in Parliament for the remaining CJP members, with participation from all political parties. Members elected by Parliament should represent different levels of the judiciary.</w:t>
      </w:r>
    </w:p>
    <w:p w14:paraId="5B8836BD"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membership of the Minister of Justice and Deputy Minister of Justice in the CJP should be ended, along with the Minister’s role as President of the CJP.</w:t>
      </w:r>
    </w:p>
    <w:p w14:paraId="13A8D00C"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revise the mechanism for appointing judges and prosecutors by reducing the role of the Ministry of Justice in the process and increasing the involvement of the judiciary in the recruitment and selection of prospective judges and prosecutors.</w:t>
      </w:r>
    </w:p>
    <w:p w14:paraId="4E42189A"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Turkish government must take the necessary steps to guarantee that decisions concerning judges and prosecutors, including appointments, dismissals, promotions, case removals, transfers, and disciplinary actions, are transparent and based on objective criteria, in line with international standards on judicial independence. Additionally, safeguards should be strengthened to secure the tenure of judges and prosecutors, ensuring that transfers against their will are limited to exceptional cases and that they are only suspended or removed for incapacity or conduct that makes them unfit for their duties.</w:t>
      </w:r>
    </w:p>
    <w:p w14:paraId="58B6A748"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To improve transparency, Türkiye must strengthen the decision-making process of the CJP and repeal salary deductions and transfers to lower courts as disciplinary sanctions. Furthermore, the Ministry of Justice’s power to intervene in the temporary reassignment of judges or prosecutors or to modify their jurisdiction should be abolished.</w:t>
      </w:r>
    </w:p>
    <w:p w14:paraId="70037FAC" w14:textId="3950890C" w:rsidR="006453F1"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ensure that judges and prosecutors have access to an effective remedy before an independent judicial body for decisions regarding their appointments, dismissals, transfers, and disciplinary measures. The country must also end emergency dismissal powers and provide effective remedies for judges dismissed under state of emergency decrees, particularly those subjected to criminal proceedings that violated their rights.</w:t>
      </w:r>
    </w:p>
    <w:p w14:paraId="11196282" w14:textId="77777777" w:rsidR="0042341E" w:rsidRPr="000B1627" w:rsidRDefault="0042341E" w:rsidP="00350FA8">
      <w:pPr>
        <w:pStyle w:val="ListParagraph"/>
        <w:numPr>
          <w:ilvl w:val="0"/>
          <w:numId w:val="44"/>
        </w:numPr>
        <w:tabs>
          <w:tab w:val="left" w:pos="284"/>
          <w:tab w:val="left" w:pos="426"/>
        </w:tabs>
        <w:spacing w:before="80" w:after="80"/>
        <w:contextualSpacing w:val="0"/>
        <w:jc w:val="both"/>
        <w:rPr>
          <w:rFonts w:ascii="Times New Roman" w:hAnsi="Times New Roman" w:cs="Times New Roman"/>
        </w:rPr>
      </w:pPr>
      <w:r w:rsidRPr="000B1627">
        <w:rPr>
          <w:rFonts w:ascii="Times New Roman" w:hAnsi="Times New Roman" w:cs="Times New Roman"/>
        </w:rPr>
        <w:t>Finally, Türkiye must strengthen safeguards against the influence of the President and the ruling coalition over criminal proceedings and repeal the current method of appointing Constitutional Court members to guarantee the court's structural independence.</w:t>
      </w:r>
    </w:p>
    <w:p w14:paraId="15E4C4A9"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Judges and prosecutors dismissed after the coup attempt must have access to an effective and impartial judicial review process. Türkiye should ensure that all dismissal cases are reviewed fairly, without political influence, in line with international standards.</w:t>
      </w:r>
    </w:p>
    <w:p w14:paraId="04593A0D" w14:textId="77777777" w:rsidR="0042341E" w:rsidRPr="000B1627" w:rsidRDefault="0042341E" w:rsidP="00350FA8">
      <w:pPr>
        <w:pStyle w:val="ListParagraph"/>
        <w:numPr>
          <w:ilvl w:val="0"/>
          <w:numId w:val="44"/>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uphold its obligations under the ICCPR by ensuring fair trial procedures for all, particularly for human rights defenders, political dissidents, and journalists. Pre-</w:t>
      </w:r>
      <w:r w:rsidRPr="000B1627">
        <w:rPr>
          <w:rFonts w:ascii="Times New Roman" w:eastAsia="Times New Roman" w:hAnsi="Times New Roman" w:cs="Times New Roman"/>
          <w:lang w:eastAsia="en-GB"/>
        </w:rPr>
        <w:lastRenderedPageBreak/>
        <w:t>trial detention should be limited to cases where there is clear, substantial evidence, and trials must be conducted promptly.</w:t>
      </w:r>
    </w:p>
    <w:p w14:paraId="2D56C063" w14:textId="77777777" w:rsidR="00533207" w:rsidRPr="000B1627" w:rsidRDefault="00533207" w:rsidP="00350FA8">
      <w:pPr>
        <w:spacing w:after="120"/>
      </w:pPr>
    </w:p>
    <w:p w14:paraId="656C9114" w14:textId="00BEC5FB" w:rsidR="000F20FE" w:rsidRPr="000B1627" w:rsidRDefault="000F20FE" w:rsidP="000F20FE">
      <w:pPr>
        <w:pStyle w:val="ListParagraph"/>
        <w:numPr>
          <w:ilvl w:val="0"/>
          <w:numId w:val="33"/>
        </w:numPr>
        <w:spacing w:after="120"/>
        <w:contextualSpacing w:val="0"/>
        <w:rPr>
          <w:rFonts w:ascii="Times New Roman" w:hAnsi="Times New Roman" w:cs="Times New Roman"/>
          <w:b/>
          <w:bCs/>
        </w:rPr>
      </w:pPr>
      <w:r w:rsidRPr="000B1627">
        <w:rPr>
          <w:rFonts w:ascii="Times New Roman" w:hAnsi="Times New Roman" w:cs="Times New Roman"/>
          <w:b/>
          <w:bCs/>
        </w:rPr>
        <w:t>Prohibition of Torture and Cruel, Inhuman or Degrading Treatment or Punishment (Concerning Articles 2, 7, 9, 10, 12 and 14 of the ICCPR)</w:t>
      </w:r>
    </w:p>
    <w:p w14:paraId="069115EF" w14:textId="218DCDDE" w:rsidR="00F82ADE" w:rsidRPr="000B1627" w:rsidRDefault="00F82ADE" w:rsidP="00F82AD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State Party report claims that Türkiye has adopted a “zero tolerance against torture” policy in 2003, with legislative changes to strengthen accountability for acts of torture. However, international human rights organizations</w:t>
      </w:r>
      <w:r w:rsidR="0048217C" w:rsidRPr="000B1627">
        <w:rPr>
          <w:rFonts w:ascii="Times New Roman" w:eastAsia="Times New Roman" w:hAnsi="Times New Roman" w:cs="Times New Roman"/>
          <w:lang w:eastAsia="en-GB"/>
        </w:rPr>
        <w:t xml:space="preserve">, </w:t>
      </w:r>
      <w:r w:rsidRPr="000B1627">
        <w:rPr>
          <w:rFonts w:ascii="Times New Roman" w:eastAsia="Times New Roman" w:hAnsi="Times New Roman" w:cs="Times New Roman"/>
          <w:lang w:eastAsia="en-GB"/>
        </w:rPr>
        <w:t>t</w:t>
      </w:r>
      <w:r w:rsidR="0048217C" w:rsidRPr="000B1627">
        <w:rPr>
          <w:rFonts w:ascii="Times New Roman" w:eastAsia="Times New Roman" w:hAnsi="Times New Roman" w:cs="Times New Roman"/>
          <w:lang w:eastAsia="en-GB"/>
        </w:rPr>
        <w:t xml:space="preserve">he </w:t>
      </w:r>
      <w:r w:rsidRPr="000B1627">
        <w:rPr>
          <w:rFonts w:ascii="Times New Roman" w:eastAsia="Times New Roman" w:hAnsi="Times New Roman" w:cs="Times New Roman"/>
          <w:lang w:eastAsia="en-GB"/>
        </w:rPr>
        <w:t xml:space="preserve">European Committee for the Prevention of Torture (CPT) </w:t>
      </w:r>
      <w:r w:rsidR="0048217C" w:rsidRPr="000B1627">
        <w:rPr>
          <w:rFonts w:ascii="Times New Roman" w:eastAsia="Times New Roman" w:hAnsi="Times New Roman" w:cs="Times New Roman"/>
          <w:lang w:eastAsia="en-GB"/>
        </w:rPr>
        <w:t xml:space="preserve">and Committee against </w:t>
      </w:r>
      <w:r w:rsidR="00B12ADB" w:rsidRPr="000B1627">
        <w:rPr>
          <w:rFonts w:ascii="Times New Roman" w:eastAsia="Times New Roman" w:hAnsi="Times New Roman" w:cs="Times New Roman"/>
          <w:lang w:eastAsia="en-GB"/>
        </w:rPr>
        <w:t>Torture</w:t>
      </w:r>
      <w:r w:rsidR="0048217C" w:rsidRPr="000B1627">
        <w:rPr>
          <w:rFonts w:ascii="Times New Roman" w:eastAsia="Times New Roman" w:hAnsi="Times New Roman" w:cs="Times New Roman"/>
          <w:lang w:eastAsia="en-GB"/>
        </w:rPr>
        <w:t xml:space="preserve"> (CAT) </w:t>
      </w:r>
      <w:r w:rsidRPr="000B1627">
        <w:rPr>
          <w:rFonts w:ascii="Times New Roman" w:eastAsia="Times New Roman" w:hAnsi="Times New Roman" w:cs="Times New Roman"/>
          <w:lang w:eastAsia="en-GB"/>
        </w:rPr>
        <w:t>have repeatedly raised concerns about the persistence of torture and ill-treatment</w:t>
      </w:r>
      <w:r w:rsidR="0048217C" w:rsidRPr="000B1627">
        <w:rPr>
          <w:rFonts w:ascii="Times New Roman" w:eastAsia="Calibri" w:hAnsi="Times New Roman" w:cs="Times New Roman"/>
          <w:lang w:eastAsia="en-GB"/>
        </w:rPr>
        <w:t xml:space="preserve"> </w:t>
      </w:r>
      <w:r w:rsidR="0048217C" w:rsidRPr="000B1627">
        <w:rPr>
          <w:rFonts w:ascii="Times New Roman" w:eastAsia="Calibri" w:hAnsi="Times New Roman" w:cs="Times New Roman"/>
          <w:lang w:eastAsia="en-GB"/>
        </w:rPr>
        <w:t>in a generalized manner</w:t>
      </w:r>
      <w:r w:rsidRPr="000B1627">
        <w:rPr>
          <w:rFonts w:ascii="Times New Roman" w:eastAsia="Times New Roman" w:hAnsi="Times New Roman" w:cs="Times New Roman"/>
          <w:lang w:eastAsia="en-GB"/>
        </w:rPr>
        <w:t>, particularly in police custody and detention centres</w:t>
      </w:r>
      <w:r w:rsidR="0048217C" w:rsidRPr="000B1627">
        <w:rPr>
          <w:rFonts w:ascii="Times New Roman" w:eastAsia="Times New Roman" w:hAnsi="Times New Roman" w:cs="Times New Roman"/>
          <w:lang w:eastAsia="en-GB"/>
        </w:rPr>
        <w:t>,</w:t>
      </w:r>
      <w:r w:rsidRPr="000B1627">
        <w:rPr>
          <w:rFonts w:ascii="Times New Roman" w:eastAsia="Times New Roman" w:hAnsi="Times New Roman" w:cs="Times New Roman"/>
          <w:lang w:eastAsia="en-GB"/>
        </w:rPr>
        <w:t xml:space="preserve"> </w:t>
      </w:r>
      <w:r w:rsidR="0048217C" w:rsidRPr="000B1627">
        <w:rPr>
          <w:rFonts w:ascii="Times New Roman" w:eastAsia="Calibri" w:hAnsi="Times New Roman" w:cs="Times New Roman"/>
          <w:lang w:eastAsia="en-GB"/>
        </w:rPr>
        <w:t>including allegations of beatings and sexual assault and harassment by law enforcement and intelligence officers, along with the use of electric shocks and waterboarding in some alleged instances.</w:t>
      </w:r>
      <w:r w:rsidR="0048217C" w:rsidRPr="000B1627">
        <w:rPr>
          <w:rStyle w:val="FootnoteReference"/>
          <w:rFonts w:ascii="Times New Roman" w:eastAsia="Times New Roman" w:hAnsi="Times New Roman" w:cs="Times New Roman"/>
          <w:lang w:eastAsia="en-GB"/>
        </w:rPr>
        <w:t xml:space="preserve"> </w:t>
      </w:r>
      <w:r w:rsidR="0048217C" w:rsidRPr="000B1627">
        <w:rPr>
          <w:rStyle w:val="FootnoteReference"/>
          <w:rFonts w:ascii="Times New Roman" w:eastAsia="Times New Roman" w:hAnsi="Times New Roman" w:cs="Times New Roman"/>
          <w:lang w:eastAsia="en-GB"/>
        </w:rPr>
        <w:footnoteReference w:id="24"/>
      </w:r>
    </w:p>
    <w:p w14:paraId="0703206F" w14:textId="77777777" w:rsidR="00F82ADE" w:rsidRPr="000B1627" w:rsidRDefault="00F82ADE" w:rsidP="00F82ADE">
      <w:pPr>
        <w:pStyle w:val="ListParagraph"/>
        <w:ind w:left="0"/>
        <w:jc w:val="both"/>
        <w:rPr>
          <w:rFonts w:ascii="Times New Roman" w:eastAsia="Times New Roman" w:hAnsi="Times New Roman" w:cs="Times New Roman"/>
          <w:lang w:eastAsia="en-GB"/>
        </w:rPr>
      </w:pPr>
    </w:p>
    <w:p w14:paraId="1DFFF50E" w14:textId="77777777" w:rsidR="00F82ADE" w:rsidRPr="000B1627" w:rsidRDefault="00F82ADE" w:rsidP="00F82ADE">
      <w:pPr>
        <w:pStyle w:val="ListParagraph"/>
        <w:numPr>
          <w:ilvl w:val="0"/>
          <w:numId w:val="16"/>
        </w:numPr>
        <w:tabs>
          <w:tab w:val="left" w:pos="709"/>
          <w:tab w:val="left" w:pos="993"/>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Torture and Ill-treatment in Prisons and Detention Centres</w:t>
      </w:r>
    </w:p>
    <w:p w14:paraId="7F68CC6F" w14:textId="77777777" w:rsidR="00F82ADE" w:rsidRPr="000B1627" w:rsidRDefault="00F82ADE" w:rsidP="00F82ADE">
      <w:pPr>
        <w:pStyle w:val="ListParagraph"/>
        <w:ind w:left="0"/>
        <w:jc w:val="both"/>
        <w:rPr>
          <w:rFonts w:ascii="Times New Roman" w:eastAsia="Times New Roman" w:hAnsi="Times New Roman" w:cs="Times New Roman"/>
          <w:lang w:eastAsia="en-GB"/>
        </w:rPr>
      </w:pPr>
    </w:p>
    <w:p w14:paraId="7277C0EC" w14:textId="77777777" w:rsidR="00F82ADE" w:rsidRPr="000B1627" w:rsidRDefault="00F82ADE" w:rsidP="00F82AD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hAnsi="Times New Roman" w:cs="Times New Roman"/>
          <w:color w:val="000000"/>
        </w:rPr>
        <w:t xml:space="preserve">Incidents of torture and ill-treatment in detention facilities, as well as during police and military actions, have seen a marked increase, especially after the end of the </w:t>
      </w:r>
      <w:proofErr w:type="spellStart"/>
      <w:r w:rsidRPr="000B1627">
        <w:rPr>
          <w:rFonts w:ascii="Times New Roman" w:hAnsi="Times New Roman" w:cs="Times New Roman"/>
          <w:color w:val="000000"/>
        </w:rPr>
        <w:t>SoE</w:t>
      </w:r>
      <w:proofErr w:type="spellEnd"/>
      <w:r w:rsidRPr="000B1627">
        <w:rPr>
          <w:rFonts w:ascii="Times New Roman" w:hAnsi="Times New Roman" w:cs="Times New Roman"/>
          <w:color w:val="000000"/>
        </w:rPr>
        <w:t xml:space="preserve"> in 2018 and the earthquakes in 2023.</w:t>
      </w:r>
      <w:r w:rsidRPr="000B1627">
        <w:rPr>
          <w:rStyle w:val="FootnoteReference"/>
          <w:rFonts w:ascii="Times New Roman" w:hAnsi="Times New Roman" w:cs="Times New Roman"/>
          <w:color w:val="000000"/>
        </w:rPr>
        <w:footnoteReference w:id="25"/>
      </w:r>
      <w:r w:rsidRPr="000B1627">
        <w:rPr>
          <w:rFonts w:ascii="Times New Roman" w:hAnsi="Times New Roman" w:cs="Times New Roman"/>
          <w:color w:val="000000"/>
        </w:rPr>
        <w:t xml:space="preserve"> Numerous reports detail instances of punitive strip searches, physical abuse, denial of basic rights like outdoor access, gender-based violence, and discriminatory practices. In some cases, even children are subjected to violent treatment. Additionally, detainees face inadequate or withheld medical care, further exacerbating inhumane detention conditions. Prison overcrowding and unsanitary environments remain critical issues, as do solitary confinement practices and deaths resulting from hunger strikes.</w:t>
      </w:r>
      <w:r w:rsidRPr="000B1627">
        <w:rPr>
          <w:rStyle w:val="FootnoteReference"/>
          <w:rFonts w:ascii="Times New Roman" w:hAnsi="Times New Roman" w:cs="Times New Roman"/>
          <w:color w:val="000000"/>
        </w:rPr>
        <w:footnoteReference w:id="26"/>
      </w:r>
      <w:r w:rsidRPr="000B1627">
        <w:rPr>
          <w:rFonts w:ascii="Times New Roman" w:hAnsi="Times New Roman" w:cs="Times New Roman"/>
          <w:color w:val="000000"/>
        </w:rPr>
        <w:t xml:space="preserve"> </w:t>
      </w:r>
    </w:p>
    <w:p w14:paraId="77310EA6" w14:textId="77777777" w:rsidR="00F82ADE" w:rsidRPr="000B1627" w:rsidRDefault="00F82ADE" w:rsidP="00F82ADE">
      <w:pPr>
        <w:pStyle w:val="ListParagraph"/>
        <w:ind w:left="0"/>
        <w:jc w:val="both"/>
        <w:rPr>
          <w:rFonts w:ascii="Times New Roman" w:eastAsia="Times New Roman" w:hAnsi="Times New Roman" w:cs="Times New Roman"/>
          <w:lang w:eastAsia="en-GB"/>
        </w:rPr>
      </w:pPr>
    </w:p>
    <w:p w14:paraId="300BEC51" w14:textId="77777777" w:rsidR="00F82ADE" w:rsidRPr="000B1627" w:rsidRDefault="00F82ADE" w:rsidP="00F82AD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While Article 94 of the Turkish Penal Code criminalizes torture, the enforcement of this law remains inconsistent. Human Rights Watch (HRW) has documented numerous cases of torture and ill-treatment, especially following the coup attempt in 2016, where suspects accused of links to the Gülenists and pro-Kurdish rights activists have reported severe mistreatment during interrogation​.</w:t>
      </w:r>
      <w:r w:rsidRPr="000B1627">
        <w:rPr>
          <w:rStyle w:val="FootnoteReference"/>
          <w:rFonts w:ascii="Times New Roman" w:eastAsia="Times New Roman" w:hAnsi="Times New Roman" w:cs="Times New Roman"/>
          <w:lang w:eastAsia="en-GB"/>
        </w:rPr>
        <w:footnoteReference w:id="27"/>
      </w:r>
      <w:r w:rsidRPr="000B1627">
        <w:rPr>
          <w:rFonts w:ascii="Times New Roman" w:hAnsi="Times New Roman" w:cs="Times New Roman"/>
        </w:rPr>
        <w:t xml:space="preserve"> Reports also highlight the use of excessive force by police during peaceful protests and demonstrations, deterring protesters to peacefully exercise their right to assemble.</w:t>
      </w:r>
      <w:r w:rsidRPr="000B1627">
        <w:rPr>
          <w:rStyle w:val="FootnoteReference"/>
          <w:rFonts w:ascii="Times New Roman" w:hAnsi="Times New Roman" w:cs="Times New Roman"/>
        </w:rPr>
        <w:footnoteReference w:id="28"/>
      </w:r>
      <w:r w:rsidRPr="000B1627">
        <w:rPr>
          <w:rFonts w:ascii="Times New Roman" w:hAnsi="Times New Roman" w:cs="Times New Roman"/>
        </w:rPr>
        <w:t xml:space="preserve"> </w:t>
      </w:r>
      <w:r w:rsidRPr="000B1627">
        <w:rPr>
          <w:rFonts w:ascii="Times New Roman" w:eastAsia="Times New Roman" w:hAnsi="Times New Roman" w:cs="Times New Roman"/>
          <w:lang w:eastAsia="en-GB"/>
        </w:rPr>
        <w:t xml:space="preserve">Despite these reports, prosecutions for torture are rare, and impunity for law enforcement officials persists. </w:t>
      </w:r>
    </w:p>
    <w:p w14:paraId="5475BC90" w14:textId="77777777" w:rsidR="00F82ADE" w:rsidRPr="000B1627" w:rsidRDefault="00F82ADE" w:rsidP="00F82ADE"/>
    <w:p w14:paraId="43CFB1AF" w14:textId="4D965882" w:rsidR="00F82ADE" w:rsidRPr="000B1627" w:rsidRDefault="00F82ADE" w:rsidP="00F82ADE">
      <w:pPr>
        <w:pStyle w:val="ListParagraph"/>
        <w:numPr>
          <w:ilvl w:val="0"/>
          <w:numId w:val="16"/>
        </w:numPr>
        <w:tabs>
          <w:tab w:val="left" w:pos="567"/>
          <w:tab w:val="left" w:pos="709"/>
          <w:tab w:val="left" w:pos="851"/>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 xml:space="preserve">Lack of Access to Information and </w:t>
      </w:r>
      <w:r w:rsidR="00B12ADB" w:rsidRPr="000B1627">
        <w:rPr>
          <w:rFonts w:ascii="Times New Roman" w:eastAsia="Times New Roman" w:hAnsi="Times New Roman" w:cs="Times New Roman"/>
          <w:i/>
          <w:iCs/>
          <w:lang w:eastAsia="en-GB"/>
        </w:rPr>
        <w:t>Transparency</w:t>
      </w:r>
      <w:r w:rsidRPr="000B1627">
        <w:rPr>
          <w:rFonts w:ascii="Times New Roman" w:eastAsia="Times New Roman" w:hAnsi="Times New Roman" w:cs="Times New Roman"/>
          <w:i/>
          <w:iCs/>
          <w:lang w:eastAsia="en-GB"/>
        </w:rPr>
        <w:t xml:space="preserve"> for Non-Government Bodies</w:t>
      </w:r>
    </w:p>
    <w:p w14:paraId="11E06A75" w14:textId="77777777" w:rsidR="00F82ADE" w:rsidRPr="000B1627" w:rsidRDefault="00F82ADE" w:rsidP="00F82ADE">
      <w:pPr>
        <w:rPr>
          <w:i/>
          <w:iCs/>
        </w:rPr>
      </w:pPr>
    </w:p>
    <w:p w14:paraId="6960C2D9" w14:textId="5D4A9878" w:rsidR="00F82ADE" w:rsidRPr="000B1627" w:rsidRDefault="00F82ADE" w:rsidP="00F82AD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lastRenderedPageBreak/>
        <w:t xml:space="preserve">The report claims that detention facilities are regularly inspected by national and international bodies, including the Human Rights and Equality Institution of Türkiye (HREIT) and international mechanisms like the CPT and UN Special Rapporteurs. However, independent reports indicate that while these mechanisms exist, their impact is often limited due to lack of transparency, restricted access, and the selective application of monitoring. For instance, the CPT has noted that while it has access to detention </w:t>
      </w:r>
      <w:r w:rsidR="00B12ADB" w:rsidRPr="000B1627">
        <w:rPr>
          <w:rFonts w:ascii="Times New Roman" w:eastAsia="Times New Roman" w:hAnsi="Times New Roman" w:cs="Times New Roman"/>
          <w:lang w:eastAsia="en-GB"/>
        </w:rPr>
        <w:t>centres</w:t>
      </w:r>
      <w:r w:rsidRPr="000B1627">
        <w:rPr>
          <w:rFonts w:ascii="Times New Roman" w:eastAsia="Times New Roman" w:hAnsi="Times New Roman" w:cs="Times New Roman"/>
          <w:lang w:eastAsia="en-GB"/>
        </w:rPr>
        <w:t>, the Turkish government has not consistently acted on the recommendations provided following these visits​.</w:t>
      </w:r>
      <w:r w:rsidRPr="000B1627">
        <w:rPr>
          <w:rStyle w:val="FootnoteReference"/>
          <w:rFonts w:ascii="Times New Roman" w:eastAsia="Times New Roman" w:hAnsi="Times New Roman" w:cs="Times New Roman"/>
          <w:lang w:eastAsia="en-GB"/>
        </w:rPr>
        <w:footnoteReference w:id="29"/>
      </w:r>
      <w:r w:rsidRPr="000B1627">
        <w:rPr>
          <w:rFonts w:ascii="Times New Roman" w:hAnsi="Times New Roman" w:cs="Times New Roman"/>
          <w:color w:val="000000"/>
        </w:rPr>
        <w:t xml:space="preserve"> Additionally, the current National Prevention Mechanism (NPM) is the HREIT. Its structural lack of independence and important legislative constraints on its powers continue to raise concerns </w:t>
      </w:r>
      <w:proofErr w:type="gramStart"/>
      <w:r w:rsidRPr="000B1627">
        <w:rPr>
          <w:rFonts w:ascii="Times New Roman" w:hAnsi="Times New Roman" w:cs="Times New Roman"/>
          <w:color w:val="000000"/>
        </w:rPr>
        <w:t>about  NPM’s</w:t>
      </w:r>
      <w:proofErr w:type="gramEnd"/>
      <w:r w:rsidRPr="000B1627">
        <w:rPr>
          <w:rFonts w:ascii="Times New Roman" w:hAnsi="Times New Roman" w:cs="Times New Roman"/>
          <w:color w:val="000000"/>
        </w:rPr>
        <w:t xml:space="preserve"> effectiveness</w:t>
      </w:r>
      <w:r w:rsidRPr="000B1627">
        <w:rPr>
          <w:rStyle w:val="FootnoteReference"/>
          <w:rFonts w:ascii="Times New Roman" w:hAnsi="Times New Roman" w:cs="Times New Roman"/>
          <w:color w:val="000000"/>
        </w:rPr>
        <w:footnoteReference w:id="30"/>
      </w:r>
      <w:r w:rsidRPr="000B1627">
        <w:rPr>
          <w:rFonts w:ascii="Times New Roman" w:hAnsi="Times New Roman" w:cs="Times New Roman"/>
          <w:color w:val="000000"/>
        </w:rPr>
        <w:t xml:space="preserve"> and has led UN experts to call for strengthening of the mechanism in line with Türkiye’s international obligations.</w:t>
      </w:r>
      <w:r w:rsidRPr="000B1627">
        <w:rPr>
          <w:rStyle w:val="FootnoteReference"/>
          <w:rFonts w:ascii="Times New Roman" w:hAnsi="Times New Roman" w:cs="Times New Roman"/>
          <w:color w:val="000000"/>
        </w:rPr>
        <w:footnoteReference w:id="31"/>
      </w:r>
    </w:p>
    <w:p w14:paraId="401FEF73" w14:textId="77777777" w:rsidR="00F82ADE" w:rsidRPr="000B1627" w:rsidRDefault="00F82ADE" w:rsidP="00F82ADE"/>
    <w:p w14:paraId="2431E8D8" w14:textId="77777777" w:rsidR="00F82ADE" w:rsidRPr="000B1627" w:rsidRDefault="00F82ADE" w:rsidP="00F82ADE">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State Party report mentions that 104 administrative investigations and 61 judicial investigations were initiated between 2017 and 2021 concerning allegations of torture against security personnel. However, very few of these cases result in convictions, highlighting a pattern of impunity for law enforcement officials. This is further noted by human rights organizations report that police officers and security personnel implicated in torture often face minimal consequences and are rarely dismissed or prosecuted​.</w:t>
      </w:r>
      <w:r w:rsidRPr="000B1627">
        <w:rPr>
          <w:rStyle w:val="FootnoteReference"/>
          <w:rFonts w:ascii="Times New Roman" w:eastAsia="Times New Roman" w:hAnsi="Times New Roman" w:cs="Times New Roman"/>
          <w:lang w:eastAsia="en-GB"/>
        </w:rPr>
        <w:footnoteReference w:id="32"/>
      </w:r>
    </w:p>
    <w:p w14:paraId="29BE66AF" w14:textId="77777777" w:rsidR="00F82ADE" w:rsidRPr="000B1627" w:rsidRDefault="00F82ADE" w:rsidP="00F82ADE">
      <w:pPr>
        <w:pStyle w:val="ListParagraph"/>
        <w:ind w:left="0"/>
        <w:jc w:val="both"/>
        <w:rPr>
          <w:rFonts w:ascii="Times New Roman" w:eastAsia="Times New Roman" w:hAnsi="Times New Roman" w:cs="Times New Roman"/>
          <w:lang w:eastAsia="en-GB"/>
        </w:rPr>
      </w:pPr>
    </w:p>
    <w:p w14:paraId="0876149B" w14:textId="77777777" w:rsidR="00F82ADE" w:rsidRPr="000B1627" w:rsidRDefault="00F82ADE" w:rsidP="00F82ADE">
      <w:pPr>
        <w:pStyle w:val="ListParagraph"/>
        <w:numPr>
          <w:ilvl w:val="0"/>
          <w:numId w:val="1"/>
        </w:numPr>
        <w:ind w:left="0"/>
        <w:jc w:val="both"/>
        <w:rPr>
          <w:rFonts w:ascii="Times New Roman" w:eastAsia="Times New Roman" w:hAnsi="Times New Roman" w:cs="Times New Roman"/>
          <w:b/>
          <w:bCs/>
          <w:i/>
          <w:iCs/>
          <w:lang w:eastAsia="en-GB"/>
        </w:rPr>
      </w:pPr>
      <w:r w:rsidRPr="000B1627">
        <w:rPr>
          <w:rFonts w:ascii="Times New Roman" w:eastAsia="Times New Roman" w:hAnsi="Times New Roman" w:cs="Times New Roman"/>
          <w:b/>
          <w:bCs/>
          <w:i/>
          <w:iCs/>
          <w:lang w:eastAsia="en-GB"/>
        </w:rPr>
        <w:t>Recommendations for the State Party</w:t>
      </w:r>
    </w:p>
    <w:p w14:paraId="3501274C" w14:textId="77777777" w:rsidR="00F82ADE" w:rsidRPr="000B1627" w:rsidRDefault="00F82ADE" w:rsidP="00F82ADE">
      <w:pPr>
        <w:pStyle w:val="ListParagraph"/>
        <w:ind w:left="0"/>
        <w:jc w:val="both"/>
        <w:rPr>
          <w:rFonts w:ascii="Times New Roman" w:eastAsia="Times New Roman" w:hAnsi="Times New Roman" w:cs="Times New Roman"/>
          <w:lang w:eastAsia="en-GB"/>
        </w:rPr>
      </w:pPr>
    </w:p>
    <w:p w14:paraId="084D4FCD"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take positive action in fighting impunity and conducting prompt, impartial, and effective investigations into all past or present allegations of torture and ill-treatment by security forces; ensuring accountability of the perpetrators; providing transparent reporting on the outcomes of these investigations.</w:t>
      </w:r>
    </w:p>
    <w:p w14:paraId="18FB2000"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Turkish government should urgently revise and amend Law No. 6722 and related decrees that grant immunity to military personnel and other officials involved in operations linked to accusations of torture and ill-treatment.</w:t>
      </w:r>
    </w:p>
    <w:p w14:paraId="75076023"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Effective enforcement of Article 94 of the Turkish Penal Code is necessary to ensure that law enforcement officials implicated in acts of torture and ill-treatment are thoroughly investigated and prosecuted. The government must increase transparency by making investigation outcomes public and ensuring that judicial proceedings for torture are expedited, leading to actual convictions.</w:t>
      </w:r>
    </w:p>
    <w:p w14:paraId="37000B23"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Immediate steps must be taken to improve the conditions in detention facilities, particularly to address the widespread issues of overcrowding, unsanitary conditions, and inadequate medical care. The Turkish government should ensure that detainees are granted access to essential rights such as outdoor time and healthcare and are protected from physical abuse and gender-based violence. </w:t>
      </w:r>
    </w:p>
    <w:p w14:paraId="17B81143"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Prompt measures must be taken to prevent torture and ill-treatment. Comprehensive human rights training for law enforcement, security forces, and detention personnel must be </w:t>
      </w:r>
      <w:r w:rsidRPr="000B1627">
        <w:rPr>
          <w:rFonts w:ascii="Times New Roman" w:eastAsia="Times New Roman" w:hAnsi="Times New Roman" w:cs="Times New Roman"/>
          <w:lang w:eastAsia="en-GB"/>
        </w:rPr>
        <w:lastRenderedPageBreak/>
        <w:t>implemented, with a focus on the absolute prohibition of torture. This training should align with international standards and be subject to regular updates to address emerging concerns related to the treatment of detainees.</w:t>
      </w:r>
    </w:p>
    <w:p w14:paraId="0B7AFF20"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Turkish government should a</w:t>
      </w:r>
      <w:r w:rsidRPr="000B1627">
        <w:rPr>
          <w:rFonts w:ascii="Times New Roman" w:eastAsia="Times New Roman" w:hAnsi="Times New Roman" w:cs="Times New Roman"/>
          <w:iCs/>
          <w:lang w:eastAsia="en-GB"/>
        </w:rPr>
        <w:t xml:space="preserve">mend the law establishing the </w:t>
      </w:r>
      <w:r w:rsidRPr="000B1627">
        <w:rPr>
          <w:rFonts w:ascii="Times New Roman" w:eastAsia="Times New Roman" w:hAnsi="Times New Roman" w:cs="Times New Roman"/>
          <w:lang w:eastAsia="en-GB"/>
        </w:rPr>
        <w:t>HREIT</w:t>
      </w:r>
      <w:r w:rsidRPr="000B1627">
        <w:rPr>
          <w:rFonts w:ascii="Times New Roman" w:eastAsia="Times New Roman" w:hAnsi="Times New Roman" w:cs="Times New Roman"/>
          <w:iCs/>
          <w:lang w:eastAsia="en-GB"/>
        </w:rPr>
        <w:t xml:space="preserve"> to provide it with the necessary institutional and structural autonomy and independence, enabling it to effectively fulfil its role as Türkiye’s NPM. Steps must be taken to ensure the HREIT</w:t>
      </w:r>
      <w:r w:rsidRPr="000B1627">
        <w:rPr>
          <w:rFonts w:ascii="Times New Roman" w:eastAsia="Times New Roman" w:hAnsi="Times New Roman" w:cs="Times New Roman"/>
          <w:lang w:eastAsia="en-GB"/>
        </w:rPr>
        <w:t>’s independence from governmental influence. This oversight body must be given the authority to conduct unannounced inspections, with the mandate to act on recommendations made by international bodies such as the CAT and CPT. Furthermore, the Turkish government should grant unrestricted access to international organizations to ensure compliance with international human rights standards.</w:t>
      </w:r>
    </w:p>
    <w:p w14:paraId="089A228E" w14:textId="77777777" w:rsidR="00F82ADE" w:rsidRPr="000B1627" w:rsidRDefault="00F82ADE" w:rsidP="00350FA8">
      <w:pPr>
        <w:pStyle w:val="ListParagraph"/>
        <w:numPr>
          <w:ilvl w:val="0"/>
          <w:numId w:val="41"/>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Turkish authorities must prohibit the use of excessive force against peaceful protesters and revise existing laws to ensure the protection of the right to peaceful assembly. Instances of excessive force by police and security personnel during protests should be independently investigated, and disciplinary actions must be taken against those responsible for human rights violations.</w:t>
      </w:r>
    </w:p>
    <w:p w14:paraId="449A772F" w14:textId="77777777" w:rsidR="000F20FE" w:rsidRPr="000B1627" w:rsidRDefault="000F20FE" w:rsidP="00350FA8">
      <w:pPr>
        <w:spacing w:after="120"/>
      </w:pPr>
    </w:p>
    <w:p w14:paraId="0879B9E8" w14:textId="68769B87" w:rsidR="004D6D79" w:rsidRPr="000B1627" w:rsidRDefault="004D6D79" w:rsidP="00350FA8">
      <w:pPr>
        <w:pStyle w:val="ListParagraph"/>
        <w:numPr>
          <w:ilvl w:val="0"/>
          <w:numId w:val="33"/>
        </w:numPr>
        <w:spacing w:before="120" w:after="120"/>
        <w:contextualSpacing w:val="0"/>
        <w:jc w:val="both"/>
        <w:rPr>
          <w:rFonts w:ascii="Times New Roman" w:eastAsia="Times New Roman" w:hAnsi="Times New Roman" w:cs="Times New Roman"/>
          <w:b/>
          <w:bCs/>
          <w:lang w:eastAsia="en-GB"/>
        </w:rPr>
      </w:pPr>
      <w:r w:rsidRPr="000B1627">
        <w:rPr>
          <w:rFonts w:ascii="Times New Roman" w:eastAsia="Times New Roman" w:hAnsi="Times New Roman" w:cs="Times New Roman"/>
          <w:b/>
          <w:bCs/>
          <w:lang w:eastAsia="en-GB"/>
        </w:rPr>
        <w:t xml:space="preserve">Abuse of Criminal Proceedings to Stifle Dissent, Target Human Rights Defenders, </w:t>
      </w:r>
      <w:r w:rsidR="00C07949" w:rsidRPr="000B1627">
        <w:rPr>
          <w:rFonts w:ascii="Times New Roman" w:eastAsia="Times New Roman" w:hAnsi="Times New Roman" w:cs="Times New Roman"/>
          <w:b/>
          <w:bCs/>
          <w:lang w:eastAsia="en-GB"/>
        </w:rPr>
        <w:t>a</w:t>
      </w:r>
      <w:r w:rsidRPr="000B1627">
        <w:rPr>
          <w:rFonts w:ascii="Times New Roman" w:eastAsia="Times New Roman" w:hAnsi="Times New Roman" w:cs="Times New Roman"/>
          <w:b/>
          <w:bCs/>
          <w:lang w:eastAsia="en-GB"/>
        </w:rPr>
        <w:t xml:space="preserve">nd Silence Political Opposition (Concerning Article 2, 4, 6, 7, 9, 14 and 17 of the ICCPR) </w:t>
      </w:r>
    </w:p>
    <w:p w14:paraId="31CA69AA" w14:textId="77777777" w:rsidR="00D6110A" w:rsidRPr="000B1627" w:rsidRDefault="00D6110A" w:rsidP="00D6110A">
      <w:pPr>
        <w:pStyle w:val="ListParagraph"/>
        <w:numPr>
          <w:ilvl w:val="0"/>
          <w:numId w:val="10"/>
        </w:numPr>
        <w:tabs>
          <w:tab w:val="left" w:pos="567"/>
          <w:tab w:val="left" w:pos="709"/>
          <w:tab w:val="left" w:pos="993"/>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Overly Broad and Vague Definition of Terms in Counter Terrorism Laws</w:t>
      </w:r>
    </w:p>
    <w:p w14:paraId="3D447CB8" w14:textId="77777777" w:rsidR="00D6110A" w:rsidRPr="000B1627" w:rsidRDefault="00D6110A" w:rsidP="00D6110A">
      <w:pPr>
        <w:pStyle w:val="ListParagraph"/>
        <w:ind w:left="0"/>
        <w:jc w:val="both"/>
        <w:rPr>
          <w:rFonts w:ascii="Times New Roman" w:eastAsia="Times New Roman" w:hAnsi="Times New Roman" w:cs="Times New Roman"/>
          <w:lang w:eastAsia="en-GB"/>
        </w:rPr>
      </w:pPr>
    </w:p>
    <w:p w14:paraId="07717025" w14:textId="5A66A239" w:rsidR="00D6110A" w:rsidRPr="000B1627" w:rsidRDefault="00D6110A" w:rsidP="00D6110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 The State Party report outlines Türkiye’s counter terrorism framework, emphasizing compliance with international standards like those in the ICCPR. However, in practice, the Anti-Terrorism Law has raised significant concerns due to its overly broad definition of terrorism, which allows for the criminalization of various non-violent activities, including legitimate political expression.</w:t>
      </w:r>
      <w:r w:rsidRPr="000B1627">
        <w:rPr>
          <w:rStyle w:val="FootnoteReference"/>
          <w:rFonts w:ascii="Times New Roman" w:eastAsia="Times New Roman" w:hAnsi="Times New Roman" w:cs="Times New Roman"/>
          <w:lang w:eastAsia="en-GB"/>
        </w:rPr>
        <w:footnoteReference w:id="33"/>
      </w:r>
      <w:r w:rsidRPr="000B1627">
        <w:rPr>
          <w:rFonts w:ascii="Times New Roman" w:eastAsia="Times New Roman" w:hAnsi="Times New Roman" w:cs="Times New Roman"/>
          <w:lang w:eastAsia="en-GB"/>
        </w:rPr>
        <w:t xml:space="preserve"> The law criminalizes not only direct participation in terrorist organizations but also actions or speech perceived as “legitimizing”, “</w:t>
      </w:r>
      <w:r w:rsidR="00584B25" w:rsidRPr="000B1627">
        <w:rPr>
          <w:rFonts w:ascii="Times New Roman" w:eastAsia="Times New Roman" w:hAnsi="Times New Roman" w:cs="Times New Roman"/>
          <w:lang w:eastAsia="en-GB"/>
        </w:rPr>
        <w:t>propagandising</w:t>
      </w:r>
      <w:r w:rsidRPr="000B1627">
        <w:rPr>
          <w:rFonts w:ascii="Times New Roman" w:eastAsia="Times New Roman" w:hAnsi="Times New Roman" w:cs="Times New Roman"/>
          <w:lang w:eastAsia="en-GB"/>
        </w:rPr>
        <w:t>” or “supporting” terrorism, terms that is vaguely defined and arbitrarily applied. This lack of specificity has led to the prosecution of journalists, academics, human rights defenders, and politicians, stifling freedom of expression under the guise of countering terrorism.</w:t>
      </w:r>
      <w:r w:rsidRPr="000B1627">
        <w:rPr>
          <w:rStyle w:val="FootnoteReference"/>
          <w:rFonts w:ascii="Times New Roman" w:eastAsia="Times New Roman" w:hAnsi="Times New Roman" w:cs="Times New Roman"/>
          <w:lang w:eastAsia="en-GB"/>
        </w:rPr>
        <w:footnoteReference w:id="34"/>
      </w:r>
      <w:r w:rsidRPr="000B1627">
        <w:rPr>
          <w:rFonts w:ascii="Times New Roman" w:hAnsi="Times New Roman" w:cs="Times New Roman"/>
          <w:color w:val="000000"/>
        </w:rPr>
        <w:t xml:space="preserve"> </w:t>
      </w:r>
    </w:p>
    <w:p w14:paraId="25E7F1FE" w14:textId="77777777" w:rsidR="00D6110A" w:rsidRPr="000B1627" w:rsidRDefault="00D6110A" w:rsidP="00D6110A">
      <w:pPr>
        <w:pStyle w:val="ListParagraph"/>
        <w:ind w:left="0"/>
        <w:jc w:val="both"/>
        <w:rPr>
          <w:rFonts w:ascii="Times New Roman" w:eastAsia="Times New Roman" w:hAnsi="Times New Roman" w:cs="Times New Roman"/>
          <w:lang w:eastAsia="en-GB"/>
        </w:rPr>
      </w:pPr>
    </w:p>
    <w:p w14:paraId="4E3B59BD" w14:textId="77777777" w:rsidR="00D6110A" w:rsidRPr="000B1627" w:rsidRDefault="00D6110A" w:rsidP="00D6110A">
      <w:pPr>
        <w:pStyle w:val="ListParagraph"/>
        <w:numPr>
          <w:ilvl w:val="0"/>
          <w:numId w:val="10"/>
        </w:numPr>
        <w:tabs>
          <w:tab w:val="left" w:pos="426"/>
          <w:tab w:val="left" w:pos="567"/>
          <w:tab w:val="left" w:pos="709"/>
          <w:tab w:val="left" w:pos="993"/>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Arbitrary Interpretation of the Counter Terrorism Laws</w:t>
      </w:r>
    </w:p>
    <w:p w14:paraId="55EE97E7" w14:textId="77777777" w:rsidR="00D6110A" w:rsidRPr="000B1627" w:rsidRDefault="00D6110A" w:rsidP="00D6110A">
      <w:pPr>
        <w:pStyle w:val="ListParagraph"/>
        <w:ind w:left="0"/>
        <w:jc w:val="both"/>
        <w:rPr>
          <w:rFonts w:ascii="Times New Roman" w:hAnsi="Times New Roman" w:cs="Times New Roman"/>
          <w:color w:val="000000"/>
        </w:rPr>
      </w:pPr>
    </w:p>
    <w:p w14:paraId="3D465681" w14:textId="455067B6" w:rsidR="00D6110A" w:rsidRPr="000B1627" w:rsidRDefault="00D6110A" w:rsidP="00D6110A">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 xml:space="preserve">Anti-terrorism laws (including Articles 220, 309, 312, and 314 of the Turkish Criminal Code) and evidentiary standards are being applied and interpreted in an overly broad and inconsistent manner by prosecutors and judges, who repeatedly link the legitimate exercise of fundamental rights such as freedom of expression and freedom of assembly and association to violent events and criminal offences. As a result, these laws are frequently weaponized to target political dissidents, human rights activists, and journalists. This is exemplified by the ongoing detention and recent conviction of figures like human rights defender Osman Kavala, as well as </w:t>
      </w:r>
      <w:r w:rsidRPr="000B1627">
        <w:rPr>
          <w:rFonts w:ascii="Times New Roman" w:hAnsi="Times New Roman" w:cs="Times New Roman"/>
          <w:color w:val="000000"/>
        </w:rPr>
        <w:lastRenderedPageBreak/>
        <w:t xml:space="preserve">opposition politicians Selahattin Demirtaş and </w:t>
      </w:r>
      <w:proofErr w:type="spellStart"/>
      <w:r w:rsidRPr="000B1627">
        <w:rPr>
          <w:rFonts w:ascii="Times New Roman" w:hAnsi="Times New Roman" w:cs="Times New Roman"/>
          <w:color w:val="000000"/>
        </w:rPr>
        <w:t>Figen</w:t>
      </w:r>
      <w:proofErr w:type="spellEnd"/>
      <w:r w:rsidRPr="000B1627">
        <w:rPr>
          <w:rFonts w:ascii="Times New Roman" w:hAnsi="Times New Roman" w:cs="Times New Roman"/>
          <w:color w:val="000000"/>
        </w:rPr>
        <w:t xml:space="preserve"> </w:t>
      </w:r>
      <w:proofErr w:type="spellStart"/>
      <w:r w:rsidRPr="000B1627">
        <w:rPr>
          <w:rFonts w:ascii="Times New Roman" w:hAnsi="Times New Roman" w:cs="Times New Roman"/>
          <w:color w:val="000000"/>
        </w:rPr>
        <w:t>Yüksekdağ</w:t>
      </w:r>
      <w:proofErr w:type="spellEnd"/>
      <w:r w:rsidRPr="000B1627">
        <w:rPr>
          <w:rFonts w:ascii="Times New Roman" w:hAnsi="Times New Roman" w:cs="Times New Roman"/>
          <w:color w:val="000000"/>
        </w:rPr>
        <w:t xml:space="preserve"> </w:t>
      </w:r>
      <w:proofErr w:type="spellStart"/>
      <w:r w:rsidRPr="000B1627">
        <w:rPr>
          <w:rFonts w:ascii="Times New Roman" w:hAnsi="Times New Roman" w:cs="Times New Roman"/>
          <w:color w:val="000000"/>
        </w:rPr>
        <w:t>Şenoğlu</w:t>
      </w:r>
      <w:proofErr w:type="spellEnd"/>
      <w:r w:rsidRPr="000B1627">
        <w:rPr>
          <w:rFonts w:ascii="Times New Roman" w:hAnsi="Times New Roman" w:cs="Times New Roman"/>
          <w:color w:val="000000"/>
        </w:rPr>
        <w:t>, despite explicit judgments from the ECtHR calling for their release.</w:t>
      </w:r>
      <w:r w:rsidRPr="000B1627">
        <w:rPr>
          <w:rStyle w:val="FootnoteReference"/>
          <w:rFonts w:ascii="Times New Roman" w:hAnsi="Times New Roman" w:cs="Times New Roman"/>
          <w:color w:val="000000"/>
        </w:rPr>
        <w:footnoteReference w:id="35"/>
      </w:r>
    </w:p>
    <w:p w14:paraId="4E7167AE" w14:textId="77777777" w:rsidR="00D6110A" w:rsidRPr="000B1627" w:rsidRDefault="00D6110A" w:rsidP="00D6110A">
      <w:pPr>
        <w:rPr>
          <w:color w:val="000000"/>
        </w:rPr>
      </w:pPr>
    </w:p>
    <w:p w14:paraId="6FA36FBA" w14:textId="77777777" w:rsidR="00D6110A" w:rsidRPr="000B1627" w:rsidRDefault="00D6110A" w:rsidP="00D6110A">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 xml:space="preserve"> According to the Council of Europe's 2022 statistics, Türkiye had 27,654 prisoners convicted of terrorism offenses, a number that almost equals the total of all other Council of Europe member states combined (28,670).</w:t>
      </w:r>
      <w:r w:rsidRPr="000B1627">
        <w:rPr>
          <w:rFonts w:ascii="Times New Roman" w:hAnsi="Times New Roman" w:cs="Times New Roman"/>
          <w:vertAlign w:val="superscript"/>
        </w:rPr>
        <w:t xml:space="preserve"> </w:t>
      </w:r>
      <w:r w:rsidRPr="000B1627">
        <w:rPr>
          <w:rFonts w:ascii="Times New Roman" w:hAnsi="Times New Roman" w:cs="Times New Roman"/>
          <w:vertAlign w:val="superscript"/>
        </w:rPr>
        <w:footnoteReference w:id="36"/>
      </w:r>
      <w:r w:rsidRPr="000B1627">
        <w:rPr>
          <w:rFonts w:ascii="Times New Roman" w:hAnsi="Times New Roman" w:cs="Times New Roman"/>
          <w:color w:val="000000"/>
        </w:rPr>
        <w:t xml:space="preserve"> This stark figure illustrates the scale of abuse under these anti-terror laws. </w:t>
      </w:r>
    </w:p>
    <w:p w14:paraId="6C021386" w14:textId="77777777" w:rsidR="00D6110A" w:rsidRPr="000B1627" w:rsidRDefault="00D6110A" w:rsidP="00D6110A">
      <w:pPr>
        <w:rPr>
          <w:color w:val="000000"/>
        </w:rPr>
      </w:pPr>
    </w:p>
    <w:p w14:paraId="26B3FDAF" w14:textId="77777777" w:rsidR="00D6110A" w:rsidRPr="000B1627" w:rsidRDefault="00D6110A" w:rsidP="00D6110A">
      <w:pPr>
        <w:pStyle w:val="ListParagraph"/>
        <w:numPr>
          <w:ilvl w:val="0"/>
          <w:numId w:val="10"/>
        </w:numPr>
        <w:tabs>
          <w:tab w:val="left" w:pos="851"/>
          <w:tab w:val="left" w:pos="1134"/>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Use of Anti-Terrorism Laws against Political Opponents</w:t>
      </w:r>
    </w:p>
    <w:p w14:paraId="6217DBBE" w14:textId="77777777" w:rsidR="00D6110A" w:rsidRPr="000B1627" w:rsidRDefault="00D6110A" w:rsidP="00D6110A">
      <w:pPr>
        <w:pStyle w:val="ListParagraph"/>
        <w:ind w:left="0"/>
        <w:jc w:val="both"/>
        <w:rPr>
          <w:rFonts w:ascii="Times New Roman" w:hAnsi="Times New Roman" w:cs="Times New Roman"/>
          <w:i/>
          <w:iCs/>
          <w:color w:val="000000"/>
        </w:rPr>
      </w:pPr>
    </w:p>
    <w:p w14:paraId="4855F891" w14:textId="77777777" w:rsidR="00D6110A" w:rsidRPr="000B1627" w:rsidRDefault="00D6110A" w:rsidP="00D6110A">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One of the most alarming issues with Türkiye’s counter terrorism measures is the weaponization of anti-terrorism laws to silence political opposition, particularly the HDP. Since 2016, thousands of HDP members have been arrested on terrorism charges, often without clear evidence linking them to violent activities.</w:t>
      </w:r>
      <w:r w:rsidRPr="000B1627">
        <w:rPr>
          <w:rStyle w:val="FootnoteReference"/>
          <w:rFonts w:ascii="Times New Roman" w:hAnsi="Times New Roman" w:cs="Times New Roman"/>
          <w:color w:val="000000"/>
        </w:rPr>
        <w:footnoteReference w:id="37"/>
      </w:r>
      <w:r w:rsidRPr="000B1627">
        <w:rPr>
          <w:rFonts w:ascii="Times New Roman" w:hAnsi="Times New Roman" w:cs="Times New Roman"/>
          <w:color w:val="000000"/>
        </w:rPr>
        <w:t xml:space="preserve"> The Parliamentary Assembly of the Council of Europe has expressed concern on this pattern, stating that “it has become challenging for members of the political opposition to exercise their elected mandates in a free and safe environment.”</w:t>
      </w:r>
      <w:r w:rsidRPr="000B1627">
        <w:rPr>
          <w:rFonts w:ascii="Times New Roman" w:hAnsi="Times New Roman" w:cs="Times New Roman"/>
          <w:color w:val="000000"/>
          <w:vertAlign w:val="superscript"/>
        </w:rPr>
        <w:footnoteReference w:id="38"/>
      </w:r>
      <w:r w:rsidRPr="000B1627">
        <w:rPr>
          <w:rFonts w:ascii="Times New Roman" w:hAnsi="Times New Roman" w:cs="Times New Roman"/>
          <w:color w:val="000000"/>
        </w:rPr>
        <w:t xml:space="preserve"> In addition to criminal proceedings, opposition MPs face administrative sanctions for expressing their political opinions</w:t>
      </w:r>
      <w:r w:rsidRPr="000B1627">
        <w:rPr>
          <w:rFonts w:ascii="Times New Roman" w:hAnsi="Times New Roman" w:cs="Times New Roman"/>
          <w:color w:val="000000"/>
          <w:vertAlign w:val="superscript"/>
        </w:rPr>
        <w:footnoteReference w:id="39"/>
      </w:r>
      <w:r w:rsidRPr="000B1627">
        <w:rPr>
          <w:rFonts w:ascii="Times New Roman" w:hAnsi="Times New Roman" w:cs="Times New Roman"/>
          <w:color w:val="000000"/>
        </w:rPr>
        <w:t xml:space="preserve"> and are routinely labelled as “terrorists” by the President and other government officials.</w:t>
      </w:r>
    </w:p>
    <w:p w14:paraId="252DA5C6" w14:textId="77777777" w:rsidR="00D6110A" w:rsidRPr="000B1627" w:rsidRDefault="00D6110A" w:rsidP="00D6110A">
      <w:pPr>
        <w:pStyle w:val="ListParagraph"/>
        <w:ind w:left="0"/>
        <w:jc w:val="both"/>
        <w:rPr>
          <w:rFonts w:ascii="Times New Roman" w:hAnsi="Times New Roman" w:cs="Times New Roman"/>
          <w:color w:val="000000"/>
        </w:rPr>
      </w:pPr>
    </w:p>
    <w:p w14:paraId="633D6143" w14:textId="77777777" w:rsidR="00D6110A" w:rsidRPr="000B1627" w:rsidRDefault="00D6110A" w:rsidP="00D6110A">
      <w:pPr>
        <w:pStyle w:val="ListParagraph"/>
        <w:numPr>
          <w:ilvl w:val="0"/>
          <w:numId w:val="10"/>
        </w:numPr>
        <w:tabs>
          <w:tab w:val="left" w:pos="851"/>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 xml:space="preserve">Disproportionate Impact on Kurdish rights  </w:t>
      </w:r>
    </w:p>
    <w:p w14:paraId="44C93A5B" w14:textId="77777777" w:rsidR="00D6110A" w:rsidRPr="000B1627" w:rsidRDefault="00D6110A" w:rsidP="00D6110A">
      <w:pPr>
        <w:pStyle w:val="ListParagraph"/>
        <w:ind w:left="0"/>
        <w:jc w:val="both"/>
        <w:rPr>
          <w:rFonts w:ascii="Times New Roman" w:hAnsi="Times New Roman" w:cs="Times New Roman"/>
          <w:color w:val="000000"/>
        </w:rPr>
      </w:pPr>
    </w:p>
    <w:p w14:paraId="76D087ED" w14:textId="77777777" w:rsidR="00D6110A" w:rsidRPr="000B1627" w:rsidRDefault="00D6110A" w:rsidP="00D6110A">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 xml:space="preserve">Kurdish journalists and media outlets are disproportionately targeted under these laws. </w:t>
      </w:r>
      <w:proofErr w:type="gramStart"/>
      <w:r w:rsidRPr="000B1627">
        <w:rPr>
          <w:rFonts w:ascii="Times New Roman" w:hAnsi="Times New Roman" w:cs="Times New Roman"/>
          <w:color w:val="000000"/>
        </w:rPr>
        <w:t>A number of</w:t>
      </w:r>
      <w:proofErr w:type="gramEnd"/>
      <w:r w:rsidRPr="000B1627">
        <w:rPr>
          <w:rFonts w:ascii="Times New Roman" w:hAnsi="Times New Roman" w:cs="Times New Roman"/>
          <w:color w:val="000000"/>
        </w:rPr>
        <w:t xml:space="preserve"> pro-Kurdish rights media outlets, including </w:t>
      </w:r>
      <w:r w:rsidRPr="000B1627">
        <w:rPr>
          <w:rFonts w:ascii="Times New Roman" w:hAnsi="Times New Roman" w:cs="Times New Roman"/>
          <w:i/>
          <w:iCs/>
          <w:color w:val="000000"/>
        </w:rPr>
        <w:t>Roj TV</w:t>
      </w:r>
      <w:r w:rsidRPr="000B1627">
        <w:rPr>
          <w:rFonts w:ascii="Times New Roman" w:hAnsi="Times New Roman" w:cs="Times New Roman"/>
          <w:color w:val="000000"/>
        </w:rPr>
        <w:t xml:space="preserve"> and </w:t>
      </w:r>
      <w:r w:rsidRPr="000B1627">
        <w:rPr>
          <w:rFonts w:ascii="Times New Roman" w:hAnsi="Times New Roman" w:cs="Times New Roman"/>
          <w:i/>
          <w:iCs/>
          <w:color w:val="000000"/>
        </w:rPr>
        <w:t xml:space="preserve">Med </w:t>
      </w:r>
      <w:proofErr w:type="spellStart"/>
      <w:r w:rsidRPr="000B1627">
        <w:rPr>
          <w:rFonts w:ascii="Times New Roman" w:hAnsi="Times New Roman" w:cs="Times New Roman"/>
          <w:i/>
          <w:iCs/>
          <w:color w:val="000000"/>
        </w:rPr>
        <w:t>Nuçe</w:t>
      </w:r>
      <w:proofErr w:type="spellEnd"/>
      <w:r w:rsidRPr="000B1627">
        <w:rPr>
          <w:rFonts w:ascii="Times New Roman" w:hAnsi="Times New Roman" w:cs="Times New Roman"/>
          <w:i/>
          <w:iCs/>
          <w:color w:val="000000"/>
        </w:rPr>
        <w:t xml:space="preserve"> TV</w:t>
      </w:r>
      <w:r w:rsidRPr="000B1627">
        <w:rPr>
          <w:rFonts w:ascii="Times New Roman" w:hAnsi="Times New Roman" w:cs="Times New Roman"/>
          <w:color w:val="000000"/>
        </w:rPr>
        <w:t xml:space="preserve">, and Kurdish-language channels, have been shut down, and their affiliates prosecuted under terrorism-related charges. </w:t>
      </w:r>
      <w:r w:rsidRPr="000B1627">
        <w:rPr>
          <w:rStyle w:val="FootnoteReference"/>
          <w:rFonts w:ascii="Times New Roman" w:hAnsi="Times New Roman" w:cs="Times New Roman"/>
          <w:color w:val="000000"/>
        </w:rPr>
        <w:footnoteReference w:id="40"/>
      </w:r>
      <w:r w:rsidRPr="000B1627">
        <w:rPr>
          <w:rFonts w:ascii="Times New Roman" w:hAnsi="Times New Roman" w:cs="Times New Roman"/>
          <w:color w:val="000000"/>
        </w:rPr>
        <w:t xml:space="preserve"> This suppression of Kurdish media reveals how the state leverages counter terrorism laws to silence ethnic minority voices, directly contradicting Türkiye’s claim to safeguard freedom of expression.</w:t>
      </w:r>
    </w:p>
    <w:p w14:paraId="38FB8B41" w14:textId="77777777" w:rsidR="00D6110A" w:rsidRPr="000B1627" w:rsidRDefault="00D6110A" w:rsidP="00D6110A">
      <w:pPr>
        <w:pStyle w:val="ListParagraph"/>
        <w:ind w:left="0"/>
        <w:jc w:val="both"/>
        <w:rPr>
          <w:rFonts w:ascii="Times New Roman" w:hAnsi="Times New Roman" w:cs="Times New Roman"/>
          <w:color w:val="000000"/>
        </w:rPr>
      </w:pPr>
    </w:p>
    <w:p w14:paraId="251A15B4" w14:textId="77777777" w:rsidR="00D6110A" w:rsidRPr="000B1627" w:rsidRDefault="00D6110A" w:rsidP="00D6110A">
      <w:pPr>
        <w:pStyle w:val="ListParagraph"/>
        <w:numPr>
          <w:ilvl w:val="0"/>
          <w:numId w:val="10"/>
        </w:numPr>
        <w:tabs>
          <w:tab w:val="left" w:pos="851"/>
          <w:tab w:val="left" w:pos="993"/>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Restrictions on NGOs</w:t>
      </w:r>
    </w:p>
    <w:p w14:paraId="74BF731A" w14:textId="77777777" w:rsidR="00D6110A" w:rsidRPr="000B1627" w:rsidRDefault="00D6110A" w:rsidP="00D6110A">
      <w:pPr>
        <w:pStyle w:val="ListParagraph"/>
        <w:ind w:left="0"/>
        <w:jc w:val="both"/>
        <w:rPr>
          <w:rFonts w:ascii="Times New Roman" w:hAnsi="Times New Roman" w:cs="Times New Roman"/>
          <w:i/>
          <w:iCs/>
          <w:color w:val="000000"/>
        </w:rPr>
      </w:pPr>
    </w:p>
    <w:p w14:paraId="6FAFAF0B" w14:textId="77777777" w:rsidR="00D6110A" w:rsidRPr="000B1627" w:rsidRDefault="00D6110A" w:rsidP="00D6110A">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The State Party report asserts that Law No. 7262, which regulates the financing of terrorism, was implemented with consultations from NGOs. However, many NGOs have criticized this law for increasing government control over civil society under the guise of combating terrorism. The Financial Action Task Force (FATF) placed Türkiye on its “grey list” in 2021, citing concerns that the law is being misused to target civil society, restrict freedoms, and freeze the assets of NGOs without clear evidence of wrongdoing​.</w:t>
      </w:r>
      <w:r w:rsidRPr="000B1627">
        <w:rPr>
          <w:rStyle w:val="FootnoteReference"/>
          <w:rFonts w:ascii="Times New Roman" w:hAnsi="Times New Roman" w:cs="Times New Roman"/>
          <w:color w:val="000000"/>
        </w:rPr>
        <w:footnoteReference w:id="41"/>
      </w:r>
    </w:p>
    <w:p w14:paraId="41DB29EA" w14:textId="77777777" w:rsidR="00D6110A" w:rsidRPr="000B1627" w:rsidRDefault="00D6110A" w:rsidP="00D6110A">
      <w:pPr>
        <w:rPr>
          <w:color w:val="000000"/>
        </w:rPr>
      </w:pPr>
    </w:p>
    <w:p w14:paraId="0FE3C5A9" w14:textId="77777777" w:rsidR="00D6110A" w:rsidRPr="000B1627" w:rsidRDefault="00D6110A" w:rsidP="00D6110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Reports from Amnesty International and other human rights organizations have indicated that NGOs working on human rights, Kurdish issue, or advocating for marginalized groups have been disproportionately affected by these new regulations.</w:t>
      </w:r>
      <w:r w:rsidRPr="000B1627">
        <w:rPr>
          <w:rStyle w:val="FootnoteReference"/>
          <w:rFonts w:ascii="Times New Roman" w:eastAsia="Times New Roman" w:hAnsi="Times New Roman" w:cs="Times New Roman"/>
          <w:lang w:eastAsia="en-GB"/>
        </w:rPr>
        <w:footnoteReference w:id="42"/>
      </w:r>
      <w:r w:rsidRPr="000B1627">
        <w:rPr>
          <w:rFonts w:ascii="Times New Roman" w:eastAsia="Times New Roman" w:hAnsi="Times New Roman" w:cs="Times New Roman"/>
          <w:lang w:eastAsia="en-GB"/>
        </w:rPr>
        <w:t xml:space="preserve"> The vague provisions of Law No. 7262 create opportunities for the state to stifle dissent, particularly for organizations advocating Kurdish rights. This restricts the ability of civil society to operate freely and independently, further compounding the discrimination against Kurdish communities. </w:t>
      </w:r>
      <w:r w:rsidRPr="000B1627">
        <w:rPr>
          <w:rStyle w:val="FootnoteReference"/>
          <w:rFonts w:ascii="Times New Roman" w:eastAsia="Times New Roman" w:hAnsi="Times New Roman" w:cs="Times New Roman"/>
          <w:lang w:eastAsia="en-GB"/>
        </w:rPr>
        <w:footnoteReference w:id="43"/>
      </w:r>
    </w:p>
    <w:p w14:paraId="30229B18" w14:textId="77777777" w:rsidR="00D6110A" w:rsidRPr="000B1627" w:rsidRDefault="00D6110A" w:rsidP="00D6110A">
      <w:pPr>
        <w:pStyle w:val="ListParagraph"/>
        <w:ind w:left="0"/>
        <w:jc w:val="both"/>
        <w:rPr>
          <w:rFonts w:ascii="Times New Roman" w:eastAsia="Times New Roman" w:hAnsi="Times New Roman" w:cs="Times New Roman"/>
          <w:lang w:eastAsia="en-GB"/>
        </w:rPr>
      </w:pPr>
    </w:p>
    <w:p w14:paraId="3AA4B220" w14:textId="77777777" w:rsidR="00D6110A" w:rsidRPr="000B1627" w:rsidRDefault="00D6110A" w:rsidP="00D6110A">
      <w:pPr>
        <w:pStyle w:val="ListParagraph"/>
        <w:numPr>
          <w:ilvl w:val="0"/>
          <w:numId w:val="1"/>
        </w:numPr>
        <w:ind w:left="0"/>
        <w:jc w:val="both"/>
        <w:rPr>
          <w:rFonts w:ascii="Times New Roman" w:eastAsia="Times New Roman" w:hAnsi="Times New Roman" w:cs="Times New Roman"/>
          <w:b/>
          <w:bCs/>
          <w:i/>
          <w:iCs/>
          <w:lang w:eastAsia="en-GB"/>
        </w:rPr>
      </w:pPr>
      <w:r w:rsidRPr="000B1627">
        <w:rPr>
          <w:rFonts w:ascii="Times New Roman" w:eastAsia="Times New Roman" w:hAnsi="Times New Roman" w:cs="Times New Roman"/>
          <w:b/>
          <w:bCs/>
          <w:i/>
          <w:iCs/>
          <w:lang w:eastAsia="en-GB"/>
        </w:rPr>
        <w:t xml:space="preserve">Recommendations to the State Party </w:t>
      </w:r>
    </w:p>
    <w:p w14:paraId="5B523743" w14:textId="77777777" w:rsidR="00D6110A" w:rsidRPr="000B1627" w:rsidRDefault="00D6110A" w:rsidP="00D6110A">
      <w:pPr>
        <w:pStyle w:val="ListParagraph"/>
        <w:ind w:left="0"/>
        <w:jc w:val="both"/>
        <w:rPr>
          <w:rFonts w:ascii="Times New Roman" w:eastAsia="Times New Roman" w:hAnsi="Times New Roman" w:cs="Times New Roman"/>
          <w:lang w:eastAsia="en-GB"/>
        </w:rPr>
      </w:pPr>
    </w:p>
    <w:p w14:paraId="7C1EE3AC" w14:textId="77777777" w:rsidR="00D6110A" w:rsidRPr="000B1627" w:rsidRDefault="00D6110A" w:rsidP="00350FA8">
      <w:pPr>
        <w:pStyle w:val="ListParagraph"/>
        <w:numPr>
          <w:ilvl w:val="0"/>
          <w:numId w:val="39"/>
        </w:numPr>
        <w:spacing w:before="120" w:after="12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narrow the scope of terrorism, and specifically define terms in the Anti-Terrorism Law to ensure that non-violent political expression and advocacy do not fall under its scope. The definition should be aligned with international human rights standards to avoid the misuse of terrorism charges against opposition politicians, journalists, academics, and civil society activists.</w:t>
      </w:r>
    </w:p>
    <w:p w14:paraId="481131A0" w14:textId="77777777" w:rsidR="00D6110A" w:rsidRPr="000B1627" w:rsidRDefault="00D6110A" w:rsidP="00350FA8">
      <w:pPr>
        <w:pStyle w:val="ListParagraph"/>
        <w:numPr>
          <w:ilvl w:val="0"/>
          <w:numId w:val="39"/>
        </w:numPr>
        <w:spacing w:before="120" w:after="12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issue clear guidelines for prosecutors and judges to ensure that the legitimate exercise of fundamental rights is not linked to terrorism without concrete evidence. It should address judicial authorities' failure to respect the principle of legality and adequately apply the ICCPR’s substantive standards on arbitrary detention, fair trial principles, freedom of expression, freedom of peaceful assembly and association, and abuse of permissible restrictions.</w:t>
      </w:r>
    </w:p>
    <w:p w14:paraId="56A98F94" w14:textId="77777777" w:rsidR="00D6110A" w:rsidRPr="000B1627" w:rsidRDefault="00D6110A" w:rsidP="00350FA8">
      <w:pPr>
        <w:pStyle w:val="ListParagraph"/>
        <w:numPr>
          <w:ilvl w:val="0"/>
          <w:numId w:val="39"/>
        </w:numPr>
        <w:spacing w:before="120" w:after="12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An independent review mechanism should be established to assess the legality and fairness of ongoing and past prosecutions under the Anti-Terrorism Laws. This review should focus on cases involving political opposition members, human rights defenders, and journalists.</w:t>
      </w:r>
    </w:p>
    <w:p w14:paraId="239DF72A" w14:textId="675DE1FA" w:rsidR="00350FA8" w:rsidRDefault="00D6110A" w:rsidP="00350FA8">
      <w:pPr>
        <w:pStyle w:val="ListParagraph"/>
        <w:numPr>
          <w:ilvl w:val="0"/>
          <w:numId w:val="39"/>
        </w:numPr>
        <w:spacing w:before="120" w:after="12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Law No. 7262 should be reformed to prevent its misuse against civil society organizations. The Turkish government should adopt a concrete policy and targeted legislation on the protection of human rights defenders against harassment or persecution, bring an end to punitive prosecutions against them, and create a safe and enabling environment for their activities. It should ensure that anti-terrorism financing laws are not used to target NGOs working on human rights, Kurdish issue, or marginalized communities</w:t>
      </w:r>
      <w:r w:rsidR="00350FA8" w:rsidRPr="000B1627">
        <w:rPr>
          <w:rFonts w:ascii="Times New Roman" w:eastAsia="Times New Roman" w:hAnsi="Times New Roman" w:cs="Times New Roman"/>
          <w:lang w:eastAsia="en-GB"/>
        </w:rPr>
        <w:t>.</w:t>
      </w:r>
    </w:p>
    <w:p w14:paraId="3835687D" w14:textId="77777777" w:rsidR="006946B7" w:rsidRPr="000B1627" w:rsidRDefault="006946B7" w:rsidP="006946B7">
      <w:pPr>
        <w:pStyle w:val="ListParagraph"/>
        <w:spacing w:before="120" w:after="120"/>
        <w:ind w:left="360"/>
        <w:contextualSpacing w:val="0"/>
        <w:jc w:val="both"/>
        <w:rPr>
          <w:rFonts w:ascii="Times New Roman" w:eastAsia="Times New Roman" w:hAnsi="Times New Roman" w:cs="Times New Roman"/>
          <w:lang w:eastAsia="en-GB"/>
        </w:rPr>
      </w:pPr>
    </w:p>
    <w:p w14:paraId="26D30AE1" w14:textId="15723F60" w:rsidR="006946B7" w:rsidRDefault="0077130A" w:rsidP="006946B7">
      <w:pPr>
        <w:pStyle w:val="ListParagraph"/>
        <w:numPr>
          <w:ilvl w:val="0"/>
          <w:numId w:val="33"/>
        </w:numPr>
        <w:spacing w:before="120" w:after="120"/>
        <w:contextualSpacing w:val="0"/>
        <w:rPr>
          <w:rFonts w:ascii="Times New Roman" w:hAnsi="Times New Roman" w:cs="Times New Roman"/>
          <w:b/>
          <w:bCs/>
          <w:color w:val="000000"/>
        </w:rPr>
      </w:pPr>
      <w:r w:rsidRPr="000B1627">
        <w:rPr>
          <w:rFonts w:ascii="Times New Roman" w:hAnsi="Times New Roman" w:cs="Times New Roman"/>
          <w:b/>
          <w:bCs/>
          <w:color w:val="000000"/>
        </w:rPr>
        <w:t>Peaceful Assembly and Association (Concerning Articles 19, 21 and 22</w:t>
      </w:r>
      <w:r w:rsidR="00584B25" w:rsidRPr="000B1627">
        <w:rPr>
          <w:rFonts w:ascii="Times New Roman" w:hAnsi="Times New Roman" w:cs="Times New Roman"/>
          <w:b/>
          <w:bCs/>
          <w:color w:val="000000"/>
        </w:rPr>
        <w:t xml:space="preserve"> </w:t>
      </w:r>
      <w:r w:rsidRPr="000B1627">
        <w:rPr>
          <w:rFonts w:ascii="Times New Roman" w:hAnsi="Times New Roman" w:cs="Times New Roman"/>
          <w:b/>
          <w:bCs/>
          <w:color w:val="000000"/>
        </w:rPr>
        <w:t>of the ICCPR)</w:t>
      </w:r>
    </w:p>
    <w:p w14:paraId="442E03EA" w14:textId="77777777" w:rsidR="006946B7" w:rsidRPr="006946B7" w:rsidRDefault="006946B7" w:rsidP="006946B7">
      <w:pPr>
        <w:pStyle w:val="ListParagraph"/>
        <w:spacing w:before="120" w:after="120"/>
        <w:contextualSpacing w:val="0"/>
        <w:rPr>
          <w:rFonts w:ascii="Times New Roman" w:hAnsi="Times New Roman" w:cs="Times New Roman"/>
          <w:b/>
          <w:bCs/>
          <w:color w:val="000000"/>
        </w:rPr>
      </w:pPr>
    </w:p>
    <w:p w14:paraId="1A96C7C5" w14:textId="77777777" w:rsidR="004113A3" w:rsidRPr="000B1627" w:rsidRDefault="004113A3" w:rsidP="004113A3">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 xml:space="preserve">The State Party report outlines Türkiye's legal framework regarding freedom of assembly and claims that peaceful protests are allowed without interference, except in cases that threaten public order or national security. However, this right is often violated under arbitrary pretexts of public order and security, applied in a discretionary manner and there have been numerous instances of unlawful arrest and detention of protesters. Moreover, blanket bans on </w:t>
      </w:r>
      <w:r w:rsidRPr="000B1627">
        <w:rPr>
          <w:rFonts w:ascii="Times New Roman" w:hAnsi="Times New Roman" w:cs="Times New Roman"/>
          <w:color w:val="000000"/>
        </w:rPr>
        <w:lastRenderedPageBreak/>
        <w:t xml:space="preserve">demonstrations in certain areas or with regards to </w:t>
      </w:r>
      <w:proofErr w:type="gramStart"/>
      <w:r w:rsidRPr="000B1627">
        <w:rPr>
          <w:rFonts w:ascii="Times New Roman" w:hAnsi="Times New Roman" w:cs="Times New Roman"/>
          <w:color w:val="000000"/>
        </w:rPr>
        <w:t>particular issues</w:t>
      </w:r>
      <w:proofErr w:type="gramEnd"/>
      <w:r w:rsidRPr="000B1627">
        <w:rPr>
          <w:rFonts w:ascii="Times New Roman" w:hAnsi="Times New Roman" w:cs="Times New Roman"/>
          <w:color w:val="000000"/>
        </w:rPr>
        <w:t>, further result in the stifling of dissent and free speech.</w:t>
      </w:r>
      <w:r w:rsidRPr="000B1627">
        <w:rPr>
          <w:rFonts w:ascii="Times New Roman" w:hAnsi="Times New Roman" w:cs="Times New Roman"/>
          <w:color w:val="000000"/>
          <w:vertAlign w:val="superscript"/>
        </w:rPr>
        <w:footnoteReference w:id="44"/>
      </w:r>
      <w:r w:rsidRPr="000B1627">
        <w:rPr>
          <w:rFonts w:ascii="Times New Roman" w:hAnsi="Times New Roman" w:cs="Times New Roman"/>
          <w:color w:val="000000"/>
        </w:rPr>
        <w:t xml:space="preserve"> </w:t>
      </w:r>
    </w:p>
    <w:p w14:paraId="257A96B4" w14:textId="77777777" w:rsidR="004113A3" w:rsidRPr="000B1627" w:rsidRDefault="004113A3" w:rsidP="004113A3">
      <w:pPr>
        <w:pStyle w:val="ListParagraph"/>
        <w:ind w:left="0"/>
        <w:jc w:val="both"/>
        <w:rPr>
          <w:rFonts w:ascii="Times New Roman" w:hAnsi="Times New Roman" w:cs="Times New Roman"/>
          <w:color w:val="000000"/>
        </w:rPr>
      </w:pPr>
    </w:p>
    <w:p w14:paraId="6AF42B77" w14:textId="77777777" w:rsidR="004113A3" w:rsidRPr="000B1627" w:rsidRDefault="004113A3" w:rsidP="004113A3">
      <w:pPr>
        <w:ind w:left="720"/>
        <w:jc w:val="both"/>
        <w:rPr>
          <w:i/>
          <w:iCs/>
          <w:color w:val="000000"/>
        </w:rPr>
      </w:pPr>
      <w:r w:rsidRPr="000B1627">
        <w:rPr>
          <w:i/>
          <w:iCs/>
          <w:color w:val="000000"/>
        </w:rPr>
        <w:t>a.  Excessive Use of Force and Restrictions</w:t>
      </w:r>
    </w:p>
    <w:p w14:paraId="34345749" w14:textId="77777777" w:rsidR="004113A3" w:rsidRPr="000B1627" w:rsidRDefault="004113A3" w:rsidP="004113A3">
      <w:pPr>
        <w:pStyle w:val="ListParagraph"/>
        <w:ind w:left="0"/>
        <w:jc w:val="both"/>
        <w:rPr>
          <w:rFonts w:ascii="Times New Roman" w:hAnsi="Times New Roman" w:cs="Times New Roman"/>
          <w:color w:val="000000"/>
        </w:rPr>
      </w:pPr>
    </w:p>
    <w:p w14:paraId="57056A74" w14:textId="77777777" w:rsidR="004113A3" w:rsidRPr="000B1627" w:rsidRDefault="004113A3" w:rsidP="004113A3">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Although Article 34 of the Turkish Constitution provides for the right to peaceful assembly, the Law on Meetings and Demonstrations (No. 2911) permits authorities to restrict or prohibit protests for reasons such as "national security" and "public order," which are broadly interpreted. As a result, the government often treats protests as potential security threats and deploys large numbers of riot police, frequently using excessive force.</w:t>
      </w:r>
    </w:p>
    <w:p w14:paraId="05D1C34E" w14:textId="77777777" w:rsidR="004113A3" w:rsidRPr="000B1627" w:rsidRDefault="004113A3" w:rsidP="004113A3">
      <w:pPr>
        <w:pStyle w:val="ListParagraph"/>
        <w:ind w:left="0"/>
        <w:jc w:val="both"/>
        <w:rPr>
          <w:rFonts w:ascii="Times New Roman" w:hAnsi="Times New Roman" w:cs="Times New Roman"/>
          <w:color w:val="000000"/>
        </w:rPr>
      </w:pPr>
    </w:p>
    <w:p w14:paraId="5B3E2EAC" w14:textId="77777777" w:rsidR="004113A3" w:rsidRPr="000B1627" w:rsidRDefault="004113A3" w:rsidP="004113A3">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In recent years, protests such as the Feminist Night March and the Pride Parade have continued to face significant repression in Türkiye. For instance, during the 2023 Istanbul Pride Parade, police detained at least 93 people, preventing the march from taking place in its planned location and blocking central areas of the city, such as </w:t>
      </w:r>
      <w:proofErr w:type="spellStart"/>
      <w:r w:rsidRPr="000B1627">
        <w:rPr>
          <w:rFonts w:ascii="Times New Roman" w:eastAsia="Times New Roman" w:hAnsi="Times New Roman" w:cs="Times New Roman"/>
          <w:lang w:eastAsia="en-GB"/>
        </w:rPr>
        <w:t>Taksim</w:t>
      </w:r>
      <w:proofErr w:type="spellEnd"/>
      <w:r w:rsidRPr="000B1627">
        <w:rPr>
          <w:rFonts w:ascii="Times New Roman" w:eastAsia="Times New Roman" w:hAnsi="Times New Roman" w:cs="Times New Roman"/>
          <w:lang w:eastAsia="en-GB"/>
        </w:rPr>
        <w:t xml:space="preserve"> Square.​</w:t>
      </w:r>
      <w:r w:rsidRPr="000B1627">
        <w:rPr>
          <w:rStyle w:val="FootnoteReference"/>
          <w:rFonts w:ascii="Times New Roman" w:eastAsia="Times New Roman" w:hAnsi="Times New Roman" w:cs="Times New Roman"/>
          <w:lang w:eastAsia="en-GB"/>
        </w:rPr>
        <w:footnoteReference w:id="45"/>
      </w:r>
      <w:r w:rsidRPr="000B1627">
        <w:rPr>
          <w:rFonts w:ascii="Times New Roman" w:eastAsia="Times New Roman" w:hAnsi="Times New Roman" w:cs="Times New Roman"/>
          <w:lang w:eastAsia="en-GB"/>
        </w:rPr>
        <w:t xml:space="preserve"> This incident reflects how authorities frequently use force to control crowds and prevent them from gathering in high-profile locations. Similarly, the Pride Parade has been banned repeatedly since 2015. In June 2024, during a peaceful demonstration in Istanbul, at least 15 participants​ were detained by the police.</w:t>
      </w:r>
      <w:r w:rsidRPr="000B1627">
        <w:rPr>
          <w:rStyle w:val="FootnoteReference"/>
          <w:rFonts w:ascii="Times New Roman" w:eastAsia="Times New Roman" w:hAnsi="Times New Roman" w:cs="Times New Roman"/>
          <w:lang w:eastAsia="en-GB"/>
        </w:rPr>
        <w:footnoteReference w:id="46"/>
      </w:r>
      <w:r w:rsidRPr="000B1627">
        <w:rPr>
          <w:rFonts w:ascii="Times New Roman" w:eastAsia="Times New Roman" w:hAnsi="Times New Roman" w:cs="Times New Roman"/>
          <w:lang w:eastAsia="en-GB"/>
        </w:rPr>
        <w:t xml:space="preserve"> Despite the report's claim that LGBTQ+ groups can freely organize protests, the reality demonstrates that these groups face disproportionate state repression.</w:t>
      </w:r>
    </w:p>
    <w:p w14:paraId="7B91642F" w14:textId="77777777" w:rsidR="004113A3" w:rsidRPr="000B1627" w:rsidRDefault="004113A3" w:rsidP="004113A3">
      <w:pPr>
        <w:pStyle w:val="ListParagraph"/>
        <w:ind w:left="0"/>
        <w:jc w:val="both"/>
        <w:rPr>
          <w:rFonts w:ascii="Times New Roman" w:eastAsia="Times New Roman" w:hAnsi="Times New Roman" w:cs="Times New Roman"/>
          <w:lang w:eastAsia="en-GB"/>
        </w:rPr>
      </w:pPr>
    </w:p>
    <w:p w14:paraId="13BD47E7" w14:textId="77777777" w:rsidR="004113A3" w:rsidRPr="000B1627" w:rsidRDefault="004113A3" w:rsidP="004113A3">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Additionally, protests concerning Kurdish rights are often banned or met with significant police intervention. The authorities frequently cite security concerns as a pretext for preventing these gatherings, particularly in majority Kurdish provinces, where pro-Kurdish rights activism is prevalent. The participants in these peaceful protests, such as those held in support of the HDP, have faced mass arrests, raising questions about the state’s genuine commitment to the right to peaceful assembly.</w:t>
      </w:r>
      <w:r w:rsidRPr="000B1627">
        <w:rPr>
          <w:rStyle w:val="FootnoteReference"/>
          <w:rFonts w:ascii="Times New Roman" w:eastAsia="Times New Roman" w:hAnsi="Times New Roman" w:cs="Times New Roman"/>
          <w:lang w:eastAsia="en-GB"/>
        </w:rPr>
        <w:footnoteReference w:id="47"/>
      </w:r>
    </w:p>
    <w:p w14:paraId="5F7C20E3" w14:textId="77777777" w:rsidR="004113A3" w:rsidRPr="000B1627" w:rsidRDefault="004113A3" w:rsidP="004113A3"/>
    <w:p w14:paraId="3806989B" w14:textId="77777777" w:rsidR="004113A3" w:rsidRPr="000B1627" w:rsidRDefault="004113A3" w:rsidP="004113A3">
      <w:pPr>
        <w:pStyle w:val="ListParagraph"/>
        <w:numPr>
          <w:ilvl w:val="0"/>
          <w:numId w:val="1"/>
        </w:numPr>
        <w:ind w:left="0"/>
        <w:jc w:val="both"/>
        <w:rPr>
          <w:rFonts w:ascii="Times New Roman" w:hAnsi="Times New Roman" w:cs="Times New Roman"/>
          <w:color w:val="000000"/>
        </w:rPr>
      </w:pPr>
      <w:r w:rsidRPr="000B1627">
        <w:rPr>
          <w:rFonts w:ascii="Times New Roman" w:hAnsi="Times New Roman" w:cs="Times New Roman"/>
          <w:color w:val="000000"/>
        </w:rPr>
        <w:t>The State Party report provides statistics indicating low intervention rates in protests over the past five years, suggesting that more than 99% of protests were peaceful and without interference. However, these statistics do not account for the high number of protests that are pre-emptively banned or denied permits, particularly in politically sensitive regions or on controversial issues. In regions such as Diyarbakir and Istanbul, authorities often prevent gatherings before they begin, meaning that the official “intervention rate” does not reflect the full extent of state control over public assembly​.</w:t>
      </w:r>
      <w:r w:rsidRPr="000B1627">
        <w:rPr>
          <w:rStyle w:val="FootnoteReference"/>
          <w:rFonts w:ascii="Times New Roman" w:hAnsi="Times New Roman" w:cs="Times New Roman"/>
          <w:color w:val="000000"/>
        </w:rPr>
        <w:footnoteReference w:id="48"/>
      </w:r>
    </w:p>
    <w:p w14:paraId="70193A9D" w14:textId="77777777" w:rsidR="004113A3" w:rsidRPr="000B1627" w:rsidRDefault="004113A3" w:rsidP="004113A3">
      <w:pPr>
        <w:rPr>
          <w:color w:val="000000"/>
        </w:rPr>
      </w:pPr>
    </w:p>
    <w:p w14:paraId="12EA7DBE" w14:textId="77777777" w:rsidR="004113A3" w:rsidRPr="000B1627" w:rsidRDefault="004113A3" w:rsidP="004113A3">
      <w:pPr>
        <w:pStyle w:val="ListParagraph"/>
        <w:numPr>
          <w:ilvl w:val="0"/>
          <w:numId w:val="1"/>
        </w:numPr>
        <w:ind w:left="0"/>
        <w:jc w:val="both"/>
        <w:rPr>
          <w:rFonts w:ascii="Times New Roman" w:hAnsi="Times New Roman" w:cs="Times New Roman"/>
          <w:b/>
          <w:bCs/>
          <w:i/>
          <w:iCs/>
          <w:color w:val="000000"/>
        </w:rPr>
      </w:pPr>
      <w:r w:rsidRPr="000B1627">
        <w:rPr>
          <w:rFonts w:ascii="Times New Roman" w:hAnsi="Times New Roman" w:cs="Times New Roman"/>
          <w:b/>
          <w:bCs/>
          <w:i/>
          <w:iCs/>
          <w:color w:val="000000"/>
        </w:rPr>
        <w:t>Recommendations for the State Party</w:t>
      </w:r>
    </w:p>
    <w:p w14:paraId="48E69A4B" w14:textId="77777777" w:rsidR="004113A3" w:rsidRPr="000B1627" w:rsidRDefault="004113A3" w:rsidP="004113A3">
      <w:pPr>
        <w:pStyle w:val="ListParagraph"/>
        <w:ind w:left="0"/>
        <w:jc w:val="both"/>
        <w:rPr>
          <w:rFonts w:ascii="Times New Roman" w:hAnsi="Times New Roman" w:cs="Times New Roman"/>
          <w:color w:val="000000"/>
        </w:rPr>
      </w:pPr>
    </w:p>
    <w:p w14:paraId="51BA18E5"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amend Laws no. 2911 and no. 5542, including Article 11(c), which grants governors broad powers to ban peaceful assemblies, in line with the ICCPR principles.</w:t>
      </w:r>
    </w:p>
    <w:p w14:paraId="6B59E760"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government should cease pre-emptive administrative bans on peaceful protests, particularly on politically sensitive issues. Any ban should be justified with clear, specific, and legitimate reasons, and judicial review of such decisions must be strengthened to ensure accountability.</w:t>
      </w:r>
    </w:p>
    <w:p w14:paraId="730E3413"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Turkish government must ensure that legislation on crowd control weapons complies with international standards, safeguarding citizens' rights during public events and protests.</w:t>
      </w:r>
    </w:p>
    <w:p w14:paraId="02F0B3D1"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A dedicated mechanism to handle complaints of police abuse during peaceful protests should be established. Investigations into such allegations must be conducted thoroughly and impartially, with guarantees for the protection of protestors' rights.</w:t>
      </w:r>
    </w:p>
    <w:p w14:paraId="672F1697"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review and enhance training programs for law enforcement officials, focusing on human rights, proportionate use of force, proper interference with public events, and the responsible use of tear gas. An effective review mechanism for the use of force by law enforcement officials must also be put in place to ensure accountability.</w:t>
      </w:r>
    </w:p>
    <w:p w14:paraId="14828B82"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Türkiye must end the criminalisation of the right to freedom of peaceful assembly and adopt a clear and detailed strategy to prevent violations, ensuring the protection of this fundamental right. </w:t>
      </w:r>
    </w:p>
    <w:p w14:paraId="6F2EACE0" w14:textId="77777777" w:rsidR="004113A3" w:rsidRPr="000B1627" w:rsidRDefault="004113A3" w:rsidP="00350FA8">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Authorities must end the systematic targeting of marginalized groups, such as LGBTQ+ individuals and Kurdish activists, during peaceful assemblies. The Turkish government should facilitate peaceful demonstrations and protests by these groups, ensuring their safety and freedom from arbitrary detention or excessive force.</w:t>
      </w:r>
    </w:p>
    <w:p w14:paraId="2B19232F" w14:textId="72943DB8" w:rsidR="0077130A" w:rsidRPr="000B1627" w:rsidRDefault="004113A3" w:rsidP="00CD21E0">
      <w:pPr>
        <w:pStyle w:val="ListParagraph"/>
        <w:numPr>
          <w:ilvl w:val="0"/>
          <w:numId w:val="45"/>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 should improve the transparency and accuracy of statistics on police interventions in protests. These reports should account for both actual interventions and pre-emptive bans or restrictions to provide a full picture of the state’s control over public assemblies.</w:t>
      </w:r>
    </w:p>
    <w:p w14:paraId="31CC08AF" w14:textId="77777777" w:rsidR="00CD21E0" w:rsidRPr="000B1627" w:rsidRDefault="00CD21E0" w:rsidP="00350FA8">
      <w:pPr>
        <w:pStyle w:val="ListParagraph"/>
        <w:tabs>
          <w:tab w:val="left" w:pos="426"/>
        </w:tabs>
        <w:spacing w:before="80" w:after="80"/>
        <w:ind w:left="360"/>
        <w:contextualSpacing w:val="0"/>
        <w:jc w:val="both"/>
        <w:rPr>
          <w:rFonts w:ascii="Times New Roman" w:eastAsia="Times New Roman" w:hAnsi="Times New Roman" w:cs="Times New Roman"/>
          <w:lang w:eastAsia="en-GB"/>
        </w:rPr>
      </w:pPr>
    </w:p>
    <w:p w14:paraId="7E9C9335" w14:textId="4F48F04A" w:rsidR="00081376" w:rsidRPr="000B1627" w:rsidRDefault="00081376" w:rsidP="00350FA8">
      <w:pPr>
        <w:pStyle w:val="ListParagraph"/>
        <w:numPr>
          <w:ilvl w:val="0"/>
          <w:numId w:val="33"/>
        </w:numPr>
        <w:spacing w:after="120"/>
        <w:contextualSpacing w:val="0"/>
        <w:rPr>
          <w:rFonts w:ascii="Times New Roman" w:hAnsi="Times New Roman" w:cs="Times New Roman"/>
          <w:b/>
          <w:bCs/>
        </w:rPr>
      </w:pPr>
      <w:r w:rsidRPr="000B1627">
        <w:rPr>
          <w:rFonts w:ascii="Times New Roman" w:hAnsi="Times New Roman" w:cs="Times New Roman"/>
          <w:b/>
          <w:bCs/>
        </w:rPr>
        <w:t>Non- Discrimination</w:t>
      </w:r>
      <w:r w:rsidR="00443F9A" w:rsidRPr="000B1627">
        <w:rPr>
          <w:rFonts w:ascii="Times New Roman" w:hAnsi="Times New Roman" w:cs="Times New Roman"/>
          <w:b/>
          <w:bCs/>
        </w:rPr>
        <w:t xml:space="preserve"> (C</w:t>
      </w:r>
      <w:r w:rsidR="004D6F9C" w:rsidRPr="000B1627">
        <w:rPr>
          <w:rFonts w:ascii="Times New Roman" w:hAnsi="Times New Roman" w:cs="Times New Roman"/>
          <w:b/>
          <w:bCs/>
        </w:rPr>
        <w:t xml:space="preserve">oncerning </w:t>
      </w:r>
      <w:r w:rsidRPr="000B1627">
        <w:rPr>
          <w:rFonts w:ascii="Times New Roman" w:hAnsi="Times New Roman" w:cs="Times New Roman"/>
          <w:b/>
          <w:bCs/>
        </w:rPr>
        <w:t>Articles 2, 6, 25 and 26</w:t>
      </w:r>
      <w:r w:rsidR="004D6F9C" w:rsidRPr="000B1627">
        <w:rPr>
          <w:rFonts w:ascii="Times New Roman" w:hAnsi="Times New Roman" w:cs="Times New Roman"/>
          <w:b/>
          <w:bCs/>
        </w:rPr>
        <w:t xml:space="preserve"> of the ICCPR</w:t>
      </w:r>
      <w:r w:rsidR="00443F9A" w:rsidRPr="000B1627">
        <w:rPr>
          <w:rFonts w:ascii="Times New Roman" w:hAnsi="Times New Roman" w:cs="Times New Roman"/>
          <w:b/>
          <w:bCs/>
        </w:rPr>
        <w:t>)</w:t>
      </w:r>
    </w:p>
    <w:p w14:paraId="57C85C20" w14:textId="68AE5876" w:rsidR="00F126E2" w:rsidRPr="000B1627" w:rsidRDefault="00E9152A" w:rsidP="00E66520">
      <w:pPr>
        <w:pStyle w:val="ListParagraph"/>
        <w:numPr>
          <w:ilvl w:val="0"/>
          <w:numId w:val="7"/>
        </w:numPr>
        <w:tabs>
          <w:tab w:val="left" w:pos="851"/>
        </w:tabs>
        <w:ind w:left="0" w:firstLine="567"/>
        <w:jc w:val="both"/>
        <w:rPr>
          <w:rFonts w:ascii="Times New Roman" w:hAnsi="Times New Roman" w:cs="Times New Roman"/>
          <w:i/>
          <w:iCs/>
        </w:rPr>
      </w:pPr>
      <w:r w:rsidRPr="000B1627">
        <w:rPr>
          <w:rFonts w:ascii="Times New Roman" w:hAnsi="Times New Roman" w:cs="Times New Roman"/>
          <w:i/>
          <w:iCs/>
        </w:rPr>
        <w:t xml:space="preserve">Institutional </w:t>
      </w:r>
      <w:r w:rsidR="00E32708" w:rsidRPr="000B1627">
        <w:rPr>
          <w:rFonts w:ascii="Times New Roman" w:hAnsi="Times New Roman" w:cs="Times New Roman"/>
          <w:i/>
          <w:iCs/>
        </w:rPr>
        <w:t xml:space="preserve">Discrimination against Kurdish People </w:t>
      </w:r>
    </w:p>
    <w:p w14:paraId="3C832BD7" w14:textId="77777777" w:rsidR="00E65314" w:rsidRPr="000B1627" w:rsidRDefault="00E65314" w:rsidP="00D57ADA">
      <w:pPr>
        <w:pStyle w:val="ListParagraph"/>
        <w:ind w:left="0"/>
        <w:jc w:val="both"/>
        <w:rPr>
          <w:rFonts w:ascii="Times New Roman" w:hAnsi="Times New Roman" w:cs="Times New Roman"/>
        </w:rPr>
      </w:pPr>
    </w:p>
    <w:p w14:paraId="0F35A662" w14:textId="3C371C4D" w:rsidR="001E1666" w:rsidRPr="000B1627" w:rsidRDefault="001E1666"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Although the State Party report emphasizes the provisions in the Turkish Constitution that guarantee equality before the law without distinction (Article 10) and prohibit discrimination </w:t>
      </w:r>
      <w:proofErr w:type="gramStart"/>
      <w:r w:rsidRPr="000B1627">
        <w:rPr>
          <w:rFonts w:ascii="Times New Roman" w:eastAsia="Times New Roman" w:hAnsi="Times New Roman" w:cs="Times New Roman"/>
          <w:lang w:eastAsia="en-GB"/>
        </w:rPr>
        <w:t>on the basis of</w:t>
      </w:r>
      <w:proofErr w:type="gramEnd"/>
      <w:r w:rsidRPr="000B1627">
        <w:rPr>
          <w:rFonts w:ascii="Times New Roman" w:eastAsia="Times New Roman" w:hAnsi="Times New Roman" w:cs="Times New Roman"/>
          <w:lang w:eastAsia="en-GB"/>
        </w:rPr>
        <w:t xml:space="preserve"> language, race, and political views (Article 68), these legal safeguards are fundamentally undermined by the state’s actions towards the Kurdish population. Additionally, Article 122 of the Turkish Penal Code, which criminalizes hate crimes, has proven ineffective in addressing widespread discrimination against Kurds. While the legal framework in theory may seem robust, the realities on the ground reveal a stark gap between constitutional principles and their enforcement, particularly for the Kurdish </w:t>
      </w:r>
      <w:r w:rsidR="00EA66A9" w:rsidRPr="000B1627">
        <w:rPr>
          <w:rFonts w:ascii="Times New Roman" w:eastAsia="Times New Roman" w:hAnsi="Times New Roman" w:cs="Times New Roman"/>
          <w:lang w:eastAsia="en-GB"/>
        </w:rPr>
        <w:t>community</w:t>
      </w:r>
      <w:r w:rsidRPr="000B1627">
        <w:rPr>
          <w:rFonts w:ascii="Times New Roman" w:eastAsia="Times New Roman" w:hAnsi="Times New Roman" w:cs="Times New Roman"/>
          <w:lang w:eastAsia="en-GB"/>
        </w:rPr>
        <w:t>.</w:t>
      </w:r>
    </w:p>
    <w:p w14:paraId="183CB7D3" w14:textId="77777777" w:rsidR="001E1666" w:rsidRPr="000B1627" w:rsidRDefault="001E1666" w:rsidP="00D57ADA"/>
    <w:p w14:paraId="4E31E2B4" w14:textId="3C0ED20A" w:rsidR="006F0269" w:rsidRPr="000B1627" w:rsidRDefault="0016664F" w:rsidP="00D57ADA">
      <w:pPr>
        <w:pStyle w:val="ListParagraph"/>
        <w:numPr>
          <w:ilvl w:val="0"/>
          <w:numId w:val="1"/>
        </w:numPr>
        <w:ind w:left="0"/>
        <w:jc w:val="both"/>
        <w:rPr>
          <w:rFonts w:ascii="Times New Roman" w:hAnsi="Times New Roman" w:cs="Times New Roman"/>
        </w:rPr>
      </w:pPr>
      <w:r w:rsidRPr="000B1627">
        <w:rPr>
          <w:rFonts w:ascii="Times New Roman" w:hAnsi="Times New Roman" w:cs="Times New Roman"/>
        </w:rPr>
        <w:t xml:space="preserve">Kurdish people in </w:t>
      </w:r>
      <w:r w:rsidR="00D57ADA" w:rsidRPr="000B1627">
        <w:rPr>
          <w:rFonts w:ascii="Times New Roman" w:hAnsi="Times New Roman" w:cs="Times New Roman"/>
        </w:rPr>
        <w:t>Türkiye</w:t>
      </w:r>
      <w:r w:rsidRPr="000B1627">
        <w:rPr>
          <w:rFonts w:ascii="Times New Roman" w:hAnsi="Times New Roman" w:cs="Times New Roman"/>
        </w:rPr>
        <w:t xml:space="preserve"> have been historically oppressed and denied their rights</w:t>
      </w:r>
      <w:r w:rsidR="00B01D91" w:rsidRPr="000B1627">
        <w:rPr>
          <w:rFonts w:ascii="Times New Roman" w:hAnsi="Times New Roman" w:cs="Times New Roman"/>
        </w:rPr>
        <w:t>, including their identity</w:t>
      </w:r>
      <w:r w:rsidRPr="000B1627">
        <w:rPr>
          <w:rFonts w:ascii="Times New Roman" w:hAnsi="Times New Roman" w:cs="Times New Roman"/>
        </w:rPr>
        <w:t xml:space="preserve">, and the legal safeguards mentioned in the State Party report fail to address the institutionalized discrimination as well as structural inequality. </w:t>
      </w:r>
      <w:r w:rsidR="000F6A18" w:rsidRPr="000B1627">
        <w:rPr>
          <w:rFonts w:ascii="Times New Roman" w:hAnsi="Times New Roman" w:cs="Times New Roman"/>
        </w:rPr>
        <w:t xml:space="preserve">This background is further complicated </w:t>
      </w:r>
      <w:proofErr w:type="gramStart"/>
      <w:r w:rsidR="000F6A18" w:rsidRPr="000B1627">
        <w:rPr>
          <w:rFonts w:ascii="Times New Roman" w:hAnsi="Times New Roman" w:cs="Times New Roman"/>
        </w:rPr>
        <w:t>as a result of</w:t>
      </w:r>
      <w:proofErr w:type="gramEnd"/>
      <w:r w:rsidR="000F6A18" w:rsidRPr="000B1627">
        <w:rPr>
          <w:rFonts w:ascii="Times New Roman" w:hAnsi="Times New Roman" w:cs="Times New Roman"/>
        </w:rPr>
        <w:t xml:space="preserve"> </w:t>
      </w:r>
      <w:r w:rsidR="00061EDE" w:rsidRPr="000B1627">
        <w:rPr>
          <w:rFonts w:ascii="Times New Roman" w:hAnsi="Times New Roman" w:cs="Times New Roman"/>
        </w:rPr>
        <w:t xml:space="preserve">the </w:t>
      </w:r>
      <w:r w:rsidR="0073383E" w:rsidRPr="000B1627">
        <w:rPr>
          <w:rFonts w:ascii="Times New Roman" w:hAnsi="Times New Roman" w:cs="Times New Roman"/>
        </w:rPr>
        <w:t>intensified w</w:t>
      </w:r>
      <w:r w:rsidR="000F6A18" w:rsidRPr="000B1627">
        <w:rPr>
          <w:rFonts w:ascii="Times New Roman" w:hAnsi="Times New Roman" w:cs="Times New Roman"/>
        </w:rPr>
        <w:t xml:space="preserve">ar </w:t>
      </w:r>
      <w:r w:rsidR="00061EDE" w:rsidRPr="000B1627">
        <w:rPr>
          <w:rFonts w:ascii="Times New Roman" w:hAnsi="Times New Roman" w:cs="Times New Roman"/>
        </w:rPr>
        <w:t>between Türkiye</w:t>
      </w:r>
      <w:r w:rsidR="00ED022D" w:rsidRPr="000B1627">
        <w:rPr>
          <w:rFonts w:ascii="Times New Roman" w:hAnsi="Times New Roman" w:cs="Times New Roman"/>
        </w:rPr>
        <w:t xml:space="preserve"> </w:t>
      </w:r>
      <w:r w:rsidR="00061EDE" w:rsidRPr="000B1627">
        <w:rPr>
          <w:rFonts w:ascii="Times New Roman" w:hAnsi="Times New Roman" w:cs="Times New Roman"/>
        </w:rPr>
        <w:t>and</w:t>
      </w:r>
      <w:r w:rsidR="000F6A18" w:rsidRPr="000B1627">
        <w:rPr>
          <w:rFonts w:ascii="Times New Roman" w:hAnsi="Times New Roman" w:cs="Times New Roman"/>
        </w:rPr>
        <w:t xml:space="preserve"> the Kurdistan Workers’ Party (</w:t>
      </w:r>
      <w:r w:rsidR="00ED4D50" w:rsidRPr="000B1627">
        <w:rPr>
          <w:rFonts w:ascii="Times New Roman" w:hAnsi="Times New Roman" w:cs="Times New Roman"/>
        </w:rPr>
        <w:t xml:space="preserve">“the </w:t>
      </w:r>
      <w:r w:rsidR="000F6A18" w:rsidRPr="000B1627">
        <w:rPr>
          <w:rFonts w:ascii="Times New Roman" w:hAnsi="Times New Roman" w:cs="Times New Roman"/>
        </w:rPr>
        <w:t>PKK</w:t>
      </w:r>
      <w:r w:rsidR="00BE5076" w:rsidRPr="000B1627">
        <w:rPr>
          <w:rFonts w:ascii="Times New Roman" w:hAnsi="Times New Roman" w:cs="Times New Roman"/>
        </w:rPr>
        <w:t>”</w:t>
      </w:r>
      <w:r w:rsidR="000F6A18" w:rsidRPr="000B1627">
        <w:rPr>
          <w:rFonts w:ascii="Times New Roman" w:hAnsi="Times New Roman" w:cs="Times New Roman"/>
        </w:rPr>
        <w:t>) since 2015.</w:t>
      </w:r>
      <w:r w:rsidR="000F6A18" w:rsidRPr="000B1627">
        <w:rPr>
          <w:rStyle w:val="FootnoteReference"/>
          <w:rFonts w:ascii="Times New Roman" w:hAnsi="Times New Roman" w:cs="Times New Roman"/>
        </w:rPr>
        <w:footnoteReference w:id="49"/>
      </w:r>
    </w:p>
    <w:p w14:paraId="7E2221B7" w14:textId="77777777" w:rsidR="006F0269" w:rsidRPr="000B1627" w:rsidRDefault="006F0269" w:rsidP="00D57ADA">
      <w:pPr>
        <w:pStyle w:val="ListParagraph"/>
        <w:ind w:left="0"/>
        <w:jc w:val="both"/>
        <w:rPr>
          <w:rFonts w:ascii="Times New Roman" w:hAnsi="Times New Roman" w:cs="Times New Roman"/>
        </w:rPr>
      </w:pPr>
    </w:p>
    <w:p w14:paraId="46048351" w14:textId="07AA6BC6" w:rsidR="001E1666" w:rsidRPr="000B1627" w:rsidRDefault="00CB2D92" w:rsidP="00D57ADA">
      <w:pPr>
        <w:pStyle w:val="ListParagraph"/>
        <w:numPr>
          <w:ilvl w:val="0"/>
          <w:numId w:val="1"/>
        </w:numPr>
        <w:ind w:left="0"/>
        <w:jc w:val="both"/>
        <w:rPr>
          <w:rFonts w:ascii="Times New Roman" w:eastAsia="Times New Roman" w:hAnsi="Times New Roman" w:cs="Times New Roman"/>
        </w:rPr>
      </w:pPr>
      <w:r w:rsidRPr="000B1627">
        <w:rPr>
          <w:rFonts w:ascii="Times New Roman" w:hAnsi="Times New Roman" w:cs="Times New Roman"/>
        </w:rPr>
        <w:t>Moreover, the</w:t>
      </w:r>
      <w:r w:rsidR="005151BE" w:rsidRPr="000B1627">
        <w:rPr>
          <w:rFonts w:ascii="Times New Roman" w:hAnsi="Times New Roman" w:cs="Times New Roman"/>
        </w:rPr>
        <w:t xml:space="preserve"> </w:t>
      </w:r>
      <w:r w:rsidRPr="000B1627">
        <w:rPr>
          <w:rFonts w:ascii="Times New Roman" w:hAnsi="Times New Roman" w:cs="Times New Roman"/>
        </w:rPr>
        <w:t xml:space="preserve">government policies aimed at restricting the rights of Kurdish people remains unaddressed in the report. Many regions in Southeast </w:t>
      </w:r>
      <w:r w:rsidR="00D57ADA" w:rsidRPr="000B1627">
        <w:rPr>
          <w:rFonts w:ascii="Times New Roman" w:hAnsi="Times New Roman" w:cs="Times New Roman"/>
        </w:rPr>
        <w:t>Türkiye</w:t>
      </w:r>
      <w:r w:rsidRPr="000B1627">
        <w:rPr>
          <w:rFonts w:ascii="Times New Roman" w:hAnsi="Times New Roman" w:cs="Times New Roman"/>
        </w:rPr>
        <w:t xml:space="preserve">, predominantly inhabited by Kurds, have been heavily militarized. Cities in these regions have experienced frequent curfews, with electricity and water supplies being cut off, and the deployment of </w:t>
      </w:r>
      <w:r w:rsidR="003A1A86" w:rsidRPr="000B1627">
        <w:rPr>
          <w:rFonts w:ascii="Times New Roman" w:hAnsi="Times New Roman" w:cs="Times New Roman"/>
        </w:rPr>
        <w:t>armoured</w:t>
      </w:r>
      <w:r w:rsidRPr="000B1627">
        <w:rPr>
          <w:rFonts w:ascii="Times New Roman" w:hAnsi="Times New Roman" w:cs="Times New Roman"/>
        </w:rPr>
        <w:t xml:space="preserve"> vehicles in civilian areas has led to several instances of injury and death</w:t>
      </w:r>
      <w:r w:rsidR="00C42AF4" w:rsidRPr="000B1627">
        <w:rPr>
          <w:rFonts w:ascii="Times New Roman" w:hAnsi="Times New Roman" w:cs="Times New Roman"/>
        </w:rPr>
        <w:t>.</w:t>
      </w:r>
      <w:r w:rsidR="000F6A18" w:rsidRPr="000B1627">
        <w:rPr>
          <w:rFonts w:ascii="Times New Roman" w:eastAsia="Times New Roman" w:hAnsi="Times New Roman" w:cs="Times New Roman"/>
          <w:vertAlign w:val="superscript"/>
        </w:rPr>
        <w:footnoteReference w:id="50"/>
      </w:r>
      <w:r w:rsidR="000F6A18" w:rsidRPr="000B1627">
        <w:rPr>
          <w:rFonts w:ascii="Times New Roman" w:eastAsia="Times New Roman" w:hAnsi="Times New Roman" w:cs="Times New Roman"/>
        </w:rPr>
        <w:t xml:space="preserve"> </w:t>
      </w:r>
      <w:r w:rsidR="0073383E" w:rsidRPr="000B1627">
        <w:rPr>
          <w:rFonts w:ascii="Times New Roman" w:eastAsia="Times New Roman" w:hAnsi="Times New Roman" w:cs="Times New Roman"/>
        </w:rPr>
        <w:t xml:space="preserve"> </w:t>
      </w:r>
      <w:r w:rsidR="006F0269" w:rsidRPr="000B1627">
        <w:rPr>
          <w:rFonts w:ascii="Times New Roman" w:eastAsia="Times New Roman" w:hAnsi="Times New Roman" w:cs="Times New Roman"/>
        </w:rPr>
        <w:t xml:space="preserve">These conditions have significantly heightened risks for civilians, particularly children, who are more likely to encounter military checkpoints and interactions with </w:t>
      </w:r>
      <w:r w:rsidR="003A1A86" w:rsidRPr="000B1627">
        <w:rPr>
          <w:rFonts w:ascii="Times New Roman" w:eastAsia="Times New Roman" w:hAnsi="Times New Roman" w:cs="Times New Roman"/>
        </w:rPr>
        <w:t>armoured</w:t>
      </w:r>
      <w:r w:rsidR="006F0269" w:rsidRPr="000B1627">
        <w:rPr>
          <w:rFonts w:ascii="Times New Roman" w:eastAsia="Times New Roman" w:hAnsi="Times New Roman" w:cs="Times New Roman"/>
        </w:rPr>
        <w:t xml:space="preserve"> vehicles. According to the </w:t>
      </w:r>
      <w:proofErr w:type="spellStart"/>
      <w:r w:rsidR="006F0269" w:rsidRPr="000B1627">
        <w:rPr>
          <w:rFonts w:ascii="Times New Roman" w:eastAsia="Times New Roman" w:hAnsi="Times New Roman" w:cs="Times New Roman"/>
        </w:rPr>
        <w:t>Diyarbakır</w:t>
      </w:r>
      <w:proofErr w:type="spellEnd"/>
      <w:r w:rsidR="006F0269" w:rsidRPr="000B1627">
        <w:rPr>
          <w:rFonts w:ascii="Times New Roman" w:eastAsia="Times New Roman" w:hAnsi="Times New Roman" w:cs="Times New Roman"/>
        </w:rPr>
        <w:t xml:space="preserve"> Branch of the Human Rights Association (</w:t>
      </w:r>
      <w:r w:rsidR="00BE5076" w:rsidRPr="000B1627">
        <w:rPr>
          <w:rFonts w:ascii="Times New Roman" w:eastAsia="Times New Roman" w:hAnsi="Times New Roman" w:cs="Times New Roman"/>
        </w:rPr>
        <w:t xml:space="preserve">“the </w:t>
      </w:r>
      <w:r w:rsidR="006F0269" w:rsidRPr="000B1627">
        <w:rPr>
          <w:rFonts w:ascii="Times New Roman" w:eastAsia="Times New Roman" w:hAnsi="Times New Roman" w:cs="Times New Roman"/>
        </w:rPr>
        <w:t>İHD</w:t>
      </w:r>
      <w:r w:rsidR="00BE5076" w:rsidRPr="000B1627">
        <w:rPr>
          <w:rFonts w:ascii="Times New Roman" w:eastAsia="Times New Roman" w:hAnsi="Times New Roman" w:cs="Times New Roman"/>
        </w:rPr>
        <w:t>”</w:t>
      </w:r>
      <w:r w:rsidR="006F0269" w:rsidRPr="000B1627">
        <w:rPr>
          <w:rFonts w:ascii="Times New Roman" w:eastAsia="Times New Roman" w:hAnsi="Times New Roman" w:cs="Times New Roman"/>
        </w:rPr>
        <w:t>)</w:t>
      </w:r>
      <w:r w:rsidR="006F0269" w:rsidRPr="000B1627">
        <w:rPr>
          <w:rFonts w:ascii="Times New Roman" w:hAnsi="Times New Roman" w:cs="Times New Roman"/>
          <w:vertAlign w:val="superscript"/>
        </w:rPr>
        <w:footnoteReference w:id="51"/>
      </w:r>
      <w:r w:rsidR="006F0269" w:rsidRPr="000B1627">
        <w:rPr>
          <w:rFonts w:ascii="Times New Roman" w:eastAsia="Times New Roman" w:hAnsi="Times New Roman" w:cs="Times New Roman"/>
        </w:rPr>
        <w:t xml:space="preserve"> between 2017 and 2019, at least 12 children were either killed or severely injured by </w:t>
      </w:r>
      <w:r w:rsidR="003A1A86" w:rsidRPr="000B1627">
        <w:rPr>
          <w:rFonts w:ascii="Times New Roman" w:eastAsia="Times New Roman" w:hAnsi="Times New Roman" w:cs="Times New Roman"/>
        </w:rPr>
        <w:t>armoured</w:t>
      </w:r>
      <w:r w:rsidR="006F0269" w:rsidRPr="000B1627">
        <w:rPr>
          <w:rFonts w:ascii="Times New Roman" w:eastAsia="Times New Roman" w:hAnsi="Times New Roman" w:cs="Times New Roman"/>
        </w:rPr>
        <w:t xml:space="preserve"> vehicles in southeast Türkiye.</w:t>
      </w:r>
      <w:r w:rsidR="00B52EC4" w:rsidRPr="000B1627">
        <w:rPr>
          <w:rFonts w:ascii="Times New Roman" w:hAnsi="Times New Roman" w:cs="Times New Roman"/>
          <w:vertAlign w:val="superscript"/>
        </w:rPr>
        <w:footnoteReference w:id="52"/>
      </w:r>
      <w:r w:rsidR="00B52EC4" w:rsidRPr="000B1627">
        <w:rPr>
          <w:rFonts w:ascii="Times New Roman" w:eastAsia="Times New Roman" w:hAnsi="Times New Roman" w:cs="Times New Roman"/>
        </w:rPr>
        <w:t xml:space="preserve"> IHD’s 2023 report also revealed that four children were killed and 254 were injured due to incidents involving </w:t>
      </w:r>
      <w:r w:rsidR="003A1A86" w:rsidRPr="000B1627">
        <w:rPr>
          <w:rFonts w:ascii="Times New Roman" w:eastAsia="Times New Roman" w:hAnsi="Times New Roman" w:cs="Times New Roman"/>
        </w:rPr>
        <w:t>armoured</w:t>
      </w:r>
      <w:r w:rsidR="00B52EC4" w:rsidRPr="000B1627">
        <w:rPr>
          <w:rFonts w:ascii="Times New Roman" w:eastAsia="Times New Roman" w:hAnsi="Times New Roman" w:cs="Times New Roman"/>
        </w:rPr>
        <w:t xml:space="preserve"> vehicles</w:t>
      </w:r>
      <w:r w:rsidR="00BA45ED" w:rsidRPr="000B1627">
        <w:rPr>
          <w:rFonts w:ascii="Times New Roman" w:eastAsia="Times New Roman" w:hAnsi="Times New Roman" w:cs="Times New Roman"/>
        </w:rPr>
        <w:t>.</w:t>
      </w:r>
      <w:r w:rsidR="00B52EC4" w:rsidRPr="000B1627">
        <w:rPr>
          <w:rStyle w:val="FootnoteReference"/>
          <w:rFonts w:ascii="Times New Roman" w:eastAsia="Times New Roman" w:hAnsi="Times New Roman" w:cs="Times New Roman"/>
        </w:rPr>
        <w:footnoteReference w:id="53"/>
      </w:r>
      <w:r w:rsidR="00B52EC4" w:rsidRPr="000B1627">
        <w:rPr>
          <w:rFonts w:ascii="Times New Roman" w:eastAsia="Times New Roman" w:hAnsi="Times New Roman" w:cs="Times New Roman"/>
        </w:rPr>
        <w:t xml:space="preserve"> </w:t>
      </w:r>
      <w:r w:rsidR="006F0269" w:rsidRPr="000B1627">
        <w:rPr>
          <w:rFonts w:ascii="Times New Roman" w:eastAsia="Times New Roman" w:hAnsi="Times New Roman" w:cs="Times New Roman"/>
        </w:rPr>
        <w:t>The İHD has pointed out that the institutions responsible for deploying these vehicles often act negligently, failing to take appropriate safety measures, thus increasing the risks for civilian casualties</w:t>
      </w:r>
      <w:r w:rsidR="00B52EC4" w:rsidRPr="000B1627">
        <w:rPr>
          <w:rFonts w:ascii="Times New Roman" w:eastAsia="Times New Roman" w:hAnsi="Times New Roman" w:cs="Times New Roman"/>
        </w:rPr>
        <w:t xml:space="preserve">. </w:t>
      </w:r>
      <w:r w:rsidR="0073383E" w:rsidRPr="000B1627">
        <w:rPr>
          <w:rFonts w:ascii="Times New Roman" w:eastAsia="Times New Roman" w:hAnsi="Times New Roman" w:cs="Times New Roman"/>
        </w:rPr>
        <w:t>T</w:t>
      </w:r>
      <w:r w:rsidRPr="000B1627">
        <w:rPr>
          <w:rFonts w:ascii="Times New Roman" w:eastAsia="Times New Roman" w:hAnsi="Times New Roman" w:cs="Times New Roman"/>
        </w:rPr>
        <w:t>his militarization</w:t>
      </w:r>
      <w:r w:rsidR="0018310D" w:rsidRPr="000B1627">
        <w:rPr>
          <w:rFonts w:ascii="Times New Roman" w:eastAsia="Times New Roman" w:hAnsi="Times New Roman" w:cs="Times New Roman"/>
        </w:rPr>
        <w:t>, therefore,</w:t>
      </w:r>
      <w:r w:rsidRPr="000B1627">
        <w:rPr>
          <w:rFonts w:ascii="Times New Roman" w:eastAsia="Times New Roman" w:hAnsi="Times New Roman" w:cs="Times New Roman"/>
        </w:rPr>
        <w:t xml:space="preserve"> disproportionately affects Kurdish communities and undermines their rights to basic services, infringing upon their rights to equality and non-discrimination as enshrined in Article 2 of the ICCPR. Despite constitutional safeguards, the ineffective implementation of these protections violates </w:t>
      </w:r>
      <w:r w:rsidR="00D57ADA" w:rsidRPr="000B1627">
        <w:rPr>
          <w:rFonts w:ascii="Times New Roman" w:eastAsia="Times New Roman" w:hAnsi="Times New Roman" w:cs="Times New Roman"/>
        </w:rPr>
        <w:t>Türkiye</w:t>
      </w:r>
      <w:r w:rsidRPr="000B1627">
        <w:rPr>
          <w:rFonts w:ascii="Times New Roman" w:eastAsia="Times New Roman" w:hAnsi="Times New Roman" w:cs="Times New Roman"/>
        </w:rPr>
        <w:t>’s obligations under international human rights law.</w:t>
      </w:r>
    </w:p>
    <w:p w14:paraId="362E832F" w14:textId="77777777" w:rsidR="00CB2D92" w:rsidRPr="000B1627" w:rsidRDefault="00CB2D92" w:rsidP="00D57ADA"/>
    <w:p w14:paraId="316B63DD" w14:textId="4ACCD16A" w:rsidR="00CB2D92" w:rsidRPr="000B1627" w:rsidRDefault="003D3A65" w:rsidP="00E66520">
      <w:pPr>
        <w:pStyle w:val="ListParagraph"/>
        <w:numPr>
          <w:ilvl w:val="0"/>
          <w:numId w:val="7"/>
        </w:numPr>
        <w:tabs>
          <w:tab w:val="left" w:pos="851"/>
        </w:tabs>
        <w:ind w:left="0" w:firstLine="567"/>
        <w:jc w:val="both"/>
        <w:rPr>
          <w:rFonts w:ascii="Times New Roman" w:hAnsi="Times New Roman" w:cs="Times New Roman"/>
          <w:i/>
          <w:iCs/>
        </w:rPr>
      </w:pPr>
      <w:r w:rsidRPr="000B1627">
        <w:rPr>
          <w:rFonts w:ascii="Times New Roman" w:hAnsi="Times New Roman" w:cs="Times New Roman"/>
          <w:i/>
          <w:iCs/>
        </w:rPr>
        <w:t xml:space="preserve">Systemic </w:t>
      </w:r>
      <w:r w:rsidR="000F6A18" w:rsidRPr="000B1627">
        <w:rPr>
          <w:rFonts w:ascii="Times New Roman" w:hAnsi="Times New Roman" w:cs="Times New Roman"/>
          <w:i/>
          <w:iCs/>
        </w:rPr>
        <w:t>Repression</w:t>
      </w:r>
      <w:r w:rsidR="00CB2D92" w:rsidRPr="000B1627">
        <w:rPr>
          <w:rFonts w:ascii="Times New Roman" w:hAnsi="Times New Roman" w:cs="Times New Roman"/>
          <w:i/>
          <w:iCs/>
        </w:rPr>
        <w:t xml:space="preserve"> of </w:t>
      </w:r>
      <w:r w:rsidRPr="000B1627">
        <w:rPr>
          <w:rFonts w:ascii="Times New Roman" w:hAnsi="Times New Roman" w:cs="Times New Roman"/>
          <w:i/>
          <w:iCs/>
        </w:rPr>
        <w:t>Pro-</w:t>
      </w:r>
      <w:r w:rsidR="00CB2D92" w:rsidRPr="000B1627">
        <w:rPr>
          <w:rFonts w:ascii="Times New Roman" w:hAnsi="Times New Roman" w:cs="Times New Roman"/>
          <w:i/>
          <w:iCs/>
        </w:rPr>
        <w:t>Kurdish</w:t>
      </w:r>
      <w:r w:rsidRPr="000B1627">
        <w:rPr>
          <w:rFonts w:ascii="Times New Roman" w:hAnsi="Times New Roman" w:cs="Times New Roman"/>
          <w:i/>
          <w:iCs/>
        </w:rPr>
        <w:t xml:space="preserve"> </w:t>
      </w:r>
      <w:r w:rsidR="00CB2D92" w:rsidRPr="000B1627">
        <w:rPr>
          <w:rFonts w:ascii="Times New Roman" w:hAnsi="Times New Roman" w:cs="Times New Roman"/>
          <w:i/>
          <w:iCs/>
        </w:rPr>
        <w:t>Political Parties</w:t>
      </w:r>
      <w:r w:rsidR="000D5E51" w:rsidRPr="000B1627">
        <w:rPr>
          <w:rFonts w:ascii="Times New Roman" w:hAnsi="Times New Roman" w:cs="Times New Roman"/>
          <w:i/>
          <w:iCs/>
        </w:rPr>
        <w:t xml:space="preserve"> and</w:t>
      </w:r>
      <w:r w:rsidRPr="000B1627">
        <w:rPr>
          <w:rFonts w:ascii="Times New Roman" w:hAnsi="Times New Roman" w:cs="Times New Roman"/>
          <w:i/>
          <w:iCs/>
        </w:rPr>
        <w:t xml:space="preserve"> Politicians</w:t>
      </w:r>
      <w:r w:rsidR="00CB2D92" w:rsidRPr="000B1627">
        <w:rPr>
          <w:rFonts w:ascii="Times New Roman" w:hAnsi="Times New Roman" w:cs="Times New Roman"/>
          <w:i/>
          <w:iCs/>
        </w:rPr>
        <w:t xml:space="preserve"> </w:t>
      </w:r>
    </w:p>
    <w:p w14:paraId="7FE2DB31" w14:textId="77777777" w:rsidR="00CB2D92" w:rsidRPr="000B1627" w:rsidRDefault="00CB2D92" w:rsidP="00D57ADA">
      <w:pPr>
        <w:pStyle w:val="ListParagraph"/>
        <w:ind w:left="0"/>
        <w:jc w:val="both"/>
        <w:rPr>
          <w:rFonts w:ascii="Times New Roman" w:hAnsi="Times New Roman" w:cs="Times New Roman"/>
        </w:rPr>
      </w:pPr>
    </w:p>
    <w:p w14:paraId="3CFFD2B3" w14:textId="2AD44211" w:rsidR="00913048" w:rsidRPr="000B1627" w:rsidRDefault="00913048" w:rsidP="00D57ADA">
      <w:pPr>
        <w:pStyle w:val="ListParagraph"/>
        <w:numPr>
          <w:ilvl w:val="0"/>
          <w:numId w:val="1"/>
        </w:numPr>
        <w:ind w:left="0"/>
        <w:jc w:val="both"/>
        <w:rPr>
          <w:rFonts w:ascii="Times New Roman" w:hAnsi="Times New Roman" w:cs="Times New Roman"/>
        </w:rPr>
      </w:pPr>
      <w:r w:rsidRPr="000B1627">
        <w:rPr>
          <w:rFonts w:ascii="Times New Roman" w:hAnsi="Times New Roman" w:cs="Times New Roman"/>
        </w:rPr>
        <w:t>Article 12 of the Law on Political Parties prohibits discrimination based on language or race,</w:t>
      </w:r>
      <w:r w:rsidRPr="000B1627">
        <w:rPr>
          <w:rStyle w:val="FootnoteReference"/>
          <w:rFonts w:ascii="Times New Roman" w:hAnsi="Times New Roman" w:cs="Times New Roman"/>
        </w:rPr>
        <w:footnoteReference w:id="54"/>
      </w:r>
      <w:r w:rsidR="00BE4A06" w:rsidRPr="000B1627">
        <w:rPr>
          <w:rFonts w:ascii="Times New Roman" w:hAnsi="Times New Roman" w:cs="Times New Roman"/>
        </w:rPr>
        <w:t xml:space="preserve"> </w:t>
      </w:r>
      <w:r w:rsidRPr="000B1627">
        <w:rPr>
          <w:rFonts w:ascii="Times New Roman" w:hAnsi="Times New Roman" w:cs="Times New Roman"/>
        </w:rPr>
        <w:t xml:space="preserve">yet </w:t>
      </w:r>
      <w:r w:rsidR="00B5640D" w:rsidRPr="000B1627">
        <w:rPr>
          <w:rFonts w:ascii="Times New Roman" w:hAnsi="Times New Roman" w:cs="Times New Roman"/>
        </w:rPr>
        <w:t>p</w:t>
      </w:r>
      <w:r w:rsidR="003D2096" w:rsidRPr="000B1627">
        <w:rPr>
          <w:rFonts w:ascii="Times New Roman" w:hAnsi="Times New Roman" w:cs="Times New Roman"/>
        </w:rPr>
        <w:t xml:space="preserve">ro-Kurdish and minority rights </w:t>
      </w:r>
      <w:r w:rsidRPr="000B1627">
        <w:rPr>
          <w:rFonts w:ascii="Times New Roman" w:hAnsi="Times New Roman" w:cs="Times New Roman"/>
        </w:rPr>
        <w:t xml:space="preserve">political </w:t>
      </w:r>
      <w:r w:rsidR="00BE4A06" w:rsidRPr="000B1627">
        <w:rPr>
          <w:rFonts w:ascii="Times New Roman" w:hAnsi="Times New Roman" w:cs="Times New Roman"/>
        </w:rPr>
        <w:t xml:space="preserve">parties, </w:t>
      </w:r>
      <w:r w:rsidR="003D2096" w:rsidRPr="000B1627">
        <w:rPr>
          <w:rFonts w:ascii="Times New Roman" w:hAnsi="Times New Roman" w:cs="Times New Roman"/>
        </w:rPr>
        <w:t xml:space="preserve">their politicians, as well as </w:t>
      </w:r>
      <w:r w:rsidR="00BE4A06" w:rsidRPr="000B1627">
        <w:rPr>
          <w:rFonts w:ascii="Times New Roman" w:hAnsi="Times New Roman" w:cs="Times New Roman"/>
        </w:rPr>
        <w:t>NGOs, lawyers, journalists and human rights defenders</w:t>
      </w:r>
      <w:r w:rsidRPr="000B1627">
        <w:rPr>
          <w:rFonts w:ascii="Times New Roman" w:hAnsi="Times New Roman" w:cs="Times New Roman"/>
        </w:rPr>
        <w:t xml:space="preserve"> have been systematically targeted and criminalized, often under vague allegations of </w:t>
      </w:r>
      <w:r w:rsidR="00ED4D50" w:rsidRPr="000B1627">
        <w:rPr>
          <w:rFonts w:ascii="Times New Roman" w:hAnsi="Times New Roman" w:cs="Times New Roman"/>
        </w:rPr>
        <w:t>‘</w:t>
      </w:r>
      <w:r w:rsidRPr="000B1627">
        <w:rPr>
          <w:rFonts w:ascii="Times New Roman" w:hAnsi="Times New Roman" w:cs="Times New Roman"/>
        </w:rPr>
        <w:t>terrorism</w:t>
      </w:r>
      <w:r w:rsidR="00ED4D50" w:rsidRPr="000B1627">
        <w:rPr>
          <w:rFonts w:ascii="Times New Roman" w:hAnsi="Times New Roman" w:cs="Times New Roman"/>
        </w:rPr>
        <w:t>’</w:t>
      </w:r>
      <w:r w:rsidRPr="000B1627">
        <w:rPr>
          <w:rFonts w:ascii="Times New Roman" w:hAnsi="Times New Roman" w:cs="Times New Roman"/>
        </w:rPr>
        <w:t xml:space="preserve">. Over time, </w:t>
      </w:r>
      <w:r w:rsidR="00BA4FD9" w:rsidRPr="000B1627">
        <w:rPr>
          <w:rFonts w:ascii="Times New Roman" w:hAnsi="Times New Roman" w:cs="Times New Roman"/>
        </w:rPr>
        <w:t>these</w:t>
      </w:r>
      <w:r w:rsidRPr="000B1627">
        <w:rPr>
          <w:rFonts w:ascii="Times New Roman" w:hAnsi="Times New Roman" w:cs="Times New Roman"/>
        </w:rPr>
        <w:t xml:space="preserve"> political </w:t>
      </w:r>
      <w:r w:rsidR="00BA4FD9" w:rsidRPr="000B1627">
        <w:rPr>
          <w:rFonts w:ascii="Times New Roman" w:hAnsi="Times New Roman" w:cs="Times New Roman"/>
        </w:rPr>
        <w:t xml:space="preserve">parties </w:t>
      </w:r>
      <w:r w:rsidRPr="000B1627">
        <w:rPr>
          <w:rFonts w:ascii="Times New Roman" w:hAnsi="Times New Roman" w:cs="Times New Roman"/>
        </w:rPr>
        <w:t>have faced legal challenges and shutdowns, with authorities citing national security and territorial integrity concerns. The legal framework, particularly Articles 78, 82, and 83</w:t>
      </w:r>
      <w:r w:rsidR="00072AAF" w:rsidRPr="000B1627">
        <w:rPr>
          <w:rFonts w:ascii="Times New Roman" w:hAnsi="Times New Roman" w:cs="Times New Roman"/>
        </w:rPr>
        <w:t xml:space="preserve"> of the Law on Political Parties</w:t>
      </w:r>
      <w:r w:rsidRPr="000B1627">
        <w:rPr>
          <w:rFonts w:ascii="Times New Roman" w:hAnsi="Times New Roman" w:cs="Times New Roman"/>
        </w:rPr>
        <w:t>, which prohibit regionalism and ethnic-based state orders, has frequently been invoked to justify these actions. Such measures disregard the legitimate political grievances and democratic representation of the Kurdish population</w:t>
      </w:r>
      <w:r w:rsidR="00072AAF" w:rsidRPr="000B1627">
        <w:rPr>
          <w:rFonts w:ascii="Times New Roman" w:hAnsi="Times New Roman" w:cs="Times New Roman"/>
        </w:rPr>
        <w:t xml:space="preserve"> and other minorities</w:t>
      </w:r>
      <w:r w:rsidRPr="000B1627">
        <w:rPr>
          <w:rFonts w:ascii="Times New Roman" w:hAnsi="Times New Roman" w:cs="Times New Roman"/>
        </w:rPr>
        <w:t>, raising concerns about the state's commitment to political pluralism and equality.</w:t>
      </w:r>
    </w:p>
    <w:p w14:paraId="3D42E615" w14:textId="77777777" w:rsidR="00913048" w:rsidRPr="000B1627" w:rsidRDefault="00913048" w:rsidP="00D57ADA">
      <w:pPr>
        <w:pStyle w:val="ListParagraph"/>
        <w:ind w:left="0"/>
        <w:jc w:val="both"/>
        <w:rPr>
          <w:rFonts w:ascii="Times New Roman" w:hAnsi="Times New Roman" w:cs="Times New Roman"/>
        </w:rPr>
      </w:pPr>
    </w:p>
    <w:p w14:paraId="4A81914A" w14:textId="49C146EE" w:rsidR="00CB2D92" w:rsidRPr="000B1627" w:rsidRDefault="005C2582" w:rsidP="00D57ADA">
      <w:pPr>
        <w:pStyle w:val="ListParagraph"/>
        <w:numPr>
          <w:ilvl w:val="0"/>
          <w:numId w:val="1"/>
        </w:numPr>
        <w:ind w:left="0"/>
        <w:jc w:val="both"/>
        <w:rPr>
          <w:rFonts w:ascii="Times New Roman" w:hAnsi="Times New Roman" w:cs="Times New Roman"/>
        </w:rPr>
      </w:pPr>
      <w:r w:rsidRPr="000B1627">
        <w:rPr>
          <w:rFonts w:ascii="Times New Roman" w:hAnsi="Times New Roman" w:cs="Times New Roman"/>
        </w:rPr>
        <w:t>The People’s Democratic Party (</w:t>
      </w:r>
      <w:r w:rsidR="00ED4D50" w:rsidRPr="000B1627">
        <w:rPr>
          <w:rFonts w:ascii="Times New Roman" w:hAnsi="Times New Roman" w:cs="Times New Roman"/>
        </w:rPr>
        <w:t xml:space="preserve">“the </w:t>
      </w:r>
      <w:r w:rsidRPr="000B1627">
        <w:rPr>
          <w:rFonts w:ascii="Times New Roman" w:hAnsi="Times New Roman" w:cs="Times New Roman"/>
        </w:rPr>
        <w:t>HDP</w:t>
      </w:r>
      <w:r w:rsidR="00ED4D50" w:rsidRPr="000B1627">
        <w:rPr>
          <w:rFonts w:ascii="Times New Roman" w:hAnsi="Times New Roman" w:cs="Times New Roman"/>
        </w:rPr>
        <w:t>”</w:t>
      </w:r>
      <w:r w:rsidRPr="000B1627">
        <w:rPr>
          <w:rFonts w:ascii="Times New Roman" w:hAnsi="Times New Roman" w:cs="Times New Roman"/>
        </w:rPr>
        <w:t xml:space="preserve">), the most prominent pro-Kurdish </w:t>
      </w:r>
      <w:r w:rsidR="00072AAF" w:rsidRPr="000B1627">
        <w:rPr>
          <w:rFonts w:ascii="Times New Roman" w:hAnsi="Times New Roman" w:cs="Times New Roman"/>
        </w:rPr>
        <w:t xml:space="preserve">political </w:t>
      </w:r>
      <w:r w:rsidRPr="000B1627">
        <w:rPr>
          <w:rFonts w:ascii="Times New Roman" w:hAnsi="Times New Roman" w:cs="Times New Roman"/>
        </w:rPr>
        <w:t>party today, has been repeatedly targeted by the government. The HDP, founded in 2012, is regularly accused of having links to PKK</w:t>
      </w:r>
      <w:r w:rsidR="00BE4A06" w:rsidRPr="000B1627">
        <w:rPr>
          <w:rFonts w:ascii="Times New Roman" w:hAnsi="Times New Roman" w:cs="Times New Roman"/>
        </w:rPr>
        <w:t xml:space="preserve">. </w:t>
      </w:r>
      <w:r w:rsidRPr="000B1627">
        <w:rPr>
          <w:rFonts w:ascii="Times New Roman" w:hAnsi="Times New Roman" w:cs="Times New Roman"/>
        </w:rPr>
        <w:t>This accusation has led to several efforts to shut down the party</w:t>
      </w:r>
      <w:r w:rsidR="00951581" w:rsidRPr="000B1627">
        <w:rPr>
          <w:rFonts w:ascii="Times New Roman" w:hAnsi="Times New Roman" w:cs="Times New Roman"/>
        </w:rPr>
        <w:t xml:space="preserve">, </w:t>
      </w:r>
      <w:r w:rsidR="007F6CC2" w:rsidRPr="000B1627">
        <w:rPr>
          <w:rFonts w:ascii="Times New Roman" w:hAnsi="Times New Roman" w:cs="Times New Roman"/>
        </w:rPr>
        <w:t>with one case currently</w:t>
      </w:r>
      <w:r w:rsidR="00951581" w:rsidRPr="000B1627">
        <w:rPr>
          <w:rFonts w:ascii="Times New Roman" w:hAnsi="Times New Roman" w:cs="Times New Roman"/>
        </w:rPr>
        <w:t xml:space="preserve"> pending before the Constitutional Court</w:t>
      </w:r>
      <w:r w:rsidRPr="000B1627">
        <w:rPr>
          <w:rFonts w:ascii="Times New Roman" w:hAnsi="Times New Roman" w:cs="Times New Roman"/>
        </w:rPr>
        <w:t xml:space="preserve">. More than 10,000 HDP members and executives have been arrested since 2016, and many municipalities won by the HDP </w:t>
      </w:r>
      <w:r w:rsidR="001349E5" w:rsidRPr="000B1627">
        <w:rPr>
          <w:rFonts w:ascii="Times New Roman" w:hAnsi="Times New Roman" w:cs="Times New Roman"/>
        </w:rPr>
        <w:t xml:space="preserve">in local elections </w:t>
      </w:r>
      <w:r w:rsidRPr="000B1627">
        <w:rPr>
          <w:rFonts w:ascii="Times New Roman" w:hAnsi="Times New Roman" w:cs="Times New Roman"/>
        </w:rPr>
        <w:t xml:space="preserve">have had their elected officials replaced with government-appointed trustees, further eroding Kurdish political representation. </w:t>
      </w:r>
      <w:r w:rsidRPr="000B1627">
        <w:rPr>
          <w:rStyle w:val="FootnoteReference"/>
          <w:rFonts w:ascii="Times New Roman" w:hAnsi="Times New Roman" w:cs="Times New Roman"/>
        </w:rPr>
        <w:footnoteReference w:id="55"/>
      </w:r>
    </w:p>
    <w:p w14:paraId="67AF9FAB" w14:textId="77777777" w:rsidR="00CB2D92" w:rsidRPr="000B1627" w:rsidRDefault="00CB2D92" w:rsidP="00D57ADA">
      <w:pPr>
        <w:pStyle w:val="ListParagraph"/>
        <w:ind w:left="0"/>
        <w:jc w:val="both"/>
        <w:rPr>
          <w:rFonts w:ascii="Times New Roman" w:hAnsi="Times New Roman" w:cs="Times New Roman"/>
        </w:rPr>
      </w:pPr>
    </w:p>
    <w:p w14:paraId="578D5084" w14:textId="77777777" w:rsidR="00386F3B" w:rsidRPr="000B1627" w:rsidRDefault="00CB2D92" w:rsidP="00D57ADA">
      <w:pPr>
        <w:pStyle w:val="ListParagraph"/>
        <w:numPr>
          <w:ilvl w:val="0"/>
          <w:numId w:val="1"/>
        </w:numPr>
        <w:ind w:left="0"/>
        <w:jc w:val="both"/>
        <w:rPr>
          <w:rFonts w:ascii="Times New Roman" w:hAnsi="Times New Roman" w:cs="Times New Roman"/>
        </w:rPr>
      </w:pPr>
      <w:r w:rsidRPr="000B1627">
        <w:rPr>
          <w:rFonts w:ascii="Times New Roman" w:hAnsi="Times New Roman" w:cs="Times New Roman"/>
        </w:rPr>
        <w:lastRenderedPageBreak/>
        <w:t>This practice of removing elected Kurdish officials and replacing them with appointed trustees undermines the principle of equality before the law. It disproportionately affects Kurdish-majority regions, effectively disenfranchising the Kurdish population and violating their political rights under Article 25 of the ICCPR.</w:t>
      </w:r>
    </w:p>
    <w:p w14:paraId="6356B948" w14:textId="77777777" w:rsidR="00386F3B" w:rsidRPr="000B1627" w:rsidRDefault="00386F3B" w:rsidP="00D57ADA">
      <w:pPr>
        <w:pStyle w:val="ListParagraph"/>
        <w:ind w:left="0"/>
        <w:jc w:val="both"/>
        <w:rPr>
          <w:rFonts w:ascii="Times New Roman" w:eastAsia="Times New Roman" w:hAnsi="Times New Roman" w:cs="Times New Roman"/>
          <w:lang w:eastAsia="en-GB"/>
        </w:rPr>
      </w:pPr>
    </w:p>
    <w:p w14:paraId="110EFD7D" w14:textId="16CAF586" w:rsidR="001E1666" w:rsidRPr="000B1627" w:rsidRDefault="00386F3B" w:rsidP="00D57ADA">
      <w:pPr>
        <w:pStyle w:val="ListParagraph"/>
        <w:numPr>
          <w:ilvl w:val="0"/>
          <w:numId w:val="1"/>
        </w:numPr>
        <w:ind w:left="0"/>
        <w:jc w:val="both"/>
        <w:rPr>
          <w:rFonts w:ascii="Times New Roman" w:hAnsi="Times New Roman" w:cs="Times New Roman"/>
        </w:rPr>
      </w:pPr>
      <w:r w:rsidRPr="000B1627">
        <w:rPr>
          <w:rFonts w:ascii="Times New Roman" w:eastAsia="Times New Roman" w:hAnsi="Times New Roman" w:cs="Times New Roman"/>
          <w:lang w:eastAsia="en-GB"/>
        </w:rPr>
        <w:t>The repeated shutdown of Kurdish political parties</w:t>
      </w:r>
      <w:r w:rsidR="001A1582" w:rsidRPr="000B1627">
        <w:rPr>
          <w:rFonts w:ascii="Times New Roman" w:eastAsia="Times New Roman" w:hAnsi="Times New Roman" w:cs="Times New Roman"/>
          <w:lang w:eastAsia="en-GB"/>
        </w:rPr>
        <w:t>, including</w:t>
      </w:r>
      <w:r w:rsidR="00E509E3" w:rsidRPr="000B1627">
        <w:rPr>
          <w:rFonts w:ascii="Times New Roman" w:eastAsia="Times New Roman" w:hAnsi="Times New Roman" w:cs="Times New Roman"/>
          <w:lang w:eastAsia="en-GB"/>
        </w:rPr>
        <w:t xml:space="preserve"> the pending </w:t>
      </w:r>
      <w:r w:rsidR="004E4388" w:rsidRPr="000B1627">
        <w:rPr>
          <w:rFonts w:ascii="Times New Roman" w:eastAsia="Times New Roman" w:hAnsi="Times New Roman" w:cs="Times New Roman"/>
          <w:lang w:eastAsia="en-GB"/>
        </w:rPr>
        <w:t>case before the Constitutional C</w:t>
      </w:r>
      <w:r w:rsidR="001A1582" w:rsidRPr="000B1627">
        <w:rPr>
          <w:rFonts w:ascii="Times New Roman" w:eastAsia="Times New Roman" w:hAnsi="Times New Roman" w:cs="Times New Roman"/>
          <w:lang w:eastAsia="en-GB"/>
        </w:rPr>
        <w:t>ourt</w:t>
      </w:r>
      <w:r w:rsidR="004E4388" w:rsidRPr="000B1627">
        <w:rPr>
          <w:rFonts w:ascii="Times New Roman" w:eastAsia="Times New Roman" w:hAnsi="Times New Roman" w:cs="Times New Roman"/>
          <w:lang w:eastAsia="en-GB"/>
        </w:rPr>
        <w:t xml:space="preserve"> </w:t>
      </w:r>
      <w:r w:rsidR="001A1582" w:rsidRPr="000B1627">
        <w:rPr>
          <w:rFonts w:ascii="Times New Roman" w:eastAsia="Times New Roman" w:hAnsi="Times New Roman" w:cs="Times New Roman"/>
          <w:lang w:eastAsia="en-GB"/>
        </w:rPr>
        <w:t xml:space="preserve">seeking </w:t>
      </w:r>
      <w:r w:rsidR="00A62A72" w:rsidRPr="000B1627">
        <w:rPr>
          <w:rFonts w:ascii="Times New Roman" w:eastAsia="Times New Roman" w:hAnsi="Times New Roman" w:cs="Times New Roman"/>
          <w:lang w:eastAsia="en-GB"/>
        </w:rPr>
        <w:t xml:space="preserve">the dissolution of the </w:t>
      </w:r>
      <w:r w:rsidR="004E4388" w:rsidRPr="000B1627">
        <w:rPr>
          <w:rFonts w:ascii="Times New Roman" w:eastAsia="Times New Roman" w:hAnsi="Times New Roman" w:cs="Times New Roman"/>
          <w:lang w:eastAsia="en-GB"/>
        </w:rPr>
        <w:t>HDP</w:t>
      </w:r>
      <w:r w:rsidRPr="000B1627">
        <w:rPr>
          <w:rFonts w:ascii="Times New Roman" w:eastAsia="Times New Roman" w:hAnsi="Times New Roman" w:cs="Times New Roman"/>
          <w:lang w:eastAsia="en-GB"/>
        </w:rPr>
        <w:t xml:space="preserve"> under the pretext of preserving national unity reflects a pattern in which laws that were ostensibly designed to prohibit discrimination are instead being used to stifle political movements</w:t>
      </w:r>
      <w:r w:rsidR="007C3374" w:rsidRPr="000B1627">
        <w:rPr>
          <w:rFonts w:ascii="Times New Roman" w:eastAsia="Times New Roman" w:hAnsi="Times New Roman" w:cs="Times New Roman"/>
          <w:lang w:eastAsia="en-GB"/>
        </w:rPr>
        <w:t xml:space="preserve"> </w:t>
      </w:r>
      <w:r w:rsidR="004B3367" w:rsidRPr="000B1627">
        <w:rPr>
          <w:rFonts w:ascii="Times New Roman" w:eastAsia="Times New Roman" w:hAnsi="Times New Roman" w:cs="Times New Roman"/>
          <w:lang w:eastAsia="en-GB"/>
        </w:rPr>
        <w:t>advocating for K</w:t>
      </w:r>
      <w:r w:rsidR="007C3374" w:rsidRPr="000B1627">
        <w:rPr>
          <w:rFonts w:ascii="Times New Roman" w:eastAsia="Times New Roman" w:hAnsi="Times New Roman" w:cs="Times New Roman"/>
          <w:lang w:eastAsia="en-GB"/>
        </w:rPr>
        <w:t>urdish and minority rights</w:t>
      </w:r>
      <w:r w:rsidRPr="000B1627">
        <w:rPr>
          <w:rFonts w:ascii="Times New Roman" w:eastAsia="Times New Roman" w:hAnsi="Times New Roman" w:cs="Times New Roman"/>
          <w:lang w:eastAsia="en-GB"/>
        </w:rPr>
        <w:t>. Although the legal framework prohibits ethnic discrimination, the state's use of anti-terrorism laws and other legal mechanisms to target Kurdish parties and politicians undermines these protections. The result is a political landscape in which Kurdish voices are systematically excluded, reinforcing systemic discrimination and violating international human rights standards</w:t>
      </w:r>
      <w:r w:rsidR="004B3367" w:rsidRPr="000B1627">
        <w:rPr>
          <w:rFonts w:ascii="Times New Roman" w:eastAsia="Times New Roman" w:hAnsi="Times New Roman" w:cs="Times New Roman"/>
          <w:lang w:eastAsia="en-GB"/>
        </w:rPr>
        <w:t>.</w:t>
      </w:r>
    </w:p>
    <w:p w14:paraId="071F6155" w14:textId="77777777" w:rsidR="00386F3B" w:rsidRPr="000B1627" w:rsidRDefault="00386F3B" w:rsidP="00D57ADA">
      <w:pPr>
        <w:pStyle w:val="ListParagraph"/>
        <w:ind w:left="0"/>
        <w:jc w:val="both"/>
        <w:rPr>
          <w:rFonts w:ascii="Times New Roman" w:hAnsi="Times New Roman" w:cs="Times New Roman"/>
        </w:rPr>
      </w:pPr>
    </w:p>
    <w:p w14:paraId="59E5A0D7" w14:textId="0339E016" w:rsidR="00386F3B" w:rsidRPr="000B1627" w:rsidRDefault="00386F3B" w:rsidP="00E66520">
      <w:pPr>
        <w:pStyle w:val="ListParagraph"/>
        <w:numPr>
          <w:ilvl w:val="0"/>
          <w:numId w:val="7"/>
        </w:numPr>
        <w:tabs>
          <w:tab w:val="left" w:pos="426"/>
          <w:tab w:val="left" w:pos="851"/>
        </w:tabs>
        <w:ind w:left="0" w:firstLine="567"/>
        <w:jc w:val="both"/>
        <w:rPr>
          <w:rFonts w:ascii="Times New Roman" w:hAnsi="Times New Roman" w:cs="Times New Roman"/>
          <w:i/>
          <w:iCs/>
        </w:rPr>
      </w:pPr>
      <w:r w:rsidRPr="000B1627">
        <w:rPr>
          <w:rFonts w:ascii="Times New Roman" w:hAnsi="Times New Roman" w:cs="Times New Roman"/>
          <w:i/>
          <w:iCs/>
        </w:rPr>
        <w:t xml:space="preserve">Failure to </w:t>
      </w:r>
      <w:r w:rsidR="00673A6D" w:rsidRPr="000B1627">
        <w:rPr>
          <w:rFonts w:ascii="Times New Roman" w:hAnsi="Times New Roman" w:cs="Times New Roman"/>
          <w:i/>
          <w:iCs/>
        </w:rPr>
        <w:t>A</w:t>
      </w:r>
      <w:r w:rsidRPr="000B1627">
        <w:rPr>
          <w:rFonts w:ascii="Times New Roman" w:hAnsi="Times New Roman" w:cs="Times New Roman"/>
          <w:i/>
          <w:iCs/>
        </w:rPr>
        <w:t>ddress Hate Crimes</w:t>
      </w:r>
    </w:p>
    <w:p w14:paraId="59584354" w14:textId="77777777" w:rsidR="00E65314" w:rsidRPr="000B1627" w:rsidRDefault="00E65314" w:rsidP="00D57ADA">
      <w:pPr>
        <w:pStyle w:val="ListParagraph"/>
        <w:ind w:left="0"/>
        <w:jc w:val="both"/>
        <w:rPr>
          <w:rFonts w:ascii="Times New Roman" w:hAnsi="Times New Roman" w:cs="Times New Roman"/>
        </w:rPr>
      </w:pPr>
    </w:p>
    <w:p w14:paraId="2A1BC495" w14:textId="5E566DA1" w:rsidR="000D3BE3" w:rsidRPr="000B1627" w:rsidRDefault="00386F3B" w:rsidP="00D57ADA">
      <w:pPr>
        <w:pStyle w:val="ListParagraph"/>
        <w:numPr>
          <w:ilvl w:val="0"/>
          <w:numId w:val="1"/>
        </w:numPr>
        <w:ind w:left="0"/>
        <w:jc w:val="both"/>
        <w:rPr>
          <w:rFonts w:ascii="Times New Roman" w:hAnsi="Times New Roman" w:cs="Times New Roman"/>
        </w:rPr>
      </w:pPr>
      <w:r w:rsidRPr="000B1627">
        <w:rPr>
          <w:rFonts w:ascii="Times New Roman" w:hAnsi="Times New Roman" w:cs="Times New Roman"/>
        </w:rPr>
        <w:t xml:space="preserve">Despite the existence of Article 122 of the Turkish Penal Code, which criminalizes hate speech and acts of discrimination, hate crimes and attacks against </w:t>
      </w:r>
      <w:r w:rsidR="003567B4" w:rsidRPr="000B1627">
        <w:rPr>
          <w:rFonts w:ascii="Times New Roman" w:hAnsi="Times New Roman" w:cs="Times New Roman"/>
        </w:rPr>
        <w:t xml:space="preserve">minorities, including </w:t>
      </w:r>
      <w:r w:rsidRPr="000B1627">
        <w:rPr>
          <w:rFonts w:ascii="Times New Roman" w:hAnsi="Times New Roman" w:cs="Times New Roman"/>
        </w:rPr>
        <w:t xml:space="preserve">Kurds, particularly in the media and public discourse, are rarely prosecuted. </w:t>
      </w:r>
      <w:r w:rsidR="00D915D7" w:rsidRPr="000B1627">
        <w:rPr>
          <w:rFonts w:ascii="Times New Roman" w:hAnsi="Times New Roman" w:cs="Times New Roman"/>
        </w:rPr>
        <w:t xml:space="preserve">Activists and politicians advocating for </w:t>
      </w:r>
      <w:r w:rsidRPr="000B1627">
        <w:rPr>
          <w:rFonts w:ascii="Times New Roman" w:hAnsi="Times New Roman" w:cs="Times New Roman"/>
        </w:rPr>
        <w:t xml:space="preserve">Kurdish </w:t>
      </w:r>
      <w:r w:rsidR="00D915D7" w:rsidRPr="000B1627">
        <w:rPr>
          <w:rFonts w:ascii="Times New Roman" w:hAnsi="Times New Roman" w:cs="Times New Roman"/>
        </w:rPr>
        <w:t>rights</w:t>
      </w:r>
      <w:r w:rsidRPr="000B1627">
        <w:rPr>
          <w:rFonts w:ascii="Times New Roman" w:hAnsi="Times New Roman" w:cs="Times New Roman"/>
        </w:rPr>
        <w:t xml:space="preserve"> frequently face racist and derogatory language, but the state has done little to combat this form of discrimination. Moreover, violent attacks against Kurds, especially during periods of heightened political tension, are often met with impunity. The failure to effectively investigate and prosecute hate crimes against Kurds highlights the limitations of </w:t>
      </w:r>
      <w:r w:rsidR="00D57ADA" w:rsidRPr="000B1627">
        <w:rPr>
          <w:rFonts w:ascii="Times New Roman" w:hAnsi="Times New Roman" w:cs="Times New Roman"/>
        </w:rPr>
        <w:t>Türkiye</w:t>
      </w:r>
      <w:r w:rsidRPr="000B1627">
        <w:rPr>
          <w:rFonts w:ascii="Times New Roman" w:hAnsi="Times New Roman" w:cs="Times New Roman"/>
        </w:rPr>
        <w:t>’s anti-discrimination laws.</w:t>
      </w:r>
    </w:p>
    <w:p w14:paraId="06516485" w14:textId="77777777" w:rsidR="001E1666" w:rsidRPr="000B1627" w:rsidRDefault="001E1666" w:rsidP="00D57ADA"/>
    <w:p w14:paraId="7B89F45D" w14:textId="5ABA4CEA" w:rsidR="00774C25" w:rsidRPr="000B1627" w:rsidRDefault="000D3BE3" w:rsidP="00D57ADA">
      <w:pPr>
        <w:pStyle w:val="ListParagraph"/>
        <w:numPr>
          <w:ilvl w:val="0"/>
          <w:numId w:val="1"/>
        </w:numPr>
        <w:ind w:left="0"/>
        <w:jc w:val="both"/>
        <w:rPr>
          <w:rFonts w:ascii="Times New Roman" w:hAnsi="Times New Roman" w:cs="Times New Roman"/>
        </w:rPr>
      </w:pPr>
      <w:r w:rsidRPr="000B1627">
        <w:rPr>
          <w:rFonts w:ascii="Times New Roman" w:eastAsia="Times New Roman" w:hAnsi="Times New Roman" w:cs="Times New Roman"/>
          <w:lang w:eastAsia="en-GB"/>
        </w:rPr>
        <w:t>In 2018, K</w:t>
      </w:r>
      <w:r w:rsidR="0021610B" w:rsidRPr="000B1627">
        <w:rPr>
          <w:rFonts w:ascii="Times New Roman" w:eastAsia="Times New Roman" w:hAnsi="Times New Roman" w:cs="Times New Roman"/>
          <w:lang w:eastAsia="en-GB"/>
        </w:rPr>
        <w:t>.</w:t>
      </w:r>
      <w:r w:rsidRPr="000B1627">
        <w:rPr>
          <w:rFonts w:ascii="Times New Roman" w:eastAsia="Times New Roman" w:hAnsi="Times New Roman" w:cs="Times New Roman"/>
          <w:lang w:eastAsia="en-GB"/>
        </w:rPr>
        <w:t xml:space="preserve"> S</w:t>
      </w:r>
      <w:r w:rsidR="0021610B" w:rsidRPr="000B1627">
        <w:rPr>
          <w:rFonts w:ascii="Times New Roman" w:eastAsia="Times New Roman" w:hAnsi="Times New Roman" w:cs="Times New Roman"/>
          <w:lang w:eastAsia="en-GB"/>
        </w:rPr>
        <w:t>.</w:t>
      </w:r>
      <w:r w:rsidRPr="000B1627">
        <w:rPr>
          <w:rFonts w:ascii="Times New Roman" w:eastAsia="Times New Roman" w:hAnsi="Times New Roman" w:cs="Times New Roman"/>
          <w:lang w:eastAsia="en-GB"/>
        </w:rPr>
        <w:t xml:space="preserve">, a 43-year-old Kurd, was shot and killed in the Black Sea region simply for identifying as Kurdish. His 16-year-old son was seriously injured in the attack. Despite clear evidence of an anti-Kurdish motive, local authorities ruled out racism, </w:t>
      </w:r>
      <w:r w:rsidR="00F25408" w:rsidRPr="000B1627">
        <w:rPr>
          <w:rFonts w:ascii="Times New Roman" w:eastAsia="Times New Roman" w:hAnsi="Times New Roman" w:cs="Times New Roman"/>
          <w:lang w:eastAsia="en-GB"/>
        </w:rPr>
        <w:t>treating</w:t>
      </w:r>
      <w:r w:rsidRPr="000B1627">
        <w:rPr>
          <w:rFonts w:ascii="Times New Roman" w:eastAsia="Times New Roman" w:hAnsi="Times New Roman" w:cs="Times New Roman"/>
          <w:lang w:eastAsia="en-GB"/>
        </w:rPr>
        <w:t xml:space="preserve"> the incident as a regular murder case, with no acknowledgment of </w:t>
      </w:r>
      <w:r w:rsidR="003176BC" w:rsidRPr="000B1627">
        <w:rPr>
          <w:rFonts w:ascii="Times New Roman" w:eastAsia="Times New Roman" w:hAnsi="Times New Roman" w:cs="Times New Roman"/>
          <w:lang w:eastAsia="en-GB"/>
        </w:rPr>
        <w:t>its</w:t>
      </w:r>
      <w:r w:rsidRPr="000B1627">
        <w:rPr>
          <w:rFonts w:ascii="Times New Roman" w:eastAsia="Times New Roman" w:hAnsi="Times New Roman" w:cs="Times New Roman"/>
          <w:lang w:eastAsia="en-GB"/>
        </w:rPr>
        <w:t xml:space="preserve"> hate-driven nature.</w:t>
      </w:r>
      <w:r w:rsidRPr="000B1627">
        <w:rPr>
          <w:rStyle w:val="FootnoteReference"/>
          <w:rFonts w:ascii="Times New Roman" w:eastAsia="Times New Roman" w:hAnsi="Times New Roman" w:cs="Times New Roman"/>
          <w:lang w:eastAsia="en-GB"/>
        </w:rPr>
        <w:footnoteReference w:id="56"/>
      </w:r>
      <w:r w:rsidR="005C2582" w:rsidRPr="000B1627">
        <w:rPr>
          <w:rFonts w:ascii="Times New Roman" w:hAnsi="Times New Roman" w:cs="Times New Roman"/>
        </w:rPr>
        <w:t xml:space="preserve"> </w:t>
      </w:r>
      <w:r w:rsidRPr="000B1627">
        <w:rPr>
          <w:rFonts w:ascii="Times New Roman" w:hAnsi="Times New Roman" w:cs="Times New Roman"/>
        </w:rPr>
        <w:t>In another case from 2019, 74-year-old E</w:t>
      </w:r>
      <w:r w:rsidR="0021610B" w:rsidRPr="000B1627">
        <w:rPr>
          <w:rFonts w:ascii="Times New Roman" w:hAnsi="Times New Roman" w:cs="Times New Roman"/>
        </w:rPr>
        <w:t>.</w:t>
      </w:r>
      <w:r w:rsidRPr="000B1627">
        <w:rPr>
          <w:rFonts w:ascii="Times New Roman" w:hAnsi="Times New Roman" w:cs="Times New Roman"/>
        </w:rPr>
        <w:t xml:space="preserve"> Y</w:t>
      </w:r>
      <w:r w:rsidR="0021610B" w:rsidRPr="000B1627">
        <w:rPr>
          <w:rFonts w:ascii="Times New Roman" w:hAnsi="Times New Roman" w:cs="Times New Roman"/>
        </w:rPr>
        <w:t>.</w:t>
      </w:r>
      <w:r w:rsidRPr="000B1627">
        <w:rPr>
          <w:rFonts w:ascii="Times New Roman" w:hAnsi="Times New Roman" w:cs="Times New Roman"/>
        </w:rPr>
        <w:t xml:space="preserve"> was brutally attacked in a hospital for speaking Kurdish to his wife.</w:t>
      </w:r>
      <w:r w:rsidRPr="000B1627">
        <w:rPr>
          <w:rStyle w:val="FootnoteReference"/>
          <w:rFonts w:ascii="Times New Roman" w:hAnsi="Times New Roman" w:cs="Times New Roman"/>
        </w:rPr>
        <w:footnoteReference w:id="57"/>
      </w:r>
      <w:r w:rsidRPr="000B1627">
        <w:rPr>
          <w:rFonts w:ascii="Times New Roman" w:hAnsi="Times New Roman" w:cs="Times New Roman"/>
        </w:rPr>
        <w:t xml:space="preserve"> The authorities dismissed claims of racism, attributing the attack to the perpetrator's supposed psychological issues. The failure to release a police report further hindered any investigation into the hate crime. Human rights activists have criticized the state's reluctance to classify such incidents as ethnically motivated​.</w:t>
      </w:r>
      <w:r w:rsidR="00774C25" w:rsidRPr="000B1627">
        <w:rPr>
          <w:rStyle w:val="FootnoteReference"/>
          <w:rFonts w:ascii="Times New Roman" w:hAnsi="Times New Roman" w:cs="Times New Roman"/>
        </w:rPr>
        <w:footnoteReference w:id="58"/>
      </w:r>
      <w:r w:rsidRPr="000B1627">
        <w:rPr>
          <w:rFonts w:ascii="Times New Roman" w:hAnsi="Times New Roman" w:cs="Times New Roman"/>
        </w:rPr>
        <w:t xml:space="preserve"> </w:t>
      </w:r>
      <w:r w:rsidR="007C6D75" w:rsidRPr="000B1627">
        <w:rPr>
          <w:rFonts w:ascii="Times New Roman" w:hAnsi="Times New Roman" w:cs="Times New Roman"/>
        </w:rPr>
        <w:t>Most recently, L</w:t>
      </w:r>
      <w:r w:rsidR="00673B7A" w:rsidRPr="000B1627">
        <w:rPr>
          <w:rFonts w:ascii="Times New Roman" w:hAnsi="Times New Roman" w:cs="Times New Roman"/>
        </w:rPr>
        <w:t>.</w:t>
      </w:r>
      <w:r w:rsidR="007C6D75" w:rsidRPr="000B1627">
        <w:rPr>
          <w:rFonts w:ascii="Times New Roman" w:hAnsi="Times New Roman" w:cs="Times New Roman"/>
        </w:rPr>
        <w:t xml:space="preserve"> H</w:t>
      </w:r>
      <w:r w:rsidR="00673B7A" w:rsidRPr="000B1627">
        <w:rPr>
          <w:rFonts w:ascii="Times New Roman" w:hAnsi="Times New Roman" w:cs="Times New Roman"/>
        </w:rPr>
        <w:t>.</w:t>
      </w:r>
      <w:r w:rsidR="007C6D75" w:rsidRPr="000B1627">
        <w:rPr>
          <w:rFonts w:ascii="Times New Roman" w:hAnsi="Times New Roman" w:cs="Times New Roman"/>
        </w:rPr>
        <w:t>, a 45-year-old Kurdish businessman from Iraq, was killed in Istanbul by a group of 10-12 individuals because of speaking Kurdish on the phone.</w:t>
      </w:r>
      <w:r w:rsidR="00B37C81" w:rsidRPr="000B1627">
        <w:rPr>
          <w:rStyle w:val="FootnoteReference"/>
          <w:rFonts w:ascii="Times New Roman" w:hAnsi="Times New Roman" w:cs="Times New Roman"/>
        </w:rPr>
        <w:footnoteReference w:id="59"/>
      </w:r>
      <w:r w:rsidR="00B37C81" w:rsidRPr="000B1627">
        <w:rPr>
          <w:rFonts w:ascii="Times New Roman" w:hAnsi="Times New Roman" w:cs="Times New Roman"/>
        </w:rPr>
        <w:t xml:space="preserve"> </w:t>
      </w:r>
      <w:r w:rsidR="00386F3B" w:rsidRPr="000B1627">
        <w:rPr>
          <w:rFonts w:ascii="Times New Roman" w:hAnsi="Times New Roman" w:cs="Times New Roman"/>
        </w:rPr>
        <w:t xml:space="preserve">These cases demonstrate </w:t>
      </w:r>
      <w:r w:rsidR="00D57ADA" w:rsidRPr="000B1627">
        <w:rPr>
          <w:rFonts w:ascii="Times New Roman" w:hAnsi="Times New Roman" w:cs="Times New Roman"/>
        </w:rPr>
        <w:t>Türkiye</w:t>
      </w:r>
      <w:r w:rsidR="00386F3B" w:rsidRPr="000B1627">
        <w:rPr>
          <w:rFonts w:ascii="Times New Roman" w:hAnsi="Times New Roman" w:cs="Times New Roman"/>
        </w:rPr>
        <w:t>'s failure to address the rising violence and hate crimes directed towards Kurds and its inability to provide sufficient legal protection for Kurdish citizens</w:t>
      </w:r>
      <w:r w:rsidR="00774C25" w:rsidRPr="000B1627">
        <w:rPr>
          <w:rFonts w:ascii="Times New Roman" w:hAnsi="Times New Roman" w:cs="Times New Roman"/>
        </w:rPr>
        <w:t>.</w:t>
      </w:r>
    </w:p>
    <w:p w14:paraId="7670A0DF" w14:textId="77777777" w:rsidR="00774C25" w:rsidRPr="000B1627" w:rsidRDefault="00774C25" w:rsidP="00D57ADA"/>
    <w:p w14:paraId="59D88C69" w14:textId="59A796D7" w:rsidR="001E1666" w:rsidRPr="000B1627" w:rsidRDefault="00386F3B" w:rsidP="00E66520">
      <w:pPr>
        <w:pStyle w:val="ListParagraph"/>
        <w:numPr>
          <w:ilvl w:val="0"/>
          <w:numId w:val="7"/>
        </w:numPr>
        <w:rPr>
          <w:rFonts w:ascii="Times New Roman" w:hAnsi="Times New Roman" w:cs="Times New Roman"/>
          <w:i/>
          <w:iCs/>
        </w:rPr>
      </w:pPr>
      <w:r w:rsidRPr="000B1627">
        <w:rPr>
          <w:rFonts w:ascii="Times New Roman" w:hAnsi="Times New Roman" w:cs="Times New Roman"/>
          <w:i/>
          <w:iCs/>
        </w:rPr>
        <w:t>Barriers to Linguistic and Cultural Rights</w:t>
      </w:r>
    </w:p>
    <w:p w14:paraId="53DF519D" w14:textId="77777777" w:rsidR="00232588" w:rsidRPr="000B1627" w:rsidRDefault="00232588" w:rsidP="00E66520">
      <w:pPr>
        <w:pStyle w:val="ListParagraph"/>
        <w:rPr>
          <w:rFonts w:ascii="Times New Roman" w:hAnsi="Times New Roman" w:cs="Times New Roman"/>
          <w:i/>
          <w:iCs/>
        </w:rPr>
      </w:pPr>
    </w:p>
    <w:p w14:paraId="638F8CA8" w14:textId="129925AC" w:rsidR="001E1666" w:rsidRPr="000B1627" w:rsidRDefault="00FF38C0"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lastRenderedPageBreak/>
        <w:t xml:space="preserve">While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’s legal framework claims to safeguard non-discrimination in public services and education, Kurdish people continue to face significant barriers in exercising their cultural and linguistic rights, in direct contravention to Article 27 of the </w:t>
      </w:r>
      <w:r w:rsidR="00AF1623" w:rsidRPr="000B1627">
        <w:rPr>
          <w:rFonts w:ascii="Times New Roman" w:eastAsia="Times New Roman" w:hAnsi="Times New Roman" w:cs="Times New Roman"/>
          <w:lang w:eastAsia="en-GB"/>
        </w:rPr>
        <w:t>I</w:t>
      </w:r>
      <w:r w:rsidRPr="000B1627">
        <w:rPr>
          <w:rFonts w:ascii="Times New Roman" w:eastAsia="Times New Roman" w:hAnsi="Times New Roman" w:cs="Times New Roman"/>
          <w:lang w:eastAsia="en-GB"/>
        </w:rPr>
        <w:t>CCPR, which guarantees minority groups the right to enjoy their culture, practice their language, and participate in their community life without interference.</w:t>
      </w:r>
    </w:p>
    <w:p w14:paraId="1513F42F" w14:textId="77777777" w:rsidR="00386F3B" w:rsidRPr="000B1627" w:rsidRDefault="00386F3B" w:rsidP="00D57ADA">
      <w:pPr>
        <w:pStyle w:val="ListParagraph"/>
        <w:ind w:left="0"/>
        <w:jc w:val="both"/>
        <w:rPr>
          <w:rFonts w:ascii="Times New Roman" w:eastAsia="Times New Roman" w:hAnsi="Times New Roman" w:cs="Times New Roman"/>
          <w:lang w:eastAsia="en-GB"/>
        </w:rPr>
      </w:pPr>
    </w:p>
    <w:p w14:paraId="398B58CF" w14:textId="12237566" w:rsidR="001E1666" w:rsidRPr="000B1627" w:rsidRDefault="00386F3B"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Despite legal reforms introduced in 2013 allowing for elective Kurdish-language courses in public schools, these programs remain severely limited due to a lack of infrastructure, qualified teachers, and educational resources.</w:t>
      </w:r>
      <w:r w:rsidR="004929B2" w:rsidRPr="000B1627">
        <w:rPr>
          <w:rFonts w:ascii="Times New Roman" w:hAnsi="Times New Roman" w:cs="Times New Roman"/>
          <w:color w:val="222222"/>
          <w:shd w:val="clear" w:color="auto" w:fill="FFFFFF"/>
        </w:rPr>
        <w:t xml:space="preserve"> These courses have </w:t>
      </w:r>
      <w:r w:rsidR="004929B2" w:rsidRPr="000B1627">
        <w:rPr>
          <w:rFonts w:ascii="Times New Roman" w:eastAsia="Times New Roman" w:hAnsi="Times New Roman" w:cs="Times New Roman"/>
          <w:lang w:eastAsia="en-GB"/>
        </w:rPr>
        <w:t xml:space="preserve">largely been replaced by religious “elective” courses, clamped down or </w:t>
      </w:r>
      <w:r w:rsidR="004929B2" w:rsidRPr="000B1627">
        <w:rPr>
          <w:rFonts w:ascii="Times New Roman" w:eastAsia="Times New Roman" w:hAnsi="Times New Roman" w:cs="Times New Roman"/>
          <w:i/>
          <w:iCs/>
          <w:lang w:eastAsia="en-GB"/>
        </w:rPr>
        <w:t>de facto</w:t>
      </w:r>
      <w:r w:rsidR="004929B2" w:rsidRPr="000B1627">
        <w:rPr>
          <w:rFonts w:ascii="Times New Roman" w:eastAsia="Times New Roman" w:hAnsi="Times New Roman" w:cs="Times New Roman"/>
          <w:lang w:eastAsia="en-GB"/>
        </w:rPr>
        <w:t xml:space="preserve"> er</w:t>
      </w:r>
      <w:r w:rsidR="003840F0" w:rsidRPr="000B1627">
        <w:rPr>
          <w:rFonts w:ascii="Times New Roman" w:eastAsia="Times New Roman" w:hAnsi="Times New Roman" w:cs="Times New Roman"/>
          <w:lang w:eastAsia="en-GB"/>
        </w:rPr>
        <w:t>ased in</w:t>
      </w:r>
      <w:r w:rsidR="004929B2" w:rsidRPr="000B1627">
        <w:rPr>
          <w:rFonts w:ascii="Times New Roman" w:eastAsia="Times New Roman" w:hAnsi="Times New Roman" w:cs="Times New Roman"/>
          <w:lang w:eastAsia="en-GB"/>
        </w:rPr>
        <w:t xml:space="preserve"> school</w:t>
      </w:r>
      <w:r w:rsidR="003840F0" w:rsidRPr="000B1627">
        <w:rPr>
          <w:rFonts w:ascii="Times New Roman" w:eastAsia="Times New Roman" w:hAnsi="Times New Roman" w:cs="Times New Roman"/>
          <w:lang w:eastAsia="en-GB"/>
        </w:rPr>
        <w:t>s</w:t>
      </w:r>
      <w:r w:rsidR="00726F0D" w:rsidRPr="000B1627">
        <w:rPr>
          <w:rFonts w:ascii="Times New Roman" w:eastAsia="Times New Roman" w:hAnsi="Times New Roman" w:cs="Times New Roman"/>
          <w:lang w:eastAsia="en-GB"/>
        </w:rPr>
        <w:t>.</w:t>
      </w:r>
      <w:r w:rsidR="006437F6" w:rsidRPr="000B1627">
        <w:rPr>
          <w:rStyle w:val="FootnoteReference"/>
          <w:rFonts w:ascii="Times New Roman" w:eastAsia="Times New Roman" w:hAnsi="Times New Roman" w:cs="Times New Roman"/>
          <w:lang w:eastAsia="en-GB"/>
        </w:rPr>
        <w:footnoteReference w:id="60"/>
      </w:r>
      <w:r w:rsidR="00726F0D" w:rsidRPr="000B1627">
        <w:rPr>
          <w:rFonts w:ascii="Times New Roman" w:eastAsia="Times New Roman" w:hAnsi="Times New Roman" w:cs="Times New Roman"/>
          <w:lang w:eastAsia="en-GB"/>
        </w:rPr>
        <w:t xml:space="preserve"> Kurdish elementary private schools</w:t>
      </w:r>
      <w:r w:rsidR="008262F6" w:rsidRPr="000B1627">
        <w:rPr>
          <w:rFonts w:ascii="Times New Roman" w:eastAsia="Times New Roman" w:hAnsi="Times New Roman" w:cs="Times New Roman"/>
          <w:lang w:eastAsia="en-GB"/>
        </w:rPr>
        <w:t xml:space="preserve"> and </w:t>
      </w:r>
      <w:r w:rsidR="00DB18C1" w:rsidRPr="000B1627">
        <w:rPr>
          <w:rFonts w:ascii="Times New Roman" w:eastAsia="Times New Roman" w:hAnsi="Times New Roman" w:cs="Times New Roman"/>
          <w:lang w:eastAsia="en-GB"/>
        </w:rPr>
        <w:t xml:space="preserve">teaching centres </w:t>
      </w:r>
      <w:r w:rsidR="00726F0D" w:rsidRPr="000B1627">
        <w:rPr>
          <w:rFonts w:ascii="Times New Roman" w:eastAsia="Times New Roman" w:hAnsi="Times New Roman" w:cs="Times New Roman"/>
          <w:lang w:eastAsia="en-GB"/>
        </w:rPr>
        <w:t xml:space="preserve">were </w:t>
      </w:r>
      <w:r w:rsidR="008262F6" w:rsidRPr="000B1627">
        <w:rPr>
          <w:rFonts w:ascii="Times New Roman" w:eastAsia="Times New Roman" w:hAnsi="Times New Roman" w:cs="Times New Roman"/>
          <w:lang w:eastAsia="en-GB"/>
        </w:rPr>
        <w:t>shut</w:t>
      </w:r>
      <w:r w:rsidR="006437F6" w:rsidRPr="000B1627">
        <w:rPr>
          <w:rFonts w:ascii="Times New Roman" w:eastAsia="Times New Roman" w:hAnsi="Times New Roman" w:cs="Times New Roman"/>
          <w:lang w:eastAsia="en-GB"/>
        </w:rPr>
        <w:t xml:space="preserve"> </w:t>
      </w:r>
      <w:r w:rsidR="00726F0D" w:rsidRPr="000B1627">
        <w:rPr>
          <w:rFonts w:ascii="Times New Roman" w:eastAsia="Times New Roman" w:hAnsi="Times New Roman" w:cs="Times New Roman"/>
          <w:lang w:eastAsia="en-GB"/>
        </w:rPr>
        <w:t xml:space="preserve">down following the declaration of the State of Emergency </w:t>
      </w:r>
      <w:r w:rsidR="00443F9A" w:rsidRPr="000B1627">
        <w:rPr>
          <w:rFonts w:ascii="Times New Roman" w:eastAsia="Times New Roman" w:hAnsi="Times New Roman" w:cs="Times New Roman"/>
          <w:lang w:eastAsia="en-GB"/>
        </w:rPr>
        <w:t>(</w:t>
      </w:r>
      <w:r w:rsidR="00C00A9B" w:rsidRPr="000B1627">
        <w:rPr>
          <w:rFonts w:ascii="Times New Roman" w:eastAsia="Times New Roman" w:hAnsi="Times New Roman" w:cs="Times New Roman"/>
          <w:lang w:eastAsia="en-GB"/>
        </w:rPr>
        <w:t>“</w:t>
      </w:r>
      <w:proofErr w:type="spellStart"/>
      <w:r w:rsidR="00443F9A" w:rsidRPr="000B1627">
        <w:rPr>
          <w:rFonts w:ascii="Times New Roman" w:eastAsia="Times New Roman" w:hAnsi="Times New Roman" w:cs="Times New Roman"/>
          <w:lang w:eastAsia="en-GB"/>
        </w:rPr>
        <w:t>SoE</w:t>
      </w:r>
      <w:proofErr w:type="spellEnd"/>
      <w:r w:rsidR="00C00A9B" w:rsidRPr="000B1627">
        <w:rPr>
          <w:rFonts w:ascii="Times New Roman" w:eastAsia="Times New Roman" w:hAnsi="Times New Roman" w:cs="Times New Roman"/>
          <w:lang w:eastAsia="en-GB"/>
        </w:rPr>
        <w:t>”</w:t>
      </w:r>
      <w:r w:rsidR="00443F9A" w:rsidRPr="000B1627">
        <w:rPr>
          <w:rFonts w:ascii="Times New Roman" w:eastAsia="Times New Roman" w:hAnsi="Times New Roman" w:cs="Times New Roman"/>
          <w:lang w:eastAsia="en-GB"/>
        </w:rPr>
        <w:t xml:space="preserve">) </w:t>
      </w:r>
      <w:r w:rsidR="00726F0D" w:rsidRPr="000B1627">
        <w:rPr>
          <w:rFonts w:ascii="Times New Roman" w:eastAsia="Times New Roman" w:hAnsi="Times New Roman" w:cs="Times New Roman"/>
          <w:lang w:eastAsia="en-GB"/>
        </w:rPr>
        <w:t>in July 2016.</w:t>
      </w:r>
      <w:r w:rsidR="003840F0" w:rsidRPr="000B1627">
        <w:rPr>
          <w:rStyle w:val="FootnoteReference"/>
          <w:rFonts w:ascii="Times New Roman" w:eastAsia="Times New Roman" w:hAnsi="Times New Roman" w:cs="Times New Roman"/>
          <w:lang w:eastAsia="en-GB"/>
        </w:rPr>
        <w:footnoteReference w:id="61"/>
      </w:r>
      <w:r w:rsidRPr="000B1627">
        <w:rPr>
          <w:rFonts w:ascii="Times New Roman" w:eastAsia="Times New Roman" w:hAnsi="Times New Roman" w:cs="Times New Roman"/>
          <w:lang w:eastAsia="en-GB"/>
        </w:rPr>
        <w:t xml:space="preserve"> Moreover, Kurdish media outlets continue to face significant censorship. Numerous Kurdish-language media platforms have </w:t>
      </w:r>
      <w:r w:rsidR="006437F6" w:rsidRPr="000B1627">
        <w:rPr>
          <w:rFonts w:ascii="Times New Roman" w:eastAsia="Times New Roman" w:hAnsi="Times New Roman" w:cs="Times New Roman"/>
          <w:lang w:eastAsia="en-GB"/>
        </w:rPr>
        <w:t xml:space="preserve">also </w:t>
      </w:r>
      <w:r w:rsidRPr="000B1627">
        <w:rPr>
          <w:rFonts w:ascii="Times New Roman" w:eastAsia="Times New Roman" w:hAnsi="Times New Roman" w:cs="Times New Roman"/>
          <w:lang w:eastAsia="en-GB"/>
        </w:rPr>
        <w:t xml:space="preserve">been shut down, often under the pretext of national security or alleged ties to the PKK. For instance, Kurdish TV channels such as Roj TV and Med </w:t>
      </w:r>
      <w:proofErr w:type="spellStart"/>
      <w:r w:rsidRPr="000B1627">
        <w:rPr>
          <w:rFonts w:ascii="Times New Roman" w:eastAsia="Times New Roman" w:hAnsi="Times New Roman" w:cs="Times New Roman"/>
          <w:lang w:eastAsia="en-GB"/>
        </w:rPr>
        <w:t>Nuçe</w:t>
      </w:r>
      <w:proofErr w:type="spellEnd"/>
      <w:r w:rsidRPr="000B1627">
        <w:rPr>
          <w:rFonts w:ascii="Times New Roman" w:eastAsia="Times New Roman" w:hAnsi="Times New Roman" w:cs="Times New Roman"/>
          <w:lang w:eastAsia="en-GB"/>
        </w:rPr>
        <w:t xml:space="preserve"> TV were taken off the air, effectively silencing crucial outlets for Kurdish cultural and linguistic expression.</w:t>
      </w:r>
      <w:r w:rsidR="00FF38C0" w:rsidRPr="000B1627">
        <w:rPr>
          <w:rFonts w:ascii="Times New Roman" w:eastAsia="Times New Roman" w:hAnsi="Times New Roman" w:cs="Times New Roman"/>
          <w:lang w:eastAsia="en-GB"/>
        </w:rPr>
        <w:t>​</w:t>
      </w:r>
      <w:r w:rsidR="00FF38C0" w:rsidRPr="000B1627">
        <w:rPr>
          <w:rStyle w:val="FootnoteReference"/>
          <w:rFonts w:ascii="Times New Roman" w:eastAsia="Times New Roman" w:hAnsi="Times New Roman" w:cs="Times New Roman"/>
          <w:lang w:eastAsia="en-GB"/>
        </w:rPr>
        <w:footnoteReference w:id="62"/>
      </w:r>
    </w:p>
    <w:p w14:paraId="31DADDB5" w14:textId="77777777" w:rsidR="001E1666" w:rsidRPr="000B1627" w:rsidRDefault="001E1666" w:rsidP="00D57ADA">
      <w:pPr>
        <w:pStyle w:val="ListParagraph"/>
        <w:ind w:left="0"/>
        <w:jc w:val="both"/>
        <w:rPr>
          <w:rFonts w:ascii="Times New Roman" w:eastAsia="Times New Roman" w:hAnsi="Times New Roman" w:cs="Times New Roman"/>
          <w:lang w:eastAsia="en-GB"/>
        </w:rPr>
      </w:pPr>
    </w:p>
    <w:p w14:paraId="347840CC" w14:textId="74312289" w:rsidR="00964624" w:rsidRPr="000B1627" w:rsidRDefault="00386F3B"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In addition to the barriers to linguistic rights, Kurdish cultural practices</w:t>
      </w:r>
      <w:r w:rsidR="00F1049F" w:rsidRPr="000B1627">
        <w:rPr>
          <w:rFonts w:ascii="Times New Roman" w:eastAsia="Times New Roman" w:hAnsi="Times New Roman" w:cs="Times New Roman"/>
          <w:lang w:eastAsia="en-GB"/>
        </w:rPr>
        <w:t xml:space="preserve">, concerts, theatre plays and </w:t>
      </w:r>
      <w:r w:rsidRPr="000B1627">
        <w:rPr>
          <w:rFonts w:ascii="Times New Roman" w:eastAsia="Times New Roman" w:hAnsi="Times New Roman" w:cs="Times New Roman"/>
          <w:lang w:eastAsia="en-GB"/>
        </w:rPr>
        <w:t>the N</w:t>
      </w:r>
      <w:r w:rsidR="00B37C81" w:rsidRPr="000B1627">
        <w:rPr>
          <w:rFonts w:ascii="Times New Roman" w:eastAsia="Times New Roman" w:hAnsi="Times New Roman" w:cs="Times New Roman"/>
          <w:lang w:eastAsia="en-GB"/>
        </w:rPr>
        <w:t>e</w:t>
      </w:r>
      <w:r w:rsidRPr="000B1627">
        <w:rPr>
          <w:rFonts w:ascii="Times New Roman" w:eastAsia="Times New Roman" w:hAnsi="Times New Roman" w:cs="Times New Roman"/>
          <w:lang w:eastAsia="en-GB"/>
        </w:rPr>
        <w:t xml:space="preserve">wroz festival continue to be </w:t>
      </w:r>
      <w:r w:rsidR="00F1049F" w:rsidRPr="000B1627">
        <w:rPr>
          <w:rFonts w:ascii="Times New Roman" w:eastAsia="Times New Roman" w:hAnsi="Times New Roman" w:cs="Times New Roman"/>
          <w:lang w:eastAsia="en-GB"/>
        </w:rPr>
        <w:t xml:space="preserve">banned or </w:t>
      </w:r>
      <w:r w:rsidRPr="000B1627">
        <w:rPr>
          <w:rFonts w:ascii="Times New Roman" w:eastAsia="Times New Roman" w:hAnsi="Times New Roman" w:cs="Times New Roman"/>
          <w:lang w:eastAsia="en-GB"/>
        </w:rPr>
        <w:t>met with state restrictions.</w:t>
      </w:r>
      <w:r w:rsidRPr="000B1627">
        <w:rPr>
          <w:rStyle w:val="FootnoteReference"/>
          <w:rFonts w:ascii="Times New Roman" w:eastAsia="Times New Roman" w:hAnsi="Times New Roman" w:cs="Times New Roman"/>
          <w:lang w:eastAsia="en-GB"/>
        </w:rPr>
        <w:footnoteReference w:id="63"/>
      </w:r>
      <w:r w:rsidR="00774C25" w:rsidRPr="000B1627">
        <w:rPr>
          <w:rFonts w:ascii="Times New Roman" w:eastAsia="Times New Roman" w:hAnsi="Times New Roman" w:cs="Times New Roman"/>
          <w:lang w:eastAsia="en-GB"/>
        </w:rPr>
        <w:t xml:space="preserve"> </w:t>
      </w:r>
      <w:r w:rsidRPr="000B1627">
        <w:rPr>
          <w:rFonts w:ascii="Times New Roman" w:eastAsia="Times New Roman" w:hAnsi="Times New Roman" w:cs="Times New Roman"/>
          <w:lang w:eastAsia="en-GB"/>
        </w:rPr>
        <w:t>In several instances, Kurdish celebrations have been banned or disrupted by security forces, particularly when these events are perceived as politically charged. Kurdish citizens still face difficulties in registering names that include letters like "Q," "W," and "X</w:t>
      </w:r>
      <w:r w:rsidR="007045E3" w:rsidRPr="000B1627">
        <w:rPr>
          <w:rFonts w:ascii="Times New Roman" w:eastAsia="Times New Roman" w:hAnsi="Times New Roman" w:cs="Times New Roman"/>
          <w:lang w:eastAsia="en-GB"/>
        </w:rPr>
        <w:t>,</w:t>
      </w:r>
      <w:r w:rsidRPr="000B1627">
        <w:rPr>
          <w:rFonts w:ascii="Times New Roman" w:eastAsia="Times New Roman" w:hAnsi="Times New Roman" w:cs="Times New Roman"/>
          <w:lang w:eastAsia="en-GB"/>
        </w:rPr>
        <w:t>" which exist in the Kurdish alphabet but not in Turkish.</w:t>
      </w:r>
      <w:r w:rsidRPr="000B1627">
        <w:rPr>
          <w:rStyle w:val="FootnoteReference"/>
          <w:rFonts w:ascii="Times New Roman" w:eastAsia="Times New Roman" w:hAnsi="Times New Roman" w:cs="Times New Roman"/>
          <w:lang w:eastAsia="en-GB"/>
        </w:rPr>
        <w:footnoteReference w:id="64"/>
      </w:r>
      <w:r w:rsidRPr="000B1627">
        <w:rPr>
          <w:rFonts w:ascii="Times New Roman" w:eastAsia="Times New Roman" w:hAnsi="Times New Roman" w:cs="Times New Roman"/>
          <w:lang w:eastAsia="en-GB"/>
        </w:rPr>
        <w:t xml:space="preserve"> </w:t>
      </w:r>
      <w:r w:rsidR="00C111B0" w:rsidRPr="000B1627">
        <w:rPr>
          <w:rFonts w:ascii="Times New Roman" w:eastAsia="Times New Roman" w:hAnsi="Times New Roman" w:cs="Times New Roman"/>
          <w:lang w:eastAsia="en-GB"/>
        </w:rPr>
        <w:t xml:space="preserve"> </w:t>
      </w:r>
      <w:r w:rsidRPr="000B1627">
        <w:rPr>
          <w:rFonts w:ascii="Times New Roman" w:eastAsia="Times New Roman" w:hAnsi="Times New Roman" w:cs="Times New Roman"/>
          <w:lang w:eastAsia="en-GB"/>
        </w:rPr>
        <w:t xml:space="preserve">These obstacles not only violate the Kurdish population's cultural rights but also reinforce the systemic marginalization of their identity within Turkish society. </w:t>
      </w:r>
    </w:p>
    <w:p w14:paraId="7EF21F36" w14:textId="77777777" w:rsidR="00F1049F" w:rsidRPr="000B1627" w:rsidRDefault="00F1049F" w:rsidP="00350FA8">
      <w:pPr>
        <w:pStyle w:val="ListParagraph"/>
        <w:rPr>
          <w:rFonts w:ascii="Times New Roman" w:eastAsia="Times New Roman" w:hAnsi="Times New Roman" w:cs="Times New Roman"/>
          <w:lang w:eastAsia="en-GB"/>
        </w:rPr>
      </w:pPr>
    </w:p>
    <w:p w14:paraId="045A9600" w14:textId="77777777" w:rsidR="00964624" w:rsidRPr="000B1627" w:rsidRDefault="00964624" w:rsidP="00D57ADA">
      <w:pPr>
        <w:pStyle w:val="ListParagraph"/>
        <w:ind w:left="0"/>
        <w:jc w:val="both"/>
        <w:rPr>
          <w:rFonts w:ascii="Times New Roman" w:eastAsia="Times New Roman" w:hAnsi="Times New Roman" w:cs="Times New Roman"/>
          <w:lang w:eastAsia="en-GB"/>
        </w:rPr>
      </w:pPr>
    </w:p>
    <w:p w14:paraId="223920D8" w14:textId="4C0FC21F" w:rsidR="00964624" w:rsidRPr="000B1627" w:rsidRDefault="00386F3B" w:rsidP="00D57ADA">
      <w:pPr>
        <w:pStyle w:val="ListParagraph"/>
        <w:numPr>
          <w:ilvl w:val="0"/>
          <w:numId w:val="1"/>
        </w:numPr>
        <w:ind w:left="0"/>
        <w:jc w:val="both"/>
        <w:rPr>
          <w:rFonts w:ascii="Times New Roman" w:eastAsia="Times New Roman" w:hAnsi="Times New Roman" w:cs="Times New Roman"/>
          <w:b/>
          <w:bCs/>
          <w:i/>
          <w:iCs/>
          <w:lang w:eastAsia="en-GB"/>
        </w:rPr>
      </w:pPr>
      <w:r w:rsidRPr="000B1627">
        <w:rPr>
          <w:rFonts w:ascii="Times New Roman" w:eastAsia="Times New Roman" w:hAnsi="Times New Roman" w:cs="Times New Roman"/>
          <w:b/>
          <w:bCs/>
          <w:i/>
          <w:iCs/>
          <w:lang w:eastAsia="en-GB"/>
        </w:rPr>
        <w:t xml:space="preserve">Recommendations to the </w:t>
      </w:r>
      <w:r w:rsidR="001258C6" w:rsidRPr="000B1627">
        <w:rPr>
          <w:rFonts w:ascii="Times New Roman" w:eastAsia="Times New Roman" w:hAnsi="Times New Roman" w:cs="Times New Roman"/>
          <w:b/>
          <w:bCs/>
          <w:i/>
          <w:iCs/>
          <w:lang w:eastAsia="en-GB"/>
        </w:rPr>
        <w:t>S</w:t>
      </w:r>
      <w:r w:rsidRPr="000B1627">
        <w:rPr>
          <w:rFonts w:ascii="Times New Roman" w:eastAsia="Times New Roman" w:hAnsi="Times New Roman" w:cs="Times New Roman"/>
          <w:b/>
          <w:bCs/>
          <w:i/>
          <w:iCs/>
          <w:lang w:eastAsia="en-GB"/>
        </w:rPr>
        <w:t xml:space="preserve">tate </w:t>
      </w:r>
      <w:r w:rsidR="001258C6" w:rsidRPr="000B1627">
        <w:rPr>
          <w:rFonts w:ascii="Times New Roman" w:eastAsia="Times New Roman" w:hAnsi="Times New Roman" w:cs="Times New Roman"/>
          <w:b/>
          <w:bCs/>
          <w:i/>
          <w:iCs/>
          <w:lang w:eastAsia="en-GB"/>
        </w:rPr>
        <w:t>P</w:t>
      </w:r>
      <w:r w:rsidRPr="000B1627">
        <w:rPr>
          <w:rFonts w:ascii="Times New Roman" w:eastAsia="Times New Roman" w:hAnsi="Times New Roman" w:cs="Times New Roman"/>
          <w:b/>
          <w:bCs/>
          <w:i/>
          <w:iCs/>
          <w:lang w:eastAsia="en-GB"/>
        </w:rPr>
        <w:t>art</w:t>
      </w:r>
      <w:r w:rsidR="00120B39" w:rsidRPr="000B1627">
        <w:rPr>
          <w:rFonts w:ascii="Times New Roman" w:eastAsia="Times New Roman" w:hAnsi="Times New Roman" w:cs="Times New Roman"/>
          <w:b/>
          <w:bCs/>
          <w:i/>
          <w:iCs/>
          <w:lang w:eastAsia="en-GB"/>
        </w:rPr>
        <w:t>y</w:t>
      </w:r>
    </w:p>
    <w:p w14:paraId="04ADC3B5" w14:textId="77777777" w:rsidR="00964624" w:rsidRPr="000B1627" w:rsidRDefault="00964624" w:rsidP="00D57ADA">
      <w:pPr>
        <w:pStyle w:val="ListParagraph"/>
        <w:ind w:left="0"/>
        <w:jc w:val="both"/>
        <w:rPr>
          <w:rFonts w:ascii="Times New Roman" w:eastAsia="Times New Roman" w:hAnsi="Times New Roman" w:cs="Times New Roman"/>
          <w:b/>
          <w:bCs/>
          <w:lang w:eastAsia="en-GB"/>
        </w:rPr>
      </w:pPr>
    </w:p>
    <w:p w14:paraId="1939A3F0" w14:textId="3674058A" w:rsidR="00964624" w:rsidRPr="000B1627" w:rsidRDefault="00D57ADA" w:rsidP="00350FA8">
      <w:pPr>
        <w:pStyle w:val="ListParagraph"/>
        <w:numPr>
          <w:ilvl w:val="0"/>
          <w:numId w:val="37"/>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964624" w:rsidRPr="000B1627">
        <w:rPr>
          <w:rFonts w:ascii="Times New Roman" w:eastAsia="Times New Roman" w:hAnsi="Times New Roman" w:cs="Times New Roman"/>
          <w:lang w:eastAsia="en-GB"/>
        </w:rPr>
        <w:t xml:space="preserve"> should take immediate legislative, judicial, and administrative steps to ensure the enforcement of constitutional guarantees of equality (Article 10) and non-discrimination (Article 122 of the Turkish Penal Code), particularly in Kurdish-majority regions. Specific attention should be given to the implementation of anti-discrimination laws in public services and the judicial system to ensure that the rights of Kurdish people are respected.</w:t>
      </w:r>
    </w:p>
    <w:p w14:paraId="6FABECDB" w14:textId="1396FFC6" w:rsidR="00120B39" w:rsidRPr="000B1627" w:rsidRDefault="00964624" w:rsidP="00350FA8">
      <w:pPr>
        <w:pStyle w:val="ListParagraph"/>
        <w:numPr>
          <w:ilvl w:val="0"/>
          <w:numId w:val="37"/>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Government efforts should be increased to provide human rights training for law enforcement and public officials, particularly in areas with Kurdish population. Training should focus on preventing discrimination based on ethnicity or language, with a specific </w:t>
      </w:r>
      <w:r w:rsidRPr="000B1627">
        <w:rPr>
          <w:rFonts w:ascii="Times New Roman" w:eastAsia="Times New Roman" w:hAnsi="Times New Roman" w:cs="Times New Roman"/>
          <w:lang w:eastAsia="en-GB"/>
        </w:rPr>
        <w:lastRenderedPageBreak/>
        <w:t>emphasis on addressing hate crimes against Kurds and ensuring full accountability for perpetrators.</w:t>
      </w:r>
    </w:p>
    <w:p w14:paraId="7AB72990" w14:textId="4AFA02C4" w:rsidR="00120B39" w:rsidRPr="000B1627" w:rsidRDefault="00D57ADA" w:rsidP="00350FA8">
      <w:pPr>
        <w:pStyle w:val="ListParagraph"/>
        <w:numPr>
          <w:ilvl w:val="0"/>
          <w:numId w:val="37"/>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964624" w:rsidRPr="000B1627">
        <w:rPr>
          <w:rFonts w:ascii="Times New Roman" w:eastAsia="Times New Roman" w:hAnsi="Times New Roman" w:cs="Times New Roman"/>
          <w:lang w:eastAsia="en-GB"/>
        </w:rPr>
        <w:t xml:space="preserve"> should immediately halt the misuse and politicisation of anti-terrorism laws used to repress </w:t>
      </w:r>
      <w:r w:rsidR="00C00A9B" w:rsidRPr="000B1627">
        <w:rPr>
          <w:rFonts w:ascii="Times New Roman" w:eastAsia="Times New Roman" w:hAnsi="Times New Roman" w:cs="Times New Roman"/>
          <w:lang w:eastAsia="en-GB"/>
        </w:rPr>
        <w:t>p</w:t>
      </w:r>
      <w:r w:rsidR="00E03DF8" w:rsidRPr="000B1627">
        <w:rPr>
          <w:rFonts w:ascii="Times New Roman" w:eastAsia="Times New Roman" w:hAnsi="Times New Roman" w:cs="Times New Roman"/>
          <w:lang w:eastAsia="en-GB"/>
        </w:rPr>
        <w:t>ro-</w:t>
      </w:r>
      <w:r w:rsidR="00964624" w:rsidRPr="000B1627">
        <w:rPr>
          <w:rFonts w:ascii="Times New Roman" w:eastAsia="Times New Roman" w:hAnsi="Times New Roman" w:cs="Times New Roman"/>
          <w:lang w:eastAsia="en-GB"/>
        </w:rPr>
        <w:t>Kurdish political parties</w:t>
      </w:r>
      <w:r w:rsidR="00E03DF8" w:rsidRPr="000B1627">
        <w:rPr>
          <w:rFonts w:ascii="Times New Roman" w:eastAsia="Times New Roman" w:hAnsi="Times New Roman" w:cs="Times New Roman"/>
          <w:lang w:eastAsia="en-GB"/>
        </w:rPr>
        <w:t>, politicians and activists</w:t>
      </w:r>
      <w:r w:rsidR="00964624" w:rsidRPr="000B1627">
        <w:rPr>
          <w:rFonts w:ascii="Times New Roman" w:eastAsia="Times New Roman" w:hAnsi="Times New Roman" w:cs="Times New Roman"/>
          <w:lang w:eastAsia="en-GB"/>
        </w:rPr>
        <w:t xml:space="preserve">, such as the ongoing efforts to close the HDP. It should be ensured that </w:t>
      </w:r>
      <w:r w:rsidR="00BA6977" w:rsidRPr="000B1627">
        <w:rPr>
          <w:rFonts w:ascii="Times New Roman" w:eastAsia="Times New Roman" w:hAnsi="Times New Roman" w:cs="Times New Roman"/>
          <w:lang w:eastAsia="en-GB"/>
        </w:rPr>
        <w:t>p</w:t>
      </w:r>
      <w:r w:rsidR="00D2208F" w:rsidRPr="000B1627">
        <w:rPr>
          <w:rFonts w:ascii="Times New Roman" w:eastAsia="Times New Roman" w:hAnsi="Times New Roman" w:cs="Times New Roman"/>
          <w:lang w:eastAsia="en-GB"/>
        </w:rPr>
        <w:t>ro-</w:t>
      </w:r>
      <w:r w:rsidR="00964624" w:rsidRPr="000B1627">
        <w:rPr>
          <w:rFonts w:ascii="Times New Roman" w:eastAsia="Times New Roman" w:hAnsi="Times New Roman" w:cs="Times New Roman"/>
          <w:lang w:eastAsia="en-GB"/>
        </w:rPr>
        <w:t xml:space="preserve">Kurdish </w:t>
      </w:r>
      <w:r w:rsidR="00D2208F" w:rsidRPr="000B1627">
        <w:rPr>
          <w:rFonts w:ascii="Times New Roman" w:eastAsia="Times New Roman" w:hAnsi="Times New Roman" w:cs="Times New Roman"/>
          <w:lang w:eastAsia="en-GB"/>
        </w:rPr>
        <w:t xml:space="preserve">and minority rights </w:t>
      </w:r>
      <w:r w:rsidR="00964624" w:rsidRPr="000B1627">
        <w:rPr>
          <w:rFonts w:ascii="Times New Roman" w:eastAsia="Times New Roman" w:hAnsi="Times New Roman" w:cs="Times New Roman"/>
          <w:lang w:eastAsia="en-GB"/>
        </w:rPr>
        <w:t>political parties</w:t>
      </w:r>
      <w:r w:rsidR="00D2208F" w:rsidRPr="000B1627">
        <w:rPr>
          <w:rFonts w:ascii="Times New Roman" w:eastAsia="Times New Roman" w:hAnsi="Times New Roman" w:cs="Times New Roman"/>
          <w:lang w:eastAsia="en-GB"/>
        </w:rPr>
        <w:t>,</w:t>
      </w:r>
      <w:r w:rsidR="00964624" w:rsidRPr="000B1627">
        <w:rPr>
          <w:rFonts w:ascii="Times New Roman" w:eastAsia="Times New Roman" w:hAnsi="Times New Roman" w:cs="Times New Roman"/>
          <w:lang w:eastAsia="en-GB"/>
        </w:rPr>
        <w:t xml:space="preserve"> </w:t>
      </w:r>
      <w:r w:rsidR="00D2208F" w:rsidRPr="000B1627">
        <w:rPr>
          <w:rFonts w:ascii="Times New Roman" w:eastAsia="Times New Roman" w:hAnsi="Times New Roman" w:cs="Times New Roman"/>
          <w:lang w:eastAsia="en-GB"/>
        </w:rPr>
        <w:t xml:space="preserve">politicians and their supporters </w:t>
      </w:r>
      <w:r w:rsidR="00964624" w:rsidRPr="000B1627">
        <w:rPr>
          <w:rFonts w:ascii="Times New Roman" w:eastAsia="Times New Roman" w:hAnsi="Times New Roman" w:cs="Times New Roman"/>
          <w:lang w:eastAsia="en-GB"/>
        </w:rPr>
        <w:t xml:space="preserve">are not unfairly targeted, and that any charges brought against </w:t>
      </w:r>
      <w:r w:rsidR="00D2208F" w:rsidRPr="000B1627">
        <w:rPr>
          <w:rFonts w:ascii="Times New Roman" w:eastAsia="Times New Roman" w:hAnsi="Times New Roman" w:cs="Times New Roman"/>
          <w:lang w:eastAsia="en-GB"/>
        </w:rPr>
        <w:t>them</w:t>
      </w:r>
      <w:r w:rsidR="00964624" w:rsidRPr="000B1627">
        <w:rPr>
          <w:rFonts w:ascii="Times New Roman" w:eastAsia="Times New Roman" w:hAnsi="Times New Roman" w:cs="Times New Roman"/>
          <w:lang w:eastAsia="en-GB"/>
        </w:rPr>
        <w:t xml:space="preserve"> comply with international </w:t>
      </w:r>
      <w:r w:rsidR="00D2208F" w:rsidRPr="000B1627">
        <w:rPr>
          <w:rFonts w:ascii="Times New Roman" w:eastAsia="Times New Roman" w:hAnsi="Times New Roman" w:cs="Times New Roman"/>
          <w:lang w:eastAsia="en-GB"/>
        </w:rPr>
        <w:t>human rights</w:t>
      </w:r>
      <w:r w:rsidR="00964624" w:rsidRPr="000B1627">
        <w:rPr>
          <w:rFonts w:ascii="Times New Roman" w:eastAsia="Times New Roman" w:hAnsi="Times New Roman" w:cs="Times New Roman"/>
          <w:lang w:eastAsia="en-GB"/>
        </w:rPr>
        <w:t xml:space="preserve"> standards.</w:t>
      </w:r>
    </w:p>
    <w:p w14:paraId="74E7218B" w14:textId="4A9812E6" w:rsidR="00120B39" w:rsidRPr="000B1627" w:rsidRDefault="00964624" w:rsidP="00350FA8">
      <w:pPr>
        <w:pStyle w:val="ListParagraph"/>
        <w:numPr>
          <w:ilvl w:val="0"/>
          <w:numId w:val="37"/>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Hate crimes against Kurdish individuals must be rigorously investigated and prosecuted, leaving no scope for impunity for perpetrators. investigations should be conducted transparently, with clear consequences for both perpetrators and law enforcement officials who fail to act.</w:t>
      </w:r>
    </w:p>
    <w:p w14:paraId="2BFF5ADF" w14:textId="2CAF4988" w:rsidR="00964624" w:rsidRPr="000B1627" w:rsidRDefault="00D57ADA" w:rsidP="00350FA8">
      <w:pPr>
        <w:pStyle w:val="ListParagraph"/>
        <w:numPr>
          <w:ilvl w:val="0"/>
          <w:numId w:val="37"/>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964624" w:rsidRPr="000B1627">
        <w:rPr>
          <w:rFonts w:ascii="Times New Roman" w:eastAsia="Times New Roman" w:hAnsi="Times New Roman" w:cs="Times New Roman"/>
          <w:lang w:eastAsia="en-GB"/>
        </w:rPr>
        <w:t xml:space="preserve"> should </w:t>
      </w:r>
      <w:r w:rsidR="00BF7F13" w:rsidRPr="000B1627">
        <w:rPr>
          <w:rFonts w:ascii="Times New Roman" w:eastAsia="Times New Roman" w:hAnsi="Times New Roman" w:cs="Times New Roman"/>
          <w:lang w:eastAsia="en-GB"/>
        </w:rPr>
        <w:t>lift</w:t>
      </w:r>
      <w:r w:rsidR="00964624" w:rsidRPr="000B1627">
        <w:rPr>
          <w:rFonts w:ascii="Times New Roman" w:eastAsia="Times New Roman" w:hAnsi="Times New Roman" w:cs="Times New Roman"/>
          <w:lang w:eastAsia="en-GB"/>
        </w:rPr>
        <w:t xml:space="preserve"> barriers to cultural and linguistic freedom for Kurdish people and </w:t>
      </w:r>
      <w:r w:rsidR="00BF7F13" w:rsidRPr="000B1627">
        <w:rPr>
          <w:rFonts w:ascii="Times New Roman" w:eastAsia="Times New Roman" w:hAnsi="Times New Roman" w:cs="Times New Roman"/>
          <w:lang w:eastAsia="en-GB"/>
        </w:rPr>
        <w:t xml:space="preserve">minority groups and </w:t>
      </w:r>
      <w:r w:rsidR="00964624" w:rsidRPr="000B1627">
        <w:rPr>
          <w:rFonts w:ascii="Times New Roman" w:eastAsia="Times New Roman" w:hAnsi="Times New Roman" w:cs="Times New Roman"/>
          <w:lang w:eastAsia="en-GB"/>
        </w:rPr>
        <w:t xml:space="preserve">implement means to ensure their rights. Arbitrary interference with cultural celebrations </w:t>
      </w:r>
      <w:r w:rsidR="00271344" w:rsidRPr="000B1627">
        <w:rPr>
          <w:rFonts w:ascii="Times New Roman" w:eastAsia="Times New Roman" w:hAnsi="Times New Roman" w:cs="Times New Roman"/>
          <w:lang w:eastAsia="en-GB"/>
        </w:rPr>
        <w:t>should be stopped.</w:t>
      </w:r>
    </w:p>
    <w:p w14:paraId="7E4DED7B" w14:textId="77777777" w:rsidR="00E65314" w:rsidRPr="000B1627" w:rsidRDefault="00E65314" w:rsidP="00350FA8">
      <w:pPr>
        <w:spacing w:before="80" w:after="80"/>
      </w:pPr>
    </w:p>
    <w:p w14:paraId="0E9C8B09" w14:textId="75782B7C" w:rsidR="00E65314" w:rsidRPr="000B1627" w:rsidRDefault="00E65314" w:rsidP="00350FA8">
      <w:pPr>
        <w:pStyle w:val="ListParagraph"/>
        <w:numPr>
          <w:ilvl w:val="0"/>
          <w:numId w:val="33"/>
        </w:numPr>
        <w:jc w:val="both"/>
        <w:rPr>
          <w:rFonts w:ascii="Times New Roman" w:hAnsi="Times New Roman" w:cs="Times New Roman"/>
          <w:b/>
          <w:bCs/>
          <w:color w:val="000000"/>
        </w:rPr>
      </w:pPr>
      <w:r w:rsidRPr="000B1627">
        <w:rPr>
          <w:rFonts w:ascii="Times New Roman" w:hAnsi="Times New Roman" w:cs="Times New Roman"/>
          <w:b/>
          <w:bCs/>
          <w:color w:val="000000"/>
        </w:rPr>
        <w:t>State of Emergency (Concerning Article 4 of the ICCPR)</w:t>
      </w:r>
    </w:p>
    <w:p w14:paraId="268E9BC8" w14:textId="77777777" w:rsidR="00E65314" w:rsidRPr="000B1627" w:rsidRDefault="00E65314" w:rsidP="00D57ADA">
      <w:pPr>
        <w:pStyle w:val="ListParagraph"/>
        <w:ind w:left="0"/>
        <w:jc w:val="both"/>
        <w:rPr>
          <w:rFonts w:ascii="Times New Roman" w:hAnsi="Times New Roman" w:cs="Times New Roman"/>
          <w:b/>
          <w:bCs/>
          <w:color w:val="000000"/>
        </w:rPr>
      </w:pPr>
    </w:p>
    <w:p w14:paraId="47FB1462" w14:textId="77777777" w:rsidR="00E65314" w:rsidRPr="000B1627" w:rsidRDefault="00E65314" w:rsidP="00E66520">
      <w:pPr>
        <w:pStyle w:val="ListParagraph"/>
        <w:numPr>
          <w:ilvl w:val="0"/>
          <w:numId w:val="9"/>
        </w:numPr>
        <w:tabs>
          <w:tab w:val="left" w:pos="284"/>
          <w:tab w:val="left" w:pos="426"/>
          <w:tab w:val="left" w:pos="567"/>
          <w:tab w:val="left" w:pos="851"/>
          <w:tab w:val="left" w:pos="993"/>
        </w:tabs>
        <w:ind w:left="0" w:firstLine="567"/>
        <w:jc w:val="both"/>
        <w:rPr>
          <w:rFonts w:ascii="Times New Roman" w:hAnsi="Times New Roman" w:cs="Times New Roman"/>
          <w:i/>
          <w:iCs/>
          <w:color w:val="000000"/>
        </w:rPr>
      </w:pPr>
      <w:r w:rsidRPr="000B1627">
        <w:rPr>
          <w:rFonts w:ascii="Times New Roman" w:hAnsi="Times New Roman" w:cs="Times New Roman"/>
          <w:i/>
          <w:iCs/>
          <w:color w:val="000000"/>
        </w:rPr>
        <w:t xml:space="preserve">Mass Dismissal of </w:t>
      </w:r>
      <w:r w:rsidR="00447CF8" w:rsidRPr="000B1627">
        <w:rPr>
          <w:rFonts w:ascii="Times New Roman" w:hAnsi="Times New Roman" w:cs="Times New Roman"/>
          <w:i/>
          <w:iCs/>
          <w:color w:val="000000"/>
        </w:rPr>
        <w:t>Civil Servants, Prosecutors and Judges</w:t>
      </w:r>
    </w:p>
    <w:p w14:paraId="0649CD72" w14:textId="77777777" w:rsidR="00447CF8" w:rsidRPr="000B1627" w:rsidRDefault="00447CF8" w:rsidP="00D57ADA">
      <w:pPr>
        <w:pStyle w:val="ListParagraph"/>
        <w:ind w:left="0"/>
        <w:jc w:val="both"/>
        <w:rPr>
          <w:rFonts w:ascii="Times New Roman" w:hAnsi="Times New Roman" w:cs="Times New Roman"/>
          <w:color w:val="000000"/>
        </w:rPr>
      </w:pPr>
    </w:p>
    <w:p w14:paraId="6916B539" w14:textId="524D160C" w:rsidR="00453247" w:rsidRPr="000B1627" w:rsidRDefault="00E65314"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State Party report on the</w:t>
      </w:r>
      <w:r w:rsidR="00D34416" w:rsidRPr="000B1627">
        <w:rPr>
          <w:rFonts w:ascii="Times New Roman" w:eastAsia="Times New Roman" w:hAnsi="Times New Roman" w:cs="Times New Roman"/>
          <w:lang w:eastAsia="en-GB"/>
        </w:rPr>
        <w:t xml:space="preserve"> </w:t>
      </w:r>
      <w:proofErr w:type="spellStart"/>
      <w:r w:rsidRPr="000B1627">
        <w:rPr>
          <w:rFonts w:ascii="Times New Roman" w:eastAsia="Times New Roman" w:hAnsi="Times New Roman" w:cs="Times New Roman"/>
          <w:lang w:eastAsia="en-GB"/>
        </w:rPr>
        <w:t>SoE</w:t>
      </w:r>
      <w:proofErr w:type="spellEnd"/>
      <w:r w:rsidRPr="000B1627">
        <w:rPr>
          <w:rFonts w:ascii="Times New Roman" w:eastAsia="Times New Roman" w:hAnsi="Times New Roman" w:cs="Times New Roman"/>
          <w:lang w:eastAsia="en-GB"/>
        </w:rPr>
        <w:t xml:space="preserve"> in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declared after the coup attempt in 2016, defends the actions taken by the government, but critical concerns remain unaddressed, especially regarding the scope and long-term consequences of the emergency decrees. While the report claims that the </w:t>
      </w:r>
      <w:proofErr w:type="spellStart"/>
      <w:r w:rsidRPr="000B1627">
        <w:rPr>
          <w:rFonts w:ascii="Times New Roman" w:eastAsia="Times New Roman" w:hAnsi="Times New Roman" w:cs="Times New Roman"/>
          <w:lang w:eastAsia="en-GB"/>
        </w:rPr>
        <w:t>SoE</w:t>
      </w:r>
      <w:proofErr w:type="spellEnd"/>
      <w:r w:rsidRPr="000B1627">
        <w:rPr>
          <w:rFonts w:ascii="Times New Roman" w:eastAsia="Times New Roman" w:hAnsi="Times New Roman" w:cs="Times New Roman"/>
          <w:lang w:eastAsia="en-GB"/>
        </w:rPr>
        <w:t xml:space="preserve"> was declared to protect democratic values, the use of 32 Emergency Decree-Laws raises concerns about the breadth of these powers. These decrees were used to dismiss over 1</w:t>
      </w:r>
      <w:r w:rsidR="00D63BC8" w:rsidRPr="000B1627">
        <w:rPr>
          <w:rFonts w:ascii="Times New Roman" w:eastAsia="Times New Roman" w:hAnsi="Times New Roman" w:cs="Times New Roman"/>
          <w:lang w:eastAsia="en-GB"/>
        </w:rPr>
        <w:t>50</w:t>
      </w:r>
      <w:r w:rsidRPr="000B1627">
        <w:rPr>
          <w:rFonts w:ascii="Times New Roman" w:eastAsia="Times New Roman" w:hAnsi="Times New Roman" w:cs="Times New Roman"/>
          <w:lang w:eastAsia="en-GB"/>
        </w:rPr>
        <w:t>,000 public servants without due process, severely undermining fundamental rights such as the right to a fair trial and protection from arbitrary dismissal.</w:t>
      </w:r>
      <w:r w:rsidR="00D63BC8" w:rsidRPr="000B1627">
        <w:rPr>
          <w:rStyle w:val="FootnoteReference"/>
          <w:rFonts w:ascii="Times New Roman" w:eastAsia="Times New Roman" w:hAnsi="Times New Roman" w:cs="Times New Roman"/>
          <w:lang w:eastAsia="en-GB"/>
        </w:rPr>
        <w:footnoteReference w:id="65"/>
      </w:r>
    </w:p>
    <w:p w14:paraId="44ED160E" w14:textId="77777777" w:rsidR="009F012D" w:rsidRPr="000B1627" w:rsidRDefault="009F012D" w:rsidP="00350FA8">
      <w:pPr>
        <w:pStyle w:val="ListParagraph"/>
        <w:ind w:left="0"/>
        <w:jc w:val="both"/>
        <w:rPr>
          <w:rFonts w:ascii="Times New Roman" w:eastAsia="Times New Roman" w:hAnsi="Times New Roman" w:cs="Times New Roman"/>
          <w:lang w:eastAsia="en-GB"/>
        </w:rPr>
      </w:pPr>
    </w:p>
    <w:p w14:paraId="0D668330" w14:textId="2EA5711D" w:rsidR="00453247" w:rsidRPr="000B1627" w:rsidRDefault="00E65314" w:rsidP="00453247">
      <w:pPr>
        <w:pStyle w:val="ListParagraph"/>
        <w:numPr>
          <w:ilvl w:val="0"/>
          <w:numId w:val="1"/>
        </w:numPr>
        <w:ind w:left="0"/>
        <w:jc w:val="both"/>
        <w:rPr>
          <w:rFonts w:ascii="Times New Roman" w:hAnsi="Times New Roman" w:cs="Times New Roman"/>
          <w:lang w:eastAsia="en-GB"/>
        </w:rPr>
      </w:pPr>
      <w:r w:rsidRPr="000B1627">
        <w:rPr>
          <w:rFonts w:ascii="Times New Roman" w:hAnsi="Times New Roman" w:cs="Times New Roman"/>
          <w:lang w:eastAsia="en-GB"/>
        </w:rPr>
        <w:t xml:space="preserve">The mass dismissal of civil servants, including judges, prosecutors, academics, and teachers, </w:t>
      </w:r>
      <w:r w:rsidR="00892B98" w:rsidRPr="000B1627">
        <w:rPr>
          <w:rFonts w:ascii="Times New Roman" w:hAnsi="Times New Roman" w:cs="Times New Roman"/>
          <w:lang w:eastAsia="en-GB"/>
        </w:rPr>
        <w:t>for</w:t>
      </w:r>
      <w:r w:rsidRPr="000B1627">
        <w:rPr>
          <w:rFonts w:ascii="Times New Roman" w:hAnsi="Times New Roman" w:cs="Times New Roman"/>
          <w:lang w:eastAsia="en-GB"/>
        </w:rPr>
        <w:t xml:space="preserve"> alleged links to </w:t>
      </w:r>
      <w:r w:rsidR="005F0E38" w:rsidRPr="000B1627">
        <w:rPr>
          <w:rFonts w:ascii="Times New Roman" w:hAnsi="Times New Roman" w:cs="Times New Roman"/>
          <w:lang w:eastAsia="en-GB"/>
        </w:rPr>
        <w:t>‘terrorist organisations’</w:t>
      </w:r>
      <w:r w:rsidRPr="000B1627">
        <w:rPr>
          <w:rFonts w:ascii="Times New Roman" w:hAnsi="Times New Roman" w:cs="Times New Roman"/>
          <w:lang w:eastAsia="en-GB"/>
        </w:rPr>
        <w:t xml:space="preserve">, was often done without individual trials or sufficient evidence. This has been widely criticized by international organizations such as the United Nations </w:t>
      </w:r>
      <w:r w:rsidR="005867A1" w:rsidRPr="000B1627">
        <w:rPr>
          <w:rFonts w:ascii="Times New Roman" w:hAnsi="Times New Roman" w:cs="Times New Roman"/>
          <w:lang w:eastAsia="en-GB"/>
        </w:rPr>
        <w:t>(</w:t>
      </w:r>
      <w:r w:rsidR="00BA6977" w:rsidRPr="000B1627">
        <w:rPr>
          <w:rFonts w:ascii="Times New Roman" w:hAnsi="Times New Roman" w:cs="Times New Roman"/>
          <w:lang w:eastAsia="en-GB"/>
        </w:rPr>
        <w:t>“</w:t>
      </w:r>
      <w:r w:rsidR="005867A1" w:rsidRPr="000B1627">
        <w:rPr>
          <w:rFonts w:ascii="Times New Roman" w:hAnsi="Times New Roman" w:cs="Times New Roman"/>
          <w:lang w:eastAsia="en-GB"/>
        </w:rPr>
        <w:t>the UN</w:t>
      </w:r>
      <w:r w:rsidR="00BA6977" w:rsidRPr="000B1627">
        <w:rPr>
          <w:rFonts w:ascii="Times New Roman" w:hAnsi="Times New Roman" w:cs="Times New Roman"/>
          <w:lang w:eastAsia="en-GB"/>
        </w:rPr>
        <w:t>”</w:t>
      </w:r>
      <w:r w:rsidR="005867A1" w:rsidRPr="000B1627">
        <w:rPr>
          <w:rFonts w:ascii="Times New Roman" w:hAnsi="Times New Roman" w:cs="Times New Roman"/>
          <w:lang w:eastAsia="en-GB"/>
        </w:rPr>
        <w:t xml:space="preserve">) </w:t>
      </w:r>
      <w:r w:rsidRPr="000B1627">
        <w:rPr>
          <w:rFonts w:ascii="Times New Roman" w:hAnsi="Times New Roman" w:cs="Times New Roman"/>
          <w:lang w:eastAsia="en-GB"/>
        </w:rPr>
        <w:t>and Council of Europe, which raised concerns that many individuals were dismissed based on vague or indirect associations without sufficient legal protections​</w:t>
      </w:r>
      <w:r w:rsidR="00702484" w:rsidRPr="000B1627">
        <w:rPr>
          <w:rFonts w:ascii="Times New Roman" w:hAnsi="Times New Roman" w:cs="Times New Roman"/>
          <w:lang w:eastAsia="en-GB"/>
        </w:rPr>
        <w:t>.</w:t>
      </w:r>
      <w:r w:rsidRPr="000B1627">
        <w:rPr>
          <w:rStyle w:val="FootnoteReference"/>
          <w:rFonts w:ascii="Times New Roman" w:eastAsia="Times New Roman" w:hAnsi="Times New Roman" w:cs="Times New Roman"/>
          <w:lang w:eastAsia="en-GB"/>
        </w:rPr>
        <w:footnoteReference w:id="66"/>
      </w:r>
      <w:r w:rsidR="00702484" w:rsidRPr="000B1627">
        <w:rPr>
          <w:rFonts w:ascii="Times New Roman" w:hAnsi="Times New Roman" w:cs="Times New Roman"/>
          <w:lang w:eastAsia="en-GB"/>
        </w:rPr>
        <w:t xml:space="preserve"> </w:t>
      </w:r>
      <w:r w:rsidRPr="000B1627">
        <w:rPr>
          <w:rFonts w:ascii="Times New Roman" w:hAnsi="Times New Roman" w:cs="Times New Roman"/>
          <w:lang w:eastAsia="en-GB"/>
        </w:rPr>
        <w:t>The report's suggestion that the Inquiry Commission on State of Emergency Measures (</w:t>
      </w:r>
      <w:r w:rsidR="00BA6977" w:rsidRPr="000B1627">
        <w:rPr>
          <w:rFonts w:ascii="Times New Roman" w:hAnsi="Times New Roman" w:cs="Times New Roman"/>
          <w:lang w:eastAsia="en-GB"/>
        </w:rPr>
        <w:t>“</w:t>
      </w:r>
      <w:r w:rsidR="005E7291" w:rsidRPr="000B1627">
        <w:rPr>
          <w:rFonts w:ascii="Times New Roman" w:hAnsi="Times New Roman" w:cs="Times New Roman"/>
          <w:lang w:eastAsia="en-GB"/>
        </w:rPr>
        <w:t>the Commission</w:t>
      </w:r>
      <w:r w:rsidR="00BA6977" w:rsidRPr="000B1627">
        <w:rPr>
          <w:rFonts w:ascii="Times New Roman" w:hAnsi="Times New Roman" w:cs="Times New Roman"/>
          <w:lang w:eastAsia="en-GB"/>
        </w:rPr>
        <w:t>”</w:t>
      </w:r>
      <w:r w:rsidRPr="000B1627">
        <w:rPr>
          <w:rFonts w:ascii="Times New Roman" w:hAnsi="Times New Roman" w:cs="Times New Roman"/>
          <w:lang w:eastAsia="en-GB"/>
        </w:rPr>
        <w:t>) functions as an effective remedy is misleading</w:t>
      </w:r>
      <w:r w:rsidR="00453247" w:rsidRPr="000B1627">
        <w:rPr>
          <w:rFonts w:ascii="Times New Roman" w:hAnsi="Times New Roman" w:cs="Times New Roman"/>
          <w:lang w:eastAsia="en-GB"/>
        </w:rPr>
        <w:t xml:space="preserve"> as  </w:t>
      </w:r>
      <w:r w:rsidR="00453247" w:rsidRPr="000B1627">
        <w:rPr>
          <w:rFonts w:ascii="Times New Roman" w:hAnsi="Times New Roman" w:cs="Times New Roman"/>
        </w:rPr>
        <w:t>the Commission’s decisions consistently lacked legal certainty, violated the presumption of innocence and the right to a fair trial, criminalized everyday practices, and failed to adequately consider evidence in favour of applicants, thus failing to meet international standards for an effective remedy.</w:t>
      </w:r>
      <w:r w:rsidR="00453247" w:rsidRPr="000B1627">
        <w:rPr>
          <w:rStyle w:val="FootnoteReference"/>
          <w:rFonts w:ascii="Times New Roman" w:hAnsi="Times New Roman" w:cs="Times New Roman"/>
          <w:color w:val="000000"/>
        </w:rPr>
        <w:t xml:space="preserve"> </w:t>
      </w:r>
      <w:r w:rsidR="00453247" w:rsidRPr="000B1627">
        <w:rPr>
          <w:rStyle w:val="FootnoteReference"/>
          <w:rFonts w:ascii="Times New Roman" w:hAnsi="Times New Roman" w:cs="Times New Roman"/>
          <w:color w:val="000000"/>
        </w:rPr>
        <w:footnoteReference w:id="67"/>
      </w:r>
    </w:p>
    <w:p w14:paraId="22A8E1EB" w14:textId="77777777" w:rsidR="00453247" w:rsidRPr="000B1627" w:rsidRDefault="00453247" w:rsidP="00D57ADA">
      <w:pPr>
        <w:pStyle w:val="ListParagraph"/>
        <w:ind w:left="0"/>
        <w:jc w:val="both"/>
        <w:rPr>
          <w:rFonts w:ascii="Times New Roman" w:hAnsi="Times New Roman" w:cs="Times New Roman"/>
          <w:lang w:eastAsia="en-GB"/>
        </w:rPr>
      </w:pPr>
    </w:p>
    <w:p w14:paraId="1FCC8625" w14:textId="32C74B84" w:rsidR="00453247" w:rsidRPr="000B1627" w:rsidRDefault="00453247" w:rsidP="00D57ADA">
      <w:pPr>
        <w:pStyle w:val="ListParagraph"/>
        <w:numPr>
          <w:ilvl w:val="0"/>
          <w:numId w:val="1"/>
        </w:numPr>
        <w:ind w:left="0"/>
        <w:jc w:val="both"/>
        <w:rPr>
          <w:rFonts w:ascii="Times New Roman" w:hAnsi="Times New Roman" w:cs="Times New Roman"/>
          <w:lang w:eastAsia="en-GB"/>
        </w:rPr>
      </w:pPr>
      <w:r w:rsidRPr="000B1627">
        <w:rPr>
          <w:rFonts w:ascii="Times New Roman" w:hAnsi="Times New Roman" w:cs="Times New Roman"/>
          <w:color w:val="000000"/>
        </w:rPr>
        <w:t>Similarly, administrative courts which were set up to review challenges against the Commission’s decisions have failed to provide dismissed public sector workers with an effective domestic remedy.</w:t>
      </w:r>
      <w:r w:rsidRPr="000B1627">
        <w:rPr>
          <w:rFonts w:ascii="Times New Roman" w:hAnsi="Times New Roman" w:cs="Times New Roman"/>
          <w:vertAlign w:val="superscript"/>
        </w:rPr>
        <w:footnoteReference w:id="68"/>
      </w:r>
      <w:r w:rsidRPr="000B1627">
        <w:rPr>
          <w:rFonts w:ascii="Times New Roman" w:hAnsi="Times New Roman" w:cs="Times New Roman"/>
          <w:color w:val="000000"/>
        </w:rPr>
        <w:t xml:space="preserve"> Shortcomings include a lack of reasonable prospects for success, lengthy proceedings, vague standards for dismissal, reliance on subjective evidence, inadequate responses to human rights claims, and inconsistent rulings.</w:t>
      </w:r>
      <w:r w:rsidRPr="000B1627">
        <w:rPr>
          <w:rFonts w:ascii="Times New Roman" w:hAnsi="Times New Roman" w:cs="Times New Roman"/>
          <w:vertAlign w:val="superscript"/>
        </w:rPr>
        <w:footnoteReference w:id="69"/>
      </w:r>
      <w:r w:rsidRPr="000B1627">
        <w:rPr>
          <w:rFonts w:ascii="Times New Roman" w:hAnsi="Times New Roman" w:cs="Times New Roman"/>
          <w:color w:val="000000"/>
        </w:rPr>
        <w:t xml:space="preserve"> According to the research conducted  by the TLSP, as of December 2021, </w:t>
      </w:r>
      <w:r w:rsidRPr="000B1627">
        <w:rPr>
          <w:rFonts w:ascii="Times New Roman" w:hAnsi="Times New Roman" w:cs="Times New Roman"/>
        </w:rPr>
        <w:t>the Ankara Administrative Courts rejected 369 cases on the merits out of 413 decisions reviewed (89%), and the plaintiffs lost at the appeal stage before the Regional Court in 95 appeals out of 99 (96%).</w:t>
      </w:r>
      <w:r w:rsidRPr="000B1627">
        <w:rPr>
          <w:rFonts w:ascii="Times New Roman" w:hAnsi="Times New Roman" w:cs="Times New Roman"/>
          <w:color w:val="000000"/>
        </w:rPr>
        <w:t>Türkiye has taken no meaningful action to address these issues and failed to ensure that dismissed public sector workers have access to an effective remedy.</w:t>
      </w:r>
      <w:r w:rsidRPr="000B1627">
        <w:rPr>
          <w:rStyle w:val="FootnoteReference"/>
          <w:rFonts w:ascii="Times New Roman" w:hAnsi="Times New Roman" w:cs="Times New Roman"/>
          <w:color w:val="000000"/>
        </w:rPr>
        <w:footnoteReference w:id="70"/>
      </w:r>
    </w:p>
    <w:p w14:paraId="72DD7EF3" w14:textId="77777777" w:rsidR="00447CF8" w:rsidRPr="000B1627" w:rsidRDefault="00447CF8" w:rsidP="00D57ADA"/>
    <w:p w14:paraId="365C229E" w14:textId="1F8AC15D" w:rsidR="00447CF8" w:rsidRPr="000B1627" w:rsidRDefault="006A2A89" w:rsidP="00E66520">
      <w:pPr>
        <w:pStyle w:val="ListParagraph"/>
        <w:numPr>
          <w:ilvl w:val="0"/>
          <w:numId w:val="9"/>
        </w:numPr>
        <w:tabs>
          <w:tab w:val="left" w:pos="426"/>
          <w:tab w:val="left" w:pos="709"/>
          <w:tab w:val="left" w:pos="851"/>
          <w:tab w:val="left" w:pos="993"/>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Disproportionate</w:t>
      </w:r>
      <w:r w:rsidR="00447CF8" w:rsidRPr="000B1627">
        <w:rPr>
          <w:rFonts w:ascii="Times New Roman" w:eastAsia="Times New Roman" w:hAnsi="Times New Roman" w:cs="Times New Roman"/>
          <w:i/>
          <w:iCs/>
          <w:lang w:eastAsia="en-GB"/>
        </w:rPr>
        <w:t xml:space="preserve"> Action and </w:t>
      </w:r>
      <w:r w:rsidRPr="000B1627">
        <w:rPr>
          <w:rFonts w:ascii="Times New Roman" w:eastAsia="Times New Roman" w:hAnsi="Times New Roman" w:cs="Times New Roman"/>
          <w:i/>
          <w:iCs/>
          <w:lang w:eastAsia="en-GB"/>
        </w:rPr>
        <w:t>C</w:t>
      </w:r>
      <w:r w:rsidR="00447CF8" w:rsidRPr="000B1627">
        <w:rPr>
          <w:rFonts w:ascii="Times New Roman" w:eastAsia="Times New Roman" w:hAnsi="Times New Roman" w:cs="Times New Roman"/>
          <w:i/>
          <w:iCs/>
          <w:lang w:eastAsia="en-GB"/>
        </w:rPr>
        <w:t xml:space="preserve">ontinuation of </w:t>
      </w:r>
      <w:r w:rsidRPr="000B1627">
        <w:rPr>
          <w:rFonts w:ascii="Times New Roman" w:eastAsia="Times New Roman" w:hAnsi="Times New Roman" w:cs="Times New Roman"/>
          <w:i/>
          <w:iCs/>
          <w:lang w:eastAsia="en-GB"/>
        </w:rPr>
        <w:t>E</w:t>
      </w:r>
      <w:r w:rsidR="00447CF8" w:rsidRPr="000B1627">
        <w:rPr>
          <w:rFonts w:ascii="Times New Roman" w:eastAsia="Times New Roman" w:hAnsi="Times New Roman" w:cs="Times New Roman"/>
          <w:i/>
          <w:iCs/>
          <w:lang w:eastAsia="en-GB"/>
        </w:rPr>
        <w:t xml:space="preserve">mergency </w:t>
      </w:r>
      <w:r w:rsidRPr="000B1627">
        <w:rPr>
          <w:rFonts w:ascii="Times New Roman" w:eastAsia="Times New Roman" w:hAnsi="Times New Roman" w:cs="Times New Roman"/>
          <w:i/>
          <w:iCs/>
          <w:lang w:eastAsia="en-GB"/>
        </w:rPr>
        <w:t>P</w:t>
      </w:r>
      <w:r w:rsidR="00447CF8" w:rsidRPr="000B1627">
        <w:rPr>
          <w:rFonts w:ascii="Times New Roman" w:eastAsia="Times New Roman" w:hAnsi="Times New Roman" w:cs="Times New Roman"/>
          <w:i/>
          <w:iCs/>
          <w:lang w:eastAsia="en-GB"/>
        </w:rPr>
        <w:t>rovisions</w:t>
      </w:r>
    </w:p>
    <w:p w14:paraId="07A8E849" w14:textId="77777777" w:rsidR="00447CF8" w:rsidRPr="000B1627" w:rsidRDefault="00447CF8" w:rsidP="00D57ADA">
      <w:pPr>
        <w:pStyle w:val="ListParagraph"/>
        <w:ind w:left="0"/>
        <w:jc w:val="both"/>
        <w:rPr>
          <w:rFonts w:ascii="Times New Roman" w:eastAsia="Times New Roman" w:hAnsi="Times New Roman" w:cs="Times New Roman"/>
          <w:i/>
          <w:iCs/>
          <w:lang w:eastAsia="en-GB"/>
        </w:rPr>
      </w:pPr>
    </w:p>
    <w:p w14:paraId="75E3E6AC" w14:textId="3A4DFF0C" w:rsidR="00E65314" w:rsidRPr="000B1627" w:rsidRDefault="002D4902"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w:t>
      </w:r>
      <w:r w:rsidR="00E65314" w:rsidRPr="000B1627">
        <w:rPr>
          <w:rFonts w:ascii="Times New Roman" w:eastAsia="Times New Roman" w:hAnsi="Times New Roman" w:cs="Times New Roman"/>
          <w:lang w:eastAsia="en-GB"/>
        </w:rPr>
        <w:t>he report’s assertion that the derogation from the ICCPR and the European Convention on Human Rights (</w:t>
      </w:r>
      <w:r w:rsidR="00BA6977" w:rsidRPr="000B1627">
        <w:rPr>
          <w:rFonts w:ascii="Times New Roman" w:eastAsia="Times New Roman" w:hAnsi="Times New Roman" w:cs="Times New Roman"/>
          <w:lang w:eastAsia="en-GB"/>
        </w:rPr>
        <w:t xml:space="preserve">“the </w:t>
      </w:r>
      <w:r w:rsidR="00E65314" w:rsidRPr="000B1627">
        <w:rPr>
          <w:rFonts w:ascii="Times New Roman" w:eastAsia="Times New Roman" w:hAnsi="Times New Roman" w:cs="Times New Roman"/>
          <w:lang w:eastAsia="en-GB"/>
        </w:rPr>
        <w:t>ECHR</w:t>
      </w:r>
      <w:r w:rsidR="00BA6977" w:rsidRPr="000B1627">
        <w:rPr>
          <w:rFonts w:ascii="Times New Roman" w:eastAsia="Times New Roman" w:hAnsi="Times New Roman" w:cs="Times New Roman"/>
          <w:lang w:eastAsia="en-GB"/>
        </w:rPr>
        <w:t>”</w:t>
      </w:r>
      <w:r w:rsidR="00E65314" w:rsidRPr="000B1627">
        <w:rPr>
          <w:rFonts w:ascii="Times New Roman" w:eastAsia="Times New Roman" w:hAnsi="Times New Roman" w:cs="Times New Roman"/>
          <w:lang w:eastAsia="en-GB"/>
        </w:rPr>
        <w:t xml:space="preserve">) obligations during the </w:t>
      </w:r>
      <w:proofErr w:type="spellStart"/>
      <w:r w:rsidR="00E65314" w:rsidRPr="000B1627">
        <w:rPr>
          <w:rFonts w:ascii="Times New Roman" w:eastAsia="Times New Roman" w:hAnsi="Times New Roman" w:cs="Times New Roman"/>
          <w:lang w:eastAsia="en-GB"/>
        </w:rPr>
        <w:t>SoE</w:t>
      </w:r>
      <w:proofErr w:type="spellEnd"/>
      <w:r w:rsidR="00E65314" w:rsidRPr="000B1627">
        <w:rPr>
          <w:rFonts w:ascii="Times New Roman" w:eastAsia="Times New Roman" w:hAnsi="Times New Roman" w:cs="Times New Roman"/>
          <w:lang w:eastAsia="en-GB"/>
        </w:rPr>
        <w:t xml:space="preserve"> was “exceptional, proportionate, necessary, and temporary” is widely contested. The </w:t>
      </w:r>
      <w:r w:rsidR="00CD7608" w:rsidRPr="000B1627">
        <w:rPr>
          <w:rFonts w:ascii="Times New Roman" w:eastAsia="Times New Roman" w:hAnsi="Times New Roman" w:cs="Times New Roman"/>
          <w:lang w:eastAsia="en-GB"/>
        </w:rPr>
        <w:t>HRC</w:t>
      </w:r>
      <w:r w:rsidR="00E65314" w:rsidRPr="000B1627">
        <w:rPr>
          <w:rFonts w:ascii="Times New Roman" w:eastAsia="Times New Roman" w:hAnsi="Times New Roman" w:cs="Times New Roman"/>
          <w:lang w:eastAsia="en-GB"/>
        </w:rPr>
        <w:t xml:space="preserve"> has raised concerns that many of the emergency measures went beyond what was necessary and violated rights that are not subject to derogation, such as the prohibition of torture and the right to a fair trial.</w:t>
      </w:r>
      <w:r w:rsidR="00E65314" w:rsidRPr="000B1627">
        <w:rPr>
          <w:rStyle w:val="FootnoteReference"/>
          <w:rFonts w:ascii="Times New Roman" w:eastAsia="Times New Roman" w:hAnsi="Times New Roman" w:cs="Times New Roman"/>
          <w:lang w:eastAsia="en-GB"/>
        </w:rPr>
        <w:footnoteReference w:id="71"/>
      </w:r>
      <w:r w:rsidR="00702484" w:rsidRPr="000B1627">
        <w:rPr>
          <w:rFonts w:ascii="Times New Roman" w:eastAsia="Times New Roman" w:hAnsi="Times New Roman" w:cs="Times New Roman"/>
          <w:lang w:eastAsia="en-GB"/>
        </w:rPr>
        <w:t xml:space="preserve"> </w:t>
      </w:r>
      <w:r w:rsidR="00D57ADA" w:rsidRPr="000B1627">
        <w:rPr>
          <w:rFonts w:ascii="Times New Roman" w:eastAsia="Times New Roman" w:hAnsi="Times New Roman" w:cs="Times New Roman"/>
          <w:lang w:eastAsia="en-GB"/>
        </w:rPr>
        <w:t>Türkiye</w:t>
      </w:r>
      <w:r w:rsidR="00E65314" w:rsidRPr="000B1627">
        <w:rPr>
          <w:rFonts w:ascii="Times New Roman" w:eastAsia="Times New Roman" w:hAnsi="Times New Roman" w:cs="Times New Roman"/>
          <w:lang w:eastAsia="en-GB"/>
        </w:rPr>
        <w:t>’s reliance on broad security concerns to justify sweeping derogations, without clear timelines for reinstating rights, undermines the principles of necessity and proportionality under Article 4 of ICCPR.</w:t>
      </w:r>
    </w:p>
    <w:p w14:paraId="4315507E" w14:textId="77777777" w:rsidR="00447CF8" w:rsidRPr="000B1627" w:rsidRDefault="00447CF8" w:rsidP="00D57ADA">
      <w:pPr>
        <w:pStyle w:val="ListParagraph"/>
        <w:ind w:left="0"/>
        <w:jc w:val="both"/>
        <w:rPr>
          <w:rFonts w:ascii="Times New Roman" w:eastAsia="Times New Roman" w:hAnsi="Times New Roman" w:cs="Times New Roman"/>
          <w:lang w:eastAsia="en-GB"/>
        </w:rPr>
      </w:pPr>
    </w:p>
    <w:p w14:paraId="23BDBCEE" w14:textId="77777777" w:rsidR="00447CF8" w:rsidRPr="000B1627" w:rsidRDefault="00E65314"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Even though the </w:t>
      </w:r>
      <w:proofErr w:type="spellStart"/>
      <w:r w:rsidRPr="000B1627">
        <w:rPr>
          <w:rFonts w:ascii="Times New Roman" w:eastAsia="Times New Roman" w:hAnsi="Times New Roman" w:cs="Times New Roman"/>
          <w:lang w:eastAsia="en-GB"/>
        </w:rPr>
        <w:t>SoE</w:t>
      </w:r>
      <w:proofErr w:type="spellEnd"/>
      <w:r w:rsidRPr="000B1627">
        <w:rPr>
          <w:rFonts w:ascii="Times New Roman" w:eastAsia="Times New Roman" w:hAnsi="Times New Roman" w:cs="Times New Roman"/>
          <w:lang w:eastAsia="en-GB"/>
        </w:rPr>
        <w:t xml:space="preserve"> was officially lifted in 2018, Law No. 7145, passed in its aftermath, extended many of the extraordinary powers indefinitely.</w:t>
      </w:r>
      <w:r w:rsidR="00B94444" w:rsidRPr="000B1627">
        <w:rPr>
          <w:rStyle w:val="FootnoteReference"/>
          <w:rFonts w:ascii="Times New Roman" w:eastAsia="Times New Roman" w:hAnsi="Times New Roman" w:cs="Times New Roman"/>
          <w:lang w:eastAsia="en-GB"/>
        </w:rPr>
        <w:footnoteReference w:id="72"/>
      </w:r>
      <w:r w:rsidRPr="000B1627">
        <w:rPr>
          <w:rFonts w:ascii="Times New Roman" w:eastAsia="Times New Roman" w:hAnsi="Times New Roman" w:cs="Times New Roman"/>
          <w:lang w:eastAsia="en-GB"/>
        </w:rPr>
        <w:t xml:space="preserve"> This includes broad powers granted to security forces to detain individuals without charge, which remain in force under regular law. The government continues to apply some of these emergency measures in routine governance, raising concerns about the normalization of emergency powers that should have been temporary. This law blurs the line between emergency governance and ordinary legal frameworks, creating permanent restrictions on freedoms that were meant to be exceptional.</w:t>
      </w:r>
    </w:p>
    <w:p w14:paraId="4105B10E" w14:textId="77777777" w:rsidR="00447CF8" w:rsidRPr="000B1627" w:rsidRDefault="00447CF8" w:rsidP="00D57ADA"/>
    <w:p w14:paraId="12664194" w14:textId="39CA385B" w:rsidR="00E65314" w:rsidRPr="000B1627" w:rsidRDefault="00447CF8" w:rsidP="00E66520">
      <w:pPr>
        <w:pStyle w:val="ListParagraph"/>
        <w:numPr>
          <w:ilvl w:val="0"/>
          <w:numId w:val="9"/>
        </w:numPr>
        <w:tabs>
          <w:tab w:val="left" w:pos="709"/>
          <w:tab w:val="left" w:pos="851"/>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 xml:space="preserve">Misuse of </w:t>
      </w:r>
      <w:r w:rsidR="00702484" w:rsidRPr="000B1627">
        <w:rPr>
          <w:rFonts w:ascii="Times New Roman" w:eastAsia="Times New Roman" w:hAnsi="Times New Roman" w:cs="Times New Roman"/>
          <w:i/>
          <w:iCs/>
          <w:lang w:eastAsia="en-GB"/>
        </w:rPr>
        <w:t xml:space="preserve">Anti-Terror </w:t>
      </w:r>
      <w:r w:rsidRPr="000B1627">
        <w:rPr>
          <w:rFonts w:ascii="Times New Roman" w:eastAsia="Times New Roman" w:hAnsi="Times New Roman" w:cs="Times New Roman"/>
          <w:i/>
          <w:iCs/>
          <w:lang w:eastAsia="en-GB"/>
        </w:rPr>
        <w:t>L</w:t>
      </w:r>
      <w:r w:rsidR="00702484" w:rsidRPr="000B1627">
        <w:rPr>
          <w:rFonts w:ascii="Times New Roman" w:eastAsia="Times New Roman" w:hAnsi="Times New Roman" w:cs="Times New Roman"/>
          <w:i/>
          <w:iCs/>
          <w:lang w:eastAsia="en-GB"/>
        </w:rPr>
        <w:t xml:space="preserve">aw </w:t>
      </w:r>
      <w:r w:rsidRPr="000B1627">
        <w:rPr>
          <w:rFonts w:ascii="Times New Roman" w:eastAsia="Times New Roman" w:hAnsi="Times New Roman" w:cs="Times New Roman"/>
          <w:i/>
          <w:iCs/>
          <w:lang w:eastAsia="en-GB"/>
        </w:rPr>
        <w:t xml:space="preserve">to </w:t>
      </w:r>
      <w:r w:rsidR="00D53AC8" w:rsidRPr="000B1627">
        <w:rPr>
          <w:rFonts w:ascii="Times New Roman" w:eastAsia="Times New Roman" w:hAnsi="Times New Roman" w:cs="Times New Roman"/>
          <w:i/>
          <w:iCs/>
          <w:lang w:eastAsia="en-GB"/>
        </w:rPr>
        <w:t>S</w:t>
      </w:r>
      <w:r w:rsidRPr="000B1627">
        <w:rPr>
          <w:rFonts w:ascii="Times New Roman" w:eastAsia="Times New Roman" w:hAnsi="Times New Roman" w:cs="Times New Roman"/>
          <w:i/>
          <w:iCs/>
          <w:lang w:eastAsia="en-GB"/>
        </w:rPr>
        <w:t xml:space="preserve">upress </w:t>
      </w:r>
      <w:r w:rsidR="00D53AC8" w:rsidRPr="000B1627">
        <w:rPr>
          <w:rFonts w:ascii="Times New Roman" w:eastAsia="Times New Roman" w:hAnsi="Times New Roman" w:cs="Times New Roman"/>
          <w:i/>
          <w:iCs/>
          <w:lang w:eastAsia="en-GB"/>
        </w:rPr>
        <w:t>D</w:t>
      </w:r>
      <w:r w:rsidRPr="000B1627">
        <w:rPr>
          <w:rFonts w:ascii="Times New Roman" w:eastAsia="Times New Roman" w:hAnsi="Times New Roman" w:cs="Times New Roman"/>
          <w:i/>
          <w:iCs/>
          <w:lang w:eastAsia="en-GB"/>
        </w:rPr>
        <w:t xml:space="preserve">issent </w:t>
      </w:r>
    </w:p>
    <w:p w14:paraId="77EE75EC" w14:textId="77777777" w:rsidR="00447CF8" w:rsidRPr="000B1627" w:rsidRDefault="00447CF8" w:rsidP="00D57ADA">
      <w:pPr>
        <w:pStyle w:val="ListParagraph"/>
        <w:ind w:left="0"/>
        <w:jc w:val="both"/>
        <w:rPr>
          <w:rFonts w:ascii="Times New Roman" w:eastAsia="Times New Roman" w:hAnsi="Times New Roman" w:cs="Times New Roman"/>
          <w:i/>
          <w:iCs/>
          <w:lang w:eastAsia="en-GB"/>
        </w:rPr>
      </w:pPr>
    </w:p>
    <w:p w14:paraId="122ED08E" w14:textId="1DE0C684" w:rsidR="00E65314" w:rsidRPr="000B1627" w:rsidRDefault="00E65314"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While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justified the </w:t>
      </w:r>
      <w:proofErr w:type="spellStart"/>
      <w:r w:rsidRPr="000B1627">
        <w:rPr>
          <w:rFonts w:ascii="Times New Roman" w:eastAsia="Times New Roman" w:hAnsi="Times New Roman" w:cs="Times New Roman"/>
          <w:lang w:eastAsia="en-GB"/>
        </w:rPr>
        <w:t>SoE</w:t>
      </w:r>
      <w:proofErr w:type="spellEnd"/>
      <w:r w:rsidRPr="000B1627">
        <w:rPr>
          <w:rFonts w:ascii="Times New Roman" w:eastAsia="Times New Roman" w:hAnsi="Times New Roman" w:cs="Times New Roman"/>
          <w:lang w:eastAsia="en-GB"/>
        </w:rPr>
        <w:t xml:space="preserve"> by citing threats from terrorist organizations, the vague and broad definition of terrorism in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’s legal framework has been used to suppress dissent and target political opposition, particularly members of the HDP and </w:t>
      </w:r>
      <w:r w:rsidR="00385CCD" w:rsidRPr="000B1627">
        <w:rPr>
          <w:rFonts w:ascii="Times New Roman" w:eastAsia="Times New Roman" w:hAnsi="Times New Roman" w:cs="Times New Roman"/>
          <w:lang w:eastAsia="en-GB"/>
        </w:rPr>
        <w:t>pro-</w:t>
      </w:r>
      <w:r w:rsidRPr="000B1627">
        <w:rPr>
          <w:rFonts w:ascii="Times New Roman" w:eastAsia="Times New Roman" w:hAnsi="Times New Roman" w:cs="Times New Roman"/>
          <w:lang w:eastAsia="en-GB"/>
        </w:rPr>
        <w:t xml:space="preserve">Kurdish </w:t>
      </w:r>
      <w:r w:rsidR="00385CCD" w:rsidRPr="000B1627">
        <w:rPr>
          <w:rFonts w:ascii="Times New Roman" w:eastAsia="Times New Roman" w:hAnsi="Times New Roman" w:cs="Times New Roman"/>
          <w:lang w:eastAsia="en-GB"/>
        </w:rPr>
        <w:t xml:space="preserve">rights </w:t>
      </w:r>
      <w:r w:rsidRPr="000B1627">
        <w:rPr>
          <w:rFonts w:ascii="Times New Roman" w:eastAsia="Times New Roman" w:hAnsi="Times New Roman" w:cs="Times New Roman"/>
          <w:lang w:eastAsia="en-GB"/>
        </w:rPr>
        <w:t xml:space="preserve">activists. These laws were used extensively during the </w:t>
      </w:r>
      <w:proofErr w:type="spellStart"/>
      <w:r w:rsidRPr="000B1627">
        <w:rPr>
          <w:rFonts w:ascii="Times New Roman" w:eastAsia="Times New Roman" w:hAnsi="Times New Roman" w:cs="Times New Roman"/>
          <w:lang w:eastAsia="en-GB"/>
        </w:rPr>
        <w:t>SoE</w:t>
      </w:r>
      <w:proofErr w:type="spellEnd"/>
      <w:r w:rsidRPr="000B1627">
        <w:rPr>
          <w:rFonts w:ascii="Times New Roman" w:eastAsia="Times New Roman" w:hAnsi="Times New Roman" w:cs="Times New Roman"/>
          <w:lang w:eastAsia="en-GB"/>
        </w:rPr>
        <w:t xml:space="preserve"> to criminalize political speech and assembly, with thousands of individuals arrested under the guise of national security.</w:t>
      </w:r>
      <w:r w:rsidR="00B94444" w:rsidRPr="000B1627">
        <w:rPr>
          <w:rStyle w:val="FootnoteReference"/>
          <w:rFonts w:ascii="Times New Roman" w:eastAsia="Times New Roman" w:hAnsi="Times New Roman" w:cs="Times New Roman"/>
          <w:lang w:eastAsia="en-GB"/>
        </w:rPr>
        <w:footnoteReference w:id="73"/>
      </w:r>
    </w:p>
    <w:p w14:paraId="290387C4" w14:textId="77777777" w:rsidR="00E65314" w:rsidRPr="000B1627" w:rsidRDefault="00E65314" w:rsidP="00D57ADA">
      <w:pPr>
        <w:rPr>
          <w:b/>
          <w:bCs/>
          <w:i/>
          <w:iCs/>
        </w:rPr>
      </w:pPr>
    </w:p>
    <w:p w14:paraId="077C3C2E" w14:textId="69541873" w:rsidR="00E65314" w:rsidRPr="000B1627" w:rsidRDefault="00E65314" w:rsidP="00D57ADA">
      <w:pPr>
        <w:pStyle w:val="ListParagraph"/>
        <w:numPr>
          <w:ilvl w:val="0"/>
          <w:numId w:val="1"/>
        </w:numPr>
        <w:ind w:left="0"/>
        <w:jc w:val="both"/>
        <w:rPr>
          <w:rFonts w:ascii="Times New Roman" w:eastAsia="Times New Roman" w:hAnsi="Times New Roman" w:cs="Times New Roman"/>
          <w:b/>
          <w:bCs/>
          <w:i/>
          <w:iCs/>
          <w:lang w:eastAsia="en-GB"/>
        </w:rPr>
      </w:pPr>
      <w:r w:rsidRPr="000B1627">
        <w:rPr>
          <w:rFonts w:ascii="Times New Roman" w:eastAsia="Times New Roman" w:hAnsi="Times New Roman" w:cs="Times New Roman"/>
          <w:b/>
          <w:bCs/>
          <w:i/>
          <w:iCs/>
          <w:lang w:eastAsia="en-GB"/>
        </w:rPr>
        <w:lastRenderedPageBreak/>
        <w:t xml:space="preserve">Recommendations for the </w:t>
      </w:r>
      <w:r w:rsidR="001258C6" w:rsidRPr="000B1627">
        <w:rPr>
          <w:rFonts w:ascii="Times New Roman" w:eastAsia="Times New Roman" w:hAnsi="Times New Roman" w:cs="Times New Roman"/>
          <w:b/>
          <w:bCs/>
          <w:i/>
          <w:iCs/>
          <w:lang w:eastAsia="en-GB"/>
        </w:rPr>
        <w:t>S</w:t>
      </w:r>
      <w:r w:rsidRPr="000B1627">
        <w:rPr>
          <w:rFonts w:ascii="Times New Roman" w:eastAsia="Times New Roman" w:hAnsi="Times New Roman" w:cs="Times New Roman"/>
          <w:b/>
          <w:bCs/>
          <w:i/>
          <w:iCs/>
          <w:lang w:eastAsia="en-GB"/>
        </w:rPr>
        <w:t xml:space="preserve">tate </w:t>
      </w:r>
      <w:r w:rsidR="001258C6" w:rsidRPr="000B1627">
        <w:rPr>
          <w:rFonts w:ascii="Times New Roman" w:eastAsia="Times New Roman" w:hAnsi="Times New Roman" w:cs="Times New Roman"/>
          <w:b/>
          <w:bCs/>
          <w:i/>
          <w:iCs/>
          <w:lang w:eastAsia="en-GB"/>
        </w:rPr>
        <w:t>P</w:t>
      </w:r>
      <w:r w:rsidRPr="000B1627">
        <w:rPr>
          <w:rFonts w:ascii="Times New Roman" w:eastAsia="Times New Roman" w:hAnsi="Times New Roman" w:cs="Times New Roman"/>
          <w:b/>
          <w:bCs/>
          <w:i/>
          <w:iCs/>
          <w:lang w:eastAsia="en-GB"/>
        </w:rPr>
        <w:t>arty</w:t>
      </w:r>
    </w:p>
    <w:p w14:paraId="752C3E4F" w14:textId="77777777" w:rsidR="00232588" w:rsidRPr="000B1627" w:rsidRDefault="00232588" w:rsidP="00E66520">
      <w:pPr>
        <w:pStyle w:val="ListParagraph"/>
        <w:ind w:left="0"/>
        <w:jc w:val="both"/>
        <w:rPr>
          <w:rFonts w:ascii="Times New Roman" w:eastAsia="Times New Roman" w:hAnsi="Times New Roman" w:cs="Times New Roman"/>
          <w:b/>
          <w:bCs/>
          <w:i/>
          <w:iCs/>
          <w:lang w:eastAsia="en-GB"/>
        </w:rPr>
      </w:pPr>
    </w:p>
    <w:p w14:paraId="6138067C" w14:textId="5A3AED29" w:rsidR="00453247" w:rsidRPr="000B1627" w:rsidRDefault="00D57ADA" w:rsidP="00350FA8">
      <w:pPr>
        <w:pStyle w:val="ListParagraph"/>
        <w:numPr>
          <w:ilvl w:val="0"/>
          <w:numId w:val="38"/>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E65314" w:rsidRPr="000B1627">
        <w:rPr>
          <w:rFonts w:ascii="Times New Roman" w:eastAsia="Times New Roman" w:hAnsi="Times New Roman" w:cs="Times New Roman"/>
          <w:lang w:eastAsia="en-GB"/>
        </w:rPr>
        <w:t xml:space="preserve"> should review and revoke the emergency powers that have been made permanent under Law No. 7145, restoring fundamental rights and freedoms that were curtailed during the </w:t>
      </w:r>
      <w:proofErr w:type="spellStart"/>
      <w:r w:rsidR="00E65314" w:rsidRPr="000B1627">
        <w:rPr>
          <w:rFonts w:ascii="Times New Roman" w:eastAsia="Times New Roman" w:hAnsi="Times New Roman" w:cs="Times New Roman"/>
          <w:lang w:eastAsia="en-GB"/>
        </w:rPr>
        <w:t>S</w:t>
      </w:r>
      <w:r w:rsidR="00100531" w:rsidRPr="000B1627">
        <w:rPr>
          <w:rFonts w:ascii="Times New Roman" w:eastAsia="Times New Roman" w:hAnsi="Times New Roman" w:cs="Times New Roman"/>
          <w:lang w:eastAsia="en-GB"/>
        </w:rPr>
        <w:t>oE</w:t>
      </w:r>
      <w:proofErr w:type="spellEnd"/>
      <w:r w:rsidR="00E65314" w:rsidRPr="000B1627">
        <w:rPr>
          <w:rFonts w:ascii="Times New Roman" w:eastAsia="Times New Roman" w:hAnsi="Times New Roman" w:cs="Times New Roman"/>
          <w:lang w:eastAsia="en-GB"/>
        </w:rPr>
        <w:t>.</w:t>
      </w:r>
    </w:p>
    <w:p w14:paraId="72B276BC" w14:textId="77777777" w:rsidR="00330829" w:rsidRPr="000B1627" w:rsidRDefault="00330829" w:rsidP="00350FA8">
      <w:pPr>
        <w:pStyle w:val="ListParagraph"/>
        <w:numPr>
          <w:ilvl w:val="0"/>
          <w:numId w:val="38"/>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Türkiye must take steps to ensure that administrative and judicial bodies reviewing cases of dismissed public sector workers are independent, impartial, and effective. It should provide effective remedies for breaches of the right to a fair trial and respect for private and family life of those dismissed during the state of emergency. </w:t>
      </w:r>
    </w:p>
    <w:p w14:paraId="72C31DD2" w14:textId="707BC7E5" w:rsidR="00330829" w:rsidRPr="000B1627" w:rsidRDefault="00330829" w:rsidP="00350FA8">
      <w:pPr>
        <w:pStyle w:val="ListParagraph"/>
        <w:numPr>
          <w:ilvl w:val="0"/>
          <w:numId w:val="38"/>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Türkiye </w:t>
      </w:r>
      <w:r w:rsidR="00F259D6" w:rsidRPr="000B1627">
        <w:rPr>
          <w:rFonts w:ascii="Times New Roman" w:eastAsia="Times New Roman" w:hAnsi="Times New Roman" w:cs="Times New Roman"/>
          <w:lang w:eastAsia="en-GB"/>
        </w:rPr>
        <w:t>should</w:t>
      </w:r>
      <w:r w:rsidRPr="000B1627">
        <w:rPr>
          <w:rFonts w:ascii="Times New Roman" w:eastAsia="Times New Roman" w:hAnsi="Times New Roman" w:cs="Times New Roman"/>
          <w:lang w:eastAsia="en-GB"/>
        </w:rPr>
        <w:t xml:space="preserve"> revise its legislation and policies to improve the effectiveness of remedies for dismissed </w:t>
      </w:r>
      <w:r w:rsidR="00F259D6" w:rsidRPr="000B1627">
        <w:rPr>
          <w:rFonts w:ascii="Times New Roman" w:eastAsia="Times New Roman" w:hAnsi="Times New Roman" w:cs="Times New Roman"/>
          <w:lang w:eastAsia="en-GB"/>
        </w:rPr>
        <w:t xml:space="preserve">public sector </w:t>
      </w:r>
      <w:r w:rsidRPr="000B1627">
        <w:rPr>
          <w:rFonts w:ascii="Times New Roman" w:eastAsia="Times New Roman" w:hAnsi="Times New Roman" w:cs="Times New Roman"/>
          <w:lang w:eastAsia="en-GB"/>
        </w:rPr>
        <w:t>workers, establish a clear time-limit for fair determinations of dismissal challenges, and guarantee full reparation for those whose rights were violated, including compensation and assurances of non-repetition.</w:t>
      </w:r>
    </w:p>
    <w:p w14:paraId="34004AAC" w14:textId="57B0950D" w:rsidR="00453247" w:rsidRPr="000B1627" w:rsidRDefault="00D57ADA" w:rsidP="00350FA8">
      <w:pPr>
        <w:pStyle w:val="ListParagraph"/>
        <w:numPr>
          <w:ilvl w:val="0"/>
          <w:numId w:val="38"/>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E65314" w:rsidRPr="000B1627">
        <w:rPr>
          <w:rFonts w:ascii="Times New Roman" w:eastAsia="Times New Roman" w:hAnsi="Times New Roman" w:cs="Times New Roman"/>
          <w:lang w:eastAsia="en-GB"/>
        </w:rPr>
        <w:t xml:space="preserve"> should revise the legal definition of terrorism in its </w:t>
      </w:r>
      <w:r w:rsidR="00450FAF" w:rsidRPr="000B1627">
        <w:rPr>
          <w:rFonts w:ascii="Times New Roman" w:eastAsia="Times New Roman" w:hAnsi="Times New Roman" w:cs="Times New Roman"/>
          <w:lang w:eastAsia="en-GB"/>
        </w:rPr>
        <w:t>criminal</w:t>
      </w:r>
      <w:r w:rsidR="00E65314" w:rsidRPr="000B1627">
        <w:rPr>
          <w:rFonts w:ascii="Times New Roman" w:eastAsia="Times New Roman" w:hAnsi="Times New Roman" w:cs="Times New Roman"/>
          <w:lang w:eastAsia="en-GB"/>
        </w:rPr>
        <w:t xml:space="preserve"> and counter</w:t>
      </w:r>
      <w:r w:rsidR="00CF775E" w:rsidRPr="000B1627">
        <w:rPr>
          <w:rFonts w:ascii="Times New Roman" w:eastAsia="Times New Roman" w:hAnsi="Times New Roman" w:cs="Times New Roman"/>
          <w:lang w:eastAsia="en-GB"/>
        </w:rPr>
        <w:t xml:space="preserve"> </w:t>
      </w:r>
      <w:r w:rsidR="00E65314" w:rsidRPr="000B1627">
        <w:rPr>
          <w:rFonts w:ascii="Times New Roman" w:eastAsia="Times New Roman" w:hAnsi="Times New Roman" w:cs="Times New Roman"/>
          <w:lang w:eastAsia="en-GB"/>
        </w:rPr>
        <w:t>terrorism laws to prevent the misuse of these laws to suppress political opposition and civil liberties. The definition should be aligned with international human rights standards to ensure that political dissent, peaceful assembly, and free speech are protected from being criminalized under vague terrorism charges.</w:t>
      </w:r>
    </w:p>
    <w:p w14:paraId="2A393176" w14:textId="2D19034B" w:rsidR="00453247" w:rsidRPr="000B1627" w:rsidRDefault="00E65314" w:rsidP="00350FA8">
      <w:pPr>
        <w:pStyle w:val="ListParagraph"/>
        <w:numPr>
          <w:ilvl w:val="0"/>
          <w:numId w:val="38"/>
        </w:numPr>
        <w:tabs>
          <w:tab w:val="left" w:pos="426"/>
        </w:tabs>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The Turkish government must commit to respecting non-</w:t>
      </w:r>
      <w:proofErr w:type="spellStart"/>
      <w:r w:rsidRPr="000B1627">
        <w:rPr>
          <w:rFonts w:ascii="Times New Roman" w:eastAsia="Times New Roman" w:hAnsi="Times New Roman" w:cs="Times New Roman"/>
          <w:lang w:eastAsia="en-GB"/>
        </w:rPr>
        <w:t>derogable</w:t>
      </w:r>
      <w:proofErr w:type="spellEnd"/>
      <w:r w:rsidRPr="000B1627">
        <w:rPr>
          <w:rFonts w:ascii="Times New Roman" w:eastAsia="Times New Roman" w:hAnsi="Times New Roman" w:cs="Times New Roman"/>
          <w:lang w:eastAsia="en-GB"/>
        </w:rPr>
        <w:t xml:space="preserve"> rights, including the prohibition of torture and the right to </w:t>
      </w:r>
      <w:r w:rsidR="00A00A13" w:rsidRPr="000B1627">
        <w:rPr>
          <w:rFonts w:ascii="Times New Roman" w:eastAsia="Times New Roman" w:hAnsi="Times New Roman" w:cs="Times New Roman"/>
          <w:lang w:eastAsia="en-GB"/>
        </w:rPr>
        <w:t xml:space="preserve">access to justice as </w:t>
      </w:r>
      <w:r w:rsidR="002848F4" w:rsidRPr="000B1627">
        <w:rPr>
          <w:rFonts w:ascii="Times New Roman" w:eastAsia="Times New Roman" w:hAnsi="Times New Roman" w:cs="Times New Roman"/>
          <w:lang w:eastAsia="en-GB"/>
        </w:rPr>
        <w:t>an integral component of fair trial principles</w:t>
      </w:r>
      <w:r w:rsidRPr="000B1627">
        <w:rPr>
          <w:rFonts w:ascii="Times New Roman" w:eastAsia="Times New Roman" w:hAnsi="Times New Roman" w:cs="Times New Roman"/>
          <w:lang w:eastAsia="en-GB"/>
        </w:rPr>
        <w:t xml:space="preserve">, even in times of emergency. </w:t>
      </w:r>
    </w:p>
    <w:p w14:paraId="78314FD6" w14:textId="77777777" w:rsidR="005310D5" w:rsidRPr="000B1627" w:rsidRDefault="005310D5" w:rsidP="00D57ADA"/>
    <w:p w14:paraId="16D0C386" w14:textId="61D112DA" w:rsidR="005310D5" w:rsidRPr="000B1627" w:rsidRDefault="00343F16" w:rsidP="00350FA8">
      <w:pPr>
        <w:pStyle w:val="ListParagraph"/>
        <w:numPr>
          <w:ilvl w:val="0"/>
          <w:numId w:val="33"/>
        </w:numPr>
        <w:rPr>
          <w:rFonts w:ascii="Times New Roman" w:hAnsi="Times New Roman" w:cs="Times New Roman"/>
          <w:b/>
          <w:bCs/>
        </w:rPr>
      </w:pPr>
      <w:r w:rsidRPr="000B1627">
        <w:rPr>
          <w:rFonts w:ascii="Times New Roman" w:hAnsi="Times New Roman" w:cs="Times New Roman"/>
          <w:b/>
          <w:bCs/>
        </w:rPr>
        <w:t>Human Rights of</w:t>
      </w:r>
      <w:r w:rsidR="005310D5" w:rsidRPr="000B1627">
        <w:rPr>
          <w:rFonts w:ascii="Times New Roman" w:hAnsi="Times New Roman" w:cs="Times New Roman"/>
          <w:b/>
          <w:bCs/>
        </w:rPr>
        <w:t xml:space="preserve"> </w:t>
      </w:r>
      <w:r w:rsidR="007C7B2D" w:rsidRPr="000B1627">
        <w:rPr>
          <w:rFonts w:ascii="Times New Roman" w:hAnsi="Times New Roman" w:cs="Times New Roman"/>
          <w:b/>
          <w:bCs/>
        </w:rPr>
        <w:t>M</w:t>
      </w:r>
      <w:r w:rsidR="005310D5" w:rsidRPr="000B1627">
        <w:rPr>
          <w:rFonts w:ascii="Times New Roman" w:hAnsi="Times New Roman" w:cs="Times New Roman"/>
          <w:b/>
          <w:bCs/>
        </w:rPr>
        <w:t xml:space="preserve">igrant, </w:t>
      </w:r>
      <w:r w:rsidR="007C7B2D" w:rsidRPr="000B1627">
        <w:rPr>
          <w:rFonts w:ascii="Times New Roman" w:hAnsi="Times New Roman" w:cs="Times New Roman"/>
          <w:b/>
          <w:bCs/>
        </w:rPr>
        <w:t>R</w:t>
      </w:r>
      <w:r w:rsidR="005310D5" w:rsidRPr="000B1627">
        <w:rPr>
          <w:rFonts w:ascii="Times New Roman" w:hAnsi="Times New Roman" w:cs="Times New Roman"/>
          <w:b/>
          <w:bCs/>
        </w:rPr>
        <w:t xml:space="preserve">efugees and </w:t>
      </w:r>
      <w:r w:rsidR="007C7B2D" w:rsidRPr="000B1627">
        <w:rPr>
          <w:rFonts w:ascii="Times New Roman" w:hAnsi="Times New Roman" w:cs="Times New Roman"/>
          <w:b/>
          <w:bCs/>
        </w:rPr>
        <w:t>A</w:t>
      </w:r>
      <w:r w:rsidR="005310D5" w:rsidRPr="000B1627">
        <w:rPr>
          <w:rFonts w:ascii="Times New Roman" w:hAnsi="Times New Roman" w:cs="Times New Roman"/>
          <w:b/>
          <w:bCs/>
        </w:rPr>
        <w:t xml:space="preserve">sylum </w:t>
      </w:r>
      <w:r w:rsidR="007C7B2D" w:rsidRPr="000B1627">
        <w:rPr>
          <w:rFonts w:ascii="Times New Roman" w:hAnsi="Times New Roman" w:cs="Times New Roman"/>
          <w:b/>
          <w:bCs/>
        </w:rPr>
        <w:t>S</w:t>
      </w:r>
      <w:r w:rsidR="005310D5" w:rsidRPr="000B1627">
        <w:rPr>
          <w:rFonts w:ascii="Times New Roman" w:hAnsi="Times New Roman" w:cs="Times New Roman"/>
          <w:b/>
          <w:bCs/>
        </w:rPr>
        <w:t>eekers (Concerning Article 7, 9, 12, 13 and 24 of the ICCPR)</w:t>
      </w:r>
    </w:p>
    <w:p w14:paraId="64D60598" w14:textId="77777777" w:rsidR="003A747A" w:rsidRPr="000B1627" w:rsidRDefault="003A747A" w:rsidP="00D57ADA">
      <w:pPr>
        <w:rPr>
          <w:b/>
          <w:bCs/>
        </w:rPr>
      </w:pPr>
    </w:p>
    <w:p w14:paraId="61E9AC0B" w14:textId="0B60BB5F" w:rsidR="005310D5" w:rsidRPr="000B1627" w:rsidRDefault="005310D5" w:rsidP="00E66520">
      <w:pPr>
        <w:pStyle w:val="ListParagraph"/>
        <w:numPr>
          <w:ilvl w:val="0"/>
          <w:numId w:val="17"/>
        </w:numPr>
        <w:tabs>
          <w:tab w:val="left" w:pos="993"/>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 xml:space="preserve">Forced </w:t>
      </w:r>
      <w:r w:rsidR="007C7B2D" w:rsidRPr="000B1627">
        <w:rPr>
          <w:rFonts w:ascii="Times New Roman" w:eastAsia="Times New Roman" w:hAnsi="Times New Roman" w:cs="Times New Roman"/>
          <w:i/>
          <w:iCs/>
          <w:lang w:eastAsia="en-GB"/>
        </w:rPr>
        <w:t>R</w:t>
      </w:r>
      <w:r w:rsidRPr="000B1627">
        <w:rPr>
          <w:rFonts w:ascii="Times New Roman" w:eastAsia="Times New Roman" w:hAnsi="Times New Roman" w:cs="Times New Roman"/>
          <w:i/>
          <w:iCs/>
          <w:lang w:eastAsia="en-GB"/>
        </w:rPr>
        <w:t xml:space="preserve">eturn and </w:t>
      </w:r>
      <w:r w:rsidR="007C7B2D" w:rsidRPr="000B1627">
        <w:rPr>
          <w:rFonts w:ascii="Times New Roman" w:eastAsia="Times New Roman" w:hAnsi="Times New Roman" w:cs="Times New Roman"/>
          <w:i/>
          <w:iCs/>
          <w:lang w:eastAsia="en-GB"/>
        </w:rPr>
        <w:t>P</w:t>
      </w:r>
      <w:r w:rsidRPr="000B1627">
        <w:rPr>
          <w:rFonts w:ascii="Times New Roman" w:eastAsia="Times New Roman" w:hAnsi="Times New Roman" w:cs="Times New Roman"/>
          <w:i/>
          <w:iCs/>
          <w:lang w:eastAsia="en-GB"/>
        </w:rPr>
        <w:t xml:space="preserve">rinciple of </w:t>
      </w:r>
      <w:r w:rsidR="007C7B2D" w:rsidRPr="000B1627">
        <w:rPr>
          <w:rFonts w:ascii="Times New Roman" w:eastAsia="Times New Roman" w:hAnsi="Times New Roman" w:cs="Times New Roman"/>
          <w:i/>
          <w:iCs/>
          <w:lang w:eastAsia="en-GB"/>
        </w:rPr>
        <w:t>N</w:t>
      </w:r>
      <w:r w:rsidRPr="000B1627">
        <w:rPr>
          <w:rFonts w:ascii="Times New Roman" w:eastAsia="Times New Roman" w:hAnsi="Times New Roman" w:cs="Times New Roman"/>
          <w:i/>
          <w:iCs/>
          <w:lang w:eastAsia="en-GB"/>
        </w:rPr>
        <w:t>on-</w:t>
      </w:r>
      <w:r w:rsidR="007C7B2D" w:rsidRPr="000B1627">
        <w:rPr>
          <w:rFonts w:ascii="Times New Roman" w:eastAsia="Times New Roman" w:hAnsi="Times New Roman" w:cs="Times New Roman"/>
          <w:i/>
          <w:iCs/>
          <w:lang w:eastAsia="en-GB"/>
        </w:rPr>
        <w:t>R</w:t>
      </w:r>
      <w:r w:rsidRPr="000B1627">
        <w:rPr>
          <w:rFonts w:ascii="Times New Roman" w:eastAsia="Times New Roman" w:hAnsi="Times New Roman" w:cs="Times New Roman"/>
          <w:i/>
          <w:iCs/>
          <w:lang w:eastAsia="en-GB"/>
        </w:rPr>
        <w:t>efoulement</w:t>
      </w:r>
    </w:p>
    <w:p w14:paraId="5C79FCF5" w14:textId="77777777" w:rsidR="005310D5" w:rsidRPr="000B1627" w:rsidRDefault="005310D5" w:rsidP="00D57ADA">
      <w:pPr>
        <w:pStyle w:val="ListParagraph"/>
        <w:ind w:left="0"/>
        <w:jc w:val="both"/>
        <w:rPr>
          <w:rFonts w:ascii="Times New Roman" w:eastAsia="Times New Roman" w:hAnsi="Times New Roman" w:cs="Times New Roman"/>
          <w:i/>
          <w:iCs/>
          <w:lang w:eastAsia="en-GB"/>
        </w:rPr>
      </w:pPr>
    </w:p>
    <w:p w14:paraId="4EEA3079" w14:textId="29017B5C" w:rsidR="005310D5"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The State Party report outlines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's legal framework for managing migrants, refugees, and asylum seekers under Law No. 6458 and the Temporary Protection Regulation. While these measures are in place technically, there are significant gaps between the legal provisions and their implementation in practice, often leading restraining refugees, asylum seekers and migrants from accessing their rights. </w:t>
      </w:r>
    </w:p>
    <w:p w14:paraId="09527A43" w14:textId="77777777" w:rsidR="005310D5" w:rsidRPr="000B1627" w:rsidRDefault="005310D5" w:rsidP="00D57ADA">
      <w:pPr>
        <w:pStyle w:val="ListParagraph"/>
        <w:ind w:left="0"/>
        <w:jc w:val="both"/>
        <w:rPr>
          <w:rFonts w:ascii="Times New Roman" w:eastAsia="Times New Roman" w:hAnsi="Times New Roman" w:cs="Times New Roman"/>
          <w:lang w:eastAsia="en-GB"/>
        </w:rPr>
      </w:pPr>
    </w:p>
    <w:p w14:paraId="3C2909D2" w14:textId="1B886E4E" w:rsidR="005310D5"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The </w:t>
      </w:r>
      <w:r w:rsidR="00B649EA" w:rsidRPr="000B1627">
        <w:rPr>
          <w:rFonts w:ascii="Times New Roman" w:eastAsia="Times New Roman" w:hAnsi="Times New Roman" w:cs="Times New Roman"/>
          <w:lang w:eastAsia="en-GB"/>
        </w:rPr>
        <w:t>S</w:t>
      </w:r>
      <w:r w:rsidRPr="000B1627">
        <w:rPr>
          <w:rFonts w:ascii="Times New Roman" w:eastAsia="Times New Roman" w:hAnsi="Times New Roman" w:cs="Times New Roman"/>
          <w:lang w:eastAsia="en-GB"/>
        </w:rPr>
        <w:t xml:space="preserve">tate </w:t>
      </w:r>
      <w:r w:rsidR="00B649EA" w:rsidRPr="000B1627">
        <w:rPr>
          <w:rFonts w:ascii="Times New Roman" w:eastAsia="Times New Roman" w:hAnsi="Times New Roman" w:cs="Times New Roman"/>
          <w:lang w:eastAsia="en-GB"/>
        </w:rPr>
        <w:t>P</w:t>
      </w:r>
      <w:r w:rsidRPr="000B1627">
        <w:rPr>
          <w:rFonts w:ascii="Times New Roman" w:eastAsia="Times New Roman" w:hAnsi="Times New Roman" w:cs="Times New Roman"/>
          <w:lang w:eastAsia="en-GB"/>
        </w:rPr>
        <w:t xml:space="preserve">arty report asserts that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adheres to the principle of non-refoulement as enshrined in Article 4 of Law No. 6458, meaning refugees and asylum seekers cannot be returned to a country where they face persecution. However, there have been numerous documented violations of this principle. HRW and other organizations have reported that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has forcibly returned Syrian refugees to conflict zones in Syria under the guise of "voluntary returns." In many cases, these returns were not voluntary, with refugees being coerced or pressured into signing voluntary return forms under threat of deportation​.</w:t>
      </w:r>
      <w:r w:rsidRPr="000B1627">
        <w:rPr>
          <w:rStyle w:val="FootnoteReference"/>
          <w:rFonts w:ascii="Times New Roman" w:eastAsia="Times New Roman" w:hAnsi="Times New Roman" w:cs="Times New Roman"/>
          <w:lang w:eastAsia="en-GB"/>
        </w:rPr>
        <w:footnoteReference w:id="74"/>
      </w:r>
    </w:p>
    <w:p w14:paraId="4EAD2DB8" w14:textId="77777777" w:rsidR="005310D5" w:rsidRPr="000B1627" w:rsidRDefault="005310D5" w:rsidP="00D57ADA">
      <w:pPr>
        <w:pStyle w:val="ListParagraph"/>
        <w:ind w:left="0"/>
        <w:jc w:val="both"/>
        <w:rPr>
          <w:rFonts w:ascii="Times New Roman" w:eastAsia="Times New Roman" w:hAnsi="Times New Roman" w:cs="Times New Roman"/>
          <w:lang w:eastAsia="en-GB"/>
        </w:rPr>
      </w:pPr>
    </w:p>
    <w:p w14:paraId="64BFC275" w14:textId="7C6182F8" w:rsidR="005310D5" w:rsidRPr="000B1627" w:rsidRDefault="005310D5" w:rsidP="00E66520">
      <w:pPr>
        <w:pStyle w:val="ListParagraph"/>
        <w:numPr>
          <w:ilvl w:val="0"/>
          <w:numId w:val="17"/>
        </w:numPr>
        <w:tabs>
          <w:tab w:val="left" w:pos="851"/>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 xml:space="preserve">Inadequate </w:t>
      </w:r>
      <w:r w:rsidR="007C7B2D" w:rsidRPr="000B1627">
        <w:rPr>
          <w:rFonts w:ascii="Times New Roman" w:eastAsia="Times New Roman" w:hAnsi="Times New Roman" w:cs="Times New Roman"/>
          <w:i/>
          <w:iCs/>
          <w:lang w:eastAsia="en-GB"/>
        </w:rPr>
        <w:t>P</w:t>
      </w:r>
      <w:r w:rsidRPr="000B1627">
        <w:rPr>
          <w:rFonts w:ascii="Times New Roman" w:eastAsia="Times New Roman" w:hAnsi="Times New Roman" w:cs="Times New Roman"/>
          <w:i/>
          <w:iCs/>
          <w:lang w:eastAsia="en-GB"/>
        </w:rPr>
        <w:t xml:space="preserve">rotection and </w:t>
      </w:r>
      <w:r w:rsidR="007C7B2D" w:rsidRPr="000B1627">
        <w:rPr>
          <w:rFonts w:ascii="Times New Roman" w:eastAsia="Times New Roman" w:hAnsi="Times New Roman" w:cs="Times New Roman"/>
          <w:i/>
          <w:iCs/>
          <w:lang w:eastAsia="en-GB"/>
        </w:rPr>
        <w:t>D</w:t>
      </w:r>
      <w:r w:rsidRPr="000B1627">
        <w:rPr>
          <w:rFonts w:ascii="Times New Roman" w:eastAsia="Times New Roman" w:hAnsi="Times New Roman" w:cs="Times New Roman"/>
          <w:i/>
          <w:iCs/>
          <w:lang w:eastAsia="en-GB"/>
        </w:rPr>
        <w:t>iscrimination against Refugees</w:t>
      </w:r>
    </w:p>
    <w:p w14:paraId="2B9401CF" w14:textId="77777777" w:rsidR="005310D5" w:rsidRPr="000B1627" w:rsidRDefault="005310D5" w:rsidP="00382FDB">
      <w:pPr>
        <w:pStyle w:val="ListParagraph"/>
        <w:tabs>
          <w:tab w:val="left" w:pos="851"/>
          <w:tab w:val="left" w:pos="993"/>
        </w:tabs>
        <w:ind w:left="0"/>
        <w:jc w:val="both"/>
        <w:rPr>
          <w:rFonts w:ascii="Times New Roman" w:eastAsia="Times New Roman" w:hAnsi="Times New Roman" w:cs="Times New Roman"/>
          <w:i/>
          <w:iCs/>
          <w:lang w:eastAsia="en-GB"/>
        </w:rPr>
      </w:pPr>
    </w:p>
    <w:p w14:paraId="68162CFA" w14:textId="6072583B" w:rsidR="005310D5" w:rsidRPr="000B1627" w:rsidRDefault="00D57ADA"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lastRenderedPageBreak/>
        <w:t>Türkiye</w:t>
      </w:r>
      <w:r w:rsidR="005310D5" w:rsidRPr="000B1627">
        <w:rPr>
          <w:rFonts w:ascii="Times New Roman" w:eastAsia="Times New Roman" w:hAnsi="Times New Roman" w:cs="Times New Roman"/>
          <w:lang w:eastAsia="en-GB"/>
        </w:rPr>
        <w:t xml:space="preserve"> hosts over 3.7 million refugees, the largest refugee population in the world. However, this influx has severely strained the country’s infrastructure and resources. </w:t>
      </w:r>
      <w:r w:rsidR="00A47A1C" w:rsidRPr="000B1627">
        <w:rPr>
          <w:rStyle w:val="FootnoteReference"/>
          <w:rFonts w:ascii="Times New Roman" w:eastAsia="Times New Roman" w:hAnsi="Times New Roman" w:cs="Times New Roman"/>
          <w:lang w:eastAsia="en-GB"/>
        </w:rPr>
        <w:footnoteReference w:id="75"/>
      </w:r>
      <w:r w:rsidR="005310D5" w:rsidRPr="000B1627">
        <w:rPr>
          <w:rFonts w:ascii="Times New Roman" w:eastAsia="Times New Roman" w:hAnsi="Times New Roman" w:cs="Times New Roman"/>
          <w:lang w:eastAsia="en-GB"/>
        </w:rPr>
        <w:t>The situation is further complicated by rising anti-refugee sentiments that are often expressed in violent terms.</w:t>
      </w:r>
      <w:r w:rsidR="00D04564" w:rsidRPr="000B1627">
        <w:rPr>
          <w:rFonts w:ascii="Times New Roman" w:eastAsia="Times New Roman" w:hAnsi="Times New Roman" w:cs="Times New Roman"/>
          <w:lang w:eastAsia="en-GB"/>
        </w:rPr>
        <w:t xml:space="preserve"> </w:t>
      </w:r>
      <w:r w:rsidR="005310D5" w:rsidRPr="000B1627">
        <w:rPr>
          <w:rFonts w:ascii="Times New Roman" w:eastAsia="Times New Roman" w:hAnsi="Times New Roman" w:cs="Times New Roman"/>
          <w:lang w:eastAsia="en-GB"/>
        </w:rPr>
        <w:t>While the Temporary Protection Regulation provides legal status to refugees, many live in substandard conditions, particularly outside official refugee camps. In informal settlements, refugees face limited access to healthcare, education, and employment, often leaving them vulnerable to exploitation in the informal labour market.</w:t>
      </w:r>
      <w:r w:rsidR="00A47A1C" w:rsidRPr="000B1627">
        <w:rPr>
          <w:rStyle w:val="FootnoteReference"/>
          <w:rFonts w:ascii="Times New Roman" w:eastAsia="Times New Roman" w:hAnsi="Times New Roman" w:cs="Times New Roman"/>
          <w:lang w:eastAsia="en-GB"/>
        </w:rPr>
        <w:footnoteReference w:id="76"/>
      </w:r>
    </w:p>
    <w:p w14:paraId="35C8574D" w14:textId="77777777" w:rsidR="005310D5" w:rsidRPr="000B1627" w:rsidRDefault="005310D5" w:rsidP="00D57ADA">
      <w:pPr>
        <w:pStyle w:val="ListParagraph"/>
        <w:ind w:left="0"/>
        <w:jc w:val="both"/>
        <w:rPr>
          <w:rFonts w:ascii="Times New Roman" w:eastAsia="Times New Roman" w:hAnsi="Times New Roman" w:cs="Times New Roman"/>
          <w:lang w:eastAsia="en-GB"/>
        </w:rPr>
      </w:pPr>
    </w:p>
    <w:p w14:paraId="61C9EEB3" w14:textId="69649F0E" w:rsidR="005310D5"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Refugees under temporary protection frequently encounter discrimination, especially in employment, where they are often forced into low-wage, informal jobs without legal protection. Additionally, access to education remains limited, particularly for refugee children, many of whom do not attend school due to language barriers, financial difficulties, and lack of available resources</w:t>
      </w:r>
      <w:r w:rsidR="00FE0C8F" w:rsidRPr="000B1627">
        <w:rPr>
          <w:rFonts w:ascii="Times New Roman" w:eastAsia="Times New Roman" w:hAnsi="Times New Roman" w:cs="Times New Roman"/>
          <w:lang w:eastAsia="en-GB"/>
        </w:rPr>
        <w:t>.</w:t>
      </w:r>
      <w:r w:rsidRPr="000B1627">
        <w:rPr>
          <w:rFonts w:ascii="Times New Roman" w:eastAsia="Times New Roman" w:hAnsi="Times New Roman" w:cs="Times New Roman"/>
          <w:lang w:eastAsia="en-GB"/>
        </w:rPr>
        <w:t>​</w:t>
      </w:r>
      <w:r w:rsidRPr="000B1627">
        <w:rPr>
          <w:rStyle w:val="FootnoteReference"/>
          <w:rFonts w:ascii="Times New Roman" w:eastAsia="Times New Roman" w:hAnsi="Times New Roman" w:cs="Times New Roman"/>
          <w:lang w:eastAsia="en-GB"/>
        </w:rPr>
        <w:footnoteReference w:id="77"/>
      </w:r>
    </w:p>
    <w:p w14:paraId="1AD73F0B" w14:textId="77777777" w:rsidR="005310D5" w:rsidRPr="000B1627" w:rsidRDefault="005310D5" w:rsidP="00D57ADA">
      <w:pPr>
        <w:pStyle w:val="ListParagraph"/>
        <w:ind w:left="0"/>
        <w:jc w:val="both"/>
        <w:rPr>
          <w:rFonts w:ascii="Times New Roman" w:eastAsia="Times New Roman" w:hAnsi="Times New Roman" w:cs="Times New Roman"/>
          <w:lang w:eastAsia="en-GB"/>
        </w:rPr>
      </w:pPr>
    </w:p>
    <w:p w14:paraId="4E9A3FB1" w14:textId="13E274AB" w:rsidR="005310D5" w:rsidRPr="000B1627" w:rsidRDefault="005310D5" w:rsidP="00E66520">
      <w:pPr>
        <w:pStyle w:val="ListParagraph"/>
        <w:numPr>
          <w:ilvl w:val="0"/>
          <w:numId w:val="17"/>
        </w:numPr>
        <w:tabs>
          <w:tab w:val="left" w:pos="851"/>
        </w:tabs>
        <w:ind w:left="0" w:firstLine="567"/>
        <w:jc w:val="both"/>
        <w:rPr>
          <w:rFonts w:ascii="Times New Roman" w:eastAsia="Times New Roman" w:hAnsi="Times New Roman" w:cs="Times New Roman"/>
          <w:i/>
          <w:iCs/>
          <w:lang w:eastAsia="en-GB"/>
        </w:rPr>
      </w:pPr>
      <w:r w:rsidRPr="000B1627">
        <w:rPr>
          <w:rFonts w:ascii="Times New Roman" w:eastAsia="Times New Roman" w:hAnsi="Times New Roman" w:cs="Times New Roman"/>
          <w:i/>
          <w:iCs/>
          <w:lang w:eastAsia="en-GB"/>
        </w:rPr>
        <w:t xml:space="preserve">Procedural </w:t>
      </w:r>
      <w:r w:rsidR="007C7B2D" w:rsidRPr="000B1627">
        <w:rPr>
          <w:rFonts w:ascii="Times New Roman" w:eastAsia="Times New Roman" w:hAnsi="Times New Roman" w:cs="Times New Roman"/>
          <w:i/>
          <w:iCs/>
          <w:lang w:eastAsia="en-GB"/>
        </w:rPr>
        <w:t>I</w:t>
      </w:r>
      <w:r w:rsidRPr="000B1627">
        <w:rPr>
          <w:rFonts w:ascii="Times New Roman" w:eastAsia="Times New Roman" w:hAnsi="Times New Roman" w:cs="Times New Roman"/>
          <w:i/>
          <w:iCs/>
          <w:lang w:eastAsia="en-GB"/>
        </w:rPr>
        <w:t>nefficiencies</w:t>
      </w:r>
      <w:r w:rsidR="00D04564" w:rsidRPr="000B1627">
        <w:rPr>
          <w:rFonts w:ascii="Times New Roman" w:eastAsia="Times New Roman" w:hAnsi="Times New Roman" w:cs="Times New Roman"/>
          <w:i/>
          <w:iCs/>
          <w:lang w:eastAsia="en-GB"/>
        </w:rPr>
        <w:t xml:space="preserve"> and </w:t>
      </w:r>
      <w:r w:rsidR="007C7B2D" w:rsidRPr="000B1627">
        <w:rPr>
          <w:rFonts w:ascii="Times New Roman" w:eastAsia="Times New Roman" w:hAnsi="Times New Roman" w:cs="Times New Roman"/>
          <w:i/>
          <w:iCs/>
          <w:lang w:eastAsia="en-GB"/>
        </w:rPr>
        <w:t>D</w:t>
      </w:r>
      <w:r w:rsidR="00D04564" w:rsidRPr="000B1627">
        <w:rPr>
          <w:rFonts w:ascii="Times New Roman" w:eastAsia="Times New Roman" w:hAnsi="Times New Roman" w:cs="Times New Roman"/>
          <w:i/>
          <w:iCs/>
          <w:lang w:eastAsia="en-GB"/>
        </w:rPr>
        <w:t>elays</w:t>
      </w:r>
      <w:r w:rsidRPr="000B1627">
        <w:rPr>
          <w:rFonts w:ascii="Times New Roman" w:eastAsia="Times New Roman" w:hAnsi="Times New Roman" w:cs="Times New Roman"/>
          <w:i/>
          <w:iCs/>
          <w:lang w:eastAsia="en-GB"/>
        </w:rPr>
        <w:t xml:space="preserve"> </w:t>
      </w:r>
    </w:p>
    <w:p w14:paraId="0E8A5A12" w14:textId="77777777" w:rsidR="00D04564" w:rsidRPr="000B1627" w:rsidRDefault="00D04564" w:rsidP="00D57ADA">
      <w:pPr>
        <w:pStyle w:val="ListParagraph"/>
        <w:ind w:left="0"/>
        <w:jc w:val="both"/>
        <w:rPr>
          <w:rFonts w:ascii="Times New Roman" w:eastAsia="Times New Roman" w:hAnsi="Times New Roman" w:cs="Times New Roman"/>
          <w:i/>
          <w:iCs/>
          <w:lang w:eastAsia="en-GB"/>
        </w:rPr>
      </w:pPr>
    </w:p>
    <w:p w14:paraId="6CAE262D" w14:textId="79E352BB" w:rsidR="005310D5"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While the Presidency of Migration Management is responsible for handling asylum applications and refugee protection, it faces significant challenges in managing the large refugee population.</w:t>
      </w:r>
      <w:r w:rsidR="007A4DBA" w:rsidRPr="000B1627">
        <w:rPr>
          <w:rStyle w:val="FootnoteReference"/>
          <w:rFonts w:ascii="Times New Roman" w:eastAsia="Times New Roman" w:hAnsi="Times New Roman" w:cs="Times New Roman"/>
          <w:lang w:eastAsia="en-GB"/>
        </w:rPr>
        <w:footnoteReference w:id="78"/>
      </w:r>
      <w:r w:rsidR="00CF4869" w:rsidRPr="000B1627">
        <w:rPr>
          <w:rFonts w:ascii="Times New Roman" w:eastAsia="Times New Roman" w:hAnsi="Times New Roman" w:cs="Times New Roman"/>
          <w:lang w:eastAsia="en-GB"/>
        </w:rPr>
        <w:t xml:space="preserve"> </w:t>
      </w:r>
      <w:r w:rsidRPr="000B1627">
        <w:rPr>
          <w:rFonts w:ascii="Times New Roman" w:eastAsia="Times New Roman" w:hAnsi="Times New Roman" w:cs="Times New Roman"/>
          <w:lang w:eastAsia="en-GB"/>
        </w:rPr>
        <w:t>The legal protections guaranteed by Law No. 6458 are often not fully implemented due to a lack of resources and capacity. This discrepancy between the law and its enforcement leaves many refugees and asylum seekers without adequate protection​.</w:t>
      </w:r>
    </w:p>
    <w:p w14:paraId="6FFB6AAE" w14:textId="77777777" w:rsidR="00D04564" w:rsidRPr="000B1627" w:rsidRDefault="00D04564" w:rsidP="00D57ADA">
      <w:pPr>
        <w:pStyle w:val="ListParagraph"/>
        <w:ind w:left="0"/>
        <w:jc w:val="both"/>
        <w:rPr>
          <w:rFonts w:ascii="Times New Roman" w:eastAsia="Times New Roman" w:hAnsi="Times New Roman" w:cs="Times New Roman"/>
          <w:lang w:eastAsia="en-GB"/>
        </w:rPr>
      </w:pPr>
    </w:p>
    <w:p w14:paraId="1B38896D" w14:textId="00B91B6C" w:rsidR="00D04564"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Although the </w:t>
      </w:r>
      <w:r w:rsidR="004C429C" w:rsidRPr="000B1627">
        <w:rPr>
          <w:rFonts w:ascii="Times New Roman" w:eastAsia="Times New Roman" w:hAnsi="Times New Roman" w:cs="Times New Roman"/>
          <w:lang w:eastAsia="en-GB"/>
        </w:rPr>
        <w:t>S</w:t>
      </w:r>
      <w:r w:rsidRPr="000B1627">
        <w:rPr>
          <w:rFonts w:ascii="Times New Roman" w:eastAsia="Times New Roman" w:hAnsi="Times New Roman" w:cs="Times New Roman"/>
          <w:lang w:eastAsia="en-GB"/>
        </w:rPr>
        <w:t xml:space="preserve">tate </w:t>
      </w:r>
      <w:r w:rsidR="004C429C" w:rsidRPr="000B1627">
        <w:rPr>
          <w:rFonts w:ascii="Times New Roman" w:eastAsia="Times New Roman" w:hAnsi="Times New Roman" w:cs="Times New Roman"/>
          <w:lang w:eastAsia="en-GB"/>
        </w:rPr>
        <w:t>P</w:t>
      </w:r>
      <w:r w:rsidRPr="000B1627">
        <w:rPr>
          <w:rFonts w:ascii="Times New Roman" w:eastAsia="Times New Roman" w:hAnsi="Times New Roman" w:cs="Times New Roman"/>
          <w:lang w:eastAsia="en-GB"/>
        </w:rPr>
        <w:t xml:space="preserve">arty report claims that migrants and refugees who enter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can apply for international protection, under Law No. 6458,</w:t>
      </w:r>
      <w:r w:rsidR="00CF4869" w:rsidRPr="000B1627">
        <w:rPr>
          <w:rFonts w:ascii="Times New Roman" w:eastAsia="Times New Roman" w:hAnsi="Times New Roman" w:cs="Times New Roman"/>
          <w:lang w:eastAsia="en-GB"/>
        </w:rPr>
        <w:t xml:space="preserve"> </w:t>
      </w:r>
      <w:r w:rsidRPr="000B1627">
        <w:rPr>
          <w:rFonts w:ascii="Times New Roman" w:eastAsia="Times New Roman" w:hAnsi="Times New Roman" w:cs="Times New Roman"/>
          <w:lang w:eastAsia="en-GB"/>
        </w:rPr>
        <w:t>there are widespread concerns about access to fair asylum procedures. Refugees and migrants</w:t>
      </w:r>
      <w:r w:rsidR="00D04564" w:rsidRPr="000B1627">
        <w:rPr>
          <w:rFonts w:ascii="Times New Roman" w:eastAsia="Times New Roman" w:hAnsi="Times New Roman" w:cs="Times New Roman"/>
          <w:lang w:eastAsia="en-GB"/>
        </w:rPr>
        <w:t xml:space="preserve"> </w:t>
      </w:r>
      <w:r w:rsidRPr="000B1627">
        <w:rPr>
          <w:rFonts w:ascii="Times New Roman" w:eastAsia="Times New Roman" w:hAnsi="Times New Roman" w:cs="Times New Roman"/>
          <w:lang w:eastAsia="en-GB"/>
        </w:rPr>
        <w:t>face difficulties in applying for asylum. For example, Afghan and Iraqi refugees are frequently placed in detention centr</w:t>
      </w:r>
      <w:r w:rsidR="007A4DBA" w:rsidRPr="000B1627">
        <w:rPr>
          <w:rFonts w:ascii="Times New Roman" w:eastAsia="Times New Roman" w:hAnsi="Times New Roman" w:cs="Times New Roman"/>
          <w:lang w:eastAsia="en-GB"/>
        </w:rPr>
        <w:t>e</w:t>
      </w:r>
      <w:r w:rsidRPr="000B1627">
        <w:rPr>
          <w:rFonts w:ascii="Times New Roman" w:eastAsia="Times New Roman" w:hAnsi="Times New Roman" w:cs="Times New Roman"/>
          <w:lang w:eastAsia="en-GB"/>
        </w:rPr>
        <w:t>s without proper access to legal counsel or the opportunity to appeal deportation decisions​</w:t>
      </w:r>
      <w:r w:rsidR="00CF4869" w:rsidRPr="000B1627">
        <w:rPr>
          <w:rFonts w:ascii="Times New Roman" w:eastAsia="Times New Roman" w:hAnsi="Times New Roman" w:cs="Times New Roman"/>
          <w:lang w:eastAsia="en-GB"/>
        </w:rPr>
        <w:t>.</w:t>
      </w:r>
      <w:r w:rsidRPr="000B1627">
        <w:rPr>
          <w:rStyle w:val="FootnoteReference"/>
          <w:rFonts w:ascii="Times New Roman" w:eastAsia="Times New Roman" w:hAnsi="Times New Roman" w:cs="Times New Roman"/>
          <w:lang w:eastAsia="en-GB"/>
        </w:rPr>
        <w:footnoteReference w:id="79"/>
      </w:r>
    </w:p>
    <w:p w14:paraId="62FCE9F2" w14:textId="77777777" w:rsidR="00D04564" w:rsidRPr="000B1627" w:rsidRDefault="00D04564" w:rsidP="00D57ADA">
      <w:pPr>
        <w:pStyle w:val="ListParagraph"/>
        <w:ind w:left="0"/>
        <w:jc w:val="both"/>
        <w:rPr>
          <w:rFonts w:ascii="Times New Roman" w:eastAsia="Times New Roman" w:hAnsi="Times New Roman" w:cs="Times New Roman"/>
          <w:lang w:eastAsia="en-GB"/>
        </w:rPr>
      </w:pPr>
    </w:p>
    <w:p w14:paraId="1BA7D078" w14:textId="585DB00F" w:rsidR="00D04564"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Additionally, there have been reports of long delays in processing asylum applications, leaving many refugees in legal limbo, unable to work or access basic services while their applications are pending. Detention conditions for migrants are faced with issues such as overcrowding and inadequate access to healthcare​</w:t>
      </w:r>
      <w:r w:rsidR="00CF4869" w:rsidRPr="000B1627">
        <w:rPr>
          <w:rFonts w:ascii="Times New Roman" w:eastAsia="Times New Roman" w:hAnsi="Times New Roman" w:cs="Times New Roman"/>
          <w:lang w:eastAsia="en-GB"/>
        </w:rPr>
        <w:t>.</w:t>
      </w:r>
      <w:r w:rsidRPr="000B1627">
        <w:rPr>
          <w:rStyle w:val="FootnoteReference"/>
          <w:rFonts w:ascii="Times New Roman" w:eastAsia="Times New Roman" w:hAnsi="Times New Roman" w:cs="Times New Roman"/>
          <w:lang w:eastAsia="en-GB"/>
        </w:rPr>
        <w:footnoteReference w:id="80"/>
      </w:r>
    </w:p>
    <w:p w14:paraId="0FF5401F" w14:textId="77777777" w:rsidR="00D04564" w:rsidRPr="000B1627" w:rsidRDefault="00D04564" w:rsidP="00D57ADA">
      <w:pPr>
        <w:pStyle w:val="ListParagraph"/>
        <w:ind w:left="0"/>
        <w:jc w:val="both"/>
        <w:rPr>
          <w:rFonts w:ascii="Times New Roman" w:eastAsia="Times New Roman" w:hAnsi="Times New Roman" w:cs="Times New Roman"/>
          <w:lang w:eastAsia="en-GB"/>
        </w:rPr>
      </w:pPr>
    </w:p>
    <w:p w14:paraId="4EA9A566" w14:textId="1D3827A3" w:rsidR="005310D5" w:rsidRPr="000B1627" w:rsidRDefault="005310D5" w:rsidP="00D57ADA">
      <w:pPr>
        <w:pStyle w:val="ListParagraph"/>
        <w:numPr>
          <w:ilvl w:val="0"/>
          <w:numId w:val="1"/>
        </w:numPr>
        <w:ind w:left="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Despite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’s legal framework under Law No. 6458 and the Temporary Protection Regulation, the country faces significant challenges in ensuring fair treatment for migrants, refugees, and asylum seekers. Discriminatory practices against refugees, coercion in refugee returns, and inadequate living conditions highlight the disconnect between the legal provisions </w:t>
      </w:r>
      <w:r w:rsidRPr="000B1627">
        <w:rPr>
          <w:rFonts w:ascii="Times New Roman" w:eastAsia="Times New Roman" w:hAnsi="Times New Roman" w:cs="Times New Roman"/>
          <w:lang w:eastAsia="en-GB"/>
        </w:rPr>
        <w:lastRenderedPageBreak/>
        <w:t>and their implementation. Addressing these challenges will require greater resources, stronger oversight, and a commitment to ensuring that all refugees, regardless of nationality, are treated fairly and humanely under Turkish and international law.</w:t>
      </w:r>
    </w:p>
    <w:p w14:paraId="5D3B2679" w14:textId="77777777" w:rsidR="005310D5" w:rsidRPr="000B1627" w:rsidRDefault="005310D5" w:rsidP="00D57ADA">
      <w:pPr>
        <w:pStyle w:val="ListParagraph"/>
        <w:ind w:left="0"/>
        <w:jc w:val="both"/>
        <w:rPr>
          <w:rFonts w:ascii="Times New Roman" w:eastAsia="Times New Roman" w:hAnsi="Times New Roman" w:cs="Times New Roman"/>
          <w:lang w:eastAsia="en-GB"/>
        </w:rPr>
      </w:pPr>
    </w:p>
    <w:p w14:paraId="413FE9CA" w14:textId="7D02CBE7" w:rsidR="005310D5" w:rsidRPr="000B1627" w:rsidRDefault="005310D5" w:rsidP="00D57ADA">
      <w:pPr>
        <w:pStyle w:val="ListParagraph"/>
        <w:numPr>
          <w:ilvl w:val="0"/>
          <w:numId w:val="1"/>
        </w:numPr>
        <w:ind w:left="0"/>
        <w:jc w:val="both"/>
        <w:rPr>
          <w:rFonts w:ascii="Times New Roman" w:eastAsia="Times New Roman" w:hAnsi="Times New Roman" w:cs="Times New Roman"/>
          <w:b/>
          <w:bCs/>
          <w:i/>
          <w:iCs/>
          <w:lang w:eastAsia="en-GB"/>
        </w:rPr>
      </w:pPr>
      <w:r w:rsidRPr="000B1627">
        <w:rPr>
          <w:rFonts w:ascii="Times New Roman" w:eastAsia="Times New Roman" w:hAnsi="Times New Roman" w:cs="Times New Roman"/>
          <w:b/>
          <w:bCs/>
          <w:i/>
          <w:iCs/>
          <w:lang w:eastAsia="en-GB"/>
        </w:rPr>
        <w:t xml:space="preserve">Recommendations for the </w:t>
      </w:r>
      <w:r w:rsidR="007C7B2D" w:rsidRPr="000B1627">
        <w:rPr>
          <w:rFonts w:ascii="Times New Roman" w:eastAsia="Times New Roman" w:hAnsi="Times New Roman" w:cs="Times New Roman"/>
          <w:b/>
          <w:bCs/>
          <w:i/>
          <w:iCs/>
          <w:lang w:eastAsia="en-GB"/>
        </w:rPr>
        <w:t>S</w:t>
      </w:r>
      <w:r w:rsidRPr="000B1627">
        <w:rPr>
          <w:rFonts w:ascii="Times New Roman" w:eastAsia="Times New Roman" w:hAnsi="Times New Roman" w:cs="Times New Roman"/>
          <w:b/>
          <w:bCs/>
          <w:i/>
          <w:iCs/>
          <w:lang w:eastAsia="en-GB"/>
        </w:rPr>
        <w:t xml:space="preserve">tate </w:t>
      </w:r>
      <w:r w:rsidR="007C7B2D" w:rsidRPr="000B1627">
        <w:rPr>
          <w:rFonts w:ascii="Times New Roman" w:eastAsia="Times New Roman" w:hAnsi="Times New Roman" w:cs="Times New Roman"/>
          <w:b/>
          <w:bCs/>
          <w:i/>
          <w:iCs/>
          <w:lang w:eastAsia="en-GB"/>
        </w:rPr>
        <w:t>P</w:t>
      </w:r>
      <w:r w:rsidRPr="000B1627">
        <w:rPr>
          <w:rFonts w:ascii="Times New Roman" w:eastAsia="Times New Roman" w:hAnsi="Times New Roman" w:cs="Times New Roman"/>
          <w:b/>
          <w:bCs/>
          <w:i/>
          <w:iCs/>
          <w:lang w:eastAsia="en-GB"/>
        </w:rPr>
        <w:t xml:space="preserve">arty </w:t>
      </w:r>
    </w:p>
    <w:p w14:paraId="4BF8D18F" w14:textId="77777777" w:rsidR="005310D5" w:rsidRPr="000B1627" w:rsidRDefault="005310D5" w:rsidP="00D57ADA">
      <w:pPr>
        <w:pStyle w:val="ListParagraph"/>
        <w:ind w:left="0"/>
        <w:jc w:val="both"/>
        <w:rPr>
          <w:rFonts w:ascii="Times New Roman" w:eastAsia="Times New Roman" w:hAnsi="Times New Roman" w:cs="Times New Roman"/>
          <w:lang w:eastAsia="en-GB"/>
        </w:rPr>
      </w:pPr>
    </w:p>
    <w:p w14:paraId="48A1FD75" w14:textId="1234EA91" w:rsidR="00E766D6" w:rsidRPr="000B1627" w:rsidRDefault="00D57ADA" w:rsidP="00350FA8">
      <w:pPr>
        <w:pStyle w:val="ListParagraph"/>
        <w:numPr>
          <w:ilvl w:val="0"/>
          <w:numId w:val="42"/>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5310D5" w:rsidRPr="000B1627">
        <w:rPr>
          <w:rFonts w:ascii="Times New Roman" w:eastAsia="Times New Roman" w:hAnsi="Times New Roman" w:cs="Times New Roman"/>
          <w:lang w:eastAsia="en-GB"/>
        </w:rPr>
        <w:t xml:space="preserve"> should enhance mechanisms to monitor returns and ensure that all returns are genuinely voluntary. Independent oversight committees should be established, involving international organizations, to verify that refugees are not being coerced into signing voluntary return forms. Clear, transparent processes for documenting and reviewing returns should be implemented, with refugees provided full access to legal counsel to challenge return decisions.</w:t>
      </w:r>
    </w:p>
    <w:p w14:paraId="1FC21652" w14:textId="48326491" w:rsidR="00E766D6" w:rsidRPr="000B1627" w:rsidRDefault="005310D5" w:rsidP="00350FA8">
      <w:pPr>
        <w:pStyle w:val="ListParagraph"/>
        <w:numPr>
          <w:ilvl w:val="0"/>
          <w:numId w:val="42"/>
        </w:numPr>
        <w:spacing w:before="80" w:after="80"/>
        <w:contextualSpacing w:val="0"/>
        <w:jc w:val="both"/>
        <w:rPr>
          <w:rFonts w:ascii="Times New Roman" w:hAnsi="Times New Roman" w:cs="Times New Roman"/>
        </w:rPr>
      </w:pPr>
      <w:r w:rsidRPr="000B1627">
        <w:rPr>
          <w:rFonts w:ascii="Times New Roman" w:hAnsi="Times New Roman" w:cs="Times New Roman"/>
        </w:rPr>
        <w:t>Efforts to combat rising anti-refugee sentiments must be strengthened through public awareness campaigns that highlight the contributions of refugees to Turkish society and promote tolerance. Legal protections against discrimination in employment, housing, and access to public services must be enforced, with penalties for employers or institutions that exploit refugees or deny them basic rights.</w:t>
      </w:r>
    </w:p>
    <w:p w14:paraId="0CD7A3DF" w14:textId="3C7A1DA5" w:rsidR="00E766D6" w:rsidRPr="000B1627" w:rsidRDefault="005310D5" w:rsidP="00350FA8">
      <w:pPr>
        <w:pStyle w:val="ListParagraph"/>
        <w:numPr>
          <w:ilvl w:val="0"/>
          <w:numId w:val="42"/>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 xml:space="preserve">To ensure the fair treatment of all asylum seekers, regardless of nationality,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must improve access to legal assistance for </w:t>
      </w:r>
      <w:r w:rsidR="00053695" w:rsidRPr="000B1627">
        <w:rPr>
          <w:rFonts w:ascii="Times New Roman" w:eastAsia="Times New Roman" w:hAnsi="Times New Roman" w:cs="Times New Roman"/>
          <w:lang w:eastAsia="en-GB"/>
        </w:rPr>
        <w:t xml:space="preserve">refugees, </w:t>
      </w:r>
      <w:r w:rsidR="008174BC" w:rsidRPr="000B1627">
        <w:rPr>
          <w:rFonts w:ascii="Times New Roman" w:eastAsia="Times New Roman" w:hAnsi="Times New Roman" w:cs="Times New Roman"/>
          <w:lang w:eastAsia="en-GB"/>
        </w:rPr>
        <w:t>d</w:t>
      </w:r>
      <w:r w:rsidRPr="000B1627">
        <w:rPr>
          <w:rFonts w:ascii="Times New Roman" w:eastAsia="Times New Roman" w:hAnsi="Times New Roman" w:cs="Times New Roman"/>
          <w:lang w:eastAsia="en-GB"/>
        </w:rPr>
        <w:t>etention centr</w:t>
      </w:r>
      <w:r w:rsidR="007910CA" w:rsidRPr="000B1627">
        <w:rPr>
          <w:rFonts w:ascii="Times New Roman" w:eastAsia="Times New Roman" w:hAnsi="Times New Roman" w:cs="Times New Roman"/>
          <w:lang w:eastAsia="en-GB"/>
        </w:rPr>
        <w:t>e</w:t>
      </w:r>
      <w:r w:rsidRPr="000B1627">
        <w:rPr>
          <w:rFonts w:ascii="Times New Roman" w:eastAsia="Times New Roman" w:hAnsi="Times New Roman" w:cs="Times New Roman"/>
          <w:lang w:eastAsia="en-GB"/>
        </w:rPr>
        <w:t xml:space="preserve">s must provide refugees with access to legal counsel and ensure that deportation decisions can be appealed effectively. In addition, </w:t>
      </w:r>
      <w:r w:rsidR="00D57ADA" w:rsidRPr="000B1627">
        <w:rPr>
          <w:rFonts w:ascii="Times New Roman" w:eastAsia="Times New Roman" w:hAnsi="Times New Roman" w:cs="Times New Roman"/>
          <w:lang w:eastAsia="en-GB"/>
        </w:rPr>
        <w:t>Türkiye</w:t>
      </w:r>
      <w:r w:rsidRPr="000B1627">
        <w:rPr>
          <w:rFonts w:ascii="Times New Roman" w:eastAsia="Times New Roman" w:hAnsi="Times New Roman" w:cs="Times New Roman"/>
          <w:lang w:eastAsia="en-GB"/>
        </w:rPr>
        <w:t xml:space="preserve"> should develop a transparent and efficient asylum process, reducing long delays and ensuring that applicants are not left in legal limbo.</w:t>
      </w:r>
    </w:p>
    <w:p w14:paraId="20A561AA" w14:textId="79B32431" w:rsidR="008174BC" w:rsidRPr="000B1627" w:rsidRDefault="005310D5" w:rsidP="00350FA8">
      <w:pPr>
        <w:pStyle w:val="ListParagraph"/>
        <w:numPr>
          <w:ilvl w:val="0"/>
          <w:numId w:val="42"/>
        </w:numPr>
        <w:spacing w:before="80" w:after="80"/>
        <w:contextualSpacing w:val="0"/>
        <w:jc w:val="both"/>
        <w:rPr>
          <w:rFonts w:ascii="Times New Roman" w:hAnsi="Times New Roman" w:cs="Times New Roman"/>
        </w:rPr>
      </w:pPr>
      <w:r w:rsidRPr="000B1627">
        <w:rPr>
          <w:rFonts w:ascii="Times New Roman" w:hAnsi="Times New Roman" w:cs="Times New Roman"/>
        </w:rPr>
        <w:t>Conditions in detention centr</w:t>
      </w:r>
      <w:r w:rsidR="007910CA" w:rsidRPr="000B1627">
        <w:rPr>
          <w:rFonts w:ascii="Times New Roman" w:hAnsi="Times New Roman" w:cs="Times New Roman"/>
        </w:rPr>
        <w:t>e</w:t>
      </w:r>
      <w:r w:rsidRPr="000B1627">
        <w:rPr>
          <w:rFonts w:ascii="Times New Roman" w:hAnsi="Times New Roman" w:cs="Times New Roman"/>
        </w:rPr>
        <w:t xml:space="preserve">s must be improved, with particular attention given to overcrowding, healthcare, and the treatment of detainees. Regular, independent inspections should be conducted to monitor conditions, and any violations of detainees' rights should be addressed immediately. </w:t>
      </w:r>
      <w:r w:rsidR="00D57ADA" w:rsidRPr="000B1627">
        <w:rPr>
          <w:rFonts w:ascii="Times New Roman" w:hAnsi="Times New Roman" w:cs="Times New Roman"/>
        </w:rPr>
        <w:t>Türkiye</w:t>
      </w:r>
      <w:r w:rsidRPr="000B1627">
        <w:rPr>
          <w:rFonts w:ascii="Times New Roman" w:hAnsi="Times New Roman" w:cs="Times New Roman"/>
        </w:rPr>
        <w:t xml:space="preserve"> must also ensure that refugees are not held in detention for extended periods without just cause.</w:t>
      </w:r>
    </w:p>
    <w:p w14:paraId="119BFF20" w14:textId="68805EAA" w:rsidR="005310D5" w:rsidRPr="000B1627" w:rsidRDefault="00D57ADA" w:rsidP="00350FA8">
      <w:pPr>
        <w:pStyle w:val="ListParagraph"/>
        <w:numPr>
          <w:ilvl w:val="0"/>
          <w:numId w:val="42"/>
        </w:numPr>
        <w:spacing w:before="80" w:after="80"/>
        <w:contextualSpacing w:val="0"/>
        <w:jc w:val="both"/>
        <w:rPr>
          <w:rFonts w:ascii="Times New Roman" w:eastAsia="Times New Roman" w:hAnsi="Times New Roman" w:cs="Times New Roman"/>
          <w:lang w:eastAsia="en-GB"/>
        </w:rPr>
      </w:pPr>
      <w:r w:rsidRPr="000B1627">
        <w:rPr>
          <w:rFonts w:ascii="Times New Roman" w:eastAsia="Times New Roman" w:hAnsi="Times New Roman" w:cs="Times New Roman"/>
          <w:lang w:eastAsia="en-GB"/>
        </w:rPr>
        <w:t>Türkiye</w:t>
      </w:r>
      <w:r w:rsidR="005310D5" w:rsidRPr="000B1627">
        <w:rPr>
          <w:rFonts w:ascii="Times New Roman" w:eastAsia="Times New Roman" w:hAnsi="Times New Roman" w:cs="Times New Roman"/>
          <w:lang w:eastAsia="en-GB"/>
        </w:rPr>
        <w:t xml:space="preserve"> should ensure the full implementation of protections for migrants, refugees, and asylum seekers under Law No. 6458 and the Temporary Protection Regulation. A stronger oversight mechanism should be established to ensure that these legal protections are enforced, and greater transparency should be provided in the handling of asylum applications.</w:t>
      </w:r>
    </w:p>
    <w:p w14:paraId="7F6B14D6" w14:textId="77777777" w:rsidR="00F63A68" w:rsidRPr="000B1627" w:rsidRDefault="00F63A68" w:rsidP="00D57ADA">
      <w:pPr>
        <w:pStyle w:val="ListParagraph"/>
        <w:ind w:left="0"/>
        <w:jc w:val="both"/>
        <w:rPr>
          <w:rFonts w:ascii="Times New Roman" w:eastAsia="Times New Roman" w:hAnsi="Times New Roman" w:cs="Times New Roman"/>
          <w:lang w:eastAsia="en-GB"/>
        </w:rPr>
      </w:pPr>
    </w:p>
    <w:p w14:paraId="4A0B5B0A" w14:textId="6B787D25" w:rsidR="008A46AB" w:rsidRPr="000B1627" w:rsidRDefault="008A46AB" w:rsidP="00350FA8">
      <w:pPr>
        <w:pStyle w:val="ListParagraph"/>
        <w:numPr>
          <w:ilvl w:val="0"/>
          <w:numId w:val="33"/>
        </w:numPr>
        <w:rPr>
          <w:rFonts w:ascii="Times New Roman" w:hAnsi="Times New Roman" w:cs="Times New Roman"/>
          <w:b/>
          <w:bCs/>
        </w:rPr>
      </w:pPr>
      <w:r w:rsidRPr="000B1627">
        <w:rPr>
          <w:rFonts w:ascii="Times New Roman" w:hAnsi="Times New Roman" w:cs="Times New Roman"/>
          <w:b/>
          <w:bCs/>
        </w:rPr>
        <w:t>Conclusion</w:t>
      </w:r>
    </w:p>
    <w:p w14:paraId="4B1D7675" w14:textId="77777777" w:rsidR="00C111B0" w:rsidRPr="000B1627" w:rsidRDefault="00C111B0" w:rsidP="00D57ADA">
      <w:pPr>
        <w:rPr>
          <w:b/>
          <w:bCs/>
        </w:rPr>
      </w:pPr>
    </w:p>
    <w:p w14:paraId="30B06DDE" w14:textId="04996DFB" w:rsidR="00F63A68" w:rsidRPr="000B1627" w:rsidRDefault="007854CB" w:rsidP="004C416F">
      <w:pPr>
        <w:pStyle w:val="NormalWeb"/>
        <w:numPr>
          <w:ilvl w:val="0"/>
          <w:numId w:val="1"/>
        </w:numPr>
        <w:spacing w:before="0" w:beforeAutospacing="0" w:after="0" w:afterAutospacing="0"/>
        <w:ind w:left="0"/>
        <w:jc w:val="both"/>
      </w:pPr>
      <w:r w:rsidRPr="000B1627">
        <w:t>T</w:t>
      </w:r>
      <w:r w:rsidR="008A46AB" w:rsidRPr="000B1627">
        <w:t xml:space="preserve">his submission aims to highlight the critical gaps between </w:t>
      </w:r>
      <w:r w:rsidR="009E3ECB" w:rsidRPr="000B1627">
        <w:t>Türkiye</w:t>
      </w:r>
      <w:r w:rsidR="008A46AB" w:rsidRPr="000B1627">
        <w:t>'s formal commitments to the I</w:t>
      </w:r>
      <w:r w:rsidRPr="000B1627">
        <w:t>CCPR</w:t>
      </w:r>
      <w:r w:rsidR="008A46AB" w:rsidRPr="000B1627">
        <w:t xml:space="preserve"> and their practical implementation. The State Party report, while outlining a legal framework that claims to protect fundamental rights, fails to address the widespread violations occurring under the guise of national security, counter</w:t>
      </w:r>
      <w:r w:rsidR="00B86B0E" w:rsidRPr="000B1627">
        <w:t xml:space="preserve"> </w:t>
      </w:r>
      <w:r w:rsidR="008A46AB" w:rsidRPr="000B1627">
        <w:t xml:space="preserve">terrorism, and emergency governance. From the entrenched discrimination against the Kurdish population </w:t>
      </w:r>
      <w:r w:rsidRPr="000B1627">
        <w:t xml:space="preserve">and minorities </w:t>
      </w:r>
      <w:r w:rsidR="008A46AB" w:rsidRPr="000B1627">
        <w:t xml:space="preserve">and the suppression of political opposition to the misuse of anti-terrorism laws and the undermining of judicial independence, these practices systematically weaken the protection of civil and political rights in </w:t>
      </w:r>
      <w:r w:rsidR="00D57ADA" w:rsidRPr="000B1627">
        <w:t>Türkiye</w:t>
      </w:r>
      <w:r w:rsidR="008A46AB" w:rsidRPr="000B1627">
        <w:t>.</w:t>
      </w:r>
    </w:p>
    <w:p w14:paraId="62F659D6" w14:textId="77777777" w:rsidR="007C7B2D" w:rsidRPr="000B1627" w:rsidRDefault="007C7B2D" w:rsidP="00350FA8">
      <w:pPr>
        <w:pStyle w:val="NormalWeb"/>
        <w:spacing w:before="0" w:beforeAutospacing="0" w:after="0" w:afterAutospacing="0"/>
        <w:jc w:val="both"/>
      </w:pPr>
    </w:p>
    <w:p w14:paraId="7B73B250" w14:textId="0D1CEE62" w:rsidR="008A46AB" w:rsidRPr="000B1627" w:rsidRDefault="008A46AB" w:rsidP="004C416F">
      <w:pPr>
        <w:pStyle w:val="NormalWeb"/>
        <w:numPr>
          <w:ilvl w:val="0"/>
          <w:numId w:val="1"/>
        </w:numPr>
        <w:spacing w:before="0" w:beforeAutospacing="0" w:after="0" w:afterAutospacing="0"/>
        <w:ind w:left="0"/>
        <w:jc w:val="both"/>
      </w:pPr>
      <w:r w:rsidRPr="000B1627">
        <w:t xml:space="preserve">Moreover, the treatment of refugees and migrants, the ongoing use of torture and ill-treatment in detention facilities, and the curtailment of freedom of assembly highlight a troubling trend towards the erosion of basic human rights. The measures taken during the </w:t>
      </w:r>
      <w:proofErr w:type="spellStart"/>
      <w:r w:rsidRPr="000B1627">
        <w:t>S</w:t>
      </w:r>
      <w:r w:rsidR="001D25F3" w:rsidRPr="000B1627">
        <w:t>oE</w:t>
      </w:r>
      <w:proofErr w:type="spellEnd"/>
      <w:r w:rsidRPr="000B1627">
        <w:t xml:space="preserve">, and their </w:t>
      </w:r>
      <w:r w:rsidRPr="000B1627">
        <w:lastRenderedPageBreak/>
        <w:t>continuation in ordinary governance, raise concerns about the normalization of extraordinary powers without adequate checks or safeguards.</w:t>
      </w:r>
    </w:p>
    <w:p w14:paraId="6BBFC26E" w14:textId="77777777" w:rsidR="007C7B2D" w:rsidRPr="000B1627" w:rsidRDefault="007C7B2D" w:rsidP="00350FA8">
      <w:pPr>
        <w:pStyle w:val="NormalWeb"/>
        <w:spacing w:before="0" w:beforeAutospacing="0" w:after="0" w:afterAutospacing="0"/>
        <w:jc w:val="both"/>
      </w:pPr>
    </w:p>
    <w:p w14:paraId="506F5CA3" w14:textId="29F1E1EC" w:rsidR="008A46AB" w:rsidRPr="000B1627" w:rsidRDefault="008A46AB" w:rsidP="00350FA8">
      <w:pPr>
        <w:pStyle w:val="NormalWeb"/>
        <w:numPr>
          <w:ilvl w:val="0"/>
          <w:numId w:val="1"/>
        </w:numPr>
        <w:spacing w:before="0" w:beforeAutospacing="0" w:after="0" w:afterAutospacing="0"/>
        <w:ind w:left="0"/>
        <w:jc w:val="both"/>
      </w:pPr>
      <w:r w:rsidRPr="000B1627">
        <w:t>It is imperative that Türkiye take immediate and concrete steps to address these human rights violations and bring its domestic laws and practices in line with its international obligations under the ICCPR. The recommendations outlined in this submission call for greater accountability, transparency, and adherence to the rule of law to ensure the protection of civil and political rights for all individuals in Türkiye. Reforms in the areas of judicial independence, fair trial standards, anti-terrorism laws, and the treatment of refugees and migrants are essential to restoring public trust in Türkiye’s commitment to upholding human rights and democratic principles.</w:t>
      </w:r>
    </w:p>
    <w:sectPr w:rsidR="008A46AB" w:rsidRPr="000B16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7A59E" w14:textId="77777777" w:rsidR="002925D3" w:rsidRPr="00BC01C2" w:rsidRDefault="002925D3" w:rsidP="007F1607">
      <w:r w:rsidRPr="00BC01C2">
        <w:separator/>
      </w:r>
    </w:p>
  </w:endnote>
  <w:endnote w:type="continuationSeparator" w:id="0">
    <w:p w14:paraId="19EBABD7" w14:textId="77777777" w:rsidR="002925D3" w:rsidRPr="00BC01C2" w:rsidRDefault="002925D3" w:rsidP="007F1607">
      <w:r w:rsidRPr="00BC01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D3007" w14:textId="77777777" w:rsidR="002925D3" w:rsidRPr="00BC01C2" w:rsidRDefault="002925D3" w:rsidP="007F1607">
      <w:r w:rsidRPr="00BC01C2">
        <w:separator/>
      </w:r>
    </w:p>
  </w:footnote>
  <w:footnote w:type="continuationSeparator" w:id="0">
    <w:p w14:paraId="4EA04D3D" w14:textId="77777777" w:rsidR="002925D3" w:rsidRPr="00BC01C2" w:rsidRDefault="002925D3" w:rsidP="007F1607">
      <w:r w:rsidRPr="00BC01C2">
        <w:continuationSeparator/>
      </w:r>
    </w:p>
  </w:footnote>
  <w:footnote w:id="1">
    <w:p w14:paraId="471529F6" w14:textId="00C5FF1E" w:rsidR="00DB5DF0" w:rsidRPr="000B1627" w:rsidRDefault="00DB5DF0" w:rsidP="006946B7">
      <w:pPr>
        <w:jc w:val="both"/>
        <w:rPr>
          <w:color w:val="000000" w:themeColor="text1"/>
          <w:sz w:val="20"/>
          <w:szCs w:val="20"/>
        </w:rPr>
      </w:pPr>
      <w:r w:rsidRPr="000B1627">
        <w:rPr>
          <w:rStyle w:val="FootnoteReference"/>
          <w:sz w:val="20"/>
          <w:szCs w:val="20"/>
        </w:rPr>
        <w:footnoteRef/>
      </w:r>
      <w:r w:rsidRPr="000B1627">
        <w:rPr>
          <w:color w:val="000000" w:themeColor="text1"/>
          <w:sz w:val="20"/>
          <w:szCs w:val="20"/>
        </w:rPr>
        <w:t xml:space="preserve">TLSP provides expertise and legal assistance on human rights issues to domestic lawyers in Türkiye, collaborating closely with Bar Associations and civil societies, to pursue effective strategic litigation. Involving leading academics, human rights lawyers, and researchers both within Türkiye and internationally, the project engages in litigation, research, advocacy, and capacity building. The project supports cases before the Turkish Constitutional Court, the ECtHR and UN bodies. </w:t>
      </w:r>
      <w:r w:rsidRPr="000B1627">
        <w:rPr>
          <w:sz w:val="20"/>
          <w:szCs w:val="20"/>
        </w:rPr>
        <w:t xml:space="preserve">See TLSP website: </w:t>
      </w:r>
      <w:hyperlink r:id="rId1" w:history="1">
        <w:r w:rsidRPr="000B1627">
          <w:rPr>
            <w:rStyle w:val="Hyperlink"/>
            <w:sz w:val="20"/>
            <w:szCs w:val="20"/>
          </w:rPr>
          <w:t>https://www.turkeylitigationsupport.com/</w:t>
        </w:r>
      </w:hyperlink>
      <w:r w:rsidRPr="000B1627">
        <w:rPr>
          <w:sz w:val="20"/>
          <w:szCs w:val="20"/>
        </w:rPr>
        <w:t>.</w:t>
      </w:r>
    </w:p>
  </w:footnote>
  <w:footnote w:id="2">
    <w:p w14:paraId="11F797DD" w14:textId="66F55FB2" w:rsidR="00DB5DF0" w:rsidRPr="000B1627" w:rsidRDefault="00DB5DF0"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color w:val="000000" w:themeColor="text1"/>
        </w:rPr>
        <w:t>LL</w:t>
      </w:r>
      <w:r w:rsidR="00350FA8" w:rsidRPr="000B1627">
        <w:rPr>
          <w:rFonts w:ascii="Times New Roman" w:hAnsi="Times New Roman" w:cs="Times New Roman"/>
          <w:color w:val="000000" w:themeColor="text1"/>
        </w:rPr>
        <w:t>G</w:t>
      </w:r>
      <w:r w:rsidRPr="000B1627">
        <w:rPr>
          <w:rFonts w:ascii="Times New Roman" w:hAnsi="Times New Roman" w:cs="Times New Roman"/>
          <w:color w:val="000000" w:themeColor="text1"/>
        </w:rPr>
        <w:t xml:space="preserve"> is </w:t>
      </w:r>
      <w:r w:rsidRPr="000B1627">
        <w:rPr>
          <w:rFonts w:ascii="Times New Roman" w:hAnsi="Times New Roman" w:cs="Times New Roman"/>
          <w:color w:val="000000" w:themeColor="text1"/>
          <w:shd w:val="clear" w:color="auto" w:fill="FFFFFF"/>
        </w:rPr>
        <w:t>a network of lawyers who provide legal advice and actively engage in advocacy before international courts and institutions such as the ECtHR, the UN Human Rights Council and Treaty and Charter bodies, and the Organisation for Security and Co-operation in Europe (OSCE).</w:t>
      </w:r>
    </w:p>
  </w:footnote>
  <w:footnote w:id="3">
    <w:p w14:paraId="6289B66D" w14:textId="39D2CC53" w:rsidR="00DB5DF0" w:rsidRPr="000B1627" w:rsidRDefault="00DB5DF0"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color w:val="000000" w:themeColor="text1"/>
        </w:rPr>
        <w:t>TOHAV is an independent, impartial, and non-political civil society organization in Türkiye that investigates and monitors human rights violations without discrimination.</w:t>
      </w:r>
      <w:r w:rsidRPr="000B1627">
        <w:rPr>
          <w:rFonts w:ascii="Times New Roman" w:hAnsi="Times New Roman" w:cs="Times New Roman"/>
        </w:rPr>
        <w:t xml:space="preserve"> </w:t>
      </w:r>
      <w:r w:rsidRPr="000B1627">
        <w:rPr>
          <w:rFonts w:ascii="Times New Roman" w:hAnsi="Times New Roman" w:cs="Times New Roman"/>
          <w:color w:val="000000" w:themeColor="text1"/>
        </w:rPr>
        <w:t xml:space="preserve">Comprised of voluntary lawyers from various Bar Associations, TOHAV aims to promote democratic and universal legal principles, eliminate barriers to development, end gender discrimination, protect children and nature, and uphold human dignity. </w:t>
      </w:r>
      <w:r w:rsidRPr="000B1627">
        <w:rPr>
          <w:rFonts w:ascii="Times New Roman" w:hAnsi="Times New Roman" w:cs="Times New Roman"/>
        </w:rPr>
        <w:t xml:space="preserve">See TOHAV’s website: </w:t>
      </w:r>
      <w:hyperlink r:id="rId2" w:history="1">
        <w:r w:rsidRPr="000B1627">
          <w:rPr>
            <w:rStyle w:val="Hyperlink"/>
            <w:rFonts w:ascii="Times New Roman" w:hAnsi="Times New Roman" w:cs="Times New Roman"/>
          </w:rPr>
          <w:t>https://www.tohav.org.tr/en</w:t>
        </w:r>
      </w:hyperlink>
    </w:p>
  </w:footnote>
  <w:footnote w:id="4">
    <w:p w14:paraId="6E14B01B" w14:textId="77777777"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International Commission of Jurists</w:t>
      </w:r>
      <w:r w:rsidRPr="000B1627">
        <w:rPr>
          <w:sz w:val="20"/>
          <w:szCs w:val="20"/>
        </w:rPr>
        <w:t xml:space="preserve">, </w:t>
      </w:r>
      <w:r w:rsidRPr="000B1627">
        <w:rPr>
          <w:rStyle w:val="Emphasis"/>
          <w:sz w:val="20"/>
          <w:szCs w:val="20"/>
        </w:rPr>
        <w:t>Judicial Councils and Other National Mechanisms for Selecting, Appointing, Promoting, Transferring, Suspending or Removing Judges: Submission to the Special Rapporteur on Independence of Judges and Lawyers</w:t>
      </w:r>
      <w:r w:rsidRPr="000B1627">
        <w:rPr>
          <w:sz w:val="20"/>
          <w:szCs w:val="20"/>
        </w:rPr>
        <w:t xml:space="preserve"> (Jan. 15, 2018); </w:t>
      </w:r>
      <w:r w:rsidRPr="000B1627">
        <w:rPr>
          <w:rStyle w:val="Strong"/>
          <w:b w:val="0"/>
          <w:bCs w:val="0"/>
          <w:sz w:val="20"/>
          <w:szCs w:val="20"/>
        </w:rPr>
        <w:t>Committee of Ministers of the Council of Europe</w:t>
      </w:r>
      <w:r w:rsidRPr="000B1627">
        <w:rPr>
          <w:sz w:val="20"/>
          <w:szCs w:val="20"/>
        </w:rPr>
        <w:t xml:space="preserve">, </w:t>
      </w:r>
      <w:r w:rsidRPr="000B1627">
        <w:rPr>
          <w:rStyle w:val="Emphasis"/>
          <w:sz w:val="20"/>
          <w:szCs w:val="20"/>
        </w:rPr>
        <w:t>Recommendation CM/</w:t>
      </w:r>
      <w:proofErr w:type="gramStart"/>
      <w:r w:rsidRPr="000B1627">
        <w:rPr>
          <w:rStyle w:val="Emphasis"/>
          <w:sz w:val="20"/>
          <w:szCs w:val="20"/>
        </w:rPr>
        <w:t>Rec(</w:t>
      </w:r>
      <w:proofErr w:type="gramEnd"/>
      <w:r w:rsidRPr="000B1627">
        <w:rPr>
          <w:rStyle w:val="Emphasis"/>
          <w:sz w:val="20"/>
          <w:szCs w:val="20"/>
        </w:rPr>
        <w:t>2010)12 on Judges: Independence, Efficiency and Responsibilities</w:t>
      </w:r>
      <w:r w:rsidRPr="000B1627">
        <w:rPr>
          <w:sz w:val="20"/>
          <w:szCs w:val="20"/>
        </w:rPr>
        <w:t>, paras. 27, 46 (2010).</w:t>
      </w:r>
    </w:p>
  </w:footnote>
  <w:footnote w:id="5">
    <w:p w14:paraId="2AB4DC2B" w14:textId="7849B437"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Venice Commission</w:t>
      </w:r>
      <w:r w:rsidRPr="000B1627">
        <w:rPr>
          <w:sz w:val="20"/>
          <w:szCs w:val="20"/>
        </w:rPr>
        <w:t xml:space="preserve">, </w:t>
      </w:r>
      <w:r w:rsidRPr="000B1627">
        <w:rPr>
          <w:rStyle w:val="Emphasis"/>
          <w:sz w:val="20"/>
          <w:szCs w:val="20"/>
        </w:rPr>
        <w:t>Report on Judicial Appointments</w:t>
      </w:r>
      <w:r w:rsidRPr="000B1627">
        <w:rPr>
          <w:sz w:val="20"/>
          <w:szCs w:val="20"/>
        </w:rPr>
        <w:t>, CDL-AD</w:t>
      </w:r>
      <w:r w:rsidR="00134314" w:rsidRPr="000B1627">
        <w:rPr>
          <w:sz w:val="20"/>
          <w:szCs w:val="20"/>
        </w:rPr>
        <w:t xml:space="preserve"> </w:t>
      </w:r>
      <w:r w:rsidRPr="000B1627">
        <w:rPr>
          <w:sz w:val="20"/>
          <w:szCs w:val="20"/>
        </w:rPr>
        <w:t xml:space="preserve">(2007)028, para. 29; </w:t>
      </w:r>
      <w:r w:rsidRPr="000B1627">
        <w:rPr>
          <w:rStyle w:val="Strong"/>
          <w:b w:val="0"/>
          <w:bCs w:val="0"/>
          <w:sz w:val="20"/>
          <w:szCs w:val="20"/>
        </w:rPr>
        <w:t>Venice Commission</w:t>
      </w:r>
      <w:r w:rsidRPr="000B1627">
        <w:rPr>
          <w:sz w:val="20"/>
          <w:szCs w:val="20"/>
        </w:rPr>
        <w:t xml:space="preserve">, </w:t>
      </w:r>
      <w:r w:rsidRPr="000B1627">
        <w:rPr>
          <w:rStyle w:val="Emphasis"/>
          <w:sz w:val="20"/>
          <w:szCs w:val="20"/>
        </w:rPr>
        <w:t>Report on the Independence of the Judicial System, Part I: The Independence of Judges</w:t>
      </w:r>
      <w:r w:rsidRPr="000B1627">
        <w:rPr>
          <w:sz w:val="20"/>
          <w:szCs w:val="20"/>
        </w:rPr>
        <w:t>, CDL-</w:t>
      </w:r>
      <w:proofErr w:type="gramStart"/>
      <w:r w:rsidRPr="000B1627">
        <w:rPr>
          <w:sz w:val="20"/>
          <w:szCs w:val="20"/>
        </w:rPr>
        <w:t>AD(</w:t>
      </w:r>
      <w:proofErr w:type="gramEnd"/>
      <w:r w:rsidRPr="000B1627">
        <w:rPr>
          <w:sz w:val="20"/>
          <w:szCs w:val="20"/>
        </w:rPr>
        <w:t>2010)004, para. 32.</w:t>
      </w:r>
    </w:p>
  </w:footnote>
  <w:footnote w:id="6">
    <w:p w14:paraId="776F27DF" w14:textId="19B93BCE"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Venice Commission</w:t>
      </w:r>
      <w:r w:rsidRPr="000B1627">
        <w:rPr>
          <w:sz w:val="20"/>
          <w:szCs w:val="20"/>
        </w:rPr>
        <w:t xml:space="preserve">, </w:t>
      </w:r>
      <w:r w:rsidRPr="000B1627">
        <w:rPr>
          <w:rStyle w:val="Emphasis"/>
          <w:sz w:val="20"/>
          <w:szCs w:val="20"/>
        </w:rPr>
        <w:t>Türkiye Opinion No. 875/2017</w:t>
      </w:r>
      <w:r w:rsidRPr="000B1627">
        <w:rPr>
          <w:sz w:val="20"/>
          <w:szCs w:val="20"/>
        </w:rPr>
        <w:t>, CDL-</w:t>
      </w:r>
      <w:proofErr w:type="gramStart"/>
      <w:r w:rsidRPr="000B1627">
        <w:rPr>
          <w:sz w:val="20"/>
          <w:szCs w:val="20"/>
        </w:rPr>
        <w:t>AD(</w:t>
      </w:r>
      <w:proofErr w:type="gramEnd"/>
      <w:r w:rsidRPr="000B1627">
        <w:rPr>
          <w:sz w:val="20"/>
          <w:szCs w:val="20"/>
        </w:rPr>
        <w:t xml:space="preserve">2017)005, para. 114 (Mar. 13, 2017), </w:t>
      </w:r>
      <w:hyperlink r:id="rId3" w:tgtFrame="_new" w:history="1">
        <w:r w:rsidRPr="000B1627">
          <w:rPr>
            <w:rStyle w:val="Hyperlink"/>
            <w:sz w:val="20"/>
            <w:szCs w:val="20"/>
          </w:rPr>
          <w:t>https://www.venice.coe.int/webforms/documents/default.aspx?pdffile=cdl-ad(2017)005-e</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7">
    <w:p w14:paraId="7E59966F" w14:textId="77777777" w:rsidR="0042341E" w:rsidRPr="000B1627" w:rsidRDefault="0042341E"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Ibid.</w:t>
      </w:r>
    </w:p>
  </w:footnote>
  <w:footnote w:id="8">
    <w:p w14:paraId="4DED2D6A" w14:textId="77777777" w:rsidR="0042341E" w:rsidRPr="000B1627" w:rsidRDefault="0042341E"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Law No. 2802 on Judges and Prosecutors, Article 9A.</w:t>
      </w:r>
    </w:p>
  </w:footnote>
  <w:footnote w:id="9">
    <w:p w14:paraId="1EF4168C" w14:textId="4A02E46B" w:rsidR="0042341E" w:rsidRPr="000B1627" w:rsidRDefault="0042341E"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See statements of former Istanbul Bar Association President Mehmet </w:t>
      </w:r>
      <w:proofErr w:type="spellStart"/>
      <w:r w:rsidRPr="000B1627">
        <w:rPr>
          <w:rFonts w:ascii="Times New Roman" w:hAnsi="Times New Roman" w:cs="Times New Roman"/>
        </w:rPr>
        <w:t>Durakoğlu</w:t>
      </w:r>
      <w:proofErr w:type="spellEnd"/>
      <w:r w:rsidR="003F024A" w:rsidRPr="000B1627">
        <w:rPr>
          <w:rFonts w:ascii="Times New Roman" w:hAnsi="Times New Roman" w:cs="Times New Roman"/>
        </w:rPr>
        <w:t xml:space="preserve">, </w:t>
      </w:r>
      <w:hyperlink r:id="rId4" w:history="1">
        <w:r w:rsidR="003F024A" w:rsidRPr="000B1627">
          <w:rPr>
            <w:rStyle w:val="Hyperlink"/>
            <w:rFonts w:ascii="Times New Roman" w:hAnsi="Times New Roman" w:cs="Times New Roman"/>
          </w:rPr>
          <w:t>https://www.gazeteduvar.com.tr/yargida-torpil-iddiasi-cok-uzun-yillardir-isliyor-haber-1508357</w:t>
        </w:r>
      </w:hyperlink>
      <w:r w:rsidRPr="000B1627">
        <w:rPr>
          <w:rFonts w:ascii="Times New Roman" w:hAnsi="Times New Roman" w:cs="Times New Roman"/>
        </w:rPr>
        <w:t xml:space="preserve"> ; and statements by former Court of Cassation prosecutor Ömer Faruk </w:t>
      </w:r>
      <w:proofErr w:type="spellStart"/>
      <w:r w:rsidRPr="000B1627">
        <w:rPr>
          <w:rFonts w:ascii="Times New Roman" w:hAnsi="Times New Roman" w:cs="Times New Roman"/>
        </w:rPr>
        <w:t>Eminapaoğlu</w:t>
      </w:r>
      <w:proofErr w:type="spellEnd"/>
      <w:r w:rsidR="003F024A" w:rsidRPr="000B1627">
        <w:rPr>
          <w:rFonts w:ascii="Times New Roman" w:hAnsi="Times New Roman" w:cs="Times New Roman"/>
        </w:rPr>
        <w:t xml:space="preserve">, </w:t>
      </w:r>
      <w:r w:rsidRPr="000B1627">
        <w:rPr>
          <w:rFonts w:ascii="Times New Roman" w:hAnsi="Times New Roman" w:cs="Times New Roman"/>
        </w:rPr>
        <w:t xml:space="preserve"> </w:t>
      </w:r>
      <w:hyperlink r:id="rId5" w:history="1">
        <w:r w:rsidRPr="000B1627">
          <w:rPr>
            <w:rStyle w:val="Hyperlink"/>
            <w:rFonts w:ascii="Times New Roman" w:hAnsi="Times New Roman" w:cs="Times New Roman"/>
            <w:color w:val="1155CC"/>
          </w:rPr>
          <w:t>https://www.gercekgundem.com/guncel/mulakatlarda-torpil-iddiasi-akpnin-yargidaki-kadrolasmasinin-temeli-mulakatlar-402250</w:t>
        </w:r>
      </w:hyperlink>
      <w:r w:rsidRPr="000B1627">
        <w:rPr>
          <w:rStyle w:val="Hyperlink"/>
          <w:rFonts w:ascii="Times New Roman" w:hAnsi="Times New Roman" w:cs="Times New Roman"/>
          <w:color w:val="1155CC"/>
        </w:rPr>
        <w:t>.</w:t>
      </w:r>
    </w:p>
  </w:footnote>
  <w:footnote w:id="10">
    <w:p w14:paraId="1511C6F0" w14:textId="6C96A934"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UN Human Rights Office of the High Commissioner (OHCHR)</w:t>
      </w:r>
      <w:r w:rsidRPr="000B1627">
        <w:rPr>
          <w:sz w:val="20"/>
          <w:szCs w:val="20"/>
        </w:rPr>
        <w:t xml:space="preserve">, </w:t>
      </w:r>
      <w:r w:rsidRPr="000B1627">
        <w:rPr>
          <w:rStyle w:val="Emphasis"/>
          <w:sz w:val="20"/>
          <w:szCs w:val="20"/>
        </w:rPr>
        <w:t>UN Human Rights Chief Urges Türkiye to Uphold Rule of Law in Response to Attempted Coup</w:t>
      </w:r>
      <w:r w:rsidRPr="000B1627">
        <w:rPr>
          <w:sz w:val="20"/>
          <w:szCs w:val="20"/>
        </w:rPr>
        <w:t xml:space="preserve"> (2016), </w:t>
      </w:r>
      <w:hyperlink r:id="rId6" w:tgtFrame="_new" w:history="1">
        <w:r w:rsidRPr="000B1627">
          <w:rPr>
            <w:rStyle w:val="Hyperlink"/>
            <w:sz w:val="20"/>
            <w:szCs w:val="20"/>
          </w:rPr>
          <w:t>https://news.un.org/en/story/2016/07/534112-un-human-rights-chief-urges-Türkiye-uphold-rule-law-response-attempted-coup</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11">
    <w:p w14:paraId="6609A300" w14:textId="17D64840"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 xml:space="preserve">ECtHR, </w:t>
      </w:r>
      <w:r w:rsidRPr="000B1627">
        <w:rPr>
          <w:rStyle w:val="Strong"/>
          <w:b w:val="0"/>
          <w:bCs w:val="0"/>
          <w:i/>
          <w:iCs/>
          <w:sz w:val="20"/>
          <w:szCs w:val="20"/>
        </w:rPr>
        <w:t>Micallef v. Malta</w:t>
      </w:r>
      <w:r w:rsidRPr="000B1627">
        <w:rPr>
          <w:sz w:val="20"/>
          <w:szCs w:val="20"/>
        </w:rPr>
        <w:t>, App. No. 17056/06, 15 October 2009), https://hudoc.echr.coe.int/eng?itemid=001-94964 (</w:t>
      </w:r>
      <w:r w:rsidR="007C3A61" w:rsidRPr="000B1627">
        <w:rPr>
          <w:sz w:val="20"/>
          <w:szCs w:val="20"/>
        </w:rPr>
        <w:t>accessed</w:t>
      </w:r>
      <w:r w:rsidRPr="000B1627">
        <w:rPr>
          <w:sz w:val="20"/>
          <w:szCs w:val="20"/>
        </w:rPr>
        <w:t xml:space="preserve"> Sept. 9, 2024).</w:t>
      </w:r>
    </w:p>
  </w:footnote>
  <w:footnote w:id="12">
    <w:p w14:paraId="1ABF3196" w14:textId="64C94E0D" w:rsidR="0042341E" w:rsidRPr="000B1627" w:rsidRDefault="0042341E" w:rsidP="006946B7">
      <w:pPr>
        <w:jc w:val="both"/>
        <w:rPr>
          <w:sz w:val="20"/>
          <w:szCs w:val="20"/>
        </w:rPr>
      </w:pPr>
      <w:r w:rsidRPr="000B1627">
        <w:rPr>
          <w:rStyle w:val="Strong"/>
          <w:b w:val="0"/>
          <w:bCs w:val="0"/>
          <w:sz w:val="20"/>
          <w:szCs w:val="20"/>
        </w:rPr>
        <w:t>Anadolu Agency</w:t>
      </w:r>
      <w:r w:rsidRPr="000B1627">
        <w:rPr>
          <w:sz w:val="20"/>
          <w:szCs w:val="20"/>
        </w:rPr>
        <w:t xml:space="preserve">, </w:t>
      </w:r>
      <w:proofErr w:type="spellStart"/>
      <w:r w:rsidRPr="000B1627">
        <w:rPr>
          <w:rStyle w:val="Emphasis"/>
          <w:sz w:val="20"/>
          <w:szCs w:val="20"/>
        </w:rPr>
        <w:t>HSK'nin</w:t>
      </w:r>
      <w:proofErr w:type="spellEnd"/>
      <w:r w:rsidRPr="000B1627">
        <w:rPr>
          <w:rStyle w:val="Emphasis"/>
          <w:sz w:val="20"/>
          <w:szCs w:val="20"/>
        </w:rPr>
        <w:t xml:space="preserve"> 15 Hakim </w:t>
      </w:r>
      <w:proofErr w:type="spellStart"/>
      <w:r w:rsidRPr="000B1627">
        <w:rPr>
          <w:rStyle w:val="Emphasis"/>
          <w:sz w:val="20"/>
          <w:szCs w:val="20"/>
        </w:rPr>
        <w:t>ve</w:t>
      </w:r>
      <w:proofErr w:type="spellEnd"/>
      <w:r w:rsidRPr="000B1627">
        <w:rPr>
          <w:rStyle w:val="Emphasis"/>
          <w:sz w:val="20"/>
          <w:szCs w:val="20"/>
        </w:rPr>
        <w:t xml:space="preserve"> </w:t>
      </w:r>
      <w:proofErr w:type="spellStart"/>
      <w:r w:rsidRPr="000B1627">
        <w:rPr>
          <w:rStyle w:val="Emphasis"/>
          <w:sz w:val="20"/>
          <w:szCs w:val="20"/>
        </w:rPr>
        <w:t>Savcıyı</w:t>
      </w:r>
      <w:proofErr w:type="spellEnd"/>
      <w:r w:rsidRPr="000B1627">
        <w:rPr>
          <w:rStyle w:val="Emphasis"/>
          <w:sz w:val="20"/>
          <w:szCs w:val="20"/>
        </w:rPr>
        <w:t xml:space="preserve"> </w:t>
      </w:r>
      <w:proofErr w:type="spellStart"/>
      <w:r w:rsidRPr="000B1627">
        <w:rPr>
          <w:rStyle w:val="Emphasis"/>
          <w:sz w:val="20"/>
          <w:szCs w:val="20"/>
        </w:rPr>
        <w:t>Meslekten</w:t>
      </w:r>
      <w:proofErr w:type="spellEnd"/>
      <w:r w:rsidRPr="000B1627">
        <w:rPr>
          <w:rStyle w:val="Emphasis"/>
          <w:sz w:val="20"/>
          <w:szCs w:val="20"/>
        </w:rPr>
        <w:t xml:space="preserve"> </w:t>
      </w:r>
      <w:proofErr w:type="spellStart"/>
      <w:r w:rsidRPr="000B1627">
        <w:rPr>
          <w:rStyle w:val="Emphasis"/>
          <w:sz w:val="20"/>
          <w:szCs w:val="20"/>
        </w:rPr>
        <w:t>İhraç</w:t>
      </w:r>
      <w:proofErr w:type="spellEnd"/>
      <w:r w:rsidRPr="000B1627">
        <w:rPr>
          <w:rStyle w:val="Emphasis"/>
          <w:sz w:val="20"/>
          <w:szCs w:val="20"/>
        </w:rPr>
        <w:t xml:space="preserve"> </w:t>
      </w:r>
      <w:proofErr w:type="spellStart"/>
      <w:r w:rsidRPr="000B1627">
        <w:rPr>
          <w:rStyle w:val="Emphasis"/>
          <w:sz w:val="20"/>
          <w:szCs w:val="20"/>
        </w:rPr>
        <w:t>Kararı</w:t>
      </w:r>
      <w:proofErr w:type="spellEnd"/>
      <w:r w:rsidRPr="000B1627">
        <w:rPr>
          <w:rStyle w:val="Emphasis"/>
          <w:sz w:val="20"/>
          <w:szCs w:val="20"/>
        </w:rPr>
        <w:t xml:space="preserve"> </w:t>
      </w:r>
      <w:proofErr w:type="spellStart"/>
      <w:r w:rsidRPr="000B1627">
        <w:rPr>
          <w:rStyle w:val="Emphasis"/>
          <w:sz w:val="20"/>
          <w:szCs w:val="20"/>
        </w:rPr>
        <w:t>Resmi</w:t>
      </w:r>
      <w:proofErr w:type="spellEnd"/>
      <w:r w:rsidRPr="000B1627">
        <w:rPr>
          <w:rStyle w:val="Emphasis"/>
          <w:sz w:val="20"/>
          <w:szCs w:val="20"/>
        </w:rPr>
        <w:t xml:space="preserve"> </w:t>
      </w:r>
      <w:proofErr w:type="spellStart"/>
      <w:r w:rsidRPr="000B1627">
        <w:rPr>
          <w:rStyle w:val="Emphasis"/>
          <w:sz w:val="20"/>
          <w:szCs w:val="20"/>
        </w:rPr>
        <w:t>Gazetede</w:t>
      </w:r>
      <w:proofErr w:type="spellEnd"/>
      <w:r w:rsidRPr="000B1627">
        <w:rPr>
          <w:sz w:val="20"/>
          <w:szCs w:val="20"/>
        </w:rPr>
        <w:t xml:space="preserve"> (2022), </w:t>
      </w:r>
      <w:hyperlink r:id="rId7" w:tgtFrame="_new" w:history="1">
        <w:r w:rsidRPr="000B1627">
          <w:rPr>
            <w:rStyle w:val="Hyperlink"/>
            <w:sz w:val="20"/>
            <w:szCs w:val="20"/>
          </w:rPr>
          <w:t>https://www.aa.com.tr/tr/gundem/hsknin-15-hakim-ve-savciyi-meslekten-ihrac-karari-resmi-gazetede/2590064</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13">
    <w:p w14:paraId="33DE0143" w14:textId="09E6DA19"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Amnesty International Türkiye</w:t>
      </w:r>
      <w:r w:rsidRPr="000B1627">
        <w:rPr>
          <w:sz w:val="20"/>
          <w:szCs w:val="20"/>
        </w:rPr>
        <w:t xml:space="preserve">, </w:t>
      </w:r>
      <w:r w:rsidRPr="000B1627">
        <w:rPr>
          <w:rStyle w:val="Emphasis"/>
          <w:sz w:val="20"/>
          <w:szCs w:val="20"/>
        </w:rPr>
        <w:t>Purged Beyond Return: No Prospect for Reinstatement for Public Sector Workers in Türkiye</w:t>
      </w:r>
      <w:r w:rsidRPr="000B1627">
        <w:rPr>
          <w:sz w:val="20"/>
          <w:szCs w:val="20"/>
        </w:rPr>
        <w:t xml:space="preserve"> (2022), </w:t>
      </w:r>
      <w:hyperlink r:id="rId8" w:tgtFrame="_new" w:history="1">
        <w:r w:rsidRPr="000B1627">
          <w:rPr>
            <w:rStyle w:val="Hyperlink"/>
            <w:sz w:val="20"/>
            <w:szCs w:val="20"/>
          </w:rPr>
          <w:t>https://www.amnesty.org.tr/public/uploads/files/Purged%20Beyond%20Return_Report_EN.pdf</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14">
    <w:p w14:paraId="66E342E6" w14:textId="77777777" w:rsidR="0042341E" w:rsidRPr="000B1627" w:rsidRDefault="0042341E" w:rsidP="006946B7">
      <w:pPr>
        <w:jc w:val="both"/>
        <w:rPr>
          <w:sz w:val="20"/>
          <w:szCs w:val="20"/>
        </w:rPr>
      </w:pPr>
      <w:r w:rsidRPr="000B1627">
        <w:rPr>
          <w:rStyle w:val="FootnoteReference"/>
          <w:sz w:val="20"/>
          <w:szCs w:val="20"/>
        </w:rPr>
        <w:footnoteRef/>
      </w:r>
      <w:r w:rsidRPr="000B1627">
        <w:rPr>
          <w:sz w:val="20"/>
          <w:szCs w:val="20"/>
        </w:rPr>
        <w:t xml:space="preserve"> ECtHR, </w:t>
      </w:r>
      <w:r w:rsidRPr="000B1627">
        <w:rPr>
          <w:rStyle w:val="Strong"/>
          <w:b w:val="0"/>
          <w:bCs w:val="0"/>
          <w:i/>
          <w:iCs/>
          <w:sz w:val="20"/>
          <w:szCs w:val="20"/>
        </w:rPr>
        <w:t>Kavala v. Türkiye</w:t>
      </w:r>
      <w:r w:rsidRPr="000B1627">
        <w:rPr>
          <w:sz w:val="20"/>
          <w:szCs w:val="20"/>
        </w:rPr>
        <w:t xml:space="preserve"> [GC], App. No. 28749/18, 11 July 2022, para. 168.</w:t>
      </w:r>
    </w:p>
  </w:footnote>
  <w:footnote w:id="15">
    <w:p w14:paraId="378A7069" w14:textId="61530666" w:rsidR="0042341E" w:rsidRPr="000B1627" w:rsidRDefault="0042341E" w:rsidP="006946B7">
      <w:pPr>
        <w:tabs>
          <w:tab w:val="left" w:pos="284"/>
          <w:tab w:val="left" w:pos="426"/>
        </w:tabs>
        <w:jc w:val="both"/>
        <w:rPr>
          <w:sz w:val="20"/>
          <w:szCs w:val="20"/>
        </w:rPr>
      </w:pPr>
      <w:r w:rsidRPr="000B1627">
        <w:rPr>
          <w:rStyle w:val="FootnoteReference"/>
          <w:sz w:val="20"/>
          <w:szCs w:val="20"/>
        </w:rPr>
        <w:footnoteRef/>
      </w:r>
      <w:r w:rsidRPr="000B1627">
        <w:rPr>
          <w:rStyle w:val="Strong"/>
          <w:b w:val="0"/>
          <w:bCs w:val="0"/>
          <w:sz w:val="20"/>
          <w:szCs w:val="20"/>
        </w:rPr>
        <w:t>Cumhuriyet</w:t>
      </w:r>
      <w:r w:rsidRPr="000B1627">
        <w:rPr>
          <w:sz w:val="20"/>
          <w:szCs w:val="20"/>
        </w:rPr>
        <w:t xml:space="preserve">, </w:t>
      </w:r>
      <w:r w:rsidRPr="000B1627">
        <w:rPr>
          <w:rStyle w:val="Emphasis"/>
          <w:sz w:val="20"/>
          <w:szCs w:val="20"/>
        </w:rPr>
        <w:t>Coerced Decisions: Unpacking the Gezi Verdict Reversal</w:t>
      </w:r>
      <w:r w:rsidRPr="000B1627">
        <w:rPr>
          <w:sz w:val="20"/>
          <w:szCs w:val="20"/>
        </w:rPr>
        <w:t xml:space="preserve">, </w:t>
      </w:r>
      <w:hyperlink r:id="rId9" w:tgtFrame="_new" w:history="1">
        <w:r w:rsidRPr="000B1627">
          <w:rPr>
            <w:rStyle w:val="Hyperlink"/>
            <w:sz w:val="20"/>
            <w:szCs w:val="20"/>
          </w:rPr>
          <w:t>https://www.cumhuriyet.com.tr/cumhuriyet-daily/coerced-decisions-unpacking-the-gezi-verdict-reversal-2125811</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16">
    <w:p w14:paraId="5507337A" w14:textId="5595E2D2"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Human Rights Association</w:t>
      </w:r>
      <w:r w:rsidRPr="000B1627">
        <w:rPr>
          <w:sz w:val="20"/>
          <w:szCs w:val="20"/>
        </w:rPr>
        <w:t xml:space="preserve">, </w:t>
      </w:r>
      <w:r w:rsidRPr="000B1627">
        <w:rPr>
          <w:rStyle w:val="Emphasis"/>
          <w:sz w:val="20"/>
          <w:szCs w:val="20"/>
        </w:rPr>
        <w:t>Türkiye’s Justice Reform Strategy Advocacy and Analysis Brief</w:t>
      </w:r>
      <w:r w:rsidRPr="000B1627">
        <w:rPr>
          <w:sz w:val="20"/>
          <w:szCs w:val="20"/>
        </w:rPr>
        <w:t xml:space="preserve"> 7 (2019), https://ihd.org.tr/en/wp-content/uploads/2019/11/Türkiye-Justice-Reform-Strat-Advocacy-Analysis-brief-2019-ENG.pdf (</w:t>
      </w:r>
      <w:r w:rsidR="007C3A61" w:rsidRPr="000B1627">
        <w:rPr>
          <w:sz w:val="20"/>
          <w:szCs w:val="20"/>
        </w:rPr>
        <w:t>accessed</w:t>
      </w:r>
      <w:r w:rsidRPr="000B1627">
        <w:rPr>
          <w:sz w:val="20"/>
          <w:szCs w:val="20"/>
        </w:rPr>
        <w:t xml:space="preserve"> Sept. 9, 2024).</w:t>
      </w:r>
    </w:p>
  </w:footnote>
  <w:footnote w:id="17">
    <w:p w14:paraId="104EA62A" w14:textId="06AC41FE" w:rsidR="0042341E" w:rsidRPr="000B1627" w:rsidRDefault="0042341E"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Medya News</w:t>
      </w:r>
      <w:r w:rsidRPr="000B1627">
        <w:rPr>
          <w:sz w:val="20"/>
          <w:szCs w:val="20"/>
        </w:rPr>
        <w:t xml:space="preserve">, </w:t>
      </w:r>
      <w:r w:rsidRPr="000B1627">
        <w:rPr>
          <w:rStyle w:val="Emphasis"/>
          <w:sz w:val="20"/>
          <w:szCs w:val="20"/>
        </w:rPr>
        <w:t>Turkish Judge Exiled Over Osman Kavala Release Vote</w:t>
      </w:r>
      <w:r w:rsidRPr="000B1627">
        <w:rPr>
          <w:sz w:val="20"/>
          <w:szCs w:val="20"/>
        </w:rPr>
        <w:t xml:space="preserve"> (Dec. 15, 2021), </w:t>
      </w:r>
      <w:hyperlink r:id="rId10" w:tgtFrame="_new" w:history="1">
        <w:r w:rsidRPr="000B1627">
          <w:rPr>
            <w:rStyle w:val="Hyperlink"/>
            <w:sz w:val="20"/>
            <w:szCs w:val="20"/>
          </w:rPr>
          <w:t>https://medyanews.net/turkish-judge-exiled-over-osman-kavala-release-vote/</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18">
    <w:p w14:paraId="344960BE" w14:textId="0BA22626" w:rsidR="0042341E" w:rsidRPr="000B1627" w:rsidRDefault="0042341E" w:rsidP="006946B7">
      <w:pPr>
        <w:jc w:val="both"/>
        <w:rPr>
          <w:sz w:val="20"/>
          <w:szCs w:val="20"/>
        </w:rPr>
      </w:pPr>
      <w:r w:rsidRPr="000B1627">
        <w:rPr>
          <w:rStyle w:val="FootnoteReference"/>
          <w:sz w:val="20"/>
          <w:szCs w:val="20"/>
        </w:rPr>
        <w:footnoteRef/>
      </w:r>
      <w:r w:rsidRPr="000B1627">
        <w:rPr>
          <w:rStyle w:val="Emphasis"/>
          <w:sz w:val="20"/>
          <w:szCs w:val="20"/>
        </w:rPr>
        <w:t>Constitution of the Republic of Türkiye</w:t>
      </w:r>
      <w:r w:rsidRPr="000B1627">
        <w:rPr>
          <w:sz w:val="20"/>
          <w:szCs w:val="20"/>
        </w:rPr>
        <w:t xml:space="preserve">, Art. 159 (1982), </w:t>
      </w:r>
      <w:hyperlink r:id="rId11" w:tgtFrame="_new" w:history="1">
        <w:r w:rsidRPr="000B1627">
          <w:rPr>
            <w:rStyle w:val="Hyperlink"/>
            <w:sz w:val="20"/>
            <w:szCs w:val="20"/>
          </w:rPr>
          <w:t>https://global.tbmm.gov.tr/docs/constitution_en.pdf</w:t>
        </w:r>
      </w:hyperlink>
      <w:r w:rsidRPr="000B1627">
        <w:rPr>
          <w:sz w:val="20"/>
          <w:szCs w:val="20"/>
        </w:rPr>
        <w:t xml:space="preserve"> </w:t>
      </w:r>
    </w:p>
  </w:footnote>
  <w:footnote w:id="19">
    <w:p w14:paraId="7E11176F" w14:textId="5ED77B4D"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 xml:space="preserve">ECtHR, </w:t>
      </w:r>
      <w:proofErr w:type="spellStart"/>
      <w:r w:rsidRPr="000B1627">
        <w:rPr>
          <w:rStyle w:val="Strong"/>
          <w:b w:val="0"/>
          <w:bCs w:val="0"/>
          <w:i/>
          <w:iCs/>
          <w:sz w:val="20"/>
          <w:szCs w:val="20"/>
        </w:rPr>
        <w:t>Yüksel</w:t>
      </w:r>
      <w:proofErr w:type="spellEnd"/>
      <w:r w:rsidRPr="000B1627">
        <w:rPr>
          <w:rStyle w:val="Strong"/>
          <w:b w:val="0"/>
          <w:bCs w:val="0"/>
          <w:i/>
          <w:iCs/>
          <w:sz w:val="20"/>
          <w:szCs w:val="20"/>
        </w:rPr>
        <w:t xml:space="preserve"> </w:t>
      </w:r>
      <w:proofErr w:type="spellStart"/>
      <w:r w:rsidRPr="000B1627">
        <w:rPr>
          <w:rStyle w:val="Strong"/>
          <w:b w:val="0"/>
          <w:bCs w:val="0"/>
          <w:i/>
          <w:iCs/>
          <w:sz w:val="20"/>
          <w:szCs w:val="20"/>
        </w:rPr>
        <w:t>Yalçınkaya</w:t>
      </w:r>
      <w:proofErr w:type="spellEnd"/>
      <w:r w:rsidRPr="000B1627">
        <w:rPr>
          <w:rStyle w:val="Strong"/>
          <w:b w:val="0"/>
          <w:bCs w:val="0"/>
          <w:i/>
          <w:iCs/>
          <w:sz w:val="20"/>
          <w:szCs w:val="20"/>
        </w:rPr>
        <w:t xml:space="preserve"> v. Türkiye</w:t>
      </w:r>
      <w:r w:rsidRPr="000B1627">
        <w:rPr>
          <w:sz w:val="20"/>
          <w:szCs w:val="20"/>
        </w:rPr>
        <w:t xml:space="preserve"> [GC], App. No. 15669/20, 26 September 2023, para. 341.</w:t>
      </w:r>
    </w:p>
  </w:footnote>
  <w:footnote w:id="20">
    <w:p w14:paraId="70BD094A" w14:textId="6225CA87" w:rsidR="0042341E" w:rsidRPr="000B1627" w:rsidRDefault="0042341E" w:rsidP="006946B7">
      <w:pPr>
        <w:jc w:val="both"/>
        <w:rPr>
          <w:sz w:val="20"/>
          <w:szCs w:val="20"/>
        </w:rPr>
      </w:pPr>
      <w:r w:rsidRPr="000B1627">
        <w:rPr>
          <w:rStyle w:val="FootnoteReference"/>
          <w:sz w:val="20"/>
          <w:szCs w:val="20"/>
        </w:rPr>
        <w:footnoteRef/>
      </w:r>
      <w:r w:rsidRPr="000B1627">
        <w:rPr>
          <w:rStyle w:val="Strong"/>
          <w:b w:val="0"/>
          <w:bCs w:val="0"/>
          <w:sz w:val="20"/>
          <w:szCs w:val="20"/>
        </w:rPr>
        <w:t xml:space="preserve">ECtHR, </w:t>
      </w:r>
      <w:r w:rsidRPr="000B1627">
        <w:rPr>
          <w:rStyle w:val="Strong"/>
          <w:b w:val="0"/>
          <w:bCs w:val="0"/>
          <w:i/>
          <w:iCs/>
          <w:sz w:val="20"/>
          <w:szCs w:val="20"/>
        </w:rPr>
        <w:t>Selahattin Demirtaş v. Türkiye</w:t>
      </w:r>
      <w:r w:rsidRPr="000B1627">
        <w:rPr>
          <w:rStyle w:val="Strong"/>
          <w:b w:val="0"/>
          <w:bCs w:val="0"/>
          <w:sz w:val="20"/>
          <w:szCs w:val="20"/>
        </w:rPr>
        <w:t xml:space="preserve"> </w:t>
      </w:r>
      <w:r w:rsidRPr="000B1627">
        <w:rPr>
          <w:rStyle w:val="Strong"/>
          <w:b w:val="0"/>
          <w:bCs w:val="0"/>
          <w:i/>
          <w:iCs/>
          <w:sz w:val="20"/>
          <w:szCs w:val="20"/>
        </w:rPr>
        <w:t>(No. 2)</w:t>
      </w:r>
      <w:r w:rsidRPr="000B1627">
        <w:rPr>
          <w:sz w:val="20"/>
          <w:szCs w:val="20"/>
        </w:rPr>
        <w:t xml:space="preserve"> [GC], App. No. 14305/17, 22 December 2020, https://hudoc.echr.coe.int/eng?itemid=001-207173 (</w:t>
      </w:r>
      <w:r w:rsidR="007C3A61" w:rsidRPr="000B1627">
        <w:rPr>
          <w:sz w:val="20"/>
          <w:szCs w:val="20"/>
        </w:rPr>
        <w:t>accessed</w:t>
      </w:r>
      <w:r w:rsidRPr="000B1627">
        <w:rPr>
          <w:sz w:val="20"/>
          <w:szCs w:val="20"/>
        </w:rPr>
        <w:t xml:space="preserve"> Sept. 9, 2024); </w:t>
      </w:r>
      <w:proofErr w:type="spellStart"/>
      <w:r w:rsidRPr="000B1627">
        <w:rPr>
          <w:i/>
          <w:iCs/>
          <w:sz w:val="20"/>
          <w:szCs w:val="20"/>
        </w:rPr>
        <w:t>Yüksekdağ</w:t>
      </w:r>
      <w:proofErr w:type="spellEnd"/>
      <w:r w:rsidRPr="000B1627">
        <w:rPr>
          <w:i/>
          <w:iCs/>
          <w:sz w:val="20"/>
          <w:szCs w:val="20"/>
        </w:rPr>
        <w:t xml:space="preserve"> </w:t>
      </w:r>
      <w:proofErr w:type="spellStart"/>
      <w:r w:rsidRPr="000B1627">
        <w:rPr>
          <w:i/>
          <w:iCs/>
          <w:sz w:val="20"/>
          <w:szCs w:val="20"/>
        </w:rPr>
        <w:t>Şenoğlu</w:t>
      </w:r>
      <w:proofErr w:type="spellEnd"/>
      <w:r w:rsidRPr="000B1627">
        <w:rPr>
          <w:i/>
          <w:iCs/>
          <w:sz w:val="20"/>
          <w:szCs w:val="20"/>
        </w:rPr>
        <w:t xml:space="preserve"> and </w:t>
      </w:r>
      <w:proofErr w:type="gramStart"/>
      <w:r w:rsidRPr="000B1627">
        <w:rPr>
          <w:i/>
          <w:iCs/>
          <w:sz w:val="20"/>
          <w:szCs w:val="20"/>
        </w:rPr>
        <w:t>Others</w:t>
      </w:r>
      <w:proofErr w:type="gramEnd"/>
      <w:r w:rsidRPr="000B1627">
        <w:rPr>
          <w:i/>
          <w:iCs/>
          <w:sz w:val="20"/>
          <w:szCs w:val="20"/>
        </w:rPr>
        <w:t xml:space="preserve"> v. Türkiye, </w:t>
      </w:r>
      <w:r w:rsidRPr="000B1627">
        <w:rPr>
          <w:sz w:val="20"/>
          <w:szCs w:val="20"/>
        </w:rPr>
        <w:t>App. No. 14332/17 and 12 other applications, 8 November 2022.</w:t>
      </w:r>
    </w:p>
  </w:footnote>
  <w:footnote w:id="21">
    <w:p w14:paraId="1F1A416A" w14:textId="3B349751" w:rsidR="0042341E" w:rsidRPr="000B1627" w:rsidRDefault="0042341E"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Medya News</w:t>
      </w:r>
      <w:r w:rsidRPr="000B1627">
        <w:rPr>
          <w:sz w:val="20"/>
          <w:szCs w:val="20"/>
        </w:rPr>
        <w:t xml:space="preserve">, </w:t>
      </w:r>
      <w:r w:rsidRPr="000B1627">
        <w:rPr>
          <w:rStyle w:val="Emphasis"/>
          <w:sz w:val="20"/>
          <w:szCs w:val="20"/>
        </w:rPr>
        <w:t>Kobani Case Verdicts Ignore European Court Rulings, Sideline Law, Say Legal Experts</w:t>
      </w:r>
      <w:r w:rsidRPr="000B1627">
        <w:rPr>
          <w:sz w:val="20"/>
          <w:szCs w:val="20"/>
        </w:rPr>
        <w:t xml:space="preserve"> (2024), </w:t>
      </w:r>
      <w:hyperlink r:id="rId12" w:tgtFrame="_new" w:history="1">
        <w:r w:rsidRPr="000B1627">
          <w:rPr>
            <w:rStyle w:val="Hyperlink"/>
            <w:sz w:val="20"/>
            <w:szCs w:val="20"/>
          </w:rPr>
          <w:t>https://medyanews.net/kobani-case-verdicts-ignore-european-court-rulings-sidelines-law-say-legal-experts/</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22">
    <w:p w14:paraId="4D4C37C7" w14:textId="669E25DE" w:rsidR="0042341E" w:rsidRPr="000B1627" w:rsidRDefault="0042341E" w:rsidP="006946B7">
      <w:pPr>
        <w:pStyle w:val="NormalWeb"/>
        <w:spacing w:before="0" w:beforeAutospacing="0" w:after="0" w:afterAutospacing="0"/>
        <w:jc w:val="both"/>
        <w:rPr>
          <w:sz w:val="20"/>
          <w:szCs w:val="20"/>
        </w:rPr>
      </w:pPr>
      <w:r w:rsidRPr="000B1627">
        <w:rPr>
          <w:rStyle w:val="FootnoteReference"/>
          <w:sz w:val="20"/>
          <w:szCs w:val="20"/>
        </w:rPr>
        <w:footnoteRef/>
      </w:r>
      <w:proofErr w:type="spellStart"/>
      <w:r w:rsidRPr="000B1627">
        <w:rPr>
          <w:rStyle w:val="Strong"/>
          <w:b w:val="0"/>
          <w:bCs w:val="0"/>
          <w:sz w:val="20"/>
          <w:szCs w:val="20"/>
        </w:rPr>
        <w:t>Duvar</w:t>
      </w:r>
      <w:proofErr w:type="spellEnd"/>
      <w:r w:rsidRPr="000B1627">
        <w:rPr>
          <w:rStyle w:val="Strong"/>
          <w:b w:val="0"/>
          <w:bCs w:val="0"/>
          <w:sz w:val="20"/>
          <w:szCs w:val="20"/>
        </w:rPr>
        <w:t xml:space="preserve"> English</w:t>
      </w:r>
      <w:r w:rsidRPr="000B1627">
        <w:rPr>
          <w:sz w:val="20"/>
          <w:szCs w:val="20"/>
        </w:rPr>
        <w:t xml:space="preserve">, </w:t>
      </w:r>
      <w:r w:rsidRPr="000B1627">
        <w:rPr>
          <w:rStyle w:val="Emphasis"/>
          <w:sz w:val="20"/>
          <w:szCs w:val="20"/>
        </w:rPr>
        <w:t>Secret Witness Statements Form Basis of 2014 Kobane Case File Against Former HDP Co-Chair Demirtaş: Lawyers</w:t>
      </w:r>
      <w:r w:rsidRPr="000B1627">
        <w:rPr>
          <w:sz w:val="20"/>
          <w:szCs w:val="20"/>
        </w:rPr>
        <w:t xml:space="preserve"> (2021), </w:t>
      </w:r>
      <w:hyperlink r:id="rId13" w:tgtFrame="_new" w:history="1">
        <w:r w:rsidRPr="000B1627">
          <w:rPr>
            <w:rStyle w:val="Hyperlink"/>
            <w:sz w:val="20"/>
            <w:szCs w:val="20"/>
          </w:rPr>
          <w:t>https://www.duvarenglish.com/secret-witness-statements-form-basis-of-2014-kobane-case-file-against-former-hdp-co-chair-demirtas-lawyers-news-57119</w:t>
        </w:r>
      </w:hyperlink>
      <w:r w:rsidRPr="000B1627">
        <w:rPr>
          <w:sz w:val="20"/>
          <w:szCs w:val="20"/>
        </w:rPr>
        <w:t xml:space="preserve"> (</w:t>
      </w:r>
      <w:r w:rsidR="007C3A61" w:rsidRPr="000B1627">
        <w:rPr>
          <w:sz w:val="20"/>
          <w:szCs w:val="20"/>
        </w:rPr>
        <w:t>accessed</w:t>
      </w:r>
      <w:r w:rsidRPr="000B1627">
        <w:rPr>
          <w:sz w:val="20"/>
          <w:szCs w:val="20"/>
        </w:rPr>
        <w:t xml:space="preserve"> Sept. 4, 2024).</w:t>
      </w:r>
    </w:p>
  </w:footnote>
  <w:footnote w:id="23">
    <w:p w14:paraId="0004B6F2" w14:textId="4DE00F79" w:rsidR="0042341E" w:rsidRPr="000B1627" w:rsidRDefault="0042341E"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Council of Europe</w:t>
      </w:r>
      <w:r w:rsidRPr="000B1627">
        <w:rPr>
          <w:sz w:val="20"/>
          <w:szCs w:val="20"/>
        </w:rPr>
        <w:t xml:space="preserve">, </w:t>
      </w:r>
      <w:r w:rsidRPr="000B1627">
        <w:rPr>
          <w:rStyle w:val="Emphasis"/>
          <w:sz w:val="20"/>
          <w:szCs w:val="20"/>
        </w:rPr>
        <w:t>Türkiye Needs to Put an End to Arbitrariness in the Judiciary and to Protect Human Rights Defenders</w:t>
      </w:r>
      <w:r w:rsidRPr="000B1627">
        <w:rPr>
          <w:sz w:val="20"/>
          <w:szCs w:val="20"/>
        </w:rPr>
        <w:t xml:space="preserve"> (2022), https://www.coe.int/en/web/commissioner/-/Türkiye-needs-to-put-an-end-to-arbitrariness-in-the-judiciary-and-to-protect-human-rights-defenders (</w:t>
      </w:r>
      <w:r w:rsidR="007C3A61" w:rsidRPr="000B1627">
        <w:rPr>
          <w:sz w:val="20"/>
          <w:szCs w:val="20"/>
        </w:rPr>
        <w:t>accessed</w:t>
      </w:r>
      <w:r w:rsidRPr="000B1627">
        <w:rPr>
          <w:sz w:val="20"/>
          <w:szCs w:val="20"/>
        </w:rPr>
        <w:t xml:space="preserve"> Sept. 9, 2024).</w:t>
      </w:r>
    </w:p>
  </w:footnote>
  <w:footnote w:id="24">
    <w:p w14:paraId="30DC824D" w14:textId="4DC4AFC4" w:rsidR="0048217C" w:rsidRPr="000B1627" w:rsidRDefault="0048217C"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European Committee for the Prevention of Torture</w:t>
      </w:r>
      <w:r w:rsidRPr="000B1627">
        <w:rPr>
          <w:sz w:val="20"/>
          <w:szCs w:val="20"/>
        </w:rPr>
        <w:t xml:space="preserve">, </w:t>
      </w:r>
      <w:r w:rsidRPr="000B1627">
        <w:rPr>
          <w:rStyle w:val="Emphasis"/>
          <w:sz w:val="20"/>
          <w:szCs w:val="20"/>
        </w:rPr>
        <w:t>Report to the Turkish Government on the Visit to Türkiye Carried Out by the CPT from 6 to 17 May 2019</w:t>
      </w:r>
      <w:r w:rsidRPr="000B1627">
        <w:rPr>
          <w:sz w:val="20"/>
          <w:szCs w:val="20"/>
        </w:rPr>
        <w:t xml:space="preserve"> (2021), </w:t>
      </w:r>
      <w:hyperlink r:id="rId14" w:tgtFrame="_new" w:history="1">
        <w:r w:rsidRPr="000B1627">
          <w:rPr>
            <w:rStyle w:val="Hyperlink"/>
            <w:sz w:val="20"/>
            <w:szCs w:val="20"/>
          </w:rPr>
          <w:t>https://rm.coe.int/16809f20a2</w:t>
        </w:r>
      </w:hyperlink>
      <w:r w:rsidRPr="000B1627">
        <w:rPr>
          <w:sz w:val="20"/>
          <w:szCs w:val="20"/>
        </w:rPr>
        <w:t xml:space="preserve"> </w:t>
      </w:r>
      <w:r w:rsidRPr="000B1627">
        <w:rPr>
          <w:sz w:val="20"/>
          <w:szCs w:val="20"/>
        </w:rPr>
        <w:t xml:space="preserve"> and Committee against Torture,</w:t>
      </w:r>
      <w:r w:rsidR="00F1049F" w:rsidRPr="000B1627">
        <w:rPr>
          <w:sz w:val="20"/>
          <w:szCs w:val="20"/>
        </w:rPr>
        <w:t xml:space="preserve"> </w:t>
      </w:r>
      <w:r w:rsidRPr="000B1627">
        <w:rPr>
          <w:i/>
          <w:iCs/>
          <w:sz w:val="20"/>
          <w:szCs w:val="20"/>
        </w:rPr>
        <w:t>Concluding observations on the fifth periodic report of Türkiye</w:t>
      </w:r>
      <w:r w:rsidR="00F1049F" w:rsidRPr="000B1627">
        <w:rPr>
          <w:sz w:val="20"/>
          <w:szCs w:val="20"/>
        </w:rPr>
        <w:t xml:space="preserve">, </w:t>
      </w:r>
      <w:r w:rsidR="00F1049F" w:rsidRPr="000B1627">
        <w:rPr>
          <w:sz w:val="20"/>
          <w:szCs w:val="20"/>
        </w:rPr>
        <w:t>https://tbinternet.ohchr.org/_layouts/15/treatybodyexternal/SessionDetails1.aspx?SessionID=2750&amp;Lang=en</w:t>
      </w:r>
      <w:r w:rsidR="00F1049F" w:rsidRPr="000B1627">
        <w:rPr>
          <w:sz w:val="20"/>
          <w:szCs w:val="20"/>
        </w:rPr>
        <w:t xml:space="preserve"> </w:t>
      </w:r>
      <w:r w:rsidRPr="000B1627">
        <w:rPr>
          <w:sz w:val="20"/>
          <w:szCs w:val="20"/>
        </w:rPr>
        <w:t>(</w:t>
      </w:r>
      <w:r w:rsidR="007C3A61" w:rsidRPr="000B1627">
        <w:rPr>
          <w:sz w:val="20"/>
          <w:szCs w:val="20"/>
        </w:rPr>
        <w:t>accessed</w:t>
      </w:r>
      <w:r w:rsidRPr="000B1627">
        <w:rPr>
          <w:sz w:val="20"/>
          <w:szCs w:val="20"/>
        </w:rPr>
        <w:t xml:space="preserve"> Sept. 9, 2024)</w:t>
      </w:r>
      <w:r w:rsidR="00F1049F" w:rsidRPr="000B1627">
        <w:rPr>
          <w:sz w:val="20"/>
          <w:szCs w:val="20"/>
        </w:rPr>
        <w:t>.</w:t>
      </w:r>
    </w:p>
  </w:footnote>
  <w:footnote w:id="25">
    <w:p w14:paraId="11E7A84B" w14:textId="213C1693" w:rsidR="00F82ADE" w:rsidRPr="000B1627" w:rsidRDefault="00F82ADE"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Joint submission of LLG and TLSP to CAT, 9-10; Amnesty International, </w:t>
      </w:r>
      <w:r w:rsidRPr="000B1627">
        <w:rPr>
          <w:rFonts w:ascii="Times New Roman" w:hAnsi="Times New Roman" w:cs="Times New Roman"/>
          <w:i/>
        </w:rPr>
        <w:t>The State of the World’s Human Rights – Report 2023/2024</w:t>
      </w:r>
      <w:r w:rsidR="00134314" w:rsidRPr="000B1627">
        <w:rPr>
          <w:rFonts w:ascii="Times New Roman" w:hAnsi="Times New Roman" w:cs="Times New Roman"/>
        </w:rPr>
        <w:t>,</w:t>
      </w:r>
      <w:r w:rsidRPr="000B1627">
        <w:rPr>
          <w:rFonts w:ascii="Times New Roman" w:hAnsi="Times New Roman" w:cs="Times New Roman"/>
        </w:rPr>
        <w:t xml:space="preserve"> </w:t>
      </w:r>
      <w:hyperlink r:id="rId15" w:history="1">
        <w:r w:rsidRPr="000B1627">
          <w:rPr>
            <w:rStyle w:val="Hyperlink"/>
            <w:rFonts w:ascii="Times New Roman" w:hAnsi="Times New Roman" w:cs="Times New Roman"/>
          </w:rPr>
          <w:t>https://www.amnesty.org/en/documents/pol10/7200/2024/en/</w:t>
        </w:r>
      </w:hyperlink>
    </w:p>
  </w:footnote>
  <w:footnote w:id="26">
    <w:p w14:paraId="7F2FF040" w14:textId="77777777" w:rsidR="00F82ADE" w:rsidRPr="000B1627" w:rsidRDefault="00F82ADE"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Ibid., at. 15-16, 20.</w:t>
      </w:r>
    </w:p>
  </w:footnote>
  <w:footnote w:id="27">
    <w:p w14:paraId="6D20D17E" w14:textId="14EB831E" w:rsidR="00F82ADE" w:rsidRPr="000B1627" w:rsidRDefault="00F82ADE" w:rsidP="006946B7">
      <w:pPr>
        <w:jc w:val="both"/>
        <w:rPr>
          <w:sz w:val="20"/>
          <w:szCs w:val="20"/>
        </w:rPr>
      </w:pPr>
      <w:r w:rsidRPr="000B1627">
        <w:rPr>
          <w:rStyle w:val="FootnoteReference"/>
          <w:sz w:val="20"/>
          <w:szCs w:val="20"/>
        </w:rPr>
        <w:footnoteRef/>
      </w:r>
      <w:r w:rsidRPr="000B1627">
        <w:rPr>
          <w:rStyle w:val="Strong"/>
          <w:b w:val="0"/>
          <w:bCs w:val="0"/>
          <w:sz w:val="20"/>
          <w:szCs w:val="20"/>
        </w:rPr>
        <w:t>Human Rights Watch</w:t>
      </w:r>
      <w:r w:rsidRPr="000B1627">
        <w:rPr>
          <w:sz w:val="20"/>
          <w:szCs w:val="20"/>
        </w:rPr>
        <w:t xml:space="preserve">, </w:t>
      </w:r>
      <w:r w:rsidRPr="000B1627">
        <w:rPr>
          <w:rStyle w:val="Emphasis"/>
          <w:sz w:val="20"/>
          <w:szCs w:val="20"/>
        </w:rPr>
        <w:t>Türkiye: Torture and Ill-Treatment in Custody, Particularly After the Coup Attempt</w:t>
      </w:r>
      <w:r w:rsidRPr="000B1627">
        <w:rPr>
          <w:sz w:val="20"/>
          <w:szCs w:val="20"/>
        </w:rPr>
        <w:t xml:space="preserve"> (2021), https://www.hrw.org/news/2021/07/19/Türkiye-mounting-evidence-serious-abuses (</w:t>
      </w:r>
      <w:r w:rsidR="007C3A61" w:rsidRPr="000B1627">
        <w:rPr>
          <w:sz w:val="20"/>
          <w:szCs w:val="20"/>
        </w:rPr>
        <w:t>accessed</w:t>
      </w:r>
      <w:r w:rsidRPr="000B1627">
        <w:rPr>
          <w:sz w:val="20"/>
          <w:szCs w:val="20"/>
        </w:rPr>
        <w:t xml:space="preserve"> Sept. 9, 2024).</w:t>
      </w:r>
    </w:p>
  </w:footnote>
  <w:footnote w:id="28">
    <w:p w14:paraId="1F11AD8F" w14:textId="08C5E9C6" w:rsidR="00F82ADE" w:rsidRPr="000B1627" w:rsidRDefault="00F82ADE" w:rsidP="006946B7">
      <w:pPr>
        <w:jc w:val="both"/>
        <w:rPr>
          <w:sz w:val="20"/>
          <w:szCs w:val="20"/>
        </w:rPr>
      </w:pPr>
      <w:r w:rsidRPr="000B1627">
        <w:rPr>
          <w:rStyle w:val="FootnoteReference"/>
          <w:sz w:val="20"/>
          <w:szCs w:val="20"/>
        </w:rPr>
        <w:footnoteRef/>
      </w:r>
      <w:r w:rsidRPr="000B1627">
        <w:rPr>
          <w:rStyle w:val="Strong"/>
          <w:b w:val="0"/>
          <w:bCs w:val="0"/>
          <w:sz w:val="20"/>
          <w:szCs w:val="20"/>
        </w:rPr>
        <w:t>Amnesty International</w:t>
      </w:r>
      <w:r w:rsidRPr="000B1627">
        <w:rPr>
          <w:sz w:val="20"/>
          <w:szCs w:val="20"/>
        </w:rPr>
        <w:t xml:space="preserve">, </w:t>
      </w:r>
      <w:r w:rsidRPr="000B1627">
        <w:rPr>
          <w:rStyle w:val="Emphasis"/>
          <w:sz w:val="20"/>
          <w:szCs w:val="20"/>
        </w:rPr>
        <w:t>Türkiye: End Police Violence Against Protesters</w:t>
      </w:r>
      <w:r w:rsidRPr="000B1627">
        <w:rPr>
          <w:sz w:val="20"/>
          <w:szCs w:val="20"/>
        </w:rPr>
        <w:t xml:space="preserve"> (2021), https://www.amnesty.org/en/latest/news/2021/07/Türkiye-end-police-violence-against-protesters/ (</w:t>
      </w:r>
      <w:r w:rsidR="007C3A61" w:rsidRPr="000B1627">
        <w:rPr>
          <w:sz w:val="20"/>
          <w:szCs w:val="20"/>
        </w:rPr>
        <w:t>accessed</w:t>
      </w:r>
      <w:r w:rsidRPr="000B1627">
        <w:rPr>
          <w:sz w:val="20"/>
          <w:szCs w:val="20"/>
        </w:rPr>
        <w:t xml:space="preserve"> Sept. 9, 2024).</w:t>
      </w:r>
    </w:p>
  </w:footnote>
  <w:footnote w:id="29">
    <w:p w14:paraId="043C1840" w14:textId="76BD49DD" w:rsidR="00F82ADE" w:rsidRPr="000B1627" w:rsidRDefault="00F82ADE" w:rsidP="006946B7">
      <w:pPr>
        <w:jc w:val="both"/>
        <w:rPr>
          <w:sz w:val="20"/>
          <w:szCs w:val="20"/>
        </w:rPr>
      </w:pPr>
      <w:r w:rsidRPr="000B1627">
        <w:rPr>
          <w:rStyle w:val="FootnoteReference"/>
          <w:sz w:val="20"/>
          <w:szCs w:val="20"/>
        </w:rPr>
        <w:footnoteRef/>
      </w:r>
      <w:r w:rsidRPr="000B1627">
        <w:rPr>
          <w:sz w:val="20"/>
          <w:szCs w:val="20"/>
        </w:rPr>
        <w:t xml:space="preserve"> </w:t>
      </w:r>
      <w:proofErr w:type="spellStart"/>
      <w:r w:rsidRPr="000B1627">
        <w:rPr>
          <w:rStyle w:val="Strong"/>
          <w:b w:val="0"/>
          <w:bCs w:val="0"/>
          <w:sz w:val="20"/>
          <w:szCs w:val="20"/>
        </w:rPr>
        <w:t>C</w:t>
      </w:r>
      <w:r w:rsidR="00390980" w:rsidRPr="000B1627">
        <w:rPr>
          <w:rStyle w:val="Strong"/>
          <w:b w:val="0"/>
          <w:bCs w:val="0"/>
          <w:sz w:val="20"/>
          <w:szCs w:val="20"/>
        </w:rPr>
        <w:t>oE</w:t>
      </w:r>
      <w:proofErr w:type="spellEnd"/>
      <w:r w:rsidR="00390980" w:rsidRPr="000B1627">
        <w:rPr>
          <w:rStyle w:val="Strong"/>
          <w:b w:val="0"/>
          <w:bCs w:val="0"/>
          <w:sz w:val="20"/>
          <w:szCs w:val="20"/>
        </w:rPr>
        <w:t>,</w:t>
      </w:r>
      <w:r w:rsidRPr="000B1627">
        <w:rPr>
          <w:sz w:val="20"/>
          <w:szCs w:val="20"/>
        </w:rPr>
        <w:t xml:space="preserve"> </w:t>
      </w:r>
      <w:r w:rsidRPr="000B1627">
        <w:rPr>
          <w:rStyle w:val="Emphasis"/>
          <w:sz w:val="20"/>
          <w:szCs w:val="20"/>
        </w:rPr>
        <w:t>CPT Public Statement on Türkiye – Continued Failure to Address Recommendations Concerning Detention Conditions</w:t>
      </w:r>
      <w:r w:rsidRPr="000B1627">
        <w:rPr>
          <w:sz w:val="20"/>
          <w:szCs w:val="20"/>
        </w:rPr>
        <w:t xml:space="preserve"> (2020), https://www.coe.int/en/web/cpt/-/council-of-europe-anti-torture-committee-issues-public-statement-on-Türkiye (</w:t>
      </w:r>
      <w:r w:rsidR="007C3A61" w:rsidRPr="000B1627">
        <w:rPr>
          <w:sz w:val="20"/>
          <w:szCs w:val="20"/>
        </w:rPr>
        <w:t>accessed</w:t>
      </w:r>
      <w:r w:rsidRPr="000B1627">
        <w:rPr>
          <w:sz w:val="20"/>
          <w:szCs w:val="20"/>
        </w:rPr>
        <w:t xml:space="preserve"> Sept. 9, 2024).</w:t>
      </w:r>
    </w:p>
  </w:footnote>
  <w:footnote w:id="30">
    <w:p w14:paraId="107B05CD" w14:textId="77777777" w:rsidR="00F82ADE" w:rsidRPr="000B1627" w:rsidRDefault="00F82ADE"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Ibid., at 12-14.</w:t>
      </w:r>
    </w:p>
  </w:footnote>
  <w:footnote w:id="31">
    <w:p w14:paraId="5A9A45F0" w14:textId="1FB1C578" w:rsidR="00F82ADE" w:rsidRPr="000B1627" w:rsidRDefault="00F82ADE"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UN OHCHR</w:t>
      </w:r>
      <w:r w:rsidRPr="000B1627">
        <w:rPr>
          <w:sz w:val="20"/>
          <w:szCs w:val="20"/>
        </w:rPr>
        <w:t xml:space="preserve">, </w:t>
      </w:r>
      <w:r w:rsidRPr="000B1627">
        <w:rPr>
          <w:rStyle w:val="Emphasis"/>
          <w:sz w:val="20"/>
          <w:szCs w:val="20"/>
        </w:rPr>
        <w:t>Türkiye Needs to Strengthen Effective Torture Prevention Measures, UN Experts Find</w:t>
      </w:r>
      <w:r w:rsidRPr="000B1627">
        <w:rPr>
          <w:sz w:val="20"/>
          <w:szCs w:val="20"/>
        </w:rPr>
        <w:t xml:space="preserve"> (Sept. 21, 2022), </w:t>
      </w:r>
      <w:hyperlink r:id="rId16" w:tgtFrame="_new" w:history="1">
        <w:r w:rsidRPr="000B1627">
          <w:rPr>
            <w:rStyle w:val="Hyperlink"/>
            <w:sz w:val="20"/>
            <w:szCs w:val="20"/>
          </w:rPr>
          <w:t>https://www.ohchr.org/en/press-releases/2022/09/turkiye-needs-strengthen-effective-torture-prevention-measures-un-experts</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32">
    <w:p w14:paraId="6B79F86E" w14:textId="2002BAE7" w:rsidR="00F82ADE" w:rsidRPr="000B1627" w:rsidRDefault="00F82ADE" w:rsidP="006946B7">
      <w:pPr>
        <w:jc w:val="both"/>
        <w:rPr>
          <w:sz w:val="20"/>
          <w:szCs w:val="20"/>
        </w:rPr>
      </w:pPr>
      <w:r w:rsidRPr="000B1627">
        <w:rPr>
          <w:rStyle w:val="FootnoteReference"/>
          <w:sz w:val="20"/>
          <w:szCs w:val="20"/>
        </w:rPr>
        <w:footnoteRef/>
      </w:r>
      <w:r w:rsidRPr="000B1627">
        <w:rPr>
          <w:rStyle w:val="Strong"/>
          <w:b w:val="0"/>
          <w:bCs w:val="0"/>
          <w:sz w:val="20"/>
          <w:szCs w:val="20"/>
        </w:rPr>
        <w:t>Human Rights Watch</w:t>
      </w:r>
      <w:r w:rsidRPr="000B1627">
        <w:rPr>
          <w:sz w:val="20"/>
          <w:szCs w:val="20"/>
        </w:rPr>
        <w:t xml:space="preserve">, </w:t>
      </w:r>
      <w:r w:rsidRPr="000B1627">
        <w:rPr>
          <w:rStyle w:val="Emphasis"/>
          <w:sz w:val="20"/>
          <w:szCs w:val="20"/>
        </w:rPr>
        <w:t>Türkiye: Impunity for Torture, Abuse in Custody</w:t>
      </w:r>
      <w:r w:rsidRPr="000B1627">
        <w:rPr>
          <w:sz w:val="20"/>
          <w:szCs w:val="20"/>
        </w:rPr>
        <w:t xml:space="preserve"> (2021), https://www.hrw.org/news/2021/03/08/Türkiye-impunity-torture-abuse-custody (</w:t>
      </w:r>
      <w:r w:rsidR="007C3A61" w:rsidRPr="000B1627">
        <w:rPr>
          <w:sz w:val="20"/>
          <w:szCs w:val="20"/>
        </w:rPr>
        <w:t>accessed</w:t>
      </w:r>
      <w:r w:rsidRPr="000B1627">
        <w:rPr>
          <w:sz w:val="20"/>
          <w:szCs w:val="20"/>
        </w:rPr>
        <w:t xml:space="preserve"> Sept. 9, 2024).</w:t>
      </w:r>
    </w:p>
  </w:footnote>
  <w:footnote w:id="33">
    <w:p w14:paraId="1853532D" w14:textId="38A78D6E" w:rsidR="00D6110A" w:rsidRPr="000B1627" w:rsidRDefault="00D6110A" w:rsidP="006946B7">
      <w:pPr>
        <w:jc w:val="both"/>
        <w:rPr>
          <w:sz w:val="20"/>
          <w:szCs w:val="20"/>
        </w:rPr>
      </w:pPr>
      <w:r w:rsidRPr="000B1627">
        <w:rPr>
          <w:rStyle w:val="FootnoteReference"/>
          <w:sz w:val="20"/>
          <w:szCs w:val="20"/>
        </w:rPr>
        <w:footnoteRef/>
      </w:r>
      <w:r w:rsidRPr="000B1627">
        <w:rPr>
          <w:rStyle w:val="Emphasis"/>
          <w:sz w:val="20"/>
          <w:szCs w:val="20"/>
        </w:rPr>
        <w:t>Anti-Terrorism Law (Law No. 3713)</w:t>
      </w:r>
      <w:r w:rsidRPr="000B1627">
        <w:rPr>
          <w:sz w:val="20"/>
          <w:szCs w:val="20"/>
        </w:rPr>
        <w:t xml:space="preserve"> (1991), </w:t>
      </w:r>
      <w:hyperlink r:id="rId17" w:tgtFrame="_new" w:history="1">
        <w:r w:rsidRPr="000B1627">
          <w:rPr>
            <w:rStyle w:val="Hyperlink"/>
            <w:sz w:val="20"/>
            <w:szCs w:val="20"/>
          </w:rPr>
          <w:t>https://www.legislationline.org/documents/id/20644</w:t>
        </w:r>
      </w:hyperlink>
      <w:r w:rsidRPr="000B1627">
        <w:rPr>
          <w:sz w:val="20"/>
          <w:szCs w:val="20"/>
        </w:rPr>
        <w:t xml:space="preserve"> (</w:t>
      </w:r>
      <w:r w:rsidR="007C3A61" w:rsidRPr="000B1627">
        <w:rPr>
          <w:sz w:val="20"/>
          <w:szCs w:val="20"/>
        </w:rPr>
        <w:t>accessed</w:t>
      </w:r>
      <w:r w:rsidRPr="000B1627">
        <w:rPr>
          <w:sz w:val="20"/>
          <w:szCs w:val="20"/>
        </w:rPr>
        <w:t xml:space="preserve"> Sept. 7, 2024).</w:t>
      </w:r>
    </w:p>
  </w:footnote>
  <w:footnote w:id="34">
    <w:p w14:paraId="4FAAA962" w14:textId="77777777" w:rsidR="00D6110A" w:rsidRPr="000B1627" w:rsidRDefault="00D6110A"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Ibid.</w:t>
      </w:r>
    </w:p>
  </w:footnote>
  <w:footnote w:id="35">
    <w:p w14:paraId="6130EBBE" w14:textId="77777777" w:rsidR="00D6110A" w:rsidRPr="000B1627" w:rsidRDefault="00D6110A" w:rsidP="006946B7">
      <w:pPr>
        <w:jc w:val="both"/>
        <w:rPr>
          <w:sz w:val="20"/>
          <w:szCs w:val="20"/>
        </w:rPr>
      </w:pPr>
      <w:r w:rsidRPr="000B1627">
        <w:rPr>
          <w:rStyle w:val="FootnoteReference"/>
          <w:sz w:val="20"/>
          <w:szCs w:val="20"/>
        </w:rPr>
        <w:footnoteRef/>
      </w:r>
      <w:r w:rsidRPr="000B1627">
        <w:rPr>
          <w:sz w:val="20"/>
          <w:szCs w:val="20"/>
        </w:rPr>
        <w:t xml:space="preserve"> ECtHR, </w:t>
      </w:r>
      <w:r w:rsidRPr="000B1627">
        <w:rPr>
          <w:rStyle w:val="Strong"/>
          <w:b w:val="0"/>
          <w:bCs w:val="0"/>
          <w:i/>
          <w:iCs/>
          <w:sz w:val="20"/>
          <w:szCs w:val="20"/>
        </w:rPr>
        <w:t>Kavala v. Türkiye</w:t>
      </w:r>
      <w:r w:rsidRPr="000B1627">
        <w:rPr>
          <w:sz w:val="20"/>
          <w:szCs w:val="20"/>
        </w:rPr>
        <w:t xml:space="preserve">, App. No. 38918/10, 2019, </w:t>
      </w:r>
      <w:hyperlink r:id="rId18" w:tgtFrame="_new" w:history="1">
        <w:r w:rsidRPr="000B1627">
          <w:rPr>
            <w:rStyle w:val="Hyperlink"/>
            <w:sz w:val="20"/>
            <w:szCs w:val="20"/>
          </w:rPr>
          <w:t>https://hudoc.echr.coe.int/eng?i=001-207173</w:t>
        </w:r>
      </w:hyperlink>
      <w:r w:rsidRPr="000B1627">
        <w:rPr>
          <w:sz w:val="20"/>
          <w:szCs w:val="20"/>
        </w:rPr>
        <w:t xml:space="preserve">; </w:t>
      </w:r>
      <w:r w:rsidRPr="000B1627">
        <w:rPr>
          <w:rStyle w:val="Strong"/>
          <w:b w:val="0"/>
          <w:bCs w:val="0"/>
          <w:i/>
          <w:iCs/>
          <w:sz w:val="20"/>
          <w:szCs w:val="20"/>
        </w:rPr>
        <w:t>Demirtaş v. Türkiye</w:t>
      </w:r>
      <w:r w:rsidRPr="000B1627">
        <w:rPr>
          <w:sz w:val="20"/>
          <w:szCs w:val="20"/>
        </w:rPr>
        <w:t xml:space="preserve">, App. No. 1340/18, 2018, </w:t>
      </w:r>
      <w:hyperlink r:id="rId19" w:tgtFrame="_new" w:history="1">
        <w:r w:rsidRPr="000B1627">
          <w:rPr>
            <w:rStyle w:val="Hyperlink"/>
            <w:sz w:val="20"/>
            <w:szCs w:val="20"/>
          </w:rPr>
          <w:t>https://hudoc.echr.coe.int/eng?i=001-187961</w:t>
        </w:r>
      </w:hyperlink>
      <w:r w:rsidRPr="000B1627">
        <w:rPr>
          <w:sz w:val="20"/>
          <w:szCs w:val="20"/>
        </w:rPr>
        <w:t xml:space="preserve">; </w:t>
      </w:r>
      <w:proofErr w:type="spellStart"/>
      <w:r w:rsidRPr="000B1627">
        <w:rPr>
          <w:i/>
          <w:iCs/>
          <w:sz w:val="20"/>
          <w:szCs w:val="20"/>
        </w:rPr>
        <w:t>Yüksekdağ</w:t>
      </w:r>
      <w:proofErr w:type="spellEnd"/>
      <w:r w:rsidRPr="000B1627">
        <w:rPr>
          <w:i/>
          <w:iCs/>
          <w:sz w:val="20"/>
          <w:szCs w:val="20"/>
        </w:rPr>
        <w:t xml:space="preserve"> </w:t>
      </w:r>
      <w:proofErr w:type="spellStart"/>
      <w:r w:rsidRPr="000B1627">
        <w:rPr>
          <w:i/>
          <w:iCs/>
          <w:sz w:val="20"/>
          <w:szCs w:val="20"/>
        </w:rPr>
        <w:t>Şenoğlu</w:t>
      </w:r>
      <w:proofErr w:type="spellEnd"/>
      <w:r w:rsidRPr="000B1627">
        <w:rPr>
          <w:i/>
          <w:iCs/>
          <w:sz w:val="20"/>
          <w:szCs w:val="20"/>
        </w:rPr>
        <w:t xml:space="preserve"> and Others v. Türkiye, </w:t>
      </w:r>
      <w:r w:rsidRPr="000B1627">
        <w:rPr>
          <w:sz w:val="20"/>
          <w:szCs w:val="20"/>
        </w:rPr>
        <w:t xml:space="preserve">App. No. 14332/17 and 12 other applications, 8 November 2022. </w:t>
      </w:r>
    </w:p>
  </w:footnote>
  <w:footnote w:id="36">
    <w:p w14:paraId="227E8E9A" w14:textId="77777777" w:rsidR="006946B7" w:rsidRDefault="00D6110A" w:rsidP="006946B7">
      <w:pPr>
        <w:jc w:val="both"/>
        <w:rPr>
          <w:sz w:val="20"/>
          <w:szCs w:val="20"/>
        </w:rPr>
      </w:pPr>
      <w:r w:rsidRPr="000B1627">
        <w:rPr>
          <w:rStyle w:val="FootnoteReference"/>
          <w:sz w:val="20"/>
          <w:szCs w:val="20"/>
        </w:rPr>
        <w:footnoteRef/>
      </w:r>
      <w:r w:rsidRPr="000B1627">
        <w:rPr>
          <w:rStyle w:val="Strong"/>
          <w:b w:val="0"/>
          <w:bCs w:val="0"/>
          <w:sz w:val="20"/>
          <w:szCs w:val="20"/>
        </w:rPr>
        <w:t>Council of Europe</w:t>
      </w:r>
      <w:r w:rsidRPr="000B1627">
        <w:rPr>
          <w:sz w:val="20"/>
          <w:szCs w:val="20"/>
        </w:rPr>
        <w:t xml:space="preserve">, </w:t>
      </w:r>
      <w:r w:rsidRPr="000B1627">
        <w:rPr>
          <w:rStyle w:val="Emphasis"/>
          <w:sz w:val="20"/>
          <w:szCs w:val="20"/>
        </w:rPr>
        <w:t>Annual Penal Statistics – SPACE I 2022</w:t>
      </w:r>
      <w:r w:rsidRPr="000B1627">
        <w:rPr>
          <w:sz w:val="20"/>
          <w:szCs w:val="20"/>
        </w:rPr>
        <w:t>,</w:t>
      </w:r>
    </w:p>
    <w:p w14:paraId="2CD0BB61" w14:textId="05CE0A73" w:rsidR="00D6110A" w:rsidRPr="000B1627" w:rsidRDefault="006946B7" w:rsidP="006946B7">
      <w:pPr>
        <w:jc w:val="both"/>
        <w:rPr>
          <w:sz w:val="20"/>
          <w:szCs w:val="20"/>
        </w:rPr>
      </w:pPr>
      <w:hyperlink r:id="rId20" w:history="1">
        <w:r w:rsidRPr="001162BD">
          <w:rPr>
            <w:rStyle w:val="Hyperlink"/>
            <w:sz w:val="20"/>
            <w:szCs w:val="20"/>
          </w:rPr>
          <w:t>https://wp.unil.ch/space/files/2024/01/240111_SPACE-I_2022_FinalReport.pdf</w:t>
        </w:r>
      </w:hyperlink>
      <w:r w:rsidR="00D6110A" w:rsidRPr="000B1627">
        <w:rPr>
          <w:sz w:val="20"/>
          <w:szCs w:val="20"/>
        </w:rPr>
        <w:t xml:space="preserve"> (</w:t>
      </w:r>
      <w:r w:rsidR="007C3A61" w:rsidRPr="000B1627">
        <w:rPr>
          <w:sz w:val="20"/>
          <w:szCs w:val="20"/>
        </w:rPr>
        <w:t>accessed</w:t>
      </w:r>
      <w:r w:rsidR="00D6110A" w:rsidRPr="000B1627">
        <w:rPr>
          <w:sz w:val="20"/>
          <w:szCs w:val="20"/>
        </w:rPr>
        <w:t xml:space="preserve"> Sept. 7, 2024).</w:t>
      </w:r>
    </w:p>
  </w:footnote>
  <w:footnote w:id="37">
    <w:p w14:paraId="5EB14C88" w14:textId="6FCAE5A0" w:rsidR="00D6110A" w:rsidRPr="000B1627" w:rsidRDefault="00D6110A"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Human Rights Watch</w:t>
      </w:r>
      <w:r w:rsidRPr="000B1627">
        <w:rPr>
          <w:sz w:val="20"/>
          <w:szCs w:val="20"/>
        </w:rPr>
        <w:t xml:space="preserve">, </w:t>
      </w:r>
      <w:r w:rsidRPr="000B1627">
        <w:rPr>
          <w:rStyle w:val="Emphasis"/>
          <w:sz w:val="20"/>
          <w:szCs w:val="20"/>
        </w:rPr>
        <w:t>World Report 2024: Türkiye</w:t>
      </w:r>
      <w:r w:rsidRPr="000B1627">
        <w:rPr>
          <w:sz w:val="20"/>
          <w:szCs w:val="20"/>
        </w:rPr>
        <w:t xml:space="preserve"> (2024), https://www.hrw.org/world-report/2024/country-chapters/Türkiye (</w:t>
      </w:r>
      <w:r w:rsidR="007C3A61" w:rsidRPr="000B1627">
        <w:rPr>
          <w:sz w:val="20"/>
          <w:szCs w:val="20"/>
        </w:rPr>
        <w:t>accessed</w:t>
      </w:r>
      <w:r w:rsidRPr="000B1627">
        <w:rPr>
          <w:sz w:val="20"/>
          <w:szCs w:val="20"/>
        </w:rPr>
        <w:t xml:space="preserve"> Sept. 7, 2024).</w:t>
      </w:r>
    </w:p>
  </w:footnote>
  <w:footnote w:id="38">
    <w:p w14:paraId="52D1E482" w14:textId="77777777" w:rsidR="00D6110A" w:rsidRPr="000B1627" w:rsidRDefault="00D6110A"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Parliamentary Assembly of the Council of Europe</w:t>
      </w:r>
      <w:r w:rsidRPr="000B1627">
        <w:rPr>
          <w:sz w:val="20"/>
          <w:szCs w:val="20"/>
        </w:rPr>
        <w:t xml:space="preserve">, </w:t>
      </w:r>
      <w:r w:rsidRPr="000B1627">
        <w:rPr>
          <w:rStyle w:val="Emphasis"/>
          <w:sz w:val="20"/>
          <w:szCs w:val="20"/>
        </w:rPr>
        <w:t>Resolution 2459 on the Honouring of Obligations and Commitments by Türkiye</w:t>
      </w:r>
      <w:r w:rsidRPr="000B1627">
        <w:rPr>
          <w:sz w:val="20"/>
          <w:szCs w:val="20"/>
        </w:rPr>
        <w:t>, para. 2 (2022).</w:t>
      </w:r>
    </w:p>
  </w:footnote>
  <w:footnote w:id="39">
    <w:p w14:paraId="593826AB" w14:textId="77777777" w:rsidR="00D6110A" w:rsidRPr="000B1627" w:rsidRDefault="00D6110A" w:rsidP="006946B7">
      <w:pPr>
        <w:jc w:val="both"/>
        <w:rPr>
          <w:sz w:val="20"/>
          <w:szCs w:val="20"/>
        </w:rPr>
      </w:pPr>
      <w:r w:rsidRPr="000B1627">
        <w:rPr>
          <w:rStyle w:val="FootnoteReference"/>
          <w:sz w:val="20"/>
          <w:szCs w:val="20"/>
        </w:rPr>
        <w:footnoteRef/>
      </w:r>
      <w:r w:rsidRPr="000B1627">
        <w:rPr>
          <w:sz w:val="20"/>
          <w:szCs w:val="20"/>
        </w:rPr>
        <w:t xml:space="preserve"> ECtHR, </w:t>
      </w:r>
      <w:proofErr w:type="spellStart"/>
      <w:r w:rsidRPr="000B1627">
        <w:rPr>
          <w:rStyle w:val="Strong"/>
          <w:b w:val="0"/>
          <w:bCs w:val="0"/>
          <w:i/>
          <w:iCs/>
          <w:sz w:val="20"/>
          <w:szCs w:val="20"/>
        </w:rPr>
        <w:t>Baydemir</w:t>
      </w:r>
      <w:proofErr w:type="spellEnd"/>
      <w:r w:rsidRPr="000B1627">
        <w:rPr>
          <w:rStyle w:val="Strong"/>
          <w:b w:val="0"/>
          <w:bCs w:val="0"/>
          <w:i/>
          <w:iCs/>
          <w:sz w:val="20"/>
          <w:szCs w:val="20"/>
        </w:rPr>
        <w:t xml:space="preserve"> v. Türkiye</w:t>
      </w:r>
      <w:r w:rsidRPr="000B1627">
        <w:rPr>
          <w:sz w:val="20"/>
          <w:szCs w:val="20"/>
        </w:rPr>
        <w:t>, App. No. 23445/18, 13 June 2023.</w:t>
      </w:r>
    </w:p>
  </w:footnote>
  <w:footnote w:id="40">
    <w:p w14:paraId="5A3046FC" w14:textId="5EEF3F1C" w:rsidR="00D6110A" w:rsidRPr="000B1627" w:rsidRDefault="00D6110A" w:rsidP="006946B7">
      <w:pPr>
        <w:jc w:val="both"/>
        <w:rPr>
          <w:sz w:val="20"/>
          <w:szCs w:val="20"/>
        </w:rPr>
      </w:pPr>
      <w:r w:rsidRPr="000B1627">
        <w:rPr>
          <w:rStyle w:val="FootnoteReference"/>
          <w:sz w:val="20"/>
          <w:szCs w:val="20"/>
        </w:rPr>
        <w:footnoteRef/>
      </w:r>
      <w:r w:rsidRPr="000B1627">
        <w:rPr>
          <w:rStyle w:val="Strong"/>
          <w:b w:val="0"/>
          <w:bCs w:val="0"/>
          <w:sz w:val="20"/>
          <w:szCs w:val="20"/>
        </w:rPr>
        <w:t>Human Rights Watch</w:t>
      </w:r>
      <w:r w:rsidRPr="000B1627">
        <w:rPr>
          <w:sz w:val="20"/>
          <w:szCs w:val="20"/>
        </w:rPr>
        <w:t xml:space="preserve">, </w:t>
      </w:r>
      <w:r w:rsidRPr="000B1627">
        <w:rPr>
          <w:rStyle w:val="Emphasis"/>
          <w:sz w:val="20"/>
          <w:szCs w:val="20"/>
        </w:rPr>
        <w:t>Türkiye: Crackdown on Kurdish Opposition</w:t>
      </w:r>
      <w:r w:rsidRPr="000B1627">
        <w:rPr>
          <w:sz w:val="20"/>
          <w:szCs w:val="20"/>
        </w:rPr>
        <w:t xml:space="preserve"> (2017), https://www.hrw.org/news/2017/12/07/Türkiye-crackdown-kurdish-opposition (</w:t>
      </w:r>
      <w:r w:rsidR="007C3A61" w:rsidRPr="000B1627">
        <w:rPr>
          <w:sz w:val="20"/>
          <w:szCs w:val="20"/>
        </w:rPr>
        <w:t>accessed</w:t>
      </w:r>
      <w:r w:rsidRPr="000B1627">
        <w:rPr>
          <w:sz w:val="20"/>
          <w:szCs w:val="20"/>
        </w:rPr>
        <w:t xml:space="preserve"> Sept. 7, 2024).</w:t>
      </w:r>
    </w:p>
  </w:footnote>
  <w:footnote w:id="41">
    <w:p w14:paraId="09201BB9" w14:textId="103EDF8B" w:rsidR="00D6110A" w:rsidRPr="000B1627" w:rsidRDefault="00D6110A" w:rsidP="006946B7">
      <w:pPr>
        <w:pStyle w:val="NormalWeb"/>
        <w:spacing w:before="0" w:beforeAutospacing="0" w:after="0" w:afterAutospacing="0"/>
        <w:jc w:val="both"/>
        <w:rPr>
          <w:sz w:val="20"/>
          <w:szCs w:val="20"/>
        </w:rPr>
      </w:pPr>
      <w:r w:rsidRPr="000B1627">
        <w:rPr>
          <w:rStyle w:val="FootnoteReference"/>
          <w:sz w:val="20"/>
          <w:szCs w:val="20"/>
        </w:rPr>
        <w:footnoteRef/>
      </w:r>
      <w:r w:rsidRPr="000B1627">
        <w:rPr>
          <w:sz w:val="20"/>
          <w:szCs w:val="20"/>
        </w:rPr>
        <w:t xml:space="preserve">Financial Action Task Force, </w:t>
      </w:r>
      <w:r w:rsidRPr="000B1627">
        <w:rPr>
          <w:i/>
          <w:iCs/>
          <w:sz w:val="20"/>
          <w:szCs w:val="20"/>
        </w:rPr>
        <w:t>High-Risk and Other Monitored Jurisdictions</w:t>
      </w:r>
      <w:r w:rsidRPr="000B1627">
        <w:rPr>
          <w:sz w:val="20"/>
          <w:szCs w:val="20"/>
        </w:rPr>
        <w:t xml:space="preserve"> (2021), </w:t>
      </w:r>
      <w:hyperlink r:id="rId21" w:tgtFrame="_new" w:history="1">
        <w:r w:rsidRPr="000B1627">
          <w:rPr>
            <w:color w:val="0000FF"/>
            <w:sz w:val="20"/>
            <w:szCs w:val="20"/>
            <w:u w:val="single"/>
          </w:rPr>
          <w:t>https://www.fatf-gafi.org/publications/high-risk-and-other-monitored-jurisdictions/documents/increased-monitoring-october-2021.html</w:t>
        </w:r>
      </w:hyperlink>
      <w:r w:rsidRPr="000B1627">
        <w:rPr>
          <w:sz w:val="20"/>
          <w:szCs w:val="20"/>
        </w:rPr>
        <w:t xml:space="preserve"> (</w:t>
      </w:r>
      <w:r w:rsidR="007C3A61" w:rsidRPr="000B1627">
        <w:rPr>
          <w:sz w:val="20"/>
          <w:szCs w:val="20"/>
        </w:rPr>
        <w:t>accessed</w:t>
      </w:r>
      <w:r w:rsidRPr="000B1627">
        <w:rPr>
          <w:sz w:val="20"/>
          <w:szCs w:val="20"/>
        </w:rPr>
        <w:t xml:space="preserve"> Sept. 7, 2024).</w:t>
      </w:r>
    </w:p>
  </w:footnote>
  <w:footnote w:id="42">
    <w:p w14:paraId="2FD44A72" w14:textId="0B7F6815" w:rsidR="00D6110A" w:rsidRPr="000B1627" w:rsidRDefault="00D6110A"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Amnesty International</w:t>
      </w:r>
      <w:r w:rsidRPr="000B1627">
        <w:rPr>
          <w:sz w:val="20"/>
          <w:szCs w:val="20"/>
        </w:rPr>
        <w:t xml:space="preserve">, </w:t>
      </w:r>
      <w:r w:rsidRPr="000B1627">
        <w:rPr>
          <w:rStyle w:val="Emphasis"/>
          <w:sz w:val="20"/>
          <w:szCs w:val="20"/>
        </w:rPr>
        <w:t>Türkiye: NGOs Under Pressure: Threat of Closure or Restriction of Freedoms</w:t>
      </w:r>
      <w:r w:rsidRPr="000B1627">
        <w:rPr>
          <w:sz w:val="20"/>
          <w:szCs w:val="20"/>
        </w:rPr>
        <w:t xml:space="preserve"> (2020), https://www.amnesty.org/en/latest/news/2020/12/Türkiye-ngos-under-pressure/ (</w:t>
      </w:r>
      <w:r w:rsidR="007C3A61" w:rsidRPr="000B1627">
        <w:rPr>
          <w:sz w:val="20"/>
          <w:szCs w:val="20"/>
        </w:rPr>
        <w:t>accessed</w:t>
      </w:r>
      <w:r w:rsidRPr="000B1627">
        <w:rPr>
          <w:sz w:val="20"/>
          <w:szCs w:val="20"/>
        </w:rPr>
        <w:t xml:space="preserve"> Sept. 7, 2024).</w:t>
      </w:r>
    </w:p>
  </w:footnote>
  <w:footnote w:id="43">
    <w:p w14:paraId="7E38C0C4" w14:textId="79B6B085" w:rsidR="00D6110A" w:rsidRPr="000B1627" w:rsidRDefault="00D6110A"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Amnesty International</w:t>
      </w:r>
      <w:r w:rsidRPr="000B1627">
        <w:rPr>
          <w:sz w:val="20"/>
          <w:szCs w:val="20"/>
        </w:rPr>
        <w:t xml:space="preserve">, </w:t>
      </w:r>
      <w:r w:rsidRPr="000B1627">
        <w:rPr>
          <w:rStyle w:val="Emphasis"/>
          <w:sz w:val="20"/>
          <w:szCs w:val="20"/>
        </w:rPr>
        <w:t>Amnesty International Report 2021/22: The State of the World's Human Rights</w:t>
      </w:r>
      <w:r w:rsidRPr="000B1627">
        <w:rPr>
          <w:sz w:val="20"/>
          <w:szCs w:val="20"/>
        </w:rPr>
        <w:t xml:space="preserve"> 372 (2022), </w:t>
      </w:r>
      <w:hyperlink r:id="rId22" w:tgtFrame="_new" w:history="1">
        <w:r w:rsidRPr="000B1627">
          <w:rPr>
            <w:rStyle w:val="Hyperlink"/>
            <w:sz w:val="20"/>
            <w:szCs w:val="20"/>
          </w:rPr>
          <w:t>https://www.amnesty.org/en/documents/pol10/4870/2022/en/</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44">
    <w:p w14:paraId="77FE467A" w14:textId="182A98BE" w:rsidR="004113A3" w:rsidRPr="000B1627" w:rsidRDefault="004113A3"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Committee of Ministers</w:t>
      </w:r>
      <w:r w:rsidRPr="000B1627">
        <w:rPr>
          <w:sz w:val="20"/>
          <w:szCs w:val="20"/>
        </w:rPr>
        <w:t xml:space="preserve">, 1459th Meeting (Mar. 2023) (DH) - Rule 9.2 - Communication from NGOs (Joint Submission by 33 NGOs and Bar Associations) in the Case of </w:t>
      </w:r>
      <w:r w:rsidRPr="000B1627">
        <w:rPr>
          <w:rStyle w:val="Emphasis"/>
          <w:sz w:val="20"/>
          <w:szCs w:val="20"/>
        </w:rPr>
        <w:t>Oya Ataman v. Türkiye</w:t>
      </w:r>
      <w:r w:rsidRPr="000B1627">
        <w:rPr>
          <w:sz w:val="20"/>
          <w:szCs w:val="20"/>
        </w:rPr>
        <w:t xml:space="preserve">, App. No. 74552/01, para. 28 (Jan. 23, 2023), </w:t>
      </w:r>
      <w:hyperlink r:id="rId23" w:tgtFrame="_new" w:history="1">
        <w:r w:rsidRPr="000B1627">
          <w:rPr>
            <w:rStyle w:val="Hyperlink"/>
            <w:sz w:val="20"/>
            <w:szCs w:val="20"/>
          </w:rPr>
          <w:t>https://hudoc.exec.coe.int/?i=DH-DD(2023)1504E</w:t>
        </w:r>
      </w:hyperlink>
      <w:r w:rsidRPr="000B1627">
        <w:rPr>
          <w:sz w:val="20"/>
          <w:szCs w:val="20"/>
        </w:rPr>
        <w:t xml:space="preserve"> (</w:t>
      </w:r>
      <w:r w:rsidR="007C3A61" w:rsidRPr="000B1627">
        <w:rPr>
          <w:sz w:val="20"/>
          <w:szCs w:val="20"/>
        </w:rPr>
        <w:t>accessed</w:t>
      </w:r>
      <w:r w:rsidRPr="000B1627">
        <w:rPr>
          <w:sz w:val="20"/>
          <w:szCs w:val="20"/>
        </w:rPr>
        <w:t xml:space="preserve"> Sept. 9, 2024).</w:t>
      </w:r>
    </w:p>
  </w:footnote>
  <w:footnote w:id="45">
    <w:p w14:paraId="70E2ADD4" w14:textId="6C87EEAA" w:rsidR="004113A3" w:rsidRPr="000B1627" w:rsidRDefault="004113A3" w:rsidP="006946B7">
      <w:pPr>
        <w:jc w:val="both"/>
        <w:rPr>
          <w:sz w:val="20"/>
          <w:szCs w:val="20"/>
        </w:rPr>
      </w:pPr>
      <w:r w:rsidRPr="000B1627">
        <w:rPr>
          <w:rStyle w:val="FootnoteReference"/>
          <w:sz w:val="20"/>
          <w:szCs w:val="20"/>
        </w:rPr>
        <w:footnoteRef/>
      </w:r>
      <w:r w:rsidRPr="000B1627">
        <w:rPr>
          <w:sz w:val="20"/>
          <w:szCs w:val="20"/>
        </w:rPr>
        <w:t xml:space="preserve"> </w:t>
      </w:r>
      <w:proofErr w:type="spellStart"/>
      <w:r w:rsidRPr="000B1627">
        <w:rPr>
          <w:rStyle w:val="Strong"/>
          <w:b w:val="0"/>
          <w:bCs w:val="0"/>
          <w:sz w:val="20"/>
          <w:szCs w:val="20"/>
        </w:rPr>
        <w:t>Duvar</w:t>
      </w:r>
      <w:proofErr w:type="spellEnd"/>
      <w:r w:rsidRPr="000B1627">
        <w:rPr>
          <w:rStyle w:val="Strong"/>
          <w:b w:val="0"/>
          <w:bCs w:val="0"/>
          <w:sz w:val="20"/>
          <w:szCs w:val="20"/>
        </w:rPr>
        <w:t xml:space="preserve"> English</w:t>
      </w:r>
      <w:r w:rsidRPr="000B1627">
        <w:rPr>
          <w:sz w:val="20"/>
          <w:szCs w:val="20"/>
        </w:rPr>
        <w:t xml:space="preserve">, </w:t>
      </w:r>
      <w:r w:rsidRPr="000B1627">
        <w:rPr>
          <w:rStyle w:val="Emphasis"/>
          <w:sz w:val="20"/>
          <w:szCs w:val="20"/>
        </w:rPr>
        <w:t>Crowds Gather for Feminist Night March in Istanbul: “No Equality and Freedom for Us, No Peace for Them”</w:t>
      </w:r>
      <w:r w:rsidRPr="000B1627">
        <w:rPr>
          <w:sz w:val="20"/>
          <w:szCs w:val="20"/>
        </w:rPr>
        <w:t xml:space="preserve"> (Mar. 8, 2024), </w:t>
      </w:r>
      <w:hyperlink r:id="rId24" w:tgtFrame="_new" w:history="1">
        <w:r w:rsidRPr="000B1627">
          <w:rPr>
            <w:rStyle w:val="Hyperlink"/>
            <w:sz w:val="20"/>
            <w:szCs w:val="20"/>
          </w:rPr>
          <w:t>https://www.duvarenglish.com/crowds-gather-for-feminist-night-march-in-istanbul-no-equality-and-freedom-for-us-no-peace-for-them-news-63973</w:t>
        </w:r>
      </w:hyperlink>
      <w:r w:rsidRPr="000B1627">
        <w:rPr>
          <w:sz w:val="20"/>
          <w:szCs w:val="20"/>
        </w:rPr>
        <w:t xml:space="preserve"> (</w:t>
      </w:r>
      <w:r w:rsidR="007C3A61" w:rsidRPr="000B1627">
        <w:rPr>
          <w:sz w:val="20"/>
          <w:szCs w:val="20"/>
        </w:rPr>
        <w:t>accessed</w:t>
      </w:r>
      <w:r w:rsidRPr="000B1627">
        <w:rPr>
          <w:sz w:val="20"/>
          <w:szCs w:val="20"/>
        </w:rPr>
        <w:t xml:space="preserve"> Sept. 4, 2024).</w:t>
      </w:r>
    </w:p>
  </w:footnote>
  <w:footnote w:id="46">
    <w:p w14:paraId="4333936E" w14:textId="32575232" w:rsidR="004113A3" w:rsidRPr="000B1627" w:rsidRDefault="004113A3" w:rsidP="006946B7">
      <w:pPr>
        <w:jc w:val="both"/>
        <w:rPr>
          <w:sz w:val="20"/>
          <w:szCs w:val="20"/>
        </w:rPr>
      </w:pPr>
      <w:r w:rsidRPr="000B1627">
        <w:rPr>
          <w:rStyle w:val="FootnoteReference"/>
          <w:sz w:val="20"/>
          <w:szCs w:val="20"/>
        </w:rPr>
        <w:footnoteRef/>
      </w:r>
      <w:r w:rsidRPr="000B1627">
        <w:rPr>
          <w:rStyle w:val="Strong"/>
          <w:b w:val="0"/>
          <w:bCs w:val="0"/>
          <w:sz w:val="20"/>
          <w:szCs w:val="20"/>
        </w:rPr>
        <w:t>Reuters</w:t>
      </w:r>
      <w:r w:rsidRPr="000B1627">
        <w:rPr>
          <w:sz w:val="20"/>
          <w:szCs w:val="20"/>
        </w:rPr>
        <w:t xml:space="preserve">, </w:t>
      </w:r>
      <w:r w:rsidRPr="000B1627">
        <w:rPr>
          <w:rStyle w:val="Emphasis"/>
          <w:sz w:val="20"/>
          <w:szCs w:val="20"/>
        </w:rPr>
        <w:t>Türkiye Arrests at Least 15 Protesters at Pride Rally</w:t>
      </w:r>
      <w:r w:rsidRPr="000B1627">
        <w:rPr>
          <w:sz w:val="20"/>
          <w:szCs w:val="20"/>
        </w:rPr>
        <w:t xml:space="preserve"> (June 30, 2024), https://www.reuters.com/world/middle-east/Türkiye-arrests-least-15-protesters-pride-rally-2024-06-30/ (</w:t>
      </w:r>
      <w:r w:rsidR="007C3A61" w:rsidRPr="000B1627">
        <w:rPr>
          <w:sz w:val="20"/>
          <w:szCs w:val="20"/>
        </w:rPr>
        <w:t>accessed</w:t>
      </w:r>
      <w:r w:rsidRPr="000B1627">
        <w:rPr>
          <w:sz w:val="20"/>
          <w:szCs w:val="20"/>
        </w:rPr>
        <w:t xml:space="preserve"> Sept. 4, 2024).</w:t>
      </w:r>
    </w:p>
  </w:footnote>
  <w:footnote w:id="47">
    <w:p w14:paraId="2CABAEB7" w14:textId="5FEF3443" w:rsidR="004113A3" w:rsidRPr="000B1627" w:rsidRDefault="004113A3" w:rsidP="006946B7">
      <w:pPr>
        <w:jc w:val="both"/>
        <w:rPr>
          <w:sz w:val="20"/>
          <w:szCs w:val="20"/>
        </w:rPr>
      </w:pPr>
      <w:r w:rsidRPr="000B1627">
        <w:rPr>
          <w:rStyle w:val="FootnoteReference"/>
          <w:sz w:val="20"/>
          <w:szCs w:val="20"/>
        </w:rPr>
        <w:footnoteRef/>
      </w:r>
      <w:r w:rsidRPr="000B1627">
        <w:rPr>
          <w:sz w:val="20"/>
          <w:szCs w:val="20"/>
        </w:rPr>
        <w:t xml:space="preserve"> </w:t>
      </w:r>
      <w:proofErr w:type="spellStart"/>
      <w:r w:rsidRPr="000B1627">
        <w:rPr>
          <w:rStyle w:val="Strong"/>
          <w:b w:val="0"/>
          <w:bCs w:val="0"/>
          <w:sz w:val="20"/>
          <w:szCs w:val="20"/>
        </w:rPr>
        <w:t>Bianet</w:t>
      </w:r>
      <w:proofErr w:type="spellEnd"/>
      <w:r w:rsidRPr="000B1627">
        <w:rPr>
          <w:sz w:val="20"/>
          <w:szCs w:val="20"/>
        </w:rPr>
        <w:t xml:space="preserve">, </w:t>
      </w:r>
      <w:proofErr w:type="gramStart"/>
      <w:r w:rsidRPr="000B1627">
        <w:rPr>
          <w:rStyle w:val="Emphasis"/>
          <w:sz w:val="20"/>
          <w:szCs w:val="20"/>
        </w:rPr>
        <w:t>Protests Against</w:t>
      </w:r>
      <w:proofErr w:type="gramEnd"/>
      <w:r w:rsidRPr="000B1627">
        <w:rPr>
          <w:rStyle w:val="Emphasis"/>
          <w:sz w:val="20"/>
          <w:szCs w:val="20"/>
        </w:rPr>
        <w:t xml:space="preserve"> Mass Detentions Across Türkiye</w:t>
      </w:r>
      <w:r w:rsidRPr="000B1627">
        <w:rPr>
          <w:sz w:val="20"/>
          <w:szCs w:val="20"/>
        </w:rPr>
        <w:t xml:space="preserve"> (2023), https://bianet.org/english/human-rights/274152-protests-against-mass-detentions-across-Türkiye (</w:t>
      </w:r>
      <w:r w:rsidR="007C3A61" w:rsidRPr="000B1627">
        <w:rPr>
          <w:sz w:val="20"/>
          <w:szCs w:val="20"/>
        </w:rPr>
        <w:t>accessed</w:t>
      </w:r>
      <w:r w:rsidRPr="000B1627">
        <w:rPr>
          <w:sz w:val="20"/>
          <w:szCs w:val="20"/>
        </w:rPr>
        <w:t xml:space="preserve"> Sept. 9, 2024).</w:t>
      </w:r>
    </w:p>
  </w:footnote>
  <w:footnote w:id="48">
    <w:p w14:paraId="515A6E75" w14:textId="1278A6FA" w:rsidR="004113A3" w:rsidRPr="000B1627" w:rsidRDefault="004113A3" w:rsidP="006946B7">
      <w:pPr>
        <w:jc w:val="both"/>
        <w:rPr>
          <w:sz w:val="20"/>
          <w:szCs w:val="20"/>
        </w:rPr>
      </w:pPr>
      <w:r w:rsidRPr="000B1627">
        <w:rPr>
          <w:rStyle w:val="FootnoteReference"/>
          <w:sz w:val="20"/>
          <w:szCs w:val="20"/>
        </w:rPr>
        <w:footnoteRef/>
      </w:r>
      <w:r w:rsidRPr="000B1627">
        <w:rPr>
          <w:sz w:val="20"/>
          <w:szCs w:val="20"/>
        </w:rPr>
        <w:t xml:space="preserve"> </w:t>
      </w:r>
      <w:r w:rsidRPr="000B1627">
        <w:rPr>
          <w:rStyle w:val="Strong"/>
          <w:b w:val="0"/>
          <w:bCs w:val="0"/>
          <w:sz w:val="20"/>
          <w:szCs w:val="20"/>
        </w:rPr>
        <w:t xml:space="preserve">Stockholm </w:t>
      </w:r>
      <w:proofErr w:type="spellStart"/>
      <w:r w:rsidRPr="000B1627">
        <w:rPr>
          <w:rStyle w:val="Strong"/>
          <w:b w:val="0"/>
          <w:bCs w:val="0"/>
          <w:sz w:val="20"/>
          <w:szCs w:val="20"/>
        </w:rPr>
        <w:t>Center</w:t>
      </w:r>
      <w:proofErr w:type="spellEnd"/>
      <w:r w:rsidRPr="000B1627">
        <w:rPr>
          <w:rStyle w:val="Strong"/>
          <w:b w:val="0"/>
          <w:bCs w:val="0"/>
          <w:sz w:val="20"/>
          <w:szCs w:val="20"/>
        </w:rPr>
        <w:t xml:space="preserve"> for Freedom</w:t>
      </w:r>
      <w:r w:rsidRPr="000B1627">
        <w:rPr>
          <w:sz w:val="20"/>
          <w:szCs w:val="20"/>
        </w:rPr>
        <w:t xml:space="preserve">, </w:t>
      </w:r>
      <w:r w:rsidRPr="000B1627">
        <w:rPr>
          <w:rStyle w:val="Emphasis"/>
          <w:sz w:val="20"/>
          <w:szCs w:val="20"/>
        </w:rPr>
        <w:t>Türkiye Bans Protests in Kurdish Regions Ahead of Sensitive Events</w:t>
      </w:r>
      <w:r w:rsidRPr="000B1627">
        <w:rPr>
          <w:sz w:val="20"/>
          <w:szCs w:val="20"/>
        </w:rPr>
        <w:t xml:space="preserve"> (2022), https://stockholmcf.org/Türkiye-bans-protests-in-kurdish-regions-ahead-of-sensitive-events/ (</w:t>
      </w:r>
      <w:r w:rsidR="007C3A61" w:rsidRPr="000B1627">
        <w:rPr>
          <w:sz w:val="20"/>
          <w:szCs w:val="20"/>
        </w:rPr>
        <w:t>accessed</w:t>
      </w:r>
      <w:r w:rsidRPr="000B1627">
        <w:rPr>
          <w:sz w:val="20"/>
          <w:szCs w:val="20"/>
        </w:rPr>
        <w:t xml:space="preserve"> Sept. 9, 2024).</w:t>
      </w:r>
    </w:p>
  </w:footnote>
  <w:footnote w:id="49">
    <w:p w14:paraId="19209BD5" w14:textId="5EFAA912" w:rsidR="000F6A18" w:rsidRPr="000B1627" w:rsidRDefault="000F6A18" w:rsidP="006946B7">
      <w:pPr>
        <w:jc w:val="both"/>
        <w:rPr>
          <w:sz w:val="20"/>
          <w:szCs w:val="20"/>
        </w:rPr>
      </w:pPr>
      <w:r w:rsidRPr="000B1627">
        <w:rPr>
          <w:rStyle w:val="FootnoteReference"/>
          <w:sz w:val="20"/>
          <w:szCs w:val="20"/>
        </w:rPr>
        <w:footnoteRef/>
      </w:r>
      <w:r w:rsidR="00B720E1" w:rsidRPr="000B1627">
        <w:rPr>
          <w:rStyle w:val="Emphasis"/>
          <w:i w:val="0"/>
          <w:iCs w:val="0"/>
          <w:sz w:val="20"/>
          <w:szCs w:val="20"/>
        </w:rPr>
        <w:t>Minority Rights Group International</w:t>
      </w:r>
      <w:r w:rsidR="00B720E1" w:rsidRPr="000B1627">
        <w:rPr>
          <w:sz w:val="20"/>
          <w:szCs w:val="20"/>
        </w:rPr>
        <w:t xml:space="preserve">, </w:t>
      </w:r>
      <w:r w:rsidR="00B720E1" w:rsidRPr="000B1627">
        <w:rPr>
          <w:rStyle w:val="Emphasis"/>
          <w:sz w:val="20"/>
          <w:szCs w:val="20"/>
        </w:rPr>
        <w:t>Kurds</w:t>
      </w:r>
      <w:r w:rsidR="00B720E1" w:rsidRPr="000B1627">
        <w:rPr>
          <w:sz w:val="20"/>
          <w:szCs w:val="20"/>
        </w:rPr>
        <w:t xml:space="preserve">, </w:t>
      </w:r>
      <w:r w:rsidR="00B720E1" w:rsidRPr="000B1627">
        <w:rPr>
          <w:i/>
          <w:iCs/>
          <w:sz w:val="20"/>
          <w:szCs w:val="20"/>
        </w:rPr>
        <w:t>Minority Rights Group</w:t>
      </w:r>
      <w:r w:rsidR="00B720E1" w:rsidRPr="000B1627">
        <w:rPr>
          <w:sz w:val="20"/>
          <w:szCs w:val="20"/>
        </w:rPr>
        <w:t xml:space="preserve"> (2023), </w:t>
      </w:r>
      <w:hyperlink r:id="rId25" w:tgtFrame="_new" w:history="1">
        <w:r w:rsidR="00B720E1" w:rsidRPr="000B1627">
          <w:rPr>
            <w:rStyle w:val="Hyperlink"/>
            <w:sz w:val="20"/>
            <w:szCs w:val="20"/>
          </w:rPr>
          <w:t>https://minorityrights.org/communities/kurds-2/</w:t>
        </w:r>
      </w:hyperlink>
      <w:r w:rsidR="00B720E1" w:rsidRPr="000B1627">
        <w:rPr>
          <w:sz w:val="20"/>
          <w:szCs w:val="20"/>
        </w:rPr>
        <w:t xml:space="preserve"> (</w:t>
      </w:r>
      <w:r w:rsidR="007C3A61" w:rsidRPr="000B1627">
        <w:rPr>
          <w:sz w:val="20"/>
          <w:szCs w:val="20"/>
        </w:rPr>
        <w:t>accessed</w:t>
      </w:r>
      <w:r w:rsidR="00B720E1" w:rsidRPr="000B1627">
        <w:rPr>
          <w:sz w:val="20"/>
          <w:szCs w:val="20"/>
        </w:rPr>
        <w:t xml:space="preserve"> Sept. 5, 2024).</w:t>
      </w:r>
    </w:p>
  </w:footnote>
  <w:footnote w:id="50">
    <w:p w14:paraId="1306EDEF" w14:textId="7698ADDB" w:rsidR="000F6A18" w:rsidRPr="000B1627" w:rsidRDefault="000F6A18" w:rsidP="006946B7">
      <w:pPr>
        <w:jc w:val="both"/>
        <w:rPr>
          <w:sz w:val="20"/>
          <w:szCs w:val="20"/>
        </w:rPr>
      </w:pPr>
      <w:r w:rsidRPr="000B1627">
        <w:rPr>
          <w:sz w:val="20"/>
          <w:szCs w:val="20"/>
          <w:vertAlign w:val="superscript"/>
        </w:rPr>
        <w:footnoteRef/>
      </w:r>
      <w:r w:rsidR="00082BAD" w:rsidRPr="000B1627">
        <w:rPr>
          <w:sz w:val="20"/>
          <w:szCs w:val="20"/>
        </w:rPr>
        <w:t>Human Rights Watch,</w:t>
      </w:r>
      <w:r w:rsidR="00E65086" w:rsidRPr="000B1627">
        <w:rPr>
          <w:sz w:val="20"/>
          <w:szCs w:val="20"/>
        </w:rPr>
        <w:t xml:space="preserve"> </w:t>
      </w:r>
      <w:r w:rsidR="00B720E1" w:rsidRPr="000B1627">
        <w:rPr>
          <w:i/>
          <w:iCs/>
          <w:sz w:val="20"/>
          <w:szCs w:val="20"/>
        </w:rPr>
        <w:t>Türkiye: Mounting Security Operation Deaths</w:t>
      </w:r>
      <w:r w:rsidR="00B720E1" w:rsidRPr="000B1627">
        <w:rPr>
          <w:sz w:val="20"/>
          <w:szCs w:val="20"/>
        </w:rPr>
        <w:t>, (Dec. 22, 2015), https://www.hrw.org/news/2015/12/22/turkiye-mounting-security-operation-deaths (</w:t>
      </w:r>
      <w:r w:rsidR="007C3A61" w:rsidRPr="000B1627">
        <w:rPr>
          <w:sz w:val="20"/>
          <w:szCs w:val="20"/>
        </w:rPr>
        <w:t>accessed</w:t>
      </w:r>
      <w:r w:rsidR="00B720E1" w:rsidRPr="000B1627">
        <w:rPr>
          <w:sz w:val="20"/>
          <w:szCs w:val="20"/>
        </w:rPr>
        <w:t xml:space="preserve"> Sept. 5, 2024).</w:t>
      </w:r>
    </w:p>
  </w:footnote>
  <w:footnote w:id="51">
    <w:p w14:paraId="2F8CF264" w14:textId="77777777" w:rsidR="006F0269" w:rsidRPr="000B1627" w:rsidRDefault="006F0269" w:rsidP="006946B7">
      <w:pPr>
        <w:jc w:val="both"/>
        <w:rPr>
          <w:color w:val="000000" w:themeColor="text1"/>
          <w:sz w:val="20"/>
          <w:szCs w:val="20"/>
        </w:rPr>
      </w:pPr>
      <w:r w:rsidRPr="000B1627">
        <w:rPr>
          <w:color w:val="000000" w:themeColor="text1"/>
          <w:sz w:val="20"/>
          <w:szCs w:val="20"/>
          <w:vertAlign w:val="superscript"/>
        </w:rPr>
        <w:footnoteRef/>
      </w:r>
      <w:r w:rsidRPr="000B1627">
        <w:rPr>
          <w:color w:val="000000" w:themeColor="text1"/>
          <w:sz w:val="20"/>
          <w:szCs w:val="20"/>
        </w:rPr>
        <w:t xml:space="preserve"> İHD </w:t>
      </w:r>
      <w:proofErr w:type="spellStart"/>
      <w:r w:rsidRPr="000B1627">
        <w:rPr>
          <w:color w:val="000000" w:themeColor="text1"/>
          <w:sz w:val="20"/>
          <w:szCs w:val="20"/>
        </w:rPr>
        <w:t>Diyarbakır</w:t>
      </w:r>
      <w:proofErr w:type="spellEnd"/>
      <w:r w:rsidRPr="000B1627">
        <w:rPr>
          <w:color w:val="000000" w:themeColor="text1"/>
          <w:sz w:val="20"/>
          <w:szCs w:val="20"/>
        </w:rPr>
        <w:t xml:space="preserve"> Branch, </w:t>
      </w:r>
      <w:r w:rsidRPr="000B1627">
        <w:rPr>
          <w:i/>
          <w:iCs/>
          <w:color w:val="000000" w:themeColor="text1"/>
          <w:sz w:val="20"/>
          <w:szCs w:val="20"/>
        </w:rPr>
        <w:t>Review of 2017</w:t>
      </w:r>
      <w:r w:rsidRPr="000B1627">
        <w:rPr>
          <w:i/>
          <w:color w:val="000000" w:themeColor="text1"/>
          <w:sz w:val="20"/>
          <w:szCs w:val="20"/>
        </w:rPr>
        <w:t>-2021 (5 Years) Child Rights Violations Report</w:t>
      </w:r>
      <w:r w:rsidRPr="000B1627">
        <w:rPr>
          <w:color w:val="000000" w:themeColor="text1"/>
          <w:sz w:val="20"/>
          <w:szCs w:val="20"/>
        </w:rPr>
        <w:t>.</w:t>
      </w:r>
    </w:p>
  </w:footnote>
  <w:footnote w:id="52">
    <w:p w14:paraId="4A4ADE5A" w14:textId="5FCDD4C4" w:rsidR="00B52EC4" w:rsidRPr="000B1627" w:rsidRDefault="00B52EC4" w:rsidP="006946B7">
      <w:pPr>
        <w:jc w:val="both"/>
        <w:rPr>
          <w:sz w:val="20"/>
          <w:szCs w:val="20"/>
        </w:rPr>
      </w:pPr>
      <w:r w:rsidRPr="000B1627">
        <w:rPr>
          <w:color w:val="000000" w:themeColor="text1"/>
          <w:sz w:val="20"/>
          <w:szCs w:val="20"/>
          <w:vertAlign w:val="superscript"/>
        </w:rPr>
        <w:footnoteRef/>
      </w:r>
      <w:r w:rsidRPr="000B1627">
        <w:rPr>
          <w:color w:val="000000" w:themeColor="text1"/>
          <w:sz w:val="20"/>
          <w:szCs w:val="20"/>
        </w:rPr>
        <w:t xml:space="preserve"> </w:t>
      </w:r>
      <w:r w:rsidR="00082BAD" w:rsidRPr="000B1627">
        <w:rPr>
          <w:rStyle w:val="Strong"/>
          <w:b w:val="0"/>
          <w:bCs w:val="0"/>
          <w:sz w:val="20"/>
          <w:szCs w:val="20"/>
        </w:rPr>
        <w:t xml:space="preserve">İHD </w:t>
      </w:r>
      <w:proofErr w:type="spellStart"/>
      <w:r w:rsidR="00082BAD" w:rsidRPr="000B1627">
        <w:rPr>
          <w:rStyle w:val="Strong"/>
          <w:b w:val="0"/>
          <w:bCs w:val="0"/>
          <w:sz w:val="20"/>
          <w:szCs w:val="20"/>
        </w:rPr>
        <w:t>Diyarbakır</w:t>
      </w:r>
      <w:proofErr w:type="spellEnd"/>
      <w:r w:rsidR="00082BAD" w:rsidRPr="000B1627">
        <w:rPr>
          <w:rStyle w:val="Strong"/>
          <w:b w:val="0"/>
          <w:bCs w:val="0"/>
          <w:sz w:val="20"/>
          <w:szCs w:val="20"/>
        </w:rPr>
        <w:t xml:space="preserve"> Branch</w:t>
      </w:r>
      <w:r w:rsidR="00082BAD" w:rsidRPr="000B1627">
        <w:rPr>
          <w:sz w:val="20"/>
          <w:szCs w:val="20"/>
        </w:rPr>
        <w:t xml:space="preserve">, </w:t>
      </w:r>
      <w:r w:rsidR="00082BAD" w:rsidRPr="000B1627">
        <w:rPr>
          <w:rStyle w:val="Emphasis"/>
          <w:sz w:val="20"/>
          <w:szCs w:val="20"/>
        </w:rPr>
        <w:t xml:space="preserve">Review of Violations of the Right to Life as a Result of Collisions by </w:t>
      </w:r>
      <w:proofErr w:type="spellStart"/>
      <w:r w:rsidR="00082BAD" w:rsidRPr="000B1627">
        <w:rPr>
          <w:rStyle w:val="Emphasis"/>
          <w:sz w:val="20"/>
          <w:szCs w:val="20"/>
        </w:rPr>
        <w:t>Armored</w:t>
      </w:r>
      <w:proofErr w:type="spellEnd"/>
      <w:r w:rsidR="00082BAD" w:rsidRPr="000B1627">
        <w:rPr>
          <w:rStyle w:val="Emphasis"/>
          <w:sz w:val="20"/>
          <w:szCs w:val="20"/>
        </w:rPr>
        <w:t xml:space="preserve"> Vehicles Research Report</w:t>
      </w:r>
      <w:r w:rsidR="00082BAD" w:rsidRPr="000B1627">
        <w:rPr>
          <w:sz w:val="20"/>
          <w:szCs w:val="20"/>
        </w:rPr>
        <w:t xml:space="preserve"> (2023).</w:t>
      </w:r>
    </w:p>
  </w:footnote>
  <w:footnote w:id="53">
    <w:p w14:paraId="35410DC5" w14:textId="54886AEC" w:rsidR="00B52EC4" w:rsidRPr="000B1627" w:rsidRDefault="00B52EC4" w:rsidP="006946B7">
      <w:pPr>
        <w:jc w:val="both"/>
        <w:rPr>
          <w:sz w:val="20"/>
          <w:szCs w:val="20"/>
        </w:rPr>
      </w:pPr>
      <w:r w:rsidRPr="000B1627">
        <w:rPr>
          <w:rStyle w:val="FootnoteReference"/>
          <w:color w:val="000000" w:themeColor="text1"/>
          <w:sz w:val="20"/>
          <w:szCs w:val="20"/>
        </w:rPr>
        <w:footnoteRef/>
      </w:r>
      <w:r w:rsidRPr="000B1627">
        <w:rPr>
          <w:color w:val="000000" w:themeColor="text1"/>
          <w:sz w:val="20"/>
          <w:szCs w:val="20"/>
        </w:rPr>
        <w:t xml:space="preserve"> </w:t>
      </w:r>
      <w:r w:rsidR="00082BAD" w:rsidRPr="000B1627">
        <w:rPr>
          <w:sz w:val="20"/>
          <w:szCs w:val="20"/>
        </w:rPr>
        <w:t xml:space="preserve">ANF News, </w:t>
      </w:r>
      <w:r w:rsidR="00082BAD" w:rsidRPr="000B1627">
        <w:rPr>
          <w:i/>
          <w:iCs/>
          <w:sz w:val="20"/>
          <w:szCs w:val="20"/>
        </w:rPr>
        <w:t>IHD Report Reveals Continued Violations of Children's Rights in the Kurdish Region of Türkiye</w:t>
      </w:r>
      <w:r w:rsidR="00082BAD" w:rsidRPr="000B1627">
        <w:rPr>
          <w:sz w:val="20"/>
          <w:szCs w:val="20"/>
        </w:rPr>
        <w:t xml:space="preserve">, ANF English (Sept. 9, 2023), </w:t>
      </w:r>
      <w:hyperlink r:id="rId26" w:tgtFrame="_new" w:history="1">
        <w:r w:rsidR="00082BAD" w:rsidRPr="000B1627">
          <w:rPr>
            <w:color w:val="0000FF"/>
            <w:sz w:val="20"/>
            <w:szCs w:val="20"/>
            <w:u w:val="single"/>
          </w:rPr>
          <w:t>https://anfenglishmobile.com/human-rights/ihd-report-reveals-continued-violations-of-children-s-rights-in-the-kurdish-region-of-T%C3%BCrkiye-70401</w:t>
        </w:r>
      </w:hyperlink>
      <w:r w:rsidR="00082BAD" w:rsidRPr="000B1627">
        <w:rPr>
          <w:sz w:val="20"/>
          <w:szCs w:val="20"/>
        </w:rPr>
        <w:t>.</w:t>
      </w:r>
    </w:p>
  </w:footnote>
  <w:footnote w:id="54">
    <w:p w14:paraId="0BE29C1B" w14:textId="29181897" w:rsidR="00913048" w:rsidRPr="000B1627" w:rsidRDefault="00913048" w:rsidP="006946B7">
      <w:pPr>
        <w:jc w:val="both"/>
        <w:rPr>
          <w:sz w:val="20"/>
          <w:szCs w:val="20"/>
        </w:rPr>
      </w:pPr>
      <w:r w:rsidRPr="000B1627">
        <w:rPr>
          <w:rStyle w:val="FootnoteReference"/>
          <w:sz w:val="20"/>
          <w:szCs w:val="20"/>
        </w:rPr>
        <w:footnoteRef/>
      </w:r>
      <w:r w:rsidR="00082BAD" w:rsidRPr="000B1627">
        <w:rPr>
          <w:rStyle w:val="Strong"/>
          <w:b w:val="0"/>
          <w:bCs w:val="0"/>
          <w:sz w:val="20"/>
          <w:szCs w:val="20"/>
        </w:rPr>
        <w:t>Political Parties Law No. 2820</w:t>
      </w:r>
      <w:r w:rsidR="00082BAD" w:rsidRPr="000B1627">
        <w:rPr>
          <w:sz w:val="20"/>
          <w:szCs w:val="20"/>
        </w:rPr>
        <w:t xml:space="preserve"> (1983) (Turk.), </w:t>
      </w:r>
      <w:hyperlink r:id="rId27" w:tgtFrame="_new" w:history="1">
        <w:r w:rsidR="00082BAD" w:rsidRPr="000B1627">
          <w:rPr>
            <w:rStyle w:val="Hyperlink"/>
            <w:sz w:val="20"/>
            <w:szCs w:val="20"/>
          </w:rPr>
          <w:t>https://www.tbmm.gov.tr/anayasa/parti_law.htm</w:t>
        </w:r>
      </w:hyperlink>
      <w:r w:rsidR="00082BAD" w:rsidRPr="000B1627">
        <w:rPr>
          <w:sz w:val="20"/>
          <w:szCs w:val="20"/>
        </w:rPr>
        <w:t>.</w:t>
      </w:r>
    </w:p>
  </w:footnote>
  <w:footnote w:id="55">
    <w:p w14:paraId="0F8B66B8" w14:textId="3006513E" w:rsidR="005C2582" w:rsidRPr="000B1627" w:rsidRDefault="005C2582" w:rsidP="006946B7">
      <w:pPr>
        <w:jc w:val="both"/>
        <w:rPr>
          <w:sz w:val="20"/>
          <w:szCs w:val="20"/>
        </w:rPr>
      </w:pPr>
      <w:r w:rsidRPr="000B1627">
        <w:rPr>
          <w:rStyle w:val="FootnoteReference"/>
          <w:sz w:val="20"/>
          <w:szCs w:val="20"/>
        </w:rPr>
        <w:footnoteRef/>
      </w:r>
      <w:r w:rsidRPr="000B1627">
        <w:rPr>
          <w:sz w:val="20"/>
          <w:szCs w:val="20"/>
        </w:rPr>
        <w:t xml:space="preserve"> </w:t>
      </w:r>
      <w:r w:rsidR="00C712EA" w:rsidRPr="000B1627">
        <w:rPr>
          <w:rStyle w:val="Strong"/>
          <w:b w:val="0"/>
          <w:bCs w:val="0"/>
          <w:sz w:val="20"/>
          <w:szCs w:val="20"/>
        </w:rPr>
        <w:t>Kurdish Centre for Human Rights</w:t>
      </w:r>
      <w:r w:rsidR="00C712EA" w:rsidRPr="000B1627">
        <w:rPr>
          <w:sz w:val="20"/>
          <w:szCs w:val="20"/>
        </w:rPr>
        <w:t xml:space="preserve">, </w:t>
      </w:r>
      <w:r w:rsidR="00C712EA" w:rsidRPr="000B1627">
        <w:rPr>
          <w:rStyle w:val="Emphasis"/>
          <w:sz w:val="20"/>
          <w:szCs w:val="20"/>
        </w:rPr>
        <w:t>20,000 HDP Members Taken into Custody in 4 Years, 10,000 Jailed</w:t>
      </w:r>
      <w:r w:rsidR="00C712EA" w:rsidRPr="000B1627">
        <w:rPr>
          <w:sz w:val="20"/>
          <w:szCs w:val="20"/>
        </w:rPr>
        <w:t xml:space="preserve"> (2020), </w:t>
      </w:r>
      <w:hyperlink r:id="rId28" w:tgtFrame="_new" w:history="1">
        <w:r w:rsidR="00C712EA" w:rsidRPr="000B1627">
          <w:rPr>
            <w:rStyle w:val="Hyperlink"/>
            <w:sz w:val="20"/>
            <w:szCs w:val="20"/>
          </w:rPr>
          <w:t>http://www.kurd-chr.ch</w:t>
        </w:r>
      </w:hyperlink>
      <w:r w:rsidR="00C712EA" w:rsidRPr="000B1627">
        <w:rPr>
          <w:sz w:val="20"/>
          <w:szCs w:val="20"/>
        </w:rPr>
        <w:t xml:space="preserve"> (</w:t>
      </w:r>
      <w:r w:rsidR="007C3A61" w:rsidRPr="000B1627">
        <w:rPr>
          <w:sz w:val="20"/>
          <w:szCs w:val="20"/>
        </w:rPr>
        <w:t>accessed</w:t>
      </w:r>
      <w:r w:rsidR="00C712EA" w:rsidRPr="000B1627">
        <w:rPr>
          <w:sz w:val="20"/>
          <w:szCs w:val="20"/>
        </w:rPr>
        <w:t xml:space="preserve"> Sept. 5, 2024).</w:t>
      </w:r>
    </w:p>
  </w:footnote>
  <w:footnote w:id="56">
    <w:p w14:paraId="71F04914" w14:textId="09770C01" w:rsidR="000D3BE3" w:rsidRPr="000B1627" w:rsidRDefault="000D3BE3"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Bianet</w:t>
      </w:r>
      <w:r w:rsidR="00C712EA" w:rsidRPr="000B1627">
        <w:rPr>
          <w:sz w:val="20"/>
          <w:szCs w:val="20"/>
        </w:rPr>
        <w:t xml:space="preserve">, </w:t>
      </w:r>
      <w:r w:rsidR="00C712EA" w:rsidRPr="000B1627">
        <w:rPr>
          <w:rStyle w:val="Emphasis"/>
          <w:sz w:val="20"/>
          <w:szCs w:val="20"/>
        </w:rPr>
        <w:t>Man Killed in Sakarya for Being Kurdish</w:t>
      </w:r>
      <w:r w:rsidR="00C712EA" w:rsidRPr="000B1627">
        <w:rPr>
          <w:sz w:val="20"/>
          <w:szCs w:val="20"/>
        </w:rPr>
        <w:t xml:space="preserve"> (2018), </w:t>
      </w:r>
      <w:hyperlink r:id="rId29" w:tgtFrame="_new" w:history="1">
        <w:r w:rsidR="00C712EA" w:rsidRPr="000B1627">
          <w:rPr>
            <w:rStyle w:val="Hyperlink"/>
            <w:sz w:val="20"/>
            <w:szCs w:val="20"/>
          </w:rPr>
          <w:t>https://m.bianet.org/english/human-rights/203129-man-killed-in-sakarya-for-being-kurdish</w:t>
        </w:r>
      </w:hyperlink>
      <w:r w:rsidR="00C712EA" w:rsidRPr="000B1627">
        <w:rPr>
          <w:sz w:val="20"/>
          <w:szCs w:val="20"/>
        </w:rPr>
        <w:t xml:space="preserve"> (</w:t>
      </w:r>
      <w:r w:rsidR="007C3A61" w:rsidRPr="000B1627">
        <w:rPr>
          <w:sz w:val="20"/>
          <w:szCs w:val="20"/>
        </w:rPr>
        <w:t>accessed</w:t>
      </w:r>
      <w:r w:rsidR="00C712EA" w:rsidRPr="000B1627">
        <w:rPr>
          <w:sz w:val="20"/>
          <w:szCs w:val="20"/>
        </w:rPr>
        <w:t xml:space="preserve"> Sept. 5, 2024).</w:t>
      </w:r>
    </w:p>
  </w:footnote>
  <w:footnote w:id="57">
    <w:p w14:paraId="2A3072DD" w14:textId="1D178E24" w:rsidR="000D3BE3" w:rsidRPr="000B1627" w:rsidRDefault="000D3BE3"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Amnesty International</w:t>
      </w:r>
      <w:r w:rsidR="00C712EA" w:rsidRPr="000B1627">
        <w:rPr>
          <w:sz w:val="20"/>
          <w:szCs w:val="20"/>
        </w:rPr>
        <w:t xml:space="preserve">, </w:t>
      </w:r>
      <w:r w:rsidR="00C712EA" w:rsidRPr="000B1627">
        <w:rPr>
          <w:rStyle w:val="Emphasis"/>
          <w:sz w:val="20"/>
          <w:szCs w:val="20"/>
        </w:rPr>
        <w:t>Türkiye: Two Years on from Brutal Attacks on Kurds – Authorities Failing to Provide Justice</w:t>
      </w:r>
      <w:r w:rsidR="00C712EA" w:rsidRPr="000B1627">
        <w:rPr>
          <w:sz w:val="20"/>
          <w:szCs w:val="20"/>
        </w:rPr>
        <w:t xml:space="preserve"> (2020), https://www.amnesty.org/en/latest/news/2020/12/Türkiye-two-years-on-brutal-attacks-kurds/ (</w:t>
      </w:r>
      <w:r w:rsidR="007C3A61" w:rsidRPr="000B1627">
        <w:rPr>
          <w:sz w:val="20"/>
          <w:szCs w:val="20"/>
        </w:rPr>
        <w:t>accessed</w:t>
      </w:r>
      <w:r w:rsidR="00C712EA" w:rsidRPr="000B1627">
        <w:rPr>
          <w:sz w:val="20"/>
          <w:szCs w:val="20"/>
        </w:rPr>
        <w:t xml:space="preserve"> Sept. 5, 2024).</w:t>
      </w:r>
    </w:p>
  </w:footnote>
  <w:footnote w:id="58">
    <w:p w14:paraId="1FB33FA9" w14:textId="2A92759E" w:rsidR="00774C25" w:rsidRPr="000B1627" w:rsidRDefault="00774C25"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w:t>
      </w:r>
      <w:r w:rsidR="00B37C81" w:rsidRPr="000B1627">
        <w:rPr>
          <w:rFonts w:ascii="Times New Roman" w:hAnsi="Times New Roman" w:cs="Times New Roman"/>
        </w:rPr>
        <w:t>Ibid.</w:t>
      </w:r>
    </w:p>
  </w:footnote>
  <w:footnote w:id="59">
    <w:p w14:paraId="70FFEF93" w14:textId="77777777" w:rsidR="003A1A86" w:rsidRPr="000B1627" w:rsidRDefault="00B37C81" w:rsidP="006946B7">
      <w:pPr>
        <w:jc w:val="both"/>
        <w:rPr>
          <w:sz w:val="20"/>
          <w:szCs w:val="20"/>
        </w:rPr>
      </w:pPr>
      <w:r w:rsidRPr="000B1627">
        <w:rPr>
          <w:rStyle w:val="FootnoteReference"/>
          <w:sz w:val="20"/>
          <w:szCs w:val="20"/>
        </w:rPr>
        <w:footnoteRef/>
      </w:r>
      <w:proofErr w:type="spellStart"/>
      <w:r w:rsidR="00C712EA" w:rsidRPr="000B1627">
        <w:rPr>
          <w:rStyle w:val="Strong"/>
          <w:b w:val="0"/>
          <w:bCs w:val="0"/>
          <w:sz w:val="20"/>
          <w:szCs w:val="20"/>
        </w:rPr>
        <w:t>Bianet</w:t>
      </w:r>
      <w:proofErr w:type="spellEnd"/>
      <w:r w:rsidR="00C712EA" w:rsidRPr="000B1627">
        <w:rPr>
          <w:sz w:val="20"/>
          <w:szCs w:val="20"/>
        </w:rPr>
        <w:t xml:space="preserve">, </w:t>
      </w:r>
      <w:proofErr w:type="spellStart"/>
      <w:r w:rsidR="00C712EA" w:rsidRPr="000B1627">
        <w:rPr>
          <w:rStyle w:val="Emphasis"/>
          <w:sz w:val="20"/>
          <w:szCs w:val="20"/>
        </w:rPr>
        <w:t>Cevdet</w:t>
      </w:r>
      <w:proofErr w:type="spellEnd"/>
      <w:r w:rsidR="00C712EA" w:rsidRPr="000B1627">
        <w:rPr>
          <w:rStyle w:val="Emphasis"/>
          <w:sz w:val="20"/>
          <w:szCs w:val="20"/>
        </w:rPr>
        <w:t xml:space="preserve"> </w:t>
      </w:r>
      <w:proofErr w:type="spellStart"/>
      <w:r w:rsidR="00C712EA" w:rsidRPr="000B1627">
        <w:rPr>
          <w:rStyle w:val="Emphasis"/>
          <w:sz w:val="20"/>
          <w:szCs w:val="20"/>
        </w:rPr>
        <w:t>Yılmaz’dan</w:t>
      </w:r>
      <w:proofErr w:type="spellEnd"/>
      <w:r w:rsidR="00C712EA" w:rsidRPr="000B1627">
        <w:rPr>
          <w:rStyle w:val="Emphasis"/>
          <w:sz w:val="20"/>
          <w:szCs w:val="20"/>
        </w:rPr>
        <w:t xml:space="preserve"> </w:t>
      </w:r>
      <w:proofErr w:type="spellStart"/>
      <w:r w:rsidR="00C712EA" w:rsidRPr="000B1627">
        <w:rPr>
          <w:rStyle w:val="Emphasis"/>
          <w:sz w:val="20"/>
          <w:szCs w:val="20"/>
        </w:rPr>
        <w:t>Duhoklu</w:t>
      </w:r>
      <w:proofErr w:type="spellEnd"/>
      <w:r w:rsidR="00C712EA" w:rsidRPr="000B1627">
        <w:rPr>
          <w:rStyle w:val="Emphasis"/>
          <w:sz w:val="20"/>
          <w:szCs w:val="20"/>
        </w:rPr>
        <w:t xml:space="preserve"> </w:t>
      </w:r>
      <w:proofErr w:type="spellStart"/>
      <w:r w:rsidR="00C712EA" w:rsidRPr="000B1627">
        <w:rPr>
          <w:rStyle w:val="Emphasis"/>
          <w:sz w:val="20"/>
          <w:szCs w:val="20"/>
        </w:rPr>
        <w:t>İş</w:t>
      </w:r>
      <w:proofErr w:type="spellEnd"/>
      <w:r w:rsidR="00C712EA" w:rsidRPr="000B1627">
        <w:rPr>
          <w:rStyle w:val="Emphasis"/>
          <w:sz w:val="20"/>
          <w:szCs w:val="20"/>
        </w:rPr>
        <w:t xml:space="preserve"> </w:t>
      </w:r>
      <w:proofErr w:type="spellStart"/>
      <w:r w:rsidR="00C712EA" w:rsidRPr="000B1627">
        <w:rPr>
          <w:rStyle w:val="Emphasis"/>
          <w:sz w:val="20"/>
          <w:szCs w:val="20"/>
        </w:rPr>
        <w:t>İnsanı</w:t>
      </w:r>
      <w:proofErr w:type="spellEnd"/>
      <w:r w:rsidR="00C712EA" w:rsidRPr="000B1627">
        <w:rPr>
          <w:rStyle w:val="Emphasis"/>
          <w:sz w:val="20"/>
          <w:szCs w:val="20"/>
        </w:rPr>
        <w:t xml:space="preserve"> Hakim Lokman </w:t>
      </w:r>
      <w:proofErr w:type="spellStart"/>
      <w:r w:rsidR="00C712EA" w:rsidRPr="000B1627">
        <w:rPr>
          <w:rStyle w:val="Emphasis"/>
          <w:sz w:val="20"/>
          <w:szCs w:val="20"/>
        </w:rPr>
        <w:t>Açıklaması</w:t>
      </w:r>
      <w:proofErr w:type="spellEnd"/>
      <w:r w:rsidR="00C712EA" w:rsidRPr="000B1627">
        <w:rPr>
          <w:sz w:val="20"/>
          <w:szCs w:val="20"/>
        </w:rPr>
        <w:t xml:space="preserve"> (2024),</w:t>
      </w:r>
    </w:p>
    <w:p w14:paraId="6FFD992C" w14:textId="2FF54FB7" w:rsidR="00B37C81" w:rsidRPr="000B1627" w:rsidRDefault="00C712EA" w:rsidP="006946B7">
      <w:pPr>
        <w:jc w:val="both"/>
        <w:rPr>
          <w:sz w:val="20"/>
          <w:szCs w:val="20"/>
        </w:rPr>
      </w:pPr>
      <w:r w:rsidRPr="000B1627">
        <w:rPr>
          <w:sz w:val="20"/>
          <w:szCs w:val="20"/>
        </w:rPr>
        <w:t xml:space="preserve"> </w:t>
      </w:r>
      <w:hyperlink r:id="rId30" w:tgtFrame="_new" w:history="1">
        <w:r w:rsidRPr="000B1627">
          <w:rPr>
            <w:rStyle w:val="Hyperlink"/>
            <w:sz w:val="20"/>
            <w:szCs w:val="20"/>
          </w:rPr>
          <w:t>https://bianet.org/haber/cevdet-yilmazdan-duhoklu-is-insani-hakim-lokman-aciklamasi-299225</w:t>
        </w:r>
      </w:hyperlink>
      <w:r w:rsidRPr="000B1627">
        <w:rPr>
          <w:sz w:val="20"/>
          <w:szCs w:val="20"/>
        </w:rPr>
        <w:t xml:space="preserve"> (</w:t>
      </w:r>
      <w:r w:rsidR="007C3A61" w:rsidRPr="000B1627">
        <w:rPr>
          <w:sz w:val="20"/>
          <w:szCs w:val="20"/>
        </w:rPr>
        <w:t>accessed</w:t>
      </w:r>
      <w:r w:rsidRPr="000B1627">
        <w:rPr>
          <w:sz w:val="20"/>
          <w:szCs w:val="20"/>
        </w:rPr>
        <w:t xml:space="preserve"> Sept. 7, 2024).</w:t>
      </w:r>
    </w:p>
  </w:footnote>
  <w:footnote w:id="60">
    <w:p w14:paraId="12543CC7" w14:textId="075AE57C" w:rsidR="006437F6" w:rsidRPr="000B1627" w:rsidRDefault="006437F6" w:rsidP="006946B7">
      <w:pPr>
        <w:jc w:val="both"/>
        <w:rPr>
          <w:sz w:val="20"/>
          <w:szCs w:val="20"/>
        </w:rPr>
      </w:pPr>
      <w:r w:rsidRPr="000B1627">
        <w:rPr>
          <w:rStyle w:val="FootnoteReference"/>
          <w:sz w:val="20"/>
          <w:szCs w:val="20"/>
        </w:rPr>
        <w:footnoteRef/>
      </w:r>
      <w:proofErr w:type="spellStart"/>
      <w:r w:rsidR="00C712EA" w:rsidRPr="000B1627">
        <w:rPr>
          <w:rStyle w:val="Strong"/>
          <w:b w:val="0"/>
          <w:bCs w:val="0"/>
          <w:sz w:val="20"/>
          <w:szCs w:val="20"/>
        </w:rPr>
        <w:t>Dr.</w:t>
      </w:r>
      <w:proofErr w:type="spellEnd"/>
      <w:r w:rsidR="00C712EA" w:rsidRPr="000B1627">
        <w:rPr>
          <w:rStyle w:val="Strong"/>
          <w:b w:val="0"/>
          <w:bCs w:val="0"/>
          <w:sz w:val="20"/>
          <w:szCs w:val="20"/>
        </w:rPr>
        <w:t xml:space="preserve"> Eldad J. Pardo</w:t>
      </w:r>
      <w:r w:rsidR="00C712EA" w:rsidRPr="000B1627">
        <w:rPr>
          <w:sz w:val="20"/>
          <w:szCs w:val="20"/>
        </w:rPr>
        <w:t xml:space="preserve">, </w:t>
      </w:r>
      <w:r w:rsidR="00C712EA" w:rsidRPr="000B1627">
        <w:rPr>
          <w:rStyle w:val="Emphasis"/>
          <w:sz w:val="20"/>
          <w:szCs w:val="20"/>
        </w:rPr>
        <w:t>Kurdish Education in Türkiye: A Joint Responsibility</w:t>
      </w:r>
      <w:r w:rsidR="00C712EA" w:rsidRPr="000B1627">
        <w:rPr>
          <w:sz w:val="20"/>
          <w:szCs w:val="20"/>
        </w:rPr>
        <w:t xml:space="preserve"> (2022), https://moderndiplomacy.eu/2022/01/13/kurdish-education-in-Türkiye-a-joint-responsibility/ (</w:t>
      </w:r>
      <w:r w:rsidR="007C3A61" w:rsidRPr="000B1627">
        <w:rPr>
          <w:sz w:val="20"/>
          <w:szCs w:val="20"/>
        </w:rPr>
        <w:t>accessed</w:t>
      </w:r>
      <w:r w:rsidR="00C712EA" w:rsidRPr="000B1627">
        <w:rPr>
          <w:sz w:val="20"/>
          <w:szCs w:val="20"/>
        </w:rPr>
        <w:t xml:space="preserve"> Sept. 7, 2024).</w:t>
      </w:r>
    </w:p>
  </w:footnote>
  <w:footnote w:id="61">
    <w:p w14:paraId="6EC613CD" w14:textId="561E610A" w:rsidR="003840F0" w:rsidRPr="000B1627" w:rsidRDefault="003840F0"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Hasan Aydin</w:t>
      </w:r>
      <w:r w:rsidR="00C712EA" w:rsidRPr="000B1627">
        <w:rPr>
          <w:sz w:val="20"/>
          <w:szCs w:val="20"/>
        </w:rPr>
        <w:t xml:space="preserve">, </w:t>
      </w:r>
      <w:r w:rsidR="00C712EA" w:rsidRPr="000B1627">
        <w:rPr>
          <w:rStyle w:val="Emphasis"/>
          <w:sz w:val="20"/>
          <w:szCs w:val="20"/>
        </w:rPr>
        <w:t>Status of Education and Minorities Rights in Türkiye</w:t>
      </w:r>
      <w:r w:rsidR="00C712EA" w:rsidRPr="000B1627">
        <w:rPr>
          <w:sz w:val="20"/>
          <w:szCs w:val="20"/>
        </w:rPr>
        <w:t xml:space="preserve"> (2020), https://gjia.georgetown.edu/2020/12/20/status-of-education-and-minorities-rights-in-Türkiye/ (</w:t>
      </w:r>
      <w:r w:rsidR="007C3A61" w:rsidRPr="000B1627">
        <w:rPr>
          <w:sz w:val="20"/>
          <w:szCs w:val="20"/>
        </w:rPr>
        <w:t>accessed</w:t>
      </w:r>
      <w:r w:rsidR="00C712EA" w:rsidRPr="000B1627">
        <w:rPr>
          <w:sz w:val="20"/>
          <w:szCs w:val="20"/>
        </w:rPr>
        <w:t xml:space="preserve"> Sept. 7, 2024).</w:t>
      </w:r>
    </w:p>
  </w:footnote>
  <w:footnote w:id="62">
    <w:p w14:paraId="3A9DF2CA" w14:textId="7F1E824B" w:rsidR="00FF38C0" w:rsidRPr="000B1627" w:rsidRDefault="00FF38C0" w:rsidP="006946B7">
      <w:pPr>
        <w:jc w:val="both"/>
        <w:rPr>
          <w:sz w:val="20"/>
          <w:szCs w:val="20"/>
        </w:rPr>
      </w:pPr>
      <w:r w:rsidRPr="000B1627">
        <w:rPr>
          <w:rStyle w:val="FootnoteReference"/>
          <w:sz w:val="20"/>
          <w:szCs w:val="20"/>
        </w:rPr>
        <w:footnoteRef/>
      </w:r>
      <w:r w:rsidRPr="000B1627">
        <w:rPr>
          <w:sz w:val="20"/>
          <w:szCs w:val="20"/>
        </w:rPr>
        <w:t xml:space="preserve"> </w:t>
      </w:r>
      <w:r w:rsidR="00C712EA" w:rsidRPr="000B1627">
        <w:rPr>
          <w:rStyle w:val="Strong"/>
          <w:b w:val="0"/>
          <w:bCs w:val="0"/>
          <w:sz w:val="20"/>
          <w:szCs w:val="20"/>
        </w:rPr>
        <w:t>Bianet</w:t>
      </w:r>
      <w:r w:rsidR="00C712EA" w:rsidRPr="000B1627">
        <w:rPr>
          <w:sz w:val="20"/>
          <w:szCs w:val="20"/>
        </w:rPr>
        <w:t xml:space="preserve">, </w:t>
      </w:r>
      <w:r w:rsidR="00C712EA" w:rsidRPr="000B1627">
        <w:rPr>
          <w:rStyle w:val="Emphasis"/>
          <w:sz w:val="20"/>
          <w:szCs w:val="20"/>
        </w:rPr>
        <w:t xml:space="preserve">Broadcast of Med </w:t>
      </w:r>
      <w:proofErr w:type="spellStart"/>
      <w:r w:rsidR="00C712EA" w:rsidRPr="000B1627">
        <w:rPr>
          <w:rStyle w:val="Emphasis"/>
          <w:sz w:val="20"/>
          <w:szCs w:val="20"/>
        </w:rPr>
        <w:t>Nûçe</w:t>
      </w:r>
      <w:proofErr w:type="spellEnd"/>
      <w:r w:rsidR="00C712EA" w:rsidRPr="000B1627">
        <w:rPr>
          <w:rStyle w:val="Emphasis"/>
          <w:sz w:val="20"/>
          <w:szCs w:val="20"/>
        </w:rPr>
        <w:t xml:space="preserve"> TV Shut Down</w:t>
      </w:r>
      <w:r w:rsidR="00C712EA" w:rsidRPr="000B1627">
        <w:rPr>
          <w:sz w:val="20"/>
          <w:szCs w:val="20"/>
        </w:rPr>
        <w:t xml:space="preserve"> (2016), </w:t>
      </w:r>
      <w:hyperlink r:id="rId31" w:tgtFrame="_new" w:history="1">
        <w:r w:rsidR="00C712EA" w:rsidRPr="000B1627">
          <w:rPr>
            <w:rStyle w:val="Hyperlink"/>
            <w:sz w:val="20"/>
            <w:szCs w:val="20"/>
          </w:rPr>
          <w:t>https://bianet.org/english/media/179404-broadcast-of-med-nuce-tv-shut-down</w:t>
        </w:r>
      </w:hyperlink>
      <w:r w:rsidR="00C712EA" w:rsidRPr="000B1627">
        <w:rPr>
          <w:sz w:val="20"/>
          <w:szCs w:val="20"/>
        </w:rPr>
        <w:t xml:space="preserve"> (</w:t>
      </w:r>
      <w:r w:rsidR="007C3A61" w:rsidRPr="000B1627">
        <w:rPr>
          <w:sz w:val="20"/>
          <w:szCs w:val="20"/>
        </w:rPr>
        <w:t>accessed</w:t>
      </w:r>
      <w:r w:rsidR="00C712EA" w:rsidRPr="000B1627">
        <w:rPr>
          <w:sz w:val="20"/>
          <w:szCs w:val="20"/>
        </w:rPr>
        <w:t xml:space="preserve"> Sept. 4, 2024).</w:t>
      </w:r>
    </w:p>
  </w:footnote>
  <w:footnote w:id="63">
    <w:p w14:paraId="5877F24B" w14:textId="5D055E40" w:rsidR="00386F3B" w:rsidRPr="000B1627" w:rsidRDefault="00386F3B" w:rsidP="006946B7">
      <w:pPr>
        <w:jc w:val="both"/>
        <w:rPr>
          <w:sz w:val="20"/>
          <w:szCs w:val="20"/>
        </w:rPr>
      </w:pPr>
      <w:r w:rsidRPr="000B1627">
        <w:rPr>
          <w:rStyle w:val="FootnoteReference"/>
          <w:sz w:val="20"/>
          <w:szCs w:val="20"/>
        </w:rPr>
        <w:footnoteRef/>
      </w:r>
      <w:proofErr w:type="spellStart"/>
      <w:r w:rsidR="00C712EA" w:rsidRPr="000B1627">
        <w:rPr>
          <w:rStyle w:val="Strong"/>
          <w:b w:val="0"/>
          <w:bCs w:val="0"/>
          <w:sz w:val="20"/>
          <w:szCs w:val="20"/>
        </w:rPr>
        <w:t>Rudaw</w:t>
      </w:r>
      <w:proofErr w:type="spellEnd"/>
      <w:r w:rsidR="00C712EA" w:rsidRPr="000B1627">
        <w:rPr>
          <w:sz w:val="20"/>
          <w:szCs w:val="20"/>
        </w:rPr>
        <w:t>,</w:t>
      </w:r>
      <w:r w:rsidR="00BD6D39" w:rsidRPr="000B1627">
        <w:rPr>
          <w:sz w:val="20"/>
          <w:szCs w:val="20"/>
        </w:rPr>
        <w:t xml:space="preserve"> </w:t>
      </w:r>
      <w:proofErr w:type="gramStart"/>
      <w:r w:rsidR="00C712EA" w:rsidRPr="000B1627">
        <w:rPr>
          <w:rStyle w:val="Emphasis"/>
          <w:sz w:val="20"/>
          <w:szCs w:val="20"/>
        </w:rPr>
        <w:t>Over</w:t>
      </w:r>
      <w:proofErr w:type="gramEnd"/>
      <w:r w:rsidR="00C712EA" w:rsidRPr="000B1627">
        <w:rPr>
          <w:rStyle w:val="Emphasis"/>
          <w:sz w:val="20"/>
          <w:szCs w:val="20"/>
        </w:rPr>
        <w:t xml:space="preserve"> 200 Detained During Newroz Celebrations in Istanbul</w:t>
      </w:r>
      <w:r w:rsidR="00C712EA" w:rsidRPr="000B1627">
        <w:rPr>
          <w:sz w:val="20"/>
          <w:szCs w:val="20"/>
        </w:rPr>
        <w:t xml:space="preserve"> (2023), https://www.rudaw.net/english/middleeast/Türkiye/19032023 (</w:t>
      </w:r>
      <w:r w:rsidR="007C3A61" w:rsidRPr="000B1627">
        <w:rPr>
          <w:sz w:val="20"/>
          <w:szCs w:val="20"/>
        </w:rPr>
        <w:t>accessed</w:t>
      </w:r>
      <w:r w:rsidR="00C712EA" w:rsidRPr="000B1627">
        <w:rPr>
          <w:sz w:val="20"/>
          <w:szCs w:val="20"/>
        </w:rPr>
        <w:t xml:space="preserve"> Sept. 7, 2024).</w:t>
      </w:r>
    </w:p>
  </w:footnote>
  <w:footnote w:id="64">
    <w:p w14:paraId="0C9708F5" w14:textId="69D930AB" w:rsidR="00386F3B" w:rsidRPr="000B1627" w:rsidRDefault="00386F3B" w:rsidP="006946B7">
      <w:pPr>
        <w:jc w:val="both"/>
        <w:rPr>
          <w:sz w:val="20"/>
          <w:szCs w:val="20"/>
        </w:rPr>
      </w:pPr>
      <w:r w:rsidRPr="000B1627">
        <w:rPr>
          <w:rStyle w:val="FootnoteReference"/>
          <w:sz w:val="20"/>
          <w:szCs w:val="20"/>
        </w:rPr>
        <w:footnoteRef/>
      </w:r>
      <w:proofErr w:type="spellStart"/>
      <w:r w:rsidR="00C712EA" w:rsidRPr="000B1627">
        <w:rPr>
          <w:rStyle w:val="Strong"/>
          <w:b w:val="0"/>
          <w:bCs w:val="0"/>
          <w:sz w:val="20"/>
          <w:szCs w:val="20"/>
        </w:rPr>
        <w:t>Duvar</w:t>
      </w:r>
      <w:proofErr w:type="spellEnd"/>
      <w:r w:rsidR="00C712EA" w:rsidRPr="000B1627">
        <w:rPr>
          <w:rStyle w:val="Strong"/>
          <w:b w:val="0"/>
          <w:bCs w:val="0"/>
          <w:sz w:val="20"/>
          <w:szCs w:val="20"/>
        </w:rPr>
        <w:t xml:space="preserve"> English</w:t>
      </w:r>
      <w:r w:rsidR="00C712EA" w:rsidRPr="000B1627">
        <w:rPr>
          <w:sz w:val="20"/>
          <w:szCs w:val="20"/>
        </w:rPr>
        <w:t xml:space="preserve">, </w:t>
      </w:r>
      <w:r w:rsidR="00C712EA" w:rsidRPr="000B1627">
        <w:rPr>
          <w:rStyle w:val="Emphasis"/>
          <w:sz w:val="20"/>
          <w:szCs w:val="20"/>
        </w:rPr>
        <w:t>Ban on Kurdish Alphabet Leads to Problems for People Bearing Kurdish Names in Türkiye</w:t>
      </w:r>
      <w:r w:rsidR="00C712EA" w:rsidRPr="000B1627">
        <w:rPr>
          <w:sz w:val="20"/>
          <w:szCs w:val="20"/>
        </w:rPr>
        <w:t xml:space="preserve"> (2022), https://www.duvarenglish.com/ban-on-kurdish-alphabet-leads-to-problems-for-people-bearing-kurdish-names-in-Türkiye-news-60279 (</w:t>
      </w:r>
      <w:r w:rsidR="007C3A61" w:rsidRPr="000B1627">
        <w:rPr>
          <w:sz w:val="20"/>
          <w:szCs w:val="20"/>
        </w:rPr>
        <w:t>accessed</w:t>
      </w:r>
      <w:r w:rsidR="00C712EA" w:rsidRPr="000B1627">
        <w:rPr>
          <w:sz w:val="20"/>
          <w:szCs w:val="20"/>
        </w:rPr>
        <w:t xml:space="preserve"> Sept. 7, 2024).</w:t>
      </w:r>
    </w:p>
  </w:footnote>
  <w:footnote w:id="65">
    <w:p w14:paraId="0047C251" w14:textId="4960F109" w:rsidR="00D63BC8" w:rsidRPr="000B1627" w:rsidRDefault="00D63BC8"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Middle East Eye</w:t>
      </w:r>
      <w:r w:rsidR="00C712EA" w:rsidRPr="000B1627">
        <w:rPr>
          <w:sz w:val="20"/>
          <w:szCs w:val="20"/>
        </w:rPr>
        <w:t xml:space="preserve">, </w:t>
      </w:r>
      <w:r w:rsidR="00C712EA" w:rsidRPr="000B1627">
        <w:rPr>
          <w:rStyle w:val="Emphasis"/>
          <w:sz w:val="20"/>
          <w:szCs w:val="20"/>
        </w:rPr>
        <w:t>Türkiye Dismisses More Than 2,700 with Emergency Rule Decree</w:t>
      </w:r>
      <w:r w:rsidR="00C712EA" w:rsidRPr="000B1627">
        <w:rPr>
          <w:sz w:val="20"/>
          <w:szCs w:val="20"/>
        </w:rPr>
        <w:t xml:space="preserve"> (Dec. 24, 2017), https://www.middleeasteye.net/news/Türkiye-dismisses-more-2700-emergency-rule-decree (</w:t>
      </w:r>
      <w:r w:rsidR="007C3A61" w:rsidRPr="000B1627">
        <w:rPr>
          <w:sz w:val="20"/>
          <w:szCs w:val="20"/>
        </w:rPr>
        <w:t>accessed</w:t>
      </w:r>
      <w:r w:rsidR="00C712EA" w:rsidRPr="000B1627">
        <w:rPr>
          <w:sz w:val="20"/>
          <w:szCs w:val="20"/>
        </w:rPr>
        <w:t xml:space="preserve"> Sept. 4, 2024).</w:t>
      </w:r>
    </w:p>
  </w:footnote>
  <w:footnote w:id="66">
    <w:p w14:paraId="193F4D16" w14:textId="4D0EBBE9" w:rsidR="00E65314" w:rsidRPr="000B1627" w:rsidRDefault="00E65314" w:rsidP="006946B7">
      <w:pPr>
        <w:jc w:val="both"/>
        <w:rPr>
          <w:sz w:val="20"/>
          <w:szCs w:val="20"/>
        </w:rPr>
      </w:pPr>
      <w:r w:rsidRPr="000B1627">
        <w:rPr>
          <w:rStyle w:val="FootnoteReference"/>
          <w:sz w:val="20"/>
          <w:szCs w:val="20"/>
        </w:rPr>
        <w:footnoteRef/>
      </w:r>
      <w:r w:rsidRPr="000B1627">
        <w:rPr>
          <w:sz w:val="20"/>
          <w:szCs w:val="20"/>
        </w:rPr>
        <w:t xml:space="preserve"> </w:t>
      </w:r>
      <w:r w:rsidR="00C712EA" w:rsidRPr="000B1627">
        <w:rPr>
          <w:rStyle w:val="Strong"/>
          <w:b w:val="0"/>
          <w:bCs w:val="0"/>
          <w:sz w:val="20"/>
          <w:szCs w:val="20"/>
        </w:rPr>
        <w:t>United Nations Human Rights Office of the High Commissioner</w:t>
      </w:r>
      <w:r w:rsidR="00C712EA" w:rsidRPr="000B1627">
        <w:rPr>
          <w:sz w:val="20"/>
          <w:szCs w:val="20"/>
        </w:rPr>
        <w:t xml:space="preserve">, </w:t>
      </w:r>
      <w:r w:rsidR="00C712EA" w:rsidRPr="000B1627">
        <w:rPr>
          <w:rStyle w:val="Emphasis"/>
          <w:sz w:val="20"/>
          <w:szCs w:val="20"/>
        </w:rPr>
        <w:t>Türkiye: Mass Dismissals of Judges and Prosecutors Undermine the Rule of Law – UN Expert</w:t>
      </w:r>
      <w:r w:rsidR="00C712EA" w:rsidRPr="000B1627">
        <w:rPr>
          <w:sz w:val="20"/>
          <w:szCs w:val="20"/>
        </w:rPr>
        <w:t xml:space="preserve"> (2018), https://www.ohchr.org/en/press-releases/2018/11/Türkiye-mass-dismissals-judges-and-prosecutors-undermine-rule-law-un-expert (</w:t>
      </w:r>
      <w:r w:rsidR="007C3A61" w:rsidRPr="000B1627">
        <w:rPr>
          <w:sz w:val="20"/>
          <w:szCs w:val="20"/>
        </w:rPr>
        <w:t>accessed</w:t>
      </w:r>
      <w:r w:rsidR="00C712EA" w:rsidRPr="000B1627">
        <w:rPr>
          <w:sz w:val="20"/>
          <w:szCs w:val="20"/>
        </w:rPr>
        <w:t xml:space="preserve"> Sept. 7, 2024).</w:t>
      </w:r>
    </w:p>
  </w:footnote>
  <w:footnote w:id="67">
    <w:p w14:paraId="793C0414" w14:textId="1566A78E" w:rsidR="003A1A86" w:rsidRPr="000B1627" w:rsidRDefault="00453247"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T</w:t>
      </w:r>
      <w:r w:rsidR="006946B7">
        <w:rPr>
          <w:rStyle w:val="Strong"/>
          <w:b w:val="0"/>
          <w:bCs w:val="0"/>
          <w:sz w:val="20"/>
          <w:szCs w:val="20"/>
        </w:rPr>
        <w:t>urkey</w:t>
      </w:r>
      <w:r w:rsidR="00C712EA" w:rsidRPr="000B1627">
        <w:rPr>
          <w:rStyle w:val="Strong"/>
          <w:b w:val="0"/>
          <w:bCs w:val="0"/>
          <w:sz w:val="20"/>
          <w:szCs w:val="20"/>
        </w:rPr>
        <w:t xml:space="preserve"> Human Rights Support Project</w:t>
      </w:r>
      <w:r w:rsidR="00C712EA" w:rsidRPr="000B1627">
        <w:rPr>
          <w:sz w:val="20"/>
          <w:szCs w:val="20"/>
        </w:rPr>
        <w:t xml:space="preserve">, </w:t>
      </w:r>
      <w:r w:rsidR="00C712EA" w:rsidRPr="000B1627">
        <w:rPr>
          <w:rStyle w:val="Emphasis"/>
          <w:sz w:val="20"/>
          <w:szCs w:val="20"/>
        </w:rPr>
        <w:t>Access to Justice in Türkiye? A Review of the State of Emergency Inquiry</w:t>
      </w:r>
      <w:r w:rsidR="00C712EA" w:rsidRPr="000B1627">
        <w:rPr>
          <w:sz w:val="20"/>
          <w:szCs w:val="20"/>
        </w:rPr>
        <w:t xml:space="preserve"> 43–44 (Oct. 2019),</w:t>
      </w:r>
    </w:p>
    <w:p w14:paraId="45F720E5" w14:textId="5E9792D0" w:rsidR="00453247" w:rsidRPr="000B1627" w:rsidRDefault="000B1627" w:rsidP="006946B7">
      <w:pPr>
        <w:jc w:val="both"/>
        <w:rPr>
          <w:sz w:val="20"/>
          <w:szCs w:val="20"/>
        </w:rPr>
      </w:pPr>
      <w:r w:rsidRPr="000B1627">
        <w:rPr>
          <w:sz w:val="20"/>
          <w:szCs w:val="20"/>
        </w:rPr>
        <w:fldChar w:fldCharType="begin"/>
      </w:r>
      <w:r w:rsidRPr="000B1627">
        <w:rPr>
          <w:sz w:val="20"/>
          <w:szCs w:val="20"/>
        </w:rPr>
        <w:instrText>HYPERLINK "https://static1.squarespace.com/static/5b8bbe8c89c172835f9455fe/t/5e13373ddbd43712f438077a/1578317708753/State+of+Emergency+Commission+Report+Edited+Version+final.pdf"</w:instrText>
      </w:r>
      <w:r w:rsidRPr="000B1627">
        <w:rPr>
          <w:sz w:val="20"/>
          <w:szCs w:val="20"/>
        </w:rPr>
        <w:fldChar w:fldCharType="separate"/>
      </w:r>
      <w:r w:rsidRPr="000B1627">
        <w:rPr>
          <w:rStyle w:val="Hyperlink"/>
          <w:sz w:val="20"/>
          <w:szCs w:val="20"/>
        </w:rPr>
        <w:t>https://static1.squarespace.com/static/5b8bbe8c89c172835f9455fe/t/5e13373ddbd43712f438077a/1578317708753/State+of+Emergency+Commission+Report+Edited+Version+final.pdf</w:t>
      </w:r>
      <w:r w:rsidRPr="000B1627">
        <w:rPr>
          <w:sz w:val="20"/>
          <w:szCs w:val="20"/>
        </w:rPr>
        <w:fldChar w:fldCharType="end"/>
      </w:r>
      <w:r w:rsidR="00C712EA" w:rsidRPr="000B1627">
        <w:rPr>
          <w:sz w:val="20"/>
          <w:szCs w:val="20"/>
        </w:rPr>
        <w:t>.</w:t>
      </w:r>
    </w:p>
  </w:footnote>
  <w:footnote w:id="68">
    <w:p w14:paraId="10B75EEE" w14:textId="17DAA403" w:rsidR="00453247" w:rsidRPr="000B1627" w:rsidRDefault="00453247" w:rsidP="006946B7">
      <w:pPr>
        <w:jc w:val="both"/>
        <w:rPr>
          <w:sz w:val="20"/>
          <w:szCs w:val="20"/>
        </w:rPr>
      </w:pPr>
      <w:r w:rsidRPr="000B1627">
        <w:rPr>
          <w:rStyle w:val="FootnoteReference"/>
          <w:sz w:val="20"/>
          <w:szCs w:val="20"/>
        </w:rPr>
        <w:footnoteRef/>
      </w:r>
      <w:r w:rsidRPr="000B1627">
        <w:rPr>
          <w:sz w:val="20"/>
          <w:szCs w:val="20"/>
        </w:rPr>
        <w:t xml:space="preserve"> </w:t>
      </w:r>
      <w:r w:rsidR="00C712EA" w:rsidRPr="000B1627">
        <w:rPr>
          <w:rStyle w:val="Strong"/>
          <w:b w:val="0"/>
          <w:bCs w:val="0"/>
          <w:sz w:val="20"/>
          <w:szCs w:val="20"/>
        </w:rPr>
        <w:t>T</w:t>
      </w:r>
      <w:r w:rsidR="006946B7">
        <w:rPr>
          <w:rStyle w:val="Strong"/>
          <w:b w:val="0"/>
          <w:bCs w:val="0"/>
          <w:sz w:val="20"/>
          <w:szCs w:val="20"/>
        </w:rPr>
        <w:t>urkey</w:t>
      </w:r>
      <w:r w:rsidR="00C712EA" w:rsidRPr="000B1627">
        <w:rPr>
          <w:rStyle w:val="Strong"/>
          <w:b w:val="0"/>
          <w:bCs w:val="0"/>
          <w:sz w:val="20"/>
          <w:szCs w:val="20"/>
        </w:rPr>
        <w:t xml:space="preserve"> Human Rights Litigation Support Project</w:t>
      </w:r>
      <w:r w:rsidR="00C712EA" w:rsidRPr="000B1627">
        <w:rPr>
          <w:sz w:val="20"/>
          <w:szCs w:val="20"/>
        </w:rPr>
        <w:t xml:space="preserve">, </w:t>
      </w:r>
      <w:r w:rsidR="00C712EA" w:rsidRPr="000B1627">
        <w:rPr>
          <w:rStyle w:val="Emphasis"/>
          <w:sz w:val="20"/>
          <w:szCs w:val="20"/>
        </w:rPr>
        <w:t>Access to Justice for Dismissed Public Servants in Türkiye: An Analysis of Judicial Review of Decisions of the State of Emergency Inquiry Commission</w:t>
      </w:r>
      <w:r w:rsidR="00C712EA" w:rsidRPr="000B1627">
        <w:rPr>
          <w:sz w:val="20"/>
          <w:szCs w:val="20"/>
        </w:rPr>
        <w:t xml:space="preserve"> (forthcoming)</w:t>
      </w:r>
      <w:r w:rsidR="000B1627" w:rsidRPr="000B1627">
        <w:rPr>
          <w:sz w:val="20"/>
          <w:szCs w:val="20"/>
        </w:rPr>
        <w:t>.</w:t>
      </w:r>
    </w:p>
  </w:footnote>
  <w:footnote w:id="69">
    <w:p w14:paraId="65C18C2E" w14:textId="57EB6505" w:rsidR="00453247" w:rsidRPr="000B1627" w:rsidRDefault="00453247" w:rsidP="006946B7">
      <w:pPr>
        <w:jc w:val="both"/>
        <w:rPr>
          <w:sz w:val="20"/>
          <w:szCs w:val="20"/>
        </w:rPr>
      </w:pPr>
      <w:r w:rsidRPr="000B1627">
        <w:rPr>
          <w:rStyle w:val="FootnoteReference"/>
          <w:sz w:val="20"/>
          <w:szCs w:val="20"/>
        </w:rPr>
        <w:footnoteRef/>
      </w:r>
      <w:r w:rsidRPr="000B1627">
        <w:rPr>
          <w:sz w:val="20"/>
          <w:szCs w:val="20"/>
        </w:rPr>
        <w:t>Ibid.</w:t>
      </w:r>
    </w:p>
  </w:footnote>
  <w:footnote w:id="70">
    <w:p w14:paraId="4D2BA000" w14:textId="7C8F6660" w:rsidR="00453247" w:rsidRPr="000B1627" w:rsidRDefault="00453247" w:rsidP="006946B7">
      <w:pPr>
        <w:jc w:val="both"/>
        <w:rPr>
          <w:sz w:val="20"/>
          <w:szCs w:val="20"/>
        </w:rPr>
      </w:pPr>
      <w:r w:rsidRPr="000B1627">
        <w:rPr>
          <w:rStyle w:val="FootnoteReference"/>
          <w:sz w:val="20"/>
          <w:szCs w:val="20"/>
        </w:rPr>
        <w:footnoteRef/>
      </w:r>
      <w:r w:rsidR="00114E74" w:rsidRPr="000B1627">
        <w:rPr>
          <w:sz w:val="20"/>
          <w:szCs w:val="20"/>
        </w:rPr>
        <w:t xml:space="preserve">ECtHR, </w:t>
      </w:r>
      <w:proofErr w:type="spellStart"/>
      <w:r w:rsidR="00C712EA" w:rsidRPr="000B1627">
        <w:rPr>
          <w:rStyle w:val="Strong"/>
          <w:b w:val="0"/>
          <w:bCs w:val="0"/>
          <w:i/>
          <w:iCs/>
          <w:sz w:val="20"/>
          <w:szCs w:val="20"/>
        </w:rPr>
        <w:t>Pişkin</w:t>
      </w:r>
      <w:proofErr w:type="spellEnd"/>
      <w:r w:rsidR="00C712EA" w:rsidRPr="000B1627">
        <w:rPr>
          <w:rStyle w:val="Strong"/>
          <w:b w:val="0"/>
          <w:bCs w:val="0"/>
          <w:i/>
          <w:iCs/>
          <w:sz w:val="20"/>
          <w:szCs w:val="20"/>
        </w:rPr>
        <w:t xml:space="preserve"> v. Türkiye</w:t>
      </w:r>
      <w:r w:rsidR="00C712EA" w:rsidRPr="000B1627">
        <w:rPr>
          <w:sz w:val="20"/>
          <w:szCs w:val="20"/>
        </w:rPr>
        <w:t>, App. No. 33399/18,</w:t>
      </w:r>
      <w:r w:rsidR="00BD6D39" w:rsidRPr="000B1627">
        <w:rPr>
          <w:sz w:val="20"/>
          <w:szCs w:val="20"/>
        </w:rPr>
        <w:t xml:space="preserve"> </w:t>
      </w:r>
      <w:r w:rsidR="00C712EA" w:rsidRPr="000B1627">
        <w:rPr>
          <w:sz w:val="20"/>
          <w:szCs w:val="20"/>
        </w:rPr>
        <w:t>15</w:t>
      </w:r>
      <w:r w:rsidR="00BD6D39" w:rsidRPr="000B1627">
        <w:rPr>
          <w:sz w:val="20"/>
          <w:szCs w:val="20"/>
        </w:rPr>
        <w:t xml:space="preserve"> December</w:t>
      </w:r>
      <w:r w:rsidR="00C712EA" w:rsidRPr="000B1627">
        <w:rPr>
          <w:sz w:val="20"/>
          <w:szCs w:val="20"/>
        </w:rPr>
        <w:t xml:space="preserve"> 2020.</w:t>
      </w:r>
    </w:p>
  </w:footnote>
  <w:footnote w:id="71">
    <w:p w14:paraId="77F56070" w14:textId="77777777" w:rsidR="000B1627" w:rsidRPr="000B1627" w:rsidRDefault="00E65314"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H</w:t>
      </w:r>
      <w:r w:rsidR="00114E74" w:rsidRPr="000B1627">
        <w:rPr>
          <w:rStyle w:val="Strong"/>
          <w:b w:val="0"/>
          <w:bCs w:val="0"/>
          <w:sz w:val="20"/>
          <w:szCs w:val="20"/>
        </w:rPr>
        <w:t>RC</w:t>
      </w:r>
      <w:r w:rsidR="00C712EA" w:rsidRPr="000B1627">
        <w:rPr>
          <w:sz w:val="20"/>
          <w:szCs w:val="20"/>
        </w:rPr>
        <w:t xml:space="preserve">, </w:t>
      </w:r>
      <w:r w:rsidR="00C712EA" w:rsidRPr="000B1627">
        <w:rPr>
          <w:rStyle w:val="Emphasis"/>
          <w:sz w:val="20"/>
          <w:szCs w:val="20"/>
        </w:rPr>
        <w:t>Concerns Over Türkiye's State of Emergency Derogations from ICCPR and ECHR: Necessity and Proportionality</w:t>
      </w:r>
      <w:r w:rsidR="00C712EA" w:rsidRPr="000B1627">
        <w:rPr>
          <w:sz w:val="20"/>
          <w:szCs w:val="20"/>
        </w:rPr>
        <w:t xml:space="preserve"> (2020)</w:t>
      </w:r>
      <w:r w:rsidR="000B1627" w:rsidRPr="000B1627">
        <w:rPr>
          <w:sz w:val="20"/>
          <w:szCs w:val="20"/>
        </w:rPr>
        <w:t>,</w:t>
      </w:r>
    </w:p>
    <w:p w14:paraId="55685652" w14:textId="1C7FF6AD" w:rsidR="00E65314" w:rsidRPr="000B1627" w:rsidRDefault="000B1627" w:rsidP="006946B7">
      <w:pPr>
        <w:jc w:val="both"/>
        <w:rPr>
          <w:sz w:val="20"/>
          <w:szCs w:val="20"/>
        </w:rPr>
      </w:pPr>
      <w:hyperlink r:id="rId32" w:history="1">
        <w:r w:rsidRPr="000B1627">
          <w:rPr>
            <w:rStyle w:val="Hyperlink"/>
            <w:sz w:val="20"/>
            <w:szCs w:val="20"/>
          </w:rPr>
          <w:t>https://tbinternet.ohchr.org/_layouts/15/treatybodyexternal/TBSearch.aspx?Lang=en&amp;TreatyID=8</w:t>
        </w:r>
      </w:hyperlink>
      <w:r w:rsidRPr="000B1627">
        <w:rPr>
          <w:sz w:val="20"/>
          <w:szCs w:val="20"/>
        </w:rPr>
        <w:t xml:space="preserve"> </w:t>
      </w:r>
      <w:r w:rsidR="00C712EA" w:rsidRPr="000B1627">
        <w:rPr>
          <w:sz w:val="20"/>
          <w:szCs w:val="20"/>
        </w:rPr>
        <w:t>(</w:t>
      </w:r>
      <w:r w:rsidR="007C3A61" w:rsidRPr="000B1627">
        <w:rPr>
          <w:sz w:val="20"/>
          <w:szCs w:val="20"/>
        </w:rPr>
        <w:t>accessed</w:t>
      </w:r>
      <w:r w:rsidR="00C712EA" w:rsidRPr="000B1627">
        <w:rPr>
          <w:sz w:val="20"/>
          <w:szCs w:val="20"/>
        </w:rPr>
        <w:t xml:space="preserve"> Sept. 7, 2024).</w:t>
      </w:r>
    </w:p>
  </w:footnote>
  <w:footnote w:id="72">
    <w:p w14:paraId="09965B2F" w14:textId="77777777" w:rsidR="000B1627" w:rsidRPr="000B1627" w:rsidRDefault="00B94444" w:rsidP="006946B7">
      <w:pPr>
        <w:jc w:val="both"/>
        <w:rPr>
          <w:sz w:val="20"/>
          <w:szCs w:val="20"/>
        </w:rPr>
      </w:pPr>
      <w:r w:rsidRPr="000B1627">
        <w:rPr>
          <w:rStyle w:val="FootnoteReference"/>
          <w:sz w:val="20"/>
          <w:szCs w:val="20"/>
        </w:rPr>
        <w:footnoteRef/>
      </w:r>
      <w:r w:rsidR="00C712EA" w:rsidRPr="000B1627">
        <w:rPr>
          <w:rStyle w:val="Emphasis"/>
          <w:sz w:val="20"/>
          <w:szCs w:val="20"/>
        </w:rPr>
        <w:t>Law No. 7145 on Amending Some Laws and Decrees</w:t>
      </w:r>
      <w:r w:rsidR="00C712EA" w:rsidRPr="000B1627">
        <w:rPr>
          <w:sz w:val="20"/>
          <w:szCs w:val="20"/>
        </w:rPr>
        <w:t xml:space="preserve"> (2018),</w:t>
      </w:r>
    </w:p>
    <w:p w14:paraId="1EC46168" w14:textId="4C77BE50" w:rsidR="00B94444" w:rsidRPr="000B1627" w:rsidRDefault="000B1627" w:rsidP="006946B7">
      <w:pPr>
        <w:jc w:val="both"/>
        <w:rPr>
          <w:sz w:val="20"/>
          <w:szCs w:val="20"/>
        </w:rPr>
      </w:pPr>
      <w:r w:rsidRPr="000B1627">
        <w:rPr>
          <w:sz w:val="20"/>
          <w:szCs w:val="20"/>
        </w:rPr>
        <w:fldChar w:fldCharType="begin"/>
      </w:r>
      <w:r w:rsidRPr="000B1627">
        <w:rPr>
          <w:sz w:val="20"/>
          <w:szCs w:val="20"/>
        </w:rPr>
        <w:instrText>HYPERLINK "https://www.resmigazete.gov.tr/eskiler/2018/07/20180731-1.htm"</w:instrText>
      </w:r>
      <w:r w:rsidRPr="000B1627">
        <w:rPr>
          <w:sz w:val="20"/>
          <w:szCs w:val="20"/>
        </w:rPr>
        <w:fldChar w:fldCharType="separate"/>
      </w:r>
      <w:r w:rsidRPr="000B1627">
        <w:rPr>
          <w:rStyle w:val="Hyperlink"/>
          <w:sz w:val="20"/>
          <w:szCs w:val="20"/>
        </w:rPr>
        <w:t>https://www.resmigazete.gov.tr/eskiler/2018/07/20180731-1.htm</w:t>
      </w:r>
      <w:r w:rsidRPr="000B1627">
        <w:rPr>
          <w:sz w:val="20"/>
          <w:szCs w:val="20"/>
        </w:rPr>
        <w:fldChar w:fldCharType="end"/>
      </w:r>
      <w:r w:rsidR="00C712EA" w:rsidRPr="000B1627">
        <w:rPr>
          <w:sz w:val="20"/>
          <w:szCs w:val="20"/>
        </w:rPr>
        <w:t xml:space="preserve"> (</w:t>
      </w:r>
      <w:r w:rsidR="007C3A61" w:rsidRPr="000B1627">
        <w:rPr>
          <w:sz w:val="20"/>
          <w:szCs w:val="20"/>
        </w:rPr>
        <w:t>accessed</w:t>
      </w:r>
      <w:r w:rsidR="00C712EA" w:rsidRPr="000B1627">
        <w:rPr>
          <w:sz w:val="20"/>
          <w:szCs w:val="20"/>
        </w:rPr>
        <w:t xml:space="preserve"> Sept. 7, 2024).</w:t>
      </w:r>
    </w:p>
  </w:footnote>
  <w:footnote w:id="73">
    <w:p w14:paraId="6ED98F8C" w14:textId="6809B82C" w:rsidR="00B94444" w:rsidRPr="000B1627" w:rsidRDefault="00B94444" w:rsidP="006946B7">
      <w:pPr>
        <w:jc w:val="both"/>
        <w:rPr>
          <w:sz w:val="20"/>
          <w:szCs w:val="20"/>
        </w:rPr>
      </w:pPr>
      <w:r w:rsidRPr="000B1627">
        <w:rPr>
          <w:rStyle w:val="FootnoteReference"/>
          <w:sz w:val="20"/>
          <w:szCs w:val="20"/>
        </w:rPr>
        <w:footnoteRef/>
      </w:r>
      <w:r w:rsidR="00C712EA" w:rsidRPr="000B1627">
        <w:rPr>
          <w:rStyle w:val="Strong"/>
          <w:b w:val="0"/>
          <w:bCs w:val="0"/>
          <w:sz w:val="20"/>
          <w:szCs w:val="20"/>
        </w:rPr>
        <w:t>Human Rights Watch</w:t>
      </w:r>
      <w:r w:rsidR="00C712EA" w:rsidRPr="000B1627">
        <w:rPr>
          <w:sz w:val="20"/>
          <w:szCs w:val="20"/>
        </w:rPr>
        <w:t xml:space="preserve">, </w:t>
      </w:r>
      <w:r w:rsidR="00C712EA" w:rsidRPr="000B1627">
        <w:rPr>
          <w:rStyle w:val="Emphasis"/>
          <w:sz w:val="20"/>
          <w:szCs w:val="20"/>
        </w:rPr>
        <w:t>Türkiye: State of Emergency and Crackdown on Kurdish Opposition</w:t>
      </w:r>
      <w:r w:rsidR="00C712EA" w:rsidRPr="000B1627">
        <w:rPr>
          <w:sz w:val="20"/>
          <w:szCs w:val="20"/>
        </w:rPr>
        <w:t xml:space="preserve"> (2019), https://www.hrw.org/world-report/2019/country-chapters/Türkiye (</w:t>
      </w:r>
      <w:r w:rsidR="007C3A61" w:rsidRPr="000B1627">
        <w:rPr>
          <w:sz w:val="20"/>
          <w:szCs w:val="20"/>
        </w:rPr>
        <w:t>accessed</w:t>
      </w:r>
      <w:r w:rsidR="00C712EA" w:rsidRPr="000B1627">
        <w:rPr>
          <w:sz w:val="20"/>
          <w:szCs w:val="20"/>
        </w:rPr>
        <w:t xml:space="preserve"> Sept. 7, 2024).</w:t>
      </w:r>
    </w:p>
  </w:footnote>
  <w:footnote w:id="74">
    <w:p w14:paraId="0709935F" w14:textId="3F25681C" w:rsidR="005310D5" w:rsidRPr="000B1627" w:rsidRDefault="005310D5" w:rsidP="006946B7">
      <w:pPr>
        <w:jc w:val="both"/>
        <w:rPr>
          <w:sz w:val="20"/>
          <w:szCs w:val="20"/>
        </w:rPr>
      </w:pPr>
      <w:r w:rsidRPr="000B1627">
        <w:rPr>
          <w:rStyle w:val="FootnoteReference"/>
          <w:sz w:val="20"/>
          <w:szCs w:val="20"/>
        </w:rPr>
        <w:footnoteRef/>
      </w:r>
      <w:r w:rsidR="00FD3FBB" w:rsidRPr="000B1627">
        <w:rPr>
          <w:rStyle w:val="Strong"/>
          <w:b w:val="0"/>
          <w:bCs w:val="0"/>
          <w:sz w:val="20"/>
          <w:szCs w:val="20"/>
        </w:rPr>
        <w:t>Human Rights Watch</w:t>
      </w:r>
      <w:r w:rsidR="00FD3FBB" w:rsidRPr="000B1627">
        <w:rPr>
          <w:sz w:val="20"/>
          <w:szCs w:val="20"/>
        </w:rPr>
        <w:t xml:space="preserve">, </w:t>
      </w:r>
      <w:r w:rsidR="00FD3FBB" w:rsidRPr="000B1627">
        <w:rPr>
          <w:rStyle w:val="Emphasis"/>
          <w:sz w:val="20"/>
          <w:szCs w:val="20"/>
        </w:rPr>
        <w:t>Türkiye: Syrians Being Deported to Danger</w:t>
      </w:r>
      <w:r w:rsidR="00FD3FBB" w:rsidRPr="000B1627">
        <w:rPr>
          <w:sz w:val="20"/>
          <w:szCs w:val="20"/>
        </w:rPr>
        <w:t xml:space="preserve"> (2019), https://www.hrw.org/news/2019/10/24/Türkiye-syrians-being-deported-danger; </w:t>
      </w:r>
      <w:r w:rsidR="00FD3FBB" w:rsidRPr="000B1627">
        <w:rPr>
          <w:rStyle w:val="Strong"/>
          <w:b w:val="0"/>
          <w:bCs w:val="0"/>
          <w:sz w:val="20"/>
          <w:szCs w:val="20"/>
        </w:rPr>
        <w:t>Human Rights Watch</w:t>
      </w:r>
      <w:r w:rsidR="00FD3FBB" w:rsidRPr="000B1627">
        <w:rPr>
          <w:sz w:val="20"/>
          <w:szCs w:val="20"/>
        </w:rPr>
        <w:t xml:space="preserve">, </w:t>
      </w:r>
      <w:r w:rsidR="00FD3FBB" w:rsidRPr="000B1627">
        <w:rPr>
          <w:rStyle w:val="Emphasis"/>
          <w:sz w:val="20"/>
          <w:szCs w:val="20"/>
        </w:rPr>
        <w:t>Türkiye Forcibly Deports Syrians to Occupied North Syria</w:t>
      </w:r>
      <w:r w:rsidR="00FD3FBB" w:rsidRPr="000B1627">
        <w:rPr>
          <w:sz w:val="20"/>
          <w:szCs w:val="20"/>
        </w:rPr>
        <w:t xml:space="preserve"> (2024), https://www.hrw.org/news/2024/03/28/Türkiye-forcibly-deports-syrians-danger (</w:t>
      </w:r>
      <w:r w:rsidR="007C3A61" w:rsidRPr="000B1627">
        <w:rPr>
          <w:sz w:val="20"/>
          <w:szCs w:val="20"/>
        </w:rPr>
        <w:t>accessed</w:t>
      </w:r>
      <w:r w:rsidR="00FD3FBB" w:rsidRPr="000B1627">
        <w:rPr>
          <w:sz w:val="20"/>
          <w:szCs w:val="20"/>
        </w:rPr>
        <w:t xml:space="preserve"> Sept. 9, 2024).</w:t>
      </w:r>
    </w:p>
  </w:footnote>
  <w:footnote w:id="75">
    <w:p w14:paraId="5DEB7753" w14:textId="413BD3A0" w:rsidR="00A47A1C" w:rsidRPr="000B1627" w:rsidRDefault="00A47A1C" w:rsidP="006946B7">
      <w:pPr>
        <w:jc w:val="both"/>
        <w:rPr>
          <w:sz w:val="20"/>
          <w:szCs w:val="20"/>
        </w:rPr>
      </w:pPr>
      <w:r w:rsidRPr="000B1627">
        <w:rPr>
          <w:rStyle w:val="FootnoteReference"/>
          <w:sz w:val="20"/>
          <w:szCs w:val="20"/>
        </w:rPr>
        <w:footnoteRef/>
      </w:r>
      <w:r w:rsidR="00FD3FBB" w:rsidRPr="000B1627">
        <w:rPr>
          <w:rStyle w:val="Strong"/>
          <w:b w:val="0"/>
          <w:bCs w:val="0"/>
          <w:sz w:val="20"/>
          <w:szCs w:val="20"/>
        </w:rPr>
        <w:t>UNHCR</w:t>
      </w:r>
      <w:r w:rsidR="00FD3FBB" w:rsidRPr="000B1627">
        <w:rPr>
          <w:sz w:val="20"/>
          <w:szCs w:val="20"/>
        </w:rPr>
        <w:t xml:space="preserve">, </w:t>
      </w:r>
      <w:r w:rsidR="00FD3FBB" w:rsidRPr="000B1627">
        <w:rPr>
          <w:rStyle w:val="Emphasis"/>
          <w:sz w:val="20"/>
          <w:szCs w:val="20"/>
        </w:rPr>
        <w:t xml:space="preserve">Türkiye Hosts 3.7 </w:t>
      </w:r>
      <w:proofErr w:type="gramStart"/>
      <w:r w:rsidR="00FD3FBB" w:rsidRPr="000B1627">
        <w:rPr>
          <w:rStyle w:val="Emphasis"/>
          <w:sz w:val="20"/>
          <w:szCs w:val="20"/>
        </w:rPr>
        <w:t>Million</w:t>
      </w:r>
      <w:proofErr w:type="gramEnd"/>
      <w:r w:rsidR="00FD3FBB" w:rsidRPr="000B1627">
        <w:rPr>
          <w:rStyle w:val="Emphasis"/>
          <w:sz w:val="20"/>
          <w:szCs w:val="20"/>
        </w:rPr>
        <w:t xml:space="preserve"> Refugees – More Than Any Other Country in the World</w:t>
      </w:r>
      <w:r w:rsidR="00FD3FBB" w:rsidRPr="000B1627">
        <w:rPr>
          <w:sz w:val="20"/>
          <w:szCs w:val="20"/>
        </w:rPr>
        <w:t xml:space="preserve"> (2023), https://www.unhcr.org/news/stories/2023/6/Türkiye-largest-refugee-host.html (</w:t>
      </w:r>
      <w:r w:rsidR="007C3A61" w:rsidRPr="000B1627">
        <w:rPr>
          <w:sz w:val="20"/>
          <w:szCs w:val="20"/>
        </w:rPr>
        <w:t>accessed</w:t>
      </w:r>
      <w:r w:rsidR="00FD3FBB" w:rsidRPr="000B1627">
        <w:rPr>
          <w:sz w:val="20"/>
          <w:szCs w:val="20"/>
        </w:rPr>
        <w:t xml:space="preserve"> Sept. 9, 2024).</w:t>
      </w:r>
    </w:p>
  </w:footnote>
  <w:footnote w:id="76">
    <w:p w14:paraId="6C0CBECA" w14:textId="3EB566A0" w:rsidR="00A47A1C" w:rsidRPr="000B1627" w:rsidRDefault="00A47A1C" w:rsidP="006946B7">
      <w:pPr>
        <w:jc w:val="both"/>
        <w:rPr>
          <w:sz w:val="20"/>
          <w:szCs w:val="20"/>
        </w:rPr>
      </w:pPr>
      <w:r w:rsidRPr="000B1627">
        <w:rPr>
          <w:rStyle w:val="FootnoteReference"/>
          <w:sz w:val="20"/>
          <w:szCs w:val="20"/>
        </w:rPr>
        <w:footnoteRef/>
      </w:r>
      <w:r w:rsidRPr="000B1627">
        <w:rPr>
          <w:sz w:val="20"/>
          <w:szCs w:val="20"/>
        </w:rPr>
        <w:t xml:space="preserve"> </w:t>
      </w:r>
      <w:r w:rsidR="00FD3FBB" w:rsidRPr="000B1627">
        <w:rPr>
          <w:rStyle w:val="Strong"/>
          <w:b w:val="0"/>
          <w:bCs w:val="0"/>
          <w:sz w:val="20"/>
          <w:szCs w:val="20"/>
        </w:rPr>
        <w:t>Business &amp; Human Rights Resource Centre</w:t>
      </w:r>
      <w:r w:rsidR="00FD3FBB" w:rsidRPr="000B1627">
        <w:rPr>
          <w:sz w:val="20"/>
          <w:szCs w:val="20"/>
        </w:rPr>
        <w:t xml:space="preserve">, </w:t>
      </w:r>
      <w:r w:rsidR="00FD3FBB" w:rsidRPr="000B1627">
        <w:rPr>
          <w:rStyle w:val="Emphasis"/>
          <w:sz w:val="20"/>
          <w:szCs w:val="20"/>
        </w:rPr>
        <w:t>Syrian Refugees Working in Türkiye Vulnerable to Exploitation</w:t>
      </w:r>
      <w:r w:rsidR="00FD3FBB" w:rsidRPr="000B1627">
        <w:rPr>
          <w:sz w:val="20"/>
          <w:szCs w:val="20"/>
        </w:rPr>
        <w:t xml:space="preserve"> (2023), https://www.business-humanrights.org/en/latest-news/syrian-refugees-working-in-Türkiye-vulnerable-to-exploitation/ (</w:t>
      </w:r>
      <w:r w:rsidR="007C3A61" w:rsidRPr="000B1627">
        <w:rPr>
          <w:sz w:val="20"/>
          <w:szCs w:val="20"/>
        </w:rPr>
        <w:t>accessed</w:t>
      </w:r>
      <w:r w:rsidR="00FD3FBB" w:rsidRPr="000B1627">
        <w:rPr>
          <w:sz w:val="20"/>
          <w:szCs w:val="20"/>
        </w:rPr>
        <w:t xml:space="preserve"> Sept. 9, 2024).</w:t>
      </w:r>
    </w:p>
  </w:footnote>
  <w:footnote w:id="77">
    <w:p w14:paraId="37EB804F" w14:textId="33997BA4" w:rsidR="005310D5" w:rsidRPr="000B1627" w:rsidRDefault="005310D5" w:rsidP="006946B7">
      <w:pPr>
        <w:jc w:val="both"/>
        <w:rPr>
          <w:sz w:val="20"/>
          <w:szCs w:val="20"/>
        </w:rPr>
      </w:pPr>
      <w:r w:rsidRPr="000B1627">
        <w:rPr>
          <w:rStyle w:val="FootnoteReference"/>
          <w:sz w:val="20"/>
          <w:szCs w:val="20"/>
        </w:rPr>
        <w:footnoteRef/>
      </w:r>
      <w:r w:rsidR="00650346" w:rsidRPr="000B1627">
        <w:rPr>
          <w:rStyle w:val="Strong"/>
          <w:b w:val="0"/>
          <w:bCs w:val="0"/>
          <w:sz w:val="20"/>
          <w:szCs w:val="20"/>
        </w:rPr>
        <w:t>U.S. Department of State</w:t>
      </w:r>
      <w:r w:rsidR="00650346" w:rsidRPr="000B1627">
        <w:rPr>
          <w:sz w:val="20"/>
          <w:szCs w:val="20"/>
        </w:rPr>
        <w:t xml:space="preserve">, </w:t>
      </w:r>
      <w:r w:rsidR="00650346" w:rsidRPr="000B1627">
        <w:rPr>
          <w:rStyle w:val="Emphasis"/>
          <w:sz w:val="20"/>
          <w:szCs w:val="20"/>
        </w:rPr>
        <w:t>2023 Country Reports on Human Rights Practices: Türkiye</w:t>
      </w:r>
      <w:r w:rsidR="00650346" w:rsidRPr="000B1627">
        <w:rPr>
          <w:sz w:val="20"/>
          <w:szCs w:val="20"/>
        </w:rPr>
        <w:t xml:space="preserve"> (2023), https://www.state.gov/reports/2023-country-reports-on-human-rights-practices/Türkiye/ (</w:t>
      </w:r>
      <w:r w:rsidR="007C3A61" w:rsidRPr="000B1627">
        <w:rPr>
          <w:sz w:val="20"/>
          <w:szCs w:val="20"/>
        </w:rPr>
        <w:t>accessed</w:t>
      </w:r>
      <w:r w:rsidR="00650346" w:rsidRPr="000B1627">
        <w:rPr>
          <w:sz w:val="20"/>
          <w:szCs w:val="20"/>
        </w:rPr>
        <w:t xml:space="preserve"> Sept. 9, 2024).</w:t>
      </w:r>
    </w:p>
  </w:footnote>
  <w:footnote w:id="78">
    <w:p w14:paraId="60A62034" w14:textId="2C691F4E" w:rsidR="007A4DBA" w:rsidRPr="000B1627" w:rsidRDefault="007A4DBA" w:rsidP="006946B7">
      <w:pPr>
        <w:pStyle w:val="FootnoteText"/>
        <w:rPr>
          <w:rFonts w:ascii="Times New Roman" w:hAnsi="Times New Roman" w:cs="Times New Roman"/>
        </w:rPr>
      </w:pPr>
      <w:r w:rsidRPr="000B1627">
        <w:rPr>
          <w:rStyle w:val="FootnoteReference"/>
          <w:rFonts w:ascii="Times New Roman" w:hAnsi="Times New Roman" w:cs="Times New Roman"/>
        </w:rPr>
        <w:footnoteRef/>
      </w:r>
      <w:r w:rsidRPr="000B1627">
        <w:rPr>
          <w:rFonts w:ascii="Times New Roman" w:hAnsi="Times New Roman" w:cs="Times New Roman"/>
        </w:rPr>
        <w:t xml:space="preserve"> </w:t>
      </w:r>
      <w:r w:rsidR="00CF4869" w:rsidRPr="000B1627">
        <w:rPr>
          <w:rFonts w:ascii="Times New Roman" w:hAnsi="Times New Roman" w:cs="Times New Roman"/>
        </w:rPr>
        <w:t>I</w:t>
      </w:r>
      <w:r w:rsidRPr="000B1627">
        <w:rPr>
          <w:rFonts w:ascii="Times New Roman" w:hAnsi="Times New Roman" w:cs="Times New Roman"/>
        </w:rPr>
        <w:t>bid</w:t>
      </w:r>
      <w:r w:rsidR="00CF4869" w:rsidRPr="000B1627">
        <w:rPr>
          <w:rFonts w:ascii="Times New Roman" w:hAnsi="Times New Roman" w:cs="Times New Roman"/>
        </w:rPr>
        <w:t>.</w:t>
      </w:r>
    </w:p>
  </w:footnote>
  <w:footnote w:id="79">
    <w:p w14:paraId="602E4BFF" w14:textId="1EACC11D" w:rsidR="005310D5" w:rsidRPr="000B1627" w:rsidRDefault="005310D5" w:rsidP="006946B7">
      <w:pPr>
        <w:jc w:val="both"/>
        <w:rPr>
          <w:sz w:val="20"/>
          <w:szCs w:val="20"/>
        </w:rPr>
      </w:pPr>
      <w:r w:rsidRPr="000B1627">
        <w:rPr>
          <w:rStyle w:val="FootnoteReference"/>
          <w:sz w:val="20"/>
          <w:szCs w:val="20"/>
        </w:rPr>
        <w:footnoteRef/>
      </w:r>
      <w:r w:rsidR="00650346" w:rsidRPr="000B1627">
        <w:rPr>
          <w:rStyle w:val="Strong"/>
          <w:b w:val="0"/>
          <w:bCs w:val="0"/>
          <w:sz w:val="20"/>
          <w:szCs w:val="20"/>
        </w:rPr>
        <w:t>Human Rights Watch</w:t>
      </w:r>
      <w:r w:rsidR="00650346" w:rsidRPr="000B1627">
        <w:rPr>
          <w:sz w:val="20"/>
          <w:szCs w:val="20"/>
        </w:rPr>
        <w:t xml:space="preserve">, </w:t>
      </w:r>
      <w:r w:rsidR="00650346" w:rsidRPr="000B1627">
        <w:rPr>
          <w:rStyle w:val="Emphasis"/>
          <w:sz w:val="20"/>
          <w:szCs w:val="20"/>
        </w:rPr>
        <w:t>Türkiye: Afghan Asylum Seekers Denied Protection</w:t>
      </w:r>
      <w:r w:rsidR="00650346" w:rsidRPr="000B1627">
        <w:rPr>
          <w:sz w:val="20"/>
          <w:szCs w:val="20"/>
        </w:rPr>
        <w:t xml:space="preserve"> (2022), https://www.hrw.org/news/2022/09/21/Türkiye-afghan-asylum-seekers-denied-protection (</w:t>
      </w:r>
      <w:r w:rsidR="007C3A61" w:rsidRPr="000B1627">
        <w:rPr>
          <w:sz w:val="20"/>
          <w:szCs w:val="20"/>
        </w:rPr>
        <w:t>accessed</w:t>
      </w:r>
      <w:r w:rsidR="00650346" w:rsidRPr="000B1627">
        <w:rPr>
          <w:sz w:val="20"/>
          <w:szCs w:val="20"/>
        </w:rPr>
        <w:t xml:space="preserve"> Sept. 9, 2024).</w:t>
      </w:r>
    </w:p>
  </w:footnote>
  <w:footnote w:id="80">
    <w:p w14:paraId="6B265F0F" w14:textId="19E48A35" w:rsidR="005310D5" w:rsidRPr="000B1627" w:rsidRDefault="005310D5" w:rsidP="006946B7">
      <w:pPr>
        <w:jc w:val="both"/>
        <w:rPr>
          <w:sz w:val="20"/>
          <w:szCs w:val="20"/>
        </w:rPr>
      </w:pPr>
      <w:r w:rsidRPr="000B1627">
        <w:rPr>
          <w:rStyle w:val="FootnoteReference"/>
          <w:sz w:val="20"/>
          <w:szCs w:val="20"/>
        </w:rPr>
        <w:footnoteRef/>
      </w:r>
      <w:r w:rsidR="00650346" w:rsidRPr="000B1627">
        <w:rPr>
          <w:rStyle w:val="Strong"/>
          <w:b w:val="0"/>
          <w:bCs w:val="0"/>
          <w:sz w:val="20"/>
          <w:szCs w:val="20"/>
        </w:rPr>
        <w:t>Refugee Council</w:t>
      </w:r>
      <w:r w:rsidR="00650346" w:rsidRPr="000B1627">
        <w:rPr>
          <w:sz w:val="20"/>
          <w:szCs w:val="20"/>
        </w:rPr>
        <w:t xml:space="preserve">, </w:t>
      </w:r>
      <w:r w:rsidR="00650346" w:rsidRPr="000B1627">
        <w:rPr>
          <w:rStyle w:val="Emphasis"/>
          <w:sz w:val="20"/>
          <w:szCs w:val="20"/>
        </w:rPr>
        <w:t>Delays in Asylum Decisions Leaving More People in Limbo</w:t>
      </w:r>
      <w:r w:rsidR="00650346" w:rsidRPr="000B1627">
        <w:rPr>
          <w:sz w:val="20"/>
          <w:szCs w:val="20"/>
        </w:rPr>
        <w:t xml:space="preserve"> (2023), </w:t>
      </w:r>
      <w:hyperlink r:id="rId33" w:tgtFrame="_new" w:history="1">
        <w:r w:rsidR="00650346" w:rsidRPr="000B1627">
          <w:rPr>
            <w:rStyle w:val="Hyperlink"/>
            <w:sz w:val="20"/>
            <w:szCs w:val="20"/>
          </w:rPr>
          <w:t>https://www.refugeecouncil.org.uk</w:t>
        </w:r>
      </w:hyperlink>
      <w:r w:rsidR="00650346" w:rsidRPr="000B1627">
        <w:rPr>
          <w:sz w:val="20"/>
          <w:szCs w:val="20"/>
        </w:rPr>
        <w:t xml:space="preserve"> (</w:t>
      </w:r>
      <w:r w:rsidR="007C3A61" w:rsidRPr="000B1627">
        <w:rPr>
          <w:sz w:val="20"/>
          <w:szCs w:val="20"/>
        </w:rPr>
        <w:t>accessed</w:t>
      </w:r>
      <w:r w:rsidR="00650346" w:rsidRPr="000B1627">
        <w:rPr>
          <w:sz w:val="20"/>
          <w:szCs w:val="20"/>
        </w:rPr>
        <w:t xml:space="preserve"> Sept. 9,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3623"/>
    <w:multiLevelType w:val="multilevel"/>
    <w:tmpl w:val="ED907474"/>
    <w:styleLink w:val="CurrentList3"/>
    <w:lvl w:ilvl="0">
      <w:numFmt w:val="bullet"/>
      <w:lvlText w:val="-"/>
      <w:lvlJc w:val="left"/>
      <w:pPr>
        <w:ind w:left="360" w:hanging="360"/>
      </w:pPr>
      <w:rPr>
        <w:rFonts w:ascii="Calibri" w:eastAsiaTheme="minorHAnsi" w:hAnsi="Calibri" w:cs="Calibri"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4CD6C8C"/>
    <w:multiLevelType w:val="hybridMultilevel"/>
    <w:tmpl w:val="ED9AB848"/>
    <w:lvl w:ilvl="0" w:tplc="5A7CDE9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9B2C7A"/>
    <w:multiLevelType w:val="hybridMultilevel"/>
    <w:tmpl w:val="E2567908"/>
    <w:lvl w:ilvl="0" w:tplc="8212648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B173BB"/>
    <w:multiLevelType w:val="hybridMultilevel"/>
    <w:tmpl w:val="EEF275F8"/>
    <w:lvl w:ilvl="0" w:tplc="438EEAB6">
      <w:start w:val="1"/>
      <w:numFmt w:val="decimal"/>
      <w:lvlText w:val="%1."/>
      <w:lvlJc w:val="left"/>
      <w:pPr>
        <w:ind w:left="720" w:hanging="360"/>
      </w:pPr>
      <w:rPr>
        <w:rFonts w:ascii="Calisto MT" w:eastAsiaTheme="minorHAnsi" w:hAnsi="Calisto MT" w:cstheme="minorBid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E7739"/>
    <w:multiLevelType w:val="hybridMultilevel"/>
    <w:tmpl w:val="3A7618B6"/>
    <w:lvl w:ilvl="0" w:tplc="58529C7A">
      <w:start w:val="1"/>
      <w:numFmt w:val="lowerRoman"/>
      <w:lvlText w:val="%1."/>
      <w:lvlJc w:val="right"/>
      <w:pPr>
        <w:ind w:left="720" w:hanging="360"/>
      </w:pPr>
    </w:lvl>
    <w:lvl w:ilvl="1" w:tplc="6AE448B0">
      <w:start w:val="1"/>
      <w:numFmt w:val="lowerRoman"/>
      <w:lvlText w:val="%2."/>
      <w:lvlJc w:val="right"/>
      <w:pPr>
        <w:ind w:left="720" w:hanging="360"/>
      </w:pPr>
    </w:lvl>
    <w:lvl w:ilvl="2" w:tplc="0D78100E">
      <w:start w:val="1"/>
      <w:numFmt w:val="lowerRoman"/>
      <w:lvlText w:val="%3."/>
      <w:lvlJc w:val="right"/>
      <w:pPr>
        <w:ind w:left="720" w:hanging="360"/>
      </w:pPr>
    </w:lvl>
    <w:lvl w:ilvl="3" w:tplc="684C9BE6">
      <w:start w:val="1"/>
      <w:numFmt w:val="lowerRoman"/>
      <w:lvlText w:val="%4."/>
      <w:lvlJc w:val="right"/>
      <w:pPr>
        <w:ind w:left="720" w:hanging="360"/>
      </w:pPr>
    </w:lvl>
    <w:lvl w:ilvl="4" w:tplc="74B002E2">
      <w:start w:val="1"/>
      <w:numFmt w:val="lowerRoman"/>
      <w:lvlText w:val="%5."/>
      <w:lvlJc w:val="right"/>
      <w:pPr>
        <w:ind w:left="720" w:hanging="360"/>
      </w:pPr>
    </w:lvl>
    <w:lvl w:ilvl="5" w:tplc="009EFA62">
      <w:start w:val="1"/>
      <w:numFmt w:val="lowerRoman"/>
      <w:lvlText w:val="%6."/>
      <w:lvlJc w:val="right"/>
      <w:pPr>
        <w:ind w:left="720" w:hanging="360"/>
      </w:pPr>
    </w:lvl>
    <w:lvl w:ilvl="6" w:tplc="4790CD82">
      <w:start w:val="1"/>
      <w:numFmt w:val="lowerRoman"/>
      <w:lvlText w:val="%7."/>
      <w:lvlJc w:val="right"/>
      <w:pPr>
        <w:ind w:left="720" w:hanging="360"/>
      </w:pPr>
    </w:lvl>
    <w:lvl w:ilvl="7" w:tplc="9C0CF422">
      <w:start w:val="1"/>
      <w:numFmt w:val="lowerRoman"/>
      <w:lvlText w:val="%8."/>
      <w:lvlJc w:val="right"/>
      <w:pPr>
        <w:ind w:left="720" w:hanging="360"/>
      </w:pPr>
    </w:lvl>
    <w:lvl w:ilvl="8" w:tplc="6BDE8FDC">
      <w:start w:val="1"/>
      <w:numFmt w:val="lowerRoman"/>
      <w:lvlText w:val="%9."/>
      <w:lvlJc w:val="right"/>
      <w:pPr>
        <w:ind w:left="720" w:hanging="360"/>
      </w:pPr>
    </w:lvl>
  </w:abstractNum>
  <w:abstractNum w:abstractNumId="5" w15:restartNumberingAfterBreak="0">
    <w:nsid w:val="107B00B8"/>
    <w:multiLevelType w:val="hybridMultilevel"/>
    <w:tmpl w:val="6492901E"/>
    <w:lvl w:ilvl="0" w:tplc="4910801A">
      <w:start w:val="1"/>
      <w:numFmt w:val="lowerRoman"/>
      <w:lvlText w:val="%1."/>
      <w:lvlJc w:val="right"/>
      <w:pPr>
        <w:ind w:left="720" w:hanging="360"/>
      </w:pPr>
    </w:lvl>
    <w:lvl w:ilvl="1" w:tplc="D7F8E2E2">
      <w:start w:val="1"/>
      <w:numFmt w:val="lowerRoman"/>
      <w:lvlText w:val="%2."/>
      <w:lvlJc w:val="right"/>
      <w:pPr>
        <w:ind w:left="720" w:hanging="360"/>
      </w:pPr>
    </w:lvl>
    <w:lvl w:ilvl="2" w:tplc="88EC250C">
      <w:start w:val="1"/>
      <w:numFmt w:val="lowerRoman"/>
      <w:lvlText w:val="%3."/>
      <w:lvlJc w:val="right"/>
      <w:pPr>
        <w:ind w:left="720" w:hanging="360"/>
      </w:pPr>
    </w:lvl>
    <w:lvl w:ilvl="3" w:tplc="BAAE4598">
      <w:start w:val="1"/>
      <w:numFmt w:val="lowerRoman"/>
      <w:lvlText w:val="%4."/>
      <w:lvlJc w:val="right"/>
      <w:pPr>
        <w:ind w:left="720" w:hanging="360"/>
      </w:pPr>
    </w:lvl>
    <w:lvl w:ilvl="4" w:tplc="42006A66">
      <w:start w:val="1"/>
      <w:numFmt w:val="lowerRoman"/>
      <w:lvlText w:val="%5."/>
      <w:lvlJc w:val="right"/>
      <w:pPr>
        <w:ind w:left="720" w:hanging="360"/>
      </w:pPr>
    </w:lvl>
    <w:lvl w:ilvl="5" w:tplc="5E8C87AA">
      <w:start w:val="1"/>
      <w:numFmt w:val="lowerRoman"/>
      <w:lvlText w:val="%6."/>
      <w:lvlJc w:val="right"/>
      <w:pPr>
        <w:ind w:left="720" w:hanging="360"/>
      </w:pPr>
    </w:lvl>
    <w:lvl w:ilvl="6" w:tplc="0ECE341E">
      <w:start w:val="1"/>
      <w:numFmt w:val="lowerRoman"/>
      <w:lvlText w:val="%7."/>
      <w:lvlJc w:val="right"/>
      <w:pPr>
        <w:ind w:left="720" w:hanging="360"/>
      </w:pPr>
    </w:lvl>
    <w:lvl w:ilvl="7" w:tplc="BC6A9FCE">
      <w:start w:val="1"/>
      <w:numFmt w:val="lowerRoman"/>
      <w:lvlText w:val="%8."/>
      <w:lvlJc w:val="right"/>
      <w:pPr>
        <w:ind w:left="720" w:hanging="360"/>
      </w:pPr>
    </w:lvl>
    <w:lvl w:ilvl="8" w:tplc="224E7F9A">
      <w:start w:val="1"/>
      <w:numFmt w:val="lowerRoman"/>
      <w:lvlText w:val="%9."/>
      <w:lvlJc w:val="right"/>
      <w:pPr>
        <w:ind w:left="720" w:hanging="360"/>
      </w:pPr>
    </w:lvl>
  </w:abstractNum>
  <w:abstractNum w:abstractNumId="6" w15:restartNumberingAfterBreak="0">
    <w:nsid w:val="10C9123B"/>
    <w:multiLevelType w:val="hybridMultilevel"/>
    <w:tmpl w:val="B1FCC4A0"/>
    <w:lvl w:ilvl="0" w:tplc="C17EBA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991D19"/>
    <w:multiLevelType w:val="hybridMultilevel"/>
    <w:tmpl w:val="FDA40A20"/>
    <w:lvl w:ilvl="0" w:tplc="C98CAF34">
      <w:start w:val="1"/>
      <w:numFmt w:val="decimal"/>
      <w:lvlText w:val="%1."/>
      <w:lvlJc w:val="left"/>
      <w:pPr>
        <w:ind w:left="720" w:hanging="360"/>
      </w:pPr>
      <w:rPr>
        <w:rFonts w:ascii="Calisto MT" w:eastAsiaTheme="minorHAnsi" w:hAnsi="Calisto MT" w:cstheme="minorBidi"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13239"/>
    <w:multiLevelType w:val="multilevel"/>
    <w:tmpl w:val="8AAA20AE"/>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6F02895"/>
    <w:multiLevelType w:val="multilevel"/>
    <w:tmpl w:val="DC24D004"/>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B9C666B"/>
    <w:multiLevelType w:val="hybridMultilevel"/>
    <w:tmpl w:val="146AAEDE"/>
    <w:lvl w:ilvl="0" w:tplc="E90E6C74">
      <w:start w:val="4"/>
      <w:numFmt w:val="upperLetter"/>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331EA0"/>
    <w:multiLevelType w:val="hybridMultilevel"/>
    <w:tmpl w:val="83783632"/>
    <w:lvl w:ilvl="0" w:tplc="36EA1E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C05DF"/>
    <w:multiLevelType w:val="hybridMultilevel"/>
    <w:tmpl w:val="1B92390A"/>
    <w:lvl w:ilvl="0" w:tplc="888E5186">
      <w:start w:val="1"/>
      <w:numFmt w:val="decimal"/>
      <w:lvlText w:val="%1."/>
      <w:lvlJc w:val="left"/>
      <w:pPr>
        <w:ind w:left="360" w:hanging="360"/>
      </w:pPr>
      <w:rPr>
        <w:rFonts w:ascii="Times New Roman" w:hAnsi="Times New Roman" w:cs="Times New Roman"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5707381"/>
    <w:multiLevelType w:val="hybridMultilevel"/>
    <w:tmpl w:val="1DCC8D76"/>
    <w:lvl w:ilvl="0" w:tplc="6B6A422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E30044"/>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0658CF"/>
    <w:multiLevelType w:val="multilevel"/>
    <w:tmpl w:val="A74ED07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86E3C3E"/>
    <w:multiLevelType w:val="hybridMultilevel"/>
    <w:tmpl w:val="46B606E6"/>
    <w:lvl w:ilvl="0" w:tplc="6BC28A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851D12"/>
    <w:multiLevelType w:val="multilevel"/>
    <w:tmpl w:val="4E545406"/>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1606D7B"/>
    <w:multiLevelType w:val="hybridMultilevel"/>
    <w:tmpl w:val="AEA805F4"/>
    <w:lvl w:ilvl="0" w:tplc="B6CC64D2">
      <w:start w:val="1"/>
      <w:numFmt w:val="lowerRoman"/>
      <w:lvlText w:val="%1."/>
      <w:lvlJc w:val="left"/>
      <w:pPr>
        <w:ind w:left="720" w:hanging="360"/>
      </w:pPr>
      <w:rPr>
        <w:rFonts w:ascii="Times New Roman" w:eastAsiaTheme="minorHAns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9A0019"/>
    <w:multiLevelType w:val="hybridMultilevel"/>
    <w:tmpl w:val="9FBC7052"/>
    <w:lvl w:ilvl="0" w:tplc="08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EB504D"/>
    <w:multiLevelType w:val="hybridMultilevel"/>
    <w:tmpl w:val="4E324C2E"/>
    <w:lvl w:ilvl="0" w:tplc="D2C8E320">
      <w:start w:val="1"/>
      <w:numFmt w:val="none"/>
      <w:lvlText w:val="d."/>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9C4E79"/>
    <w:multiLevelType w:val="hybridMultilevel"/>
    <w:tmpl w:val="ED0C84C8"/>
    <w:lvl w:ilvl="0" w:tplc="9EAA68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03384B"/>
    <w:multiLevelType w:val="multilevel"/>
    <w:tmpl w:val="7F126A92"/>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D884B27"/>
    <w:multiLevelType w:val="hybridMultilevel"/>
    <w:tmpl w:val="BDCE389E"/>
    <w:lvl w:ilvl="0" w:tplc="732CE618">
      <w:start w:val="1"/>
      <w:numFmt w:val="decimal"/>
      <w:lvlText w:val="%1."/>
      <w:lvlJc w:val="left"/>
      <w:pPr>
        <w:ind w:left="360" w:hanging="360"/>
      </w:pPr>
      <w:rPr>
        <w:rFonts w:hint="default"/>
        <w:b w:val="0"/>
        <w:bCs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244644C"/>
    <w:multiLevelType w:val="hybridMultilevel"/>
    <w:tmpl w:val="0068FDDA"/>
    <w:lvl w:ilvl="0" w:tplc="108634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6028A8"/>
    <w:multiLevelType w:val="hybridMultilevel"/>
    <w:tmpl w:val="38384334"/>
    <w:lvl w:ilvl="0" w:tplc="4BE61CA4">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15:restartNumberingAfterBreak="0">
    <w:nsid w:val="4B617DDF"/>
    <w:multiLevelType w:val="hybridMultilevel"/>
    <w:tmpl w:val="210655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D424B0"/>
    <w:multiLevelType w:val="multilevel"/>
    <w:tmpl w:val="41E68048"/>
    <w:styleLink w:val="CurrentList2"/>
    <w:lvl w:ilvl="0">
      <w:start w:val="1"/>
      <w:numFmt w:val="lowerLetter"/>
      <w:lvlText w:val="%1."/>
      <w:lvlJc w:val="left"/>
      <w:pPr>
        <w:ind w:left="720" w:hanging="360"/>
      </w:pPr>
      <w:rPr>
        <w:rFonts w:hint="default"/>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260BCB"/>
    <w:multiLevelType w:val="multilevel"/>
    <w:tmpl w:val="9A7627B6"/>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CFF77F3"/>
    <w:multiLevelType w:val="hybridMultilevel"/>
    <w:tmpl w:val="402AF494"/>
    <w:lvl w:ilvl="0" w:tplc="2FFE6B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2C0D4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62CA1E85"/>
    <w:multiLevelType w:val="hybridMultilevel"/>
    <w:tmpl w:val="0FEE83AC"/>
    <w:lvl w:ilvl="0" w:tplc="2BD4CD72">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2" w15:restartNumberingAfterBreak="0">
    <w:nsid w:val="637C54E3"/>
    <w:multiLevelType w:val="hybridMultilevel"/>
    <w:tmpl w:val="9C98F1E2"/>
    <w:lvl w:ilvl="0" w:tplc="0B0E6622">
      <w:start w:val="1"/>
      <w:numFmt w:val="lowerRoman"/>
      <w:lvlText w:val="%1."/>
      <w:lvlJc w:val="right"/>
      <w:pPr>
        <w:ind w:left="720" w:hanging="360"/>
      </w:pPr>
    </w:lvl>
    <w:lvl w:ilvl="1" w:tplc="9AE48EF6">
      <w:start w:val="1"/>
      <w:numFmt w:val="lowerRoman"/>
      <w:lvlText w:val="%2."/>
      <w:lvlJc w:val="right"/>
      <w:pPr>
        <w:ind w:left="720" w:hanging="360"/>
      </w:pPr>
    </w:lvl>
    <w:lvl w:ilvl="2" w:tplc="1B38B69C">
      <w:start w:val="1"/>
      <w:numFmt w:val="lowerRoman"/>
      <w:lvlText w:val="%3."/>
      <w:lvlJc w:val="right"/>
      <w:pPr>
        <w:ind w:left="720" w:hanging="360"/>
      </w:pPr>
    </w:lvl>
    <w:lvl w:ilvl="3" w:tplc="28A0E652">
      <w:start w:val="1"/>
      <w:numFmt w:val="lowerRoman"/>
      <w:lvlText w:val="%4."/>
      <w:lvlJc w:val="right"/>
      <w:pPr>
        <w:ind w:left="720" w:hanging="360"/>
      </w:pPr>
    </w:lvl>
    <w:lvl w:ilvl="4" w:tplc="8DB86AA6">
      <w:start w:val="1"/>
      <w:numFmt w:val="lowerRoman"/>
      <w:lvlText w:val="%5."/>
      <w:lvlJc w:val="right"/>
      <w:pPr>
        <w:ind w:left="720" w:hanging="360"/>
      </w:pPr>
    </w:lvl>
    <w:lvl w:ilvl="5" w:tplc="F072E28C">
      <w:start w:val="1"/>
      <w:numFmt w:val="lowerRoman"/>
      <w:lvlText w:val="%6."/>
      <w:lvlJc w:val="right"/>
      <w:pPr>
        <w:ind w:left="720" w:hanging="360"/>
      </w:pPr>
    </w:lvl>
    <w:lvl w:ilvl="6" w:tplc="A5648F06">
      <w:start w:val="1"/>
      <w:numFmt w:val="lowerRoman"/>
      <w:lvlText w:val="%7."/>
      <w:lvlJc w:val="right"/>
      <w:pPr>
        <w:ind w:left="720" w:hanging="360"/>
      </w:pPr>
    </w:lvl>
    <w:lvl w:ilvl="7" w:tplc="85F45404">
      <w:start w:val="1"/>
      <w:numFmt w:val="lowerRoman"/>
      <w:lvlText w:val="%8."/>
      <w:lvlJc w:val="right"/>
      <w:pPr>
        <w:ind w:left="720" w:hanging="360"/>
      </w:pPr>
    </w:lvl>
    <w:lvl w:ilvl="8" w:tplc="B4721954">
      <w:start w:val="1"/>
      <w:numFmt w:val="lowerRoman"/>
      <w:lvlText w:val="%9."/>
      <w:lvlJc w:val="right"/>
      <w:pPr>
        <w:ind w:left="720" w:hanging="360"/>
      </w:pPr>
    </w:lvl>
  </w:abstractNum>
  <w:abstractNum w:abstractNumId="33" w15:restartNumberingAfterBreak="0">
    <w:nsid w:val="63B2720D"/>
    <w:multiLevelType w:val="multilevel"/>
    <w:tmpl w:val="BFD02036"/>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6DE53015"/>
    <w:multiLevelType w:val="hybridMultilevel"/>
    <w:tmpl w:val="8F925306"/>
    <w:lvl w:ilvl="0" w:tplc="08090019">
      <w:start w:val="27"/>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641F29"/>
    <w:multiLevelType w:val="multilevel"/>
    <w:tmpl w:val="210655AA"/>
    <w:styleLink w:val="CurrentList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FC7095"/>
    <w:multiLevelType w:val="hybridMultilevel"/>
    <w:tmpl w:val="469AFB8C"/>
    <w:lvl w:ilvl="0" w:tplc="868870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462864"/>
    <w:multiLevelType w:val="hybridMultilevel"/>
    <w:tmpl w:val="330E238A"/>
    <w:lvl w:ilvl="0" w:tplc="08090019">
      <w:start w:val="1"/>
      <w:numFmt w:val="low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D435BA"/>
    <w:multiLevelType w:val="multilevel"/>
    <w:tmpl w:val="1B92390A"/>
    <w:styleLink w:val="CurrentList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C412559"/>
    <w:multiLevelType w:val="hybridMultilevel"/>
    <w:tmpl w:val="6C405486"/>
    <w:lvl w:ilvl="0" w:tplc="4BE861C6">
      <w:start w:val="1"/>
      <w:numFmt w:val="lowerLetter"/>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7D16F2"/>
    <w:multiLevelType w:val="hybridMultilevel"/>
    <w:tmpl w:val="EA985D46"/>
    <w:lvl w:ilvl="0" w:tplc="FFE0C2BA">
      <w:start w:val="4"/>
      <w:numFmt w:val="upperLetter"/>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CAE7C38"/>
    <w:multiLevelType w:val="hybridMultilevel"/>
    <w:tmpl w:val="CD4A37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520BFF"/>
    <w:multiLevelType w:val="hybridMultilevel"/>
    <w:tmpl w:val="DB8AE1DA"/>
    <w:lvl w:ilvl="0" w:tplc="C82CC512">
      <w:start w:val="1"/>
      <w:numFmt w:val="decimal"/>
      <w:lvlText w:val="%1."/>
      <w:lvlJc w:val="left"/>
      <w:pPr>
        <w:ind w:left="-360" w:hanging="360"/>
      </w:pPr>
      <w:rPr>
        <w:sz w:val="22"/>
        <w:szCs w:val="22"/>
      </w:rPr>
    </w:lvl>
    <w:lvl w:ilvl="1" w:tplc="08090019">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43" w15:restartNumberingAfterBreak="0">
    <w:nsid w:val="7D7C598C"/>
    <w:multiLevelType w:val="hybridMultilevel"/>
    <w:tmpl w:val="42A65072"/>
    <w:lvl w:ilvl="0" w:tplc="E654A8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30507A"/>
    <w:multiLevelType w:val="hybridMultilevel"/>
    <w:tmpl w:val="C3309286"/>
    <w:lvl w:ilvl="0" w:tplc="2EF021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FA00E5"/>
    <w:multiLevelType w:val="multilevel"/>
    <w:tmpl w:val="64A69916"/>
    <w:lvl w:ilvl="0">
      <w:start w:val="1"/>
      <w:numFmt w:val="lowerRoman"/>
      <w:lvlText w:val="%1."/>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39210514">
    <w:abstractNumId w:val="12"/>
  </w:num>
  <w:num w:numId="2" w16cid:durableId="231162607">
    <w:abstractNumId w:val="23"/>
  </w:num>
  <w:num w:numId="3" w16cid:durableId="1892768195">
    <w:abstractNumId w:val="7"/>
  </w:num>
  <w:num w:numId="4" w16cid:durableId="182666665">
    <w:abstractNumId w:val="3"/>
  </w:num>
  <w:num w:numId="5" w16cid:durableId="1098449685">
    <w:abstractNumId w:val="30"/>
  </w:num>
  <w:num w:numId="6" w16cid:durableId="912158416">
    <w:abstractNumId w:val="15"/>
  </w:num>
  <w:num w:numId="7" w16cid:durableId="1564413121">
    <w:abstractNumId w:val="43"/>
  </w:num>
  <w:num w:numId="8" w16cid:durableId="3410891">
    <w:abstractNumId w:val="11"/>
  </w:num>
  <w:num w:numId="9" w16cid:durableId="1143035311">
    <w:abstractNumId w:val="21"/>
  </w:num>
  <w:num w:numId="10" w16cid:durableId="1771122979">
    <w:abstractNumId w:val="16"/>
  </w:num>
  <w:num w:numId="11" w16cid:durableId="1486433777">
    <w:abstractNumId w:val="36"/>
  </w:num>
  <w:num w:numId="12" w16cid:durableId="938026526">
    <w:abstractNumId w:val="44"/>
  </w:num>
  <w:num w:numId="13" w16cid:durableId="8528223">
    <w:abstractNumId w:val="6"/>
  </w:num>
  <w:num w:numId="14" w16cid:durableId="284778773">
    <w:abstractNumId w:val="2"/>
  </w:num>
  <w:num w:numId="15" w16cid:durableId="785320347">
    <w:abstractNumId w:val="13"/>
  </w:num>
  <w:num w:numId="16" w16cid:durableId="1715038146">
    <w:abstractNumId w:val="19"/>
  </w:num>
  <w:num w:numId="17" w16cid:durableId="365058594">
    <w:abstractNumId w:val="39"/>
  </w:num>
  <w:num w:numId="18" w16cid:durableId="377704770">
    <w:abstractNumId w:val="24"/>
  </w:num>
  <w:num w:numId="19" w16cid:durableId="1091388429">
    <w:abstractNumId w:val="37"/>
  </w:num>
  <w:num w:numId="20" w16cid:durableId="31200446">
    <w:abstractNumId w:val="40"/>
  </w:num>
  <w:num w:numId="21" w16cid:durableId="868759397">
    <w:abstractNumId w:val="26"/>
  </w:num>
  <w:num w:numId="22" w16cid:durableId="658928047">
    <w:abstractNumId w:val="35"/>
  </w:num>
  <w:num w:numId="23" w16cid:durableId="1359240464">
    <w:abstractNumId w:val="10"/>
  </w:num>
  <w:num w:numId="24" w16cid:durableId="70275284">
    <w:abstractNumId w:val="20"/>
  </w:num>
  <w:num w:numId="25" w16cid:durableId="1400593260">
    <w:abstractNumId w:val="29"/>
  </w:num>
  <w:num w:numId="26" w16cid:durableId="891968645">
    <w:abstractNumId w:val="27"/>
  </w:num>
  <w:num w:numId="27" w16cid:durableId="723717894">
    <w:abstractNumId w:val="0"/>
  </w:num>
  <w:num w:numId="28" w16cid:durableId="1575358957">
    <w:abstractNumId w:val="41"/>
  </w:num>
  <w:num w:numId="29" w16cid:durableId="2092505878">
    <w:abstractNumId w:val="34"/>
  </w:num>
  <w:num w:numId="30" w16cid:durableId="287785225">
    <w:abstractNumId w:val="1"/>
  </w:num>
  <w:num w:numId="31" w16cid:durableId="1157766883">
    <w:abstractNumId w:val="14"/>
  </w:num>
  <w:num w:numId="32" w16cid:durableId="1726220353">
    <w:abstractNumId w:val="38"/>
  </w:num>
  <w:num w:numId="33" w16cid:durableId="1019355081">
    <w:abstractNumId w:val="25"/>
  </w:num>
  <w:num w:numId="34" w16cid:durableId="1440832331">
    <w:abstractNumId w:val="5"/>
  </w:num>
  <w:num w:numId="35" w16cid:durableId="429589291">
    <w:abstractNumId w:val="32"/>
  </w:num>
  <w:num w:numId="36" w16cid:durableId="648628926">
    <w:abstractNumId w:val="4"/>
  </w:num>
  <w:num w:numId="37" w16cid:durableId="168302835">
    <w:abstractNumId w:val="28"/>
  </w:num>
  <w:num w:numId="38" w16cid:durableId="666789477">
    <w:abstractNumId w:val="9"/>
  </w:num>
  <w:num w:numId="39" w16cid:durableId="1945840961">
    <w:abstractNumId w:val="8"/>
  </w:num>
  <w:num w:numId="40" w16cid:durableId="1004404990">
    <w:abstractNumId w:val="18"/>
  </w:num>
  <w:num w:numId="41" w16cid:durableId="1301302645">
    <w:abstractNumId w:val="22"/>
  </w:num>
  <w:num w:numId="42" w16cid:durableId="1628268595">
    <w:abstractNumId w:val="17"/>
  </w:num>
  <w:num w:numId="43" w16cid:durableId="41097136">
    <w:abstractNumId w:val="42"/>
  </w:num>
  <w:num w:numId="44" w16cid:durableId="182013611">
    <w:abstractNumId w:val="45"/>
  </w:num>
  <w:num w:numId="45" w16cid:durableId="648246995">
    <w:abstractNumId w:val="33"/>
  </w:num>
  <w:num w:numId="46" w16cid:durableId="173323779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607"/>
    <w:rsid w:val="00002829"/>
    <w:rsid w:val="00016DDB"/>
    <w:rsid w:val="00027E70"/>
    <w:rsid w:val="00031DB3"/>
    <w:rsid w:val="00053695"/>
    <w:rsid w:val="00061EDE"/>
    <w:rsid w:val="000633F7"/>
    <w:rsid w:val="00066491"/>
    <w:rsid w:val="00072AAF"/>
    <w:rsid w:val="00075986"/>
    <w:rsid w:val="00081376"/>
    <w:rsid w:val="00082BAD"/>
    <w:rsid w:val="00086F2E"/>
    <w:rsid w:val="000A7925"/>
    <w:rsid w:val="000B1627"/>
    <w:rsid w:val="000C356A"/>
    <w:rsid w:val="000D17A7"/>
    <w:rsid w:val="000D3BE3"/>
    <w:rsid w:val="000D5E51"/>
    <w:rsid w:val="000E169F"/>
    <w:rsid w:val="000F20FE"/>
    <w:rsid w:val="000F4DFD"/>
    <w:rsid w:val="000F6A18"/>
    <w:rsid w:val="00100531"/>
    <w:rsid w:val="00101AFA"/>
    <w:rsid w:val="001028EA"/>
    <w:rsid w:val="00103F28"/>
    <w:rsid w:val="00104735"/>
    <w:rsid w:val="0010778D"/>
    <w:rsid w:val="00114E74"/>
    <w:rsid w:val="001162A9"/>
    <w:rsid w:val="00120B39"/>
    <w:rsid w:val="00123038"/>
    <w:rsid w:val="001258C6"/>
    <w:rsid w:val="00134314"/>
    <w:rsid w:val="001349E5"/>
    <w:rsid w:val="00135230"/>
    <w:rsid w:val="001415A3"/>
    <w:rsid w:val="00161F21"/>
    <w:rsid w:val="0016664F"/>
    <w:rsid w:val="00173971"/>
    <w:rsid w:val="0018310D"/>
    <w:rsid w:val="00187913"/>
    <w:rsid w:val="00193514"/>
    <w:rsid w:val="0019711E"/>
    <w:rsid w:val="001A101D"/>
    <w:rsid w:val="001A1582"/>
    <w:rsid w:val="001B1ABB"/>
    <w:rsid w:val="001B3434"/>
    <w:rsid w:val="001B5189"/>
    <w:rsid w:val="001D25F3"/>
    <w:rsid w:val="001E0A02"/>
    <w:rsid w:val="001E1666"/>
    <w:rsid w:val="001F6597"/>
    <w:rsid w:val="0021142A"/>
    <w:rsid w:val="0021610B"/>
    <w:rsid w:val="0021671F"/>
    <w:rsid w:val="00217B8B"/>
    <w:rsid w:val="00232588"/>
    <w:rsid w:val="002408BE"/>
    <w:rsid w:val="00254633"/>
    <w:rsid w:val="00255967"/>
    <w:rsid w:val="00271344"/>
    <w:rsid w:val="002848F4"/>
    <w:rsid w:val="002919EB"/>
    <w:rsid w:val="002925D3"/>
    <w:rsid w:val="00296DC6"/>
    <w:rsid w:val="002A4508"/>
    <w:rsid w:val="002A698E"/>
    <w:rsid w:val="002B0D50"/>
    <w:rsid w:val="002C65E7"/>
    <w:rsid w:val="002D4902"/>
    <w:rsid w:val="002D4D31"/>
    <w:rsid w:val="002D5ECB"/>
    <w:rsid w:val="0030058B"/>
    <w:rsid w:val="00310DAC"/>
    <w:rsid w:val="0031214F"/>
    <w:rsid w:val="003176BC"/>
    <w:rsid w:val="00330829"/>
    <w:rsid w:val="00331365"/>
    <w:rsid w:val="00331934"/>
    <w:rsid w:val="00334B76"/>
    <w:rsid w:val="00335F1E"/>
    <w:rsid w:val="00343F16"/>
    <w:rsid w:val="003444A2"/>
    <w:rsid w:val="00350FA8"/>
    <w:rsid w:val="003567B4"/>
    <w:rsid w:val="0036691D"/>
    <w:rsid w:val="00382FDB"/>
    <w:rsid w:val="003840F0"/>
    <w:rsid w:val="00385CCD"/>
    <w:rsid w:val="00386F3B"/>
    <w:rsid w:val="00390980"/>
    <w:rsid w:val="00393BFF"/>
    <w:rsid w:val="003A1A86"/>
    <w:rsid w:val="003A290B"/>
    <w:rsid w:val="003A747A"/>
    <w:rsid w:val="003A7E50"/>
    <w:rsid w:val="003B173E"/>
    <w:rsid w:val="003B31FF"/>
    <w:rsid w:val="003C1048"/>
    <w:rsid w:val="003C29BD"/>
    <w:rsid w:val="003D2096"/>
    <w:rsid w:val="003D3A65"/>
    <w:rsid w:val="003E3F15"/>
    <w:rsid w:val="003E7FB1"/>
    <w:rsid w:val="003F024A"/>
    <w:rsid w:val="00406391"/>
    <w:rsid w:val="004113A3"/>
    <w:rsid w:val="00422872"/>
    <w:rsid w:val="0042341E"/>
    <w:rsid w:val="0043130F"/>
    <w:rsid w:val="00443F9A"/>
    <w:rsid w:val="00445FF8"/>
    <w:rsid w:val="00447CF8"/>
    <w:rsid w:val="00450FAF"/>
    <w:rsid w:val="00453247"/>
    <w:rsid w:val="00454F9F"/>
    <w:rsid w:val="0046169F"/>
    <w:rsid w:val="0048217C"/>
    <w:rsid w:val="004916E6"/>
    <w:rsid w:val="004929B2"/>
    <w:rsid w:val="00492D68"/>
    <w:rsid w:val="00493CA2"/>
    <w:rsid w:val="00494499"/>
    <w:rsid w:val="004A0A3E"/>
    <w:rsid w:val="004A2BDB"/>
    <w:rsid w:val="004A3EDD"/>
    <w:rsid w:val="004B3367"/>
    <w:rsid w:val="004C416F"/>
    <w:rsid w:val="004C429C"/>
    <w:rsid w:val="004C5989"/>
    <w:rsid w:val="004D0BCF"/>
    <w:rsid w:val="004D6D79"/>
    <w:rsid w:val="004D6F9C"/>
    <w:rsid w:val="004E4388"/>
    <w:rsid w:val="004E49B2"/>
    <w:rsid w:val="00504E96"/>
    <w:rsid w:val="005062DE"/>
    <w:rsid w:val="005115B4"/>
    <w:rsid w:val="00512AA6"/>
    <w:rsid w:val="005151BE"/>
    <w:rsid w:val="005310D5"/>
    <w:rsid w:val="00531A72"/>
    <w:rsid w:val="00533108"/>
    <w:rsid w:val="00533207"/>
    <w:rsid w:val="00541035"/>
    <w:rsid w:val="00542D11"/>
    <w:rsid w:val="0055486D"/>
    <w:rsid w:val="00562537"/>
    <w:rsid w:val="00576AEE"/>
    <w:rsid w:val="00584B25"/>
    <w:rsid w:val="005867A1"/>
    <w:rsid w:val="005935C0"/>
    <w:rsid w:val="005A1B95"/>
    <w:rsid w:val="005B407F"/>
    <w:rsid w:val="005B485C"/>
    <w:rsid w:val="005C2582"/>
    <w:rsid w:val="005D760C"/>
    <w:rsid w:val="005E2E34"/>
    <w:rsid w:val="005E310C"/>
    <w:rsid w:val="005E5330"/>
    <w:rsid w:val="005E7291"/>
    <w:rsid w:val="005F0E38"/>
    <w:rsid w:val="005F4414"/>
    <w:rsid w:val="005F7F99"/>
    <w:rsid w:val="00614820"/>
    <w:rsid w:val="00622A43"/>
    <w:rsid w:val="0063065D"/>
    <w:rsid w:val="006354EB"/>
    <w:rsid w:val="006404A3"/>
    <w:rsid w:val="0064298D"/>
    <w:rsid w:val="006437F6"/>
    <w:rsid w:val="006453F1"/>
    <w:rsid w:val="00650346"/>
    <w:rsid w:val="0065796C"/>
    <w:rsid w:val="0066484B"/>
    <w:rsid w:val="00673A6D"/>
    <w:rsid w:val="00673B7A"/>
    <w:rsid w:val="006776DF"/>
    <w:rsid w:val="006946B7"/>
    <w:rsid w:val="00695493"/>
    <w:rsid w:val="006A0C95"/>
    <w:rsid w:val="006A2A89"/>
    <w:rsid w:val="006A74FC"/>
    <w:rsid w:val="006B07D9"/>
    <w:rsid w:val="006B0EBC"/>
    <w:rsid w:val="006F0269"/>
    <w:rsid w:val="006F6778"/>
    <w:rsid w:val="00702484"/>
    <w:rsid w:val="007045E3"/>
    <w:rsid w:val="0071130E"/>
    <w:rsid w:val="00714896"/>
    <w:rsid w:val="007211ED"/>
    <w:rsid w:val="00722FAE"/>
    <w:rsid w:val="00726F0D"/>
    <w:rsid w:val="007335C2"/>
    <w:rsid w:val="0073383E"/>
    <w:rsid w:val="00740E6B"/>
    <w:rsid w:val="007436A9"/>
    <w:rsid w:val="0076645C"/>
    <w:rsid w:val="0077130A"/>
    <w:rsid w:val="00772EF1"/>
    <w:rsid w:val="00773155"/>
    <w:rsid w:val="00774C25"/>
    <w:rsid w:val="00776BCC"/>
    <w:rsid w:val="007854CB"/>
    <w:rsid w:val="0078713F"/>
    <w:rsid w:val="00787754"/>
    <w:rsid w:val="007910CA"/>
    <w:rsid w:val="007A1820"/>
    <w:rsid w:val="007A1ACD"/>
    <w:rsid w:val="007A21BC"/>
    <w:rsid w:val="007A4DBA"/>
    <w:rsid w:val="007A618E"/>
    <w:rsid w:val="007B47BA"/>
    <w:rsid w:val="007C3374"/>
    <w:rsid w:val="007C3A61"/>
    <w:rsid w:val="007C43B2"/>
    <w:rsid w:val="007C6D75"/>
    <w:rsid w:val="007C7B2D"/>
    <w:rsid w:val="007D300E"/>
    <w:rsid w:val="007D4E0A"/>
    <w:rsid w:val="007E0091"/>
    <w:rsid w:val="007E664B"/>
    <w:rsid w:val="007F1607"/>
    <w:rsid w:val="007F4D04"/>
    <w:rsid w:val="007F6CC2"/>
    <w:rsid w:val="007F7473"/>
    <w:rsid w:val="00805F1D"/>
    <w:rsid w:val="0081250C"/>
    <w:rsid w:val="008174BC"/>
    <w:rsid w:val="008262F6"/>
    <w:rsid w:val="008273B4"/>
    <w:rsid w:val="00827600"/>
    <w:rsid w:val="00836F6E"/>
    <w:rsid w:val="00840B8C"/>
    <w:rsid w:val="00845E2D"/>
    <w:rsid w:val="00882B4F"/>
    <w:rsid w:val="00884264"/>
    <w:rsid w:val="008873E2"/>
    <w:rsid w:val="00892B98"/>
    <w:rsid w:val="00892EFF"/>
    <w:rsid w:val="008969BB"/>
    <w:rsid w:val="008978A8"/>
    <w:rsid w:val="008A46AB"/>
    <w:rsid w:val="008C2588"/>
    <w:rsid w:val="008C7D53"/>
    <w:rsid w:val="008D56EA"/>
    <w:rsid w:val="008F58EC"/>
    <w:rsid w:val="0091194C"/>
    <w:rsid w:val="00913048"/>
    <w:rsid w:val="009175DF"/>
    <w:rsid w:val="0092456E"/>
    <w:rsid w:val="00950F2B"/>
    <w:rsid w:val="00951581"/>
    <w:rsid w:val="00963FB8"/>
    <w:rsid w:val="00964624"/>
    <w:rsid w:val="00964C21"/>
    <w:rsid w:val="00966FE7"/>
    <w:rsid w:val="00967643"/>
    <w:rsid w:val="00970FCD"/>
    <w:rsid w:val="0097301A"/>
    <w:rsid w:val="00973F4F"/>
    <w:rsid w:val="009770F8"/>
    <w:rsid w:val="009A25C4"/>
    <w:rsid w:val="009B5779"/>
    <w:rsid w:val="009C27AD"/>
    <w:rsid w:val="009C46DA"/>
    <w:rsid w:val="009D00A2"/>
    <w:rsid w:val="009D3B67"/>
    <w:rsid w:val="009E1419"/>
    <w:rsid w:val="009E20F3"/>
    <w:rsid w:val="009E3ECB"/>
    <w:rsid w:val="009F012D"/>
    <w:rsid w:val="00A00A13"/>
    <w:rsid w:val="00A03280"/>
    <w:rsid w:val="00A05D98"/>
    <w:rsid w:val="00A06C3F"/>
    <w:rsid w:val="00A129AB"/>
    <w:rsid w:val="00A2195C"/>
    <w:rsid w:val="00A220DB"/>
    <w:rsid w:val="00A34930"/>
    <w:rsid w:val="00A47A1C"/>
    <w:rsid w:val="00A62A72"/>
    <w:rsid w:val="00A720E8"/>
    <w:rsid w:val="00A87ECC"/>
    <w:rsid w:val="00A92E56"/>
    <w:rsid w:val="00A93A3F"/>
    <w:rsid w:val="00A940E6"/>
    <w:rsid w:val="00AB484E"/>
    <w:rsid w:val="00AF00B8"/>
    <w:rsid w:val="00AF1623"/>
    <w:rsid w:val="00AF3C40"/>
    <w:rsid w:val="00B01D91"/>
    <w:rsid w:val="00B02AF1"/>
    <w:rsid w:val="00B06A06"/>
    <w:rsid w:val="00B10600"/>
    <w:rsid w:val="00B12ADB"/>
    <w:rsid w:val="00B175F7"/>
    <w:rsid w:val="00B36286"/>
    <w:rsid w:val="00B37C81"/>
    <w:rsid w:val="00B461F7"/>
    <w:rsid w:val="00B52EC4"/>
    <w:rsid w:val="00B5640D"/>
    <w:rsid w:val="00B649EA"/>
    <w:rsid w:val="00B67517"/>
    <w:rsid w:val="00B71F9E"/>
    <w:rsid w:val="00B720E1"/>
    <w:rsid w:val="00B86B0E"/>
    <w:rsid w:val="00B87702"/>
    <w:rsid w:val="00B92C2D"/>
    <w:rsid w:val="00B94444"/>
    <w:rsid w:val="00B94A5A"/>
    <w:rsid w:val="00BA45ED"/>
    <w:rsid w:val="00BA4FD9"/>
    <w:rsid w:val="00BA6977"/>
    <w:rsid w:val="00BC01C2"/>
    <w:rsid w:val="00BC02C5"/>
    <w:rsid w:val="00BD3441"/>
    <w:rsid w:val="00BD6D39"/>
    <w:rsid w:val="00BE077C"/>
    <w:rsid w:val="00BE12B0"/>
    <w:rsid w:val="00BE4A06"/>
    <w:rsid w:val="00BE5076"/>
    <w:rsid w:val="00BF7F13"/>
    <w:rsid w:val="00C00A9B"/>
    <w:rsid w:val="00C07949"/>
    <w:rsid w:val="00C07C69"/>
    <w:rsid w:val="00C111B0"/>
    <w:rsid w:val="00C2073A"/>
    <w:rsid w:val="00C2207F"/>
    <w:rsid w:val="00C26333"/>
    <w:rsid w:val="00C33684"/>
    <w:rsid w:val="00C33D22"/>
    <w:rsid w:val="00C36637"/>
    <w:rsid w:val="00C42AF4"/>
    <w:rsid w:val="00C4433D"/>
    <w:rsid w:val="00C60F8A"/>
    <w:rsid w:val="00C712EA"/>
    <w:rsid w:val="00C74B26"/>
    <w:rsid w:val="00C76EC7"/>
    <w:rsid w:val="00C83393"/>
    <w:rsid w:val="00C8652A"/>
    <w:rsid w:val="00CA060E"/>
    <w:rsid w:val="00CB0F06"/>
    <w:rsid w:val="00CB2412"/>
    <w:rsid w:val="00CB2957"/>
    <w:rsid w:val="00CB2D92"/>
    <w:rsid w:val="00CB5159"/>
    <w:rsid w:val="00CB6C70"/>
    <w:rsid w:val="00CB7927"/>
    <w:rsid w:val="00CD21E0"/>
    <w:rsid w:val="00CD7608"/>
    <w:rsid w:val="00CE08E5"/>
    <w:rsid w:val="00CF4869"/>
    <w:rsid w:val="00CF775E"/>
    <w:rsid w:val="00D01BF1"/>
    <w:rsid w:val="00D04564"/>
    <w:rsid w:val="00D04927"/>
    <w:rsid w:val="00D12503"/>
    <w:rsid w:val="00D138ED"/>
    <w:rsid w:val="00D2208F"/>
    <w:rsid w:val="00D25FE1"/>
    <w:rsid w:val="00D26569"/>
    <w:rsid w:val="00D34416"/>
    <w:rsid w:val="00D52D7F"/>
    <w:rsid w:val="00D53AC8"/>
    <w:rsid w:val="00D5737F"/>
    <w:rsid w:val="00D57ADA"/>
    <w:rsid w:val="00D6110A"/>
    <w:rsid w:val="00D63BC8"/>
    <w:rsid w:val="00D7003A"/>
    <w:rsid w:val="00D70473"/>
    <w:rsid w:val="00D70961"/>
    <w:rsid w:val="00D81A18"/>
    <w:rsid w:val="00D834BB"/>
    <w:rsid w:val="00D8726C"/>
    <w:rsid w:val="00D8736A"/>
    <w:rsid w:val="00D915D7"/>
    <w:rsid w:val="00D95809"/>
    <w:rsid w:val="00DA2C15"/>
    <w:rsid w:val="00DA6150"/>
    <w:rsid w:val="00DB0F20"/>
    <w:rsid w:val="00DB18C1"/>
    <w:rsid w:val="00DB5DF0"/>
    <w:rsid w:val="00DC18F7"/>
    <w:rsid w:val="00DE03C8"/>
    <w:rsid w:val="00E031F2"/>
    <w:rsid w:val="00E03DF8"/>
    <w:rsid w:val="00E117B4"/>
    <w:rsid w:val="00E13A80"/>
    <w:rsid w:val="00E14F62"/>
    <w:rsid w:val="00E15C60"/>
    <w:rsid w:val="00E32708"/>
    <w:rsid w:val="00E373EF"/>
    <w:rsid w:val="00E417FB"/>
    <w:rsid w:val="00E4398E"/>
    <w:rsid w:val="00E44EFF"/>
    <w:rsid w:val="00E509E3"/>
    <w:rsid w:val="00E538F7"/>
    <w:rsid w:val="00E63D82"/>
    <w:rsid w:val="00E65086"/>
    <w:rsid w:val="00E65314"/>
    <w:rsid w:val="00E66520"/>
    <w:rsid w:val="00E66DC1"/>
    <w:rsid w:val="00E67231"/>
    <w:rsid w:val="00E725AD"/>
    <w:rsid w:val="00E72FF6"/>
    <w:rsid w:val="00E75E8C"/>
    <w:rsid w:val="00E766D6"/>
    <w:rsid w:val="00E8311E"/>
    <w:rsid w:val="00E9152A"/>
    <w:rsid w:val="00E9627B"/>
    <w:rsid w:val="00EA66A9"/>
    <w:rsid w:val="00EC0684"/>
    <w:rsid w:val="00EC42B5"/>
    <w:rsid w:val="00ED022D"/>
    <w:rsid w:val="00ED4D50"/>
    <w:rsid w:val="00EE3FC2"/>
    <w:rsid w:val="00EE4B2F"/>
    <w:rsid w:val="00EF0C6B"/>
    <w:rsid w:val="00F03458"/>
    <w:rsid w:val="00F1049F"/>
    <w:rsid w:val="00F126E2"/>
    <w:rsid w:val="00F14060"/>
    <w:rsid w:val="00F25408"/>
    <w:rsid w:val="00F259D6"/>
    <w:rsid w:val="00F3762A"/>
    <w:rsid w:val="00F441E2"/>
    <w:rsid w:val="00F53A8D"/>
    <w:rsid w:val="00F57732"/>
    <w:rsid w:val="00F62F76"/>
    <w:rsid w:val="00F63A68"/>
    <w:rsid w:val="00F66339"/>
    <w:rsid w:val="00F712E8"/>
    <w:rsid w:val="00F82ADE"/>
    <w:rsid w:val="00F915E0"/>
    <w:rsid w:val="00F94E59"/>
    <w:rsid w:val="00FA2BBB"/>
    <w:rsid w:val="00FB302A"/>
    <w:rsid w:val="00FC065B"/>
    <w:rsid w:val="00FC566E"/>
    <w:rsid w:val="00FC5768"/>
    <w:rsid w:val="00FD3FBB"/>
    <w:rsid w:val="00FE0C8F"/>
    <w:rsid w:val="00FE6745"/>
    <w:rsid w:val="00FE7F18"/>
    <w:rsid w:val="00FF2DDC"/>
    <w:rsid w:val="00FF38C0"/>
    <w:rsid w:val="00FF44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6C3C6"/>
  <w15:chartTrackingRefBased/>
  <w15:docId w15:val="{9BCD9A63-B471-2C4D-9CE3-BED34BAD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2E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B37C81"/>
    <w:pPr>
      <w:keepNext/>
      <w:keepLines/>
      <w:spacing w:before="240" w:line="276" w:lineRule="auto"/>
      <w:jc w:val="both"/>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1607"/>
    <w:rPr>
      <w:color w:val="0563C1" w:themeColor="hyperlink"/>
      <w:u w:val="single"/>
    </w:rPr>
  </w:style>
  <w:style w:type="paragraph" w:styleId="FootnoteText">
    <w:name w:val="footnote text"/>
    <w:aliases w:val="????? ?????? ????,Текст сноски Знак"/>
    <w:basedOn w:val="Normal"/>
    <w:link w:val="FootnoteTextChar"/>
    <w:uiPriority w:val="99"/>
    <w:unhideWhenUsed/>
    <w:rsid w:val="007F1607"/>
    <w:pPr>
      <w:jc w:val="both"/>
    </w:pPr>
    <w:rPr>
      <w:rFonts w:asciiTheme="minorHAnsi" w:eastAsiaTheme="minorHAnsi" w:hAnsiTheme="minorHAnsi" w:cstheme="minorBidi"/>
      <w:sz w:val="20"/>
      <w:szCs w:val="20"/>
      <w:lang w:eastAsia="en-US"/>
    </w:rPr>
  </w:style>
  <w:style w:type="character" w:customStyle="1" w:styleId="FootnoteTextChar">
    <w:name w:val="Footnote Text Char"/>
    <w:aliases w:val="????? ?????? ???? Char,Текст сноски Знак Char"/>
    <w:basedOn w:val="DefaultParagraphFont"/>
    <w:link w:val="FootnoteText"/>
    <w:uiPriority w:val="99"/>
    <w:rsid w:val="007F1607"/>
    <w:rPr>
      <w:sz w:val="20"/>
      <w:szCs w:val="20"/>
      <w:lang w:val="en-GB"/>
    </w:rPr>
  </w:style>
  <w:style w:type="character" w:styleId="FootnoteReference">
    <w:name w:val="footnote reference"/>
    <w:aliases w:val="4_G,Footnotes refss,Appel note de bas de p.,Footnote text,ftref,Appel note de bas de page,Footnote Reference Char3,Footnote Reference Char1 Char,Char Char Car Char Car Char Car Char Car Char Car Char Char Char1 Char,Footnote number,FZ"/>
    <w:basedOn w:val="DefaultParagraphFont"/>
    <w:unhideWhenUsed/>
    <w:qFormat/>
    <w:rsid w:val="007F1607"/>
    <w:rPr>
      <w:vertAlign w:val="superscript"/>
    </w:rPr>
  </w:style>
  <w:style w:type="paragraph" w:styleId="ListParagraph">
    <w:name w:val="List Paragraph"/>
    <w:basedOn w:val="Normal"/>
    <w:uiPriority w:val="34"/>
    <w:qFormat/>
    <w:rsid w:val="007F1607"/>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5F4414"/>
    <w:rPr>
      <w:b/>
      <w:bCs/>
    </w:rPr>
  </w:style>
  <w:style w:type="character" w:customStyle="1" w:styleId="whitespace-nowrap">
    <w:name w:val="whitespace-nowrap"/>
    <w:basedOn w:val="DefaultParagraphFont"/>
    <w:rsid w:val="00075986"/>
  </w:style>
  <w:style w:type="character" w:customStyle="1" w:styleId="whitespace-normal">
    <w:name w:val="whitespace-normal"/>
    <w:basedOn w:val="DefaultParagraphFont"/>
    <w:rsid w:val="00075986"/>
  </w:style>
  <w:style w:type="character" w:customStyle="1" w:styleId="truncate">
    <w:name w:val="truncate"/>
    <w:basedOn w:val="DefaultParagraphFont"/>
    <w:rsid w:val="00075986"/>
  </w:style>
  <w:style w:type="paragraph" w:styleId="NormalWeb">
    <w:name w:val="Normal (Web)"/>
    <w:basedOn w:val="Normal"/>
    <w:uiPriority w:val="99"/>
    <w:unhideWhenUsed/>
    <w:rsid w:val="002D5ECB"/>
    <w:pPr>
      <w:spacing w:before="100" w:beforeAutospacing="1" w:after="100" w:afterAutospacing="1"/>
    </w:pPr>
  </w:style>
  <w:style w:type="numbering" w:customStyle="1" w:styleId="CurrentList1">
    <w:name w:val="Current List1"/>
    <w:uiPriority w:val="99"/>
    <w:rsid w:val="00D04564"/>
    <w:pPr>
      <w:numPr>
        <w:numId w:val="22"/>
      </w:numPr>
    </w:pPr>
  </w:style>
  <w:style w:type="numbering" w:customStyle="1" w:styleId="CurrentList2">
    <w:name w:val="Current List2"/>
    <w:uiPriority w:val="99"/>
    <w:rsid w:val="00F63A68"/>
    <w:pPr>
      <w:numPr>
        <w:numId w:val="26"/>
      </w:numPr>
    </w:pPr>
  </w:style>
  <w:style w:type="character" w:styleId="Emphasis">
    <w:name w:val="Emphasis"/>
    <w:basedOn w:val="DefaultParagraphFont"/>
    <w:uiPriority w:val="20"/>
    <w:qFormat/>
    <w:rsid w:val="00774C25"/>
    <w:rPr>
      <w:i/>
      <w:iCs/>
    </w:rPr>
  </w:style>
  <w:style w:type="character" w:styleId="UnresolvedMention">
    <w:name w:val="Unresolved Mention"/>
    <w:basedOn w:val="DefaultParagraphFont"/>
    <w:uiPriority w:val="99"/>
    <w:semiHidden/>
    <w:unhideWhenUsed/>
    <w:rsid w:val="004A0A3E"/>
    <w:rPr>
      <w:color w:val="605E5C"/>
      <w:shd w:val="clear" w:color="auto" w:fill="E1DFDD"/>
    </w:rPr>
  </w:style>
  <w:style w:type="character" w:styleId="FollowedHyperlink">
    <w:name w:val="FollowedHyperlink"/>
    <w:basedOn w:val="DefaultParagraphFont"/>
    <w:uiPriority w:val="99"/>
    <w:semiHidden/>
    <w:unhideWhenUsed/>
    <w:rsid w:val="004A0A3E"/>
    <w:rPr>
      <w:color w:val="954F72" w:themeColor="followedHyperlink"/>
      <w:u w:val="single"/>
    </w:rPr>
  </w:style>
  <w:style w:type="paragraph" w:styleId="Revision">
    <w:name w:val="Revision"/>
    <w:hidden/>
    <w:uiPriority w:val="99"/>
    <w:semiHidden/>
    <w:rsid w:val="0073383E"/>
    <w:rPr>
      <w:sz w:val="22"/>
      <w:szCs w:val="22"/>
      <w:lang w:val="en-GB"/>
    </w:rPr>
  </w:style>
  <w:style w:type="character" w:customStyle="1" w:styleId="Heading1Char">
    <w:name w:val="Heading 1 Char"/>
    <w:basedOn w:val="DefaultParagraphFont"/>
    <w:link w:val="Heading1"/>
    <w:uiPriority w:val="9"/>
    <w:rsid w:val="00B37C81"/>
    <w:rPr>
      <w:rFonts w:asciiTheme="majorHAnsi" w:eastAsiaTheme="majorEastAsia" w:hAnsiTheme="majorHAnsi" w:cstheme="majorBidi"/>
      <w:color w:val="2F5496" w:themeColor="accent1" w:themeShade="BF"/>
      <w:sz w:val="32"/>
      <w:szCs w:val="32"/>
      <w:lang w:val="en-GB"/>
    </w:rPr>
  </w:style>
  <w:style w:type="numbering" w:customStyle="1" w:styleId="CurrentList3">
    <w:name w:val="Current List3"/>
    <w:uiPriority w:val="99"/>
    <w:rsid w:val="00C8652A"/>
    <w:pPr>
      <w:numPr>
        <w:numId w:val="27"/>
      </w:numPr>
    </w:pPr>
  </w:style>
  <w:style w:type="character" w:styleId="CommentReference">
    <w:name w:val="annotation reference"/>
    <w:basedOn w:val="DefaultParagraphFont"/>
    <w:uiPriority w:val="99"/>
    <w:semiHidden/>
    <w:unhideWhenUsed/>
    <w:rsid w:val="00702484"/>
    <w:rPr>
      <w:sz w:val="16"/>
      <w:szCs w:val="16"/>
    </w:rPr>
  </w:style>
  <w:style w:type="paragraph" w:styleId="CommentText">
    <w:name w:val="annotation text"/>
    <w:basedOn w:val="Normal"/>
    <w:link w:val="CommentTextChar"/>
    <w:uiPriority w:val="99"/>
    <w:unhideWhenUsed/>
    <w:rsid w:val="00702484"/>
    <w:pPr>
      <w:spacing w:after="200"/>
      <w:jc w:val="both"/>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702484"/>
    <w:rPr>
      <w:sz w:val="20"/>
      <w:szCs w:val="20"/>
      <w:lang w:val="en-GB"/>
    </w:rPr>
  </w:style>
  <w:style w:type="paragraph" w:styleId="CommentSubject">
    <w:name w:val="annotation subject"/>
    <w:basedOn w:val="CommentText"/>
    <w:next w:val="CommentText"/>
    <w:link w:val="CommentSubjectChar"/>
    <w:uiPriority w:val="99"/>
    <w:semiHidden/>
    <w:unhideWhenUsed/>
    <w:rsid w:val="00702484"/>
    <w:rPr>
      <w:b/>
      <w:bCs/>
    </w:rPr>
  </w:style>
  <w:style w:type="character" w:customStyle="1" w:styleId="CommentSubjectChar">
    <w:name w:val="Comment Subject Char"/>
    <w:basedOn w:val="CommentTextChar"/>
    <w:link w:val="CommentSubject"/>
    <w:uiPriority w:val="99"/>
    <w:semiHidden/>
    <w:rsid w:val="00702484"/>
    <w:rPr>
      <w:b/>
      <w:bCs/>
      <w:sz w:val="20"/>
      <w:szCs w:val="20"/>
      <w:lang w:val="en-GB"/>
    </w:rPr>
  </w:style>
  <w:style w:type="numbering" w:styleId="1ai">
    <w:name w:val="Outline List 1"/>
    <w:basedOn w:val="NoList"/>
    <w:uiPriority w:val="99"/>
    <w:semiHidden/>
    <w:unhideWhenUsed/>
    <w:rsid w:val="004C416F"/>
    <w:pPr>
      <w:numPr>
        <w:numId w:val="31"/>
      </w:numPr>
    </w:pPr>
  </w:style>
  <w:style w:type="numbering" w:customStyle="1" w:styleId="CurrentList4">
    <w:name w:val="Current List4"/>
    <w:uiPriority w:val="99"/>
    <w:rsid w:val="00B175F7"/>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2828">
      <w:bodyDiv w:val="1"/>
      <w:marLeft w:val="0"/>
      <w:marRight w:val="0"/>
      <w:marTop w:val="0"/>
      <w:marBottom w:val="0"/>
      <w:divBdr>
        <w:top w:val="none" w:sz="0" w:space="0" w:color="auto"/>
        <w:left w:val="none" w:sz="0" w:space="0" w:color="auto"/>
        <w:bottom w:val="none" w:sz="0" w:space="0" w:color="auto"/>
        <w:right w:val="none" w:sz="0" w:space="0" w:color="auto"/>
      </w:divBdr>
    </w:div>
    <w:div w:id="8995973">
      <w:bodyDiv w:val="1"/>
      <w:marLeft w:val="0"/>
      <w:marRight w:val="0"/>
      <w:marTop w:val="0"/>
      <w:marBottom w:val="0"/>
      <w:divBdr>
        <w:top w:val="none" w:sz="0" w:space="0" w:color="auto"/>
        <w:left w:val="none" w:sz="0" w:space="0" w:color="auto"/>
        <w:bottom w:val="none" w:sz="0" w:space="0" w:color="auto"/>
        <w:right w:val="none" w:sz="0" w:space="0" w:color="auto"/>
      </w:divBdr>
    </w:div>
    <w:div w:id="18550822">
      <w:bodyDiv w:val="1"/>
      <w:marLeft w:val="0"/>
      <w:marRight w:val="0"/>
      <w:marTop w:val="0"/>
      <w:marBottom w:val="0"/>
      <w:divBdr>
        <w:top w:val="none" w:sz="0" w:space="0" w:color="auto"/>
        <w:left w:val="none" w:sz="0" w:space="0" w:color="auto"/>
        <w:bottom w:val="none" w:sz="0" w:space="0" w:color="auto"/>
        <w:right w:val="none" w:sz="0" w:space="0" w:color="auto"/>
      </w:divBdr>
    </w:div>
    <w:div w:id="20783806">
      <w:bodyDiv w:val="1"/>
      <w:marLeft w:val="0"/>
      <w:marRight w:val="0"/>
      <w:marTop w:val="0"/>
      <w:marBottom w:val="0"/>
      <w:divBdr>
        <w:top w:val="none" w:sz="0" w:space="0" w:color="auto"/>
        <w:left w:val="none" w:sz="0" w:space="0" w:color="auto"/>
        <w:bottom w:val="none" w:sz="0" w:space="0" w:color="auto"/>
        <w:right w:val="none" w:sz="0" w:space="0" w:color="auto"/>
      </w:divBdr>
    </w:div>
    <w:div w:id="21368770">
      <w:bodyDiv w:val="1"/>
      <w:marLeft w:val="0"/>
      <w:marRight w:val="0"/>
      <w:marTop w:val="0"/>
      <w:marBottom w:val="0"/>
      <w:divBdr>
        <w:top w:val="none" w:sz="0" w:space="0" w:color="auto"/>
        <w:left w:val="none" w:sz="0" w:space="0" w:color="auto"/>
        <w:bottom w:val="none" w:sz="0" w:space="0" w:color="auto"/>
        <w:right w:val="none" w:sz="0" w:space="0" w:color="auto"/>
      </w:divBdr>
    </w:div>
    <w:div w:id="40442251">
      <w:bodyDiv w:val="1"/>
      <w:marLeft w:val="0"/>
      <w:marRight w:val="0"/>
      <w:marTop w:val="0"/>
      <w:marBottom w:val="0"/>
      <w:divBdr>
        <w:top w:val="none" w:sz="0" w:space="0" w:color="auto"/>
        <w:left w:val="none" w:sz="0" w:space="0" w:color="auto"/>
        <w:bottom w:val="none" w:sz="0" w:space="0" w:color="auto"/>
        <w:right w:val="none" w:sz="0" w:space="0" w:color="auto"/>
      </w:divBdr>
    </w:div>
    <w:div w:id="44260516">
      <w:bodyDiv w:val="1"/>
      <w:marLeft w:val="0"/>
      <w:marRight w:val="0"/>
      <w:marTop w:val="0"/>
      <w:marBottom w:val="0"/>
      <w:divBdr>
        <w:top w:val="none" w:sz="0" w:space="0" w:color="auto"/>
        <w:left w:val="none" w:sz="0" w:space="0" w:color="auto"/>
        <w:bottom w:val="none" w:sz="0" w:space="0" w:color="auto"/>
        <w:right w:val="none" w:sz="0" w:space="0" w:color="auto"/>
      </w:divBdr>
    </w:div>
    <w:div w:id="46531379">
      <w:bodyDiv w:val="1"/>
      <w:marLeft w:val="0"/>
      <w:marRight w:val="0"/>
      <w:marTop w:val="0"/>
      <w:marBottom w:val="0"/>
      <w:divBdr>
        <w:top w:val="none" w:sz="0" w:space="0" w:color="auto"/>
        <w:left w:val="none" w:sz="0" w:space="0" w:color="auto"/>
        <w:bottom w:val="none" w:sz="0" w:space="0" w:color="auto"/>
        <w:right w:val="none" w:sz="0" w:space="0" w:color="auto"/>
      </w:divBdr>
    </w:div>
    <w:div w:id="46757136">
      <w:bodyDiv w:val="1"/>
      <w:marLeft w:val="0"/>
      <w:marRight w:val="0"/>
      <w:marTop w:val="0"/>
      <w:marBottom w:val="0"/>
      <w:divBdr>
        <w:top w:val="none" w:sz="0" w:space="0" w:color="auto"/>
        <w:left w:val="none" w:sz="0" w:space="0" w:color="auto"/>
        <w:bottom w:val="none" w:sz="0" w:space="0" w:color="auto"/>
        <w:right w:val="none" w:sz="0" w:space="0" w:color="auto"/>
      </w:divBdr>
    </w:div>
    <w:div w:id="47996618">
      <w:bodyDiv w:val="1"/>
      <w:marLeft w:val="0"/>
      <w:marRight w:val="0"/>
      <w:marTop w:val="0"/>
      <w:marBottom w:val="0"/>
      <w:divBdr>
        <w:top w:val="none" w:sz="0" w:space="0" w:color="auto"/>
        <w:left w:val="none" w:sz="0" w:space="0" w:color="auto"/>
        <w:bottom w:val="none" w:sz="0" w:space="0" w:color="auto"/>
        <w:right w:val="none" w:sz="0" w:space="0" w:color="auto"/>
      </w:divBdr>
    </w:div>
    <w:div w:id="48497669">
      <w:bodyDiv w:val="1"/>
      <w:marLeft w:val="0"/>
      <w:marRight w:val="0"/>
      <w:marTop w:val="0"/>
      <w:marBottom w:val="0"/>
      <w:divBdr>
        <w:top w:val="none" w:sz="0" w:space="0" w:color="auto"/>
        <w:left w:val="none" w:sz="0" w:space="0" w:color="auto"/>
        <w:bottom w:val="none" w:sz="0" w:space="0" w:color="auto"/>
        <w:right w:val="none" w:sz="0" w:space="0" w:color="auto"/>
      </w:divBdr>
    </w:div>
    <w:div w:id="56324049">
      <w:bodyDiv w:val="1"/>
      <w:marLeft w:val="0"/>
      <w:marRight w:val="0"/>
      <w:marTop w:val="0"/>
      <w:marBottom w:val="0"/>
      <w:divBdr>
        <w:top w:val="none" w:sz="0" w:space="0" w:color="auto"/>
        <w:left w:val="none" w:sz="0" w:space="0" w:color="auto"/>
        <w:bottom w:val="none" w:sz="0" w:space="0" w:color="auto"/>
        <w:right w:val="none" w:sz="0" w:space="0" w:color="auto"/>
      </w:divBdr>
    </w:div>
    <w:div w:id="57363952">
      <w:bodyDiv w:val="1"/>
      <w:marLeft w:val="0"/>
      <w:marRight w:val="0"/>
      <w:marTop w:val="0"/>
      <w:marBottom w:val="0"/>
      <w:divBdr>
        <w:top w:val="none" w:sz="0" w:space="0" w:color="auto"/>
        <w:left w:val="none" w:sz="0" w:space="0" w:color="auto"/>
        <w:bottom w:val="none" w:sz="0" w:space="0" w:color="auto"/>
        <w:right w:val="none" w:sz="0" w:space="0" w:color="auto"/>
      </w:divBdr>
    </w:div>
    <w:div w:id="66733550">
      <w:bodyDiv w:val="1"/>
      <w:marLeft w:val="0"/>
      <w:marRight w:val="0"/>
      <w:marTop w:val="0"/>
      <w:marBottom w:val="0"/>
      <w:divBdr>
        <w:top w:val="none" w:sz="0" w:space="0" w:color="auto"/>
        <w:left w:val="none" w:sz="0" w:space="0" w:color="auto"/>
        <w:bottom w:val="none" w:sz="0" w:space="0" w:color="auto"/>
        <w:right w:val="none" w:sz="0" w:space="0" w:color="auto"/>
      </w:divBdr>
    </w:div>
    <w:div w:id="69162161">
      <w:bodyDiv w:val="1"/>
      <w:marLeft w:val="0"/>
      <w:marRight w:val="0"/>
      <w:marTop w:val="0"/>
      <w:marBottom w:val="0"/>
      <w:divBdr>
        <w:top w:val="none" w:sz="0" w:space="0" w:color="auto"/>
        <w:left w:val="none" w:sz="0" w:space="0" w:color="auto"/>
        <w:bottom w:val="none" w:sz="0" w:space="0" w:color="auto"/>
        <w:right w:val="none" w:sz="0" w:space="0" w:color="auto"/>
      </w:divBdr>
    </w:div>
    <w:div w:id="110708830">
      <w:bodyDiv w:val="1"/>
      <w:marLeft w:val="0"/>
      <w:marRight w:val="0"/>
      <w:marTop w:val="0"/>
      <w:marBottom w:val="0"/>
      <w:divBdr>
        <w:top w:val="none" w:sz="0" w:space="0" w:color="auto"/>
        <w:left w:val="none" w:sz="0" w:space="0" w:color="auto"/>
        <w:bottom w:val="none" w:sz="0" w:space="0" w:color="auto"/>
        <w:right w:val="none" w:sz="0" w:space="0" w:color="auto"/>
      </w:divBdr>
    </w:div>
    <w:div w:id="113794055">
      <w:bodyDiv w:val="1"/>
      <w:marLeft w:val="0"/>
      <w:marRight w:val="0"/>
      <w:marTop w:val="0"/>
      <w:marBottom w:val="0"/>
      <w:divBdr>
        <w:top w:val="none" w:sz="0" w:space="0" w:color="auto"/>
        <w:left w:val="none" w:sz="0" w:space="0" w:color="auto"/>
        <w:bottom w:val="none" w:sz="0" w:space="0" w:color="auto"/>
        <w:right w:val="none" w:sz="0" w:space="0" w:color="auto"/>
      </w:divBdr>
    </w:div>
    <w:div w:id="115488829">
      <w:bodyDiv w:val="1"/>
      <w:marLeft w:val="0"/>
      <w:marRight w:val="0"/>
      <w:marTop w:val="0"/>
      <w:marBottom w:val="0"/>
      <w:divBdr>
        <w:top w:val="none" w:sz="0" w:space="0" w:color="auto"/>
        <w:left w:val="none" w:sz="0" w:space="0" w:color="auto"/>
        <w:bottom w:val="none" w:sz="0" w:space="0" w:color="auto"/>
        <w:right w:val="none" w:sz="0" w:space="0" w:color="auto"/>
      </w:divBdr>
    </w:div>
    <w:div w:id="116531489">
      <w:bodyDiv w:val="1"/>
      <w:marLeft w:val="0"/>
      <w:marRight w:val="0"/>
      <w:marTop w:val="0"/>
      <w:marBottom w:val="0"/>
      <w:divBdr>
        <w:top w:val="none" w:sz="0" w:space="0" w:color="auto"/>
        <w:left w:val="none" w:sz="0" w:space="0" w:color="auto"/>
        <w:bottom w:val="none" w:sz="0" w:space="0" w:color="auto"/>
        <w:right w:val="none" w:sz="0" w:space="0" w:color="auto"/>
      </w:divBdr>
    </w:div>
    <w:div w:id="124852889">
      <w:bodyDiv w:val="1"/>
      <w:marLeft w:val="0"/>
      <w:marRight w:val="0"/>
      <w:marTop w:val="0"/>
      <w:marBottom w:val="0"/>
      <w:divBdr>
        <w:top w:val="none" w:sz="0" w:space="0" w:color="auto"/>
        <w:left w:val="none" w:sz="0" w:space="0" w:color="auto"/>
        <w:bottom w:val="none" w:sz="0" w:space="0" w:color="auto"/>
        <w:right w:val="none" w:sz="0" w:space="0" w:color="auto"/>
      </w:divBdr>
    </w:div>
    <w:div w:id="127745964">
      <w:bodyDiv w:val="1"/>
      <w:marLeft w:val="0"/>
      <w:marRight w:val="0"/>
      <w:marTop w:val="0"/>
      <w:marBottom w:val="0"/>
      <w:divBdr>
        <w:top w:val="none" w:sz="0" w:space="0" w:color="auto"/>
        <w:left w:val="none" w:sz="0" w:space="0" w:color="auto"/>
        <w:bottom w:val="none" w:sz="0" w:space="0" w:color="auto"/>
        <w:right w:val="none" w:sz="0" w:space="0" w:color="auto"/>
      </w:divBdr>
    </w:div>
    <w:div w:id="127826676">
      <w:bodyDiv w:val="1"/>
      <w:marLeft w:val="0"/>
      <w:marRight w:val="0"/>
      <w:marTop w:val="0"/>
      <w:marBottom w:val="0"/>
      <w:divBdr>
        <w:top w:val="none" w:sz="0" w:space="0" w:color="auto"/>
        <w:left w:val="none" w:sz="0" w:space="0" w:color="auto"/>
        <w:bottom w:val="none" w:sz="0" w:space="0" w:color="auto"/>
        <w:right w:val="none" w:sz="0" w:space="0" w:color="auto"/>
      </w:divBdr>
      <w:divsChild>
        <w:div w:id="727650585">
          <w:marLeft w:val="0"/>
          <w:marRight w:val="0"/>
          <w:marTop w:val="0"/>
          <w:marBottom w:val="0"/>
          <w:divBdr>
            <w:top w:val="none" w:sz="0" w:space="0" w:color="auto"/>
            <w:left w:val="none" w:sz="0" w:space="0" w:color="auto"/>
            <w:bottom w:val="none" w:sz="0" w:space="0" w:color="auto"/>
            <w:right w:val="none" w:sz="0" w:space="0" w:color="auto"/>
          </w:divBdr>
          <w:divsChild>
            <w:div w:id="1155412066">
              <w:marLeft w:val="0"/>
              <w:marRight w:val="0"/>
              <w:marTop w:val="0"/>
              <w:marBottom w:val="0"/>
              <w:divBdr>
                <w:top w:val="none" w:sz="0" w:space="0" w:color="auto"/>
                <w:left w:val="none" w:sz="0" w:space="0" w:color="auto"/>
                <w:bottom w:val="none" w:sz="0" w:space="0" w:color="auto"/>
                <w:right w:val="none" w:sz="0" w:space="0" w:color="auto"/>
              </w:divBdr>
              <w:divsChild>
                <w:div w:id="316884138">
                  <w:marLeft w:val="0"/>
                  <w:marRight w:val="0"/>
                  <w:marTop w:val="0"/>
                  <w:marBottom w:val="0"/>
                  <w:divBdr>
                    <w:top w:val="none" w:sz="0" w:space="0" w:color="auto"/>
                    <w:left w:val="none" w:sz="0" w:space="0" w:color="auto"/>
                    <w:bottom w:val="none" w:sz="0" w:space="0" w:color="auto"/>
                    <w:right w:val="none" w:sz="0" w:space="0" w:color="auto"/>
                  </w:divBdr>
                  <w:divsChild>
                    <w:div w:id="102590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06440">
      <w:bodyDiv w:val="1"/>
      <w:marLeft w:val="0"/>
      <w:marRight w:val="0"/>
      <w:marTop w:val="0"/>
      <w:marBottom w:val="0"/>
      <w:divBdr>
        <w:top w:val="none" w:sz="0" w:space="0" w:color="auto"/>
        <w:left w:val="none" w:sz="0" w:space="0" w:color="auto"/>
        <w:bottom w:val="none" w:sz="0" w:space="0" w:color="auto"/>
        <w:right w:val="none" w:sz="0" w:space="0" w:color="auto"/>
      </w:divBdr>
    </w:div>
    <w:div w:id="156766936">
      <w:bodyDiv w:val="1"/>
      <w:marLeft w:val="0"/>
      <w:marRight w:val="0"/>
      <w:marTop w:val="0"/>
      <w:marBottom w:val="0"/>
      <w:divBdr>
        <w:top w:val="none" w:sz="0" w:space="0" w:color="auto"/>
        <w:left w:val="none" w:sz="0" w:space="0" w:color="auto"/>
        <w:bottom w:val="none" w:sz="0" w:space="0" w:color="auto"/>
        <w:right w:val="none" w:sz="0" w:space="0" w:color="auto"/>
      </w:divBdr>
    </w:div>
    <w:div w:id="158497876">
      <w:bodyDiv w:val="1"/>
      <w:marLeft w:val="0"/>
      <w:marRight w:val="0"/>
      <w:marTop w:val="0"/>
      <w:marBottom w:val="0"/>
      <w:divBdr>
        <w:top w:val="none" w:sz="0" w:space="0" w:color="auto"/>
        <w:left w:val="none" w:sz="0" w:space="0" w:color="auto"/>
        <w:bottom w:val="none" w:sz="0" w:space="0" w:color="auto"/>
        <w:right w:val="none" w:sz="0" w:space="0" w:color="auto"/>
      </w:divBdr>
    </w:div>
    <w:div w:id="169880170">
      <w:bodyDiv w:val="1"/>
      <w:marLeft w:val="0"/>
      <w:marRight w:val="0"/>
      <w:marTop w:val="0"/>
      <w:marBottom w:val="0"/>
      <w:divBdr>
        <w:top w:val="none" w:sz="0" w:space="0" w:color="auto"/>
        <w:left w:val="none" w:sz="0" w:space="0" w:color="auto"/>
        <w:bottom w:val="none" w:sz="0" w:space="0" w:color="auto"/>
        <w:right w:val="none" w:sz="0" w:space="0" w:color="auto"/>
      </w:divBdr>
    </w:div>
    <w:div w:id="173886967">
      <w:bodyDiv w:val="1"/>
      <w:marLeft w:val="0"/>
      <w:marRight w:val="0"/>
      <w:marTop w:val="0"/>
      <w:marBottom w:val="0"/>
      <w:divBdr>
        <w:top w:val="none" w:sz="0" w:space="0" w:color="auto"/>
        <w:left w:val="none" w:sz="0" w:space="0" w:color="auto"/>
        <w:bottom w:val="none" w:sz="0" w:space="0" w:color="auto"/>
        <w:right w:val="none" w:sz="0" w:space="0" w:color="auto"/>
      </w:divBdr>
    </w:div>
    <w:div w:id="188572764">
      <w:bodyDiv w:val="1"/>
      <w:marLeft w:val="0"/>
      <w:marRight w:val="0"/>
      <w:marTop w:val="0"/>
      <w:marBottom w:val="0"/>
      <w:divBdr>
        <w:top w:val="none" w:sz="0" w:space="0" w:color="auto"/>
        <w:left w:val="none" w:sz="0" w:space="0" w:color="auto"/>
        <w:bottom w:val="none" w:sz="0" w:space="0" w:color="auto"/>
        <w:right w:val="none" w:sz="0" w:space="0" w:color="auto"/>
      </w:divBdr>
    </w:div>
    <w:div w:id="199174897">
      <w:bodyDiv w:val="1"/>
      <w:marLeft w:val="0"/>
      <w:marRight w:val="0"/>
      <w:marTop w:val="0"/>
      <w:marBottom w:val="0"/>
      <w:divBdr>
        <w:top w:val="none" w:sz="0" w:space="0" w:color="auto"/>
        <w:left w:val="none" w:sz="0" w:space="0" w:color="auto"/>
        <w:bottom w:val="none" w:sz="0" w:space="0" w:color="auto"/>
        <w:right w:val="none" w:sz="0" w:space="0" w:color="auto"/>
      </w:divBdr>
    </w:div>
    <w:div w:id="200284713">
      <w:bodyDiv w:val="1"/>
      <w:marLeft w:val="0"/>
      <w:marRight w:val="0"/>
      <w:marTop w:val="0"/>
      <w:marBottom w:val="0"/>
      <w:divBdr>
        <w:top w:val="none" w:sz="0" w:space="0" w:color="auto"/>
        <w:left w:val="none" w:sz="0" w:space="0" w:color="auto"/>
        <w:bottom w:val="none" w:sz="0" w:space="0" w:color="auto"/>
        <w:right w:val="none" w:sz="0" w:space="0" w:color="auto"/>
      </w:divBdr>
    </w:div>
    <w:div w:id="205147435">
      <w:bodyDiv w:val="1"/>
      <w:marLeft w:val="0"/>
      <w:marRight w:val="0"/>
      <w:marTop w:val="0"/>
      <w:marBottom w:val="0"/>
      <w:divBdr>
        <w:top w:val="none" w:sz="0" w:space="0" w:color="auto"/>
        <w:left w:val="none" w:sz="0" w:space="0" w:color="auto"/>
        <w:bottom w:val="none" w:sz="0" w:space="0" w:color="auto"/>
        <w:right w:val="none" w:sz="0" w:space="0" w:color="auto"/>
      </w:divBdr>
    </w:div>
    <w:div w:id="207227735">
      <w:bodyDiv w:val="1"/>
      <w:marLeft w:val="0"/>
      <w:marRight w:val="0"/>
      <w:marTop w:val="0"/>
      <w:marBottom w:val="0"/>
      <w:divBdr>
        <w:top w:val="none" w:sz="0" w:space="0" w:color="auto"/>
        <w:left w:val="none" w:sz="0" w:space="0" w:color="auto"/>
        <w:bottom w:val="none" w:sz="0" w:space="0" w:color="auto"/>
        <w:right w:val="none" w:sz="0" w:space="0" w:color="auto"/>
      </w:divBdr>
    </w:div>
    <w:div w:id="210390092">
      <w:bodyDiv w:val="1"/>
      <w:marLeft w:val="0"/>
      <w:marRight w:val="0"/>
      <w:marTop w:val="0"/>
      <w:marBottom w:val="0"/>
      <w:divBdr>
        <w:top w:val="none" w:sz="0" w:space="0" w:color="auto"/>
        <w:left w:val="none" w:sz="0" w:space="0" w:color="auto"/>
        <w:bottom w:val="none" w:sz="0" w:space="0" w:color="auto"/>
        <w:right w:val="none" w:sz="0" w:space="0" w:color="auto"/>
      </w:divBdr>
    </w:div>
    <w:div w:id="211234628">
      <w:bodyDiv w:val="1"/>
      <w:marLeft w:val="0"/>
      <w:marRight w:val="0"/>
      <w:marTop w:val="0"/>
      <w:marBottom w:val="0"/>
      <w:divBdr>
        <w:top w:val="none" w:sz="0" w:space="0" w:color="auto"/>
        <w:left w:val="none" w:sz="0" w:space="0" w:color="auto"/>
        <w:bottom w:val="none" w:sz="0" w:space="0" w:color="auto"/>
        <w:right w:val="none" w:sz="0" w:space="0" w:color="auto"/>
      </w:divBdr>
    </w:div>
    <w:div w:id="220556425">
      <w:bodyDiv w:val="1"/>
      <w:marLeft w:val="0"/>
      <w:marRight w:val="0"/>
      <w:marTop w:val="0"/>
      <w:marBottom w:val="0"/>
      <w:divBdr>
        <w:top w:val="none" w:sz="0" w:space="0" w:color="auto"/>
        <w:left w:val="none" w:sz="0" w:space="0" w:color="auto"/>
        <w:bottom w:val="none" w:sz="0" w:space="0" w:color="auto"/>
        <w:right w:val="none" w:sz="0" w:space="0" w:color="auto"/>
      </w:divBdr>
    </w:div>
    <w:div w:id="228004066">
      <w:bodyDiv w:val="1"/>
      <w:marLeft w:val="0"/>
      <w:marRight w:val="0"/>
      <w:marTop w:val="0"/>
      <w:marBottom w:val="0"/>
      <w:divBdr>
        <w:top w:val="none" w:sz="0" w:space="0" w:color="auto"/>
        <w:left w:val="none" w:sz="0" w:space="0" w:color="auto"/>
        <w:bottom w:val="none" w:sz="0" w:space="0" w:color="auto"/>
        <w:right w:val="none" w:sz="0" w:space="0" w:color="auto"/>
      </w:divBdr>
    </w:div>
    <w:div w:id="275990278">
      <w:bodyDiv w:val="1"/>
      <w:marLeft w:val="0"/>
      <w:marRight w:val="0"/>
      <w:marTop w:val="0"/>
      <w:marBottom w:val="0"/>
      <w:divBdr>
        <w:top w:val="none" w:sz="0" w:space="0" w:color="auto"/>
        <w:left w:val="none" w:sz="0" w:space="0" w:color="auto"/>
        <w:bottom w:val="none" w:sz="0" w:space="0" w:color="auto"/>
        <w:right w:val="none" w:sz="0" w:space="0" w:color="auto"/>
      </w:divBdr>
    </w:div>
    <w:div w:id="276571081">
      <w:bodyDiv w:val="1"/>
      <w:marLeft w:val="0"/>
      <w:marRight w:val="0"/>
      <w:marTop w:val="0"/>
      <w:marBottom w:val="0"/>
      <w:divBdr>
        <w:top w:val="none" w:sz="0" w:space="0" w:color="auto"/>
        <w:left w:val="none" w:sz="0" w:space="0" w:color="auto"/>
        <w:bottom w:val="none" w:sz="0" w:space="0" w:color="auto"/>
        <w:right w:val="none" w:sz="0" w:space="0" w:color="auto"/>
      </w:divBdr>
    </w:div>
    <w:div w:id="301732667">
      <w:bodyDiv w:val="1"/>
      <w:marLeft w:val="0"/>
      <w:marRight w:val="0"/>
      <w:marTop w:val="0"/>
      <w:marBottom w:val="0"/>
      <w:divBdr>
        <w:top w:val="none" w:sz="0" w:space="0" w:color="auto"/>
        <w:left w:val="none" w:sz="0" w:space="0" w:color="auto"/>
        <w:bottom w:val="none" w:sz="0" w:space="0" w:color="auto"/>
        <w:right w:val="none" w:sz="0" w:space="0" w:color="auto"/>
      </w:divBdr>
    </w:div>
    <w:div w:id="308094936">
      <w:bodyDiv w:val="1"/>
      <w:marLeft w:val="0"/>
      <w:marRight w:val="0"/>
      <w:marTop w:val="0"/>
      <w:marBottom w:val="0"/>
      <w:divBdr>
        <w:top w:val="none" w:sz="0" w:space="0" w:color="auto"/>
        <w:left w:val="none" w:sz="0" w:space="0" w:color="auto"/>
        <w:bottom w:val="none" w:sz="0" w:space="0" w:color="auto"/>
        <w:right w:val="none" w:sz="0" w:space="0" w:color="auto"/>
      </w:divBdr>
    </w:div>
    <w:div w:id="321743586">
      <w:bodyDiv w:val="1"/>
      <w:marLeft w:val="0"/>
      <w:marRight w:val="0"/>
      <w:marTop w:val="0"/>
      <w:marBottom w:val="0"/>
      <w:divBdr>
        <w:top w:val="none" w:sz="0" w:space="0" w:color="auto"/>
        <w:left w:val="none" w:sz="0" w:space="0" w:color="auto"/>
        <w:bottom w:val="none" w:sz="0" w:space="0" w:color="auto"/>
        <w:right w:val="none" w:sz="0" w:space="0" w:color="auto"/>
      </w:divBdr>
    </w:div>
    <w:div w:id="322780029">
      <w:bodyDiv w:val="1"/>
      <w:marLeft w:val="0"/>
      <w:marRight w:val="0"/>
      <w:marTop w:val="0"/>
      <w:marBottom w:val="0"/>
      <w:divBdr>
        <w:top w:val="none" w:sz="0" w:space="0" w:color="auto"/>
        <w:left w:val="none" w:sz="0" w:space="0" w:color="auto"/>
        <w:bottom w:val="none" w:sz="0" w:space="0" w:color="auto"/>
        <w:right w:val="none" w:sz="0" w:space="0" w:color="auto"/>
      </w:divBdr>
    </w:div>
    <w:div w:id="327711565">
      <w:bodyDiv w:val="1"/>
      <w:marLeft w:val="0"/>
      <w:marRight w:val="0"/>
      <w:marTop w:val="0"/>
      <w:marBottom w:val="0"/>
      <w:divBdr>
        <w:top w:val="none" w:sz="0" w:space="0" w:color="auto"/>
        <w:left w:val="none" w:sz="0" w:space="0" w:color="auto"/>
        <w:bottom w:val="none" w:sz="0" w:space="0" w:color="auto"/>
        <w:right w:val="none" w:sz="0" w:space="0" w:color="auto"/>
      </w:divBdr>
    </w:div>
    <w:div w:id="328826207">
      <w:bodyDiv w:val="1"/>
      <w:marLeft w:val="0"/>
      <w:marRight w:val="0"/>
      <w:marTop w:val="0"/>
      <w:marBottom w:val="0"/>
      <w:divBdr>
        <w:top w:val="none" w:sz="0" w:space="0" w:color="auto"/>
        <w:left w:val="none" w:sz="0" w:space="0" w:color="auto"/>
        <w:bottom w:val="none" w:sz="0" w:space="0" w:color="auto"/>
        <w:right w:val="none" w:sz="0" w:space="0" w:color="auto"/>
      </w:divBdr>
    </w:div>
    <w:div w:id="331185707">
      <w:bodyDiv w:val="1"/>
      <w:marLeft w:val="0"/>
      <w:marRight w:val="0"/>
      <w:marTop w:val="0"/>
      <w:marBottom w:val="0"/>
      <w:divBdr>
        <w:top w:val="none" w:sz="0" w:space="0" w:color="auto"/>
        <w:left w:val="none" w:sz="0" w:space="0" w:color="auto"/>
        <w:bottom w:val="none" w:sz="0" w:space="0" w:color="auto"/>
        <w:right w:val="none" w:sz="0" w:space="0" w:color="auto"/>
      </w:divBdr>
    </w:div>
    <w:div w:id="343870203">
      <w:bodyDiv w:val="1"/>
      <w:marLeft w:val="0"/>
      <w:marRight w:val="0"/>
      <w:marTop w:val="0"/>
      <w:marBottom w:val="0"/>
      <w:divBdr>
        <w:top w:val="none" w:sz="0" w:space="0" w:color="auto"/>
        <w:left w:val="none" w:sz="0" w:space="0" w:color="auto"/>
        <w:bottom w:val="none" w:sz="0" w:space="0" w:color="auto"/>
        <w:right w:val="none" w:sz="0" w:space="0" w:color="auto"/>
      </w:divBdr>
    </w:div>
    <w:div w:id="352725258">
      <w:bodyDiv w:val="1"/>
      <w:marLeft w:val="0"/>
      <w:marRight w:val="0"/>
      <w:marTop w:val="0"/>
      <w:marBottom w:val="0"/>
      <w:divBdr>
        <w:top w:val="none" w:sz="0" w:space="0" w:color="auto"/>
        <w:left w:val="none" w:sz="0" w:space="0" w:color="auto"/>
        <w:bottom w:val="none" w:sz="0" w:space="0" w:color="auto"/>
        <w:right w:val="none" w:sz="0" w:space="0" w:color="auto"/>
      </w:divBdr>
    </w:div>
    <w:div w:id="363480547">
      <w:bodyDiv w:val="1"/>
      <w:marLeft w:val="0"/>
      <w:marRight w:val="0"/>
      <w:marTop w:val="0"/>
      <w:marBottom w:val="0"/>
      <w:divBdr>
        <w:top w:val="none" w:sz="0" w:space="0" w:color="auto"/>
        <w:left w:val="none" w:sz="0" w:space="0" w:color="auto"/>
        <w:bottom w:val="none" w:sz="0" w:space="0" w:color="auto"/>
        <w:right w:val="none" w:sz="0" w:space="0" w:color="auto"/>
      </w:divBdr>
    </w:div>
    <w:div w:id="369653323">
      <w:bodyDiv w:val="1"/>
      <w:marLeft w:val="0"/>
      <w:marRight w:val="0"/>
      <w:marTop w:val="0"/>
      <w:marBottom w:val="0"/>
      <w:divBdr>
        <w:top w:val="none" w:sz="0" w:space="0" w:color="auto"/>
        <w:left w:val="none" w:sz="0" w:space="0" w:color="auto"/>
        <w:bottom w:val="none" w:sz="0" w:space="0" w:color="auto"/>
        <w:right w:val="none" w:sz="0" w:space="0" w:color="auto"/>
      </w:divBdr>
    </w:div>
    <w:div w:id="375588292">
      <w:bodyDiv w:val="1"/>
      <w:marLeft w:val="0"/>
      <w:marRight w:val="0"/>
      <w:marTop w:val="0"/>
      <w:marBottom w:val="0"/>
      <w:divBdr>
        <w:top w:val="none" w:sz="0" w:space="0" w:color="auto"/>
        <w:left w:val="none" w:sz="0" w:space="0" w:color="auto"/>
        <w:bottom w:val="none" w:sz="0" w:space="0" w:color="auto"/>
        <w:right w:val="none" w:sz="0" w:space="0" w:color="auto"/>
      </w:divBdr>
    </w:div>
    <w:div w:id="380640551">
      <w:bodyDiv w:val="1"/>
      <w:marLeft w:val="0"/>
      <w:marRight w:val="0"/>
      <w:marTop w:val="0"/>
      <w:marBottom w:val="0"/>
      <w:divBdr>
        <w:top w:val="none" w:sz="0" w:space="0" w:color="auto"/>
        <w:left w:val="none" w:sz="0" w:space="0" w:color="auto"/>
        <w:bottom w:val="none" w:sz="0" w:space="0" w:color="auto"/>
        <w:right w:val="none" w:sz="0" w:space="0" w:color="auto"/>
      </w:divBdr>
    </w:div>
    <w:div w:id="381369834">
      <w:bodyDiv w:val="1"/>
      <w:marLeft w:val="0"/>
      <w:marRight w:val="0"/>
      <w:marTop w:val="0"/>
      <w:marBottom w:val="0"/>
      <w:divBdr>
        <w:top w:val="none" w:sz="0" w:space="0" w:color="auto"/>
        <w:left w:val="none" w:sz="0" w:space="0" w:color="auto"/>
        <w:bottom w:val="none" w:sz="0" w:space="0" w:color="auto"/>
        <w:right w:val="none" w:sz="0" w:space="0" w:color="auto"/>
      </w:divBdr>
    </w:div>
    <w:div w:id="390276329">
      <w:bodyDiv w:val="1"/>
      <w:marLeft w:val="0"/>
      <w:marRight w:val="0"/>
      <w:marTop w:val="0"/>
      <w:marBottom w:val="0"/>
      <w:divBdr>
        <w:top w:val="none" w:sz="0" w:space="0" w:color="auto"/>
        <w:left w:val="none" w:sz="0" w:space="0" w:color="auto"/>
        <w:bottom w:val="none" w:sz="0" w:space="0" w:color="auto"/>
        <w:right w:val="none" w:sz="0" w:space="0" w:color="auto"/>
      </w:divBdr>
    </w:div>
    <w:div w:id="390463741">
      <w:bodyDiv w:val="1"/>
      <w:marLeft w:val="0"/>
      <w:marRight w:val="0"/>
      <w:marTop w:val="0"/>
      <w:marBottom w:val="0"/>
      <w:divBdr>
        <w:top w:val="none" w:sz="0" w:space="0" w:color="auto"/>
        <w:left w:val="none" w:sz="0" w:space="0" w:color="auto"/>
        <w:bottom w:val="none" w:sz="0" w:space="0" w:color="auto"/>
        <w:right w:val="none" w:sz="0" w:space="0" w:color="auto"/>
      </w:divBdr>
    </w:div>
    <w:div w:id="402919012">
      <w:bodyDiv w:val="1"/>
      <w:marLeft w:val="0"/>
      <w:marRight w:val="0"/>
      <w:marTop w:val="0"/>
      <w:marBottom w:val="0"/>
      <w:divBdr>
        <w:top w:val="none" w:sz="0" w:space="0" w:color="auto"/>
        <w:left w:val="none" w:sz="0" w:space="0" w:color="auto"/>
        <w:bottom w:val="none" w:sz="0" w:space="0" w:color="auto"/>
        <w:right w:val="none" w:sz="0" w:space="0" w:color="auto"/>
      </w:divBdr>
    </w:div>
    <w:div w:id="416487801">
      <w:bodyDiv w:val="1"/>
      <w:marLeft w:val="0"/>
      <w:marRight w:val="0"/>
      <w:marTop w:val="0"/>
      <w:marBottom w:val="0"/>
      <w:divBdr>
        <w:top w:val="none" w:sz="0" w:space="0" w:color="auto"/>
        <w:left w:val="none" w:sz="0" w:space="0" w:color="auto"/>
        <w:bottom w:val="none" w:sz="0" w:space="0" w:color="auto"/>
        <w:right w:val="none" w:sz="0" w:space="0" w:color="auto"/>
      </w:divBdr>
    </w:div>
    <w:div w:id="423887027">
      <w:bodyDiv w:val="1"/>
      <w:marLeft w:val="0"/>
      <w:marRight w:val="0"/>
      <w:marTop w:val="0"/>
      <w:marBottom w:val="0"/>
      <w:divBdr>
        <w:top w:val="none" w:sz="0" w:space="0" w:color="auto"/>
        <w:left w:val="none" w:sz="0" w:space="0" w:color="auto"/>
        <w:bottom w:val="none" w:sz="0" w:space="0" w:color="auto"/>
        <w:right w:val="none" w:sz="0" w:space="0" w:color="auto"/>
      </w:divBdr>
    </w:div>
    <w:div w:id="424500185">
      <w:bodyDiv w:val="1"/>
      <w:marLeft w:val="0"/>
      <w:marRight w:val="0"/>
      <w:marTop w:val="0"/>
      <w:marBottom w:val="0"/>
      <w:divBdr>
        <w:top w:val="none" w:sz="0" w:space="0" w:color="auto"/>
        <w:left w:val="none" w:sz="0" w:space="0" w:color="auto"/>
        <w:bottom w:val="none" w:sz="0" w:space="0" w:color="auto"/>
        <w:right w:val="none" w:sz="0" w:space="0" w:color="auto"/>
      </w:divBdr>
    </w:div>
    <w:div w:id="428279901">
      <w:bodyDiv w:val="1"/>
      <w:marLeft w:val="0"/>
      <w:marRight w:val="0"/>
      <w:marTop w:val="0"/>
      <w:marBottom w:val="0"/>
      <w:divBdr>
        <w:top w:val="none" w:sz="0" w:space="0" w:color="auto"/>
        <w:left w:val="none" w:sz="0" w:space="0" w:color="auto"/>
        <w:bottom w:val="none" w:sz="0" w:space="0" w:color="auto"/>
        <w:right w:val="none" w:sz="0" w:space="0" w:color="auto"/>
      </w:divBdr>
    </w:div>
    <w:div w:id="439878103">
      <w:bodyDiv w:val="1"/>
      <w:marLeft w:val="0"/>
      <w:marRight w:val="0"/>
      <w:marTop w:val="0"/>
      <w:marBottom w:val="0"/>
      <w:divBdr>
        <w:top w:val="none" w:sz="0" w:space="0" w:color="auto"/>
        <w:left w:val="none" w:sz="0" w:space="0" w:color="auto"/>
        <w:bottom w:val="none" w:sz="0" w:space="0" w:color="auto"/>
        <w:right w:val="none" w:sz="0" w:space="0" w:color="auto"/>
      </w:divBdr>
    </w:div>
    <w:div w:id="448622976">
      <w:bodyDiv w:val="1"/>
      <w:marLeft w:val="0"/>
      <w:marRight w:val="0"/>
      <w:marTop w:val="0"/>
      <w:marBottom w:val="0"/>
      <w:divBdr>
        <w:top w:val="none" w:sz="0" w:space="0" w:color="auto"/>
        <w:left w:val="none" w:sz="0" w:space="0" w:color="auto"/>
        <w:bottom w:val="none" w:sz="0" w:space="0" w:color="auto"/>
        <w:right w:val="none" w:sz="0" w:space="0" w:color="auto"/>
      </w:divBdr>
    </w:div>
    <w:div w:id="472452542">
      <w:bodyDiv w:val="1"/>
      <w:marLeft w:val="0"/>
      <w:marRight w:val="0"/>
      <w:marTop w:val="0"/>
      <w:marBottom w:val="0"/>
      <w:divBdr>
        <w:top w:val="none" w:sz="0" w:space="0" w:color="auto"/>
        <w:left w:val="none" w:sz="0" w:space="0" w:color="auto"/>
        <w:bottom w:val="none" w:sz="0" w:space="0" w:color="auto"/>
        <w:right w:val="none" w:sz="0" w:space="0" w:color="auto"/>
      </w:divBdr>
      <w:divsChild>
        <w:div w:id="1457943188">
          <w:marLeft w:val="0"/>
          <w:marRight w:val="0"/>
          <w:marTop w:val="0"/>
          <w:marBottom w:val="0"/>
          <w:divBdr>
            <w:top w:val="none" w:sz="0" w:space="0" w:color="auto"/>
            <w:left w:val="none" w:sz="0" w:space="0" w:color="auto"/>
            <w:bottom w:val="none" w:sz="0" w:space="0" w:color="auto"/>
            <w:right w:val="none" w:sz="0" w:space="0" w:color="auto"/>
          </w:divBdr>
        </w:div>
        <w:div w:id="896092343">
          <w:marLeft w:val="0"/>
          <w:marRight w:val="0"/>
          <w:marTop w:val="0"/>
          <w:marBottom w:val="0"/>
          <w:divBdr>
            <w:top w:val="none" w:sz="0" w:space="0" w:color="auto"/>
            <w:left w:val="none" w:sz="0" w:space="0" w:color="auto"/>
            <w:bottom w:val="none" w:sz="0" w:space="0" w:color="auto"/>
            <w:right w:val="none" w:sz="0" w:space="0" w:color="auto"/>
          </w:divBdr>
        </w:div>
        <w:div w:id="632715073">
          <w:marLeft w:val="0"/>
          <w:marRight w:val="0"/>
          <w:marTop w:val="0"/>
          <w:marBottom w:val="0"/>
          <w:divBdr>
            <w:top w:val="none" w:sz="0" w:space="0" w:color="auto"/>
            <w:left w:val="none" w:sz="0" w:space="0" w:color="auto"/>
            <w:bottom w:val="none" w:sz="0" w:space="0" w:color="auto"/>
            <w:right w:val="none" w:sz="0" w:space="0" w:color="auto"/>
          </w:divBdr>
        </w:div>
      </w:divsChild>
    </w:div>
    <w:div w:id="478423736">
      <w:bodyDiv w:val="1"/>
      <w:marLeft w:val="0"/>
      <w:marRight w:val="0"/>
      <w:marTop w:val="0"/>
      <w:marBottom w:val="0"/>
      <w:divBdr>
        <w:top w:val="none" w:sz="0" w:space="0" w:color="auto"/>
        <w:left w:val="none" w:sz="0" w:space="0" w:color="auto"/>
        <w:bottom w:val="none" w:sz="0" w:space="0" w:color="auto"/>
        <w:right w:val="none" w:sz="0" w:space="0" w:color="auto"/>
      </w:divBdr>
      <w:divsChild>
        <w:div w:id="1096755447">
          <w:marLeft w:val="0"/>
          <w:marRight w:val="0"/>
          <w:marTop w:val="0"/>
          <w:marBottom w:val="0"/>
          <w:divBdr>
            <w:top w:val="none" w:sz="0" w:space="0" w:color="auto"/>
            <w:left w:val="none" w:sz="0" w:space="0" w:color="auto"/>
            <w:bottom w:val="none" w:sz="0" w:space="0" w:color="auto"/>
            <w:right w:val="none" w:sz="0" w:space="0" w:color="auto"/>
          </w:divBdr>
          <w:divsChild>
            <w:div w:id="1227447174">
              <w:marLeft w:val="0"/>
              <w:marRight w:val="0"/>
              <w:marTop w:val="0"/>
              <w:marBottom w:val="0"/>
              <w:divBdr>
                <w:top w:val="none" w:sz="0" w:space="0" w:color="auto"/>
                <w:left w:val="none" w:sz="0" w:space="0" w:color="auto"/>
                <w:bottom w:val="none" w:sz="0" w:space="0" w:color="auto"/>
                <w:right w:val="none" w:sz="0" w:space="0" w:color="auto"/>
              </w:divBdr>
              <w:divsChild>
                <w:div w:id="629094629">
                  <w:marLeft w:val="0"/>
                  <w:marRight w:val="0"/>
                  <w:marTop w:val="0"/>
                  <w:marBottom w:val="0"/>
                  <w:divBdr>
                    <w:top w:val="none" w:sz="0" w:space="0" w:color="auto"/>
                    <w:left w:val="none" w:sz="0" w:space="0" w:color="auto"/>
                    <w:bottom w:val="none" w:sz="0" w:space="0" w:color="auto"/>
                    <w:right w:val="none" w:sz="0" w:space="0" w:color="auto"/>
                  </w:divBdr>
                  <w:divsChild>
                    <w:div w:id="170355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484351">
      <w:bodyDiv w:val="1"/>
      <w:marLeft w:val="0"/>
      <w:marRight w:val="0"/>
      <w:marTop w:val="0"/>
      <w:marBottom w:val="0"/>
      <w:divBdr>
        <w:top w:val="none" w:sz="0" w:space="0" w:color="auto"/>
        <w:left w:val="none" w:sz="0" w:space="0" w:color="auto"/>
        <w:bottom w:val="none" w:sz="0" w:space="0" w:color="auto"/>
        <w:right w:val="none" w:sz="0" w:space="0" w:color="auto"/>
      </w:divBdr>
    </w:div>
    <w:div w:id="488862289">
      <w:bodyDiv w:val="1"/>
      <w:marLeft w:val="0"/>
      <w:marRight w:val="0"/>
      <w:marTop w:val="0"/>
      <w:marBottom w:val="0"/>
      <w:divBdr>
        <w:top w:val="none" w:sz="0" w:space="0" w:color="auto"/>
        <w:left w:val="none" w:sz="0" w:space="0" w:color="auto"/>
        <w:bottom w:val="none" w:sz="0" w:space="0" w:color="auto"/>
        <w:right w:val="none" w:sz="0" w:space="0" w:color="auto"/>
      </w:divBdr>
    </w:div>
    <w:div w:id="502208602">
      <w:bodyDiv w:val="1"/>
      <w:marLeft w:val="0"/>
      <w:marRight w:val="0"/>
      <w:marTop w:val="0"/>
      <w:marBottom w:val="0"/>
      <w:divBdr>
        <w:top w:val="none" w:sz="0" w:space="0" w:color="auto"/>
        <w:left w:val="none" w:sz="0" w:space="0" w:color="auto"/>
        <w:bottom w:val="none" w:sz="0" w:space="0" w:color="auto"/>
        <w:right w:val="none" w:sz="0" w:space="0" w:color="auto"/>
      </w:divBdr>
    </w:div>
    <w:div w:id="517427282">
      <w:bodyDiv w:val="1"/>
      <w:marLeft w:val="0"/>
      <w:marRight w:val="0"/>
      <w:marTop w:val="0"/>
      <w:marBottom w:val="0"/>
      <w:divBdr>
        <w:top w:val="none" w:sz="0" w:space="0" w:color="auto"/>
        <w:left w:val="none" w:sz="0" w:space="0" w:color="auto"/>
        <w:bottom w:val="none" w:sz="0" w:space="0" w:color="auto"/>
        <w:right w:val="none" w:sz="0" w:space="0" w:color="auto"/>
      </w:divBdr>
    </w:div>
    <w:div w:id="518546023">
      <w:bodyDiv w:val="1"/>
      <w:marLeft w:val="0"/>
      <w:marRight w:val="0"/>
      <w:marTop w:val="0"/>
      <w:marBottom w:val="0"/>
      <w:divBdr>
        <w:top w:val="none" w:sz="0" w:space="0" w:color="auto"/>
        <w:left w:val="none" w:sz="0" w:space="0" w:color="auto"/>
        <w:bottom w:val="none" w:sz="0" w:space="0" w:color="auto"/>
        <w:right w:val="none" w:sz="0" w:space="0" w:color="auto"/>
      </w:divBdr>
    </w:div>
    <w:div w:id="520357656">
      <w:bodyDiv w:val="1"/>
      <w:marLeft w:val="0"/>
      <w:marRight w:val="0"/>
      <w:marTop w:val="0"/>
      <w:marBottom w:val="0"/>
      <w:divBdr>
        <w:top w:val="none" w:sz="0" w:space="0" w:color="auto"/>
        <w:left w:val="none" w:sz="0" w:space="0" w:color="auto"/>
        <w:bottom w:val="none" w:sz="0" w:space="0" w:color="auto"/>
        <w:right w:val="none" w:sz="0" w:space="0" w:color="auto"/>
      </w:divBdr>
    </w:div>
    <w:div w:id="521435064">
      <w:bodyDiv w:val="1"/>
      <w:marLeft w:val="0"/>
      <w:marRight w:val="0"/>
      <w:marTop w:val="0"/>
      <w:marBottom w:val="0"/>
      <w:divBdr>
        <w:top w:val="none" w:sz="0" w:space="0" w:color="auto"/>
        <w:left w:val="none" w:sz="0" w:space="0" w:color="auto"/>
        <w:bottom w:val="none" w:sz="0" w:space="0" w:color="auto"/>
        <w:right w:val="none" w:sz="0" w:space="0" w:color="auto"/>
      </w:divBdr>
    </w:div>
    <w:div w:id="546141410">
      <w:bodyDiv w:val="1"/>
      <w:marLeft w:val="0"/>
      <w:marRight w:val="0"/>
      <w:marTop w:val="0"/>
      <w:marBottom w:val="0"/>
      <w:divBdr>
        <w:top w:val="none" w:sz="0" w:space="0" w:color="auto"/>
        <w:left w:val="none" w:sz="0" w:space="0" w:color="auto"/>
        <w:bottom w:val="none" w:sz="0" w:space="0" w:color="auto"/>
        <w:right w:val="none" w:sz="0" w:space="0" w:color="auto"/>
      </w:divBdr>
    </w:div>
    <w:div w:id="547573913">
      <w:bodyDiv w:val="1"/>
      <w:marLeft w:val="0"/>
      <w:marRight w:val="0"/>
      <w:marTop w:val="0"/>
      <w:marBottom w:val="0"/>
      <w:divBdr>
        <w:top w:val="none" w:sz="0" w:space="0" w:color="auto"/>
        <w:left w:val="none" w:sz="0" w:space="0" w:color="auto"/>
        <w:bottom w:val="none" w:sz="0" w:space="0" w:color="auto"/>
        <w:right w:val="none" w:sz="0" w:space="0" w:color="auto"/>
      </w:divBdr>
    </w:div>
    <w:div w:id="552732974">
      <w:bodyDiv w:val="1"/>
      <w:marLeft w:val="0"/>
      <w:marRight w:val="0"/>
      <w:marTop w:val="0"/>
      <w:marBottom w:val="0"/>
      <w:divBdr>
        <w:top w:val="none" w:sz="0" w:space="0" w:color="auto"/>
        <w:left w:val="none" w:sz="0" w:space="0" w:color="auto"/>
        <w:bottom w:val="none" w:sz="0" w:space="0" w:color="auto"/>
        <w:right w:val="none" w:sz="0" w:space="0" w:color="auto"/>
      </w:divBdr>
    </w:div>
    <w:div w:id="553202560">
      <w:bodyDiv w:val="1"/>
      <w:marLeft w:val="0"/>
      <w:marRight w:val="0"/>
      <w:marTop w:val="0"/>
      <w:marBottom w:val="0"/>
      <w:divBdr>
        <w:top w:val="none" w:sz="0" w:space="0" w:color="auto"/>
        <w:left w:val="none" w:sz="0" w:space="0" w:color="auto"/>
        <w:bottom w:val="none" w:sz="0" w:space="0" w:color="auto"/>
        <w:right w:val="none" w:sz="0" w:space="0" w:color="auto"/>
      </w:divBdr>
    </w:div>
    <w:div w:id="555973600">
      <w:bodyDiv w:val="1"/>
      <w:marLeft w:val="0"/>
      <w:marRight w:val="0"/>
      <w:marTop w:val="0"/>
      <w:marBottom w:val="0"/>
      <w:divBdr>
        <w:top w:val="none" w:sz="0" w:space="0" w:color="auto"/>
        <w:left w:val="none" w:sz="0" w:space="0" w:color="auto"/>
        <w:bottom w:val="none" w:sz="0" w:space="0" w:color="auto"/>
        <w:right w:val="none" w:sz="0" w:space="0" w:color="auto"/>
      </w:divBdr>
    </w:div>
    <w:div w:id="567572464">
      <w:bodyDiv w:val="1"/>
      <w:marLeft w:val="0"/>
      <w:marRight w:val="0"/>
      <w:marTop w:val="0"/>
      <w:marBottom w:val="0"/>
      <w:divBdr>
        <w:top w:val="none" w:sz="0" w:space="0" w:color="auto"/>
        <w:left w:val="none" w:sz="0" w:space="0" w:color="auto"/>
        <w:bottom w:val="none" w:sz="0" w:space="0" w:color="auto"/>
        <w:right w:val="none" w:sz="0" w:space="0" w:color="auto"/>
      </w:divBdr>
    </w:div>
    <w:div w:id="574826186">
      <w:bodyDiv w:val="1"/>
      <w:marLeft w:val="0"/>
      <w:marRight w:val="0"/>
      <w:marTop w:val="0"/>
      <w:marBottom w:val="0"/>
      <w:divBdr>
        <w:top w:val="none" w:sz="0" w:space="0" w:color="auto"/>
        <w:left w:val="none" w:sz="0" w:space="0" w:color="auto"/>
        <w:bottom w:val="none" w:sz="0" w:space="0" w:color="auto"/>
        <w:right w:val="none" w:sz="0" w:space="0" w:color="auto"/>
      </w:divBdr>
    </w:div>
    <w:div w:id="587152321">
      <w:bodyDiv w:val="1"/>
      <w:marLeft w:val="0"/>
      <w:marRight w:val="0"/>
      <w:marTop w:val="0"/>
      <w:marBottom w:val="0"/>
      <w:divBdr>
        <w:top w:val="none" w:sz="0" w:space="0" w:color="auto"/>
        <w:left w:val="none" w:sz="0" w:space="0" w:color="auto"/>
        <w:bottom w:val="none" w:sz="0" w:space="0" w:color="auto"/>
        <w:right w:val="none" w:sz="0" w:space="0" w:color="auto"/>
      </w:divBdr>
    </w:div>
    <w:div w:id="595754429">
      <w:bodyDiv w:val="1"/>
      <w:marLeft w:val="0"/>
      <w:marRight w:val="0"/>
      <w:marTop w:val="0"/>
      <w:marBottom w:val="0"/>
      <w:divBdr>
        <w:top w:val="none" w:sz="0" w:space="0" w:color="auto"/>
        <w:left w:val="none" w:sz="0" w:space="0" w:color="auto"/>
        <w:bottom w:val="none" w:sz="0" w:space="0" w:color="auto"/>
        <w:right w:val="none" w:sz="0" w:space="0" w:color="auto"/>
      </w:divBdr>
    </w:div>
    <w:div w:id="614213437">
      <w:bodyDiv w:val="1"/>
      <w:marLeft w:val="0"/>
      <w:marRight w:val="0"/>
      <w:marTop w:val="0"/>
      <w:marBottom w:val="0"/>
      <w:divBdr>
        <w:top w:val="none" w:sz="0" w:space="0" w:color="auto"/>
        <w:left w:val="none" w:sz="0" w:space="0" w:color="auto"/>
        <w:bottom w:val="none" w:sz="0" w:space="0" w:color="auto"/>
        <w:right w:val="none" w:sz="0" w:space="0" w:color="auto"/>
      </w:divBdr>
    </w:div>
    <w:div w:id="627318526">
      <w:bodyDiv w:val="1"/>
      <w:marLeft w:val="0"/>
      <w:marRight w:val="0"/>
      <w:marTop w:val="0"/>
      <w:marBottom w:val="0"/>
      <w:divBdr>
        <w:top w:val="none" w:sz="0" w:space="0" w:color="auto"/>
        <w:left w:val="none" w:sz="0" w:space="0" w:color="auto"/>
        <w:bottom w:val="none" w:sz="0" w:space="0" w:color="auto"/>
        <w:right w:val="none" w:sz="0" w:space="0" w:color="auto"/>
      </w:divBdr>
    </w:div>
    <w:div w:id="643200087">
      <w:bodyDiv w:val="1"/>
      <w:marLeft w:val="0"/>
      <w:marRight w:val="0"/>
      <w:marTop w:val="0"/>
      <w:marBottom w:val="0"/>
      <w:divBdr>
        <w:top w:val="none" w:sz="0" w:space="0" w:color="auto"/>
        <w:left w:val="none" w:sz="0" w:space="0" w:color="auto"/>
        <w:bottom w:val="none" w:sz="0" w:space="0" w:color="auto"/>
        <w:right w:val="none" w:sz="0" w:space="0" w:color="auto"/>
      </w:divBdr>
    </w:div>
    <w:div w:id="644550128">
      <w:bodyDiv w:val="1"/>
      <w:marLeft w:val="0"/>
      <w:marRight w:val="0"/>
      <w:marTop w:val="0"/>
      <w:marBottom w:val="0"/>
      <w:divBdr>
        <w:top w:val="none" w:sz="0" w:space="0" w:color="auto"/>
        <w:left w:val="none" w:sz="0" w:space="0" w:color="auto"/>
        <w:bottom w:val="none" w:sz="0" w:space="0" w:color="auto"/>
        <w:right w:val="none" w:sz="0" w:space="0" w:color="auto"/>
      </w:divBdr>
    </w:div>
    <w:div w:id="645819324">
      <w:bodyDiv w:val="1"/>
      <w:marLeft w:val="0"/>
      <w:marRight w:val="0"/>
      <w:marTop w:val="0"/>
      <w:marBottom w:val="0"/>
      <w:divBdr>
        <w:top w:val="none" w:sz="0" w:space="0" w:color="auto"/>
        <w:left w:val="none" w:sz="0" w:space="0" w:color="auto"/>
        <w:bottom w:val="none" w:sz="0" w:space="0" w:color="auto"/>
        <w:right w:val="none" w:sz="0" w:space="0" w:color="auto"/>
      </w:divBdr>
    </w:div>
    <w:div w:id="646666559">
      <w:bodyDiv w:val="1"/>
      <w:marLeft w:val="0"/>
      <w:marRight w:val="0"/>
      <w:marTop w:val="0"/>
      <w:marBottom w:val="0"/>
      <w:divBdr>
        <w:top w:val="none" w:sz="0" w:space="0" w:color="auto"/>
        <w:left w:val="none" w:sz="0" w:space="0" w:color="auto"/>
        <w:bottom w:val="none" w:sz="0" w:space="0" w:color="auto"/>
        <w:right w:val="none" w:sz="0" w:space="0" w:color="auto"/>
      </w:divBdr>
    </w:div>
    <w:div w:id="655837543">
      <w:bodyDiv w:val="1"/>
      <w:marLeft w:val="0"/>
      <w:marRight w:val="0"/>
      <w:marTop w:val="0"/>
      <w:marBottom w:val="0"/>
      <w:divBdr>
        <w:top w:val="none" w:sz="0" w:space="0" w:color="auto"/>
        <w:left w:val="none" w:sz="0" w:space="0" w:color="auto"/>
        <w:bottom w:val="none" w:sz="0" w:space="0" w:color="auto"/>
        <w:right w:val="none" w:sz="0" w:space="0" w:color="auto"/>
      </w:divBdr>
    </w:div>
    <w:div w:id="660042175">
      <w:bodyDiv w:val="1"/>
      <w:marLeft w:val="0"/>
      <w:marRight w:val="0"/>
      <w:marTop w:val="0"/>
      <w:marBottom w:val="0"/>
      <w:divBdr>
        <w:top w:val="none" w:sz="0" w:space="0" w:color="auto"/>
        <w:left w:val="none" w:sz="0" w:space="0" w:color="auto"/>
        <w:bottom w:val="none" w:sz="0" w:space="0" w:color="auto"/>
        <w:right w:val="none" w:sz="0" w:space="0" w:color="auto"/>
      </w:divBdr>
    </w:div>
    <w:div w:id="661011968">
      <w:bodyDiv w:val="1"/>
      <w:marLeft w:val="0"/>
      <w:marRight w:val="0"/>
      <w:marTop w:val="0"/>
      <w:marBottom w:val="0"/>
      <w:divBdr>
        <w:top w:val="none" w:sz="0" w:space="0" w:color="auto"/>
        <w:left w:val="none" w:sz="0" w:space="0" w:color="auto"/>
        <w:bottom w:val="none" w:sz="0" w:space="0" w:color="auto"/>
        <w:right w:val="none" w:sz="0" w:space="0" w:color="auto"/>
      </w:divBdr>
    </w:div>
    <w:div w:id="669528095">
      <w:bodyDiv w:val="1"/>
      <w:marLeft w:val="0"/>
      <w:marRight w:val="0"/>
      <w:marTop w:val="0"/>
      <w:marBottom w:val="0"/>
      <w:divBdr>
        <w:top w:val="none" w:sz="0" w:space="0" w:color="auto"/>
        <w:left w:val="none" w:sz="0" w:space="0" w:color="auto"/>
        <w:bottom w:val="none" w:sz="0" w:space="0" w:color="auto"/>
        <w:right w:val="none" w:sz="0" w:space="0" w:color="auto"/>
      </w:divBdr>
    </w:div>
    <w:div w:id="671955913">
      <w:bodyDiv w:val="1"/>
      <w:marLeft w:val="0"/>
      <w:marRight w:val="0"/>
      <w:marTop w:val="0"/>
      <w:marBottom w:val="0"/>
      <w:divBdr>
        <w:top w:val="none" w:sz="0" w:space="0" w:color="auto"/>
        <w:left w:val="none" w:sz="0" w:space="0" w:color="auto"/>
        <w:bottom w:val="none" w:sz="0" w:space="0" w:color="auto"/>
        <w:right w:val="none" w:sz="0" w:space="0" w:color="auto"/>
      </w:divBdr>
    </w:div>
    <w:div w:id="689722081">
      <w:bodyDiv w:val="1"/>
      <w:marLeft w:val="0"/>
      <w:marRight w:val="0"/>
      <w:marTop w:val="0"/>
      <w:marBottom w:val="0"/>
      <w:divBdr>
        <w:top w:val="none" w:sz="0" w:space="0" w:color="auto"/>
        <w:left w:val="none" w:sz="0" w:space="0" w:color="auto"/>
        <w:bottom w:val="none" w:sz="0" w:space="0" w:color="auto"/>
        <w:right w:val="none" w:sz="0" w:space="0" w:color="auto"/>
      </w:divBdr>
    </w:div>
    <w:div w:id="689835643">
      <w:bodyDiv w:val="1"/>
      <w:marLeft w:val="0"/>
      <w:marRight w:val="0"/>
      <w:marTop w:val="0"/>
      <w:marBottom w:val="0"/>
      <w:divBdr>
        <w:top w:val="none" w:sz="0" w:space="0" w:color="auto"/>
        <w:left w:val="none" w:sz="0" w:space="0" w:color="auto"/>
        <w:bottom w:val="none" w:sz="0" w:space="0" w:color="auto"/>
        <w:right w:val="none" w:sz="0" w:space="0" w:color="auto"/>
      </w:divBdr>
    </w:div>
    <w:div w:id="696387901">
      <w:bodyDiv w:val="1"/>
      <w:marLeft w:val="0"/>
      <w:marRight w:val="0"/>
      <w:marTop w:val="0"/>
      <w:marBottom w:val="0"/>
      <w:divBdr>
        <w:top w:val="none" w:sz="0" w:space="0" w:color="auto"/>
        <w:left w:val="none" w:sz="0" w:space="0" w:color="auto"/>
        <w:bottom w:val="none" w:sz="0" w:space="0" w:color="auto"/>
        <w:right w:val="none" w:sz="0" w:space="0" w:color="auto"/>
      </w:divBdr>
    </w:div>
    <w:div w:id="721058005">
      <w:bodyDiv w:val="1"/>
      <w:marLeft w:val="0"/>
      <w:marRight w:val="0"/>
      <w:marTop w:val="0"/>
      <w:marBottom w:val="0"/>
      <w:divBdr>
        <w:top w:val="none" w:sz="0" w:space="0" w:color="auto"/>
        <w:left w:val="none" w:sz="0" w:space="0" w:color="auto"/>
        <w:bottom w:val="none" w:sz="0" w:space="0" w:color="auto"/>
        <w:right w:val="none" w:sz="0" w:space="0" w:color="auto"/>
      </w:divBdr>
    </w:div>
    <w:div w:id="729233029">
      <w:bodyDiv w:val="1"/>
      <w:marLeft w:val="0"/>
      <w:marRight w:val="0"/>
      <w:marTop w:val="0"/>
      <w:marBottom w:val="0"/>
      <w:divBdr>
        <w:top w:val="none" w:sz="0" w:space="0" w:color="auto"/>
        <w:left w:val="none" w:sz="0" w:space="0" w:color="auto"/>
        <w:bottom w:val="none" w:sz="0" w:space="0" w:color="auto"/>
        <w:right w:val="none" w:sz="0" w:space="0" w:color="auto"/>
      </w:divBdr>
    </w:div>
    <w:div w:id="732241784">
      <w:bodyDiv w:val="1"/>
      <w:marLeft w:val="0"/>
      <w:marRight w:val="0"/>
      <w:marTop w:val="0"/>
      <w:marBottom w:val="0"/>
      <w:divBdr>
        <w:top w:val="none" w:sz="0" w:space="0" w:color="auto"/>
        <w:left w:val="none" w:sz="0" w:space="0" w:color="auto"/>
        <w:bottom w:val="none" w:sz="0" w:space="0" w:color="auto"/>
        <w:right w:val="none" w:sz="0" w:space="0" w:color="auto"/>
      </w:divBdr>
    </w:div>
    <w:div w:id="763378689">
      <w:bodyDiv w:val="1"/>
      <w:marLeft w:val="0"/>
      <w:marRight w:val="0"/>
      <w:marTop w:val="0"/>
      <w:marBottom w:val="0"/>
      <w:divBdr>
        <w:top w:val="none" w:sz="0" w:space="0" w:color="auto"/>
        <w:left w:val="none" w:sz="0" w:space="0" w:color="auto"/>
        <w:bottom w:val="none" w:sz="0" w:space="0" w:color="auto"/>
        <w:right w:val="none" w:sz="0" w:space="0" w:color="auto"/>
      </w:divBdr>
    </w:div>
    <w:div w:id="765467084">
      <w:bodyDiv w:val="1"/>
      <w:marLeft w:val="0"/>
      <w:marRight w:val="0"/>
      <w:marTop w:val="0"/>
      <w:marBottom w:val="0"/>
      <w:divBdr>
        <w:top w:val="none" w:sz="0" w:space="0" w:color="auto"/>
        <w:left w:val="none" w:sz="0" w:space="0" w:color="auto"/>
        <w:bottom w:val="none" w:sz="0" w:space="0" w:color="auto"/>
        <w:right w:val="none" w:sz="0" w:space="0" w:color="auto"/>
      </w:divBdr>
    </w:div>
    <w:div w:id="793795300">
      <w:bodyDiv w:val="1"/>
      <w:marLeft w:val="0"/>
      <w:marRight w:val="0"/>
      <w:marTop w:val="0"/>
      <w:marBottom w:val="0"/>
      <w:divBdr>
        <w:top w:val="none" w:sz="0" w:space="0" w:color="auto"/>
        <w:left w:val="none" w:sz="0" w:space="0" w:color="auto"/>
        <w:bottom w:val="none" w:sz="0" w:space="0" w:color="auto"/>
        <w:right w:val="none" w:sz="0" w:space="0" w:color="auto"/>
      </w:divBdr>
    </w:div>
    <w:div w:id="800339738">
      <w:bodyDiv w:val="1"/>
      <w:marLeft w:val="0"/>
      <w:marRight w:val="0"/>
      <w:marTop w:val="0"/>
      <w:marBottom w:val="0"/>
      <w:divBdr>
        <w:top w:val="none" w:sz="0" w:space="0" w:color="auto"/>
        <w:left w:val="none" w:sz="0" w:space="0" w:color="auto"/>
        <w:bottom w:val="none" w:sz="0" w:space="0" w:color="auto"/>
        <w:right w:val="none" w:sz="0" w:space="0" w:color="auto"/>
      </w:divBdr>
    </w:div>
    <w:div w:id="805241658">
      <w:bodyDiv w:val="1"/>
      <w:marLeft w:val="0"/>
      <w:marRight w:val="0"/>
      <w:marTop w:val="0"/>
      <w:marBottom w:val="0"/>
      <w:divBdr>
        <w:top w:val="none" w:sz="0" w:space="0" w:color="auto"/>
        <w:left w:val="none" w:sz="0" w:space="0" w:color="auto"/>
        <w:bottom w:val="none" w:sz="0" w:space="0" w:color="auto"/>
        <w:right w:val="none" w:sz="0" w:space="0" w:color="auto"/>
      </w:divBdr>
    </w:div>
    <w:div w:id="805469066">
      <w:bodyDiv w:val="1"/>
      <w:marLeft w:val="0"/>
      <w:marRight w:val="0"/>
      <w:marTop w:val="0"/>
      <w:marBottom w:val="0"/>
      <w:divBdr>
        <w:top w:val="none" w:sz="0" w:space="0" w:color="auto"/>
        <w:left w:val="none" w:sz="0" w:space="0" w:color="auto"/>
        <w:bottom w:val="none" w:sz="0" w:space="0" w:color="auto"/>
        <w:right w:val="none" w:sz="0" w:space="0" w:color="auto"/>
      </w:divBdr>
    </w:div>
    <w:div w:id="808592398">
      <w:bodyDiv w:val="1"/>
      <w:marLeft w:val="0"/>
      <w:marRight w:val="0"/>
      <w:marTop w:val="0"/>
      <w:marBottom w:val="0"/>
      <w:divBdr>
        <w:top w:val="none" w:sz="0" w:space="0" w:color="auto"/>
        <w:left w:val="none" w:sz="0" w:space="0" w:color="auto"/>
        <w:bottom w:val="none" w:sz="0" w:space="0" w:color="auto"/>
        <w:right w:val="none" w:sz="0" w:space="0" w:color="auto"/>
      </w:divBdr>
    </w:div>
    <w:div w:id="809857467">
      <w:bodyDiv w:val="1"/>
      <w:marLeft w:val="0"/>
      <w:marRight w:val="0"/>
      <w:marTop w:val="0"/>
      <w:marBottom w:val="0"/>
      <w:divBdr>
        <w:top w:val="none" w:sz="0" w:space="0" w:color="auto"/>
        <w:left w:val="none" w:sz="0" w:space="0" w:color="auto"/>
        <w:bottom w:val="none" w:sz="0" w:space="0" w:color="auto"/>
        <w:right w:val="none" w:sz="0" w:space="0" w:color="auto"/>
      </w:divBdr>
    </w:div>
    <w:div w:id="810364285">
      <w:bodyDiv w:val="1"/>
      <w:marLeft w:val="0"/>
      <w:marRight w:val="0"/>
      <w:marTop w:val="0"/>
      <w:marBottom w:val="0"/>
      <w:divBdr>
        <w:top w:val="none" w:sz="0" w:space="0" w:color="auto"/>
        <w:left w:val="none" w:sz="0" w:space="0" w:color="auto"/>
        <w:bottom w:val="none" w:sz="0" w:space="0" w:color="auto"/>
        <w:right w:val="none" w:sz="0" w:space="0" w:color="auto"/>
      </w:divBdr>
    </w:div>
    <w:div w:id="821121777">
      <w:bodyDiv w:val="1"/>
      <w:marLeft w:val="0"/>
      <w:marRight w:val="0"/>
      <w:marTop w:val="0"/>
      <w:marBottom w:val="0"/>
      <w:divBdr>
        <w:top w:val="none" w:sz="0" w:space="0" w:color="auto"/>
        <w:left w:val="none" w:sz="0" w:space="0" w:color="auto"/>
        <w:bottom w:val="none" w:sz="0" w:space="0" w:color="auto"/>
        <w:right w:val="none" w:sz="0" w:space="0" w:color="auto"/>
      </w:divBdr>
    </w:div>
    <w:div w:id="822699135">
      <w:bodyDiv w:val="1"/>
      <w:marLeft w:val="0"/>
      <w:marRight w:val="0"/>
      <w:marTop w:val="0"/>
      <w:marBottom w:val="0"/>
      <w:divBdr>
        <w:top w:val="none" w:sz="0" w:space="0" w:color="auto"/>
        <w:left w:val="none" w:sz="0" w:space="0" w:color="auto"/>
        <w:bottom w:val="none" w:sz="0" w:space="0" w:color="auto"/>
        <w:right w:val="none" w:sz="0" w:space="0" w:color="auto"/>
      </w:divBdr>
    </w:div>
    <w:div w:id="827866956">
      <w:bodyDiv w:val="1"/>
      <w:marLeft w:val="0"/>
      <w:marRight w:val="0"/>
      <w:marTop w:val="0"/>
      <w:marBottom w:val="0"/>
      <w:divBdr>
        <w:top w:val="none" w:sz="0" w:space="0" w:color="auto"/>
        <w:left w:val="none" w:sz="0" w:space="0" w:color="auto"/>
        <w:bottom w:val="none" w:sz="0" w:space="0" w:color="auto"/>
        <w:right w:val="none" w:sz="0" w:space="0" w:color="auto"/>
      </w:divBdr>
    </w:div>
    <w:div w:id="830028493">
      <w:bodyDiv w:val="1"/>
      <w:marLeft w:val="0"/>
      <w:marRight w:val="0"/>
      <w:marTop w:val="0"/>
      <w:marBottom w:val="0"/>
      <w:divBdr>
        <w:top w:val="none" w:sz="0" w:space="0" w:color="auto"/>
        <w:left w:val="none" w:sz="0" w:space="0" w:color="auto"/>
        <w:bottom w:val="none" w:sz="0" w:space="0" w:color="auto"/>
        <w:right w:val="none" w:sz="0" w:space="0" w:color="auto"/>
      </w:divBdr>
    </w:div>
    <w:div w:id="831063919">
      <w:bodyDiv w:val="1"/>
      <w:marLeft w:val="0"/>
      <w:marRight w:val="0"/>
      <w:marTop w:val="0"/>
      <w:marBottom w:val="0"/>
      <w:divBdr>
        <w:top w:val="none" w:sz="0" w:space="0" w:color="auto"/>
        <w:left w:val="none" w:sz="0" w:space="0" w:color="auto"/>
        <w:bottom w:val="none" w:sz="0" w:space="0" w:color="auto"/>
        <w:right w:val="none" w:sz="0" w:space="0" w:color="auto"/>
      </w:divBdr>
    </w:div>
    <w:div w:id="832719040">
      <w:bodyDiv w:val="1"/>
      <w:marLeft w:val="0"/>
      <w:marRight w:val="0"/>
      <w:marTop w:val="0"/>
      <w:marBottom w:val="0"/>
      <w:divBdr>
        <w:top w:val="none" w:sz="0" w:space="0" w:color="auto"/>
        <w:left w:val="none" w:sz="0" w:space="0" w:color="auto"/>
        <w:bottom w:val="none" w:sz="0" w:space="0" w:color="auto"/>
        <w:right w:val="none" w:sz="0" w:space="0" w:color="auto"/>
      </w:divBdr>
    </w:div>
    <w:div w:id="835152689">
      <w:bodyDiv w:val="1"/>
      <w:marLeft w:val="0"/>
      <w:marRight w:val="0"/>
      <w:marTop w:val="0"/>
      <w:marBottom w:val="0"/>
      <w:divBdr>
        <w:top w:val="none" w:sz="0" w:space="0" w:color="auto"/>
        <w:left w:val="none" w:sz="0" w:space="0" w:color="auto"/>
        <w:bottom w:val="none" w:sz="0" w:space="0" w:color="auto"/>
        <w:right w:val="none" w:sz="0" w:space="0" w:color="auto"/>
      </w:divBdr>
    </w:div>
    <w:div w:id="843477936">
      <w:bodyDiv w:val="1"/>
      <w:marLeft w:val="0"/>
      <w:marRight w:val="0"/>
      <w:marTop w:val="0"/>
      <w:marBottom w:val="0"/>
      <w:divBdr>
        <w:top w:val="none" w:sz="0" w:space="0" w:color="auto"/>
        <w:left w:val="none" w:sz="0" w:space="0" w:color="auto"/>
        <w:bottom w:val="none" w:sz="0" w:space="0" w:color="auto"/>
        <w:right w:val="none" w:sz="0" w:space="0" w:color="auto"/>
      </w:divBdr>
    </w:div>
    <w:div w:id="847259039">
      <w:bodyDiv w:val="1"/>
      <w:marLeft w:val="0"/>
      <w:marRight w:val="0"/>
      <w:marTop w:val="0"/>
      <w:marBottom w:val="0"/>
      <w:divBdr>
        <w:top w:val="none" w:sz="0" w:space="0" w:color="auto"/>
        <w:left w:val="none" w:sz="0" w:space="0" w:color="auto"/>
        <w:bottom w:val="none" w:sz="0" w:space="0" w:color="auto"/>
        <w:right w:val="none" w:sz="0" w:space="0" w:color="auto"/>
      </w:divBdr>
    </w:div>
    <w:div w:id="862743504">
      <w:bodyDiv w:val="1"/>
      <w:marLeft w:val="0"/>
      <w:marRight w:val="0"/>
      <w:marTop w:val="0"/>
      <w:marBottom w:val="0"/>
      <w:divBdr>
        <w:top w:val="none" w:sz="0" w:space="0" w:color="auto"/>
        <w:left w:val="none" w:sz="0" w:space="0" w:color="auto"/>
        <w:bottom w:val="none" w:sz="0" w:space="0" w:color="auto"/>
        <w:right w:val="none" w:sz="0" w:space="0" w:color="auto"/>
      </w:divBdr>
    </w:div>
    <w:div w:id="862986075">
      <w:bodyDiv w:val="1"/>
      <w:marLeft w:val="0"/>
      <w:marRight w:val="0"/>
      <w:marTop w:val="0"/>
      <w:marBottom w:val="0"/>
      <w:divBdr>
        <w:top w:val="none" w:sz="0" w:space="0" w:color="auto"/>
        <w:left w:val="none" w:sz="0" w:space="0" w:color="auto"/>
        <w:bottom w:val="none" w:sz="0" w:space="0" w:color="auto"/>
        <w:right w:val="none" w:sz="0" w:space="0" w:color="auto"/>
      </w:divBdr>
    </w:div>
    <w:div w:id="866136469">
      <w:bodyDiv w:val="1"/>
      <w:marLeft w:val="0"/>
      <w:marRight w:val="0"/>
      <w:marTop w:val="0"/>
      <w:marBottom w:val="0"/>
      <w:divBdr>
        <w:top w:val="none" w:sz="0" w:space="0" w:color="auto"/>
        <w:left w:val="none" w:sz="0" w:space="0" w:color="auto"/>
        <w:bottom w:val="none" w:sz="0" w:space="0" w:color="auto"/>
        <w:right w:val="none" w:sz="0" w:space="0" w:color="auto"/>
      </w:divBdr>
    </w:div>
    <w:div w:id="882442521">
      <w:bodyDiv w:val="1"/>
      <w:marLeft w:val="0"/>
      <w:marRight w:val="0"/>
      <w:marTop w:val="0"/>
      <w:marBottom w:val="0"/>
      <w:divBdr>
        <w:top w:val="none" w:sz="0" w:space="0" w:color="auto"/>
        <w:left w:val="none" w:sz="0" w:space="0" w:color="auto"/>
        <w:bottom w:val="none" w:sz="0" w:space="0" w:color="auto"/>
        <w:right w:val="none" w:sz="0" w:space="0" w:color="auto"/>
      </w:divBdr>
    </w:div>
    <w:div w:id="882794874">
      <w:bodyDiv w:val="1"/>
      <w:marLeft w:val="0"/>
      <w:marRight w:val="0"/>
      <w:marTop w:val="0"/>
      <w:marBottom w:val="0"/>
      <w:divBdr>
        <w:top w:val="none" w:sz="0" w:space="0" w:color="auto"/>
        <w:left w:val="none" w:sz="0" w:space="0" w:color="auto"/>
        <w:bottom w:val="none" w:sz="0" w:space="0" w:color="auto"/>
        <w:right w:val="none" w:sz="0" w:space="0" w:color="auto"/>
      </w:divBdr>
      <w:divsChild>
        <w:div w:id="452022979">
          <w:marLeft w:val="0"/>
          <w:marRight w:val="0"/>
          <w:marTop w:val="0"/>
          <w:marBottom w:val="0"/>
          <w:divBdr>
            <w:top w:val="none" w:sz="0" w:space="0" w:color="auto"/>
            <w:left w:val="none" w:sz="0" w:space="0" w:color="auto"/>
            <w:bottom w:val="none" w:sz="0" w:space="0" w:color="auto"/>
            <w:right w:val="none" w:sz="0" w:space="0" w:color="auto"/>
          </w:divBdr>
        </w:div>
      </w:divsChild>
    </w:div>
    <w:div w:id="892154220">
      <w:bodyDiv w:val="1"/>
      <w:marLeft w:val="0"/>
      <w:marRight w:val="0"/>
      <w:marTop w:val="0"/>
      <w:marBottom w:val="0"/>
      <w:divBdr>
        <w:top w:val="none" w:sz="0" w:space="0" w:color="auto"/>
        <w:left w:val="none" w:sz="0" w:space="0" w:color="auto"/>
        <w:bottom w:val="none" w:sz="0" w:space="0" w:color="auto"/>
        <w:right w:val="none" w:sz="0" w:space="0" w:color="auto"/>
      </w:divBdr>
    </w:div>
    <w:div w:id="894462900">
      <w:bodyDiv w:val="1"/>
      <w:marLeft w:val="0"/>
      <w:marRight w:val="0"/>
      <w:marTop w:val="0"/>
      <w:marBottom w:val="0"/>
      <w:divBdr>
        <w:top w:val="none" w:sz="0" w:space="0" w:color="auto"/>
        <w:left w:val="none" w:sz="0" w:space="0" w:color="auto"/>
        <w:bottom w:val="none" w:sz="0" w:space="0" w:color="auto"/>
        <w:right w:val="none" w:sz="0" w:space="0" w:color="auto"/>
      </w:divBdr>
    </w:div>
    <w:div w:id="906381464">
      <w:bodyDiv w:val="1"/>
      <w:marLeft w:val="0"/>
      <w:marRight w:val="0"/>
      <w:marTop w:val="0"/>
      <w:marBottom w:val="0"/>
      <w:divBdr>
        <w:top w:val="none" w:sz="0" w:space="0" w:color="auto"/>
        <w:left w:val="none" w:sz="0" w:space="0" w:color="auto"/>
        <w:bottom w:val="none" w:sz="0" w:space="0" w:color="auto"/>
        <w:right w:val="none" w:sz="0" w:space="0" w:color="auto"/>
      </w:divBdr>
    </w:div>
    <w:div w:id="907225909">
      <w:bodyDiv w:val="1"/>
      <w:marLeft w:val="0"/>
      <w:marRight w:val="0"/>
      <w:marTop w:val="0"/>
      <w:marBottom w:val="0"/>
      <w:divBdr>
        <w:top w:val="none" w:sz="0" w:space="0" w:color="auto"/>
        <w:left w:val="none" w:sz="0" w:space="0" w:color="auto"/>
        <w:bottom w:val="none" w:sz="0" w:space="0" w:color="auto"/>
        <w:right w:val="none" w:sz="0" w:space="0" w:color="auto"/>
      </w:divBdr>
    </w:div>
    <w:div w:id="918321288">
      <w:bodyDiv w:val="1"/>
      <w:marLeft w:val="0"/>
      <w:marRight w:val="0"/>
      <w:marTop w:val="0"/>
      <w:marBottom w:val="0"/>
      <w:divBdr>
        <w:top w:val="none" w:sz="0" w:space="0" w:color="auto"/>
        <w:left w:val="none" w:sz="0" w:space="0" w:color="auto"/>
        <w:bottom w:val="none" w:sz="0" w:space="0" w:color="auto"/>
        <w:right w:val="none" w:sz="0" w:space="0" w:color="auto"/>
      </w:divBdr>
    </w:div>
    <w:div w:id="921642579">
      <w:bodyDiv w:val="1"/>
      <w:marLeft w:val="0"/>
      <w:marRight w:val="0"/>
      <w:marTop w:val="0"/>
      <w:marBottom w:val="0"/>
      <w:divBdr>
        <w:top w:val="none" w:sz="0" w:space="0" w:color="auto"/>
        <w:left w:val="none" w:sz="0" w:space="0" w:color="auto"/>
        <w:bottom w:val="none" w:sz="0" w:space="0" w:color="auto"/>
        <w:right w:val="none" w:sz="0" w:space="0" w:color="auto"/>
      </w:divBdr>
    </w:div>
    <w:div w:id="922295802">
      <w:bodyDiv w:val="1"/>
      <w:marLeft w:val="0"/>
      <w:marRight w:val="0"/>
      <w:marTop w:val="0"/>
      <w:marBottom w:val="0"/>
      <w:divBdr>
        <w:top w:val="none" w:sz="0" w:space="0" w:color="auto"/>
        <w:left w:val="none" w:sz="0" w:space="0" w:color="auto"/>
        <w:bottom w:val="none" w:sz="0" w:space="0" w:color="auto"/>
        <w:right w:val="none" w:sz="0" w:space="0" w:color="auto"/>
      </w:divBdr>
    </w:div>
    <w:div w:id="927233405">
      <w:bodyDiv w:val="1"/>
      <w:marLeft w:val="0"/>
      <w:marRight w:val="0"/>
      <w:marTop w:val="0"/>
      <w:marBottom w:val="0"/>
      <w:divBdr>
        <w:top w:val="none" w:sz="0" w:space="0" w:color="auto"/>
        <w:left w:val="none" w:sz="0" w:space="0" w:color="auto"/>
        <w:bottom w:val="none" w:sz="0" w:space="0" w:color="auto"/>
        <w:right w:val="none" w:sz="0" w:space="0" w:color="auto"/>
      </w:divBdr>
    </w:div>
    <w:div w:id="928807910">
      <w:bodyDiv w:val="1"/>
      <w:marLeft w:val="0"/>
      <w:marRight w:val="0"/>
      <w:marTop w:val="0"/>
      <w:marBottom w:val="0"/>
      <w:divBdr>
        <w:top w:val="none" w:sz="0" w:space="0" w:color="auto"/>
        <w:left w:val="none" w:sz="0" w:space="0" w:color="auto"/>
        <w:bottom w:val="none" w:sz="0" w:space="0" w:color="auto"/>
        <w:right w:val="none" w:sz="0" w:space="0" w:color="auto"/>
      </w:divBdr>
    </w:div>
    <w:div w:id="936526071">
      <w:bodyDiv w:val="1"/>
      <w:marLeft w:val="0"/>
      <w:marRight w:val="0"/>
      <w:marTop w:val="0"/>
      <w:marBottom w:val="0"/>
      <w:divBdr>
        <w:top w:val="none" w:sz="0" w:space="0" w:color="auto"/>
        <w:left w:val="none" w:sz="0" w:space="0" w:color="auto"/>
        <w:bottom w:val="none" w:sz="0" w:space="0" w:color="auto"/>
        <w:right w:val="none" w:sz="0" w:space="0" w:color="auto"/>
      </w:divBdr>
      <w:divsChild>
        <w:div w:id="1962417552">
          <w:marLeft w:val="0"/>
          <w:marRight w:val="0"/>
          <w:marTop w:val="0"/>
          <w:marBottom w:val="0"/>
          <w:divBdr>
            <w:top w:val="none" w:sz="0" w:space="0" w:color="auto"/>
            <w:left w:val="none" w:sz="0" w:space="0" w:color="auto"/>
            <w:bottom w:val="none" w:sz="0" w:space="0" w:color="auto"/>
            <w:right w:val="none" w:sz="0" w:space="0" w:color="auto"/>
          </w:divBdr>
        </w:div>
        <w:div w:id="573854841">
          <w:marLeft w:val="0"/>
          <w:marRight w:val="0"/>
          <w:marTop w:val="0"/>
          <w:marBottom w:val="0"/>
          <w:divBdr>
            <w:top w:val="none" w:sz="0" w:space="0" w:color="auto"/>
            <w:left w:val="none" w:sz="0" w:space="0" w:color="auto"/>
            <w:bottom w:val="none" w:sz="0" w:space="0" w:color="auto"/>
            <w:right w:val="none" w:sz="0" w:space="0" w:color="auto"/>
          </w:divBdr>
        </w:div>
      </w:divsChild>
    </w:div>
    <w:div w:id="939145663">
      <w:bodyDiv w:val="1"/>
      <w:marLeft w:val="0"/>
      <w:marRight w:val="0"/>
      <w:marTop w:val="0"/>
      <w:marBottom w:val="0"/>
      <w:divBdr>
        <w:top w:val="none" w:sz="0" w:space="0" w:color="auto"/>
        <w:left w:val="none" w:sz="0" w:space="0" w:color="auto"/>
        <w:bottom w:val="none" w:sz="0" w:space="0" w:color="auto"/>
        <w:right w:val="none" w:sz="0" w:space="0" w:color="auto"/>
      </w:divBdr>
    </w:div>
    <w:div w:id="946695267">
      <w:bodyDiv w:val="1"/>
      <w:marLeft w:val="0"/>
      <w:marRight w:val="0"/>
      <w:marTop w:val="0"/>
      <w:marBottom w:val="0"/>
      <w:divBdr>
        <w:top w:val="none" w:sz="0" w:space="0" w:color="auto"/>
        <w:left w:val="none" w:sz="0" w:space="0" w:color="auto"/>
        <w:bottom w:val="none" w:sz="0" w:space="0" w:color="auto"/>
        <w:right w:val="none" w:sz="0" w:space="0" w:color="auto"/>
      </w:divBdr>
      <w:divsChild>
        <w:div w:id="295569373">
          <w:marLeft w:val="0"/>
          <w:marRight w:val="0"/>
          <w:marTop w:val="0"/>
          <w:marBottom w:val="0"/>
          <w:divBdr>
            <w:top w:val="none" w:sz="0" w:space="0" w:color="auto"/>
            <w:left w:val="none" w:sz="0" w:space="0" w:color="auto"/>
            <w:bottom w:val="none" w:sz="0" w:space="0" w:color="auto"/>
            <w:right w:val="none" w:sz="0" w:space="0" w:color="auto"/>
          </w:divBdr>
        </w:div>
      </w:divsChild>
    </w:div>
    <w:div w:id="947390576">
      <w:bodyDiv w:val="1"/>
      <w:marLeft w:val="0"/>
      <w:marRight w:val="0"/>
      <w:marTop w:val="0"/>
      <w:marBottom w:val="0"/>
      <w:divBdr>
        <w:top w:val="none" w:sz="0" w:space="0" w:color="auto"/>
        <w:left w:val="none" w:sz="0" w:space="0" w:color="auto"/>
        <w:bottom w:val="none" w:sz="0" w:space="0" w:color="auto"/>
        <w:right w:val="none" w:sz="0" w:space="0" w:color="auto"/>
      </w:divBdr>
    </w:div>
    <w:div w:id="961228006">
      <w:bodyDiv w:val="1"/>
      <w:marLeft w:val="0"/>
      <w:marRight w:val="0"/>
      <w:marTop w:val="0"/>
      <w:marBottom w:val="0"/>
      <w:divBdr>
        <w:top w:val="none" w:sz="0" w:space="0" w:color="auto"/>
        <w:left w:val="none" w:sz="0" w:space="0" w:color="auto"/>
        <w:bottom w:val="none" w:sz="0" w:space="0" w:color="auto"/>
        <w:right w:val="none" w:sz="0" w:space="0" w:color="auto"/>
      </w:divBdr>
    </w:div>
    <w:div w:id="963658396">
      <w:bodyDiv w:val="1"/>
      <w:marLeft w:val="0"/>
      <w:marRight w:val="0"/>
      <w:marTop w:val="0"/>
      <w:marBottom w:val="0"/>
      <w:divBdr>
        <w:top w:val="none" w:sz="0" w:space="0" w:color="auto"/>
        <w:left w:val="none" w:sz="0" w:space="0" w:color="auto"/>
        <w:bottom w:val="none" w:sz="0" w:space="0" w:color="auto"/>
        <w:right w:val="none" w:sz="0" w:space="0" w:color="auto"/>
      </w:divBdr>
    </w:div>
    <w:div w:id="965502271">
      <w:bodyDiv w:val="1"/>
      <w:marLeft w:val="0"/>
      <w:marRight w:val="0"/>
      <w:marTop w:val="0"/>
      <w:marBottom w:val="0"/>
      <w:divBdr>
        <w:top w:val="none" w:sz="0" w:space="0" w:color="auto"/>
        <w:left w:val="none" w:sz="0" w:space="0" w:color="auto"/>
        <w:bottom w:val="none" w:sz="0" w:space="0" w:color="auto"/>
        <w:right w:val="none" w:sz="0" w:space="0" w:color="auto"/>
      </w:divBdr>
    </w:div>
    <w:div w:id="968975626">
      <w:bodyDiv w:val="1"/>
      <w:marLeft w:val="0"/>
      <w:marRight w:val="0"/>
      <w:marTop w:val="0"/>
      <w:marBottom w:val="0"/>
      <w:divBdr>
        <w:top w:val="none" w:sz="0" w:space="0" w:color="auto"/>
        <w:left w:val="none" w:sz="0" w:space="0" w:color="auto"/>
        <w:bottom w:val="none" w:sz="0" w:space="0" w:color="auto"/>
        <w:right w:val="none" w:sz="0" w:space="0" w:color="auto"/>
      </w:divBdr>
    </w:div>
    <w:div w:id="983244257">
      <w:bodyDiv w:val="1"/>
      <w:marLeft w:val="0"/>
      <w:marRight w:val="0"/>
      <w:marTop w:val="0"/>
      <w:marBottom w:val="0"/>
      <w:divBdr>
        <w:top w:val="none" w:sz="0" w:space="0" w:color="auto"/>
        <w:left w:val="none" w:sz="0" w:space="0" w:color="auto"/>
        <w:bottom w:val="none" w:sz="0" w:space="0" w:color="auto"/>
        <w:right w:val="none" w:sz="0" w:space="0" w:color="auto"/>
      </w:divBdr>
    </w:div>
    <w:div w:id="986280072">
      <w:bodyDiv w:val="1"/>
      <w:marLeft w:val="0"/>
      <w:marRight w:val="0"/>
      <w:marTop w:val="0"/>
      <w:marBottom w:val="0"/>
      <w:divBdr>
        <w:top w:val="none" w:sz="0" w:space="0" w:color="auto"/>
        <w:left w:val="none" w:sz="0" w:space="0" w:color="auto"/>
        <w:bottom w:val="none" w:sz="0" w:space="0" w:color="auto"/>
        <w:right w:val="none" w:sz="0" w:space="0" w:color="auto"/>
      </w:divBdr>
    </w:div>
    <w:div w:id="1010134525">
      <w:bodyDiv w:val="1"/>
      <w:marLeft w:val="0"/>
      <w:marRight w:val="0"/>
      <w:marTop w:val="0"/>
      <w:marBottom w:val="0"/>
      <w:divBdr>
        <w:top w:val="none" w:sz="0" w:space="0" w:color="auto"/>
        <w:left w:val="none" w:sz="0" w:space="0" w:color="auto"/>
        <w:bottom w:val="none" w:sz="0" w:space="0" w:color="auto"/>
        <w:right w:val="none" w:sz="0" w:space="0" w:color="auto"/>
      </w:divBdr>
    </w:div>
    <w:div w:id="1032651544">
      <w:bodyDiv w:val="1"/>
      <w:marLeft w:val="0"/>
      <w:marRight w:val="0"/>
      <w:marTop w:val="0"/>
      <w:marBottom w:val="0"/>
      <w:divBdr>
        <w:top w:val="none" w:sz="0" w:space="0" w:color="auto"/>
        <w:left w:val="none" w:sz="0" w:space="0" w:color="auto"/>
        <w:bottom w:val="none" w:sz="0" w:space="0" w:color="auto"/>
        <w:right w:val="none" w:sz="0" w:space="0" w:color="auto"/>
      </w:divBdr>
    </w:div>
    <w:div w:id="1044872062">
      <w:bodyDiv w:val="1"/>
      <w:marLeft w:val="0"/>
      <w:marRight w:val="0"/>
      <w:marTop w:val="0"/>
      <w:marBottom w:val="0"/>
      <w:divBdr>
        <w:top w:val="none" w:sz="0" w:space="0" w:color="auto"/>
        <w:left w:val="none" w:sz="0" w:space="0" w:color="auto"/>
        <w:bottom w:val="none" w:sz="0" w:space="0" w:color="auto"/>
        <w:right w:val="none" w:sz="0" w:space="0" w:color="auto"/>
      </w:divBdr>
    </w:div>
    <w:div w:id="1048070149">
      <w:bodyDiv w:val="1"/>
      <w:marLeft w:val="0"/>
      <w:marRight w:val="0"/>
      <w:marTop w:val="0"/>
      <w:marBottom w:val="0"/>
      <w:divBdr>
        <w:top w:val="none" w:sz="0" w:space="0" w:color="auto"/>
        <w:left w:val="none" w:sz="0" w:space="0" w:color="auto"/>
        <w:bottom w:val="none" w:sz="0" w:space="0" w:color="auto"/>
        <w:right w:val="none" w:sz="0" w:space="0" w:color="auto"/>
      </w:divBdr>
    </w:div>
    <w:div w:id="1053306022">
      <w:bodyDiv w:val="1"/>
      <w:marLeft w:val="0"/>
      <w:marRight w:val="0"/>
      <w:marTop w:val="0"/>
      <w:marBottom w:val="0"/>
      <w:divBdr>
        <w:top w:val="none" w:sz="0" w:space="0" w:color="auto"/>
        <w:left w:val="none" w:sz="0" w:space="0" w:color="auto"/>
        <w:bottom w:val="none" w:sz="0" w:space="0" w:color="auto"/>
        <w:right w:val="none" w:sz="0" w:space="0" w:color="auto"/>
      </w:divBdr>
    </w:div>
    <w:div w:id="1063260685">
      <w:bodyDiv w:val="1"/>
      <w:marLeft w:val="0"/>
      <w:marRight w:val="0"/>
      <w:marTop w:val="0"/>
      <w:marBottom w:val="0"/>
      <w:divBdr>
        <w:top w:val="none" w:sz="0" w:space="0" w:color="auto"/>
        <w:left w:val="none" w:sz="0" w:space="0" w:color="auto"/>
        <w:bottom w:val="none" w:sz="0" w:space="0" w:color="auto"/>
        <w:right w:val="none" w:sz="0" w:space="0" w:color="auto"/>
      </w:divBdr>
    </w:div>
    <w:div w:id="1066680322">
      <w:bodyDiv w:val="1"/>
      <w:marLeft w:val="0"/>
      <w:marRight w:val="0"/>
      <w:marTop w:val="0"/>
      <w:marBottom w:val="0"/>
      <w:divBdr>
        <w:top w:val="none" w:sz="0" w:space="0" w:color="auto"/>
        <w:left w:val="none" w:sz="0" w:space="0" w:color="auto"/>
        <w:bottom w:val="none" w:sz="0" w:space="0" w:color="auto"/>
        <w:right w:val="none" w:sz="0" w:space="0" w:color="auto"/>
      </w:divBdr>
    </w:div>
    <w:div w:id="1083793179">
      <w:bodyDiv w:val="1"/>
      <w:marLeft w:val="0"/>
      <w:marRight w:val="0"/>
      <w:marTop w:val="0"/>
      <w:marBottom w:val="0"/>
      <w:divBdr>
        <w:top w:val="none" w:sz="0" w:space="0" w:color="auto"/>
        <w:left w:val="none" w:sz="0" w:space="0" w:color="auto"/>
        <w:bottom w:val="none" w:sz="0" w:space="0" w:color="auto"/>
        <w:right w:val="none" w:sz="0" w:space="0" w:color="auto"/>
      </w:divBdr>
    </w:div>
    <w:div w:id="1090200049">
      <w:bodyDiv w:val="1"/>
      <w:marLeft w:val="0"/>
      <w:marRight w:val="0"/>
      <w:marTop w:val="0"/>
      <w:marBottom w:val="0"/>
      <w:divBdr>
        <w:top w:val="none" w:sz="0" w:space="0" w:color="auto"/>
        <w:left w:val="none" w:sz="0" w:space="0" w:color="auto"/>
        <w:bottom w:val="none" w:sz="0" w:space="0" w:color="auto"/>
        <w:right w:val="none" w:sz="0" w:space="0" w:color="auto"/>
      </w:divBdr>
    </w:div>
    <w:div w:id="1094663469">
      <w:bodyDiv w:val="1"/>
      <w:marLeft w:val="0"/>
      <w:marRight w:val="0"/>
      <w:marTop w:val="0"/>
      <w:marBottom w:val="0"/>
      <w:divBdr>
        <w:top w:val="none" w:sz="0" w:space="0" w:color="auto"/>
        <w:left w:val="none" w:sz="0" w:space="0" w:color="auto"/>
        <w:bottom w:val="none" w:sz="0" w:space="0" w:color="auto"/>
        <w:right w:val="none" w:sz="0" w:space="0" w:color="auto"/>
      </w:divBdr>
    </w:div>
    <w:div w:id="1109546948">
      <w:bodyDiv w:val="1"/>
      <w:marLeft w:val="0"/>
      <w:marRight w:val="0"/>
      <w:marTop w:val="0"/>
      <w:marBottom w:val="0"/>
      <w:divBdr>
        <w:top w:val="none" w:sz="0" w:space="0" w:color="auto"/>
        <w:left w:val="none" w:sz="0" w:space="0" w:color="auto"/>
        <w:bottom w:val="none" w:sz="0" w:space="0" w:color="auto"/>
        <w:right w:val="none" w:sz="0" w:space="0" w:color="auto"/>
      </w:divBdr>
    </w:div>
    <w:div w:id="1115716202">
      <w:bodyDiv w:val="1"/>
      <w:marLeft w:val="0"/>
      <w:marRight w:val="0"/>
      <w:marTop w:val="0"/>
      <w:marBottom w:val="0"/>
      <w:divBdr>
        <w:top w:val="none" w:sz="0" w:space="0" w:color="auto"/>
        <w:left w:val="none" w:sz="0" w:space="0" w:color="auto"/>
        <w:bottom w:val="none" w:sz="0" w:space="0" w:color="auto"/>
        <w:right w:val="none" w:sz="0" w:space="0" w:color="auto"/>
      </w:divBdr>
    </w:div>
    <w:div w:id="1124812681">
      <w:bodyDiv w:val="1"/>
      <w:marLeft w:val="0"/>
      <w:marRight w:val="0"/>
      <w:marTop w:val="0"/>
      <w:marBottom w:val="0"/>
      <w:divBdr>
        <w:top w:val="none" w:sz="0" w:space="0" w:color="auto"/>
        <w:left w:val="none" w:sz="0" w:space="0" w:color="auto"/>
        <w:bottom w:val="none" w:sz="0" w:space="0" w:color="auto"/>
        <w:right w:val="none" w:sz="0" w:space="0" w:color="auto"/>
      </w:divBdr>
      <w:divsChild>
        <w:div w:id="1911384957">
          <w:marLeft w:val="0"/>
          <w:marRight w:val="0"/>
          <w:marTop w:val="0"/>
          <w:marBottom w:val="0"/>
          <w:divBdr>
            <w:top w:val="none" w:sz="0" w:space="0" w:color="auto"/>
            <w:left w:val="none" w:sz="0" w:space="0" w:color="auto"/>
            <w:bottom w:val="none" w:sz="0" w:space="0" w:color="auto"/>
            <w:right w:val="none" w:sz="0" w:space="0" w:color="auto"/>
          </w:divBdr>
        </w:div>
      </w:divsChild>
    </w:div>
    <w:div w:id="1133712768">
      <w:bodyDiv w:val="1"/>
      <w:marLeft w:val="0"/>
      <w:marRight w:val="0"/>
      <w:marTop w:val="0"/>
      <w:marBottom w:val="0"/>
      <w:divBdr>
        <w:top w:val="none" w:sz="0" w:space="0" w:color="auto"/>
        <w:left w:val="none" w:sz="0" w:space="0" w:color="auto"/>
        <w:bottom w:val="none" w:sz="0" w:space="0" w:color="auto"/>
        <w:right w:val="none" w:sz="0" w:space="0" w:color="auto"/>
      </w:divBdr>
    </w:div>
    <w:div w:id="1135296891">
      <w:bodyDiv w:val="1"/>
      <w:marLeft w:val="0"/>
      <w:marRight w:val="0"/>
      <w:marTop w:val="0"/>
      <w:marBottom w:val="0"/>
      <w:divBdr>
        <w:top w:val="none" w:sz="0" w:space="0" w:color="auto"/>
        <w:left w:val="none" w:sz="0" w:space="0" w:color="auto"/>
        <w:bottom w:val="none" w:sz="0" w:space="0" w:color="auto"/>
        <w:right w:val="none" w:sz="0" w:space="0" w:color="auto"/>
      </w:divBdr>
    </w:div>
    <w:div w:id="1136722745">
      <w:bodyDiv w:val="1"/>
      <w:marLeft w:val="0"/>
      <w:marRight w:val="0"/>
      <w:marTop w:val="0"/>
      <w:marBottom w:val="0"/>
      <w:divBdr>
        <w:top w:val="none" w:sz="0" w:space="0" w:color="auto"/>
        <w:left w:val="none" w:sz="0" w:space="0" w:color="auto"/>
        <w:bottom w:val="none" w:sz="0" w:space="0" w:color="auto"/>
        <w:right w:val="none" w:sz="0" w:space="0" w:color="auto"/>
      </w:divBdr>
    </w:div>
    <w:div w:id="1166625432">
      <w:bodyDiv w:val="1"/>
      <w:marLeft w:val="0"/>
      <w:marRight w:val="0"/>
      <w:marTop w:val="0"/>
      <w:marBottom w:val="0"/>
      <w:divBdr>
        <w:top w:val="none" w:sz="0" w:space="0" w:color="auto"/>
        <w:left w:val="none" w:sz="0" w:space="0" w:color="auto"/>
        <w:bottom w:val="none" w:sz="0" w:space="0" w:color="auto"/>
        <w:right w:val="none" w:sz="0" w:space="0" w:color="auto"/>
      </w:divBdr>
    </w:div>
    <w:div w:id="1183864465">
      <w:bodyDiv w:val="1"/>
      <w:marLeft w:val="0"/>
      <w:marRight w:val="0"/>
      <w:marTop w:val="0"/>
      <w:marBottom w:val="0"/>
      <w:divBdr>
        <w:top w:val="none" w:sz="0" w:space="0" w:color="auto"/>
        <w:left w:val="none" w:sz="0" w:space="0" w:color="auto"/>
        <w:bottom w:val="none" w:sz="0" w:space="0" w:color="auto"/>
        <w:right w:val="none" w:sz="0" w:space="0" w:color="auto"/>
      </w:divBdr>
    </w:div>
    <w:div w:id="1203011099">
      <w:bodyDiv w:val="1"/>
      <w:marLeft w:val="0"/>
      <w:marRight w:val="0"/>
      <w:marTop w:val="0"/>
      <w:marBottom w:val="0"/>
      <w:divBdr>
        <w:top w:val="none" w:sz="0" w:space="0" w:color="auto"/>
        <w:left w:val="none" w:sz="0" w:space="0" w:color="auto"/>
        <w:bottom w:val="none" w:sz="0" w:space="0" w:color="auto"/>
        <w:right w:val="none" w:sz="0" w:space="0" w:color="auto"/>
      </w:divBdr>
    </w:div>
    <w:div w:id="1204901001">
      <w:bodyDiv w:val="1"/>
      <w:marLeft w:val="0"/>
      <w:marRight w:val="0"/>
      <w:marTop w:val="0"/>
      <w:marBottom w:val="0"/>
      <w:divBdr>
        <w:top w:val="none" w:sz="0" w:space="0" w:color="auto"/>
        <w:left w:val="none" w:sz="0" w:space="0" w:color="auto"/>
        <w:bottom w:val="none" w:sz="0" w:space="0" w:color="auto"/>
        <w:right w:val="none" w:sz="0" w:space="0" w:color="auto"/>
      </w:divBdr>
    </w:div>
    <w:div w:id="1210072576">
      <w:bodyDiv w:val="1"/>
      <w:marLeft w:val="0"/>
      <w:marRight w:val="0"/>
      <w:marTop w:val="0"/>
      <w:marBottom w:val="0"/>
      <w:divBdr>
        <w:top w:val="none" w:sz="0" w:space="0" w:color="auto"/>
        <w:left w:val="none" w:sz="0" w:space="0" w:color="auto"/>
        <w:bottom w:val="none" w:sz="0" w:space="0" w:color="auto"/>
        <w:right w:val="none" w:sz="0" w:space="0" w:color="auto"/>
      </w:divBdr>
    </w:div>
    <w:div w:id="1231116245">
      <w:bodyDiv w:val="1"/>
      <w:marLeft w:val="0"/>
      <w:marRight w:val="0"/>
      <w:marTop w:val="0"/>
      <w:marBottom w:val="0"/>
      <w:divBdr>
        <w:top w:val="none" w:sz="0" w:space="0" w:color="auto"/>
        <w:left w:val="none" w:sz="0" w:space="0" w:color="auto"/>
        <w:bottom w:val="none" w:sz="0" w:space="0" w:color="auto"/>
        <w:right w:val="none" w:sz="0" w:space="0" w:color="auto"/>
      </w:divBdr>
    </w:div>
    <w:div w:id="1236739770">
      <w:bodyDiv w:val="1"/>
      <w:marLeft w:val="0"/>
      <w:marRight w:val="0"/>
      <w:marTop w:val="0"/>
      <w:marBottom w:val="0"/>
      <w:divBdr>
        <w:top w:val="none" w:sz="0" w:space="0" w:color="auto"/>
        <w:left w:val="none" w:sz="0" w:space="0" w:color="auto"/>
        <w:bottom w:val="none" w:sz="0" w:space="0" w:color="auto"/>
        <w:right w:val="none" w:sz="0" w:space="0" w:color="auto"/>
      </w:divBdr>
    </w:div>
    <w:div w:id="1241907385">
      <w:bodyDiv w:val="1"/>
      <w:marLeft w:val="0"/>
      <w:marRight w:val="0"/>
      <w:marTop w:val="0"/>
      <w:marBottom w:val="0"/>
      <w:divBdr>
        <w:top w:val="none" w:sz="0" w:space="0" w:color="auto"/>
        <w:left w:val="none" w:sz="0" w:space="0" w:color="auto"/>
        <w:bottom w:val="none" w:sz="0" w:space="0" w:color="auto"/>
        <w:right w:val="none" w:sz="0" w:space="0" w:color="auto"/>
      </w:divBdr>
    </w:div>
    <w:div w:id="1253658857">
      <w:bodyDiv w:val="1"/>
      <w:marLeft w:val="0"/>
      <w:marRight w:val="0"/>
      <w:marTop w:val="0"/>
      <w:marBottom w:val="0"/>
      <w:divBdr>
        <w:top w:val="none" w:sz="0" w:space="0" w:color="auto"/>
        <w:left w:val="none" w:sz="0" w:space="0" w:color="auto"/>
        <w:bottom w:val="none" w:sz="0" w:space="0" w:color="auto"/>
        <w:right w:val="none" w:sz="0" w:space="0" w:color="auto"/>
      </w:divBdr>
    </w:div>
    <w:div w:id="1261253715">
      <w:bodyDiv w:val="1"/>
      <w:marLeft w:val="0"/>
      <w:marRight w:val="0"/>
      <w:marTop w:val="0"/>
      <w:marBottom w:val="0"/>
      <w:divBdr>
        <w:top w:val="none" w:sz="0" w:space="0" w:color="auto"/>
        <w:left w:val="none" w:sz="0" w:space="0" w:color="auto"/>
        <w:bottom w:val="none" w:sz="0" w:space="0" w:color="auto"/>
        <w:right w:val="none" w:sz="0" w:space="0" w:color="auto"/>
      </w:divBdr>
    </w:div>
    <w:div w:id="1272515946">
      <w:bodyDiv w:val="1"/>
      <w:marLeft w:val="0"/>
      <w:marRight w:val="0"/>
      <w:marTop w:val="0"/>
      <w:marBottom w:val="0"/>
      <w:divBdr>
        <w:top w:val="none" w:sz="0" w:space="0" w:color="auto"/>
        <w:left w:val="none" w:sz="0" w:space="0" w:color="auto"/>
        <w:bottom w:val="none" w:sz="0" w:space="0" w:color="auto"/>
        <w:right w:val="none" w:sz="0" w:space="0" w:color="auto"/>
      </w:divBdr>
    </w:div>
    <w:div w:id="1277909864">
      <w:bodyDiv w:val="1"/>
      <w:marLeft w:val="0"/>
      <w:marRight w:val="0"/>
      <w:marTop w:val="0"/>
      <w:marBottom w:val="0"/>
      <w:divBdr>
        <w:top w:val="none" w:sz="0" w:space="0" w:color="auto"/>
        <w:left w:val="none" w:sz="0" w:space="0" w:color="auto"/>
        <w:bottom w:val="none" w:sz="0" w:space="0" w:color="auto"/>
        <w:right w:val="none" w:sz="0" w:space="0" w:color="auto"/>
      </w:divBdr>
    </w:div>
    <w:div w:id="1283734211">
      <w:bodyDiv w:val="1"/>
      <w:marLeft w:val="0"/>
      <w:marRight w:val="0"/>
      <w:marTop w:val="0"/>
      <w:marBottom w:val="0"/>
      <w:divBdr>
        <w:top w:val="none" w:sz="0" w:space="0" w:color="auto"/>
        <w:left w:val="none" w:sz="0" w:space="0" w:color="auto"/>
        <w:bottom w:val="none" w:sz="0" w:space="0" w:color="auto"/>
        <w:right w:val="none" w:sz="0" w:space="0" w:color="auto"/>
      </w:divBdr>
    </w:div>
    <w:div w:id="1297300011">
      <w:bodyDiv w:val="1"/>
      <w:marLeft w:val="0"/>
      <w:marRight w:val="0"/>
      <w:marTop w:val="0"/>
      <w:marBottom w:val="0"/>
      <w:divBdr>
        <w:top w:val="none" w:sz="0" w:space="0" w:color="auto"/>
        <w:left w:val="none" w:sz="0" w:space="0" w:color="auto"/>
        <w:bottom w:val="none" w:sz="0" w:space="0" w:color="auto"/>
        <w:right w:val="none" w:sz="0" w:space="0" w:color="auto"/>
      </w:divBdr>
    </w:div>
    <w:div w:id="1297881699">
      <w:bodyDiv w:val="1"/>
      <w:marLeft w:val="0"/>
      <w:marRight w:val="0"/>
      <w:marTop w:val="0"/>
      <w:marBottom w:val="0"/>
      <w:divBdr>
        <w:top w:val="none" w:sz="0" w:space="0" w:color="auto"/>
        <w:left w:val="none" w:sz="0" w:space="0" w:color="auto"/>
        <w:bottom w:val="none" w:sz="0" w:space="0" w:color="auto"/>
        <w:right w:val="none" w:sz="0" w:space="0" w:color="auto"/>
      </w:divBdr>
    </w:div>
    <w:div w:id="1301615853">
      <w:bodyDiv w:val="1"/>
      <w:marLeft w:val="0"/>
      <w:marRight w:val="0"/>
      <w:marTop w:val="0"/>
      <w:marBottom w:val="0"/>
      <w:divBdr>
        <w:top w:val="none" w:sz="0" w:space="0" w:color="auto"/>
        <w:left w:val="none" w:sz="0" w:space="0" w:color="auto"/>
        <w:bottom w:val="none" w:sz="0" w:space="0" w:color="auto"/>
        <w:right w:val="none" w:sz="0" w:space="0" w:color="auto"/>
      </w:divBdr>
    </w:div>
    <w:div w:id="1304694607">
      <w:bodyDiv w:val="1"/>
      <w:marLeft w:val="0"/>
      <w:marRight w:val="0"/>
      <w:marTop w:val="0"/>
      <w:marBottom w:val="0"/>
      <w:divBdr>
        <w:top w:val="none" w:sz="0" w:space="0" w:color="auto"/>
        <w:left w:val="none" w:sz="0" w:space="0" w:color="auto"/>
        <w:bottom w:val="none" w:sz="0" w:space="0" w:color="auto"/>
        <w:right w:val="none" w:sz="0" w:space="0" w:color="auto"/>
      </w:divBdr>
    </w:div>
    <w:div w:id="1308435404">
      <w:bodyDiv w:val="1"/>
      <w:marLeft w:val="0"/>
      <w:marRight w:val="0"/>
      <w:marTop w:val="0"/>
      <w:marBottom w:val="0"/>
      <w:divBdr>
        <w:top w:val="none" w:sz="0" w:space="0" w:color="auto"/>
        <w:left w:val="none" w:sz="0" w:space="0" w:color="auto"/>
        <w:bottom w:val="none" w:sz="0" w:space="0" w:color="auto"/>
        <w:right w:val="none" w:sz="0" w:space="0" w:color="auto"/>
      </w:divBdr>
    </w:div>
    <w:div w:id="1323659444">
      <w:bodyDiv w:val="1"/>
      <w:marLeft w:val="0"/>
      <w:marRight w:val="0"/>
      <w:marTop w:val="0"/>
      <w:marBottom w:val="0"/>
      <w:divBdr>
        <w:top w:val="none" w:sz="0" w:space="0" w:color="auto"/>
        <w:left w:val="none" w:sz="0" w:space="0" w:color="auto"/>
        <w:bottom w:val="none" w:sz="0" w:space="0" w:color="auto"/>
        <w:right w:val="none" w:sz="0" w:space="0" w:color="auto"/>
      </w:divBdr>
    </w:div>
    <w:div w:id="1339577457">
      <w:bodyDiv w:val="1"/>
      <w:marLeft w:val="0"/>
      <w:marRight w:val="0"/>
      <w:marTop w:val="0"/>
      <w:marBottom w:val="0"/>
      <w:divBdr>
        <w:top w:val="none" w:sz="0" w:space="0" w:color="auto"/>
        <w:left w:val="none" w:sz="0" w:space="0" w:color="auto"/>
        <w:bottom w:val="none" w:sz="0" w:space="0" w:color="auto"/>
        <w:right w:val="none" w:sz="0" w:space="0" w:color="auto"/>
      </w:divBdr>
    </w:div>
    <w:div w:id="1341540404">
      <w:bodyDiv w:val="1"/>
      <w:marLeft w:val="0"/>
      <w:marRight w:val="0"/>
      <w:marTop w:val="0"/>
      <w:marBottom w:val="0"/>
      <w:divBdr>
        <w:top w:val="none" w:sz="0" w:space="0" w:color="auto"/>
        <w:left w:val="none" w:sz="0" w:space="0" w:color="auto"/>
        <w:bottom w:val="none" w:sz="0" w:space="0" w:color="auto"/>
        <w:right w:val="none" w:sz="0" w:space="0" w:color="auto"/>
      </w:divBdr>
    </w:div>
    <w:div w:id="1345211120">
      <w:bodyDiv w:val="1"/>
      <w:marLeft w:val="0"/>
      <w:marRight w:val="0"/>
      <w:marTop w:val="0"/>
      <w:marBottom w:val="0"/>
      <w:divBdr>
        <w:top w:val="none" w:sz="0" w:space="0" w:color="auto"/>
        <w:left w:val="none" w:sz="0" w:space="0" w:color="auto"/>
        <w:bottom w:val="none" w:sz="0" w:space="0" w:color="auto"/>
        <w:right w:val="none" w:sz="0" w:space="0" w:color="auto"/>
      </w:divBdr>
    </w:div>
    <w:div w:id="1349067767">
      <w:bodyDiv w:val="1"/>
      <w:marLeft w:val="0"/>
      <w:marRight w:val="0"/>
      <w:marTop w:val="0"/>
      <w:marBottom w:val="0"/>
      <w:divBdr>
        <w:top w:val="none" w:sz="0" w:space="0" w:color="auto"/>
        <w:left w:val="none" w:sz="0" w:space="0" w:color="auto"/>
        <w:bottom w:val="none" w:sz="0" w:space="0" w:color="auto"/>
        <w:right w:val="none" w:sz="0" w:space="0" w:color="auto"/>
      </w:divBdr>
    </w:div>
    <w:div w:id="1356886051">
      <w:bodyDiv w:val="1"/>
      <w:marLeft w:val="0"/>
      <w:marRight w:val="0"/>
      <w:marTop w:val="0"/>
      <w:marBottom w:val="0"/>
      <w:divBdr>
        <w:top w:val="none" w:sz="0" w:space="0" w:color="auto"/>
        <w:left w:val="none" w:sz="0" w:space="0" w:color="auto"/>
        <w:bottom w:val="none" w:sz="0" w:space="0" w:color="auto"/>
        <w:right w:val="none" w:sz="0" w:space="0" w:color="auto"/>
      </w:divBdr>
    </w:div>
    <w:div w:id="1373337811">
      <w:bodyDiv w:val="1"/>
      <w:marLeft w:val="0"/>
      <w:marRight w:val="0"/>
      <w:marTop w:val="0"/>
      <w:marBottom w:val="0"/>
      <w:divBdr>
        <w:top w:val="none" w:sz="0" w:space="0" w:color="auto"/>
        <w:left w:val="none" w:sz="0" w:space="0" w:color="auto"/>
        <w:bottom w:val="none" w:sz="0" w:space="0" w:color="auto"/>
        <w:right w:val="none" w:sz="0" w:space="0" w:color="auto"/>
      </w:divBdr>
    </w:div>
    <w:div w:id="1375423879">
      <w:bodyDiv w:val="1"/>
      <w:marLeft w:val="0"/>
      <w:marRight w:val="0"/>
      <w:marTop w:val="0"/>
      <w:marBottom w:val="0"/>
      <w:divBdr>
        <w:top w:val="none" w:sz="0" w:space="0" w:color="auto"/>
        <w:left w:val="none" w:sz="0" w:space="0" w:color="auto"/>
        <w:bottom w:val="none" w:sz="0" w:space="0" w:color="auto"/>
        <w:right w:val="none" w:sz="0" w:space="0" w:color="auto"/>
      </w:divBdr>
    </w:div>
    <w:div w:id="1379622548">
      <w:bodyDiv w:val="1"/>
      <w:marLeft w:val="0"/>
      <w:marRight w:val="0"/>
      <w:marTop w:val="0"/>
      <w:marBottom w:val="0"/>
      <w:divBdr>
        <w:top w:val="none" w:sz="0" w:space="0" w:color="auto"/>
        <w:left w:val="none" w:sz="0" w:space="0" w:color="auto"/>
        <w:bottom w:val="none" w:sz="0" w:space="0" w:color="auto"/>
        <w:right w:val="none" w:sz="0" w:space="0" w:color="auto"/>
      </w:divBdr>
    </w:div>
    <w:div w:id="1389917148">
      <w:bodyDiv w:val="1"/>
      <w:marLeft w:val="0"/>
      <w:marRight w:val="0"/>
      <w:marTop w:val="0"/>
      <w:marBottom w:val="0"/>
      <w:divBdr>
        <w:top w:val="none" w:sz="0" w:space="0" w:color="auto"/>
        <w:left w:val="none" w:sz="0" w:space="0" w:color="auto"/>
        <w:bottom w:val="none" w:sz="0" w:space="0" w:color="auto"/>
        <w:right w:val="none" w:sz="0" w:space="0" w:color="auto"/>
      </w:divBdr>
    </w:div>
    <w:div w:id="1392652340">
      <w:bodyDiv w:val="1"/>
      <w:marLeft w:val="0"/>
      <w:marRight w:val="0"/>
      <w:marTop w:val="0"/>
      <w:marBottom w:val="0"/>
      <w:divBdr>
        <w:top w:val="none" w:sz="0" w:space="0" w:color="auto"/>
        <w:left w:val="none" w:sz="0" w:space="0" w:color="auto"/>
        <w:bottom w:val="none" w:sz="0" w:space="0" w:color="auto"/>
        <w:right w:val="none" w:sz="0" w:space="0" w:color="auto"/>
      </w:divBdr>
    </w:div>
    <w:div w:id="1393625042">
      <w:bodyDiv w:val="1"/>
      <w:marLeft w:val="0"/>
      <w:marRight w:val="0"/>
      <w:marTop w:val="0"/>
      <w:marBottom w:val="0"/>
      <w:divBdr>
        <w:top w:val="none" w:sz="0" w:space="0" w:color="auto"/>
        <w:left w:val="none" w:sz="0" w:space="0" w:color="auto"/>
        <w:bottom w:val="none" w:sz="0" w:space="0" w:color="auto"/>
        <w:right w:val="none" w:sz="0" w:space="0" w:color="auto"/>
      </w:divBdr>
    </w:div>
    <w:div w:id="1398628380">
      <w:bodyDiv w:val="1"/>
      <w:marLeft w:val="0"/>
      <w:marRight w:val="0"/>
      <w:marTop w:val="0"/>
      <w:marBottom w:val="0"/>
      <w:divBdr>
        <w:top w:val="none" w:sz="0" w:space="0" w:color="auto"/>
        <w:left w:val="none" w:sz="0" w:space="0" w:color="auto"/>
        <w:bottom w:val="none" w:sz="0" w:space="0" w:color="auto"/>
        <w:right w:val="none" w:sz="0" w:space="0" w:color="auto"/>
      </w:divBdr>
    </w:div>
    <w:div w:id="1406030000">
      <w:bodyDiv w:val="1"/>
      <w:marLeft w:val="0"/>
      <w:marRight w:val="0"/>
      <w:marTop w:val="0"/>
      <w:marBottom w:val="0"/>
      <w:divBdr>
        <w:top w:val="none" w:sz="0" w:space="0" w:color="auto"/>
        <w:left w:val="none" w:sz="0" w:space="0" w:color="auto"/>
        <w:bottom w:val="none" w:sz="0" w:space="0" w:color="auto"/>
        <w:right w:val="none" w:sz="0" w:space="0" w:color="auto"/>
      </w:divBdr>
    </w:div>
    <w:div w:id="1418331178">
      <w:bodyDiv w:val="1"/>
      <w:marLeft w:val="0"/>
      <w:marRight w:val="0"/>
      <w:marTop w:val="0"/>
      <w:marBottom w:val="0"/>
      <w:divBdr>
        <w:top w:val="none" w:sz="0" w:space="0" w:color="auto"/>
        <w:left w:val="none" w:sz="0" w:space="0" w:color="auto"/>
        <w:bottom w:val="none" w:sz="0" w:space="0" w:color="auto"/>
        <w:right w:val="none" w:sz="0" w:space="0" w:color="auto"/>
      </w:divBdr>
    </w:div>
    <w:div w:id="1419980464">
      <w:bodyDiv w:val="1"/>
      <w:marLeft w:val="0"/>
      <w:marRight w:val="0"/>
      <w:marTop w:val="0"/>
      <w:marBottom w:val="0"/>
      <w:divBdr>
        <w:top w:val="none" w:sz="0" w:space="0" w:color="auto"/>
        <w:left w:val="none" w:sz="0" w:space="0" w:color="auto"/>
        <w:bottom w:val="none" w:sz="0" w:space="0" w:color="auto"/>
        <w:right w:val="none" w:sz="0" w:space="0" w:color="auto"/>
      </w:divBdr>
    </w:div>
    <w:div w:id="1427268351">
      <w:bodyDiv w:val="1"/>
      <w:marLeft w:val="0"/>
      <w:marRight w:val="0"/>
      <w:marTop w:val="0"/>
      <w:marBottom w:val="0"/>
      <w:divBdr>
        <w:top w:val="none" w:sz="0" w:space="0" w:color="auto"/>
        <w:left w:val="none" w:sz="0" w:space="0" w:color="auto"/>
        <w:bottom w:val="none" w:sz="0" w:space="0" w:color="auto"/>
        <w:right w:val="none" w:sz="0" w:space="0" w:color="auto"/>
      </w:divBdr>
    </w:div>
    <w:div w:id="1432361051">
      <w:bodyDiv w:val="1"/>
      <w:marLeft w:val="0"/>
      <w:marRight w:val="0"/>
      <w:marTop w:val="0"/>
      <w:marBottom w:val="0"/>
      <w:divBdr>
        <w:top w:val="none" w:sz="0" w:space="0" w:color="auto"/>
        <w:left w:val="none" w:sz="0" w:space="0" w:color="auto"/>
        <w:bottom w:val="none" w:sz="0" w:space="0" w:color="auto"/>
        <w:right w:val="none" w:sz="0" w:space="0" w:color="auto"/>
      </w:divBdr>
    </w:div>
    <w:div w:id="1455055049">
      <w:bodyDiv w:val="1"/>
      <w:marLeft w:val="0"/>
      <w:marRight w:val="0"/>
      <w:marTop w:val="0"/>
      <w:marBottom w:val="0"/>
      <w:divBdr>
        <w:top w:val="none" w:sz="0" w:space="0" w:color="auto"/>
        <w:left w:val="none" w:sz="0" w:space="0" w:color="auto"/>
        <w:bottom w:val="none" w:sz="0" w:space="0" w:color="auto"/>
        <w:right w:val="none" w:sz="0" w:space="0" w:color="auto"/>
      </w:divBdr>
    </w:div>
    <w:div w:id="1457069220">
      <w:bodyDiv w:val="1"/>
      <w:marLeft w:val="0"/>
      <w:marRight w:val="0"/>
      <w:marTop w:val="0"/>
      <w:marBottom w:val="0"/>
      <w:divBdr>
        <w:top w:val="none" w:sz="0" w:space="0" w:color="auto"/>
        <w:left w:val="none" w:sz="0" w:space="0" w:color="auto"/>
        <w:bottom w:val="none" w:sz="0" w:space="0" w:color="auto"/>
        <w:right w:val="none" w:sz="0" w:space="0" w:color="auto"/>
      </w:divBdr>
    </w:div>
    <w:div w:id="1460607132">
      <w:bodyDiv w:val="1"/>
      <w:marLeft w:val="0"/>
      <w:marRight w:val="0"/>
      <w:marTop w:val="0"/>
      <w:marBottom w:val="0"/>
      <w:divBdr>
        <w:top w:val="none" w:sz="0" w:space="0" w:color="auto"/>
        <w:left w:val="none" w:sz="0" w:space="0" w:color="auto"/>
        <w:bottom w:val="none" w:sz="0" w:space="0" w:color="auto"/>
        <w:right w:val="none" w:sz="0" w:space="0" w:color="auto"/>
      </w:divBdr>
    </w:div>
    <w:div w:id="1471635983">
      <w:bodyDiv w:val="1"/>
      <w:marLeft w:val="0"/>
      <w:marRight w:val="0"/>
      <w:marTop w:val="0"/>
      <w:marBottom w:val="0"/>
      <w:divBdr>
        <w:top w:val="none" w:sz="0" w:space="0" w:color="auto"/>
        <w:left w:val="none" w:sz="0" w:space="0" w:color="auto"/>
        <w:bottom w:val="none" w:sz="0" w:space="0" w:color="auto"/>
        <w:right w:val="none" w:sz="0" w:space="0" w:color="auto"/>
      </w:divBdr>
    </w:div>
    <w:div w:id="1492331149">
      <w:bodyDiv w:val="1"/>
      <w:marLeft w:val="0"/>
      <w:marRight w:val="0"/>
      <w:marTop w:val="0"/>
      <w:marBottom w:val="0"/>
      <w:divBdr>
        <w:top w:val="none" w:sz="0" w:space="0" w:color="auto"/>
        <w:left w:val="none" w:sz="0" w:space="0" w:color="auto"/>
        <w:bottom w:val="none" w:sz="0" w:space="0" w:color="auto"/>
        <w:right w:val="none" w:sz="0" w:space="0" w:color="auto"/>
      </w:divBdr>
    </w:div>
    <w:div w:id="1505707774">
      <w:bodyDiv w:val="1"/>
      <w:marLeft w:val="0"/>
      <w:marRight w:val="0"/>
      <w:marTop w:val="0"/>
      <w:marBottom w:val="0"/>
      <w:divBdr>
        <w:top w:val="none" w:sz="0" w:space="0" w:color="auto"/>
        <w:left w:val="none" w:sz="0" w:space="0" w:color="auto"/>
        <w:bottom w:val="none" w:sz="0" w:space="0" w:color="auto"/>
        <w:right w:val="none" w:sz="0" w:space="0" w:color="auto"/>
      </w:divBdr>
    </w:div>
    <w:div w:id="1517813819">
      <w:bodyDiv w:val="1"/>
      <w:marLeft w:val="0"/>
      <w:marRight w:val="0"/>
      <w:marTop w:val="0"/>
      <w:marBottom w:val="0"/>
      <w:divBdr>
        <w:top w:val="none" w:sz="0" w:space="0" w:color="auto"/>
        <w:left w:val="none" w:sz="0" w:space="0" w:color="auto"/>
        <w:bottom w:val="none" w:sz="0" w:space="0" w:color="auto"/>
        <w:right w:val="none" w:sz="0" w:space="0" w:color="auto"/>
      </w:divBdr>
    </w:div>
    <w:div w:id="1524054935">
      <w:bodyDiv w:val="1"/>
      <w:marLeft w:val="0"/>
      <w:marRight w:val="0"/>
      <w:marTop w:val="0"/>
      <w:marBottom w:val="0"/>
      <w:divBdr>
        <w:top w:val="none" w:sz="0" w:space="0" w:color="auto"/>
        <w:left w:val="none" w:sz="0" w:space="0" w:color="auto"/>
        <w:bottom w:val="none" w:sz="0" w:space="0" w:color="auto"/>
        <w:right w:val="none" w:sz="0" w:space="0" w:color="auto"/>
      </w:divBdr>
    </w:div>
    <w:div w:id="1528059616">
      <w:bodyDiv w:val="1"/>
      <w:marLeft w:val="0"/>
      <w:marRight w:val="0"/>
      <w:marTop w:val="0"/>
      <w:marBottom w:val="0"/>
      <w:divBdr>
        <w:top w:val="none" w:sz="0" w:space="0" w:color="auto"/>
        <w:left w:val="none" w:sz="0" w:space="0" w:color="auto"/>
        <w:bottom w:val="none" w:sz="0" w:space="0" w:color="auto"/>
        <w:right w:val="none" w:sz="0" w:space="0" w:color="auto"/>
      </w:divBdr>
    </w:div>
    <w:div w:id="1531802997">
      <w:bodyDiv w:val="1"/>
      <w:marLeft w:val="0"/>
      <w:marRight w:val="0"/>
      <w:marTop w:val="0"/>
      <w:marBottom w:val="0"/>
      <w:divBdr>
        <w:top w:val="none" w:sz="0" w:space="0" w:color="auto"/>
        <w:left w:val="none" w:sz="0" w:space="0" w:color="auto"/>
        <w:bottom w:val="none" w:sz="0" w:space="0" w:color="auto"/>
        <w:right w:val="none" w:sz="0" w:space="0" w:color="auto"/>
      </w:divBdr>
    </w:div>
    <w:div w:id="1533617361">
      <w:bodyDiv w:val="1"/>
      <w:marLeft w:val="0"/>
      <w:marRight w:val="0"/>
      <w:marTop w:val="0"/>
      <w:marBottom w:val="0"/>
      <w:divBdr>
        <w:top w:val="none" w:sz="0" w:space="0" w:color="auto"/>
        <w:left w:val="none" w:sz="0" w:space="0" w:color="auto"/>
        <w:bottom w:val="none" w:sz="0" w:space="0" w:color="auto"/>
        <w:right w:val="none" w:sz="0" w:space="0" w:color="auto"/>
      </w:divBdr>
    </w:div>
    <w:div w:id="1534465058">
      <w:bodyDiv w:val="1"/>
      <w:marLeft w:val="0"/>
      <w:marRight w:val="0"/>
      <w:marTop w:val="0"/>
      <w:marBottom w:val="0"/>
      <w:divBdr>
        <w:top w:val="none" w:sz="0" w:space="0" w:color="auto"/>
        <w:left w:val="none" w:sz="0" w:space="0" w:color="auto"/>
        <w:bottom w:val="none" w:sz="0" w:space="0" w:color="auto"/>
        <w:right w:val="none" w:sz="0" w:space="0" w:color="auto"/>
      </w:divBdr>
    </w:div>
    <w:div w:id="1535190139">
      <w:bodyDiv w:val="1"/>
      <w:marLeft w:val="0"/>
      <w:marRight w:val="0"/>
      <w:marTop w:val="0"/>
      <w:marBottom w:val="0"/>
      <w:divBdr>
        <w:top w:val="none" w:sz="0" w:space="0" w:color="auto"/>
        <w:left w:val="none" w:sz="0" w:space="0" w:color="auto"/>
        <w:bottom w:val="none" w:sz="0" w:space="0" w:color="auto"/>
        <w:right w:val="none" w:sz="0" w:space="0" w:color="auto"/>
      </w:divBdr>
    </w:div>
    <w:div w:id="1565146296">
      <w:bodyDiv w:val="1"/>
      <w:marLeft w:val="0"/>
      <w:marRight w:val="0"/>
      <w:marTop w:val="0"/>
      <w:marBottom w:val="0"/>
      <w:divBdr>
        <w:top w:val="none" w:sz="0" w:space="0" w:color="auto"/>
        <w:left w:val="none" w:sz="0" w:space="0" w:color="auto"/>
        <w:bottom w:val="none" w:sz="0" w:space="0" w:color="auto"/>
        <w:right w:val="none" w:sz="0" w:space="0" w:color="auto"/>
      </w:divBdr>
    </w:div>
    <w:div w:id="1573546347">
      <w:bodyDiv w:val="1"/>
      <w:marLeft w:val="0"/>
      <w:marRight w:val="0"/>
      <w:marTop w:val="0"/>
      <w:marBottom w:val="0"/>
      <w:divBdr>
        <w:top w:val="none" w:sz="0" w:space="0" w:color="auto"/>
        <w:left w:val="none" w:sz="0" w:space="0" w:color="auto"/>
        <w:bottom w:val="none" w:sz="0" w:space="0" w:color="auto"/>
        <w:right w:val="none" w:sz="0" w:space="0" w:color="auto"/>
      </w:divBdr>
    </w:div>
    <w:div w:id="1583490720">
      <w:bodyDiv w:val="1"/>
      <w:marLeft w:val="0"/>
      <w:marRight w:val="0"/>
      <w:marTop w:val="0"/>
      <w:marBottom w:val="0"/>
      <w:divBdr>
        <w:top w:val="none" w:sz="0" w:space="0" w:color="auto"/>
        <w:left w:val="none" w:sz="0" w:space="0" w:color="auto"/>
        <w:bottom w:val="none" w:sz="0" w:space="0" w:color="auto"/>
        <w:right w:val="none" w:sz="0" w:space="0" w:color="auto"/>
      </w:divBdr>
    </w:div>
    <w:div w:id="1586451577">
      <w:bodyDiv w:val="1"/>
      <w:marLeft w:val="0"/>
      <w:marRight w:val="0"/>
      <w:marTop w:val="0"/>
      <w:marBottom w:val="0"/>
      <w:divBdr>
        <w:top w:val="none" w:sz="0" w:space="0" w:color="auto"/>
        <w:left w:val="none" w:sz="0" w:space="0" w:color="auto"/>
        <w:bottom w:val="none" w:sz="0" w:space="0" w:color="auto"/>
        <w:right w:val="none" w:sz="0" w:space="0" w:color="auto"/>
      </w:divBdr>
    </w:div>
    <w:div w:id="1589656711">
      <w:bodyDiv w:val="1"/>
      <w:marLeft w:val="0"/>
      <w:marRight w:val="0"/>
      <w:marTop w:val="0"/>
      <w:marBottom w:val="0"/>
      <w:divBdr>
        <w:top w:val="none" w:sz="0" w:space="0" w:color="auto"/>
        <w:left w:val="none" w:sz="0" w:space="0" w:color="auto"/>
        <w:bottom w:val="none" w:sz="0" w:space="0" w:color="auto"/>
        <w:right w:val="none" w:sz="0" w:space="0" w:color="auto"/>
      </w:divBdr>
      <w:divsChild>
        <w:div w:id="675111268">
          <w:marLeft w:val="0"/>
          <w:marRight w:val="0"/>
          <w:marTop w:val="0"/>
          <w:marBottom w:val="0"/>
          <w:divBdr>
            <w:top w:val="none" w:sz="0" w:space="0" w:color="auto"/>
            <w:left w:val="none" w:sz="0" w:space="0" w:color="auto"/>
            <w:bottom w:val="none" w:sz="0" w:space="0" w:color="auto"/>
            <w:right w:val="none" w:sz="0" w:space="0" w:color="auto"/>
          </w:divBdr>
          <w:divsChild>
            <w:div w:id="774636498">
              <w:marLeft w:val="0"/>
              <w:marRight w:val="0"/>
              <w:marTop w:val="0"/>
              <w:marBottom w:val="0"/>
              <w:divBdr>
                <w:top w:val="none" w:sz="0" w:space="0" w:color="auto"/>
                <w:left w:val="none" w:sz="0" w:space="0" w:color="auto"/>
                <w:bottom w:val="none" w:sz="0" w:space="0" w:color="auto"/>
                <w:right w:val="none" w:sz="0" w:space="0" w:color="auto"/>
              </w:divBdr>
              <w:divsChild>
                <w:div w:id="1661034971">
                  <w:marLeft w:val="0"/>
                  <w:marRight w:val="0"/>
                  <w:marTop w:val="0"/>
                  <w:marBottom w:val="0"/>
                  <w:divBdr>
                    <w:top w:val="none" w:sz="0" w:space="0" w:color="auto"/>
                    <w:left w:val="none" w:sz="0" w:space="0" w:color="auto"/>
                    <w:bottom w:val="none" w:sz="0" w:space="0" w:color="auto"/>
                    <w:right w:val="none" w:sz="0" w:space="0" w:color="auto"/>
                  </w:divBdr>
                  <w:divsChild>
                    <w:div w:id="12294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84934">
      <w:bodyDiv w:val="1"/>
      <w:marLeft w:val="0"/>
      <w:marRight w:val="0"/>
      <w:marTop w:val="0"/>
      <w:marBottom w:val="0"/>
      <w:divBdr>
        <w:top w:val="none" w:sz="0" w:space="0" w:color="auto"/>
        <w:left w:val="none" w:sz="0" w:space="0" w:color="auto"/>
        <w:bottom w:val="none" w:sz="0" w:space="0" w:color="auto"/>
        <w:right w:val="none" w:sz="0" w:space="0" w:color="auto"/>
      </w:divBdr>
    </w:div>
    <w:div w:id="1615668764">
      <w:bodyDiv w:val="1"/>
      <w:marLeft w:val="0"/>
      <w:marRight w:val="0"/>
      <w:marTop w:val="0"/>
      <w:marBottom w:val="0"/>
      <w:divBdr>
        <w:top w:val="none" w:sz="0" w:space="0" w:color="auto"/>
        <w:left w:val="none" w:sz="0" w:space="0" w:color="auto"/>
        <w:bottom w:val="none" w:sz="0" w:space="0" w:color="auto"/>
        <w:right w:val="none" w:sz="0" w:space="0" w:color="auto"/>
      </w:divBdr>
    </w:div>
    <w:div w:id="1626766312">
      <w:bodyDiv w:val="1"/>
      <w:marLeft w:val="0"/>
      <w:marRight w:val="0"/>
      <w:marTop w:val="0"/>
      <w:marBottom w:val="0"/>
      <w:divBdr>
        <w:top w:val="none" w:sz="0" w:space="0" w:color="auto"/>
        <w:left w:val="none" w:sz="0" w:space="0" w:color="auto"/>
        <w:bottom w:val="none" w:sz="0" w:space="0" w:color="auto"/>
        <w:right w:val="none" w:sz="0" w:space="0" w:color="auto"/>
      </w:divBdr>
    </w:div>
    <w:div w:id="1635213552">
      <w:bodyDiv w:val="1"/>
      <w:marLeft w:val="0"/>
      <w:marRight w:val="0"/>
      <w:marTop w:val="0"/>
      <w:marBottom w:val="0"/>
      <w:divBdr>
        <w:top w:val="none" w:sz="0" w:space="0" w:color="auto"/>
        <w:left w:val="none" w:sz="0" w:space="0" w:color="auto"/>
        <w:bottom w:val="none" w:sz="0" w:space="0" w:color="auto"/>
        <w:right w:val="none" w:sz="0" w:space="0" w:color="auto"/>
      </w:divBdr>
    </w:div>
    <w:div w:id="1639146232">
      <w:bodyDiv w:val="1"/>
      <w:marLeft w:val="0"/>
      <w:marRight w:val="0"/>
      <w:marTop w:val="0"/>
      <w:marBottom w:val="0"/>
      <w:divBdr>
        <w:top w:val="none" w:sz="0" w:space="0" w:color="auto"/>
        <w:left w:val="none" w:sz="0" w:space="0" w:color="auto"/>
        <w:bottom w:val="none" w:sz="0" w:space="0" w:color="auto"/>
        <w:right w:val="none" w:sz="0" w:space="0" w:color="auto"/>
      </w:divBdr>
    </w:div>
    <w:div w:id="1639918454">
      <w:bodyDiv w:val="1"/>
      <w:marLeft w:val="0"/>
      <w:marRight w:val="0"/>
      <w:marTop w:val="0"/>
      <w:marBottom w:val="0"/>
      <w:divBdr>
        <w:top w:val="none" w:sz="0" w:space="0" w:color="auto"/>
        <w:left w:val="none" w:sz="0" w:space="0" w:color="auto"/>
        <w:bottom w:val="none" w:sz="0" w:space="0" w:color="auto"/>
        <w:right w:val="none" w:sz="0" w:space="0" w:color="auto"/>
      </w:divBdr>
    </w:div>
    <w:div w:id="1645040867">
      <w:bodyDiv w:val="1"/>
      <w:marLeft w:val="0"/>
      <w:marRight w:val="0"/>
      <w:marTop w:val="0"/>
      <w:marBottom w:val="0"/>
      <w:divBdr>
        <w:top w:val="none" w:sz="0" w:space="0" w:color="auto"/>
        <w:left w:val="none" w:sz="0" w:space="0" w:color="auto"/>
        <w:bottom w:val="none" w:sz="0" w:space="0" w:color="auto"/>
        <w:right w:val="none" w:sz="0" w:space="0" w:color="auto"/>
      </w:divBdr>
    </w:div>
    <w:div w:id="1647512192">
      <w:bodyDiv w:val="1"/>
      <w:marLeft w:val="0"/>
      <w:marRight w:val="0"/>
      <w:marTop w:val="0"/>
      <w:marBottom w:val="0"/>
      <w:divBdr>
        <w:top w:val="none" w:sz="0" w:space="0" w:color="auto"/>
        <w:left w:val="none" w:sz="0" w:space="0" w:color="auto"/>
        <w:bottom w:val="none" w:sz="0" w:space="0" w:color="auto"/>
        <w:right w:val="none" w:sz="0" w:space="0" w:color="auto"/>
      </w:divBdr>
    </w:div>
    <w:div w:id="1675181491">
      <w:bodyDiv w:val="1"/>
      <w:marLeft w:val="0"/>
      <w:marRight w:val="0"/>
      <w:marTop w:val="0"/>
      <w:marBottom w:val="0"/>
      <w:divBdr>
        <w:top w:val="none" w:sz="0" w:space="0" w:color="auto"/>
        <w:left w:val="none" w:sz="0" w:space="0" w:color="auto"/>
        <w:bottom w:val="none" w:sz="0" w:space="0" w:color="auto"/>
        <w:right w:val="none" w:sz="0" w:space="0" w:color="auto"/>
      </w:divBdr>
    </w:div>
    <w:div w:id="1693997661">
      <w:bodyDiv w:val="1"/>
      <w:marLeft w:val="0"/>
      <w:marRight w:val="0"/>
      <w:marTop w:val="0"/>
      <w:marBottom w:val="0"/>
      <w:divBdr>
        <w:top w:val="none" w:sz="0" w:space="0" w:color="auto"/>
        <w:left w:val="none" w:sz="0" w:space="0" w:color="auto"/>
        <w:bottom w:val="none" w:sz="0" w:space="0" w:color="auto"/>
        <w:right w:val="none" w:sz="0" w:space="0" w:color="auto"/>
      </w:divBdr>
    </w:div>
    <w:div w:id="1700662139">
      <w:bodyDiv w:val="1"/>
      <w:marLeft w:val="0"/>
      <w:marRight w:val="0"/>
      <w:marTop w:val="0"/>
      <w:marBottom w:val="0"/>
      <w:divBdr>
        <w:top w:val="none" w:sz="0" w:space="0" w:color="auto"/>
        <w:left w:val="none" w:sz="0" w:space="0" w:color="auto"/>
        <w:bottom w:val="none" w:sz="0" w:space="0" w:color="auto"/>
        <w:right w:val="none" w:sz="0" w:space="0" w:color="auto"/>
      </w:divBdr>
    </w:div>
    <w:div w:id="1705905035">
      <w:bodyDiv w:val="1"/>
      <w:marLeft w:val="0"/>
      <w:marRight w:val="0"/>
      <w:marTop w:val="0"/>
      <w:marBottom w:val="0"/>
      <w:divBdr>
        <w:top w:val="none" w:sz="0" w:space="0" w:color="auto"/>
        <w:left w:val="none" w:sz="0" w:space="0" w:color="auto"/>
        <w:bottom w:val="none" w:sz="0" w:space="0" w:color="auto"/>
        <w:right w:val="none" w:sz="0" w:space="0" w:color="auto"/>
      </w:divBdr>
    </w:div>
    <w:div w:id="1708215732">
      <w:bodyDiv w:val="1"/>
      <w:marLeft w:val="0"/>
      <w:marRight w:val="0"/>
      <w:marTop w:val="0"/>
      <w:marBottom w:val="0"/>
      <w:divBdr>
        <w:top w:val="none" w:sz="0" w:space="0" w:color="auto"/>
        <w:left w:val="none" w:sz="0" w:space="0" w:color="auto"/>
        <w:bottom w:val="none" w:sz="0" w:space="0" w:color="auto"/>
        <w:right w:val="none" w:sz="0" w:space="0" w:color="auto"/>
      </w:divBdr>
    </w:div>
    <w:div w:id="1709404573">
      <w:bodyDiv w:val="1"/>
      <w:marLeft w:val="0"/>
      <w:marRight w:val="0"/>
      <w:marTop w:val="0"/>
      <w:marBottom w:val="0"/>
      <w:divBdr>
        <w:top w:val="none" w:sz="0" w:space="0" w:color="auto"/>
        <w:left w:val="none" w:sz="0" w:space="0" w:color="auto"/>
        <w:bottom w:val="none" w:sz="0" w:space="0" w:color="auto"/>
        <w:right w:val="none" w:sz="0" w:space="0" w:color="auto"/>
      </w:divBdr>
    </w:div>
    <w:div w:id="1713310724">
      <w:bodyDiv w:val="1"/>
      <w:marLeft w:val="0"/>
      <w:marRight w:val="0"/>
      <w:marTop w:val="0"/>
      <w:marBottom w:val="0"/>
      <w:divBdr>
        <w:top w:val="none" w:sz="0" w:space="0" w:color="auto"/>
        <w:left w:val="none" w:sz="0" w:space="0" w:color="auto"/>
        <w:bottom w:val="none" w:sz="0" w:space="0" w:color="auto"/>
        <w:right w:val="none" w:sz="0" w:space="0" w:color="auto"/>
      </w:divBdr>
    </w:div>
    <w:div w:id="1725788045">
      <w:bodyDiv w:val="1"/>
      <w:marLeft w:val="0"/>
      <w:marRight w:val="0"/>
      <w:marTop w:val="0"/>
      <w:marBottom w:val="0"/>
      <w:divBdr>
        <w:top w:val="none" w:sz="0" w:space="0" w:color="auto"/>
        <w:left w:val="none" w:sz="0" w:space="0" w:color="auto"/>
        <w:bottom w:val="none" w:sz="0" w:space="0" w:color="auto"/>
        <w:right w:val="none" w:sz="0" w:space="0" w:color="auto"/>
      </w:divBdr>
    </w:div>
    <w:div w:id="1768621832">
      <w:bodyDiv w:val="1"/>
      <w:marLeft w:val="0"/>
      <w:marRight w:val="0"/>
      <w:marTop w:val="0"/>
      <w:marBottom w:val="0"/>
      <w:divBdr>
        <w:top w:val="none" w:sz="0" w:space="0" w:color="auto"/>
        <w:left w:val="none" w:sz="0" w:space="0" w:color="auto"/>
        <w:bottom w:val="none" w:sz="0" w:space="0" w:color="auto"/>
        <w:right w:val="none" w:sz="0" w:space="0" w:color="auto"/>
      </w:divBdr>
    </w:div>
    <w:div w:id="1776052161">
      <w:bodyDiv w:val="1"/>
      <w:marLeft w:val="0"/>
      <w:marRight w:val="0"/>
      <w:marTop w:val="0"/>
      <w:marBottom w:val="0"/>
      <w:divBdr>
        <w:top w:val="none" w:sz="0" w:space="0" w:color="auto"/>
        <w:left w:val="none" w:sz="0" w:space="0" w:color="auto"/>
        <w:bottom w:val="none" w:sz="0" w:space="0" w:color="auto"/>
        <w:right w:val="none" w:sz="0" w:space="0" w:color="auto"/>
      </w:divBdr>
    </w:div>
    <w:div w:id="1785225685">
      <w:bodyDiv w:val="1"/>
      <w:marLeft w:val="0"/>
      <w:marRight w:val="0"/>
      <w:marTop w:val="0"/>
      <w:marBottom w:val="0"/>
      <w:divBdr>
        <w:top w:val="none" w:sz="0" w:space="0" w:color="auto"/>
        <w:left w:val="none" w:sz="0" w:space="0" w:color="auto"/>
        <w:bottom w:val="none" w:sz="0" w:space="0" w:color="auto"/>
        <w:right w:val="none" w:sz="0" w:space="0" w:color="auto"/>
      </w:divBdr>
    </w:div>
    <w:div w:id="1797720596">
      <w:bodyDiv w:val="1"/>
      <w:marLeft w:val="0"/>
      <w:marRight w:val="0"/>
      <w:marTop w:val="0"/>
      <w:marBottom w:val="0"/>
      <w:divBdr>
        <w:top w:val="none" w:sz="0" w:space="0" w:color="auto"/>
        <w:left w:val="none" w:sz="0" w:space="0" w:color="auto"/>
        <w:bottom w:val="none" w:sz="0" w:space="0" w:color="auto"/>
        <w:right w:val="none" w:sz="0" w:space="0" w:color="auto"/>
      </w:divBdr>
    </w:div>
    <w:div w:id="1800297729">
      <w:bodyDiv w:val="1"/>
      <w:marLeft w:val="0"/>
      <w:marRight w:val="0"/>
      <w:marTop w:val="0"/>
      <w:marBottom w:val="0"/>
      <w:divBdr>
        <w:top w:val="none" w:sz="0" w:space="0" w:color="auto"/>
        <w:left w:val="none" w:sz="0" w:space="0" w:color="auto"/>
        <w:bottom w:val="none" w:sz="0" w:space="0" w:color="auto"/>
        <w:right w:val="none" w:sz="0" w:space="0" w:color="auto"/>
      </w:divBdr>
    </w:div>
    <w:div w:id="1802963760">
      <w:bodyDiv w:val="1"/>
      <w:marLeft w:val="0"/>
      <w:marRight w:val="0"/>
      <w:marTop w:val="0"/>
      <w:marBottom w:val="0"/>
      <w:divBdr>
        <w:top w:val="none" w:sz="0" w:space="0" w:color="auto"/>
        <w:left w:val="none" w:sz="0" w:space="0" w:color="auto"/>
        <w:bottom w:val="none" w:sz="0" w:space="0" w:color="auto"/>
        <w:right w:val="none" w:sz="0" w:space="0" w:color="auto"/>
      </w:divBdr>
    </w:div>
    <w:div w:id="1810631022">
      <w:bodyDiv w:val="1"/>
      <w:marLeft w:val="0"/>
      <w:marRight w:val="0"/>
      <w:marTop w:val="0"/>
      <w:marBottom w:val="0"/>
      <w:divBdr>
        <w:top w:val="none" w:sz="0" w:space="0" w:color="auto"/>
        <w:left w:val="none" w:sz="0" w:space="0" w:color="auto"/>
        <w:bottom w:val="none" w:sz="0" w:space="0" w:color="auto"/>
        <w:right w:val="none" w:sz="0" w:space="0" w:color="auto"/>
      </w:divBdr>
    </w:div>
    <w:div w:id="1812868519">
      <w:bodyDiv w:val="1"/>
      <w:marLeft w:val="0"/>
      <w:marRight w:val="0"/>
      <w:marTop w:val="0"/>
      <w:marBottom w:val="0"/>
      <w:divBdr>
        <w:top w:val="none" w:sz="0" w:space="0" w:color="auto"/>
        <w:left w:val="none" w:sz="0" w:space="0" w:color="auto"/>
        <w:bottom w:val="none" w:sz="0" w:space="0" w:color="auto"/>
        <w:right w:val="none" w:sz="0" w:space="0" w:color="auto"/>
      </w:divBdr>
    </w:div>
    <w:div w:id="1818497689">
      <w:bodyDiv w:val="1"/>
      <w:marLeft w:val="0"/>
      <w:marRight w:val="0"/>
      <w:marTop w:val="0"/>
      <w:marBottom w:val="0"/>
      <w:divBdr>
        <w:top w:val="none" w:sz="0" w:space="0" w:color="auto"/>
        <w:left w:val="none" w:sz="0" w:space="0" w:color="auto"/>
        <w:bottom w:val="none" w:sz="0" w:space="0" w:color="auto"/>
        <w:right w:val="none" w:sz="0" w:space="0" w:color="auto"/>
      </w:divBdr>
    </w:div>
    <w:div w:id="1818767371">
      <w:bodyDiv w:val="1"/>
      <w:marLeft w:val="0"/>
      <w:marRight w:val="0"/>
      <w:marTop w:val="0"/>
      <w:marBottom w:val="0"/>
      <w:divBdr>
        <w:top w:val="none" w:sz="0" w:space="0" w:color="auto"/>
        <w:left w:val="none" w:sz="0" w:space="0" w:color="auto"/>
        <w:bottom w:val="none" w:sz="0" w:space="0" w:color="auto"/>
        <w:right w:val="none" w:sz="0" w:space="0" w:color="auto"/>
      </w:divBdr>
    </w:div>
    <w:div w:id="1820223646">
      <w:bodyDiv w:val="1"/>
      <w:marLeft w:val="0"/>
      <w:marRight w:val="0"/>
      <w:marTop w:val="0"/>
      <w:marBottom w:val="0"/>
      <w:divBdr>
        <w:top w:val="none" w:sz="0" w:space="0" w:color="auto"/>
        <w:left w:val="none" w:sz="0" w:space="0" w:color="auto"/>
        <w:bottom w:val="none" w:sz="0" w:space="0" w:color="auto"/>
        <w:right w:val="none" w:sz="0" w:space="0" w:color="auto"/>
      </w:divBdr>
    </w:div>
    <w:div w:id="1836068091">
      <w:bodyDiv w:val="1"/>
      <w:marLeft w:val="0"/>
      <w:marRight w:val="0"/>
      <w:marTop w:val="0"/>
      <w:marBottom w:val="0"/>
      <w:divBdr>
        <w:top w:val="none" w:sz="0" w:space="0" w:color="auto"/>
        <w:left w:val="none" w:sz="0" w:space="0" w:color="auto"/>
        <w:bottom w:val="none" w:sz="0" w:space="0" w:color="auto"/>
        <w:right w:val="none" w:sz="0" w:space="0" w:color="auto"/>
      </w:divBdr>
    </w:div>
    <w:div w:id="1840149671">
      <w:bodyDiv w:val="1"/>
      <w:marLeft w:val="0"/>
      <w:marRight w:val="0"/>
      <w:marTop w:val="0"/>
      <w:marBottom w:val="0"/>
      <w:divBdr>
        <w:top w:val="none" w:sz="0" w:space="0" w:color="auto"/>
        <w:left w:val="none" w:sz="0" w:space="0" w:color="auto"/>
        <w:bottom w:val="none" w:sz="0" w:space="0" w:color="auto"/>
        <w:right w:val="none" w:sz="0" w:space="0" w:color="auto"/>
      </w:divBdr>
    </w:div>
    <w:div w:id="1840345733">
      <w:bodyDiv w:val="1"/>
      <w:marLeft w:val="0"/>
      <w:marRight w:val="0"/>
      <w:marTop w:val="0"/>
      <w:marBottom w:val="0"/>
      <w:divBdr>
        <w:top w:val="none" w:sz="0" w:space="0" w:color="auto"/>
        <w:left w:val="none" w:sz="0" w:space="0" w:color="auto"/>
        <w:bottom w:val="none" w:sz="0" w:space="0" w:color="auto"/>
        <w:right w:val="none" w:sz="0" w:space="0" w:color="auto"/>
      </w:divBdr>
    </w:div>
    <w:div w:id="1849441854">
      <w:bodyDiv w:val="1"/>
      <w:marLeft w:val="0"/>
      <w:marRight w:val="0"/>
      <w:marTop w:val="0"/>
      <w:marBottom w:val="0"/>
      <w:divBdr>
        <w:top w:val="none" w:sz="0" w:space="0" w:color="auto"/>
        <w:left w:val="none" w:sz="0" w:space="0" w:color="auto"/>
        <w:bottom w:val="none" w:sz="0" w:space="0" w:color="auto"/>
        <w:right w:val="none" w:sz="0" w:space="0" w:color="auto"/>
      </w:divBdr>
    </w:div>
    <w:div w:id="1868987949">
      <w:bodyDiv w:val="1"/>
      <w:marLeft w:val="0"/>
      <w:marRight w:val="0"/>
      <w:marTop w:val="0"/>
      <w:marBottom w:val="0"/>
      <w:divBdr>
        <w:top w:val="none" w:sz="0" w:space="0" w:color="auto"/>
        <w:left w:val="none" w:sz="0" w:space="0" w:color="auto"/>
        <w:bottom w:val="none" w:sz="0" w:space="0" w:color="auto"/>
        <w:right w:val="none" w:sz="0" w:space="0" w:color="auto"/>
      </w:divBdr>
    </w:div>
    <w:div w:id="1874226209">
      <w:bodyDiv w:val="1"/>
      <w:marLeft w:val="0"/>
      <w:marRight w:val="0"/>
      <w:marTop w:val="0"/>
      <w:marBottom w:val="0"/>
      <w:divBdr>
        <w:top w:val="none" w:sz="0" w:space="0" w:color="auto"/>
        <w:left w:val="none" w:sz="0" w:space="0" w:color="auto"/>
        <w:bottom w:val="none" w:sz="0" w:space="0" w:color="auto"/>
        <w:right w:val="none" w:sz="0" w:space="0" w:color="auto"/>
      </w:divBdr>
    </w:div>
    <w:div w:id="1899052767">
      <w:bodyDiv w:val="1"/>
      <w:marLeft w:val="0"/>
      <w:marRight w:val="0"/>
      <w:marTop w:val="0"/>
      <w:marBottom w:val="0"/>
      <w:divBdr>
        <w:top w:val="none" w:sz="0" w:space="0" w:color="auto"/>
        <w:left w:val="none" w:sz="0" w:space="0" w:color="auto"/>
        <w:bottom w:val="none" w:sz="0" w:space="0" w:color="auto"/>
        <w:right w:val="none" w:sz="0" w:space="0" w:color="auto"/>
      </w:divBdr>
    </w:div>
    <w:div w:id="1903711231">
      <w:bodyDiv w:val="1"/>
      <w:marLeft w:val="0"/>
      <w:marRight w:val="0"/>
      <w:marTop w:val="0"/>
      <w:marBottom w:val="0"/>
      <w:divBdr>
        <w:top w:val="none" w:sz="0" w:space="0" w:color="auto"/>
        <w:left w:val="none" w:sz="0" w:space="0" w:color="auto"/>
        <w:bottom w:val="none" w:sz="0" w:space="0" w:color="auto"/>
        <w:right w:val="none" w:sz="0" w:space="0" w:color="auto"/>
      </w:divBdr>
    </w:div>
    <w:div w:id="1909487729">
      <w:bodyDiv w:val="1"/>
      <w:marLeft w:val="0"/>
      <w:marRight w:val="0"/>
      <w:marTop w:val="0"/>
      <w:marBottom w:val="0"/>
      <w:divBdr>
        <w:top w:val="none" w:sz="0" w:space="0" w:color="auto"/>
        <w:left w:val="none" w:sz="0" w:space="0" w:color="auto"/>
        <w:bottom w:val="none" w:sz="0" w:space="0" w:color="auto"/>
        <w:right w:val="none" w:sz="0" w:space="0" w:color="auto"/>
      </w:divBdr>
    </w:div>
    <w:div w:id="1914586674">
      <w:bodyDiv w:val="1"/>
      <w:marLeft w:val="0"/>
      <w:marRight w:val="0"/>
      <w:marTop w:val="0"/>
      <w:marBottom w:val="0"/>
      <w:divBdr>
        <w:top w:val="none" w:sz="0" w:space="0" w:color="auto"/>
        <w:left w:val="none" w:sz="0" w:space="0" w:color="auto"/>
        <w:bottom w:val="none" w:sz="0" w:space="0" w:color="auto"/>
        <w:right w:val="none" w:sz="0" w:space="0" w:color="auto"/>
      </w:divBdr>
    </w:div>
    <w:div w:id="1929071613">
      <w:bodyDiv w:val="1"/>
      <w:marLeft w:val="0"/>
      <w:marRight w:val="0"/>
      <w:marTop w:val="0"/>
      <w:marBottom w:val="0"/>
      <w:divBdr>
        <w:top w:val="none" w:sz="0" w:space="0" w:color="auto"/>
        <w:left w:val="none" w:sz="0" w:space="0" w:color="auto"/>
        <w:bottom w:val="none" w:sz="0" w:space="0" w:color="auto"/>
        <w:right w:val="none" w:sz="0" w:space="0" w:color="auto"/>
      </w:divBdr>
    </w:div>
    <w:div w:id="1933855755">
      <w:bodyDiv w:val="1"/>
      <w:marLeft w:val="0"/>
      <w:marRight w:val="0"/>
      <w:marTop w:val="0"/>
      <w:marBottom w:val="0"/>
      <w:divBdr>
        <w:top w:val="none" w:sz="0" w:space="0" w:color="auto"/>
        <w:left w:val="none" w:sz="0" w:space="0" w:color="auto"/>
        <w:bottom w:val="none" w:sz="0" w:space="0" w:color="auto"/>
        <w:right w:val="none" w:sz="0" w:space="0" w:color="auto"/>
      </w:divBdr>
    </w:div>
    <w:div w:id="1934582113">
      <w:bodyDiv w:val="1"/>
      <w:marLeft w:val="0"/>
      <w:marRight w:val="0"/>
      <w:marTop w:val="0"/>
      <w:marBottom w:val="0"/>
      <w:divBdr>
        <w:top w:val="none" w:sz="0" w:space="0" w:color="auto"/>
        <w:left w:val="none" w:sz="0" w:space="0" w:color="auto"/>
        <w:bottom w:val="none" w:sz="0" w:space="0" w:color="auto"/>
        <w:right w:val="none" w:sz="0" w:space="0" w:color="auto"/>
      </w:divBdr>
    </w:div>
    <w:div w:id="1944848136">
      <w:bodyDiv w:val="1"/>
      <w:marLeft w:val="0"/>
      <w:marRight w:val="0"/>
      <w:marTop w:val="0"/>
      <w:marBottom w:val="0"/>
      <w:divBdr>
        <w:top w:val="none" w:sz="0" w:space="0" w:color="auto"/>
        <w:left w:val="none" w:sz="0" w:space="0" w:color="auto"/>
        <w:bottom w:val="none" w:sz="0" w:space="0" w:color="auto"/>
        <w:right w:val="none" w:sz="0" w:space="0" w:color="auto"/>
      </w:divBdr>
    </w:div>
    <w:div w:id="1948073195">
      <w:bodyDiv w:val="1"/>
      <w:marLeft w:val="0"/>
      <w:marRight w:val="0"/>
      <w:marTop w:val="0"/>
      <w:marBottom w:val="0"/>
      <w:divBdr>
        <w:top w:val="none" w:sz="0" w:space="0" w:color="auto"/>
        <w:left w:val="none" w:sz="0" w:space="0" w:color="auto"/>
        <w:bottom w:val="none" w:sz="0" w:space="0" w:color="auto"/>
        <w:right w:val="none" w:sz="0" w:space="0" w:color="auto"/>
      </w:divBdr>
    </w:div>
    <w:div w:id="1985113415">
      <w:bodyDiv w:val="1"/>
      <w:marLeft w:val="0"/>
      <w:marRight w:val="0"/>
      <w:marTop w:val="0"/>
      <w:marBottom w:val="0"/>
      <w:divBdr>
        <w:top w:val="none" w:sz="0" w:space="0" w:color="auto"/>
        <w:left w:val="none" w:sz="0" w:space="0" w:color="auto"/>
        <w:bottom w:val="none" w:sz="0" w:space="0" w:color="auto"/>
        <w:right w:val="none" w:sz="0" w:space="0" w:color="auto"/>
      </w:divBdr>
    </w:div>
    <w:div w:id="1985305835">
      <w:bodyDiv w:val="1"/>
      <w:marLeft w:val="0"/>
      <w:marRight w:val="0"/>
      <w:marTop w:val="0"/>
      <w:marBottom w:val="0"/>
      <w:divBdr>
        <w:top w:val="none" w:sz="0" w:space="0" w:color="auto"/>
        <w:left w:val="none" w:sz="0" w:space="0" w:color="auto"/>
        <w:bottom w:val="none" w:sz="0" w:space="0" w:color="auto"/>
        <w:right w:val="none" w:sz="0" w:space="0" w:color="auto"/>
      </w:divBdr>
    </w:div>
    <w:div w:id="1986084324">
      <w:bodyDiv w:val="1"/>
      <w:marLeft w:val="0"/>
      <w:marRight w:val="0"/>
      <w:marTop w:val="0"/>
      <w:marBottom w:val="0"/>
      <w:divBdr>
        <w:top w:val="none" w:sz="0" w:space="0" w:color="auto"/>
        <w:left w:val="none" w:sz="0" w:space="0" w:color="auto"/>
        <w:bottom w:val="none" w:sz="0" w:space="0" w:color="auto"/>
        <w:right w:val="none" w:sz="0" w:space="0" w:color="auto"/>
      </w:divBdr>
    </w:div>
    <w:div w:id="1994260846">
      <w:bodyDiv w:val="1"/>
      <w:marLeft w:val="0"/>
      <w:marRight w:val="0"/>
      <w:marTop w:val="0"/>
      <w:marBottom w:val="0"/>
      <w:divBdr>
        <w:top w:val="none" w:sz="0" w:space="0" w:color="auto"/>
        <w:left w:val="none" w:sz="0" w:space="0" w:color="auto"/>
        <w:bottom w:val="none" w:sz="0" w:space="0" w:color="auto"/>
        <w:right w:val="none" w:sz="0" w:space="0" w:color="auto"/>
      </w:divBdr>
    </w:div>
    <w:div w:id="2007702218">
      <w:bodyDiv w:val="1"/>
      <w:marLeft w:val="0"/>
      <w:marRight w:val="0"/>
      <w:marTop w:val="0"/>
      <w:marBottom w:val="0"/>
      <w:divBdr>
        <w:top w:val="none" w:sz="0" w:space="0" w:color="auto"/>
        <w:left w:val="none" w:sz="0" w:space="0" w:color="auto"/>
        <w:bottom w:val="none" w:sz="0" w:space="0" w:color="auto"/>
        <w:right w:val="none" w:sz="0" w:space="0" w:color="auto"/>
      </w:divBdr>
    </w:div>
    <w:div w:id="2010864595">
      <w:bodyDiv w:val="1"/>
      <w:marLeft w:val="0"/>
      <w:marRight w:val="0"/>
      <w:marTop w:val="0"/>
      <w:marBottom w:val="0"/>
      <w:divBdr>
        <w:top w:val="none" w:sz="0" w:space="0" w:color="auto"/>
        <w:left w:val="none" w:sz="0" w:space="0" w:color="auto"/>
        <w:bottom w:val="none" w:sz="0" w:space="0" w:color="auto"/>
        <w:right w:val="none" w:sz="0" w:space="0" w:color="auto"/>
      </w:divBdr>
    </w:div>
    <w:div w:id="2014524495">
      <w:bodyDiv w:val="1"/>
      <w:marLeft w:val="0"/>
      <w:marRight w:val="0"/>
      <w:marTop w:val="0"/>
      <w:marBottom w:val="0"/>
      <w:divBdr>
        <w:top w:val="none" w:sz="0" w:space="0" w:color="auto"/>
        <w:left w:val="none" w:sz="0" w:space="0" w:color="auto"/>
        <w:bottom w:val="none" w:sz="0" w:space="0" w:color="auto"/>
        <w:right w:val="none" w:sz="0" w:space="0" w:color="auto"/>
      </w:divBdr>
    </w:div>
    <w:div w:id="2030137392">
      <w:bodyDiv w:val="1"/>
      <w:marLeft w:val="0"/>
      <w:marRight w:val="0"/>
      <w:marTop w:val="0"/>
      <w:marBottom w:val="0"/>
      <w:divBdr>
        <w:top w:val="none" w:sz="0" w:space="0" w:color="auto"/>
        <w:left w:val="none" w:sz="0" w:space="0" w:color="auto"/>
        <w:bottom w:val="none" w:sz="0" w:space="0" w:color="auto"/>
        <w:right w:val="none" w:sz="0" w:space="0" w:color="auto"/>
      </w:divBdr>
    </w:div>
    <w:div w:id="2064329027">
      <w:bodyDiv w:val="1"/>
      <w:marLeft w:val="0"/>
      <w:marRight w:val="0"/>
      <w:marTop w:val="0"/>
      <w:marBottom w:val="0"/>
      <w:divBdr>
        <w:top w:val="none" w:sz="0" w:space="0" w:color="auto"/>
        <w:left w:val="none" w:sz="0" w:space="0" w:color="auto"/>
        <w:bottom w:val="none" w:sz="0" w:space="0" w:color="auto"/>
        <w:right w:val="none" w:sz="0" w:space="0" w:color="auto"/>
      </w:divBdr>
    </w:div>
    <w:div w:id="2082753265">
      <w:bodyDiv w:val="1"/>
      <w:marLeft w:val="0"/>
      <w:marRight w:val="0"/>
      <w:marTop w:val="0"/>
      <w:marBottom w:val="0"/>
      <w:divBdr>
        <w:top w:val="none" w:sz="0" w:space="0" w:color="auto"/>
        <w:left w:val="none" w:sz="0" w:space="0" w:color="auto"/>
        <w:bottom w:val="none" w:sz="0" w:space="0" w:color="auto"/>
        <w:right w:val="none" w:sz="0" w:space="0" w:color="auto"/>
      </w:divBdr>
    </w:div>
    <w:div w:id="2082754202">
      <w:bodyDiv w:val="1"/>
      <w:marLeft w:val="0"/>
      <w:marRight w:val="0"/>
      <w:marTop w:val="0"/>
      <w:marBottom w:val="0"/>
      <w:divBdr>
        <w:top w:val="none" w:sz="0" w:space="0" w:color="auto"/>
        <w:left w:val="none" w:sz="0" w:space="0" w:color="auto"/>
        <w:bottom w:val="none" w:sz="0" w:space="0" w:color="auto"/>
        <w:right w:val="none" w:sz="0" w:space="0" w:color="auto"/>
      </w:divBdr>
    </w:div>
    <w:div w:id="2098090802">
      <w:bodyDiv w:val="1"/>
      <w:marLeft w:val="0"/>
      <w:marRight w:val="0"/>
      <w:marTop w:val="0"/>
      <w:marBottom w:val="0"/>
      <w:divBdr>
        <w:top w:val="none" w:sz="0" w:space="0" w:color="auto"/>
        <w:left w:val="none" w:sz="0" w:space="0" w:color="auto"/>
        <w:bottom w:val="none" w:sz="0" w:space="0" w:color="auto"/>
        <w:right w:val="none" w:sz="0" w:space="0" w:color="auto"/>
      </w:divBdr>
    </w:div>
    <w:div w:id="2112890171">
      <w:bodyDiv w:val="1"/>
      <w:marLeft w:val="0"/>
      <w:marRight w:val="0"/>
      <w:marTop w:val="0"/>
      <w:marBottom w:val="0"/>
      <w:divBdr>
        <w:top w:val="none" w:sz="0" w:space="0" w:color="auto"/>
        <w:left w:val="none" w:sz="0" w:space="0" w:color="auto"/>
        <w:bottom w:val="none" w:sz="0" w:space="0" w:color="auto"/>
        <w:right w:val="none" w:sz="0" w:space="0" w:color="auto"/>
      </w:divBdr>
    </w:div>
    <w:div w:id="2114859165">
      <w:bodyDiv w:val="1"/>
      <w:marLeft w:val="0"/>
      <w:marRight w:val="0"/>
      <w:marTop w:val="0"/>
      <w:marBottom w:val="0"/>
      <w:divBdr>
        <w:top w:val="none" w:sz="0" w:space="0" w:color="auto"/>
        <w:left w:val="none" w:sz="0" w:space="0" w:color="auto"/>
        <w:bottom w:val="none" w:sz="0" w:space="0" w:color="auto"/>
        <w:right w:val="none" w:sz="0" w:space="0" w:color="auto"/>
      </w:divBdr>
    </w:div>
    <w:div w:id="2116751154">
      <w:bodyDiv w:val="1"/>
      <w:marLeft w:val="0"/>
      <w:marRight w:val="0"/>
      <w:marTop w:val="0"/>
      <w:marBottom w:val="0"/>
      <w:divBdr>
        <w:top w:val="none" w:sz="0" w:space="0" w:color="auto"/>
        <w:left w:val="none" w:sz="0" w:space="0" w:color="auto"/>
        <w:bottom w:val="none" w:sz="0" w:space="0" w:color="auto"/>
        <w:right w:val="none" w:sz="0" w:space="0" w:color="auto"/>
      </w:divBdr>
    </w:div>
    <w:div w:id="2124179613">
      <w:bodyDiv w:val="1"/>
      <w:marLeft w:val="0"/>
      <w:marRight w:val="0"/>
      <w:marTop w:val="0"/>
      <w:marBottom w:val="0"/>
      <w:divBdr>
        <w:top w:val="none" w:sz="0" w:space="0" w:color="auto"/>
        <w:left w:val="none" w:sz="0" w:space="0" w:color="auto"/>
        <w:bottom w:val="none" w:sz="0" w:space="0" w:color="auto"/>
        <w:right w:val="none" w:sz="0" w:space="0" w:color="auto"/>
      </w:divBdr>
    </w:div>
    <w:div w:id="2133594160">
      <w:bodyDiv w:val="1"/>
      <w:marLeft w:val="0"/>
      <w:marRight w:val="0"/>
      <w:marTop w:val="0"/>
      <w:marBottom w:val="0"/>
      <w:divBdr>
        <w:top w:val="none" w:sz="0" w:space="0" w:color="auto"/>
        <w:left w:val="none" w:sz="0" w:space="0" w:color="auto"/>
        <w:bottom w:val="none" w:sz="0" w:space="0" w:color="auto"/>
        <w:right w:val="none" w:sz="0" w:space="0" w:color="auto"/>
      </w:divBdr>
    </w:div>
    <w:div w:id="2134206642">
      <w:bodyDiv w:val="1"/>
      <w:marLeft w:val="0"/>
      <w:marRight w:val="0"/>
      <w:marTop w:val="0"/>
      <w:marBottom w:val="0"/>
      <w:divBdr>
        <w:top w:val="none" w:sz="0" w:space="0" w:color="auto"/>
        <w:left w:val="none" w:sz="0" w:space="0" w:color="auto"/>
        <w:bottom w:val="none" w:sz="0" w:space="0" w:color="auto"/>
        <w:right w:val="none" w:sz="0" w:space="0" w:color="auto"/>
      </w:divBdr>
    </w:div>
    <w:div w:id="21410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ses.skarakas@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turkeylitigationsupport.com"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duvarenglish.com/secret-witness-statements-form-basis-of-2014-kobane-case-file-against-former-hdp-co-chair-demirtas-lawyers-news-57119" TargetMode="External"/><Relationship Id="rId18" Type="http://schemas.openxmlformats.org/officeDocument/2006/relationships/hyperlink" Target="https://hudoc.echr.coe.int/eng?i=001-207173" TargetMode="External"/><Relationship Id="rId26" Type="http://schemas.openxmlformats.org/officeDocument/2006/relationships/hyperlink" Target="https://anfenglishmobile.com/human-rights/ihd-report-reveals-continued-violations-of-children-s-rights-in-the-kurdish-region-of-T%C3%BCrkiye-70401" TargetMode="External"/><Relationship Id="rId3" Type="http://schemas.openxmlformats.org/officeDocument/2006/relationships/hyperlink" Target="https://www.venice.coe.int/webforms/documents/default.aspx?pdffile=cdl-ad(2017)005-e" TargetMode="External"/><Relationship Id="rId21" Type="http://schemas.openxmlformats.org/officeDocument/2006/relationships/hyperlink" Target="https://www.fatf-gafi.org/publications/high-risk-and-other-monitored-jurisdictions/documents/increased-monitoring-october-2021.html" TargetMode="External"/><Relationship Id="rId7" Type="http://schemas.openxmlformats.org/officeDocument/2006/relationships/hyperlink" Target="https://www.aa.com.tr/tr/gundem/hsknin-15-hakim-ve-savciyi-meslekten-ihrac-karari-resmi-gazetede/2590064" TargetMode="External"/><Relationship Id="rId12" Type="http://schemas.openxmlformats.org/officeDocument/2006/relationships/hyperlink" Target="https://medyanews.net/kobani-case-verdicts-ignore-european-court-rulings-sidelines-law-say-legal-experts/" TargetMode="External"/><Relationship Id="rId17" Type="http://schemas.openxmlformats.org/officeDocument/2006/relationships/hyperlink" Target="https://www.legislationline.org/documents/id/20644" TargetMode="External"/><Relationship Id="rId25" Type="http://schemas.openxmlformats.org/officeDocument/2006/relationships/hyperlink" Target="https://minorityrights.org/communities/kurds-2/" TargetMode="External"/><Relationship Id="rId33" Type="http://schemas.openxmlformats.org/officeDocument/2006/relationships/hyperlink" Target="https://www.refugeecouncil.org.uk" TargetMode="External"/><Relationship Id="rId2" Type="http://schemas.openxmlformats.org/officeDocument/2006/relationships/hyperlink" Target="https://www.tohav.org.tr/en" TargetMode="External"/><Relationship Id="rId16" Type="http://schemas.openxmlformats.org/officeDocument/2006/relationships/hyperlink" Target="https://www.ohchr.org/en/press-releases/2022/09/turkiye-needs-strengthen-effective-torture-prevention-measures-un-experts" TargetMode="External"/><Relationship Id="rId20" Type="http://schemas.openxmlformats.org/officeDocument/2006/relationships/hyperlink" Target="https://wp.unil.ch/space/files/2024/01/240111_SPACE-I_2022_FinalReport.pdf" TargetMode="External"/><Relationship Id="rId29" Type="http://schemas.openxmlformats.org/officeDocument/2006/relationships/hyperlink" Target="https://m.bianet.org/english/human-rights/203129-man-killed-in-sakarya-for-being-kurdish" TargetMode="External"/><Relationship Id="rId1" Type="http://schemas.openxmlformats.org/officeDocument/2006/relationships/hyperlink" Target="https://www.turkeylitigationsupport.com/" TargetMode="External"/><Relationship Id="rId6" Type="http://schemas.openxmlformats.org/officeDocument/2006/relationships/hyperlink" Target="https://news.un.org/en/story/2016/07/534112-un-human-rights-chief-urges-T%C3%BCrkiye-uphold-rule-law-response-attempted-coup" TargetMode="External"/><Relationship Id="rId11" Type="http://schemas.openxmlformats.org/officeDocument/2006/relationships/hyperlink" Target="https://global.tbmm.gov.tr/docs/constitution_en.pdf" TargetMode="External"/><Relationship Id="rId24" Type="http://schemas.openxmlformats.org/officeDocument/2006/relationships/hyperlink" Target="https://www.duvarenglish.com/crowds-gather-for-feminist-night-march-in-istanbul-no-equality-and-freedom-for-us-no-peace-for-them-news-63973" TargetMode="External"/><Relationship Id="rId32" Type="http://schemas.openxmlformats.org/officeDocument/2006/relationships/hyperlink" Target="https://tbinternet.ohchr.org/_layouts/15/treatybodyexternal/TBSearch.aspx?Lang=en&amp;TreatyID=8" TargetMode="External"/><Relationship Id="rId5" Type="http://schemas.openxmlformats.org/officeDocument/2006/relationships/hyperlink" Target="https://www.gercekgundem.com/guncel/mulakatlarda-torpil-iddiasi-akpnin-yargidaki-kadrolasmasinin-temeli-mulakatlar-402250" TargetMode="External"/><Relationship Id="rId15" Type="http://schemas.openxmlformats.org/officeDocument/2006/relationships/hyperlink" Target="https://www.amnesty.org/en/documents/pol10/7200/2024/en/" TargetMode="External"/><Relationship Id="rId23" Type="http://schemas.openxmlformats.org/officeDocument/2006/relationships/hyperlink" Target="https://hudoc.exec.coe.int/?i=DH-DD(2023)1504E" TargetMode="External"/><Relationship Id="rId28" Type="http://schemas.openxmlformats.org/officeDocument/2006/relationships/hyperlink" Target="http://www.kurd-chr.ch" TargetMode="External"/><Relationship Id="rId10" Type="http://schemas.openxmlformats.org/officeDocument/2006/relationships/hyperlink" Target="https://medyanews.net/turkish-judge-exiled-over-osman-kavala-release-vote/" TargetMode="External"/><Relationship Id="rId19" Type="http://schemas.openxmlformats.org/officeDocument/2006/relationships/hyperlink" Target="https://hudoc.echr.coe.int/eng?i=001-187961" TargetMode="External"/><Relationship Id="rId31" Type="http://schemas.openxmlformats.org/officeDocument/2006/relationships/hyperlink" Target="https://bianet.org/english/media/179404-broadcast-of-med-nuce-tv-shut-down" TargetMode="External"/><Relationship Id="rId4" Type="http://schemas.openxmlformats.org/officeDocument/2006/relationships/hyperlink" Target="https://www.gazeteduvar.com.tr/yargida-torpil-iddiasi-cok-uzun-yillardir-isliyor-haber-1508357" TargetMode="External"/><Relationship Id="rId9" Type="http://schemas.openxmlformats.org/officeDocument/2006/relationships/hyperlink" Target="https://www.cumhuriyet.com.tr/cumhuriyet-daily/coerced-decisions-unpacking-the-gezi-verdict-reversal-2125811" TargetMode="External"/><Relationship Id="rId14" Type="http://schemas.openxmlformats.org/officeDocument/2006/relationships/hyperlink" Target="https://rm.coe.int/16809f20a2" TargetMode="External"/><Relationship Id="rId22" Type="http://schemas.openxmlformats.org/officeDocument/2006/relationships/hyperlink" Target="https://www.amnesty.org/en/documents/pol10/4870/2022/en/" TargetMode="External"/><Relationship Id="rId27" Type="http://schemas.openxmlformats.org/officeDocument/2006/relationships/hyperlink" Target="https://www.tbmm.gov.tr/anayasa/parti_law.htm" TargetMode="External"/><Relationship Id="rId30" Type="http://schemas.openxmlformats.org/officeDocument/2006/relationships/hyperlink" Target="https://bianet.org/haber/cevdet-yilmazdan-duhoklu-is-insani-hakim-lokman-aciklamasi-299225" TargetMode="External"/><Relationship Id="rId8" Type="http://schemas.openxmlformats.org/officeDocument/2006/relationships/hyperlink" Target="https://www.amnesty.org.tr/public/uploads/files/Purged%20Beyond%20Return_Report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A3F6AD-5A8E-744E-9943-7FADDF829B5B}">
  <ds:schemaRefs>
    <ds:schemaRef ds:uri="http://schemas.openxmlformats.org/officeDocument/2006/bibliography"/>
  </ds:schemaRefs>
</ds:datastoreItem>
</file>

<file path=customXml/itemProps2.xml><?xml version="1.0" encoding="utf-8"?>
<ds:datastoreItem xmlns:ds="http://schemas.openxmlformats.org/officeDocument/2006/customXml" ds:itemID="{E496A6C1-CCFD-4820-9B59-9052F2703F1B}"/>
</file>

<file path=customXml/itemProps3.xml><?xml version="1.0" encoding="utf-8"?>
<ds:datastoreItem xmlns:ds="http://schemas.openxmlformats.org/officeDocument/2006/customXml" ds:itemID="{B83E9537-AD12-4889-B635-6661EEC86499}"/>
</file>

<file path=docProps/app.xml><?xml version="1.0" encoding="utf-8"?>
<Properties xmlns="http://schemas.openxmlformats.org/officeDocument/2006/extended-properties" xmlns:vt="http://schemas.openxmlformats.org/officeDocument/2006/docPropsVTypes">
  <Template>.~WRD4043</Template>
  <TotalTime>90</TotalTime>
  <Pages>22</Pages>
  <Words>8720</Words>
  <Characters>49704</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Programmes 5</dc:creator>
  <cp:keywords/>
  <dc:description/>
  <cp:lastModifiedBy>Sanya KARAKAS</cp:lastModifiedBy>
  <cp:revision>4</cp:revision>
  <dcterms:created xsi:type="dcterms:W3CDTF">2024-09-16T10:42:00Z</dcterms:created>
  <dcterms:modified xsi:type="dcterms:W3CDTF">2024-09-16T13:47:00Z</dcterms:modified>
</cp:coreProperties>
</file>