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d"/>
        <w:tblW w:w="10774" w:type="dxa"/>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1"/>
        <w:gridCol w:w="5103"/>
      </w:tblGrid>
      <w:tr w:rsidR="00D206C5" w:rsidRPr="00C4216E" w14:paraId="7BC18836" w14:textId="77777777" w:rsidTr="00E6758F">
        <w:trPr>
          <w:trHeight w:val="4101"/>
        </w:trPr>
        <w:tc>
          <w:tcPr>
            <w:tcW w:w="5671" w:type="dxa"/>
          </w:tcPr>
          <w:p w14:paraId="3982CACB" w14:textId="77777777" w:rsidR="00D206C5" w:rsidRDefault="00D206C5" w:rsidP="00E6758F">
            <w:pPr>
              <w:rPr>
                <w:lang w:val="en-GB"/>
              </w:rPr>
            </w:pPr>
            <w:r>
              <w:rPr>
                <w:noProof/>
                <w:lang w:val="en-GB"/>
              </w:rPr>
              <w:drawing>
                <wp:anchor distT="0" distB="0" distL="114300" distR="114300" simplePos="0" relativeHeight="251660288" behindDoc="0" locked="0" layoutInCell="1" allowOverlap="1" wp14:anchorId="1986F700" wp14:editId="69BE6DCD">
                  <wp:simplePos x="0" y="0"/>
                  <wp:positionH relativeFrom="column">
                    <wp:posOffset>865563</wp:posOffset>
                  </wp:positionH>
                  <wp:positionV relativeFrom="paragraph">
                    <wp:posOffset>110490</wp:posOffset>
                  </wp:positionV>
                  <wp:extent cx="1524000" cy="1255395"/>
                  <wp:effectExtent l="0" t="0" r="0" b="1905"/>
                  <wp:wrapSquare wrapText="bothSides"/>
                  <wp:docPr id="2142099852" name="Рисунок 3" descr="Изображение выглядит как текст, Шрифт, снимок экрана, дизайн&#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099852" name="Рисунок 3" descr="Изображение выглядит как текст, Шрифт, снимок экрана, дизайн&#10;&#10;Автоматически созданное описание"/>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24000" cy="1255395"/>
                          </a:xfrm>
                          <a:prstGeom prst="rect">
                            <a:avLst/>
                          </a:prstGeom>
                        </pic:spPr>
                      </pic:pic>
                    </a:graphicData>
                  </a:graphic>
                </wp:anchor>
              </w:drawing>
            </w:r>
          </w:p>
          <w:p w14:paraId="69AAA9FB" w14:textId="77777777" w:rsidR="00D206C5" w:rsidRDefault="00D206C5" w:rsidP="00E6758F">
            <w:pPr>
              <w:ind w:firstLine="720"/>
              <w:jc w:val="center"/>
              <w:rPr>
                <w:color w:val="2F5496" w:themeColor="accent1" w:themeShade="BF"/>
                <w:sz w:val="28"/>
                <w:szCs w:val="28"/>
              </w:rPr>
            </w:pPr>
          </w:p>
          <w:p w14:paraId="5347F306" w14:textId="77777777" w:rsidR="00D206C5" w:rsidRDefault="00D206C5" w:rsidP="00E6758F">
            <w:pPr>
              <w:spacing w:line="360" w:lineRule="auto"/>
              <w:jc w:val="right"/>
              <w:rPr>
                <w:color w:val="2F5496" w:themeColor="accent1" w:themeShade="BF"/>
                <w:sz w:val="28"/>
                <w:szCs w:val="28"/>
              </w:rPr>
            </w:pPr>
          </w:p>
          <w:p w14:paraId="0A431C27" w14:textId="77777777" w:rsidR="00D206C5" w:rsidRDefault="00D206C5" w:rsidP="00E6758F">
            <w:pPr>
              <w:spacing w:line="360" w:lineRule="auto"/>
              <w:jc w:val="right"/>
              <w:rPr>
                <w:color w:val="2F5496" w:themeColor="accent1" w:themeShade="BF"/>
                <w:sz w:val="28"/>
                <w:szCs w:val="28"/>
              </w:rPr>
            </w:pPr>
          </w:p>
          <w:p w14:paraId="4B9BB805" w14:textId="77777777" w:rsidR="00D206C5" w:rsidRDefault="00D206C5" w:rsidP="00E6758F">
            <w:pPr>
              <w:spacing w:line="360" w:lineRule="auto"/>
              <w:rPr>
                <w:color w:val="2F5496" w:themeColor="accent1" w:themeShade="BF"/>
                <w:sz w:val="28"/>
                <w:szCs w:val="28"/>
              </w:rPr>
            </w:pPr>
          </w:p>
          <w:p w14:paraId="2FEF65F8" w14:textId="77777777" w:rsidR="00D206C5" w:rsidRDefault="00D206C5" w:rsidP="00E6758F">
            <w:pPr>
              <w:spacing w:line="360" w:lineRule="auto"/>
              <w:jc w:val="center"/>
              <w:rPr>
                <w:color w:val="2F5496" w:themeColor="accent1" w:themeShade="BF"/>
                <w:sz w:val="28"/>
                <w:szCs w:val="28"/>
              </w:rPr>
            </w:pPr>
          </w:p>
          <w:p w14:paraId="0E279FE2" w14:textId="77777777" w:rsidR="00D206C5" w:rsidRDefault="00D206C5" w:rsidP="00E6758F">
            <w:pPr>
              <w:pStyle w:val="a6"/>
              <w:spacing w:before="0" w:beforeAutospacing="0" w:after="0" w:afterAutospacing="0"/>
              <w:jc w:val="center"/>
              <w:rPr>
                <w:rFonts w:asciiTheme="minorHAnsi" w:hAnsiTheme="minorHAnsi" w:cstheme="minorHAnsi"/>
                <w:color w:val="2E74B5" w:themeColor="accent5" w:themeShade="BF"/>
                <w:sz w:val="20"/>
                <w:szCs w:val="20"/>
                <w:lang w:val="en-US"/>
              </w:rPr>
            </w:pPr>
            <w:r w:rsidRPr="00D47260">
              <w:rPr>
                <w:rFonts w:asciiTheme="minorHAnsi" w:hAnsiTheme="minorHAnsi" w:cstheme="minorHAnsi"/>
                <w:color w:val="2E74B5" w:themeColor="accent5" w:themeShade="BF"/>
                <w:sz w:val="20"/>
                <w:szCs w:val="20"/>
                <w:lang w:val="en-US"/>
              </w:rPr>
              <w:t>Public Institution “For Human Rights”</w:t>
            </w:r>
          </w:p>
          <w:p w14:paraId="212D4AD7" w14:textId="77777777" w:rsidR="00D206C5" w:rsidRPr="00D47260" w:rsidRDefault="00D206C5" w:rsidP="00E6758F">
            <w:pPr>
              <w:pStyle w:val="a6"/>
              <w:spacing w:before="0" w:beforeAutospacing="0" w:after="0" w:afterAutospacing="0"/>
              <w:jc w:val="center"/>
              <w:rPr>
                <w:rFonts w:asciiTheme="minorHAnsi" w:hAnsiTheme="minorHAnsi" w:cstheme="minorHAnsi"/>
                <w:color w:val="2E74B5" w:themeColor="accent5" w:themeShade="BF"/>
                <w:sz w:val="20"/>
                <w:szCs w:val="20"/>
                <w:lang w:val="en-US"/>
              </w:rPr>
            </w:pPr>
            <w:proofErr w:type="spellStart"/>
            <w:r w:rsidRPr="00BA401C">
              <w:rPr>
                <w:rFonts w:asciiTheme="minorHAnsi" w:hAnsiTheme="minorHAnsi" w:cstheme="minorHAnsi"/>
                <w:color w:val="2E74B5" w:themeColor="accent5" w:themeShade="BF"/>
                <w:sz w:val="20"/>
                <w:szCs w:val="20"/>
                <w:lang w:val="en-US"/>
              </w:rPr>
              <w:t>Všį</w:t>
            </w:r>
            <w:proofErr w:type="spellEnd"/>
            <w:r w:rsidRPr="00BA401C">
              <w:rPr>
                <w:rFonts w:asciiTheme="minorHAnsi" w:hAnsiTheme="minorHAnsi" w:cstheme="minorHAnsi"/>
                <w:color w:val="2E74B5" w:themeColor="accent5" w:themeShade="BF"/>
                <w:sz w:val="20"/>
                <w:szCs w:val="20"/>
                <w:lang w:val="en-US"/>
              </w:rPr>
              <w:t xml:space="preserve"> "</w:t>
            </w:r>
            <w:proofErr w:type="spellStart"/>
            <w:r w:rsidRPr="00BA401C">
              <w:rPr>
                <w:rFonts w:asciiTheme="minorHAnsi" w:hAnsiTheme="minorHAnsi" w:cstheme="minorHAnsi"/>
                <w:color w:val="2E74B5" w:themeColor="accent5" w:themeShade="BF"/>
                <w:sz w:val="20"/>
                <w:szCs w:val="20"/>
                <w:lang w:val="en-US"/>
              </w:rPr>
              <w:t>Žmogaus</w:t>
            </w:r>
            <w:proofErr w:type="spellEnd"/>
            <w:r w:rsidRPr="00BA401C">
              <w:rPr>
                <w:rFonts w:asciiTheme="minorHAnsi" w:hAnsiTheme="minorHAnsi" w:cstheme="minorHAnsi"/>
                <w:color w:val="2E74B5" w:themeColor="accent5" w:themeShade="BF"/>
                <w:sz w:val="20"/>
                <w:szCs w:val="20"/>
                <w:lang w:val="en-US"/>
              </w:rPr>
              <w:t xml:space="preserve"> </w:t>
            </w:r>
            <w:proofErr w:type="spellStart"/>
            <w:r w:rsidRPr="00BA401C">
              <w:rPr>
                <w:rFonts w:asciiTheme="minorHAnsi" w:hAnsiTheme="minorHAnsi" w:cstheme="minorHAnsi"/>
                <w:color w:val="2E74B5" w:themeColor="accent5" w:themeShade="BF"/>
                <w:sz w:val="20"/>
                <w:szCs w:val="20"/>
                <w:lang w:val="en-US"/>
              </w:rPr>
              <w:t>teisių</w:t>
            </w:r>
            <w:proofErr w:type="spellEnd"/>
            <w:r w:rsidRPr="00BA401C">
              <w:rPr>
                <w:rFonts w:asciiTheme="minorHAnsi" w:hAnsiTheme="minorHAnsi" w:cstheme="minorHAnsi"/>
                <w:color w:val="2E74B5" w:themeColor="accent5" w:themeShade="BF"/>
                <w:sz w:val="20"/>
                <w:szCs w:val="20"/>
                <w:lang w:val="en-US"/>
              </w:rPr>
              <w:t xml:space="preserve"> </w:t>
            </w:r>
            <w:proofErr w:type="spellStart"/>
            <w:r w:rsidRPr="00BA401C">
              <w:rPr>
                <w:rFonts w:asciiTheme="minorHAnsi" w:hAnsiTheme="minorHAnsi" w:cstheme="minorHAnsi"/>
                <w:color w:val="2E74B5" w:themeColor="accent5" w:themeShade="BF"/>
                <w:sz w:val="20"/>
                <w:szCs w:val="20"/>
                <w:lang w:val="en-US"/>
              </w:rPr>
              <w:t>apsauga</w:t>
            </w:r>
            <w:proofErr w:type="spellEnd"/>
            <w:r w:rsidRPr="00BA401C">
              <w:rPr>
                <w:rFonts w:asciiTheme="minorHAnsi" w:hAnsiTheme="minorHAnsi" w:cstheme="minorHAnsi"/>
                <w:color w:val="2E74B5" w:themeColor="accent5" w:themeShade="BF"/>
                <w:sz w:val="20"/>
                <w:szCs w:val="20"/>
                <w:lang w:val="en-US"/>
              </w:rPr>
              <w:t>"</w:t>
            </w:r>
          </w:p>
          <w:p w14:paraId="619CD440" w14:textId="77777777" w:rsidR="00D206C5" w:rsidRDefault="00D206C5" w:rsidP="00E6758F">
            <w:pPr>
              <w:spacing w:line="276" w:lineRule="auto"/>
              <w:ind w:left="611" w:right="382"/>
              <w:rPr>
                <w:color w:val="2E74B5" w:themeColor="accent5" w:themeShade="BF"/>
                <w:sz w:val="20"/>
                <w:szCs w:val="20"/>
              </w:rPr>
            </w:pPr>
            <w:r w:rsidRPr="00451063">
              <w:rPr>
                <w:color w:val="2E74B5" w:themeColor="accent5" w:themeShade="BF"/>
                <w:lang w:val="en-US"/>
              </w:rPr>
              <w:t xml:space="preserve">     </w:t>
            </w:r>
            <w:r w:rsidRPr="00451063">
              <w:rPr>
                <w:color w:val="2E74B5" w:themeColor="accent5" w:themeShade="BF"/>
              </w:rPr>
              <w:t xml:space="preserve">     </w:t>
            </w:r>
            <w:r w:rsidRPr="00451063">
              <w:rPr>
                <w:color w:val="2E74B5" w:themeColor="accent5" w:themeShade="BF"/>
                <w:sz w:val="20"/>
                <w:szCs w:val="20"/>
              </w:rPr>
              <w:t>Laisves Pr 77c Vilnius Lithuania LT-06155</w:t>
            </w:r>
          </w:p>
          <w:p w14:paraId="5887734A" w14:textId="77777777" w:rsidR="00D206C5" w:rsidRPr="00D47260" w:rsidRDefault="00D206C5" w:rsidP="00E6758F">
            <w:pPr>
              <w:pStyle w:val="a6"/>
              <w:spacing w:before="0" w:beforeAutospacing="0" w:after="0" w:afterAutospacing="0"/>
              <w:jc w:val="center"/>
              <w:rPr>
                <w:rFonts w:asciiTheme="minorHAnsi" w:hAnsiTheme="minorHAnsi" w:cstheme="minorHAnsi"/>
                <w:color w:val="2E74B5" w:themeColor="accent5" w:themeShade="BF"/>
                <w:sz w:val="20"/>
                <w:szCs w:val="20"/>
                <w:shd w:val="clear" w:color="auto" w:fill="FFFFFF"/>
                <w:lang w:val="en-US"/>
              </w:rPr>
            </w:pPr>
            <w:r w:rsidRPr="00D47260">
              <w:rPr>
                <w:rFonts w:asciiTheme="minorHAnsi" w:hAnsiTheme="minorHAnsi" w:cstheme="minorHAnsi"/>
                <w:color w:val="2E74B5" w:themeColor="accent5" w:themeShade="BF"/>
                <w:sz w:val="20"/>
                <w:szCs w:val="20"/>
                <w:shd w:val="clear" w:color="auto" w:fill="FFFFFF"/>
                <w:lang w:val="en-US"/>
              </w:rPr>
              <w:t>e</w:t>
            </w:r>
            <w:r w:rsidRPr="00D47260">
              <w:rPr>
                <w:rFonts w:asciiTheme="minorHAnsi" w:hAnsiTheme="minorHAnsi" w:cstheme="minorHAnsi"/>
                <w:color w:val="2E74B5" w:themeColor="accent5" w:themeShade="BF"/>
                <w:sz w:val="20"/>
                <w:szCs w:val="20"/>
                <w:shd w:val="clear" w:color="auto" w:fill="FFFFFF"/>
              </w:rPr>
              <w:t>mail:</w:t>
            </w:r>
            <w:r w:rsidRPr="00D47260">
              <w:rPr>
                <w:rFonts w:asciiTheme="minorHAnsi" w:hAnsiTheme="minorHAnsi" w:cstheme="minorHAnsi"/>
                <w:color w:val="2E74B5" w:themeColor="accent5" w:themeShade="BF"/>
                <w:sz w:val="20"/>
                <w:szCs w:val="20"/>
                <w:shd w:val="clear" w:color="auto" w:fill="FFFFFF"/>
                <w:lang w:val="en-US"/>
              </w:rPr>
              <w:t xml:space="preserve"> </w:t>
            </w:r>
            <w:hyperlink r:id="rId9" w:history="1">
              <w:r w:rsidRPr="00D47260">
                <w:rPr>
                  <w:rStyle w:val="a7"/>
                  <w:rFonts w:asciiTheme="minorHAnsi" w:hAnsiTheme="minorHAnsi" w:cstheme="minorHAnsi"/>
                  <w:color w:val="2E74B5" w:themeColor="accent5" w:themeShade="BF"/>
                  <w:sz w:val="20"/>
                  <w:szCs w:val="20"/>
                  <w:shd w:val="clear" w:color="auto" w:fill="FFFFFF"/>
                  <w:lang w:val="en-US"/>
                </w:rPr>
                <w:t>ngopublic@proton.me</w:t>
              </w:r>
            </w:hyperlink>
            <w:r w:rsidRPr="00D47260">
              <w:rPr>
                <w:rFonts w:asciiTheme="minorHAnsi" w:hAnsiTheme="minorHAnsi" w:cstheme="minorHAnsi"/>
                <w:color w:val="2E74B5" w:themeColor="accent5" w:themeShade="BF"/>
                <w:sz w:val="20"/>
                <w:szCs w:val="20"/>
                <w:shd w:val="clear" w:color="auto" w:fill="FFFFFF"/>
                <w:lang w:val="en-US"/>
              </w:rPr>
              <w:t>,</w:t>
            </w:r>
          </w:p>
          <w:p w14:paraId="5230898E" w14:textId="77777777" w:rsidR="00D206C5" w:rsidRPr="00D47260" w:rsidRDefault="00D206C5" w:rsidP="00E6758F">
            <w:pPr>
              <w:rPr>
                <w:color w:val="2E74B5" w:themeColor="accent5" w:themeShade="BF"/>
                <w:sz w:val="20"/>
                <w:szCs w:val="20"/>
              </w:rPr>
            </w:pPr>
          </w:p>
          <w:p w14:paraId="2B19F82F" w14:textId="77777777" w:rsidR="00D206C5" w:rsidRPr="00C4216E" w:rsidRDefault="00D206C5" w:rsidP="00E6758F">
            <w:pPr>
              <w:tabs>
                <w:tab w:val="left" w:pos="1134"/>
              </w:tabs>
              <w:ind w:left="-709"/>
              <w:jc w:val="center"/>
              <w:rPr>
                <w:rFonts w:ascii="Times New Roman" w:hAnsi="Times New Roman" w:cs="Times New Roman"/>
              </w:rPr>
            </w:pPr>
            <w:r>
              <w:rPr>
                <w:noProof/>
                <w:sz w:val="20"/>
                <w:szCs w:val="20"/>
              </w:rPr>
              <mc:AlternateContent>
                <mc:Choice Requires="wps">
                  <w:drawing>
                    <wp:anchor distT="0" distB="0" distL="114300" distR="114300" simplePos="0" relativeHeight="251659264" behindDoc="0" locked="0" layoutInCell="1" allowOverlap="1" wp14:anchorId="49873128" wp14:editId="18D1C8FA">
                      <wp:simplePos x="0" y="0"/>
                      <wp:positionH relativeFrom="column">
                        <wp:posOffset>-22860</wp:posOffset>
                      </wp:positionH>
                      <wp:positionV relativeFrom="paragraph">
                        <wp:posOffset>173933</wp:posOffset>
                      </wp:positionV>
                      <wp:extent cx="6754091" cy="0"/>
                      <wp:effectExtent l="0" t="0" r="2540" b="12700"/>
                      <wp:wrapNone/>
                      <wp:docPr id="169357746" name="Прямая соединительная линия 4"/>
                      <wp:cNvGraphicFramePr/>
                      <a:graphic xmlns:a="http://schemas.openxmlformats.org/drawingml/2006/main">
                        <a:graphicData uri="http://schemas.microsoft.com/office/word/2010/wordprocessingShape">
                          <wps:wsp>
                            <wps:cNvCnPr/>
                            <wps:spPr>
                              <a:xfrm>
                                <a:off x="0" y="0"/>
                                <a:ext cx="6754091" cy="0"/>
                              </a:xfrm>
                              <a:prstGeom prst="line">
                                <a:avLst/>
                              </a:prstGeom>
                              <a:ln w="15875" cmpd="thickThi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9750D41" id="Прямая соединительная линия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pt,13.7pt" to="530pt,13.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" strokecolor="#4472c4 [3204]" strokeweight="1.25pt">
                      <v:stroke linestyle="thickThin" joinstyle="miter"/>
                    </v:line>
                  </w:pict>
                </mc:Fallback>
              </mc:AlternateContent>
            </w:r>
            <w:r>
              <w:rPr>
                <w:color w:val="1F497D"/>
                <w:highlight w:val="white"/>
              </w:rPr>
              <w:t xml:space="preserve">              </w:t>
            </w:r>
          </w:p>
        </w:tc>
        <w:tc>
          <w:tcPr>
            <w:tcW w:w="5103" w:type="dxa"/>
          </w:tcPr>
          <w:p w14:paraId="1E52F69F" w14:textId="77777777" w:rsidR="00D206C5" w:rsidRDefault="00D206C5" w:rsidP="00E6758F">
            <w:pPr>
              <w:ind w:left="-284"/>
            </w:pPr>
          </w:p>
          <w:p w14:paraId="6FCBF98A" w14:textId="77777777" w:rsidR="00D206C5" w:rsidRDefault="00D206C5" w:rsidP="00E6758F">
            <w:pPr>
              <w:ind w:right="-104"/>
              <w:jc w:val="center"/>
              <w:rPr>
                <w:rFonts w:ascii="Times New Roman" w:hAnsi="Times New Roman" w:cs="Times New Roman"/>
                <w:lang w:val="en-US"/>
              </w:rPr>
            </w:pPr>
            <w:r>
              <w:rPr>
                <w:noProof/>
              </w:rPr>
              <w:drawing>
                <wp:inline distT="0" distB="0" distL="0" distR="0" wp14:anchorId="5613E228" wp14:editId="53D803FA">
                  <wp:extent cx="1631853" cy="1631853"/>
                  <wp:effectExtent l="0" t="0" r="0" b="0"/>
                  <wp:docPr id="1357126350" name="Рисунок 1" descr="Изображение выглядит как человек, Борода человека, Человеческое лицо, одежда&#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126350" name="Рисунок 1" descr="Изображение выглядит как человек, Борода человека, Человеческое лицо, одежда&#10;&#10;Автоматически созданное описание"/>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91821" cy="1691821"/>
                          </a:xfrm>
                          <a:prstGeom prst="rect">
                            <a:avLst/>
                          </a:prstGeom>
                        </pic:spPr>
                      </pic:pic>
                    </a:graphicData>
                  </a:graphic>
                </wp:inline>
              </w:drawing>
            </w:r>
          </w:p>
          <w:p w14:paraId="7F3123C8" w14:textId="77777777" w:rsidR="00D206C5" w:rsidRPr="00C4216E" w:rsidRDefault="00D206C5" w:rsidP="00E6758F">
            <w:pPr>
              <w:jc w:val="center"/>
              <w:rPr>
                <w:rFonts w:cstheme="minorHAnsi"/>
                <w:color w:val="2F5496" w:themeColor="accent1" w:themeShade="BF"/>
                <w:sz w:val="28"/>
                <w:szCs w:val="28"/>
              </w:rPr>
            </w:pPr>
          </w:p>
          <w:p w14:paraId="1B36AB37" w14:textId="77777777" w:rsidR="00D206C5" w:rsidRPr="00D47260" w:rsidRDefault="00D206C5" w:rsidP="00E6758F">
            <w:pPr>
              <w:jc w:val="center"/>
              <w:rPr>
                <w:rFonts w:cstheme="minorHAnsi"/>
                <w:color w:val="2E74B5" w:themeColor="accent5" w:themeShade="BF"/>
                <w:sz w:val="28"/>
                <w:szCs w:val="28"/>
                <w:shd w:val="clear" w:color="auto" w:fill="FFFFFF"/>
              </w:rPr>
            </w:pPr>
            <w:r w:rsidRPr="00D47260">
              <w:rPr>
                <w:rFonts w:cstheme="minorHAnsi"/>
                <w:color w:val="2E74B5" w:themeColor="accent5" w:themeShade="BF"/>
                <w:sz w:val="28"/>
                <w:szCs w:val="28"/>
                <w:shd w:val="clear" w:color="auto" w:fill="FFFFFF"/>
              </w:rPr>
              <w:t>“Church Against Xenophobia and Discrimination”</w:t>
            </w:r>
          </w:p>
          <w:p w14:paraId="1B5324B0" w14:textId="77777777" w:rsidR="00D206C5" w:rsidRPr="00D47260" w:rsidRDefault="00000000" w:rsidP="00E6758F">
            <w:pPr>
              <w:jc w:val="center"/>
              <w:rPr>
                <w:rFonts w:cstheme="minorHAnsi"/>
                <w:color w:val="2E74B5" w:themeColor="accent5" w:themeShade="BF"/>
                <w:sz w:val="20"/>
                <w:szCs w:val="20"/>
                <w:lang w:val="en-US"/>
              </w:rPr>
            </w:pPr>
            <w:hyperlink r:id="rId11" w:history="1">
              <w:r w:rsidR="00D206C5" w:rsidRPr="00D47260">
                <w:rPr>
                  <w:rStyle w:val="a7"/>
                  <w:rFonts w:cstheme="minorHAnsi"/>
                  <w:sz w:val="20"/>
                  <w:szCs w:val="20"/>
                  <w:lang w:val="en-US"/>
                </w:rPr>
                <w:t>WWW.CHURCHAGAINSTHATE.ORG</w:t>
              </w:r>
            </w:hyperlink>
          </w:p>
          <w:p w14:paraId="5FB34742" w14:textId="77777777" w:rsidR="00D206C5" w:rsidRPr="00C4216E" w:rsidRDefault="00D206C5" w:rsidP="00E6758F">
            <w:pPr>
              <w:ind w:right="-104"/>
              <w:jc w:val="center"/>
              <w:rPr>
                <w:rFonts w:ascii="Times New Roman" w:hAnsi="Times New Roman" w:cs="Times New Roman"/>
                <w:lang w:val="en-US"/>
              </w:rPr>
            </w:pPr>
          </w:p>
        </w:tc>
      </w:tr>
    </w:tbl>
    <w:p w14:paraId="79ACAB33" w14:textId="46935BFC" w:rsidR="00D206C5" w:rsidRDefault="00D206C5" w:rsidP="00D206C5">
      <w:pPr>
        <w:tabs>
          <w:tab w:val="left" w:pos="1134"/>
        </w:tabs>
        <w:ind w:left="-709"/>
        <w:rPr>
          <w:color w:val="1F497D"/>
          <w:highlight w:val="white"/>
        </w:rPr>
      </w:pPr>
      <w:r>
        <w:rPr>
          <w:rFonts w:ascii="Times New Roman" w:hAnsi="Times New Roman" w:cs="Times New Roman"/>
          <w:lang w:val="en-US"/>
        </w:rPr>
        <w:t xml:space="preserve">                          </w:t>
      </w:r>
      <w:r>
        <w:rPr>
          <w:color w:val="1F497D"/>
          <w:highlight w:val="white"/>
          <w:lang w:val="en-US"/>
        </w:rPr>
        <w:t xml:space="preserve"> </w:t>
      </w:r>
      <w:r>
        <w:rPr>
          <w:color w:val="1F497D"/>
          <w:highlight w:val="white"/>
        </w:rPr>
        <w:t>In consultative status with the United Nations Economic and Social Council</w:t>
      </w:r>
    </w:p>
    <w:p w14:paraId="1E3CB707" w14:textId="77777777" w:rsidR="00D206C5" w:rsidRPr="00D206C5" w:rsidRDefault="00D206C5" w:rsidP="00D206C5">
      <w:pPr>
        <w:tabs>
          <w:tab w:val="left" w:pos="1134"/>
        </w:tabs>
        <w:ind w:left="-709"/>
        <w:rPr>
          <w:color w:val="1F497D"/>
          <w:highlight w:val="white"/>
        </w:rPr>
      </w:pPr>
    </w:p>
    <w:p w14:paraId="0450CAB5" w14:textId="5368E1D6" w:rsidR="00D206C5" w:rsidRPr="00D206C5" w:rsidRDefault="00D206C5" w:rsidP="00D206C5">
      <w:pPr>
        <w:spacing w:before="100" w:beforeAutospacing="1" w:after="100" w:afterAutospacing="1"/>
        <w:jc w:val="center"/>
        <w:rPr>
          <w:rFonts w:ascii="Times New Roman" w:eastAsia="Times New Roman" w:hAnsi="Times New Roman" w:cs="Times New Roman"/>
          <w:color w:val="000000"/>
          <w:kern w:val="0"/>
          <w:lang w:eastAsia="ru-RU"/>
          <w14:ligatures w14:val="none"/>
        </w:rPr>
      </w:pPr>
      <w:r w:rsidRPr="00D206C5">
        <w:rPr>
          <w:rFonts w:ascii="Times New Roman" w:eastAsia="Times New Roman" w:hAnsi="Times New Roman" w:cs="Times New Roman"/>
          <w:b/>
          <w:bCs/>
          <w:color w:val="000000"/>
          <w:kern w:val="0"/>
          <w:lang w:eastAsia="ru-RU"/>
          <w14:ligatures w14:val="none"/>
        </w:rPr>
        <w:t>Submission to the Human Rights Committee (CCPR)</w:t>
      </w:r>
      <w:r w:rsidRPr="00D206C5">
        <w:rPr>
          <w:rFonts w:ascii="Times New Roman" w:eastAsia="Times New Roman" w:hAnsi="Times New Roman" w:cs="Times New Roman"/>
          <w:color w:val="000000"/>
          <w:kern w:val="0"/>
          <w:lang w:eastAsia="ru-RU"/>
          <w14:ligatures w14:val="none"/>
        </w:rPr>
        <w:br/>
      </w:r>
      <w:r w:rsidRPr="00D206C5">
        <w:rPr>
          <w:rFonts w:ascii="Times New Roman" w:eastAsia="Times New Roman" w:hAnsi="Times New Roman" w:cs="Times New Roman"/>
          <w:b/>
          <w:bCs/>
          <w:color w:val="000000"/>
          <w:kern w:val="0"/>
          <w:lang w:eastAsia="ru-RU"/>
          <w14:ligatures w14:val="none"/>
        </w:rPr>
        <w:t>145th Session (2–19 March 2026)</w:t>
      </w:r>
    </w:p>
    <w:p w14:paraId="2A7D2EA3" w14:textId="77777777" w:rsidR="00D206C5" w:rsidRPr="00D206C5" w:rsidRDefault="00D206C5" w:rsidP="00D206C5">
      <w:pPr>
        <w:spacing w:before="100" w:beforeAutospacing="1" w:after="100" w:afterAutospacing="1"/>
        <w:jc w:val="center"/>
        <w:rPr>
          <w:rFonts w:ascii="Times New Roman" w:eastAsia="Times New Roman" w:hAnsi="Times New Roman" w:cs="Times New Roman"/>
          <w:color w:val="000000"/>
          <w:kern w:val="0"/>
          <w:lang w:eastAsia="ru-RU"/>
          <w14:ligatures w14:val="none"/>
        </w:rPr>
      </w:pPr>
      <w:r w:rsidRPr="00D206C5">
        <w:rPr>
          <w:rFonts w:ascii="Times New Roman" w:eastAsia="Times New Roman" w:hAnsi="Times New Roman" w:cs="Times New Roman"/>
          <w:b/>
          <w:bCs/>
          <w:color w:val="000000"/>
          <w:kern w:val="0"/>
          <w:lang w:eastAsia="ru-RU"/>
          <w14:ligatures w14:val="none"/>
        </w:rPr>
        <w:t>Republic of Moldova – Fourth Periodic Report under the ICCPR</w:t>
      </w:r>
    </w:p>
    <w:p w14:paraId="1F72F57D" w14:textId="77777777" w:rsidR="00D206C5" w:rsidRPr="00D206C5" w:rsidRDefault="00D206C5" w:rsidP="00D206C5">
      <w:pPr>
        <w:spacing w:before="100" w:beforeAutospacing="1" w:after="100" w:afterAutospacing="1"/>
        <w:rPr>
          <w:rFonts w:ascii="Times New Roman" w:eastAsia="Times New Roman" w:hAnsi="Times New Roman" w:cs="Times New Roman"/>
          <w:color w:val="000000"/>
          <w:kern w:val="0"/>
          <w:lang w:eastAsia="ru-RU"/>
          <w14:ligatures w14:val="none"/>
        </w:rPr>
      </w:pPr>
      <w:r w:rsidRPr="00D206C5">
        <w:rPr>
          <w:rFonts w:ascii="Times New Roman" w:eastAsia="Times New Roman" w:hAnsi="Times New Roman" w:cs="Times New Roman"/>
          <w:b/>
          <w:bCs/>
          <w:color w:val="000000"/>
          <w:kern w:val="0"/>
          <w:lang w:eastAsia="ru-RU"/>
          <w14:ligatures w14:val="none"/>
        </w:rPr>
        <w:t>Title:</w:t>
      </w:r>
      <w:r w:rsidRPr="00D206C5">
        <w:rPr>
          <w:rFonts w:ascii="Times New Roman" w:eastAsia="Times New Roman" w:hAnsi="Times New Roman" w:cs="Times New Roman"/>
          <w:color w:val="000000"/>
          <w:kern w:val="0"/>
          <w:lang w:eastAsia="ru-RU"/>
          <w14:ligatures w14:val="none"/>
        </w:rPr>
        <w:br/>
      </w:r>
      <w:r w:rsidRPr="00D206C5">
        <w:rPr>
          <w:rFonts w:ascii="Times New Roman" w:eastAsia="Times New Roman" w:hAnsi="Times New Roman" w:cs="Times New Roman"/>
          <w:b/>
          <w:bCs/>
          <w:color w:val="000000"/>
          <w:kern w:val="0"/>
          <w:lang w:eastAsia="ru-RU"/>
          <w14:ligatures w14:val="none"/>
        </w:rPr>
        <w:t>Systemic Violations of the International Covenant on Civil and Political Rights against Believers of the Orthodox Church of Moldova</w:t>
      </w:r>
    </w:p>
    <w:p w14:paraId="3681E27C" w14:textId="77777777" w:rsidR="00D206C5" w:rsidRPr="00D206C5" w:rsidRDefault="00D206C5" w:rsidP="00D206C5">
      <w:r w:rsidRPr="00D206C5">
        <w:rPr>
          <w:rFonts w:ascii="Times New Roman" w:eastAsia="Times New Roman" w:hAnsi="Times New Roman" w:cs="Times New Roman"/>
          <w:b/>
          <w:bCs/>
          <w:color w:val="000000"/>
          <w:kern w:val="0"/>
          <w:lang w:eastAsia="ru-RU"/>
          <w14:ligatures w14:val="none"/>
        </w:rPr>
        <w:t>Submitted by:</w:t>
      </w:r>
    </w:p>
    <w:p w14:paraId="3D3C69BC" w14:textId="77777777" w:rsidR="00D206C5" w:rsidRDefault="00D206C5" w:rsidP="00D206C5"/>
    <w:p w14:paraId="2FDA6E36" w14:textId="23E25750" w:rsidR="00D206C5" w:rsidRPr="00D206C5" w:rsidRDefault="00D206C5" w:rsidP="00D206C5">
      <w:pPr>
        <w:rPr>
          <w:rFonts w:ascii="Times New Roman" w:hAnsi="Times New Roman" w:cs="Times New Roman"/>
          <w:sz w:val="28"/>
          <w:szCs w:val="28"/>
        </w:rPr>
      </w:pPr>
      <w:r w:rsidRPr="00D206C5">
        <w:rPr>
          <w:rFonts w:ascii="Times New Roman" w:hAnsi="Times New Roman" w:cs="Times New Roman"/>
          <w:sz w:val="28"/>
          <w:szCs w:val="28"/>
        </w:rPr>
        <w:t>Public Institution “For Human Rights”</w:t>
      </w:r>
    </w:p>
    <w:p w14:paraId="69C2EC2D" w14:textId="77777777" w:rsidR="00D206C5" w:rsidRPr="00D206C5" w:rsidRDefault="00D206C5" w:rsidP="00D206C5">
      <w:pPr>
        <w:rPr>
          <w:rFonts w:ascii="Times New Roman" w:hAnsi="Times New Roman" w:cs="Times New Roman"/>
          <w:sz w:val="28"/>
          <w:szCs w:val="28"/>
        </w:rPr>
      </w:pPr>
      <w:r w:rsidRPr="00D206C5">
        <w:rPr>
          <w:rFonts w:ascii="Times New Roman" w:hAnsi="Times New Roman" w:cs="Times New Roman"/>
          <w:sz w:val="28"/>
          <w:szCs w:val="28"/>
        </w:rPr>
        <w:t>Všį "Žmogaus teisių apsauga"</w:t>
      </w:r>
    </w:p>
    <w:p w14:paraId="75EB5D06" w14:textId="43FB89CD" w:rsidR="00D206C5" w:rsidRPr="00D206C5" w:rsidRDefault="00D206C5" w:rsidP="00D206C5">
      <w:pPr>
        <w:rPr>
          <w:rFonts w:ascii="Times New Roman" w:hAnsi="Times New Roman" w:cs="Times New Roman"/>
          <w:sz w:val="28"/>
          <w:szCs w:val="28"/>
        </w:rPr>
      </w:pPr>
      <w:r w:rsidRPr="00D206C5">
        <w:rPr>
          <w:rFonts w:ascii="Times New Roman" w:hAnsi="Times New Roman" w:cs="Times New Roman"/>
          <w:sz w:val="28"/>
          <w:szCs w:val="28"/>
        </w:rPr>
        <w:t>Laisves Pr 77c Vilnius Lithuania LT-06155</w:t>
      </w:r>
    </w:p>
    <w:p w14:paraId="184080D3" w14:textId="6D584FFB" w:rsidR="00D206C5" w:rsidRPr="00D206C5" w:rsidRDefault="00D206C5" w:rsidP="00D206C5">
      <w:pPr>
        <w:rPr>
          <w:rFonts w:ascii="Times New Roman" w:hAnsi="Times New Roman" w:cs="Times New Roman"/>
          <w:sz w:val="28"/>
          <w:szCs w:val="28"/>
        </w:rPr>
      </w:pPr>
      <w:r w:rsidRPr="00D206C5">
        <w:rPr>
          <w:rFonts w:ascii="Times New Roman" w:hAnsi="Times New Roman" w:cs="Times New Roman"/>
          <w:sz w:val="28"/>
          <w:szCs w:val="28"/>
        </w:rPr>
        <w:t xml:space="preserve">email: </w:t>
      </w:r>
      <w:r w:rsidR="00000000">
        <w:fldChar w:fldCharType="begin"/>
      </w:r>
      <w:r w:rsidR="00000000">
        <w:instrText>HYPERLINK "mailto:ngopublic@proton.me"</w:instrText>
      </w:r>
      <w:r w:rsidR="00000000">
        <w:fldChar w:fldCharType="separate"/>
      </w:r>
      <w:r w:rsidRPr="00D206C5">
        <w:rPr>
          <w:rStyle w:val="a7"/>
          <w:rFonts w:ascii="Times New Roman" w:hAnsi="Times New Roman" w:cs="Times New Roman"/>
          <w:color w:val="000000" w:themeColor="text1"/>
          <w:sz w:val="28"/>
          <w:szCs w:val="28"/>
          <w:u w:val="none"/>
        </w:rPr>
        <w:t>ngopublic@proton.me</w:t>
      </w:r>
      <w:r w:rsidR="00000000">
        <w:rPr>
          <w:rStyle w:val="a7"/>
          <w:rFonts w:ascii="Times New Roman" w:hAnsi="Times New Roman" w:cs="Times New Roman"/>
          <w:color w:val="000000" w:themeColor="text1"/>
          <w:sz w:val="28"/>
          <w:szCs w:val="28"/>
          <w:u w:val="none"/>
        </w:rPr>
        <w:fldChar w:fldCharType="end"/>
      </w:r>
      <w:r w:rsidRPr="00D206C5">
        <w:rPr>
          <w:rFonts w:ascii="Times New Roman" w:eastAsia="Times New Roman" w:hAnsi="Times New Roman" w:cs="Times New Roman"/>
          <w:color w:val="000000"/>
          <w:kern w:val="0"/>
          <w:sz w:val="28"/>
          <w:szCs w:val="28"/>
          <w:lang w:eastAsia="ru-RU"/>
          <w14:ligatures w14:val="none"/>
        </w:rPr>
        <w:br/>
      </w:r>
    </w:p>
    <w:p w14:paraId="7D9ACBE8" w14:textId="77777777" w:rsidR="00D206C5" w:rsidRPr="00D206C5" w:rsidRDefault="00D206C5" w:rsidP="00D206C5">
      <w:pPr>
        <w:spacing w:before="100" w:beforeAutospacing="1" w:after="100" w:afterAutospacing="1"/>
        <w:rPr>
          <w:rFonts w:ascii="Times New Roman" w:eastAsia="Times New Roman" w:hAnsi="Times New Roman" w:cs="Times New Roman"/>
          <w:color w:val="000000"/>
          <w:kern w:val="0"/>
          <w:lang w:eastAsia="ru-RU"/>
          <w14:ligatures w14:val="none"/>
        </w:rPr>
      </w:pPr>
      <w:r w:rsidRPr="00D206C5">
        <w:rPr>
          <w:rFonts w:ascii="Times New Roman" w:eastAsia="Times New Roman" w:hAnsi="Times New Roman" w:cs="Times New Roman"/>
          <w:b/>
          <w:bCs/>
          <w:color w:val="000000"/>
          <w:kern w:val="0"/>
          <w:lang w:eastAsia="ru-RU"/>
          <w14:ligatures w14:val="none"/>
        </w:rPr>
        <w:t>For consideration under:</w:t>
      </w:r>
      <w:r w:rsidRPr="00D206C5">
        <w:rPr>
          <w:rFonts w:ascii="Times New Roman" w:eastAsia="Times New Roman" w:hAnsi="Times New Roman" w:cs="Times New Roman"/>
          <w:color w:val="000000"/>
          <w:kern w:val="0"/>
          <w:lang w:eastAsia="ru-RU"/>
          <w14:ligatures w14:val="none"/>
        </w:rPr>
        <w:br/>
        <w:t>Article 40 of the International Covenant on Civil and Political Rights</w:t>
      </w:r>
      <w:r w:rsidRPr="00D206C5">
        <w:rPr>
          <w:rFonts w:ascii="Times New Roman" w:eastAsia="Times New Roman" w:hAnsi="Times New Roman" w:cs="Times New Roman"/>
          <w:color w:val="000000"/>
          <w:kern w:val="0"/>
          <w:lang w:eastAsia="ru-RU"/>
          <w14:ligatures w14:val="none"/>
        </w:rPr>
        <w:br/>
        <w:t>Examination of the Fourth Periodic Report of the Republic of Moldova</w:t>
      </w:r>
    </w:p>
    <w:p w14:paraId="6C5090EE" w14:textId="0116C6E8" w:rsidR="00D206C5" w:rsidRPr="00D206C5" w:rsidRDefault="00D206C5" w:rsidP="00D206C5">
      <w:pPr>
        <w:spacing w:before="100" w:beforeAutospacing="1" w:after="100" w:afterAutospacing="1"/>
        <w:rPr>
          <w:rFonts w:ascii="Times New Roman" w:eastAsia="Times New Roman" w:hAnsi="Times New Roman" w:cs="Times New Roman"/>
          <w:color w:val="FF0000"/>
          <w:kern w:val="0"/>
          <w:lang w:eastAsia="ru-RU"/>
          <w14:ligatures w14:val="none"/>
        </w:rPr>
      </w:pPr>
      <w:r w:rsidRPr="00D206C5">
        <w:rPr>
          <w:rFonts w:ascii="Times New Roman" w:eastAsia="Times New Roman" w:hAnsi="Times New Roman" w:cs="Times New Roman"/>
          <w:b/>
          <w:bCs/>
          <w:color w:val="000000"/>
          <w:kern w:val="0"/>
          <w:lang w:eastAsia="ru-RU"/>
          <w14:ligatures w14:val="none"/>
        </w:rPr>
        <w:t>Confidentiality / publication:</w:t>
      </w:r>
      <w:r w:rsidRPr="00D206C5">
        <w:rPr>
          <w:rFonts w:ascii="Times New Roman" w:eastAsia="Times New Roman" w:hAnsi="Times New Roman" w:cs="Times New Roman"/>
          <w:color w:val="000000"/>
          <w:kern w:val="0"/>
          <w:lang w:eastAsia="ru-RU"/>
          <w14:ligatures w14:val="none"/>
        </w:rPr>
        <w:br/>
      </w:r>
      <w:r w:rsidRPr="00D70C55">
        <w:rPr>
          <w:rFonts w:ascii="Times New Roman" w:eastAsia="Times New Roman" w:hAnsi="Times New Roman" w:cs="Times New Roman"/>
          <w:color w:val="4472C4" w:themeColor="accent1"/>
          <w:kern w:val="0"/>
          <w:lang w:eastAsia="ru-RU"/>
          <w14:ligatures w14:val="none"/>
        </w:rPr>
        <w:t>This submission may be published on the Committee’s website</w:t>
      </w:r>
    </w:p>
    <w:p w14:paraId="69D4FD49" w14:textId="77777777" w:rsidR="00D206C5" w:rsidRPr="00D206C5" w:rsidRDefault="00D206C5" w:rsidP="00D206C5">
      <w:pPr>
        <w:spacing w:before="100" w:beforeAutospacing="1" w:after="100" w:afterAutospacing="1"/>
        <w:outlineLvl w:val="2"/>
        <w:rPr>
          <w:rFonts w:ascii="Times New Roman" w:eastAsia="Times New Roman" w:hAnsi="Times New Roman" w:cs="Times New Roman"/>
          <w:b/>
          <w:bCs/>
          <w:color w:val="000000"/>
          <w:kern w:val="0"/>
          <w:sz w:val="27"/>
          <w:szCs w:val="27"/>
          <w:lang w:eastAsia="ru-RU"/>
          <w14:ligatures w14:val="none"/>
        </w:rPr>
      </w:pPr>
      <w:r w:rsidRPr="00D206C5">
        <w:rPr>
          <w:rFonts w:ascii="Times New Roman" w:eastAsia="Times New Roman" w:hAnsi="Times New Roman" w:cs="Times New Roman"/>
          <w:b/>
          <w:bCs/>
          <w:color w:val="000000"/>
          <w:kern w:val="0"/>
          <w:sz w:val="27"/>
          <w:szCs w:val="27"/>
          <w:lang w:eastAsia="ru-RU"/>
          <w14:ligatures w14:val="none"/>
        </w:rPr>
        <w:t>Purpose of the submission</w:t>
      </w:r>
    </w:p>
    <w:p w14:paraId="2B05B90E" w14:textId="77777777" w:rsidR="00D206C5" w:rsidRPr="00D206C5" w:rsidRDefault="00D206C5" w:rsidP="00D206C5">
      <w:pPr>
        <w:spacing w:before="100" w:beforeAutospacing="1" w:after="100" w:afterAutospacing="1"/>
        <w:rPr>
          <w:rFonts w:ascii="Times New Roman" w:eastAsia="Times New Roman" w:hAnsi="Times New Roman" w:cs="Times New Roman"/>
          <w:color w:val="000000"/>
          <w:kern w:val="0"/>
          <w:lang w:eastAsia="ru-RU"/>
          <w14:ligatures w14:val="none"/>
        </w:rPr>
      </w:pPr>
      <w:r w:rsidRPr="00D206C5">
        <w:rPr>
          <w:rFonts w:ascii="Times New Roman" w:eastAsia="Times New Roman" w:hAnsi="Times New Roman" w:cs="Times New Roman"/>
          <w:color w:val="000000"/>
          <w:kern w:val="0"/>
          <w:lang w:eastAsia="ru-RU"/>
          <w14:ligatures w14:val="none"/>
        </w:rPr>
        <w:t>This written submission is respectfully submitted to the Human Rights Committee pursuant to Article 40 of the International Covenant on Civil and Political Rights (ICCPR) and in accordance with the Committee’s established practice for the consideration of State party reports.</w:t>
      </w:r>
    </w:p>
    <w:p w14:paraId="15991845" w14:textId="34CD0B5C" w:rsidR="00D206C5" w:rsidRDefault="00D206C5" w:rsidP="00D206C5">
      <w:pPr>
        <w:spacing w:before="100" w:beforeAutospacing="1" w:after="100" w:afterAutospacing="1"/>
        <w:rPr>
          <w:rFonts w:ascii="Times New Roman" w:eastAsia="Times New Roman" w:hAnsi="Times New Roman" w:cs="Times New Roman"/>
          <w:color w:val="000000"/>
          <w:kern w:val="0"/>
          <w:lang w:eastAsia="ru-RU"/>
          <w14:ligatures w14:val="none"/>
        </w:rPr>
      </w:pPr>
      <w:r w:rsidRPr="00D206C5">
        <w:rPr>
          <w:rFonts w:ascii="Times New Roman" w:eastAsia="Times New Roman" w:hAnsi="Times New Roman" w:cs="Times New Roman"/>
          <w:color w:val="000000"/>
          <w:kern w:val="0"/>
          <w:lang w:eastAsia="ru-RU"/>
          <w14:ligatures w14:val="none"/>
        </w:rPr>
        <w:t>The submission provides </w:t>
      </w:r>
      <w:r w:rsidRPr="00D206C5">
        <w:rPr>
          <w:rFonts w:ascii="Times New Roman" w:eastAsia="Times New Roman" w:hAnsi="Times New Roman" w:cs="Times New Roman"/>
          <w:b/>
          <w:bCs/>
          <w:color w:val="000000"/>
          <w:kern w:val="0"/>
          <w:lang w:eastAsia="ru-RU"/>
          <w14:ligatures w14:val="none"/>
        </w:rPr>
        <w:t>specific, reliable and objective information</w:t>
      </w:r>
      <w:r w:rsidRPr="00D206C5">
        <w:rPr>
          <w:rFonts w:ascii="Times New Roman" w:eastAsia="Times New Roman" w:hAnsi="Times New Roman" w:cs="Times New Roman"/>
          <w:color w:val="000000"/>
          <w:kern w:val="0"/>
          <w:lang w:eastAsia="ru-RU"/>
          <w14:ligatures w14:val="none"/>
        </w:rPr>
        <w:t> concerning </w:t>
      </w:r>
      <w:r w:rsidRPr="00D206C5">
        <w:rPr>
          <w:rFonts w:ascii="Times New Roman" w:eastAsia="Times New Roman" w:hAnsi="Times New Roman" w:cs="Times New Roman"/>
          <w:b/>
          <w:bCs/>
          <w:color w:val="000000"/>
          <w:kern w:val="0"/>
          <w:lang w:eastAsia="ru-RU"/>
          <w14:ligatures w14:val="none"/>
        </w:rPr>
        <w:t>systemic violations of the ICCPR committed by the Republic of Moldova</w:t>
      </w:r>
      <w:r w:rsidRPr="00D206C5">
        <w:rPr>
          <w:rFonts w:ascii="Times New Roman" w:eastAsia="Times New Roman" w:hAnsi="Times New Roman" w:cs="Times New Roman"/>
          <w:color w:val="000000"/>
          <w:kern w:val="0"/>
          <w:lang w:eastAsia="ru-RU"/>
          <w14:ligatures w14:val="none"/>
        </w:rPr>
        <w:t> against believers and clergy of the Orthodox Church of Moldova (OCM), in the context of:</w:t>
      </w:r>
    </w:p>
    <w:p w14:paraId="3939856A" w14:textId="77777777" w:rsidR="00D206C5" w:rsidRDefault="00D206C5" w:rsidP="00D206C5">
      <w:pPr>
        <w:spacing w:before="100" w:beforeAutospacing="1" w:after="100" w:afterAutospacing="1"/>
        <w:rPr>
          <w:rFonts w:ascii="Times New Roman" w:eastAsia="Times New Roman" w:hAnsi="Times New Roman" w:cs="Times New Roman"/>
          <w:color w:val="000000"/>
          <w:kern w:val="0"/>
          <w:lang w:eastAsia="ru-RU"/>
          <w14:ligatures w14:val="none"/>
        </w:rPr>
      </w:pPr>
    </w:p>
    <w:p w14:paraId="401152A0" w14:textId="77777777" w:rsidR="00D206C5" w:rsidRPr="00D206C5" w:rsidRDefault="00D206C5" w:rsidP="00D206C5">
      <w:pPr>
        <w:spacing w:before="100" w:beforeAutospacing="1" w:after="100" w:afterAutospacing="1"/>
        <w:rPr>
          <w:rFonts w:ascii="Times New Roman" w:eastAsia="Times New Roman" w:hAnsi="Times New Roman" w:cs="Times New Roman"/>
          <w:color w:val="000000"/>
          <w:kern w:val="0"/>
          <w:lang w:eastAsia="ru-RU"/>
          <w14:ligatures w14:val="none"/>
        </w:rPr>
      </w:pPr>
    </w:p>
    <w:p w14:paraId="2D44BBCD" w14:textId="77777777" w:rsidR="00D206C5" w:rsidRPr="00D206C5" w:rsidRDefault="00D206C5">
      <w:pPr>
        <w:numPr>
          <w:ilvl w:val="0"/>
          <w:numId w:val="27"/>
        </w:numPr>
        <w:spacing w:before="100" w:beforeAutospacing="1" w:after="100" w:afterAutospacing="1"/>
        <w:rPr>
          <w:rFonts w:ascii="Times New Roman" w:eastAsia="Times New Roman" w:hAnsi="Times New Roman" w:cs="Times New Roman"/>
          <w:color w:val="000000"/>
          <w:kern w:val="0"/>
          <w:lang w:eastAsia="ru-RU"/>
          <w14:ligatures w14:val="none"/>
        </w:rPr>
      </w:pPr>
      <w:r w:rsidRPr="00D206C5">
        <w:rPr>
          <w:rFonts w:ascii="Times New Roman" w:eastAsia="Times New Roman" w:hAnsi="Times New Roman" w:cs="Times New Roman"/>
          <w:color w:val="000000"/>
          <w:kern w:val="0"/>
          <w:lang w:eastAsia="ru-RU"/>
          <w14:ligatures w14:val="none"/>
        </w:rPr>
        <w:t>freedom of religion or belief (Article 18 ICCPR);</w:t>
      </w:r>
    </w:p>
    <w:p w14:paraId="40E56BCF" w14:textId="77777777" w:rsidR="00D206C5" w:rsidRPr="00D206C5" w:rsidRDefault="00D206C5">
      <w:pPr>
        <w:numPr>
          <w:ilvl w:val="0"/>
          <w:numId w:val="27"/>
        </w:numPr>
        <w:spacing w:before="100" w:beforeAutospacing="1" w:after="100" w:afterAutospacing="1"/>
        <w:rPr>
          <w:rFonts w:ascii="Times New Roman" w:eastAsia="Times New Roman" w:hAnsi="Times New Roman" w:cs="Times New Roman"/>
          <w:color w:val="000000"/>
          <w:kern w:val="0"/>
          <w:lang w:eastAsia="ru-RU"/>
          <w14:ligatures w14:val="none"/>
        </w:rPr>
      </w:pPr>
      <w:r w:rsidRPr="00D206C5">
        <w:rPr>
          <w:rFonts w:ascii="Times New Roman" w:eastAsia="Times New Roman" w:hAnsi="Times New Roman" w:cs="Times New Roman"/>
          <w:color w:val="000000"/>
          <w:kern w:val="0"/>
          <w:lang w:eastAsia="ru-RU"/>
          <w14:ligatures w14:val="none"/>
        </w:rPr>
        <w:t>freedom of movement (Article 12 ICCPR);</w:t>
      </w:r>
    </w:p>
    <w:p w14:paraId="3C65B0DA" w14:textId="77777777" w:rsidR="00D206C5" w:rsidRPr="00D206C5" w:rsidRDefault="00D206C5">
      <w:pPr>
        <w:numPr>
          <w:ilvl w:val="0"/>
          <w:numId w:val="27"/>
        </w:numPr>
        <w:spacing w:before="100" w:beforeAutospacing="1" w:after="100" w:afterAutospacing="1"/>
        <w:rPr>
          <w:rFonts w:ascii="Times New Roman" w:eastAsia="Times New Roman" w:hAnsi="Times New Roman" w:cs="Times New Roman"/>
          <w:color w:val="000000"/>
          <w:kern w:val="0"/>
          <w:lang w:eastAsia="ru-RU"/>
          <w14:ligatures w14:val="none"/>
        </w:rPr>
      </w:pPr>
      <w:r w:rsidRPr="00D206C5">
        <w:rPr>
          <w:rFonts w:ascii="Times New Roman" w:eastAsia="Times New Roman" w:hAnsi="Times New Roman" w:cs="Times New Roman"/>
          <w:color w:val="000000"/>
          <w:kern w:val="0"/>
          <w:lang w:eastAsia="ru-RU"/>
          <w14:ligatures w14:val="none"/>
        </w:rPr>
        <w:t>the principle of legality, legal certainty and fair trial guarantees (Articles 14 and 15 ICCPR);</w:t>
      </w:r>
    </w:p>
    <w:p w14:paraId="243E6E11" w14:textId="77777777" w:rsidR="00D206C5" w:rsidRPr="00D206C5" w:rsidRDefault="00D206C5">
      <w:pPr>
        <w:numPr>
          <w:ilvl w:val="0"/>
          <w:numId w:val="27"/>
        </w:numPr>
        <w:spacing w:before="100" w:beforeAutospacing="1" w:after="100" w:afterAutospacing="1"/>
        <w:rPr>
          <w:rFonts w:ascii="Times New Roman" w:eastAsia="Times New Roman" w:hAnsi="Times New Roman" w:cs="Times New Roman"/>
          <w:color w:val="000000"/>
          <w:kern w:val="0"/>
          <w:lang w:eastAsia="ru-RU"/>
          <w14:ligatures w14:val="none"/>
        </w:rPr>
      </w:pPr>
      <w:r w:rsidRPr="00D206C5">
        <w:rPr>
          <w:rFonts w:ascii="Times New Roman" w:eastAsia="Times New Roman" w:hAnsi="Times New Roman" w:cs="Times New Roman"/>
          <w:color w:val="000000"/>
          <w:kern w:val="0"/>
          <w:lang w:eastAsia="ru-RU"/>
          <w14:ligatures w14:val="none"/>
        </w:rPr>
        <w:t>equality before the law and non-discrimination (Articles 2(1) and 26 ICCPR).</w:t>
      </w:r>
    </w:p>
    <w:p w14:paraId="2EAF3244" w14:textId="049FB96C" w:rsidR="00B73F88" w:rsidRPr="00D206C5" w:rsidRDefault="00D206C5" w:rsidP="00D206C5">
      <w:pPr>
        <w:spacing w:before="100" w:beforeAutospacing="1" w:after="100" w:afterAutospacing="1"/>
        <w:jc w:val="both"/>
        <w:rPr>
          <w:rFonts w:ascii="Times New Roman" w:eastAsia="Times New Roman" w:hAnsi="Times New Roman" w:cs="Times New Roman"/>
          <w:color w:val="000000"/>
          <w:kern w:val="0"/>
          <w:lang w:val="en-US" w:eastAsia="ru-RU"/>
          <w14:ligatures w14:val="none"/>
        </w:rPr>
      </w:pPr>
      <w:r w:rsidRPr="00D206C5">
        <w:rPr>
          <w:rFonts w:ascii="Times New Roman" w:eastAsia="Times New Roman" w:hAnsi="Times New Roman" w:cs="Times New Roman"/>
          <w:color w:val="000000"/>
          <w:kern w:val="0"/>
          <w:lang w:eastAsia="ru-RU"/>
          <w14:ligatures w14:val="none"/>
        </w:rPr>
        <w:t>The information contained herein is </w:t>
      </w:r>
      <w:r w:rsidRPr="00D206C5">
        <w:rPr>
          <w:rFonts w:ascii="Times New Roman" w:eastAsia="Times New Roman" w:hAnsi="Times New Roman" w:cs="Times New Roman"/>
          <w:b/>
          <w:bCs/>
          <w:color w:val="000000"/>
          <w:kern w:val="0"/>
          <w:lang w:eastAsia="ru-RU"/>
          <w14:ligatures w14:val="none"/>
        </w:rPr>
        <w:t>directly relevant to the Committee’s mandate</w:t>
      </w:r>
      <w:r w:rsidRPr="00D206C5">
        <w:rPr>
          <w:rFonts w:ascii="Times New Roman" w:eastAsia="Times New Roman" w:hAnsi="Times New Roman" w:cs="Times New Roman"/>
          <w:color w:val="000000"/>
          <w:kern w:val="0"/>
          <w:lang w:eastAsia="ru-RU"/>
          <w14:ligatures w14:val="none"/>
        </w:rPr>
        <w:t> and to its examination of the Fourth Periodic Report of the Republic of Moldova at its 145th session, and follows the structure and analytical approach typically used by the Committee in identifying </w:t>
      </w:r>
      <w:r w:rsidRPr="00D206C5">
        <w:rPr>
          <w:rFonts w:ascii="Times New Roman" w:eastAsia="Times New Roman" w:hAnsi="Times New Roman" w:cs="Times New Roman"/>
          <w:b/>
          <w:bCs/>
          <w:color w:val="000000"/>
          <w:kern w:val="0"/>
          <w:lang w:eastAsia="ru-RU"/>
          <w14:ligatures w14:val="none"/>
        </w:rPr>
        <w:t>principal subjects of concern</w:t>
      </w:r>
      <w:r w:rsidRPr="00D206C5">
        <w:rPr>
          <w:rFonts w:ascii="Times New Roman" w:eastAsia="Times New Roman" w:hAnsi="Times New Roman" w:cs="Times New Roman"/>
          <w:color w:val="000000"/>
          <w:kern w:val="0"/>
          <w:lang w:eastAsia="ru-RU"/>
          <w14:ligatures w14:val="none"/>
        </w:rPr>
        <w:t> and formulating </w:t>
      </w:r>
      <w:r w:rsidRPr="00D206C5">
        <w:rPr>
          <w:rFonts w:ascii="Times New Roman" w:eastAsia="Times New Roman" w:hAnsi="Times New Roman" w:cs="Times New Roman"/>
          <w:b/>
          <w:bCs/>
          <w:color w:val="000000"/>
          <w:kern w:val="0"/>
          <w:lang w:eastAsia="ru-RU"/>
          <w14:ligatures w14:val="none"/>
        </w:rPr>
        <w:t>recommendation</w:t>
      </w:r>
      <w:r w:rsidRPr="00D206C5">
        <w:rPr>
          <w:rFonts w:ascii="Times New Roman" w:eastAsia="Times New Roman" w:hAnsi="Times New Roman" w:cs="Times New Roman"/>
          <w:b/>
          <w:bCs/>
          <w:color w:val="000000"/>
          <w:kern w:val="0"/>
          <w:lang w:val="en-US" w:eastAsia="ru-RU"/>
          <w14:ligatures w14:val="none"/>
        </w:rPr>
        <w:t>s.</w:t>
      </w:r>
    </w:p>
    <w:p w14:paraId="1E171F9B" w14:textId="13B7DB18" w:rsidR="00B73F88" w:rsidRPr="00D206C5" w:rsidRDefault="00B73F88" w:rsidP="00B73F88">
      <w:pPr>
        <w:ind w:firstLine="709"/>
        <w:jc w:val="both"/>
        <w:rPr>
          <w:rFonts w:ascii="Times New Roman" w:hAnsi="Times New Roman" w:cs="Times New Roman"/>
          <w:sz w:val="28"/>
          <w:szCs w:val="28"/>
        </w:rPr>
      </w:pPr>
    </w:p>
    <w:p w14:paraId="77F8C2D8" w14:textId="61CFA988" w:rsidR="00854024" w:rsidRPr="00D206C5" w:rsidRDefault="00854024">
      <w:pPr>
        <w:pStyle w:val="a8"/>
        <w:numPr>
          <w:ilvl w:val="0"/>
          <w:numId w:val="1"/>
        </w:numPr>
        <w:spacing w:line="276" w:lineRule="auto"/>
        <w:jc w:val="center"/>
        <w:outlineLvl w:val="2"/>
        <w:rPr>
          <w:rFonts w:ascii="Times New Roman" w:eastAsia="Times New Roman" w:hAnsi="Times New Roman" w:cs="Times New Roman"/>
          <w:b/>
          <w:bCs/>
          <w:sz w:val="28"/>
          <w:szCs w:val="28"/>
          <w:lang w:val="en-US" w:eastAsia="uk-UA"/>
        </w:rPr>
      </w:pPr>
      <w:r w:rsidRPr="00D206C5">
        <w:rPr>
          <w:rFonts w:ascii="Times New Roman" w:eastAsia="Times New Roman" w:hAnsi="Times New Roman" w:cs="Times New Roman"/>
          <w:b/>
          <w:bCs/>
          <w:sz w:val="28"/>
          <w:szCs w:val="28"/>
          <w:lang w:val="en-US" w:eastAsia="uk-UA"/>
        </w:rPr>
        <w:t>On the political pattern of religious hatred that shapes violations of human rights and religious freedom in Moldova and other countries</w:t>
      </w:r>
    </w:p>
    <w:p w14:paraId="0F5CD8E0" w14:textId="77777777" w:rsidR="00854024" w:rsidRPr="00D206C5" w:rsidRDefault="00854024" w:rsidP="00B73F88">
      <w:pPr>
        <w:ind w:firstLine="709"/>
        <w:jc w:val="both"/>
        <w:rPr>
          <w:rFonts w:ascii="Times New Roman" w:hAnsi="Times New Roman" w:cs="Times New Roman"/>
          <w:lang w:val="en-US"/>
        </w:rPr>
      </w:pPr>
    </w:p>
    <w:p w14:paraId="713E3D4D" w14:textId="7CE952B7" w:rsidR="00B73F88" w:rsidRPr="00D206C5" w:rsidRDefault="00B73F88" w:rsidP="00B73F88">
      <w:pPr>
        <w:ind w:firstLine="709"/>
        <w:jc w:val="both"/>
        <w:rPr>
          <w:rFonts w:ascii="Times New Roman" w:hAnsi="Times New Roman" w:cs="Times New Roman"/>
        </w:rPr>
      </w:pPr>
      <w:r w:rsidRPr="00D206C5">
        <w:rPr>
          <w:rFonts w:ascii="Times New Roman" w:hAnsi="Times New Roman" w:cs="Times New Roman"/>
        </w:rPr>
        <w:t>We have repeatedly stated at various international forums that international law and the national legislation of countries that have chosen a democratic path and claim to uphold human rights on their territories do not permit bans on organizational or canonical ties between religious organizations and their central bodies. This legal principle has been reiterated in various international documents, including those at the UN level. From the perspective of law and democracy, it is neither possible nor lawful to prohibit or restrict a Church’s activities solely based on its affiliation with a particular country, even if that country is the Russian Federation. States must find the resolve to refrain from persecuting or discriminating against believers whose historical religious and canonical ties with their centers are an integral part of their religious freedom and the right to freedom of belief. This is a firmly established legal principle, shaped by international consensus through foundational documents such as the Universal Declaration of Human Rights, the International Covenant on Civil and Political Rights, and the European Convention on Human Rights and Fundamental Freedoms.</w:t>
      </w:r>
    </w:p>
    <w:p w14:paraId="11BB3D33" w14:textId="77777777" w:rsidR="00B73F88" w:rsidRPr="00D206C5" w:rsidRDefault="00B73F88" w:rsidP="00B73F88">
      <w:pPr>
        <w:ind w:firstLine="709"/>
        <w:jc w:val="both"/>
        <w:rPr>
          <w:rFonts w:ascii="Times New Roman" w:hAnsi="Times New Roman" w:cs="Times New Roman"/>
        </w:rPr>
      </w:pPr>
    </w:p>
    <w:p w14:paraId="7BC29D25" w14:textId="2FC41DE2" w:rsidR="00B73F88" w:rsidRPr="00D206C5" w:rsidRDefault="00B73F88" w:rsidP="00B73F88">
      <w:pPr>
        <w:ind w:firstLine="709"/>
        <w:jc w:val="both"/>
        <w:rPr>
          <w:rFonts w:ascii="Times New Roman" w:hAnsi="Times New Roman" w:cs="Times New Roman"/>
        </w:rPr>
      </w:pPr>
      <w:r w:rsidRPr="00D206C5">
        <w:rPr>
          <w:rFonts w:ascii="Times New Roman" w:hAnsi="Times New Roman" w:cs="Times New Roman"/>
        </w:rPr>
        <w:t>No matter how much some politicians in countries like Ukraine, Estonia, or Moldova may wish to favor certain religious denominations for political convenience and restrict the rights of others – unreasonably accusing them of being “pro-Moscow” and using hate-filled rhetoric to boost their own political ratings – such policies must be abandoned in favor of upholding human rights regardless of political trends or electoral goals.</w:t>
      </w:r>
    </w:p>
    <w:p w14:paraId="234D40DD" w14:textId="77777777" w:rsidR="00B73F88" w:rsidRPr="00D206C5" w:rsidRDefault="00B73F88" w:rsidP="00B73F88">
      <w:pPr>
        <w:ind w:firstLine="709"/>
        <w:jc w:val="both"/>
        <w:rPr>
          <w:rFonts w:ascii="Times New Roman" w:hAnsi="Times New Roman" w:cs="Times New Roman"/>
        </w:rPr>
      </w:pPr>
    </w:p>
    <w:p w14:paraId="74137D1D" w14:textId="57278CB1" w:rsidR="00B73F88" w:rsidRPr="00D206C5" w:rsidRDefault="00B73F88" w:rsidP="00B73F88">
      <w:pPr>
        <w:ind w:firstLine="709"/>
        <w:jc w:val="both"/>
        <w:rPr>
          <w:rFonts w:ascii="Times New Roman" w:hAnsi="Times New Roman" w:cs="Times New Roman"/>
        </w:rPr>
      </w:pPr>
      <w:r w:rsidRPr="00D206C5">
        <w:rPr>
          <w:rFonts w:ascii="Times New Roman" w:hAnsi="Times New Roman" w:cs="Times New Roman"/>
        </w:rPr>
        <w:t>If politicians continue down a path of legal erosion, selectively defending the rights of certain religious, national, or ethnic groups, this will only deepen societal division, confrontation, and hatred. Worse still, it will create a perception that crimes such as church raids, assaults on believers, and unchecked violence against those labeled “pro-Russian” or “enemies of the people” by state-backed political propaganda are acceptable and even justified.</w:t>
      </w:r>
    </w:p>
    <w:p w14:paraId="490F6840" w14:textId="77777777" w:rsidR="00B73F88" w:rsidRPr="00D206C5" w:rsidRDefault="00B73F88" w:rsidP="00B73F88">
      <w:pPr>
        <w:ind w:firstLine="709"/>
        <w:jc w:val="both"/>
        <w:rPr>
          <w:rFonts w:ascii="Times New Roman" w:hAnsi="Times New Roman" w:cs="Times New Roman"/>
        </w:rPr>
      </w:pPr>
    </w:p>
    <w:p w14:paraId="2AB3B84C" w14:textId="65BE1A9A" w:rsidR="00B73F88" w:rsidRPr="00D206C5" w:rsidRDefault="00B73F88" w:rsidP="00B73F88">
      <w:pPr>
        <w:ind w:firstLine="709"/>
        <w:jc w:val="both"/>
        <w:rPr>
          <w:rFonts w:ascii="Times New Roman" w:hAnsi="Times New Roman" w:cs="Times New Roman"/>
        </w:rPr>
      </w:pPr>
      <w:r w:rsidRPr="00D206C5">
        <w:rPr>
          <w:rFonts w:ascii="Times New Roman" w:hAnsi="Times New Roman" w:cs="Times New Roman"/>
        </w:rPr>
        <w:t>The political authorities must distinguish between personal legal responsibility – which should apply only to individuals found guilty by an independent court – and political criticism, which must not result in discrimination or be supported by state institutions at the expense of the legal rights and interests of protected religious groups. Attempts to impose collective responsibility on all believers for the statements or actions of religious leaders in other</w:t>
      </w:r>
      <w:r w:rsidRPr="00F923DD">
        <w:t xml:space="preserve"> countries, </w:t>
      </w:r>
      <w:r w:rsidRPr="00D206C5">
        <w:rPr>
          <w:rFonts w:ascii="Times New Roman" w:hAnsi="Times New Roman" w:cs="Times New Roman"/>
        </w:rPr>
        <w:t>or to treat canonical or organizational affiliation with the Russian Orthodox Church as grounds for prosecution or denial of rights, clearly constitute discrimination and violations of human rights.</w:t>
      </w:r>
    </w:p>
    <w:p w14:paraId="233A2B86" w14:textId="7C377715" w:rsidR="00B73F88" w:rsidRDefault="00B73F88" w:rsidP="00B73F88">
      <w:pPr>
        <w:spacing w:line="276" w:lineRule="auto"/>
        <w:ind w:firstLine="708"/>
        <w:jc w:val="both"/>
        <w:rPr>
          <w:rFonts w:ascii="Times New Roman" w:eastAsia="Times New Roman" w:hAnsi="Times New Roman" w:cs="Times New Roman"/>
          <w:b/>
          <w:bCs/>
          <w:lang w:val="en-US" w:eastAsia="uk-UA"/>
        </w:rPr>
      </w:pPr>
    </w:p>
    <w:p w14:paraId="76E05E81" w14:textId="18968110" w:rsidR="00D206C5" w:rsidRDefault="00D206C5" w:rsidP="00B73F88">
      <w:pPr>
        <w:spacing w:line="276" w:lineRule="auto"/>
        <w:ind w:firstLine="708"/>
        <w:jc w:val="both"/>
        <w:rPr>
          <w:rFonts w:ascii="Times New Roman" w:eastAsia="Times New Roman" w:hAnsi="Times New Roman" w:cs="Times New Roman"/>
          <w:b/>
          <w:bCs/>
          <w:lang w:val="en-US" w:eastAsia="uk-UA"/>
        </w:rPr>
      </w:pPr>
    </w:p>
    <w:p w14:paraId="60E20293" w14:textId="5989B158" w:rsidR="00D206C5" w:rsidRDefault="00D206C5" w:rsidP="00B73F88">
      <w:pPr>
        <w:spacing w:line="276" w:lineRule="auto"/>
        <w:ind w:firstLine="708"/>
        <w:jc w:val="both"/>
        <w:rPr>
          <w:rFonts w:ascii="Times New Roman" w:eastAsia="Times New Roman" w:hAnsi="Times New Roman" w:cs="Times New Roman"/>
          <w:b/>
          <w:bCs/>
          <w:lang w:val="en-US" w:eastAsia="uk-UA"/>
        </w:rPr>
      </w:pPr>
    </w:p>
    <w:p w14:paraId="1265650C" w14:textId="77777777" w:rsidR="00D206C5" w:rsidRPr="00854024" w:rsidRDefault="00D206C5" w:rsidP="00B73F88">
      <w:pPr>
        <w:spacing w:line="276" w:lineRule="auto"/>
        <w:ind w:firstLine="708"/>
        <w:jc w:val="both"/>
        <w:rPr>
          <w:rFonts w:ascii="Times New Roman" w:eastAsia="Times New Roman" w:hAnsi="Times New Roman" w:cs="Times New Roman"/>
          <w:b/>
          <w:bCs/>
          <w:lang w:val="en-US" w:eastAsia="uk-UA"/>
        </w:rPr>
      </w:pPr>
    </w:p>
    <w:p w14:paraId="4F3FD541" w14:textId="19C7C735" w:rsidR="00854024" w:rsidRPr="00D206C5" w:rsidRDefault="00854024">
      <w:pPr>
        <w:pStyle w:val="a8"/>
        <w:numPr>
          <w:ilvl w:val="0"/>
          <w:numId w:val="1"/>
        </w:numPr>
        <w:jc w:val="center"/>
        <w:rPr>
          <w:rFonts w:ascii="Times New Roman" w:eastAsia="Times New Roman" w:hAnsi="Times New Roman" w:cs="Times New Roman"/>
          <w:b/>
          <w:bCs/>
          <w:kern w:val="0"/>
          <w:sz w:val="28"/>
          <w:szCs w:val="28"/>
          <w:lang w:val="en-US" w:eastAsia="ru-RU"/>
          <w14:ligatures w14:val="none"/>
        </w:rPr>
      </w:pPr>
      <w:r w:rsidRPr="00D206C5">
        <w:rPr>
          <w:rFonts w:ascii="Times New Roman" w:eastAsia="Times New Roman" w:hAnsi="Times New Roman" w:cs="Times New Roman"/>
          <w:b/>
          <w:bCs/>
          <w:kern w:val="0"/>
          <w:sz w:val="28"/>
          <w:szCs w:val="28"/>
          <w:lang w:eastAsia="ru-RU"/>
          <w14:ligatures w14:val="none"/>
        </w:rPr>
        <w:t>Regarding the rhetoric of hatred on the part of Moldovan politicians, violations of the right to freedom of movement, blocking of pilgrimages of bishops and believers of the Orthodox Church of Moldova</w:t>
      </w:r>
      <w:r w:rsidRPr="00D206C5">
        <w:rPr>
          <w:rFonts w:ascii="Times New Roman" w:eastAsia="Times New Roman" w:hAnsi="Times New Roman" w:cs="Times New Roman"/>
          <w:b/>
          <w:bCs/>
          <w:kern w:val="0"/>
          <w:sz w:val="28"/>
          <w:szCs w:val="28"/>
          <w:lang w:val="en-US" w:eastAsia="ru-RU"/>
          <w14:ligatures w14:val="none"/>
        </w:rPr>
        <w:t>, attempts to seize churches by force</w:t>
      </w:r>
    </w:p>
    <w:p w14:paraId="2864F04C" w14:textId="77777777" w:rsidR="000823F1" w:rsidRPr="00D206C5" w:rsidRDefault="000823F1" w:rsidP="00854024">
      <w:pPr>
        <w:spacing w:line="276" w:lineRule="auto"/>
        <w:jc w:val="both"/>
        <w:rPr>
          <w:rFonts w:ascii="Times New Roman" w:eastAsia="Times New Roman" w:hAnsi="Times New Roman" w:cs="Times New Roman"/>
          <w:sz w:val="28"/>
          <w:szCs w:val="28"/>
          <w:lang w:val="en-US" w:eastAsia="uk-UA"/>
        </w:rPr>
      </w:pPr>
    </w:p>
    <w:p w14:paraId="693950EF" w14:textId="6E0A7BBE" w:rsidR="00B73F88" w:rsidRPr="005F5462" w:rsidRDefault="00B73F88" w:rsidP="00B73F88">
      <w:pPr>
        <w:spacing w:line="276" w:lineRule="auto"/>
        <w:ind w:firstLine="708"/>
        <w:jc w:val="both"/>
        <w:rPr>
          <w:rFonts w:ascii="Times New Roman" w:eastAsia="Times New Roman" w:hAnsi="Times New Roman" w:cs="Times New Roman"/>
          <w:lang w:val="en-US" w:eastAsia="uk-UA"/>
        </w:rPr>
      </w:pPr>
      <w:r w:rsidRPr="005F5462">
        <w:rPr>
          <w:rFonts w:ascii="Times New Roman" w:eastAsia="Times New Roman" w:hAnsi="Times New Roman" w:cs="Times New Roman"/>
          <w:lang w:val="en-US" w:eastAsia="uk-UA"/>
        </w:rPr>
        <w:t>Unfortunately, today we are witnessing signs of unacceptable interference by central state authorities in Church affairs and in believers’ freedom of religious self-determination in the Republic of Moldova.</w:t>
      </w:r>
    </w:p>
    <w:p w14:paraId="56E2C454" w14:textId="77777777" w:rsidR="00B73F88" w:rsidRPr="005F5462" w:rsidRDefault="00B73F88" w:rsidP="00B73F88">
      <w:pPr>
        <w:spacing w:line="276" w:lineRule="auto"/>
        <w:jc w:val="both"/>
        <w:rPr>
          <w:rFonts w:ascii="Times New Roman" w:eastAsia="Times New Roman" w:hAnsi="Times New Roman" w:cs="Times New Roman"/>
          <w:lang w:val="en-US" w:eastAsia="uk-UA"/>
        </w:rPr>
      </w:pPr>
    </w:p>
    <w:p w14:paraId="5492ACBF" w14:textId="77777777" w:rsidR="00B73F88" w:rsidRPr="005F5462" w:rsidRDefault="00B73F88" w:rsidP="00B73F88">
      <w:pPr>
        <w:spacing w:line="276" w:lineRule="auto"/>
        <w:ind w:firstLine="708"/>
        <w:jc w:val="both"/>
        <w:rPr>
          <w:rFonts w:ascii="Times New Roman" w:eastAsia="Times New Roman" w:hAnsi="Times New Roman" w:cs="Times New Roman"/>
          <w:lang w:val="en-US" w:eastAsia="uk-UA"/>
        </w:rPr>
      </w:pPr>
      <w:r w:rsidRPr="005F5462">
        <w:rPr>
          <w:rFonts w:ascii="Times New Roman" w:eastAsia="Times New Roman" w:hAnsi="Times New Roman" w:cs="Times New Roman"/>
          <w:lang w:val="en-US" w:eastAsia="uk-UA"/>
        </w:rPr>
        <w:t>According to media reports:</w:t>
      </w:r>
    </w:p>
    <w:p w14:paraId="19F9FA40" w14:textId="77777777" w:rsidR="00B73F88" w:rsidRPr="005F5462" w:rsidRDefault="00B73F88" w:rsidP="00B73F88">
      <w:pPr>
        <w:spacing w:line="276" w:lineRule="auto"/>
        <w:jc w:val="both"/>
        <w:rPr>
          <w:rFonts w:ascii="Times New Roman" w:eastAsia="Times New Roman" w:hAnsi="Times New Roman" w:cs="Times New Roman"/>
          <w:i/>
          <w:iCs/>
          <w:noProof/>
          <w:lang w:val="en-US" w:eastAsia="uk-UA"/>
        </w:rPr>
      </w:pPr>
    </w:p>
    <w:p w14:paraId="26021B14" w14:textId="77777777" w:rsidR="00B73F88" w:rsidRPr="005F5462" w:rsidRDefault="00B73F88" w:rsidP="00B73F88">
      <w:pPr>
        <w:spacing w:line="276" w:lineRule="auto"/>
        <w:ind w:firstLine="708"/>
        <w:jc w:val="both"/>
        <w:rPr>
          <w:rFonts w:ascii="Times New Roman" w:eastAsia="Times New Roman" w:hAnsi="Times New Roman" w:cs="Times New Roman"/>
          <w:noProof/>
          <w:lang w:val="en-US" w:eastAsia="uk-UA"/>
        </w:rPr>
      </w:pPr>
      <w:r w:rsidRPr="005F5462">
        <w:rPr>
          <w:rFonts w:ascii="Times New Roman" w:eastAsia="Times New Roman" w:hAnsi="Times New Roman" w:cs="Times New Roman"/>
          <w:i/>
          <w:iCs/>
          <w:noProof/>
          <w:lang w:val="en-US" w:eastAsia="uk-UA"/>
        </w:rPr>
        <w:t>“On July 30, at a press conference following a meeting of the Supreme Security Council, President Maia Sandu announced a list of ten ‘instruments of Russian interference’ in the parliamentary elections scheduled for September 28. In this list, under number five, appeared the Orthodox Church of Moldova […]. This is the first time in the history of Moldova that the Church has been officially included in the list of ‘threats to national security’.”</w:t>
      </w:r>
      <w:r w:rsidRPr="005F5462">
        <w:rPr>
          <w:rStyle w:val="a5"/>
          <w:rFonts w:ascii="Times New Roman" w:hAnsi="Times New Roman" w:cs="Times New Roman"/>
          <w:noProof/>
          <w:lang w:val="en-US"/>
        </w:rPr>
        <w:footnoteReference w:id="1"/>
      </w:r>
    </w:p>
    <w:p w14:paraId="39D5A017" w14:textId="77777777" w:rsidR="00B73F88" w:rsidRPr="005F5462" w:rsidRDefault="00B73F88" w:rsidP="00B73F88">
      <w:pPr>
        <w:spacing w:line="276" w:lineRule="auto"/>
        <w:ind w:right="-46"/>
        <w:jc w:val="both"/>
        <w:rPr>
          <w:rFonts w:ascii="Times New Roman" w:hAnsi="Times New Roman" w:cs="Times New Roman"/>
          <w:noProof/>
          <w:lang w:val="en-US"/>
        </w:rPr>
      </w:pPr>
    </w:p>
    <w:p w14:paraId="536B5351" w14:textId="77777777" w:rsidR="00B73F88" w:rsidRPr="005F5462" w:rsidRDefault="00B73F88" w:rsidP="00B73F88">
      <w:pPr>
        <w:spacing w:line="276" w:lineRule="auto"/>
        <w:ind w:right="-46" w:firstLine="708"/>
        <w:jc w:val="both"/>
        <w:rPr>
          <w:rFonts w:ascii="Times New Roman" w:hAnsi="Times New Roman" w:cs="Times New Roman"/>
          <w:noProof/>
          <w:lang w:val="en-US"/>
        </w:rPr>
      </w:pPr>
      <w:r w:rsidRPr="005F5462">
        <w:rPr>
          <w:rFonts w:ascii="Times New Roman" w:hAnsi="Times New Roman" w:cs="Times New Roman"/>
          <w:noProof/>
          <w:lang w:val="en-US"/>
        </w:rPr>
        <w:t>Moreover, our observations indicate that the campaign to restrict this denomination’s rights goes beyond public statements. In fact, within Moldova’s judicial system, efforts are actively underway to abrogate agreements between the state and the Church regarding the use of monasteries and churches previously transferred to it by the state. Legal proceedings aimed at revoking the Church’s property rights and transferring the assets to the Bessarabian Metropolis of the Romanian Orthodox Church – backed by the authorities – have been ongoing for several years. There is a high likelihood that these lawsuits are being used as a tool to reverse legally binding state decisions granting these mo</w:t>
      </w:r>
      <w:r>
        <w:rPr>
          <w:rFonts w:ascii="Times New Roman" w:hAnsi="Times New Roman" w:cs="Times New Roman"/>
          <w:noProof/>
          <w:lang w:val="en-US"/>
        </w:rPr>
        <w:t>na</w:t>
      </w:r>
      <w:r w:rsidRPr="005F5462">
        <w:rPr>
          <w:rFonts w:ascii="Times New Roman" w:hAnsi="Times New Roman" w:cs="Times New Roman"/>
          <w:noProof/>
          <w:lang w:val="en-US"/>
        </w:rPr>
        <w:t>steries and temples to the Orthodox Church of Moldova, which has long been restoring and maintaining them.</w:t>
      </w:r>
    </w:p>
    <w:p w14:paraId="576836C5" w14:textId="77777777" w:rsidR="00B73F88" w:rsidRDefault="00B73F88" w:rsidP="00B73F88">
      <w:pPr>
        <w:spacing w:line="276" w:lineRule="auto"/>
        <w:ind w:right="-46"/>
        <w:rPr>
          <w:rFonts w:ascii="Times New Roman" w:hAnsi="Times New Roman" w:cs="Times New Roman"/>
          <w:noProof/>
          <w:lang w:val="en-US"/>
        </w:rPr>
      </w:pPr>
    </w:p>
    <w:p w14:paraId="220B6543" w14:textId="6A7A39DB" w:rsidR="00B73F88" w:rsidRPr="005F5462" w:rsidRDefault="00B73F88" w:rsidP="00B73F88">
      <w:pPr>
        <w:spacing w:line="276" w:lineRule="auto"/>
        <w:ind w:right="-46" w:firstLine="708"/>
        <w:jc w:val="both"/>
        <w:rPr>
          <w:rFonts w:ascii="Times New Roman" w:hAnsi="Times New Roman" w:cs="Times New Roman"/>
          <w:noProof/>
          <w:lang w:val="en-US"/>
        </w:rPr>
      </w:pPr>
      <w:r w:rsidRPr="005F5462">
        <w:rPr>
          <w:rFonts w:ascii="Times New Roman" w:hAnsi="Times New Roman" w:cs="Times New Roman"/>
          <w:noProof/>
          <w:lang w:val="en-US"/>
        </w:rPr>
        <w:t>We are also gravely concerned about severe human rights violations by representatives of the Moldovan state targeting hierarchs and clergy of this denomination.</w:t>
      </w:r>
    </w:p>
    <w:p w14:paraId="2A387303" w14:textId="77777777" w:rsidR="00B73F88" w:rsidRDefault="00B73F88" w:rsidP="00B73F88">
      <w:pPr>
        <w:spacing w:line="276" w:lineRule="auto"/>
        <w:ind w:right="-46" w:firstLine="708"/>
        <w:jc w:val="both"/>
        <w:rPr>
          <w:rFonts w:ascii="Times New Roman" w:hAnsi="Times New Roman" w:cs="Times New Roman"/>
          <w:noProof/>
          <w:lang w:val="en-US"/>
        </w:rPr>
      </w:pPr>
    </w:p>
    <w:p w14:paraId="52A1125B" w14:textId="77777777" w:rsidR="00B73F88" w:rsidRDefault="00B73F88" w:rsidP="00B73F88">
      <w:pPr>
        <w:spacing w:line="276" w:lineRule="auto"/>
        <w:ind w:right="-46" w:firstLine="708"/>
        <w:jc w:val="both"/>
        <w:rPr>
          <w:rFonts w:ascii="Times New Roman" w:hAnsi="Times New Roman" w:cs="Times New Roman"/>
          <w:noProof/>
          <w:lang w:val="en-US"/>
        </w:rPr>
      </w:pPr>
      <w:r w:rsidRPr="005F5462">
        <w:rPr>
          <w:rFonts w:ascii="Times New Roman" w:hAnsi="Times New Roman" w:cs="Times New Roman"/>
          <w:noProof/>
          <w:lang w:val="en-US"/>
        </w:rPr>
        <w:t xml:space="preserve">In particular, on April 17, 2025, Archbishop Marchel of Bălți and Fălești was unable to make a pilgrimage trip to Jerusalem to receive the Holy Fire: authorities detained him at the airport, and he was released only after his flight had already departed. The following day, April </w:t>
      </w:r>
    </w:p>
    <w:p w14:paraId="084A05DA" w14:textId="77777777" w:rsidR="00B73F88" w:rsidRPr="005F5462" w:rsidRDefault="00B73F88" w:rsidP="00B73F88">
      <w:pPr>
        <w:spacing w:line="276" w:lineRule="auto"/>
        <w:ind w:right="-46"/>
        <w:jc w:val="both"/>
        <w:rPr>
          <w:rFonts w:ascii="Times New Roman" w:hAnsi="Times New Roman" w:cs="Times New Roman"/>
          <w:noProof/>
          <w:lang w:val="en-US"/>
        </w:rPr>
      </w:pPr>
      <w:r w:rsidRPr="005F5462">
        <w:rPr>
          <w:rFonts w:ascii="Times New Roman" w:hAnsi="Times New Roman" w:cs="Times New Roman"/>
          <w:noProof/>
          <w:lang w:val="en-US"/>
        </w:rPr>
        <w:t>18, 2025, the archbishop tried again to depart on the same route, but on the way to the airport he was forced to change vehicles four times, as police repeatedly stopped each car he traveled in. Ultimately, he was detained again in the customs zone and released only after the flight had been missed</w:t>
      </w:r>
      <w:r w:rsidRPr="005F5462">
        <w:rPr>
          <w:rStyle w:val="a5"/>
          <w:rFonts w:ascii="Times New Roman" w:hAnsi="Times New Roman" w:cs="Times New Roman"/>
          <w:noProof/>
          <w:lang w:val="en-US"/>
        </w:rPr>
        <w:footnoteReference w:id="2"/>
      </w:r>
      <w:r w:rsidRPr="005F5462">
        <w:rPr>
          <w:rFonts w:ascii="Times New Roman" w:hAnsi="Times New Roman" w:cs="Times New Roman"/>
          <w:noProof/>
          <w:lang w:val="en-US"/>
        </w:rPr>
        <w:t>.</w:t>
      </w:r>
    </w:p>
    <w:p w14:paraId="1ACF390A" w14:textId="77777777" w:rsidR="00B73F88" w:rsidRPr="005F5462" w:rsidRDefault="00B73F88" w:rsidP="00B73F88">
      <w:pPr>
        <w:spacing w:line="276" w:lineRule="auto"/>
        <w:ind w:right="-46"/>
        <w:jc w:val="both"/>
        <w:rPr>
          <w:rFonts w:ascii="Times New Roman" w:hAnsi="Times New Roman" w:cs="Times New Roman"/>
          <w:noProof/>
          <w:lang w:val="en-US"/>
        </w:rPr>
      </w:pPr>
    </w:p>
    <w:p w14:paraId="0FA65BCE" w14:textId="77777777" w:rsidR="00D206C5" w:rsidRDefault="00D206C5" w:rsidP="00B73F88">
      <w:pPr>
        <w:spacing w:line="276" w:lineRule="auto"/>
        <w:ind w:right="-46" w:firstLine="708"/>
        <w:jc w:val="both"/>
        <w:rPr>
          <w:rFonts w:ascii="Times New Roman" w:hAnsi="Times New Roman" w:cs="Times New Roman"/>
          <w:lang w:val="en-US"/>
        </w:rPr>
      </w:pPr>
    </w:p>
    <w:p w14:paraId="74C0C510" w14:textId="2254F212" w:rsidR="00D206C5" w:rsidRDefault="00D206C5" w:rsidP="00B73F88">
      <w:pPr>
        <w:spacing w:line="276" w:lineRule="auto"/>
        <w:ind w:right="-46" w:firstLine="708"/>
        <w:jc w:val="both"/>
        <w:rPr>
          <w:rFonts w:ascii="Times New Roman" w:hAnsi="Times New Roman" w:cs="Times New Roman"/>
          <w:lang w:val="en-US"/>
        </w:rPr>
      </w:pPr>
    </w:p>
    <w:p w14:paraId="2FD76EBD" w14:textId="76C00619" w:rsidR="00D206C5" w:rsidRDefault="00D206C5" w:rsidP="00B73F88">
      <w:pPr>
        <w:spacing w:line="276" w:lineRule="auto"/>
        <w:ind w:right="-46" w:firstLine="708"/>
        <w:jc w:val="both"/>
        <w:rPr>
          <w:rFonts w:ascii="Times New Roman" w:hAnsi="Times New Roman" w:cs="Times New Roman"/>
          <w:lang w:val="en-US"/>
        </w:rPr>
      </w:pPr>
    </w:p>
    <w:p w14:paraId="3FB6EB30" w14:textId="67695EE3" w:rsidR="00D206C5" w:rsidRDefault="00D206C5" w:rsidP="00B73F88">
      <w:pPr>
        <w:spacing w:line="276" w:lineRule="auto"/>
        <w:ind w:right="-46" w:firstLine="708"/>
        <w:jc w:val="both"/>
        <w:rPr>
          <w:rFonts w:ascii="Times New Roman" w:hAnsi="Times New Roman" w:cs="Times New Roman"/>
          <w:lang w:val="en-US"/>
        </w:rPr>
      </w:pPr>
    </w:p>
    <w:p w14:paraId="506A0B1F" w14:textId="77777777" w:rsidR="00D206C5" w:rsidRDefault="00D206C5" w:rsidP="00B73F88">
      <w:pPr>
        <w:spacing w:line="276" w:lineRule="auto"/>
        <w:ind w:right="-46" w:firstLine="708"/>
        <w:jc w:val="both"/>
        <w:rPr>
          <w:rFonts w:ascii="Times New Roman" w:hAnsi="Times New Roman" w:cs="Times New Roman"/>
          <w:lang w:val="en-US"/>
        </w:rPr>
      </w:pPr>
    </w:p>
    <w:p w14:paraId="1ACBFAFE" w14:textId="7C1CB7B6" w:rsidR="00B73F88" w:rsidRPr="005F5462" w:rsidRDefault="00B73F88" w:rsidP="00B73F88">
      <w:pPr>
        <w:spacing w:line="276" w:lineRule="auto"/>
        <w:ind w:right="-46" w:firstLine="708"/>
        <w:jc w:val="both"/>
        <w:rPr>
          <w:rFonts w:ascii="Times New Roman" w:hAnsi="Times New Roman" w:cs="Times New Roman"/>
          <w:i/>
          <w:iCs/>
          <w:noProof/>
          <w:color w:val="000000"/>
          <w:shd w:val="clear" w:color="auto" w:fill="FFFFFF"/>
          <w:lang w:val="en-US"/>
        </w:rPr>
      </w:pPr>
      <w:r w:rsidRPr="005F5462">
        <w:rPr>
          <w:rFonts w:ascii="Times New Roman" w:hAnsi="Times New Roman" w:cs="Times New Roman"/>
          <w:lang w:val="en-US"/>
        </w:rPr>
        <w:t xml:space="preserve">As stated in the announcement on the official website of the </w:t>
      </w:r>
      <w:proofErr w:type="spellStart"/>
      <w:r w:rsidRPr="005F5462">
        <w:rPr>
          <w:rFonts w:ascii="Times New Roman" w:hAnsi="Times New Roman" w:cs="Times New Roman"/>
          <w:lang w:val="en-US"/>
        </w:rPr>
        <w:t>Bălți</w:t>
      </w:r>
      <w:proofErr w:type="spellEnd"/>
      <w:r w:rsidRPr="005F5462">
        <w:rPr>
          <w:rFonts w:ascii="Times New Roman" w:hAnsi="Times New Roman" w:cs="Times New Roman"/>
          <w:lang w:val="en-US"/>
        </w:rPr>
        <w:t xml:space="preserve"> and </w:t>
      </w:r>
      <w:proofErr w:type="spellStart"/>
      <w:r w:rsidRPr="005F5462">
        <w:rPr>
          <w:rFonts w:ascii="Times New Roman" w:hAnsi="Times New Roman" w:cs="Times New Roman"/>
          <w:lang w:val="en-US"/>
        </w:rPr>
        <w:t>Fălești</w:t>
      </w:r>
      <w:proofErr w:type="spellEnd"/>
      <w:r w:rsidRPr="005F5462">
        <w:rPr>
          <w:rFonts w:ascii="Times New Roman" w:hAnsi="Times New Roman" w:cs="Times New Roman"/>
          <w:lang w:val="en-US"/>
        </w:rPr>
        <w:t xml:space="preserve"> Eparchy of the Orthodox Church of Moldova</w:t>
      </w:r>
      <w:r w:rsidRPr="005F5462">
        <w:rPr>
          <w:rFonts w:ascii="Times New Roman" w:hAnsi="Times New Roman" w:cs="Times New Roman"/>
          <w:noProof/>
          <w:lang w:val="en-US"/>
        </w:rPr>
        <w:t xml:space="preserve"> </w:t>
      </w:r>
      <w:r w:rsidRPr="005F5462">
        <w:rPr>
          <w:rStyle w:val="a5"/>
          <w:rFonts w:ascii="Times New Roman" w:hAnsi="Times New Roman" w:cs="Times New Roman"/>
          <w:noProof/>
          <w:lang w:val="en-US"/>
        </w:rPr>
        <w:footnoteReference w:id="3"/>
      </w:r>
      <w:r w:rsidRPr="005F5462">
        <w:rPr>
          <w:rFonts w:ascii="Times New Roman" w:hAnsi="Times New Roman" w:cs="Times New Roman"/>
          <w:noProof/>
          <w:lang w:val="en-US"/>
        </w:rPr>
        <w:t xml:space="preserve">: </w:t>
      </w:r>
      <w:r w:rsidRPr="005F5462">
        <w:rPr>
          <w:rFonts w:ascii="Times New Roman" w:hAnsi="Times New Roman" w:cs="Times New Roman"/>
          <w:i/>
          <w:iCs/>
          <w:lang w:val="en-US"/>
        </w:rPr>
        <w:t xml:space="preserve">“From September to December 2024, groups of pilgrims, including those from the </w:t>
      </w:r>
      <w:proofErr w:type="spellStart"/>
      <w:r w:rsidRPr="005F5462">
        <w:rPr>
          <w:rFonts w:ascii="Times New Roman" w:hAnsi="Times New Roman" w:cs="Times New Roman"/>
          <w:i/>
          <w:iCs/>
          <w:lang w:val="en-US"/>
        </w:rPr>
        <w:t>Bălți</w:t>
      </w:r>
      <w:proofErr w:type="spellEnd"/>
      <w:r w:rsidRPr="005F5462">
        <w:rPr>
          <w:rFonts w:ascii="Times New Roman" w:hAnsi="Times New Roman" w:cs="Times New Roman"/>
          <w:i/>
          <w:iCs/>
          <w:lang w:val="en-US"/>
        </w:rPr>
        <w:t xml:space="preserve"> and </w:t>
      </w:r>
      <w:proofErr w:type="spellStart"/>
      <w:r w:rsidRPr="005F5462">
        <w:rPr>
          <w:rFonts w:ascii="Times New Roman" w:hAnsi="Times New Roman" w:cs="Times New Roman"/>
          <w:i/>
          <w:iCs/>
          <w:lang w:val="en-US"/>
        </w:rPr>
        <w:t>Fălești</w:t>
      </w:r>
      <w:proofErr w:type="spellEnd"/>
      <w:r w:rsidRPr="005F5462">
        <w:rPr>
          <w:rFonts w:ascii="Times New Roman" w:hAnsi="Times New Roman" w:cs="Times New Roman"/>
          <w:i/>
          <w:iCs/>
          <w:lang w:val="en-US"/>
        </w:rPr>
        <w:t xml:space="preserve"> Eparchy, made pilgrimages to the Holy Trinity St. </w:t>
      </w:r>
      <w:proofErr w:type="spellStart"/>
      <w:r w:rsidRPr="005F5462">
        <w:rPr>
          <w:rFonts w:ascii="Times New Roman" w:hAnsi="Times New Roman" w:cs="Times New Roman"/>
          <w:i/>
          <w:iCs/>
          <w:lang w:val="en-US"/>
        </w:rPr>
        <w:t>Sergius</w:t>
      </w:r>
      <w:proofErr w:type="spellEnd"/>
      <w:r w:rsidRPr="005F5462">
        <w:rPr>
          <w:rFonts w:ascii="Times New Roman" w:hAnsi="Times New Roman" w:cs="Times New Roman"/>
          <w:i/>
          <w:iCs/>
          <w:lang w:val="en-US"/>
        </w:rPr>
        <w:t xml:space="preserve"> </w:t>
      </w:r>
      <w:proofErr w:type="spellStart"/>
      <w:r w:rsidRPr="005F5462">
        <w:rPr>
          <w:rFonts w:ascii="Times New Roman" w:hAnsi="Times New Roman" w:cs="Times New Roman"/>
          <w:i/>
          <w:iCs/>
          <w:lang w:val="en-US"/>
        </w:rPr>
        <w:t>Lavra</w:t>
      </w:r>
      <w:proofErr w:type="spellEnd"/>
      <w:r w:rsidRPr="005F5462">
        <w:rPr>
          <w:rFonts w:ascii="Times New Roman" w:hAnsi="Times New Roman" w:cs="Times New Roman"/>
          <w:i/>
          <w:iCs/>
          <w:lang w:val="en-US"/>
        </w:rPr>
        <w:t xml:space="preserve"> in the city of </w:t>
      </w:r>
      <w:proofErr w:type="spellStart"/>
      <w:r w:rsidRPr="005F5462">
        <w:rPr>
          <w:rFonts w:ascii="Times New Roman" w:hAnsi="Times New Roman" w:cs="Times New Roman"/>
          <w:i/>
          <w:iCs/>
          <w:lang w:val="en-US"/>
        </w:rPr>
        <w:t>Sergiev</w:t>
      </w:r>
      <w:proofErr w:type="spellEnd"/>
      <w:r w:rsidRPr="005F5462">
        <w:rPr>
          <w:rFonts w:ascii="Times New Roman" w:hAnsi="Times New Roman" w:cs="Times New Roman"/>
          <w:i/>
          <w:iCs/>
          <w:lang w:val="en-US"/>
        </w:rPr>
        <w:t xml:space="preserve"> </w:t>
      </w:r>
      <w:proofErr w:type="spellStart"/>
      <w:r w:rsidRPr="005F5462">
        <w:rPr>
          <w:rFonts w:ascii="Times New Roman" w:hAnsi="Times New Roman" w:cs="Times New Roman"/>
          <w:i/>
          <w:iCs/>
          <w:lang w:val="en-US"/>
        </w:rPr>
        <w:t>Posad</w:t>
      </w:r>
      <w:proofErr w:type="spellEnd"/>
      <w:r w:rsidRPr="005F5462">
        <w:rPr>
          <w:rFonts w:ascii="Times New Roman" w:hAnsi="Times New Roman" w:cs="Times New Roman"/>
          <w:i/>
          <w:iCs/>
          <w:lang w:val="en-US"/>
        </w:rPr>
        <w:t xml:space="preserve"> and other monasteries in Russia. </w:t>
      </w:r>
      <w:proofErr w:type="gramStart"/>
      <w:r w:rsidRPr="005F5462">
        <w:rPr>
          <w:rFonts w:ascii="Times New Roman" w:hAnsi="Times New Roman" w:cs="Times New Roman"/>
          <w:i/>
          <w:iCs/>
          <w:lang w:val="en-US"/>
        </w:rPr>
        <w:t>In order to</w:t>
      </w:r>
      <w:proofErr w:type="gramEnd"/>
      <w:r w:rsidRPr="005F5462">
        <w:rPr>
          <w:rFonts w:ascii="Times New Roman" w:hAnsi="Times New Roman" w:cs="Times New Roman"/>
          <w:i/>
          <w:iCs/>
          <w:lang w:val="en-US"/>
        </w:rPr>
        <w:t xml:space="preserve"> obstruct this, the authorities not only cancelled the flights that the pilgrims were scheduled to take, but also resorted to intimidation and threats. An information campaign against the pilgrims was launched in the media. After some time, clergy and laypeople who had visited Russia were subjected to administrative penalties in the form of large fines solely for having visited holy sites and used banking services on the territory of the Russian Federation. They had committed no unlawful acts, engaged in no political propaganda, laundered no money, and had done nothing blameworthy at all. This is simply arbitrariness on the part of the authorities and persecution of believers on religious grounds.”</w:t>
      </w:r>
    </w:p>
    <w:p w14:paraId="1E68AB42" w14:textId="77777777" w:rsidR="00B73F88" w:rsidRPr="005F5462" w:rsidRDefault="00B73F88" w:rsidP="00B73F88">
      <w:pPr>
        <w:spacing w:line="276" w:lineRule="auto"/>
        <w:ind w:right="-46"/>
        <w:rPr>
          <w:rFonts w:ascii="Times New Roman" w:hAnsi="Times New Roman" w:cs="Times New Roman"/>
          <w:noProof/>
          <w:color w:val="000000"/>
          <w:shd w:val="clear" w:color="auto" w:fill="FFFFFF"/>
          <w:lang w:val="en-US"/>
        </w:rPr>
      </w:pPr>
    </w:p>
    <w:p w14:paraId="307EB34E" w14:textId="77777777" w:rsidR="00B73F88" w:rsidRPr="005F5462" w:rsidRDefault="00B73F88" w:rsidP="00B73F88">
      <w:pPr>
        <w:spacing w:line="276" w:lineRule="auto"/>
        <w:ind w:right="-46" w:firstLine="708"/>
        <w:jc w:val="both"/>
        <w:rPr>
          <w:rFonts w:ascii="Times New Roman" w:hAnsi="Times New Roman" w:cs="Times New Roman"/>
          <w:noProof/>
          <w:lang w:val="en-US"/>
        </w:rPr>
      </w:pPr>
      <w:r w:rsidRPr="005F5462">
        <w:rPr>
          <w:rFonts w:ascii="Times New Roman" w:hAnsi="Times New Roman" w:cs="Times New Roman"/>
          <w:lang w:val="en-US"/>
        </w:rPr>
        <w:t xml:space="preserve">In July 2025, a conflict on religious grounds took place in the village of </w:t>
      </w:r>
      <w:proofErr w:type="spellStart"/>
      <w:r w:rsidRPr="005F5462">
        <w:rPr>
          <w:rFonts w:ascii="Times New Roman" w:hAnsi="Times New Roman" w:cs="Times New Roman"/>
          <w:lang w:val="en-US"/>
        </w:rPr>
        <w:t>Grinăuți</w:t>
      </w:r>
      <w:proofErr w:type="spellEnd"/>
      <w:r w:rsidRPr="005F5462">
        <w:rPr>
          <w:rFonts w:ascii="Times New Roman" w:hAnsi="Times New Roman" w:cs="Times New Roman"/>
          <w:lang w:val="en-US"/>
        </w:rPr>
        <w:t xml:space="preserve">, </w:t>
      </w:r>
      <w:proofErr w:type="spellStart"/>
      <w:r w:rsidRPr="005F5462">
        <w:rPr>
          <w:rFonts w:ascii="Times New Roman" w:hAnsi="Times New Roman" w:cs="Times New Roman"/>
          <w:lang w:val="en-US"/>
        </w:rPr>
        <w:t>Rîșcani</w:t>
      </w:r>
      <w:proofErr w:type="spellEnd"/>
      <w:r w:rsidRPr="005F5462">
        <w:rPr>
          <w:rFonts w:ascii="Times New Roman" w:hAnsi="Times New Roman" w:cs="Times New Roman"/>
          <w:lang w:val="en-US"/>
        </w:rPr>
        <w:t xml:space="preserve"> District, involving an attempt to transfer a parish of the Orthodox Church of Moldova to the jurisdiction of the Metropolis of Bessarabia. According to media reports, the events involved representatives of the Metropolis of Bessarabia, supported by law enforcement officers. At a general meeting, members of the parish voted to remain within the Orthodox Church of Moldova; however, the attempted change of jurisdiction was accompanied by provocations and the blocking of the entrance to the church by representatives of the </w:t>
      </w:r>
      <w:proofErr w:type="spellStart"/>
      <w:r w:rsidRPr="005F5462">
        <w:rPr>
          <w:rFonts w:ascii="Times New Roman" w:hAnsi="Times New Roman" w:cs="Times New Roman"/>
          <w:lang w:val="en-US"/>
        </w:rPr>
        <w:t>Bessarabian</w:t>
      </w:r>
      <w:proofErr w:type="spellEnd"/>
      <w:r w:rsidRPr="005F5462">
        <w:rPr>
          <w:rFonts w:ascii="Times New Roman" w:hAnsi="Times New Roman" w:cs="Times New Roman"/>
          <w:lang w:val="en-US"/>
        </w:rPr>
        <w:t xml:space="preserve"> Metropolis</w:t>
      </w:r>
      <w:r w:rsidRPr="005F5462">
        <w:rPr>
          <w:rStyle w:val="a5"/>
          <w:rFonts w:ascii="Times New Roman" w:hAnsi="Times New Roman" w:cs="Times New Roman"/>
          <w:noProof/>
          <w:color w:val="000000"/>
          <w:shd w:val="clear" w:color="auto" w:fill="FFFFFF"/>
          <w:lang w:val="en-US"/>
        </w:rPr>
        <w:footnoteReference w:id="4"/>
      </w:r>
      <w:r w:rsidRPr="005F5462">
        <w:rPr>
          <w:rFonts w:ascii="Times New Roman" w:hAnsi="Times New Roman" w:cs="Times New Roman"/>
          <w:noProof/>
          <w:color w:val="000000"/>
          <w:shd w:val="clear" w:color="auto" w:fill="FFFFFF"/>
          <w:lang w:val="en-US"/>
        </w:rPr>
        <w:t>.</w:t>
      </w:r>
    </w:p>
    <w:p w14:paraId="07B1973F" w14:textId="77777777" w:rsidR="00B73F88" w:rsidRPr="005F5462" w:rsidRDefault="00B73F88" w:rsidP="00B73F88">
      <w:pPr>
        <w:spacing w:line="276" w:lineRule="auto"/>
        <w:ind w:right="-46"/>
        <w:jc w:val="both"/>
        <w:rPr>
          <w:rFonts w:ascii="Times New Roman" w:hAnsi="Times New Roman" w:cs="Times New Roman"/>
          <w:noProof/>
          <w:lang w:val="en-US"/>
        </w:rPr>
      </w:pPr>
    </w:p>
    <w:p w14:paraId="4304128B" w14:textId="77777777" w:rsidR="00B73F88" w:rsidRPr="005F5462" w:rsidRDefault="00B73F88" w:rsidP="00B73F88">
      <w:pPr>
        <w:spacing w:line="276" w:lineRule="auto"/>
        <w:ind w:right="-46" w:firstLine="708"/>
        <w:jc w:val="both"/>
        <w:rPr>
          <w:rFonts w:ascii="Times New Roman" w:hAnsi="Times New Roman" w:cs="Times New Roman"/>
          <w:i/>
          <w:iCs/>
          <w:noProof/>
          <w:lang w:val="en-US"/>
        </w:rPr>
      </w:pPr>
      <w:r w:rsidRPr="005F5462">
        <w:rPr>
          <w:rFonts w:ascii="Times New Roman" w:eastAsia="Times New Roman" w:hAnsi="Times New Roman" w:cs="Times New Roman"/>
          <w:lang w:val="en-US" w:eastAsia="uk-UA"/>
        </w:rPr>
        <w:t>According to media reports:</w:t>
      </w:r>
      <w:r w:rsidRPr="005F5462">
        <w:rPr>
          <w:rFonts w:ascii="Times New Roman" w:eastAsia="Times New Roman" w:hAnsi="Times New Roman" w:cs="Times New Roman"/>
          <w:lang w:eastAsia="uk-UA"/>
        </w:rPr>
        <w:t xml:space="preserve"> </w:t>
      </w:r>
      <w:r w:rsidRPr="005F5462">
        <w:rPr>
          <w:rFonts w:ascii="Times New Roman" w:eastAsia="Times New Roman" w:hAnsi="Times New Roman" w:cs="Times New Roman"/>
          <w:i/>
          <w:iCs/>
          <w:lang w:val="en-US" w:eastAsia="uk-UA"/>
        </w:rPr>
        <w:t xml:space="preserve">“The events in </w:t>
      </w:r>
      <w:proofErr w:type="spellStart"/>
      <w:r w:rsidRPr="005F5462">
        <w:rPr>
          <w:rFonts w:ascii="Times New Roman" w:eastAsia="Times New Roman" w:hAnsi="Times New Roman" w:cs="Times New Roman"/>
          <w:i/>
          <w:iCs/>
          <w:lang w:val="en-US" w:eastAsia="uk-UA"/>
        </w:rPr>
        <w:t>Grinăuți</w:t>
      </w:r>
      <w:proofErr w:type="spellEnd"/>
      <w:r w:rsidRPr="005F5462">
        <w:rPr>
          <w:rFonts w:ascii="Times New Roman" w:eastAsia="Times New Roman" w:hAnsi="Times New Roman" w:cs="Times New Roman"/>
          <w:i/>
          <w:iCs/>
          <w:lang w:val="en-US" w:eastAsia="uk-UA"/>
        </w:rPr>
        <w:t xml:space="preserve"> received wide public attention and, in the opinion of experts, reflected a broader process related to the redistribution of church property in favor of Romanian church structures with the support of the Romanian and Moldovan authorities… It is known that the Romanian state generously pays its clergy, and it is precisely the salary of 600–700 euros that attracts certain individuals ‘sensitive to money’, ready to violate their priestly oath for the sake of a comfortable life… In turn, </w:t>
      </w:r>
      <w:proofErr w:type="gramStart"/>
      <w:r w:rsidRPr="005F5462">
        <w:rPr>
          <w:rFonts w:ascii="Times New Roman" w:eastAsia="Times New Roman" w:hAnsi="Times New Roman" w:cs="Times New Roman"/>
          <w:i/>
          <w:iCs/>
          <w:lang w:val="en-US" w:eastAsia="uk-UA"/>
        </w:rPr>
        <w:t>a number of</w:t>
      </w:r>
      <w:proofErr w:type="gramEnd"/>
      <w:r w:rsidRPr="005F5462">
        <w:rPr>
          <w:rFonts w:ascii="Times New Roman" w:eastAsia="Times New Roman" w:hAnsi="Times New Roman" w:cs="Times New Roman"/>
          <w:i/>
          <w:iCs/>
          <w:lang w:val="en-US" w:eastAsia="uk-UA"/>
        </w:rPr>
        <w:t xml:space="preserve"> opposition politicians described what happened in </w:t>
      </w:r>
      <w:proofErr w:type="spellStart"/>
      <w:r w:rsidRPr="005F5462">
        <w:rPr>
          <w:rFonts w:ascii="Times New Roman" w:eastAsia="Times New Roman" w:hAnsi="Times New Roman" w:cs="Times New Roman"/>
          <w:i/>
          <w:iCs/>
          <w:lang w:val="en-US" w:eastAsia="uk-UA"/>
        </w:rPr>
        <w:t>Grinăuți</w:t>
      </w:r>
      <w:proofErr w:type="spellEnd"/>
      <w:r w:rsidRPr="005F5462">
        <w:rPr>
          <w:rFonts w:ascii="Times New Roman" w:eastAsia="Times New Roman" w:hAnsi="Times New Roman" w:cs="Times New Roman"/>
          <w:i/>
          <w:iCs/>
          <w:lang w:val="en-US" w:eastAsia="uk-UA"/>
        </w:rPr>
        <w:t xml:space="preserve"> as ‘church raiding’ aimed at seizing churches, destroying Moldovan identity, and undermining sovereignty…”</w:t>
      </w:r>
    </w:p>
    <w:p w14:paraId="0E48435A" w14:textId="77777777" w:rsidR="00B73F88" w:rsidRDefault="00B73F88" w:rsidP="00B73F88">
      <w:pPr>
        <w:spacing w:line="276" w:lineRule="auto"/>
        <w:ind w:right="-46"/>
        <w:rPr>
          <w:rFonts w:ascii="Times New Roman" w:eastAsia="Times New Roman" w:hAnsi="Times New Roman" w:cs="Times New Roman"/>
          <w:lang w:val="en-US" w:eastAsia="uk-UA"/>
        </w:rPr>
      </w:pPr>
    </w:p>
    <w:p w14:paraId="054C99E8" w14:textId="77777777" w:rsidR="00B73F88" w:rsidRPr="005F5462" w:rsidRDefault="00B73F88" w:rsidP="00B73F88">
      <w:pPr>
        <w:spacing w:line="276" w:lineRule="auto"/>
        <w:ind w:right="-46" w:firstLine="708"/>
        <w:jc w:val="both"/>
        <w:rPr>
          <w:rFonts w:ascii="Times New Roman" w:hAnsi="Times New Roman" w:cs="Times New Roman"/>
          <w:noProof/>
          <w:lang w:val="en-US"/>
        </w:rPr>
      </w:pPr>
      <w:r w:rsidRPr="005F5462">
        <w:rPr>
          <w:rFonts w:ascii="Times New Roman" w:eastAsia="Times New Roman" w:hAnsi="Times New Roman" w:cs="Times New Roman"/>
          <w:lang w:val="en-US" w:eastAsia="uk-UA"/>
        </w:rPr>
        <w:t>In view of the above, we wish to draw attention to the possible consequences for the Republic of Moldova in the context of assessing the compliance of its religious policy with the norms of international law and European legal standards.</w:t>
      </w:r>
    </w:p>
    <w:p w14:paraId="66B91453" w14:textId="77777777" w:rsidR="00B73F88" w:rsidRDefault="00B73F88" w:rsidP="00B73F88">
      <w:pPr>
        <w:pStyle w:val="a6"/>
        <w:spacing w:before="0" w:beforeAutospacing="0" w:after="0" w:afterAutospacing="0" w:line="276" w:lineRule="auto"/>
        <w:ind w:right="-46" w:firstLine="708"/>
        <w:jc w:val="both"/>
        <w:rPr>
          <w:noProof/>
          <w:lang w:val="en-US"/>
        </w:rPr>
      </w:pPr>
    </w:p>
    <w:p w14:paraId="654D9316" w14:textId="77777777" w:rsidR="00B73F88" w:rsidRPr="005F5462" w:rsidRDefault="00B73F88" w:rsidP="00B73F88">
      <w:pPr>
        <w:pStyle w:val="a6"/>
        <w:spacing w:before="0" w:beforeAutospacing="0" w:after="0" w:afterAutospacing="0" w:line="276" w:lineRule="auto"/>
        <w:ind w:right="-46" w:firstLine="708"/>
        <w:jc w:val="both"/>
        <w:rPr>
          <w:noProof/>
          <w:lang w:val="en-US"/>
        </w:rPr>
      </w:pPr>
      <w:r w:rsidRPr="005F5462">
        <w:rPr>
          <w:noProof/>
          <w:lang w:val="en-US"/>
        </w:rPr>
        <w:t>From the standpoint of international and European legal standards, a canonical or organizational link between a religious organization and the ROC, or with any other RF-based religious center  is not an offense and constitutes the free choice of believers in the EU, where any religious structures affiliated with the ROC or whatever regional centers operate freely. Therefore, it is an obvious and indisputable fact that discrimination or restriction of rights based on affiliation with a particular confession is inadmissible, let alone the prohibition of a canonical or organizational connection with a given religious center.</w:t>
      </w:r>
    </w:p>
    <w:p w14:paraId="6C109226" w14:textId="77777777" w:rsidR="00B73F88" w:rsidRPr="005F5462" w:rsidRDefault="00B73F88" w:rsidP="00B73F88">
      <w:pPr>
        <w:pStyle w:val="a6"/>
        <w:spacing w:before="0" w:beforeAutospacing="0" w:after="0" w:afterAutospacing="0" w:line="276" w:lineRule="auto"/>
        <w:ind w:right="-46"/>
        <w:rPr>
          <w:noProof/>
          <w:lang w:val="en-US"/>
        </w:rPr>
      </w:pPr>
    </w:p>
    <w:p w14:paraId="52C3AFDE" w14:textId="77777777" w:rsidR="00B73F88" w:rsidRPr="00D206C5" w:rsidRDefault="00B73F88" w:rsidP="00B73F88">
      <w:pPr>
        <w:spacing w:line="276" w:lineRule="auto"/>
        <w:rPr>
          <w:rFonts w:ascii="Times New Roman" w:eastAsia="Times New Roman" w:hAnsi="Times New Roman" w:cs="Times New Roman"/>
          <w:sz w:val="28"/>
          <w:szCs w:val="28"/>
          <w:lang w:val="en-US" w:eastAsia="uk-UA"/>
        </w:rPr>
      </w:pPr>
    </w:p>
    <w:p w14:paraId="383EBF6D" w14:textId="77777777" w:rsidR="00B73F88" w:rsidRPr="00D206C5" w:rsidRDefault="00B73F88" w:rsidP="00B73F88">
      <w:pPr>
        <w:spacing w:line="276" w:lineRule="auto"/>
        <w:jc w:val="center"/>
        <w:outlineLvl w:val="2"/>
        <w:rPr>
          <w:rFonts w:ascii="Times New Roman" w:eastAsia="Times New Roman" w:hAnsi="Times New Roman" w:cs="Times New Roman"/>
          <w:b/>
          <w:bCs/>
          <w:sz w:val="28"/>
          <w:szCs w:val="28"/>
          <w:lang w:val="en-US" w:eastAsia="uk-UA"/>
        </w:rPr>
      </w:pPr>
      <w:r w:rsidRPr="00D206C5">
        <w:rPr>
          <w:rFonts w:ascii="Times New Roman" w:eastAsia="Times New Roman" w:hAnsi="Times New Roman" w:cs="Times New Roman"/>
          <w:b/>
          <w:bCs/>
          <w:sz w:val="28"/>
          <w:szCs w:val="28"/>
          <w:lang w:val="en-US" w:eastAsia="uk-UA"/>
        </w:rPr>
        <w:t>3. On the transformation of political criticism of the RF into religious intolerance toward its own citizens</w:t>
      </w:r>
    </w:p>
    <w:p w14:paraId="5A428207" w14:textId="77777777" w:rsidR="00B73F88" w:rsidRPr="005F5462" w:rsidRDefault="00B73F88" w:rsidP="00B73F88">
      <w:pPr>
        <w:spacing w:line="276" w:lineRule="auto"/>
        <w:rPr>
          <w:rFonts w:ascii="Times New Roman" w:eastAsia="Times New Roman" w:hAnsi="Times New Roman" w:cs="Times New Roman"/>
          <w:lang w:val="en-US" w:eastAsia="uk-UA"/>
        </w:rPr>
      </w:pPr>
    </w:p>
    <w:p w14:paraId="448320AF" w14:textId="77777777" w:rsidR="00B73F88" w:rsidRPr="005F5462" w:rsidRDefault="00B73F88" w:rsidP="00B73F88">
      <w:pPr>
        <w:spacing w:line="276" w:lineRule="auto"/>
        <w:ind w:firstLine="708"/>
        <w:jc w:val="both"/>
        <w:rPr>
          <w:rFonts w:ascii="Times New Roman" w:eastAsia="Times New Roman" w:hAnsi="Times New Roman" w:cs="Times New Roman"/>
          <w:lang w:val="en-US" w:eastAsia="uk-UA"/>
        </w:rPr>
      </w:pPr>
      <w:r w:rsidRPr="005F5462">
        <w:rPr>
          <w:rFonts w:ascii="Times New Roman" w:eastAsia="Times New Roman" w:hAnsi="Times New Roman" w:cs="Times New Roman"/>
          <w:lang w:val="en-US" w:eastAsia="uk-UA"/>
        </w:rPr>
        <w:t>We regret to observe that the rise of propaganda and disinformation has led to ambiguous legal formulations being used to justify intolerance and discriminatory decisions.</w:t>
      </w:r>
    </w:p>
    <w:p w14:paraId="7589A0C1" w14:textId="77777777" w:rsidR="00B73F88" w:rsidRPr="005F5462" w:rsidRDefault="00B73F88" w:rsidP="00B73F88">
      <w:pPr>
        <w:spacing w:line="276" w:lineRule="auto"/>
        <w:jc w:val="both"/>
        <w:rPr>
          <w:rFonts w:ascii="Times New Roman" w:eastAsia="Times New Roman" w:hAnsi="Times New Roman" w:cs="Times New Roman"/>
          <w:lang w:val="en-US" w:eastAsia="uk-UA"/>
        </w:rPr>
      </w:pPr>
    </w:p>
    <w:p w14:paraId="3BE8FB62" w14:textId="77777777" w:rsidR="00B73F88" w:rsidRPr="005F5462" w:rsidRDefault="00B73F88" w:rsidP="00B73F88">
      <w:pPr>
        <w:spacing w:line="276" w:lineRule="auto"/>
        <w:ind w:firstLine="708"/>
        <w:jc w:val="both"/>
        <w:rPr>
          <w:rFonts w:ascii="Times New Roman" w:eastAsia="Times New Roman" w:hAnsi="Times New Roman" w:cs="Times New Roman"/>
          <w:lang w:val="en-US" w:eastAsia="uk-UA"/>
        </w:rPr>
      </w:pPr>
      <w:r w:rsidRPr="005F5462">
        <w:rPr>
          <w:rFonts w:ascii="Times New Roman" w:eastAsia="Times New Roman" w:hAnsi="Times New Roman" w:cs="Times New Roman"/>
          <w:lang w:val="en-US" w:eastAsia="uk-UA"/>
        </w:rPr>
        <w:t>As already seen in Ukraine—and now in Moldova—the repression of the Church begins with gradual escalation of hostile rhetoric about the supposed “Russian influence” allegedly exerted through religious institutions.</w:t>
      </w:r>
    </w:p>
    <w:p w14:paraId="7400AE66" w14:textId="77777777" w:rsidR="00B73F88" w:rsidRPr="005F5462" w:rsidRDefault="00B73F88" w:rsidP="00B73F88">
      <w:pPr>
        <w:spacing w:line="276" w:lineRule="auto"/>
        <w:jc w:val="both"/>
        <w:rPr>
          <w:rFonts w:ascii="Times New Roman" w:eastAsia="Times New Roman" w:hAnsi="Times New Roman" w:cs="Times New Roman"/>
          <w:lang w:val="en-US" w:eastAsia="uk-UA"/>
        </w:rPr>
      </w:pPr>
    </w:p>
    <w:p w14:paraId="592F6A0D" w14:textId="77777777" w:rsidR="00B73F88" w:rsidRPr="005F5462" w:rsidRDefault="00B73F88" w:rsidP="00B73F88">
      <w:pPr>
        <w:spacing w:line="276" w:lineRule="auto"/>
        <w:ind w:firstLine="708"/>
        <w:jc w:val="both"/>
        <w:rPr>
          <w:rFonts w:ascii="Times New Roman" w:eastAsia="Times New Roman" w:hAnsi="Times New Roman" w:cs="Times New Roman"/>
          <w:lang w:val="en-US" w:eastAsia="uk-UA"/>
        </w:rPr>
      </w:pPr>
      <w:r w:rsidRPr="005F5462">
        <w:rPr>
          <w:rFonts w:ascii="Times New Roman" w:eastAsia="Times New Roman" w:hAnsi="Times New Roman" w:cs="Times New Roman"/>
          <w:lang w:val="en-US" w:eastAsia="uk-UA"/>
        </w:rPr>
        <w:t>Although the laws of both countries uphold the presumption of innocence and individual responsibility, their authorities are shaping public opinion to the effect that all members of the UOC and OCM are collectively guilty merely because their Churches maintain canonical ties with the Russian Orthodox Church.</w:t>
      </w:r>
    </w:p>
    <w:p w14:paraId="0B045D40" w14:textId="77777777" w:rsidR="00B73F88" w:rsidRPr="005F5462" w:rsidRDefault="00B73F88" w:rsidP="00B73F88">
      <w:pPr>
        <w:spacing w:line="276" w:lineRule="auto"/>
        <w:jc w:val="both"/>
        <w:rPr>
          <w:rFonts w:ascii="Times New Roman" w:eastAsia="Times New Roman" w:hAnsi="Times New Roman" w:cs="Times New Roman"/>
          <w:lang w:val="en-US" w:eastAsia="uk-UA"/>
        </w:rPr>
      </w:pPr>
    </w:p>
    <w:p w14:paraId="417A22A3" w14:textId="77777777" w:rsidR="00B73F88" w:rsidRPr="005F5462" w:rsidRDefault="00B73F88" w:rsidP="00B73F88">
      <w:pPr>
        <w:spacing w:line="276" w:lineRule="auto"/>
        <w:ind w:firstLine="708"/>
        <w:jc w:val="both"/>
        <w:rPr>
          <w:rFonts w:ascii="Times New Roman" w:eastAsia="Times New Roman" w:hAnsi="Times New Roman" w:cs="Times New Roman"/>
          <w:lang w:val="en-US" w:eastAsia="uk-UA"/>
        </w:rPr>
      </w:pPr>
      <w:r w:rsidRPr="005F5462">
        <w:rPr>
          <w:rFonts w:ascii="Times New Roman" w:eastAsia="Times New Roman" w:hAnsi="Times New Roman" w:cs="Times New Roman"/>
          <w:lang w:val="en-US" w:eastAsia="uk-UA"/>
        </w:rPr>
        <w:t>This trend is extremely dangerous, especially if it begins to be reflected at the EU level in official policy and resolutions.</w:t>
      </w:r>
    </w:p>
    <w:p w14:paraId="058F9E83" w14:textId="77777777" w:rsidR="00B73F88" w:rsidRPr="005F5462" w:rsidRDefault="00B73F88" w:rsidP="00B73F88">
      <w:pPr>
        <w:spacing w:line="276" w:lineRule="auto"/>
        <w:jc w:val="both"/>
        <w:rPr>
          <w:rFonts w:ascii="Times New Roman" w:eastAsia="Times New Roman" w:hAnsi="Times New Roman" w:cs="Times New Roman"/>
          <w:lang w:val="en-US" w:eastAsia="uk-UA"/>
        </w:rPr>
      </w:pPr>
    </w:p>
    <w:p w14:paraId="71C0AC27" w14:textId="77777777" w:rsidR="00B73F88" w:rsidRPr="005F5462" w:rsidRDefault="00B73F88" w:rsidP="00B73F88">
      <w:pPr>
        <w:spacing w:line="276" w:lineRule="auto"/>
        <w:ind w:firstLine="708"/>
        <w:jc w:val="both"/>
        <w:rPr>
          <w:rFonts w:ascii="Times New Roman" w:eastAsia="Times New Roman" w:hAnsi="Times New Roman" w:cs="Times New Roman"/>
          <w:lang w:val="en-US" w:eastAsia="uk-UA"/>
        </w:rPr>
      </w:pPr>
      <w:r w:rsidRPr="005F5462">
        <w:rPr>
          <w:rFonts w:ascii="Times New Roman" w:eastAsia="Times New Roman" w:hAnsi="Times New Roman" w:cs="Times New Roman"/>
          <w:lang w:val="en-US" w:eastAsia="uk-UA"/>
        </w:rPr>
        <w:t>For example, paragraph 6 of PACE Resolution No. 2567 (2024) “Propaganda and Freedom of Information in Europe” reads:</w:t>
      </w:r>
    </w:p>
    <w:p w14:paraId="07994696" w14:textId="77777777" w:rsidR="00B73F88" w:rsidRPr="005F5462" w:rsidRDefault="00B73F88" w:rsidP="00B73F88">
      <w:pPr>
        <w:spacing w:line="276" w:lineRule="auto"/>
        <w:rPr>
          <w:rFonts w:ascii="Times New Roman" w:eastAsia="Times New Roman" w:hAnsi="Times New Roman" w:cs="Times New Roman"/>
          <w:i/>
          <w:iCs/>
          <w:noProof/>
          <w:lang w:val="en-US" w:eastAsia="uk-UA"/>
        </w:rPr>
      </w:pPr>
    </w:p>
    <w:p w14:paraId="1E35AA0F" w14:textId="77777777" w:rsidR="00B73F88" w:rsidRPr="000F7F2E" w:rsidRDefault="00B73F88" w:rsidP="00B73F88">
      <w:pPr>
        <w:spacing w:line="276" w:lineRule="auto"/>
        <w:rPr>
          <w:rFonts w:ascii="Times New Roman" w:eastAsia="Times New Roman" w:hAnsi="Times New Roman" w:cs="Times New Roman"/>
          <w:i/>
          <w:iCs/>
          <w:noProof/>
          <w:lang w:val="en-US" w:eastAsia="uk-UA"/>
        </w:rPr>
      </w:pPr>
      <w:r w:rsidRPr="005F5462">
        <w:rPr>
          <w:rFonts w:ascii="Times New Roman" w:eastAsia="Times New Roman" w:hAnsi="Times New Roman" w:cs="Times New Roman"/>
          <w:i/>
          <w:iCs/>
          <w:noProof/>
          <w:lang w:val="en-US" w:eastAsia="uk-UA"/>
        </w:rPr>
        <w:t>“</w:t>
      </w:r>
      <w:r w:rsidRPr="005F5462">
        <w:rPr>
          <w:rFonts w:ascii="Times New Roman" w:hAnsi="Times New Roman" w:cs="Times New Roman"/>
          <w:i/>
          <w:iCs/>
          <w:noProof/>
          <w:color w:val="161616"/>
          <w:shd w:val="clear" w:color="auto" w:fill="FFFFFF"/>
          <w:lang w:val="en-US"/>
        </w:rPr>
        <w:t>The Assembly acknowledges that for authoritarian regimes, such as the Russian Federation, propaganda is an inalienable part of their war on democracy. The Russian State-funded RT (formerly known as ‘Russia Today’), its worldwide network and ‘troll factories’ are part of a broader strategy to destabilise European democracies and influence political processes. The Assembly also refers to its </w:t>
      </w:r>
      <w:hyperlink r:id="rId12" w:history="1">
        <w:r w:rsidRPr="005F5462">
          <w:rPr>
            <w:rStyle w:val="a7"/>
            <w:i/>
            <w:iCs/>
            <w:noProof/>
            <w:color w:val="161616"/>
            <w:shd w:val="clear" w:color="auto" w:fill="FFFFFF"/>
            <w:lang w:val="en-US"/>
          </w:rPr>
          <w:t>Resolution 2540 (2024)</w:t>
        </w:r>
      </w:hyperlink>
      <w:r w:rsidRPr="005F5462">
        <w:rPr>
          <w:rFonts w:ascii="Times New Roman" w:hAnsi="Times New Roman" w:cs="Times New Roman"/>
          <w:i/>
          <w:iCs/>
          <w:noProof/>
          <w:color w:val="161616"/>
          <w:shd w:val="clear" w:color="auto" w:fill="FFFFFF"/>
          <w:lang w:val="en-US"/>
        </w:rPr>
        <w:t xml:space="preserve"> ‘Alexei Navalny’s death and the need to counter Vladimir Putin’s totalitarian regime and its war on democracy’ and </w:t>
      </w:r>
      <w:r w:rsidRPr="005F5462">
        <w:rPr>
          <w:rFonts w:ascii="Times New Roman" w:hAnsi="Times New Roman" w:cs="Times New Roman"/>
          <w:b/>
          <w:bCs/>
          <w:i/>
          <w:iCs/>
          <w:noProof/>
          <w:color w:val="161616"/>
          <w:u w:val="single"/>
          <w:shd w:val="clear" w:color="auto" w:fill="FFFFFF"/>
          <w:lang w:val="en-US"/>
        </w:rPr>
        <w:t>reiterates its call to recognise that the Russian Orthodox Church is being used as an instrument of Russian influence and propaganda by the Kremlin regime</w:t>
      </w:r>
      <w:r w:rsidRPr="005F5462">
        <w:rPr>
          <w:rFonts w:ascii="Times New Roman" w:eastAsia="Times New Roman" w:hAnsi="Times New Roman" w:cs="Times New Roman"/>
          <w:i/>
          <w:iCs/>
          <w:noProof/>
          <w:lang w:val="en-US" w:eastAsia="uk-UA"/>
        </w:rPr>
        <w:t>.”</w:t>
      </w:r>
    </w:p>
    <w:p w14:paraId="0BC9B275" w14:textId="77777777" w:rsidR="00B73F88" w:rsidRDefault="00B73F88" w:rsidP="00B73F88">
      <w:pPr>
        <w:spacing w:line="276" w:lineRule="auto"/>
        <w:jc w:val="both"/>
        <w:rPr>
          <w:rFonts w:ascii="Times New Roman" w:eastAsia="Times New Roman" w:hAnsi="Times New Roman" w:cs="Times New Roman"/>
          <w:noProof/>
          <w:lang w:val="en-US" w:eastAsia="uk-UA"/>
        </w:rPr>
      </w:pPr>
    </w:p>
    <w:p w14:paraId="53CFDE09" w14:textId="77777777" w:rsidR="00B73F88" w:rsidRDefault="00B73F88" w:rsidP="00B73F88">
      <w:pPr>
        <w:spacing w:line="276" w:lineRule="auto"/>
        <w:ind w:firstLine="708"/>
        <w:jc w:val="both"/>
        <w:rPr>
          <w:rFonts w:ascii="Times New Roman" w:eastAsia="Times New Roman" w:hAnsi="Times New Roman" w:cs="Times New Roman"/>
          <w:noProof/>
          <w:lang w:val="en-US" w:eastAsia="uk-UA"/>
        </w:rPr>
      </w:pPr>
      <w:r w:rsidRPr="005F5462">
        <w:rPr>
          <w:rFonts w:ascii="Times New Roman" w:eastAsia="Times New Roman" w:hAnsi="Times New Roman" w:cs="Times New Roman"/>
          <w:noProof/>
          <w:lang w:val="en-US" w:eastAsia="uk-UA"/>
        </w:rPr>
        <w:t xml:space="preserve">Although the wording of this resolution does not explicitly classify organizational or canonical ties with the Russian Orthodox Church as criminal or negative, nor does it accuse Orthodox denominations of any wrongdoing, such language is subsequently used by national parliaments as a kind of “green light” to launch mass and harsh repressions against Orthodox </w:t>
      </w:r>
    </w:p>
    <w:p w14:paraId="6885ED90" w14:textId="77777777" w:rsidR="00B73F88" w:rsidRPr="005F5462" w:rsidRDefault="00B73F88" w:rsidP="00B73F88">
      <w:pPr>
        <w:spacing w:line="276" w:lineRule="auto"/>
        <w:jc w:val="both"/>
        <w:rPr>
          <w:rFonts w:ascii="Times New Roman" w:eastAsia="Times New Roman" w:hAnsi="Times New Roman" w:cs="Times New Roman"/>
          <w:noProof/>
          <w:lang w:val="en-US" w:eastAsia="uk-UA"/>
        </w:rPr>
      </w:pPr>
      <w:r w:rsidRPr="005F5462">
        <w:rPr>
          <w:rFonts w:ascii="Times New Roman" w:eastAsia="Times New Roman" w:hAnsi="Times New Roman" w:cs="Times New Roman"/>
          <w:noProof/>
          <w:lang w:val="en-US" w:eastAsia="uk-UA"/>
        </w:rPr>
        <w:t>Churches whose only “fault” lies in their long-standing canonical affiliation or structural inclusion within the Russian Orthodox Church as its foreign part.</w:t>
      </w:r>
    </w:p>
    <w:p w14:paraId="74F79589" w14:textId="77777777" w:rsidR="00B73F88" w:rsidRDefault="00B73F88" w:rsidP="00B73F88">
      <w:pPr>
        <w:spacing w:line="276" w:lineRule="auto"/>
        <w:jc w:val="both"/>
        <w:rPr>
          <w:rFonts w:ascii="Times New Roman" w:eastAsia="Times New Roman" w:hAnsi="Times New Roman" w:cs="Times New Roman"/>
          <w:noProof/>
          <w:lang w:val="en-US" w:eastAsia="uk-UA"/>
        </w:rPr>
      </w:pPr>
    </w:p>
    <w:p w14:paraId="59309C02" w14:textId="77777777" w:rsidR="00B73F88" w:rsidRPr="005F5462" w:rsidRDefault="00B73F88" w:rsidP="00B73F88">
      <w:pPr>
        <w:spacing w:line="276" w:lineRule="auto"/>
        <w:ind w:firstLine="708"/>
        <w:jc w:val="both"/>
        <w:rPr>
          <w:rFonts w:ascii="Times New Roman" w:eastAsia="Times New Roman" w:hAnsi="Times New Roman" w:cs="Times New Roman"/>
          <w:noProof/>
          <w:lang w:val="en-US" w:eastAsia="uk-UA"/>
        </w:rPr>
      </w:pPr>
      <w:r w:rsidRPr="005F5462">
        <w:rPr>
          <w:rFonts w:ascii="Times New Roman" w:eastAsia="Times New Roman" w:hAnsi="Times New Roman" w:cs="Times New Roman"/>
          <w:noProof/>
          <w:lang w:val="en-US" w:eastAsia="uk-UA"/>
        </w:rPr>
        <w:t xml:space="preserve">In our view, when adopting such formulations at the EU institutional level, it would be appropriate to include legal clarifications in the text affirming the </w:t>
      </w:r>
      <w:r w:rsidRPr="005F5462">
        <w:rPr>
          <w:rFonts w:ascii="Times New Roman" w:eastAsia="Times New Roman" w:hAnsi="Times New Roman" w:cs="Times New Roman"/>
          <w:b/>
          <w:bCs/>
          <w:noProof/>
          <w:lang w:val="en-US" w:eastAsia="uk-UA"/>
        </w:rPr>
        <w:t>inadmissibility of discrimination and restrictions on the rights of religious denominations and believers based on their affiliation with the Russian Orthodox Church</w:t>
      </w:r>
      <w:r w:rsidRPr="005F5462">
        <w:rPr>
          <w:rFonts w:ascii="Times New Roman" w:eastAsia="Times New Roman" w:hAnsi="Times New Roman" w:cs="Times New Roman"/>
          <w:noProof/>
          <w:lang w:val="en-US" w:eastAsia="uk-UA"/>
        </w:rPr>
        <w:t>. This approach would be consistent with the legislation of EU member states, where all legal entities belonging to the ROC operate freely and without hindrance. Otherwise, the legal protection of religious freedom will continue to face erosion, distortion, and destruction at the hands of unscrupulous politicians.</w:t>
      </w:r>
    </w:p>
    <w:p w14:paraId="165524BD" w14:textId="77777777" w:rsidR="00B73F88" w:rsidRDefault="00B73F88" w:rsidP="00FD6DEB">
      <w:pPr>
        <w:jc w:val="both"/>
      </w:pPr>
    </w:p>
    <w:p w14:paraId="471BA0B8" w14:textId="77777777" w:rsidR="00413795" w:rsidRDefault="00413795" w:rsidP="00B73F88">
      <w:pPr>
        <w:ind w:firstLine="709"/>
        <w:jc w:val="both"/>
        <w:rPr>
          <w:highlight w:val="yellow"/>
        </w:rPr>
      </w:pPr>
    </w:p>
    <w:p w14:paraId="14CB4EF0" w14:textId="77777777" w:rsidR="00413795" w:rsidRDefault="00413795" w:rsidP="00871A6C">
      <w:pPr>
        <w:spacing w:line="276" w:lineRule="auto"/>
        <w:ind w:firstLine="709"/>
        <w:jc w:val="both"/>
        <w:rPr>
          <w:highlight w:val="yellow"/>
        </w:rPr>
      </w:pPr>
    </w:p>
    <w:p w14:paraId="4BB211B4" w14:textId="63F11284" w:rsidR="00B73F88" w:rsidRPr="00413795" w:rsidRDefault="00B73F88" w:rsidP="00871A6C">
      <w:pPr>
        <w:spacing w:line="276" w:lineRule="auto"/>
        <w:ind w:firstLine="709"/>
        <w:jc w:val="both"/>
        <w:rPr>
          <w:rFonts w:ascii="Times New Roman" w:hAnsi="Times New Roman" w:cs="Times New Roman"/>
        </w:rPr>
      </w:pPr>
      <w:r w:rsidRPr="00413795">
        <w:rPr>
          <w:rFonts w:ascii="Times New Roman" w:hAnsi="Times New Roman" w:cs="Times New Roman"/>
        </w:rPr>
        <w:t>In this context, statements by certain Moldovan politicians calling for the banning of the Orthodox Church of Moldova</w:t>
      </w:r>
      <w:r w:rsidR="00413795" w:rsidRPr="00413795">
        <w:rPr>
          <w:rStyle w:val="a5"/>
          <w:rFonts w:ascii="Times New Roman" w:hAnsi="Times New Roman" w:cs="Times New Roman"/>
        </w:rPr>
        <w:footnoteReference w:id="5"/>
      </w:r>
      <w:r w:rsidRPr="00413795">
        <w:rPr>
          <w:rFonts w:ascii="Times New Roman" w:hAnsi="Times New Roman" w:cs="Times New Roman"/>
        </w:rPr>
        <w:t xml:space="preserve">  and the transfer of its property to the “Bessarabian Metropolis” of the Romanian Orthodox Church – an entity actively supported by the authorities</w:t>
      </w:r>
      <w:r w:rsidR="00413795" w:rsidRPr="00413795">
        <w:rPr>
          <w:rStyle w:val="a5"/>
          <w:rFonts w:ascii="Times New Roman" w:hAnsi="Times New Roman" w:cs="Times New Roman"/>
        </w:rPr>
        <w:footnoteReference w:id="6"/>
      </w:r>
      <w:r w:rsidRPr="00413795">
        <w:rPr>
          <w:rFonts w:ascii="Times New Roman" w:hAnsi="Times New Roman" w:cs="Times New Roman"/>
        </w:rPr>
        <w:t xml:space="preserve">  – are legally unacceptable.</w:t>
      </w:r>
    </w:p>
    <w:p w14:paraId="1810313C" w14:textId="77777777" w:rsidR="00B73F88" w:rsidRPr="00413795" w:rsidRDefault="00B73F88" w:rsidP="00871A6C">
      <w:pPr>
        <w:spacing w:line="276" w:lineRule="auto"/>
        <w:ind w:firstLine="709"/>
        <w:jc w:val="both"/>
        <w:rPr>
          <w:rFonts w:ascii="Times New Roman" w:hAnsi="Times New Roman" w:cs="Times New Roman"/>
        </w:rPr>
      </w:pPr>
    </w:p>
    <w:p w14:paraId="095DF4EB" w14:textId="042FD07E" w:rsidR="00B73F88" w:rsidRPr="00413795" w:rsidRDefault="00B73F88" w:rsidP="00871A6C">
      <w:pPr>
        <w:spacing w:line="276" w:lineRule="auto"/>
        <w:ind w:firstLine="709"/>
        <w:jc w:val="both"/>
        <w:rPr>
          <w:rFonts w:ascii="Times New Roman" w:hAnsi="Times New Roman" w:cs="Times New Roman"/>
        </w:rPr>
      </w:pPr>
      <w:r w:rsidRPr="00413795">
        <w:rPr>
          <w:rFonts w:ascii="Times New Roman" w:hAnsi="Times New Roman" w:cs="Times New Roman"/>
        </w:rPr>
        <w:t>However, our observations indicate that the campaign to restrict this denomination’s rights goes beyond public statements. In fact, within Moldova’s judicial system, efforts are actively underway to abrogate agreements between the state and the Orthodox Church of Moldova regarding the use of monasteries and churches previously transferred to it by the state. Legal proceedings aimed at revoking the Church’s property rights and transferring the assets to the Bessarabian Metropolis of the Romanian Orthodox Church – backed by the authorities – have been ongoing for several years. There is a high likelihood that these lawsuits are being used as a tool to reverse legally binding state decisions granting these mon</w:t>
      </w:r>
      <w:r w:rsidRPr="00413795">
        <w:rPr>
          <w:rFonts w:ascii="Times New Roman" w:hAnsi="Times New Roman" w:cs="Times New Roman"/>
          <w:lang w:val="en-US"/>
        </w:rPr>
        <w:t>a</w:t>
      </w:r>
      <w:r w:rsidRPr="00413795">
        <w:rPr>
          <w:rFonts w:ascii="Times New Roman" w:hAnsi="Times New Roman" w:cs="Times New Roman"/>
        </w:rPr>
        <w:t>steries and temples to the Orthodox Church of Moldova, which has long been restoring and maintaining them.</w:t>
      </w:r>
    </w:p>
    <w:p w14:paraId="0794077A" w14:textId="77777777" w:rsidR="00B73F88" w:rsidRPr="00413795" w:rsidRDefault="00B73F88" w:rsidP="00871A6C">
      <w:pPr>
        <w:spacing w:line="276" w:lineRule="auto"/>
        <w:ind w:firstLine="709"/>
        <w:jc w:val="both"/>
        <w:rPr>
          <w:rFonts w:ascii="Times New Roman" w:hAnsi="Times New Roman" w:cs="Times New Roman"/>
        </w:rPr>
      </w:pPr>
    </w:p>
    <w:p w14:paraId="5C30F2E3" w14:textId="48C83E71" w:rsidR="00B73F88" w:rsidRPr="00413795" w:rsidRDefault="00B73F88" w:rsidP="00871A6C">
      <w:pPr>
        <w:spacing w:line="276" w:lineRule="auto"/>
        <w:ind w:firstLine="709"/>
        <w:jc w:val="both"/>
        <w:rPr>
          <w:rFonts w:ascii="Times New Roman" w:hAnsi="Times New Roman" w:cs="Times New Roman"/>
          <w:color w:val="000000" w:themeColor="text1"/>
        </w:rPr>
      </w:pPr>
      <w:r w:rsidRPr="00413795">
        <w:rPr>
          <w:rFonts w:ascii="Times New Roman" w:hAnsi="Times New Roman" w:cs="Times New Roman"/>
        </w:rPr>
        <w:t>According to reports received from believers of the Orthodox Church of Moldova, they are regularly searched at airports, many have their bank cards confiscated, and the contents of their phones copied. Nearly 100 pilgrims have been fined between 1,000 and 2,000 USD under allegations of “electoral corruption.”</w:t>
      </w:r>
      <w:r w:rsidR="00413795" w:rsidRPr="00413795">
        <w:rPr>
          <w:rStyle w:val="a5"/>
          <w:rFonts w:ascii="Times New Roman" w:hAnsi="Times New Roman" w:cs="Times New Roman"/>
        </w:rPr>
        <w:footnoteReference w:id="7"/>
      </w:r>
      <w:r w:rsidRPr="00413795">
        <w:rPr>
          <w:rFonts w:ascii="Times New Roman" w:hAnsi="Times New Roman" w:cs="Times New Roman"/>
        </w:rPr>
        <w:t xml:space="preserve"> Authorities explain these actions by claiming the pilgrimages are financed by the Russian Federation. But is charitable sponsorship of travel a crime? An analysis of media publications on this issue shows that the Moldovan authorities treat any support provided to clergy or believers by church structures or private individuals as criminal – if that support originates from the Russian Orthodox Church. At the same time, there are no such restrictions on regular funding from Romania to structures of the </w:t>
      </w:r>
      <w:r w:rsidRPr="00413795">
        <w:rPr>
          <w:rFonts w:ascii="Times New Roman" w:hAnsi="Times New Roman" w:cs="Times New Roman"/>
          <w:color w:val="000000" w:themeColor="text1"/>
        </w:rPr>
        <w:t>Bessarabian Metropolis of the Romanian Orthodox Church.</w:t>
      </w:r>
    </w:p>
    <w:p w14:paraId="577365E3" w14:textId="01189766" w:rsidR="000823F1" w:rsidRDefault="000823F1" w:rsidP="00B73F88">
      <w:pPr>
        <w:ind w:firstLine="709"/>
        <w:jc w:val="both"/>
      </w:pPr>
    </w:p>
    <w:p w14:paraId="59F74FB7" w14:textId="749CE2D3" w:rsidR="000823F1" w:rsidRPr="00FD6DEB" w:rsidRDefault="000823F1" w:rsidP="00291C2A">
      <w:pPr>
        <w:pStyle w:val="a8"/>
        <w:numPr>
          <w:ilvl w:val="1"/>
          <w:numId w:val="27"/>
        </w:numPr>
        <w:ind w:left="0" w:firstLine="709"/>
        <w:rPr>
          <w:rFonts w:ascii="Times New Roman" w:eastAsia="Times New Roman" w:hAnsi="Times New Roman" w:cs="Times New Roman"/>
          <w:b/>
          <w:bCs/>
          <w:kern w:val="0"/>
          <w:sz w:val="28"/>
          <w:szCs w:val="28"/>
          <w:lang w:eastAsia="ru-RU"/>
          <w14:ligatures w14:val="none"/>
        </w:rPr>
      </w:pPr>
      <w:r w:rsidRPr="00FD6DEB">
        <w:rPr>
          <w:rFonts w:ascii="Times New Roman" w:eastAsia="Times New Roman" w:hAnsi="Times New Roman" w:cs="Times New Roman"/>
          <w:b/>
          <w:bCs/>
          <w:kern w:val="0"/>
          <w:sz w:val="28"/>
          <w:szCs w:val="28"/>
          <w:lang w:eastAsia="ru-RU"/>
          <w14:ligatures w14:val="none"/>
        </w:rPr>
        <w:t>On the discriminatory ban on receiving donations and funding from abroad for the Orthodox Church of Moldova, in contrast to the religious denomination of the "Bessarabian Metropolis", which receives funding from Romania.</w:t>
      </w:r>
    </w:p>
    <w:p w14:paraId="00B4463F" w14:textId="1EF7997C" w:rsidR="000823F1" w:rsidRDefault="000823F1" w:rsidP="000823F1">
      <w:pPr>
        <w:jc w:val="both"/>
      </w:pPr>
    </w:p>
    <w:p w14:paraId="09626029" w14:textId="1B6D847E" w:rsidR="000823F1" w:rsidRPr="00FD6DEB" w:rsidRDefault="000823F1" w:rsidP="000823F1">
      <w:pPr>
        <w:ind w:firstLine="709"/>
        <w:jc w:val="both"/>
        <w:rPr>
          <w:rFonts w:ascii="Times New Roman" w:hAnsi="Times New Roman" w:cs="Times New Roman"/>
        </w:rPr>
      </w:pPr>
      <w:r w:rsidRPr="00FD6DEB">
        <w:rPr>
          <w:rFonts w:ascii="Times New Roman" w:hAnsi="Times New Roman" w:cs="Times New Roman"/>
        </w:rPr>
        <w:t>In accordance with the statement by the Archbishop of Bălţi and Făleşti of the Orthodox Church of Moldova at the OSCE Warsaw Human Dimension Conference 2025</w:t>
      </w:r>
      <w:r w:rsidRPr="00FD6DEB">
        <w:rPr>
          <w:rFonts w:ascii="Times New Roman" w:hAnsi="Times New Roman" w:cs="Times New Roman"/>
          <w:lang w:val="en-US"/>
        </w:rPr>
        <w:t xml:space="preserve"> </w:t>
      </w:r>
      <w:r w:rsidRPr="00FD6DEB">
        <w:rPr>
          <w:rFonts w:ascii="Times New Roman" w:hAnsi="Times New Roman" w:cs="Times New Roman"/>
        </w:rPr>
        <w:t>Monday, October 13</w:t>
      </w:r>
      <w:r w:rsidRPr="00FD6DEB">
        <w:rPr>
          <w:rFonts w:ascii="Times New Roman" w:hAnsi="Times New Roman" w:cs="Times New Roman"/>
          <w:lang w:val="en-US"/>
        </w:rPr>
        <w:t xml:space="preserve">, </w:t>
      </w:r>
      <w:r w:rsidRPr="00FD6DEB">
        <w:rPr>
          <w:rFonts w:ascii="Times New Roman" w:hAnsi="Times New Roman" w:cs="Times New Roman"/>
        </w:rPr>
        <w:t>Plenary session 6: Tolerance and non-discrimination I, including:</w:t>
      </w:r>
    </w:p>
    <w:p w14:paraId="1BC7F62C" w14:textId="256679CA" w:rsidR="000823F1" w:rsidRPr="00413795" w:rsidRDefault="000823F1">
      <w:pPr>
        <w:pStyle w:val="a8"/>
        <w:numPr>
          <w:ilvl w:val="0"/>
          <w:numId w:val="28"/>
        </w:numPr>
        <w:jc w:val="both"/>
        <w:rPr>
          <w:rFonts w:ascii="Times New Roman" w:hAnsi="Times New Roman" w:cs="Times New Roman"/>
        </w:rPr>
      </w:pPr>
      <w:r w:rsidRPr="00413795">
        <w:rPr>
          <w:rFonts w:ascii="Times New Roman" w:hAnsi="Times New Roman" w:cs="Times New Roman"/>
        </w:rPr>
        <w:t>Addressing racism, xenophobia and discrimination, anti-Semitism and intolerance</w:t>
      </w:r>
      <w:r w:rsidRPr="00413795">
        <w:rPr>
          <w:rFonts w:ascii="Times New Roman" w:hAnsi="Times New Roman" w:cs="Times New Roman"/>
          <w:lang w:val="en-US"/>
        </w:rPr>
        <w:t xml:space="preserve"> </w:t>
      </w:r>
      <w:r w:rsidRPr="00413795">
        <w:rPr>
          <w:rFonts w:ascii="Times New Roman" w:hAnsi="Times New Roman" w:cs="Times New Roman"/>
        </w:rPr>
        <w:t>and discrimination against Christians, Muslims, and members of other religions:</w:t>
      </w:r>
    </w:p>
    <w:p w14:paraId="065A8BB0" w14:textId="5AAD95C9" w:rsidR="000823F1" w:rsidRPr="00FD6DEB" w:rsidRDefault="000823F1" w:rsidP="00B73F88">
      <w:pPr>
        <w:ind w:firstLine="709"/>
        <w:jc w:val="both"/>
        <w:rPr>
          <w:rFonts w:ascii="Times New Roman" w:hAnsi="Times New Roman" w:cs="Times New Roman"/>
        </w:rPr>
      </w:pPr>
    </w:p>
    <w:p w14:paraId="51A7ACE3" w14:textId="77777777" w:rsidR="00871A6C" w:rsidRDefault="00ED5750" w:rsidP="00854024">
      <w:pPr>
        <w:spacing w:line="276" w:lineRule="auto"/>
        <w:ind w:firstLine="708"/>
        <w:jc w:val="both"/>
        <w:rPr>
          <w:rFonts w:ascii="Times New Roman" w:eastAsia="Times New Roman" w:hAnsi="Times New Roman" w:cs="Times New Roman"/>
          <w:lang w:val="en-US" w:eastAsia="uk-UA"/>
        </w:rPr>
      </w:pPr>
      <w:r w:rsidRPr="00FD6DEB">
        <w:rPr>
          <w:rFonts w:ascii="Times New Roman" w:eastAsia="Times New Roman" w:hAnsi="Times New Roman" w:cs="Times New Roman"/>
          <w:lang w:val="en-US" w:eastAsia="uk-UA"/>
        </w:rPr>
        <w:t>„…</w:t>
      </w:r>
      <w:r w:rsidR="000823F1" w:rsidRPr="00FD6DEB">
        <w:rPr>
          <w:rFonts w:ascii="Times New Roman" w:eastAsia="Times New Roman" w:hAnsi="Times New Roman" w:cs="Times New Roman"/>
          <w:lang w:val="en-US" w:eastAsia="uk-UA"/>
        </w:rPr>
        <w:t xml:space="preserve">In this regard, I must emphasize that the Moldovan authorities are unlawfully supporting the </w:t>
      </w:r>
      <w:proofErr w:type="spellStart"/>
      <w:r w:rsidR="000823F1" w:rsidRPr="00FD6DEB">
        <w:rPr>
          <w:rFonts w:ascii="Times New Roman" w:eastAsia="Times New Roman" w:hAnsi="Times New Roman" w:cs="Times New Roman"/>
          <w:lang w:val="en-US" w:eastAsia="uk-UA"/>
        </w:rPr>
        <w:t>Bessarabian</w:t>
      </w:r>
      <w:proofErr w:type="spellEnd"/>
      <w:r w:rsidR="000823F1" w:rsidRPr="00FD6DEB">
        <w:rPr>
          <w:rFonts w:ascii="Times New Roman" w:eastAsia="Times New Roman" w:hAnsi="Times New Roman" w:cs="Times New Roman"/>
          <w:lang w:val="en-US" w:eastAsia="uk-UA"/>
        </w:rPr>
        <w:t xml:space="preserve"> Metropolis of the Romanian Orthodox Church while </w:t>
      </w:r>
      <w:proofErr w:type="gramStart"/>
      <w:r w:rsidR="000823F1" w:rsidRPr="00FD6DEB">
        <w:rPr>
          <w:rFonts w:ascii="Times New Roman" w:eastAsia="Times New Roman" w:hAnsi="Times New Roman" w:cs="Times New Roman"/>
          <w:lang w:val="en-US" w:eastAsia="uk-UA"/>
        </w:rPr>
        <w:t>discriminating</w:t>
      </w:r>
      <w:proofErr w:type="gramEnd"/>
      <w:r w:rsidR="000823F1" w:rsidRPr="00FD6DEB">
        <w:rPr>
          <w:rFonts w:ascii="Times New Roman" w:eastAsia="Times New Roman" w:hAnsi="Times New Roman" w:cs="Times New Roman"/>
          <w:lang w:val="en-US" w:eastAsia="uk-UA"/>
        </w:rPr>
        <w:t xml:space="preserve"> </w:t>
      </w:r>
    </w:p>
    <w:p w14:paraId="30842058" w14:textId="77777777" w:rsidR="00871A6C" w:rsidRDefault="00871A6C" w:rsidP="00871A6C">
      <w:pPr>
        <w:spacing w:line="276" w:lineRule="auto"/>
        <w:jc w:val="both"/>
        <w:rPr>
          <w:rFonts w:ascii="Times New Roman" w:eastAsia="Times New Roman" w:hAnsi="Times New Roman" w:cs="Times New Roman"/>
          <w:lang w:val="en-US" w:eastAsia="uk-UA"/>
        </w:rPr>
      </w:pPr>
    </w:p>
    <w:p w14:paraId="54571BBE" w14:textId="77777777" w:rsidR="00871A6C" w:rsidRDefault="00871A6C" w:rsidP="00871A6C">
      <w:pPr>
        <w:spacing w:line="276" w:lineRule="auto"/>
        <w:jc w:val="both"/>
        <w:rPr>
          <w:rFonts w:ascii="Times New Roman" w:eastAsia="Times New Roman" w:hAnsi="Times New Roman" w:cs="Times New Roman"/>
          <w:lang w:val="en-US" w:eastAsia="uk-UA"/>
        </w:rPr>
      </w:pPr>
    </w:p>
    <w:p w14:paraId="130F641A" w14:textId="57D9A9E2" w:rsidR="00871A6C" w:rsidRDefault="000823F1" w:rsidP="00871A6C">
      <w:pPr>
        <w:spacing w:line="276" w:lineRule="auto"/>
        <w:jc w:val="both"/>
        <w:rPr>
          <w:rFonts w:ascii="Times New Roman" w:eastAsia="Times New Roman" w:hAnsi="Times New Roman" w:cs="Times New Roman"/>
          <w:lang w:val="en-US" w:eastAsia="uk-UA"/>
        </w:rPr>
      </w:pPr>
      <w:r w:rsidRPr="00FD6DEB">
        <w:rPr>
          <w:rFonts w:ascii="Times New Roman" w:eastAsia="Times New Roman" w:hAnsi="Times New Roman" w:cs="Times New Roman"/>
          <w:lang w:val="en-US" w:eastAsia="uk-UA"/>
        </w:rPr>
        <w:t xml:space="preserve">against our own Church. The </w:t>
      </w:r>
      <w:proofErr w:type="spellStart"/>
      <w:r w:rsidRPr="00FD6DEB">
        <w:rPr>
          <w:rFonts w:ascii="Times New Roman" w:eastAsia="Times New Roman" w:hAnsi="Times New Roman" w:cs="Times New Roman"/>
          <w:lang w:val="en-US" w:eastAsia="uk-UA"/>
        </w:rPr>
        <w:t>Bessarabian</w:t>
      </w:r>
      <w:proofErr w:type="spellEnd"/>
      <w:r w:rsidRPr="00FD6DEB">
        <w:rPr>
          <w:rFonts w:ascii="Times New Roman" w:eastAsia="Times New Roman" w:hAnsi="Times New Roman" w:cs="Times New Roman"/>
          <w:lang w:val="en-US" w:eastAsia="uk-UA"/>
        </w:rPr>
        <w:t xml:space="preserve"> Metropolis has the right to receive financial assistance from the Romanian Orthodox Church; its clergy are paid directly from the </w:t>
      </w:r>
      <w:proofErr w:type="gramStart"/>
      <w:r w:rsidRPr="00FD6DEB">
        <w:rPr>
          <w:rFonts w:ascii="Times New Roman" w:eastAsia="Times New Roman" w:hAnsi="Times New Roman" w:cs="Times New Roman"/>
          <w:lang w:val="en-US" w:eastAsia="uk-UA"/>
        </w:rPr>
        <w:t>Romanian</w:t>
      </w:r>
      <w:proofErr w:type="gramEnd"/>
      <w:r w:rsidRPr="00FD6DEB">
        <w:rPr>
          <w:rFonts w:ascii="Times New Roman" w:eastAsia="Times New Roman" w:hAnsi="Times New Roman" w:cs="Times New Roman"/>
          <w:lang w:val="en-US" w:eastAsia="uk-UA"/>
        </w:rPr>
        <w:t xml:space="preserve"> </w:t>
      </w:r>
    </w:p>
    <w:p w14:paraId="620B879B" w14:textId="6E00127A" w:rsidR="000823F1" w:rsidRPr="00FD6DEB" w:rsidRDefault="000823F1" w:rsidP="00871A6C">
      <w:pPr>
        <w:spacing w:line="276" w:lineRule="auto"/>
        <w:jc w:val="both"/>
        <w:rPr>
          <w:rFonts w:ascii="Times New Roman" w:eastAsia="Times New Roman" w:hAnsi="Times New Roman" w:cs="Times New Roman"/>
          <w:lang w:val="en-US" w:eastAsia="uk-UA"/>
        </w:rPr>
      </w:pPr>
      <w:r w:rsidRPr="00FD6DEB">
        <w:rPr>
          <w:rFonts w:ascii="Times New Roman" w:eastAsia="Times New Roman" w:hAnsi="Times New Roman" w:cs="Times New Roman"/>
          <w:lang w:val="en-US" w:eastAsia="uk-UA"/>
        </w:rPr>
        <w:t>state budget.</w:t>
      </w:r>
      <w:r w:rsidRPr="00FD6DEB">
        <w:rPr>
          <w:rStyle w:val="a5"/>
          <w:rFonts w:ascii="Times New Roman" w:hAnsi="Times New Roman" w:cs="Times New Roman"/>
          <w:color w:val="313131"/>
          <w:shd w:val="clear" w:color="auto" w:fill="FFFFFF"/>
        </w:rPr>
        <w:footnoteReference w:id="8"/>
      </w:r>
      <w:r w:rsidRPr="00FD6DEB">
        <w:rPr>
          <w:rFonts w:ascii="Times New Roman" w:eastAsia="Times New Roman" w:hAnsi="Times New Roman" w:cs="Times New Roman"/>
          <w:lang w:val="en-US" w:eastAsia="uk-UA"/>
        </w:rPr>
        <w:t xml:space="preserve"> Our priests, by contrast, are fined for attempting to collect private donations to pay church utility bills, such as electricity. We are prohibited from freely receiving financial donations from abroad. Consequently, in Moldova we are deprived of equal rights with the clergy of the </w:t>
      </w:r>
      <w:proofErr w:type="spellStart"/>
      <w:r w:rsidRPr="00FD6DEB">
        <w:rPr>
          <w:rFonts w:ascii="Times New Roman" w:eastAsia="Times New Roman" w:hAnsi="Times New Roman" w:cs="Times New Roman"/>
          <w:lang w:val="en-US" w:eastAsia="uk-UA"/>
        </w:rPr>
        <w:t>Bessarabian</w:t>
      </w:r>
      <w:proofErr w:type="spellEnd"/>
      <w:r w:rsidRPr="00FD6DEB">
        <w:rPr>
          <w:rFonts w:ascii="Times New Roman" w:eastAsia="Times New Roman" w:hAnsi="Times New Roman" w:cs="Times New Roman"/>
          <w:lang w:val="en-US" w:eastAsia="uk-UA"/>
        </w:rPr>
        <w:t xml:space="preserve"> Metropolis – something that, according to international legal standards, constitutes discrimination on the grounds of religious affiliation</w:t>
      </w:r>
      <w:r w:rsidR="00ED5750" w:rsidRPr="00FD6DEB">
        <w:rPr>
          <w:rFonts w:ascii="Times New Roman" w:eastAsia="Times New Roman" w:hAnsi="Times New Roman" w:cs="Times New Roman"/>
          <w:lang w:val="en-US" w:eastAsia="uk-UA"/>
        </w:rPr>
        <w:t>…”</w:t>
      </w:r>
    </w:p>
    <w:p w14:paraId="56386203" w14:textId="784A389E" w:rsidR="00ED5750" w:rsidRPr="00FD6DEB" w:rsidRDefault="00ED5750" w:rsidP="00871A6C">
      <w:pPr>
        <w:spacing w:line="276" w:lineRule="auto"/>
        <w:ind w:firstLine="708"/>
        <w:jc w:val="both"/>
        <w:rPr>
          <w:rFonts w:ascii="Times New Roman" w:eastAsia="Times New Roman" w:hAnsi="Times New Roman" w:cs="Times New Roman"/>
          <w:lang w:val="en-US" w:eastAsia="uk-UA"/>
        </w:rPr>
      </w:pPr>
    </w:p>
    <w:p w14:paraId="70B0830F" w14:textId="5915DAEA" w:rsidR="00ED5750" w:rsidRPr="00FD6DEB" w:rsidRDefault="00ED5750" w:rsidP="00871A6C">
      <w:pPr>
        <w:spacing w:line="276" w:lineRule="auto"/>
        <w:ind w:firstLine="708"/>
        <w:rPr>
          <w:rFonts w:ascii="Times New Roman" w:eastAsia="Times New Roman" w:hAnsi="Times New Roman" w:cs="Times New Roman"/>
          <w:kern w:val="0"/>
          <w:lang w:eastAsia="ru-RU"/>
          <w14:ligatures w14:val="none"/>
        </w:rPr>
      </w:pPr>
      <w:r w:rsidRPr="00ED5750">
        <w:rPr>
          <w:rFonts w:ascii="Times New Roman" w:eastAsia="Times New Roman" w:hAnsi="Times New Roman" w:cs="Times New Roman"/>
          <w:kern w:val="0"/>
          <w:lang w:eastAsia="ru-RU"/>
          <w14:ligatures w14:val="none"/>
        </w:rPr>
        <w:t>Indeed, Romania has passed a law according to which the Romanian state annually allocates the equivalent of two million euros to the Bessarabian Metropolis</w:t>
      </w:r>
      <w:r w:rsidRPr="00FD6DEB">
        <w:rPr>
          <w:rStyle w:val="a5"/>
          <w:rFonts w:ascii="Times New Roman" w:eastAsia="Times New Roman" w:hAnsi="Times New Roman" w:cs="Times New Roman"/>
          <w:kern w:val="0"/>
          <w:lang w:eastAsia="ru-RU"/>
          <w14:ligatures w14:val="none"/>
        </w:rPr>
        <w:footnoteReference w:id="9"/>
      </w:r>
      <w:r w:rsidRPr="00ED5750">
        <w:rPr>
          <w:rFonts w:ascii="Times New Roman" w:eastAsia="Times New Roman" w:hAnsi="Times New Roman" w:cs="Times New Roman"/>
          <w:kern w:val="0"/>
          <w:lang w:eastAsia="ru-RU"/>
          <w14:ligatures w14:val="none"/>
        </w:rPr>
        <w:t>.</w:t>
      </w:r>
    </w:p>
    <w:p w14:paraId="367C387F" w14:textId="016A130A" w:rsidR="00ED5750" w:rsidRPr="00FD6DEB" w:rsidRDefault="00ED5750" w:rsidP="00871A6C">
      <w:pPr>
        <w:spacing w:line="276" w:lineRule="auto"/>
        <w:ind w:firstLine="708"/>
        <w:rPr>
          <w:rFonts w:ascii="Times New Roman" w:eastAsia="Times New Roman" w:hAnsi="Times New Roman" w:cs="Times New Roman"/>
          <w:kern w:val="0"/>
          <w:lang w:eastAsia="ru-RU"/>
          <w14:ligatures w14:val="none"/>
        </w:rPr>
      </w:pPr>
    </w:p>
    <w:p w14:paraId="5D6913AA" w14:textId="455B9317" w:rsidR="00ED5750" w:rsidRPr="00FD6DEB" w:rsidRDefault="00ED5750" w:rsidP="00871A6C">
      <w:pPr>
        <w:spacing w:line="276" w:lineRule="auto"/>
        <w:ind w:firstLine="708"/>
        <w:jc w:val="both"/>
        <w:rPr>
          <w:rFonts w:ascii="Times New Roman" w:eastAsia="Times New Roman" w:hAnsi="Times New Roman" w:cs="Times New Roman"/>
          <w:kern w:val="0"/>
          <w:lang w:val="en-US" w:eastAsia="ru-RU"/>
          <w14:ligatures w14:val="none"/>
        </w:rPr>
      </w:pPr>
      <w:r w:rsidRPr="00FD6DEB">
        <w:rPr>
          <w:rFonts w:ascii="Times New Roman" w:eastAsia="Times New Roman" w:hAnsi="Times New Roman" w:cs="Times New Roman"/>
          <w:kern w:val="0"/>
          <w:lang w:eastAsia="ru-RU"/>
          <w14:ligatures w14:val="none"/>
        </w:rPr>
        <w:t>Thus, the Bessarabian Metropolis received the opportunity to use the resources of the Romanian state to finance the transfer of religious organizations from the jurisdiction of the Orthodox Church of Moldova to the Bessarabian Metropolis.</w:t>
      </w:r>
      <w:r w:rsidRPr="00FD6DEB">
        <w:rPr>
          <w:rFonts w:ascii="Times New Roman" w:eastAsia="Times New Roman" w:hAnsi="Times New Roman" w:cs="Times New Roman"/>
          <w:kern w:val="0"/>
          <w:lang w:val="en-US" w:eastAsia="ru-RU"/>
          <w14:ligatures w14:val="none"/>
        </w:rPr>
        <w:t xml:space="preserve"> </w:t>
      </w:r>
    </w:p>
    <w:p w14:paraId="6526AED9" w14:textId="180E9E57" w:rsidR="00ED5750" w:rsidRPr="00FD6DEB" w:rsidRDefault="00ED5750" w:rsidP="00871A6C">
      <w:pPr>
        <w:spacing w:line="276" w:lineRule="auto"/>
        <w:ind w:firstLine="708"/>
        <w:rPr>
          <w:rFonts w:ascii="Times New Roman" w:eastAsia="Times New Roman" w:hAnsi="Times New Roman" w:cs="Times New Roman"/>
          <w:kern w:val="0"/>
          <w:lang w:val="en-US" w:eastAsia="ru-RU"/>
          <w14:ligatures w14:val="none"/>
        </w:rPr>
      </w:pPr>
    </w:p>
    <w:p w14:paraId="03DD2B7A" w14:textId="63A36D49" w:rsidR="00ED5750" w:rsidRPr="00ED5750" w:rsidRDefault="00ED5750" w:rsidP="00871A6C">
      <w:pPr>
        <w:spacing w:line="276" w:lineRule="auto"/>
        <w:ind w:firstLine="708"/>
        <w:jc w:val="both"/>
        <w:rPr>
          <w:rFonts w:ascii="Times New Roman" w:eastAsia="Times New Roman" w:hAnsi="Times New Roman" w:cs="Times New Roman"/>
          <w:kern w:val="0"/>
          <w:lang w:val="en-US" w:eastAsia="ru-RU"/>
          <w14:ligatures w14:val="none"/>
        </w:rPr>
      </w:pPr>
      <w:r w:rsidRPr="00FD6DEB">
        <w:rPr>
          <w:rFonts w:ascii="Times New Roman" w:eastAsia="Times New Roman" w:hAnsi="Times New Roman" w:cs="Times New Roman"/>
          <w:kern w:val="0"/>
          <w:lang w:val="en-US" w:eastAsia="ru-RU"/>
          <w14:ligatures w14:val="none"/>
        </w:rPr>
        <w:t xml:space="preserve">As early as 2024, the Romanian government has approved 200 new clerical positions and 30 non-clerical positions for representatives of the Romanian Orthodox Church in the Republic of Moldova. The </w:t>
      </w:r>
      <w:proofErr w:type="spellStart"/>
      <w:r w:rsidRPr="00FD6DEB">
        <w:rPr>
          <w:rFonts w:ascii="Times New Roman" w:eastAsia="Times New Roman" w:hAnsi="Times New Roman" w:cs="Times New Roman"/>
          <w:kern w:val="0"/>
          <w:lang w:val="en-US" w:eastAsia="ru-RU"/>
          <w14:ligatures w14:val="none"/>
        </w:rPr>
        <w:t>Metropolitanate</w:t>
      </w:r>
      <w:proofErr w:type="spellEnd"/>
      <w:r w:rsidRPr="00FD6DEB">
        <w:rPr>
          <w:rFonts w:ascii="Times New Roman" w:eastAsia="Times New Roman" w:hAnsi="Times New Roman" w:cs="Times New Roman"/>
          <w:kern w:val="0"/>
          <w:lang w:val="en-US" w:eastAsia="ru-RU"/>
          <w14:ligatures w14:val="none"/>
        </w:rPr>
        <w:t xml:space="preserve"> of Bessarabia states that these funds will be used to pay the salaries of priests who have recently joined the </w:t>
      </w:r>
      <w:proofErr w:type="spellStart"/>
      <w:r w:rsidRPr="00FD6DEB">
        <w:rPr>
          <w:rFonts w:ascii="Times New Roman" w:eastAsia="Times New Roman" w:hAnsi="Times New Roman" w:cs="Times New Roman"/>
          <w:kern w:val="0"/>
          <w:lang w:val="en-US" w:eastAsia="ru-RU"/>
          <w14:ligatures w14:val="none"/>
        </w:rPr>
        <w:t>Metropolitanate</w:t>
      </w:r>
      <w:proofErr w:type="spellEnd"/>
      <w:r w:rsidRPr="00FD6DEB">
        <w:rPr>
          <w:rFonts w:ascii="Times New Roman" w:eastAsia="Times New Roman" w:hAnsi="Times New Roman" w:cs="Times New Roman"/>
          <w:kern w:val="0"/>
          <w:lang w:val="en-US" w:eastAsia="ru-RU"/>
          <w14:ligatures w14:val="none"/>
        </w:rPr>
        <w:t xml:space="preserve"> or intend to join it after leaving the Orthodox Church of Moldova</w:t>
      </w:r>
      <w:r w:rsidRPr="00FD6DEB">
        <w:rPr>
          <w:rStyle w:val="a5"/>
          <w:rFonts w:ascii="Times New Roman" w:eastAsia="Times New Roman" w:hAnsi="Times New Roman" w:cs="Times New Roman"/>
          <w:kern w:val="0"/>
          <w:lang w:val="en-US" w:eastAsia="ru-RU"/>
          <w14:ligatures w14:val="none"/>
        </w:rPr>
        <w:footnoteReference w:id="10"/>
      </w:r>
      <w:r w:rsidRPr="00FD6DEB">
        <w:rPr>
          <w:rFonts w:ascii="Times New Roman" w:eastAsia="Times New Roman" w:hAnsi="Times New Roman" w:cs="Times New Roman"/>
          <w:kern w:val="0"/>
          <w:lang w:val="en-US" w:eastAsia="ru-RU"/>
          <w14:ligatures w14:val="none"/>
        </w:rPr>
        <w:t>.</w:t>
      </w:r>
    </w:p>
    <w:p w14:paraId="5058185C" w14:textId="45A4C545" w:rsidR="000823F1" w:rsidRPr="00FD6DEB" w:rsidRDefault="000823F1" w:rsidP="00871A6C">
      <w:pPr>
        <w:spacing w:line="276" w:lineRule="auto"/>
        <w:ind w:firstLine="709"/>
        <w:jc w:val="both"/>
        <w:rPr>
          <w:rFonts w:ascii="Times New Roman" w:hAnsi="Times New Roman" w:cs="Times New Roman"/>
        </w:rPr>
      </w:pPr>
    </w:p>
    <w:p w14:paraId="5D30D3D0" w14:textId="04F58BBC" w:rsidR="00854024" w:rsidRPr="00FD6DEB" w:rsidRDefault="00ED5750" w:rsidP="00871A6C">
      <w:pPr>
        <w:spacing w:line="276" w:lineRule="auto"/>
        <w:ind w:firstLine="709"/>
        <w:jc w:val="both"/>
        <w:rPr>
          <w:rFonts w:ascii="Times New Roman" w:hAnsi="Times New Roman" w:cs="Times New Roman"/>
          <w:lang w:val="en-US"/>
        </w:rPr>
      </w:pPr>
      <w:r w:rsidRPr="00FD6DEB">
        <w:rPr>
          <w:rFonts w:ascii="Times New Roman" w:hAnsi="Times New Roman" w:cs="Times New Roman"/>
          <w:lang w:val="en-US"/>
        </w:rPr>
        <w:t>The latest report</w:t>
      </w:r>
      <w:r w:rsidRPr="00FD6DEB">
        <w:rPr>
          <w:rStyle w:val="a5"/>
          <w:rFonts w:ascii="Times New Roman" w:hAnsi="Times New Roman" w:cs="Times New Roman"/>
          <w:lang w:val="en-US"/>
        </w:rPr>
        <w:footnoteReference w:id="11"/>
      </w:r>
      <w:r w:rsidRPr="00FD6DEB">
        <w:rPr>
          <w:rFonts w:ascii="Times New Roman" w:hAnsi="Times New Roman" w:cs="Times New Roman"/>
          <w:lang w:val="en-US"/>
        </w:rPr>
        <w:t xml:space="preserve"> by the State Secretariat for Religious Affairs on support for Romanian religious communities in the diaspora indicates that between 2018 and 2020, the budget for the salaries of religious figures in the </w:t>
      </w:r>
      <w:proofErr w:type="spellStart"/>
      <w:r w:rsidRPr="00FD6DEB">
        <w:rPr>
          <w:rFonts w:ascii="Times New Roman" w:hAnsi="Times New Roman" w:cs="Times New Roman"/>
          <w:lang w:val="en-US"/>
        </w:rPr>
        <w:t>Bessarabian</w:t>
      </w:r>
      <w:proofErr w:type="spellEnd"/>
      <w:r w:rsidRPr="00FD6DEB">
        <w:rPr>
          <w:rFonts w:ascii="Times New Roman" w:hAnsi="Times New Roman" w:cs="Times New Roman"/>
          <w:lang w:val="en-US"/>
        </w:rPr>
        <w:t xml:space="preserve"> Metropolis was increased by 100,000 euros per month, from 9,600 to 109,600 euros per month.</w:t>
      </w:r>
    </w:p>
    <w:p w14:paraId="6FBC00CB" w14:textId="1A7758D8" w:rsidR="000823F1" w:rsidRPr="00871A6C" w:rsidRDefault="000823F1" w:rsidP="00871A6C">
      <w:pPr>
        <w:spacing w:line="276" w:lineRule="auto"/>
        <w:ind w:firstLine="709"/>
        <w:jc w:val="both"/>
        <w:rPr>
          <w:rFonts w:ascii="Times New Roman" w:hAnsi="Times New Roman" w:cs="Times New Roman"/>
        </w:rPr>
      </w:pPr>
    </w:p>
    <w:p w14:paraId="6F981BED" w14:textId="31CC581F" w:rsidR="000823F1" w:rsidRPr="00871A6C" w:rsidRDefault="00ED5750" w:rsidP="00871A6C">
      <w:pPr>
        <w:spacing w:line="276" w:lineRule="auto"/>
        <w:ind w:firstLine="709"/>
        <w:jc w:val="both"/>
        <w:rPr>
          <w:rFonts w:ascii="Times New Roman" w:hAnsi="Times New Roman" w:cs="Times New Roman"/>
        </w:rPr>
      </w:pPr>
      <w:r w:rsidRPr="00871A6C">
        <w:rPr>
          <w:rFonts w:ascii="Times New Roman" w:hAnsi="Times New Roman" w:cs="Times New Roman"/>
        </w:rPr>
        <w:t>In addition, during this period, the Bessarabian Metropolitanate received 6.775 million lei (more than 1.3 million euros) for the construction and repair of religious buildings.</w:t>
      </w:r>
    </w:p>
    <w:p w14:paraId="075D6D24" w14:textId="2630A352" w:rsidR="00ED5750" w:rsidRPr="00871A6C" w:rsidRDefault="00ED5750" w:rsidP="00871A6C">
      <w:pPr>
        <w:spacing w:line="276" w:lineRule="auto"/>
        <w:ind w:firstLine="709"/>
        <w:jc w:val="both"/>
        <w:rPr>
          <w:rFonts w:ascii="Times New Roman" w:hAnsi="Times New Roman" w:cs="Times New Roman"/>
        </w:rPr>
      </w:pPr>
    </w:p>
    <w:p w14:paraId="32F63ED5" w14:textId="42408D2D" w:rsidR="00ED5750" w:rsidRPr="00871A6C" w:rsidRDefault="00ED5750" w:rsidP="00871A6C">
      <w:pPr>
        <w:spacing w:line="276" w:lineRule="auto"/>
        <w:ind w:firstLine="709"/>
        <w:jc w:val="both"/>
        <w:rPr>
          <w:rFonts w:ascii="Times New Roman" w:hAnsi="Times New Roman" w:cs="Times New Roman"/>
        </w:rPr>
      </w:pPr>
      <w:r w:rsidRPr="00871A6C">
        <w:rPr>
          <w:rFonts w:ascii="Times New Roman" w:hAnsi="Times New Roman" w:cs="Times New Roman"/>
        </w:rPr>
        <w:t>According to the 2023 salary scale, a metropolitan receives 21,840 Romanian lei (4,400 euros) per month, a bishop 19,550 Romanian lei (3,900 euros), and a priest between 4,000 and 5,500 Romanian lei (800–1,000 euros), depending on education and length of service.</w:t>
      </w:r>
    </w:p>
    <w:p w14:paraId="4174C593" w14:textId="37CC6428" w:rsidR="00EE1A8E" w:rsidRPr="00871A6C" w:rsidRDefault="00EE1A8E" w:rsidP="00871A6C">
      <w:pPr>
        <w:spacing w:line="276" w:lineRule="auto"/>
        <w:ind w:firstLine="709"/>
        <w:jc w:val="both"/>
        <w:rPr>
          <w:rFonts w:ascii="Times New Roman" w:hAnsi="Times New Roman" w:cs="Times New Roman"/>
        </w:rPr>
      </w:pPr>
    </w:p>
    <w:p w14:paraId="04945170" w14:textId="77777777" w:rsidR="00871A6C" w:rsidRDefault="00AC7EE2" w:rsidP="00871A6C">
      <w:pPr>
        <w:spacing w:line="276" w:lineRule="auto"/>
        <w:ind w:firstLine="709"/>
        <w:jc w:val="both"/>
        <w:rPr>
          <w:rFonts w:ascii="Times New Roman" w:hAnsi="Times New Roman" w:cs="Times New Roman"/>
          <w:color w:val="000000" w:themeColor="text1"/>
        </w:rPr>
      </w:pPr>
      <w:r w:rsidRPr="00871A6C">
        <w:rPr>
          <w:rFonts w:ascii="Times New Roman" w:hAnsi="Times New Roman" w:cs="Times New Roman"/>
          <w:color w:val="000000" w:themeColor="text1"/>
        </w:rPr>
        <w:t xml:space="preserve">On the other hand, with regard to clergy of the Orthodox Church of Moldova, Moldovan state authorities are massively imposing fines for so-called “electoral corruption,” seizing their bank cards and blocking their pilgrimage trips. Despite the fact that the overwhelming majority of cases of “electoral corruption” are not substantiated, and the fines are recognized as unfounded and annulled by Moldovan courts, the formation of such a state practice — combined with the lack of ability of the Orthodox Church of Moldova to receive donations and </w:t>
      </w:r>
    </w:p>
    <w:p w14:paraId="492C0903" w14:textId="77777777" w:rsidR="00871A6C" w:rsidRDefault="00871A6C" w:rsidP="00871A6C">
      <w:pPr>
        <w:spacing w:line="276" w:lineRule="auto"/>
        <w:jc w:val="both"/>
        <w:rPr>
          <w:rFonts w:ascii="Times New Roman" w:hAnsi="Times New Roman" w:cs="Times New Roman"/>
          <w:color w:val="000000" w:themeColor="text1"/>
        </w:rPr>
      </w:pPr>
    </w:p>
    <w:p w14:paraId="15FDE3B4" w14:textId="77777777" w:rsidR="00871A6C" w:rsidRDefault="00871A6C" w:rsidP="00871A6C">
      <w:pPr>
        <w:spacing w:line="276" w:lineRule="auto"/>
        <w:jc w:val="both"/>
        <w:rPr>
          <w:rFonts w:ascii="Times New Roman" w:hAnsi="Times New Roman" w:cs="Times New Roman"/>
          <w:color w:val="000000" w:themeColor="text1"/>
        </w:rPr>
      </w:pPr>
    </w:p>
    <w:p w14:paraId="372B1E82" w14:textId="39629514" w:rsidR="00EE1A8E" w:rsidRPr="00871A6C" w:rsidRDefault="00AC7EE2" w:rsidP="00871A6C">
      <w:pPr>
        <w:spacing w:line="276" w:lineRule="auto"/>
        <w:jc w:val="both"/>
        <w:rPr>
          <w:rFonts w:ascii="Times New Roman" w:hAnsi="Times New Roman" w:cs="Times New Roman"/>
          <w:color w:val="000000" w:themeColor="text1"/>
        </w:rPr>
      </w:pPr>
      <w:r w:rsidRPr="00871A6C">
        <w:rPr>
          <w:rFonts w:ascii="Times New Roman" w:hAnsi="Times New Roman" w:cs="Times New Roman"/>
          <w:color w:val="000000" w:themeColor="text1"/>
        </w:rPr>
        <w:t>financial support from abroad due to sanctions and restrictions on the operation in Moldova of financial institutions linked to the Russian Federation, even with respect to charitable donations — constitutes a policy of proselytism, discrimination, and inequality toward the Orthodox Church of Moldova, while granting privileges to the Bessarabian Metropolis of the Romanian Orthodox Church, including through the creation of conditions allowing that denomination to receive significant funding from another state.</w:t>
      </w:r>
    </w:p>
    <w:p w14:paraId="3EB0EE6E" w14:textId="77777777" w:rsidR="00AC7EE2" w:rsidRPr="00871A6C" w:rsidRDefault="00AC7EE2" w:rsidP="00871A6C">
      <w:pPr>
        <w:pStyle w:val="a6"/>
        <w:spacing w:line="276" w:lineRule="auto"/>
        <w:ind w:firstLine="708"/>
        <w:jc w:val="both"/>
        <w:rPr>
          <w:color w:val="000000" w:themeColor="text1"/>
        </w:rPr>
      </w:pPr>
      <w:r w:rsidRPr="00871A6C">
        <w:rPr>
          <w:color w:val="000000" w:themeColor="text1"/>
        </w:rPr>
        <w:t>At the same time, the Orthodox Church of Moldova experiences serious difficulties due to the impossibility of receiving donations from abroad. Monetary donations from the Russian Orthodox Church — the religious center with which the Orthodox Church of Moldova is canonically affiliated — are impossible due to a prohibition imposed by the state of Moldova (in contrast to the structures of the Bessarabian Metropolis of the Romanian Orthodox Church).</w:t>
      </w:r>
    </w:p>
    <w:p w14:paraId="29969E8C" w14:textId="355F9111" w:rsidR="00EE1A8E" w:rsidRPr="00871A6C" w:rsidRDefault="00AC7EE2" w:rsidP="00871A6C">
      <w:pPr>
        <w:pStyle w:val="a6"/>
        <w:spacing w:line="276" w:lineRule="auto"/>
        <w:ind w:firstLine="708"/>
        <w:jc w:val="both"/>
        <w:rPr>
          <w:color w:val="000000" w:themeColor="text1"/>
        </w:rPr>
      </w:pPr>
      <w:r w:rsidRPr="00871A6C">
        <w:rPr>
          <w:color w:val="000000" w:themeColor="text1"/>
        </w:rPr>
        <w:t>In addition, the proselytism of the Moldovan state in favor of the privileged denomination “the Bessarabian Metropolis of the Romanian Orthodox Church,” as well as the negative and discriminatory treatment of the Orthodox Church of Moldova, is also confirmed by statements made by politicians:</w:t>
      </w:r>
    </w:p>
    <w:p w14:paraId="303735E2" w14:textId="42E33F6D" w:rsidR="00E12942" w:rsidRPr="00871A6C" w:rsidRDefault="00E12942" w:rsidP="00871A6C">
      <w:pPr>
        <w:spacing w:line="276" w:lineRule="auto"/>
        <w:ind w:firstLine="709"/>
        <w:jc w:val="both"/>
        <w:rPr>
          <w:rFonts w:ascii="Times New Roman" w:hAnsi="Times New Roman" w:cs="Times New Roman"/>
        </w:rPr>
      </w:pPr>
      <w:r w:rsidRPr="00871A6C">
        <w:rPr>
          <w:rFonts w:ascii="Times New Roman" w:hAnsi="Times New Roman" w:cs="Times New Roman"/>
        </w:rPr>
        <w:t>Vasile Soimaru, a member of parliament from the Action and Solidarity Party (PAS), stated on TVR Moldova that "the moment will come when the Republic of Moldova, like Ukraine, will renounce the Metropolitanate of Moldova, which will essentially belong to Russia</w:t>
      </w:r>
      <w:r w:rsidRPr="00871A6C">
        <w:rPr>
          <w:rStyle w:val="a5"/>
          <w:rFonts w:ascii="Times New Roman" w:hAnsi="Times New Roman" w:cs="Times New Roman"/>
        </w:rPr>
        <w:footnoteReference w:id="12"/>
      </w:r>
      <w:r w:rsidRPr="00871A6C">
        <w:rPr>
          <w:rFonts w:ascii="Times New Roman" w:hAnsi="Times New Roman" w:cs="Times New Roman"/>
        </w:rPr>
        <w:t>."</w:t>
      </w:r>
    </w:p>
    <w:p w14:paraId="511AEB4E" w14:textId="77777777" w:rsidR="00E12942" w:rsidRPr="00871A6C" w:rsidRDefault="00E12942" w:rsidP="00871A6C">
      <w:pPr>
        <w:spacing w:line="276" w:lineRule="auto"/>
        <w:ind w:firstLine="709"/>
        <w:jc w:val="both"/>
        <w:rPr>
          <w:rFonts w:ascii="Times New Roman" w:hAnsi="Times New Roman" w:cs="Times New Roman"/>
        </w:rPr>
      </w:pPr>
    </w:p>
    <w:p w14:paraId="1A3DA510" w14:textId="2FC28916" w:rsidR="00E12942" w:rsidRPr="00871A6C" w:rsidRDefault="00E12942" w:rsidP="00871A6C">
      <w:pPr>
        <w:spacing w:line="276" w:lineRule="auto"/>
        <w:ind w:firstLine="709"/>
        <w:jc w:val="both"/>
        <w:rPr>
          <w:rFonts w:ascii="Times New Roman" w:hAnsi="Times New Roman" w:cs="Times New Roman"/>
        </w:rPr>
      </w:pPr>
      <w:r w:rsidRPr="00871A6C">
        <w:rPr>
          <w:rFonts w:ascii="Times New Roman" w:hAnsi="Times New Roman" w:cs="Times New Roman"/>
        </w:rPr>
        <w:t>"I can be a little more radical. The time is approaching when we, like Ukraine, will renounce the Metropolitanate of Moldova, which, in fact, belongs to Russia. So are they putting their heads and necks under the yoke? How can they leave knowing that these Shori people came here with millions of dollars? And now they want to come for the church? If our competent authorities do their job, I think this problem will be resolved upon arrival at the airport," Vasile Soimaru stated during the show.</w:t>
      </w:r>
    </w:p>
    <w:p w14:paraId="5511E93F" w14:textId="2B2E05CB" w:rsidR="00E12942" w:rsidRPr="00871A6C" w:rsidRDefault="00E12942" w:rsidP="00871A6C">
      <w:pPr>
        <w:spacing w:line="276" w:lineRule="auto"/>
        <w:ind w:firstLine="709"/>
        <w:jc w:val="both"/>
        <w:rPr>
          <w:rFonts w:ascii="Times New Roman" w:hAnsi="Times New Roman" w:cs="Times New Roman"/>
        </w:rPr>
      </w:pPr>
    </w:p>
    <w:p w14:paraId="1FA10E1F" w14:textId="4CC454D4" w:rsidR="00E12942" w:rsidRPr="00871A6C" w:rsidRDefault="00E12942" w:rsidP="00871A6C">
      <w:pPr>
        <w:spacing w:line="276" w:lineRule="auto"/>
        <w:ind w:firstLine="709"/>
        <w:jc w:val="both"/>
        <w:rPr>
          <w:rFonts w:ascii="Times New Roman" w:hAnsi="Times New Roman" w:cs="Times New Roman"/>
        </w:rPr>
      </w:pPr>
      <w:r w:rsidRPr="00871A6C">
        <w:rPr>
          <w:rFonts w:ascii="Times New Roman" w:hAnsi="Times New Roman" w:cs="Times New Roman"/>
        </w:rPr>
        <w:t>Oazu Nantoi, a member of parliament from the Action and Solidarity Party (PAS), believes that "the Metropolitanate of Moldova is attempting to stir up a new wave of unrest at an inopportune moment." As reported by INFOTAG, he commented on a letter from Metropolitan Vladimir on behalf of the Synod of the Metropolitanate of Moldova calling for an end to the "moral abuse of the Church."</w:t>
      </w:r>
      <w:r w:rsidRPr="00871A6C">
        <w:rPr>
          <w:rStyle w:val="a5"/>
          <w:rFonts w:ascii="Times New Roman" w:hAnsi="Times New Roman" w:cs="Times New Roman"/>
        </w:rPr>
        <w:footnoteReference w:id="13"/>
      </w:r>
    </w:p>
    <w:p w14:paraId="22F71EA9" w14:textId="7D600478" w:rsidR="00A615C9" w:rsidRPr="00871A6C" w:rsidRDefault="00A615C9" w:rsidP="00871A6C">
      <w:pPr>
        <w:spacing w:line="276" w:lineRule="auto"/>
        <w:ind w:firstLine="709"/>
        <w:jc w:val="both"/>
        <w:rPr>
          <w:rFonts w:ascii="Times New Roman" w:hAnsi="Times New Roman" w:cs="Times New Roman"/>
        </w:rPr>
      </w:pPr>
    </w:p>
    <w:p w14:paraId="67986FF2" w14:textId="072392C1" w:rsidR="00A615C9" w:rsidRPr="00871A6C" w:rsidRDefault="00A615C9" w:rsidP="00871A6C">
      <w:pPr>
        <w:spacing w:line="276" w:lineRule="auto"/>
        <w:ind w:firstLine="709"/>
        <w:jc w:val="both"/>
        <w:rPr>
          <w:rFonts w:ascii="Times New Roman" w:hAnsi="Times New Roman" w:cs="Times New Roman"/>
        </w:rPr>
      </w:pPr>
      <w:r w:rsidRPr="00871A6C">
        <w:rPr>
          <w:rFonts w:ascii="Times New Roman" w:hAnsi="Times New Roman" w:cs="Times New Roman"/>
        </w:rPr>
        <w:t>On November 10, 2025, PAS MP Boris Markoci published a list of actions on his Facebook page that the government, the president, and the ruling party must take, including banning the Moldovan Metropolitanate. The MP called the Moldovan Metropolitanate a "Russian church."</w:t>
      </w:r>
      <w:r w:rsidRPr="00871A6C">
        <w:rPr>
          <w:rStyle w:val="a5"/>
          <w:rFonts w:ascii="Times New Roman" w:hAnsi="Times New Roman" w:cs="Times New Roman"/>
        </w:rPr>
        <w:footnoteReference w:id="14"/>
      </w:r>
    </w:p>
    <w:p w14:paraId="35847136" w14:textId="135FFC3D" w:rsidR="00EE1A8E" w:rsidRPr="00871A6C" w:rsidRDefault="00EE1A8E" w:rsidP="00871A6C">
      <w:pPr>
        <w:spacing w:line="276" w:lineRule="auto"/>
        <w:ind w:firstLine="709"/>
        <w:jc w:val="both"/>
        <w:rPr>
          <w:rFonts w:ascii="Times New Roman" w:hAnsi="Times New Roman" w:cs="Times New Roman"/>
        </w:rPr>
      </w:pPr>
    </w:p>
    <w:p w14:paraId="3DF5EEBF" w14:textId="77777777" w:rsidR="00871A6C" w:rsidRDefault="00871A6C" w:rsidP="00871A6C">
      <w:pPr>
        <w:spacing w:line="276" w:lineRule="auto"/>
        <w:ind w:firstLine="709"/>
        <w:jc w:val="both"/>
        <w:rPr>
          <w:rFonts w:ascii="Times New Roman" w:hAnsi="Times New Roman" w:cs="Times New Roman"/>
        </w:rPr>
      </w:pPr>
    </w:p>
    <w:p w14:paraId="68802609" w14:textId="77777777" w:rsidR="00871A6C" w:rsidRDefault="00871A6C" w:rsidP="00871A6C">
      <w:pPr>
        <w:spacing w:line="276" w:lineRule="auto"/>
        <w:ind w:firstLine="709"/>
        <w:jc w:val="both"/>
        <w:rPr>
          <w:rFonts w:ascii="Times New Roman" w:hAnsi="Times New Roman" w:cs="Times New Roman"/>
        </w:rPr>
      </w:pPr>
    </w:p>
    <w:p w14:paraId="645C6E80" w14:textId="1ED4E5CA" w:rsidR="00A615C9" w:rsidRDefault="00A615C9" w:rsidP="00871A6C">
      <w:pPr>
        <w:spacing w:line="276" w:lineRule="auto"/>
        <w:ind w:firstLine="709"/>
        <w:jc w:val="both"/>
        <w:rPr>
          <w:rFonts w:ascii="Times New Roman" w:hAnsi="Times New Roman" w:cs="Times New Roman"/>
          <w:lang w:val="en-US"/>
        </w:rPr>
      </w:pPr>
      <w:r w:rsidRPr="00871A6C">
        <w:rPr>
          <w:rFonts w:ascii="Times New Roman" w:hAnsi="Times New Roman" w:cs="Times New Roman"/>
        </w:rPr>
        <w:t>PAS MP Virgil Pâslariuc stated the following about the state building that will become the property of the Bessarabian Metropolitanate:</w:t>
      </w:r>
      <w:r w:rsidRPr="00871A6C">
        <w:rPr>
          <w:rFonts w:ascii="Times New Roman" w:hAnsi="Times New Roman" w:cs="Times New Roman"/>
          <w:lang w:val="en-US"/>
        </w:rPr>
        <w:t xml:space="preserve"> "This is not the return of the old building, but a gesture of goodwill on the part of the Republic of Moldova toward the Romanian Orthodox Church and the </w:t>
      </w:r>
      <w:proofErr w:type="spellStart"/>
      <w:r w:rsidRPr="00871A6C">
        <w:rPr>
          <w:rFonts w:ascii="Times New Roman" w:hAnsi="Times New Roman" w:cs="Times New Roman"/>
          <w:lang w:val="en-US"/>
        </w:rPr>
        <w:t>Metropolitanate</w:t>
      </w:r>
      <w:proofErr w:type="spellEnd"/>
      <w:r w:rsidRPr="00871A6C">
        <w:rPr>
          <w:rFonts w:ascii="Times New Roman" w:hAnsi="Times New Roman" w:cs="Times New Roman"/>
          <w:lang w:val="en-US"/>
        </w:rPr>
        <w:t xml:space="preserve"> of Bessarabia." MP Virgil </w:t>
      </w:r>
      <w:r w:rsidRPr="00871A6C">
        <w:rPr>
          <w:rFonts w:ascii="Times New Roman" w:hAnsi="Times New Roman" w:cs="Times New Roman"/>
        </w:rPr>
        <w:t>Pâslariuc</w:t>
      </w:r>
      <w:r w:rsidRPr="00871A6C">
        <w:rPr>
          <w:rFonts w:ascii="Times New Roman" w:hAnsi="Times New Roman" w:cs="Times New Roman"/>
          <w:lang w:val="en-US"/>
        </w:rPr>
        <w:t xml:space="preserve"> is one of the authors of the initiative aimed at the gratuitous transfer of the former theological seminary building in central Chisinau to the </w:t>
      </w:r>
      <w:proofErr w:type="spellStart"/>
      <w:r w:rsidRPr="00871A6C">
        <w:rPr>
          <w:rFonts w:ascii="Times New Roman" w:hAnsi="Times New Roman" w:cs="Times New Roman"/>
          <w:lang w:val="en-US"/>
        </w:rPr>
        <w:t>Metropolitanate</w:t>
      </w:r>
      <w:proofErr w:type="spellEnd"/>
      <w:r w:rsidRPr="00871A6C">
        <w:rPr>
          <w:rFonts w:ascii="Times New Roman" w:hAnsi="Times New Roman" w:cs="Times New Roman"/>
          <w:lang w:val="en-US"/>
        </w:rPr>
        <w:t xml:space="preserve"> of Bessarabia</w:t>
      </w:r>
      <w:r w:rsidRPr="00871A6C">
        <w:rPr>
          <w:rStyle w:val="a5"/>
          <w:rFonts w:ascii="Times New Roman" w:hAnsi="Times New Roman" w:cs="Times New Roman"/>
          <w:lang w:val="en-US"/>
        </w:rPr>
        <w:footnoteReference w:id="15"/>
      </w:r>
      <w:r w:rsidRPr="00871A6C">
        <w:rPr>
          <w:rFonts w:ascii="Times New Roman" w:hAnsi="Times New Roman" w:cs="Times New Roman"/>
          <w:lang w:val="en-US"/>
        </w:rPr>
        <w:t>.</w:t>
      </w:r>
    </w:p>
    <w:p w14:paraId="5425F0E8" w14:textId="17401531" w:rsidR="00AC7EE2" w:rsidRPr="00AC7EE2" w:rsidRDefault="00AC7EE2" w:rsidP="00871A6C">
      <w:pPr>
        <w:pStyle w:val="a6"/>
        <w:spacing w:line="276" w:lineRule="auto"/>
        <w:ind w:firstLine="708"/>
        <w:jc w:val="both"/>
        <w:rPr>
          <w:color w:val="000000"/>
        </w:rPr>
      </w:pPr>
      <w:r w:rsidRPr="00AC7EE2">
        <w:rPr>
          <w:color w:val="000000"/>
        </w:rPr>
        <w:t>As already mentioned above, Moldovan state authorities accused numerous believers and clerics of the Orthodox Church of Moldova of “electoral corruption.” In many cases, significant financial fines were imposed on believers. When examining the legal construction of Article 471</w:t>
      </w:r>
      <w:r w:rsidRPr="00AC7EE2">
        <w:rPr>
          <w:rStyle w:val="a5"/>
          <w:color w:val="000000"/>
        </w:rPr>
        <w:footnoteReference w:id="16"/>
      </w:r>
      <w:r w:rsidRPr="00AC7EE2">
        <w:rPr>
          <w:color w:val="000000"/>
        </w:rPr>
        <w:t xml:space="preserve"> “Passive Electoral Corruption,” under which pilgrims of the Orthodox Church of Moldova are being held liable en masse, it should be noted that this legal norm does not comply with international legal standards, is formulated in an overly vague manner and in violation of the principle of legal certainty, and is used by Moldovan state authorities to hold individuals liable merely on suspicion of involvement in an offense.</w:t>
      </w:r>
    </w:p>
    <w:p w14:paraId="4E97E5DF" w14:textId="77777777" w:rsidR="00AC7EE2" w:rsidRPr="00AC7EE2" w:rsidRDefault="00AC7EE2" w:rsidP="00871A6C">
      <w:pPr>
        <w:pStyle w:val="a6"/>
        <w:spacing w:line="276" w:lineRule="auto"/>
        <w:ind w:firstLine="708"/>
        <w:jc w:val="both"/>
        <w:rPr>
          <w:color w:val="000000"/>
        </w:rPr>
      </w:pPr>
      <w:r w:rsidRPr="00AC7EE2">
        <w:rPr>
          <w:color w:val="000000"/>
        </w:rPr>
        <w:t>The wording of the objective element of Article 471 is formulated as follows:</w:t>
      </w:r>
      <w:r w:rsidRPr="00AC7EE2">
        <w:rPr>
          <w:color w:val="000000"/>
        </w:rPr>
        <w:br/>
        <w:t>“Passive electoral corruption — the requesting, acceptance, or receipt, personally or through an intermediary, by a voter, of property, services, privileges, or advantages in any form to which they are not entitled, for themselves or for another person, with the purpose of exercising or refraining from exercising electoral rights.”</w:t>
      </w:r>
    </w:p>
    <w:p w14:paraId="345A83F0" w14:textId="77777777" w:rsidR="00AC7EE2" w:rsidRPr="00AC7EE2" w:rsidRDefault="00AC7EE2" w:rsidP="00871A6C">
      <w:pPr>
        <w:pStyle w:val="a6"/>
        <w:spacing w:line="276" w:lineRule="auto"/>
        <w:ind w:firstLine="708"/>
        <w:jc w:val="both"/>
        <w:rPr>
          <w:color w:val="000000"/>
        </w:rPr>
      </w:pPr>
      <w:r w:rsidRPr="00AC7EE2">
        <w:rPr>
          <w:color w:val="000000"/>
        </w:rPr>
        <w:t>After analyzing Moldovan judicial practice regarding liability under this article, we came to the conclusion that courts agree with the policy of state authorities of Moldova, which fine individuals for installing a banking application or receiving an SMS message from a bank (even where the fact of receiving money is not proven). In the vast majority of cases, the prosecution does not prove that the individual installed a banking application in order to receive remuneration for voting in elections.</w:t>
      </w:r>
    </w:p>
    <w:p w14:paraId="0F84658F" w14:textId="77777777" w:rsidR="00AC7EE2" w:rsidRPr="00AC7EE2" w:rsidRDefault="00AC7EE2" w:rsidP="00871A6C">
      <w:pPr>
        <w:pStyle w:val="a6"/>
        <w:spacing w:line="276" w:lineRule="auto"/>
        <w:ind w:firstLine="708"/>
        <w:jc w:val="both"/>
        <w:rPr>
          <w:color w:val="000000"/>
        </w:rPr>
      </w:pPr>
      <w:r w:rsidRPr="00AC7EE2">
        <w:rPr>
          <w:color w:val="000000"/>
        </w:rPr>
        <w:t>Thus, the application of fines under Article 471 of the Moldovan Code of Offenses is repressive in nature and is applied by courts merely on the suspicion that “theoretically this could have been connected to an offense.” For a person to be fined, it is sufficient to be included in “lists of suspects” compiled by state security services or, for example, to receive an SMS from a bank that the security services consider to be involved in bank transfers allegedly linked to electoral influence.</w:t>
      </w:r>
    </w:p>
    <w:p w14:paraId="6538CA7B" w14:textId="610F68CC" w:rsidR="00AC7EE2" w:rsidRPr="00AC7EE2" w:rsidRDefault="00AC7EE2" w:rsidP="00871A6C">
      <w:pPr>
        <w:pStyle w:val="a6"/>
        <w:spacing w:line="276" w:lineRule="auto"/>
        <w:ind w:firstLine="708"/>
        <w:jc w:val="both"/>
        <w:rPr>
          <w:color w:val="000000"/>
        </w:rPr>
      </w:pPr>
      <w:r w:rsidRPr="00AC7EE2">
        <w:rPr>
          <w:color w:val="000000"/>
        </w:rPr>
        <w:t>In this regard, the separate opinion of Judge Vladimir Țurcanu of the Constitutional Court of Moldova is illustrative</w:t>
      </w:r>
      <w:r w:rsidR="00A52C53">
        <w:rPr>
          <w:rStyle w:val="a5"/>
          <w:color w:val="000000"/>
        </w:rPr>
        <w:footnoteReference w:id="17"/>
      </w:r>
      <w:r w:rsidRPr="00AC7EE2">
        <w:rPr>
          <w:color w:val="000000"/>
        </w:rPr>
        <w:t>:</w:t>
      </w:r>
    </w:p>
    <w:p w14:paraId="034B5A88" w14:textId="77777777" w:rsidR="00871A6C" w:rsidRDefault="00871A6C" w:rsidP="00871A6C">
      <w:pPr>
        <w:pStyle w:val="a6"/>
        <w:spacing w:line="276" w:lineRule="auto"/>
        <w:jc w:val="both"/>
        <w:rPr>
          <w:color w:val="000000"/>
        </w:rPr>
      </w:pPr>
    </w:p>
    <w:p w14:paraId="3DEBD096" w14:textId="77777777" w:rsidR="00871A6C" w:rsidRDefault="00871A6C" w:rsidP="00871A6C">
      <w:pPr>
        <w:pStyle w:val="a6"/>
        <w:spacing w:line="276" w:lineRule="auto"/>
        <w:jc w:val="both"/>
        <w:rPr>
          <w:color w:val="000000"/>
        </w:rPr>
      </w:pPr>
    </w:p>
    <w:p w14:paraId="1A00FADE" w14:textId="77777777" w:rsidR="00871A6C" w:rsidRDefault="00871A6C" w:rsidP="00871A6C">
      <w:pPr>
        <w:pStyle w:val="a6"/>
        <w:spacing w:line="276" w:lineRule="auto"/>
        <w:jc w:val="both"/>
        <w:rPr>
          <w:color w:val="000000"/>
        </w:rPr>
      </w:pPr>
    </w:p>
    <w:p w14:paraId="4EBCBEFA" w14:textId="1CE5D592" w:rsidR="00AC7EE2" w:rsidRPr="00AC7EE2" w:rsidRDefault="00AC7EE2" w:rsidP="00871A6C">
      <w:pPr>
        <w:pStyle w:val="a6"/>
        <w:spacing w:line="276" w:lineRule="auto"/>
        <w:ind w:firstLine="360"/>
        <w:jc w:val="both"/>
        <w:rPr>
          <w:color w:val="000000"/>
        </w:rPr>
      </w:pPr>
      <w:r w:rsidRPr="00AC7EE2">
        <w:rPr>
          <w:color w:val="000000"/>
        </w:rPr>
        <w:t>“By Decision No. 1 of 21 January 2025, the Constitutional Court declared inadmissible the applications concerning exceptions of unconstitutionality of certain provisions of Article 471 of the Code of Offenses, submitted by lawyers Nadejda Lichianciuc, Diana Dulghieru, Oksana Surdu, Ina Pârțu, as well as Sergiu Prodan and Dumitru Marco, in cases pending before the Bălți Court (central office), the Cimișlia Court (central office), and the Chișinău Court (Buiucani office).</w:t>
      </w:r>
    </w:p>
    <w:p w14:paraId="39F7650C" w14:textId="77777777" w:rsidR="00AC7EE2" w:rsidRPr="00AC7EE2" w:rsidRDefault="00AC7EE2" w:rsidP="00871A6C">
      <w:pPr>
        <w:pStyle w:val="a6"/>
        <w:spacing w:line="276" w:lineRule="auto"/>
        <w:ind w:firstLine="360"/>
        <w:jc w:val="both"/>
        <w:rPr>
          <w:color w:val="000000"/>
        </w:rPr>
      </w:pPr>
      <w:r w:rsidRPr="00AC7EE2">
        <w:rPr>
          <w:color w:val="000000"/>
        </w:rPr>
        <w:t>Disagreeing with the conclusions of my colleagues — judges of the Constitutional Court — I formulate this separate opinion on the following grounds.</w:t>
      </w:r>
    </w:p>
    <w:p w14:paraId="66C1C59E" w14:textId="3794B397" w:rsidR="00871A6C" w:rsidRPr="00871A6C" w:rsidRDefault="00AC7EE2">
      <w:pPr>
        <w:pStyle w:val="a6"/>
        <w:numPr>
          <w:ilvl w:val="0"/>
          <w:numId w:val="2"/>
        </w:numPr>
        <w:spacing w:line="276" w:lineRule="auto"/>
        <w:rPr>
          <w:color w:val="000000"/>
        </w:rPr>
      </w:pPr>
      <w:r w:rsidRPr="00AC7EE2">
        <w:rPr>
          <w:color w:val="000000"/>
        </w:rPr>
        <w:t>The authors of the applications argue that the contested norm is excessively general, allows for arbitrary interpretations and unacceptable ambiguities, and lacks clarity and predictability. In their view, this makes it impossible to:</w:t>
      </w:r>
      <w:r w:rsidRPr="00AC7EE2">
        <w:rPr>
          <w:color w:val="000000"/>
        </w:rPr>
        <w:br/>
        <w:t>• correctly legally qualify the act;</w:t>
      </w:r>
      <w:r w:rsidRPr="00AC7EE2">
        <w:rPr>
          <w:color w:val="000000"/>
        </w:rPr>
        <w:br/>
        <w:t>• individualize the punishment by the official and subsequently by the court.</w:t>
      </w:r>
    </w:p>
    <w:p w14:paraId="1DE8C793" w14:textId="7C32F089" w:rsidR="00AC7EE2" w:rsidRPr="00AC7EE2" w:rsidRDefault="00AC7EE2">
      <w:pPr>
        <w:pStyle w:val="a6"/>
        <w:numPr>
          <w:ilvl w:val="0"/>
          <w:numId w:val="3"/>
        </w:numPr>
        <w:spacing w:line="276" w:lineRule="auto"/>
        <w:rPr>
          <w:color w:val="000000"/>
        </w:rPr>
      </w:pPr>
      <w:r w:rsidRPr="00AC7EE2">
        <w:rPr>
          <w:color w:val="000000"/>
        </w:rPr>
        <w:t>According to legal doctrine, for the existence of an unlawful act of a criminal nature (in this case administrative), and for establishing the fact of commission or non-commission of an offense, the relevant norm of the Special Part of the Code of Offenses must clearly and precisely contain the elements of the offense, namely:</w:t>
      </w:r>
      <w:r w:rsidRPr="00AC7EE2">
        <w:rPr>
          <w:color w:val="000000"/>
        </w:rPr>
        <w:br/>
        <w:t>• the object of the offense;</w:t>
      </w:r>
      <w:r w:rsidRPr="00AC7EE2">
        <w:rPr>
          <w:color w:val="000000"/>
        </w:rPr>
        <w:br/>
        <w:t>• the objective side of the offense;</w:t>
      </w:r>
      <w:r w:rsidRPr="00AC7EE2">
        <w:rPr>
          <w:color w:val="000000"/>
        </w:rPr>
        <w:br/>
        <w:t>• the subject of the offense;</w:t>
      </w:r>
      <w:r w:rsidRPr="00AC7EE2">
        <w:rPr>
          <w:color w:val="000000"/>
        </w:rPr>
        <w:br/>
        <w:t>• the subjective side of the offense;</w:t>
      </w:r>
      <w:r w:rsidRPr="00AC7EE2">
        <w:rPr>
          <w:color w:val="000000"/>
        </w:rPr>
        <w:br/>
        <w:t>• the causal link between them.</w:t>
      </w:r>
    </w:p>
    <w:p w14:paraId="063D1BD6" w14:textId="77777777" w:rsidR="00AC7EE2" w:rsidRPr="00AC7EE2" w:rsidRDefault="00AC7EE2">
      <w:pPr>
        <w:pStyle w:val="a6"/>
        <w:numPr>
          <w:ilvl w:val="0"/>
          <w:numId w:val="4"/>
        </w:numPr>
        <w:spacing w:line="276" w:lineRule="auto"/>
        <w:jc w:val="both"/>
        <w:rPr>
          <w:color w:val="000000"/>
        </w:rPr>
      </w:pPr>
      <w:r w:rsidRPr="00AC7EE2">
        <w:rPr>
          <w:color w:val="000000"/>
        </w:rPr>
        <w:t>Under these conditions, I consider that in order to verify the constitutionality of Article 471 of the Code of Offenses, it is necessary to analyze the content of the contested norm through the prism of the precise and cumulative presence of the above-mentioned elements, which underlie the legality of establishing administrative liability and punishment, as guaranteed by Article 22 of the Constitution.</w:t>
      </w:r>
    </w:p>
    <w:p w14:paraId="71619484" w14:textId="77777777" w:rsidR="00AC7EE2" w:rsidRPr="00AC7EE2" w:rsidRDefault="00AC7EE2">
      <w:pPr>
        <w:pStyle w:val="a6"/>
        <w:numPr>
          <w:ilvl w:val="0"/>
          <w:numId w:val="5"/>
        </w:numPr>
        <w:spacing w:line="276" w:lineRule="auto"/>
        <w:jc w:val="both"/>
        <w:rPr>
          <w:color w:val="000000"/>
        </w:rPr>
      </w:pPr>
      <w:r w:rsidRPr="00AC7EE2">
        <w:rPr>
          <w:color w:val="000000"/>
        </w:rPr>
        <w:t>Article 471 “Passive Electoral Corruption” is placed in Chapter VI of the Special Part of the Code of Offenses, which provides for offenses encroaching, inter alia, on the constitutional rights of individuals. This means that the legal object of this offense (the protected social values), determining its harmful nature, is electoral rights (the right to vote and to be elected), guaranteed by Article 38 of the Constitution.</w:t>
      </w:r>
    </w:p>
    <w:p w14:paraId="478B7980" w14:textId="77777777" w:rsidR="00AC7EE2" w:rsidRPr="00AC7EE2" w:rsidRDefault="00AC7EE2" w:rsidP="00871A6C">
      <w:pPr>
        <w:pStyle w:val="a6"/>
        <w:spacing w:line="276" w:lineRule="auto"/>
        <w:ind w:firstLine="360"/>
        <w:jc w:val="both"/>
        <w:rPr>
          <w:color w:val="000000"/>
        </w:rPr>
      </w:pPr>
      <w:r w:rsidRPr="00AC7EE2">
        <w:rPr>
          <w:color w:val="000000"/>
        </w:rPr>
        <w:t>These constitutional rights must be exercised through free elections, with equal, secret, direct, and freely expressed voting by their holder — a citizen possessing electoral rights. Any disproportionate attempt to encroach upon these requirements is presumed unlawful.</w:t>
      </w:r>
    </w:p>
    <w:p w14:paraId="179F2B2E" w14:textId="77777777" w:rsidR="00871A6C" w:rsidRDefault="00AC7EE2">
      <w:pPr>
        <w:pStyle w:val="a6"/>
        <w:numPr>
          <w:ilvl w:val="0"/>
          <w:numId w:val="6"/>
        </w:numPr>
        <w:spacing w:line="276" w:lineRule="auto"/>
        <w:jc w:val="both"/>
        <w:rPr>
          <w:color w:val="000000"/>
        </w:rPr>
      </w:pPr>
      <w:r w:rsidRPr="00AC7EE2">
        <w:rPr>
          <w:color w:val="000000"/>
        </w:rPr>
        <w:t xml:space="preserve">However, analysis of the objective side of the contested norm, defined by the legislator as: “the requesting, acceptance, or receipt, personally or through an intermediary, by a </w:t>
      </w:r>
    </w:p>
    <w:p w14:paraId="0A3E146F" w14:textId="77777777" w:rsidR="00871A6C" w:rsidRDefault="00871A6C" w:rsidP="00871A6C">
      <w:pPr>
        <w:pStyle w:val="a6"/>
        <w:spacing w:line="276" w:lineRule="auto"/>
        <w:ind w:left="720"/>
        <w:jc w:val="both"/>
        <w:rPr>
          <w:color w:val="000000"/>
        </w:rPr>
      </w:pPr>
    </w:p>
    <w:p w14:paraId="1D5A4379" w14:textId="77777777" w:rsidR="00871A6C" w:rsidRDefault="00871A6C" w:rsidP="00871A6C">
      <w:pPr>
        <w:pStyle w:val="a6"/>
        <w:spacing w:line="276" w:lineRule="auto"/>
        <w:ind w:left="720"/>
        <w:jc w:val="both"/>
        <w:rPr>
          <w:color w:val="000000"/>
        </w:rPr>
      </w:pPr>
    </w:p>
    <w:p w14:paraId="4CC0EC8E" w14:textId="0AA2A9D7" w:rsidR="00AC7EE2" w:rsidRPr="00AC7EE2" w:rsidRDefault="00AC7EE2" w:rsidP="00871A6C">
      <w:pPr>
        <w:pStyle w:val="a6"/>
        <w:spacing w:line="276" w:lineRule="auto"/>
        <w:ind w:left="720"/>
        <w:jc w:val="both"/>
        <w:rPr>
          <w:color w:val="000000"/>
        </w:rPr>
      </w:pPr>
      <w:r w:rsidRPr="00AC7EE2">
        <w:rPr>
          <w:color w:val="000000"/>
        </w:rPr>
        <w:t>voter, of property, services, privileges, or advantages in any form to which they are not entitled, for themselves or for another person, with the purpose of exercising or refraining from exercising electoral rights,” raises a number of questions regarding clarity and predictability.</w:t>
      </w:r>
    </w:p>
    <w:p w14:paraId="203FE140" w14:textId="77777777" w:rsidR="00AC7EE2" w:rsidRPr="00AC7EE2" w:rsidRDefault="00AC7EE2">
      <w:pPr>
        <w:pStyle w:val="a6"/>
        <w:numPr>
          <w:ilvl w:val="0"/>
          <w:numId w:val="7"/>
        </w:numPr>
        <w:spacing w:line="276" w:lineRule="auto"/>
        <w:rPr>
          <w:color w:val="000000"/>
        </w:rPr>
      </w:pPr>
      <w:r w:rsidRPr="00AC7EE2">
        <w:rPr>
          <w:color w:val="000000"/>
        </w:rPr>
        <w:t>In particular, it is unclear:</w:t>
      </w:r>
      <w:r w:rsidRPr="00AC7EE2">
        <w:rPr>
          <w:color w:val="000000"/>
        </w:rPr>
        <w:br/>
        <w:t>• what is meant by the phrase “for themselves or for another person”;</w:t>
      </w:r>
      <w:r w:rsidRPr="00AC7EE2">
        <w:rPr>
          <w:color w:val="000000"/>
        </w:rPr>
        <w:br/>
        <w:t>• what is the legal status and relationship of the subjects in this construction, given the object and purpose of the offense;</w:t>
      </w:r>
      <w:r w:rsidRPr="00AC7EE2">
        <w:rPr>
          <w:color w:val="000000"/>
        </w:rPr>
        <w:br/>
        <w:t>• in what form the action or inaction expressed in the phrase “with the purpose of exercising or refraining from exercising electoral rights” is realized:</w:t>
      </w:r>
      <w:r w:rsidRPr="00AC7EE2">
        <w:rPr>
          <w:color w:val="000000"/>
        </w:rPr>
        <w:br/>
        <w:t>o mere participation or non-participation in voting;</w:t>
      </w:r>
      <w:r w:rsidRPr="00AC7EE2">
        <w:rPr>
          <w:color w:val="000000"/>
        </w:rPr>
        <w:br/>
        <w:t>o voting in favor of or against a specific electoral competitor, etc.</w:t>
      </w:r>
    </w:p>
    <w:p w14:paraId="4DB109AC" w14:textId="77777777" w:rsidR="00AC7EE2" w:rsidRPr="00AC7EE2" w:rsidRDefault="00AC7EE2" w:rsidP="00871A6C">
      <w:pPr>
        <w:pStyle w:val="a6"/>
        <w:spacing w:line="276" w:lineRule="auto"/>
        <w:ind w:firstLine="360"/>
        <w:jc w:val="both"/>
        <w:rPr>
          <w:color w:val="000000"/>
        </w:rPr>
      </w:pPr>
      <w:r w:rsidRPr="00AC7EE2">
        <w:rPr>
          <w:color w:val="000000"/>
        </w:rPr>
        <w:t>Moreover, the formal definition of the act in the disposition of the norm (requesting, accepting, or receiving benefits), without specifying the method of realizing the socially dangerous purpose with respect to the object of the offense, cannot constitute a precise and complete objective side of the offense (see a contrario § 310 of Constitutional Court Decision No. 1 of 21.01.2025).</w:t>
      </w:r>
    </w:p>
    <w:p w14:paraId="1BCCF8E2" w14:textId="77777777" w:rsidR="00AC7EE2" w:rsidRPr="00AC7EE2" w:rsidRDefault="00AC7EE2">
      <w:pPr>
        <w:pStyle w:val="a6"/>
        <w:numPr>
          <w:ilvl w:val="0"/>
          <w:numId w:val="8"/>
        </w:numPr>
        <w:spacing w:line="276" w:lineRule="auto"/>
        <w:jc w:val="both"/>
        <w:rPr>
          <w:color w:val="000000"/>
        </w:rPr>
      </w:pPr>
      <w:r w:rsidRPr="00AC7EE2">
        <w:rPr>
          <w:color w:val="000000"/>
        </w:rPr>
        <w:t>Under these conditions, a deeper analysis of the subjective side of the offense is required, including the presence of a logical-legal connection between motive and purpose.</w:t>
      </w:r>
    </w:p>
    <w:p w14:paraId="2174B113" w14:textId="77777777" w:rsidR="00AC7EE2" w:rsidRPr="00AC7EE2" w:rsidRDefault="00AC7EE2" w:rsidP="00871A6C">
      <w:pPr>
        <w:pStyle w:val="a6"/>
        <w:spacing w:line="276" w:lineRule="auto"/>
        <w:ind w:firstLine="360"/>
        <w:jc w:val="both"/>
        <w:rPr>
          <w:color w:val="000000"/>
        </w:rPr>
      </w:pPr>
      <w:r w:rsidRPr="00AC7EE2">
        <w:rPr>
          <w:color w:val="000000"/>
        </w:rPr>
        <w:t>On the one hand, the intention to obtain material benefit for oneself or another person is presumed, while on the other hand, the purpose is described as exercising or refraining from exercising electoral rights.</w:t>
      </w:r>
    </w:p>
    <w:p w14:paraId="14B9D782" w14:textId="77777777" w:rsidR="00AC7EE2" w:rsidRPr="00AC7EE2" w:rsidRDefault="00AC7EE2" w:rsidP="00871A6C">
      <w:pPr>
        <w:pStyle w:val="a6"/>
        <w:spacing w:line="276" w:lineRule="auto"/>
        <w:ind w:firstLine="360"/>
        <w:jc w:val="both"/>
        <w:rPr>
          <w:color w:val="000000"/>
        </w:rPr>
      </w:pPr>
      <w:r w:rsidRPr="00AC7EE2">
        <w:rPr>
          <w:color w:val="000000"/>
        </w:rPr>
        <w:t>Furthermore, given that the Code of Offenses does not regulate liability for active electoral corruption, a problem of legal qualification may arise when applying the formula “for themselves or for another person.”</w:t>
      </w:r>
    </w:p>
    <w:p w14:paraId="388D5325" w14:textId="77777777" w:rsidR="00AC7EE2" w:rsidRPr="00AC7EE2" w:rsidRDefault="00AC7EE2">
      <w:pPr>
        <w:pStyle w:val="a6"/>
        <w:numPr>
          <w:ilvl w:val="0"/>
          <w:numId w:val="9"/>
        </w:numPr>
        <w:spacing w:line="276" w:lineRule="auto"/>
        <w:ind w:left="0" w:firstLine="426"/>
        <w:jc w:val="both"/>
        <w:rPr>
          <w:color w:val="000000"/>
        </w:rPr>
      </w:pPr>
      <w:r w:rsidRPr="00AC7EE2">
        <w:rPr>
          <w:color w:val="000000"/>
        </w:rPr>
        <w:t>At the same time, when comparing the object of the offense (the electoral rights of an individual) with the objective side and the subject of the offense, it can be observed that the contested provisions hypothetically allow for a situation in which the offender, by committing an unlawful act, encroaches upon their own electoral rights.</w:t>
      </w:r>
    </w:p>
    <w:p w14:paraId="20BB7FC5" w14:textId="77777777" w:rsidR="00AC7EE2" w:rsidRPr="00AC7EE2" w:rsidRDefault="00AC7EE2" w:rsidP="00871A6C">
      <w:pPr>
        <w:pStyle w:val="a6"/>
        <w:spacing w:line="276" w:lineRule="auto"/>
        <w:ind w:firstLine="360"/>
        <w:jc w:val="both"/>
        <w:rPr>
          <w:color w:val="000000"/>
        </w:rPr>
      </w:pPr>
      <w:r w:rsidRPr="00AC7EE2">
        <w:rPr>
          <w:color w:val="000000"/>
        </w:rPr>
        <w:t>In other words, a paradoxical, if not absurd, legal situation arises in which the offender and the victim are the same person.</w:t>
      </w:r>
    </w:p>
    <w:p w14:paraId="54216D6D" w14:textId="77777777" w:rsidR="00AC7EE2" w:rsidRPr="00AC7EE2" w:rsidRDefault="00AC7EE2">
      <w:pPr>
        <w:pStyle w:val="a6"/>
        <w:numPr>
          <w:ilvl w:val="0"/>
          <w:numId w:val="10"/>
        </w:numPr>
        <w:spacing w:line="276" w:lineRule="auto"/>
        <w:rPr>
          <w:color w:val="000000"/>
        </w:rPr>
      </w:pPr>
      <w:r w:rsidRPr="00AC7EE2">
        <w:rPr>
          <w:color w:val="000000"/>
        </w:rPr>
        <w:t>In addition, from the content of the contested provisions it is impossible to determine:</w:t>
      </w:r>
      <w:r w:rsidRPr="00AC7EE2">
        <w:rPr>
          <w:color w:val="000000"/>
        </w:rPr>
        <w:br/>
        <w:t>• the quantitative characteristic of the offense (degree of harmfulness);</w:t>
      </w:r>
      <w:r w:rsidRPr="00AC7EE2">
        <w:rPr>
          <w:color w:val="000000"/>
        </w:rPr>
        <w:br/>
        <w:t>• the criteria for the occurrence of a socially dangerous result;</w:t>
      </w:r>
      <w:r w:rsidRPr="00AC7EE2">
        <w:rPr>
          <w:color w:val="000000"/>
        </w:rPr>
        <w:br/>
        <w:t>• the consequences for the protected object and the causal link between the act and such consequences.</w:t>
      </w:r>
    </w:p>
    <w:p w14:paraId="66E3EC87" w14:textId="77777777" w:rsidR="00871A6C" w:rsidRDefault="00871A6C" w:rsidP="00871A6C">
      <w:pPr>
        <w:pStyle w:val="a6"/>
        <w:spacing w:line="276" w:lineRule="auto"/>
        <w:rPr>
          <w:color w:val="000000"/>
        </w:rPr>
      </w:pPr>
    </w:p>
    <w:p w14:paraId="069103C5" w14:textId="77777777" w:rsidR="00871A6C" w:rsidRDefault="00871A6C" w:rsidP="00871A6C">
      <w:pPr>
        <w:pStyle w:val="a6"/>
        <w:spacing w:line="276" w:lineRule="auto"/>
        <w:rPr>
          <w:color w:val="000000"/>
        </w:rPr>
      </w:pPr>
    </w:p>
    <w:p w14:paraId="216FC5AB" w14:textId="50F5F3A6" w:rsidR="00AC7EE2" w:rsidRPr="00AC7EE2" w:rsidRDefault="00AC7EE2" w:rsidP="00871A6C">
      <w:pPr>
        <w:pStyle w:val="a6"/>
        <w:spacing w:line="276" w:lineRule="auto"/>
        <w:ind w:firstLine="360"/>
        <w:jc w:val="both"/>
        <w:rPr>
          <w:color w:val="000000"/>
        </w:rPr>
      </w:pPr>
      <w:r w:rsidRPr="00AC7EE2">
        <w:rPr>
          <w:color w:val="000000"/>
        </w:rPr>
        <w:t>The question also remains unanswered as to how the achievement or non-achievement of the purpose of the act can be established under conditions of secret voting, where disclosure of the will of the voter is prohibited.</w:t>
      </w:r>
    </w:p>
    <w:p w14:paraId="57FEE725" w14:textId="77777777" w:rsidR="00AC7EE2" w:rsidRPr="00AC7EE2" w:rsidRDefault="00AC7EE2" w:rsidP="00871A6C">
      <w:pPr>
        <w:pStyle w:val="a6"/>
        <w:ind w:firstLine="360"/>
        <w:jc w:val="both"/>
        <w:rPr>
          <w:color w:val="000000"/>
        </w:rPr>
      </w:pPr>
      <w:r w:rsidRPr="00AC7EE2">
        <w:rPr>
          <w:color w:val="000000"/>
        </w:rPr>
        <w:t>It is also unclear whether an assessment of the social danger of the act is carried out, for example depending on the amount of benefit received, which is relevant for the individualization of the sanction.</w:t>
      </w:r>
    </w:p>
    <w:p w14:paraId="5E886AFA" w14:textId="77777777" w:rsidR="00871A6C" w:rsidRDefault="00AC7EE2">
      <w:pPr>
        <w:pStyle w:val="a8"/>
        <w:numPr>
          <w:ilvl w:val="0"/>
          <w:numId w:val="11"/>
        </w:numPr>
        <w:spacing w:line="276" w:lineRule="auto"/>
        <w:ind w:left="0" w:firstLine="426"/>
        <w:jc w:val="both"/>
        <w:rPr>
          <w:rFonts w:ascii="Times New Roman" w:hAnsi="Times New Roman" w:cs="Times New Roman"/>
        </w:rPr>
      </w:pPr>
      <w:r w:rsidRPr="00871A6C">
        <w:rPr>
          <w:rFonts w:ascii="Times New Roman" w:hAnsi="Times New Roman" w:cs="Times New Roman"/>
        </w:rPr>
        <w:t>Regarding the authors’ arguments concerning the violation of the principle of individualization of punishment and the applicability of Article 20 of the Constitution, I note that in Decision No. 10 of 10 May 2016, the Constitutional Court stated:</w:t>
      </w:r>
      <w:r w:rsidRPr="00871A6C">
        <w:rPr>
          <w:rFonts w:ascii="Times New Roman" w:hAnsi="Times New Roman" w:cs="Times New Roman"/>
        </w:rPr>
        <w:br/>
        <w:t>“The right of access to justice imposes on the legislator the obligation to ensure for each person all possibilities to apply to a court and the effectiveness of this right through the adoption of an adequate legislative framework…”</w:t>
      </w:r>
      <w:r w:rsidRPr="00871A6C">
        <w:rPr>
          <w:rFonts w:ascii="Times New Roman" w:hAnsi="Times New Roman" w:cs="Times New Roman"/>
        </w:rPr>
        <w:br/>
      </w:r>
    </w:p>
    <w:p w14:paraId="3B387410" w14:textId="07D9E991" w:rsidR="00871A6C" w:rsidRPr="00351C80" w:rsidRDefault="00AC7EE2" w:rsidP="00351C80">
      <w:pPr>
        <w:spacing w:line="276" w:lineRule="auto"/>
        <w:ind w:firstLine="360"/>
        <w:jc w:val="both"/>
        <w:rPr>
          <w:rFonts w:ascii="Times New Roman" w:hAnsi="Times New Roman" w:cs="Times New Roman"/>
        </w:rPr>
      </w:pPr>
      <w:r w:rsidRPr="00871A6C">
        <w:rPr>
          <w:rFonts w:ascii="Times New Roman" w:hAnsi="Times New Roman" w:cs="Times New Roman"/>
        </w:rPr>
        <w:t>“The exclusive competence of the legislator to determine which acts constitute offenses and which sanctions apply does not exempt it from the obligation to observe the principle of legality deriving from Article 1(3) of the Constitution — the principle of the rule of law.”</w:t>
      </w:r>
    </w:p>
    <w:p w14:paraId="4C3C0E49" w14:textId="77777777" w:rsidR="00AC7EE2" w:rsidRPr="00AC7EE2" w:rsidRDefault="00AC7EE2">
      <w:pPr>
        <w:pStyle w:val="a6"/>
        <w:numPr>
          <w:ilvl w:val="0"/>
          <w:numId w:val="11"/>
        </w:numPr>
        <w:ind w:left="0" w:firstLine="349"/>
        <w:jc w:val="both"/>
        <w:rPr>
          <w:color w:val="000000"/>
        </w:rPr>
      </w:pPr>
      <w:r w:rsidRPr="00AC7EE2">
        <w:rPr>
          <w:color w:val="000000"/>
        </w:rPr>
        <w:t>A similar position was set out in Decision No. 6 of 16 April 2015, where the Court noted: “The legislator’s margin of discretion does not exempt it from compliance with the principle of the rule of law.”</w:t>
      </w:r>
    </w:p>
    <w:p w14:paraId="5DE68A00" w14:textId="77777777" w:rsidR="00351C80" w:rsidRDefault="00AC7EE2">
      <w:pPr>
        <w:pStyle w:val="a6"/>
        <w:numPr>
          <w:ilvl w:val="0"/>
          <w:numId w:val="12"/>
        </w:numPr>
        <w:spacing w:line="276" w:lineRule="auto"/>
        <w:ind w:left="0" w:firstLine="360"/>
        <w:jc w:val="both"/>
        <w:rPr>
          <w:color w:val="000000"/>
        </w:rPr>
      </w:pPr>
      <w:r w:rsidRPr="00AC7EE2">
        <w:rPr>
          <w:color w:val="000000"/>
        </w:rPr>
        <w:t>In Decision No. 10 of 10 May 2016, the Court also emphasized the organic link between the principles of legality, quality of the law, and individualization of punishment:</w:t>
      </w:r>
    </w:p>
    <w:p w14:paraId="1CD64522" w14:textId="77777777" w:rsidR="00351C80" w:rsidRDefault="00AC7EE2">
      <w:pPr>
        <w:pStyle w:val="a6"/>
        <w:numPr>
          <w:ilvl w:val="0"/>
          <w:numId w:val="29"/>
        </w:numPr>
        <w:spacing w:line="276" w:lineRule="auto"/>
        <w:jc w:val="both"/>
        <w:rPr>
          <w:color w:val="000000"/>
        </w:rPr>
      </w:pPr>
      <w:r w:rsidRPr="00351C80">
        <w:rPr>
          <w:color w:val="000000"/>
        </w:rPr>
        <w:t>the sanction must be strictly individualized;</w:t>
      </w:r>
    </w:p>
    <w:p w14:paraId="0985E689" w14:textId="77777777" w:rsidR="00351C80" w:rsidRDefault="00AC7EE2">
      <w:pPr>
        <w:pStyle w:val="a6"/>
        <w:numPr>
          <w:ilvl w:val="0"/>
          <w:numId w:val="29"/>
        </w:numPr>
        <w:spacing w:line="276" w:lineRule="auto"/>
        <w:jc w:val="both"/>
        <w:rPr>
          <w:color w:val="000000"/>
        </w:rPr>
      </w:pPr>
      <w:r w:rsidRPr="00351C80">
        <w:rPr>
          <w:color w:val="000000"/>
        </w:rPr>
        <w:t>it must take into account the nature and degree of harmfulness of the act;</w:t>
      </w:r>
    </w:p>
    <w:p w14:paraId="36FCE17C" w14:textId="70E9B982" w:rsidR="00AC7EE2" w:rsidRPr="00351C80" w:rsidRDefault="00AC7EE2">
      <w:pPr>
        <w:pStyle w:val="a6"/>
        <w:numPr>
          <w:ilvl w:val="0"/>
          <w:numId w:val="29"/>
        </w:numPr>
        <w:spacing w:line="276" w:lineRule="auto"/>
        <w:jc w:val="both"/>
        <w:rPr>
          <w:color w:val="000000"/>
        </w:rPr>
      </w:pPr>
      <w:r w:rsidRPr="00351C80">
        <w:rPr>
          <w:color w:val="000000"/>
        </w:rPr>
        <w:t>it must take into account the personality of the offender.</w:t>
      </w:r>
    </w:p>
    <w:p w14:paraId="77DA114B" w14:textId="77777777" w:rsidR="00351C80" w:rsidRDefault="00AC7EE2">
      <w:pPr>
        <w:pStyle w:val="a6"/>
        <w:numPr>
          <w:ilvl w:val="0"/>
          <w:numId w:val="13"/>
        </w:numPr>
        <w:ind w:left="0" w:firstLine="426"/>
        <w:jc w:val="both"/>
        <w:rPr>
          <w:color w:val="000000"/>
        </w:rPr>
      </w:pPr>
      <w:r w:rsidRPr="00AC7EE2">
        <w:rPr>
          <w:color w:val="000000"/>
        </w:rPr>
        <w:t>One of the most complex problems is the applicability of the phrase “if the act does not constitute a crime,” contained at the end of paragraph (1) of Article 471, in circumstances where:</w:t>
      </w:r>
    </w:p>
    <w:p w14:paraId="5D233327" w14:textId="77777777" w:rsidR="00351C80" w:rsidRDefault="00AC7EE2">
      <w:pPr>
        <w:pStyle w:val="a6"/>
        <w:numPr>
          <w:ilvl w:val="0"/>
          <w:numId w:val="30"/>
        </w:numPr>
        <w:ind w:left="709" w:hanging="283"/>
        <w:jc w:val="both"/>
        <w:rPr>
          <w:color w:val="000000"/>
        </w:rPr>
      </w:pPr>
      <w:r w:rsidRPr="00AC7EE2">
        <w:rPr>
          <w:color w:val="000000"/>
        </w:rPr>
        <w:t>the Criminal Code does not provide for liability for passive electoral corruption;</w:t>
      </w:r>
    </w:p>
    <w:p w14:paraId="6331C032" w14:textId="77777777" w:rsidR="00351C80" w:rsidRDefault="00AC7EE2">
      <w:pPr>
        <w:pStyle w:val="a6"/>
        <w:numPr>
          <w:ilvl w:val="0"/>
          <w:numId w:val="30"/>
        </w:numPr>
        <w:ind w:left="709" w:hanging="283"/>
        <w:jc w:val="both"/>
        <w:rPr>
          <w:color w:val="000000"/>
        </w:rPr>
      </w:pPr>
      <w:r w:rsidRPr="00AC7EE2">
        <w:rPr>
          <w:color w:val="000000"/>
        </w:rPr>
        <w:t xml:space="preserve"> criminal liability is established only for political passive corruption of public officials;</w:t>
      </w:r>
    </w:p>
    <w:p w14:paraId="1E631928" w14:textId="5613D038" w:rsidR="00AC7EE2" w:rsidRPr="00AC7EE2" w:rsidRDefault="00AC7EE2">
      <w:pPr>
        <w:pStyle w:val="a6"/>
        <w:numPr>
          <w:ilvl w:val="0"/>
          <w:numId w:val="30"/>
        </w:numPr>
        <w:ind w:left="709" w:hanging="283"/>
        <w:jc w:val="both"/>
        <w:rPr>
          <w:color w:val="000000"/>
        </w:rPr>
      </w:pPr>
      <w:r w:rsidRPr="00AC7EE2">
        <w:rPr>
          <w:color w:val="000000"/>
        </w:rPr>
        <w:t xml:space="preserve"> active electoral corruption of an individual is provided for only in the Criminal Code.</w:t>
      </w:r>
    </w:p>
    <w:p w14:paraId="5AC8D578" w14:textId="77777777" w:rsidR="00AC7EE2" w:rsidRPr="00AC7EE2" w:rsidRDefault="00AC7EE2">
      <w:pPr>
        <w:pStyle w:val="a6"/>
        <w:numPr>
          <w:ilvl w:val="0"/>
          <w:numId w:val="14"/>
        </w:numPr>
        <w:ind w:left="0" w:firstLine="426"/>
        <w:rPr>
          <w:color w:val="000000"/>
        </w:rPr>
      </w:pPr>
      <w:r w:rsidRPr="00AC7EE2">
        <w:rPr>
          <w:color w:val="000000"/>
        </w:rPr>
        <w:t>Summing up, I conclude that the provisions of Article 471 of the Code of Offenses affect Articles 20 and 22 of the Constitution in conjunction with Articles 1(3), 23, and 54 of the Constitution.</w:t>
      </w:r>
    </w:p>
    <w:p w14:paraId="2A1B215F" w14:textId="77777777" w:rsidR="00351C80" w:rsidRDefault="00AC7EE2">
      <w:pPr>
        <w:pStyle w:val="a6"/>
        <w:numPr>
          <w:ilvl w:val="0"/>
          <w:numId w:val="15"/>
        </w:numPr>
        <w:ind w:left="0" w:firstLine="426"/>
        <w:rPr>
          <w:color w:val="000000"/>
        </w:rPr>
      </w:pPr>
      <w:r w:rsidRPr="00AC7EE2">
        <w:rPr>
          <w:color w:val="000000"/>
        </w:rPr>
        <w:t>Therefore, I consider that the Constitutional Court should have declared the applications admissible and examined the contested provisions on the merits with regard to compliance with the principles of:</w:t>
      </w:r>
    </w:p>
    <w:p w14:paraId="7075183D" w14:textId="4DE21F84" w:rsidR="00351C80" w:rsidRDefault="00351C80" w:rsidP="00351C80">
      <w:pPr>
        <w:pStyle w:val="a6"/>
        <w:ind w:left="426"/>
        <w:rPr>
          <w:color w:val="000000"/>
        </w:rPr>
      </w:pPr>
    </w:p>
    <w:p w14:paraId="76DFDB7F" w14:textId="04F4A175" w:rsidR="00351C80" w:rsidRDefault="00351C80" w:rsidP="00351C80">
      <w:pPr>
        <w:pStyle w:val="a6"/>
        <w:ind w:left="426"/>
        <w:rPr>
          <w:color w:val="000000"/>
        </w:rPr>
      </w:pPr>
    </w:p>
    <w:p w14:paraId="37E2C4F8" w14:textId="77777777" w:rsidR="00351C80" w:rsidRDefault="00351C80" w:rsidP="00351C80">
      <w:pPr>
        <w:pStyle w:val="a6"/>
        <w:ind w:left="426"/>
        <w:rPr>
          <w:color w:val="000000"/>
        </w:rPr>
      </w:pPr>
    </w:p>
    <w:p w14:paraId="4128010D" w14:textId="77777777" w:rsidR="00351C80" w:rsidRDefault="00AC7EE2">
      <w:pPr>
        <w:pStyle w:val="a6"/>
        <w:numPr>
          <w:ilvl w:val="0"/>
          <w:numId w:val="31"/>
        </w:numPr>
        <w:rPr>
          <w:color w:val="000000"/>
        </w:rPr>
      </w:pPr>
      <w:r w:rsidRPr="00AC7EE2">
        <w:rPr>
          <w:color w:val="000000"/>
        </w:rPr>
        <w:t>the rule of law;</w:t>
      </w:r>
    </w:p>
    <w:p w14:paraId="4FA80C5C" w14:textId="77777777" w:rsidR="00351C80" w:rsidRDefault="00AC7EE2">
      <w:pPr>
        <w:pStyle w:val="a6"/>
        <w:numPr>
          <w:ilvl w:val="0"/>
          <w:numId w:val="31"/>
        </w:numPr>
        <w:rPr>
          <w:color w:val="000000"/>
        </w:rPr>
      </w:pPr>
      <w:r w:rsidRPr="00AC7EE2">
        <w:rPr>
          <w:color w:val="000000"/>
        </w:rPr>
        <w:t>quality of the law;</w:t>
      </w:r>
    </w:p>
    <w:p w14:paraId="65B23070" w14:textId="79C607DC" w:rsidR="00AC7EE2" w:rsidRPr="00AC7EE2" w:rsidRDefault="00AC7EE2">
      <w:pPr>
        <w:pStyle w:val="a6"/>
        <w:numPr>
          <w:ilvl w:val="0"/>
          <w:numId w:val="31"/>
        </w:numPr>
        <w:rPr>
          <w:color w:val="000000"/>
        </w:rPr>
      </w:pPr>
      <w:r w:rsidRPr="00AC7EE2">
        <w:rPr>
          <w:color w:val="000000"/>
        </w:rPr>
        <w:t xml:space="preserve"> legality of establishing liability and punishment.”</w:t>
      </w:r>
    </w:p>
    <w:p w14:paraId="7FF91C57" w14:textId="77777777" w:rsidR="00AC7EE2" w:rsidRPr="00AC7EE2" w:rsidRDefault="00AC7EE2" w:rsidP="00351C80">
      <w:pPr>
        <w:pStyle w:val="a6"/>
        <w:spacing w:line="276" w:lineRule="auto"/>
        <w:ind w:firstLine="708"/>
        <w:jc w:val="both"/>
        <w:rPr>
          <w:color w:val="000000"/>
        </w:rPr>
      </w:pPr>
      <w:r w:rsidRPr="00AC7EE2">
        <w:rPr>
          <w:color w:val="000000"/>
        </w:rPr>
        <w:t>The separate opinion of Judge Țurcanu was formulated within Constitutional Court Decision No. 1 of 21 January 2025, by which the Court examined exceptions of unconstitutionality of certain provisions of Article 471 (passive electoral corruption) of the Moldovan Code of Offenses and declared these exceptions inadmissible, thereby refusing to recognize the article as unconstitutional and leaving it in force.</w:t>
      </w:r>
    </w:p>
    <w:p w14:paraId="12C125C7" w14:textId="77777777" w:rsidR="00AC7EE2" w:rsidRPr="00AC7EE2" w:rsidRDefault="00AC7EE2" w:rsidP="00351C80">
      <w:pPr>
        <w:pStyle w:val="a6"/>
        <w:spacing w:line="276" w:lineRule="auto"/>
        <w:ind w:firstLine="360"/>
        <w:rPr>
          <w:color w:val="000000"/>
        </w:rPr>
      </w:pPr>
      <w:r w:rsidRPr="00AC7EE2">
        <w:rPr>
          <w:color w:val="000000"/>
        </w:rPr>
        <w:t>In this connection, the following should be taken into account:</w:t>
      </w:r>
    </w:p>
    <w:p w14:paraId="16D2F3A0" w14:textId="09F9FA38" w:rsidR="00AC7EE2" w:rsidRPr="00AC7EE2" w:rsidRDefault="00AC7EE2">
      <w:pPr>
        <w:pStyle w:val="a6"/>
        <w:numPr>
          <w:ilvl w:val="0"/>
          <w:numId w:val="16"/>
        </w:numPr>
        <w:spacing w:line="276" w:lineRule="auto"/>
        <w:rPr>
          <w:color w:val="000000"/>
        </w:rPr>
      </w:pPr>
      <w:r w:rsidRPr="00AC7EE2">
        <w:rPr>
          <w:color w:val="000000"/>
        </w:rPr>
        <w:t>a number of Moldovan political forces have repeatedly accused the Moldovan government of subordinating the Constitutional Court</w:t>
      </w:r>
      <w:r w:rsidRPr="00AC7EE2">
        <w:rPr>
          <w:rStyle w:val="a5"/>
          <w:color w:val="000000"/>
        </w:rPr>
        <w:footnoteReference w:id="18"/>
      </w:r>
      <w:r w:rsidRPr="00AC7EE2">
        <w:rPr>
          <w:color w:val="000000"/>
        </w:rPr>
        <w:t>;</w:t>
      </w:r>
    </w:p>
    <w:p w14:paraId="35D8FAAC" w14:textId="4D6568D5" w:rsidR="00AC7EE2" w:rsidRPr="00AC7EE2" w:rsidRDefault="00AC7EE2">
      <w:pPr>
        <w:pStyle w:val="a6"/>
        <w:numPr>
          <w:ilvl w:val="0"/>
          <w:numId w:val="16"/>
        </w:numPr>
        <w:spacing w:line="276" w:lineRule="auto"/>
        <w:rPr>
          <w:color w:val="000000"/>
        </w:rPr>
      </w:pPr>
      <w:r w:rsidRPr="00AC7EE2">
        <w:rPr>
          <w:color w:val="000000"/>
        </w:rPr>
        <w:t>Moldovan human rights organizations regularly state that “…in the absence of clear selection mechanisms (for judges), there is a risk that the process will be politicized”</w:t>
      </w:r>
      <w:r w:rsidRPr="00AC7EE2">
        <w:rPr>
          <w:rStyle w:val="a5"/>
          <w:color w:val="000000"/>
        </w:rPr>
        <w:footnoteReference w:id="19"/>
      </w:r>
      <w:r w:rsidRPr="00AC7EE2">
        <w:rPr>
          <w:color w:val="000000"/>
        </w:rPr>
        <w:t>;</w:t>
      </w:r>
    </w:p>
    <w:p w14:paraId="60155F24" w14:textId="4B0E9EB1" w:rsidR="00AC7EE2" w:rsidRPr="00AC7EE2" w:rsidRDefault="00AC7EE2">
      <w:pPr>
        <w:pStyle w:val="a6"/>
        <w:numPr>
          <w:ilvl w:val="0"/>
          <w:numId w:val="16"/>
        </w:numPr>
        <w:spacing w:line="276" w:lineRule="auto"/>
        <w:rPr>
          <w:color w:val="000000"/>
        </w:rPr>
      </w:pPr>
      <w:r w:rsidRPr="00AC7EE2">
        <w:rPr>
          <w:color w:val="000000"/>
        </w:rPr>
        <w:t>the Freedom House report on Moldova states that the judicial branch is “highly susceptible to political influences”</w:t>
      </w:r>
      <w:r w:rsidRPr="00AC7EE2">
        <w:rPr>
          <w:rStyle w:val="a5"/>
          <w:color w:val="000000"/>
        </w:rPr>
        <w:footnoteReference w:id="20"/>
      </w:r>
      <w:r w:rsidRPr="00AC7EE2">
        <w:rPr>
          <w:color w:val="000000"/>
        </w:rPr>
        <w:t>;</w:t>
      </w:r>
    </w:p>
    <w:p w14:paraId="2EEFCCEF" w14:textId="68FAE65A" w:rsidR="00AC7EE2" w:rsidRPr="00AC7EE2" w:rsidRDefault="00AC7EE2">
      <w:pPr>
        <w:pStyle w:val="a6"/>
        <w:numPr>
          <w:ilvl w:val="0"/>
          <w:numId w:val="16"/>
        </w:numPr>
        <w:spacing w:line="276" w:lineRule="auto"/>
        <w:rPr>
          <w:color w:val="000000"/>
        </w:rPr>
      </w:pPr>
      <w:r w:rsidRPr="00AC7EE2">
        <w:rPr>
          <w:color w:val="000000"/>
        </w:rPr>
        <w:t>the Venice Commission’s opinion on the draft law (2025) notes the problem of the absence of criteria ensuring transparency in the process of appointing Constitutional Court judges</w:t>
      </w:r>
      <w:r w:rsidRPr="00AC7EE2">
        <w:rPr>
          <w:rStyle w:val="a5"/>
          <w:color w:val="000000"/>
        </w:rPr>
        <w:footnoteReference w:id="21"/>
      </w:r>
      <w:r w:rsidRPr="00AC7EE2">
        <w:rPr>
          <w:color w:val="000000"/>
        </w:rPr>
        <w:t>;</w:t>
      </w:r>
    </w:p>
    <w:p w14:paraId="4095B308" w14:textId="2043B76D" w:rsidR="00AC7EE2" w:rsidRPr="00AC7EE2" w:rsidRDefault="00AC7EE2">
      <w:pPr>
        <w:pStyle w:val="a6"/>
        <w:numPr>
          <w:ilvl w:val="0"/>
          <w:numId w:val="16"/>
        </w:numPr>
        <w:spacing w:line="276" w:lineRule="auto"/>
        <w:rPr>
          <w:color w:val="000000"/>
        </w:rPr>
      </w:pPr>
      <w:r w:rsidRPr="00AC7EE2">
        <w:rPr>
          <w:color w:val="000000"/>
        </w:rPr>
        <w:t>the appointment of new judges to the Constitutional Court led to opposition protests in Moldova and accusations against President Maia Sandu and the Moldovan government of political influence over judges</w:t>
      </w:r>
      <w:r w:rsidRPr="00AC7EE2">
        <w:rPr>
          <w:rStyle w:val="a5"/>
          <w:color w:val="000000"/>
        </w:rPr>
        <w:footnoteReference w:id="22"/>
      </w:r>
      <w:r w:rsidRPr="00AC7EE2">
        <w:rPr>
          <w:color w:val="000000"/>
        </w:rPr>
        <w:t>.</w:t>
      </w:r>
    </w:p>
    <w:p w14:paraId="4AF5F721" w14:textId="35829DF2" w:rsidR="00AF613D" w:rsidRDefault="00291C2A" w:rsidP="00AF613D">
      <w:pPr>
        <w:pStyle w:val="3"/>
        <w:jc w:val="center"/>
        <w:rPr>
          <w:rStyle w:val="a9"/>
          <w:b/>
          <w:bCs/>
          <w:color w:val="000000"/>
          <w:sz w:val="24"/>
          <w:szCs w:val="24"/>
        </w:rPr>
      </w:pPr>
      <w:r w:rsidRPr="00291C2A">
        <w:rPr>
          <w:rStyle w:val="a9"/>
          <w:color w:val="000000"/>
          <w:sz w:val="24"/>
          <w:szCs w:val="24"/>
          <w:lang w:val="en-US"/>
        </w:rPr>
        <w:t>5</w:t>
      </w:r>
      <w:r w:rsidR="00AC7EE2" w:rsidRPr="00AF613D">
        <w:rPr>
          <w:rStyle w:val="a9"/>
          <w:color w:val="000000"/>
          <w:sz w:val="24"/>
          <w:szCs w:val="24"/>
        </w:rPr>
        <w:t xml:space="preserve">. </w:t>
      </w:r>
      <w:r w:rsidR="00AF613D" w:rsidRPr="00AF613D">
        <w:rPr>
          <w:rStyle w:val="a9"/>
          <w:color w:val="000000"/>
          <w:sz w:val="24"/>
          <w:szCs w:val="24"/>
          <w:lang w:val="en-US"/>
        </w:rPr>
        <w:t>I</w:t>
      </w:r>
      <w:r w:rsidR="00AF613D" w:rsidRPr="00AF613D">
        <w:rPr>
          <w:rStyle w:val="a9"/>
          <w:b/>
          <w:bCs/>
          <w:color w:val="000000"/>
          <w:sz w:val="24"/>
          <w:szCs w:val="24"/>
        </w:rPr>
        <w:t>nterference with Freedom of Religion and Property Rights through the Termination and Invalidation of Legal Arrangements Governing Churches and Monasteries</w:t>
      </w:r>
    </w:p>
    <w:p w14:paraId="6F337418" w14:textId="58A6443A" w:rsidR="00BE07F3" w:rsidRPr="00BE07F3" w:rsidRDefault="00291C2A" w:rsidP="00BE07F3">
      <w:pPr>
        <w:pStyle w:val="2"/>
        <w:ind w:firstLine="708"/>
        <w:rPr>
          <w:rFonts w:ascii="Times New Roman" w:hAnsi="Times New Roman" w:cs="Times New Roman"/>
          <w:color w:val="000000"/>
          <w:sz w:val="24"/>
          <w:szCs w:val="24"/>
        </w:rPr>
      </w:pPr>
      <w:r>
        <w:rPr>
          <w:rStyle w:val="a9"/>
          <w:rFonts w:ascii="Times New Roman" w:hAnsi="Times New Roman" w:cs="Times New Roman"/>
          <w:color w:val="000000"/>
          <w:sz w:val="24"/>
          <w:szCs w:val="24"/>
          <w:lang w:val="en-US"/>
        </w:rPr>
        <w:t>5</w:t>
      </w:r>
      <w:r w:rsidR="00BE07F3" w:rsidRPr="00BE07F3">
        <w:rPr>
          <w:rStyle w:val="a9"/>
          <w:rFonts w:ascii="Times New Roman" w:hAnsi="Times New Roman" w:cs="Times New Roman"/>
          <w:color w:val="000000"/>
          <w:sz w:val="24"/>
          <w:szCs w:val="24"/>
          <w:lang w:val="en-US"/>
        </w:rPr>
        <w:t>.1</w:t>
      </w:r>
      <w:r w:rsidR="00A61AB0" w:rsidRPr="00A61AB0">
        <w:rPr>
          <w:rStyle w:val="a9"/>
          <w:rFonts w:ascii="Times New Roman" w:hAnsi="Times New Roman" w:cs="Times New Roman"/>
          <w:color w:val="000000"/>
          <w:sz w:val="24"/>
          <w:szCs w:val="24"/>
          <w:lang w:val="en-US"/>
        </w:rPr>
        <w:t>.</w:t>
      </w:r>
      <w:r w:rsidR="00BE07F3" w:rsidRPr="00BE07F3">
        <w:rPr>
          <w:rStyle w:val="a9"/>
          <w:rFonts w:ascii="Times New Roman" w:hAnsi="Times New Roman" w:cs="Times New Roman"/>
          <w:color w:val="000000"/>
          <w:sz w:val="24"/>
          <w:szCs w:val="24"/>
          <w:lang w:val="en-US"/>
        </w:rPr>
        <w:t xml:space="preserve"> </w:t>
      </w:r>
      <w:r w:rsidR="00BE07F3" w:rsidRPr="00BE07F3">
        <w:rPr>
          <w:rStyle w:val="a9"/>
          <w:rFonts w:ascii="Times New Roman" w:hAnsi="Times New Roman" w:cs="Times New Roman"/>
          <w:color w:val="000000"/>
          <w:sz w:val="24"/>
          <w:szCs w:val="24"/>
        </w:rPr>
        <w:t>Judicial Proceedings Concerning Churches and Monasteries in the Republic of Moldova (Revised)</w:t>
      </w:r>
    </w:p>
    <w:p w14:paraId="23F9A266" w14:textId="77777777" w:rsidR="00BE07F3" w:rsidRDefault="00BE07F3" w:rsidP="00BE07F3">
      <w:pPr>
        <w:pStyle w:val="a6"/>
        <w:ind w:firstLine="708"/>
        <w:jc w:val="both"/>
        <w:rPr>
          <w:color w:val="000000"/>
        </w:rPr>
      </w:pPr>
      <w:r>
        <w:rPr>
          <w:color w:val="000000"/>
        </w:rPr>
        <w:t>Between</w:t>
      </w:r>
      <w:r>
        <w:rPr>
          <w:rStyle w:val="apple-converted-space"/>
          <w:color w:val="000000"/>
        </w:rPr>
        <w:t> </w:t>
      </w:r>
      <w:r>
        <w:rPr>
          <w:rStyle w:val="a9"/>
          <w:color w:val="000000"/>
        </w:rPr>
        <w:t>2010 and 2025</w:t>
      </w:r>
      <w:r>
        <w:rPr>
          <w:color w:val="000000"/>
        </w:rPr>
        <w:t>, a series of judicial proceedings were initiated in the Republic of Moldova concerning attempts to</w:t>
      </w:r>
      <w:r>
        <w:rPr>
          <w:rStyle w:val="apple-converted-space"/>
          <w:color w:val="000000"/>
        </w:rPr>
        <w:t> </w:t>
      </w:r>
      <w:r>
        <w:rPr>
          <w:rStyle w:val="a9"/>
          <w:color w:val="000000"/>
        </w:rPr>
        <w:t>terminate or declare invalid legal agreements governing the use of churches and monasteries</w:t>
      </w:r>
      <w:r>
        <w:rPr>
          <w:rStyle w:val="apple-converted-space"/>
          <w:color w:val="000000"/>
        </w:rPr>
        <w:t> </w:t>
      </w:r>
      <w:r>
        <w:rPr>
          <w:color w:val="000000"/>
        </w:rPr>
        <w:t>historically and legally used by the Orthodox Church of Moldova. These disputes involved the</w:t>
      </w:r>
      <w:r>
        <w:rPr>
          <w:rStyle w:val="apple-converted-space"/>
          <w:color w:val="000000"/>
        </w:rPr>
        <w:t> </w:t>
      </w:r>
      <w:r>
        <w:rPr>
          <w:rStyle w:val="a9"/>
          <w:color w:val="000000"/>
        </w:rPr>
        <w:t>Bessarabian Metropolis, supported and funded by the Government of Romania</w:t>
      </w:r>
      <w:r>
        <w:rPr>
          <w:color w:val="000000"/>
        </w:rPr>
        <w:t>, seeking to annul agreements that had been in place for decades.</w:t>
      </w:r>
    </w:p>
    <w:p w14:paraId="59071F14" w14:textId="77777777" w:rsidR="00BE07F3" w:rsidRDefault="00BE07F3" w:rsidP="00BE07F3">
      <w:pPr>
        <w:pStyle w:val="a6"/>
        <w:rPr>
          <w:color w:val="000000"/>
        </w:rPr>
      </w:pPr>
    </w:p>
    <w:p w14:paraId="3AD7E943" w14:textId="1BBDBCF7" w:rsidR="00BE07F3" w:rsidRDefault="00BE07F3" w:rsidP="00BE07F3">
      <w:pPr>
        <w:pStyle w:val="a6"/>
        <w:ind w:firstLine="360"/>
        <w:rPr>
          <w:color w:val="000000"/>
        </w:rPr>
      </w:pPr>
      <w:r>
        <w:rPr>
          <w:color w:val="000000"/>
        </w:rPr>
        <w:t>The litigation focused on two principal agreements concluded between the State of Moldova and the</w:t>
      </w:r>
      <w:r>
        <w:rPr>
          <w:rStyle w:val="apple-converted-space"/>
          <w:color w:val="000000"/>
        </w:rPr>
        <w:t> </w:t>
      </w:r>
      <w:r>
        <w:rPr>
          <w:rStyle w:val="a9"/>
          <w:color w:val="000000"/>
        </w:rPr>
        <w:t>Orthodox Church of Moldova (Biserica Ortodoxă din Moldova – Mitropolia Moldovei)</w:t>
      </w:r>
      <w:r>
        <w:rPr>
          <w:color w:val="000000"/>
        </w:rPr>
        <w:t>:</w:t>
      </w:r>
    </w:p>
    <w:p w14:paraId="081C90C0" w14:textId="77777777" w:rsidR="00BE07F3" w:rsidRDefault="00BE07F3">
      <w:pPr>
        <w:pStyle w:val="a6"/>
        <w:numPr>
          <w:ilvl w:val="0"/>
          <w:numId w:val="35"/>
        </w:numPr>
        <w:rPr>
          <w:color w:val="000000"/>
        </w:rPr>
      </w:pPr>
      <w:r>
        <w:rPr>
          <w:rStyle w:val="a9"/>
          <w:color w:val="000000"/>
        </w:rPr>
        <w:t>The Cooperation Agreement of 4 January 2003</w:t>
      </w:r>
      <w:r>
        <w:rPr>
          <w:rStyle w:val="apple-converted-space"/>
          <w:color w:val="000000"/>
        </w:rPr>
        <w:t> </w:t>
      </w:r>
      <w:r>
        <w:rPr>
          <w:color w:val="000000"/>
        </w:rPr>
        <w:t>on the protection and use of ecclesiastical monuments of history and culture. This agreement provided for the</w:t>
      </w:r>
      <w:r>
        <w:rPr>
          <w:rStyle w:val="apple-converted-space"/>
          <w:color w:val="000000"/>
        </w:rPr>
        <w:t> </w:t>
      </w:r>
      <w:r>
        <w:rPr>
          <w:rStyle w:val="a9"/>
          <w:color w:val="000000"/>
        </w:rPr>
        <w:t>transfer of use of approximately 700 churches and religious buildings</w:t>
      </w:r>
      <w:r>
        <w:rPr>
          <w:rStyle w:val="apple-converted-space"/>
          <w:color w:val="000000"/>
        </w:rPr>
        <w:t> </w:t>
      </w:r>
      <w:r>
        <w:rPr>
          <w:color w:val="000000"/>
        </w:rPr>
        <w:t>classified as historical monuments into the use and maintenance of the Orthodox Church of Moldova, which in turn assumed obligations for their preservation and continued religious use.</w:t>
      </w:r>
      <w:r>
        <w:rPr>
          <w:rStyle w:val="apple-converted-space"/>
          <w:color w:val="000000"/>
        </w:rPr>
        <w:t> </w:t>
      </w:r>
    </w:p>
    <w:p w14:paraId="4AE9CE52" w14:textId="77777777" w:rsidR="00BE07F3" w:rsidRDefault="00BE07F3">
      <w:pPr>
        <w:pStyle w:val="a6"/>
        <w:numPr>
          <w:ilvl w:val="0"/>
          <w:numId w:val="35"/>
        </w:numPr>
        <w:rPr>
          <w:color w:val="000000"/>
        </w:rPr>
      </w:pPr>
      <w:r>
        <w:rPr>
          <w:rStyle w:val="a9"/>
          <w:color w:val="000000"/>
        </w:rPr>
        <w:t>The Agreement of 10 September 2008</w:t>
      </w:r>
      <w:r>
        <w:rPr>
          <w:rStyle w:val="apple-converted-space"/>
          <w:color w:val="000000"/>
        </w:rPr>
        <w:t> </w:t>
      </w:r>
      <w:r>
        <w:rPr>
          <w:color w:val="000000"/>
        </w:rPr>
        <w:t>on the transfer for use and protection of monasteries of national importance. Under this agreement,</w:t>
      </w:r>
      <w:r>
        <w:rPr>
          <w:rStyle w:val="apple-converted-space"/>
          <w:color w:val="000000"/>
        </w:rPr>
        <w:t> </w:t>
      </w:r>
      <w:r>
        <w:rPr>
          <w:rStyle w:val="a9"/>
          <w:color w:val="000000"/>
        </w:rPr>
        <w:t>dozens of monasteries and monastic complexes</w:t>
      </w:r>
      <w:r>
        <w:rPr>
          <w:rStyle w:val="apple-converted-space"/>
          <w:color w:val="000000"/>
        </w:rPr>
        <w:t> </w:t>
      </w:r>
      <w:r>
        <w:rPr>
          <w:color w:val="000000"/>
        </w:rPr>
        <w:t>were transferred to the Orthodox Church of Moldova on a legal basis, with corresponding responsibilities for their upkeep and religious use.</w:t>
      </w:r>
      <w:r>
        <w:rPr>
          <w:rStyle w:val="apple-converted-space"/>
          <w:color w:val="000000"/>
        </w:rPr>
        <w:t> </w:t>
      </w:r>
    </w:p>
    <w:p w14:paraId="069CFEF4" w14:textId="77777777" w:rsidR="00BE07F3" w:rsidRDefault="00BE07F3" w:rsidP="00BE07F3">
      <w:pPr>
        <w:pStyle w:val="a6"/>
        <w:ind w:firstLine="360"/>
        <w:jc w:val="both"/>
        <w:rPr>
          <w:color w:val="000000"/>
        </w:rPr>
      </w:pPr>
      <w:r>
        <w:rPr>
          <w:color w:val="000000"/>
        </w:rPr>
        <w:t>Under both agreements, these properties remained in</w:t>
      </w:r>
      <w:r>
        <w:rPr>
          <w:rStyle w:val="apple-converted-space"/>
          <w:color w:val="000000"/>
        </w:rPr>
        <w:t> </w:t>
      </w:r>
      <w:r>
        <w:rPr>
          <w:rStyle w:val="a9"/>
          <w:color w:val="000000"/>
        </w:rPr>
        <w:t>continuous use and on the maintenance responsibility of the Orthodox Church of Moldova</w:t>
      </w:r>
      <w:r>
        <w:rPr>
          <w:rStyle w:val="apple-converted-space"/>
          <w:color w:val="000000"/>
        </w:rPr>
        <w:t> </w:t>
      </w:r>
      <w:r>
        <w:rPr>
          <w:color w:val="000000"/>
        </w:rPr>
        <w:t>for many years, serving as active places of worship, monastic communities, and pilgrimage sites.</w:t>
      </w:r>
    </w:p>
    <w:p w14:paraId="4FED7DFA" w14:textId="77777777" w:rsidR="00BE07F3" w:rsidRDefault="00BE07F3" w:rsidP="00BE07F3">
      <w:pPr>
        <w:pStyle w:val="a6"/>
        <w:ind w:firstLine="360"/>
        <w:jc w:val="both"/>
        <w:rPr>
          <w:color w:val="000000"/>
        </w:rPr>
      </w:pPr>
      <w:r>
        <w:rPr>
          <w:color w:val="000000"/>
        </w:rPr>
        <w:t>In</w:t>
      </w:r>
      <w:r>
        <w:rPr>
          <w:rStyle w:val="apple-converted-space"/>
          <w:color w:val="000000"/>
        </w:rPr>
        <w:t> </w:t>
      </w:r>
      <w:r>
        <w:rPr>
          <w:rStyle w:val="a9"/>
          <w:color w:val="000000"/>
        </w:rPr>
        <w:t>2010</w:t>
      </w:r>
      <w:r>
        <w:rPr>
          <w:color w:val="000000"/>
        </w:rPr>
        <w:t>, following the discovery of these contracts by the Bessarabian Metropolis during litigation in the Telenești Court, it initiated lawsuits challenging their validity. Over the following decade, the dispute passed through</w:t>
      </w:r>
      <w:r>
        <w:rPr>
          <w:rStyle w:val="apple-converted-space"/>
          <w:color w:val="000000"/>
        </w:rPr>
        <w:t> </w:t>
      </w:r>
      <w:r>
        <w:rPr>
          <w:rStyle w:val="a9"/>
          <w:color w:val="000000"/>
        </w:rPr>
        <w:t>trial courts, appellate courts, and the Supreme Court of Justice</w:t>
      </w:r>
      <w:r>
        <w:rPr>
          <w:color w:val="000000"/>
        </w:rPr>
        <w:t>, with multiple rounds of appeals, quashals, and remittals.</w:t>
      </w:r>
    </w:p>
    <w:p w14:paraId="6506C785" w14:textId="77777777" w:rsidR="00BE07F3" w:rsidRDefault="00BE07F3" w:rsidP="00BE07F3">
      <w:pPr>
        <w:pStyle w:val="a6"/>
        <w:rPr>
          <w:color w:val="000000"/>
        </w:rPr>
      </w:pPr>
      <w:r>
        <w:rPr>
          <w:color w:val="000000"/>
        </w:rPr>
        <w:t>At key stages, domestic courts:</w:t>
      </w:r>
    </w:p>
    <w:p w14:paraId="50212224" w14:textId="77777777" w:rsidR="00BE07F3" w:rsidRDefault="00BE07F3">
      <w:pPr>
        <w:pStyle w:val="a6"/>
        <w:numPr>
          <w:ilvl w:val="0"/>
          <w:numId w:val="36"/>
        </w:numPr>
        <w:rPr>
          <w:color w:val="000000"/>
        </w:rPr>
      </w:pPr>
      <w:r>
        <w:rPr>
          <w:color w:val="000000"/>
        </w:rPr>
        <w:t>rejected the challenges as</w:t>
      </w:r>
      <w:r>
        <w:rPr>
          <w:rStyle w:val="apple-converted-space"/>
          <w:color w:val="000000"/>
        </w:rPr>
        <w:t> </w:t>
      </w:r>
      <w:r>
        <w:rPr>
          <w:rStyle w:val="a9"/>
          <w:color w:val="000000"/>
        </w:rPr>
        <w:t>unfounded or time-barred</w:t>
      </w:r>
      <w:r>
        <w:rPr>
          <w:color w:val="000000"/>
        </w:rPr>
        <w:t>;</w:t>
      </w:r>
    </w:p>
    <w:p w14:paraId="22279D57" w14:textId="77777777" w:rsidR="00BE07F3" w:rsidRDefault="00BE07F3">
      <w:pPr>
        <w:pStyle w:val="a6"/>
        <w:numPr>
          <w:ilvl w:val="0"/>
          <w:numId w:val="36"/>
        </w:numPr>
        <w:rPr>
          <w:color w:val="000000"/>
        </w:rPr>
      </w:pPr>
      <w:r>
        <w:rPr>
          <w:color w:val="000000"/>
        </w:rPr>
        <w:t>partially annulled or declared invalid certain contractual provisions; and</w:t>
      </w:r>
    </w:p>
    <w:p w14:paraId="64CBD969" w14:textId="77777777" w:rsidR="00BE07F3" w:rsidRDefault="00BE07F3">
      <w:pPr>
        <w:pStyle w:val="a6"/>
        <w:numPr>
          <w:ilvl w:val="0"/>
          <w:numId w:val="36"/>
        </w:numPr>
        <w:rPr>
          <w:color w:val="000000"/>
        </w:rPr>
      </w:pPr>
      <w:r>
        <w:rPr>
          <w:color w:val="000000"/>
        </w:rPr>
        <w:t>ultimately, in</w:t>
      </w:r>
      <w:r>
        <w:rPr>
          <w:rStyle w:val="apple-converted-space"/>
          <w:color w:val="000000"/>
        </w:rPr>
        <w:t> </w:t>
      </w:r>
      <w:r>
        <w:rPr>
          <w:rStyle w:val="a9"/>
          <w:color w:val="000000"/>
        </w:rPr>
        <w:t>April 2023</w:t>
      </w:r>
      <w:r>
        <w:rPr>
          <w:color w:val="000000"/>
        </w:rPr>
        <w:t>,</w:t>
      </w:r>
      <w:r>
        <w:rPr>
          <w:rStyle w:val="apple-converted-space"/>
          <w:color w:val="000000"/>
        </w:rPr>
        <w:t> </w:t>
      </w:r>
      <w:r>
        <w:rPr>
          <w:rStyle w:val="a9"/>
          <w:color w:val="000000"/>
        </w:rPr>
        <w:t>the Chișinău Court of Appeal annulled both the 2003 and 2008 contracts</w:t>
      </w:r>
      <w:r>
        <w:rPr>
          <w:color w:val="000000"/>
        </w:rPr>
        <w:t>, finding that they were concluded in violation of applicable legal requirements and without regard for the rights of religious communities.</w:t>
      </w:r>
      <w:r>
        <w:rPr>
          <w:rStyle w:val="apple-converted-space"/>
          <w:color w:val="000000"/>
        </w:rPr>
        <w:t> </w:t>
      </w:r>
    </w:p>
    <w:p w14:paraId="7B6083EE" w14:textId="4EDF0953" w:rsidR="00BE07F3" w:rsidRDefault="00BE07F3" w:rsidP="00BE07F3">
      <w:pPr>
        <w:pStyle w:val="a6"/>
        <w:ind w:firstLine="360"/>
        <w:jc w:val="both"/>
        <w:rPr>
          <w:rStyle w:val="apple-converted-space"/>
          <w:color w:val="000000"/>
        </w:rPr>
      </w:pPr>
      <w:r>
        <w:rPr>
          <w:color w:val="000000"/>
        </w:rPr>
        <w:t>That 2023 appellate decision remains enforceable but</w:t>
      </w:r>
      <w:r>
        <w:rPr>
          <w:rStyle w:val="apple-converted-space"/>
          <w:color w:val="000000"/>
        </w:rPr>
        <w:t> </w:t>
      </w:r>
      <w:r>
        <w:rPr>
          <w:rStyle w:val="a9"/>
          <w:color w:val="000000"/>
        </w:rPr>
        <w:t>has been appealed to the Supreme Court of Justice and as of early 2026 no final decision in cassation has been published</w:t>
      </w:r>
      <w:r>
        <w:rPr>
          <w:color w:val="000000"/>
        </w:rPr>
        <w:t>.</w:t>
      </w:r>
      <w:r>
        <w:rPr>
          <w:rStyle w:val="apple-converted-space"/>
          <w:color w:val="000000"/>
        </w:rPr>
        <w:t> </w:t>
      </w:r>
    </w:p>
    <w:p w14:paraId="4B0FC670" w14:textId="53BBF0D6" w:rsidR="00A32A55" w:rsidRPr="00A32A55" w:rsidRDefault="00A32A55" w:rsidP="00A32A55">
      <w:pPr>
        <w:pStyle w:val="a6"/>
        <w:ind w:firstLine="360"/>
        <w:jc w:val="center"/>
        <w:rPr>
          <w:b/>
          <w:bCs/>
          <w:color w:val="000000"/>
        </w:rPr>
      </w:pPr>
      <w:r w:rsidRPr="00A32A55">
        <w:rPr>
          <w:b/>
          <w:bCs/>
          <w:color w:val="000000"/>
        </w:rPr>
        <w:t>Chronological Table: Judicial Proceedings Concerning Churches and Monasteries in Moldova</w:t>
      </w:r>
    </w:p>
    <w:tbl>
      <w:tblPr>
        <w:tblStyle w:val="ad"/>
        <w:tblW w:w="9923" w:type="dxa"/>
        <w:tblInd w:w="-147" w:type="dxa"/>
        <w:tblLook w:val="04A0" w:firstRow="1" w:lastRow="0" w:firstColumn="1" w:lastColumn="0" w:noHBand="0" w:noVBand="1"/>
      </w:tblPr>
      <w:tblGrid>
        <w:gridCol w:w="1560"/>
        <w:gridCol w:w="3827"/>
        <w:gridCol w:w="4536"/>
      </w:tblGrid>
      <w:tr w:rsidR="00A32A55" w:rsidRPr="00CB0A8F" w14:paraId="60783885" w14:textId="77777777" w:rsidTr="00E6758F">
        <w:tc>
          <w:tcPr>
            <w:tcW w:w="1560" w:type="dxa"/>
          </w:tcPr>
          <w:p w14:paraId="373CA31C" w14:textId="77777777" w:rsidR="00A32A55" w:rsidRPr="00CB0A8F" w:rsidRDefault="00A32A55" w:rsidP="00E6758F">
            <w:pPr>
              <w:rPr>
                <w:rFonts w:ascii="Times New Roman" w:hAnsi="Times New Roman" w:cs="Times New Roman"/>
              </w:rPr>
            </w:pPr>
            <w:r w:rsidRPr="00CB0A8F">
              <w:rPr>
                <w:rFonts w:ascii="Times New Roman" w:hAnsi="Times New Roman" w:cs="Times New Roman"/>
              </w:rPr>
              <w:t xml:space="preserve">Year     </w:t>
            </w:r>
          </w:p>
        </w:tc>
        <w:tc>
          <w:tcPr>
            <w:tcW w:w="3827" w:type="dxa"/>
          </w:tcPr>
          <w:p w14:paraId="2C4A3CA5" w14:textId="77777777" w:rsidR="00A32A55" w:rsidRPr="00CB0A8F" w:rsidRDefault="00A32A55" w:rsidP="00E6758F">
            <w:pPr>
              <w:rPr>
                <w:rFonts w:ascii="Times New Roman" w:hAnsi="Times New Roman" w:cs="Times New Roman"/>
              </w:rPr>
            </w:pPr>
            <w:r w:rsidRPr="00CB0A8F">
              <w:rPr>
                <w:rFonts w:ascii="Times New Roman" w:hAnsi="Times New Roman" w:cs="Times New Roman"/>
              </w:rPr>
              <w:t xml:space="preserve">Court / Instance                           </w:t>
            </w:r>
          </w:p>
        </w:tc>
        <w:tc>
          <w:tcPr>
            <w:tcW w:w="4536" w:type="dxa"/>
          </w:tcPr>
          <w:p w14:paraId="370546C1" w14:textId="77777777" w:rsidR="00A32A55" w:rsidRPr="00CB0A8F" w:rsidRDefault="00A32A55" w:rsidP="00E6758F">
            <w:pPr>
              <w:rPr>
                <w:rFonts w:ascii="Times New Roman" w:hAnsi="Times New Roman" w:cs="Times New Roman"/>
              </w:rPr>
            </w:pPr>
            <w:r w:rsidRPr="00CB0A8F">
              <w:rPr>
                <w:rFonts w:ascii="Times New Roman" w:hAnsi="Times New Roman" w:cs="Times New Roman"/>
              </w:rPr>
              <w:t xml:space="preserve">Outcome / Result                                                                                              </w:t>
            </w:r>
          </w:p>
        </w:tc>
      </w:tr>
      <w:tr w:rsidR="00A32A55" w:rsidRPr="00CB0A8F" w14:paraId="2C36F627" w14:textId="77777777" w:rsidTr="00E6758F">
        <w:tc>
          <w:tcPr>
            <w:tcW w:w="1560" w:type="dxa"/>
          </w:tcPr>
          <w:p w14:paraId="7F1D416C" w14:textId="77777777" w:rsidR="00A32A55" w:rsidRPr="00CB0A8F" w:rsidRDefault="00A32A55" w:rsidP="00E6758F">
            <w:pPr>
              <w:rPr>
                <w:rFonts w:ascii="Times New Roman" w:hAnsi="Times New Roman" w:cs="Times New Roman"/>
                <w:lang w:val="de-DE"/>
              </w:rPr>
            </w:pPr>
            <w:r w:rsidRPr="00CB0A8F">
              <w:rPr>
                <w:rFonts w:ascii="Times New Roman" w:hAnsi="Times New Roman" w:cs="Times New Roman"/>
              </w:rPr>
              <w:t xml:space="preserve"> </w:t>
            </w:r>
            <w:r w:rsidRPr="00CB0A8F">
              <w:rPr>
                <w:rFonts w:ascii="Times New Roman" w:hAnsi="Times New Roman" w:cs="Times New Roman"/>
                <w:lang w:val="ru-RU"/>
              </w:rPr>
              <w:t xml:space="preserve">6 </w:t>
            </w:r>
            <w:r w:rsidRPr="00CB0A8F">
              <w:rPr>
                <w:rFonts w:ascii="Times New Roman" w:hAnsi="Times New Roman" w:cs="Times New Roman"/>
                <w:lang w:val="de-DE"/>
              </w:rPr>
              <w:t>Jul 2010</w:t>
            </w:r>
          </w:p>
        </w:tc>
        <w:tc>
          <w:tcPr>
            <w:tcW w:w="3827" w:type="dxa"/>
          </w:tcPr>
          <w:p w14:paraId="2063B6C9" w14:textId="77777777" w:rsidR="00A32A55" w:rsidRPr="00CB0A8F" w:rsidRDefault="00A32A55" w:rsidP="00E6758F">
            <w:pPr>
              <w:rPr>
                <w:rFonts w:ascii="Times New Roman" w:hAnsi="Times New Roman" w:cs="Times New Roman"/>
              </w:rPr>
            </w:pPr>
            <w:r w:rsidRPr="00CB0A8F">
              <w:rPr>
                <w:rFonts w:ascii="Times New Roman" w:hAnsi="Times New Roman" w:cs="Times New Roman"/>
              </w:rPr>
              <w:t>Courts of first instance (initial filings)</w:t>
            </w:r>
          </w:p>
        </w:tc>
        <w:tc>
          <w:tcPr>
            <w:tcW w:w="4536" w:type="dxa"/>
          </w:tcPr>
          <w:p w14:paraId="2C67FBE3" w14:textId="77777777" w:rsidR="00A32A55" w:rsidRPr="00CB0A8F" w:rsidRDefault="00A32A55" w:rsidP="00E6758F">
            <w:pPr>
              <w:rPr>
                <w:rFonts w:ascii="Times New Roman" w:hAnsi="Times New Roman" w:cs="Times New Roman"/>
              </w:rPr>
            </w:pPr>
            <w:r w:rsidRPr="00CB0A8F">
              <w:rPr>
                <w:rFonts w:ascii="Times New Roman" w:hAnsi="Times New Roman" w:cs="Times New Roman"/>
                <w:color w:val="000000"/>
              </w:rPr>
              <w:t>Claim lodged seeking annulment of the 4 Jan 2003 and 10 Sep 2008 agreements and disclosure of preparatory materials.</w:t>
            </w:r>
          </w:p>
        </w:tc>
      </w:tr>
      <w:tr w:rsidR="00A32A55" w:rsidRPr="00CB0A8F" w14:paraId="003C985D" w14:textId="77777777" w:rsidTr="00E6758F">
        <w:tc>
          <w:tcPr>
            <w:tcW w:w="1560" w:type="dxa"/>
          </w:tcPr>
          <w:p w14:paraId="538E02F8" w14:textId="77777777" w:rsidR="00A32A55" w:rsidRPr="00CB0A8F" w:rsidRDefault="00A32A55" w:rsidP="00E6758F">
            <w:pPr>
              <w:rPr>
                <w:rFonts w:ascii="Times New Roman" w:hAnsi="Times New Roman" w:cs="Times New Roman"/>
              </w:rPr>
            </w:pPr>
            <w:r w:rsidRPr="00CB0A8F">
              <w:rPr>
                <w:rFonts w:ascii="Times New Roman" w:hAnsi="Times New Roman" w:cs="Times New Roman"/>
              </w:rPr>
              <w:t>24 May 2012</w:t>
            </w:r>
          </w:p>
        </w:tc>
        <w:tc>
          <w:tcPr>
            <w:tcW w:w="3827" w:type="dxa"/>
          </w:tcPr>
          <w:p w14:paraId="0A14C4E8" w14:textId="77777777" w:rsidR="00A32A55" w:rsidRPr="00CB0A8F" w:rsidRDefault="00A32A55" w:rsidP="00E6758F">
            <w:pPr>
              <w:rPr>
                <w:rFonts w:ascii="Times New Roman" w:hAnsi="Times New Roman" w:cs="Times New Roman"/>
              </w:rPr>
            </w:pPr>
            <w:r w:rsidRPr="00CB0A8F">
              <w:rPr>
                <w:rFonts w:ascii="Times New Roman" w:hAnsi="Times New Roman" w:cs="Times New Roman"/>
              </w:rPr>
              <w:t xml:space="preserve">Chișinău Court of Appeal          </w:t>
            </w:r>
          </w:p>
        </w:tc>
        <w:tc>
          <w:tcPr>
            <w:tcW w:w="4536" w:type="dxa"/>
          </w:tcPr>
          <w:p w14:paraId="59D29F78" w14:textId="77777777" w:rsidR="00A32A55" w:rsidRPr="00CB0A8F" w:rsidRDefault="00A32A55" w:rsidP="00E6758F">
            <w:pPr>
              <w:rPr>
                <w:rFonts w:ascii="Times New Roman" w:hAnsi="Times New Roman" w:cs="Times New Roman"/>
              </w:rPr>
            </w:pPr>
            <w:r w:rsidRPr="00CB0A8F">
              <w:rPr>
                <w:rFonts w:ascii="Times New Roman" w:hAnsi="Times New Roman" w:cs="Times New Roman"/>
              </w:rPr>
              <w:t>Claims dismissed as unfounded; agreements upheld (decision in favour of the Orthodox Church of Moldova)</w:t>
            </w:r>
          </w:p>
        </w:tc>
      </w:tr>
      <w:tr w:rsidR="00A32A55" w:rsidRPr="00CB0A8F" w14:paraId="5C087A1E" w14:textId="77777777" w:rsidTr="00E6758F">
        <w:tc>
          <w:tcPr>
            <w:tcW w:w="1560" w:type="dxa"/>
          </w:tcPr>
          <w:p w14:paraId="2FADCC20" w14:textId="77777777" w:rsidR="00A32A55" w:rsidRPr="00CB0A8F" w:rsidRDefault="00A32A55" w:rsidP="00E6758F">
            <w:pPr>
              <w:rPr>
                <w:rFonts w:ascii="Times New Roman" w:hAnsi="Times New Roman" w:cs="Times New Roman"/>
              </w:rPr>
            </w:pPr>
            <w:r w:rsidRPr="00CB0A8F">
              <w:rPr>
                <w:rFonts w:ascii="Times New Roman" w:hAnsi="Times New Roman" w:cs="Times New Roman"/>
              </w:rPr>
              <w:t>30 Jan 2013</w:t>
            </w:r>
          </w:p>
        </w:tc>
        <w:tc>
          <w:tcPr>
            <w:tcW w:w="3827" w:type="dxa"/>
          </w:tcPr>
          <w:p w14:paraId="397CC523" w14:textId="77777777" w:rsidR="00A32A55" w:rsidRPr="00CB0A8F" w:rsidRDefault="00A32A55" w:rsidP="00E6758F">
            <w:pPr>
              <w:rPr>
                <w:rFonts w:ascii="Times New Roman" w:hAnsi="Times New Roman" w:cs="Times New Roman"/>
              </w:rPr>
            </w:pPr>
            <w:r w:rsidRPr="00CB0A8F">
              <w:rPr>
                <w:rFonts w:ascii="Times New Roman" w:hAnsi="Times New Roman" w:cs="Times New Roman"/>
              </w:rPr>
              <w:t xml:space="preserve">Supreme Court of Justice                   </w:t>
            </w:r>
          </w:p>
        </w:tc>
        <w:tc>
          <w:tcPr>
            <w:tcW w:w="4536" w:type="dxa"/>
          </w:tcPr>
          <w:p w14:paraId="02A3ABF5" w14:textId="77777777" w:rsidR="00A32A55" w:rsidRPr="00CB0A8F" w:rsidRDefault="00A32A55" w:rsidP="00E6758F">
            <w:pPr>
              <w:rPr>
                <w:rFonts w:ascii="Times New Roman" w:hAnsi="Times New Roman" w:cs="Times New Roman"/>
              </w:rPr>
            </w:pPr>
            <w:r w:rsidRPr="00CB0A8F">
              <w:rPr>
                <w:rFonts w:ascii="Times New Roman" w:hAnsi="Times New Roman" w:cs="Times New Roman"/>
                <w:color w:val="000000"/>
              </w:rPr>
              <w:t>Appellate decision quashed; case remitted for re-examination to the Chișinău first-instance court (Buiucani)</w:t>
            </w:r>
          </w:p>
        </w:tc>
      </w:tr>
      <w:tr w:rsidR="00A32A55" w:rsidRPr="00CB0A8F" w14:paraId="17218EE8" w14:textId="77777777" w:rsidTr="00E6758F">
        <w:tc>
          <w:tcPr>
            <w:tcW w:w="1560" w:type="dxa"/>
          </w:tcPr>
          <w:p w14:paraId="4C41BFDF" w14:textId="77777777" w:rsidR="00A32A55" w:rsidRPr="00CB0A8F" w:rsidRDefault="00A32A55" w:rsidP="00E6758F">
            <w:pPr>
              <w:rPr>
                <w:rFonts w:ascii="Times New Roman" w:hAnsi="Times New Roman" w:cs="Times New Roman"/>
              </w:rPr>
            </w:pPr>
            <w:r w:rsidRPr="00CB0A8F">
              <w:rPr>
                <w:rFonts w:ascii="Times New Roman" w:hAnsi="Times New Roman" w:cs="Times New Roman"/>
              </w:rPr>
              <w:t>19 Dec 2014</w:t>
            </w:r>
          </w:p>
        </w:tc>
        <w:tc>
          <w:tcPr>
            <w:tcW w:w="3827" w:type="dxa"/>
          </w:tcPr>
          <w:p w14:paraId="116A98DE" w14:textId="77777777" w:rsidR="00A32A55" w:rsidRPr="00CB0A8F" w:rsidRDefault="00A32A55" w:rsidP="00E6758F">
            <w:pPr>
              <w:rPr>
                <w:rFonts w:ascii="Times New Roman" w:hAnsi="Times New Roman" w:cs="Times New Roman"/>
              </w:rPr>
            </w:pPr>
            <w:r w:rsidRPr="00CB0A8F">
              <w:rPr>
                <w:rFonts w:ascii="Times New Roman" w:hAnsi="Times New Roman" w:cs="Times New Roman"/>
              </w:rPr>
              <w:t xml:space="preserve">Judecătoria Buiucani, Chișinău             </w:t>
            </w:r>
          </w:p>
        </w:tc>
        <w:tc>
          <w:tcPr>
            <w:tcW w:w="4536" w:type="dxa"/>
          </w:tcPr>
          <w:p w14:paraId="417741BC" w14:textId="77777777" w:rsidR="00A32A55" w:rsidRPr="00CB0A8F" w:rsidRDefault="00A32A55" w:rsidP="00E6758F">
            <w:pPr>
              <w:rPr>
                <w:rFonts w:ascii="Times New Roman" w:hAnsi="Times New Roman" w:cs="Times New Roman"/>
              </w:rPr>
            </w:pPr>
            <w:r w:rsidRPr="00CB0A8F">
              <w:rPr>
                <w:rFonts w:ascii="Times New Roman" w:hAnsi="Times New Roman" w:cs="Times New Roman"/>
              </w:rPr>
              <w:t>Claims dismissed as unfounded and time-barred (tardivă).</w:t>
            </w:r>
          </w:p>
        </w:tc>
      </w:tr>
      <w:tr w:rsidR="00A32A55" w:rsidRPr="00CB0A8F" w14:paraId="4BAD4D97" w14:textId="77777777" w:rsidTr="00E6758F">
        <w:tc>
          <w:tcPr>
            <w:tcW w:w="1560" w:type="dxa"/>
          </w:tcPr>
          <w:p w14:paraId="7D742A4D" w14:textId="77777777" w:rsidR="00A32A55" w:rsidRPr="00CB0A8F" w:rsidRDefault="00A32A55" w:rsidP="00E6758F">
            <w:pPr>
              <w:rPr>
                <w:rFonts w:ascii="Times New Roman" w:hAnsi="Times New Roman" w:cs="Times New Roman"/>
              </w:rPr>
            </w:pPr>
            <w:r w:rsidRPr="00CB0A8F">
              <w:rPr>
                <w:rFonts w:ascii="Times New Roman" w:hAnsi="Times New Roman" w:cs="Times New Roman"/>
              </w:rPr>
              <w:t>12 May 2015</w:t>
            </w:r>
          </w:p>
        </w:tc>
        <w:tc>
          <w:tcPr>
            <w:tcW w:w="3827" w:type="dxa"/>
          </w:tcPr>
          <w:p w14:paraId="6C87CBDF" w14:textId="77777777" w:rsidR="00A32A55" w:rsidRPr="00CB0A8F" w:rsidRDefault="00A32A55" w:rsidP="00E6758F">
            <w:pPr>
              <w:rPr>
                <w:rFonts w:ascii="Times New Roman" w:hAnsi="Times New Roman" w:cs="Times New Roman"/>
              </w:rPr>
            </w:pPr>
            <w:r w:rsidRPr="00CB0A8F">
              <w:rPr>
                <w:rFonts w:ascii="Times New Roman" w:hAnsi="Times New Roman" w:cs="Times New Roman"/>
              </w:rPr>
              <w:t>Chișinău Court of Appeal</w:t>
            </w:r>
          </w:p>
        </w:tc>
        <w:tc>
          <w:tcPr>
            <w:tcW w:w="4536" w:type="dxa"/>
          </w:tcPr>
          <w:p w14:paraId="30A52C9D" w14:textId="77777777" w:rsidR="00A32A55" w:rsidRPr="00CB0A8F" w:rsidRDefault="00A32A55" w:rsidP="00E6758F">
            <w:pPr>
              <w:rPr>
                <w:rFonts w:ascii="Times New Roman" w:hAnsi="Times New Roman" w:cs="Times New Roman"/>
              </w:rPr>
            </w:pPr>
            <w:r w:rsidRPr="00CB0A8F">
              <w:rPr>
                <w:rFonts w:ascii="Times New Roman" w:hAnsi="Times New Roman" w:cs="Times New Roman"/>
              </w:rPr>
              <w:t>Time-limit restored for the claimant; appeal admitted.</w:t>
            </w:r>
          </w:p>
        </w:tc>
      </w:tr>
      <w:tr w:rsidR="00A32A55" w:rsidRPr="00CB0A8F" w14:paraId="6D0FA24C" w14:textId="77777777" w:rsidTr="00E6758F">
        <w:tc>
          <w:tcPr>
            <w:tcW w:w="1560" w:type="dxa"/>
          </w:tcPr>
          <w:p w14:paraId="5286696E" w14:textId="77777777" w:rsidR="00A32A55" w:rsidRPr="00CB0A8F" w:rsidRDefault="00A32A55" w:rsidP="00E6758F">
            <w:pPr>
              <w:rPr>
                <w:rFonts w:ascii="Times New Roman" w:hAnsi="Times New Roman" w:cs="Times New Roman"/>
              </w:rPr>
            </w:pPr>
            <w:r w:rsidRPr="00CB0A8F">
              <w:rPr>
                <w:rFonts w:ascii="Times New Roman" w:hAnsi="Times New Roman" w:cs="Times New Roman"/>
              </w:rPr>
              <w:lastRenderedPageBreak/>
              <w:t>17 May 2016</w:t>
            </w:r>
          </w:p>
        </w:tc>
        <w:tc>
          <w:tcPr>
            <w:tcW w:w="3827" w:type="dxa"/>
          </w:tcPr>
          <w:p w14:paraId="0987770F" w14:textId="77777777" w:rsidR="00A32A55" w:rsidRPr="00CB0A8F" w:rsidRDefault="00A32A55" w:rsidP="00E6758F">
            <w:pPr>
              <w:rPr>
                <w:rFonts w:ascii="Times New Roman" w:hAnsi="Times New Roman" w:cs="Times New Roman"/>
              </w:rPr>
            </w:pPr>
            <w:r w:rsidRPr="00CB0A8F">
              <w:rPr>
                <w:rFonts w:ascii="Times New Roman" w:hAnsi="Times New Roman" w:cs="Times New Roman"/>
              </w:rPr>
              <w:t>Chișinău Court of Appeal</w:t>
            </w:r>
          </w:p>
        </w:tc>
        <w:tc>
          <w:tcPr>
            <w:tcW w:w="4536" w:type="dxa"/>
          </w:tcPr>
          <w:p w14:paraId="2CEF229D" w14:textId="77777777" w:rsidR="00A32A55" w:rsidRPr="00CB0A8F" w:rsidRDefault="00A32A55" w:rsidP="00E6758F">
            <w:pPr>
              <w:rPr>
                <w:rFonts w:ascii="Times New Roman" w:hAnsi="Times New Roman" w:cs="Times New Roman"/>
              </w:rPr>
            </w:pPr>
            <w:r w:rsidRPr="00CB0A8F">
              <w:rPr>
                <w:rFonts w:ascii="Times New Roman" w:hAnsi="Times New Roman" w:cs="Times New Roman"/>
              </w:rPr>
              <w:t>Partial annulment of the 2003 agreement in respect of certain buildings; remainder of claims dismissed.</w:t>
            </w:r>
          </w:p>
        </w:tc>
      </w:tr>
      <w:tr w:rsidR="00A32A55" w:rsidRPr="00CB0A8F" w14:paraId="28D4E253" w14:textId="77777777" w:rsidTr="00E6758F">
        <w:tc>
          <w:tcPr>
            <w:tcW w:w="1560" w:type="dxa"/>
          </w:tcPr>
          <w:p w14:paraId="0BD21F78" w14:textId="77777777" w:rsidR="00A32A55" w:rsidRPr="00CB0A8F" w:rsidRDefault="00A32A55" w:rsidP="00E6758F">
            <w:pPr>
              <w:rPr>
                <w:rFonts w:ascii="Times New Roman" w:hAnsi="Times New Roman" w:cs="Times New Roman"/>
              </w:rPr>
            </w:pPr>
            <w:r w:rsidRPr="00CB0A8F">
              <w:rPr>
                <w:rFonts w:ascii="Times New Roman" w:hAnsi="Times New Roman" w:cs="Times New Roman"/>
              </w:rPr>
              <w:t>18 Jan 2017</w:t>
            </w:r>
          </w:p>
        </w:tc>
        <w:tc>
          <w:tcPr>
            <w:tcW w:w="3827" w:type="dxa"/>
          </w:tcPr>
          <w:p w14:paraId="170DFAC4" w14:textId="77777777" w:rsidR="00A32A55" w:rsidRPr="00CB0A8F" w:rsidRDefault="00A32A55" w:rsidP="00E6758F">
            <w:pPr>
              <w:rPr>
                <w:rFonts w:ascii="Times New Roman" w:hAnsi="Times New Roman" w:cs="Times New Roman"/>
              </w:rPr>
            </w:pPr>
            <w:r w:rsidRPr="00CB0A8F">
              <w:rPr>
                <w:rFonts w:ascii="Times New Roman" w:hAnsi="Times New Roman" w:cs="Times New Roman"/>
              </w:rPr>
              <w:t xml:space="preserve">Supreme Court of Justice                   </w:t>
            </w:r>
          </w:p>
        </w:tc>
        <w:tc>
          <w:tcPr>
            <w:tcW w:w="4536" w:type="dxa"/>
          </w:tcPr>
          <w:p w14:paraId="0E59DF36" w14:textId="77777777" w:rsidR="00A32A55" w:rsidRPr="00CB0A8F" w:rsidRDefault="00A32A55" w:rsidP="00E6758F">
            <w:pPr>
              <w:rPr>
                <w:rFonts w:ascii="Times New Roman" w:hAnsi="Times New Roman" w:cs="Times New Roman"/>
              </w:rPr>
            </w:pPr>
            <w:r w:rsidRPr="00CB0A8F">
              <w:rPr>
                <w:rFonts w:ascii="Times New Roman" w:hAnsi="Times New Roman" w:cs="Times New Roman"/>
              </w:rPr>
              <w:t xml:space="preserve">2016 appellate decision quashed; case remitted for re-examination.                                            </w:t>
            </w:r>
          </w:p>
        </w:tc>
      </w:tr>
      <w:tr w:rsidR="00A32A55" w:rsidRPr="00CB0A8F" w14:paraId="219F5DEC" w14:textId="77777777" w:rsidTr="00E6758F">
        <w:tc>
          <w:tcPr>
            <w:tcW w:w="1560" w:type="dxa"/>
          </w:tcPr>
          <w:p w14:paraId="09FB5D7A" w14:textId="77777777" w:rsidR="00A32A55" w:rsidRPr="00CB0A8F" w:rsidRDefault="00A32A55" w:rsidP="00E6758F">
            <w:pPr>
              <w:rPr>
                <w:rFonts w:ascii="Times New Roman" w:hAnsi="Times New Roman" w:cs="Times New Roman"/>
              </w:rPr>
            </w:pPr>
            <w:r w:rsidRPr="00CB0A8F">
              <w:rPr>
                <w:rFonts w:ascii="Times New Roman" w:hAnsi="Times New Roman" w:cs="Times New Roman"/>
              </w:rPr>
              <w:t>14 Dec 2017</w:t>
            </w:r>
          </w:p>
        </w:tc>
        <w:tc>
          <w:tcPr>
            <w:tcW w:w="3827" w:type="dxa"/>
          </w:tcPr>
          <w:p w14:paraId="0B3DC433" w14:textId="77777777" w:rsidR="00A32A55" w:rsidRPr="00CB0A8F" w:rsidRDefault="00A32A55" w:rsidP="00E6758F">
            <w:pPr>
              <w:rPr>
                <w:rFonts w:ascii="Times New Roman" w:hAnsi="Times New Roman" w:cs="Times New Roman"/>
              </w:rPr>
            </w:pPr>
            <w:r w:rsidRPr="00CB0A8F">
              <w:rPr>
                <w:rFonts w:ascii="Times New Roman" w:hAnsi="Times New Roman" w:cs="Times New Roman"/>
              </w:rPr>
              <w:t xml:space="preserve">Chișinău Court of Appeal                   </w:t>
            </w:r>
          </w:p>
        </w:tc>
        <w:tc>
          <w:tcPr>
            <w:tcW w:w="4536" w:type="dxa"/>
          </w:tcPr>
          <w:p w14:paraId="5B9C98D1" w14:textId="77777777" w:rsidR="00A32A55" w:rsidRPr="00CB0A8F" w:rsidRDefault="00A32A55" w:rsidP="00E6758F">
            <w:pPr>
              <w:rPr>
                <w:rFonts w:ascii="Times New Roman" w:hAnsi="Times New Roman" w:cs="Times New Roman"/>
              </w:rPr>
            </w:pPr>
            <w:r w:rsidRPr="00CB0A8F">
              <w:rPr>
                <w:rFonts w:ascii="Times New Roman" w:hAnsi="Times New Roman" w:cs="Times New Roman"/>
              </w:rPr>
              <w:t xml:space="preserve">Claims dismissed as unfounded; time-bar objection removed but dismissal maintained on the merits.             </w:t>
            </w:r>
          </w:p>
        </w:tc>
      </w:tr>
      <w:tr w:rsidR="00A32A55" w:rsidRPr="00CB0A8F" w14:paraId="6A19DECD" w14:textId="77777777" w:rsidTr="00E6758F">
        <w:tc>
          <w:tcPr>
            <w:tcW w:w="1560" w:type="dxa"/>
          </w:tcPr>
          <w:p w14:paraId="79E2F1F6" w14:textId="77777777" w:rsidR="00A32A55" w:rsidRPr="00CB0A8F" w:rsidRDefault="00A32A55" w:rsidP="00E6758F">
            <w:pPr>
              <w:rPr>
                <w:rFonts w:ascii="Times New Roman" w:hAnsi="Times New Roman" w:cs="Times New Roman"/>
              </w:rPr>
            </w:pPr>
            <w:r w:rsidRPr="00CB0A8F">
              <w:rPr>
                <w:rFonts w:ascii="Times New Roman" w:hAnsi="Times New Roman" w:cs="Times New Roman"/>
              </w:rPr>
              <w:t>30 May 2018</w:t>
            </w:r>
          </w:p>
        </w:tc>
        <w:tc>
          <w:tcPr>
            <w:tcW w:w="3827" w:type="dxa"/>
          </w:tcPr>
          <w:p w14:paraId="1269524C" w14:textId="77777777" w:rsidR="00A32A55" w:rsidRPr="00CB0A8F" w:rsidRDefault="00A32A55" w:rsidP="00E6758F">
            <w:pPr>
              <w:rPr>
                <w:rFonts w:ascii="Times New Roman" w:hAnsi="Times New Roman" w:cs="Times New Roman"/>
              </w:rPr>
            </w:pPr>
            <w:r w:rsidRPr="00CB0A8F">
              <w:rPr>
                <w:rFonts w:ascii="Times New Roman" w:hAnsi="Times New Roman" w:cs="Times New Roman"/>
              </w:rPr>
              <w:t xml:space="preserve">Supreme Court of Justice                   </w:t>
            </w:r>
          </w:p>
        </w:tc>
        <w:tc>
          <w:tcPr>
            <w:tcW w:w="4536" w:type="dxa"/>
          </w:tcPr>
          <w:p w14:paraId="6D86DEAF" w14:textId="77777777" w:rsidR="00A32A55" w:rsidRPr="00CB0A8F" w:rsidRDefault="00A32A55" w:rsidP="00E6758F">
            <w:pPr>
              <w:rPr>
                <w:rFonts w:ascii="Times New Roman" w:hAnsi="Times New Roman" w:cs="Times New Roman"/>
              </w:rPr>
            </w:pPr>
            <w:r w:rsidRPr="00CB0A8F">
              <w:rPr>
                <w:rFonts w:ascii="Times New Roman" w:hAnsi="Times New Roman" w:cs="Times New Roman"/>
                <w:color w:val="000000"/>
              </w:rPr>
              <w:t>Cassation appeals (including by the Orthodox Church of Moldova) allowed; appellate decision quashed; case remitted for re-examination.</w:t>
            </w:r>
          </w:p>
        </w:tc>
      </w:tr>
      <w:tr w:rsidR="00A32A55" w:rsidRPr="00CB0A8F" w14:paraId="5D508196" w14:textId="77777777" w:rsidTr="00E6758F">
        <w:tc>
          <w:tcPr>
            <w:tcW w:w="1560" w:type="dxa"/>
          </w:tcPr>
          <w:p w14:paraId="7D8548CB" w14:textId="77777777" w:rsidR="00A32A55" w:rsidRPr="00CB0A8F" w:rsidRDefault="00A32A55" w:rsidP="00E6758F">
            <w:pPr>
              <w:rPr>
                <w:rFonts w:ascii="Times New Roman" w:hAnsi="Times New Roman" w:cs="Times New Roman"/>
              </w:rPr>
            </w:pPr>
            <w:r w:rsidRPr="00CB0A8F">
              <w:rPr>
                <w:rFonts w:ascii="Times New Roman" w:hAnsi="Times New Roman" w:cs="Times New Roman"/>
              </w:rPr>
              <w:t>22 Nov 2018</w:t>
            </w:r>
          </w:p>
        </w:tc>
        <w:tc>
          <w:tcPr>
            <w:tcW w:w="3827" w:type="dxa"/>
          </w:tcPr>
          <w:p w14:paraId="7D468A47" w14:textId="77777777" w:rsidR="00A32A55" w:rsidRPr="00CB0A8F" w:rsidRDefault="00A32A55" w:rsidP="00E6758F">
            <w:pPr>
              <w:rPr>
                <w:rFonts w:ascii="Times New Roman" w:hAnsi="Times New Roman" w:cs="Times New Roman"/>
              </w:rPr>
            </w:pPr>
            <w:r w:rsidRPr="00CB0A8F">
              <w:rPr>
                <w:rFonts w:ascii="Times New Roman" w:hAnsi="Times New Roman" w:cs="Times New Roman"/>
              </w:rPr>
              <w:t xml:space="preserve">Chișinău Court of Appeal                   </w:t>
            </w:r>
          </w:p>
        </w:tc>
        <w:tc>
          <w:tcPr>
            <w:tcW w:w="4536" w:type="dxa"/>
          </w:tcPr>
          <w:p w14:paraId="1633D3C9" w14:textId="77777777" w:rsidR="00A32A55" w:rsidRPr="00CB0A8F" w:rsidRDefault="00A32A55" w:rsidP="00E6758F">
            <w:pPr>
              <w:rPr>
                <w:rFonts w:ascii="Times New Roman" w:hAnsi="Times New Roman" w:cs="Times New Roman"/>
              </w:rPr>
            </w:pPr>
            <w:r w:rsidRPr="00CB0A8F">
              <w:rPr>
                <w:rFonts w:ascii="Times New Roman" w:hAnsi="Times New Roman" w:cs="Times New Roman"/>
              </w:rPr>
              <w:t>Appeal dismissed; judgment of 19 Dec 2014 upheld.</w:t>
            </w:r>
          </w:p>
        </w:tc>
      </w:tr>
      <w:tr w:rsidR="00A32A55" w:rsidRPr="00CB0A8F" w14:paraId="5327541A" w14:textId="77777777" w:rsidTr="00E6758F">
        <w:tc>
          <w:tcPr>
            <w:tcW w:w="1560" w:type="dxa"/>
          </w:tcPr>
          <w:p w14:paraId="748840D7" w14:textId="77777777" w:rsidR="00A32A55" w:rsidRPr="00CB0A8F" w:rsidRDefault="00A32A55" w:rsidP="00E6758F">
            <w:pPr>
              <w:rPr>
                <w:rFonts w:ascii="Times New Roman" w:hAnsi="Times New Roman" w:cs="Times New Roman"/>
              </w:rPr>
            </w:pPr>
            <w:r w:rsidRPr="00CB0A8F">
              <w:rPr>
                <w:rFonts w:ascii="Times New Roman" w:hAnsi="Times New Roman" w:cs="Times New Roman"/>
              </w:rPr>
              <w:t>26 Jun 2019</w:t>
            </w:r>
          </w:p>
        </w:tc>
        <w:tc>
          <w:tcPr>
            <w:tcW w:w="3827" w:type="dxa"/>
          </w:tcPr>
          <w:p w14:paraId="2A2C60C8" w14:textId="77777777" w:rsidR="00A32A55" w:rsidRPr="00CB0A8F" w:rsidRDefault="00A32A55" w:rsidP="00E6758F">
            <w:pPr>
              <w:rPr>
                <w:rFonts w:ascii="Times New Roman" w:hAnsi="Times New Roman" w:cs="Times New Roman"/>
              </w:rPr>
            </w:pPr>
            <w:r w:rsidRPr="00CB0A8F">
              <w:rPr>
                <w:rFonts w:ascii="Times New Roman" w:hAnsi="Times New Roman" w:cs="Times New Roman"/>
              </w:rPr>
              <w:t xml:space="preserve">Supreme Court of Justice                   </w:t>
            </w:r>
          </w:p>
        </w:tc>
        <w:tc>
          <w:tcPr>
            <w:tcW w:w="4536" w:type="dxa"/>
          </w:tcPr>
          <w:p w14:paraId="0389A90F" w14:textId="77777777" w:rsidR="00A32A55" w:rsidRPr="00CB0A8F" w:rsidRDefault="00A32A55" w:rsidP="00E6758F">
            <w:pPr>
              <w:rPr>
                <w:rFonts w:ascii="Times New Roman" w:hAnsi="Times New Roman" w:cs="Times New Roman"/>
              </w:rPr>
            </w:pPr>
            <w:r w:rsidRPr="00CB0A8F">
              <w:rPr>
                <w:rFonts w:ascii="Times New Roman" w:hAnsi="Times New Roman" w:cs="Times New Roman"/>
              </w:rPr>
              <w:t xml:space="preserve">2018 appellate decision quashed; case remitted for re-examination.                                            </w:t>
            </w:r>
          </w:p>
        </w:tc>
      </w:tr>
      <w:tr w:rsidR="00A32A55" w:rsidRPr="00CB0A8F" w14:paraId="31E88A72" w14:textId="77777777" w:rsidTr="00E6758F">
        <w:tc>
          <w:tcPr>
            <w:tcW w:w="1560" w:type="dxa"/>
          </w:tcPr>
          <w:p w14:paraId="26D2575E" w14:textId="77777777" w:rsidR="00A32A55" w:rsidRPr="00CB0A8F" w:rsidRDefault="00A32A55" w:rsidP="00E6758F">
            <w:pPr>
              <w:rPr>
                <w:rFonts w:ascii="Times New Roman" w:hAnsi="Times New Roman" w:cs="Times New Roman"/>
              </w:rPr>
            </w:pPr>
            <w:r w:rsidRPr="00CB0A8F">
              <w:rPr>
                <w:rFonts w:ascii="Times New Roman" w:hAnsi="Times New Roman" w:cs="Times New Roman"/>
              </w:rPr>
              <w:t>30 Dec 2020</w:t>
            </w:r>
          </w:p>
        </w:tc>
        <w:tc>
          <w:tcPr>
            <w:tcW w:w="3827" w:type="dxa"/>
          </w:tcPr>
          <w:p w14:paraId="6E6E7688" w14:textId="77777777" w:rsidR="00A32A55" w:rsidRPr="00CB0A8F" w:rsidRDefault="00A32A55" w:rsidP="00E6758F">
            <w:pPr>
              <w:rPr>
                <w:rFonts w:ascii="Times New Roman" w:hAnsi="Times New Roman" w:cs="Times New Roman"/>
              </w:rPr>
            </w:pPr>
            <w:r w:rsidRPr="00CB0A8F">
              <w:rPr>
                <w:rFonts w:ascii="Times New Roman" w:hAnsi="Times New Roman" w:cs="Times New Roman"/>
              </w:rPr>
              <w:t xml:space="preserve">Chișinău Court of Appeal                   </w:t>
            </w:r>
          </w:p>
        </w:tc>
        <w:tc>
          <w:tcPr>
            <w:tcW w:w="4536" w:type="dxa"/>
          </w:tcPr>
          <w:p w14:paraId="1EC620E4" w14:textId="77777777" w:rsidR="00A32A55" w:rsidRPr="00CB0A8F" w:rsidRDefault="00A32A55" w:rsidP="00E6758F">
            <w:pPr>
              <w:rPr>
                <w:rFonts w:ascii="Times New Roman" w:hAnsi="Times New Roman" w:cs="Times New Roman"/>
              </w:rPr>
            </w:pPr>
            <w:r w:rsidRPr="00CB0A8F">
              <w:rPr>
                <w:rFonts w:ascii="Times New Roman" w:hAnsi="Times New Roman" w:cs="Times New Roman"/>
              </w:rPr>
              <w:t xml:space="preserve">Both agreements (2003 and 2008) declared null; remainder of claims dismissed.                                 </w:t>
            </w:r>
          </w:p>
        </w:tc>
      </w:tr>
      <w:tr w:rsidR="00A32A55" w:rsidRPr="00CB0A8F" w14:paraId="5C7D1827" w14:textId="77777777" w:rsidTr="00E6758F">
        <w:tc>
          <w:tcPr>
            <w:tcW w:w="1560" w:type="dxa"/>
          </w:tcPr>
          <w:p w14:paraId="4113F30F" w14:textId="77777777" w:rsidR="00A32A55" w:rsidRPr="00CB0A8F" w:rsidRDefault="00A32A55" w:rsidP="00E6758F">
            <w:pPr>
              <w:rPr>
                <w:rFonts w:ascii="Times New Roman" w:hAnsi="Times New Roman" w:cs="Times New Roman"/>
              </w:rPr>
            </w:pPr>
            <w:r w:rsidRPr="00CB0A8F">
              <w:rPr>
                <w:rFonts w:ascii="Times New Roman" w:hAnsi="Times New Roman" w:cs="Times New Roman"/>
              </w:rPr>
              <w:t>18 Oct 2021</w:t>
            </w:r>
          </w:p>
        </w:tc>
        <w:tc>
          <w:tcPr>
            <w:tcW w:w="3827" w:type="dxa"/>
          </w:tcPr>
          <w:p w14:paraId="35605068" w14:textId="77777777" w:rsidR="00A32A55" w:rsidRPr="00CB0A8F" w:rsidRDefault="00A32A55" w:rsidP="00E6758F">
            <w:pPr>
              <w:rPr>
                <w:rFonts w:ascii="Times New Roman" w:hAnsi="Times New Roman" w:cs="Times New Roman"/>
              </w:rPr>
            </w:pPr>
            <w:r w:rsidRPr="00CB0A8F">
              <w:rPr>
                <w:rFonts w:ascii="Times New Roman" w:hAnsi="Times New Roman" w:cs="Times New Roman"/>
              </w:rPr>
              <w:t xml:space="preserve">Supreme Court of Justice                   </w:t>
            </w:r>
          </w:p>
        </w:tc>
        <w:tc>
          <w:tcPr>
            <w:tcW w:w="4536" w:type="dxa"/>
          </w:tcPr>
          <w:p w14:paraId="4AF963F9" w14:textId="77777777" w:rsidR="00A32A55" w:rsidRPr="00CB0A8F" w:rsidRDefault="00A32A55" w:rsidP="00E6758F">
            <w:pPr>
              <w:rPr>
                <w:rFonts w:ascii="Times New Roman" w:hAnsi="Times New Roman" w:cs="Times New Roman"/>
              </w:rPr>
            </w:pPr>
            <w:r w:rsidRPr="00CB0A8F">
              <w:rPr>
                <w:rFonts w:ascii="Times New Roman" w:hAnsi="Times New Roman" w:cs="Times New Roman"/>
              </w:rPr>
              <w:t xml:space="preserve">2020 appellate decision quashed; case remitted for re-examination.                                            </w:t>
            </w:r>
          </w:p>
        </w:tc>
      </w:tr>
      <w:tr w:rsidR="00A32A55" w:rsidRPr="00CB0A8F" w14:paraId="41BB6EBA" w14:textId="77777777" w:rsidTr="00E6758F">
        <w:tc>
          <w:tcPr>
            <w:tcW w:w="1560" w:type="dxa"/>
          </w:tcPr>
          <w:p w14:paraId="4614820F" w14:textId="77777777" w:rsidR="00A32A55" w:rsidRPr="00CB0A8F" w:rsidRDefault="00A32A55" w:rsidP="00E6758F">
            <w:pPr>
              <w:rPr>
                <w:rFonts w:ascii="Times New Roman" w:hAnsi="Times New Roman" w:cs="Times New Roman"/>
              </w:rPr>
            </w:pPr>
            <w:r w:rsidRPr="00CB0A8F">
              <w:rPr>
                <w:rFonts w:ascii="Times New Roman" w:hAnsi="Times New Roman" w:cs="Times New Roman"/>
              </w:rPr>
              <w:t xml:space="preserve">5 Apr 2023  </w:t>
            </w:r>
          </w:p>
        </w:tc>
        <w:tc>
          <w:tcPr>
            <w:tcW w:w="3827" w:type="dxa"/>
          </w:tcPr>
          <w:p w14:paraId="1BCE56E3" w14:textId="77777777" w:rsidR="00A32A55" w:rsidRPr="00CB0A8F" w:rsidRDefault="00A32A55" w:rsidP="00E6758F">
            <w:pPr>
              <w:rPr>
                <w:rFonts w:ascii="Times New Roman" w:hAnsi="Times New Roman" w:cs="Times New Roman"/>
              </w:rPr>
            </w:pPr>
            <w:r w:rsidRPr="00CB0A8F">
              <w:rPr>
                <w:rFonts w:ascii="Times New Roman" w:hAnsi="Times New Roman" w:cs="Times New Roman"/>
              </w:rPr>
              <w:t>Chișinău Court of Appeal</w:t>
            </w:r>
          </w:p>
        </w:tc>
        <w:tc>
          <w:tcPr>
            <w:tcW w:w="4536" w:type="dxa"/>
          </w:tcPr>
          <w:p w14:paraId="55E80959" w14:textId="77777777" w:rsidR="00A32A55" w:rsidRPr="00CB0A8F" w:rsidRDefault="00A32A55" w:rsidP="00E6758F">
            <w:pPr>
              <w:rPr>
                <w:rFonts w:ascii="Times New Roman" w:hAnsi="Times New Roman" w:cs="Times New Roman"/>
              </w:rPr>
            </w:pPr>
            <w:r w:rsidRPr="00CB0A8F">
              <w:rPr>
                <w:rFonts w:ascii="Times New Roman" w:hAnsi="Times New Roman" w:cs="Times New Roman"/>
              </w:rPr>
              <w:t>Both agreements (2003 and 2008) annulled in full</w:t>
            </w:r>
          </w:p>
        </w:tc>
      </w:tr>
      <w:tr w:rsidR="00A32A55" w:rsidRPr="00CB0A8F" w14:paraId="57FB51E3" w14:textId="77777777" w:rsidTr="00E6758F">
        <w:tc>
          <w:tcPr>
            <w:tcW w:w="1560" w:type="dxa"/>
          </w:tcPr>
          <w:p w14:paraId="4E93B5C7" w14:textId="77777777" w:rsidR="00A32A55" w:rsidRPr="00CB0A8F" w:rsidRDefault="00A32A55" w:rsidP="00E6758F">
            <w:pPr>
              <w:rPr>
                <w:rFonts w:ascii="Times New Roman" w:hAnsi="Times New Roman" w:cs="Times New Roman"/>
              </w:rPr>
            </w:pPr>
            <w:r w:rsidRPr="00CB0A8F">
              <w:rPr>
                <w:rFonts w:ascii="Times New Roman" w:hAnsi="Times New Roman" w:cs="Times New Roman"/>
              </w:rPr>
              <w:t xml:space="preserve">2023–2025   </w:t>
            </w:r>
          </w:p>
        </w:tc>
        <w:tc>
          <w:tcPr>
            <w:tcW w:w="3827" w:type="dxa"/>
          </w:tcPr>
          <w:p w14:paraId="13B175D4" w14:textId="77777777" w:rsidR="00A32A55" w:rsidRPr="00CB0A8F" w:rsidRDefault="00A32A55" w:rsidP="00E6758F">
            <w:pPr>
              <w:rPr>
                <w:rFonts w:ascii="Times New Roman" w:hAnsi="Times New Roman" w:cs="Times New Roman"/>
              </w:rPr>
            </w:pPr>
            <w:r w:rsidRPr="00CB0A8F">
              <w:rPr>
                <w:rFonts w:ascii="Times New Roman" w:hAnsi="Times New Roman" w:cs="Times New Roman"/>
              </w:rPr>
              <w:t xml:space="preserve">Supreme Court of Justice (cassation)       </w:t>
            </w:r>
          </w:p>
        </w:tc>
        <w:tc>
          <w:tcPr>
            <w:tcW w:w="4536" w:type="dxa"/>
          </w:tcPr>
          <w:p w14:paraId="1A01F406" w14:textId="77777777" w:rsidR="00A32A55" w:rsidRPr="00CB0A8F" w:rsidRDefault="00A32A55" w:rsidP="00E6758F">
            <w:pPr>
              <w:rPr>
                <w:rFonts w:ascii="Times New Roman" w:hAnsi="Times New Roman" w:cs="Times New Roman"/>
              </w:rPr>
            </w:pPr>
            <w:r w:rsidRPr="00CB0A8F">
              <w:rPr>
                <w:rFonts w:ascii="Times New Roman" w:hAnsi="Times New Roman" w:cs="Times New Roman"/>
              </w:rPr>
              <w:t>Cassation appeal pending; proceedings prolonged</w:t>
            </w:r>
          </w:p>
        </w:tc>
      </w:tr>
      <w:tr w:rsidR="00A32A55" w:rsidRPr="00CB0A8F" w14:paraId="50E362A2" w14:textId="77777777" w:rsidTr="00E6758F">
        <w:tc>
          <w:tcPr>
            <w:tcW w:w="1560" w:type="dxa"/>
          </w:tcPr>
          <w:p w14:paraId="5F8144C9" w14:textId="77777777" w:rsidR="00A32A55" w:rsidRPr="00CB0A8F" w:rsidRDefault="00A32A55" w:rsidP="00E6758F">
            <w:pPr>
              <w:rPr>
                <w:rFonts w:ascii="Times New Roman" w:hAnsi="Times New Roman" w:cs="Times New Roman"/>
              </w:rPr>
            </w:pPr>
            <w:r w:rsidRPr="00CB0A8F">
              <w:rPr>
                <w:rFonts w:ascii="Times New Roman" w:hAnsi="Times New Roman" w:cs="Times New Roman"/>
              </w:rPr>
              <w:t xml:space="preserve">6 Jan 2025  </w:t>
            </w:r>
          </w:p>
        </w:tc>
        <w:tc>
          <w:tcPr>
            <w:tcW w:w="3827" w:type="dxa"/>
          </w:tcPr>
          <w:p w14:paraId="7D38AC41" w14:textId="77777777" w:rsidR="00A32A55" w:rsidRPr="00CB0A8F" w:rsidRDefault="00A32A55" w:rsidP="00E6758F">
            <w:pPr>
              <w:rPr>
                <w:rFonts w:ascii="Times New Roman" w:hAnsi="Times New Roman" w:cs="Times New Roman"/>
              </w:rPr>
            </w:pPr>
            <w:r w:rsidRPr="00CB0A8F">
              <w:rPr>
                <w:rFonts w:ascii="Times New Roman" w:hAnsi="Times New Roman" w:cs="Times New Roman"/>
              </w:rPr>
              <w:t xml:space="preserve">Supreme Court of Justice                   </w:t>
            </w:r>
          </w:p>
        </w:tc>
        <w:tc>
          <w:tcPr>
            <w:tcW w:w="4536" w:type="dxa"/>
          </w:tcPr>
          <w:p w14:paraId="023546A2" w14:textId="77777777" w:rsidR="00A32A55" w:rsidRPr="00CB0A8F" w:rsidRDefault="00A32A55" w:rsidP="00E6758F">
            <w:pPr>
              <w:rPr>
                <w:rFonts w:ascii="Times New Roman" w:hAnsi="Times New Roman" w:cs="Times New Roman"/>
              </w:rPr>
            </w:pPr>
            <w:r w:rsidRPr="00CB0A8F">
              <w:rPr>
                <w:rFonts w:ascii="Times New Roman" w:hAnsi="Times New Roman" w:cs="Times New Roman"/>
                <w:color w:val="000000"/>
              </w:rPr>
              <w:t>Excessive length (14+ years) acknowledged; acceleration ordered and examination required by</w:t>
            </w:r>
            <w:r w:rsidRPr="00CB0A8F">
              <w:rPr>
                <w:rStyle w:val="apple-converted-space"/>
                <w:rFonts w:ascii="Times New Roman" w:hAnsi="Times New Roman" w:cs="Times New Roman"/>
                <w:color w:val="000000"/>
              </w:rPr>
              <w:t> </w:t>
            </w:r>
            <w:r w:rsidRPr="00CB0A8F">
              <w:rPr>
                <w:rStyle w:val="a9"/>
                <w:rFonts w:ascii="Times New Roman" w:hAnsi="Times New Roman" w:cs="Times New Roman"/>
                <w:color w:val="000000"/>
              </w:rPr>
              <w:t>7 March 2025</w:t>
            </w:r>
          </w:p>
        </w:tc>
      </w:tr>
    </w:tbl>
    <w:p w14:paraId="0AF84012" w14:textId="3CED6EEB" w:rsidR="00A61AB0" w:rsidRPr="00A61AB0" w:rsidRDefault="00291C2A" w:rsidP="00A61AB0">
      <w:pPr>
        <w:pStyle w:val="3"/>
        <w:jc w:val="center"/>
        <w:rPr>
          <w:color w:val="000000"/>
          <w:sz w:val="24"/>
          <w:szCs w:val="24"/>
        </w:rPr>
      </w:pPr>
      <w:r>
        <w:rPr>
          <w:rStyle w:val="a9"/>
          <w:b/>
          <w:bCs/>
          <w:color w:val="000000"/>
          <w:sz w:val="24"/>
          <w:szCs w:val="24"/>
          <w:lang w:val="en-US"/>
        </w:rPr>
        <w:t>5</w:t>
      </w:r>
      <w:r w:rsidR="00A61AB0" w:rsidRPr="00A61AB0">
        <w:rPr>
          <w:rStyle w:val="a9"/>
          <w:b/>
          <w:bCs/>
          <w:color w:val="000000"/>
          <w:sz w:val="24"/>
          <w:szCs w:val="24"/>
          <w:lang w:val="en-US"/>
        </w:rPr>
        <w:t xml:space="preserve">.2. </w:t>
      </w:r>
      <w:r w:rsidR="00A61AB0" w:rsidRPr="00A61AB0">
        <w:rPr>
          <w:rStyle w:val="a9"/>
          <w:b/>
          <w:bCs/>
          <w:color w:val="000000"/>
          <w:sz w:val="24"/>
          <w:szCs w:val="24"/>
        </w:rPr>
        <w:t>Historical and Legal Basis for Treating the Orthodox Church of Moldova (Mitropolia Moldovei) as the Institutional Successor of the Pre-Confiscation Religious Structures that Owned/Operated Churches and Monasteries</w:t>
      </w:r>
    </w:p>
    <w:p w14:paraId="70BEAABC" w14:textId="77777777" w:rsidR="00A61AB0" w:rsidRDefault="00A61AB0" w:rsidP="00A61AB0">
      <w:pPr>
        <w:pStyle w:val="a6"/>
        <w:ind w:firstLine="708"/>
        <w:jc w:val="both"/>
        <w:rPr>
          <w:color w:val="000000"/>
        </w:rPr>
      </w:pPr>
      <w:r>
        <w:rPr>
          <w:color w:val="000000"/>
        </w:rPr>
        <w:t>The Orthodox Church of Moldova (Biserica Ortodoxă din Moldova – Mitropolia Moldovei) may be described, for the purposes of assessing the legal regime of churches and monasteries affected by Soviet-era confiscations and later administrative arrangements, as the</w:t>
      </w:r>
      <w:r>
        <w:rPr>
          <w:rStyle w:val="apple-converted-space"/>
          <w:color w:val="000000"/>
        </w:rPr>
        <w:t> </w:t>
      </w:r>
      <w:r>
        <w:rPr>
          <w:rStyle w:val="a9"/>
          <w:color w:val="000000"/>
        </w:rPr>
        <w:t>institutional and legal continuation (successor) of the Orthodox ecclesiastical structures historically operating on the territory of present-day Moldova</w:t>
      </w:r>
      <w:r>
        <w:rPr>
          <w:color w:val="000000"/>
        </w:rPr>
        <w:t>.</w:t>
      </w:r>
    </w:p>
    <w:p w14:paraId="5DA8D0FA" w14:textId="77777777" w:rsidR="00A61AB0" w:rsidRDefault="00A61AB0" w:rsidP="00A61AB0">
      <w:pPr>
        <w:pStyle w:val="a6"/>
        <w:ind w:firstLine="708"/>
        <w:jc w:val="both"/>
        <w:rPr>
          <w:color w:val="000000"/>
        </w:rPr>
      </w:pPr>
      <w:r>
        <w:rPr>
          <w:color w:val="000000"/>
        </w:rPr>
        <w:t>First, Orthodox parishes and monasteries in the region functioned historically as part of an organized ecclesiastical structure (eparchies, parishes, monasteries), within which churches and monastic complexes were held and administered for religious purposes. This historical continuity is relevant because many of the churches and monasteries addressed in the contested 2003 and 2008 agreements were part of that longstanding religious infrastructure prior to Soviet rule.</w:t>
      </w:r>
    </w:p>
    <w:p w14:paraId="3065E934" w14:textId="4A2D6C20" w:rsidR="00A61AB0" w:rsidRDefault="00A61AB0" w:rsidP="00A61AB0">
      <w:pPr>
        <w:pStyle w:val="a6"/>
        <w:ind w:firstLine="708"/>
        <w:jc w:val="both"/>
        <w:rPr>
          <w:color w:val="000000"/>
        </w:rPr>
      </w:pPr>
      <w:r>
        <w:rPr>
          <w:color w:val="000000"/>
        </w:rPr>
        <w:t>Second, the Soviet period in the Moldavian SSR was marked by</w:t>
      </w:r>
      <w:r>
        <w:rPr>
          <w:rStyle w:val="apple-converted-space"/>
          <w:color w:val="000000"/>
        </w:rPr>
        <w:t> </w:t>
      </w:r>
      <w:r>
        <w:rPr>
          <w:rStyle w:val="a9"/>
          <w:color w:val="000000"/>
        </w:rPr>
        <w:t>systematic anti-religious policies</w:t>
      </w:r>
      <w:r>
        <w:rPr>
          <w:color w:val="000000"/>
        </w:rPr>
        <w:t>, including the closure of churches and monasteries, seizure of religious property, and restrictions on religious life. Scholarly accounts documenting the Moldavian SSR specifically note major waves of church and monastery closures and repression of religious institutions, particularly in the post-war period and during Khrushchev-era campaigns</w:t>
      </w:r>
      <w:r>
        <w:rPr>
          <w:rStyle w:val="a5"/>
          <w:color w:val="000000"/>
        </w:rPr>
        <w:footnoteReference w:id="23"/>
      </w:r>
      <w:r>
        <w:rPr>
          <w:color w:val="000000"/>
        </w:rPr>
        <w:t>.</w:t>
      </w:r>
      <w:r>
        <w:rPr>
          <w:rStyle w:val="apple-converted-space"/>
          <w:color w:val="000000"/>
        </w:rPr>
        <w:t> </w:t>
      </w:r>
      <w:r>
        <w:rPr>
          <w:color w:val="000000"/>
        </w:rPr>
        <w:t xml:space="preserve">These historical measures often disrupted or extinguished formal civil-law titles held by religious </w:t>
      </w:r>
      <w:r>
        <w:rPr>
          <w:color w:val="000000"/>
        </w:rPr>
        <w:lastRenderedPageBreak/>
        <w:t>entities, making post-Soviet legal recognition and continuity of institutional religious structures especially significant when determining who bears the closest legal and functional relationship to the affected religious properties.</w:t>
      </w:r>
    </w:p>
    <w:p w14:paraId="50B03653" w14:textId="5D265497" w:rsidR="00A61AB0" w:rsidRDefault="00A61AB0" w:rsidP="00A61AB0">
      <w:pPr>
        <w:pStyle w:val="a6"/>
        <w:ind w:firstLine="708"/>
        <w:jc w:val="both"/>
        <w:rPr>
          <w:color w:val="000000"/>
        </w:rPr>
      </w:pPr>
      <w:r>
        <w:rPr>
          <w:color w:val="000000"/>
        </w:rPr>
        <w:t>Third, the</w:t>
      </w:r>
      <w:r>
        <w:rPr>
          <w:rStyle w:val="apple-converted-space"/>
          <w:color w:val="000000"/>
        </w:rPr>
        <w:t> </w:t>
      </w:r>
      <w:r>
        <w:rPr>
          <w:rStyle w:val="a9"/>
          <w:color w:val="000000"/>
        </w:rPr>
        <w:t>legal status of the Orthodox Church of Moldova</w:t>
      </w:r>
      <w:r>
        <w:rPr>
          <w:rStyle w:val="apple-converted-space"/>
          <w:color w:val="000000"/>
        </w:rPr>
        <w:t> </w:t>
      </w:r>
      <w:r>
        <w:rPr>
          <w:color w:val="000000"/>
        </w:rPr>
        <w:t>in the post-independence period was formalized through State recognition and normative acts. In the ECtHR judgment</w:t>
      </w:r>
      <w:r>
        <w:rPr>
          <w:rStyle w:val="apple-converted-space"/>
          <w:color w:val="000000"/>
        </w:rPr>
        <w:t> </w:t>
      </w:r>
      <w:r>
        <w:rPr>
          <w:rStyle w:val="aa"/>
          <w:color w:val="000000"/>
        </w:rPr>
        <w:t>Metropolitan Church of Bessarabia and Others v. Moldova</w:t>
      </w:r>
      <w:r>
        <w:rPr>
          <w:color w:val="000000"/>
        </w:rPr>
        <w:t>, the Court recorded that the Moldovan Government approved an amended provision in the Orthodox Church of Moldova’s statutes; that provision described the Orthodox Church of Moldova as “independent” and used the concept of being a</w:t>
      </w:r>
      <w:r>
        <w:rPr>
          <w:rStyle w:val="apple-converted-space"/>
          <w:color w:val="000000"/>
        </w:rPr>
        <w:t> </w:t>
      </w:r>
      <w:r>
        <w:rPr>
          <w:rStyle w:val="a9"/>
          <w:color w:val="000000"/>
        </w:rPr>
        <w:t>“successor in law”</w:t>
      </w:r>
      <w:r>
        <w:rPr>
          <w:rStyle w:val="apple-converted-space"/>
          <w:color w:val="000000"/>
        </w:rPr>
        <w:t> </w:t>
      </w:r>
      <w:r>
        <w:rPr>
          <w:color w:val="000000"/>
        </w:rPr>
        <w:t>in relation to the historical Orthodox church structures in the region</w:t>
      </w:r>
      <w:r>
        <w:rPr>
          <w:rStyle w:val="a5"/>
          <w:color w:val="000000"/>
        </w:rPr>
        <w:footnoteReference w:id="24"/>
      </w:r>
      <w:r>
        <w:rPr>
          <w:color w:val="000000"/>
        </w:rPr>
        <w:t>.</w:t>
      </w:r>
      <w:r>
        <w:rPr>
          <w:rStyle w:val="apple-converted-space"/>
          <w:color w:val="000000"/>
        </w:rPr>
        <w:t> </w:t>
      </w:r>
    </w:p>
    <w:p w14:paraId="1320DE1B" w14:textId="77777777" w:rsidR="00A61AB0" w:rsidRDefault="00A61AB0" w:rsidP="00A61AB0">
      <w:pPr>
        <w:pStyle w:val="a6"/>
        <w:ind w:firstLine="708"/>
        <w:jc w:val="both"/>
        <w:rPr>
          <w:color w:val="000000"/>
        </w:rPr>
      </w:pPr>
      <w:r>
        <w:rPr>
          <w:color w:val="000000"/>
        </w:rPr>
        <w:t>Against this background, where churches and monasteries were historically operated as part of the Orthodox ecclesiastical infrastructure prior to Soviet confiscations, and later came to be used and maintained continuously by institutions of the Orthodox Church of Moldova under State-recognized legal arrangements (including the 2003 and 2008 agreements), the State should treat the Orthodox Church of Moldova as the</w:t>
      </w:r>
      <w:r>
        <w:rPr>
          <w:rStyle w:val="apple-converted-space"/>
          <w:color w:val="000000"/>
        </w:rPr>
        <w:t> </w:t>
      </w:r>
      <w:r>
        <w:rPr>
          <w:rStyle w:val="a9"/>
          <w:color w:val="000000"/>
        </w:rPr>
        <w:t>primary institutional continuator</w:t>
      </w:r>
      <w:r>
        <w:rPr>
          <w:rStyle w:val="apple-converted-space"/>
          <w:color w:val="000000"/>
        </w:rPr>
        <w:t> </w:t>
      </w:r>
      <w:r>
        <w:rPr>
          <w:color w:val="000000"/>
        </w:rPr>
        <w:t>of those pre-confiscation religious structures for the purposes of legal stability and rights-protection.</w:t>
      </w:r>
    </w:p>
    <w:p w14:paraId="55F77493" w14:textId="4F8917C2" w:rsidR="00AF613D" w:rsidRPr="00A61AB0" w:rsidRDefault="00A61AB0" w:rsidP="00A61AB0">
      <w:pPr>
        <w:pStyle w:val="a6"/>
        <w:ind w:firstLine="708"/>
        <w:jc w:val="both"/>
        <w:rPr>
          <w:color w:val="000000"/>
        </w:rPr>
      </w:pPr>
      <w:r>
        <w:rPr>
          <w:color w:val="000000"/>
        </w:rPr>
        <w:t>Accordingly, any State measures aimed at terminating or invalidating long-standing legal bases for the use of churches and monasteries — particularly where these properties have remained in uninterrupted religious use and under the maintenance responsibility of the Orthodox Church of Moldova — must be assessed with heightened attention to</w:t>
      </w:r>
      <w:r>
        <w:rPr>
          <w:rStyle w:val="apple-converted-space"/>
          <w:color w:val="000000"/>
        </w:rPr>
        <w:t> </w:t>
      </w:r>
      <w:r>
        <w:rPr>
          <w:rStyle w:val="a9"/>
          <w:color w:val="000000"/>
        </w:rPr>
        <w:t>legal certainty</w:t>
      </w:r>
      <w:r>
        <w:rPr>
          <w:color w:val="000000"/>
        </w:rPr>
        <w:t>, avoidance of renewed deprivation effects, and the protection of the material conditions necessary for the collective manifestation of religion.</w:t>
      </w:r>
    </w:p>
    <w:p w14:paraId="60B6D603" w14:textId="7AF150C1" w:rsidR="00AF613D" w:rsidRPr="00A61AB0" w:rsidRDefault="00AF613D" w:rsidP="00A61AB0">
      <w:pPr>
        <w:pStyle w:val="a6"/>
        <w:ind w:firstLine="708"/>
        <w:jc w:val="both"/>
        <w:rPr>
          <w:rStyle w:val="a9"/>
          <w:b w:val="0"/>
          <w:bCs w:val="0"/>
          <w:color w:val="000000"/>
        </w:rPr>
      </w:pPr>
      <w:r>
        <w:rPr>
          <w:color w:val="000000"/>
        </w:rPr>
        <w:t>According to international human rights law, the jurisprudence of the European Court of Human Rights (ECtHR), and principles reflected in United Nations and Council of Europe instruments, States must exercise particular restraint when interfering with the legal regime governing property that is directly linked to the exercise of freedom of religion, including churches, monasteries, and other places of worship.</w:t>
      </w:r>
    </w:p>
    <w:p w14:paraId="4A021B50" w14:textId="4FFA7C91" w:rsidR="00AC7EE2" w:rsidRPr="00351C80" w:rsidRDefault="00291C2A" w:rsidP="00AC7EE2">
      <w:pPr>
        <w:pStyle w:val="a6"/>
        <w:jc w:val="center"/>
        <w:rPr>
          <w:color w:val="000000"/>
          <w:sz w:val="28"/>
          <w:szCs w:val="28"/>
        </w:rPr>
      </w:pPr>
      <w:r>
        <w:rPr>
          <w:rStyle w:val="a9"/>
          <w:color w:val="000000"/>
          <w:sz w:val="28"/>
          <w:szCs w:val="28"/>
          <w:lang w:val="en-US"/>
        </w:rPr>
        <w:t>6</w:t>
      </w:r>
      <w:r w:rsidR="00A61AB0" w:rsidRPr="00A61AB0">
        <w:rPr>
          <w:rStyle w:val="a9"/>
          <w:color w:val="000000"/>
          <w:sz w:val="28"/>
          <w:szCs w:val="28"/>
          <w:lang w:val="en-US"/>
        </w:rPr>
        <w:t>.</w:t>
      </w:r>
      <w:r w:rsidR="00AC7EE2" w:rsidRPr="00351C80">
        <w:rPr>
          <w:rStyle w:val="a9"/>
          <w:color w:val="000000"/>
          <w:sz w:val="28"/>
          <w:szCs w:val="28"/>
        </w:rPr>
        <w:t>Legal qualification of violations of international law by the State of Moldova in relation to believers of the Orthodox Church of Moldova</w:t>
      </w:r>
    </w:p>
    <w:p w14:paraId="4DDEAAFF" w14:textId="77777777" w:rsidR="00AC7EE2" w:rsidRPr="00AC7EE2" w:rsidRDefault="00AC7EE2" w:rsidP="00AC7EE2">
      <w:pPr>
        <w:pStyle w:val="a6"/>
        <w:rPr>
          <w:color w:val="000000"/>
        </w:rPr>
      </w:pPr>
      <w:r w:rsidRPr="00AC7EE2">
        <w:rPr>
          <w:color w:val="000000"/>
        </w:rPr>
        <w:t>According to Article 18 of the International Covenant on Civil and Political Rights (ICCPR), the freedom to manifest religion includes the freedom to act without coercion that would impair the freedom to have or adopt a religion or belief of one’s choice.</w:t>
      </w:r>
    </w:p>
    <w:p w14:paraId="637D8ACC" w14:textId="77777777" w:rsidR="008B533F" w:rsidRPr="008B533F" w:rsidRDefault="00AC7EE2" w:rsidP="008B533F">
      <w:pPr>
        <w:rPr>
          <w:rFonts w:ascii="Times New Roman" w:hAnsi="Times New Roman" w:cs="Times New Roman"/>
        </w:rPr>
      </w:pPr>
      <w:r w:rsidRPr="008B533F">
        <w:rPr>
          <w:rFonts w:ascii="Times New Roman" w:hAnsi="Times New Roman" w:cs="Times New Roman"/>
          <w:color w:val="000000"/>
        </w:rPr>
        <w:t>In UN practice, coercion includes not only physical pressure but also:</w:t>
      </w:r>
      <w:r w:rsidRPr="008B533F">
        <w:rPr>
          <w:rFonts w:ascii="Times New Roman" w:hAnsi="Times New Roman" w:cs="Times New Roman"/>
          <w:color w:val="000000"/>
        </w:rPr>
        <w:br/>
      </w:r>
    </w:p>
    <w:p w14:paraId="0CA4AE9A" w14:textId="451C2328" w:rsidR="008B533F" w:rsidRPr="008B533F" w:rsidRDefault="00AC7EE2">
      <w:pPr>
        <w:pStyle w:val="a8"/>
        <w:numPr>
          <w:ilvl w:val="0"/>
          <w:numId w:val="37"/>
        </w:numPr>
        <w:rPr>
          <w:rFonts w:ascii="Times New Roman" w:hAnsi="Times New Roman" w:cs="Times New Roman"/>
        </w:rPr>
      </w:pPr>
      <w:r w:rsidRPr="008B533F">
        <w:rPr>
          <w:rFonts w:ascii="Times New Roman" w:hAnsi="Times New Roman" w:cs="Times New Roman"/>
        </w:rPr>
        <w:t>economic pressure</w:t>
      </w:r>
    </w:p>
    <w:p w14:paraId="7252D7CB" w14:textId="32ED08D8" w:rsidR="00AC7EE2" w:rsidRPr="008B533F" w:rsidRDefault="00AC7EE2">
      <w:pPr>
        <w:pStyle w:val="a8"/>
        <w:numPr>
          <w:ilvl w:val="0"/>
          <w:numId w:val="37"/>
        </w:numPr>
        <w:rPr>
          <w:rFonts w:ascii="Times New Roman" w:hAnsi="Times New Roman" w:cs="Times New Roman"/>
        </w:rPr>
      </w:pPr>
      <w:r w:rsidRPr="008B533F">
        <w:rPr>
          <w:rFonts w:ascii="Times New Roman" w:hAnsi="Times New Roman" w:cs="Times New Roman"/>
        </w:rPr>
        <w:t>the creation of unequal conditions;</w:t>
      </w:r>
      <w:r w:rsidRPr="008B533F">
        <w:rPr>
          <w:rFonts w:ascii="Times New Roman" w:hAnsi="Times New Roman" w:cs="Times New Roman"/>
        </w:rPr>
        <w:br/>
        <w:t>financial incentives or sanctions influencing religious choice.</w:t>
      </w:r>
    </w:p>
    <w:p w14:paraId="6F2D7ACF" w14:textId="77777777" w:rsidR="00AC7EE2" w:rsidRPr="00351C80" w:rsidRDefault="00AC7EE2" w:rsidP="00351C80">
      <w:pPr>
        <w:pStyle w:val="a6"/>
        <w:spacing w:line="276" w:lineRule="auto"/>
        <w:ind w:firstLine="708"/>
        <w:jc w:val="both"/>
        <w:rPr>
          <w:color w:val="000000"/>
        </w:rPr>
      </w:pPr>
      <w:r w:rsidRPr="00351C80">
        <w:rPr>
          <w:color w:val="000000"/>
        </w:rPr>
        <w:t>Article 2(1) of the ICCPR obliges the State to guarantee rights to all persons within its jurisdiction without distinction based on religion. This obligation extends not only to legislation, but also to administrative practice, the actions of banks, law enforcement bodies, and “regulatory pressure.”</w:t>
      </w:r>
    </w:p>
    <w:p w14:paraId="70FB0AC1" w14:textId="551C426B" w:rsidR="00A52C53" w:rsidRPr="00351C80" w:rsidRDefault="00291C2A" w:rsidP="00351C80">
      <w:pPr>
        <w:pStyle w:val="3"/>
        <w:spacing w:line="276" w:lineRule="auto"/>
        <w:rPr>
          <w:color w:val="000000"/>
          <w:sz w:val="24"/>
          <w:szCs w:val="24"/>
        </w:rPr>
      </w:pPr>
      <w:r>
        <w:rPr>
          <w:color w:val="000000"/>
          <w:sz w:val="24"/>
          <w:szCs w:val="24"/>
          <w:lang w:val="en-US"/>
        </w:rPr>
        <w:lastRenderedPageBreak/>
        <w:t>6</w:t>
      </w:r>
      <w:r w:rsidR="00A52C53" w:rsidRPr="00351C80">
        <w:rPr>
          <w:color w:val="000000"/>
          <w:sz w:val="24"/>
          <w:szCs w:val="24"/>
        </w:rPr>
        <w:t>.1. General characterization of the violations as a systemic and discriminatory practice</w:t>
      </w:r>
    </w:p>
    <w:p w14:paraId="69D88A7E" w14:textId="77777777" w:rsidR="00A52C53" w:rsidRPr="00351C80" w:rsidRDefault="00A52C53" w:rsidP="00351C80">
      <w:pPr>
        <w:pStyle w:val="a6"/>
        <w:spacing w:line="276" w:lineRule="auto"/>
        <w:ind w:firstLine="708"/>
        <w:jc w:val="both"/>
        <w:rPr>
          <w:color w:val="000000"/>
        </w:rPr>
      </w:pPr>
      <w:r w:rsidRPr="00351C80">
        <w:rPr>
          <w:color w:val="000000"/>
        </w:rPr>
        <w:t>The facts collected and described above indicate not isolated instances of errors in law enforcement, but the formation of a sustained administrative and political practice aimed at restricting the rights of believers and clergy of the Orthodox Church of Moldova (OCM), while simultaneously creating privileged conditions for another religious denomination — the Bessarabian Metropolis of the Romanian Orthodox Church.</w:t>
      </w:r>
    </w:p>
    <w:p w14:paraId="3345F1B2" w14:textId="7D9461F4" w:rsidR="00A52C53" w:rsidRPr="00351C80" w:rsidRDefault="00A52C53" w:rsidP="00351C80">
      <w:pPr>
        <w:pStyle w:val="a6"/>
        <w:spacing w:line="276" w:lineRule="auto"/>
        <w:ind w:firstLine="360"/>
        <w:jc w:val="both"/>
        <w:rPr>
          <w:color w:val="000000"/>
        </w:rPr>
      </w:pPr>
      <w:r w:rsidRPr="00351C80">
        <w:rPr>
          <w:color w:val="000000"/>
        </w:rPr>
        <w:t>Such a practice corresponds to the characteristics which UN Special Rapporteurs</w:t>
      </w:r>
      <w:r w:rsidRPr="00351C80">
        <w:rPr>
          <w:rStyle w:val="a5"/>
          <w:color w:val="000000"/>
        </w:rPr>
        <w:footnoteReference w:id="25"/>
      </w:r>
      <w:r w:rsidRPr="00351C80">
        <w:rPr>
          <w:color w:val="000000"/>
        </w:rPr>
        <w:t>, in their communications, qualify as:</w:t>
      </w:r>
    </w:p>
    <w:p w14:paraId="1D55FF0D" w14:textId="77777777" w:rsidR="00A52C53" w:rsidRPr="00351C80" w:rsidRDefault="00A52C53">
      <w:pPr>
        <w:pStyle w:val="a6"/>
        <w:numPr>
          <w:ilvl w:val="0"/>
          <w:numId w:val="17"/>
        </w:numPr>
        <w:spacing w:line="276" w:lineRule="auto"/>
        <w:rPr>
          <w:color w:val="000000"/>
        </w:rPr>
      </w:pPr>
      <w:r w:rsidRPr="00351C80">
        <w:rPr>
          <w:color w:val="000000"/>
        </w:rPr>
        <w:t>discrimination on the grounds of religion;</w:t>
      </w:r>
    </w:p>
    <w:p w14:paraId="072650D8" w14:textId="77777777" w:rsidR="00A52C53" w:rsidRPr="00351C80" w:rsidRDefault="00A52C53">
      <w:pPr>
        <w:pStyle w:val="a6"/>
        <w:numPr>
          <w:ilvl w:val="0"/>
          <w:numId w:val="17"/>
        </w:numPr>
        <w:spacing w:line="276" w:lineRule="auto"/>
        <w:rPr>
          <w:color w:val="000000"/>
        </w:rPr>
      </w:pPr>
      <w:r w:rsidRPr="00351C80">
        <w:rPr>
          <w:color w:val="000000"/>
        </w:rPr>
        <w:t>state-sponsored proselytism;</w:t>
      </w:r>
    </w:p>
    <w:p w14:paraId="63F82E02" w14:textId="77777777" w:rsidR="00A52C53" w:rsidRPr="00351C80" w:rsidRDefault="00A52C53">
      <w:pPr>
        <w:pStyle w:val="a6"/>
        <w:numPr>
          <w:ilvl w:val="0"/>
          <w:numId w:val="17"/>
        </w:numPr>
        <w:spacing w:line="276" w:lineRule="auto"/>
        <w:rPr>
          <w:color w:val="000000"/>
        </w:rPr>
      </w:pPr>
      <w:r w:rsidRPr="00351C80">
        <w:rPr>
          <w:color w:val="000000"/>
        </w:rPr>
        <w:t>indirect coercion aimed at changing religious affiliation;</w:t>
      </w:r>
    </w:p>
    <w:p w14:paraId="4309DDC4" w14:textId="77777777" w:rsidR="00A52C53" w:rsidRPr="00351C80" w:rsidRDefault="00A52C53">
      <w:pPr>
        <w:pStyle w:val="a6"/>
        <w:numPr>
          <w:ilvl w:val="0"/>
          <w:numId w:val="17"/>
        </w:numPr>
        <w:spacing w:line="276" w:lineRule="auto"/>
        <w:rPr>
          <w:color w:val="000000"/>
        </w:rPr>
      </w:pPr>
      <w:r w:rsidRPr="00351C80">
        <w:rPr>
          <w:color w:val="000000"/>
        </w:rPr>
        <w:t>the use of repressive and vague legal norms to exert pressure on a religious group.</w:t>
      </w:r>
    </w:p>
    <w:p w14:paraId="09FF65FA" w14:textId="2DCB3064" w:rsidR="00A52C53" w:rsidRPr="00351C80" w:rsidRDefault="00291C2A" w:rsidP="00351C80">
      <w:pPr>
        <w:pStyle w:val="3"/>
        <w:spacing w:line="276" w:lineRule="auto"/>
        <w:rPr>
          <w:color w:val="000000"/>
          <w:sz w:val="24"/>
          <w:szCs w:val="24"/>
        </w:rPr>
      </w:pPr>
      <w:r>
        <w:rPr>
          <w:color w:val="000000"/>
          <w:sz w:val="24"/>
          <w:szCs w:val="24"/>
          <w:lang w:val="en-US"/>
        </w:rPr>
        <w:t>6</w:t>
      </w:r>
      <w:r w:rsidR="00A52C53" w:rsidRPr="00351C80">
        <w:rPr>
          <w:color w:val="000000"/>
          <w:sz w:val="24"/>
          <w:szCs w:val="24"/>
        </w:rPr>
        <w:t>.2. Violation of Article 18 of the ICCPR (freedom of religion or belief)</w:t>
      </w:r>
    </w:p>
    <w:p w14:paraId="25F7D5C1" w14:textId="5C34B992" w:rsidR="00A52C53" w:rsidRPr="00351C80" w:rsidRDefault="00291C2A" w:rsidP="00351C80">
      <w:pPr>
        <w:pStyle w:val="4"/>
        <w:spacing w:line="276" w:lineRule="auto"/>
        <w:rPr>
          <w:rFonts w:ascii="Times New Roman" w:hAnsi="Times New Roman" w:cs="Times New Roman"/>
          <w:color w:val="000000"/>
        </w:rPr>
      </w:pPr>
      <w:r>
        <w:rPr>
          <w:rFonts w:ascii="Times New Roman" w:hAnsi="Times New Roman" w:cs="Times New Roman"/>
          <w:color w:val="000000"/>
          <w:lang w:val="en-US"/>
        </w:rPr>
        <w:t>6</w:t>
      </w:r>
      <w:r w:rsidR="00A52C53" w:rsidRPr="00351C80">
        <w:rPr>
          <w:rFonts w:ascii="Times New Roman" w:hAnsi="Times New Roman" w:cs="Times New Roman"/>
          <w:color w:val="000000"/>
        </w:rPr>
        <w:t>.2.1. Coercion and state proselytism</w:t>
      </w:r>
    </w:p>
    <w:p w14:paraId="2FD00DDA" w14:textId="77777777" w:rsidR="00A52C53" w:rsidRPr="00351C80" w:rsidRDefault="00A52C53" w:rsidP="00351C80">
      <w:pPr>
        <w:pStyle w:val="a6"/>
        <w:spacing w:line="276" w:lineRule="auto"/>
        <w:ind w:firstLine="708"/>
        <w:jc w:val="both"/>
        <w:rPr>
          <w:color w:val="000000"/>
        </w:rPr>
      </w:pPr>
      <w:r w:rsidRPr="00351C80">
        <w:rPr>
          <w:color w:val="000000"/>
        </w:rPr>
        <w:t>Pursuant to Article 18 of the ICCPR, freedom of religion includes not only the right to profess a religion, but also the right to act without coercion that could impair the freedom to have or to adopt a religion or belief of one’s choice.</w:t>
      </w:r>
    </w:p>
    <w:p w14:paraId="5BB03BA3" w14:textId="47A0B707" w:rsidR="00A52C53" w:rsidRPr="00351C80" w:rsidRDefault="00A52C53" w:rsidP="00351C80">
      <w:pPr>
        <w:pStyle w:val="a6"/>
        <w:spacing w:line="276" w:lineRule="auto"/>
        <w:ind w:firstLine="708"/>
        <w:rPr>
          <w:color w:val="000000"/>
        </w:rPr>
      </w:pPr>
      <w:r w:rsidRPr="00351C80">
        <w:rPr>
          <w:color w:val="000000"/>
        </w:rPr>
        <w:t>The UN Human Rights Committee, in its</w:t>
      </w:r>
      <w:r w:rsidRPr="00351C80">
        <w:rPr>
          <w:rStyle w:val="apple-converted-space"/>
          <w:color w:val="000000"/>
        </w:rPr>
        <w:t> </w:t>
      </w:r>
      <w:r w:rsidRPr="00351C80">
        <w:rPr>
          <w:rStyle w:val="a9"/>
          <w:color w:val="000000"/>
        </w:rPr>
        <w:t>General Comment No. 22</w:t>
      </w:r>
      <w:r w:rsidRPr="00351C80">
        <w:rPr>
          <w:rStyle w:val="a5"/>
          <w:b/>
          <w:bCs/>
          <w:color w:val="000000"/>
        </w:rPr>
        <w:footnoteReference w:id="26"/>
      </w:r>
      <w:r w:rsidRPr="00351C80">
        <w:rPr>
          <w:color w:val="000000"/>
        </w:rPr>
        <w:t>, expressly states that:</w:t>
      </w:r>
    </w:p>
    <w:p w14:paraId="12ECB515" w14:textId="77777777" w:rsidR="00A52C53" w:rsidRPr="00351C80" w:rsidRDefault="00A52C53" w:rsidP="00351C80">
      <w:pPr>
        <w:pStyle w:val="a6"/>
        <w:spacing w:line="276" w:lineRule="auto"/>
        <w:ind w:firstLine="360"/>
        <w:rPr>
          <w:color w:val="000000"/>
        </w:rPr>
      </w:pPr>
      <w:r w:rsidRPr="00351C80">
        <w:rPr>
          <w:color w:val="000000"/>
        </w:rPr>
        <w:t>“Any form of coercion is prohibited that has the purpose or effect of changing religious beliefs, including the use of economic, administrative or other forms of pressure.”</w:t>
      </w:r>
    </w:p>
    <w:p w14:paraId="1DEBAA71" w14:textId="77777777" w:rsidR="00A52C53" w:rsidRPr="00351C80" w:rsidRDefault="00A52C53" w:rsidP="00351C80">
      <w:pPr>
        <w:pStyle w:val="a6"/>
        <w:spacing w:line="276" w:lineRule="auto"/>
        <w:ind w:firstLine="360"/>
        <w:rPr>
          <w:color w:val="000000"/>
        </w:rPr>
      </w:pPr>
      <w:r w:rsidRPr="00351C80">
        <w:rPr>
          <w:color w:val="000000"/>
        </w:rPr>
        <w:t>In UN practice, prohibited forms of coercion include:</w:t>
      </w:r>
    </w:p>
    <w:p w14:paraId="74F67349" w14:textId="77777777" w:rsidR="00A52C53" w:rsidRPr="00351C80" w:rsidRDefault="00A52C53">
      <w:pPr>
        <w:pStyle w:val="a6"/>
        <w:numPr>
          <w:ilvl w:val="0"/>
          <w:numId w:val="18"/>
        </w:numPr>
        <w:spacing w:line="276" w:lineRule="auto"/>
        <w:rPr>
          <w:color w:val="000000"/>
        </w:rPr>
      </w:pPr>
      <w:r w:rsidRPr="00351C80">
        <w:rPr>
          <w:color w:val="000000"/>
        </w:rPr>
        <w:t>economic pressure;</w:t>
      </w:r>
    </w:p>
    <w:p w14:paraId="4563F14C" w14:textId="57119E9F" w:rsidR="00351C80" w:rsidRPr="00351C80" w:rsidRDefault="00A52C53">
      <w:pPr>
        <w:pStyle w:val="a6"/>
        <w:numPr>
          <w:ilvl w:val="0"/>
          <w:numId w:val="18"/>
        </w:numPr>
        <w:spacing w:line="276" w:lineRule="auto"/>
        <w:rPr>
          <w:color w:val="000000"/>
        </w:rPr>
      </w:pPr>
      <w:r w:rsidRPr="00351C80">
        <w:rPr>
          <w:color w:val="000000"/>
        </w:rPr>
        <w:t>the creation of unequal conditions between religious denominations;</w:t>
      </w:r>
    </w:p>
    <w:p w14:paraId="1369A269" w14:textId="10FE1019" w:rsidR="00A52C53" w:rsidRPr="00351C80" w:rsidRDefault="00A52C53">
      <w:pPr>
        <w:pStyle w:val="a6"/>
        <w:numPr>
          <w:ilvl w:val="0"/>
          <w:numId w:val="18"/>
        </w:numPr>
        <w:spacing w:line="276" w:lineRule="auto"/>
        <w:rPr>
          <w:color w:val="000000"/>
        </w:rPr>
      </w:pPr>
      <w:r w:rsidRPr="00351C80">
        <w:rPr>
          <w:color w:val="000000"/>
        </w:rPr>
        <w:t>financial incentives or sanctions influencing religious choice;</w:t>
      </w:r>
    </w:p>
    <w:p w14:paraId="5688420D" w14:textId="77777777" w:rsidR="00A52C53" w:rsidRPr="00351C80" w:rsidRDefault="00A52C53">
      <w:pPr>
        <w:pStyle w:val="a6"/>
        <w:numPr>
          <w:ilvl w:val="0"/>
          <w:numId w:val="18"/>
        </w:numPr>
        <w:spacing w:line="276" w:lineRule="auto"/>
        <w:rPr>
          <w:color w:val="000000"/>
        </w:rPr>
      </w:pPr>
      <w:r w:rsidRPr="00351C80">
        <w:rPr>
          <w:color w:val="000000"/>
        </w:rPr>
        <w:t>state support for one denomination accompanied by restrictions imposed on another.</w:t>
      </w:r>
    </w:p>
    <w:p w14:paraId="445AD77F" w14:textId="77777777" w:rsidR="00A52C53" w:rsidRPr="00351C80" w:rsidRDefault="00A52C53" w:rsidP="00351C80">
      <w:pPr>
        <w:pStyle w:val="a6"/>
        <w:spacing w:line="276" w:lineRule="auto"/>
        <w:rPr>
          <w:color w:val="000000"/>
        </w:rPr>
      </w:pPr>
      <w:r w:rsidRPr="00351C80">
        <w:rPr>
          <w:color w:val="000000"/>
        </w:rPr>
        <w:t>In the case of the Republic of Moldova:</w:t>
      </w:r>
    </w:p>
    <w:p w14:paraId="6C09F6C1" w14:textId="77777777" w:rsidR="00A52C53" w:rsidRPr="00351C80" w:rsidRDefault="00A52C53">
      <w:pPr>
        <w:pStyle w:val="a6"/>
        <w:numPr>
          <w:ilvl w:val="0"/>
          <w:numId w:val="19"/>
        </w:numPr>
        <w:spacing w:line="276" w:lineRule="auto"/>
        <w:rPr>
          <w:color w:val="000000"/>
        </w:rPr>
      </w:pPr>
      <w:r w:rsidRPr="00351C80">
        <w:rPr>
          <w:color w:val="000000"/>
        </w:rPr>
        <w:t>the Orthodox Church of Moldova is deprived of the possibility of receiving donations and funding from abroad, including from the religious center with which it is canonically affiliated (the Russian Orthodox Church);</w:t>
      </w:r>
    </w:p>
    <w:p w14:paraId="554C3F3A" w14:textId="77777777" w:rsidR="00A52C53" w:rsidRPr="00351C80" w:rsidRDefault="00A52C53">
      <w:pPr>
        <w:pStyle w:val="a6"/>
        <w:numPr>
          <w:ilvl w:val="0"/>
          <w:numId w:val="19"/>
        </w:numPr>
        <w:spacing w:line="276" w:lineRule="auto"/>
        <w:rPr>
          <w:color w:val="000000"/>
        </w:rPr>
      </w:pPr>
      <w:r w:rsidRPr="00351C80">
        <w:rPr>
          <w:color w:val="000000"/>
        </w:rPr>
        <w:t>at the same time, the Bessarabian Metropolis freely receives systematic funding from another State (Romania), including remuneration of clergy and the construction and renovation of places of worship.</w:t>
      </w:r>
    </w:p>
    <w:p w14:paraId="69226A50" w14:textId="77777777" w:rsidR="00A52C53" w:rsidRPr="00351C80" w:rsidRDefault="00A52C53" w:rsidP="00351C80">
      <w:pPr>
        <w:pStyle w:val="a6"/>
        <w:spacing w:line="276" w:lineRule="auto"/>
        <w:ind w:firstLine="360"/>
        <w:rPr>
          <w:color w:val="000000"/>
        </w:rPr>
      </w:pPr>
      <w:r w:rsidRPr="00351C80">
        <w:rPr>
          <w:color w:val="000000"/>
        </w:rPr>
        <w:lastRenderedPageBreak/>
        <w:t>Such a difference in the legal regime governing religious financing cannot be justified by neutral considerations and constitutes state proselytism, which is directly prohibited under international law.</w:t>
      </w:r>
    </w:p>
    <w:p w14:paraId="2DA50311" w14:textId="163C42C3" w:rsidR="00A52C53" w:rsidRPr="00351C80" w:rsidRDefault="00A52C53" w:rsidP="00351C80">
      <w:pPr>
        <w:pStyle w:val="a6"/>
        <w:spacing w:line="276" w:lineRule="auto"/>
        <w:ind w:firstLine="360"/>
        <w:rPr>
          <w:color w:val="000000"/>
        </w:rPr>
      </w:pPr>
      <w:r w:rsidRPr="00351C80">
        <w:rPr>
          <w:color w:val="000000"/>
        </w:rPr>
        <w:t>The European Court of Human Rights has repeatedly emphasized that the State is obliged to maintain confessional neutrality and may not use economic or administrative measures to reshape the religious landscape (see</w:t>
      </w:r>
      <w:r w:rsidRPr="00351C80">
        <w:rPr>
          <w:rStyle w:val="apple-converted-space"/>
          <w:color w:val="000000"/>
        </w:rPr>
        <w:t> </w:t>
      </w:r>
      <w:r w:rsidRPr="00351C80">
        <w:rPr>
          <w:rStyle w:val="aa"/>
          <w:color w:val="000000"/>
        </w:rPr>
        <w:t>Metropolitan Church of Bessarabia v. Moldova</w:t>
      </w:r>
      <w:r w:rsidRPr="00351C80">
        <w:rPr>
          <w:color w:val="000000"/>
        </w:rPr>
        <w:t>, 2001).</w:t>
      </w:r>
    </w:p>
    <w:p w14:paraId="2E735F6B" w14:textId="76992576" w:rsidR="00A52C53" w:rsidRPr="00351C80" w:rsidRDefault="00291C2A" w:rsidP="00351C80">
      <w:pPr>
        <w:pStyle w:val="3"/>
        <w:spacing w:line="276" w:lineRule="auto"/>
        <w:rPr>
          <w:color w:val="000000"/>
          <w:sz w:val="24"/>
          <w:szCs w:val="24"/>
        </w:rPr>
      </w:pPr>
      <w:r>
        <w:rPr>
          <w:color w:val="000000"/>
          <w:sz w:val="24"/>
          <w:szCs w:val="24"/>
          <w:lang w:val="en-US"/>
        </w:rPr>
        <w:t>6</w:t>
      </w:r>
      <w:r w:rsidR="00A52C53" w:rsidRPr="00351C80">
        <w:rPr>
          <w:color w:val="000000"/>
          <w:sz w:val="24"/>
          <w:szCs w:val="24"/>
        </w:rPr>
        <w:t>.3. Violation of Article 12 of the ICCPR (freedom of movement) in conjunction with Article 18 of the ICCPR</w:t>
      </w:r>
    </w:p>
    <w:p w14:paraId="1B206736" w14:textId="77777777" w:rsidR="00A52C53" w:rsidRPr="00351C80" w:rsidRDefault="00A52C53" w:rsidP="00351C80">
      <w:pPr>
        <w:pStyle w:val="a6"/>
        <w:spacing w:line="276" w:lineRule="auto"/>
        <w:ind w:firstLine="360"/>
        <w:jc w:val="both"/>
        <w:rPr>
          <w:color w:val="000000"/>
        </w:rPr>
      </w:pPr>
      <w:r w:rsidRPr="00351C80">
        <w:rPr>
          <w:color w:val="000000"/>
        </w:rPr>
        <w:t>The facts concerning the blocking of travel abroad by believers and hierarchs of the Orthodox Church of Moldova for the purpose of participating in pilgrimages — including detentions at airports, repeated police stops, confiscation of documents, and the effective disruption of travel — amount to a двойное нарушение (dual violation):</w:t>
      </w:r>
    </w:p>
    <w:p w14:paraId="45244634" w14:textId="77777777" w:rsidR="00A52C53" w:rsidRPr="00351C80" w:rsidRDefault="00A52C53">
      <w:pPr>
        <w:pStyle w:val="a6"/>
        <w:numPr>
          <w:ilvl w:val="0"/>
          <w:numId w:val="20"/>
        </w:numPr>
        <w:spacing w:line="276" w:lineRule="auto"/>
        <w:rPr>
          <w:color w:val="000000"/>
        </w:rPr>
      </w:pPr>
      <w:r w:rsidRPr="00351C80">
        <w:rPr>
          <w:rStyle w:val="a9"/>
          <w:color w:val="000000"/>
        </w:rPr>
        <w:t>Article 12 of the ICCPR</w:t>
      </w:r>
      <w:r w:rsidRPr="00351C80">
        <w:rPr>
          <w:rStyle w:val="apple-converted-space"/>
          <w:color w:val="000000"/>
        </w:rPr>
        <w:t> </w:t>
      </w:r>
      <w:r w:rsidRPr="00351C80">
        <w:rPr>
          <w:color w:val="000000"/>
        </w:rPr>
        <w:t>— the right of everyone to leave any country, including their own;</w:t>
      </w:r>
    </w:p>
    <w:p w14:paraId="1BA60C97" w14:textId="77777777" w:rsidR="00A52C53" w:rsidRPr="00351C80" w:rsidRDefault="00A52C53">
      <w:pPr>
        <w:pStyle w:val="a6"/>
        <w:numPr>
          <w:ilvl w:val="0"/>
          <w:numId w:val="20"/>
        </w:numPr>
        <w:spacing w:line="276" w:lineRule="auto"/>
        <w:rPr>
          <w:color w:val="000000"/>
        </w:rPr>
      </w:pPr>
      <w:r w:rsidRPr="00351C80">
        <w:rPr>
          <w:rStyle w:val="a9"/>
          <w:color w:val="000000"/>
        </w:rPr>
        <w:t>Article 18 of the ICCPR</w:t>
      </w:r>
      <w:r w:rsidRPr="00351C80">
        <w:rPr>
          <w:rStyle w:val="apple-converted-space"/>
          <w:color w:val="000000"/>
        </w:rPr>
        <w:t> </w:t>
      </w:r>
      <w:r w:rsidRPr="00351C80">
        <w:rPr>
          <w:color w:val="000000"/>
        </w:rPr>
        <w:t>— the right to manifest religion (pilgrimage as a form of manifestation of religion).</w:t>
      </w:r>
    </w:p>
    <w:p w14:paraId="4C3DAC36" w14:textId="77777777" w:rsidR="00A52C53" w:rsidRPr="00351C80" w:rsidRDefault="00A52C53" w:rsidP="00351C80">
      <w:pPr>
        <w:pStyle w:val="a6"/>
        <w:spacing w:line="276" w:lineRule="auto"/>
        <w:ind w:firstLine="360"/>
        <w:jc w:val="both"/>
        <w:rPr>
          <w:color w:val="000000"/>
        </w:rPr>
      </w:pPr>
      <w:r w:rsidRPr="00351C80">
        <w:rPr>
          <w:color w:val="000000"/>
        </w:rPr>
        <w:t>The UN Human Rights Committee emphasizes that any restrictions on freedom of movement:</w:t>
      </w:r>
    </w:p>
    <w:p w14:paraId="750465A9" w14:textId="77777777" w:rsidR="00A52C53" w:rsidRPr="00351C80" w:rsidRDefault="00A52C53">
      <w:pPr>
        <w:pStyle w:val="a6"/>
        <w:numPr>
          <w:ilvl w:val="0"/>
          <w:numId w:val="21"/>
        </w:numPr>
        <w:spacing w:line="276" w:lineRule="auto"/>
        <w:rPr>
          <w:color w:val="000000"/>
        </w:rPr>
      </w:pPr>
      <w:r w:rsidRPr="00351C80">
        <w:rPr>
          <w:color w:val="000000"/>
        </w:rPr>
        <w:t>must be provided by law;</w:t>
      </w:r>
    </w:p>
    <w:p w14:paraId="44BD00A0" w14:textId="77777777" w:rsidR="00A52C53" w:rsidRPr="00351C80" w:rsidRDefault="00A52C53">
      <w:pPr>
        <w:pStyle w:val="a6"/>
        <w:numPr>
          <w:ilvl w:val="0"/>
          <w:numId w:val="21"/>
        </w:numPr>
        <w:spacing w:line="276" w:lineRule="auto"/>
        <w:rPr>
          <w:color w:val="000000"/>
        </w:rPr>
      </w:pPr>
      <w:r w:rsidRPr="00351C80">
        <w:rPr>
          <w:color w:val="000000"/>
        </w:rPr>
        <w:t>must be necessary and proportionate;</w:t>
      </w:r>
    </w:p>
    <w:p w14:paraId="21CDDA43" w14:textId="77777777" w:rsidR="00A52C53" w:rsidRPr="00351C80" w:rsidRDefault="00A52C53">
      <w:pPr>
        <w:pStyle w:val="a6"/>
        <w:numPr>
          <w:ilvl w:val="0"/>
          <w:numId w:val="21"/>
        </w:numPr>
        <w:spacing w:line="276" w:lineRule="auto"/>
        <w:rPr>
          <w:color w:val="000000"/>
        </w:rPr>
      </w:pPr>
      <w:r w:rsidRPr="00351C80">
        <w:rPr>
          <w:color w:val="000000"/>
        </w:rPr>
        <w:t>must not be discriminatory in nature.</w:t>
      </w:r>
    </w:p>
    <w:p w14:paraId="713AF189" w14:textId="77777777" w:rsidR="00A52C53" w:rsidRPr="00351C80" w:rsidRDefault="00A52C53" w:rsidP="00351C80">
      <w:pPr>
        <w:pStyle w:val="a6"/>
        <w:spacing w:line="276" w:lineRule="auto"/>
        <w:ind w:firstLine="360"/>
        <w:jc w:val="both"/>
        <w:rPr>
          <w:color w:val="000000"/>
        </w:rPr>
      </w:pPr>
      <w:r w:rsidRPr="00351C80">
        <w:rPr>
          <w:color w:val="000000"/>
        </w:rPr>
        <w:t>Blocking pilgrimages exclusively for believers of the Orthodox Church of Moldova, without individualized and substantiated justification, fails to meet the criteria of necessity and proportionality and, when combined with other forms of pressure, constitutes coercion aimed at forcing renunciation of religious identity — which is impermissible even when national security is invoked.</w:t>
      </w:r>
    </w:p>
    <w:p w14:paraId="59F85934" w14:textId="16C26900" w:rsidR="00351C80" w:rsidRPr="00351C80" w:rsidRDefault="00A52C53" w:rsidP="008B533F">
      <w:pPr>
        <w:pStyle w:val="a6"/>
        <w:spacing w:line="276" w:lineRule="auto"/>
        <w:ind w:firstLine="360"/>
        <w:jc w:val="both"/>
        <w:rPr>
          <w:color w:val="000000"/>
        </w:rPr>
      </w:pPr>
      <w:r w:rsidRPr="00351C80">
        <w:rPr>
          <w:color w:val="000000"/>
        </w:rPr>
        <w:t xml:space="preserve">As emphasized by </w:t>
      </w:r>
      <w:r w:rsidR="00351C80" w:rsidRPr="00351C80">
        <w:rPr>
          <w:color w:val="000000"/>
          <w:lang w:val="en-US"/>
        </w:rPr>
        <w:t>int</w:t>
      </w:r>
      <w:r w:rsidR="00351C80">
        <w:rPr>
          <w:color w:val="000000"/>
          <w:lang w:val="en-US"/>
        </w:rPr>
        <w:t xml:space="preserve">ernational law, opinions of </w:t>
      </w:r>
      <w:r w:rsidRPr="00351C80">
        <w:rPr>
          <w:color w:val="000000"/>
        </w:rPr>
        <w:t>UN Special Rapporteurs, national security is not a permissible ground for restricting freedom of religion within the meaning of Article 18(3) of the ICCPR.</w:t>
      </w:r>
    </w:p>
    <w:p w14:paraId="58D0474A" w14:textId="49E9C4E0" w:rsidR="00A52C53" w:rsidRPr="00351C80" w:rsidRDefault="00291C2A" w:rsidP="00351C80">
      <w:pPr>
        <w:pStyle w:val="3"/>
        <w:spacing w:line="276" w:lineRule="auto"/>
        <w:rPr>
          <w:color w:val="000000"/>
          <w:sz w:val="24"/>
          <w:szCs w:val="24"/>
        </w:rPr>
      </w:pPr>
      <w:r>
        <w:rPr>
          <w:color w:val="000000"/>
          <w:sz w:val="24"/>
          <w:szCs w:val="24"/>
          <w:lang w:val="en-US"/>
        </w:rPr>
        <w:t>6</w:t>
      </w:r>
      <w:r w:rsidR="00A52C53" w:rsidRPr="00351C80">
        <w:rPr>
          <w:color w:val="000000"/>
          <w:sz w:val="24"/>
          <w:szCs w:val="24"/>
        </w:rPr>
        <w:t>.4. Violation of Articles 14, 15, and 26 of the ICCPR in connection with the application of Article 471 of the Moldovan Code of Administrative Offenses</w:t>
      </w:r>
    </w:p>
    <w:p w14:paraId="494BD293" w14:textId="01102753" w:rsidR="00A52C53" w:rsidRPr="00351C80" w:rsidRDefault="00291C2A" w:rsidP="00351C80">
      <w:pPr>
        <w:pStyle w:val="4"/>
        <w:spacing w:line="276" w:lineRule="auto"/>
        <w:rPr>
          <w:rFonts w:ascii="Times New Roman" w:hAnsi="Times New Roman" w:cs="Times New Roman"/>
          <w:color w:val="000000"/>
        </w:rPr>
      </w:pPr>
      <w:r>
        <w:rPr>
          <w:rFonts w:ascii="Times New Roman" w:hAnsi="Times New Roman" w:cs="Times New Roman"/>
          <w:color w:val="000000"/>
          <w:lang w:val="en-US"/>
        </w:rPr>
        <w:t>6</w:t>
      </w:r>
      <w:r w:rsidR="00A52C53" w:rsidRPr="00351C80">
        <w:rPr>
          <w:rFonts w:ascii="Times New Roman" w:hAnsi="Times New Roman" w:cs="Times New Roman"/>
          <w:color w:val="000000"/>
        </w:rPr>
        <w:t>.</w:t>
      </w:r>
      <w:r>
        <w:rPr>
          <w:rFonts w:ascii="Times New Roman" w:hAnsi="Times New Roman" w:cs="Times New Roman"/>
          <w:color w:val="000000"/>
          <w:lang w:val="en-US"/>
        </w:rPr>
        <w:t>4</w:t>
      </w:r>
      <w:r w:rsidR="00A52C53" w:rsidRPr="00351C80">
        <w:rPr>
          <w:rFonts w:ascii="Times New Roman" w:hAnsi="Times New Roman" w:cs="Times New Roman"/>
          <w:color w:val="000000"/>
        </w:rPr>
        <w:t>.1. Lack of legal certainty and presumption of innocence</w:t>
      </w:r>
    </w:p>
    <w:p w14:paraId="7CDA326E" w14:textId="77777777" w:rsidR="00A52C53" w:rsidRPr="00351C80" w:rsidRDefault="00A52C53" w:rsidP="00351C80">
      <w:pPr>
        <w:pStyle w:val="a6"/>
        <w:spacing w:line="276" w:lineRule="auto"/>
        <w:ind w:firstLine="360"/>
        <w:rPr>
          <w:color w:val="000000"/>
        </w:rPr>
      </w:pPr>
      <w:r w:rsidRPr="00351C80">
        <w:rPr>
          <w:color w:val="000000"/>
        </w:rPr>
        <w:t>The mass imposition of administrative liability on believers of the Orthodox Church of Moldova under Article 471 (“Passive Electoral Corruption”):</w:t>
      </w:r>
    </w:p>
    <w:p w14:paraId="59CDAEC7" w14:textId="77777777" w:rsidR="00A52C53" w:rsidRPr="00351C80" w:rsidRDefault="00A52C53">
      <w:pPr>
        <w:pStyle w:val="a6"/>
        <w:numPr>
          <w:ilvl w:val="0"/>
          <w:numId w:val="22"/>
        </w:numPr>
        <w:spacing w:line="276" w:lineRule="auto"/>
        <w:rPr>
          <w:color w:val="000000"/>
        </w:rPr>
      </w:pPr>
      <w:r w:rsidRPr="00351C80">
        <w:rPr>
          <w:color w:val="000000"/>
        </w:rPr>
        <w:t>for receiving SMS messages from a bank;</w:t>
      </w:r>
    </w:p>
    <w:p w14:paraId="42B6FC35" w14:textId="77777777" w:rsidR="00A52C53" w:rsidRPr="00351C80" w:rsidRDefault="00A52C53">
      <w:pPr>
        <w:pStyle w:val="a6"/>
        <w:numPr>
          <w:ilvl w:val="0"/>
          <w:numId w:val="22"/>
        </w:numPr>
        <w:spacing w:line="276" w:lineRule="auto"/>
        <w:rPr>
          <w:color w:val="000000"/>
        </w:rPr>
      </w:pPr>
      <w:r w:rsidRPr="00351C80">
        <w:rPr>
          <w:color w:val="000000"/>
        </w:rPr>
        <w:t>for installing banking applications;</w:t>
      </w:r>
    </w:p>
    <w:p w14:paraId="00F65706" w14:textId="77777777" w:rsidR="00A52C53" w:rsidRPr="00351C80" w:rsidRDefault="00A52C53">
      <w:pPr>
        <w:pStyle w:val="a6"/>
        <w:numPr>
          <w:ilvl w:val="0"/>
          <w:numId w:val="22"/>
        </w:numPr>
        <w:spacing w:line="276" w:lineRule="auto"/>
        <w:rPr>
          <w:color w:val="000000"/>
        </w:rPr>
      </w:pPr>
      <w:r w:rsidRPr="00351C80">
        <w:rPr>
          <w:color w:val="000000"/>
        </w:rPr>
        <w:t>in the absence of evidence of receipt of funds or intent to influence voting,</w:t>
      </w:r>
    </w:p>
    <w:p w14:paraId="05752586" w14:textId="77777777" w:rsidR="00A52C53" w:rsidRPr="00351C80" w:rsidRDefault="00A52C53" w:rsidP="00351C80">
      <w:pPr>
        <w:pStyle w:val="a6"/>
        <w:spacing w:line="276" w:lineRule="auto"/>
        <w:rPr>
          <w:color w:val="000000"/>
        </w:rPr>
      </w:pPr>
      <w:r w:rsidRPr="00351C80">
        <w:rPr>
          <w:color w:val="000000"/>
        </w:rPr>
        <w:lastRenderedPageBreak/>
        <w:t>constitutes a violation of:</w:t>
      </w:r>
    </w:p>
    <w:p w14:paraId="7A2D3CD3" w14:textId="77777777" w:rsidR="00A52C53" w:rsidRPr="00351C80" w:rsidRDefault="00A52C53">
      <w:pPr>
        <w:pStyle w:val="a6"/>
        <w:numPr>
          <w:ilvl w:val="0"/>
          <w:numId w:val="23"/>
        </w:numPr>
        <w:spacing w:line="276" w:lineRule="auto"/>
        <w:rPr>
          <w:color w:val="000000"/>
        </w:rPr>
      </w:pPr>
      <w:r w:rsidRPr="00351C80">
        <w:rPr>
          <w:rStyle w:val="a9"/>
          <w:color w:val="000000"/>
        </w:rPr>
        <w:t>Article 14 of the ICCPR</w:t>
      </w:r>
      <w:r w:rsidRPr="00351C80">
        <w:rPr>
          <w:rStyle w:val="apple-converted-space"/>
          <w:color w:val="000000"/>
        </w:rPr>
        <w:t> </w:t>
      </w:r>
      <w:r w:rsidRPr="00351C80">
        <w:rPr>
          <w:color w:val="000000"/>
        </w:rPr>
        <w:t>(right to a fair trial);</w:t>
      </w:r>
    </w:p>
    <w:p w14:paraId="34836A5D" w14:textId="77777777" w:rsidR="00A52C53" w:rsidRPr="00351C80" w:rsidRDefault="00A52C53">
      <w:pPr>
        <w:pStyle w:val="a6"/>
        <w:numPr>
          <w:ilvl w:val="0"/>
          <w:numId w:val="23"/>
        </w:numPr>
        <w:spacing w:line="276" w:lineRule="auto"/>
        <w:rPr>
          <w:color w:val="000000"/>
        </w:rPr>
      </w:pPr>
      <w:r w:rsidRPr="00351C80">
        <w:rPr>
          <w:rStyle w:val="a9"/>
          <w:color w:val="000000"/>
        </w:rPr>
        <w:t>Article 15 of the ICCPR</w:t>
      </w:r>
      <w:r w:rsidRPr="00351C80">
        <w:rPr>
          <w:rStyle w:val="apple-converted-space"/>
          <w:color w:val="000000"/>
        </w:rPr>
        <w:t> </w:t>
      </w:r>
      <w:r w:rsidRPr="00351C80">
        <w:rPr>
          <w:color w:val="000000"/>
        </w:rPr>
        <w:t>(principle of legality and legal certainty);</w:t>
      </w:r>
    </w:p>
    <w:p w14:paraId="3094482E" w14:textId="77777777" w:rsidR="00A52C53" w:rsidRPr="00351C80" w:rsidRDefault="00A52C53">
      <w:pPr>
        <w:pStyle w:val="a6"/>
        <w:numPr>
          <w:ilvl w:val="0"/>
          <w:numId w:val="23"/>
        </w:numPr>
        <w:spacing w:line="276" w:lineRule="auto"/>
        <w:rPr>
          <w:color w:val="000000"/>
        </w:rPr>
      </w:pPr>
      <w:r w:rsidRPr="00351C80">
        <w:rPr>
          <w:rStyle w:val="a9"/>
          <w:color w:val="000000"/>
        </w:rPr>
        <w:t>Article 26 of the ICCPR</w:t>
      </w:r>
      <w:r w:rsidRPr="00351C80">
        <w:rPr>
          <w:rStyle w:val="apple-converted-space"/>
          <w:color w:val="000000"/>
        </w:rPr>
        <w:t> </w:t>
      </w:r>
      <w:r w:rsidRPr="00351C80">
        <w:rPr>
          <w:color w:val="000000"/>
        </w:rPr>
        <w:t>(equality before the law and prohibition of discrimination).</w:t>
      </w:r>
    </w:p>
    <w:p w14:paraId="43A1D0BF" w14:textId="548B705C" w:rsidR="00A52C53" w:rsidRPr="00351C80" w:rsidRDefault="00A52C53" w:rsidP="00351C80">
      <w:pPr>
        <w:pStyle w:val="a6"/>
        <w:spacing w:line="276" w:lineRule="auto"/>
        <w:ind w:firstLine="360"/>
        <w:jc w:val="both"/>
        <w:rPr>
          <w:color w:val="000000"/>
        </w:rPr>
      </w:pPr>
      <w:r w:rsidRPr="00351C80">
        <w:rPr>
          <w:color w:val="000000"/>
        </w:rPr>
        <w:t>International law prohibits the use of vague and indeterminate legal norms that allow individuals to be punished on the basis of mere suspicion. In particular, in</w:t>
      </w:r>
      <w:r w:rsidRPr="00351C80">
        <w:rPr>
          <w:rStyle w:val="apple-converted-space"/>
          <w:color w:val="000000"/>
        </w:rPr>
        <w:t> </w:t>
      </w:r>
      <w:r w:rsidRPr="00351C80">
        <w:rPr>
          <w:rStyle w:val="aa"/>
          <w:color w:val="000000"/>
        </w:rPr>
        <w:t>Kafkaris v. Cyprus</w:t>
      </w:r>
      <w:r w:rsidRPr="00351C80">
        <w:rPr>
          <w:rStyle w:val="apple-converted-space"/>
          <w:color w:val="000000"/>
        </w:rPr>
        <w:t> </w:t>
      </w:r>
      <w:r w:rsidRPr="00351C80">
        <w:rPr>
          <w:color w:val="000000"/>
        </w:rPr>
        <w:t>(12 February 2008)</w:t>
      </w:r>
      <w:r w:rsidRPr="00351C80">
        <w:rPr>
          <w:rStyle w:val="a5"/>
          <w:color w:val="000000"/>
        </w:rPr>
        <w:footnoteReference w:id="27"/>
      </w:r>
      <w:r w:rsidRPr="00351C80">
        <w:rPr>
          <w:color w:val="000000"/>
        </w:rPr>
        <w:t>, the European Court of Human Rights found a violation of international law because the domestic law, taken as a whole, was not formulated with sufficient precision to enable the applicant to foresee the scope and execution of the penalty (the requirement of foreseeability / legal certainty).</w:t>
      </w:r>
    </w:p>
    <w:p w14:paraId="31D20688" w14:textId="119AD156" w:rsidR="00A52C53" w:rsidRPr="00351C80" w:rsidRDefault="00A52C53" w:rsidP="00351C80">
      <w:pPr>
        <w:pStyle w:val="a6"/>
        <w:spacing w:line="276" w:lineRule="auto"/>
        <w:ind w:firstLine="360"/>
        <w:jc w:val="both"/>
        <w:rPr>
          <w:color w:val="000000"/>
        </w:rPr>
      </w:pPr>
      <w:r w:rsidRPr="00351C80">
        <w:rPr>
          <w:color w:val="000000"/>
        </w:rPr>
        <w:t>Similarly, in</w:t>
      </w:r>
      <w:r w:rsidRPr="00351C80">
        <w:rPr>
          <w:rStyle w:val="apple-converted-space"/>
          <w:color w:val="000000"/>
        </w:rPr>
        <w:t> </w:t>
      </w:r>
      <w:r w:rsidRPr="00351C80">
        <w:rPr>
          <w:rStyle w:val="aa"/>
          <w:color w:val="000000"/>
        </w:rPr>
        <w:t>De Tommaso v. Italy</w:t>
      </w:r>
      <w:r w:rsidRPr="00351C80">
        <w:rPr>
          <w:rStyle w:val="apple-converted-space"/>
          <w:color w:val="000000"/>
        </w:rPr>
        <w:t> </w:t>
      </w:r>
      <w:r w:rsidRPr="00351C80">
        <w:rPr>
          <w:color w:val="000000"/>
        </w:rPr>
        <w:t>(23 February 2017)</w:t>
      </w:r>
      <w:r w:rsidRPr="00351C80">
        <w:rPr>
          <w:rStyle w:val="a5"/>
          <w:color w:val="000000"/>
        </w:rPr>
        <w:footnoteReference w:id="28"/>
      </w:r>
      <w:r w:rsidRPr="00351C80">
        <w:rPr>
          <w:color w:val="000000"/>
        </w:rPr>
        <w:t>, the Grand Chamber of the European Court of Human Rights held that restrictions (preventive measures) must be based on sufficiently clear and foreseeable criteria, otherwise there is a risk of arbitrary application.</w:t>
      </w:r>
    </w:p>
    <w:p w14:paraId="4FC6622B" w14:textId="77777777" w:rsidR="00A52C53" w:rsidRPr="00351C80" w:rsidRDefault="00A52C53" w:rsidP="00351C80">
      <w:pPr>
        <w:pStyle w:val="a6"/>
        <w:spacing w:line="276" w:lineRule="auto"/>
        <w:ind w:firstLine="360"/>
        <w:jc w:val="both"/>
        <w:rPr>
          <w:color w:val="000000"/>
        </w:rPr>
      </w:pPr>
      <w:r w:rsidRPr="00351C80">
        <w:rPr>
          <w:color w:val="000000"/>
        </w:rPr>
        <w:t>The UN Human Rights Committee, in its</w:t>
      </w:r>
      <w:r w:rsidRPr="00351C80">
        <w:rPr>
          <w:rStyle w:val="apple-converted-space"/>
          <w:color w:val="000000"/>
        </w:rPr>
        <w:t> </w:t>
      </w:r>
      <w:r w:rsidRPr="00351C80">
        <w:rPr>
          <w:rStyle w:val="a9"/>
          <w:color w:val="000000"/>
        </w:rPr>
        <w:t>General Comment No. 34, paragraph 25</w:t>
      </w:r>
      <w:r w:rsidRPr="00351C80">
        <w:rPr>
          <w:rStyle w:val="a5"/>
          <w:b/>
          <w:bCs/>
          <w:color w:val="000000"/>
        </w:rPr>
        <w:footnoteReference w:id="29"/>
      </w:r>
      <w:r w:rsidRPr="00351C80">
        <w:rPr>
          <w:color w:val="000000"/>
        </w:rPr>
        <w:t>, has also articulated the “provided by law” standard, stating that:</w:t>
      </w:r>
    </w:p>
    <w:p w14:paraId="7B5D9267" w14:textId="739DE06A" w:rsidR="00A52C53" w:rsidRPr="00351C80" w:rsidRDefault="00A52C53" w:rsidP="00351C80">
      <w:pPr>
        <w:pStyle w:val="a6"/>
        <w:spacing w:line="276" w:lineRule="auto"/>
        <w:ind w:firstLine="360"/>
        <w:jc w:val="both"/>
        <w:rPr>
          <w:color w:val="000000"/>
        </w:rPr>
      </w:pPr>
      <w:r w:rsidRPr="00351C80">
        <w:rPr>
          <w:color w:val="000000"/>
        </w:rPr>
        <w:t>“A norm must be sufficiently precise and must not confer unfettered discretion on those charged with its execution.”</w:t>
      </w:r>
    </w:p>
    <w:p w14:paraId="357D5869" w14:textId="41EF23C0" w:rsidR="00351C80" w:rsidRPr="008B533F" w:rsidRDefault="00A52C53" w:rsidP="008B533F">
      <w:pPr>
        <w:pStyle w:val="a6"/>
        <w:spacing w:line="276" w:lineRule="auto"/>
        <w:ind w:firstLine="360"/>
        <w:jc w:val="both"/>
        <w:rPr>
          <w:color w:val="000000"/>
          <w:lang w:val="en-US"/>
        </w:rPr>
      </w:pPr>
      <w:r w:rsidRPr="00351C80">
        <w:rPr>
          <w:color w:val="000000"/>
        </w:rPr>
        <w:t>In the cases under consideration in Moldova concerning penalties for “passive electoral corruption,” the absence of proof of</w:t>
      </w:r>
      <w:r w:rsidRPr="00351C80">
        <w:rPr>
          <w:rStyle w:val="apple-converted-space"/>
          <w:color w:val="000000"/>
        </w:rPr>
        <w:t> </w:t>
      </w:r>
      <w:r w:rsidRPr="00351C80">
        <w:rPr>
          <w:rStyle w:val="aa"/>
          <w:color w:val="000000"/>
        </w:rPr>
        <w:t>mens rea</w:t>
      </w:r>
      <w:r w:rsidRPr="00351C80">
        <w:rPr>
          <w:rStyle w:val="apple-converted-space"/>
          <w:color w:val="000000"/>
        </w:rPr>
        <w:t> </w:t>
      </w:r>
      <w:r w:rsidRPr="00351C80">
        <w:rPr>
          <w:color w:val="000000"/>
        </w:rPr>
        <w:t>(intent to receive remuneration in exchange for voting) renders such sanctions repressive in nature. This conclusion is also supported by the separate opinion of Judge Vladimir Țurcanu of the Constitutional Court of Moldova</w:t>
      </w:r>
      <w:r w:rsidR="008B533F" w:rsidRPr="008B533F">
        <w:rPr>
          <w:color w:val="000000"/>
          <w:lang w:val="en-US"/>
        </w:rPr>
        <w:t>.</w:t>
      </w:r>
    </w:p>
    <w:p w14:paraId="0C9FAF12" w14:textId="0B50F863" w:rsidR="00A52C53" w:rsidRPr="00351C80" w:rsidRDefault="00291C2A" w:rsidP="00351C80">
      <w:pPr>
        <w:pStyle w:val="3"/>
        <w:spacing w:line="276" w:lineRule="auto"/>
        <w:rPr>
          <w:color w:val="000000"/>
          <w:sz w:val="24"/>
          <w:szCs w:val="24"/>
        </w:rPr>
      </w:pPr>
      <w:r>
        <w:rPr>
          <w:color w:val="000000"/>
          <w:sz w:val="24"/>
          <w:szCs w:val="24"/>
          <w:lang w:val="en-US"/>
        </w:rPr>
        <w:t>6</w:t>
      </w:r>
      <w:r w:rsidR="00A52C53" w:rsidRPr="00351C80">
        <w:rPr>
          <w:color w:val="000000"/>
          <w:sz w:val="24"/>
          <w:szCs w:val="24"/>
        </w:rPr>
        <w:t>.5. Violation of Article 2(1) and Article 26 of the ICCPR (prohibition of discrimination)</w:t>
      </w:r>
    </w:p>
    <w:p w14:paraId="650C0959" w14:textId="77777777" w:rsidR="00A52C53" w:rsidRPr="00351C80" w:rsidRDefault="00A52C53" w:rsidP="00351C80">
      <w:pPr>
        <w:pStyle w:val="a6"/>
        <w:spacing w:line="276" w:lineRule="auto"/>
        <w:ind w:firstLine="360"/>
        <w:rPr>
          <w:color w:val="000000"/>
        </w:rPr>
      </w:pPr>
      <w:r w:rsidRPr="00351C80">
        <w:rPr>
          <w:color w:val="000000"/>
        </w:rPr>
        <w:t>State practice in Moldova demonstrates:</w:t>
      </w:r>
    </w:p>
    <w:p w14:paraId="19CF83EF" w14:textId="77777777" w:rsidR="00A52C53" w:rsidRDefault="00A52C53">
      <w:pPr>
        <w:pStyle w:val="a6"/>
        <w:numPr>
          <w:ilvl w:val="0"/>
          <w:numId w:val="24"/>
        </w:numPr>
        <w:spacing w:line="276" w:lineRule="auto"/>
        <w:rPr>
          <w:color w:val="000000"/>
        </w:rPr>
      </w:pPr>
      <w:r>
        <w:rPr>
          <w:color w:val="000000"/>
        </w:rPr>
        <w:t>different legal regimes for two Orthodox denominations;</w:t>
      </w:r>
    </w:p>
    <w:p w14:paraId="4905312E" w14:textId="77777777" w:rsidR="00A52C53" w:rsidRDefault="00A52C53">
      <w:pPr>
        <w:pStyle w:val="a6"/>
        <w:numPr>
          <w:ilvl w:val="0"/>
          <w:numId w:val="24"/>
        </w:numPr>
        <w:spacing w:line="276" w:lineRule="auto"/>
        <w:rPr>
          <w:color w:val="000000"/>
        </w:rPr>
      </w:pPr>
      <w:r>
        <w:rPr>
          <w:color w:val="000000"/>
        </w:rPr>
        <w:t>selective application of repressive norms to one of them;</w:t>
      </w:r>
    </w:p>
    <w:p w14:paraId="673C84E1" w14:textId="77777777" w:rsidR="00A52C53" w:rsidRDefault="00A52C53">
      <w:pPr>
        <w:pStyle w:val="a6"/>
        <w:numPr>
          <w:ilvl w:val="0"/>
          <w:numId w:val="24"/>
        </w:numPr>
        <w:spacing w:line="276" w:lineRule="auto"/>
        <w:rPr>
          <w:color w:val="000000"/>
        </w:rPr>
      </w:pPr>
      <w:r>
        <w:rPr>
          <w:color w:val="000000"/>
        </w:rPr>
        <w:t>political rhetoric by public officials stigmatizing the Orthodox Church of Moldova as a “threat” or a “foreign element.”</w:t>
      </w:r>
    </w:p>
    <w:p w14:paraId="17C29D68" w14:textId="77777777" w:rsidR="00A52C53" w:rsidRDefault="00A52C53" w:rsidP="00351C80">
      <w:pPr>
        <w:pStyle w:val="a6"/>
        <w:spacing w:line="276" w:lineRule="auto"/>
        <w:ind w:firstLine="360"/>
        <w:rPr>
          <w:color w:val="000000"/>
        </w:rPr>
      </w:pPr>
      <w:r>
        <w:rPr>
          <w:color w:val="000000"/>
        </w:rPr>
        <w:t>The UN Human Rights Committee emphasizes that the prohibition of discrimination extends not only to legislation, but also to:</w:t>
      </w:r>
    </w:p>
    <w:p w14:paraId="201D6750" w14:textId="77777777" w:rsidR="00A52C53" w:rsidRDefault="00A52C53">
      <w:pPr>
        <w:pStyle w:val="a6"/>
        <w:numPr>
          <w:ilvl w:val="0"/>
          <w:numId w:val="25"/>
        </w:numPr>
        <w:spacing w:line="276" w:lineRule="auto"/>
        <w:rPr>
          <w:color w:val="000000"/>
        </w:rPr>
      </w:pPr>
      <w:r>
        <w:rPr>
          <w:color w:val="000000"/>
        </w:rPr>
        <w:t>administrative practice;</w:t>
      </w:r>
    </w:p>
    <w:p w14:paraId="23113B4F" w14:textId="77777777" w:rsidR="00A52C53" w:rsidRDefault="00A52C53">
      <w:pPr>
        <w:pStyle w:val="a6"/>
        <w:numPr>
          <w:ilvl w:val="0"/>
          <w:numId w:val="25"/>
        </w:numPr>
        <w:spacing w:line="276" w:lineRule="auto"/>
        <w:rPr>
          <w:color w:val="000000"/>
        </w:rPr>
      </w:pPr>
      <w:r>
        <w:rPr>
          <w:color w:val="000000"/>
        </w:rPr>
        <w:t>actions of law enforcement bodies;</w:t>
      </w:r>
    </w:p>
    <w:p w14:paraId="671D17F8" w14:textId="77777777" w:rsidR="00A52C53" w:rsidRDefault="00A52C53">
      <w:pPr>
        <w:pStyle w:val="a6"/>
        <w:numPr>
          <w:ilvl w:val="0"/>
          <w:numId w:val="25"/>
        </w:numPr>
        <w:spacing w:line="276" w:lineRule="auto"/>
        <w:rPr>
          <w:color w:val="000000"/>
        </w:rPr>
      </w:pPr>
      <w:r>
        <w:rPr>
          <w:color w:val="000000"/>
        </w:rPr>
        <w:t>banking regulation;</w:t>
      </w:r>
    </w:p>
    <w:p w14:paraId="622D6FDD" w14:textId="77777777" w:rsidR="00A52C53" w:rsidRDefault="00A52C53">
      <w:pPr>
        <w:pStyle w:val="a6"/>
        <w:numPr>
          <w:ilvl w:val="0"/>
          <w:numId w:val="25"/>
        </w:numPr>
        <w:spacing w:line="276" w:lineRule="auto"/>
        <w:rPr>
          <w:color w:val="000000"/>
        </w:rPr>
      </w:pPr>
      <w:r>
        <w:rPr>
          <w:color w:val="000000"/>
        </w:rPr>
        <w:t>the cumulative effect of “regulatory pressure.”</w:t>
      </w:r>
    </w:p>
    <w:p w14:paraId="440504D1" w14:textId="17FC8EE4" w:rsidR="00A52C53" w:rsidRDefault="00A52C53" w:rsidP="00351C80">
      <w:pPr>
        <w:pStyle w:val="a6"/>
        <w:spacing w:line="276" w:lineRule="auto"/>
        <w:ind w:firstLine="360"/>
        <w:rPr>
          <w:color w:val="000000"/>
        </w:rPr>
      </w:pPr>
      <w:r>
        <w:rPr>
          <w:color w:val="000000"/>
        </w:rPr>
        <w:lastRenderedPageBreak/>
        <w:t>Accordingly, the combination of restrictions, sanctions, financial prohibitions, and public rhetoric amounts to discrimination on the grounds of religion, which is prohibited under international law.</w:t>
      </w:r>
    </w:p>
    <w:p w14:paraId="2E56CD70" w14:textId="3D2A91B2" w:rsidR="008B533F" w:rsidRPr="00291C2A" w:rsidRDefault="00291C2A" w:rsidP="008B533F">
      <w:pPr>
        <w:pStyle w:val="3"/>
        <w:rPr>
          <w:color w:val="000000"/>
          <w:sz w:val="24"/>
          <w:szCs w:val="24"/>
          <w:lang w:val="en-US"/>
        </w:rPr>
      </w:pPr>
      <w:r w:rsidRPr="00291C2A">
        <w:rPr>
          <w:rStyle w:val="a9"/>
          <w:b/>
          <w:bCs/>
          <w:color w:val="000000"/>
          <w:sz w:val="24"/>
          <w:szCs w:val="24"/>
          <w:lang w:val="en-US"/>
        </w:rPr>
        <w:t>6</w:t>
      </w:r>
      <w:r w:rsidR="008B533F" w:rsidRPr="00291C2A">
        <w:rPr>
          <w:rStyle w:val="a9"/>
          <w:b/>
          <w:bCs/>
          <w:color w:val="000000"/>
          <w:sz w:val="24"/>
          <w:szCs w:val="24"/>
          <w:lang w:val="en-US"/>
        </w:rPr>
        <w:t>.6.</w:t>
      </w:r>
      <w:r w:rsidR="008B533F" w:rsidRPr="00291C2A">
        <w:rPr>
          <w:rStyle w:val="a9"/>
          <w:b/>
          <w:bCs/>
          <w:color w:val="000000"/>
          <w:sz w:val="24"/>
          <w:szCs w:val="24"/>
        </w:rPr>
        <w:t xml:space="preserve"> </w:t>
      </w:r>
      <w:r w:rsidR="008B533F" w:rsidRPr="00291C2A">
        <w:rPr>
          <w:rStyle w:val="a9"/>
          <w:b/>
          <w:bCs/>
          <w:color w:val="000000"/>
          <w:sz w:val="24"/>
          <w:szCs w:val="24"/>
          <w:lang w:val="en-US"/>
        </w:rPr>
        <w:t>I</w:t>
      </w:r>
      <w:r w:rsidR="008B533F" w:rsidRPr="00291C2A">
        <w:rPr>
          <w:color w:val="000000"/>
          <w:sz w:val="24"/>
          <w:szCs w:val="24"/>
        </w:rPr>
        <w:t>nterference with the Freedom of Religion (Article 18 ICCPR) in the Context of Interference with Legal Succession and the Use of Places of Worship and Religious Property</w:t>
      </w:r>
    </w:p>
    <w:p w14:paraId="53140B57" w14:textId="77777777" w:rsidR="008B533F" w:rsidRDefault="008B533F" w:rsidP="008B533F">
      <w:pPr>
        <w:pStyle w:val="a6"/>
        <w:spacing w:line="276" w:lineRule="auto"/>
        <w:ind w:firstLine="708"/>
        <w:jc w:val="both"/>
        <w:rPr>
          <w:color w:val="000000"/>
        </w:rPr>
      </w:pPr>
      <w:r>
        <w:rPr>
          <w:color w:val="000000"/>
        </w:rPr>
        <w:t>Article 18 of the International Covenant on Civil and Political Rights (ICCPR) protects not only the individual freedom to hold religious beliefs, but also the</w:t>
      </w:r>
      <w:r>
        <w:rPr>
          <w:rStyle w:val="apple-converted-space"/>
          <w:color w:val="000000"/>
        </w:rPr>
        <w:t> </w:t>
      </w:r>
      <w:r>
        <w:rPr>
          <w:rStyle w:val="a9"/>
          <w:color w:val="000000"/>
        </w:rPr>
        <w:t>collective and institutional manifestation of religion</w:t>
      </w:r>
      <w:r>
        <w:rPr>
          <w:color w:val="000000"/>
        </w:rPr>
        <w:t>, including worship, observance, practice, and teaching. This protection necessarily encompasses</w:t>
      </w:r>
      <w:r>
        <w:rPr>
          <w:rStyle w:val="apple-converted-space"/>
          <w:color w:val="000000"/>
        </w:rPr>
        <w:t> </w:t>
      </w:r>
      <w:r>
        <w:rPr>
          <w:rStyle w:val="a9"/>
          <w:color w:val="000000"/>
        </w:rPr>
        <w:t>access to and use of places of worship and religious infrastructure</w:t>
      </w:r>
      <w:r>
        <w:rPr>
          <w:color w:val="000000"/>
        </w:rPr>
        <w:t>, without which the effective exercise of religion is impossible.</w:t>
      </w:r>
    </w:p>
    <w:p w14:paraId="4303F7A6" w14:textId="77777777" w:rsidR="008B533F" w:rsidRDefault="008B533F" w:rsidP="008B533F">
      <w:pPr>
        <w:pStyle w:val="a6"/>
        <w:spacing w:line="276" w:lineRule="auto"/>
        <w:ind w:firstLine="708"/>
        <w:jc w:val="both"/>
        <w:rPr>
          <w:color w:val="000000"/>
        </w:rPr>
      </w:pPr>
      <w:r>
        <w:rPr>
          <w:color w:val="000000"/>
        </w:rPr>
        <w:t>The Human Rights Committee has consistently interpreted Article 18 ICCPR as prohibiting</w:t>
      </w:r>
      <w:r>
        <w:rPr>
          <w:rStyle w:val="apple-converted-space"/>
          <w:color w:val="000000"/>
        </w:rPr>
        <w:t> </w:t>
      </w:r>
      <w:r>
        <w:rPr>
          <w:rStyle w:val="a9"/>
          <w:color w:val="000000"/>
        </w:rPr>
        <w:t>coercive or indirect measures</w:t>
      </w:r>
      <w:r>
        <w:rPr>
          <w:rStyle w:val="apple-converted-space"/>
          <w:color w:val="000000"/>
        </w:rPr>
        <w:t> </w:t>
      </w:r>
      <w:r>
        <w:rPr>
          <w:color w:val="000000"/>
        </w:rPr>
        <w:t>that impair the ability of religious communities to manifest their religion in practice, including through</w:t>
      </w:r>
      <w:r>
        <w:rPr>
          <w:rStyle w:val="apple-converted-space"/>
          <w:color w:val="000000"/>
        </w:rPr>
        <w:t> </w:t>
      </w:r>
      <w:r>
        <w:rPr>
          <w:rStyle w:val="a9"/>
          <w:color w:val="000000"/>
        </w:rPr>
        <w:t>administrative or economic measures</w:t>
      </w:r>
      <w:r>
        <w:rPr>
          <w:rStyle w:val="apple-converted-space"/>
          <w:color w:val="000000"/>
        </w:rPr>
        <w:t> </w:t>
      </w:r>
      <w:r>
        <w:rPr>
          <w:color w:val="000000"/>
        </w:rPr>
        <w:t>that place them at a structural disadvantage (Human Rights Committee, General Comment No. 22, para. 5).</w:t>
      </w:r>
    </w:p>
    <w:p w14:paraId="0A407C7E" w14:textId="77777777" w:rsidR="008B533F" w:rsidRDefault="008B533F" w:rsidP="008B533F">
      <w:pPr>
        <w:pStyle w:val="a6"/>
        <w:spacing w:line="276" w:lineRule="auto"/>
        <w:ind w:firstLine="708"/>
        <w:jc w:val="both"/>
        <w:rPr>
          <w:color w:val="000000"/>
        </w:rPr>
      </w:pPr>
      <w:r>
        <w:rPr>
          <w:color w:val="000000"/>
        </w:rPr>
        <w:t>Measures such as the termination of contracts or the declaration of nullity of legal instruments governing the use of churches and monasteries — where such measures result in the loss of, or legal uncertainty regarding, access to places of worship — constitute an</w:t>
      </w:r>
      <w:r>
        <w:rPr>
          <w:rStyle w:val="apple-converted-space"/>
          <w:color w:val="000000"/>
        </w:rPr>
        <w:t> </w:t>
      </w:r>
      <w:r>
        <w:rPr>
          <w:rStyle w:val="a9"/>
          <w:color w:val="000000"/>
        </w:rPr>
        <w:t>interference with the manifestation of religion</w:t>
      </w:r>
      <w:r>
        <w:rPr>
          <w:rStyle w:val="apple-converted-space"/>
          <w:color w:val="000000"/>
        </w:rPr>
        <w:t> </w:t>
      </w:r>
      <w:r>
        <w:rPr>
          <w:color w:val="000000"/>
        </w:rPr>
        <w:t>within the meaning of Article 18 ICCPR. Such interference cannot be regarded as neutral or purely technical where it directly affects the ability of clergy and believers to conduct religious services, maintain monastic life, or organize pilgrimages.</w:t>
      </w:r>
    </w:p>
    <w:p w14:paraId="66F49170" w14:textId="77777777" w:rsidR="008B533F" w:rsidRDefault="008B533F" w:rsidP="008B533F">
      <w:pPr>
        <w:pStyle w:val="a6"/>
        <w:spacing w:line="276" w:lineRule="auto"/>
        <w:ind w:firstLine="708"/>
        <w:jc w:val="both"/>
        <w:rPr>
          <w:color w:val="000000"/>
        </w:rPr>
      </w:pPr>
      <w:r>
        <w:rPr>
          <w:color w:val="000000"/>
        </w:rPr>
        <w:t>Under Article 18(3) ICCPR, any limitation on the manifestation of religion must be</w:t>
      </w:r>
      <w:r>
        <w:rPr>
          <w:rStyle w:val="apple-converted-space"/>
          <w:color w:val="000000"/>
        </w:rPr>
        <w:t> </w:t>
      </w:r>
      <w:r>
        <w:rPr>
          <w:rStyle w:val="a9"/>
          <w:color w:val="000000"/>
        </w:rPr>
        <w:t>prescribed by law</w:t>
      </w:r>
      <w:r>
        <w:rPr>
          <w:color w:val="000000"/>
        </w:rPr>
        <w:t>, pursue a</w:t>
      </w:r>
      <w:r>
        <w:rPr>
          <w:rStyle w:val="apple-converted-space"/>
          <w:color w:val="000000"/>
        </w:rPr>
        <w:t> </w:t>
      </w:r>
      <w:r>
        <w:rPr>
          <w:rStyle w:val="a9"/>
          <w:color w:val="000000"/>
        </w:rPr>
        <w:t>legitimate aim</w:t>
      </w:r>
      <w:r>
        <w:rPr>
          <w:color w:val="000000"/>
        </w:rPr>
        <w:t>, and be</w:t>
      </w:r>
      <w:r>
        <w:rPr>
          <w:rStyle w:val="apple-converted-space"/>
          <w:color w:val="000000"/>
        </w:rPr>
        <w:t> </w:t>
      </w:r>
      <w:r>
        <w:rPr>
          <w:rStyle w:val="a9"/>
          <w:color w:val="000000"/>
        </w:rPr>
        <w:t>strictly necessary and proportionate</w:t>
      </w:r>
      <w:r>
        <w:rPr>
          <w:color w:val="000000"/>
        </w:rPr>
        <w:t>. The Human Rights Committee has emphasized that considerations such as national security or public order cannot be invoked in a generalized or abstract manner to justify restrictions on religious practice (General Comment No. 22, para. 8).</w:t>
      </w:r>
    </w:p>
    <w:p w14:paraId="4F7C6135" w14:textId="77777777" w:rsidR="008B533F" w:rsidRDefault="008B533F" w:rsidP="008B533F">
      <w:pPr>
        <w:pStyle w:val="a6"/>
        <w:spacing w:line="276" w:lineRule="auto"/>
        <w:jc w:val="both"/>
        <w:rPr>
          <w:color w:val="000000"/>
        </w:rPr>
      </w:pPr>
      <w:r>
        <w:rPr>
          <w:color w:val="000000"/>
        </w:rPr>
        <w:t>Where religious buildings:</w:t>
      </w:r>
    </w:p>
    <w:p w14:paraId="71AA2131" w14:textId="77777777" w:rsidR="008B533F" w:rsidRDefault="008B533F">
      <w:pPr>
        <w:pStyle w:val="a6"/>
        <w:numPr>
          <w:ilvl w:val="0"/>
          <w:numId w:val="32"/>
        </w:numPr>
        <w:spacing w:line="276" w:lineRule="auto"/>
        <w:jc w:val="both"/>
        <w:rPr>
          <w:color w:val="000000"/>
        </w:rPr>
      </w:pPr>
      <w:r>
        <w:rPr>
          <w:color w:val="000000"/>
        </w:rPr>
        <w:t>were transferred to a religious community on a legal basis recognized by the State;</w:t>
      </w:r>
    </w:p>
    <w:p w14:paraId="26C84711" w14:textId="77777777" w:rsidR="008B533F" w:rsidRDefault="008B533F">
      <w:pPr>
        <w:pStyle w:val="a6"/>
        <w:numPr>
          <w:ilvl w:val="0"/>
          <w:numId w:val="32"/>
        </w:numPr>
        <w:spacing w:line="276" w:lineRule="auto"/>
        <w:jc w:val="both"/>
        <w:rPr>
          <w:color w:val="000000"/>
        </w:rPr>
      </w:pPr>
      <w:r>
        <w:rPr>
          <w:color w:val="000000"/>
        </w:rPr>
        <w:t>remained in its lawful and uninterrupted use for a prolonged period;</w:t>
      </w:r>
    </w:p>
    <w:p w14:paraId="6C5B312A" w14:textId="77777777" w:rsidR="008B533F" w:rsidRDefault="008B533F">
      <w:pPr>
        <w:pStyle w:val="a6"/>
        <w:numPr>
          <w:ilvl w:val="0"/>
          <w:numId w:val="32"/>
        </w:numPr>
        <w:spacing w:line="276" w:lineRule="auto"/>
        <w:jc w:val="both"/>
        <w:rPr>
          <w:color w:val="000000"/>
        </w:rPr>
      </w:pPr>
      <w:r>
        <w:rPr>
          <w:color w:val="000000"/>
        </w:rPr>
        <w:t>were maintained, preserved, and used exclusively for religious purposes,</w:t>
      </w:r>
    </w:p>
    <w:p w14:paraId="0179F7DF" w14:textId="77777777" w:rsidR="008B533F" w:rsidRDefault="008B533F" w:rsidP="008B533F">
      <w:pPr>
        <w:pStyle w:val="a6"/>
        <w:spacing w:line="276" w:lineRule="auto"/>
        <w:jc w:val="both"/>
        <w:rPr>
          <w:color w:val="000000"/>
        </w:rPr>
      </w:pPr>
      <w:r>
        <w:rPr>
          <w:color w:val="000000"/>
        </w:rPr>
        <w:t>the State is required to</w:t>
      </w:r>
      <w:r>
        <w:rPr>
          <w:rStyle w:val="apple-converted-space"/>
          <w:color w:val="000000"/>
        </w:rPr>
        <w:t> </w:t>
      </w:r>
      <w:r>
        <w:rPr>
          <w:rStyle w:val="a9"/>
          <w:color w:val="000000"/>
        </w:rPr>
        <w:t>refrain from measures</w:t>
      </w:r>
      <w:r>
        <w:rPr>
          <w:rStyle w:val="apple-converted-space"/>
          <w:color w:val="000000"/>
        </w:rPr>
        <w:t> </w:t>
      </w:r>
      <w:r>
        <w:rPr>
          <w:color w:val="000000"/>
        </w:rPr>
        <w:t>that effectively deprive that community of the material conditions necessary for the exercise of its religion, unless the strict requirements of Article 18(3) ICCPR are demonstrably met.</w:t>
      </w:r>
    </w:p>
    <w:p w14:paraId="3F26D0CC" w14:textId="218735C1" w:rsidR="008B533F" w:rsidRPr="00291C2A" w:rsidRDefault="00291C2A" w:rsidP="008B533F">
      <w:pPr>
        <w:pStyle w:val="3"/>
        <w:spacing w:line="276" w:lineRule="auto"/>
        <w:jc w:val="both"/>
        <w:rPr>
          <w:color w:val="000000"/>
          <w:sz w:val="24"/>
          <w:szCs w:val="24"/>
        </w:rPr>
      </w:pPr>
      <w:r w:rsidRPr="00291C2A">
        <w:rPr>
          <w:rStyle w:val="a9"/>
          <w:b/>
          <w:bCs/>
          <w:color w:val="000000"/>
          <w:sz w:val="24"/>
          <w:szCs w:val="24"/>
          <w:lang w:val="en-US"/>
        </w:rPr>
        <w:t>6</w:t>
      </w:r>
      <w:r w:rsidR="008B533F" w:rsidRPr="00291C2A">
        <w:rPr>
          <w:rStyle w:val="a9"/>
          <w:b/>
          <w:bCs/>
          <w:color w:val="000000"/>
          <w:sz w:val="24"/>
          <w:szCs w:val="24"/>
        </w:rPr>
        <w:t>.</w:t>
      </w:r>
      <w:r w:rsidR="008B533F" w:rsidRPr="00291C2A">
        <w:rPr>
          <w:rStyle w:val="a9"/>
          <w:b/>
          <w:bCs/>
          <w:color w:val="000000"/>
          <w:sz w:val="24"/>
          <w:szCs w:val="24"/>
          <w:lang w:val="en-US"/>
        </w:rPr>
        <w:t>7.</w:t>
      </w:r>
      <w:r w:rsidR="008B533F" w:rsidRPr="00291C2A">
        <w:rPr>
          <w:rStyle w:val="a9"/>
          <w:b/>
          <w:bCs/>
          <w:color w:val="000000"/>
          <w:sz w:val="24"/>
          <w:szCs w:val="24"/>
        </w:rPr>
        <w:t xml:space="preserve"> Interference with Property Rights and the Principle of Legal Certainty</w:t>
      </w:r>
    </w:p>
    <w:p w14:paraId="4963E78C" w14:textId="3F6FCA38" w:rsidR="008B533F" w:rsidRDefault="008B533F" w:rsidP="00574A1B">
      <w:pPr>
        <w:pStyle w:val="a6"/>
        <w:spacing w:line="276" w:lineRule="auto"/>
        <w:ind w:firstLine="708"/>
        <w:jc w:val="both"/>
        <w:rPr>
          <w:color w:val="000000"/>
        </w:rPr>
      </w:pPr>
      <w:r>
        <w:rPr>
          <w:color w:val="000000"/>
        </w:rPr>
        <w:t>State interference with the legal regime governing churches and monasteries must also be assessed in light of</w:t>
      </w:r>
      <w:r>
        <w:rPr>
          <w:rStyle w:val="apple-converted-space"/>
          <w:color w:val="000000"/>
        </w:rPr>
        <w:t> </w:t>
      </w:r>
      <w:r>
        <w:rPr>
          <w:rStyle w:val="a9"/>
          <w:color w:val="000000"/>
        </w:rPr>
        <w:t>international and European standards on the protection of property and legal certainty</w:t>
      </w:r>
      <w:r>
        <w:rPr>
          <w:color w:val="000000"/>
        </w:rPr>
        <w:t xml:space="preserve">. In European human rights law, the concept of “possessions” extends </w:t>
      </w:r>
      <w:r>
        <w:rPr>
          <w:color w:val="000000"/>
        </w:rPr>
        <w:lastRenderedPageBreak/>
        <w:t>beyond formal ownership and includes</w:t>
      </w:r>
      <w:r>
        <w:rPr>
          <w:rStyle w:val="apple-converted-space"/>
          <w:color w:val="000000"/>
        </w:rPr>
        <w:t> </w:t>
      </w:r>
      <w:r>
        <w:rPr>
          <w:rStyle w:val="a9"/>
          <w:color w:val="000000"/>
        </w:rPr>
        <w:t>legitimate proprietary interests and legitimate expectations</w:t>
      </w:r>
      <w:r>
        <w:rPr>
          <w:color w:val="000000"/>
        </w:rPr>
        <w:t>, particularly where a legal situation has been created, recognized, and maintained by the State over time (ECtHR,</w:t>
      </w:r>
      <w:r>
        <w:rPr>
          <w:rStyle w:val="apple-converted-space"/>
          <w:color w:val="000000"/>
        </w:rPr>
        <w:t> </w:t>
      </w:r>
      <w:r>
        <w:rPr>
          <w:rStyle w:val="aa"/>
          <w:color w:val="000000"/>
        </w:rPr>
        <w:t>Kopecký v. Slovakia</w:t>
      </w:r>
      <w:r>
        <w:rPr>
          <w:rStyle w:val="apple-converted-space"/>
          <w:color w:val="000000"/>
        </w:rPr>
        <w:t> </w:t>
      </w:r>
      <w:r>
        <w:rPr>
          <w:color w:val="000000"/>
        </w:rPr>
        <w:t>[GC], 2004).</w:t>
      </w:r>
    </w:p>
    <w:p w14:paraId="5741A92A" w14:textId="576E9C02" w:rsidR="008B533F" w:rsidRDefault="008B533F" w:rsidP="008B533F">
      <w:pPr>
        <w:pStyle w:val="a6"/>
        <w:spacing w:line="276" w:lineRule="auto"/>
        <w:ind w:firstLine="708"/>
        <w:jc w:val="both"/>
        <w:rPr>
          <w:color w:val="000000"/>
        </w:rPr>
      </w:pPr>
      <w:r>
        <w:rPr>
          <w:color w:val="000000"/>
        </w:rPr>
        <w:t>Under Article 1 of Protocol No. 1 to the European Convention on Human Rights (ECHR), any deprivation of possessions or interference with their peaceful enjoyment must be</w:t>
      </w:r>
      <w:r>
        <w:rPr>
          <w:rStyle w:val="apple-converted-space"/>
          <w:color w:val="000000"/>
        </w:rPr>
        <w:t> </w:t>
      </w:r>
      <w:r>
        <w:rPr>
          <w:rStyle w:val="a9"/>
          <w:color w:val="000000"/>
        </w:rPr>
        <w:t>lawful</w:t>
      </w:r>
      <w:r>
        <w:rPr>
          <w:color w:val="000000"/>
        </w:rPr>
        <w:t>, pursue a</w:t>
      </w:r>
      <w:r>
        <w:rPr>
          <w:rStyle w:val="apple-converted-space"/>
          <w:color w:val="000000"/>
        </w:rPr>
        <w:t> </w:t>
      </w:r>
      <w:r>
        <w:rPr>
          <w:rStyle w:val="a9"/>
          <w:color w:val="000000"/>
        </w:rPr>
        <w:t>legitimate public interest</w:t>
      </w:r>
      <w:r>
        <w:rPr>
          <w:color w:val="000000"/>
        </w:rPr>
        <w:t>, and strike a</w:t>
      </w:r>
      <w:r>
        <w:rPr>
          <w:rStyle w:val="apple-converted-space"/>
          <w:color w:val="000000"/>
        </w:rPr>
        <w:t> </w:t>
      </w:r>
      <w:r>
        <w:rPr>
          <w:rStyle w:val="a9"/>
          <w:color w:val="000000"/>
        </w:rPr>
        <w:t>fair balance</w:t>
      </w:r>
      <w:r>
        <w:rPr>
          <w:rStyle w:val="apple-converted-space"/>
          <w:color w:val="000000"/>
        </w:rPr>
        <w:t> </w:t>
      </w:r>
      <w:r>
        <w:rPr>
          <w:color w:val="000000"/>
        </w:rPr>
        <w:t>between the demands of the general interest and the protection of individual rights. The ECtHR has repeatedly held that sudden or retroactive annulment of established legal arrangements, without adequate safeguards or compensation, undermines the principle of legal certainty and may violate this provision (see, inter alia,</w:t>
      </w:r>
      <w:r>
        <w:rPr>
          <w:rStyle w:val="apple-converted-space"/>
          <w:color w:val="000000"/>
        </w:rPr>
        <w:t> </w:t>
      </w:r>
      <w:r>
        <w:rPr>
          <w:rStyle w:val="aa"/>
          <w:color w:val="000000"/>
        </w:rPr>
        <w:t>The Holy Monasteries v. Greece</w:t>
      </w:r>
      <w:r>
        <w:rPr>
          <w:color w:val="000000"/>
        </w:rPr>
        <w:t>, 1994).</w:t>
      </w:r>
    </w:p>
    <w:p w14:paraId="0D0397BD" w14:textId="77777777" w:rsidR="008B533F" w:rsidRDefault="008B533F" w:rsidP="008B533F">
      <w:pPr>
        <w:pStyle w:val="a6"/>
        <w:spacing w:line="276" w:lineRule="auto"/>
        <w:jc w:val="both"/>
        <w:rPr>
          <w:color w:val="000000"/>
        </w:rPr>
      </w:pPr>
      <w:r>
        <w:rPr>
          <w:color w:val="000000"/>
        </w:rPr>
        <w:t>Where the State itself:</w:t>
      </w:r>
    </w:p>
    <w:p w14:paraId="5DE0DB37" w14:textId="77777777" w:rsidR="008B533F" w:rsidRDefault="008B533F">
      <w:pPr>
        <w:pStyle w:val="a6"/>
        <w:numPr>
          <w:ilvl w:val="0"/>
          <w:numId w:val="33"/>
        </w:numPr>
        <w:spacing w:line="276" w:lineRule="auto"/>
        <w:jc w:val="both"/>
        <w:rPr>
          <w:color w:val="000000"/>
        </w:rPr>
      </w:pPr>
      <w:r>
        <w:rPr>
          <w:color w:val="000000"/>
        </w:rPr>
        <w:t>established a legal framework for the transfer or use of religious property;</w:t>
      </w:r>
    </w:p>
    <w:p w14:paraId="1646B79B" w14:textId="77777777" w:rsidR="008B533F" w:rsidRDefault="008B533F">
      <w:pPr>
        <w:pStyle w:val="a6"/>
        <w:numPr>
          <w:ilvl w:val="0"/>
          <w:numId w:val="33"/>
        </w:numPr>
        <w:spacing w:line="276" w:lineRule="auto"/>
        <w:jc w:val="both"/>
        <w:rPr>
          <w:color w:val="000000"/>
        </w:rPr>
      </w:pPr>
      <w:r>
        <w:rPr>
          <w:color w:val="000000"/>
        </w:rPr>
        <w:t>recognized and upheld that framework over many years;</w:t>
      </w:r>
    </w:p>
    <w:p w14:paraId="31FE7AFE" w14:textId="77777777" w:rsidR="008B533F" w:rsidRDefault="008B533F">
      <w:pPr>
        <w:pStyle w:val="a6"/>
        <w:numPr>
          <w:ilvl w:val="0"/>
          <w:numId w:val="33"/>
        </w:numPr>
        <w:spacing w:line="276" w:lineRule="auto"/>
        <w:jc w:val="both"/>
        <w:rPr>
          <w:color w:val="000000"/>
        </w:rPr>
      </w:pPr>
      <w:r>
        <w:rPr>
          <w:color w:val="000000"/>
        </w:rPr>
        <w:t>allowed a religious organization to bear the financial and practical burden of maintaining and preserving the property,</w:t>
      </w:r>
    </w:p>
    <w:p w14:paraId="0AC13945" w14:textId="77777777" w:rsidR="008B533F" w:rsidRDefault="008B533F" w:rsidP="008B533F">
      <w:pPr>
        <w:pStyle w:val="a6"/>
        <w:spacing w:line="276" w:lineRule="auto"/>
        <w:jc w:val="both"/>
        <w:rPr>
          <w:color w:val="000000"/>
        </w:rPr>
      </w:pPr>
      <w:r>
        <w:rPr>
          <w:color w:val="000000"/>
        </w:rPr>
        <w:t>the religious organization acquires a</w:t>
      </w:r>
      <w:r>
        <w:rPr>
          <w:rStyle w:val="apple-converted-space"/>
          <w:color w:val="000000"/>
        </w:rPr>
        <w:t> </w:t>
      </w:r>
      <w:r>
        <w:rPr>
          <w:rStyle w:val="a9"/>
          <w:color w:val="000000"/>
        </w:rPr>
        <w:t>legitimate expectation</w:t>
      </w:r>
      <w:r>
        <w:rPr>
          <w:rStyle w:val="apple-converted-space"/>
          <w:color w:val="000000"/>
        </w:rPr>
        <w:t> </w:t>
      </w:r>
      <w:r>
        <w:rPr>
          <w:color w:val="000000"/>
        </w:rPr>
        <w:t>that this legal situation will not be arbitrarily reversed. Attempts to invalidate or terminate such arrangements ex post facto, particularly where they affect property essential to religious life, risk upsetting the fair balance required under international human rights standards.</w:t>
      </w:r>
    </w:p>
    <w:p w14:paraId="31BEBB1F" w14:textId="59987655" w:rsidR="008B533F" w:rsidRPr="008B533F" w:rsidRDefault="00291C2A" w:rsidP="008B533F">
      <w:pPr>
        <w:pStyle w:val="3"/>
        <w:spacing w:line="276" w:lineRule="auto"/>
        <w:jc w:val="both"/>
        <w:rPr>
          <w:color w:val="000000"/>
          <w:sz w:val="24"/>
          <w:szCs w:val="24"/>
        </w:rPr>
      </w:pPr>
      <w:r>
        <w:rPr>
          <w:rStyle w:val="a9"/>
          <w:b/>
          <w:bCs/>
          <w:color w:val="000000"/>
          <w:sz w:val="24"/>
          <w:szCs w:val="24"/>
          <w:lang w:val="en-US"/>
        </w:rPr>
        <w:t>6</w:t>
      </w:r>
      <w:r w:rsidR="008B533F" w:rsidRPr="008B533F">
        <w:rPr>
          <w:rStyle w:val="a9"/>
          <w:b/>
          <w:bCs/>
          <w:color w:val="000000"/>
          <w:sz w:val="24"/>
          <w:szCs w:val="24"/>
          <w:lang w:val="en-US"/>
        </w:rPr>
        <w:t>.</w:t>
      </w:r>
      <w:r w:rsidR="008B533F">
        <w:rPr>
          <w:rStyle w:val="a9"/>
          <w:b/>
          <w:bCs/>
          <w:color w:val="000000"/>
          <w:sz w:val="24"/>
          <w:szCs w:val="24"/>
          <w:lang w:val="en-US"/>
        </w:rPr>
        <w:t xml:space="preserve">8. </w:t>
      </w:r>
      <w:r w:rsidR="008B533F" w:rsidRPr="008B533F">
        <w:rPr>
          <w:rStyle w:val="a9"/>
          <w:b/>
          <w:bCs/>
          <w:color w:val="000000"/>
          <w:sz w:val="24"/>
          <w:szCs w:val="24"/>
        </w:rPr>
        <w:t xml:space="preserve"> Obligation to Take into Account the Context of Restitution of Property Confiscated by Communist Regimes</w:t>
      </w:r>
    </w:p>
    <w:p w14:paraId="7D1D70CB" w14:textId="77777777" w:rsidR="008B533F" w:rsidRDefault="008B533F" w:rsidP="008B533F">
      <w:pPr>
        <w:pStyle w:val="a6"/>
        <w:spacing w:line="276" w:lineRule="auto"/>
        <w:ind w:firstLine="708"/>
        <w:jc w:val="both"/>
        <w:rPr>
          <w:color w:val="000000"/>
        </w:rPr>
      </w:pPr>
      <w:r>
        <w:rPr>
          <w:color w:val="000000"/>
        </w:rPr>
        <w:t>The historical context of confiscations carried out by communist regimes is of particular relevance. European and international standards widely recognize that the seizure of property belonging to religious communities under totalitarian regimes constituted a serious injustice requiring redress.</w:t>
      </w:r>
    </w:p>
    <w:p w14:paraId="6D7D2876" w14:textId="77777777" w:rsidR="008B533F" w:rsidRDefault="008B533F" w:rsidP="008B533F">
      <w:pPr>
        <w:pStyle w:val="a6"/>
        <w:spacing w:line="276" w:lineRule="auto"/>
        <w:ind w:firstLine="708"/>
        <w:jc w:val="both"/>
        <w:rPr>
          <w:color w:val="000000"/>
        </w:rPr>
      </w:pPr>
      <w:r>
        <w:rPr>
          <w:color w:val="000000"/>
        </w:rPr>
        <w:t>The Parliamentary Assembly of the Council of Europe, in Resolution 1096 (1996) on measures to dismantle the heritage of former communist totalitarian systems, emphasized the need for States to address the consequences of past confiscations and systemic violations of property rights. While the specific modalities of restitution may vary,</w:t>
      </w:r>
      <w:r>
        <w:rPr>
          <w:rStyle w:val="apple-converted-space"/>
          <w:color w:val="000000"/>
        </w:rPr>
        <w:t> </w:t>
      </w:r>
      <w:r>
        <w:rPr>
          <w:rStyle w:val="a9"/>
          <w:color w:val="000000"/>
        </w:rPr>
        <w:t>restoration of rights, restitution, or effective compensation</w:t>
      </w:r>
      <w:r>
        <w:rPr>
          <w:rStyle w:val="apple-converted-space"/>
          <w:color w:val="000000"/>
        </w:rPr>
        <w:t> </w:t>
      </w:r>
      <w:r>
        <w:rPr>
          <w:color w:val="000000"/>
        </w:rPr>
        <w:t>are recognized as essential components of transitional justice and the re-establishment of the rule of law.</w:t>
      </w:r>
    </w:p>
    <w:p w14:paraId="75861580" w14:textId="77777777" w:rsidR="008B533F" w:rsidRDefault="008B533F" w:rsidP="008B533F">
      <w:pPr>
        <w:pStyle w:val="a6"/>
        <w:spacing w:line="276" w:lineRule="auto"/>
        <w:ind w:firstLine="708"/>
        <w:jc w:val="both"/>
        <w:rPr>
          <w:color w:val="000000"/>
        </w:rPr>
      </w:pPr>
      <w:r>
        <w:rPr>
          <w:color w:val="000000"/>
        </w:rPr>
        <w:t>At the United Nations level, the</w:t>
      </w:r>
      <w:r>
        <w:rPr>
          <w:rStyle w:val="apple-converted-space"/>
          <w:color w:val="000000"/>
        </w:rPr>
        <w:t> </w:t>
      </w:r>
      <w:r>
        <w:rPr>
          <w:rStyle w:val="a9"/>
          <w:color w:val="000000"/>
        </w:rPr>
        <w:t>Pinheiro Principles on Housing and Property Restitution for Refugees and Displaced Persons</w:t>
      </w:r>
      <w:r>
        <w:rPr>
          <w:rStyle w:val="apple-converted-space"/>
          <w:color w:val="000000"/>
        </w:rPr>
        <w:t> </w:t>
      </w:r>
      <w:r>
        <w:rPr>
          <w:color w:val="000000"/>
        </w:rPr>
        <w:t>(2005) affirm restitution as the preferred remedy for unlawful deprivation of property, reflecting a broader international consensus that States should avoid perpetuating or reproducing the effects of past confiscations.</w:t>
      </w:r>
    </w:p>
    <w:p w14:paraId="4F02828A" w14:textId="1C2A4BCD" w:rsidR="008B533F" w:rsidRPr="00351C80" w:rsidRDefault="008B533F" w:rsidP="008B533F">
      <w:pPr>
        <w:pStyle w:val="a6"/>
        <w:spacing w:line="276" w:lineRule="auto"/>
        <w:ind w:firstLine="708"/>
        <w:jc w:val="both"/>
        <w:rPr>
          <w:color w:val="000000"/>
        </w:rPr>
      </w:pPr>
      <w:r>
        <w:rPr>
          <w:color w:val="000000"/>
        </w:rPr>
        <w:t>In this context, where religious property historically belonged to a religious denomination prior to confiscation by Soviet authorities, the post-communist State is expected to</w:t>
      </w:r>
      <w:r>
        <w:rPr>
          <w:rStyle w:val="apple-converted-space"/>
          <w:color w:val="000000"/>
        </w:rPr>
        <w:t> </w:t>
      </w:r>
      <w:r>
        <w:rPr>
          <w:rStyle w:val="a9"/>
          <w:color w:val="000000"/>
        </w:rPr>
        <w:t>avoid measures that replicate the effect of renewed deprivation</w:t>
      </w:r>
      <w:r>
        <w:rPr>
          <w:color w:val="000000"/>
        </w:rPr>
        <w:t xml:space="preserve">. Instead, international standards favor legal solutions that consolidate stability, recognize continuity, and strengthen </w:t>
      </w:r>
      <w:r>
        <w:rPr>
          <w:color w:val="000000"/>
        </w:rPr>
        <w:lastRenderedPageBreak/>
        <w:t>the rights of religious communities that represent the historical and institutional successors of the pre-confiscation religious entities.</w:t>
      </w:r>
    </w:p>
    <w:p w14:paraId="0F969C19" w14:textId="34D1E2C1" w:rsidR="00A52C53" w:rsidRPr="00351C80" w:rsidRDefault="00291C2A" w:rsidP="00351C80">
      <w:pPr>
        <w:pStyle w:val="2"/>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lang w:val="en-US"/>
        </w:rPr>
        <w:t>7</w:t>
      </w:r>
      <w:r w:rsidR="00A52C53" w:rsidRPr="00351C80">
        <w:rPr>
          <w:rFonts w:ascii="Times New Roman" w:hAnsi="Times New Roman" w:cs="Times New Roman"/>
          <w:b/>
          <w:bCs/>
          <w:color w:val="000000"/>
          <w:sz w:val="28"/>
          <w:szCs w:val="28"/>
        </w:rPr>
        <w:t>. Conclusion</w:t>
      </w:r>
    </w:p>
    <w:p w14:paraId="1FEF1A37" w14:textId="77777777" w:rsidR="00A52C53" w:rsidRDefault="00A52C53" w:rsidP="008B533F">
      <w:pPr>
        <w:pStyle w:val="a6"/>
        <w:spacing w:line="276" w:lineRule="auto"/>
        <w:ind w:firstLine="360"/>
        <w:jc w:val="both"/>
        <w:rPr>
          <w:color w:val="000000"/>
        </w:rPr>
      </w:pPr>
      <w:r>
        <w:rPr>
          <w:color w:val="000000"/>
        </w:rPr>
        <w:t>In light of the provisions of the ICCPR, UN documents, and the jurisprudence of the European Court of Human Rights, the actions of the Republic of Moldova with respect to believers of the Orthodox Church of Moldova may be qualified as:</w:t>
      </w:r>
    </w:p>
    <w:p w14:paraId="32CD6D20" w14:textId="77777777" w:rsidR="00A52C53" w:rsidRDefault="00A52C53">
      <w:pPr>
        <w:pStyle w:val="a6"/>
        <w:numPr>
          <w:ilvl w:val="0"/>
          <w:numId w:val="26"/>
        </w:numPr>
        <w:spacing w:line="276" w:lineRule="auto"/>
        <w:jc w:val="both"/>
        <w:rPr>
          <w:color w:val="000000"/>
        </w:rPr>
      </w:pPr>
      <w:r>
        <w:rPr>
          <w:color w:val="000000"/>
        </w:rPr>
        <w:t>a violation of freedom of religion (Article 18 of the ICCPR);</w:t>
      </w:r>
    </w:p>
    <w:p w14:paraId="0DE0207F" w14:textId="77777777" w:rsidR="00A52C53" w:rsidRDefault="00A52C53">
      <w:pPr>
        <w:pStyle w:val="a6"/>
        <w:numPr>
          <w:ilvl w:val="0"/>
          <w:numId w:val="26"/>
        </w:numPr>
        <w:spacing w:line="276" w:lineRule="auto"/>
        <w:jc w:val="both"/>
        <w:rPr>
          <w:color w:val="000000"/>
        </w:rPr>
      </w:pPr>
      <w:r>
        <w:rPr>
          <w:color w:val="000000"/>
        </w:rPr>
        <w:t>a violation of freedom of movement (Article 12 of the ICCPR);</w:t>
      </w:r>
    </w:p>
    <w:p w14:paraId="6A4B60A1" w14:textId="77777777" w:rsidR="00A52C53" w:rsidRDefault="00A52C53">
      <w:pPr>
        <w:pStyle w:val="a6"/>
        <w:numPr>
          <w:ilvl w:val="0"/>
          <w:numId w:val="26"/>
        </w:numPr>
        <w:spacing w:line="276" w:lineRule="auto"/>
        <w:jc w:val="both"/>
        <w:rPr>
          <w:color w:val="000000"/>
        </w:rPr>
      </w:pPr>
      <w:r>
        <w:rPr>
          <w:color w:val="000000"/>
        </w:rPr>
        <w:t>a violation of the right to a fair trial and the principle of legality (Articles 14 and 15 of the ICCPR);</w:t>
      </w:r>
    </w:p>
    <w:p w14:paraId="68C6FF0A" w14:textId="77777777" w:rsidR="00A52C53" w:rsidRDefault="00A52C53">
      <w:pPr>
        <w:pStyle w:val="a6"/>
        <w:numPr>
          <w:ilvl w:val="0"/>
          <w:numId w:val="26"/>
        </w:numPr>
        <w:spacing w:line="276" w:lineRule="auto"/>
        <w:jc w:val="both"/>
        <w:rPr>
          <w:color w:val="000000"/>
        </w:rPr>
      </w:pPr>
      <w:r>
        <w:rPr>
          <w:color w:val="000000"/>
        </w:rPr>
        <w:t>discrimination on the grounds of religion (Articles 2(1) and 26 of the ICCPR);</w:t>
      </w:r>
    </w:p>
    <w:p w14:paraId="35331AD2" w14:textId="77777777" w:rsidR="00A52C53" w:rsidRDefault="00A52C53">
      <w:pPr>
        <w:pStyle w:val="a6"/>
        <w:numPr>
          <w:ilvl w:val="0"/>
          <w:numId w:val="26"/>
        </w:numPr>
        <w:spacing w:line="276" w:lineRule="auto"/>
        <w:jc w:val="both"/>
        <w:rPr>
          <w:color w:val="000000"/>
        </w:rPr>
      </w:pPr>
      <w:r>
        <w:rPr>
          <w:color w:val="000000"/>
        </w:rPr>
        <w:t>a form of state proselytism prohibited under international law.</w:t>
      </w:r>
    </w:p>
    <w:p w14:paraId="0498AB41" w14:textId="6DB6BE4E" w:rsidR="00A52C53" w:rsidRDefault="00A52C53" w:rsidP="008B533F">
      <w:pPr>
        <w:pStyle w:val="a6"/>
        <w:spacing w:line="276" w:lineRule="auto"/>
        <w:ind w:firstLine="360"/>
        <w:jc w:val="both"/>
        <w:rPr>
          <w:color w:val="000000"/>
        </w:rPr>
      </w:pPr>
      <w:r>
        <w:rPr>
          <w:color w:val="000000"/>
        </w:rPr>
        <w:t>These violations are systemic in nature and require assessment by international human rights protection mechanisms, by analogy with the approach applied by UN Special Rapporteurs in their communication concerning Ukraine.</w:t>
      </w:r>
    </w:p>
    <w:p w14:paraId="6E5F396D" w14:textId="77777777" w:rsidR="008B533F" w:rsidRDefault="008B533F" w:rsidP="008B533F">
      <w:pPr>
        <w:pStyle w:val="a6"/>
        <w:spacing w:line="276" w:lineRule="auto"/>
        <w:ind w:firstLine="360"/>
        <w:jc w:val="both"/>
        <w:rPr>
          <w:color w:val="000000"/>
        </w:rPr>
      </w:pPr>
      <w:r>
        <w:rPr>
          <w:color w:val="000000"/>
        </w:rPr>
        <w:t>The termination or invalidation of legal arrangements governing churches and monasteries that had been lawfully transferred to, and long used by, the Orthodox Church of Moldova may therefore be characterized as a</w:t>
      </w:r>
      <w:r>
        <w:rPr>
          <w:rStyle w:val="apple-converted-space"/>
          <w:color w:val="000000"/>
        </w:rPr>
        <w:t> </w:t>
      </w:r>
      <w:r>
        <w:rPr>
          <w:rStyle w:val="a9"/>
          <w:color w:val="000000"/>
        </w:rPr>
        <w:t>dual violation</w:t>
      </w:r>
      <w:r>
        <w:rPr>
          <w:color w:val="000000"/>
        </w:rPr>
        <w:t>:</w:t>
      </w:r>
    </w:p>
    <w:p w14:paraId="562AFB24" w14:textId="77777777" w:rsidR="008B533F" w:rsidRDefault="008B533F">
      <w:pPr>
        <w:pStyle w:val="a6"/>
        <w:numPr>
          <w:ilvl w:val="0"/>
          <w:numId w:val="34"/>
        </w:numPr>
        <w:spacing w:line="276" w:lineRule="auto"/>
        <w:jc w:val="both"/>
        <w:rPr>
          <w:color w:val="000000"/>
        </w:rPr>
      </w:pPr>
      <w:r>
        <w:rPr>
          <w:color w:val="000000"/>
        </w:rPr>
        <w:t>an</w:t>
      </w:r>
      <w:r>
        <w:rPr>
          <w:rStyle w:val="apple-converted-space"/>
          <w:color w:val="000000"/>
        </w:rPr>
        <w:t> </w:t>
      </w:r>
      <w:r>
        <w:rPr>
          <w:rStyle w:val="a9"/>
          <w:color w:val="000000"/>
        </w:rPr>
        <w:t>interference with freedom of religion</w:t>
      </w:r>
      <w:r>
        <w:rPr>
          <w:rStyle w:val="apple-converted-space"/>
          <w:color w:val="000000"/>
        </w:rPr>
        <w:t> </w:t>
      </w:r>
      <w:r>
        <w:rPr>
          <w:color w:val="000000"/>
        </w:rPr>
        <w:t>under Article 18 ICCPR, affecting the collective manifestation of religion through access to places of worship; and</w:t>
      </w:r>
    </w:p>
    <w:p w14:paraId="49F16753" w14:textId="77777777" w:rsidR="008B533F" w:rsidRDefault="008B533F">
      <w:pPr>
        <w:pStyle w:val="a6"/>
        <w:numPr>
          <w:ilvl w:val="0"/>
          <w:numId w:val="34"/>
        </w:numPr>
        <w:spacing w:line="276" w:lineRule="auto"/>
        <w:jc w:val="both"/>
        <w:rPr>
          <w:color w:val="000000"/>
        </w:rPr>
      </w:pPr>
      <w:r>
        <w:rPr>
          <w:color w:val="000000"/>
        </w:rPr>
        <w:t>an</w:t>
      </w:r>
      <w:r>
        <w:rPr>
          <w:rStyle w:val="apple-converted-space"/>
          <w:color w:val="000000"/>
        </w:rPr>
        <w:t> </w:t>
      </w:r>
      <w:r>
        <w:rPr>
          <w:rStyle w:val="a9"/>
          <w:color w:val="000000"/>
        </w:rPr>
        <w:t>interference with protected property interests and legal certainty</w:t>
      </w:r>
      <w:r>
        <w:rPr>
          <w:color w:val="000000"/>
        </w:rPr>
        <w:t>, contrary to international and European human rights standards, particularly when viewed against the background of restitution obligations arising from communist-era confiscations.</w:t>
      </w:r>
    </w:p>
    <w:p w14:paraId="16AFB92A" w14:textId="53AAF302" w:rsidR="008B533F" w:rsidRDefault="008B533F" w:rsidP="008B533F">
      <w:pPr>
        <w:pStyle w:val="a6"/>
        <w:spacing w:line="276" w:lineRule="auto"/>
        <w:ind w:firstLine="360"/>
        <w:jc w:val="both"/>
        <w:rPr>
          <w:color w:val="000000"/>
        </w:rPr>
      </w:pPr>
      <w:r>
        <w:rPr>
          <w:color w:val="000000"/>
        </w:rPr>
        <w:t>Taken together, these considerations support the conclusion that the actions of the Republic of Moldova in this context raise serious issues of compliance with its international human rights obligations.</w:t>
      </w:r>
    </w:p>
    <w:p w14:paraId="1D7C446C" w14:textId="58F3A186" w:rsidR="00D206C5" w:rsidRDefault="00D206C5" w:rsidP="00291C2A">
      <w:pPr>
        <w:pStyle w:val="3"/>
        <w:numPr>
          <w:ilvl w:val="0"/>
          <w:numId w:val="8"/>
        </w:numPr>
        <w:spacing w:line="276" w:lineRule="auto"/>
        <w:jc w:val="both"/>
        <w:rPr>
          <w:rStyle w:val="a9"/>
          <w:b/>
          <w:bCs/>
          <w:color w:val="000000"/>
          <w:lang w:val="en-US"/>
        </w:rPr>
      </w:pPr>
      <w:r>
        <w:rPr>
          <w:rStyle w:val="a9"/>
          <w:b/>
          <w:bCs/>
          <w:color w:val="000000"/>
        </w:rPr>
        <w:t>Request to the Human Rights Committee</w:t>
      </w:r>
      <w:r w:rsidR="00351C80">
        <w:rPr>
          <w:rStyle w:val="a9"/>
          <w:b/>
          <w:bCs/>
          <w:color w:val="000000"/>
          <w:lang w:val="en-US"/>
        </w:rPr>
        <w:t>:</w:t>
      </w:r>
    </w:p>
    <w:p w14:paraId="7602342D" w14:textId="77777777" w:rsidR="00216B57" w:rsidRDefault="00216B57" w:rsidP="00216B57">
      <w:pPr>
        <w:pStyle w:val="a6"/>
        <w:ind w:firstLine="360"/>
        <w:rPr>
          <w:color w:val="000000"/>
        </w:rPr>
      </w:pPr>
      <w:r>
        <w:rPr>
          <w:color w:val="000000"/>
        </w:rPr>
        <w:t>In light of the information, factual record and legal analysis presented in this submission — including the prolonged judicial disputes concerning the annulment of the agreements of 4 January 2003 and 10 September 2008 governing the use of churches and monasteries — the author respectfully requests the Human Rights Committee to:</w:t>
      </w:r>
    </w:p>
    <w:p w14:paraId="4D988ADF" w14:textId="461470AE" w:rsidR="00216B57" w:rsidRPr="00216B57" w:rsidRDefault="00216B57" w:rsidP="00216B57">
      <w:pPr>
        <w:pStyle w:val="3"/>
        <w:rPr>
          <w:color w:val="000000"/>
          <w:sz w:val="24"/>
          <w:szCs w:val="24"/>
        </w:rPr>
      </w:pPr>
      <w:r w:rsidRPr="00F56E1F">
        <w:rPr>
          <w:rStyle w:val="a9"/>
          <w:b/>
          <w:bCs/>
          <w:color w:val="000000"/>
          <w:sz w:val="24"/>
          <w:szCs w:val="24"/>
          <w:lang w:val="en-US"/>
        </w:rPr>
        <w:t xml:space="preserve">      </w:t>
      </w:r>
      <w:r w:rsidR="00291C2A">
        <w:rPr>
          <w:rStyle w:val="a9"/>
          <w:b/>
          <w:bCs/>
          <w:color w:val="000000"/>
          <w:sz w:val="24"/>
          <w:szCs w:val="24"/>
          <w:lang w:val="de-DE"/>
        </w:rPr>
        <w:t>8</w:t>
      </w:r>
      <w:r w:rsidRPr="00216B57">
        <w:rPr>
          <w:rStyle w:val="a9"/>
          <w:b/>
          <w:bCs/>
          <w:color w:val="000000"/>
          <w:sz w:val="24"/>
          <w:szCs w:val="24"/>
        </w:rPr>
        <w:t>.1. Consideration of the submission</w:t>
      </w:r>
    </w:p>
    <w:p w14:paraId="701475D5" w14:textId="77777777" w:rsidR="00216B57" w:rsidRDefault="00216B57">
      <w:pPr>
        <w:pStyle w:val="a6"/>
        <w:numPr>
          <w:ilvl w:val="0"/>
          <w:numId w:val="38"/>
        </w:numPr>
        <w:ind w:left="0" w:firstLine="360"/>
        <w:jc w:val="both"/>
        <w:rPr>
          <w:color w:val="000000"/>
        </w:rPr>
      </w:pPr>
      <w:r>
        <w:rPr>
          <w:rStyle w:val="a9"/>
          <w:color w:val="000000"/>
        </w:rPr>
        <w:t>Take this submission into account</w:t>
      </w:r>
      <w:r>
        <w:rPr>
          <w:rStyle w:val="apple-converted-space"/>
          <w:color w:val="000000"/>
        </w:rPr>
        <w:t> </w:t>
      </w:r>
      <w:r>
        <w:rPr>
          <w:color w:val="000000"/>
        </w:rPr>
        <w:t>when examining the Fourth Periodic Report of the Republic of Moldova at its 145th session, including the information relating to systemic interferences with the freedom of religion and the material conditions necessary for its collective manifestation.</w:t>
      </w:r>
    </w:p>
    <w:p w14:paraId="0B70FA53" w14:textId="77777777" w:rsidR="00216B57" w:rsidRDefault="00216B57">
      <w:pPr>
        <w:pStyle w:val="a6"/>
        <w:numPr>
          <w:ilvl w:val="0"/>
          <w:numId w:val="39"/>
        </w:numPr>
        <w:tabs>
          <w:tab w:val="clear" w:pos="720"/>
        </w:tabs>
        <w:ind w:left="0" w:firstLine="426"/>
        <w:rPr>
          <w:color w:val="000000"/>
        </w:rPr>
      </w:pPr>
      <w:r>
        <w:rPr>
          <w:rStyle w:val="a9"/>
          <w:color w:val="000000"/>
        </w:rPr>
        <w:t>Identify, as principal subjects of concern</w:t>
      </w:r>
      <w:r>
        <w:rPr>
          <w:rStyle w:val="apple-converted-space"/>
          <w:color w:val="000000"/>
        </w:rPr>
        <w:t> </w:t>
      </w:r>
      <w:r>
        <w:rPr>
          <w:color w:val="000000"/>
        </w:rPr>
        <w:t>in its Concluding Observations on Moldova, the following issues:</w:t>
      </w:r>
    </w:p>
    <w:p w14:paraId="083FF628" w14:textId="77777777" w:rsidR="00216B57" w:rsidRDefault="00216B57">
      <w:pPr>
        <w:pStyle w:val="a6"/>
        <w:numPr>
          <w:ilvl w:val="0"/>
          <w:numId w:val="40"/>
        </w:numPr>
        <w:jc w:val="both"/>
        <w:rPr>
          <w:color w:val="000000"/>
        </w:rPr>
      </w:pPr>
      <w:r>
        <w:rPr>
          <w:color w:val="000000"/>
        </w:rPr>
        <w:lastRenderedPageBreak/>
        <w:t>systemic interference with freedom of religion or belief affecting believers and religious organizations of the Orthodox Church of Moldova, including through measures impacting access to places of worship and religious property essential for collective religious life (Article 18 ICCPR);</w:t>
      </w:r>
    </w:p>
    <w:p w14:paraId="18D31242" w14:textId="77777777" w:rsidR="00216B57" w:rsidRDefault="00216B57">
      <w:pPr>
        <w:pStyle w:val="a6"/>
        <w:numPr>
          <w:ilvl w:val="0"/>
          <w:numId w:val="40"/>
        </w:numPr>
        <w:jc w:val="both"/>
        <w:rPr>
          <w:color w:val="000000"/>
        </w:rPr>
      </w:pPr>
      <w:r>
        <w:rPr>
          <w:color w:val="000000"/>
        </w:rPr>
        <w:t>discriminatory restrictions on freedom of movement, including the blocking of religious pilgrimages and other forms of religious observance involving cross-border travel (Article 12 ICCPR);</w:t>
      </w:r>
    </w:p>
    <w:p w14:paraId="74702A84" w14:textId="77777777" w:rsidR="00216B57" w:rsidRDefault="00216B57">
      <w:pPr>
        <w:pStyle w:val="a6"/>
        <w:numPr>
          <w:ilvl w:val="0"/>
          <w:numId w:val="40"/>
        </w:numPr>
        <w:jc w:val="both"/>
        <w:rPr>
          <w:color w:val="000000"/>
        </w:rPr>
      </w:pPr>
      <w:r>
        <w:rPr>
          <w:color w:val="000000"/>
        </w:rPr>
        <w:t>the use of vague, unforeseeable and excessively broad legal provisions — in particular Article 471 of the Moldovan Code of Administrative Offences — leading to punitive measures imposed on the basis of suspicion rather than proof, in violation of the principles of legality, legal certainty and presumption of innocence (Articles 14 and 15 ICCPR);</w:t>
      </w:r>
    </w:p>
    <w:p w14:paraId="0E1C012B" w14:textId="77777777" w:rsidR="00216B57" w:rsidRDefault="00216B57">
      <w:pPr>
        <w:pStyle w:val="a6"/>
        <w:numPr>
          <w:ilvl w:val="0"/>
          <w:numId w:val="40"/>
        </w:numPr>
        <w:jc w:val="both"/>
        <w:rPr>
          <w:color w:val="000000"/>
        </w:rPr>
      </w:pPr>
      <w:r>
        <w:rPr>
          <w:color w:val="000000"/>
        </w:rPr>
        <w:t>discriminatory treatment between religious denominations with regard to access to funding, religious property, and State support, including the unequal legal treatment of religious organizations in relation to the receipt of foreign donations and the legal regime governing places of worship (Articles 2(1) and 26 ICCPR);</w:t>
      </w:r>
    </w:p>
    <w:p w14:paraId="636581CC" w14:textId="77777777" w:rsidR="00216B57" w:rsidRDefault="00216B57">
      <w:pPr>
        <w:pStyle w:val="a6"/>
        <w:numPr>
          <w:ilvl w:val="0"/>
          <w:numId w:val="40"/>
        </w:numPr>
        <w:jc w:val="both"/>
        <w:rPr>
          <w:color w:val="000000"/>
        </w:rPr>
      </w:pPr>
      <w:r>
        <w:rPr>
          <w:color w:val="000000"/>
        </w:rPr>
        <w:t>the prolonged legal uncertainty surrounding churches and monasteries historically and continuously used by religious organizations of the Orthodox Church of Moldova, resulting from repeated annulment of judicial decisions and the absence of a stable and non-discriminatory legal framework for the use or restitution of communal religious property (Articles 18 and 26 ICCPR).</w:t>
      </w:r>
    </w:p>
    <w:p w14:paraId="26217FF1" w14:textId="77777777" w:rsidR="00216B57" w:rsidRDefault="00216B57">
      <w:pPr>
        <w:pStyle w:val="a6"/>
        <w:numPr>
          <w:ilvl w:val="0"/>
          <w:numId w:val="41"/>
        </w:numPr>
        <w:rPr>
          <w:color w:val="000000"/>
        </w:rPr>
      </w:pPr>
      <w:r>
        <w:rPr>
          <w:rStyle w:val="a9"/>
          <w:color w:val="000000"/>
        </w:rPr>
        <w:t>Address targeted questions to the State party</w:t>
      </w:r>
      <w:r>
        <w:rPr>
          <w:rStyle w:val="apple-converted-space"/>
          <w:color w:val="000000"/>
        </w:rPr>
        <w:t> </w:t>
      </w:r>
      <w:r>
        <w:rPr>
          <w:color w:val="000000"/>
        </w:rPr>
        <w:t>during the constructive dialogue, including with regard to:</w:t>
      </w:r>
    </w:p>
    <w:p w14:paraId="6E360D46" w14:textId="77777777" w:rsidR="00216B57" w:rsidRDefault="00216B57">
      <w:pPr>
        <w:pStyle w:val="a6"/>
        <w:numPr>
          <w:ilvl w:val="0"/>
          <w:numId w:val="42"/>
        </w:numPr>
        <w:jc w:val="both"/>
        <w:rPr>
          <w:color w:val="000000"/>
        </w:rPr>
      </w:pPr>
      <w:r>
        <w:rPr>
          <w:color w:val="000000"/>
        </w:rPr>
        <w:t>the legal basis, necessity and proportionality of restrictions imposed on religious pilgrimages and other forms of religious travel;</w:t>
      </w:r>
    </w:p>
    <w:p w14:paraId="2AA836A2" w14:textId="77777777" w:rsidR="00216B57" w:rsidRDefault="00216B57">
      <w:pPr>
        <w:pStyle w:val="a6"/>
        <w:numPr>
          <w:ilvl w:val="0"/>
          <w:numId w:val="42"/>
        </w:numPr>
        <w:jc w:val="both"/>
        <w:rPr>
          <w:color w:val="000000"/>
        </w:rPr>
      </w:pPr>
      <w:r>
        <w:rPr>
          <w:color w:val="000000"/>
        </w:rPr>
        <w:t>safeguards in place to prevent arbitrary or discriminatory application of Article 471 of the Code of Administrative Offences, including the requirement of proof of intent and receipt of unlawful benefits;</w:t>
      </w:r>
    </w:p>
    <w:p w14:paraId="1244B69A" w14:textId="77777777" w:rsidR="00216B57" w:rsidRDefault="00216B57">
      <w:pPr>
        <w:pStyle w:val="a6"/>
        <w:numPr>
          <w:ilvl w:val="0"/>
          <w:numId w:val="42"/>
        </w:numPr>
        <w:jc w:val="both"/>
        <w:rPr>
          <w:color w:val="000000"/>
        </w:rPr>
      </w:pPr>
      <w:r>
        <w:rPr>
          <w:color w:val="000000"/>
        </w:rPr>
        <w:t>measures taken to ensure confessional neutrality and equal treatment of religious communities in administrative, judicial and financial matters;</w:t>
      </w:r>
    </w:p>
    <w:p w14:paraId="711DEBF0" w14:textId="77777777" w:rsidR="00216B57" w:rsidRDefault="00216B57">
      <w:pPr>
        <w:pStyle w:val="a6"/>
        <w:numPr>
          <w:ilvl w:val="0"/>
          <w:numId w:val="42"/>
        </w:numPr>
        <w:jc w:val="both"/>
        <w:rPr>
          <w:color w:val="000000"/>
        </w:rPr>
      </w:pPr>
      <w:r>
        <w:rPr>
          <w:color w:val="000000"/>
        </w:rPr>
        <w:t>the steps taken to ensure legal certainty and stability concerning the use, possession and protection of churches and monasteries historically used by religious organizations of the Orthodox Church of Moldova;</w:t>
      </w:r>
    </w:p>
    <w:p w14:paraId="23F146A8" w14:textId="77777777" w:rsidR="00216B57" w:rsidRDefault="00216B57">
      <w:pPr>
        <w:pStyle w:val="a6"/>
        <w:numPr>
          <w:ilvl w:val="0"/>
          <w:numId w:val="42"/>
        </w:numPr>
        <w:jc w:val="both"/>
        <w:rPr>
          <w:color w:val="000000"/>
        </w:rPr>
      </w:pPr>
      <w:r>
        <w:rPr>
          <w:color w:val="000000"/>
        </w:rPr>
        <w:t>the existence, scope and adequacy of domestic mechanisms for the restitution, transfer or secure legal allocation of communal religious property confiscated under previous regimes.</w:t>
      </w:r>
    </w:p>
    <w:p w14:paraId="2DF53839" w14:textId="77777777" w:rsidR="00216B57" w:rsidRDefault="00216B57">
      <w:pPr>
        <w:pStyle w:val="a6"/>
        <w:numPr>
          <w:ilvl w:val="0"/>
          <w:numId w:val="43"/>
        </w:numPr>
        <w:rPr>
          <w:color w:val="000000"/>
        </w:rPr>
      </w:pPr>
      <w:r>
        <w:rPr>
          <w:rStyle w:val="a9"/>
          <w:color w:val="000000"/>
        </w:rPr>
        <w:t>Recommend that the Republic of Moldova</w:t>
      </w:r>
      <w:r>
        <w:rPr>
          <w:color w:val="000000"/>
        </w:rPr>
        <w:t>:</w:t>
      </w:r>
    </w:p>
    <w:p w14:paraId="337AAADD" w14:textId="77777777" w:rsidR="00216B57" w:rsidRDefault="00216B57">
      <w:pPr>
        <w:pStyle w:val="a6"/>
        <w:numPr>
          <w:ilvl w:val="0"/>
          <w:numId w:val="44"/>
        </w:numPr>
        <w:jc w:val="both"/>
        <w:rPr>
          <w:color w:val="000000"/>
        </w:rPr>
      </w:pPr>
      <w:r>
        <w:rPr>
          <w:color w:val="000000"/>
        </w:rPr>
        <w:t>bring its legislation, judicial practice and administrative measures into full compliance with the ICCPR, in particular Articles 12, 14, 15, 18 and 26;</w:t>
      </w:r>
    </w:p>
    <w:p w14:paraId="03F9B70E" w14:textId="77777777" w:rsidR="00216B57" w:rsidRDefault="00216B57">
      <w:pPr>
        <w:pStyle w:val="a6"/>
        <w:numPr>
          <w:ilvl w:val="0"/>
          <w:numId w:val="44"/>
        </w:numPr>
        <w:jc w:val="both"/>
        <w:rPr>
          <w:color w:val="000000"/>
        </w:rPr>
      </w:pPr>
      <w:r>
        <w:rPr>
          <w:color w:val="000000"/>
        </w:rPr>
        <w:t>repeal or amend legal provisions that lack sufficient clarity and foreseeability and enable the imposition of sanctions on the basis of suspicion rather than proof;</w:t>
      </w:r>
    </w:p>
    <w:p w14:paraId="1DF0549A" w14:textId="77777777" w:rsidR="00216B57" w:rsidRDefault="00216B57">
      <w:pPr>
        <w:pStyle w:val="a6"/>
        <w:numPr>
          <w:ilvl w:val="0"/>
          <w:numId w:val="44"/>
        </w:numPr>
        <w:jc w:val="both"/>
        <w:rPr>
          <w:color w:val="000000"/>
        </w:rPr>
      </w:pPr>
      <w:r>
        <w:rPr>
          <w:color w:val="000000"/>
        </w:rPr>
        <w:t>ensure that no religious denomination is granted privileged treatment, directly or indirectly, by the State, including through unequal access to funding, property, or legal protection;</w:t>
      </w:r>
    </w:p>
    <w:p w14:paraId="27EA5A7C" w14:textId="77777777" w:rsidR="00216B57" w:rsidRDefault="00216B57">
      <w:pPr>
        <w:pStyle w:val="a6"/>
        <w:numPr>
          <w:ilvl w:val="0"/>
          <w:numId w:val="44"/>
        </w:numPr>
        <w:jc w:val="both"/>
        <w:rPr>
          <w:color w:val="000000"/>
        </w:rPr>
      </w:pPr>
      <w:r>
        <w:rPr>
          <w:color w:val="000000"/>
        </w:rPr>
        <w:t>refrain from political rhetoric, administrative practices or judicial approaches that stigmatize religious communities or amount to state-sponsored proselytism;</w:t>
      </w:r>
    </w:p>
    <w:p w14:paraId="649E05E9" w14:textId="77777777" w:rsidR="00216B57" w:rsidRDefault="00216B57">
      <w:pPr>
        <w:pStyle w:val="a6"/>
        <w:numPr>
          <w:ilvl w:val="0"/>
          <w:numId w:val="44"/>
        </w:numPr>
        <w:jc w:val="both"/>
        <w:rPr>
          <w:color w:val="000000"/>
        </w:rPr>
      </w:pPr>
      <w:r>
        <w:rPr>
          <w:rStyle w:val="a9"/>
          <w:color w:val="000000"/>
        </w:rPr>
        <w:t>remove any legal, administrative or practical obstacles that prevent religious organizations of the Orthodox Church of Moldova from receiving donations from abroad on an equal and non-discriminatory basis with other religious organizations</w:t>
      </w:r>
      <w:r>
        <w:rPr>
          <w:color w:val="000000"/>
        </w:rPr>
        <w:t>, in particular from religious centres with which they maintain canonical ties, including the Russian Orthodox Church;</w:t>
      </w:r>
    </w:p>
    <w:p w14:paraId="1D55A4B2" w14:textId="77777777" w:rsidR="00216B57" w:rsidRDefault="00216B57">
      <w:pPr>
        <w:pStyle w:val="a6"/>
        <w:numPr>
          <w:ilvl w:val="0"/>
          <w:numId w:val="44"/>
        </w:numPr>
        <w:jc w:val="both"/>
        <w:rPr>
          <w:color w:val="000000"/>
        </w:rPr>
      </w:pPr>
      <w:r>
        <w:rPr>
          <w:rStyle w:val="a9"/>
          <w:color w:val="000000"/>
        </w:rPr>
        <w:lastRenderedPageBreak/>
        <w:t>ensure legal certainty and effective protection of churches, monasteries and other places of worship historically and continuously used by religious organizations of the Orthodox Church of Moldova</w:t>
      </w:r>
      <w:r>
        <w:rPr>
          <w:color w:val="000000"/>
        </w:rPr>
        <w:t>, including by concluding new legally secure agreements or establishing alternative legal bases guaranteeing uninterrupted religious use;</w:t>
      </w:r>
    </w:p>
    <w:p w14:paraId="799C0D76" w14:textId="77777777" w:rsidR="00216B57" w:rsidRDefault="00216B57">
      <w:pPr>
        <w:pStyle w:val="a6"/>
        <w:numPr>
          <w:ilvl w:val="0"/>
          <w:numId w:val="44"/>
        </w:numPr>
        <w:jc w:val="both"/>
        <w:rPr>
          <w:color w:val="000000"/>
        </w:rPr>
      </w:pPr>
      <w:r>
        <w:rPr>
          <w:rStyle w:val="a9"/>
          <w:color w:val="000000"/>
        </w:rPr>
        <w:t>consider transferring such property on a more stable legal basis</w:t>
      </w:r>
      <w:r>
        <w:rPr>
          <w:color w:val="000000"/>
        </w:rPr>
        <w:t>, including ownership, long-term use rights or other appropriate mechanisms, where compatible with cultural heritage protection;</w:t>
      </w:r>
    </w:p>
    <w:p w14:paraId="72BD6F09" w14:textId="77777777" w:rsidR="00216B57" w:rsidRDefault="00216B57">
      <w:pPr>
        <w:pStyle w:val="a6"/>
        <w:numPr>
          <w:ilvl w:val="0"/>
          <w:numId w:val="44"/>
        </w:numPr>
        <w:jc w:val="both"/>
        <w:rPr>
          <w:color w:val="000000"/>
        </w:rPr>
      </w:pPr>
      <w:r>
        <w:rPr>
          <w:rStyle w:val="a9"/>
          <w:color w:val="000000"/>
        </w:rPr>
        <w:t>adopt comprehensive legislation on restitution</w:t>
      </w:r>
      <w:r>
        <w:rPr>
          <w:color w:val="000000"/>
        </w:rPr>
        <w:t>, explicitly covering communal religious property confiscated under previous regimes, including places of worship and monasteries, and providing clear criteria, procedures, safeguards against arbitrariness and effective remedies.</w:t>
      </w:r>
    </w:p>
    <w:p w14:paraId="516304EA" w14:textId="72410DC7" w:rsidR="00216B57" w:rsidRPr="00291C2A" w:rsidRDefault="00216B57" w:rsidP="00291C2A">
      <w:pPr>
        <w:pStyle w:val="3"/>
        <w:numPr>
          <w:ilvl w:val="0"/>
          <w:numId w:val="43"/>
        </w:numPr>
        <w:rPr>
          <w:color w:val="000000"/>
          <w:sz w:val="24"/>
          <w:szCs w:val="24"/>
        </w:rPr>
      </w:pPr>
      <w:r w:rsidRPr="00291C2A">
        <w:rPr>
          <w:rStyle w:val="a9"/>
          <w:color w:val="000000"/>
          <w:sz w:val="24"/>
          <w:szCs w:val="24"/>
        </w:rPr>
        <w:t>Consider requesting follow-up information from the State party</w:t>
      </w:r>
      <w:r w:rsidRPr="00291C2A">
        <w:rPr>
          <w:rStyle w:val="apple-converted-space"/>
          <w:color w:val="000000"/>
          <w:sz w:val="24"/>
          <w:szCs w:val="24"/>
        </w:rPr>
        <w:t> </w:t>
      </w:r>
      <w:r w:rsidRPr="00291C2A">
        <w:rPr>
          <w:color w:val="000000"/>
          <w:sz w:val="24"/>
          <w:szCs w:val="24"/>
        </w:rPr>
        <w:t>on the implementation of the above recommendations, in accordance with the Committee’s follow-up procedure.</w:t>
      </w:r>
    </w:p>
    <w:p w14:paraId="32F280CA" w14:textId="77777777" w:rsidR="00B73F88" w:rsidRPr="00A52C53" w:rsidRDefault="00B73F88">
      <w:pPr>
        <w:rPr>
          <w:rFonts w:ascii="Times New Roman" w:hAnsi="Times New Roman" w:cs="Times New Roman"/>
        </w:rPr>
      </w:pPr>
    </w:p>
    <w:sectPr w:rsidR="00B73F88" w:rsidRPr="00A52C53" w:rsidSect="00D206C5">
      <w:pgSz w:w="11906" w:h="16838"/>
      <w:pgMar w:top="166"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B23D44" w14:textId="77777777" w:rsidR="00677AED" w:rsidRDefault="00677AED" w:rsidP="00B73F88">
      <w:r>
        <w:separator/>
      </w:r>
    </w:p>
  </w:endnote>
  <w:endnote w:type="continuationSeparator" w:id="0">
    <w:p w14:paraId="0B4B62F9" w14:textId="77777777" w:rsidR="00677AED" w:rsidRDefault="00677AED" w:rsidP="00B73F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33884E" w14:textId="77777777" w:rsidR="00677AED" w:rsidRDefault="00677AED" w:rsidP="00B73F88">
      <w:r>
        <w:separator/>
      </w:r>
    </w:p>
  </w:footnote>
  <w:footnote w:type="continuationSeparator" w:id="0">
    <w:p w14:paraId="05463ACD" w14:textId="77777777" w:rsidR="00677AED" w:rsidRDefault="00677AED" w:rsidP="00B73F88">
      <w:r>
        <w:continuationSeparator/>
      </w:r>
    </w:p>
  </w:footnote>
  <w:footnote w:id="1">
    <w:p w14:paraId="38DDE0A7" w14:textId="77777777" w:rsidR="00B73F88" w:rsidRPr="008750E9" w:rsidRDefault="00B73F88" w:rsidP="00B73F88">
      <w:pPr>
        <w:pStyle w:val="a3"/>
        <w:rPr>
          <w:rFonts w:ascii="Times New Roman" w:hAnsi="Times New Roman" w:cs="Times New Roman"/>
        </w:rPr>
      </w:pPr>
      <w:r w:rsidRPr="008750E9">
        <w:rPr>
          <w:rStyle w:val="a5"/>
          <w:rFonts w:ascii="Times New Roman" w:hAnsi="Times New Roman" w:cs="Times New Roman"/>
        </w:rPr>
        <w:footnoteRef/>
      </w:r>
      <w:r w:rsidRPr="008750E9">
        <w:rPr>
          <w:rFonts w:ascii="Times New Roman" w:hAnsi="Times New Roman" w:cs="Times New Roman"/>
        </w:rPr>
        <w:t xml:space="preserve"> https://traditia.md/sandu-prichislila-pravoslavnuyu-czerkov-moldovy-k-instrumentam-rossijskogo-vmeshatelstva-video/</w:t>
      </w:r>
    </w:p>
  </w:footnote>
  <w:footnote w:id="2">
    <w:p w14:paraId="33003E09" w14:textId="77777777" w:rsidR="00B73F88" w:rsidRPr="008750E9" w:rsidRDefault="00B73F88" w:rsidP="00B73F88">
      <w:pPr>
        <w:pStyle w:val="a3"/>
        <w:rPr>
          <w:rFonts w:ascii="Times New Roman" w:hAnsi="Times New Roman" w:cs="Times New Roman"/>
        </w:rPr>
      </w:pPr>
      <w:r w:rsidRPr="008750E9">
        <w:rPr>
          <w:rStyle w:val="a5"/>
          <w:rFonts w:ascii="Times New Roman" w:hAnsi="Times New Roman" w:cs="Times New Roman"/>
        </w:rPr>
        <w:footnoteRef/>
      </w:r>
      <w:r w:rsidRPr="008750E9">
        <w:rPr>
          <w:rFonts w:ascii="Times New Roman" w:hAnsi="Times New Roman" w:cs="Times New Roman"/>
        </w:rPr>
        <w:t xml:space="preserve"> </w:t>
      </w:r>
      <w:r w:rsidRPr="008750E9">
        <w:rPr>
          <w:rFonts w:ascii="Times New Roman" w:hAnsi="Times New Roman" w:cs="Times New Roman"/>
          <w:sz w:val="40"/>
        </w:rPr>
        <w:t>A</w:t>
      </w:r>
      <w:r w:rsidRPr="008750E9">
        <w:rPr>
          <w:rFonts w:ascii="Times New Roman" w:hAnsi="Times New Roman" w:cs="Times New Roman"/>
        </w:rPr>
        <w:t>/HRC/59/NGO/</w:t>
      </w:r>
      <w:r w:rsidRPr="008750E9">
        <w:rPr>
          <w:rFonts w:ascii="Times New Roman" w:hAnsi="Times New Roman" w:cs="Times New Roman"/>
          <w:noProof/>
        </w:rPr>
        <w:t>115</w:t>
      </w:r>
    </w:p>
  </w:footnote>
  <w:footnote w:id="3">
    <w:p w14:paraId="2B58B12B" w14:textId="77777777" w:rsidR="00B73F88" w:rsidRDefault="00B73F88" w:rsidP="00B73F88">
      <w:pPr>
        <w:pStyle w:val="a3"/>
      </w:pPr>
      <w:r w:rsidRPr="008750E9">
        <w:rPr>
          <w:rStyle w:val="a5"/>
          <w:rFonts w:ascii="Times New Roman" w:hAnsi="Times New Roman" w:cs="Times New Roman"/>
        </w:rPr>
        <w:footnoteRef/>
      </w:r>
      <w:r w:rsidRPr="008750E9">
        <w:rPr>
          <w:rFonts w:ascii="Times New Roman" w:hAnsi="Times New Roman" w:cs="Times New Roman"/>
        </w:rPr>
        <w:t xml:space="preserve"> </w:t>
      </w:r>
      <w:r w:rsidRPr="008750E9">
        <w:rPr>
          <w:rFonts w:ascii="Times New Roman" w:hAnsi="Times New Roman" w:cs="Times New Roman"/>
        </w:rPr>
        <w:t>https://ephbalti.md/rus/2025/05/zayavlenie-arxiepiskopa-belckogo-i-faleshtskogo-markella-o-narusheniyax-prav-cheloveka-v-respublike-moldova-v-otnoshenii-svobody-veroispovedaniya-i-svobody-peredvizheniya/</w:t>
      </w:r>
    </w:p>
  </w:footnote>
  <w:footnote w:id="4">
    <w:p w14:paraId="0491868E" w14:textId="048437E6" w:rsidR="00B73F88" w:rsidRPr="00E57C6F" w:rsidRDefault="00B73F88" w:rsidP="00B73F88">
      <w:pPr>
        <w:pStyle w:val="a3"/>
        <w:rPr>
          <w:rFonts w:ascii="Times New Roman" w:hAnsi="Times New Roman" w:cs="Times New Roman"/>
        </w:rPr>
      </w:pPr>
      <w:r w:rsidRPr="008750E9">
        <w:rPr>
          <w:rStyle w:val="a5"/>
          <w:rFonts w:ascii="Times New Roman" w:hAnsi="Times New Roman" w:cs="Times New Roman"/>
        </w:rPr>
        <w:footnoteRef/>
      </w:r>
      <w:r w:rsidRPr="008750E9">
        <w:rPr>
          <w:rFonts w:ascii="Times New Roman" w:hAnsi="Times New Roman" w:cs="Times New Roman"/>
        </w:rPr>
        <w:t xml:space="preserve"> </w:t>
      </w:r>
      <w:r w:rsidRPr="008750E9">
        <w:rPr>
          <w:rFonts w:ascii="Times New Roman" w:hAnsi="Times New Roman" w:cs="Times New Roman"/>
        </w:rPr>
        <w:t>https://gagauznews.com/121002/zhiteli-sela-grinautsy-otstoyali-hram.html</w:t>
      </w:r>
    </w:p>
  </w:footnote>
  <w:footnote w:id="5">
    <w:p w14:paraId="03BDCCA2" w14:textId="54CFB1FC" w:rsidR="00413795" w:rsidRPr="00413795" w:rsidRDefault="00413795">
      <w:pPr>
        <w:pStyle w:val="a3"/>
      </w:pPr>
      <w:r>
        <w:rPr>
          <w:rStyle w:val="a5"/>
        </w:rPr>
        <w:footnoteRef/>
      </w:r>
      <w:r>
        <w:t xml:space="preserve"> </w:t>
      </w:r>
      <w:r>
        <w:t>] https://moldova.europalibera.org/a/un-deputat-pas-spune-ca-mitropolia-moldovei-ar-putea-fiinterzisa-partidul-se-disociaza-de-parerea-lui/33097978.html</w:t>
      </w:r>
    </w:p>
  </w:footnote>
  <w:footnote w:id="6">
    <w:p w14:paraId="32603CF4" w14:textId="33016D84" w:rsidR="00413795" w:rsidRPr="00413795" w:rsidRDefault="00413795">
      <w:pPr>
        <w:pStyle w:val="a3"/>
      </w:pPr>
      <w:r>
        <w:rPr>
          <w:rStyle w:val="a5"/>
        </w:rPr>
        <w:footnoteRef/>
      </w:r>
      <w:r>
        <w:t xml:space="preserve"> </w:t>
      </w:r>
      <w:r w:rsidRPr="00413795">
        <w:t>https://basilica.ro/mitropolia-basarabiei-proiect-de-suflet-pentru-presedintele-senatului-romaniei-mitropolia-multumeste-pentru-sustinere/</w:t>
      </w:r>
    </w:p>
  </w:footnote>
  <w:footnote w:id="7">
    <w:p w14:paraId="71686DF0" w14:textId="77777777" w:rsidR="00413795" w:rsidRDefault="00413795" w:rsidP="00413795">
      <w:pPr>
        <w:pStyle w:val="a3"/>
      </w:pPr>
      <w:r>
        <w:rPr>
          <w:rStyle w:val="a5"/>
        </w:rPr>
        <w:footnoteRef/>
      </w:r>
      <w:r>
        <w:t xml:space="preserve"> </w:t>
      </w:r>
      <w:r w:rsidRPr="008750E9">
        <w:rPr>
          <w:rStyle w:val="a5"/>
          <w:rFonts w:ascii="Times New Roman" w:hAnsi="Times New Roman" w:cs="Times New Roman"/>
        </w:rPr>
        <w:footnoteRef/>
      </w:r>
      <w:r w:rsidRPr="008750E9">
        <w:rPr>
          <w:rFonts w:ascii="Times New Roman" w:hAnsi="Times New Roman" w:cs="Times New Roman"/>
        </w:rPr>
        <w:t xml:space="preserve"> </w:t>
      </w:r>
      <w:r w:rsidRPr="008750E9">
        <w:rPr>
          <w:rFonts w:ascii="Times New Roman" w:hAnsi="Times New Roman" w:cs="Times New Roman"/>
        </w:rPr>
        <w:t>https://ephbalti.md/rus/2025/05/zayavlenie-arxiepiskopa-belckogo-i-faleshtskogo-markella-o-narusheniyax-prav-cheloveka-v-respublike-moldova-v-otnoshenii-svobody-veroispovedaniya-i-svobody-peredvizheniya/</w:t>
      </w:r>
    </w:p>
    <w:p w14:paraId="10D0727E" w14:textId="4E4E95DC" w:rsidR="00413795" w:rsidRPr="00413795" w:rsidRDefault="00413795">
      <w:pPr>
        <w:pStyle w:val="a3"/>
      </w:pPr>
    </w:p>
  </w:footnote>
  <w:footnote w:id="8">
    <w:p w14:paraId="6F5E3C11" w14:textId="77777777" w:rsidR="000823F1" w:rsidRPr="000823F1" w:rsidRDefault="000823F1" w:rsidP="000823F1">
      <w:pPr>
        <w:pStyle w:val="a3"/>
      </w:pPr>
      <w:r>
        <w:rPr>
          <w:rStyle w:val="a5"/>
        </w:rPr>
        <w:footnoteRef/>
      </w:r>
      <w:r>
        <w:t xml:space="preserve"> </w:t>
      </w:r>
      <w:r w:rsidRPr="008F2AF2">
        <w:t>https://traditia.md/a-kak-otnosyatsya-k-vojne-rumynskaya-pravoslavnaya-czerkov-i-bessarabskaya-mitropoliya/</w:t>
      </w:r>
    </w:p>
  </w:footnote>
  <w:footnote w:id="9">
    <w:p w14:paraId="09536E8E" w14:textId="57831CF5" w:rsidR="00ED5750" w:rsidRPr="00ED5750" w:rsidRDefault="00ED5750">
      <w:pPr>
        <w:pStyle w:val="a3"/>
      </w:pPr>
      <w:r>
        <w:rPr>
          <w:rStyle w:val="a5"/>
        </w:rPr>
        <w:footnoteRef/>
      </w:r>
      <w:r>
        <w:t xml:space="preserve"> </w:t>
      </w:r>
      <w:r w:rsidRPr="00ED5750">
        <w:t>https://romania.europalibera.org/a/mitropolia-basarabiei-2-milioane-euro-promulgare-lege/32674962.html</w:t>
      </w:r>
    </w:p>
  </w:footnote>
  <w:footnote w:id="10">
    <w:p w14:paraId="0FA4799E" w14:textId="7CC0455A" w:rsidR="00ED5750" w:rsidRPr="00ED5750" w:rsidRDefault="00ED5750">
      <w:pPr>
        <w:pStyle w:val="a3"/>
      </w:pPr>
      <w:r>
        <w:rPr>
          <w:rStyle w:val="a5"/>
        </w:rPr>
        <w:footnoteRef/>
      </w:r>
      <w:r>
        <w:t xml:space="preserve"> </w:t>
      </w:r>
      <w:r w:rsidRPr="00ED5750">
        <w:t>https://romania.europalibera.org/a/statul-roman-va-oferi-salarii-pentru-200-de-preoti-care-adera-la-mitropolia-basarabiei/32857095.html</w:t>
      </w:r>
    </w:p>
  </w:footnote>
  <w:footnote w:id="11">
    <w:p w14:paraId="5AFE551B" w14:textId="1D7F6362" w:rsidR="00ED5750" w:rsidRPr="00ED5750" w:rsidRDefault="00ED5750">
      <w:pPr>
        <w:pStyle w:val="a3"/>
      </w:pPr>
      <w:r>
        <w:rPr>
          <w:rStyle w:val="a5"/>
        </w:rPr>
        <w:footnoteRef/>
      </w:r>
      <w:r>
        <w:t xml:space="preserve"> </w:t>
      </w:r>
      <w:r w:rsidRPr="00ED5750">
        <w:t>http://culte.gov.ro/wp-content/uploads/2021/03/sprijinul-secretariatului-de-stat-pentru-culte-pentru-comunitatile-religioase-romanesti-din-afara-granitelor-tarii-18-martie-2021-uf.pdf</w:t>
      </w:r>
    </w:p>
  </w:footnote>
  <w:footnote w:id="12">
    <w:p w14:paraId="23051B94" w14:textId="5C85C7F5" w:rsidR="00E12942" w:rsidRPr="00B10546" w:rsidRDefault="00E12942">
      <w:pPr>
        <w:pStyle w:val="a3"/>
      </w:pPr>
      <w:r>
        <w:rPr>
          <w:rStyle w:val="a5"/>
        </w:rPr>
        <w:footnoteRef/>
      </w:r>
      <w:r>
        <w:t xml:space="preserve"> </w:t>
      </w:r>
      <w:hyperlink r:id="rId1" w:history="1">
        <w:r w:rsidR="00B10546" w:rsidRPr="001071C7">
          <w:rPr>
            <w:rStyle w:val="a7"/>
          </w:rPr>
          <w:t>https://www.zdg.md/stiri/pas-reactioneaza-la-declaratia-lui-soimaru-despre-dezicerea-de-mitropolia-moldovei-guvernarea-nu-pregateste-niciun-proiect-de-lege-sau-initiativa-care-ar-lichida-mitropolia/</w:t>
        </w:r>
      </w:hyperlink>
      <w:r w:rsidR="00B10546" w:rsidRPr="00B10546">
        <w:t xml:space="preserve"> </w:t>
      </w:r>
    </w:p>
  </w:footnote>
  <w:footnote w:id="13">
    <w:p w14:paraId="401A7066" w14:textId="19DC1D05" w:rsidR="00E12942" w:rsidRPr="00B10546" w:rsidRDefault="00E12942">
      <w:pPr>
        <w:pStyle w:val="a3"/>
      </w:pPr>
      <w:r>
        <w:rPr>
          <w:rStyle w:val="a5"/>
        </w:rPr>
        <w:footnoteRef/>
      </w:r>
      <w:r>
        <w:t xml:space="preserve"> </w:t>
      </w:r>
      <w:hyperlink r:id="rId2" w:history="1">
        <w:r w:rsidR="00B10546" w:rsidRPr="001071C7">
          <w:rPr>
            <w:rStyle w:val="a7"/>
          </w:rPr>
          <w:t>https://www.infotag.md/populis-ru/318703/</w:t>
        </w:r>
      </w:hyperlink>
      <w:r w:rsidR="00B10546" w:rsidRPr="00B10546">
        <w:t xml:space="preserve"> </w:t>
      </w:r>
    </w:p>
  </w:footnote>
  <w:footnote w:id="14">
    <w:p w14:paraId="7AC19E1F" w14:textId="0AADBA22" w:rsidR="00A615C9" w:rsidRPr="00F56E1F" w:rsidRDefault="00A615C9">
      <w:pPr>
        <w:pStyle w:val="a3"/>
      </w:pPr>
      <w:r>
        <w:rPr>
          <w:rStyle w:val="a5"/>
        </w:rPr>
        <w:footnoteRef/>
      </w:r>
      <w:r>
        <w:t xml:space="preserve"> </w:t>
      </w:r>
      <w:hyperlink r:id="rId3" w:history="1">
        <w:r w:rsidR="00B10546" w:rsidRPr="001071C7">
          <w:rPr>
            <w:rStyle w:val="a7"/>
          </w:rPr>
          <w:t>https://newsmaker.md/ro/mitropolia-moldovei-neaga-ca-ar-fi-rusa-cum-raspunde-celor-care-cer-scoaterea-sa-in-afara-legii</w:t>
        </w:r>
      </w:hyperlink>
      <w:r w:rsidR="00B10546" w:rsidRPr="00B10546">
        <w:t xml:space="preserve"> </w:t>
      </w:r>
    </w:p>
  </w:footnote>
  <w:footnote w:id="15">
    <w:p w14:paraId="3FB4F764" w14:textId="7931A135" w:rsidR="00A615C9" w:rsidRPr="00A615C9" w:rsidRDefault="00A615C9">
      <w:pPr>
        <w:pStyle w:val="a3"/>
      </w:pPr>
      <w:r>
        <w:rPr>
          <w:rStyle w:val="a5"/>
        </w:rPr>
        <w:footnoteRef/>
      </w:r>
      <w:r>
        <w:t xml:space="preserve"> </w:t>
      </w:r>
      <w:r w:rsidRPr="00A615C9">
        <w:t>https://realitatea.md/gest-de-bunavointa-deputat-pas-despre-cladirea-statului-care-va-ajunge-in-posesia-mitropoliei-basarabiei/</w:t>
      </w:r>
    </w:p>
  </w:footnote>
  <w:footnote w:id="16">
    <w:p w14:paraId="0A56E7F0" w14:textId="62F77DE3" w:rsidR="00AC7EE2" w:rsidRPr="00AC7EE2" w:rsidRDefault="00AC7EE2">
      <w:pPr>
        <w:pStyle w:val="a3"/>
      </w:pPr>
      <w:r>
        <w:rPr>
          <w:rStyle w:val="a5"/>
        </w:rPr>
        <w:footnoteRef/>
      </w:r>
      <w:r>
        <w:t xml:space="preserve"> </w:t>
      </w:r>
      <w:r w:rsidRPr="00720450">
        <w:t>https://tuk.md/novosti/v-moldove-vveli-shtrafy-za-passivnuju-jelektoralnuju-korrupciju/</w:t>
      </w:r>
    </w:p>
  </w:footnote>
  <w:footnote w:id="17">
    <w:p w14:paraId="273438D2" w14:textId="6B2287E5" w:rsidR="00A52C53" w:rsidRPr="00A52C53" w:rsidRDefault="00A52C53">
      <w:pPr>
        <w:pStyle w:val="a3"/>
      </w:pPr>
      <w:r>
        <w:rPr>
          <w:rStyle w:val="a5"/>
        </w:rPr>
        <w:footnoteRef/>
      </w:r>
      <w:r>
        <w:t xml:space="preserve"> </w:t>
      </w:r>
      <w:r w:rsidRPr="00A52C53">
        <w:t>https://www.constcourt.md/public/ccdoc/opinii/Opinia-separata-dl-Vl_Turcan.pdf</w:t>
      </w:r>
    </w:p>
  </w:footnote>
  <w:footnote w:id="18">
    <w:p w14:paraId="5600F6DB" w14:textId="280ABE87" w:rsidR="00AC7EE2" w:rsidRPr="00AC7EE2" w:rsidRDefault="00AC7EE2">
      <w:pPr>
        <w:pStyle w:val="a3"/>
      </w:pPr>
      <w:r>
        <w:rPr>
          <w:rStyle w:val="a5"/>
        </w:rPr>
        <w:footnoteRef/>
      </w:r>
      <w:r>
        <w:t xml:space="preserve"> </w:t>
      </w:r>
      <w:hyperlink r:id="rId4" w:history="1">
        <w:r w:rsidRPr="001071C7">
          <w:rPr>
            <w:rStyle w:val="a7"/>
          </w:rPr>
          <w:t>https://newsmaker.md/ro/socialistii-in-discutie-cu-coraportorii-apce-acuza-pas-de-abuzuri-inainte-de-alegeri?utm</w:t>
        </w:r>
      </w:hyperlink>
      <w:r w:rsidRPr="00AC7EE2">
        <w:t xml:space="preserve"> </w:t>
      </w:r>
    </w:p>
  </w:footnote>
  <w:footnote w:id="19">
    <w:p w14:paraId="4673899F" w14:textId="5222F6C9" w:rsidR="00AC7EE2" w:rsidRPr="00AC7EE2" w:rsidRDefault="00AC7EE2">
      <w:pPr>
        <w:pStyle w:val="a3"/>
      </w:pPr>
      <w:r>
        <w:rPr>
          <w:rStyle w:val="a5"/>
        </w:rPr>
        <w:footnoteRef/>
      </w:r>
      <w:r>
        <w:t xml:space="preserve"> </w:t>
      </w:r>
      <w:hyperlink r:id="rId5" w:history="1">
        <w:r w:rsidRPr="001071C7">
          <w:rPr>
            <w:rStyle w:val="a7"/>
          </w:rPr>
          <w:t>https://ipn.md/crjm-cere-transparenta-la-numirea-judecatorilor-curtii-constitutionale-e-risc-de-politizare/?utm</w:t>
        </w:r>
      </w:hyperlink>
    </w:p>
  </w:footnote>
  <w:footnote w:id="20">
    <w:p w14:paraId="0AEABE5A" w14:textId="70FFA500" w:rsidR="00AC7EE2" w:rsidRPr="00AC7EE2" w:rsidRDefault="00AC7EE2">
      <w:pPr>
        <w:pStyle w:val="a3"/>
      </w:pPr>
      <w:r>
        <w:rPr>
          <w:rStyle w:val="a5"/>
        </w:rPr>
        <w:footnoteRef/>
      </w:r>
      <w:r>
        <w:t xml:space="preserve"> </w:t>
      </w:r>
      <w:hyperlink r:id="rId6" w:history="1">
        <w:r w:rsidRPr="001071C7">
          <w:rPr>
            <w:rStyle w:val="a7"/>
          </w:rPr>
          <w:t>https://freedomhouse.org/country/moldova/freedom-world/2024</w:t>
        </w:r>
      </w:hyperlink>
      <w:r w:rsidRPr="00AC7EE2">
        <w:t xml:space="preserve"> </w:t>
      </w:r>
    </w:p>
  </w:footnote>
  <w:footnote w:id="21">
    <w:p w14:paraId="3F772329" w14:textId="2B9FB012" w:rsidR="00AC7EE2" w:rsidRPr="00AC7EE2" w:rsidRDefault="00AC7EE2" w:rsidP="00AC7EE2">
      <w:pPr>
        <w:pStyle w:val="a3"/>
      </w:pPr>
      <w:r>
        <w:rPr>
          <w:rStyle w:val="a5"/>
        </w:rPr>
        <w:footnoteRef/>
      </w:r>
      <w:r>
        <w:t xml:space="preserve"> </w:t>
      </w:r>
      <w:hyperlink r:id="rId7" w:history="1">
        <w:r w:rsidRPr="001071C7">
          <w:rPr>
            <w:rStyle w:val="a7"/>
          </w:rPr>
          <w:t>https://www.venice.coe.int/webforms/documents/default.aspx?pdffile=CDL-AD%282025%29005-e&amp;</w:t>
        </w:r>
      </w:hyperlink>
      <w:r w:rsidRPr="00AC7EE2">
        <w:t xml:space="preserve"> </w:t>
      </w:r>
    </w:p>
    <w:p w14:paraId="7C64056D" w14:textId="588CBE6D" w:rsidR="00AC7EE2" w:rsidRPr="00AC7EE2" w:rsidRDefault="00AC7EE2">
      <w:pPr>
        <w:pStyle w:val="a3"/>
      </w:pPr>
    </w:p>
  </w:footnote>
  <w:footnote w:id="22">
    <w:p w14:paraId="51FF4E1C" w14:textId="387EF94C" w:rsidR="00AC7EE2" w:rsidRPr="00AC7EE2" w:rsidRDefault="00AC7EE2" w:rsidP="00AC7EE2">
      <w:pPr>
        <w:pStyle w:val="a3"/>
      </w:pPr>
      <w:r>
        <w:rPr>
          <w:rStyle w:val="a5"/>
        </w:rPr>
        <w:footnoteRef/>
      </w:r>
      <w:r>
        <w:t xml:space="preserve"> </w:t>
      </w:r>
      <w:hyperlink r:id="rId8" w:history="1">
        <w:r w:rsidRPr="001071C7">
          <w:rPr>
            <w:rStyle w:val="a7"/>
          </w:rPr>
          <w:t>https://moldova.europalibera.org/a/judecatorii-noi-numiti-la-curtea-constitutionala-au-depus-juramantul-la-parlament-opozitia-a-protestat-in-sala-si-afara/33505508.html</w:t>
        </w:r>
      </w:hyperlink>
      <w:r w:rsidRPr="00AC7EE2">
        <w:t xml:space="preserve"> </w:t>
      </w:r>
    </w:p>
    <w:p w14:paraId="60E09814" w14:textId="4A6466BB" w:rsidR="00AC7EE2" w:rsidRPr="00AC7EE2" w:rsidRDefault="00AC7EE2">
      <w:pPr>
        <w:pStyle w:val="a3"/>
      </w:pPr>
    </w:p>
  </w:footnote>
  <w:footnote w:id="23">
    <w:p w14:paraId="4B99E2AA" w14:textId="60DF330E" w:rsidR="00A61AB0" w:rsidRPr="00A61AB0" w:rsidRDefault="00A61AB0">
      <w:pPr>
        <w:pStyle w:val="a3"/>
      </w:pPr>
      <w:r>
        <w:rPr>
          <w:rStyle w:val="a5"/>
        </w:rPr>
        <w:footnoteRef/>
      </w:r>
      <w:r>
        <w:t xml:space="preserve"> </w:t>
      </w:r>
      <w:r w:rsidRPr="00A61AB0">
        <w:t>https://fto.ro/altarul-reintregirii/wp-content/uploads/2019/10/3.-Octavian-Moşin-supliment-2-2017.pdf?utm_source=chatgpt.com</w:t>
      </w:r>
    </w:p>
  </w:footnote>
  <w:footnote w:id="24">
    <w:p w14:paraId="228815D9" w14:textId="66BB19C1" w:rsidR="00A61AB0" w:rsidRPr="00A61AB0" w:rsidRDefault="00A61AB0">
      <w:pPr>
        <w:pStyle w:val="a3"/>
      </w:pPr>
      <w:r>
        <w:rPr>
          <w:rStyle w:val="a5"/>
        </w:rPr>
        <w:footnoteRef/>
      </w:r>
      <w:r>
        <w:t xml:space="preserve"> </w:t>
      </w:r>
      <w:r w:rsidRPr="00A61AB0">
        <w:t>https://hudoc.echr.coe.int/eng#{%22itemid%22:[%22001-59985%22]}</w:t>
      </w:r>
    </w:p>
  </w:footnote>
  <w:footnote w:id="25">
    <w:p w14:paraId="407ED2B7" w14:textId="368BBDA8" w:rsidR="00A52C53" w:rsidRPr="00A52C53" w:rsidRDefault="00A52C53">
      <w:pPr>
        <w:pStyle w:val="a3"/>
      </w:pPr>
      <w:r>
        <w:rPr>
          <w:rStyle w:val="a5"/>
        </w:rPr>
        <w:footnoteRef/>
      </w:r>
      <w:r>
        <w:t xml:space="preserve"> </w:t>
      </w:r>
      <w:r w:rsidRPr="00A52C53">
        <w:t>https://spcommreports.ohchr.org/TMResultsBase/DownLoadPublicCommunicationFile?gId=29850</w:t>
      </w:r>
    </w:p>
  </w:footnote>
  <w:footnote w:id="26">
    <w:p w14:paraId="56C90933" w14:textId="2A0079E6" w:rsidR="00A52C53" w:rsidRPr="000E41BA" w:rsidRDefault="00A52C53" w:rsidP="00A52C53">
      <w:pPr>
        <w:pStyle w:val="a3"/>
      </w:pPr>
      <w:r>
        <w:rPr>
          <w:rStyle w:val="a5"/>
        </w:rPr>
        <w:footnoteRef/>
      </w:r>
      <w:r>
        <w:t xml:space="preserve"> </w:t>
      </w:r>
      <w:r w:rsidRPr="000E41BA">
        <w:t>https://www.refworld.org/legal/general/hrc/1993/en/13375</w:t>
      </w:r>
    </w:p>
    <w:p w14:paraId="7B9A6520" w14:textId="7972C65C" w:rsidR="00A52C53" w:rsidRPr="00A52C53" w:rsidRDefault="00A52C53">
      <w:pPr>
        <w:pStyle w:val="a3"/>
      </w:pPr>
    </w:p>
  </w:footnote>
  <w:footnote w:id="27">
    <w:p w14:paraId="04624FE5" w14:textId="41B1F812" w:rsidR="00A52C53" w:rsidRPr="00A52C53" w:rsidRDefault="00A52C53">
      <w:pPr>
        <w:pStyle w:val="a3"/>
      </w:pPr>
      <w:r>
        <w:rPr>
          <w:rStyle w:val="a5"/>
        </w:rPr>
        <w:footnoteRef/>
      </w:r>
      <w:r>
        <w:t xml:space="preserve"> </w:t>
      </w:r>
      <w:r w:rsidRPr="000762C7">
        <w:t>https://hudoc.echr.coe.int/fre#{%22itemid%22:[%22001-105438%22]}</w:t>
      </w:r>
    </w:p>
  </w:footnote>
  <w:footnote w:id="28">
    <w:p w14:paraId="0F16BF90" w14:textId="315368D9" w:rsidR="00A52C53" w:rsidRPr="00A52C53" w:rsidRDefault="00A52C53">
      <w:pPr>
        <w:pStyle w:val="a3"/>
      </w:pPr>
      <w:r>
        <w:rPr>
          <w:rStyle w:val="a5"/>
        </w:rPr>
        <w:footnoteRef/>
      </w:r>
      <w:r>
        <w:t xml:space="preserve"> </w:t>
      </w:r>
      <w:r w:rsidRPr="000762C7">
        <w:t>https://hudoc.echr.coe.int/eng#{%22itemid%22:[%22001-171804%22]}</w:t>
      </w:r>
    </w:p>
  </w:footnote>
  <w:footnote w:id="29">
    <w:p w14:paraId="0503B5AE" w14:textId="77777777" w:rsidR="00A52C53" w:rsidRPr="000762C7" w:rsidRDefault="00A52C53" w:rsidP="00A52C53">
      <w:pPr>
        <w:pStyle w:val="a3"/>
      </w:pPr>
      <w:r>
        <w:rPr>
          <w:rStyle w:val="a5"/>
        </w:rPr>
        <w:footnoteRef/>
      </w:r>
      <w:r>
        <w:t xml:space="preserve"> </w:t>
      </w:r>
      <w:r w:rsidRPr="00552788">
        <w:t>https://www.ohchr.org/sites/default/files/english/bodies/hrc/docs/gc34.pdf</w:t>
      </w:r>
    </w:p>
    <w:p w14:paraId="7A5D9805" w14:textId="77777777" w:rsidR="00A52C53" w:rsidRPr="00A52C53" w:rsidRDefault="00A52C53" w:rsidP="00A52C53">
      <w:pPr>
        <w:pStyle w:val="a3"/>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67946"/>
    <w:multiLevelType w:val="multilevel"/>
    <w:tmpl w:val="69FA2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CB7079"/>
    <w:multiLevelType w:val="multilevel"/>
    <w:tmpl w:val="57A6D288"/>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DA767A"/>
    <w:multiLevelType w:val="multilevel"/>
    <w:tmpl w:val="F2C41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DE1C0B"/>
    <w:multiLevelType w:val="multilevel"/>
    <w:tmpl w:val="0FF23A9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8D21A9A"/>
    <w:multiLevelType w:val="multilevel"/>
    <w:tmpl w:val="5B6E0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1C1132"/>
    <w:multiLevelType w:val="multilevel"/>
    <w:tmpl w:val="B8F05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DD6F49"/>
    <w:multiLevelType w:val="multilevel"/>
    <w:tmpl w:val="00E6B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2A0DE0"/>
    <w:multiLevelType w:val="hybridMultilevel"/>
    <w:tmpl w:val="31CA818C"/>
    <w:lvl w:ilvl="0" w:tplc="041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5382869"/>
    <w:multiLevelType w:val="multilevel"/>
    <w:tmpl w:val="FFD656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6516852"/>
    <w:multiLevelType w:val="multilevel"/>
    <w:tmpl w:val="CF602D50"/>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66725F6"/>
    <w:multiLevelType w:val="multilevel"/>
    <w:tmpl w:val="F29AA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9E1F36"/>
    <w:multiLevelType w:val="multilevel"/>
    <w:tmpl w:val="02E80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CC7428"/>
    <w:multiLevelType w:val="multilevel"/>
    <w:tmpl w:val="EBAA5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E24D82"/>
    <w:multiLevelType w:val="multilevel"/>
    <w:tmpl w:val="3CBEC7E0"/>
    <w:lvl w:ilvl="0">
      <w:start w:val="1"/>
      <w:numFmt w:val="bullet"/>
      <w:lvlText w:val=""/>
      <w:lvlJc w:val="left"/>
      <w:pPr>
        <w:tabs>
          <w:tab w:val="num" w:pos="720"/>
        </w:tabs>
        <w:ind w:left="720" w:hanging="360"/>
      </w:pPr>
      <w:rPr>
        <w:rFonts w:ascii="Symbol" w:hAnsi="Symbol" w:hint="default"/>
        <w:sz w:val="20"/>
      </w:rPr>
    </w:lvl>
    <w:lvl w:ilvl="1">
      <w:start w:val="4"/>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B414124"/>
    <w:multiLevelType w:val="multilevel"/>
    <w:tmpl w:val="8E3892D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B542B6A"/>
    <w:multiLevelType w:val="multilevel"/>
    <w:tmpl w:val="8EF86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4440A82"/>
    <w:multiLevelType w:val="multilevel"/>
    <w:tmpl w:val="98E637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8114A86"/>
    <w:multiLevelType w:val="multilevel"/>
    <w:tmpl w:val="50FC49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8C00D19"/>
    <w:multiLevelType w:val="multilevel"/>
    <w:tmpl w:val="436AA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AAF2FB8"/>
    <w:multiLevelType w:val="hybridMultilevel"/>
    <w:tmpl w:val="C766171A"/>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0" w15:restartNumberingAfterBreak="0">
    <w:nsid w:val="2D136F33"/>
    <w:multiLevelType w:val="multilevel"/>
    <w:tmpl w:val="69ECFD1A"/>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E455581"/>
    <w:multiLevelType w:val="multilevel"/>
    <w:tmpl w:val="12280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04A5626"/>
    <w:multiLevelType w:val="multilevel"/>
    <w:tmpl w:val="9148ECD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67D141C"/>
    <w:multiLevelType w:val="multilevel"/>
    <w:tmpl w:val="771E253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9D97F83"/>
    <w:multiLevelType w:val="hybridMultilevel"/>
    <w:tmpl w:val="C4301168"/>
    <w:lvl w:ilvl="0" w:tplc="94BC6FFC">
      <w:start w:val="5"/>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3FCE710C"/>
    <w:multiLevelType w:val="hybridMultilevel"/>
    <w:tmpl w:val="7ABCE7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0344186"/>
    <w:multiLevelType w:val="hybridMultilevel"/>
    <w:tmpl w:val="FA6E0E6C"/>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7" w15:restartNumberingAfterBreak="0">
    <w:nsid w:val="45C673FC"/>
    <w:multiLevelType w:val="multilevel"/>
    <w:tmpl w:val="9A402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7A668A9"/>
    <w:multiLevelType w:val="multilevel"/>
    <w:tmpl w:val="BCF44BF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9755DAB"/>
    <w:multiLevelType w:val="multilevel"/>
    <w:tmpl w:val="41FA9D0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31B7DF7"/>
    <w:multiLevelType w:val="multilevel"/>
    <w:tmpl w:val="7CD2E27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39C4785"/>
    <w:multiLevelType w:val="multilevel"/>
    <w:tmpl w:val="F25AE7E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3AE0EBC"/>
    <w:multiLevelType w:val="multilevel"/>
    <w:tmpl w:val="EFA2B7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D43CD9"/>
    <w:multiLevelType w:val="multilevel"/>
    <w:tmpl w:val="1C126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7B1618D"/>
    <w:multiLevelType w:val="hybridMultilevel"/>
    <w:tmpl w:val="362CA0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5C2660EB"/>
    <w:multiLevelType w:val="multilevel"/>
    <w:tmpl w:val="EAD80CC0"/>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D0A0C09"/>
    <w:multiLevelType w:val="multilevel"/>
    <w:tmpl w:val="BBBCD57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2DE3831"/>
    <w:multiLevelType w:val="multilevel"/>
    <w:tmpl w:val="DAC2C45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6F33ABE"/>
    <w:multiLevelType w:val="multilevel"/>
    <w:tmpl w:val="AE488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744643E"/>
    <w:multiLevelType w:val="multilevel"/>
    <w:tmpl w:val="B3C8A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9D309B2"/>
    <w:multiLevelType w:val="multilevel"/>
    <w:tmpl w:val="2834D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A7433FB"/>
    <w:multiLevelType w:val="multilevel"/>
    <w:tmpl w:val="E9E8F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6044DC7"/>
    <w:multiLevelType w:val="multilevel"/>
    <w:tmpl w:val="102A91F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B610EDE"/>
    <w:multiLevelType w:val="multilevel"/>
    <w:tmpl w:val="3D9253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C72681D"/>
    <w:multiLevelType w:val="multilevel"/>
    <w:tmpl w:val="DFC07AA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42154421">
    <w:abstractNumId w:val="25"/>
  </w:num>
  <w:num w:numId="2" w16cid:durableId="66654426">
    <w:abstractNumId w:val="16"/>
  </w:num>
  <w:num w:numId="3" w16cid:durableId="487944942">
    <w:abstractNumId w:val="43"/>
  </w:num>
  <w:num w:numId="4" w16cid:durableId="1450389671">
    <w:abstractNumId w:val="37"/>
  </w:num>
  <w:num w:numId="5" w16cid:durableId="1030842386">
    <w:abstractNumId w:val="42"/>
  </w:num>
  <w:num w:numId="6" w16cid:durableId="1513564392">
    <w:abstractNumId w:val="29"/>
  </w:num>
  <w:num w:numId="7" w16cid:durableId="1963993958">
    <w:abstractNumId w:val="3"/>
  </w:num>
  <w:num w:numId="8" w16cid:durableId="692803001">
    <w:abstractNumId w:val="30"/>
  </w:num>
  <w:num w:numId="9" w16cid:durableId="1494367874">
    <w:abstractNumId w:val="28"/>
  </w:num>
  <w:num w:numId="10" w16cid:durableId="1073939823">
    <w:abstractNumId w:val="36"/>
  </w:num>
  <w:num w:numId="11" w16cid:durableId="895356244">
    <w:abstractNumId w:val="31"/>
  </w:num>
  <w:num w:numId="12" w16cid:durableId="1974363876">
    <w:abstractNumId w:val="9"/>
  </w:num>
  <w:num w:numId="13" w16cid:durableId="1981057">
    <w:abstractNumId w:val="20"/>
  </w:num>
  <w:num w:numId="14" w16cid:durableId="837305507">
    <w:abstractNumId w:val="1"/>
  </w:num>
  <w:num w:numId="15" w16cid:durableId="1491797530">
    <w:abstractNumId w:val="35"/>
  </w:num>
  <w:num w:numId="16" w16cid:durableId="942373279">
    <w:abstractNumId w:val="21"/>
  </w:num>
  <w:num w:numId="17" w16cid:durableId="1543900575">
    <w:abstractNumId w:val="11"/>
  </w:num>
  <w:num w:numId="18" w16cid:durableId="776172326">
    <w:abstractNumId w:val="40"/>
  </w:num>
  <w:num w:numId="19" w16cid:durableId="1491867448">
    <w:abstractNumId w:val="15"/>
  </w:num>
  <w:num w:numId="20" w16cid:durableId="1636259128">
    <w:abstractNumId w:val="17"/>
  </w:num>
  <w:num w:numId="21" w16cid:durableId="174654878">
    <w:abstractNumId w:val="5"/>
  </w:num>
  <w:num w:numId="22" w16cid:durableId="506331635">
    <w:abstractNumId w:val="12"/>
  </w:num>
  <w:num w:numId="23" w16cid:durableId="10182076">
    <w:abstractNumId w:val="0"/>
  </w:num>
  <w:num w:numId="24" w16cid:durableId="1188910586">
    <w:abstractNumId w:val="33"/>
  </w:num>
  <w:num w:numId="25" w16cid:durableId="454951571">
    <w:abstractNumId w:val="2"/>
  </w:num>
  <w:num w:numId="26" w16cid:durableId="1811824493">
    <w:abstractNumId w:val="6"/>
  </w:num>
  <w:num w:numId="27" w16cid:durableId="1508055050">
    <w:abstractNumId w:val="13"/>
  </w:num>
  <w:num w:numId="28" w16cid:durableId="1765375322">
    <w:abstractNumId w:val="24"/>
  </w:num>
  <w:num w:numId="29" w16cid:durableId="1965773946">
    <w:abstractNumId w:val="7"/>
  </w:num>
  <w:num w:numId="30" w16cid:durableId="1125586629">
    <w:abstractNumId w:val="26"/>
  </w:num>
  <w:num w:numId="31" w16cid:durableId="1120225729">
    <w:abstractNumId w:val="19"/>
  </w:num>
  <w:num w:numId="32" w16cid:durableId="1595091530">
    <w:abstractNumId w:val="10"/>
  </w:num>
  <w:num w:numId="33" w16cid:durableId="587229356">
    <w:abstractNumId w:val="39"/>
  </w:num>
  <w:num w:numId="34" w16cid:durableId="1551109617">
    <w:abstractNumId w:val="38"/>
  </w:num>
  <w:num w:numId="35" w16cid:durableId="41101374">
    <w:abstractNumId w:val="32"/>
  </w:num>
  <w:num w:numId="36" w16cid:durableId="507713317">
    <w:abstractNumId w:val="41"/>
  </w:num>
  <w:num w:numId="37" w16cid:durableId="1750150929">
    <w:abstractNumId w:val="34"/>
  </w:num>
  <w:num w:numId="38" w16cid:durableId="2011906836">
    <w:abstractNumId w:val="8"/>
  </w:num>
  <w:num w:numId="39" w16cid:durableId="112751616">
    <w:abstractNumId w:val="44"/>
  </w:num>
  <w:num w:numId="40" w16cid:durableId="2055227757">
    <w:abstractNumId w:val="4"/>
  </w:num>
  <w:num w:numId="41" w16cid:durableId="551232221">
    <w:abstractNumId w:val="22"/>
  </w:num>
  <w:num w:numId="42" w16cid:durableId="889002005">
    <w:abstractNumId w:val="18"/>
  </w:num>
  <w:num w:numId="43" w16cid:durableId="65880491">
    <w:abstractNumId w:val="23"/>
  </w:num>
  <w:num w:numId="44" w16cid:durableId="2093162103">
    <w:abstractNumId w:val="27"/>
  </w:num>
  <w:num w:numId="45" w16cid:durableId="39787649">
    <w:abstractNumId w:val="14"/>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4"/>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F88"/>
    <w:rsid w:val="0004686B"/>
    <w:rsid w:val="000823F1"/>
    <w:rsid w:val="00160BFA"/>
    <w:rsid w:val="00216B57"/>
    <w:rsid w:val="00291C2A"/>
    <w:rsid w:val="00351C80"/>
    <w:rsid w:val="00357CC7"/>
    <w:rsid w:val="003B3BC4"/>
    <w:rsid w:val="00413795"/>
    <w:rsid w:val="00574A1B"/>
    <w:rsid w:val="00620F00"/>
    <w:rsid w:val="00677AED"/>
    <w:rsid w:val="006A2D7D"/>
    <w:rsid w:val="006F0709"/>
    <w:rsid w:val="00720450"/>
    <w:rsid w:val="007861E6"/>
    <w:rsid w:val="007964D5"/>
    <w:rsid w:val="007F107A"/>
    <w:rsid w:val="00854024"/>
    <w:rsid w:val="00871A6C"/>
    <w:rsid w:val="008B533F"/>
    <w:rsid w:val="00940DA7"/>
    <w:rsid w:val="00A32A55"/>
    <w:rsid w:val="00A52C53"/>
    <w:rsid w:val="00A615C9"/>
    <w:rsid w:val="00A61AB0"/>
    <w:rsid w:val="00AC09FE"/>
    <w:rsid w:val="00AC7EE2"/>
    <w:rsid w:val="00AF613D"/>
    <w:rsid w:val="00B10546"/>
    <w:rsid w:val="00B73F88"/>
    <w:rsid w:val="00BE07F3"/>
    <w:rsid w:val="00D206C5"/>
    <w:rsid w:val="00D56CD6"/>
    <w:rsid w:val="00D70C55"/>
    <w:rsid w:val="00D86478"/>
    <w:rsid w:val="00E12942"/>
    <w:rsid w:val="00E1454D"/>
    <w:rsid w:val="00E43D4B"/>
    <w:rsid w:val="00ED5750"/>
    <w:rsid w:val="00EE1A8E"/>
    <w:rsid w:val="00F10CFE"/>
    <w:rsid w:val="00F56E1F"/>
    <w:rsid w:val="00FD2D7F"/>
    <w:rsid w:val="00FD6DEB"/>
  </w:rsids>
  <m:mathPr>
    <m:mathFont m:val="Cambria Math"/>
    <m:brkBin m:val="before"/>
    <m:brkBinSub m:val="--"/>
    <m:smallFrac m:val="0"/>
    <m:dispDef/>
    <m:lMargin m:val="0"/>
    <m:rMargin m:val="0"/>
    <m:defJc m:val="centerGroup"/>
    <m:wrapIndent m:val="1440"/>
    <m:intLim m:val="subSup"/>
    <m:naryLim m:val="undOvr"/>
  </m:mathPr>
  <w:themeFontLang w:val="ru-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36E5A"/>
  <w15:chartTrackingRefBased/>
  <w15:docId w15:val="{350B149B-F966-2647-BC08-BF9E58ACF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D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73F88"/>
  </w:style>
  <w:style w:type="paragraph" w:styleId="2">
    <w:name w:val="heading 2"/>
    <w:basedOn w:val="a"/>
    <w:next w:val="a"/>
    <w:link w:val="20"/>
    <w:uiPriority w:val="9"/>
    <w:unhideWhenUsed/>
    <w:qFormat/>
    <w:rsid w:val="006A2D7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link w:val="30"/>
    <w:uiPriority w:val="9"/>
    <w:qFormat/>
    <w:rsid w:val="00EE1A8E"/>
    <w:pPr>
      <w:spacing w:before="100" w:beforeAutospacing="1" w:after="100" w:afterAutospacing="1"/>
      <w:outlineLvl w:val="2"/>
    </w:pPr>
    <w:rPr>
      <w:rFonts w:ascii="Times New Roman" w:eastAsia="Times New Roman" w:hAnsi="Times New Roman" w:cs="Times New Roman"/>
      <w:b/>
      <w:bCs/>
      <w:kern w:val="0"/>
      <w:sz w:val="27"/>
      <w:szCs w:val="27"/>
      <w:lang w:eastAsia="ru-RU"/>
      <w14:ligatures w14:val="none"/>
    </w:rPr>
  </w:style>
  <w:style w:type="paragraph" w:styleId="4">
    <w:name w:val="heading 4"/>
    <w:basedOn w:val="a"/>
    <w:next w:val="a"/>
    <w:link w:val="40"/>
    <w:uiPriority w:val="9"/>
    <w:semiHidden/>
    <w:unhideWhenUsed/>
    <w:qFormat/>
    <w:rsid w:val="00A52C53"/>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B73F88"/>
    <w:rPr>
      <w:sz w:val="20"/>
      <w:szCs w:val="20"/>
    </w:rPr>
  </w:style>
  <w:style w:type="character" w:customStyle="1" w:styleId="a4">
    <w:name w:val="Текст сноски Знак"/>
    <w:basedOn w:val="a0"/>
    <w:link w:val="a3"/>
    <w:uiPriority w:val="99"/>
    <w:semiHidden/>
    <w:rsid w:val="00B73F88"/>
    <w:rPr>
      <w:sz w:val="20"/>
      <w:szCs w:val="20"/>
    </w:rPr>
  </w:style>
  <w:style w:type="character" w:styleId="a5">
    <w:name w:val="footnote reference"/>
    <w:basedOn w:val="a0"/>
    <w:uiPriority w:val="99"/>
    <w:semiHidden/>
    <w:unhideWhenUsed/>
    <w:rsid w:val="00B73F88"/>
    <w:rPr>
      <w:vertAlign w:val="superscript"/>
    </w:rPr>
  </w:style>
  <w:style w:type="paragraph" w:styleId="a6">
    <w:name w:val="Normal (Web)"/>
    <w:basedOn w:val="a"/>
    <w:uiPriority w:val="99"/>
    <w:unhideWhenUsed/>
    <w:rsid w:val="00B73F88"/>
    <w:pPr>
      <w:spacing w:before="100" w:beforeAutospacing="1" w:after="100" w:afterAutospacing="1"/>
    </w:pPr>
    <w:rPr>
      <w:rFonts w:ascii="Times New Roman" w:eastAsia="Times New Roman" w:hAnsi="Times New Roman" w:cs="Times New Roman"/>
      <w:kern w:val="0"/>
      <w:lang w:eastAsia="ru-RU"/>
      <w14:ligatures w14:val="none"/>
    </w:rPr>
  </w:style>
  <w:style w:type="character" w:styleId="a7">
    <w:name w:val="Hyperlink"/>
    <w:basedOn w:val="a0"/>
    <w:uiPriority w:val="99"/>
    <w:unhideWhenUsed/>
    <w:rsid w:val="00B73F88"/>
    <w:rPr>
      <w:color w:val="0000FF"/>
      <w:u w:val="single"/>
    </w:rPr>
  </w:style>
  <w:style w:type="paragraph" w:styleId="a8">
    <w:name w:val="List Paragraph"/>
    <w:basedOn w:val="a"/>
    <w:uiPriority w:val="34"/>
    <w:qFormat/>
    <w:rsid w:val="00B73F88"/>
    <w:pPr>
      <w:ind w:left="720"/>
      <w:contextualSpacing/>
    </w:pPr>
  </w:style>
  <w:style w:type="character" w:customStyle="1" w:styleId="30">
    <w:name w:val="Заголовок 3 Знак"/>
    <w:basedOn w:val="a0"/>
    <w:link w:val="3"/>
    <w:uiPriority w:val="9"/>
    <w:rsid w:val="00EE1A8E"/>
    <w:rPr>
      <w:rFonts w:ascii="Times New Roman" w:eastAsia="Times New Roman" w:hAnsi="Times New Roman" w:cs="Times New Roman"/>
      <w:b/>
      <w:bCs/>
      <w:kern w:val="0"/>
      <w:sz w:val="27"/>
      <w:szCs w:val="27"/>
      <w:lang w:eastAsia="ru-RU"/>
      <w14:ligatures w14:val="none"/>
    </w:rPr>
  </w:style>
  <w:style w:type="character" w:styleId="a9">
    <w:name w:val="Strong"/>
    <w:basedOn w:val="a0"/>
    <w:uiPriority w:val="22"/>
    <w:qFormat/>
    <w:rsid w:val="00EE1A8E"/>
    <w:rPr>
      <w:b/>
      <w:bCs/>
    </w:rPr>
  </w:style>
  <w:style w:type="character" w:customStyle="1" w:styleId="apple-converted-space">
    <w:name w:val="apple-converted-space"/>
    <w:basedOn w:val="a0"/>
    <w:rsid w:val="00EE1A8E"/>
  </w:style>
  <w:style w:type="character" w:customStyle="1" w:styleId="20">
    <w:name w:val="Заголовок 2 Знак"/>
    <w:basedOn w:val="a0"/>
    <w:link w:val="2"/>
    <w:uiPriority w:val="9"/>
    <w:rsid w:val="006A2D7D"/>
    <w:rPr>
      <w:rFonts w:asciiTheme="majorHAnsi" w:eastAsiaTheme="majorEastAsia" w:hAnsiTheme="majorHAnsi" w:cstheme="majorBidi"/>
      <w:color w:val="2F5496" w:themeColor="accent1" w:themeShade="BF"/>
      <w:sz w:val="26"/>
      <w:szCs w:val="26"/>
    </w:rPr>
  </w:style>
  <w:style w:type="character" w:styleId="aa">
    <w:name w:val="Emphasis"/>
    <w:basedOn w:val="a0"/>
    <w:uiPriority w:val="20"/>
    <w:qFormat/>
    <w:rsid w:val="006A2D7D"/>
    <w:rPr>
      <w:i/>
      <w:iCs/>
    </w:rPr>
  </w:style>
  <w:style w:type="character" w:styleId="ab">
    <w:name w:val="Unresolved Mention"/>
    <w:basedOn w:val="a0"/>
    <w:uiPriority w:val="99"/>
    <w:semiHidden/>
    <w:unhideWhenUsed/>
    <w:rsid w:val="00AC7EE2"/>
    <w:rPr>
      <w:color w:val="605E5C"/>
      <w:shd w:val="clear" w:color="auto" w:fill="E1DFDD"/>
    </w:rPr>
  </w:style>
  <w:style w:type="character" w:styleId="ac">
    <w:name w:val="FollowedHyperlink"/>
    <w:basedOn w:val="a0"/>
    <w:uiPriority w:val="99"/>
    <w:semiHidden/>
    <w:unhideWhenUsed/>
    <w:rsid w:val="00AC7EE2"/>
    <w:rPr>
      <w:color w:val="954F72" w:themeColor="followedHyperlink"/>
      <w:u w:val="single"/>
    </w:rPr>
  </w:style>
  <w:style w:type="character" w:customStyle="1" w:styleId="40">
    <w:name w:val="Заголовок 4 Знак"/>
    <w:basedOn w:val="a0"/>
    <w:link w:val="4"/>
    <w:uiPriority w:val="9"/>
    <w:semiHidden/>
    <w:rsid w:val="00A52C53"/>
    <w:rPr>
      <w:rFonts w:asciiTheme="majorHAnsi" w:eastAsiaTheme="majorEastAsia" w:hAnsiTheme="majorHAnsi" w:cstheme="majorBidi"/>
      <w:i/>
      <w:iCs/>
      <w:color w:val="2F5496" w:themeColor="accent1" w:themeShade="BF"/>
    </w:rPr>
  </w:style>
  <w:style w:type="table" w:styleId="ad">
    <w:name w:val="Table Grid"/>
    <w:basedOn w:val="a1"/>
    <w:uiPriority w:val="39"/>
    <w:rsid w:val="00D206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161165">
      <w:bodyDiv w:val="1"/>
      <w:marLeft w:val="0"/>
      <w:marRight w:val="0"/>
      <w:marTop w:val="0"/>
      <w:marBottom w:val="0"/>
      <w:divBdr>
        <w:top w:val="none" w:sz="0" w:space="0" w:color="auto"/>
        <w:left w:val="none" w:sz="0" w:space="0" w:color="auto"/>
        <w:bottom w:val="none" w:sz="0" w:space="0" w:color="auto"/>
        <w:right w:val="none" w:sz="0" w:space="0" w:color="auto"/>
      </w:divBdr>
    </w:div>
    <w:div w:id="181092106">
      <w:bodyDiv w:val="1"/>
      <w:marLeft w:val="0"/>
      <w:marRight w:val="0"/>
      <w:marTop w:val="0"/>
      <w:marBottom w:val="0"/>
      <w:divBdr>
        <w:top w:val="none" w:sz="0" w:space="0" w:color="auto"/>
        <w:left w:val="none" w:sz="0" w:space="0" w:color="auto"/>
        <w:bottom w:val="none" w:sz="0" w:space="0" w:color="auto"/>
        <w:right w:val="none" w:sz="0" w:space="0" w:color="auto"/>
      </w:divBdr>
    </w:div>
    <w:div w:id="212742909">
      <w:bodyDiv w:val="1"/>
      <w:marLeft w:val="0"/>
      <w:marRight w:val="0"/>
      <w:marTop w:val="0"/>
      <w:marBottom w:val="0"/>
      <w:divBdr>
        <w:top w:val="none" w:sz="0" w:space="0" w:color="auto"/>
        <w:left w:val="none" w:sz="0" w:space="0" w:color="auto"/>
        <w:bottom w:val="none" w:sz="0" w:space="0" w:color="auto"/>
        <w:right w:val="none" w:sz="0" w:space="0" w:color="auto"/>
      </w:divBdr>
    </w:div>
    <w:div w:id="229929035">
      <w:bodyDiv w:val="1"/>
      <w:marLeft w:val="0"/>
      <w:marRight w:val="0"/>
      <w:marTop w:val="0"/>
      <w:marBottom w:val="0"/>
      <w:divBdr>
        <w:top w:val="none" w:sz="0" w:space="0" w:color="auto"/>
        <w:left w:val="none" w:sz="0" w:space="0" w:color="auto"/>
        <w:bottom w:val="none" w:sz="0" w:space="0" w:color="auto"/>
        <w:right w:val="none" w:sz="0" w:space="0" w:color="auto"/>
      </w:divBdr>
      <w:divsChild>
        <w:div w:id="1990284056">
          <w:blockQuote w:val="1"/>
          <w:marLeft w:val="720"/>
          <w:marRight w:val="720"/>
          <w:marTop w:val="100"/>
          <w:marBottom w:val="100"/>
          <w:divBdr>
            <w:top w:val="none" w:sz="0" w:space="0" w:color="auto"/>
            <w:left w:val="none" w:sz="0" w:space="0" w:color="auto"/>
            <w:bottom w:val="none" w:sz="0" w:space="0" w:color="auto"/>
            <w:right w:val="none" w:sz="0" w:space="0" w:color="auto"/>
          </w:divBdr>
        </w:div>
        <w:div w:id="11909912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3257965">
      <w:bodyDiv w:val="1"/>
      <w:marLeft w:val="0"/>
      <w:marRight w:val="0"/>
      <w:marTop w:val="0"/>
      <w:marBottom w:val="0"/>
      <w:divBdr>
        <w:top w:val="none" w:sz="0" w:space="0" w:color="auto"/>
        <w:left w:val="none" w:sz="0" w:space="0" w:color="auto"/>
        <w:bottom w:val="none" w:sz="0" w:space="0" w:color="auto"/>
        <w:right w:val="none" w:sz="0" w:space="0" w:color="auto"/>
      </w:divBdr>
    </w:div>
    <w:div w:id="635380249">
      <w:bodyDiv w:val="1"/>
      <w:marLeft w:val="0"/>
      <w:marRight w:val="0"/>
      <w:marTop w:val="0"/>
      <w:marBottom w:val="0"/>
      <w:divBdr>
        <w:top w:val="none" w:sz="0" w:space="0" w:color="auto"/>
        <w:left w:val="none" w:sz="0" w:space="0" w:color="auto"/>
        <w:bottom w:val="none" w:sz="0" w:space="0" w:color="auto"/>
        <w:right w:val="none" w:sz="0" w:space="0" w:color="auto"/>
      </w:divBdr>
    </w:div>
    <w:div w:id="935792579">
      <w:bodyDiv w:val="1"/>
      <w:marLeft w:val="0"/>
      <w:marRight w:val="0"/>
      <w:marTop w:val="0"/>
      <w:marBottom w:val="0"/>
      <w:divBdr>
        <w:top w:val="none" w:sz="0" w:space="0" w:color="auto"/>
        <w:left w:val="none" w:sz="0" w:space="0" w:color="auto"/>
        <w:bottom w:val="none" w:sz="0" w:space="0" w:color="auto"/>
        <w:right w:val="none" w:sz="0" w:space="0" w:color="auto"/>
      </w:divBdr>
      <w:divsChild>
        <w:div w:id="4656655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69895490">
      <w:bodyDiv w:val="1"/>
      <w:marLeft w:val="0"/>
      <w:marRight w:val="0"/>
      <w:marTop w:val="0"/>
      <w:marBottom w:val="0"/>
      <w:divBdr>
        <w:top w:val="none" w:sz="0" w:space="0" w:color="auto"/>
        <w:left w:val="none" w:sz="0" w:space="0" w:color="auto"/>
        <w:bottom w:val="none" w:sz="0" w:space="0" w:color="auto"/>
        <w:right w:val="none" w:sz="0" w:space="0" w:color="auto"/>
      </w:divBdr>
      <w:divsChild>
        <w:div w:id="61953517">
          <w:blockQuote w:val="1"/>
          <w:marLeft w:val="720"/>
          <w:marRight w:val="720"/>
          <w:marTop w:val="100"/>
          <w:marBottom w:val="100"/>
          <w:divBdr>
            <w:top w:val="none" w:sz="0" w:space="0" w:color="auto"/>
            <w:left w:val="none" w:sz="0" w:space="0" w:color="auto"/>
            <w:bottom w:val="none" w:sz="0" w:space="0" w:color="auto"/>
            <w:right w:val="none" w:sz="0" w:space="0" w:color="auto"/>
          </w:divBdr>
        </w:div>
        <w:div w:id="420375040">
          <w:blockQuote w:val="1"/>
          <w:marLeft w:val="720"/>
          <w:marRight w:val="720"/>
          <w:marTop w:val="100"/>
          <w:marBottom w:val="100"/>
          <w:divBdr>
            <w:top w:val="none" w:sz="0" w:space="0" w:color="auto"/>
            <w:left w:val="none" w:sz="0" w:space="0" w:color="auto"/>
            <w:bottom w:val="none" w:sz="0" w:space="0" w:color="auto"/>
            <w:right w:val="none" w:sz="0" w:space="0" w:color="auto"/>
          </w:divBdr>
        </w:div>
        <w:div w:id="1661081701">
          <w:blockQuote w:val="1"/>
          <w:marLeft w:val="720"/>
          <w:marRight w:val="720"/>
          <w:marTop w:val="100"/>
          <w:marBottom w:val="100"/>
          <w:divBdr>
            <w:top w:val="none" w:sz="0" w:space="0" w:color="auto"/>
            <w:left w:val="none" w:sz="0" w:space="0" w:color="auto"/>
            <w:bottom w:val="none" w:sz="0" w:space="0" w:color="auto"/>
            <w:right w:val="none" w:sz="0" w:space="0" w:color="auto"/>
          </w:divBdr>
        </w:div>
        <w:div w:id="573704772">
          <w:blockQuote w:val="1"/>
          <w:marLeft w:val="720"/>
          <w:marRight w:val="720"/>
          <w:marTop w:val="100"/>
          <w:marBottom w:val="100"/>
          <w:divBdr>
            <w:top w:val="none" w:sz="0" w:space="0" w:color="auto"/>
            <w:left w:val="none" w:sz="0" w:space="0" w:color="auto"/>
            <w:bottom w:val="none" w:sz="0" w:space="0" w:color="auto"/>
            <w:right w:val="none" w:sz="0" w:space="0" w:color="auto"/>
          </w:divBdr>
        </w:div>
        <w:div w:id="367029932">
          <w:blockQuote w:val="1"/>
          <w:marLeft w:val="720"/>
          <w:marRight w:val="720"/>
          <w:marTop w:val="100"/>
          <w:marBottom w:val="100"/>
          <w:divBdr>
            <w:top w:val="none" w:sz="0" w:space="0" w:color="auto"/>
            <w:left w:val="none" w:sz="0" w:space="0" w:color="auto"/>
            <w:bottom w:val="none" w:sz="0" w:space="0" w:color="auto"/>
            <w:right w:val="none" w:sz="0" w:space="0" w:color="auto"/>
          </w:divBdr>
        </w:div>
        <w:div w:id="265574842">
          <w:blockQuote w:val="1"/>
          <w:marLeft w:val="720"/>
          <w:marRight w:val="720"/>
          <w:marTop w:val="100"/>
          <w:marBottom w:val="100"/>
          <w:divBdr>
            <w:top w:val="none" w:sz="0" w:space="0" w:color="auto"/>
            <w:left w:val="none" w:sz="0" w:space="0" w:color="auto"/>
            <w:bottom w:val="none" w:sz="0" w:space="0" w:color="auto"/>
            <w:right w:val="none" w:sz="0" w:space="0" w:color="auto"/>
          </w:divBdr>
        </w:div>
        <w:div w:id="1364018543">
          <w:blockQuote w:val="1"/>
          <w:marLeft w:val="720"/>
          <w:marRight w:val="720"/>
          <w:marTop w:val="100"/>
          <w:marBottom w:val="100"/>
          <w:divBdr>
            <w:top w:val="none" w:sz="0" w:space="0" w:color="auto"/>
            <w:left w:val="none" w:sz="0" w:space="0" w:color="auto"/>
            <w:bottom w:val="none" w:sz="0" w:space="0" w:color="auto"/>
            <w:right w:val="none" w:sz="0" w:space="0" w:color="auto"/>
          </w:divBdr>
        </w:div>
        <w:div w:id="918367345">
          <w:blockQuote w:val="1"/>
          <w:marLeft w:val="720"/>
          <w:marRight w:val="720"/>
          <w:marTop w:val="100"/>
          <w:marBottom w:val="100"/>
          <w:divBdr>
            <w:top w:val="none" w:sz="0" w:space="0" w:color="auto"/>
            <w:left w:val="none" w:sz="0" w:space="0" w:color="auto"/>
            <w:bottom w:val="none" w:sz="0" w:space="0" w:color="auto"/>
            <w:right w:val="none" w:sz="0" w:space="0" w:color="auto"/>
          </w:divBdr>
        </w:div>
        <w:div w:id="528765834">
          <w:blockQuote w:val="1"/>
          <w:marLeft w:val="720"/>
          <w:marRight w:val="720"/>
          <w:marTop w:val="100"/>
          <w:marBottom w:val="100"/>
          <w:divBdr>
            <w:top w:val="none" w:sz="0" w:space="0" w:color="auto"/>
            <w:left w:val="none" w:sz="0" w:space="0" w:color="auto"/>
            <w:bottom w:val="none" w:sz="0" w:space="0" w:color="auto"/>
            <w:right w:val="none" w:sz="0" w:space="0" w:color="auto"/>
          </w:divBdr>
        </w:div>
        <w:div w:id="1893105548">
          <w:blockQuote w:val="1"/>
          <w:marLeft w:val="720"/>
          <w:marRight w:val="720"/>
          <w:marTop w:val="100"/>
          <w:marBottom w:val="100"/>
          <w:divBdr>
            <w:top w:val="none" w:sz="0" w:space="0" w:color="auto"/>
            <w:left w:val="none" w:sz="0" w:space="0" w:color="auto"/>
            <w:bottom w:val="none" w:sz="0" w:space="0" w:color="auto"/>
            <w:right w:val="none" w:sz="0" w:space="0" w:color="auto"/>
          </w:divBdr>
        </w:div>
        <w:div w:id="273943479">
          <w:blockQuote w:val="1"/>
          <w:marLeft w:val="720"/>
          <w:marRight w:val="720"/>
          <w:marTop w:val="100"/>
          <w:marBottom w:val="100"/>
          <w:divBdr>
            <w:top w:val="none" w:sz="0" w:space="0" w:color="auto"/>
            <w:left w:val="none" w:sz="0" w:space="0" w:color="auto"/>
            <w:bottom w:val="none" w:sz="0" w:space="0" w:color="auto"/>
            <w:right w:val="none" w:sz="0" w:space="0" w:color="auto"/>
          </w:divBdr>
        </w:div>
        <w:div w:id="29111638">
          <w:blockQuote w:val="1"/>
          <w:marLeft w:val="720"/>
          <w:marRight w:val="720"/>
          <w:marTop w:val="100"/>
          <w:marBottom w:val="100"/>
          <w:divBdr>
            <w:top w:val="none" w:sz="0" w:space="0" w:color="auto"/>
            <w:left w:val="none" w:sz="0" w:space="0" w:color="auto"/>
            <w:bottom w:val="none" w:sz="0" w:space="0" w:color="auto"/>
            <w:right w:val="none" w:sz="0" w:space="0" w:color="auto"/>
          </w:divBdr>
        </w:div>
        <w:div w:id="898250788">
          <w:blockQuote w:val="1"/>
          <w:marLeft w:val="720"/>
          <w:marRight w:val="720"/>
          <w:marTop w:val="100"/>
          <w:marBottom w:val="100"/>
          <w:divBdr>
            <w:top w:val="none" w:sz="0" w:space="0" w:color="auto"/>
            <w:left w:val="none" w:sz="0" w:space="0" w:color="auto"/>
            <w:bottom w:val="none" w:sz="0" w:space="0" w:color="auto"/>
            <w:right w:val="none" w:sz="0" w:space="0" w:color="auto"/>
          </w:divBdr>
        </w:div>
        <w:div w:id="1104304792">
          <w:blockQuote w:val="1"/>
          <w:marLeft w:val="720"/>
          <w:marRight w:val="720"/>
          <w:marTop w:val="100"/>
          <w:marBottom w:val="100"/>
          <w:divBdr>
            <w:top w:val="none" w:sz="0" w:space="0" w:color="auto"/>
            <w:left w:val="none" w:sz="0" w:space="0" w:color="auto"/>
            <w:bottom w:val="none" w:sz="0" w:space="0" w:color="auto"/>
            <w:right w:val="none" w:sz="0" w:space="0" w:color="auto"/>
          </w:divBdr>
        </w:div>
        <w:div w:id="281035082">
          <w:blockQuote w:val="1"/>
          <w:marLeft w:val="720"/>
          <w:marRight w:val="720"/>
          <w:marTop w:val="100"/>
          <w:marBottom w:val="100"/>
          <w:divBdr>
            <w:top w:val="none" w:sz="0" w:space="0" w:color="auto"/>
            <w:left w:val="none" w:sz="0" w:space="0" w:color="auto"/>
            <w:bottom w:val="none" w:sz="0" w:space="0" w:color="auto"/>
            <w:right w:val="none" w:sz="0" w:space="0" w:color="auto"/>
          </w:divBdr>
        </w:div>
        <w:div w:id="957227014">
          <w:blockQuote w:val="1"/>
          <w:marLeft w:val="720"/>
          <w:marRight w:val="720"/>
          <w:marTop w:val="100"/>
          <w:marBottom w:val="100"/>
          <w:divBdr>
            <w:top w:val="none" w:sz="0" w:space="0" w:color="auto"/>
            <w:left w:val="none" w:sz="0" w:space="0" w:color="auto"/>
            <w:bottom w:val="none" w:sz="0" w:space="0" w:color="auto"/>
            <w:right w:val="none" w:sz="0" w:space="0" w:color="auto"/>
          </w:divBdr>
        </w:div>
        <w:div w:id="416440246">
          <w:blockQuote w:val="1"/>
          <w:marLeft w:val="720"/>
          <w:marRight w:val="720"/>
          <w:marTop w:val="100"/>
          <w:marBottom w:val="100"/>
          <w:divBdr>
            <w:top w:val="none" w:sz="0" w:space="0" w:color="auto"/>
            <w:left w:val="none" w:sz="0" w:space="0" w:color="auto"/>
            <w:bottom w:val="none" w:sz="0" w:space="0" w:color="auto"/>
            <w:right w:val="none" w:sz="0" w:space="0" w:color="auto"/>
          </w:divBdr>
        </w:div>
        <w:div w:id="1609268054">
          <w:blockQuote w:val="1"/>
          <w:marLeft w:val="720"/>
          <w:marRight w:val="720"/>
          <w:marTop w:val="100"/>
          <w:marBottom w:val="100"/>
          <w:divBdr>
            <w:top w:val="none" w:sz="0" w:space="0" w:color="auto"/>
            <w:left w:val="none" w:sz="0" w:space="0" w:color="auto"/>
            <w:bottom w:val="none" w:sz="0" w:space="0" w:color="auto"/>
            <w:right w:val="none" w:sz="0" w:space="0" w:color="auto"/>
          </w:divBdr>
        </w:div>
        <w:div w:id="1199273948">
          <w:blockQuote w:val="1"/>
          <w:marLeft w:val="720"/>
          <w:marRight w:val="720"/>
          <w:marTop w:val="100"/>
          <w:marBottom w:val="100"/>
          <w:divBdr>
            <w:top w:val="none" w:sz="0" w:space="0" w:color="auto"/>
            <w:left w:val="none" w:sz="0" w:space="0" w:color="auto"/>
            <w:bottom w:val="none" w:sz="0" w:space="0" w:color="auto"/>
            <w:right w:val="none" w:sz="0" w:space="0" w:color="auto"/>
          </w:divBdr>
        </w:div>
        <w:div w:id="449057834">
          <w:blockQuote w:val="1"/>
          <w:marLeft w:val="720"/>
          <w:marRight w:val="720"/>
          <w:marTop w:val="100"/>
          <w:marBottom w:val="100"/>
          <w:divBdr>
            <w:top w:val="none" w:sz="0" w:space="0" w:color="auto"/>
            <w:left w:val="none" w:sz="0" w:space="0" w:color="auto"/>
            <w:bottom w:val="none" w:sz="0" w:space="0" w:color="auto"/>
            <w:right w:val="none" w:sz="0" w:space="0" w:color="auto"/>
          </w:divBdr>
        </w:div>
        <w:div w:id="2123189194">
          <w:blockQuote w:val="1"/>
          <w:marLeft w:val="720"/>
          <w:marRight w:val="720"/>
          <w:marTop w:val="100"/>
          <w:marBottom w:val="100"/>
          <w:divBdr>
            <w:top w:val="none" w:sz="0" w:space="0" w:color="auto"/>
            <w:left w:val="none" w:sz="0" w:space="0" w:color="auto"/>
            <w:bottom w:val="none" w:sz="0" w:space="0" w:color="auto"/>
            <w:right w:val="none" w:sz="0" w:space="0" w:color="auto"/>
          </w:divBdr>
        </w:div>
        <w:div w:id="1006517069">
          <w:blockQuote w:val="1"/>
          <w:marLeft w:val="720"/>
          <w:marRight w:val="720"/>
          <w:marTop w:val="100"/>
          <w:marBottom w:val="100"/>
          <w:divBdr>
            <w:top w:val="none" w:sz="0" w:space="0" w:color="auto"/>
            <w:left w:val="none" w:sz="0" w:space="0" w:color="auto"/>
            <w:bottom w:val="none" w:sz="0" w:space="0" w:color="auto"/>
            <w:right w:val="none" w:sz="0" w:space="0" w:color="auto"/>
          </w:divBdr>
        </w:div>
        <w:div w:id="1090078070">
          <w:blockQuote w:val="1"/>
          <w:marLeft w:val="720"/>
          <w:marRight w:val="720"/>
          <w:marTop w:val="100"/>
          <w:marBottom w:val="100"/>
          <w:divBdr>
            <w:top w:val="none" w:sz="0" w:space="0" w:color="auto"/>
            <w:left w:val="none" w:sz="0" w:space="0" w:color="auto"/>
            <w:bottom w:val="none" w:sz="0" w:space="0" w:color="auto"/>
            <w:right w:val="none" w:sz="0" w:space="0" w:color="auto"/>
          </w:divBdr>
        </w:div>
        <w:div w:id="4734476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0253147">
      <w:bodyDiv w:val="1"/>
      <w:marLeft w:val="0"/>
      <w:marRight w:val="0"/>
      <w:marTop w:val="0"/>
      <w:marBottom w:val="0"/>
      <w:divBdr>
        <w:top w:val="none" w:sz="0" w:space="0" w:color="auto"/>
        <w:left w:val="none" w:sz="0" w:space="0" w:color="auto"/>
        <w:bottom w:val="none" w:sz="0" w:space="0" w:color="auto"/>
        <w:right w:val="none" w:sz="0" w:space="0" w:color="auto"/>
      </w:divBdr>
    </w:div>
    <w:div w:id="1071738512">
      <w:bodyDiv w:val="1"/>
      <w:marLeft w:val="0"/>
      <w:marRight w:val="0"/>
      <w:marTop w:val="0"/>
      <w:marBottom w:val="0"/>
      <w:divBdr>
        <w:top w:val="none" w:sz="0" w:space="0" w:color="auto"/>
        <w:left w:val="none" w:sz="0" w:space="0" w:color="auto"/>
        <w:bottom w:val="none" w:sz="0" w:space="0" w:color="auto"/>
        <w:right w:val="none" w:sz="0" w:space="0" w:color="auto"/>
      </w:divBdr>
      <w:divsChild>
        <w:div w:id="4514822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54053647">
      <w:bodyDiv w:val="1"/>
      <w:marLeft w:val="0"/>
      <w:marRight w:val="0"/>
      <w:marTop w:val="0"/>
      <w:marBottom w:val="0"/>
      <w:divBdr>
        <w:top w:val="none" w:sz="0" w:space="0" w:color="auto"/>
        <w:left w:val="none" w:sz="0" w:space="0" w:color="auto"/>
        <w:bottom w:val="none" w:sz="0" w:space="0" w:color="auto"/>
        <w:right w:val="none" w:sz="0" w:space="0" w:color="auto"/>
      </w:divBdr>
      <w:divsChild>
        <w:div w:id="598023622">
          <w:marLeft w:val="0"/>
          <w:marRight w:val="0"/>
          <w:marTop w:val="120"/>
          <w:marBottom w:val="120"/>
          <w:divBdr>
            <w:top w:val="none" w:sz="0" w:space="0" w:color="auto"/>
            <w:left w:val="none" w:sz="0" w:space="0" w:color="auto"/>
            <w:bottom w:val="none" w:sz="0" w:space="0" w:color="auto"/>
            <w:right w:val="none" w:sz="0" w:space="0" w:color="auto"/>
          </w:divBdr>
        </w:div>
      </w:divsChild>
    </w:div>
    <w:div w:id="1619802385">
      <w:bodyDiv w:val="1"/>
      <w:marLeft w:val="0"/>
      <w:marRight w:val="0"/>
      <w:marTop w:val="0"/>
      <w:marBottom w:val="0"/>
      <w:divBdr>
        <w:top w:val="none" w:sz="0" w:space="0" w:color="auto"/>
        <w:left w:val="none" w:sz="0" w:space="0" w:color="auto"/>
        <w:bottom w:val="none" w:sz="0" w:space="0" w:color="auto"/>
        <w:right w:val="none" w:sz="0" w:space="0" w:color="auto"/>
      </w:divBdr>
    </w:div>
    <w:div w:id="1632049760">
      <w:bodyDiv w:val="1"/>
      <w:marLeft w:val="0"/>
      <w:marRight w:val="0"/>
      <w:marTop w:val="0"/>
      <w:marBottom w:val="0"/>
      <w:divBdr>
        <w:top w:val="none" w:sz="0" w:space="0" w:color="auto"/>
        <w:left w:val="none" w:sz="0" w:space="0" w:color="auto"/>
        <w:bottom w:val="none" w:sz="0" w:space="0" w:color="auto"/>
        <w:right w:val="none" w:sz="0" w:space="0" w:color="auto"/>
      </w:divBdr>
      <w:divsChild>
        <w:div w:id="1269316345">
          <w:blockQuote w:val="1"/>
          <w:marLeft w:val="720"/>
          <w:marRight w:val="720"/>
          <w:marTop w:val="100"/>
          <w:marBottom w:val="100"/>
          <w:divBdr>
            <w:top w:val="none" w:sz="0" w:space="0" w:color="auto"/>
            <w:left w:val="none" w:sz="0" w:space="0" w:color="auto"/>
            <w:bottom w:val="none" w:sz="0" w:space="0" w:color="auto"/>
            <w:right w:val="none" w:sz="0" w:space="0" w:color="auto"/>
          </w:divBdr>
        </w:div>
        <w:div w:id="2112121909">
          <w:blockQuote w:val="1"/>
          <w:marLeft w:val="720"/>
          <w:marRight w:val="720"/>
          <w:marTop w:val="100"/>
          <w:marBottom w:val="100"/>
          <w:divBdr>
            <w:top w:val="none" w:sz="0" w:space="0" w:color="auto"/>
            <w:left w:val="none" w:sz="0" w:space="0" w:color="auto"/>
            <w:bottom w:val="none" w:sz="0" w:space="0" w:color="auto"/>
            <w:right w:val="none" w:sz="0" w:space="0" w:color="auto"/>
          </w:divBdr>
        </w:div>
        <w:div w:id="1184787860">
          <w:blockQuote w:val="1"/>
          <w:marLeft w:val="720"/>
          <w:marRight w:val="720"/>
          <w:marTop w:val="100"/>
          <w:marBottom w:val="100"/>
          <w:divBdr>
            <w:top w:val="none" w:sz="0" w:space="0" w:color="auto"/>
            <w:left w:val="none" w:sz="0" w:space="0" w:color="auto"/>
            <w:bottom w:val="none" w:sz="0" w:space="0" w:color="auto"/>
            <w:right w:val="none" w:sz="0" w:space="0" w:color="auto"/>
          </w:divBdr>
        </w:div>
        <w:div w:id="21319000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75831028">
      <w:bodyDiv w:val="1"/>
      <w:marLeft w:val="0"/>
      <w:marRight w:val="0"/>
      <w:marTop w:val="0"/>
      <w:marBottom w:val="0"/>
      <w:divBdr>
        <w:top w:val="none" w:sz="0" w:space="0" w:color="auto"/>
        <w:left w:val="none" w:sz="0" w:space="0" w:color="auto"/>
        <w:bottom w:val="none" w:sz="0" w:space="0" w:color="auto"/>
        <w:right w:val="none" w:sz="0" w:space="0" w:color="auto"/>
      </w:divBdr>
    </w:div>
    <w:div w:id="1837648168">
      <w:bodyDiv w:val="1"/>
      <w:marLeft w:val="0"/>
      <w:marRight w:val="0"/>
      <w:marTop w:val="0"/>
      <w:marBottom w:val="0"/>
      <w:divBdr>
        <w:top w:val="none" w:sz="0" w:space="0" w:color="auto"/>
        <w:left w:val="none" w:sz="0" w:space="0" w:color="auto"/>
        <w:bottom w:val="none" w:sz="0" w:space="0" w:color="auto"/>
        <w:right w:val="none" w:sz="0" w:space="0" w:color="auto"/>
      </w:divBdr>
    </w:div>
    <w:div w:id="1875187930">
      <w:bodyDiv w:val="1"/>
      <w:marLeft w:val="0"/>
      <w:marRight w:val="0"/>
      <w:marTop w:val="0"/>
      <w:marBottom w:val="0"/>
      <w:divBdr>
        <w:top w:val="none" w:sz="0" w:space="0" w:color="auto"/>
        <w:left w:val="none" w:sz="0" w:space="0" w:color="auto"/>
        <w:bottom w:val="none" w:sz="0" w:space="0" w:color="auto"/>
        <w:right w:val="none" w:sz="0" w:space="0" w:color="auto"/>
      </w:divBdr>
      <w:divsChild>
        <w:div w:id="1875463947">
          <w:marLeft w:val="0"/>
          <w:marRight w:val="0"/>
          <w:marTop w:val="120"/>
          <w:marBottom w:val="120"/>
          <w:divBdr>
            <w:top w:val="none" w:sz="0" w:space="0" w:color="auto"/>
            <w:left w:val="none" w:sz="0" w:space="0" w:color="auto"/>
            <w:bottom w:val="none" w:sz="0" w:space="0" w:color="auto"/>
            <w:right w:val="none" w:sz="0" w:space="0" w:color="auto"/>
          </w:divBdr>
        </w:div>
      </w:divsChild>
    </w:div>
    <w:div w:id="2065904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ace.coe.int/en/files/3351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HURCHAGAINSTHATE.ORG" TargetMode="Externa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mailto:ngopublic@proton.me"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moldova.europalibera.org/a/judecatorii-noi-numiti-la-curtea-constitutionala-au-depus-juramantul-la-parlament-opozitia-a-protestat-in-sala-si-afara/33505508.html" TargetMode="External"/><Relationship Id="rId3" Type="http://schemas.openxmlformats.org/officeDocument/2006/relationships/hyperlink" Target="https://newsmaker.md/ro/mitropolia-moldovei-neaga-ca-ar-fi-rusa-cum-raspunde-celor-care-cer-scoaterea-sa-in-afara-legii" TargetMode="External"/><Relationship Id="rId7" Type="http://schemas.openxmlformats.org/officeDocument/2006/relationships/hyperlink" Target="https://www.venice.coe.int/webforms/documents/default.aspx?pdffile=CDL-AD%282025%29005-e&amp;" TargetMode="External"/><Relationship Id="rId2" Type="http://schemas.openxmlformats.org/officeDocument/2006/relationships/hyperlink" Target="https://www.infotag.md/populis-ru/318703/" TargetMode="External"/><Relationship Id="rId1" Type="http://schemas.openxmlformats.org/officeDocument/2006/relationships/hyperlink" Target="https://www.zdg.md/stiri/pas-reactioneaza-la-declaratia-lui-soimaru-despre-dezicerea-de-mitropolia-moldovei-guvernarea-nu-pregateste-niciun-proiect-de-lege-sau-initiativa-care-ar-lichida-mitropolia/" TargetMode="External"/><Relationship Id="rId6" Type="http://schemas.openxmlformats.org/officeDocument/2006/relationships/hyperlink" Target="https://freedomhouse.org/country/moldova/freedom-world/2024" TargetMode="External"/><Relationship Id="rId5" Type="http://schemas.openxmlformats.org/officeDocument/2006/relationships/hyperlink" Target="https://ipn.md/crjm-cere-transparenta-la-numirea-judecatorilor-curtii-constitutionale-e-risc-de-politizare/?utm" TargetMode="External"/><Relationship Id="rId4" Type="http://schemas.openxmlformats.org/officeDocument/2006/relationships/hyperlink" Target="https://newsmaker.md/ro/socialistii-in-discutie-cu-coraportorii-apce-acuza-pas-de-abuzuri-inainte-de-alegeri?u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FB8A42-D77A-1845-A527-E012BA00F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24</Pages>
  <Words>9633</Words>
  <Characters>54910</Characters>
  <Application>Microsoft Office Word</Application>
  <DocSecurity>0</DocSecurity>
  <Lines>457</Lines>
  <Paragraphs>128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protiktorlegal@gmail.com</dc:creator>
  <cp:keywords/>
  <dc:description/>
  <cp:lastModifiedBy>protiktorlegal@gmail.com</cp:lastModifiedBy>
  <cp:revision>2</cp:revision>
  <dcterms:created xsi:type="dcterms:W3CDTF">2026-01-28T08:49:00Z</dcterms:created>
  <dcterms:modified xsi:type="dcterms:W3CDTF">2026-01-28T08:49:00Z</dcterms:modified>
</cp:coreProperties>
</file>