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47153" w14:textId="77777777" w:rsidR="00FA5415" w:rsidRDefault="00FA5415" w:rsidP="0042003E">
      <w:pPr>
        <w:jc w:val="center"/>
        <w:rPr>
          <w:rFonts w:asciiTheme="minorHAnsi" w:hAnsiTheme="minorHAnsi" w:cstheme="minorHAnsi"/>
          <w:b/>
          <w:bCs/>
          <w:color w:val="000000"/>
          <w:sz w:val="22"/>
          <w:szCs w:val="22"/>
        </w:rPr>
      </w:pPr>
    </w:p>
    <w:p w14:paraId="285C012C" w14:textId="78DFF69A" w:rsidR="0042003E" w:rsidRPr="00FA5415" w:rsidRDefault="0042003E" w:rsidP="0042003E">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Submission to the Committee on Economic, Social and Cultural Rights Review of Indonesia</w:t>
      </w:r>
    </w:p>
    <w:p w14:paraId="6CA5B1AD" w14:textId="77777777" w:rsidR="0042003E" w:rsidRPr="00FA5415" w:rsidRDefault="0042003E" w:rsidP="0042003E">
      <w:pPr>
        <w:rPr>
          <w:rFonts w:asciiTheme="minorHAnsi" w:hAnsiTheme="minorHAnsi" w:cstheme="minorHAnsi"/>
          <w:sz w:val="22"/>
          <w:szCs w:val="22"/>
        </w:rPr>
      </w:pPr>
    </w:p>
    <w:p w14:paraId="2B9E18A2" w14:textId="77777777" w:rsidR="0042003E" w:rsidRPr="00FA5415" w:rsidRDefault="0042003E" w:rsidP="0042003E">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 xml:space="preserve">List of Issues (LOIs) on the 2nd periodic report of Indonesia under the International Covenant on </w:t>
      </w:r>
      <w:r w:rsidRPr="00FA5415">
        <w:rPr>
          <w:rFonts w:asciiTheme="minorHAnsi" w:hAnsiTheme="minorHAnsi" w:cstheme="minorHAnsi"/>
          <w:b/>
          <w:bCs/>
          <w:color w:val="000000"/>
          <w:sz w:val="22"/>
          <w:szCs w:val="22"/>
          <w:shd w:val="clear" w:color="auto" w:fill="FFFFFF"/>
        </w:rPr>
        <w:t>Economic, Social and Cultural Rights (ICESCR): Specific on ECOSOC Rights in Remote Areas and Mining and Plantation Sector in Indonesia</w:t>
      </w:r>
    </w:p>
    <w:p w14:paraId="6B23D025" w14:textId="77777777" w:rsidR="0042003E" w:rsidRPr="00FA5415" w:rsidRDefault="0042003E" w:rsidP="0042003E">
      <w:pPr>
        <w:rPr>
          <w:rFonts w:asciiTheme="minorHAnsi" w:hAnsiTheme="minorHAnsi" w:cstheme="minorHAnsi"/>
          <w:sz w:val="22"/>
          <w:szCs w:val="22"/>
        </w:rPr>
      </w:pPr>
    </w:p>
    <w:p w14:paraId="57F51EB7" w14:textId="77777777" w:rsidR="0042003E" w:rsidRPr="00FA5415" w:rsidRDefault="0042003E" w:rsidP="0042003E">
      <w:pPr>
        <w:jc w:val="both"/>
        <w:rPr>
          <w:rFonts w:asciiTheme="minorHAnsi" w:hAnsiTheme="minorHAnsi" w:cstheme="minorHAnsi"/>
          <w:sz w:val="22"/>
          <w:szCs w:val="22"/>
        </w:rPr>
      </w:pPr>
      <w:r w:rsidRPr="00FA5415">
        <w:rPr>
          <w:rFonts w:asciiTheme="minorHAnsi" w:hAnsiTheme="minorHAnsi" w:cstheme="minorHAnsi"/>
          <w:sz w:val="22"/>
          <w:szCs w:val="22"/>
        </w:rPr>
        <w:t>Satya Bumi</w:t>
      </w:r>
      <w:r w:rsidRPr="00FA5415">
        <w:rPr>
          <w:rStyle w:val="FootnoteReference"/>
          <w:rFonts w:asciiTheme="minorHAnsi" w:hAnsiTheme="minorHAnsi" w:cstheme="minorHAnsi"/>
          <w:sz w:val="22"/>
          <w:szCs w:val="22"/>
        </w:rPr>
        <w:footnoteReference w:id="1"/>
      </w:r>
      <w:r w:rsidRPr="00FA5415">
        <w:rPr>
          <w:rFonts w:asciiTheme="minorHAnsi" w:hAnsiTheme="minorHAnsi" w:cstheme="minorHAnsi"/>
          <w:sz w:val="22"/>
          <w:szCs w:val="22"/>
        </w:rPr>
        <w:t xml:space="preserve"> is an environmental campaign organization working to advocate for forest protection and reduction of the rate of greenhouse gas emissions. Since 2022, we have focused on working to ensure that companies work within the corridors of environmental ethics and human rights, including but not limited to: ensuring a clean and accessible energy transition, efforts to safeguard forests and protect biodiversity, encouraging policies and practices that protect human rights defenders and the environment, including focusing on business and human rights principles that should be used in efforts to prevent the climate crisis. On this occasion, Satya Bumi is delighted to be able to contribute by providing input to the UN Treaty Body Committee for the International Covenant on Economic, Social and Cultural Rights at its 75th Session. This report serves as an additional consideration that can be studied apart from the documents that have been submitted by the Indonesian Government for the upcoming session. Based on our research and advocacy work, this submission will focus on these following subjects: economic, social, and cultural rights in remote areas; mining and plantation sectors; and Indonesia's current position on the United Guiding Principles on Business and Human Rights (UNGPs).</w:t>
      </w:r>
    </w:p>
    <w:p w14:paraId="6613ABD5" w14:textId="77777777" w:rsidR="00FA5415" w:rsidRPr="00FA5415" w:rsidRDefault="00FA5415" w:rsidP="0042003E">
      <w:pPr>
        <w:jc w:val="both"/>
        <w:rPr>
          <w:rFonts w:asciiTheme="minorHAnsi" w:hAnsiTheme="minorHAnsi" w:cstheme="minorHAnsi"/>
          <w:sz w:val="22"/>
          <w:szCs w:val="22"/>
        </w:rPr>
      </w:pPr>
    </w:p>
    <w:p w14:paraId="71A8354F" w14:textId="77777777" w:rsidR="0042003E" w:rsidRPr="00FA5415" w:rsidRDefault="0042003E" w:rsidP="00FA5415">
      <w:pPr>
        <w:pStyle w:val="NormalWeb"/>
        <w:numPr>
          <w:ilvl w:val="0"/>
          <w:numId w:val="3"/>
        </w:numPr>
        <w:spacing w:before="0" w:beforeAutospacing="0" w:after="240" w:afterAutospacing="0"/>
        <w:ind w:left="426" w:hanging="426"/>
        <w:jc w:val="both"/>
        <w:rPr>
          <w:rFonts w:asciiTheme="minorHAnsi" w:hAnsiTheme="minorHAnsi" w:cstheme="minorHAnsi"/>
          <w:sz w:val="22"/>
          <w:szCs w:val="22"/>
        </w:rPr>
      </w:pPr>
      <w:r w:rsidRPr="00FA5415">
        <w:rPr>
          <w:rFonts w:asciiTheme="minorHAnsi" w:hAnsiTheme="minorHAnsi" w:cstheme="minorHAnsi"/>
          <w:b/>
          <w:bCs/>
          <w:color w:val="000000"/>
          <w:sz w:val="22"/>
          <w:szCs w:val="22"/>
          <w:u w:val="single"/>
          <w:shd w:val="clear" w:color="auto" w:fill="FFFFFF"/>
        </w:rPr>
        <w:t>Economic, Social and Cultural Rights in Remote Areas</w:t>
      </w:r>
    </w:p>
    <w:p w14:paraId="5D1207F1" w14:textId="77777777" w:rsidR="0042003E" w:rsidRPr="00FA5415" w:rsidRDefault="0042003E" w:rsidP="0042003E">
      <w:pPr>
        <w:jc w:val="both"/>
        <w:rPr>
          <w:rFonts w:asciiTheme="minorHAnsi" w:hAnsiTheme="minorHAnsi" w:cstheme="minorHAnsi"/>
          <w:sz w:val="22"/>
          <w:szCs w:val="22"/>
        </w:rPr>
      </w:pPr>
      <w:r w:rsidRPr="00FA5415">
        <w:rPr>
          <w:rFonts w:asciiTheme="minorHAnsi" w:hAnsiTheme="minorHAnsi" w:cstheme="minorHAnsi"/>
          <w:b/>
          <w:bCs/>
          <w:sz w:val="22"/>
          <w:szCs w:val="22"/>
        </w:rPr>
        <w:t>Equitable Development: Reflecting on the Cases of Kualan Hilir Village, Ketapang, West Kalimantan and Pemayungan Sumay Village, Tebo, Jamb</w:t>
      </w:r>
      <w:r w:rsidRPr="00FA5415">
        <w:rPr>
          <w:rFonts w:asciiTheme="minorHAnsi" w:hAnsiTheme="minorHAnsi" w:cstheme="minorHAnsi"/>
          <w:sz w:val="22"/>
          <w:szCs w:val="22"/>
        </w:rPr>
        <w:t>i</w:t>
      </w:r>
    </w:p>
    <w:p w14:paraId="17C7864A" w14:textId="77777777" w:rsidR="0042003E" w:rsidRPr="00FA5415" w:rsidRDefault="0042003E" w:rsidP="0042003E">
      <w:pPr>
        <w:jc w:val="both"/>
        <w:rPr>
          <w:rFonts w:asciiTheme="minorHAnsi" w:hAnsiTheme="minorHAnsi" w:cstheme="minorHAnsi"/>
          <w:i/>
          <w:iCs/>
          <w:sz w:val="22"/>
          <w:szCs w:val="22"/>
        </w:rPr>
      </w:pPr>
      <w:r w:rsidRPr="00FA5415">
        <w:rPr>
          <w:rFonts w:asciiTheme="minorHAnsi" w:hAnsiTheme="minorHAnsi" w:cstheme="minorHAnsi"/>
          <w:i/>
          <w:iCs/>
          <w:sz w:val="22"/>
          <w:szCs w:val="22"/>
        </w:rPr>
        <w:t>Impact of PT Mayawana Persada Timber Plantation in Kualan Hilir Village, Ketapang, West Kalimantan</w:t>
      </w:r>
    </w:p>
    <w:p w14:paraId="5C778146" w14:textId="77777777" w:rsidR="0042003E" w:rsidRPr="00FA5415" w:rsidRDefault="0042003E" w:rsidP="0042003E">
      <w:pPr>
        <w:pStyle w:val="ListParagraph"/>
        <w:numPr>
          <w:ilvl w:val="0"/>
          <w:numId w:val="1"/>
        </w:numPr>
        <w:jc w:val="both"/>
        <w:rPr>
          <w:rFonts w:cstheme="minorHAnsi"/>
        </w:rPr>
      </w:pPr>
      <w:r w:rsidRPr="00FA5415">
        <w:rPr>
          <w:rFonts w:cstheme="minorHAnsi"/>
        </w:rPr>
        <w:t>Responding to the statements of Indonesian Government in paragraphs 43 &amp; 45, these achievements are only assessed as products or project outputs, without necessarily measuring meaningful outcomes or achievements. This can be seen, for example, in the 2015-2019 RPJMN (</w:t>
      </w:r>
      <w:proofErr w:type="spellStart"/>
      <w:r w:rsidRPr="00FA5415">
        <w:rPr>
          <w:rFonts w:cstheme="minorHAnsi"/>
          <w:i/>
          <w:iCs/>
          <w:color w:val="000000"/>
          <w:shd w:val="clear" w:color="auto" w:fill="FFFFFF"/>
        </w:rPr>
        <w:t>Rencana</w:t>
      </w:r>
      <w:proofErr w:type="spellEnd"/>
      <w:r w:rsidRPr="00FA5415">
        <w:rPr>
          <w:rFonts w:cstheme="minorHAnsi"/>
          <w:i/>
          <w:iCs/>
          <w:color w:val="000000"/>
          <w:shd w:val="clear" w:color="auto" w:fill="FFFFFF"/>
        </w:rPr>
        <w:t xml:space="preserve"> Pembangunan Jangka </w:t>
      </w:r>
      <w:proofErr w:type="spellStart"/>
      <w:r w:rsidRPr="00FA5415">
        <w:rPr>
          <w:rFonts w:cstheme="minorHAnsi"/>
          <w:i/>
          <w:iCs/>
          <w:color w:val="000000"/>
          <w:shd w:val="clear" w:color="auto" w:fill="FFFFFF"/>
        </w:rPr>
        <w:t>Menengah</w:t>
      </w:r>
      <w:proofErr w:type="spellEnd"/>
      <w:r w:rsidRPr="00FA5415">
        <w:rPr>
          <w:rFonts w:cstheme="minorHAnsi"/>
          <w:i/>
          <w:iCs/>
          <w:color w:val="000000"/>
          <w:shd w:val="clear" w:color="auto" w:fill="FFFFFF"/>
        </w:rPr>
        <w:t xml:space="preserve"> Nasional,</w:t>
      </w:r>
      <w:r w:rsidRPr="00FA5415">
        <w:rPr>
          <w:rFonts w:cstheme="minorHAnsi"/>
          <w:color w:val="000000"/>
          <w:shd w:val="clear" w:color="auto" w:fill="FFFFFF"/>
        </w:rPr>
        <w:t xml:space="preserve"> </w:t>
      </w:r>
      <w:r w:rsidRPr="00FA5415">
        <w:rPr>
          <w:rFonts w:cstheme="minorHAnsi"/>
        </w:rPr>
        <w:t>or National Medium Term Development Plan) product which includes the development of underdeveloped areas as a goal.</w:t>
      </w:r>
      <w:r w:rsidRPr="00FA5415">
        <w:rPr>
          <w:rStyle w:val="FootnoteReference"/>
          <w:rFonts w:cstheme="minorHAnsi"/>
        </w:rPr>
        <w:footnoteReference w:id="2"/>
      </w:r>
      <w:r w:rsidRPr="00FA5415">
        <w:rPr>
          <w:rFonts w:cstheme="minorHAnsi"/>
        </w:rPr>
        <w:t xml:space="preserve"> According to Government Regulation Number 78 of 2014, Ketapang Regency in West Kalimantan is a disadvantaged area. In contrast to the government's development efforts, one of the villages in Ketapang Regency, namely </w:t>
      </w:r>
      <w:proofErr w:type="spellStart"/>
      <w:r w:rsidRPr="00FA5415">
        <w:rPr>
          <w:rFonts w:cstheme="minorHAnsi"/>
        </w:rPr>
        <w:t>Kualan</w:t>
      </w:r>
      <w:proofErr w:type="spellEnd"/>
      <w:r w:rsidRPr="00FA5415">
        <w:rPr>
          <w:rFonts w:cstheme="minorHAnsi"/>
        </w:rPr>
        <w:t xml:space="preserve"> </w:t>
      </w:r>
      <w:proofErr w:type="spellStart"/>
      <w:r w:rsidRPr="00FA5415">
        <w:rPr>
          <w:rFonts w:cstheme="minorHAnsi"/>
        </w:rPr>
        <w:t>Hilir</w:t>
      </w:r>
      <w:proofErr w:type="spellEnd"/>
      <w:r w:rsidRPr="00FA5415">
        <w:rPr>
          <w:rFonts w:cstheme="minorHAnsi"/>
        </w:rPr>
        <w:t xml:space="preserve"> Village, is actually facing ecological threats and social conflict due to land clearing activities by Industrial Plantation Forest companies which are granted concession permits in areas with peat forests and indigenous land;</w:t>
      </w:r>
    </w:p>
    <w:p w14:paraId="6FA743B4" w14:textId="77777777" w:rsidR="0042003E" w:rsidRPr="00FA5415" w:rsidRDefault="0042003E" w:rsidP="0042003E">
      <w:pPr>
        <w:pStyle w:val="ListParagraph"/>
        <w:numPr>
          <w:ilvl w:val="0"/>
          <w:numId w:val="1"/>
        </w:numPr>
        <w:jc w:val="both"/>
        <w:rPr>
          <w:rFonts w:cstheme="minorHAnsi"/>
        </w:rPr>
      </w:pPr>
      <w:r w:rsidRPr="00FA5415">
        <w:rPr>
          <w:rFonts w:cstheme="minorHAnsi"/>
        </w:rPr>
        <w:t xml:space="preserve">In 2020-2024, Ketapang Regency are no longer identified as a disadvantaged village by the </w:t>
      </w:r>
      <w:proofErr w:type="spellStart"/>
      <w:r w:rsidRPr="00FA5415">
        <w:rPr>
          <w:rFonts w:cstheme="minorHAnsi"/>
        </w:rPr>
        <w:t>governnment</w:t>
      </w:r>
      <w:proofErr w:type="spellEnd"/>
      <w:r w:rsidRPr="00FA5415">
        <w:rPr>
          <w:rFonts w:cstheme="minorHAnsi"/>
        </w:rPr>
        <w:t>.</w:t>
      </w:r>
      <w:r w:rsidRPr="00FA5415">
        <w:rPr>
          <w:rStyle w:val="FootnoteReference"/>
          <w:rFonts w:cstheme="minorHAnsi"/>
        </w:rPr>
        <w:footnoteReference w:id="3"/>
      </w:r>
      <w:r w:rsidRPr="00FA5415">
        <w:rPr>
          <w:rFonts w:cstheme="minorHAnsi"/>
        </w:rPr>
        <w:t xml:space="preserve"> However, according to the 2020 </w:t>
      </w:r>
      <w:hyperlink r:id="rId8" w:history="1">
        <w:r w:rsidRPr="00FA5415">
          <w:rPr>
            <w:rStyle w:val="Hyperlink"/>
            <w:rFonts w:cstheme="minorHAnsi"/>
          </w:rPr>
          <w:t>Developing Village Index</w:t>
        </w:r>
      </w:hyperlink>
      <w:r w:rsidRPr="00FA5415">
        <w:rPr>
          <w:rFonts w:cstheme="minorHAnsi"/>
        </w:rPr>
        <w:t xml:space="preserve"> </w:t>
      </w:r>
      <w:r w:rsidRPr="00FA5415">
        <w:rPr>
          <w:rFonts w:cstheme="minorHAnsi"/>
          <w:i/>
          <w:iCs/>
        </w:rPr>
        <w:t xml:space="preserve">(Index Desa </w:t>
      </w:r>
      <w:proofErr w:type="spellStart"/>
      <w:r w:rsidRPr="00FA5415">
        <w:rPr>
          <w:rFonts w:cstheme="minorHAnsi"/>
          <w:i/>
          <w:iCs/>
        </w:rPr>
        <w:t>Membangun</w:t>
      </w:r>
      <w:proofErr w:type="spellEnd"/>
      <w:r w:rsidRPr="00FA5415">
        <w:rPr>
          <w:rFonts w:cstheme="minorHAnsi"/>
          <w:i/>
          <w:iCs/>
        </w:rPr>
        <w:t>,</w:t>
      </w:r>
      <w:r w:rsidRPr="00FA5415">
        <w:rPr>
          <w:rFonts w:cstheme="minorHAnsi"/>
        </w:rPr>
        <w:t xml:space="preserve"> IDM), </w:t>
      </w:r>
      <w:proofErr w:type="spellStart"/>
      <w:r w:rsidRPr="00FA5415">
        <w:rPr>
          <w:rFonts w:cstheme="minorHAnsi"/>
        </w:rPr>
        <w:t>Kualan</w:t>
      </w:r>
      <w:proofErr w:type="spellEnd"/>
      <w:r w:rsidRPr="00FA5415">
        <w:rPr>
          <w:rFonts w:cstheme="minorHAnsi"/>
        </w:rPr>
        <w:t xml:space="preserve"> </w:t>
      </w:r>
      <w:proofErr w:type="spellStart"/>
      <w:r w:rsidRPr="00FA5415">
        <w:rPr>
          <w:rFonts w:cstheme="minorHAnsi"/>
        </w:rPr>
        <w:t>Hilir</w:t>
      </w:r>
      <w:proofErr w:type="spellEnd"/>
      <w:r w:rsidRPr="00FA5415">
        <w:rPr>
          <w:rFonts w:cstheme="minorHAnsi"/>
        </w:rPr>
        <w:t xml:space="preserve"> Village and </w:t>
      </w:r>
      <w:proofErr w:type="spellStart"/>
      <w:r w:rsidRPr="00FA5415">
        <w:rPr>
          <w:rFonts w:cstheme="minorHAnsi"/>
        </w:rPr>
        <w:t>Simpang</w:t>
      </w:r>
      <w:proofErr w:type="spellEnd"/>
      <w:r w:rsidRPr="00FA5415">
        <w:rPr>
          <w:rFonts w:cstheme="minorHAnsi"/>
        </w:rPr>
        <w:t xml:space="preserve"> Hulu District – which are under the governance of the Regency – are still in the 'Disadvantaged' category. Ketapang Regency was first excluded from the disadvantaged areas group on 2020. Around the same time, negotiations had just taken place in 2019 in Pontianak between Indigenous Leaders (Patih Adat) and PT </w:t>
      </w:r>
      <w:proofErr w:type="spellStart"/>
      <w:r w:rsidRPr="00FA5415">
        <w:rPr>
          <w:rFonts w:cstheme="minorHAnsi"/>
        </w:rPr>
        <w:lastRenderedPageBreak/>
        <w:t>Mayawana</w:t>
      </w:r>
      <w:proofErr w:type="spellEnd"/>
      <w:r w:rsidRPr="00FA5415">
        <w:rPr>
          <w:rFonts w:cstheme="minorHAnsi"/>
        </w:rPr>
        <w:t xml:space="preserve"> </w:t>
      </w:r>
      <w:proofErr w:type="spellStart"/>
      <w:r w:rsidRPr="00FA5415">
        <w:rPr>
          <w:rFonts w:cstheme="minorHAnsi"/>
        </w:rPr>
        <w:t>Persada</w:t>
      </w:r>
      <w:proofErr w:type="spellEnd"/>
      <w:r w:rsidRPr="00FA5415">
        <w:rPr>
          <w:rFonts w:cstheme="minorHAnsi"/>
        </w:rPr>
        <w:t xml:space="preserve"> which marked the opening of company activities in the concession area around </w:t>
      </w:r>
      <w:proofErr w:type="spellStart"/>
      <w:r w:rsidRPr="00FA5415">
        <w:rPr>
          <w:rFonts w:cstheme="minorHAnsi"/>
        </w:rPr>
        <w:t>Kualan</w:t>
      </w:r>
      <w:proofErr w:type="spellEnd"/>
      <w:r w:rsidRPr="00FA5415">
        <w:rPr>
          <w:rFonts w:cstheme="minorHAnsi"/>
        </w:rPr>
        <w:t xml:space="preserve"> </w:t>
      </w:r>
      <w:proofErr w:type="spellStart"/>
      <w:r w:rsidRPr="00FA5415">
        <w:rPr>
          <w:rFonts w:cstheme="minorHAnsi"/>
        </w:rPr>
        <w:t>Hilir</w:t>
      </w:r>
      <w:proofErr w:type="spellEnd"/>
      <w:r w:rsidRPr="00FA5415">
        <w:rPr>
          <w:rFonts w:cstheme="minorHAnsi"/>
        </w:rPr>
        <w:t xml:space="preserve"> Village.</w:t>
      </w:r>
    </w:p>
    <w:p w14:paraId="7EDD3218" w14:textId="77777777" w:rsidR="0042003E" w:rsidRPr="00FA5415" w:rsidRDefault="0042003E" w:rsidP="0042003E">
      <w:pPr>
        <w:pStyle w:val="ListParagraph"/>
        <w:numPr>
          <w:ilvl w:val="0"/>
          <w:numId w:val="1"/>
        </w:numPr>
        <w:jc w:val="both"/>
        <w:rPr>
          <w:rFonts w:cstheme="minorHAnsi"/>
        </w:rPr>
      </w:pPr>
      <w:r w:rsidRPr="00FA5415">
        <w:rPr>
          <w:rFonts w:cstheme="minorHAnsi"/>
        </w:rPr>
        <w:t xml:space="preserve">This incident marked the beginning of land-grabbing activities against the </w:t>
      </w:r>
      <w:proofErr w:type="spellStart"/>
      <w:r w:rsidRPr="00FA5415">
        <w:rPr>
          <w:rFonts w:cstheme="minorHAnsi"/>
        </w:rPr>
        <w:t>Kualan</w:t>
      </w:r>
      <w:proofErr w:type="spellEnd"/>
      <w:r w:rsidRPr="00FA5415">
        <w:rPr>
          <w:rFonts w:cstheme="minorHAnsi"/>
        </w:rPr>
        <w:t xml:space="preserve"> Dayak indigenous territory in </w:t>
      </w:r>
      <w:proofErr w:type="spellStart"/>
      <w:r w:rsidRPr="00FA5415">
        <w:rPr>
          <w:rFonts w:cstheme="minorHAnsi"/>
        </w:rPr>
        <w:t>Kualan</w:t>
      </w:r>
      <w:proofErr w:type="spellEnd"/>
      <w:r w:rsidRPr="00FA5415">
        <w:rPr>
          <w:rFonts w:cstheme="minorHAnsi"/>
        </w:rPr>
        <w:t xml:space="preserve"> </w:t>
      </w:r>
      <w:proofErr w:type="spellStart"/>
      <w:r w:rsidRPr="00FA5415">
        <w:rPr>
          <w:rFonts w:cstheme="minorHAnsi"/>
        </w:rPr>
        <w:t>Hilir</w:t>
      </w:r>
      <w:proofErr w:type="spellEnd"/>
      <w:r w:rsidRPr="00FA5415">
        <w:rPr>
          <w:rFonts w:cstheme="minorHAnsi"/>
        </w:rPr>
        <w:t xml:space="preserve"> Village. The majority of the </w:t>
      </w:r>
      <w:proofErr w:type="spellStart"/>
      <w:r w:rsidRPr="00FA5415">
        <w:rPr>
          <w:rFonts w:cstheme="minorHAnsi"/>
        </w:rPr>
        <w:t>Kualan</w:t>
      </w:r>
      <w:proofErr w:type="spellEnd"/>
      <w:r w:rsidRPr="00FA5415">
        <w:rPr>
          <w:rFonts w:cstheme="minorHAnsi"/>
        </w:rPr>
        <w:t xml:space="preserve"> </w:t>
      </w:r>
      <w:proofErr w:type="spellStart"/>
      <w:r w:rsidRPr="00FA5415">
        <w:rPr>
          <w:rFonts w:cstheme="minorHAnsi"/>
        </w:rPr>
        <w:t>Hilir</w:t>
      </w:r>
      <w:proofErr w:type="spellEnd"/>
      <w:r w:rsidRPr="00FA5415">
        <w:rPr>
          <w:rFonts w:cstheme="minorHAnsi"/>
        </w:rPr>
        <w:t xml:space="preserve"> Dayak community considered this agreement to be carried out unilaterally by the Indigenous Leaders because it was done without consultation and approval from the wider community. The community was forced to accept compensation of only IDR 1,500,000.00 per hectare (USD 96.50) and some communities were forced to give up their land. Communities are also pitted against each other by the company, fracturing them into two sides; one of which were willing to give up their land for the compensation provided, and one who refused the terms. </w:t>
      </w:r>
    </w:p>
    <w:p w14:paraId="06D7BD88" w14:textId="77777777" w:rsidR="0042003E" w:rsidRPr="00FA5415" w:rsidRDefault="0042003E" w:rsidP="0042003E">
      <w:pPr>
        <w:pStyle w:val="ListParagraph"/>
        <w:numPr>
          <w:ilvl w:val="0"/>
          <w:numId w:val="1"/>
        </w:numPr>
        <w:jc w:val="both"/>
        <w:rPr>
          <w:rFonts w:cstheme="minorHAnsi"/>
        </w:rPr>
      </w:pPr>
      <w:r w:rsidRPr="00FA5415">
        <w:rPr>
          <w:rFonts w:cstheme="minorHAnsi"/>
        </w:rPr>
        <w:t>It is worth questioning the kind of improvement in the quality of life that the government envisions to achieve, as this case study proves that the indigenous people are still forced to give up their land, pitted against each other, and criminalized for the sole purpose of easing company activities. As had been mentioned in the previous paragraph, it can be concluded that the agenda for equitable development in the lives of communities in underdeveloped areas is not accompanied by the protection of basic rights in these underdeveloped villages. Development is only interpreted as creating infrastructure to support economic activities, not including the preservation of living spaces that are integral to local communities.</w:t>
      </w:r>
    </w:p>
    <w:p w14:paraId="1D8EB2CC" w14:textId="77777777" w:rsidR="0042003E" w:rsidRPr="00FA5415" w:rsidRDefault="0042003E" w:rsidP="0042003E">
      <w:pPr>
        <w:pStyle w:val="ListParagraph"/>
        <w:ind w:left="360"/>
        <w:jc w:val="both"/>
        <w:rPr>
          <w:rFonts w:cstheme="minorHAnsi"/>
        </w:rPr>
      </w:pPr>
    </w:p>
    <w:p w14:paraId="066DEBEB" w14:textId="77777777" w:rsidR="0042003E" w:rsidRPr="00FA5415" w:rsidRDefault="0042003E" w:rsidP="0042003E">
      <w:pPr>
        <w:pStyle w:val="ListParagraph"/>
        <w:ind w:left="360"/>
        <w:jc w:val="both"/>
        <w:rPr>
          <w:rFonts w:cstheme="minorHAnsi"/>
          <w:i/>
          <w:iCs/>
        </w:rPr>
      </w:pPr>
      <w:r w:rsidRPr="00FA5415">
        <w:rPr>
          <w:rFonts w:cstheme="minorHAnsi"/>
          <w:i/>
          <w:iCs/>
        </w:rPr>
        <w:t xml:space="preserve">The Impact of Rubber Plantations on the </w:t>
      </w:r>
      <w:proofErr w:type="spellStart"/>
      <w:r w:rsidRPr="00FA5415">
        <w:rPr>
          <w:rFonts w:cstheme="minorHAnsi"/>
          <w:i/>
          <w:iCs/>
        </w:rPr>
        <w:t>Pemayungan</w:t>
      </w:r>
      <w:proofErr w:type="spellEnd"/>
      <w:r w:rsidRPr="00FA5415">
        <w:rPr>
          <w:rFonts w:cstheme="minorHAnsi"/>
          <w:i/>
          <w:iCs/>
        </w:rPr>
        <w:t xml:space="preserve"> Community, Tebo, Jambi</w:t>
      </w:r>
    </w:p>
    <w:p w14:paraId="42004580" w14:textId="77777777" w:rsidR="0042003E" w:rsidRPr="00FA5415" w:rsidRDefault="0042003E" w:rsidP="0042003E">
      <w:pPr>
        <w:pStyle w:val="ListParagraph"/>
        <w:numPr>
          <w:ilvl w:val="0"/>
          <w:numId w:val="1"/>
        </w:numPr>
        <w:jc w:val="both"/>
        <w:rPr>
          <w:rFonts w:eastAsia="Calibri" w:cstheme="minorHAnsi"/>
        </w:rPr>
      </w:pPr>
      <w:r w:rsidRPr="00FA5415">
        <w:rPr>
          <w:rFonts w:eastAsia="Calibri" w:cstheme="minorHAnsi"/>
        </w:rPr>
        <w:t xml:space="preserve">A lack of transparent information and public participation surrounding natural resource development policies and plans is leading to the violation of social, economic, cultural and environmental rights in many regions of Indonesia. The direct negative impacts of these activities leave local communities facing issues such as the removal of community land; the destruction of their local environment; loss of crucial wildlife habitats; and the resulting economic and social hardships ensued. Furthermore, national and local governments, and operating companies, are failing to disclose essential information around the implementation of these projects, which affected communities have a right to receive, in a timely and accessible manner. Such impacts have been evidenced through violations occurring in the ‘RLU project’, a </w:t>
      </w:r>
      <w:proofErr w:type="gramStart"/>
      <w:r w:rsidRPr="00FA5415">
        <w:rPr>
          <w:rFonts w:eastAsia="Calibri" w:cstheme="minorHAnsi"/>
        </w:rPr>
        <w:t>large scale</w:t>
      </w:r>
      <w:proofErr w:type="gramEnd"/>
      <w:r w:rsidRPr="00FA5415">
        <w:rPr>
          <w:rFonts w:eastAsia="Calibri" w:cstheme="minorHAnsi"/>
        </w:rPr>
        <w:t xml:space="preserve"> rubber plantation project in the province of Jambi, Indonesia, where communities have faced repeated violations of their rights;</w:t>
      </w:r>
    </w:p>
    <w:p w14:paraId="1F772302"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On May 18, 2015, Michelin celebrated the launch of a new joint venture, with Indonesian conglomerate Barito Pacific Group, to “produce natural, eco-friendly rubber” – a key component in Michelin’s tire products – in Jambi, Indonesia. The Royal Lestari Utama (RLU) project promised to include the “reforestation of three concessions, representing a total surface area of 88,000 hectares, ravaged by uncontrolled deforestation” and touted a commitment to dedicate half of this area to “re-creating a natural environment and community crops.” It was said that this project would also create approximately 4,000 jobs, largely within the local community. The project was later backed by Asia’s first $95 million green corporate “Sustainability Bond” and presented to global investors as a contributor toward Indonesia’s national climate change targets;</w:t>
      </w:r>
    </w:p>
    <w:p w14:paraId="3886BF98"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Investigations by </w:t>
      </w:r>
      <w:hyperlink r:id="rId9">
        <w:r w:rsidRPr="00FA5415">
          <w:rPr>
            <w:rStyle w:val="Hyperlink"/>
            <w:rFonts w:eastAsia="Calibri" w:cstheme="minorHAnsi"/>
            <w:color w:val="1155CC"/>
          </w:rPr>
          <w:t>Mighty Earth</w:t>
        </w:r>
      </w:hyperlink>
      <w:r w:rsidRPr="00FA5415">
        <w:rPr>
          <w:rFonts w:eastAsia="Calibri" w:cstheme="minorHAnsi"/>
        </w:rPr>
        <w:t xml:space="preserve"> and </w:t>
      </w:r>
      <w:hyperlink r:id="rId10">
        <w:proofErr w:type="spellStart"/>
        <w:r w:rsidRPr="00FA5415">
          <w:rPr>
            <w:rStyle w:val="Hyperlink"/>
            <w:rFonts w:eastAsia="Calibri" w:cstheme="minorHAnsi"/>
            <w:color w:val="1155CC"/>
          </w:rPr>
          <w:t>Voxeurope</w:t>
        </w:r>
        <w:proofErr w:type="spellEnd"/>
      </w:hyperlink>
      <w:r w:rsidRPr="00FA5415">
        <w:rPr>
          <w:rFonts w:eastAsia="Calibri" w:cstheme="minorHAnsi"/>
        </w:rPr>
        <w:t xml:space="preserve">, found that much of the deforestation and destruction that Michelin promised to address had been committed by subsidiaries of a company within the Barito Pacific Group – Michelin’s very own partner in the new joint venture. Furthermore, NGOs have documented the human rights violations against the </w:t>
      </w:r>
      <w:proofErr w:type="spellStart"/>
      <w:r w:rsidRPr="00FA5415">
        <w:rPr>
          <w:rFonts w:eastAsia="Calibri" w:cstheme="minorHAnsi"/>
        </w:rPr>
        <w:t>Pemayungan</w:t>
      </w:r>
      <w:proofErr w:type="spellEnd"/>
      <w:r w:rsidRPr="00FA5415">
        <w:rPr>
          <w:rFonts w:eastAsia="Calibri" w:cstheme="minorHAnsi"/>
        </w:rPr>
        <w:t xml:space="preserve"> village community, who reside within the concession. and </w:t>
      </w:r>
      <w:proofErr w:type="spellStart"/>
      <w:r w:rsidRPr="00FA5415">
        <w:rPr>
          <w:rFonts w:eastAsia="Calibri" w:cstheme="minorHAnsi"/>
        </w:rPr>
        <w:t>Walhi</w:t>
      </w:r>
      <w:proofErr w:type="spellEnd"/>
      <w:r w:rsidRPr="00FA5415">
        <w:rPr>
          <w:rFonts w:eastAsia="Calibri" w:cstheme="minorHAnsi"/>
        </w:rPr>
        <w:t xml:space="preserve"> Jambi into the project have shown that there was: </w:t>
      </w:r>
    </w:p>
    <w:p w14:paraId="24710914" w14:textId="77777777" w:rsidR="0042003E" w:rsidRPr="00FA5415" w:rsidRDefault="0042003E" w:rsidP="0042003E">
      <w:pPr>
        <w:pStyle w:val="ListParagraph"/>
        <w:numPr>
          <w:ilvl w:val="1"/>
          <w:numId w:val="2"/>
        </w:numPr>
        <w:spacing w:after="0"/>
        <w:ind w:right="-20"/>
        <w:jc w:val="both"/>
        <w:rPr>
          <w:rFonts w:eastAsia="Calibri" w:cstheme="minorHAnsi"/>
        </w:rPr>
      </w:pPr>
      <w:r w:rsidRPr="00FA5415">
        <w:rPr>
          <w:rFonts w:eastAsia="Calibri" w:cstheme="minorHAnsi"/>
          <w:b/>
          <w:bCs/>
        </w:rPr>
        <w:lastRenderedPageBreak/>
        <w:t>No free, prior and informed consent</w:t>
      </w:r>
      <w:r w:rsidRPr="00FA5415">
        <w:rPr>
          <w:rFonts w:eastAsia="Calibri" w:cstheme="minorHAnsi"/>
        </w:rPr>
        <w:t xml:space="preserve"> </w:t>
      </w:r>
      <w:r w:rsidRPr="00FA5415">
        <w:rPr>
          <w:rFonts w:eastAsia="Calibri" w:cstheme="minorHAnsi"/>
          <w:b/>
          <w:bCs/>
        </w:rPr>
        <w:t>(FPIC)</w:t>
      </w:r>
      <w:r w:rsidRPr="00FA5415">
        <w:rPr>
          <w:rFonts w:eastAsia="Calibri" w:cstheme="minorHAnsi"/>
        </w:rPr>
        <w:t xml:space="preserve"> or consultation with local communities on the establishment of the development, or the conditions of their eviction</w:t>
      </w:r>
    </w:p>
    <w:p w14:paraId="1F761C75" w14:textId="77777777" w:rsidR="0042003E" w:rsidRPr="00FA5415" w:rsidRDefault="0042003E" w:rsidP="0042003E">
      <w:pPr>
        <w:pStyle w:val="ListParagraph"/>
        <w:numPr>
          <w:ilvl w:val="1"/>
          <w:numId w:val="2"/>
        </w:numPr>
        <w:spacing w:after="0"/>
        <w:ind w:right="-20"/>
        <w:jc w:val="both"/>
        <w:rPr>
          <w:rFonts w:eastAsia="Calibri" w:cstheme="minorHAnsi"/>
        </w:rPr>
      </w:pPr>
      <w:r w:rsidRPr="00FA5415">
        <w:rPr>
          <w:rFonts w:eastAsia="Calibri" w:cstheme="minorHAnsi"/>
          <w:b/>
          <w:bCs/>
        </w:rPr>
        <w:t>Intimidation</w:t>
      </w:r>
      <w:r w:rsidRPr="00FA5415">
        <w:rPr>
          <w:rFonts w:eastAsia="Calibri" w:cstheme="minorHAnsi"/>
        </w:rPr>
        <w:t xml:space="preserve"> of community members by local police and company representatives</w:t>
      </w:r>
    </w:p>
    <w:p w14:paraId="112E8654" w14:textId="77777777" w:rsidR="0042003E" w:rsidRPr="00FA5415" w:rsidRDefault="0042003E" w:rsidP="0042003E">
      <w:pPr>
        <w:pStyle w:val="ListParagraph"/>
        <w:numPr>
          <w:ilvl w:val="1"/>
          <w:numId w:val="2"/>
        </w:numPr>
        <w:spacing w:after="0"/>
        <w:ind w:right="-20"/>
        <w:jc w:val="both"/>
        <w:rPr>
          <w:rFonts w:eastAsia="Calibri" w:cstheme="minorHAnsi"/>
        </w:rPr>
      </w:pPr>
      <w:r w:rsidRPr="00FA5415">
        <w:rPr>
          <w:rFonts w:eastAsia="Calibri" w:cstheme="minorHAnsi"/>
          <w:b/>
          <w:bCs/>
        </w:rPr>
        <w:t xml:space="preserve">The false </w:t>
      </w:r>
      <w:proofErr w:type="spellStart"/>
      <w:r w:rsidRPr="00FA5415">
        <w:rPr>
          <w:rFonts w:eastAsia="Calibri" w:cstheme="minorHAnsi"/>
          <w:b/>
          <w:bCs/>
        </w:rPr>
        <w:t>criminalisation</w:t>
      </w:r>
      <w:proofErr w:type="spellEnd"/>
      <w:r w:rsidRPr="00FA5415">
        <w:rPr>
          <w:rFonts w:eastAsia="Calibri" w:cstheme="minorHAnsi"/>
        </w:rPr>
        <w:t xml:space="preserve"> of local community members by local police and the company </w:t>
      </w:r>
    </w:p>
    <w:p w14:paraId="40E4057B" w14:textId="77777777" w:rsidR="0042003E" w:rsidRPr="00FA5415" w:rsidRDefault="0042003E" w:rsidP="0042003E">
      <w:pPr>
        <w:pStyle w:val="ListParagraph"/>
        <w:numPr>
          <w:ilvl w:val="1"/>
          <w:numId w:val="2"/>
        </w:numPr>
        <w:spacing w:after="0"/>
        <w:ind w:right="-20"/>
        <w:jc w:val="both"/>
        <w:rPr>
          <w:rFonts w:eastAsia="Calibri" w:cstheme="minorHAnsi"/>
        </w:rPr>
      </w:pPr>
      <w:r w:rsidRPr="00FA5415">
        <w:rPr>
          <w:rFonts w:eastAsia="Calibri" w:cstheme="minorHAnsi"/>
          <w:b/>
          <w:bCs/>
        </w:rPr>
        <w:t>Forced eviction</w:t>
      </w:r>
      <w:r w:rsidRPr="00FA5415">
        <w:rPr>
          <w:rFonts w:eastAsia="Calibri" w:cstheme="minorHAnsi"/>
        </w:rPr>
        <w:t xml:space="preserve"> of local and indigenous communities (between 2012 – 2022) whose livelihoods are dependent on the land </w:t>
      </w:r>
    </w:p>
    <w:p w14:paraId="06B305AC" w14:textId="77777777" w:rsidR="0042003E" w:rsidRPr="00FA5415" w:rsidRDefault="0042003E" w:rsidP="0042003E">
      <w:pPr>
        <w:pStyle w:val="ListParagraph"/>
        <w:numPr>
          <w:ilvl w:val="1"/>
          <w:numId w:val="2"/>
        </w:numPr>
        <w:spacing w:after="0"/>
        <w:ind w:right="-20"/>
        <w:jc w:val="both"/>
        <w:rPr>
          <w:rFonts w:eastAsia="Calibri" w:cstheme="minorHAnsi"/>
        </w:rPr>
      </w:pPr>
      <w:r w:rsidRPr="00FA5415">
        <w:rPr>
          <w:rFonts w:eastAsia="Calibri" w:cstheme="minorHAnsi"/>
          <w:b/>
          <w:bCs/>
        </w:rPr>
        <w:t>Damage to the property</w:t>
      </w:r>
      <w:r w:rsidRPr="00FA5415">
        <w:rPr>
          <w:rFonts w:eastAsia="Calibri" w:cstheme="minorHAnsi"/>
        </w:rPr>
        <w:t xml:space="preserve"> of individuals, including destruction of community land and smallholder farms cultivated for subsistence and commercial crops</w:t>
      </w:r>
    </w:p>
    <w:p w14:paraId="1CED3DA0" w14:textId="77777777" w:rsidR="0042003E" w:rsidRPr="00FA5415" w:rsidRDefault="0042003E" w:rsidP="0042003E">
      <w:pPr>
        <w:pStyle w:val="ListParagraph"/>
        <w:numPr>
          <w:ilvl w:val="1"/>
          <w:numId w:val="2"/>
        </w:numPr>
        <w:spacing w:after="0"/>
        <w:ind w:right="-20"/>
        <w:jc w:val="both"/>
        <w:rPr>
          <w:rFonts w:eastAsia="Calibri" w:cstheme="minorHAnsi"/>
        </w:rPr>
      </w:pPr>
      <w:r w:rsidRPr="00FA5415">
        <w:rPr>
          <w:rFonts w:eastAsia="Calibri" w:cstheme="minorHAnsi"/>
        </w:rPr>
        <w:t xml:space="preserve">The </w:t>
      </w:r>
      <w:r w:rsidRPr="00FA5415">
        <w:rPr>
          <w:rFonts w:eastAsia="Calibri" w:cstheme="minorHAnsi"/>
          <w:b/>
          <w:bCs/>
        </w:rPr>
        <w:t>deforestation of 8,468.46 hectares forests</w:t>
      </w:r>
      <w:r w:rsidRPr="00FA5415">
        <w:rPr>
          <w:rFonts w:eastAsia="Calibri" w:cstheme="minorHAnsi"/>
        </w:rPr>
        <w:t xml:space="preserve"> – of national conservation area in Indonesia (unprotected) rich in biodiversity, home to indigenous and local people as well as an essential habitat for endangered Sumatran tigers, elephants and orangutans </w:t>
      </w:r>
    </w:p>
    <w:p w14:paraId="5461E80F"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Despite attempts to access redress through district (Jambi), and national (</w:t>
      </w:r>
      <w:proofErr w:type="spellStart"/>
      <w:r w:rsidRPr="00FA5415">
        <w:rPr>
          <w:rFonts w:eastAsia="Calibri" w:cstheme="minorHAnsi"/>
        </w:rPr>
        <w:t>Komnas</w:t>
      </w:r>
      <w:proofErr w:type="spellEnd"/>
      <w:r w:rsidRPr="00FA5415">
        <w:rPr>
          <w:rFonts w:eastAsia="Calibri" w:cstheme="minorHAnsi"/>
        </w:rPr>
        <w:t xml:space="preserve"> HAM) legal proceedings, the individuals concerned have yet to receive the adequate compensation for the violations and the lasting impact left on their lives and livelihoods.  </w:t>
      </w:r>
    </w:p>
    <w:p w14:paraId="4B10657C" w14:textId="77777777" w:rsidR="0042003E" w:rsidRPr="00FA5415" w:rsidRDefault="0042003E" w:rsidP="0042003E">
      <w:pPr>
        <w:ind w:right="-20"/>
        <w:jc w:val="both"/>
        <w:rPr>
          <w:rFonts w:asciiTheme="minorHAnsi" w:eastAsia="Calibri" w:hAnsiTheme="minorHAnsi" w:cstheme="minorHAnsi"/>
          <w:sz w:val="22"/>
          <w:szCs w:val="22"/>
        </w:rPr>
      </w:pPr>
    </w:p>
    <w:p w14:paraId="4F121E50" w14:textId="77777777" w:rsidR="0042003E" w:rsidRPr="00FA5415" w:rsidRDefault="0042003E" w:rsidP="00FA5415">
      <w:pPr>
        <w:pStyle w:val="ListParagraph"/>
        <w:numPr>
          <w:ilvl w:val="0"/>
          <w:numId w:val="3"/>
        </w:numPr>
        <w:ind w:left="567" w:hanging="567"/>
        <w:rPr>
          <w:rFonts w:cstheme="minorHAnsi"/>
          <w:b/>
          <w:bCs/>
        </w:rPr>
      </w:pPr>
      <w:r w:rsidRPr="00FA5415">
        <w:rPr>
          <w:rFonts w:cstheme="minorHAnsi"/>
          <w:b/>
          <w:bCs/>
        </w:rPr>
        <w:t>Mining and Plantation Sector</w:t>
      </w:r>
    </w:p>
    <w:p w14:paraId="0521BBDB" w14:textId="77777777" w:rsidR="0042003E" w:rsidRPr="00FA5415" w:rsidRDefault="0042003E" w:rsidP="0042003E">
      <w:pPr>
        <w:ind w:left="360"/>
        <w:rPr>
          <w:rFonts w:asciiTheme="minorHAnsi" w:hAnsiTheme="minorHAnsi" w:cstheme="minorHAnsi"/>
          <w:i/>
          <w:iCs/>
          <w:sz w:val="22"/>
          <w:szCs w:val="22"/>
        </w:rPr>
      </w:pPr>
      <w:r w:rsidRPr="00FA5415">
        <w:rPr>
          <w:rFonts w:asciiTheme="minorHAnsi" w:hAnsiTheme="minorHAnsi" w:cstheme="minorHAnsi"/>
          <w:i/>
          <w:iCs/>
          <w:sz w:val="22"/>
          <w:szCs w:val="22"/>
        </w:rPr>
        <w:t>Regulatory Capture in the Extractive Sectors</w:t>
      </w:r>
    </w:p>
    <w:p w14:paraId="7A307D66" w14:textId="77777777" w:rsidR="0042003E" w:rsidRPr="00FA5415" w:rsidRDefault="0042003E" w:rsidP="0042003E">
      <w:pPr>
        <w:pStyle w:val="ListParagraph"/>
        <w:numPr>
          <w:ilvl w:val="0"/>
          <w:numId w:val="1"/>
        </w:numPr>
        <w:jc w:val="both"/>
        <w:rPr>
          <w:rFonts w:eastAsiaTheme="minorEastAsia" w:cstheme="minorHAnsi"/>
        </w:rPr>
      </w:pPr>
      <w:r w:rsidRPr="00FA5415">
        <w:rPr>
          <w:rFonts w:eastAsiaTheme="minorEastAsia" w:cstheme="minorHAnsi"/>
        </w:rPr>
        <w:t xml:space="preserve">Indonesia is facing legal erosion in natural resource governance. The pattern of </w:t>
      </w:r>
      <w:hyperlink r:id="rId11" w:history="1">
        <w:r w:rsidRPr="00FA5415">
          <w:rPr>
            <w:rStyle w:val="Hyperlink"/>
            <w:rFonts w:eastAsiaTheme="minorEastAsia" w:cstheme="minorHAnsi"/>
          </w:rPr>
          <w:t>regulatory capture</w:t>
        </w:r>
      </w:hyperlink>
      <w:r w:rsidRPr="00FA5415">
        <w:rPr>
          <w:rFonts w:eastAsiaTheme="minorEastAsia" w:cstheme="minorHAnsi"/>
        </w:rPr>
        <w:t xml:space="preserve"> in Law Number 6 of 2023 concerning Job Creation and the Revision of Law No. 3 of 2020 concerning Minerals and Coal is very strong. This provides convenience for mining investors and supports Indonesia's ambitions as a global nickel player;</w:t>
      </w:r>
    </w:p>
    <w:p w14:paraId="31479EC7" w14:textId="77777777" w:rsidR="0042003E" w:rsidRPr="00FA5415" w:rsidRDefault="0042003E" w:rsidP="0042003E">
      <w:pPr>
        <w:pStyle w:val="ListParagraph"/>
        <w:numPr>
          <w:ilvl w:val="0"/>
          <w:numId w:val="1"/>
        </w:numPr>
        <w:jc w:val="both"/>
        <w:rPr>
          <w:rFonts w:eastAsiaTheme="minorEastAsia" w:cstheme="minorHAnsi"/>
        </w:rPr>
      </w:pPr>
      <w:r w:rsidRPr="00FA5415">
        <w:rPr>
          <w:rFonts w:eastAsiaTheme="minorEastAsia" w:cstheme="minorHAnsi"/>
        </w:rPr>
        <w:t>Indonesia has not been able to prepare a set of regulations that guarantee the protection of the environment and human rights. Indonesia's mining framework relies on its fragile governance. Indonesia has not been able to prepare a set of regulations that guarantee the protection of the environment and human rights. Revision of Law No. 4/2009 on Mineral and Coal Mining with Law No. 3/2020 fails to address the main issues of fragility in mining governance: accountability and meaningful participation in the process of determining mining locations, as well as the absence of a fast and responsive complaints desk for human rights violations and environmental damage that occur. Including weakening environmental protection by loosening reclamation obligations as stated in Article 99 paragraph (3) Law No. 3/2020;</w:t>
      </w:r>
    </w:p>
    <w:p w14:paraId="23A3015A" w14:textId="77777777" w:rsidR="0042003E" w:rsidRPr="00FA5415" w:rsidRDefault="0042003E" w:rsidP="0042003E">
      <w:pPr>
        <w:pStyle w:val="ListParagraph"/>
        <w:numPr>
          <w:ilvl w:val="0"/>
          <w:numId w:val="1"/>
        </w:numPr>
        <w:jc w:val="both"/>
        <w:rPr>
          <w:rFonts w:eastAsia="Calibri" w:cstheme="minorHAnsi"/>
        </w:rPr>
      </w:pPr>
      <w:r w:rsidRPr="00FA5415">
        <w:rPr>
          <w:rFonts w:eastAsia="Calibri" w:cstheme="minorHAnsi"/>
        </w:rPr>
        <w:t xml:space="preserve">The revision of the Minerba Law also </w:t>
      </w:r>
      <w:hyperlink r:id="rId12" w:history="1">
        <w:r w:rsidRPr="00FA5415">
          <w:rPr>
            <w:rStyle w:val="Hyperlink"/>
            <w:rFonts w:eastAsia="Calibri" w:cstheme="minorHAnsi"/>
          </w:rPr>
          <w:t>opens the Strategic Lawsuit Against Public Participation (SLAPP) faucet</w:t>
        </w:r>
      </w:hyperlink>
      <w:r w:rsidRPr="00FA5415">
        <w:rPr>
          <w:rFonts w:eastAsia="Calibri" w:cstheme="minorHAnsi"/>
        </w:rPr>
        <w:t xml:space="preserve"> for Environmental Human Rights Defenders who oppose mining. Contained in Article 162 Law No. 3/2020 which imposes penalties on anyone who makes efforts to resist mining. In fact, often the determination of mining areas is carried out without involving widespread and meaningful consultation with the communities around the mine.</w:t>
      </w:r>
    </w:p>
    <w:p w14:paraId="3F7790FE" w14:textId="77777777" w:rsidR="0042003E" w:rsidRPr="00FA5415" w:rsidRDefault="0042003E" w:rsidP="0042003E">
      <w:pPr>
        <w:ind w:left="-20" w:right="-20"/>
        <w:jc w:val="both"/>
        <w:rPr>
          <w:rFonts w:asciiTheme="minorHAnsi" w:hAnsiTheme="minorHAnsi" w:cstheme="minorHAnsi"/>
          <w:sz w:val="22"/>
          <w:szCs w:val="22"/>
        </w:rPr>
      </w:pPr>
      <w:r w:rsidRPr="00FA5415">
        <w:rPr>
          <w:rFonts w:asciiTheme="minorHAnsi" w:eastAsia="Calibri" w:hAnsiTheme="minorHAnsi" w:cstheme="minorHAnsi"/>
          <w:i/>
          <w:iCs/>
          <w:sz w:val="22"/>
          <w:szCs w:val="22"/>
        </w:rPr>
        <w:t>Deforestation, potential marine biodiversity loss, and human rights violation within nickel mines in Sulawesi</w:t>
      </w:r>
    </w:p>
    <w:p w14:paraId="69023C0F" w14:textId="2414D33C" w:rsidR="0042003E" w:rsidRPr="00FA5415" w:rsidRDefault="0042003E" w:rsidP="0042003E">
      <w:pPr>
        <w:pStyle w:val="ListParagraph"/>
        <w:numPr>
          <w:ilvl w:val="0"/>
          <w:numId w:val="1"/>
        </w:numPr>
        <w:jc w:val="both"/>
        <w:rPr>
          <w:rFonts w:eastAsia="Calibri" w:cstheme="minorHAnsi"/>
        </w:rPr>
      </w:pPr>
      <w:r w:rsidRPr="00FA5415">
        <w:rPr>
          <w:rFonts w:eastAsia="Calibri" w:cstheme="minorHAnsi"/>
        </w:rPr>
        <w:t xml:space="preserve">Indonesia's ambition is based on the </w:t>
      </w:r>
      <w:hyperlink r:id="rId13">
        <w:r w:rsidRPr="00FA5415">
          <w:rPr>
            <w:rStyle w:val="Hyperlink"/>
            <w:rFonts w:eastAsia="Calibri" w:cstheme="minorHAnsi"/>
          </w:rPr>
          <w:t>projected global demand for nickel</w:t>
        </w:r>
      </w:hyperlink>
      <w:r w:rsidRPr="00FA5415">
        <w:rPr>
          <w:rFonts w:eastAsia="Calibri" w:cstheme="minorHAnsi"/>
        </w:rPr>
        <w:t xml:space="preserve"> in 2030 to reach 2,101 metric tons - including for electric vehicles, stainless steel and other uses. Despite being able to control 44% of the global market, Sulawesi as the epicenter of Indonesian nickel bears a large environmental and human rights consequence as a result of fragile governance. Among those consequences are: deforestation and human rights violations against communities around the mine, especially the right to live a healthy life and economic rights.</w:t>
      </w:r>
    </w:p>
    <w:p w14:paraId="15C6F8D9" w14:textId="77777777" w:rsidR="0042003E" w:rsidRPr="00FA5415" w:rsidRDefault="0042003E" w:rsidP="0042003E">
      <w:pPr>
        <w:pStyle w:val="ListParagraph"/>
        <w:numPr>
          <w:ilvl w:val="0"/>
          <w:numId w:val="1"/>
        </w:numPr>
        <w:jc w:val="both"/>
        <w:rPr>
          <w:rFonts w:eastAsia="Calibri" w:cstheme="minorHAnsi"/>
        </w:rPr>
      </w:pPr>
      <w:r w:rsidRPr="00FA5415">
        <w:rPr>
          <w:rFonts w:eastAsia="Calibri" w:cstheme="minorHAnsi"/>
        </w:rPr>
        <w:t>Deforestation due to nickel occurred in Central Sulawesi, Southeast Sulawesi and South Sulawesi with a total area of 364,752 hectares out of 690,442 hectares of concession area in 2023 (with 295 mining licenses).</w:t>
      </w:r>
    </w:p>
    <w:tbl>
      <w:tblPr>
        <w:tblW w:w="0" w:type="auto"/>
        <w:tblInd w:w="699" w:type="dxa"/>
        <w:tblCellMar>
          <w:top w:w="15" w:type="dxa"/>
          <w:left w:w="15" w:type="dxa"/>
          <w:bottom w:w="15" w:type="dxa"/>
          <w:right w:w="15" w:type="dxa"/>
        </w:tblCellMar>
        <w:tblLook w:val="04A0" w:firstRow="1" w:lastRow="0" w:firstColumn="1" w:lastColumn="0" w:noHBand="0" w:noVBand="1"/>
      </w:tblPr>
      <w:tblGrid>
        <w:gridCol w:w="1985"/>
        <w:gridCol w:w="2295"/>
        <w:gridCol w:w="2139"/>
        <w:gridCol w:w="2049"/>
      </w:tblGrid>
      <w:tr w:rsidR="0042003E" w:rsidRPr="00FA5415" w14:paraId="096EC919" w14:textId="77777777" w:rsidTr="00560D78">
        <w:trPr>
          <w:trHeight w:val="573"/>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557CE"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lastRenderedPageBreak/>
              <w:t>Province</w:t>
            </w:r>
          </w:p>
        </w:tc>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62B70"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Concession area in hectares (&gt;2023)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D4AF7"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Amount of Mining License granted (&gt;2023)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1D96B"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Deforestation level in hectares</w:t>
            </w:r>
          </w:p>
        </w:tc>
      </w:tr>
      <w:tr w:rsidR="0042003E" w:rsidRPr="00FA5415" w14:paraId="7B53FDF0" w14:textId="77777777" w:rsidTr="00560D78">
        <w:trPr>
          <w:trHeight w:val="849"/>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574DB"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Sulawesi Tenggara</w:t>
            </w:r>
          </w:p>
        </w:tc>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0FF48"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510.282 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E1B3C"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252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7C1D6"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120.000 hektar (2011 - 2020)</w:t>
            </w:r>
          </w:p>
        </w:tc>
      </w:tr>
      <w:tr w:rsidR="0042003E" w:rsidRPr="00FA5415" w14:paraId="4202363B" w14:textId="77777777" w:rsidTr="00560D78">
        <w:trPr>
          <w:trHeight w:val="849"/>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1E02A"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Sulawesi Selatan</w:t>
            </w:r>
          </w:p>
        </w:tc>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18E63"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94.142,91 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0051B8"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BCCF2"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4.752,87 ha (2016 - 2021)</w:t>
            </w:r>
          </w:p>
        </w:tc>
      </w:tr>
      <w:tr w:rsidR="0042003E" w:rsidRPr="00FA5415" w14:paraId="133FBFF4" w14:textId="77777777" w:rsidTr="00560D78">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758DC"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Sulawesi Tengah </w:t>
            </w:r>
          </w:p>
        </w:tc>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48F18C"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92.604 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76AD6"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A91FF"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240.000 hektar (2011 - 2020)</w:t>
            </w:r>
          </w:p>
        </w:tc>
      </w:tr>
      <w:tr w:rsidR="0042003E" w:rsidRPr="00FA5415" w14:paraId="16A176BC" w14:textId="77777777" w:rsidTr="00560D78">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39EBA"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Total </w:t>
            </w:r>
          </w:p>
        </w:tc>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D0A0D"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690.442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795AC" w14:textId="77777777" w:rsidR="0042003E" w:rsidRPr="00FA5415" w:rsidRDefault="0042003E" w:rsidP="00560D78">
            <w:pPr>
              <w:spacing w:after="120"/>
              <w:jc w:val="both"/>
              <w:rPr>
                <w:rFonts w:asciiTheme="minorHAnsi" w:hAnsiTheme="minorHAnsi" w:cstheme="minorHAnsi"/>
                <w:sz w:val="22"/>
                <w:szCs w:val="22"/>
              </w:rPr>
            </w:pPr>
            <w:r w:rsidRPr="00FA5415">
              <w:rPr>
                <w:rFonts w:asciiTheme="minorHAnsi" w:hAnsiTheme="minorHAnsi" w:cstheme="minorHAnsi"/>
                <w:color w:val="000000"/>
                <w:sz w:val="22"/>
                <w:szCs w:val="22"/>
              </w:rPr>
              <w:t>295 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5D88D"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364.752</w:t>
            </w:r>
          </w:p>
        </w:tc>
      </w:tr>
    </w:tbl>
    <w:p w14:paraId="4B54D826" w14:textId="77777777" w:rsidR="0042003E" w:rsidRPr="00FA5415" w:rsidRDefault="0042003E" w:rsidP="0042003E">
      <w:pPr>
        <w:pStyle w:val="NormalWeb"/>
        <w:spacing w:before="0" w:beforeAutospacing="0" w:after="0" w:afterAutospacing="0"/>
        <w:ind w:firstLine="720"/>
        <w:jc w:val="both"/>
        <w:rPr>
          <w:rFonts w:asciiTheme="minorHAnsi" w:hAnsiTheme="minorHAnsi" w:cstheme="minorHAnsi"/>
          <w:sz w:val="22"/>
          <w:szCs w:val="22"/>
        </w:rPr>
      </w:pPr>
      <w:hyperlink r:id="rId14" w:history="1">
        <w:r w:rsidRPr="00FA5415">
          <w:rPr>
            <w:rStyle w:val="Hyperlink"/>
            <w:rFonts w:asciiTheme="minorHAnsi" w:hAnsiTheme="minorHAnsi" w:cstheme="minorHAnsi"/>
            <w:color w:val="1155CC"/>
            <w:sz w:val="22"/>
            <w:szCs w:val="22"/>
            <w:shd w:val="clear" w:color="auto" w:fill="FFFFFF"/>
          </w:rPr>
          <w:t xml:space="preserve">Source: Three Region </w:t>
        </w:r>
        <w:proofErr w:type="spellStart"/>
        <w:r w:rsidRPr="00FA5415">
          <w:rPr>
            <w:rStyle w:val="Hyperlink"/>
            <w:rFonts w:asciiTheme="minorHAnsi" w:hAnsiTheme="minorHAnsi" w:cstheme="minorHAnsi"/>
            <w:color w:val="1155CC"/>
            <w:sz w:val="22"/>
            <w:szCs w:val="22"/>
            <w:shd w:val="clear" w:color="auto" w:fill="FFFFFF"/>
          </w:rPr>
          <w:t>Walhi</w:t>
        </w:r>
        <w:proofErr w:type="spellEnd"/>
        <w:r w:rsidRPr="00FA5415">
          <w:rPr>
            <w:rStyle w:val="Hyperlink"/>
            <w:rFonts w:asciiTheme="minorHAnsi" w:hAnsiTheme="minorHAnsi" w:cstheme="minorHAnsi"/>
            <w:color w:val="1155CC"/>
            <w:sz w:val="22"/>
            <w:szCs w:val="22"/>
            <w:shd w:val="clear" w:color="auto" w:fill="FFFFFF"/>
          </w:rPr>
          <w:t xml:space="preserve"> Sulawesi and Satya Bumi (2023). </w:t>
        </w:r>
      </w:hyperlink>
    </w:p>
    <w:p w14:paraId="10F4F915" w14:textId="77777777" w:rsidR="0042003E" w:rsidRPr="00FA5415" w:rsidRDefault="0042003E" w:rsidP="0042003E">
      <w:pPr>
        <w:pStyle w:val="NormalWeb"/>
        <w:spacing w:before="0" w:beforeAutospacing="0" w:after="0" w:afterAutospacing="0"/>
        <w:ind w:firstLine="720"/>
        <w:jc w:val="both"/>
        <w:rPr>
          <w:rFonts w:asciiTheme="minorHAnsi" w:hAnsiTheme="minorHAnsi" w:cstheme="minorHAnsi"/>
          <w:sz w:val="22"/>
          <w:szCs w:val="22"/>
        </w:rPr>
      </w:pPr>
    </w:p>
    <w:p w14:paraId="210454DA" w14:textId="77777777" w:rsidR="0042003E" w:rsidRPr="00FA5415" w:rsidRDefault="0042003E" w:rsidP="0042003E">
      <w:pPr>
        <w:pStyle w:val="ListParagraph"/>
        <w:numPr>
          <w:ilvl w:val="0"/>
          <w:numId w:val="1"/>
        </w:numPr>
        <w:jc w:val="both"/>
        <w:rPr>
          <w:rFonts w:eastAsia="Calibri" w:cstheme="minorHAnsi"/>
        </w:rPr>
      </w:pPr>
      <w:r w:rsidRPr="00FA5415">
        <w:rPr>
          <w:rFonts w:eastAsia="Calibri" w:cstheme="minorHAnsi"/>
        </w:rPr>
        <w:t>These forests contain high levels of carbon and biodiversity. On average, 55 percent of the land cover remaining in Indonesia's top 25 deforesting nickel concessions is intact High Carbon Stock Forests. Moreover, among the same top 25 deforesting nickel concessions, 44 percent contain forests classified by the International Union for the Conservation of Nature as “Key Biodiversity Areas.” In the rush to avoid emissions from vehicles, the world is driving up emissions from the destruction of high carbon forests in Eastern Indonesia, wiping out endemic species along the way. The following table illustrate how the top three deforester companies are carrying out mining activities in high carbon forests and key biodiversity areas.</w:t>
      </w:r>
    </w:p>
    <w:tbl>
      <w:tblPr>
        <w:tblW w:w="0" w:type="auto"/>
        <w:tblInd w:w="704" w:type="dxa"/>
        <w:tblCellMar>
          <w:top w:w="15" w:type="dxa"/>
          <w:left w:w="15" w:type="dxa"/>
          <w:bottom w:w="15" w:type="dxa"/>
          <w:right w:w="15" w:type="dxa"/>
        </w:tblCellMar>
        <w:tblLook w:val="04A0" w:firstRow="1" w:lastRow="0" w:firstColumn="1" w:lastColumn="0" w:noHBand="0" w:noVBand="1"/>
      </w:tblPr>
      <w:tblGrid>
        <w:gridCol w:w="1985"/>
        <w:gridCol w:w="732"/>
        <w:gridCol w:w="978"/>
        <w:gridCol w:w="944"/>
        <w:gridCol w:w="1406"/>
        <w:gridCol w:w="1230"/>
        <w:gridCol w:w="1162"/>
        <w:gridCol w:w="36"/>
      </w:tblGrid>
      <w:tr w:rsidR="0042003E" w:rsidRPr="00FA5415" w14:paraId="65DB9214" w14:textId="77777777" w:rsidTr="00560D78">
        <w:trPr>
          <w:gridAfter w:val="1"/>
          <w:trHeight w:val="480"/>
        </w:trPr>
        <w:tc>
          <w:tcPr>
            <w:tcW w:w="1985"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37E7D7" w14:textId="77777777" w:rsidR="0042003E" w:rsidRPr="00FA5415" w:rsidRDefault="0042003E" w:rsidP="00560D78">
            <w:pPr>
              <w:spacing w:after="240"/>
              <w:rPr>
                <w:rFonts w:asciiTheme="minorHAnsi" w:hAnsiTheme="minorHAnsi" w:cstheme="minorHAnsi"/>
                <w:sz w:val="22"/>
                <w:szCs w:val="22"/>
              </w:rPr>
            </w:pPr>
          </w:p>
          <w:p w14:paraId="01C6093D"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Name of the nickel mining concession with the highest deforestation rate in Indonesia</w:t>
            </w:r>
          </w:p>
        </w:tc>
        <w:tc>
          <w:tcPr>
            <w:tcW w:w="1710"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5D0C61" w14:textId="77777777" w:rsidR="0042003E" w:rsidRPr="00FA5415" w:rsidRDefault="0042003E" w:rsidP="00560D78">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0A6F3" w14:textId="77777777" w:rsidR="0042003E" w:rsidRPr="00FA5415" w:rsidRDefault="0042003E" w:rsidP="00560D78">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B</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1B494" w14:textId="77777777" w:rsidR="0042003E" w:rsidRPr="00FA5415" w:rsidRDefault="0042003E" w:rsidP="00560D78">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C</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799F28" w14:textId="77777777" w:rsidR="0042003E" w:rsidRPr="00FA5415" w:rsidRDefault="0042003E" w:rsidP="00560D78">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D</w:t>
            </w:r>
          </w:p>
        </w:tc>
      </w:tr>
      <w:tr w:rsidR="0042003E" w:rsidRPr="00FA5415" w14:paraId="5CD42805" w14:textId="77777777" w:rsidTr="00560D78">
        <w:trPr>
          <w:gridAfter w:val="1"/>
          <w:trHeight w:val="476"/>
        </w:trPr>
        <w:tc>
          <w:tcPr>
            <w:tcW w:w="1985" w:type="dxa"/>
            <w:vMerge/>
            <w:tcBorders>
              <w:top w:val="single" w:sz="4" w:space="0" w:color="000000"/>
              <w:left w:val="single" w:sz="4" w:space="0" w:color="000000"/>
              <w:bottom w:val="single" w:sz="4" w:space="0" w:color="000000"/>
              <w:right w:val="single" w:sz="4" w:space="0" w:color="000000"/>
            </w:tcBorders>
            <w:vAlign w:val="center"/>
            <w:hideMark/>
          </w:tcPr>
          <w:p w14:paraId="337FED39" w14:textId="77777777" w:rsidR="0042003E" w:rsidRPr="00FA5415" w:rsidRDefault="0042003E" w:rsidP="00560D78">
            <w:pPr>
              <w:rPr>
                <w:rFonts w:asciiTheme="minorHAnsi" w:hAnsiTheme="minorHAnsi" w:cstheme="minorHAnsi"/>
                <w:sz w:val="22"/>
                <w:szCs w:val="22"/>
              </w:rPr>
            </w:pPr>
          </w:p>
        </w:tc>
        <w:tc>
          <w:tcPr>
            <w:tcW w:w="1710" w:type="dxa"/>
            <w:gridSpan w:val="2"/>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BC6305"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Loss of tree cover since last permit adjustment to present</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2FA350" w14:textId="77777777" w:rsidR="0042003E" w:rsidRPr="00FA5415" w:rsidRDefault="0042003E" w:rsidP="00560D78">
            <w:pPr>
              <w:spacing w:after="240"/>
              <w:rPr>
                <w:rFonts w:asciiTheme="minorHAnsi" w:hAnsiTheme="minorHAnsi" w:cstheme="minorHAnsi"/>
                <w:sz w:val="22"/>
                <w:szCs w:val="22"/>
              </w:rPr>
            </w:pPr>
          </w:p>
          <w:p w14:paraId="71990E80"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 High Carbon Stock Forest</w:t>
            </w:r>
            <w:r w:rsidRPr="00FA5415">
              <w:rPr>
                <w:rStyle w:val="FootnoteReference"/>
                <w:rFonts w:asciiTheme="minorHAnsi" w:hAnsiTheme="minorHAnsi" w:cstheme="minorHAnsi"/>
                <w:b/>
                <w:bCs/>
                <w:color w:val="000000"/>
                <w:sz w:val="22"/>
                <w:szCs w:val="22"/>
              </w:rPr>
              <w:footnoteReference w:id="4"/>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E278F" w14:textId="77777777" w:rsidR="0042003E" w:rsidRPr="00FA5415" w:rsidRDefault="0042003E" w:rsidP="00560D78">
            <w:pPr>
              <w:rPr>
                <w:rFonts w:asciiTheme="minorHAnsi" w:hAnsiTheme="minorHAnsi" w:cstheme="minorHAnsi"/>
                <w:sz w:val="22"/>
                <w:szCs w:val="22"/>
              </w:rPr>
            </w:pPr>
          </w:p>
          <w:p w14:paraId="5AD05185" w14:textId="77777777" w:rsidR="0042003E" w:rsidRPr="00FA5415" w:rsidRDefault="0042003E" w:rsidP="00560D78">
            <w:pPr>
              <w:jc w:val="both"/>
              <w:rPr>
                <w:rFonts w:asciiTheme="minorHAnsi" w:hAnsiTheme="minorHAnsi" w:cstheme="minorHAnsi"/>
                <w:sz w:val="22"/>
                <w:szCs w:val="22"/>
              </w:rPr>
            </w:pPr>
            <w:r w:rsidRPr="00FA5415">
              <w:rPr>
                <w:rFonts w:asciiTheme="minorHAnsi" w:hAnsiTheme="minorHAnsi" w:cstheme="minorHAnsi"/>
                <w:b/>
                <w:bCs/>
                <w:color w:val="000000"/>
                <w:sz w:val="22"/>
                <w:szCs w:val="22"/>
              </w:rPr>
              <w:t>Hectares categorized as Key Biodiversity Areas</w:t>
            </w:r>
          </w:p>
        </w:tc>
        <w:tc>
          <w:tcPr>
            <w:tcW w:w="0" w:type="auto"/>
            <w:gridSpan w:val="2"/>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43A7B" w14:textId="77777777" w:rsidR="0042003E" w:rsidRPr="00FA5415" w:rsidRDefault="0042003E" w:rsidP="00560D78">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Productive Forest</w:t>
            </w:r>
          </w:p>
        </w:tc>
      </w:tr>
      <w:tr w:rsidR="0042003E" w:rsidRPr="00FA5415" w14:paraId="1905AE3B" w14:textId="77777777" w:rsidTr="00560D78">
        <w:trPr>
          <w:trHeight w:val="299"/>
        </w:trPr>
        <w:tc>
          <w:tcPr>
            <w:tcW w:w="1985" w:type="dxa"/>
            <w:vMerge/>
            <w:tcBorders>
              <w:top w:val="single" w:sz="4" w:space="0" w:color="000000"/>
              <w:left w:val="single" w:sz="4" w:space="0" w:color="000000"/>
              <w:bottom w:val="single" w:sz="4" w:space="0" w:color="000000"/>
              <w:right w:val="single" w:sz="4" w:space="0" w:color="000000"/>
            </w:tcBorders>
            <w:vAlign w:val="center"/>
            <w:hideMark/>
          </w:tcPr>
          <w:p w14:paraId="52102F84" w14:textId="77777777" w:rsidR="0042003E" w:rsidRPr="00FA5415" w:rsidRDefault="0042003E" w:rsidP="00560D78">
            <w:pPr>
              <w:rPr>
                <w:rFonts w:asciiTheme="minorHAnsi" w:hAnsiTheme="minorHAnsi" w:cstheme="minorHAnsi"/>
                <w:sz w:val="22"/>
                <w:szCs w:val="22"/>
              </w:rPr>
            </w:pPr>
          </w:p>
        </w:tc>
        <w:tc>
          <w:tcPr>
            <w:tcW w:w="1710" w:type="dxa"/>
            <w:gridSpan w:val="2"/>
            <w:vMerge/>
            <w:tcBorders>
              <w:top w:val="single" w:sz="4" w:space="0" w:color="000000"/>
              <w:left w:val="single" w:sz="4" w:space="0" w:color="000000"/>
              <w:bottom w:val="single" w:sz="4" w:space="0" w:color="000000"/>
              <w:right w:val="single" w:sz="4" w:space="0" w:color="000000"/>
            </w:tcBorders>
            <w:vAlign w:val="center"/>
            <w:hideMark/>
          </w:tcPr>
          <w:p w14:paraId="51FBC3C7" w14:textId="77777777" w:rsidR="0042003E" w:rsidRPr="00FA5415" w:rsidRDefault="0042003E" w:rsidP="00560D78">
            <w:pPr>
              <w:rPr>
                <w:rFonts w:asciiTheme="minorHAnsi" w:hAnsiTheme="minorHAnsi" w:cstheme="minorHAnsi"/>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92878E" w14:textId="77777777" w:rsidR="0042003E" w:rsidRPr="00FA5415" w:rsidRDefault="0042003E" w:rsidP="00560D78">
            <w:pPr>
              <w:rPr>
                <w:rFonts w:asciiTheme="minorHAnsi" w:hAnsiTheme="minorHAnsi" w:cstheme="minorHAnsi"/>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671966" w14:textId="77777777" w:rsidR="0042003E" w:rsidRPr="00FA5415" w:rsidRDefault="0042003E" w:rsidP="00560D78">
            <w:pPr>
              <w:rPr>
                <w:rFonts w:asciiTheme="minorHAnsi" w:hAnsiTheme="minorHAnsi" w:cstheme="minorHAnsi"/>
                <w:sz w:val="22"/>
                <w:szCs w:val="22"/>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046041F" w14:textId="77777777" w:rsidR="0042003E" w:rsidRPr="00FA5415" w:rsidRDefault="0042003E" w:rsidP="00560D78">
            <w:pPr>
              <w:rPr>
                <w:rFonts w:asciiTheme="minorHAnsi" w:hAnsiTheme="minorHAnsi" w:cstheme="minorHAnsi"/>
                <w:sz w:val="22"/>
                <w:szCs w:val="22"/>
              </w:rPr>
            </w:pPr>
          </w:p>
        </w:tc>
        <w:tc>
          <w:tcPr>
            <w:tcW w:w="0" w:type="auto"/>
            <w:vAlign w:val="center"/>
            <w:hideMark/>
          </w:tcPr>
          <w:p w14:paraId="0918D73B" w14:textId="77777777" w:rsidR="0042003E" w:rsidRPr="00FA5415" w:rsidRDefault="0042003E" w:rsidP="00560D78">
            <w:pPr>
              <w:rPr>
                <w:rFonts w:asciiTheme="minorHAnsi" w:hAnsiTheme="minorHAnsi" w:cstheme="minorHAnsi"/>
                <w:sz w:val="22"/>
                <w:szCs w:val="22"/>
              </w:rPr>
            </w:pPr>
          </w:p>
        </w:tc>
      </w:tr>
      <w:tr w:rsidR="0042003E" w:rsidRPr="00FA5415" w14:paraId="63DD5797" w14:textId="77777777" w:rsidTr="00560D78">
        <w:trPr>
          <w:trHeight w:val="508"/>
        </w:trPr>
        <w:tc>
          <w:tcPr>
            <w:tcW w:w="1985" w:type="dxa"/>
            <w:vMerge/>
            <w:tcBorders>
              <w:top w:val="single" w:sz="4" w:space="0" w:color="000000"/>
              <w:left w:val="single" w:sz="4" w:space="0" w:color="000000"/>
              <w:bottom w:val="single" w:sz="4" w:space="0" w:color="000000"/>
              <w:right w:val="single" w:sz="4" w:space="0" w:color="000000"/>
            </w:tcBorders>
            <w:vAlign w:val="center"/>
            <w:hideMark/>
          </w:tcPr>
          <w:p w14:paraId="09F9BEF7" w14:textId="77777777" w:rsidR="0042003E" w:rsidRPr="00FA5415" w:rsidRDefault="0042003E" w:rsidP="00560D78">
            <w:pPr>
              <w:rPr>
                <w:rFonts w:asciiTheme="minorHAnsi" w:hAnsiTheme="minorHAnsi" w:cstheme="minorHAnsi"/>
                <w:sz w:val="22"/>
                <w:szCs w:val="22"/>
              </w:rPr>
            </w:pPr>
          </w:p>
        </w:tc>
        <w:tc>
          <w:tcPr>
            <w:tcW w:w="1710" w:type="dxa"/>
            <w:gridSpan w:val="2"/>
            <w:vMerge/>
            <w:tcBorders>
              <w:top w:val="single" w:sz="4" w:space="0" w:color="000000"/>
              <w:left w:val="single" w:sz="4" w:space="0" w:color="000000"/>
              <w:bottom w:val="single" w:sz="4" w:space="0" w:color="000000"/>
              <w:right w:val="single" w:sz="4" w:space="0" w:color="000000"/>
            </w:tcBorders>
            <w:vAlign w:val="center"/>
            <w:hideMark/>
          </w:tcPr>
          <w:p w14:paraId="4D1FBFAE" w14:textId="77777777" w:rsidR="0042003E" w:rsidRPr="00FA5415" w:rsidRDefault="0042003E" w:rsidP="00560D78">
            <w:pPr>
              <w:rPr>
                <w:rFonts w:asciiTheme="minorHAnsi" w:hAnsiTheme="minorHAnsi" w:cstheme="minorHAnsi"/>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0947A8" w14:textId="77777777" w:rsidR="0042003E" w:rsidRPr="00FA5415" w:rsidRDefault="0042003E" w:rsidP="00560D78">
            <w:pPr>
              <w:rPr>
                <w:rFonts w:asciiTheme="minorHAnsi" w:hAnsiTheme="minorHAnsi" w:cstheme="minorHAnsi"/>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0EE2E1" w14:textId="77777777" w:rsidR="0042003E" w:rsidRPr="00FA5415" w:rsidRDefault="0042003E" w:rsidP="00560D78">
            <w:pPr>
              <w:rPr>
                <w:rFonts w:asciiTheme="minorHAnsi" w:hAnsiTheme="minorHAnsi" w:cstheme="minorHAnsi"/>
                <w:sz w:val="22"/>
                <w:szCs w:val="22"/>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22AC53" w14:textId="77777777" w:rsidR="0042003E" w:rsidRPr="00FA5415" w:rsidRDefault="0042003E" w:rsidP="00560D78">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Hectares remaining </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9DD24" w14:textId="77777777" w:rsidR="0042003E" w:rsidRPr="00FA5415" w:rsidRDefault="0042003E" w:rsidP="00560D78">
            <w:pPr>
              <w:jc w:val="center"/>
              <w:rPr>
                <w:rFonts w:asciiTheme="minorHAnsi" w:hAnsiTheme="minorHAnsi" w:cstheme="minorHAnsi"/>
                <w:sz w:val="22"/>
                <w:szCs w:val="22"/>
              </w:rPr>
            </w:pPr>
            <w:r w:rsidRPr="00FA5415">
              <w:rPr>
                <w:rFonts w:asciiTheme="minorHAnsi" w:hAnsiTheme="minorHAnsi" w:cstheme="minorHAnsi"/>
                <w:b/>
                <w:bCs/>
                <w:color w:val="000000"/>
                <w:sz w:val="22"/>
                <w:szCs w:val="22"/>
              </w:rPr>
              <w:t>% remaining</w:t>
            </w:r>
          </w:p>
        </w:tc>
        <w:tc>
          <w:tcPr>
            <w:tcW w:w="0" w:type="auto"/>
            <w:vAlign w:val="center"/>
            <w:hideMark/>
          </w:tcPr>
          <w:p w14:paraId="76E5AAFB" w14:textId="77777777" w:rsidR="0042003E" w:rsidRPr="00FA5415" w:rsidRDefault="0042003E" w:rsidP="00560D78">
            <w:pPr>
              <w:rPr>
                <w:rFonts w:asciiTheme="minorHAnsi" w:hAnsiTheme="minorHAnsi" w:cstheme="minorHAnsi"/>
                <w:sz w:val="22"/>
                <w:szCs w:val="22"/>
              </w:rPr>
            </w:pPr>
          </w:p>
        </w:tc>
      </w:tr>
      <w:tr w:rsidR="0042003E" w:rsidRPr="00FA5415" w14:paraId="4E1B110A" w14:textId="77777777" w:rsidTr="00560D78">
        <w:tc>
          <w:tcPr>
            <w:tcW w:w="1985" w:type="dxa"/>
            <w:vMerge/>
            <w:tcBorders>
              <w:top w:val="single" w:sz="4" w:space="0" w:color="000000"/>
              <w:left w:val="single" w:sz="4" w:space="0" w:color="000000"/>
              <w:bottom w:val="single" w:sz="4" w:space="0" w:color="000000"/>
              <w:right w:val="single" w:sz="4" w:space="0" w:color="000000"/>
            </w:tcBorders>
            <w:vAlign w:val="center"/>
            <w:hideMark/>
          </w:tcPr>
          <w:p w14:paraId="3D763829" w14:textId="77777777" w:rsidR="0042003E" w:rsidRPr="00FA5415" w:rsidRDefault="0042003E" w:rsidP="00560D78">
            <w:pPr>
              <w:rPr>
                <w:rFonts w:asciiTheme="minorHAnsi" w:hAnsiTheme="minorHAnsi" w:cstheme="minorHAnsi"/>
                <w:sz w:val="22"/>
                <w:szCs w:val="22"/>
              </w:rPr>
            </w:pPr>
          </w:p>
        </w:tc>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563D8"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Rank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44557"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b/>
                <w:bCs/>
                <w:color w:val="000000"/>
                <w:sz w:val="22"/>
                <w:szCs w:val="22"/>
              </w:rPr>
              <w:t>Hectare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44D56C" w14:textId="77777777" w:rsidR="0042003E" w:rsidRPr="00FA5415" w:rsidRDefault="0042003E" w:rsidP="00560D78">
            <w:pPr>
              <w:rPr>
                <w:rFonts w:asciiTheme="minorHAnsi" w:hAnsiTheme="minorHAnsi" w:cstheme="minorHAnsi"/>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BC80A0" w14:textId="77777777" w:rsidR="0042003E" w:rsidRPr="00FA5415" w:rsidRDefault="0042003E" w:rsidP="00560D78">
            <w:pPr>
              <w:rPr>
                <w:rFonts w:asciiTheme="minorHAnsi" w:hAnsiTheme="minorHAnsi" w:cstheme="minorHAnsi"/>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9F65A5" w14:textId="77777777" w:rsidR="0042003E" w:rsidRPr="00FA5415" w:rsidRDefault="0042003E" w:rsidP="00560D78">
            <w:pPr>
              <w:rPr>
                <w:rFonts w:asciiTheme="minorHAnsi" w:hAnsiTheme="minorHAnsi" w:cstheme="minorHAnsi"/>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0B5DF4" w14:textId="77777777" w:rsidR="0042003E" w:rsidRPr="00FA5415" w:rsidRDefault="0042003E" w:rsidP="00560D78">
            <w:pPr>
              <w:rPr>
                <w:rFonts w:asciiTheme="minorHAnsi" w:hAnsiTheme="minorHAnsi" w:cstheme="minorHAnsi"/>
                <w:sz w:val="22"/>
                <w:szCs w:val="22"/>
              </w:rPr>
            </w:pPr>
          </w:p>
        </w:tc>
        <w:tc>
          <w:tcPr>
            <w:tcW w:w="0" w:type="auto"/>
            <w:vAlign w:val="center"/>
            <w:hideMark/>
          </w:tcPr>
          <w:p w14:paraId="172052F4" w14:textId="77777777" w:rsidR="0042003E" w:rsidRPr="00FA5415" w:rsidRDefault="0042003E" w:rsidP="00560D78">
            <w:pPr>
              <w:rPr>
                <w:rFonts w:asciiTheme="minorHAnsi" w:hAnsiTheme="minorHAnsi" w:cstheme="minorHAnsi"/>
                <w:sz w:val="22"/>
                <w:szCs w:val="22"/>
              </w:rPr>
            </w:pPr>
          </w:p>
        </w:tc>
      </w:tr>
      <w:tr w:rsidR="0042003E" w:rsidRPr="00FA5415" w14:paraId="3B488012" w14:textId="77777777" w:rsidTr="00560D78">
        <w:trPr>
          <w:trHeight w:val="954"/>
        </w:trPr>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98186"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Vale Indonesia – Blok Soroako </w:t>
            </w:r>
          </w:p>
        </w:tc>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9AEA2B"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62A19"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14,837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9B694"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51.0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BE4021"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34,124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F0F46"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14,859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E9CFBD"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87.1</w:t>
            </w:r>
          </w:p>
        </w:tc>
        <w:tc>
          <w:tcPr>
            <w:tcW w:w="0" w:type="auto"/>
            <w:vAlign w:val="center"/>
            <w:hideMark/>
          </w:tcPr>
          <w:p w14:paraId="0FD3614D" w14:textId="77777777" w:rsidR="0042003E" w:rsidRPr="00FA5415" w:rsidRDefault="0042003E" w:rsidP="00560D78">
            <w:pPr>
              <w:rPr>
                <w:rFonts w:asciiTheme="minorHAnsi" w:hAnsiTheme="minorHAnsi" w:cstheme="minorHAnsi"/>
                <w:sz w:val="22"/>
                <w:szCs w:val="22"/>
              </w:rPr>
            </w:pPr>
          </w:p>
        </w:tc>
      </w:tr>
      <w:tr w:rsidR="0042003E" w:rsidRPr="00FA5415" w14:paraId="62189EAF" w14:textId="77777777" w:rsidTr="00560D78">
        <w:trPr>
          <w:trHeight w:val="846"/>
        </w:trPr>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65F5BF"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Bintang Delapan Mineral</w:t>
            </w:r>
          </w:p>
        </w:tc>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919DF7"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65F70D"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2,991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C3A442"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85.1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15F74"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17,105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7B923"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18,635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63EF2"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87.9</w:t>
            </w:r>
          </w:p>
        </w:tc>
        <w:tc>
          <w:tcPr>
            <w:tcW w:w="0" w:type="auto"/>
            <w:vAlign w:val="center"/>
            <w:hideMark/>
          </w:tcPr>
          <w:p w14:paraId="6E698B79" w14:textId="77777777" w:rsidR="0042003E" w:rsidRPr="00FA5415" w:rsidRDefault="0042003E" w:rsidP="00560D78">
            <w:pPr>
              <w:rPr>
                <w:rFonts w:asciiTheme="minorHAnsi" w:hAnsiTheme="minorHAnsi" w:cstheme="minorHAnsi"/>
                <w:sz w:val="22"/>
                <w:szCs w:val="22"/>
              </w:rPr>
            </w:pPr>
          </w:p>
        </w:tc>
      </w:tr>
      <w:tr w:rsidR="0042003E" w:rsidRPr="00FA5415" w14:paraId="0E49A189" w14:textId="77777777" w:rsidTr="00560D78">
        <w:trPr>
          <w:trHeight w:val="858"/>
        </w:trPr>
        <w:tc>
          <w:tcPr>
            <w:tcW w:w="19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C97FB" w14:textId="77777777" w:rsidR="0042003E" w:rsidRPr="00FA5415" w:rsidRDefault="0042003E" w:rsidP="00560D78">
            <w:pPr>
              <w:rPr>
                <w:rFonts w:asciiTheme="minorHAnsi" w:hAnsiTheme="minorHAnsi" w:cstheme="minorHAnsi"/>
                <w:sz w:val="22"/>
                <w:szCs w:val="22"/>
              </w:rPr>
            </w:pPr>
            <w:r w:rsidRPr="00FA5415">
              <w:rPr>
                <w:rFonts w:asciiTheme="minorHAnsi" w:hAnsiTheme="minorHAnsi" w:cstheme="minorHAnsi"/>
                <w:color w:val="000000"/>
                <w:sz w:val="22"/>
                <w:szCs w:val="22"/>
              </w:rPr>
              <w:t>Aneka Tambang – Konawe Utara</w:t>
            </w:r>
          </w:p>
        </w:tc>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AF746A"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1E67E"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2,773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C43D66"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60.6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7452C9" w14:textId="77777777" w:rsidR="0042003E" w:rsidRPr="00FA5415" w:rsidRDefault="0042003E" w:rsidP="0042003E">
            <w:pPr>
              <w:numPr>
                <w:ilvl w:val="0"/>
                <w:numId w:val="4"/>
              </w:numPr>
              <w:spacing w:before="100" w:beforeAutospacing="1" w:after="100" w:afterAutospacing="1"/>
              <w:textAlignment w:val="baseline"/>
              <w:rPr>
                <w:rFonts w:asciiTheme="minorHAnsi" w:hAnsiTheme="minorHAnsi" w:cstheme="minorHAnsi"/>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8D5F7"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4,838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5542C3" w14:textId="77777777" w:rsidR="0042003E" w:rsidRPr="00FA5415" w:rsidRDefault="0042003E" w:rsidP="00560D78">
            <w:pPr>
              <w:jc w:val="right"/>
              <w:rPr>
                <w:rFonts w:asciiTheme="minorHAnsi" w:hAnsiTheme="minorHAnsi" w:cstheme="minorHAnsi"/>
                <w:sz w:val="22"/>
                <w:szCs w:val="22"/>
              </w:rPr>
            </w:pPr>
            <w:r w:rsidRPr="00FA5415">
              <w:rPr>
                <w:rFonts w:asciiTheme="minorHAnsi" w:hAnsiTheme="minorHAnsi" w:cstheme="minorHAnsi"/>
                <w:color w:val="000000"/>
                <w:sz w:val="22"/>
                <w:szCs w:val="22"/>
              </w:rPr>
              <w:t>89.6</w:t>
            </w:r>
          </w:p>
        </w:tc>
        <w:tc>
          <w:tcPr>
            <w:tcW w:w="0" w:type="auto"/>
            <w:vAlign w:val="center"/>
            <w:hideMark/>
          </w:tcPr>
          <w:p w14:paraId="57EF3178" w14:textId="77777777" w:rsidR="0042003E" w:rsidRPr="00FA5415" w:rsidRDefault="0042003E" w:rsidP="00560D78">
            <w:pPr>
              <w:rPr>
                <w:rFonts w:asciiTheme="minorHAnsi" w:hAnsiTheme="minorHAnsi" w:cstheme="minorHAnsi"/>
                <w:sz w:val="22"/>
                <w:szCs w:val="22"/>
              </w:rPr>
            </w:pPr>
          </w:p>
        </w:tc>
      </w:tr>
    </w:tbl>
    <w:p w14:paraId="39C6CF8C" w14:textId="77777777" w:rsidR="0042003E" w:rsidRPr="00FA5415" w:rsidRDefault="0042003E" w:rsidP="0042003E">
      <w:pPr>
        <w:pStyle w:val="ListParagraph"/>
        <w:jc w:val="both"/>
        <w:rPr>
          <w:rFonts w:eastAsia="Calibri" w:cstheme="minorHAnsi"/>
          <w:i/>
          <w:iCs/>
        </w:rPr>
      </w:pPr>
      <w:r w:rsidRPr="00FA5415">
        <w:rPr>
          <w:rFonts w:eastAsia="Calibri" w:cstheme="minorHAnsi"/>
          <w:i/>
          <w:iCs/>
        </w:rPr>
        <w:t>Source: MODI 2014 and MODI 2023</w:t>
      </w:r>
    </w:p>
    <w:p w14:paraId="1B151257" w14:textId="77777777" w:rsidR="0042003E" w:rsidRPr="00FA5415" w:rsidRDefault="0042003E" w:rsidP="0042003E">
      <w:pPr>
        <w:pStyle w:val="ListParagraph"/>
        <w:numPr>
          <w:ilvl w:val="0"/>
          <w:numId w:val="1"/>
        </w:numPr>
        <w:jc w:val="both"/>
        <w:rPr>
          <w:rFonts w:eastAsia="Calibri" w:cstheme="minorHAnsi"/>
        </w:rPr>
      </w:pPr>
      <w:r w:rsidRPr="00FA5415">
        <w:rPr>
          <w:rFonts w:eastAsia="Calibri" w:cstheme="minorHAnsi"/>
        </w:rPr>
        <w:lastRenderedPageBreak/>
        <w:t>Satya Bumi’s internal study in 2023 showed that despite the destruction of rain forests and endemic species itself are not in and of themselves in violation of Indonesian law, the activities carried out by some of Indonesia’s top 25 nickel deforesters leading up to these results are likely breaking key forestry laws.  For example, 20 percent have cleared Protection Forests without having received the prior exemptions that would have allowed them to do so legally; 16 percent have illegally strip-mined within 100 meters of the ocean.  Both of these practices are considered illegal under Indonesian law.</w:t>
      </w:r>
    </w:p>
    <w:p w14:paraId="126D5D57"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In addition, we found that more than three quarters of the remaining area in 20 out of the top 25 deforesting nickel mines is comprised of Productive Forests. Under Indonesian law, it is illegal for mines to fell a single tree inside a Productive Forest unless the mine has secured what is known as a Borrow-Use Permit for Forest Area </w:t>
      </w:r>
      <w:r w:rsidRPr="00FA5415">
        <w:rPr>
          <w:rFonts w:eastAsia="Calibri" w:cstheme="minorHAnsi"/>
          <w:i/>
          <w:iCs/>
        </w:rPr>
        <w:t>(</w:t>
      </w:r>
      <w:proofErr w:type="spellStart"/>
      <w:r w:rsidRPr="00FA5415">
        <w:rPr>
          <w:rFonts w:eastAsia="Calibri" w:cstheme="minorHAnsi"/>
          <w:i/>
          <w:iCs/>
        </w:rPr>
        <w:t>Izin</w:t>
      </w:r>
      <w:proofErr w:type="spellEnd"/>
      <w:r w:rsidRPr="00FA5415">
        <w:rPr>
          <w:rFonts w:eastAsia="Calibri" w:cstheme="minorHAnsi"/>
          <w:i/>
          <w:iCs/>
        </w:rPr>
        <w:t xml:space="preserve"> </w:t>
      </w:r>
      <w:proofErr w:type="spellStart"/>
      <w:r w:rsidRPr="00FA5415">
        <w:rPr>
          <w:rFonts w:eastAsia="Calibri" w:cstheme="minorHAnsi"/>
          <w:i/>
          <w:iCs/>
        </w:rPr>
        <w:t>Pinjam</w:t>
      </w:r>
      <w:proofErr w:type="spellEnd"/>
      <w:r w:rsidRPr="00FA5415">
        <w:rPr>
          <w:rFonts w:eastAsia="Calibri" w:cstheme="minorHAnsi"/>
          <w:i/>
          <w:iCs/>
        </w:rPr>
        <w:t xml:space="preserve"> Pakai Kawasan Hutan)</w:t>
      </w:r>
      <w:r w:rsidRPr="00FA5415">
        <w:rPr>
          <w:rFonts w:eastAsia="Calibri" w:cstheme="minorHAnsi"/>
        </w:rPr>
        <w:t>. In the most recent updates of the year, the Ministry of Environment and Forestry published a full list of nickel mines that had been awarded such Borrow and Use permits, where only 16 percent of the top 25 deforesting nickel mines were shown to have been in possession of such permits. In the absence of the newest list, it cannot be ruled out that many of Indonesia’s top 25 deforesting nickel mines are now illegally logging Productive Forests.</w:t>
      </w:r>
    </w:p>
    <w:p w14:paraId="08A27BE5"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Apart from deforestation, the nickel industry in Indonesia produces waste that damages the environment, especially marine ecosystems. After the Job Creation Law was promulgated by the Indonesian Government through PP 22/2021, additional entrepreneurs were allowed to dispose mining refining waste into the sea using the </w:t>
      </w:r>
      <w:proofErr w:type="gramStart"/>
      <w:r w:rsidRPr="00FA5415">
        <w:rPr>
          <w:rFonts w:eastAsia="Calibri" w:cstheme="minorHAnsi"/>
        </w:rPr>
        <w:t>Deep Sea</w:t>
      </w:r>
      <w:proofErr w:type="gramEnd"/>
      <w:r w:rsidRPr="00FA5415">
        <w:rPr>
          <w:rFonts w:eastAsia="Calibri" w:cstheme="minorHAnsi"/>
        </w:rPr>
        <w:t xml:space="preserve"> Tailings Placement (DSTP).</w:t>
      </w:r>
    </w:p>
    <w:p w14:paraId="5C77B6E3"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The problem arises because DSTP is not environmentally friendly. Economically, DSTP is a waste disposal process that reduces production costs the most. However, environmentally, the costs that nature must incur to repair itself due to DSTP cannot be calculated using nickel profit figures. Currently, there are </w:t>
      </w:r>
      <w:hyperlink r:id="rId15" w:history="1">
        <w:r w:rsidRPr="00FA5415">
          <w:rPr>
            <w:rStyle w:val="Hyperlink"/>
            <w:rFonts w:eastAsia="Calibri" w:cstheme="minorHAnsi"/>
          </w:rPr>
          <w:t>three HPAL smelters</w:t>
        </w:r>
      </w:hyperlink>
      <w:r w:rsidRPr="00FA5415">
        <w:rPr>
          <w:rFonts w:eastAsia="Calibri" w:cstheme="minorHAnsi"/>
        </w:rPr>
        <w:t xml:space="preserve"> waiting for the Ministry of Environment and Forestry to issue a DSTP permit (with a depth of 230 - 230 m) and Two other HPAL smelters are under construction. These sites are located in the </w:t>
      </w:r>
      <w:hyperlink r:id="rId16" w:history="1">
        <w:proofErr w:type="spellStart"/>
        <w:r w:rsidRPr="00FA5415">
          <w:rPr>
            <w:rStyle w:val="Hyperlink"/>
            <w:rFonts w:eastAsia="Calibri" w:cstheme="minorHAnsi"/>
          </w:rPr>
          <w:t>The</w:t>
        </w:r>
        <w:proofErr w:type="spellEnd"/>
        <w:r w:rsidRPr="00FA5415">
          <w:rPr>
            <w:rStyle w:val="Hyperlink"/>
            <w:rFonts w:eastAsia="Calibri" w:cstheme="minorHAnsi"/>
          </w:rPr>
          <w:t xml:space="preserve"> </w:t>
        </w:r>
        <w:proofErr w:type="spellStart"/>
        <w:r w:rsidRPr="00FA5415">
          <w:rPr>
            <w:rStyle w:val="Hyperlink"/>
            <w:rFonts w:eastAsia="Calibri" w:cstheme="minorHAnsi"/>
          </w:rPr>
          <w:t>Morowali</w:t>
        </w:r>
        <w:proofErr w:type="spellEnd"/>
        <w:r w:rsidRPr="00FA5415">
          <w:rPr>
            <w:rStyle w:val="Hyperlink"/>
            <w:rFonts w:eastAsia="Calibri" w:cstheme="minorHAnsi"/>
          </w:rPr>
          <w:t xml:space="preserve"> Sea,</w:t>
        </w:r>
      </w:hyperlink>
      <w:r w:rsidRPr="00FA5415">
        <w:rPr>
          <w:rFonts w:eastAsia="Calibri" w:cstheme="minorHAnsi"/>
        </w:rPr>
        <w:t xml:space="preserve"> which has 76% of the world's coral reefs, 37% of coral reef fish and the largest mangrove forest in the world.</w:t>
      </w:r>
    </w:p>
    <w:p w14:paraId="77B0133B"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Ecological Action and People's Emancipation </w:t>
      </w:r>
      <w:r w:rsidRPr="00FA5415">
        <w:rPr>
          <w:rFonts w:eastAsia="Calibri" w:cstheme="minorHAnsi"/>
          <w:i/>
          <w:iCs/>
        </w:rPr>
        <w:t>(</w:t>
      </w:r>
      <w:r w:rsidRPr="00FA5415">
        <w:rPr>
          <w:rFonts w:cstheme="minorHAnsi"/>
          <w:i/>
          <w:iCs/>
          <w:color w:val="000000"/>
        </w:rPr>
        <w:t xml:space="preserve">Aksi </w:t>
      </w:r>
      <w:proofErr w:type="spellStart"/>
      <w:r w:rsidRPr="00FA5415">
        <w:rPr>
          <w:rFonts w:cstheme="minorHAnsi"/>
          <w:i/>
          <w:iCs/>
          <w:color w:val="000000"/>
        </w:rPr>
        <w:t>Ekologi</w:t>
      </w:r>
      <w:proofErr w:type="spellEnd"/>
      <w:r w:rsidRPr="00FA5415">
        <w:rPr>
          <w:rFonts w:cstheme="minorHAnsi"/>
          <w:i/>
          <w:iCs/>
          <w:color w:val="000000"/>
        </w:rPr>
        <w:t xml:space="preserve"> dan </w:t>
      </w:r>
      <w:proofErr w:type="spellStart"/>
      <w:r w:rsidRPr="00FA5415">
        <w:rPr>
          <w:rFonts w:cstheme="minorHAnsi"/>
          <w:i/>
          <w:iCs/>
          <w:color w:val="000000"/>
        </w:rPr>
        <w:t>Emansipasi</w:t>
      </w:r>
      <w:proofErr w:type="spellEnd"/>
      <w:r w:rsidRPr="00FA5415">
        <w:rPr>
          <w:rFonts w:cstheme="minorHAnsi"/>
          <w:i/>
          <w:iCs/>
          <w:color w:val="000000"/>
        </w:rPr>
        <w:t xml:space="preserve"> Rakyat</w:t>
      </w:r>
      <w:r w:rsidRPr="00FA5415">
        <w:rPr>
          <w:rFonts w:eastAsia="Calibri" w:cstheme="minorHAnsi"/>
          <w:i/>
          <w:iCs/>
        </w:rPr>
        <w:t>,</w:t>
      </w:r>
      <w:r w:rsidRPr="00FA5415">
        <w:rPr>
          <w:rFonts w:eastAsia="Calibri" w:cstheme="minorHAnsi"/>
        </w:rPr>
        <w:t xml:space="preserve"> AEER) together with the Rosa Luxemburg Institute (2022) </w:t>
      </w:r>
      <w:hyperlink r:id="rId17" w:history="1">
        <w:r w:rsidRPr="00FA5415">
          <w:rPr>
            <w:rStyle w:val="Hyperlink"/>
            <w:rFonts w:eastAsia="Calibri" w:cstheme="minorHAnsi"/>
          </w:rPr>
          <w:t>released a study</w:t>
        </w:r>
      </w:hyperlink>
      <w:r w:rsidRPr="00FA5415">
        <w:rPr>
          <w:rFonts w:eastAsia="Calibri" w:cstheme="minorHAnsi"/>
        </w:rPr>
        <w:t xml:space="preserve"> that provides an overview of the environmental dangers lurking within the DSTP method. There is no research proving that the upwelling of hazardous nickel waste into shallow seas will not occur. Nickel waste contains pollutants, 15% of which will be released into shallow seas; DTSP causes hyper sedimentation; It is prone to plume sharing where small particles of waste are carried by currents, possibly moving kilometers far and enter the fish food chain. Because marine biota has a vertical migration lifestyle, it is highly probable to kill marine biota that migrate from shallow seas to deep seas. This condition increasingly shows the weakness of nickel mining governance due to the absence of a protection perspective for Indonesian marine biota, despite the fact that the eastern sea is crowned as the Coral Triangle.</w:t>
      </w:r>
    </w:p>
    <w:p w14:paraId="38DEA66F"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Apart from environmental threats, the Indigenous Territory Registration System shows that there are 1,401,510 million hectares of indigenous territory in the three provinces with the largest nickel concessions: Central Sulawesi, South Sulawesi and Southeast Sulawesi. Although information regarding the overlap of indigenous territories with nickel concessions has not been published to date, this fact shows the potential human rights violations against indigenous communities around nickel concessions. Indigenous communities around nickel industrial areas are vulnerable to forced displacement and diseases contracted from dust contamination and nickel refining chemicals.</w:t>
      </w:r>
    </w:p>
    <w:p w14:paraId="50A3CEA9" w14:textId="77777777" w:rsidR="0042003E" w:rsidRPr="00FA5415" w:rsidRDefault="0042003E" w:rsidP="0042003E">
      <w:pPr>
        <w:pStyle w:val="ListParagraph"/>
        <w:numPr>
          <w:ilvl w:val="0"/>
          <w:numId w:val="1"/>
        </w:numPr>
        <w:spacing w:after="0"/>
        <w:ind w:right="-20"/>
        <w:jc w:val="both"/>
        <w:rPr>
          <w:rFonts w:eastAsia="Calibri" w:cstheme="minorHAnsi"/>
        </w:rPr>
      </w:pPr>
      <w:proofErr w:type="spellStart"/>
      <w:r w:rsidRPr="00FA5415">
        <w:rPr>
          <w:rFonts w:eastAsia="Calibri" w:cstheme="minorHAnsi"/>
        </w:rPr>
        <w:t>Walhi</w:t>
      </w:r>
      <w:proofErr w:type="spellEnd"/>
      <w:r w:rsidRPr="00FA5415">
        <w:rPr>
          <w:rFonts w:eastAsia="Calibri" w:cstheme="minorHAnsi"/>
        </w:rPr>
        <w:t xml:space="preserve"> Southeast Sulawesi recorded an increase in diseases related to worsening air and water quality due to nickel mining operations. The increase was recorded at the Morosi District </w:t>
      </w:r>
      <w:r w:rsidRPr="00FA5415">
        <w:rPr>
          <w:rFonts w:eastAsia="Calibri" w:cstheme="minorHAnsi"/>
        </w:rPr>
        <w:lastRenderedPageBreak/>
        <w:t xml:space="preserve">Community Health Center, </w:t>
      </w:r>
      <w:proofErr w:type="spellStart"/>
      <w:r w:rsidRPr="00FA5415">
        <w:rPr>
          <w:rFonts w:eastAsia="Calibri" w:cstheme="minorHAnsi"/>
        </w:rPr>
        <w:t>Konawe</w:t>
      </w:r>
      <w:proofErr w:type="spellEnd"/>
      <w:r w:rsidRPr="00FA5415">
        <w:rPr>
          <w:rFonts w:eastAsia="Calibri" w:cstheme="minorHAnsi"/>
        </w:rPr>
        <w:t xml:space="preserve"> Regency, throughout 2020 - 2022. For the record, </w:t>
      </w:r>
      <w:proofErr w:type="spellStart"/>
      <w:r w:rsidRPr="00FA5415">
        <w:rPr>
          <w:rFonts w:eastAsia="Calibri" w:cstheme="minorHAnsi"/>
        </w:rPr>
        <w:t>Konawe</w:t>
      </w:r>
      <w:proofErr w:type="spellEnd"/>
      <w:r w:rsidRPr="00FA5415">
        <w:rPr>
          <w:rFonts w:eastAsia="Calibri" w:cstheme="minorHAnsi"/>
        </w:rPr>
        <w:t xml:space="preserve"> Regency was burdened with 15 mining licenses which caused an increase in community illnesses as follows:</w:t>
      </w:r>
    </w:p>
    <w:p w14:paraId="373BF72C" w14:textId="77777777" w:rsidR="0042003E" w:rsidRPr="00FA5415" w:rsidRDefault="0042003E" w:rsidP="0042003E">
      <w:pPr>
        <w:pStyle w:val="ListParagraph"/>
        <w:spacing w:after="0"/>
        <w:ind w:right="-20"/>
        <w:jc w:val="both"/>
        <w:rPr>
          <w:rFonts w:eastAsia="Calibri" w:cstheme="minorHAnsi"/>
        </w:rPr>
      </w:pPr>
      <w:r w:rsidRPr="00FA5415">
        <w:rPr>
          <w:rFonts w:cstheme="minorHAnsi"/>
          <w:noProof/>
          <w:color w:val="000000"/>
          <w:bdr w:val="none" w:sz="0" w:space="0" w:color="auto" w:frame="1"/>
        </w:rPr>
        <w:drawing>
          <wp:inline distT="0" distB="0" distL="0" distR="0" wp14:anchorId="793812E5" wp14:editId="7739DDA3">
            <wp:extent cx="5504472" cy="3967889"/>
            <wp:effectExtent l="0" t="0" r="0" b="0"/>
            <wp:docPr id="973062013" name="Picture 97306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43470" cy="3996001"/>
                    </a:xfrm>
                    <a:prstGeom prst="rect">
                      <a:avLst/>
                    </a:prstGeom>
                    <a:noFill/>
                    <a:ln>
                      <a:noFill/>
                    </a:ln>
                  </pic:spPr>
                </pic:pic>
              </a:graphicData>
            </a:graphic>
          </wp:inline>
        </w:drawing>
      </w:r>
    </w:p>
    <w:p w14:paraId="12861B4B" w14:textId="77777777" w:rsidR="0042003E" w:rsidRPr="00FA5415" w:rsidRDefault="0042003E" w:rsidP="0042003E">
      <w:pPr>
        <w:ind w:left="-20" w:right="-20"/>
        <w:jc w:val="both"/>
        <w:rPr>
          <w:rFonts w:asciiTheme="minorHAnsi" w:eastAsia="Calibri" w:hAnsiTheme="minorHAnsi" w:cstheme="minorHAnsi"/>
          <w:i/>
          <w:iCs/>
          <w:sz w:val="22"/>
          <w:szCs w:val="22"/>
          <w:u w:val="single"/>
        </w:rPr>
      </w:pPr>
    </w:p>
    <w:p w14:paraId="3DD1CA96" w14:textId="77777777" w:rsidR="0042003E" w:rsidRPr="00FA5415" w:rsidRDefault="0042003E" w:rsidP="0042003E">
      <w:pPr>
        <w:ind w:left="-20" w:right="-20"/>
        <w:jc w:val="both"/>
        <w:rPr>
          <w:rFonts w:asciiTheme="minorHAnsi" w:hAnsiTheme="minorHAnsi" w:cstheme="minorHAnsi"/>
          <w:sz w:val="22"/>
          <w:szCs w:val="22"/>
        </w:rPr>
      </w:pPr>
      <w:r w:rsidRPr="00FA5415">
        <w:rPr>
          <w:rFonts w:asciiTheme="minorHAnsi" w:eastAsia="Calibri" w:hAnsiTheme="minorHAnsi" w:cstheme="minorHAnsi"/>
          <w:i/>
          <w:iCs/>
          <w:sz w:val="22"/>
          <w:szCs w:val="22"/>
          <w:u w:val="single"/>
        </w:rPr>
        <w:t>Suggestion question:</w:t>
      </w:r>
    </w:p>
    <w:p w14:paraId="3455BB21" w14:textId="77777777" w:rsidR="0042003E" w:rsidRPr="00FA5415" w:rsidRDefault="0042003E" w:rsidP="0042003E">
      <w:pPr>
        <w:pStyle w:val="ListParagraph"/>
        <w:numPr>
          <w:ilvl w:val="0"/>
          <w:numId w:val="5"/>
        </w:numPr>
        <w:spacing w:after="0"/>
        <w:ind w:right="-20"/>
        <w:jc w:val="both"/>
        <w:rPr>
          <w:rFonts w:eastAsia="Calibri" w:cstheme="minorHAnsi"/>
          <w:i/>
          <w:iCs/>
        </w:rPr>
      </w:pPr>
      <w:r w:rsidRPr="00FA5415">
        <w:rPr>
          <w:rFonts w:eastAsia="Calibri" w:cstheme="minorHAnsi"/>
          <w:i/>
          <w:iCs/>
        </w:rPr>
        <w:t>How will the Indonesian Government strengthen the legal framework in a meaningful way in accordance with the principles of environmental protection and human rights?</w:t>
      </w:r>
    </w:p>
    <w:p w14:paraId="57F8A446" w14:textId="77777777" w:rsidR="0042003E" w:rsidRPr="00FA5415" w:rsidRDefault="0042003E" w:rsidP="0042003E">
      <w:pPr>
        <w:pStyle w:val="ListParagraph"/>
        <w:numPr>
          <w:ilvl w:val="0"/>
          <w:numId w:val="5"/>
        </w:numPr>
        <w:spacing w:after="0"/>
        <w:ind w:right="-20"/>
        <w:jc w:val="both"/>
        <w:rPr>
          <w:rFonts w:eastAsia="Calibri" w:cstheme="minorHAnsi"/>
          <w:i/>
          <w:iCs/>
        </w:rPr>
      </w:pPr>
      <w:r w:rsidRPr="00FA5415">
        <w:rPr>
          <w:rFonts w:eastAsia="Calibri" w:cstheme="minorHAnsi"/>
          <w:i/>
          <w:iCs/>
        </w:rPr>
        <w:t>When will Indonesia prepare a blueprint for nickel mining and issue a moratorium on nickel mining until the blueprint is launched?</w:t>
      </w:r>
    </w:p>
    <w:p w14:paraId="78C2EF9D" w14:textId="77777777" w:rsidR="0042003E" w:rsidRPr="00FA5415" w:rsidRDefault="0042003E" w:rsidP="0042003E">
      <w:pPr>
        <w:pStyle w:val="ListParagraph"/>
        <w:numPr>
          <w:ilvl w:val="0"/>
          <w:numId w:val="5"/>
        </w:numPr>
        <w:spacing w:after="0"/>
        <w:ind w:right="-20"/>
        <w:jc w:val="both"/>
        <w:rPr>
          <w:rFonts w:eastAsia="Calibri" w:cstheme="minorHAnsi"/>
          <w:i/>
          <w:iCs/>
        </w:rPr>
      </w:pPr>
      <w:r w:rsidRPr="00FA5415">
        <w:rPr>
          <w:rFonts w:eastAsia="Calibri" w:cstheme="minorHAnsi"/>
          <w:i/>
          <w:iCs/>
        </w:rPr>
        <w:t>What efforts has been made by the Indonesian Government to reveal basic data related to Indonesia's natural resources so that democratic management of natural resources can take place?</w:t>
      </w:r>
    </w:p>
    <w:p w14:paraId="696F403C" w14:textId="77777777" w:rsidR="0042003E" w:rsidRPr="00FA5415" w:rsidRDefault="0042003E" w:rsidP="0042003E">
      <w:pPr>
        <w:ind w:right="-20"/>
        <w:jc w:val="both"/>
        <w:rPr>
          <w:rFonts w:asciiTheme="minorHAnsi" w:eastAsia="Calibri" w:hAnsiTheme="minorHAnsi" w:cstheme="minorHAnsi"/>
          <w:i/>
          <w:iCs/>
          <w:sz w:val="22"/>
          <w:szCs w:val="22"/>
        </w:rPr>
      </w:pPr>
    </w:p>
    <w:p w14:paraId="6C0034B5" w14:textId="77777777" w:rsidR="0042003E" w:rsidRPr="00FA5415" w:rsidRDefault="0042003E" w:rsidP="0042003E">
      <w:pPr>
        <w:pStyle w:val="ListParagraph"/>
        <w:spacing w:after="0"/>
        <w:ind w:left="0" w:right="-20"/>
        <w:jc w:val="both"/>
        <w:rPr>
          <w:rFonts w:eastAsia="Calibri" w:cstheme="minorHAnsi"/>
          <w:i/>
        </w:rPr>
      </w:pPr>
      <w:r w:rsidRPr="00FA5415">
        <w:rPr>
          <w:rFonts w:eastAsia="Calibri" w:cstheme="minorHAnsi"/>
          <w:i/>
          <w:iCs/>
        </w:rPr>
        <w:t xml:space="preserve">Primary Forest Clearing by PT </w:t>
      </w:r>
      <w:proofErr w:type="spellStart"/>
      <w:r w:rsidRPr="00FA5415">
        <w:rPr>
          <w:rFonts w:eastAsia="Calibri" w:cstheme="minorHAnsi"/>
          <w:i/>
          <w:iCs/>
        </w:rPr>
        <w:t>Mayawana</w:t>
      </w:r>
      <w:proofErr w:type="spellEnd"/>
      <w:r w:rsidRPr="00FA5415">
        <w:rPr>
          <w:rFonts w:eastAsia="Calibri" w:cstheme="minorHAnsi"/>
          <w:i/>
          <w:iCs/>
        </w:rPr>
        <w:t xml:space="preserve"> </w:t>
      </w:r>
      <w:proofErr w:type="spellStart"/>
      <w:r w:rsidRPr="00FA5415">
        <w:rPr>
          <w:rFonts w:eastAsia="Calibri" w:cstheme="minorHAnsi"/>
          <w:i/>
          <w:iCs/>
        </w:rPr>
        <w:t>Persada</w:t>
      </w:r>
      <w:proofErr w:type="spellEnd"/>
      <w:r w:rsidRPr="00FA5415">
        <w:rPr>
          <w:rFonts w:eastAsia="Calibri" w:cstheme="minorHAnsi"/>
          <w:i/>
          <w:iCs/>
        </w:rPr>
        <w:t xml:space="preserve"> for Timber Plantations in West Kalimantan</w:t>
      </w:r>
    </w:p>
    <w:p w14:paraId="5EF2E7B5"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An Industrial Plantation Forest company (HTI), PT </w:t>
      </w:r>
      <w:proofErr w:type="spellStart"/>
      <w:r w:rsidRPr="00FA5415">
        <w:rPr>
          <w:rFonts w:eastAsia="Calibri" w:cstheme="minorHAnsi"/>
        </w:rPr>
        <w:t>Mayawana</w:t>
      </w:r>
      <w:proofErr w:type="spellEnd"/>
      <w:r w:rsidRPr="00FA5415">
        <w:rPr>
          <w:rFonts w:eastAsia="Calibri" w:cstheme="minorHAnsi"/>
        </w:rPr>
        <w:t xml:space="preserve"> </w:t>
      </w:r>
      <w:proofErr w:type="spellStart"/>
      <w:r w:rsidRPr="00FA5415">
        <w:rPr>
          <w:rFonts w:eastAsia="Calibri" w:cstheme="minorHAnsi"/>
        </w:rPr>
        <w:t>Persada</w:t>
      </w:r>
      <w:proofErr w:type="spellEnd"/>
      <w:r w:rsidRPr="00FA5415">
        <w:rPr>
          <w:rFonts w:eastAsia="Calibri" w:cstheme="minorHAnsi"/>
        </w:rPr>
        <w:t xml:space="preserve">, which was then owned by the Alas Kusuma Group, has </w:t>
      </w:r>
      <w:hyperlink r:id="rId19">
        <w:r w:rsidRPr="00FA5415">
          <w:rPr>
            <w:rStyle w:val="Hyperlink"/>
            <w:rFonts w:eastAsia="Calibri" w:cstheme="minorHAnsi"/>
          </w:rPr>
          <w:t>converted</w:t>
        </w:r>
      </w:hyperlink>
      <w:r w:rsidRPr="00FA5415">
        <w:rPr>
          <w:rFonts w:eastAsia="Calibri" w:cstheme="minorHAnsi"/>
        </w:rPr>
        <w:t xml:space="preserve"> more than 35,000 hectares of natural forest land throughout  2016-2023. In fact, since 2016, land clearing was carried out in forest areas with high conservation value, which are orangutan habitat and carbon-rich peatlands. Natural forests are converted into Industrial Acacia and Eucalyptus Plantation Forests.</w:t>
      </w:r>
    </w:p>
    <w:p w14:paraId="27AFF095" w14:textId="2401683B"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This clearly poses a threat to the Bornean orangutan as an umbrella species in the tropical forests of Kalimantan. Apart from the clearing of natural forests, field findings also show that there is clearing of peatlands with evidence of the creation of canals (drainage creation). [YET TO REVIEW]</w:t>
      </w:r>
    </w:p>
    <w:p w14:paraId="23AD5833"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Field findings show that natural forest clearing activities are still ongoing, heavy equipment (excavators) continue to cut down natural wood, and piles of felled wood were found stacked along the canal, despite such activities being prohibited under article 26 of Government </w:t>
      </w:r>
      <w:r w:rsidRPr="00FA5415">
        <w:rPr>
          <w:rFonts w:eastAsia="Calibri" w:cstheme="minorHAnsi"/>
        </w:rPr>
        <w:lastRenderedPageBreak/>
        <w:t>Regulation (PP) No. 71 of 2014 concerning Protection of Peat Ecosystem Management. Peat has a large carbon (C) content, and plays a very important role as a safeguard against global climate change. If peatlands are burned or degraded, they will emit gases into the atmosphere that are ready to worsen climate change.</w:t>
      </w:r>
    </w:p>
    <w:p w14:paraId="4C1D6EB9"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The Indonesian Government's commitment to carry out the full responsibility of paragraph 171 regarding reviewing regulations, policies and implementation of human rights in the mining and plantation sectors is questionable. The changes made to Law Number 4 of 2009 concerning Mineral and Coal Mining with Law Number 3 of 2020 actually have great potential to be used to criminalize people who are deemed to be obstructing or obstructing business activities. Law Number 3 of 2020 itself is included in the Job Creation Law which has been widely protested by various community groups.</w:t>
      </w:r>
    </w:p>
    <w:p w14:paraId="202D9304" w14:textId="77777777" w:rsidR="0042003E" w:rsidRPr="00FA5415" w:rsidRDefault="0042003E" w:rsidP="0042003E">
      <w:pPr>
        <w:ind w:left="-20" w:right="-20"/>
        <w:jc w:val="both"/>
        <w:rPr>
          <w:rFonts w:asciiTheme="minorHAnsi" w:hAnsiTheme="minorHAnsi" w:cstheme="minorHAnsi"/>
          <w:sz w:val="22"/>
          <w:szCs w:val="22"/>
        </w:rPr>
      </w:pPr>
      <w:r w:rsidRPr="00FA5415">
        <w:rPr>
          <w:rFonts w:asciiTheme="minorHAnsi" w:eastAsia="Calibri" w:hAnsiTheme="minorHAnsi" w:cstheme="minorHAnsi"/>
          <w:i/>
          <w:iCs/>
          <w:sz w:val="22"/>
          <w:szCs w:val="22"/>
        </w:rPr>
        <w:t>Marginalization of Indigenous Community and Environmental Human Rights Defender in Mayawana Persada’s Concession</w:t>
      </w:r>
    </w:p>
    <w:p w14:paraId="0F6DB1D6"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The presence of an HTI company called PT </w:t>
      </w:r>
      <w:proofErr w:type="spellStart"/>
      <w:r w:rsidRPr="00FA5415">
        <w:rPr>
          <w:rFonts w:eastAsia="Calibri" w:cstheme="minorHAnsi"/>
        </w:rPr>
        <w:t>Mayawana</w:t>
      </w:r>
      <w:proofErr w:type="spellEnd"/>
      <w:r w:rsidRPr="00FA5415">
        <w:rPr>
          <w:rFonts w:eastAsia="Calibri" w:cstheme="minorHAnsi"/>
        </w:rPr>
        <w:t xml:space="preserve"> </w:t>
      </w:r>
      <w:proofErr w:type="spellStart"/>
      <w:r w:rsidRPr="00FA5415">
        <w:rPr>
          <w:rFonts w:eastAsia="Calibri" w:cstheme="minorHAnsi"/>
        </w:rPr>
        <w:t>Persada</w:t>
      </w:r>
      <w:proofErr w:type="spellEnd"/>
      <w:r w:rsidRPr="00FA5415">
        <w:rPr>
          <w:rFonts w:eastAsia="Calibri" w:cstheme="minorHAnsi"/>
        </w:rPr>
        <w:t xml:space="preserve"> has caused social conflict and violations of the rights of communities around the concession. The company has clearly ignored the fact that the areas covered by the company's business permit are indigenous lands and forests that are integral to the livelihood of the indigenous communities living in it. The takeover of indigenous land was carried out by force and accompanied by a series of acts of intimidation and criminalization by the company with the help of government agents. Field findings also show that the PT </w:t>
      </w:r>
      <w:proofErr w:type="spellStart"/>
      <w:r w:rsidRPr="00FA5415">
        <w:rPr>
          <w:rFonts w:eastAsia="Calibri" w:cstheme="minorHAnsi"/>
        </w:rPr>
        <w:t>Mayawana</w:t>
      </w:r>
      <w:proofErr w:type="spellEnd"/>
      <w:r w:rsidRPr="00FA5415">
        <w:rPr>
          <w:rFonts w:eastAsia="Calibri" w:cstheme="minorHAnsi"/>
        </w:rPr>
        <w:t xml:space="preserve"> </w:t>
      </w:r>
      <w:proofErr w:type="spellStart"/>
      <w:r w:rsidRPr="00FA5415">
        <w:rPr>
          <w:rFonts w:eastAsia="Calibri" w:cstheme="minorHAnsi"/>
        </w:rPr>
        <w:t>Persada</w:t>
      </w:r>
      <w:proofErr w:type="spellEnd"/>
      <w:r w:rsidRPr="00FA5415">
        <w:rPr>
          <w:rFonts w:eastAsia="Calibri" w:cstheme="minorHAnsi"/>
        </w:rPr>
        <w:t xml:space="preserve"> timber concession has given rise to social conflict and violations of the rights of the local indigenous community known as the Dayak tribe of Kalimantan.</w:t>
      </w:r>
    </w:p>
    <w:p w14:paraId="7E4C06C0"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The Indonesian government claimed that they facilitated for the participation of the community, NGOs in developing and executing business plans and/or activities. However, field findings shows that such facilitation were not carried out at all in the case of Industrial Plantation Forest expansion in West Kalimantan. Indigenous Peoples and various NGOs have consistently advocated for the rights of the communities affected by the HTI </w:t>
      </w:r>
      <w:proofErr w:type="gramStart"/>
      <w:r w:rsidRPr="00FA5415">
        <w:rPr>
          <w:rFonts w:eastAsia="Calibri" w:cstheme="minorHAnsi"/>
        </w:rPr>
        <w:t>project,</w:t>
      </w:r>
      <w:proofErr w:type="gramEnd"/>
      <w:r w:rsidRPr="00FA5415">
        <w:rPr>
          <w:rFonts w:eastAsia="Calibri" w:cstheme="minorHAnsi"/>
        </w:rPr>
        <w:t xml:space="preserve"> however such efforts continue to go unheeded by the government and HTI company operating on the land. The government seems to be absent in the ongoing dispute, leaving the negotiation process to the companies and communities themselves. The local government is present as an intermediary only when the company attempts to negotiate, not when the community complains about the company's forest land clearing activities. There has also been a clear bias from the police forces, who were deployed only in the interest and protection of the company, for example to secure company property during protests initiated by the community. </w:t>
      </w:r>
    </w:p>
    <w:p w14:paraId="45ABF3CD"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As a matter of fact, until now, </w:t>
      </w:r>
      <w:proofErr w:type="gramStart"/>
      <w:r w:rsidRPr="00FA5415">
        <w:rPr>
          <w:rFonts w:eastAsia="Calibri" w:cstheme="minorHAnsi"/>
        </w:rPr>
        <w:t xml:space="preserve">PT  </w:t>
      </w:r>
      <w:proofErr w:type="spellStart"/>
      <w:r w:rsidRPr="00FA5415">
        <w:rPr>
          <w:rFonts w:eastAsia="Calibri" w:cstheme="minorHAnsi"/>
        </w:rPr>
        <w:t>PT</w:t>
      </w:r>
      <w:proofErr w:type="spellEnd"/>
      <w:proofErr w:type="gramEnd"/>
      <w:r w:rsidRPr="00FA5415">
        <w:rPr>
          <w:rFonts w:eastAsia="Calibri" w:cstheme="minorHAnsi"/>
        </w:rPr>
        <w:t xml:space="preserve"> </w:t>
      </w:r>
      <w:proofErr w:type="spellStart"/>
      <w:r w:rsidRPr="00FA5415">
        <w:rPr>
          <w:rFonts w:eastAsia="Calibri" w:cstheme="minorHAnsi"/>
        </w:rPr>
        <w:t>Mayawana</w:t>
      </w:r>
      <w:proofErr w:type="spellEnd"/>
      <w:r w:rsidRPr="00FA5415">
        <w:rPr>
          <w:rFonts w:eastAsia="Calibri" w:cstheme="minorHAnsi"/>
        </w:rPr>
        <w:t xml:space="preserve"> </w:t>
      </w:r>
      <w:proofErr w:type="spellStart"/>
      <w:r w:rsidRPr="00FA5415">
        <w:rPr>
          <w:rFonts w:eastAsia="Calibri" w:cstheme="minorHAnsi"/>
        </w:rPr>
        <w:t>Persada</w:t>
      </w:r>
      <w:proofErr w:type="spellEnd"/>
      <w:r w:rsidRPr="00FA5415">
        <w:rPr>
          <w:rFonts w:eastAsia="Calibri" w:cstheme="minorHAnsi"/>
        </w:rPr>
        <w:t xml:space="preserve"> continues to open this land. This case has shown evidence that the government is not responsive enough to be present in defending human rights, especially indigenous peoples whose rights are violated by corporations.</w:t>
      </w:r>
    </w:p>
    <w:p w14:paraId="70B4E9A5" w14:textId="77777777" w:rsidR="0042003E" w:rsidRPr="00FA5415" w:rsidRDefault="0042003E" w:rsidP="0042003E">
      <w:pPr>
        <w:ind w:left="360" w:right="-20"/>
        <w:jc w:val="both"/>
        <w:rPr>
          <w:rFonts w:asciiTheme="minorHAnsi" w:eastAsia="Calibri" w:hAnsiTheme="minorHAnsi" w:cstheme="minorHAnsi"/>
          <w:sz w:val="22"/>
          <w:szCs w:val="22"/>
        </w:rPr>
      </w:pPr>
    </w:p>
    <w:p w14:paraId="6774478A" w14:textId="77777777" w:rsidR="0042003E" w:rsidRPr="00FA5415" w:rsidRDefault="0042003E" w:rsidP="0042003E">
      <w:pPr>
        <w:ind w:left="-20" w:right="-20"/>
        <w:jc w:val="both"/>
        <w:rPr>
          <w:rFonts w:asciiTheme="minorHAnsi" w:hAnsiTheme="minorHAnsi" w:cstheme="minorHAnsi"/>
          <w:sz w:val="22"/>
          <w:szCs w:val="22"/>
        </w:rPr>
      </w:pPr>
      <w:r w:rsidRPr="00FA5415">
        <w:rPr>
          <w:rFonts w:asciiTheme="minorHAnsi" w:eastAsia="Calibri" w:hAnsiTheme="minorHAnsi" w:cstheme="minorHAnsi"/>
          <w:sz w:val="22"/>
          <w:szCs w:val="22"/>
        </w:rPr>
        <w:t>Recommendations:</w:t>
      </w:r>
    </w:p>
    <w:p w14:paraId="72E968D9" w14:textId="77777777" w:rsidR="0042003E" w:rsidRPr="00FA5415" w:rsidRDefault="0042003E" w:rsidP="0042003E">
      <w:pPr>
        <w:pStyle w:val="ListParagraph"/>
        <w:numPr>
          <w:ilvl w:val="0"/>
          <w:numId w:val="6"/>
        </w:numPr>
        <w:spacing w:after="0"/>
        <w:ind w:right="-20"/>
        <w:jc w:val="both"/>
        <w:rPr>
          <w:rFonts w:eastAsia="Calibri" w:cstheme="minorHAnsi"/>
        </w:rPr>
      </w:pPr>
      <w:r w:rsidRPr="00FA5415">
        <w:rPr>
          <w:rFonts w:eastAsia="Calibri" w:cstheme="minorHAnsi"/>
        </w:rPr>
        <w:t xml:space="preserve">The National Regional, and Regent Government to recognize to the Dayak </w:t>
      </w:r>
      <w:proofErr w:type="spellStart"/>
      <w:r w:rsidRPr="00FA5415">
        <w:rPr>
          <w:rFonts w:eastAsia="Calibri" w:cstheme="minorHAnsi"/>
        </w:rPr>
        <w:t>Kualan</w:t>
      </w:r>
      <w:proofErr w:type="spellEnd"/>
      <w:r w:rsidRPr="00FA5415">
        <w:rPr>
          <w:rFonts w:eastAsia="Calibri" w:cstheme="minorHAnsi"/>
        </w:rPr>
        <w:t xml:space="preserve"> </w:t>
      </w:r>
      <w:proofErr w:type="spellStart"/>
      <w:r w:rsidRPr="00FA5415">
        <w:rPr>
          <w:rFonts w:eastAsia="Calibri" w:cstheme="minorHAnsi"/>
        </w:rPr>
        <w:t>Hilir’s</w:t>
      </w:r>
      <w:proofErr w:type="spellEnd"/>
      <w:r w:rsidRPr="00FA5415">
        <w:rPr>
          <w:rFonts w:eastAsia="Calibri" w:cstheme="minorHAnsi"/>
        </w:rPr>
        <w:t xml:space="preserve"> indigenous forests;</w:t>
      </w:r>
    </w:p>
    <w:p w14:paraId="7F68465D" w14:textId="77777777" w:rsidR="0042003E" w:rsidRPr="00FA5415" w:rsidRDefault="0042003E" w:rsidP="0042003E">
      <w:pPr>
        <w:pStyle w:val="ListParagraph"/>
        <w:numPr>
          <w:ilvl w:val="0"/>
          <w:numId w:val="6"/>
        </w:numPr>
        <w:spacing w:after="0"/>
        <w:ind w:right="-20"/>
        <w:jc w:val="both"/>
        <w:rPr>
          <w:rFonts w:eastAsia="Calibri" w:cstheme="minorHAnsi"/>
        </w:rPr>
      </w:pPr>
      <w:r w:rsidRPr="00FA5415">
        <w:rPr>
          <w:rFonts w:eastAsia="Calibri" w:cstheme="minorHAnsi"/>
        </w:rPr>
        <w:t>The Ministry of Environment and Forestry to conduct an updated study to calculate the population of orangutan in the area surrounding the concession zone as a continuous action of conservation;</w:t>
      </w:r>
    </w:p>
    <w:p w14:paraId="5E604F9A" w14:textId="77777777" w:rsidR="0042003E" w:rsidRPr="00FA5415" w:rsidRDefault="0042003E" w:rsidP="0042003E">
      <w:pPr>
        <w:pStyle w:val="ListParagraph"/>
        <w:numPr>
          <w:ilvl w:val="0"/>
          <w:numId w:val="6"/>
        </w:numPr>
        <w:spacing w:after="0"/>
        <w:ind w:right="-20"/>
        <w:jc w:val="both"/>
        <w:rPr>
          <w:rFonts w:eastAsia="Calibri" w:cstheme="minorHAnsi"/>
        </w:rPr>
      </w:pPr>
      <w:r w:rsidRPr="00FA5415">
        <w:rPr>
          <w:rFonts w:eastAsia="Calibri" w:cstheme="minorHAnsi"/>
        </w:rPr>
        <w:t xml:space="preserve">The Ministry of Environment and Forestry to review the concession permit of PT </w:t>
      </w:r>
      <w:proofErr w:type="spellStart"/>
      <w:r w:rsidRPr="00FA5415">
        <w:rPr>
          <w:rFonts w:eastAsia="Calibri" w:cstheme="minorHAnsi"/>
        </w:rPr>
        <w:t>Mayawana</w:t>
      </w:r>
      <w:proofErr w:type="spellEnd"/>
      <w:r w:rsidRPr="00FA5415">
        <w:rPr>
          <w:rFonts w:eastAsia="Calibri" w:cstheme="minorHAnsi"/>
        </w:rPr>
        <w:t xml:space="preserve"> </w:t>
      </w:r>
      <w:proofErr w:type="spellStart"/>
      <w:r w:rsidRPr="00FA5415">
        <w:rPr>
          <w:rFonts w:eastAsia="Calibri" w:cstheme="minorHAnsi"/>
        </w:rPr>
        <w:t>Persada</w:t>
      </w:r>
      <w:proofErr w:type="spellEnd"/>
      <w:r w:rsidRPr="00FA5415">
        <w:rPr>
          <w:rFonts w:eastAsia="Calibri" w:cstheme="minorHAnsi"/>
        </w:rPr>
        <w:t xml:space="preserve"> that overlaps with indigenous forests and high conservation area.</w:t>
      </w:r>
    </w:p>
    <w:p w14:paraId="2FDA9D7D" w14:textId="77777777" w:rsidR="0042003E" w:rsidRPr="00FA5415" w:rsidRDefault="0042003E" w:rsidP="0042003E">
      <w:pPr>
        <w:pStyle w:val="ListParagraph"/>
        <w:numPr>
          <w:ilvl w:val="0"/>
          <w:numId w:val="6"/>
        </w:numPr>
        <w:spacing w:after="0"/>
        <w:ind w:right="-20"/>
        <w:jc w:val="both"/>
        <w:rPr>
          <w:rFonts w:eastAsia="Calibri" w:cstheme="minorHAnsi"/>
        </w:rPr>
      </w:pPr>
      <w:r w:rsidRPr="00FA5415">
        <w:rPr>
          <w:rFonts w:eastAsia="Calibri" w:cstheme="minorHAnsi"/>
        </w:rPr>
        <w:t xml:space="preserve">The Ministry of Agrarian and Spatial Affairs/National Land Agency to review the PT </w:t>
      </w:r>
      <w:proofErr w:type="spellStart"/>
      <w:r w:rsidRPr="00FA5415">
        <w:rPr>
          <w:rFonts w:eastAsia="Calibri" w:cstheme="minorHAnsi"/>
        </w:rPr>
        <w:t>Mayawana’s</w:t>
      </w:r>
      <w:proofErr w:type="spellEnd"/>
      <w:r w:rsidRPr="00FA5415">
        <w:rPr>
          <w:rFonts w:eastAsia="Calibri" w:cstheme="minorHAnsi"/>
        </w:rPr>
        <w:t xml:space="preserve"> Right to Cultivate due to its violation of public interest as stipulated in Article 34 of the Law on Basic Agrarian Principles;</w:t>
      </w:r>
    </w:p>
    <w:p w14:paraId="70D89661" w14:textId="77777777" w:rsidR="0042003E" w:rsidRPr="00FA5415" w:rsidRDefault="0042003E" w:rsidP="0042003E">
      <w:pPr>
        <w:pStyle w:val="ListParagraph"/>
        <w:numPr>
          <w:ilvl w:val="0"/>
          <w:numId w:val="6"/>
        </w:numPr>
        <w:spacing w:after="0"/>
        <w:ind w:right="-20"/>
        <w:jc w:val="both"/>
        <w:rPr>
          <w:rFonts w:eastAsia="Calibri" w:cstheme="minorHAnsi"/>
        </w:rPr>
      </w:pPr>
      <w:r w:rsidRPr="00FA5415">
        <w:rPr>
          <w:rFonts w:eastAsia="Calibri" w:cstheme="minorHAnsi"/>
        </w:rPr>
        <w:lastRenderedPageBreak/>
        <w:t xml:space="preserve">The National Police to instruct the West Kalimantan Regional Police to stop any forms of intimidation towards the Dayak </w:t>
      </w:r>
      <w:proofErr w:type="spellStart"/>
      <w:r w:rsidRPr="00FA5415">
        <w:rPr>
          <w:rFonts w:eastAsia="Calibri" w:cstheme="minorHAnsi"/>
        </w:rPr>
        <w:t>Kualan</w:t>
      </w:r>
      <w:proofErr w:type="spellEnd"/>
      <w:r w:rsidRPr="00FA5415">
        <w:rPr>
          <w:rFonts w:eastAsia="Calibri" w:cstheme="minorHAnsi"/>
        </w:rPr>
        <w:t xml:space="preserve"> indigenous community.</w:t>
      </w:r>
    </w:p>
    <w:p w14:paraId="400DFC80" w14:textId="77777777" w:rsidR="0042003E" w:rsidRPr="00FA5415" w:rsidRDefault="0042003E" w:rsidP="0042003E">
      <w:pPr>
        <w:pStyle w:val="ListParagraph"/>
        <w:spacing w:after="0"/>
        <w:ind w:left="0" w:right="-20"/>
        <w:jc w:val="both"/>
        <w:rPr>
          <w:rFonts w:eastAsia="Calibri" w:cstheme="minorHAnsi"/>
          <w:b/>
          <w:u w:val="single"/>
        </w:rPr>
      </w:pPr>
    </w:p>
    <w:p w14:paraId="739C9EAD" w14:textId="77777777" w:rsidR="0042003E" w:rsidRPr="00FA5415" w:rsidRDefault="0042003E" w:rsidP="0042003E">
      <w:pPr>
        <w:pStyle w:val="ListParagraph"/>
        <w:numPr>
          <w:ilvl w:val="0"/>
          <w:numId w:val="3"/>
        </w:numPr>
        <w:spacing w:after="0"/>
        <w:ind w:right="-20"/>
        <w:jc w:val="both"/>
        <w:rPr>
          <w:rFonts w:eastAsia="Calibri" w:cstheme="minorHAnsi"/>
          <w:b/>
          <w:u w:val="single"/>
        </w:rPr>
      </w:pPr>
      <w:r w:rsidRPr="00FA5415">
        <w:rPr>
          <w:rFonts w:eastAsia="Calibri" w:cstheme="minorHAnsi"/>
          <w:b/>
          <w:u w:val="single"/>
        </w:rPr>
        <w:t>Meaningless Consultation in Environmental Impact Analysis</w:t>
      </w:r>
    </w:p>
    <w:p w14:paraId="5A804D6E" w14:textId="77777777" w:rsidR="0042003E" w:rsidRPr="00FA5415" w:rsidRDefault="0042003E" w:rsidP="0042003E">
      <w:pPr>
        <w:pStyle w:val="ListParagraph"/>
        <w:spacing w:after="0"/>
        <w:ind w:left="0" w:right="-20"/>
        <w:jc w:val="both"/>
        <w:rPr>
          <w:rFonts w:cstheme="minorHAnsi"/>
          <w:i/>
          <w:iCs/>
        </w:rPr>
      </w:pPr>
      <w:r w:rsidRPr="00FA5415">
        <w:rPr>
          <w:rFonts w:eastAsia="Calibri" w:cstheme="minorHAnsi"/>
          <w:i/>
          <w:iCs/>
        </w:rPr>
        <w:t xml:space="preserve">This section examines the construction of a hydroelectric dam in the </w:t>
      </w:r>
      <w:proofErr w:type="spellStart"/>
      <w:r w:rsidRPr="00FA5415">
        <w:rPr>
          <w:rFonts w:eastAsia="Calibri" w:cstheme="minorHAnsi"/>
          <w:i/>
          <w:iCs/>
        </w:rPr>
        <w:t>Batangtoru</w:t>
      </w:r>
      <w:proofErr w:type="spellEnd"/>
      <w:r w:rsidRPr="00FA5415">
        <w:rPr>
          <w:rFonts w:eastAsia="Calibri" w:cstheme="minorHAnsi"/>
          <w:i/>
          <w:iCs/>
        </w:rPr>
        <w:t xml:space="preserve"> Landscape which endangers biodiversity in the area and marginalized communities:</w:t>
      </w:r>
    </w:p>
    <w:p w14:paraId="07275519"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Responding to the matters stated in paragraph 175 of the Indonesian Government report, the Environmental Impact Analysis (AMDAL) assessment process and community participation in AMDAL are still far from practical. This can be seen from practices in the </w:t>
      </w:r>
      <w:proofErr w:type="spellStart"/>
      <w:r w:rsidRPr="00FA5415">
        <w:rPr>
          <w:rFonts w:eastAsia="Calibri" w:cstheme="minorHAnsi"/>
        </w:rPr>
        <w:t>Batangtoru</w:t>
      </w:r>
      <w:proofErr w:type="spellEnd"/>
      <w:r w:rsidRPr="00FA5415">
        <w:rPr>
          <w:rFonts w:eastAsia="Calibri" w:cstheme="minorHAnsi"/>
        </w:rPr>
        <w:t xml:space="preserve"> landscape Gold where the </w:t>
      </w:r>
      <w:proofErr w:type="spellStart"/>
      <w:r w:rsidRPr="00FA5415">
        <w:rPr>
          <w:rFonts w:eastAsia="Calibri" w:cstheme="minorHAnsi"/>
        </w:rPr>
        <w:t>Martabe</w:t>
      </w:r>
      <w:proofErr w:type="spellEnd"/>
      <w:r w:rsidRPr="00FA5415">
        <w:rPr>
          <w:rFonts w:eastAsia="Calibri" w:cstheme="minorHAnsi"/>
        </w:rPr>
        <w:t xml:space="preserve"> Goldmine, PT Agincourt Resources, the </w:t>
      </w:r>
      <w:proofErr w:type="spellStart"/>
      <w:r w:rsidRPr="00FA5415">
        <w:rPr>
          <w:rFonts w:eastAsia="Calibri" w:cstheme="minorHAnsi"/>
        </w:rPr>
        <w:t>Batang</w:t>
      </w:r>
      <w:proofErr w:type="spellEnd"/>
      <w:r w:rsidRPr="00FA5415">
        <w:rPr>
          <w:rFonts w:eastAsia="Calibri" w:cstheme="minorHAnsi"/>
        </w:rPr>
        <w:t xml:space="preserve"> Toru hydroelectric power plant built by PT North Sumatra Hydro Energy (NSHE), as well as other companies are currently operating and whose existence actually damages the landscape and the environment.</w:t>
      </w:r>
    </w:p>
    <w:p w14:paraId="0AF85549"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The </w:t>
      </w:r>
      <w:proofErr w:type="spellStart"/>
      <w:r w:rsidRPr="00FA5415">
        <w:rPr>
          <w:rFonts w:eastAsia="Calibri" w:cstheme="minorHAnsi"/>
        </w:rPr>
        <w:t>Batang</w:t>
      </w:r>
      <w:proofErr w:type="spellEnd"/>
      <w:r w:rsidRPr="00FA5415">
        <w:rPr>
          <w:rFonts w:eastAsia="Calibri" w:cstheme="minorHAnsi"/>
        </w:rPr>
        <w:t xml:space="preserve"> Toru Dam is a hydroelectric project currently under construction in the fragile </w:t>
      </w:r>
      <w:proofErr w:type="spellStart"/>
      <w:r w:rsidRPr="00FA5415">
        <w:rPr>
          <w:rFonts w:eastAsia="Calibri" w:cstheme="minorHAnsi"/>
        </w:rPr>
        <w:t>Batang</w:t>
      </w:r>
      <w:proofErr w:type="spellEnd"/>
      <w:r w:rsidRPr="00FA5415">
        <w:rPr>
          <w:rFonts w:eastAsia="Calibri" w:cstheme="minorHAnsi"/>
        </w:rPr>
        <w:t xml:space="preserve"> Toru ecosystem, North Sumatra. It will have potentially irreversible environmental, social, and biodiversity impacts on the North Sumatran region in Indonesia. The </w:t>
      </w:r>
      <w:proofErr w:type="spellStart"/>
      <w:r w:rsidRPr="00FA5415">
        <w:rPr>
          <w:rFonts w:eastAsia="Calibri" w:cstheme="minorHAnsi"/>
        </w:rPr>
        <w:t>Batang</w:t>
      </w:r>
      <w:proofErr w:type="spellEnd"/>
      <w:r w:rsidRPr="00FA5415">
        <w:rPr>
          <w:rFonts w:eastAsia="Calibri" w:cstheme="minorHAnsi"/>
        </w:rPr>
        <w:t xml:space="preserve"> Toru ecosystem is a</w:t>
      </w:r>
      <w:hyperlink r:id="rId20">
        <w:r w:rsidRPr="00FA5415">
          <w:rPr>
            <w:rStyle w:val="Hyperlink"/>
            <w:rFonts w:eastAsia="Calibri" w:cstheme="minorHAnsi"/>
          </w:rPr>
          <w:t xml:space="preserve"> </w:t>
        </w:r>
        <w:r w:rsidRPr="00FA5415">
          <w:rPr>
            <w:rStyle w:val="Hyperlink"/>
            <w:rFonts w:eastAsia="Calibri" w:cstheme="minorHAnsi"/>
            <w:color w:val="1155CC"/>
          </w:rPr>
          <w:t>critical habitat</w:t>
        </w:r>
      </w:hyperlink>
      <w:r w:rsidRPr="00FA5415">
        <w:rPr>
          <w:rFonts w:eastAsia="Calibri" w:cstheme="minorHAnsi"/>
        </w:rPr>
        <w:t xml:space="preserve"> for many endangered species including Sumatran tigers, sun bears, agile gibbons, and pangolins. This ecosystem is the only known habitat of the newly discovered </w:t>
      </w:r>
      <w:proofErr w:type="spellStart"/>
      <w:r w:rsidRPr="00FA5415">
        <w:rPr>
          <w:rFonts w:eastAsia="Calibri" w:cstheme="minorHAnsi"/>
        </w:rPr>
        <w:t>Tapanuli</w:t>
      </w:r>
      <w:proofErr w:type="spellEnd"/>
      <w:r w:rsidRPr="00FA5415">
        <w:rPr>
          <w:rFonts w:eastAsia="Calibri" w:cstheme="minorHAnsi"/>
        </w:rPr>
        <w:t xml:space="preserve"> orangutan, of which fewer than 800 currently remain – making it the most endangered Great Ape species in the world. If built, the </w:t>
      </w:r>
      <w:proofErr w:type="spellStart"/>
      <w:r w:rsidRPr="00FA5415">
        <w:rPr>
          <w:rFonts w:eastAsia="Calibri" w:cstheme="minorHAnsi"/>
        </w:rPr>
        <w:t>Batang</w:t>
      </w:r>
      <w:proofErr w:type="spellEnd"/>
      <w:r w:rsidRPr="00FA5415">
        <w:rPr>
          <w:rFonts w:eastAsia="Calibri" w:cstheme="minorHAnsi"/>
        </w:rPr>
        <w:t xml:space="preserve"> Toru Dam project will likely</w:t>
      </w:r>
      <w:hyperlink r:id="rId21">
        <w:r w:rsidRPr="00FA5415">
          <w:rPr>
            <w:rStyle w:val="Hyperlink"/>
            <w:rFonts w:eastAsia="Calibri" w:cstheme="minorHAnsi"/>
          </w:rPr>
          <w:t xml:space="preserve"> </w:t>
        </w:r>
        <w:r w:rsidRPr="00FA5415">
          <w:rPr>
            <w:rStyle w:val="Hyperlink"/>
            <w:rFonts w:eastAsia="Calibri" w:cstheme="minorHAnsi"/>
            <w:color w:val="1155CC"/>
          </w:rPr>
          <w:t xml:space="preserve">push the </w:t>
        </w:r>
        <w:proofErr w:type="spellStart"/>
        <w:r w:rsidRPr="00FA5415">
          <w:rPr>
            <w:rStyle w:val="Hyperlink"/>
            <w:rFonts w:eastAsia="Calibri" w:cstheme="minorHAnsi"/>
            <w:color w:val="1155CC"/>
          </w:rPr>
          <w:t>Tapanuli</w:t>
        </w:r>
        <w:proofErr w:type="spellEnd"/>
        <w:r w:rsidRPr="00FA5415">
          <w:rPr>
            <w:rStyle w:val="Hyperlink"/>
            <w:rFonts w:eastAsia="Calibri" w:cstheme="minorHAnsi"/>
            <w:color w:val="1155CC"/>
          </w:rPr>
          <w:t xml:space="preserve"> orangutan to extinction</w:t>
        </w:r>
      </w:hyperlink>
      <w:r w:rsidRPr="00FA5415">
        <w:rPr>
          <w:rFonts w:eastAsia="Calibri" w:cstheme="minorHAnsi"/>
        </w:rPr>
        <w:t>.</w:t>
      </w:r>
    </w:p>
    <w:p w14:paraId="73EC83A5"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The project is expected to generate 510 MW electricity for six hours a day and will occupy several hundred hectares of prime habitat along the </w:t>
      </w:r>
      <w:proofErr w:type="spellStart"/>
      <w:r w:rsidRPr="00FA5415">
        <w:rPr>
          <w:rFonts w:eastAsia="Calibri" w:cstheme="minorHAnsi"/>
        </w:rPr>
        <w:t>Batang</w:t>
      </w:r>
      <w:proofErr w:type="spellEnd"/>
      <w:r w:rsidRPr="00FA5415">
        <w:rPr>
          <w:rFonts w:eastAsia="Calibri" w:cstheme="minorHAnsi"/>
        </w:rPr>
        <w:t xml:space="preserve"> Toru River in the South </w:t>
      </w:r>
      <w:proofErr w:type="spellStart"/>
      <w:r w:rsidRPr="00FA5415">
        <w:rPr>
          <w:rFonts w:eastAsia="Calibri" w:cstheme="minorHAnsi"/>
        </w:rPr>
        <w:t>Tapanuli</w:t>
      </w:r>
      <w:proofErr w:type="spellEnd"/>
      <w:r w:rsidRPr="00FA5415">
        <w:rPr>
          <w:rFonts w:eastAsia="Calibri" w:cstheme="minorHAnsi"/>
        </w:rPr>
        <w:t xml:space="preserve"> district, but impacts a much larger area. PT North Sumatra Hydro Energy (PT NSHE) is developing the project which is slated to become operational by 2026 and is expected to cost USD 1.67 billion. The Chinese State Development Bank (SDIC Power) holds a 70% stake in PT </w:t>
      </w:r>
      <w:proofErr w:type="spellStart"/>
      <w:r w:rsidRPr="00FA5415">
        <w:rPr>
          <w:rFonts w:eastAsia="Calibri" w:cstheme="minorHAnsi"/>
        </w:rPr>
        <w:t>PT</w:t>
      </w:r>
      <w:proofErr w:type="spellEnd"/>
      <w:r w:rsidRPr="00FA5415">
        <w:rPr>
          <w:rFonts w:eastAsia="Calibri" w:cstheme="minorHAnsi"/>
        </w:rPr>
        <w:t xml:space="preserve"> NSHE, alongside the Indonesian State-owned electricity monopoly (PT PLN through its subsidiary PT PJB </w:t>
      </w:r>
      <w:proofErr w:type="spellStart"/>
      <w:r w:rsidRPr="00FA5415">
        <w:rPr>
          <w:rFonts w:eastAsia="Calibri" w:cstheme="minorHAnsi"/>
        </w:rPr>
        <w:t>Investasi</w:t>
      </w:r>
      <w:proofErr w:type="spellEnd"/>
      <w:r w:rsidRPr="00FA5415">
        <w:rPr>
          <w:rFonts w:eastAsia="Calibri" w:cstheme="minorHAnsi"/>
        </w:rPr>
        <w:t>, who hold 25%).</w:t>
      </w:r>
    </w:p>
    <w:p w14:paraId="53833EA3"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The dam will radically alter the nature of downstream water courses, significantly impacting the local people.</w:t>
      </w:r>
      <w:hyperlink r:id="rId22">
        <w:r w:rsidRPr="00FA5415">
          <w:rPr>
            <w:rStyle w:val="Hyperlink"/>
            <w:rFonts w:eastAsia="Calibri" w:cstheme="minorHAnsi"/>
          </w:rPr>
          <w:t xml:space="preserve"> </w:t>
        </w:r>
        <w:r w:rsidRPr="00FA5415">
          <w:rPr>
            <w:rStyle w:val="Hyperlink"/>
            <w:rFonts w:eastAsia="Calibri" w:cstheme="minorHAnsi"/>
            <w:color w:val="1155CC"/>
          </w:rPr>
          <w:t>Investigations into the project</w:t>
        </w:r>
      </w:hyperlink>
      <w:r w:rsidRPr="00FA5415">
        <w:rPr>
          <w:rFonts w:eastAsia="Calibri" w:cstheme="minorHAnsi"/>
        </w:rPr>
        <w:t xml:space="preserve"> in Indonesia have brought to light poor planning and financial mismanagement, whilst the price charged for generating electricity will be over the market rate. Furthermore, the electricity it will produce is no longer required to meet demand in the region. The dam will produce electricity during periods of peak demand, typically between 6pm and midnight. During the day, the river will be blocked and the reservoir above the dam will gradually fill up, to be released later through the tunnel and turbines to generate electricity. Downstream communities, which normally experience drought and flood cycles a few times a year, will be affected on a daily basis.</w:t>
      </w:r>
    </w:p>
    <w:p w14:paraId="6D06CA0E"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The dam’s construction has cost the lives of 18 construction workers and local people, following a series of</w:t>
      </w:r>
      <w:hyperlink r:id="rId23">
        <w:r w:rsidRPr="00FA5415">
          <w:rPr>
            <w:rStyle w:val="Hyperlink"/>
            <w:rFonts w:eastAsia="Calibri" w:cstheme="minorHAnsi"/>
          </w:rPr>
          <w:t xml:space="preserve"> </w:t>
        </w:r>
        <w:r w:rsidRPr="00FA5415">
          <w:rPr>
            <w:rStyle w:val="Hyperlink"/>
            <w:rFonts w:eastAsia="Calibri" w:cstheme="minorHAnsi"/>
            <w:color w:val="1155CC"/>
          </w:rPr>
          <w:t>landslides</w:t>
        </w:r>
      </w:hyperlink>
      <w:r w:rsidRPr="00FA5415">
        <w:rPr>
          <w:rFonts w:eastAsia="Calibri" w:cstheme="minorHAnsi"/>
        </w:rPr>
        <w:t xml:space="preserve"> and</w:t>
      </w:r>
      <w:hyperlink r:id="rId24">
        <w:r w:rsidRPr="00FA5415">
          <w:rPr>
            <w:rStyle w:val="Hyperlink"/>
            <w:rFonts w:eastAsia="Calibri" w:cstheme="minorHAnsi"/>
          </w:rPr>
          <w:t xml:space="preserve"> </w:t>
        </w:r>
        <w:r w:rsidRPr="00FA5415">
          <w:rPr>
            <w:rStyle w:val="Hyperlink"/>
            <w:rFonts w:eastAsia="Calibri" w:cstheme="minorHAnsi"/>
            <w:color w:val="1155CC"/>
          </w:rPr>
          <w:t>tunnel collapses</w:t>
        </w:r>
      </w:hyperlink>
      <w:r w:rsidRPr="00FA5415">
        <w:rPr>
          <w:rFonts w:eastAsia="Calibri" w:cstheme="minorHAnsi"/>
        </w:rPr>
        <w:t xml:space="preserve">. Campaigners report a pattern of intimidation against those who challenge this project in Indonesia, including the death of WALHI lawyer </w:t>
      </w:r>
      <w:proofErr w:type="spellStart"/>
      <w:r w:rsidRPr="00FA5415">
        <w:rPr>
          <w:rFonts w:eastAsia="Calibri" w:cstheme="minorHAnsi"/>
        </w:rPr>
        <w:t>Golfrid</w:t>
      </w:r>
      <w:proofErr w:type="spellEnd"/>
      <w:r w:rsidRPr="00FA5415">
        <w:rPr>
          <w:rFonts w:eastAsia="Calibri" w:cstheme="minorHAnsi"/>
        </w:rPr>
        <w:t xml:space="preserve"> Siregar under</w:t>
      </w:r>
      <w:hyperlink r:id="rId25">
        <w:r w:rsidRPr="00FA5415">
          <w:rPr>
            <w:rStyle w:val="Hyperlink"/>
            <w:rFonts w:eastAsia="Calibri" w:cstheme="minorHAnsi"/>
          </w:rPr>
          <w:t xml:space="preserve"> </w:t>
        </w:r>
        <w:r w:rsidRPr="00FA5415">
          <w:rPr>
            <w:rStyle w:val="Hyperlink"/>
            <w:rFonts w:eastAsia="Calibri" w:cstheme="minorHAnsi"/>
            <w:color w:val="1155CC"/>
          </w:rPr>
          <w:t>suspicious circumstances</w:t>
        </w:r>
      </w:hyperlink>
      <w:r w:rsidRPr="00FA5415">
        <w:rPr>
          <w:rFonts w:eastAsia="Calibri" w:cstheme="minorHAnsi"/>
        </w:rPr>
        <w:t xml:space="preserve"> in 2019. In 2023, a public discussion on the dam was</w:t>
      </w:r>
      <w:hyperlink r:id="rId26">
        <w:r w:rsidRPr="00FA5415">
          <w:rPr>
            <w:rStyle w:val="Hyperlink"/>
            <w:rFonts w:eastAsia="Calibri" w:cstheme="minorHAnsi"/>
          </w:rPr>
          <w:t xml:space="preserve"> </w:t>
        </w:r>
        <w:r w:rsidRPr="00FA5415">
          <w:rPr>
            <w:rStyle w:val="Hyperlink"/>
            <w:rFonts w:eastAsia="Calibri" w:cstheme="minorHAnsi"/>
            <w:color w:val="1155CC"/>
          </w:rPr>
          <w:t>violently disrupted</w:t>
        </w:r>
      </w:hyperlink>
      <w:r w:rsidRPr="00FA5415">
        <w:rPr>
          <w:rFonts w:eastAsia="Calibri" w:cstheme="minorHAnsi"/>
        </w:rPr>
        <w:t>, prompting condemnation by free speech and press rights groups.</w:t>
      </w:r>
    </w:p>
    <w:p w14:paraId="388268EE" w14:textId="77777777" w:rsidR="0042003E" w:rsidRPr="00FA5415" w:rsidRDefault="0042003E" w:rsidP="0042003E">
      <w:pPr>
        <w:pStyle w:val="ListParagraph"/>
        <w:numPr>
          <w:ilvl w:val="0"/>
          <w:numId w:val="1"/>
        </w:numPr>
        <w:spacing w:after="0"/>
        <w:ind w:right="-20"/>
        <w:jc w:val="both"/>
        <w:rPr>
          <w:rFonts w:eastAsia="Calibri" w:cstheme="minorHAnsi"/>
        </w:rPr>
      </w:pPr>
      <w:r w:rsidRPr="00FA5415">
        <w:rPr>
          <w:rFonts w:eastAsia="Calibri" w:cstheme="minorHAnsi"/>
        </w:rPr>
        <w:t xml:space="preserve">A </w:t>
      </w:r>
      <w:proofErr w:type="spellStart"/>
      <w:r w:rsidRPr="00FA5415">
        <w:rPr>
          <w:rFonts w:eastAsia="Calibri" w:cstheme="minorHAnsi"/>
        </w:rPr>
        <w:t>Riverscope</w:t>
      </w:r>
      <w:proofErr w:type="spellEnd"/>
      <w:r w:rsidRPr="00FA5415">
        <w:rPr>
          <w:rFonts w:cstheme="minorHAnsi"/>
        </w:rPr>
        <w:fldChar w:fldCharType="begin"/>
      </w:r>
      <w:r w:rsidRPr="00FA5415">
        <w:rPr>
          <w:rFonts w:cstheme="minorHAnsi"/>
        </w:rPr>
        <w:instrText>HYPERLINK "https://riverscope.org/wp-content/uploads/2021/09/Case-Study-Batang-Toru2.pdf" \h</w:instrText>
      </w:r>
      <w:r w:rsidRPr="00FA5415">
        <w:rPr>
          <w:rFonts w:cstheme="minorHAnsi"/>
        </w:rPr>
      </w:r>
      <w:r w:rsidRPr="00FA5415">
        <w:rPr>
          <w:rFonts w:cstheme="minorHAnsi"/>
        </w:rPr>
        <w:fldChar w:fldCharType="separate"/>
      </w:r>
      <w:r w:rsidRPr="00FA5415">
        <w:rPr>
          <w:rStyle w:val="Hyperlink"/>
          <w:rFonts w:eastAsia="Calibri" w:cstheme="minorHAnsi"/>
        </w:rPr>
        <w:t xml:space="preserve"> </w:t>
      </w:r>
      <w:r w:rsidRPr="00FA5415">
        <w:rPr>
          <w:rStyle w:val="Hyperlink"/>
          <w:rFonts w:eastAsia="Calibri" w:cstheme="minorHAnsi"/>
          <w:color w:val="1155CC"/>
        </w:rPr>
        <w:t>case study</w:t>
      </w:r>
      <w:r w:rsidRPr="00FA5415">
        <w:rPr>
          <w:rStyle w:val="Hyperlink"/>
          <w:rFonts w:eastAsia="Calibri" w:cstheme="minorHAnsi"/>
          <w:color w:val="1155CC"/>
          <w:u w:val="none"/>
        </w:rPr>
        <w:fldChar w:fldCharType="end"/>
      </w:r>
      <w:r w:rsidRPr="00FA5415">
        <w:rPr>
          <w:rFonts w:eastAsia="Calibri" w:cstheme="minorHAnsi"/>
        </w:rPr>
        <w:t xml:space="preserve"> of the project found “labor rights infringements and threats to employee safety”, as well as conflict between workers and local people. Local communities and indigenous groups dispute the state’s acquisition of land for the project. There has also been</w:t>
      </w:r>
      <w:hyperlink r:id="rId27">
        <w:r w:rsidRPr="00FA5415">
          <w:rPr>
            <w:rStyle w:val="Hyperlink"/>
            <w:rFonts w:eastAsia="Calibri" w:cstheme="minorHAnsi"/>
          </w:rPr>
          <w:t xml:space="preserve"> </w:t>
        </w:r>
        <w:r w:rsidRPr="00FA5415">
          <w:rPr>
            <w:rStyle w:val="Hyperlink"/>
            <w:rFonts w:eastAsia="Calibri" w:cstheme="minorHAnsi"/>
            <w:color w:val="1155CC"/>
          </w:rPr>
          <w:t>increased conflict</w:t>
        </w:r>
      </w:hyperlink>
      <w:r w:rsidRPr="00FA5415">
        <w:rPr>
          <w:rFonts w:eastAsia="Calibri" w:cstheme="minorHAnsi"/>
        </w:rPr>
        <w:t xml:space="preserve"> between local people and the </w:t>
      </w:r>
      <w:proofErr w:type="spellStart"/>
      <w:r w:rsidRPr="00FA5415">
        <w:rPr>
          <w:rFonts w:eastAsia="Calibri" w:cstheme="minorHAnsi"/>
        </w:rPr>
        <w:t>Tapanuli</w:t>
      </w:r>
      <w:proofErr w:type="spellEnd"/>
      <w:r w:rsidRPr="00FA5415">
        <w:rPr>
          <w:rFonts w:eastAsia="Calibri" w:cstheme="minorHAnsi"/>
        </w:rPr>
        <w:t xml:space="preserve"> orangutan population as a result of construction, which has pushed them out of their habitat and towards farms and homes on the edge of the forest. Along with an</w:t>
      </w:r>
      <w:hyperlink r:id="rId28">
        <w:r w:rsidRPr="00FA5415">
          <w:rPr>
            <w:rStyle w:val="Hyperlink"/>
            <w:rFonts w:eastAsia="Calibri" w:cstheme="minorHAnsi"/>
          </w:rPr>
          <w:t xml:space="preserve"> </w:t>
        </w:r>
        <w:r w:rsidRPr="00FA5415">
          <w:rPr>
            <w:rStyle w:val="Hyperlink"/>
            <w:rFonts w:eastAsia="Calibri" w:cstheme="minorHAnsi"/>
            <w:color w:val="1155CC"/>
          </w:rPr>
          <w:t>IUCN moratorium</w:t>
        </w:r>
      </w:hyperlink>
      <w:r w:rsidRPr="00FA5415">
        <w:rPr>
          <w:rFonts w:eastAsia="Calibri" w:cstheme="minorHAnsi"/>
        </w:rPr>
        <w:t>, calls to stop this project have come from</w:t>
      </w:r>
      <w:hyperlink r:id="rId29">
        <w:r w:rsidRPr="00FA5415">
          <w:rPr>
            <w:rStyle w:val="Hyperlink"/>
            <w:rFonts w:eastAsia="Calibri" w:cstheme="minorHAnsi"/>
          </w:rPr>
          <w:t xml:space="preserve"> </w:t>
        </w:r>
        <w:r w:rsidRPr="00FA5415">
          <w:rPr>
            <w:rStyle w:val="Hyperlink"/>
            <w:rFonts w:eastAsia="Calibri" w:cstheme="minorHAnsi"/>
            <w:color w:val="1155CC"/>
          </w:rPr>
          <w:t>international civil society groups</w:t>
        </w:r>
      </w:hyperlink>
      <w:r w:rsidRPr="00FA5415">
        <w:rPr>
          <w:rFonts w:eastAsia="Calibri" w:cstheme="minorHAnsi"/>
        </w:rPr>
        <w:t>, as well as scientists and campaigners in</w:t>
      </w:r>
      <w:hyperlink r:id="rId30">
        <w:r w:rsidRPr="00FA5415">
          <w:rPr>
            <w:rStyle w:val="Hyperlink"/>
            <w:rFonts w:eastAsia="Calibri" w:cstheme="minorHAnsi"/>
          </w:rPr>
          <w:t xml:space="preserve"> </w:t>
        </w:r>
        <w:r w:rsidRPr="00FA5415">
          <w:rPr>
            <w:rStyle w:val="Hyperlink"/>
            <w:rFonts w:eastAsia="Calibri" w:cstheme="minorHAnsi"/>
            <w:color w:val="1155CC"/>
          </w:rPr>
          <w:t>Scotland and Indonesia</w:t>
        </w:r>
      </w:hyperlink>
      <w:r w:rsidRPr="00FA5415">
        <w:rPr>
          <w:rFonts w:eastAsia="Calibri" w:cstheme="minorHAnsi"/>
        </w:rPr>
        <w:t>.</w:t>
      </w:r>
    </w:p>
    <w:p w14:paraId="7E005763" w14:textId="77777777" w:rsidR="0042003E" w:rsidRPr="00FA5415" w:rsidRDefault="0042003E" w:rsidP="0042003E">
      <w:pPr>
        <w:ind w:left="360" w:right="-20"/>
        <w:jc w:val="both"/>
        <w:rPr>
          <w:rFonts w:asciiTheme="minorHAnsi" w:eastAsia="Calibri" w:hAnsiTheme="minorHAnsi" w:cstheme="minorHAnsi"/>
          <w:sz w:val="22"/>
          <w:szCs w:val="22"/>
        </w:rPr>
      </w:pPr>
    </w:p>
    <w:p w14:paraId="6E256480" w14:textId="77777777" w:rsidR="0042003E" w:rsidRPr="00FA5415" w:rsidRDefault="0042003E" w:rsidP="0042003E">
      <w:pPr>
        <w:pStyle w:val="ListParagraph"/>
        <w:spacing w:after="0"/>
        <w:ind w:left="0" w:right="-20"/>
        <w:jc w:val="both"/>
        <w:rPr>
          <w:rFonts w:eastAsia="Calibri" w:cstheme="minorHAnsi"/>
          <w:i/>
          <w:iCs/>
        </w:rPr>
      </w:pPr>
      <w:r w:rsidRPr="00FA5415">
        <w:rPr>
          <w:rFonts w:eastAsia="Calibri" w:cstheme="minorHAnsi"/>
          <w:i/>
          <w:iCs/>
        </w:rPr>
        <w:t>Recommendation:</w:t>
      </w:r>
    </w:p>
    <w:p w14:paraId="2B8D864D" w14:textId="77777777" w:rsidR="0042003E" w:rsidRPr="00FA5415" w:rsidRDefault="0042003E" w:rsidP="0042003E">
      <w:pPr>
        <w:pStyle w:val="ListParagraph"/>
        <w:numPr>
          <w:ilvl w:val="0"/>
          <w:numId w:val="9"/>
        </w:numPr>
        <w:spacing w:after="0"/>
        <w:ind w:left="709" w:right="-20"/>
        <w:jc w:val="both"/>
        <w:rPr>
          <w:rFonts w:eastAsia="Calibri" w:cstheme="minorHAnsi"/>
        </w:rPr>
      </w:pPr>
      <w:r w:rsidRPr="00FA5415">
        <w:rPr>
          <w:rFonts w:eastAsia="Calibri" w:cstheme="minorHAnsi"/>
        </w:rPr>
        <w:t xml:space="preserve">Stop the construction of hydroelectric dams in the key </w:t>
      </w:r>
      <w:proofErr w:type="spellStart"/>
      <w:r w:rsidRPr="00FA5415">
        <w:rPr>
          <w:rFonts w:eastAsia="Calibri" w:cstheme="minorHAnsi"/>
        </w:rPr>
        <w:t>Batangtoru</w:t>
      </w:r>
      <w:proofErr w:type="spellEnd"/>
      <w:r w:rsidRPr="00FA5415">
        <w:rPr>
          <w:rFonts w:eastAsia="Calibri" w:cstheme="minorHAnsi"/>
        </w:rPr>
        <w:t xml:space="preserve"> ecosystem to maintain the survival of the </w:t>
      </w:r>
      <w:proofErr w:type="spellStart"/>
      <w:r w:rsidRPr="00FA5415">
        <w:rPr>
          <w:rFonts w:eastAsia="Calibri" w:cstheme="minorHAnsi"/>
        </w:rPr>
        <w:t>Tapanuli</w:t>
      </w:r>
      <w:proofErr w:type="spellEnd"/>
      <w:r w:rsidRPr="00FA5415">
        <w:rPr>
          <w:rFonts w:eastAsia="Calibri" w:cstheme="minorHAnsi"/>
        </w:rPr>
        <w:t xml:space="preserve"> Orangutan;</w:t>
      </w:r>
    </w:p>
    <w:p w14:paraId="6F65FEED" w14:textId="77777777" w:rsidR="0042003E" w:rsidRPr="00FA5415" w:rsidRDefault="0042003E" w:rsidP="0042003E">
      <w:pPr>
        <w:pStyle w:val="ListParagraph"/>
        <w:numPr>
          <w:ilvl w:val="0"/>
          <w:numId w:val="9"/>
        </w:numPr>
        <w:spacing w:after="0"/>
        <w:ind w:left="709" w:right="-20"/>
        <w:jc w:val="both"/>
        <w:rPr>
          <w:rFonts w:eastAsia="Calibri" w:cstheme="minorHAnsi"/>
        </w:rPr>
      </w:pPr>
      <w:r w:rsidRPr="00FA5415">
        <w:rPr>
          <w:rFonts w:eastAsia="Calibri" w:cstheme="minorHAnsi"/>
        </w:rPr>
        <w:t xml:space="preserve">Stop the expansion of the </w:t>
      </w:r>
      <w:proofErr w:type="spellStart"/>
      <w:r w:rsidRPr="00FA5415">
        <w:rPr>
          <w:rFonts w:eastAsia="Calibri" w:cstheme="minorHAnsi"/>
        </w:rPr>
        <w:t>Martabe</w:t>
      </w:r>
      <w:proofErr w:type="spellEnd"/>
      <w:r w:rsidRPr="00FA5415">
        <w:rPr>
          <w:rFonts w:eastAsia="Calibri" w:cstheme="minorHAnsi"/>
        </w:rPr>
        <w:t xml:space="preserve"> mining concession.</w:t>
      </w:r>
    </w:p>
    <w:p w14:paraId="36F1CAD3" w14:textId="77777777" w:rsidR="0042003E" w:rsidRPr="00FA5415" w:rsidRDefault="0042003E" w:rsidP="0042003E">
      <w:pPr>
        <w:pStyle w:val="ListParagraph"/>
        <w:spacing w:after="0"/>
        <w:ind w:right="-20"/>
        <w:jc w:val="both"/>
        <w:rPr>
          <w:rFonts w:eastAsia="Calibri" w:cstheme="minorHAnsi"/>
        </w:rPr>
      </w:pPr>
    </w:p>
    <w:p w14:paraId="74FEDCE3" w14:textId="77777777" w:rsidR="0042003E" w:rsidRPr="00FA5415" w:rsidRDefault="0042003E" w:rsidP="0042003E">
      <w:pPr>
        <w:pStyle w:val="ListParagraph"/>
        <w:numPr>
          <w:ilvl w:val="0"/>
          <w:numId w:val="3"/>
        </w:numPr>
        <w:spacing w:after="0"/>
        <w:ind w:right="-20"/>
        <w:jc w:val="both"/>
        <w:rPr>
          <w:rFonts w:eastAsia="Calibri" w:cstheme="minorHAnsi"/>
          <w:b/>
          <w:u w:val="single"/>
        </w:rPr>
      </w:pPr>
      <w:r w:rsidRPr="00FA5415">
        <w:rPr>
          <w:rFonts w:eastAsia="Calibri" w:cstheme="minorHAnsi"/>
          <w:b/>
          <w:u w:val="single"/>
        </w:rPr>
        <w:t xml:space="preserve"> Indonesia's current position on the United Guiding Principles on Business and Human Rights (UNGPs)</w:t>
      </w:r>
    </w:p>
    <w:p w14:paraId="706CE14E" w14:textId="77777777" w:rsidR="0042003E" w:rsidRPr="00FA5415" w:rsidRDefault="0042003E" w:rsidP="0042003E">
      <w:pPr>
        <w:pStyle w:val="ListParagraph"/>
        <w:numPr>
          <w:ilvl w:val="3"/>
          <w:numId w:val="5"/>
        </w:numPr>
        <w:spacing w:after="0"/>
        <w:ind w:left="709" w:right="-20"/>
        <w:jc w:val="both"/>
        <w:rPr>
          <w:rFonts w:eastAsia="Calibri" w:cstheme="minorHAnsi"/>
        </w:rPr>
      </w:pPr>
      <w:r w:rsidRPr="00FA5415">
        <w:rPr>
          <w:rFonts w:eastAsia="Calibri" w:cstheme="minorHAnsi"/>
        </w:rPr>
        <w:t xml:space="preserve">The various efforts made as explained in numbers 180 to 182 will basically not have a significant impact on respect for human rights related to business operations. This is because: First, the existence of the Job Creation Law which weakens social and environmental protection must be read as the latest existing regulation and become a reference in looking at the context and direction of development in Indonesia which provides convenience for business. For example, one of the important articles related to environmental protection for businesses carried out by the business sector is the abolition of the Environmental Permit provisions and replacing them with the term Environmental Approval. This is evidence of the weakening of damage prevention instruments or tools in the form of environmental permits, becoming only administrative requirements through environmental approvals. Second, the initiatives presented in paragraph 180 are regulations under the law, although in some technical matters they are actually good, but in a </w:t>
      </w:r>
      <w:proofErr w:type="gramStart"/>
      <w:r w:rsidRPr="00FA5415">
        <w:rPr>
          <w:rFonts w:eastAsia="Calibri" w:cstheme="minorHAnsi"/>
        </w:rPr>
        <w:t>position</w:t>
      </w:r>
      <w:proofErr w:type="gramEnd"/>
      <w:r w:rsidRPr="00FA5415">
        <w:rPr>
          <w:rFonts w:eastAsia="Calibri" w:cstheme="minorHAnsi"/>
        </w:rPr>
        <w:t xml:space="preserve"> they are weaker than the law. </w:t>
      </w:r>
      <w:proofErr w:type="gramStart"/>
      <w:r w:rsidRPr="00FA5415">
        <w:rPr>
          <w:rFonts w:eastAsia="Calibri" w:cstheme="minorHAnsi"/>
        </w:rPr>
        <w:t>So</w:t>
      </w:r>
      <w:proofErr w:type="gramEnd"/>
      <w:r w:rsidRPr="00FA5415">
        <w:rPr>
          <w:rFonts w:eastAsia="Calibri" w:cstheme="minorHAnsi"/>
        </w:rPr>
        <w:t xml:space="preserve"> its implementation becomes difficult, especially when it goes against the current efforts to maintain the investment climate in Indonesia;</w:t>
      </w:r>
    </w:p>
    <w:p w14:paraId="1C0C5C75" w14:textId="77777777" w:rsidR="0042003E" w:rsidRPr="00FA5415" w:rsidRDefault="0042003E" w:rsidP="0042003E">
      <w:pPr>
        <w:pStyle w:val="ListParagraph"/>
        <w:numPr>
          <w:ilvl w:val="3"/>
          <w:numId w:val="5"/>
        </w:numPr>
        <w:spacing w:after="0"/>
        <w:ind w:left="709" w:right="-20"/>
        <w:jc w:val="both"/>
        <w:rPr>
          <w:rFonts w:eastAsia="Calibri" w:cstheme="minorHAnsi"/>
        </w:rPr>
      </w:pPr>
      <w:r w:rsidRPr="00FA5415">
        <w:rPr>
          <w:rFonts w:eastAsia="Calibri" w:cstheme="minorHAnsi"/>
        </w:rPr>
        <w:t xml:space="preserve">Despite having expressed support for the UNGP in 2011, The Government of Indonesia takes quite a long time to draft a subpar National Action Plan. In 2017, the Financial Services Authority issued a relevant provision through the Financial Services Authority Regulation No. 51/2017 on Sustainable Finance. However, this provision still needs to be completed to assess whether the company's supply value chain respects human rights and the environment. Some concerns were raised, namely that 1) this regulation has no binding force and monitoring mechanism, and 2) the definition of ESG in this regulation still needs to meet the standards of the UNGPs. For </w:t>
      </w:r>
      <w:proofErr w:type="gramStart"/>
      <w:r w:rsidRPr="00FA5415">
        <w:rPr>
          <w:rFonts w:eastAsia="Calibri" w:cstheme="minorHAnsi"/>
        </w:rPr>
        <w:t>example</w:t>
      </w:r>
      <w:proofErr w:type="gramEnd"/>
      <w:r w:rsidRPr="00FA5415">
        <w:rPr>
          <w:rFonts w:eastAsia="Calibri" w:cstheme="minorHAnsi"/>
        </w:rPr>
        <w:t xml:space="preserve"> the social aspect only focuses on the equality of employees in the corporate environment, the number of complaints received, and increasing public literacy on ESG; while the environmental aspect only focuses on the amount of waste produced and whether there is a volume of waste discharged into environmental media. In terms of corporate accountability, Indonesia still needs to catch up to the disclosure requirements of the UNGPs;</w:t>
      </w:r>
    </w:p>
    <w:p w14:paraId="2143B65E" w14:textId="77777777" w:rsidR="0042003E" w:rsidRPr="00FA5415" w:rsidRDefault="0042003E" w:rsidP="0042003E">
      <w:pPr>
        <w:pStyle w:val="ListParagraph"/>
        <w:numPr>
          <w:ilvl w:val="3"/>
          <w:numId w:val="5"/>
        </w:numPr>
        <w:spacing w:after="0"/>
        <w:ind w:left="709" w:right="-20"/>
        <w:jc w:val="both"/>
        <w:rPr>
          <w:rFonts w:eastAsia="Calibri" w:cstheme="minorHAnsi"/>
        </w:rPr>
      </w:pPr>
      <w:r w:rsidRPr="00FA5415">
        <w:rPr>
          <w:rFonts w:eastAsia="Calibri" w:cstheme="minorHAnsi"/>
        </w:rPr>
        <w:t xml:space="preserve">The most recent implementation in regulating Business and Human Rights in Indonesia is the National Strategy on Business and Human Rights which was ratified through Presidential Decree 60/2023. </w:t>
      </w:r>
      <w:proofErr w:type="gramStart"/>
      <w:r w:rsidRPr="00FA5415">
        <w:rPr>
          <w:rFonts w:eastAsia="Calibri" w:cstheme="minorHAnsi"/>
        </w:rPr>
        <w:t>So</w:t>
      </w:r>
      <w:proofErr w:type="gramEnd"/>
      <w:r w:rsidRPr="00FA5415">
        <w:rPr>
          <w:rFonts w:eastAsia="Calibri" w:cstheme="minorHAnsi"/>
        </w:rPr>
        <w:t xml:space="preserve"> there are three strategies, namely 1: Increasing Understanding, Capacity and Promotion of Business and Human Rights for All Stakeholders; 2: Development of Regulations, Policies and Guidelines that support the protection and respect of human rights; 3: Strengthening effective remedies for victims of alleged human rights violations in business practices. If you look at all the actions available in it, the content of the National Strategy is not at all ambitious and tends to be weak;</w:t>
      </w:r>
    </w:p>
    <w:p w14:paraId="3DB80106" w14:textId="77777777" w:rsidR="0042003E" w:rsidRPr="00FA5415" w:rsidRDefault="0042003E" w:rsidP="0042003E">
      <w:pPr>
        <w:pStyle w:val="ListParagraph"/>
        <w:numPr>
          <w:ilvl w:val="3"/>
          <w:numId w:val="5"/>
        </w:numPr>
        <w:spacing w:after="0"/>
        <w:ind w:left="709" w:right="-20"/>
        <w:jc w:val="both"/>
        <w:rPr>
          <w:rFonts w:eastAsia="Calibri" w:cstheme="minorHAnsi"/>
        </w:rPr>
      </w:pPr>
      <w:r w:rsidRPr="00FA5415">
        <w:rPr>
          <w:rFonts w:eastAsia="Calibri" w:cstheme="minorHAnsi"/>
        </w:rPr>
        <w:t>Indonesia National Strategy for Business and Human Rights which has an implementation duration of 2023 - 2025 still does not establish the obligation of companies to report in the annual report on adverse impacts that occur, how these adverse impacts are addressed, and the measures taken to prevent the recurrence of adverse impacts. These conditions require improvements to the repair timeline in 2025;</w:t>
      </w:r>
    </w:p>
    <w:p w14:paraId="570C2AF4" w14:textId="77777777" w:rsidR="0042003E" w:rsidRPr="00FA5415" w:rsidRDefault="0042003E" w:rsidP="0042003E">
      <w:pPr>
        <w:pStyle w:val="ListParagraph"/>
        <w:numPr>
          <w:ilvl w:val="0"/>
          <w:numId w:val="5"/>
        </w:numPr>
        <w:spacing w:after="0"/>
        <w:ind w:right="-20"/>
        <w:jc w:val="both"/>
        <w:rPr>
          <w:rFonts w:eastAsia="Calibri" w:cstheme="minorHAnsi"/>
        </w:rPr>
      </w:pPr>
      <w:r w:rsidRPr="00FA5415">
        <w:rPr>
          <w:rFonts w:eastAsia="Calibri" w:cstheme="minorHAnsi"/>
        </w:rPr>
        <w:lastRenderedPageBreak/>
        <w:t>The National Human Rights Commission (</w:t>
      </w:r>
      <w:proofErr w:type="spellStart"/>
      <w:r w:rsidRPr="00FA5415">
        <w:rPr>
          <w:rFonts w:eastAsia="Calibri" w:cstheme="minorHAnsi"/>
        </w:rPr>
        <w:t>Komnas</w:t>
      </w:r>
      <w:proofErr w:type="spellEnd"/>
      <w:r w:rsidRPr="00FA5415">
        <w:rPr>
          <w:rFonts w:eastAsia="Calibri" w:cstheme="minorHAnsi"/>
        </w:rPr>
        <w:t xml:space="preserve"> HAM) is currently preparing Standard Norms and Regulations regarding Business and Human Rights. Satya Bumi provided input on Draft 02 of Standards for Business Norms and Procedures and Human Rights. We encourage the draft Norms and Regulatory Standards to be able to represent important matters related to Business and Human Rights (BHR) interdependence and environmental protection with the need for a due diligence policy based on the company's contribution as an emitter and due diligence oriented towards environmental restoration and human rights;</w:t>
      </w:r>
    </w:p>
    <w:p w14:paraId="08D8C270" w14:textId="77777777" w:rsidR="0042003E" w:rsidRPr="00FA5415" w:rsidRDefault="0042003E" w:rsidP="0042003E">
      <w:pPr>
        <w:pStyle w:val="ListParagraph"/>
        <w:numPr>
          <w:ilvl w:val="0"/>
          <w:numId w:val="5"/>
        </w:numPr>
        <w:spacing w:after="0"/>
        <w:ind w:right="-20"/>
        <w:jc w:val="both"/>
        <w:rPr>
          <w:rFonts w:eastAsia="Calibri" w:cstheme="minorHAnsi"/>
        </w:rPr>
      </w:pPr>
      <w:r w:rsidRPr="00FA5415">
        <w:rPr>
          <w:rFonts w:eastAsia="Calibri" w:cstheme="minorHAnsi"/>
        </w:rPr>
        <w:t>In the midst of a regulatory pattern that makes investment easier in Indonesia, with a voluntary approach, the National Business and Human Rights Strategy will have difficulty influencing corporate behavior in respecting human rights. Finally, responding to the PRISMA (Business and Human Rights Risk Assessments) designed by the Ministry of Law and Human Rights, with the situation tending to change and the fact that there is a weakening of social and environmental protection instruments, we see that PRISMA can only be positioned as an independent study of indicators of human rights respect practices in a company, not positioned as Human Rights Due Diligence.</w:t>
      </w:r>
    </w:p>
    <w:p w14:paraId="7EA7F676" w14:textId="77777777" w:rsidR="0042003E" w:rsidRPr="00FA5415" w:rsidRDefault="0042003E" w:rsidP="0042003E">
      <w:pPr>
        <w:pStyle w:val="ListParagraph"/>
        <w:spacing w:after="0"/>
        <w:ind w:right="-20"/>
        <w:jc w:val="both"/>
        <w:rPr>
          <w:rFonts w:eastAsia="Calibri" w:cstheme="minorHAnsi"/>
        </w:rPr>
      </w:pPr>
    </w:p>
    <w:p w14:paraId="0CA6FA6A" w14:textId="77777777" w:rsidR="0042003E" w:rsidRPr="00FA5415" w:rsidRDefault="0042003E" w:rsidP="0042003E">
      <w:pPr>
        <w:pStyle w:val="ListParagraph"/>
        <w:spacing w:after="0"/>
        <w:ind w:left="0" w:right="-20"/>
        <w:jc w:val="both"/>
        <w:rPr>
          <w:rFonts w:eastAsia="Calibri" w:cstheme="minorHAnsi"/>
        </w:rPr>
      </w:pPr>
      <w:r w:rsidRPr="00FA5415">
        <w:rPr>
          <w:rFonts w:eastAsia="Calibri" w:cstheme="minorHAnsi"/>
        </w:rPr>
        <w:t>Recommendations:</w:t>
      </w:r>
    </w:p>
    <w:p w14:paraId="7CE17D8F" w14:textId="77777777" w:rsidR="0042003E" w:rsidRPr="00FA5415" w:rsidRDefault="0042003E" w:rsidP="0042003E">
      <w:pPr>
        <w:pStyle w:val="ListParagraph"/>
        <w:numPr>
          <w:ilvl w:val="0"/>
          <w:numId w:val="7"/>
        </w:numPr>
        <w:spacing w:after="0"/>
        <w:ind w:right="-20"/>
        <w:jc w:val="both"/>
        <w:rPr>
          <w:rFonts w:eastAsia="Calibri" w:cstheme="minorHAnsi"/>
        </w:rPr>
      </w:pPr>
      <w:r w:rsidRPr="00FA5415">
        <w:rPr>
          <w:rFonts w:eastAsia="Calibri" w:cstheme="minorHAnsi"/>
        </w:rPr>
        <w:t>To curb the progress of the climate crisis and as a form of UNGPs principles obligation, it is important for Indonesia to ensure that business activities do not add to the burden on the environment. Therefore, implementing the Environmental and Human Rights Due Diligence (EHRDD) is a must. Indonesia must have a National Strategy on Business and Human Rights that prioritizes environmental and human rights risks based on their severity;</w:t>
      </w:r>
    </w:p>
    <w:p w14:paraId="719ADAF8" w14:textId="77777777" w:rsidR="0042003E" w:rsidRPr="00FA5415" w:rsidRDefault="0042003E" w:rsidP="0042003E">
      <w:pPr>
        <w:pStyle w:val="ListParagraph"/>
        <w:numPr>
          <w:ilvl w:val="0"/>
          <w:numId w:val="7"/>
        </w:numPr>
        <w:spacing w:after="0"/>
        <w:ind w:right="-20"/>
        <w:jc w:val="both"/>
        <w:rPr>
          <w:rFonts w:eastAsia="Calibri" w:cstheme="minorHAnsi"/>
        </w:rPr>
      </w:pPr>
      <w:r w:rsidRPr="00FA5415">
        <w:rPr>
          <w:rFonts w:eastAsia="Calibri" w:cstheme="minorHAnsi"/>
        </w:rPr>
        <w:t>In developing and implementing Human Rights Due Diligence, key elements of the climate change due diligence process for companies can be identified in relation to those highlighted by the International Bar Association that reflect the UNGP's, including:</w:t>
      </w:r>
      <w:r w:rsidRPr="00FA5415">
        <w:rPr>
          <w:rStyle w:val="FootnoteReference"/>
          <w:rFonts w:eastAsia="Calibri" w:cstheme="minorHAnsi"/>
        </w:rPr>
        <w:footnoteReference w:id="5"/>
      </w:r>
    </w:p>
    <w:p w14:paraId="5CCF5E65" w14:textId="77777777" w:rsidR="0042003E" w:rsidRPr="00FA5415" w:rsidRDefault="0042003E" w:rsidP="0042003E">
      <w:pPr>
        <w:pStyle w:val="ListParagraph"/>
        <w:numPr>
          <w:ilvl w:val="1"/>
          <w:numId w:val="8"/>
        </w:numPr>
        <w:ind w:right="-20"/>
        <w:rPr>
          <w:rFonts w:cstheme="minorHAnsi"/>
        </w:rPr>
      </w:pPr>
      <w:r w:rsidRPr="00FA5415">
        <w:rPr>
          <w:rFonts w:cstheme="minorHAnsi"/>
        </w:rPr>
        <w:t>implementation of explicit policies that establish measures designed to prevent or mitigate the adverse impacts of climate change related to the company's operations and/or supply chains;</w:t>
      </w:r>
    </w:p>
    <w:p w14:paraId="1A651DBD" w14:textId="77777777" w:rsidR="0042003E" w:rsidRPr="00FA5415" w:rsidRDefault="0042003E" w:rsidP="0042003E">
      <w:pPr>
        <w:pStyle w:val="ListParagraph"/>
        <w:numPr>
          <w:ilvl w:val="1"/>
          <w:numId w:val="8"/>
        </w:numPr>
        <w:ind w:right="-20"/>
        <w:rPr>
          <w:rFonts w:cstheme="minorHAnsi"/>
        </w:rPr>
      </w:pPr>
      <w:r w:rsidRPr="00FA5415">
        <w:rPr>
          <w:rFonts w:cstheme="minorHAnsi"/>
        </w:rPr>
        <w:t>due diligence processes to identify, prevent, mitigate and account for actual and potential climate change impacts;</w:t>
      </w:r>
    </w:p>
    <w:p w14:paraId="3432955B" w14:textId="77777777" w:rsidR="0042003E" w:rsidRPr="00FA5415" w:rsidRDefault="0042003E" w:rsidP="0042003E">
      <w:pPr>
        <w:pStyle w:val="ListParagraph"/>
        <w:numPr>
          <w:ilvl w:val="1"/>
          <w:numId w:val="8"/>
        </w:numPr>
        <w:ind w:right="-20"/>
        <w:rPr>
          <w:rFonts w:cstheme="minorHAnsi"/>
        </w:rPr>
      </w:pPr>
      <w:r w:rsidRPr="00FA5415">
        <w:rPr>
          <w:rFonts w:cstheme="minorHAnsi"/>
        </w:rPr>
        <w:t>remediation processes that enable open communication with stakeholders most impacted by company operations and/or supply chains.</w:t>
      </w:r>
    </w:p>
    <w:p w14:paraId="139898A8" w14:textId="77777777" w:rsidR="0042003E" w:rsidRPr="00FA5415" w:rsidRDefault="0042003E" w:rsidP="0042003E">
      <w:pPr>
        <w:pStyle w:val="ListParagraph"/>
        <w:jc w:val="both"/>
        <w:rPr>
          <w:rFonts w:eastAsia="Calibri" w:cstheme="minorHAnsi"/>
        </w:rPr>
      </w:pPr>
    </w:p>
    <w:p w14:paraId="60251B47" w14:textId="77777777" w:rsidR="0042003E" w:rsidRPr="00FA5415" w:rsidRDefault="0042003E" w:rsidP="0042003E">
      <w:pPr>
        <w:ind w:left="-20" w:right="-20"/>
        <w:jc w:val="both"/>
        <w:rPr>
          <w:rFonts w:asciiTheme="minorHAnsi" w:eastAsia="Calibri" w:hAnsiTheme="minorHAnsi" w:cstheme="minorHAnsi"/>
          <w:i/>
          <w:sz w:val="22"/>
          <w:szCs w:val="22"/>
        </w:rPr>
      </w:pPr>
    </w:p>
    <w:p w14:paraId="0A94601E" w14:textId="77777777" w:rsidR="0042003E" w:rsidRPr="00FA5415" w:rsidRDefault="0042003E" w:rsidP="0042003E">
      <w:pPr>
        <w:jc w:val="both"/>
        <w:rPr>
          <w:rFonts w:asciiTheme="minorHAnsi" w:eastAsiaTheme="minorEastAsia" w:hAnsiTheme="minorHAnsi" w:cstheme="minorHAnsi"/>
          <w:sz w:val="22"/>
          <w:szCs w:val="22"/>
        </w:rPr>
      </w:pPr>
    </w:p>
    <w:p w14:paraId="518E1B54" w14:textId="77777777" w:rsidR="00480D2E" w:rsidRPr="00FA5415" w:rsidRDefault="00480D2E" w:rsidP="0042003E">
      <w:pPr>
        <w:rPr>
          <w:rFonts w:asciiTheme="minorHAnsi" w:hAnsiTheme="minorHAnsi" w:cstheme="minorHAnsi"/>
          <w:sz w:val="22"/>
          <w:szCs w:val="22"/>
        </w:rPr>
      </w:pPr>
    </w:p>
    <w:sectPr w:rsidR="00480D2E" w:rsidRPr="00FA5415" w:rsidSect="00991B01">
      <w:footerReference w:type="even" r:id="rId31"/>
      <w:footerReference w:type="default" r:id="rId32"/>
      <w:headerReference w:type="first" r:id="rId33"/>
      <w:footerReference w:type="first" r:id="rId34"/>
      <w:pgSz w:w="11909" w:h="16834" w:code="9"/>
      <w:pgMar w:top="1474" w:right="1361" w:bottom="1361" w:left="136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0A103" w14:textId="77777777" w:rsidR="00991B01" w:rsidRDefault="00991B01">
      <w:r>
        <w:separator/>
      </w:r>
    </w:p>
  </w:endnote>
  <w:endnote w:type="continuationSeparator" w:id="0">
    <w:p w14:paraId="66CE7CF0" w14:textId="77777777" w:rsidR="00991B01" w:rsidRDefault="00991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5AA6" w14:textId="77777777" w:rsidR="00383D21"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267627A" w14:textId="77777777" w:rsidR="00383D21" w:rsidRDefault="00383D21">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F6B08" w14:textId="77777777" w:rsidR="00383D21"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23B9D62B" w14:textId="77777777" w:rsidR="00383D21" w:rsidRDefault="00383D21">
    <w:pPr>
      <w:pBdr>
        <w:top w:val="nil"/>
        <w:left w:val="nil"/>
        <w:bottom w:val="nil"/>
        <w:right w:val="nil"/>
        <w:between w:val="nil"/>
      </w:pBdr>
      <w:tabs>
        <w:tab w:val="center" w:pos="4320"/>
        <w:tab w:val="right" w:pos="8640"/>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553296"/>
      <w:docPartObj>
        <w:docPartGallery w:val="Page Numbers (Bottom of Page)"/>
        <w:docPartUnique/>
      </w:docPartObj>
    </w:sdtPr>
    <w:sdtEndPr>
      <w:rPr>
        <w:noProof/>
      </w:rPr>
    </w:sdtEndPr>
    <w:sdtContent>
      <w:p w14:paraId="6FC67C5D" w14:textId="693F9466" w:rsidR="00FA5415" w:rsidRDefault="00FA54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7EDBE3" w14:textId="77777777" w:rsidR="00FA5415" w:rsidRDefault="00FA5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9BEAC" w14:textId="77777777" w:rsidR="00991B01" w:rsidRDefault="00991B01">
      <w:r>
        <w:separator/>
      </w:r>
    </w:p>
  </w:footnote>
  <w:footnote w:type="continuationSeparator" w:id="0">
    <w:p w14:paraId="6D04AFE5" w14:textId="77777777" w:rsidR="00991B01" w:rsidRDefault="00991B01">
      <w:r>
        <w:continuationSeparator/>
      </w:r>
    </w:p>
  </w:footnote>
  <w:footnote w:id="1">
    <w:p w14:paraId="01F8BF90" w14:textId="77777777" w:rsidR="0042003E" w:rsidRDefault="0042003E" w:rsidP="0042003E">
      <w:pPr>
        <w:pStyle w:val="FootnoteText"/>
      </w:pPr>
      <w:r>
        <w:rPr>
          <w:rStyle w:val="FootnoteReference"/>
        </w:rPr>
        <w:footnoteRef/>
      </w:r>
      <w:r>
        <w:t xml:space="preserve"> </w:t>
      </w:r>
      <w:r w:rsidRPr="00251BCE">
        <w:t xml:space="preserve"> </w:t>
      </w:r>
      <w:hyperlink r:id="rId1" w:history="1">
        <w:r w:rsidRPr="00BF6929">
          <w:rPr>
            <w:rStyle w:val="Hyperlink"/>
          </w:rPr>
          <w:t>https://satyabumi.org/</w:t>
        </w:r>
      </w:hyperlink>
      <w:r>
        <w:t xml:space="preserve"> </w:t>
      </w:r>
    </w:p>
  </w:footnote>
  <w:footnote w:id="2">
    <w:p w14:paraId="3ED9A8D7" w14:textId="77777777" w:rsidR="0042003E" w:rsidRDefault="0042003E" w:rsidP="0042003E">
      <w:pPr>
        <w:pStyle w:val="FootnoteText"/>
      </w:pPr>
      <w:r>
        <w:rPr>
          <w:rStyle w:val="FootnoteReference"/>
        </w:rPr>
        <w:footnoteRef/>
      </w:r>
      <w:r>
        <w:t xml:space="preserve"> </w:t>
      </w:r>
      <w:hyperlink r:id="rId2" w:history="1">
        <w:r w:rsidRPr="00BF6929">
          <w:rPr>
            <w:rStyle w:val="Hyperlink"/>
          </w:rPr>
          <w:t>https://nasional.kompas.com/read/2015/12/10/14515831/Pemerintah.Tetapkan.122.Daerah.Tertinggal.Ini.Daftarnya?page=all</w:t>
        </w:r>
      </w:hyperlink>
      <w:r>
        <w:t xml:space="preserve"> </w:t>
      </w:r>
    </w:p>
  </w:footnote>
  <w:footnote w:id="3">
    <w:p w14:paraId="3F2F1C6B" w14:textId="77777777" w:rsidR="0042003E" w:rsidRDefault="0042003E" w:rsidP="0042003E">
      <w:pPr>
        <w:pStyle w:val="FootnoteText"/>
      </w:pPr>
      <w:r>
        <w:rPr>
          <w:rStyle w:val="FootnoteReference"/>
        </w:rPr>
        <w:footnoteRef/>
      </w:r>
      <w:r>
        <w:t xml:space="preserve"> </w:t>
      </w:r>
    </w:p>
  </w:footnote>
  <w:footnote w:id="4">
    <w:p w14:paraId="0D621D53" w14:textId="77777777" w:rsidR="0042003E" w:rsidRDefault="0042003E" w:rsidP="0042003E">
      <w:pPr>
        <w:pStyle w:val="FootnoteText"/>
      </w:pPr>
      <w:r>
        <w:rPr>
          <w:rStyle w:val="FootnoteReference"/>
        </w:rPr>
        <w:footnoteRef/>
      </w:r>
      <w:r>
        <w:t xml:space="preserve"> </w:t>
      </w:r>
      <w:r w:rsidRPr="00180B7E">
        <w:t xml:space="preserve">This section is taken from an </w:t>
      </w:r>
      <w:hyperlink r:id="rId3" w:history="1">
        <w:r w:rsidRPr="00180B7E">
          <w:rPr>
            <w:rStyle w:val="Hyperlink"/>
          </w:rPr>
          <w:t>indicative map</w:t>
        </w:r>
      </w:hyperlink>
      <w:r w:rsidRPr="00180B7E">
        <w:t xml:space="preserve"> that still requires integration of HC assessments</w:t>
      </w:r>
      <w:r>
        <w:t>.</w:t>
      </w:r>
      <w:r w:rsidRPr="00180B7E">
        <w:t xml:space="preserve"> However, it can still be seen through imaging that there are young forests with medium to low density leading to forests with high density.</w:t>
      </w:r>
    </w:p>
  </w:footnote>
  <w:footnote w:id="5">
    <w:p w14:paraId="5FB8CCB1" w14:textId="77777777" w:rsidR="0042003E" w:rsidRPr="003060D4" w:rsidRDefault="0042003E" w:rsidP="0042003E">
      <w:pPr>
        <w:rPr>
          <w:sz w:val="20"/>
          <w:szCs w:val="20"/>
        </w:rPr>
      </w:pPr>
      <w:r>
        <w:rPr>
          <w:rStyle w:val="FootnoteReference"/>
        </w:rPr>
        <w:footnoteRef/>
      </w:r>
      <w:r>
        <w:t xml:space="preserve"> </w:t>
      </w:r>
      <w:r w:rsidRPr="003060D4">
        <w:rPr>
          <w:sz w:val="20"/>
          <w:szCs w:val="20"/>
        </w:rPr>
        <w:t xml:space="preserve">International Bar Association (2015) Achieving Justice and Human Rights in an Era of Climate Disruption: Climate Change Justice and Human Rights Task Force Report, </w:t>
      </w:r>
      <w:hyperlink r:id="rId4" w:history="1">
        <w:r w:rsidRPr="00BF6929">
          <w:rPr>
            <w:rStyle w:val="Hyperlink"/>
            <w:sz w:val="20"/>
            <w:szCs w:val="20"/>
          </w:rPr>
          <w:t>https://www.ibanet.org/MediaHandler?id=0f8cee12-ee56-4452-bf43-cfcab196cc04</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48854" w14:textId="77777777" w:rsidR="00383D21" w:rsidRDefault="00000000">
    <w:pPr>
      <w:ind w:left="540"/>
      <w:jc w:val="right"/>
      <w:rPr>
        <w:rFonts w:ascii="Calibri" w:eastAsia="Calibri" w:hAnsi="Calibri" w:cs="Calibri"/>
        <w:b/>
        <w:color w:val="000000"/>
        <w:sz w:val="20"/>
        <w:szCs w:val="20"/>
      </w:rPr>
    </w:pPr>
    <w:r>
      <w:rPr>
        <w:rFonts w:ascii="Calibri" w:eastAsia="Calibri" w:hAnsi="Calibri" w:cs="Calibri"/>
        <w:b/>
        <w:color w:val="000000"/>
        <w:sz w:val="20"/>
        <w:szCs w:val="20"/>
      </w:rPr>
      <w:t>Satya Bumi</w:t>
    </w:r>
    <w:r>
      <w:rPr>
        <w:noProof/>
      </w:rPr>
      <w:drawing>
        <wp:anchor distT="0" distB="0" distL="114300" distR="114300" simplePos="0" relativeHeight="251659264" behindDoc="0" locked="0" layoutInCell="1" hidden="0" allowOverlap="1" wp14:anchorId="72C5A9C5" wp14:editId="240ED005">
          <wp:simplePos x="0" y="0"/>
          <wp:positionH relativeFrom="column">
            <wp:posOffset>3152840</wp:posOffset>
          </wp:positionH>
          <wp:positionV relativeFrom="paragraph">
            <wp:posOffset>-85724</wp:posOffset>
          </wp:positionV>
          <wp:extent cx="1341755" cy="873760"/>
          <wp:effectExtent l="0" t="0" r="0" b="0"/>
          <wp:wrapSquare wrapText="bothSides" distT="0" distB="0" distL="114300" distR="114300"/>
          <wp:docPr id="2" name="image1.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Icon&#10;&#10;Description automatically generated"/>
                  <pic:cNvPicPr preferRelativeResize="0"/>
                </pic:nvPicPr>
                <pic:blipFill>
                  <a:blip r:embed="rId1"/>
                  <a:srcRect/>
                  <a:stretch>
                    <a:fillRect/>
                  </a:stretch>
                </pic:blipFill>
                <pic:spPr>
                  <a:xfrm>
                    <a:off x="0" y="0"/>
                    <a:ext cx="1341755" cy="873760"/>
                  </a:xfrm>
                  <a:prstGeom prst="rect">
                    <a:avLst/>
                  </a:prstGeom>
                  <a:ln/>
                </pic:spPr>
              </pic:pic>
            </a:graphicData>
          </a:graphic>
        </wp:anchor>
      </w:drawing>
    </w:r>
  </w:p>
  <w:p w14:paraId="558ED3EF" w14:textId="77777777" w:rsidR="00383D21" w:rsidRDefault="00000000">
    <w:pPr>
      <w:tabs>
        <w:tab w:val="left" w:pos="2520"/>
      </w:tabs>
      <w:ind w:left="540"/>
      <w:jc w:val="right"/>
      <w:rPr>
        <w:rFonts w:ascii="Calibri" w:eastAsia="Calibri" w:hAnsi="Calibri" w:cs="Calibri"/>
        <w:color w:val="000000"/>
        <w:sz w:val="20"/>
        <w:szCs w:val="20"/>
      </w:rPr>
    </w:pPr>
    <w:r>
      <w:rPr>
        <w:rFonts w:ascii="Calibri" w:eastAsia="Calibri" w:hAnsi="Calibri" w:cs="Calibri"/>
        <w:color w:val="000000"/>
        <w:sz w:val="20"/>
        <w:szCs w:val="20"/>
      </w:rPr>
      <w:t xml:space="preserve">Jalan Jatipadang Poncol No. 25 RT 008/09, </w:t>
    </w:r>
  </w:p>
  <w:p w14:paraId="6365545C" w14:textId="77777777" w:rsidR="00383D21" w:rsidRDefault="00000000">
    <w:pPr>
      <w:tabs>
        <w:tab w:val="left" w:pos="2520"/>
      </w:tabs>
      <w:ind w:left="540"/>
      <w:jc w:val="right"/>
      <w:rPr>
        <w:rFonts w:ascii="Calibri" w:eastAsia="Calibri" w:hAnsi="Calibri" w:cs="Calibri"/>
        <w:color w:val="000000"/>
        <w:sz w:val="20"/>
        <w:szCs w:val="20"/>
      </w:rPr>
    </w:pPr>
    <w:r>
      <w:rPr>
        <w:rFonts w:ascii="Calibri" w:eastAsia="Calibri" w:hAnsi="Calibri" w:cs="Calibri"/>
        <w:color w:val="000000"/>
        <w:sz w:val="20"/>
        <w:szCs w:val="20"/>
      </w:rPr>
      <w:t>Jatipadang, Pasar Minggu, DKI Jakarta 12540</w:t>
    </w:r>
  </w:p>
  <w:p w14:paraId="416233C6" w14:textId="77777777" w:rsidR="00383D21" w:rsidRDefault="00000000">
    <w:pPr>
      <w:tabs>
        <w:tab w:val="left" w:pos="2520"/>
      </w:tabs>
      <w:ind w:left="540"/>
      <w:jc w:val="right"/>
      <w:rPr>
        <w:rFonts w:ascii="Calibri" w:eastAsia="Calibri" w:hAnsi="Calibri" w:cs="Calibri"/>
        <w:color w:val="000000"/>
        <w:sz w:val="20"/>
        <w:szCs w:val="20"/>
      </w:rPr>
    </w:pPr>
    <w:r>
      <w:rPr>
        <w:rFonts w:ascii="Calibri" w:eastAsia="Calibri" w:hAnsi="Calibri" w:cs="Calibri"/>
        <w:color w:val="000000"/>
        <w:sz w:val="20"/>
        <w:szCs w:val="20"/>
      </w:rPr>
      <w:t xml:space="preserve">email: </w:t>
    </w:r>
    <w:hyperlink r:id="rId2">
      <w:r>
        <w:rPr>
          <w:rFonts w:ascii="Calibri" w:eastAsia="Calibri" w:hAnsi="Calibri" w:cs="Calibri"/>
          <w:color w:val="0563C1"/>
          <w:sz w:val="20"/>
          <w:szCs w:val="20"/>
          <w:u w:val="single"/>
        </w:rPr>
        <w:t>info@satyabumi.org</w:t>
      </w:r>
    </w:hyperlink>
    <w:r>
      <w:rPr>
        <w:rFonts w:ascii="Calibri" w:eastAsia="Calibri" w:hAnsi="Calibri" w:cs="Calibri"/>
        <w:color w:val="000000"/>
        <w:sz w:val="20"/>
        <w:szCs w:val="20"/>
      </w:rPr>
      <w:t xml:space="preserve"> </w:t>
    </w:r>
  </w:p>
  <w:p w14:paraId="6F691169" w14:textId="77777777" w:rsidR="00383D21" w:rsidRDefault="00383D2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E51C3"/>
    <w:multiLevelType w:val="hybridMultilevel"/>
    <w:tmpl w:val="0C6038D0"/>
    <w:lvl w:ilvl="0" w:tplc="F92A51B6">
      <w:start w:val="1"/>
      <w:numFmt w:val="upperRoman"/>
      <w:lvlText w:val="%1."/>
      <w:lvlJc w:val="left"/>
      <w:pPr>
        <w:ind w:left="1080" w:hanging="720"/>
      </w:pPr>
      <w:rPr>
        <w:rFonts w:ascii="Calibri" w:hAnsi="Calibri" w:cs="Calibri" w:hint="default"/>
        <w:b/>
        <w:color w:val="000000"/>
        <w:sz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5877E"/>
    <w:multiLevelType w:val="hybridMultilevel"/>
    <w:tmpl w:val="FFFFFFFF"/>
    <w:lvl w:ilvl="0" w:tplc="8D4C36F6">
      <w:start w:val="1"/>
      <w:numFmt w:val="decimal"/>
      <w:lvlText w:val="%1."/>
      <w:lvlJc w:val="left"/>
      <w:pPr>
        <w:ind w:left="720" w:hanging="360"/>
      </w:pPr>
    </w:lvl>
    <w:lvl w:ilvl="1" w:tplc="DF181DBC">
      <w:start w:val="1"/>
      <w:numFmt w:val="lowerLetter"/>
      <w:lvlText w:val="%2."/>
      <w:lvlJc w:val="left"/>
      <w:pPr>
        <w:ind w:left="1440" w:hanging="360"/>
      </w:pPr>
    </w:lvl>
    <w:lvl w:ilvl="2" w:tplc="18DAAA20">
      <w:start w:val="1"/>
      <w:numFmt w:val="lowerRoman"/>
      <w:lvlText w:val="%3."/>
      <w:lvlJc w:val="right"/>
      <w:pPr>
        <w:ind w:left="2160" w:hanging="180"/>
      </w:pPr>
    </w:lvl>
    <w:lvl w:ilvl="3" w:tplc="2EA035F2">
      <w:start w:val="1"/>
      <w:numFmt w:val="decimal"/>
      <w:lvlText w:val="%4."/>
      <w:lvlJc w:val="left"/>
      <w:pPr>
        <w:ind w:left="2880" w:hanging="360"/>
      </w:pPr>
    </w:lvl>
    <w:lvl w:ilvl="4" w:tplc="F682898E">
      <w:start w:val="1"/>
      <w:numFmt w:val="lowerLetter"/>
      <w:lvlText w:val="%5."/>
      <w:lvlJc w:val="left"/>
      <w:pPr>
        <w:ind w:left="3600" w:hanging="360"/>
      </w:pPr>
    </w:lvl>
    <w:lvl w:ilvl="5" w:tplc="886ACB42">
      <w:start w:val="1"/>
      <w:numFmt w:val="lowerRoman"/>
      <w:lvlText w:val="%6."/>
      <w:lvlJc w:val="right"/>
      <w:pPr>
        <w:ind w:left="4320" w:hanging="180"/>
      </w:pPr>
    </w:lvl>
    <w:lvl w:ilvl="6" w:tplc="466C17D4">
      <w:start w:val="1"/>
      <w:numFmt w:val="decimal"/>
      <w:lvlText w:val="%7."/>
      <w:lvlJc w:val="left"/>
      <w:pPr>
        <w:ind w:left="5040" w:hanging="360"/>
      </w:pPr>
    </w:lvl>
    <w:lvl w:ilvl="7" w:tplc="92D8DD88">
      <w:start w:val="1"/>
      <w:numFmt w:val="lowerLetter"/>
      <w:lvlText w:val="%8."/>
      <w:lvlJc w:val="left"/>
      <w:pPr>
        <w:ind w:left="5760" w:hanging="360"/>
      </w:pPr>
    </w:lvl>
    <w:lvl w:ilvl="8" w:tplc="56406E88">
      <w:start w:val="1"/>
      <w:numFmt w:val="lowerRoman"/>
      <w:lvlText w:val="%9."/>
      <w:lvlJc w:val="right"/>
      <w:pPr>
        <w:ind w:left="6480" w:hanging="180"/>
      </w:pPr>
    </w:lvl>
  </w:abstractNum>
  <w:abstractNum w:abstractNumId="2" w15:restartNumberingAfterBreak="0">
    <w:nsid w:val="391BB7FB"/>
    <w:multiLevelType w:val="hybridMultilevel"/>
    <w:tmpl w:val="FFFFFFFF"/>
    <w:lvl w:ilvl="0" w:tplc="B08A34D8">
      <w:start w:val="1"/>
      <w:numFmt w:val="bullet"/>
      <w:lvlText w:val=""/>
      <w:lvlJc w:val="left"/>
      <w:pPr>
        <w:ind w:left="720" w:hanging="360"/>
      </w:pPr>
      <w:rPr>
        <w:rFonts w:ascii="Symbol" w:hAnsi="Symbol" w:hint="default"/>
      </w:rPr>
    </w:lvl>
    <w:lvl w:ilvl="1" w:tplc="891C6D26">
      <w:start w:val="1"/>
      <w:numFmt w:val="bullet"/>
      <w:lvlText w:val="o"/>
      <w:lvlJc w:val="left"/>
      <w:pPr>
        <w:ind w:left="1440" w:hanging="360"/>
      </w:pPr>
      <w:rPr>
        <w:rFonts w:ascii="Courier New" w:hAnsi="Courier New" w:hint="default"/>
      </w:rPr>
    </w:lvl>
    <w:lvl w:ilvl="2" w:tplc="D6BC68D8">
      <w:start w:val="1"/>
      <w:numFmt w:val="bullet"/>
      <w:lvlText w:val=""/>
      <w:lvlJc w:val="left"/>
      <w:pPr>
        <w:ind w:left="2160" w:hanging="360"/>
      </w:pPr>
      <w:rPr>
        <w:rFonts w:ascii="Wingdings" w:hAnsi="Wingdings" w:hint="default"/>
      </w:rPr>
    </w:lvl>
    <w:lvl w:ilvl="3" w:tplc="9BC0873E">
      <w:start w:val="1"/>
      <w:numFmt w:val="bullet"/>
      <w:lvlText w:val=""/>
      <w:lvlJc w:val="left"/>
      <w:pPr>
        <w:ind w:left="2880" w:hanging="360"/>
      </w:pPr>
      <w:rPr>
        <w:rFonts w:ascii="Symbol" w:hAnsi="Symbol" w:hint="default"/>
      </w:rPr>
    </w:lvl>
    <w:lvl w:ilvl="4" w:tplc="F580BEC4">
      <w:start w:val="1"/>
      <w:numFmt w:val="bullet"/>
      <w:lvlText w:val="o"/>
      <w:lvlJc w:val="left"/>
      <w:pPr>
        <w:ind w:left="3600" w:hanging="360"/>
      </w:pPr>
      <w:rPr>
        <w:rFonts w:ascii="Courier New" w:hAnsi="Courier New" w:hint="default"/>
      </w:rPr>
    </w:lvl>
    <w:lvl w:ilvl="5" w:tplc="E1C294F4">
      <w:start w:val="1"/>
      <w:numFmt w:val="bullet"/>
      <w:lvlText w:val=""/>
      <w:lvlJc w:val="left"/>
      <w:pPr>
        <w:ind w:left="4320" w:hanging="360"/>
      </w:pPr>
      <w:rPr>
        <w:rFonts w:ascii="Wingdings" w:hAnsi="Wingdings" w:hint="default"/>
      </w:rPr>
    </w:lvl>
    <w:lvl w:ilvl="6" w:tplc="CCD83988">
      <w:start w:val="1"/>
      <w:numFmt w:val="bullet"/>
      <w:lvlText w:val=""/>
      <w:lvlJc w:val="left"/>
      <w:pPr>
        <w:ind w:left="5040" w:hanging="360"/>
      </w:pPr>
      <w:rPr>
        <w:rFonts w:ascii="Symbol" w:hAnsi="Symbol" w:hint="default"/>
      </w:rPr>
    </w:lvl>
    <w:lvl w:ilvl="7" w:tplc="906E64B6">
      <w:start w:val="1"/>
      <w:numFmt w:val="bullet"/>
      <w:lvlText w:val="o"/>
      <w:lvlJc w:val="left"/>
      <w:pPr>
        <w:ind w:left="5760" w:hanging="360"/>
      </w:pPr>
      <w:rPr>
        <w:rFonts w:ascii="Courier New" w:hAnsi="Courier New" w:hint="default"/>
      </w:rPr>
    </w:lvl>
    <w:lvl w:ilvl="8" w:tplc="370C2642">
      <w:start w:val="1"/>
      <w:numFmt w:val="bullet"/>
      <w:lvlText w:val=""/>
      <w:lvlJc w:val="left"/>
      <w:pPr>
        <w:ind w:left="6480" w:hanging="360"/>
      </w:pPr>
      <w:rPr>
        <w:rFonts w:ascii="Wingdings" w:hAnsi="Wingdings" w:hint="default"/>
      </w:rPr>
    </w:lvl>
  </w:abstractNum>
  <w:abstractNum w:abstractNumId="3" w15:restartNumberingAfterBreak="0">
    <w:nsid w:val="50B905E5"/>
    <w:multiLevelType w:val="hybridMultilevel"/>
    <w:tmpl w:val="5FCC8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E3585C"/>
    <w:multiLevelType w:val="multilevel"/>
    <w:tmpl w:val="0FBA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14602A"/>
    <w:multiLevelType w:val="hybridMultilevel"/>
    <w:tmpl w:val="93BCFB76"/>
    <w:lvl w:ilvl="0" w:tplc="04090011">
      <w:start w:val="1"/>
      <w:numFmt w:val="decimal"/>
      <w:lvlText w:val="%1)"/>
      <w:lvlJc w:val="left"/>
      <w:pPr>
        <w:ind w:left="720" w:hanging="360"/>
      </w:pPr>
    </w:lvl>
    <w:lvl w:ilvl="1" w:tplc="809E900E">
      <w:start w:val="1"/>
      <w:numFmt w:val="lowerLetter"/>
      <w:lvlText w:val="%2."/>
      <w:lvlJc w:val="left"/>
      <w:pPr>
        <w:ind w:left="1440" w:hanging="360"/>
      </w:pPr>
    </w:lvl>
    <w:lvl w:ilvl="2" w:tplc="E5660AD8">
      <w:start w:val="1"/>
      <w:numFmt w:val="lowerRoman"/>
      <w:lvlText w:val="%3."/>
      <w:lvlJc w:val="right"/>
      <w:pPr>
        <w:ind w:left="2160" w:hanging="180"/>
      </w:pPr>
    </w:lvl>
    <w:lvl w:ilvl="3" w:tplc="44365DFA">
      <w:start w:val="1"/>
      <w:numFmt w:val="decimal"/>
      <w:lvlText w:val="%4."/>
      <w:lvlJc w:val="left"/>
      <w:pPr>
        <w:ind w:left="2880" w:hanging="360"/>
      </w:pPr>
    </w:lvl>
    <w:lvl w:ilvl="4" w:tplc="AB9642D0">
      <w:start w:val="1"/>
      <w:numFmt w:val="lowerLetter"/>
      <w:lvlText w:val="%5."/>
      <w:lvlJc w:val="left"/>
      <w:pPr>
        <w:ind w:left="3600" w:hanging="360"/>
      </w:pPr>
    </w:lvl>
    <w:lvl w:ilvl="5" w:tplc="8E3AACD8">
      <w:start w:val="1"/>
      <w:numFmt w:val="lowerRoman"/>
      <w:lvlText w:val="%6."/>
      <w:lvlJc w:val="right"/>
      <w:pPr>
        <w:ind w:left="4320" w:hanging="180"/>
      </w:pPr>
    </w:lvl>
    <w:lvl w:ilvl="6" w:tplc="68B2CFBC">
      <w:start w:val="1"/>
      <w:numFmt w:val="decimal"/>
      <w:lvlText w:val="%7."/>
      <w:lvlJc w:val="left"/>
      <w:pPr>
        <w:ind w:left="5040" w:hanging="360"/>
      </w:pPr>
    </w:lvl>
    <w:lvl w:ilvl="7" w:tplc="0C9E4AB6">
      <w:start w:val="1"/>
      <w:numFmt w:val="lowerLetter"/>
      <w:lvlText w:val="%8."/>
      <w:lvlJc w:val="left"/>
      <w:pPr>
        <w:ind w:left="5760" w:hanging="360"/>
      </w:pPr>
    </w:lvl>
    <w:lvl w:ilvl="8" w:tplc="7E983308">
      <w:start w:val="1"/>
      <w:numFmt w:val="lowerRoman"/>
      <w:lvlText w:val="%9."/>
      <w:lvlJc w:val="right"/>
      <w:pPr>
        <w:ind w:left="6480" w:hanging="180"/>
      </w:pPr>
    </w:lvl>
  </w:abstractNum>
  <w:abstractNum w:abstractNumId="6" w15:restartNumberingAfterBreak="0">
    <w:nsid w:val="755C7949"/>
    <w:multiLevelType w:val="hybridMultilevel"/>
    <w:tmpl w:val="FFFFFFFF"/>
    <w:lvl w:ilvl="0" w:tplc="B5C4C3B0">
      <w:start w:val="1"/>
      <w:numFmt w:val="decimal"/>
      <w:lvlText w:val="%1."/>
      <w:lvlJc w:val="left"/>
      <w:pPr>
        <w:ind w:left="720" w:hanging="360"/>
      </w:pPr>
    </w:lvl>
    <w:lvl w:ilvl="1" w:tplc="DC72801A">
      <w:start w:val="1"/>
      <w:numFmt w:val="lowerLetter"/>
      <w:lvlText w:val="%2."/>
      <w:lvlJc w:val="left"/>
      <w:pPr>
        <w:ind w:left="1440" w:hanging="360"/>
      </w:pPr>
    </w:lvl>
    <w:lvl w:ilvl="2" w:tplc="07DA7BF8">
      <w:start w:val="1"/>
      <w:numFmt w:val="lowerRoman"/>
      <w:lvlText w:val="%3."/>
      <w:lvlJc w:val="right"/>
      <w:pPr>
        <w:ind w:left="2160" w:hanging="180"/>
      </w:pPr>
    </w:lvl>
    <w:lvl w:ilvl="3" w:tplc="38685AAA">
      <w:start w:val="1"/>
      <w:numFmt w:val="decimal"/>
      <w:lvlText w:val="%4."/>
      <w:lvlJc w:val="left"/>
      <w:pPr>
        <w:ind w:left="2880" w:hanging="360"/>
      </w:pPr>
    </w:lvl>
    <w:lvl w:ilvl="4" w:tplc="C226A660">
      <w:start w:val="1"/>
      <w:numFmt w:val="lowerLetter"/>
      <w:lvlText w:val="%5."/>
      <w:lvlJc w:val="left"/>
      <w:pPr>
        <w:ind w:left="3600" w:hanging="360"/>
      </w:pPr>
    </w:lvl>
    <w:lvl w:ilvl="5" w:tplc="54B4D1E8">
      <w:start w:val="1"/>
      <w:numFmt w:val="lowerRoman"/>
      <w:lvlText w:val="%6."/>
      <w:lvlJc w:val="right"/>
      <w:pPr>
        <w:ind w:left="4320" w:hanging="180"/>
      </w:pPr>
    </w:lvl>
    <w:lvl w:ilvl="6" w:tplc="4CFCC7B2">
      <w:start w:val="1"/>
      <w:numFmt w:val="decimal"/>
      <w:lvlText w:val="%7."/>
      <w:lvlJc w:val="left"/>
      <w:pPr>
        <w:ind w:left="5040" w:hanging="360"/>
      </w:pPr>
    </w:lvl>
    <w:lvl w:ilvl="7" w:tplc="ADB6BF5C">
      <w:start w:val="1"/>
      <w:numFmt w:val="lowerLetter"/>
      <w:lvlText w:val="%8."/>
      <w:lvlJc w:val="left"/>
      <w:pPr>
        <w:ind w:left="5760" w:hanging="360"/>
      </w:pPr>
    </w:lvl>
    <w:lvl w:ilvl="8" w:tplc="B6E4EF82">
      <w:start w:val="1"/>
      <w:numFmt w:val="lowerRoman"/>
      <w:lvlText w:val="%9."/>
      <w:lvlJc w:val="right"/>
      <w:pPr>
        <w:ind w:left="6480" w:hanging="180"/>
      </w:pPr>
    </w:lvl>
  </w:abstractNum>
  <w:abstractNum w:abstractNumId="7" w15:restartNumberingAfterBreak="0">
    <w:nsid w:val="7837FC73"/>
    <w:multiLevelType w:val="hybridMultilevel"/>
    <w:tmpl w:val="FFFFFFFF"/>
    <w:lvl w:ilvl="0" w:tplc="E216259A">
      <w:start w:val="1"/>
      <w:numFmt w:val="bullet"/>
      <w:lvlText w:val=""/>
      <w:lvlJc w:val="left"/>
      <w:pPr>
        <w:ind w:left="720" w:hanging="360"/>
      </w:pPr>
      <w:rPr>
        <w:rFonts w:ascii="Symbol" w:hAnsi="Symbol" w:hint="default"/>
      </w:rPr>
    </w:lvl>
    <w:lvl w:ilvl="1" w:tplc="CF28D458">
      <w:start w:val="1"/>
      <w:numFmt w:val="bullet"/>
      <w:lvlText w:val="-"/>
      <w:lvlJc w:val="left"/>
      <w:pPr>
        <w:ind w:left="1440" w:hanging="360"/>
      </w:pPr>
      <w:rPr>
        <w:rFonts w:ascii="Calibri" w:hAnsi="Calibri" w:hint="default"/>
      </w:rPr>
    </w:lvl>
    <w:lvl w:ilvl="2" w:tplc="D9B6C468">
      <w:start w:val="1"/>
      <w:numFmt w:val="bullet"/>
      <w:lvlText w:val=""/>
      <w:lvlJc w:val="left"/>
      <w:pPr>
        <w:ind w:left="2160" w:hanging="360"/>
      </w:pPr>
      <w:rPr>
        <w:rFonts w:ascii="Wingdings" w:hAnsi="Wingdings" w:hint="default"/>
      </w:rPr>
    </w:lvl>
    <w:lvl w:ilvl="3" w:tplc="63808F26">
      <w:start w:val="1"/>
      <w:numFmt w:val="bullet"/>
      <w:lvlText w:val=""/>
      <w:lvlJc w:val="left"/>
      <w:pPr>
        <w:ind w:left="2880" w:hanging="360"/>
      </w:pPr>
      <w:rPr>
        <w:rFonts w:ascii="Symbol" w:hAnsi="Symbol" w:hint="default"/>
      </w:rPr>
    </w:lvl>
    <w:lvl w:ilvl="4" w:tplc="17486F66">
      <w:start w:val="1"/>
      <w:numFmt w:val="bullet"/>
      <w:lvlText w:val="o"/>
      <w:lvlJc w:val="left"/>
      <w:pPr>
        <w:ind w:left="3600" w:hanging="360"/>
      </w:pPr>
      <w:rPr>
        <w:rFonts w:ascii="Courier New" w:hAnsi="Courier New" w:hint="default"/>
      </w:rPr>
    </w:lvl>
    <w:lvl w:ilvl="5" w:tplc="189431F0">
      <w:start w:val="1"/>
      <w:numFmt w:val="bullet"/>
      <w:lvlText w:val=""/>
      <w:lvlJc w:val="left"/>
      <w:pPr>
        <w:ind w:left="4320" w:hanging="360"/>
      </w:pPr>
      <w:rPr>
        <w:rFonts w:ascii="Wingdings" w:hAnsi="Wingdings" w:hint="default"/>
      </w:rPr>
    </w:lvl>
    <w:lvl w:ilvl="6" w:tplc="46964B72">
      <w:start w:val="1"/>
      <w:numFmt w:val="bullet"/>
      <w:lvlText w:val=""/>
      <w:lvlJc w:val="left"/>
      <w:pPr>
        <w:ind w:left="5040" w:hanging="360"/>
      </w:pPr>
      <w:rPr>
        <w:rFonts w:ascii="Symbol" w:hAnsi="Symbol" w:hint="default"/>
      </w:rPr>
    </w:lvl>
    <w:lvl w:ilvl="7" w:tplc="ECFAF598">
      <w:start w:val="1"/>
      <w:numFmt w:val="bullet"/>
      <w:lvlText w:val="o"/>
      <w:lvlJc w:val="left"/>
      <w:pPr>
        <w:ind w:left="5760" w:hanging="360"/>
      </w:pPr>
      <w:rPr>
        <w:rFonts w:ascii="Courier New" w:hAnsi="Courier New" w:hint="default"/>
      </w:rPr>
    </w:lvl>
    <w:lvl w:ilvl="8" w:tplc="5CA0036E">
      <w:start w:val="1"/>
      <w:numFmt w:val="bullet"/>
      <w:lvlText w:val=""/>
      <w:lvlJc w:val="left"/>
      <w:pPr>
        <w:ind w:left="6480" w:hanging="360"/>
      </w:pPr>
      <w:rPr>
        <w:rFonts w:ascii="Wingdings" w:hAnsi="Wingdings" w:hint="default"/>
      </w:rPr>
    </w:lvl>
  </w:abstractNum>
  <w:abstractNum w:abstractNumId="8" w15:restartNumberingAfterBreak="0">
    <w:nsid w:val="7BC04484"/>
    <w:multiLevelType w:val="hybridMultilevel"/>
    <w:tmpl w:val="9B4083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20439473">
    <w:abstractNumId w:val="3"/>
  </w:num>
  <w:num w:numId="2" w16cid:durableId="527530382">
    <w:abstractNumId w:val="7"/>
  </w:num>
  <w:num w:numId="3" w16cid:durableId="1888905743">
    <w:abstractNumId w:val="0"/>
  </w:num>
  <w:num w:numId="4" w16cid:durableId="1214805469">
    <w:abstractNumId w:val="4"/>
  </w:num>
  <w:num w:numId="5" w16cid:durableId="1497577522">
    <w:abstractNumId w:val="5"/>
  </w:num>
  <w:num w:numId="6" w16cid:durableId="2016035406">
    <w:abstractNumId w:val="2"/>
  </w:num>
  <w:num w:numId="7" w16cid:durableId="1422336225">
    <w:abstractNumId w:val="6"/>
  </w:num>
  <w:num w:numId="8" w16cid:durableId="1170827889">
    <w:abstractNumId w:val="1"/>
  </w:num>
  <w:num w:numId="9" w16cid:durableId="2580314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A1A"/>
    <w:rsid w:val="00383D21"/>
    <w:rsid w:val="0042003E"/>
    <w:rsid w:val="00480D2E"/>
    <w:rsid w:val="00760A1A"/>
    <w:rsid w:val="00991B01"/>
    <w:rsid w:val="009D2947"/>
    <w:rsid w:val="00AC4703"/>
    <w:rsid w:val="00F73A70"/>
    <w:rsid w:val="00FA541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86E9D"/>
  <w15:chartTrackingRefBased/>
  <w15:docId w15:val="{EDA648E5-DA93-4F43-A4AB-CA4DC637F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A1A"/>
    <w:pPr>
      <w:spacing w:after="0" w:line="240" w:lineRule="auto"/>
    </w:pPr>
    <w:rPr>
      <w:rFonts w:ascii="Times New Roman" w:eastAsia="Times New Roman" w:hAnsi="Times New Roman" w:cs="Times New Roman"/>
      <w:kern w:val="0"/>
      <w:sz w:val="24"/>
      <w:szCs w:val="24"/>
      <w:lang w:val="id-ID"/>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03E"/>
    <w:pPr>
      <w:tabs>
        <w:tab w:val="center" w:pos="4513"/>
        <w:tab w:val="right" w:pos="9026"/>
      </w:tabs>
    </w:pPr>
  </w:style>
  <w:style w:type="character" w:customStyle="1" w:styleId="HeaderChar">
    <w:name w:val="Header Char"/>
    <w:basedOn w:val="DefaultParagraphFont"/>
    <w:link w:val="Header"/>
    <w:uiPriority w:val="99"/>
    <w:rsid w:val="0042003E"/>
    <w:rPr>
      <w:rFonts w:ascii="Times New Roman" w:eastAsia="Times New Roman" w:hAnsi="Times New Roman" w:cs="Times New Roman"/>
      <w:kern w:val="0"/>
      <w:sz w:val="24"/>
      <w:szCs w:val="24"/>
      <w:lang w:val="id-ID"/>
      <w14:ligatures w14:val="none"/>
    </w:rPr>
  </w:style>
  <w:style w:type="paragraph" w:styleId="Footer">
    <w:name w:val="footer"/>
    <w:basedOn w:val="Normal"/>
    <w:link w:val="FooterChar"/>
    <w:uiPriority w:val="99"/>
    <w:unhideWhenUsed/>
    <w:rsid w:val="0042003E"/>
    <w:pPr>
      <w:tabs>
        <w:tab w:val="center" w:pos="4513"/>
        <w:tab w:val="right" w:pos="9026"/>
      </w:tabs>
    </w:pPr>
  </w:style>
  <w:style w:type="character" w:customStyle="1" w:styleId="FooterChar">
    <w:name w:val="Footer Char"/>
    <w:basedOn w:val="DefaultParagraphFont"/>
    <w:link w:val="Footer"/>
    <w:uiPriority w:val="99"/>
    <w:rsid w:val="0042003E"/>
    <w:rPr>
      <w:rFonts w:ascii="Times New Roman" w:eastAsia="Times New Roman" w:hAnsi="Times New Roman" w:cs="Times New Roman"/>
      <w:kern w:val="0"/>
      <w:sz w:val="24"/>
      <w:szCs w:val="24"/>
      <w:lang w:val="id-ID"/>
      <w14:ligatures w14:val="none"/>
    </w:rPr>
  </w:style>
  <w:style w:type="paragraph" w:styleId="NormalWeb">
    <w:name w:val="Normal (Web)"/>
    <w:basedOn w:val="Normal"/>
    <w:uiPriority w:val="99"/>
    <w:unhideWhenUsed/>
    <w:rsid w:val="0042003E"/>
    <w:pPr>
      <w:spacing w:before="100" w:beforeAutospacing="1" w:after="100" w:afterAutospacing="1"/>
    </w:pPr>
    <w:rPr>
      <w:lang w:val="en-US"/>
    </w:rPr>
  </w:style>
  <w:style w:type="paragraph" w:styleId="FootnoteText">
    <w:name w:val="footnote text"/>
    <w:basedOn w:val="Normal"/>
    <w:link w:val="FootnoteTextChar"/>
    <w:uiPriority w:val="99"/>
    <w:semiHidden/>
    <w:unhideWhenUsed/>
    <w:rsid w:val="0042003E"/>
    <w:rPr>
      <w:rFonts w:asciiTheme="minorHAnsi" w:eastAsiaTheme="minorHAnsi" w:hAnsiTheme="minorHAnsi" w:cstheme="minorBidi"/>
      <w:kern w:val="2"/>
      <w:sz w:val="20"/>
      <w:szCs w:val="20"/>
      <w:lang w:val="en-US"/>
      <w14:ligatures w14:val="standardContextual"/>
    </w:rPr>
  </w:style>
  <w:style w:type="character" w:customStyle="1" w:styleId="FootnoteTextChar">
    <w:name w:val="Footnote Text Char"/>
    <w:basedOn w:val="DefaultParagraphFont"/>
    <w:link w:val="FootnoteText"/>
    <w:uiPriority w:val="99"/>
    <w:semiHidden/>
    <w:rsid w:val="0042003E"/>
    <w:rPr>
      <w:sz w:val="20"/>
      <w:szCs w:val="20"/>
      <w:lang w:val="en-US"/>
    </w:rPr>
  </w:style>
  <w:style w:type="character" w:styleId="FootnoteReference">
    <w:name w:val="footnote reference"/>
    <w:basedOn w:val="DefaultParagraphFont"/>
    <w:uiPriority w:val="99"/>
    <w:semiHidden/>
    <w:unhideWhenUsed/>
    <w:rsid w:val="0042003E"/>
    <w:rPr>
      <w:vertAlign w:val="superscript"/>
    </w:rPr>
  </w:style>
  <w:style w:type="character" w:styleId="Hyperlink">
    <w:name w:val="Hyperlink"/>
    <w:basedOn w:val="DefaultParagraphFont"/>
    <w:uiPriority w:val="99"/>
    <w:unhideWhenUsed/>
    <w:rsid w:val="0042003E"/>
    <w:rPr>
      <w:color w:val="0563C1" w:themeColor="hyperlink"/>
      <w:u w:val="single"/>
    </w:rPr>
  </w:style>
  <w:style w:type="paragraph" w:styleId="ListParagraph">
    <w:name w:val="List Paragraph"/>
    <w:basedOn w:val="Normal"/>
    <w:uiPriority w:val="34"/>
    <w:qFormat/>
    <w:rsid w:val="0042003E"/>
    <w:pPr>
      <w:spacing w:after="160" w:line="259" w:lineRule="auto"/>
      <w:ind w:left="720"/>
      <w:contextualSpacing/>
    </w:pPr>
    <w:rPr>
      <w:rFonts w:asciiTheme="minorHAnsi" w:eastAsiaTheme="minorHAnsi" w:hAnsiTheme="minorHAnsi" w:cstheme="minorBidi"/>
      <w:kern w:val="2"/>
      <w:sz w:val="22"/>
      <w:szCs w:val="2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ea.blob.core.windows.net/assets/4eb8c252-76b1-4710-8f5e-867e751c8dda/GlobalSupplyChainsofEVBatteries.pdf" TargetMode="External"/><Relationship Id="rId18" Type="http://schemas.openxmlformats.org/officeDocument/2006/relationships/image" Target="media/image1.png"/><Relationship Id="rId26" Type="http://schemas.openxmlformats.org/officeDocument/2006/relationships/hyperlink" Target="https://en.tempo.co/read/1700671/satya-bumi-public-environmental-discussion-hampered-by-infiltrator" TargetMode="External"/><Relationship Id="rId3" Type="http://schemas.openxmlformats.org/officeDocument/2006/relationships/styles" Target="styles.xml"/><Relationship Id="rId21" Type="http://schemas.openxmlformats.org/officeDocument/2006/relationships/hyperlink" Target="https://changingtimes.media/2020/02/28/hydropower-project-imperils-worlds-rarest-great-ape-species/"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news.mongabay.com/2021/12/indonesians-protesting-against-mines-run-growing-risk-of-criminalization/" TargetMode="External"/><Relationship Id="rId17" Type="http://schemas.openxmlformats.org/officeDocument/2006/relationships/hyperlink" Target="https://www.aeer.or.id/2023/06/23/rangkaian-pasok-nikel-baterai-di-indonesia-dan-persoalan-sosial-ekologi/" TargetMode="External"/><Relationship Id="rId25" Type="http://schemas.openxmlformats.org/officeDocument/2006/relationships/hyperlink" Target="https://www.ft.com/content/dddcf70c-fbcd-11e9-98fd-4d6c20050229"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eer.or.id/2023/06/23/rangkaian-pasok-nikel-baterai-di-indonesia-dan-persoalan-sosial-ekologi/" TargetMode="External"/><Relationship Id="rId20" Type="http://schemas.openxmlformats.org/officeDocument/2006/relationships/hyperlink" Target="https://drive.google.com/file/d/1eGe7GjFNCBbP2SoyHyPi_CLYPt-24M2w/view" TargetMode="External"/><Relationship Id="rId29" Type="http://schemas.openxmlformats.org/officeDocument/2006/relationships/hyperlink" Target="https://www.inclusivedevelopment.net/belt-and-road/90-civil-society-groups-call-on-china-to-protect-biodiversity-in-its-overseas-invest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tyabumi.org/neo-extractivism-in-indonesias-nickel-epicenter-the-fragility-of-mining-governance-and-realizing-ecological-justice-and-protection-of-human-rights-on-the-celebes-land/" TargetMode="External"/><Relationship Id="rId24" Type="http://schemas.openxmlformats.org/officeDocument/2006/relationships/hyperlink" Target="https://news.mongabay.com/2022/11/tunnel-collapse-at-dam-project-in-orangutan-habitat-claims-yet-another-life/"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eer.or.id/2023/06/23/rangkaian-pasok-nikel-baterai-di-indonesia-dan-persoalan-sosial-ekologi/" TargetMode="External"/><Relationship Id="rId23" Type="http://schemas.openxmlformats.org/officeDocument/2006/relationships/hyperlink" Target="https://www.mongabay.co.id/2023/07/27/plta-batang-toru-jatuh-korban-jiwa-lagi-sengketa-lahan-pun-terjadi/" TargetMode="External"/><Relationship Id="rId28" Type="http://schemas.openxmlformats.org/officeDocument/2006/relationships/hyperlink" Target="http://www.primate-sg.org/tapanuli/" TargetMode="External"/><Relationship Id="rId36" Type="http://schemas.openxmlformats.org/officeDocument/2006/relationships/theme" Target="theme/theme1.xml"/><Relationship Id="rId10" Type="http://schemas.openxmlformats.org/officeDocument/2006/relationships/hyperlink" Target="https://voxeurop.eu/en/investigations/investigating-green-finance-made-in-europe/" TargetMode="External"/><Relationship Id="rId19" Type="http://schemas.openxmlformats.org/officeDocument/2006/relationships/hyperlink" Target="https://pontianakpost.jawapos.com/metropolis/1463472452/pt-mayawana-persada-tak-kantongi-sertifikasi-fsc-diduga-babat-hutan-hingga-langgar-ha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ightyearth.org/wp-content/uploads/Mighty_Earth_MichelinReport8Oct2020FINAL.pdf" TargetMode="External"/><Relationship Id="rId14" Type="http://schemas.openxmlformats.org/officeDocument/2006/relationships/hyperlink" Target="https://satyabumi.org/neo-extractivism-in-indonesias-nickel-epicenter-the-fragility-of-mining-governance-and-realizing-ecological-justice-and-protection-of-human-rights-on-the-celebes-land/" TargetMode="External"/><Relationship Id="rId22" Type="http://schemas.openxmlformats.org/officeDocument/2006/relationships/hyperlink" Target="https://www.thejakartapost.com/business/2023/02/21/poor-planning-causes-pln-to-pay-more-for-batang-toru-hydropower-plant.html" TargetMode="External"/><Relationship Id="rId27" Type="http://schemas.openxmlformats.org/officeDocument/2006/relationships/hyperlink" Target="https://www.thejakartapost.com/business/2023/02/22/batang-toru-power-plant-project-hits-snag-as-orangutan-conflict-worsens.html" TargetMode="External"/><Relationship Id="rId30" Type="http://schemas.openxmlformats.org/officeDocument/2006/relationships/hyperlink" Target="https://mightyearth.org/article/open-letter-leading-scientists-international-ngos-and-scottish-environmental-groups-urge-ministers-to-act-to-save-worlds-rarest-great-ape/" TargetMode="External"/><Relationship Id="rId35" Type="http://schemas.openxmlformats.org/officeDocument/2006/relationships/fontTable" Target="fontTable.xml"/><Relationship Id="rId8" Type="http://schemas.openxmlformats.org/officeDocument/2006/relationships/hyperlink" Target="https://drive.google.com/file/d/1Rz5Qz-wWCY3_imH_FLom0ORFxYaLBe96/view"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eer.or.id/2023/06/23/rangkaian-pasok-nikel-battery-di-indonesia-dan-persoalan-social-ekologi/" TargetMode="External"/><Relationship Id="rId2" Type="http://schemas.openxmlformats.org/officeDocument/2006/relationships/hyperlink" Target="https://nasional.kompas.com/read/2015/12/10/14515831/Pemerintah.Tetapkan.122.Daerah.Tertinggal.Ini.Daftarnya?page=all" TargetMode="External"/><Relationship Id="rId1" Type="http://schemas.openxmlformats.org/officeDocument/2006/relationships/hyperlink" Target="https://satyabumi.org/" TargetMode="External"/><Relationship Id="rId4" Type="http://schemas.openxmlformats.org/officeDocument/2006/relationships/hyperlink" Target="https://www.ibanet.org/MediaHandler?id=0f8cee12-ee56-4452-bf43-cfcab196cc04"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info@satyabumi.or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F515B-B52F-49B9-A2CB-EA81D287F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5310</Words>
  <Characters>30271</Characters>
  <Application>Microsoft Office Word</Application>
  <DocSecurity>0</DocSecurity>
  <Lines>252</Lines>
  <Paragraphs>71</Paragraphs>
  <ScaleCrop>false</ScaleCrop>
  <Company/>
  <LinksUpToDate>false</LinksUpToDate>
  <CharactersWithSpaces>35510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 Muttq</dc:creator>
  <cp:keywords/>
  <dc:description/>
  <cp:lastModifiedBy>Andi Muttq</cp:lastModifiedBy>
  <cp:revision>3</cp:revision>
  <dcterms:created xsi:type="dcterms:W3CDTF">2024-01-15T12:57:00Z</dcterms:created>
  <dcterms:modified xsi:type="dcterms:W3CDTF">2024-01-15T13:01:00Z</dcterms:modified>
</cp:coreProperties>
</file>