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C74E00" w14:textId="21E6AC25" w:rsidR="00550A8F" w:rsidRPr="00550A8F" w:rsidRDefault="529A3C51" w:rsidP="3017B0B5">
      <w:pPr>
        <w:pStyle w:val="TitlePageHeading"/>
        <w:spacing w:before="240" w:after="240"/>
        <w:rPr>
          <w:rFonts w:eastAsia="Times New Roman" w:cs="Times New Roman"/>
          <w:bCs/>
          <w:szCs w:val="24"/>
        </w:rPr>
      </w:pPr>
      <w:r w:rsidRPr="3017B0B5">
        <w:rPr>
          <w:rFonts w:eastAsia="Times New Roman" w:cs="Times New Roman"/>
          <w:bCs/>
          <w:szCs w:val="24"/>
        </w:rPr>
        <w:t xml:space="preserve">Belize’s Compliance with Committee on Elimination of Discrimination Against Women: </w:t>
      </w:r>
      <w:r w:rsidR="00176737">
        <w:rPr>
          <w:rFonts w:eastAsia="Times New Roman" w:cs="Times New Roman"/>
          <w:bCs/>
          <w:szCs w:val="24"/>
        </w:rPr>
        <w:t xml:space="preserve">The </w:t>
      </w:r>
      <w:r w:rsidRPr="3017B0B5">
        <w:rPr>
          <w:rFonts w:eastAsia="Times New Roman" w:cs="Times New Roman"/>
          <w:bCs/>
          <w:szCs w:val="24"/>
        </w:rPr>
        <w:t>Death Penalty</w:t>
      </w:r>
    </w:p>
    <w:p w14:paraId="26D24DDC" w14:textId="7BEA484F" w:rsidR="004B1E4E" w:rsidRPr="00550A8F" w:rsidRDefault="004B1E4E" w:rsidP="3017B0B5">
      <w:pPr>
        <w:pStyle w:val="TitlePageHeading"/>
        <w:spacing w:before="240" w:after="240"/>
      </w:pPr>
      <w:r>
        <w:t xml:space="preserve">Submitted by </w:t>
      </w:r>
      <w:r w:rsidR="00AA7FCB">
        <w:t>T</w:t>
      </w:r>
      <w:r>
        <w:t>he Advocates for Human Rights</w:t>
      </w:r>
    </w:p>
    <w:p w14:paraId="5D0E9FCD" w14:textId="5B8E3A48" w:rsidR="00716FA6" w:rsidRDefault="004B1E4E" w:rsidP="3017B0B5">
      <w:pPr>
        <w:pStyle w:val="TitlePageSubheading"/>
        <w:spacing w:before="240" w:after="240"/>
      </w:pPr>
      <w:r>
        <w:t>a non-governmental organization in special consultative status with ECOSOC</w:t>
      </w:r>
      <w:r w:rsidR="00624A10">
        <w:t xml:space="preserve"> since 1996</w:t>
      </w:r>
      <w:r w:rsidR="00550A8F">
        <w:t xml:space="preserve"> </w:t>
      </w:r>
    </w:p>
    <w:p w14:paraId="1F5B311B" w14:textId="0F6BEBAC" w:rsidR="000058DC" w:rsidRPr="007D3809" w:rsidRDefault="000058DC" w:rsidP="3017B0B5">
      <w:pPr>
        <w:pStyle w:val="TitlePageSubheading"/>
        <w:spacing w:before="240" w:after="240"/>
        <w:rPr>
          <w:b/>
          <w:bCs/>
        </w:rPr>
      </w:pPr>
      <w:r>
        <w:rPr>
          <w:b/>
          <w:bCs/>
        </w:rPr>
        <w:t>Greater Caribbean for Life</w:t>
      </w:r>
    </w:p>
    <w:p w14:paraId="64F83CB9" w14:textId="561F8124" w:rsidR="00176737" w:rsidRDefault="00176737" w:rsidP="3017B0B5">
      <w:pPr>
        <w:pStyle w:val="TitlePageSubheading"/>
        <w:spacing w:before="240" w:after="240"/>
      </w:pPr>
      <w:r>
        <w:t>and</w:t>
      </w:r>
    </w:p>
    <w:p w14:paraId="4A1428F8" w14:textId="4F5485FA" w:rsidR="00176737" w:rsidRPr="00176737" w:rsidRDefault="00176737" w:rsidP="3017B0B5">
      <w:pPr>
        <w:pStyle w:val="TitlePageSubheading"/>
        <w:spacing w:before="240" w:after="240"/>
        <w:rPr>
          <w:b/>
          <w:bCs/>
        </w:rPr>
      </w:pPr>
      <w:r>
        <w:rPr>
          <w:b/>
          <w:bCs/>
        </w:rPr>
        <w:t>The World Coalition Against the Death Penalty</w:t>
      </w:r>
    </w:p>
    <w:p w14:paraId="24E688AE" w14:textId="2966B9F2" w:rsidR="004B1E4E" w:rsidRPr="00CA5CC2" w:rsidRDefault="004B1E4E" w:rsidP="3017B0B5">
      <w:pPr>
        <w:pStyle w:val="TitlePageSubheading"/>
        <w:spacing w:before="240" w:after="240"/>
        <w:rPr>
          <w:color w:val="000000" w:themeColor="text1"/>
        </w:rPr>
      </w:pPr>
      <w:r>
        <w:t>for the</w:t>
      </w:r>
      <w:r w:rsidR="00EE3828">
        <w:t xml:space="preserve"> </w:t>
      </w:r>
      <w:r w:rsidR="5EDB75AA">
        <w:t>90t</w:t>
      </w:r>
      <w:r w:rsidR="00A94C86">
        <w:t>h</w:t>
      </w:r>
      <w:r>
        <w:t xml:space="preserve"> Session of the</w:t>
      </w:r>
      <w:r w:rsidR="680F86AC">
        <w:t xml:space="preserve"> </w:t>
      </w:r>
      <w:r w:rsidR="680F86AC" w:rsidRPr="3017B0B5">
        <w:rPr>
          <w:color w:val="000000" w:themeColor="text1"/>
        </w:rPr>
        <w:t>Committee on the Elimination of All Forms of Discrimination against Women</w:t>
      </w:r>
    </w:p>
    <w:p w14:paraId="5A36DD42" w14:textId="1C18842E" w:rsidR="680F86AC" w:rsidRDefault="0067752E" w:rsidP="3017B0B5">
      <w:pPr>
        <w:pStyle w:val="TitlePageHeading"/>
        <w:spacing w:before="240" w:after="240"/>
        <w:rPr>
          <w:rFonts w:eastAsia="Times New Roman" w:cs="Times New Roman"/>
          <w:bCs/>
          <w:szCs w:val="24"/>
        </w:rPr>
      </w:pPr>
      <w:r>
        <w:rPr>
          <w:rFonts w:eastAsia="Times New Roman" w:cs="Times New Roman"/>
          <w:bCs/>
          <w:szCs w:val="24"/>
        </w:rPr>
        <w:t>3</w:t>
      </w:r>
      <w:r w:rsidR="680F86AC" w:rsidRPr="3017B0B5">
        <w:rPr>
          <w:rFonts w:eastAsia="Times New Roman" w:cs="Times New Roman"/>
          <w:bCs/>
          <w:szCs w:val="24"/>
        </w:rPr>
        <w:t>–</w:t>
      </w:r>
      <w:r>
        <w:rPr>
          <w:rFonts w:eastAsia="Times New Roman" w:cs="Times New Roman"/>
          <w:bCs/>
          <w:szCs w:val="24"/>
        </w:rPr>
        <w:t>2</w:t>
      </w:r>
      <w:r w:rsidR="680F86AC" w:rsidRPr="3017B0B5">
        <w:rPr>
          <w:rFonts w:eastAsia="Times New Roman" w:cs="Times New Roman"/>
          <w:bCs/>
          <w:szCs w:val="24"/>
        </w:rPr>
        <w:t>1 February 2025</w:t>
      </w:r>
    </w:p>
    <w:p w14:paraId="4EBFAEDD" w14:textId="19EF87C5" w:rsidR="004B1E4E" w:rsidRPr="004B1E4E" w:rsidRDefault="680F86AC" w:rsidP="3017B0B5">
      <w:pPr>
        <w:pStyle w:val="TitlePageHeading"/>
        <w:spacing w:before="240" w:after="240"/>
        <w:rPr>
          <w:rFonts w:eastAsia="Times New Roman" w:cs="Times New Roman"/>
          <w:bCs/>
          <w:szCs w:val="24"/>
        </w:rPr>
      </w:pPr>
      <w:r w:rsidRPr="3017B0B5">
        <w:rPr>
          <w:rFonts w:eastAsia="Times New Roman" w:cs="Times New Roman"/>
          <w:bCs/>
          <w:szCs w:val="24"/>
        </w:rPr>
        <w:t>Submitted 6 January 2025</w:t>
      </w:r>
    </w:p>
    <w:p w14:paraId="564E014A" w14:textId="5820B7BA" w:rsidR="004B1E4E" w:rsidRPr="007D3809" w:rsidRDefault="56F42F0B" w:rsidP="007D3809">
      <w:pPr>
        <w:widowControl w:val="0"/>
        <w:autoSpaceDE w:val="0"/>
        <w:autoSpaceDN w:val="0"/>
        <w:adjustRightInd w:val="0"/>
        <w:spacing w:after="240"/>
        <w:jc w:val="both"/>
        <w:rPr>
          <w:rFonts w:eastAsia="Arial"/>
          <w:kern w:val="0"/>
          <w:lang w:eastAsia="en-US"/>
        </w:rPr>
      </w:pPr>
      <w:r w:rsidRPr="3017B0B5">
        <w:rPr>
          <w:rStyle w:val="BoilerplateTitleChar0"/>
          <w:rFonts w:eastAsia="Times New Roman" w:cs="Times New Roman"/>
          <w:color w:val="000000" w:themeColor="text1"/>
        </w:rPr>
        <w:t>The Advocates for Human Rights</w:t>
      </w:r>
      <w:r w:rsidRPr="3017B0B5">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00AF2E1E" w:rsidRPr="00AF2E1E">
        <w:rPr>
          <w:rStyle w:val="BoilerplateTextChar0"/>
        </w:rPr>
        <w:t xml:space="preserve"> </w:t>
      </w:r>
      <w:r w:rsidR="00AF2E1E"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00AF2E1E" w:rsidRPr="2FCAE636">
        <w:rPr>
          <w:color w:val="000000" w:themeColor="text1"/>
        </w:rPr>
        <w:t>.</w:t>
      </w:r>
      <w:r w:rsidR="00AF2E1E">
        <w:rPr>
          <w:color w:val="000000" w:themeColor="text1"/>
        </w:rPr>
        <w:t xml:space="preserve"> </w:t>
      </w:r>
      <w:r w:rsidR="00AF2E1E"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B1596B0" w14:textId="52D66427" w:rsidR="004B1E4E" w:rsidRDefault="56B753AB" w:rsidP="3017B0B5">
      <w:pPr>
        <w:widowControl w:val="0"/>
        <w:spacing w:before="240" w:after="240"/>
        <w:jc w:val="both"/>
        <w:rPr>
          <w:color w:val="000000" w:themeColor="text1"/>
        </w:rPr>
      </w:pPr>
      <w:r w:rsidRPr="3017B0B5">
        <w:rPr>
          <w:b/>
          <w:bCs/>
          <w:color w:val="000000" w:themeColor="text1"/>
        </w:rPr>
        <w:t>The World Coalition Against the Death</w:t>
      </w:r>
      <w:r w:rsidRPr="3017B0B5">
        <w:rPr>
          <w:color w:val="000000" w:themeColor="text1"/>
        </w:rPr>
        <w:t xml:space="preserve"> </w:t>
      </w:r>
      <w:r w:rsidRPr="3017B0B5">
        <w:rPr>
          <w:b/>
          <w:bCs/>
          <w:color w:val="000000" w:themeColor="text1"/>
        </w:rPr>
        <w:t>Penalty</w:t>
      </w:r>
      <w:r w:rsidRPr="3017B0B5">
        <w:rPr>
          <w:color w:val="000000" w:themeColor="text1"/>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6CF052B2" w14:textId="77777777" w:rsidR="00F76E49" w:rsidRPr="001E4BD2" w:rsidRDefault="00F76E49" w:rsidP="00F76E49">
      <w:pPr>
        <w:widowControl w:val="0"/>
        <w:autoSpaceDE w:val="0"/>
        <w:autoSpaceDN w:val="0"/>
        <w:adjustRightInd w:val="0"/>
        <w:spacing w:after="240"/>
        <w:jc w:val="both"/>
        <w:rPr>
          <w:color w:val="000000" w:themeColor="text1"/>
        </w:rPr>
      </w:pPr>
      <w:r w:rsidRPr="00900720">
        <w:rPr>
          <w:b/>
          <w:bCs/>
        </w:rPr>
        <w:t xml:space="preserve">The Greater Caribbean for Life </w:t>
      </w:r>
      <w:r w:rsidRPr="00900720">
        <w:t xml:space="preserve">(GCL) is an independent, not-for-profit civil society organization that was established in Port of Spain, Trinidad on October 2, </w:t>
      </w:r>
      <w:proofErr w:type="gramStart"/>
      <w:r w:rsidRPr="00900720">
        <w:t>2013</w:t>
      </w:r>
      <w:proofErr w:type="gramEnd"/>
      <w:r w:rsidRPr="00900720">
        <w:t xml:space="preserve"> to unite Caribbean abolitionist organizations and individuals. The region comprises 25 countries, including 13 Caribbean islands, the Caribbean states of South America (Columbia, Venezuela, and the </w:t>
      </w:r>
      <w:proofErr w:type="spellStart"/>
      <w:r w:rsidRPr="00900720">
        <w:lastRenderedPageBreak/>
        <w:t>Guyanas</w:t>
      </w:r>
      <w:proofErr w:type="spellEnd"/>
      <w:r w:rsidRPr="00900720">
        <w:t xml:space="preserve">), the countries of Central America and Mexico, in addition to Puerto Rico, and the US, British, Dutch and French Caribbean territories. In the struggle against the death penalty, GCL reflects the greatest respect to the right to life. GCL has members in 16 Caribbean States and territories. This initiative began on October 19, 2011, when a group of organizations and individuals from countries of the Greater Caribbean opposed to the application of capital punishment, participated in an International Conference in Madrid on the Death Penalty in the Greater Caribbean. The Conference was organized by the Community of </w:t>
      </w:r>
      <w:proofErr w:type="spellStart"/>
      <w:r w:rsidRPr="00900720">
        <w:t>Sant’Edigio</w:t>
      </w:r>
      <w:proofErr w:type="spellEnd"/>
      <w:r w:rsidRPr="00900720">
        <w:t>. GCL was constituted with the purpose of campaigning for and working towards the permanent abolition of the death penalty in the Greater Caribbean; supporting Caribbean abolitionist activists and organizations in this region; and collaborating with the international abolitionist community.</w:t>
      </w:r>
    </w:p>
    <w:p w14:paraId="347E308E" w14:textId="77777777" w:rsidR="00F76E49" w:rsidRPr="004B1E4E" w:rsidRDefault="00F76E49" w:rsidP="3017B0B5">
      <w:pPr>
        <w:widowControl w:val="0"/>
        <w:spacing w:before="240" w:after="240"/>
        <w:jc w:val="both"/>
        <w:rPr>
          <w:color w:val="000000" w:themeColor="text1"/>
        </w:rPr>
      </w:pPr>
    </w:p>
    <w:p w14:paraId="6D55D554" w14:textId="4FE9E11E" w:rsidR="004B1E4E" w:rsidRPr="004B1E4E" w:rsidRDefault="004B1E4E" w:rsidP="3017B0B5">
      <w:pPr>
        <w:pStyle w:val="ExecutiveSummary"/>
        <w:spacing w:before="240"/>
      </w:pPr>
    </w:p>
    <w:p w14:paraId="36A12A1C" w14:textId="234526B4" w:rsidR="23AEFB88" w:rsidRDefault="23AEFB88" w:rsidP="3017B0B5">
      <w:pPr>
        <w:spacing w:before="240"/>
      </w:pPr>
      <w:r>
        <w:br w:type="page"/>
      </w:r>
    </w:p>
    <w:p w14:paraId="1FC77D31" w14:textId="55258F57" w:rsidR="004B1E4E" w:rsidRPr="004B1E4E" w:rsidRDefault="004B1E4E" w:rsidP="3017B0B5">
      <w:pPr>
        <w:pStyle w:val="ExecutiveSummary"/>
        <w:spacing w:before="240" w:after="240"/>
      </w:pPr>
      <w:r>
        <w:lastRenderedPageBreak/>
        <w:t>Executive Summary</w:t>
      </w:r>
    </w:p>
    <w:p w14:paraId="7D41C1AA" w14:textId="73F21FF3" w:rsidR="6FECD94F" w:rsidRDefault="6FECD94F" w:rsidP="3017B0B5">
      <w:pPr>
        <w:pStyle w:val="Paragraph"/>
        <w:spacing w:before="120"/>
        <w:rPr>
          <w:color w:val="000000" w:themeColor="text1"/>
        </w:rPr>
      </w:pPr>
      <w:r w:rsidRPr="3017B0B5">
        <w:rPr>
          <w:color w:val="000000" w:themeColor="text1"/>
        </w:rPr>
        <w:t xml:space="preserve">This report </w:t>
      </w:r>
      <w:r w:rsidR="000542DD">
        <w:rPr>
          <w:color w:val="000000" w:themeColor="text1"/>
        </w:rPr>
        <w:t xml:space="preserve">acknowledges as a good practice </w:t>
      </w:r>
      <w:r w:rsidR="7ABA29B6" w:rsidRPr="3017B0B5">
        <w:rPr>
          <w:color w:val="000000" w:themeColor="text1"/>
        </w:rPr>
        <w:t xml:space="preserve">Belize’s </w:t>
      </w:r>
      <w:r w:rsidR="000542DD">
        <w:rPr>
          <w:color w:val="000000" w:themeColor="text1"/>
        </w:rPr>
        <w:t xml:space="preserve">judicial </w:t>
      </w:r>
      <w:r w:rsidR="7ABA29B6" w:rsidRPr="3017B0B5">
        <w:rPr>
          <w:color w:val="000000" w:themeColor="text1"/>
        </w:rPr>
        <w:t xml:space="preserve">recognition of domestic violence as a mitigating factor in cases eligible for the death penalty. </w:t>
      </w:r>
      <w:r w:rsidR="000E0022">
        <w:rPr>
          <w:color w:val="000000" w:themeColor="text1"/>
        </w:rPr>
        <w:t>I</w:t>
      </w:r>
      <w:r w:rsidR="00FC38B5">
        <w:rPr>
          <w:color w:val="000000" w:themeColor="text1"/>
        </w:rPr>
        <w:t>t also highlights</w:t>
      </w:r>
      <w:r w:rsidR="000E0022">
        <w:rPr>
          <w:color w:val="000000" w:themeColor="text1"/>
        </w:rPr>
        <w:t>, however,</w:t>
      </w:r>
      <w:r w:rsidR="00FC38B5">
        <w:rPr>
          <w:color w:val="000000" w:themeColor="text1"/>
        </w:rPr>
        <w:t xml:space="preserve"> </w:t>
      </w:r>
      <w:r w:rsidRPr="3017B0B5">
        <w:rPr>
          <w:color w:val="000000" w:themeColor="text1"/>
        </w:rPr>
        <w:t>concerns about</w:t>
      </w:r>
      <w:r w:rsidR="00D4286E">
        <w:rPr>
          <w:color w:val="000000" w:themeColor="text1"/>
        </w:rPr>
        <w:t xml:space="preserve"> possible</w:t>
      </w:r>
      <w:r w:rsidRPr="3017B0B5">
        <w:rPr>
          <w:color w:val="000000" w:themeColor="text1"/>
        </w:rPr>
        <w:t xml:space="preserve"> </w:t>
      </w:r>
      <w:r w:rsidR="00FC38B5">
        <w:rPr>
          <w:color w:val="000000" w:themeColor="text1"/>
        </w:rPr>
        <w:t xml:space="preserve">inconsistent application of this precedent; </w:t>
      </w:r>
      <w:r w:rsidR="00BE7F66">
        <w:rPr>
          <w:color w:val="000000" w:themeColor="text1"/>
        </w:rPr>
        <w:t xml:space="preserve">it is unclear whether </w:t>
      </w:r>
      <w:r w:rsidR="00FC38B5">
        <w:rPr>
          <w:color w:val="000000" w:themeColor="text1"/>
        </w:rPr>
        <w:t xml:space="preserve">courts are consistently applying this </w:t>
      </w:r>
      <w:r w:rsidR="00EA3651">
        <w:rPr>
          <w:color w:val="000000" w:themeColor="text1"/>
        </w:rPr>
        <w:t>factor of mitigating circumstances</w:t>
      </w:r>
      <w:r w:rsidRPr="3017B0B5">
        <w:rPr>
          <w:color w:val="000000" w:themeColor="text1"/>
        </w:rPr>
        <w:t xml:space="preserve">. </w:t>
      </w:r>
      <w:r w:rsidR="7C00F624" w:rsidRPr="3017B0B5">
        <w:rPr>
          <w:color w:val="000000" w:themeColor="text1"/>
        </w:rPr>
        <w:t xml:space="preserve">This report </w:t>
      </w:r>
      <w:r w:rsidRPr="3017B0B5">
        <w:rPr>
          <w:color w:val="000000" w:themeColor="text1"/>
        </w:rPr>
        <w:t>urges Belize to abolish the death penalty and maintain its obligations under the Convention on the Elimination of All Forms of Discrimination Against Women (CEDAW)</w:t>
      </w:r>
      <w:r w:rsidR="00A00E35">
        <w:rPr>
          <w:color w:val="000000" w:themeColor="text1"/>
        </w:rPr>
        <w:t xml:space="preserve"> as they pertain to women in conflict with the law</w:t>
      </w:r>
      <w:r w:rsidR="00BE7F66">
        <w:rPr>
          <w:color w:val="000000" w:themeColor="text1"/>
        </w:rPr>
        <w:t xml:space="preserve">, in particular by codifying as a potential mitigating factor the defendant’s </w:t>
      </w:r>
      <w:r w:rsidR="00BE7F66" w:rsidRPr="3017B0B5">
        <w:rPr>
          <w:color w:val="000000" w:themeColor="text1"/>
        </w:rPr>
        <w:t xml:space="preserve">history </w:t>
      </w:r>
      <w:r w:rsidR="00BE7F66">
        <w:rPr>
          <w:color w:val="000000" w:themeColor="text1"/>
        </w:rPr>
        <w:t xml:space="preserve">as a survivor </w:t>
      </w:r>
      <w:r w:rsidR="00BE7F66" w:rsidRPr="3017B0B5">
        <w:rPr>
          <w:color w:val="000000" w:themeColor="text1"/>
        </w:rPr>
        <w:t>of gender-based violence in all cases</w:t>
      </w:r>
      <w:r w:rsidR="00BE7F66">
        <w:rPr>
          <w:color w:val="000000" w:themeColor="text1"/>
        </w:rPr>
        <w:t xml:space="preserve">, and </w:t>
      </w:r>
      <w:r w:rsidR="00D606DA">
        <w:rPr>
          <w:color w:val="000000" w:themeColor="text1"/>
        </w:rPr>
        <w:t xml:space="preserve">by </w:t>
      </w:r>
      <w:r w:rsidR="00BE7F66">
        <w:rPr>
          <w:color w:val="000000" w:themeColor="text1"/>
        </w:rPr>
        <w:t>promulgat</w:t>
      </w:r>
      <w:r w:rsidR="00D606DA">
        <w:rPr>
          <w:color w:val="000000" w:themeColor="text1"/>
        </w:rPr>
        <w:t>ing</w:t>
      </w:r>
      <w:r w:rsidR="00BE7F66">
        <w:rPr>
          <w:color w:val="000000" w:themeColor="text1"/>
        </w:rPr>
        <w:t xml:space="preserve"> that mitigating factor throughout the judiciary through training in collaboration with civil society organizations</w:t>
      </w:r>
      <w:r w:rsidR="00BE7F66" w:rsidRPr="3017B0B5">
        <w:rPr>
          <w:color w:val="000000" w:themeColor="text1"/>
        </w:rPr>
        <w:t>.</w:t>
      </w:r>
      <w:r w:rsidRPr="3017B0B5">
        <w:rPr>
          <w:color w:val="000000" w:themeColor="text1"/>
        </w:rPr>
        <w:t>.</w:t>
      </w:r>
    </w:p>
    <w:p w14:paraId="4B8AECE6" w14:textId="29D7531A" w:rsidR="00120F8D" w:rsidRDefault="675E5841" w:rsidP="00120F8D">
      <w:pPr>
        <w:pStyle w:val="SectionSummary"/>
        <w:keepNext/>
        <w:rPr>
          <w:bCs/>
          <w:color w:val="000000" w:themeColor="text1"/>
        </w:rPr>
      </w:pPr>
      <w:r w:rsidRPr="3017B0B5">
        <w:rPr>
          <w:bCs/>
          <w:color w:val="000000" w:themeColor="text1"/>
        </w:rPr>
        <w:t>Belize fails to uphold its obligations under the Convention on the Elimination of All Forms of Discrimination Against Women</w:t>
      </w:r>
    </w:p>
    <w:p w14:paraId="2929BBE4" w14:textId="4AEB4568" w:rsidR="00D606DA" w:rsidRPr="00C711E5" w:rsidRDefault="0015035B" w:rsidP="00C711E5">
      <w:pPr>
        <w:pStyle w:val="SectionSummary"/>
        <w:keepNext/>
        <w:numPr>
          <w:ilvl w:val="0"/>
          <w:numId w:val="16"/>
        </w:numPr>
        <w:jc w:val="left"/>
        <w:rPr>
          <w:bCs/>
          <w:color w:val="000000" w:themeColor="text1"/>
        </w:rPr>
      </w:pPr>
      <w:r>
        <w:rPr>
          <w:bCs/>
          <w:color w:val="000000" w:themeColor="text1"/>
        </w:rPr>
        <w:t>Access to Justice and Gender Bias in Sentencing</w:t>
      </w:r>
      <w:r w:rsidR="00177048">
        <w:rPr>
          <w:bCs/>
          <w:color w:val="000000" w:themeColor="text1"/>
        </w:rPr>
        <w:t xml:space="preserve"> (</w:t>
      </w:r>
      <w:r w:rsidR="00A23BA0">
        <w:rPr>
          <w:bCs/>
          <w:color w:val="000000" w:themeColor="text1"/>
        </w:rPr>
        <w:t>List of Issues paragra</w:t>
      </w:r>
      <w:r w:rsidR="00B16792">
        <w:rPr>
          <w:bCs/>
          <w:color w:val="000000" w:themeColor="text1"/>
        </w:rPr>
        <w:t xml:space="preserve">ph </w:t>
      </w:r>
      <w:r w:rsidR="005125BF">
        <w:rPr>
          <w:bCs/>
          <w:color w:val="000000" w:themeColor="text1"/>
        </w:rPr>
        <w:t>3</w:t>
      </w:r>
      <w:r w:rsidR="00B16792">
        <w:rPr>
          <w:bCs/>
          <w:color w:val="000000" w:themeColor="text1"/>
        </w:rPr>
        <w:t>)</w:t>
      </w:r>
      <w:r w:rsidR="007D74DB">
        <w:rPr>
          <w:bCs/>
          <w:color w:val="000000" w:themeColor="text1"/>
        </w:rPr>
        <w:t>.</w:t>
      </w:r>
    </w:p>
    <w:p w14:paraId="1E7018A0" w14:textId="39FCBE74" w:rsidR="00C711E5" w:rsidRPr="00C711E5" w:rsidRDefault="00C711E5" w:rsidP="00157099">
      <w:pPr>
        <w:pStyle w:val="Paragraph"/>
      </w:pPr>
      <w:r w:rsidRPr="3017B0B5">
        <w:rPr>
          <w:color w:val="000000" w:themeColor="text1"/>
        </w:rPr>
        <w:t xml:space="preserve">Belize is one of only two countries in Central and South America that has yet to abolish the death penalty. Belize </w:t>
      </w:r>
      <w:r w:rsidR="00000509">
        <w:rPr>
          <w:color w:val="000000" w:themeColor="text1"/>
        </w:rPr>
        <w:t xml:space="preserve">has </w:t>
      </w:r>
      <w:r w:rsidRPr="3017B0B5">
        <w:rPr>
          <w:color w:val="000000" w:themeColor="text1"/>
        </w:rPr>
        <w:t>maintain</w:t>
      </w:r>
      <w:r w:rsidR="00000509">
        <w:rPr>
          <w:color w:val="000000" w:themeColor="text1"/>
        </w:rPr>
        <w:t>ed</w:t>
      </w:r>
      <w:r w:rsidRPr="3017B0B5">
        <w:rPr>
          <w:color w:val="000000" w:themeColor="text1"/>
        </w:rPr>
        <w:t xml:space="preserve"> a de facto moratorium on executions since 1985, </w:t>
      </w:r>
      <w:r w:rsidR="004F3EB9">
        <w:rPr>
          <w:color w:val="000000" w:themeColor="text1"/>
        </w:rPr>
        <w:t>courts have not issued death sentences since 2005,</w:t>
      </w:r>
      <w:r w:rsidR="004F3EB9">
        <w:rPr>
          <w:rStyle w:val="FootnoteReference"/>
          <w:color w:val="000000" w:themeColor="text1"/>
        </w:rPr>
        <w:footnoteReference w:id="2"/>
      </w:r>
      <w:r w:rsidR="004F3EB9">
        <w:rPr>
          <w:color w:val="000000" w:themeColor="text1"/>
        </w:rPr>
        <w:t xml:space="preserve"> </w:t>
      </w:r>
      <w:r w:rsidR="0055169D">
        <w:rPr>
          <w:color w:val="000000" w:themeColor="text1"/>
        </w:rPr>
        <w:t xml:space="preserve">and death row is </w:t>
      </w:r>
      <w:r w:rsidR="00EA3651">
        <w:rPr>
          <w:color w:val="000000" w:themeColor="text1"/>
        </w:rPr>
        <w:t xml:space="preserve">presently </w:t>
      </w:r>
      <w:r w:rsidR="0055169D">
        <w:rPr>
          <w:color w:val="000000" w:themeColor="text1"/>
        </w:rPr>
        <w:t>empty,</w:t>
      </w:r>
      <w:r w:rsidR="0055169D">
        <w:rPr>
          <w:rStyle w:val="FootnoteReference"/>
          <w:color w:val="000000" w:themeColor="text1"/>
        </w:rPr>
        <w:footnoteReference w:id="3"/>
      </w:r>
      <w:r w:rsidR="0055169D">
        <w:rPr>
          <w:color w:val="000000" w:themeColor="text1"/>
        </w:rPr>
        <w:t xml:space="preserve"> </w:t>
      </w:r>
      <w:r w:rsidR="009759BD">
        <w:rPr>
          <w:color w:val="000000" w:themeColor="text1"/>
        </w:rPr>
        <w:t xml:space="preserve">but </w:t>
      </w:r>
      <w:r w:rsidRPr="3017B0B5">
        <w:rPr>
          <w:color w:val="000000" w:themeColor="text1"/>
        </w:rPr>
        <w:t>the threat of resuming capital punishment remains</w:t>
      </w:r>
      <w:r w:rsidR="006F498A">
        <w:rPr>
          <w:color w:val="000000" w:themeColor="text1"/>
        </w:rPr>
        <w:t xml:space="preserve"> so long as the law remains on the statute books</w:t>
      </w:r>
      <w:r w:rsidRPr="3017B0B5">
        <w:rPr>
          <w:color w:val="000000" w:themeColor="text1"/>
        </w:rPr>
        <w:t>.</w:t>
      </w:r>
    </w:p>
    <w:p w14:paraId="31AE14AB" w14:textId="506A70A4" w:rsidR="00157099" w:rsidRPr="00560C67" w:rsidRDefault="0080292F" w:rsidP="00157099">
      <w:pPr>
        <w:pStyle w:val="Paragraph"/>
      </w:pPr>
      <w:r>
        <w:t xml:space="preserve">In its 2024 List of </w:t>
      </w:r>
      <w:r w:rsidR="00105CEB">
        <w:t>I</w:t>
      </w:r>
      <w:r>
        <w:t xml:space="preserve">ssues, the Committee </w:t>
      </w:r>
      <w:r w:rsidRPr="0080292F">
        <w:rPr>
          <w:color w:val="000000" w:themeColor="text1"/>
        </w:rPr>
        <w:t xml:space="preserve">on Elimination of Discrimination </w:t>
      </w:r>
      <w:r w:rsidR="006653AD">
        <w:rPr>
          <w:color w:val="000000" w:themeColor="text1"/>
        </w:rPr>
        <w:t>a</w:t>
      </w:r>
      <w:r w:rsidRPr="0080292F">
        <w:rPr>
          <w:color w:val="000000" w:themeColor="text1"/>
        </w:rPr>
        <w:t>gainst Women</w:t>
      </w:r>
      <w:r>
        <w:rPr>
          <w:color w:val="000000" w:themeColor="text1"/>
        </w:rPr>
        <w:t xml:space="preserve"> </w:t>
      </w:r>
      <w:r w:rsidR="009E3B4A">
        <w:rPr>
          <w:color w:val="000000" w:themeColor="text1"/>
        </w:rPr>
        <w:t xml:space="preserve">requested information on the </w:t>
      </w:r>
      <w:r w:rsidR="0052780B">
        <w:rPr>
          <w:color w:val="000000" w:themeColor="text1"/>
        </w:rPr>
        <w:t xml:space="preserve">training and awareness-raising </w:t>
      </w:r>
      <w:r w:rsidR="006B5DFE">
        <w:rPr>
          <w:color w:val="000000" w:themeColor="text1"/>
        </w:rPr>
        <w:t>programs</w:t>
      </w:r>
      <w:r w:rsidR="0052780B">
        <w:rPr>
          <w:color w:val="000000" w:themeColor="text1"/>
        </w:rPr>
        <w:t xml:space="preserve"> </w:t>
      </w:r>
      <w:r w:rsidR="00BB5A78">
        <w:rPr>
          <w:color w:val="000000" w:themeColor="text1"/>
        </w:rPr>
        <w:t xml:space="preserve">that </w:t>
      </w:r>
      <w:r w:rsidR="006653AD">
        <w:rPr>
          <w:color w:val="000000" w:themeColor="text1"/>
        </w:rPr>
        <w:t xml:space="preserve">are </w:t>
      </w:r>
      <w:r w:rsidR="00BB5A78">
        <w:rPr>
          <w:color w:val="000000" w:themeColor="text1"/>
        </w:rPr>
        <w:t xml:space="preserve">put in place to ensure that </w:t>
      </w:r>
      <w:r w:rsidR="00715A70">
        <w:rPr>
          <w:color w:val="000000" w:themeColor="text1"/>
        </w:rPr>
        <w:t xml:space="preserve">court systems apply </w:t>
      </w:r>
      <w:r w:rsidR="00BB5A78">
        <w:rPr>
          <w:color w:val="000000" w:themeColor="text1"/>
        </w:rPr>
        <w:t xml:space="preserve">a gender-sensitive approach </w:t>
      </w:r>
      <w:r w:rsidR="006653AD">
        <w:rPr>
          <w:color w:val="000000" w:themeColor="text1"/>
        </w:rPr>
        <w:t xml:space="preserve">as they engage with </w:t>
      </w:r>
      <w:r w:rsidR="00214F3D">
        <w:rPr>
          <w:color w:val="000000" w:themeColor="text1"/>
        </w:rPr>
        <w:t xml:space="preserve">survivors of </w:t>
      </w:r>
      <w:r w:rsidR="00560C67">
        <w:rPr>
          <w:color w:val="000000" w:themeColor="text1"/>
        </w:rPr>
        <w:t>gender-based</w:t>
      </w:r>
      <w:r w:rsidR="00214F3D">
        <w:rPr>
          <w:color w:val="000000" w:themeColor="text1"/>
        </w:rPr>
        <w:t xml:space="preserve"> violence </w:t>
      </w:r>
      <w:r w:rsidR="00560C67">
        <w:rPr>
          <w:color w:val="000000" w:themeColor="text1"/>
        </w:rPr>
        <w:t>and other vulnerable individuals.</w:t>
      </w:r>
      <w:r w:rsidR="00855310">
        <w:rPr>
          <w:rStyle w:val="FootnoteReference"/>
          <w:color w:val="000000" w:themeColor="text1"/>
        </w:rPr>
        <w:footnoteReference w:id="4"/>
      </w:r>
      <w:r w:rsidR="00560C67">
        <w:rPr>
          <w:color w:val="000000" w:themeColor="text1"/>
        </w:rPr>
        <w:t xml:space="preserve"> </w:t>
      </w:r>
      <w:r w:rsidR="001E4ACC">
        <w:rPr>
          <w:color w:val="000000" w:themeColor="text1"/>
        </w:rPr>
        <w:t xml:space="preserve">The Committee also asked whether </w:t>
      </w:r>
      <w:r w:rsidR="004857B1">
        <w:rPr>
          <w:color w:val="000000" w:themeColor="text1"/>
        </w:rPr>
        <w:t xml:space="preserve">authorities have put in place any </w:t>
      </w:r>
      <w:r w:rsidR="0072298A">
        <w:rPr>
          <w:color w:val="000000" w:themeColor="text1"/>
        </w:rPr>
        <w:t xml:space="preserve">measures to address the difficulty women face in accessing </w:t>
      </w:r>
      <w:r w:rsidR="001D7BB8">
        <w:rPr>
          <w:color w:val="000000" w:themeColor="text1"/>
        </w:rPr>
        <w:t>legal services and aid.</w:t>
      </w:r>
      <w:r w:rsidR="001D7BB8">
        <w:rPr>
          <w:rStyle w:val="FootnoteReference"/>
          <w:color w:val="000000" w:themeColor="text1"/>
        </w:rPr>
        <w:footnoteReference w:id="5"/>
      </w:r>
    </w:p>
    <w:p w14:paraId="3DD905B1" w14:textId="30FECFE8" w:rsidR="00560C67" w:rsidRDefault="00855310" w:rsidP="00157099">
      <w:pPr>
        <w:pStyle w:val="Paragraph"/>
      </w:pPr>
      <w:r>
        <w:t>In it</w:t>
      </w:r>
      <w:r w:rsidR="005E0AEC">
        <w:t>s 202</w:t>
      </w:r>
      <w:r w:rsidR="00627D86">
        <w:t>3</w:t>
      </w:r>
      <w:r w:rsidR="005E0AEC">
        <w:t xml:space="preserve"> State Party </w:t>
      </w:r>
      <w:r w:rsidR="008047C5">
        <w:t>R</w:t>
      </w:r>
      <w:r w:rsidR="005E0AEC">
        <w:t xml:space="preserve">eport, Belize indicated that </w:t>
      </w:r>
      <w:r w:rsidR="008047C5">
        <w:t xml:space="preserve">it had taken </w:t>
      </w:r>
      <w:r w:rsidR="00857304">
        <w:t xml:space="preserve">notable steps </w:t>
      </w:r>
      <w:r w:rsidR="00B3190C">
        <w:t xml:space="preserve">to create a gender-responsive court system. </w:t>
      </w:r>
      <w:r w:rsidR="00F50F76">
        <w:t xml:space="preserve">The </w:t>
      </w:r>
      <w:r w:rsidR="008047C5">
        <w:t xml:space="preserve">report </w:t>
      </w:r>
      <w:r w:rsidR="00F50F76">
        <w:t xml:space="preserve">explained that </w:t>
      </w:r>
      <w:r w:rsidR="00E37D08">
        <w:t>t</w:t>
      </w:r>
      <w:r w:rsidR="00A20610" w:rsidRPr="00A20610">
        <w:t xml:space="preserve">he Judicial Reform and Institutional Strengthening (JURIST) Project, launched </w:t>
      </w:r>
      <w:r w:rsidR="00E37D08">
        <w:t>in</w:t>
      </w:r>
      <w:r w:rsidR="007B2BBA">
        <w:t xml:space="preserve"> 2017 </w:t>
      </w:r>
      <w:r w:rsidR="00A20610" w:rsidRPr="00A20610">
        <w:t>with support from the Government of Canada, aimed to improve court governance, social inclusion, and gender equity in justice administration.</w:t>
      </w:r>
      <w:r w:rsidR="00A42D4D">
        <w:rPr>
          <w:rStyle w:val="FootnoteReference"/>
        </w:rPr>
        <w:footnoteReference w:id="6"/>
      </w:r>
      <w:r w:rsidR="00A20610">
        <w:t xml:space="preserve"> In 2018</w:t>
      </w:r>
      <w:r w:rsidR="00A42D4D">
        <w:t>,</w:t>
      </w:r>
      <w:r w:rsidR="00A20610">
        <w:t xml:space="preserve"> </w:t>
      </w:r>
      <w:r w:rsidR="0006023A" w:rsidRPr="0006023A">
        <w:t xml:space="preserve">Belize approved a </w:t>
      </w:r>
      <w:r w:rsidR="0006023A" w:rsidRPr="0006023A">
        <w:rPr>
          <w:i/>
          <w:iCs/>
        </w:rPr>
        <w:t>Gender Equality Protocol for Judicial Officers</w:t>
      </w:r>
      <w:r w:rsidR="0006023A" w:rsidRPr="0006023A">
        <w:t>, providing guidance on applying a gender lens in cases involving child custody, domestic violence, sexual violence, and human trafficking.</w:t>
      </w:r>
      <w:r w:rsidR="00A42D4D">
        <w:t xml:space="preserve"> </w:t>
      </w:r>
      <w:r w:rsidR="009342E1">
        <w:t xml:space="preserve">Authorities provided training </w:t>
      </w:r>
      <w:r w:rsidR="009342E1" w:rsidRPr="00A42D4D">
        <w:t xml:space="preserve">on these tools </w:t>
      </w:r>
      <w:r w:rsidR="009342E1">
        <w:t>to j</w:t>
      </w:r>
      <w:r w:rsidR="00A42D4D" w:rsidRPr="00A42D4D">
        <w:t xml:space="preserve">udicial officers to enhance their </w:t>
      </w:r>
      <w:r w:rsidR="000F1632">
        <w:t xml:space="preserve">use </w:t>
      </w:r>
      <w:r w:rsidR="00A42D4D" w:rsidRPr="00A42D4D">
        <w:t>in the courtroom.</w:t>
      </w:r>
      <w:r w:rsidR="006B18F4">
        <w:rPr>
          <w:rStyle w:val="FootnoteReference"/>
        </w:rPr>
        <w:footnoteReference w:id="7"/>
      </w:r>
    </w:p>
    <w:p w14:paraId="68B18D77" w14:textId="6C2FB72A" w:rsidR="00C45EC5" w:rsidRDefault="00C45EC5" w:rsidP="00157099">
      <w:pPr>
        <w:pStyle w:val="Paragraph"/>
      </w:pPr>
      <w:r>
        <w:lastRenderedPageBreak/>
        <w:t xml:space="preserve">The </w:t>
      </w:r>
      <w:r w:rsidR="000F1632">
        <w:t xml:space="preserve">report </w:t>
      </w:r>
      <w:r>
        <w:t xml:space="preserve">further noted that </w:t>
      </w:r>
      <w:r w:rsidR="00DA5583">
        <w:t xml:space="preserve">the </w:t>
      </w:r>
      <w:r w:rsidR="007163DE">
        <w:t xml:space="preserve">government supports the Legal Aid and Services Centre under the Attorney General </w:t>
      </w:r>
      <w:r w:rsidR="00397390">
        <w:t xml:space="preserve">Ministry, and highlighted the fact that </w:t>
      </w:r>
      <w:r w:rsidR="000F1632">
        <w:t>non-governmental organizations</w:t>
      </w:r>
      <w:r w:rsidR="007A35E1">
        <w:t>, international agencies</w:t>
      </w:r>
      <w:r w:rsidR="000F1632">
        <w:t>,</w:t>
      </w:r>
      <w:r w:rsidR="007A35E1">
        <w:t xml:space="preserve"> and the Bar Association have collaborated with the Centre on issues related to gender</w:t>
      </w:r>
      <w:r w:rsidR="00981998">
        <w:t>-based violence.</w:t>
      </w:r>
      <w:r w:rsidR="005C3967">
        <w:rPr>
          <w:rStyle w:val="FootnoteReference"/>
        </w:rPr>
        <w:footnoteReference w:id="8"/>
      </w:r>
    </w:p>
    <w:p w14:paraId="4E5FF8A3" w14:textId="586E5578" w:rsidR="003A101D" w:rsidRDefault="00307F84" w:rsidP="001906BC">
      <w:pPr>
        <w:pStyle w:val="Paragraph"/>
      </w:pPr>
      <w:r>
        <w:t xml:space="preserve">Belize’s </w:t>
      </w:r>
      <w:r w:rsidR="00CE53BD">
        <w:t xml:space="preserve">judiciary has been at the forefront of </w:t>
      </w:r>
      <w:r w:rsidR="006435B2">
        <w:t>considering a woman’s prolonged e</w:t>
      </w:r>
      <w:r w:rsidR="009815D1">
        <w:t xml:space="preserve">xperience with </w:t>
      </w:r>
      <w:r w:rsidR="006435B2">
        <w:t xml:space="preserve">gender-based </w:t>
      </w:r>
      <w:r w:rsidR="009815D1">
        <w:t xml:space="preserve">violence </w:t>
      </w:r>
      <w:r w:rsidR="00D3127B">
        <w:t xml:space="preserve">when she comes into conflict with the law </w:t>
      </w:r>
      <w:r w:rsidR="005E32EE">
        <w:t xml:space="preserve">for killing her abuser. </w:t>
      </w:r>
      <w:r w:rsidR="00D3127B">
        <w:t>In 2014, t</w:t>
      </w:r>
      <w:r w:rsidR="003015D5">
        <w:t xml:space="preserve">he Court </w:t>
      </w:r>
      <w:r w:rsidR="00CE53BD">
        <w:t xml:space="preserve">of Appeal </w:t>
      </w:r>
      <w:r w:rsidR="001F7E1B">
        <w:t xml:space="preserve">in </w:t>
      </w:r>
      <w:r w:rsidR="001F7E1B">
        <w:rPr>
          <w:i/>
          <w:iCs/>
        </w:rPr>
        <w:t xml:space="preserve">Longsworth </w:t>
      </w:r>
      <w:r w:rsidR="001F7E1B">
        <w:t xml:space="preserve">v. </w:t>
      </w:r>
      <w:r w:rsidR="001F7E1B" w:rsidRPr="001F7E1B">
        <w:rPr>
          <w:i/>
          <w:iCs/>
        </w:rPr>
        <w:t>Queen</w:t>
      </w:r>
      <w:r w:rsidR="001F7E1B">
        <w:t xml:space="preserve"> </w:t>
      </w:r>
      <w:r w:rsidR="003015D5" w:rsidRPr="001F7E1B">
        <w:t>held</w:t>
      </w:r>
      <w:r w:rsidR="003015D5">
        <w:t xml:space="preserve"> that the defendant’s conditions of post-traumatic stress disorder (PTSD) and “battered women’s syndrome”</w:t>
      </w:r>
      <w:r w:rsidR="00137EE0">
        <w:t xml:space="preserve"> “gave rise to a </w:t>
      </w:r>
      <w:proofErr w:type="spellStart"/>
      <w:r w:rsidR="00137EE0">
        <w:t>defence</w:t>
      </w:r>
      <w:proofErr w:type="spellEnd"/>
      <w:r w:rsidR="00137EE0">
        <w:t xml:space="preserve"> of diminished responsibility</w:t>
      </w:r>
      <w:r w:rsidR="00AD3EEE">
        <w:t xml:space="preserve">” warranting a diminished </w:t>
      </w:r>
      <w:r w:rsidR="00D94291">
        <w:t xml:space="preserve">conviction from murder to </w:t>
      </w:r>
      <w:r w:rsidR="00AD3EEE">
        <w:t xml:space="preserve">manslaughter and a </w:t>
      </w:r>
      <w:r w:rsidR="00BF1B25">
        <w:t>sentence reduced from life imprisonment to</w:t>
      </w:r>
      <w:r w:rsidR="00A615D5">
        <w:t xml:space="preserve"> eight years’ imprisonment.</w:t>
      </w:r>
      <w:r w:rsidR="001F7E1B">
        <w:rPr>
          <w:rStyle w:val="FootnoteReference"/>
        </w:rPr>
        <w:footnoteReference w:id="9"/>
      </w:r>
    </w:p>
    <w:p w14:paraId="29322EF9" w14:textId="2A11CF7B" w:rsidR="00120F8D" w:rsidRDefault="00F31D1E" w:rsidP="001906BC">
      <w:pPr>
        <w:pStyle w:val="Paragraph"/>
      </w:pPr>
      <w:r>
        <w:t>In</w:t>
      </w:r>
      <w:r w:rsidR="00341CF6">
        <w:t xml:space="preserve"> 2015 in</w:t>
      </w:r>
      <w:r>
        <w:t xml:space="preserve"> </w:t>
      </w:r>
      <w:r w:rsidR="00341CF6">
        <w:rPr>
          <w:i/>
          <w:iCs/>
        </w:rPr>
        <w:t xml:space="preserve">Pook </w:t>
      </w:r>
      <w:r w:rsidR="00341CF6">
        <w:t xml:space="preserve">v. </w:t>
      </w:r>
      <w:r w:rsidR="00341CF6">
        <w:rPr>
          <w:i/>
          <w:iCs/>
        </w:rPr>
        <w:t>Queen</w:t>
      </w:r>
      <w:r w:rsidR="00341CF6">
        <w:t xml:space="preserve">, the Court of Appeal </w:t>
      </w:r>
      <w:r w:rsidR="00D1711F">
        <w:t>quashed</w:t>
      </w:r>
      <w:r w:rsidR="00341CF6">
        <w:t xml:space="preserve"> </w:t>
      </w:r>
      <w:r w:rsidR="000A2DF7">
        <w:t xml:space="preserve">a murder </w:t>
      </w:r>
      <w:r w:rsidR="00341CF6">
        <w:t xml:space="preserve">conviction based on a similar set of facts and </w:t>
      </w:r>
      <w:r w:rsidR="0080714A">
        <w:t xml:space="preserve">on remand the </w:t>
      </w:r>
      <w:r w:rsidR="000A2DF7">
        <w:t>prosecut</w:t>
      </w:r>
      <w:r w:rsidR="00420CCA">
        <w:t>ion</w:t>
      </w:r>
      <w:r w:rsidR="000A2DF7">
        <w:t xml:space="preserve"> re-indicted the defendant for manslaughter</w:t>
      </w:r>
      <w:r w:rsidR="00842655">
        <w:t>. After the defendant pleaded guilty, the</w:t>
      </w:r>
      <w:r w:rsidR="000A2DF7">
        <w:t xml:space="preserve"> </w:t>
      </w:r>
      <w:r w:rsidR="0080714A">
        <w:t xml:space="preserve">lower </w:t>
      </w:r>
      <w:r>
        <w:t xml:space="preserve">court applied </w:t>
      </w:r>
      <w:r>
        <w:rPr>
          <w:i/>
          <w:iCs/>
        </w:rPr>
        <w:t xml:space="preserve">Longsworth </w:t>
      </w:r>
      <w:r>
        <w:t xml:space="preserve">to </w:t>
      </w:r>
      <w:r w:rsidR="00901B7D">
        <w:t xml:space="preserve">reduce her sentence from life to </w:t>
      </w:r>
      <w:r w:rsidR="00341CF6">
        <w:t>eight years’ imprisonment.</w:t>
      </w:r>
      <w:r w:rsidR="00341CF6">
        <w:rPr>
          <w:rStyle w:val="FootnoteReference"/>
        </w:rPr>
        <w:footnoteReference w:id="10"/>
      </w:r>
      <w:r w:rsidR="00341CF6">
        <w:t xml:space="preserve"> </w:t>
      </w:r>
    </w:p>
    <w:p w14:paraId="1C8A87D9" w14:textId="253B061A" w:rsidR="001906BC" w:rsidRDefault="00CB7DEF" w:rsidP="001906BC">
      <w:pPr>
        <w:pStyle w:val="Paragraph"/>
      </w:pPr>
      <w:r>
        <w:t xml:space="preserve">Beyond </w:t>
      </w:r>
      <w:r w:rsidRPr="00CB7DEF">
        <w:rPr>
          <w:i/>
          <w:iCs/>
        </w:rPr>
        <w:t>Pook</w:t>
      </w:r>
      <w:r>
        <w:t xml:space="preserve">, however, it is not clear whether or to what extent courts apply </w:t>
      </w:r>
      <w:r>
        <w:rPr>
          <w:i/>
          <w:iCs/>
        </w:rPr>
        <w:t>Longsworth</w:t>
      </w:r>
      <w:r>
        <w:t xml:space="preserve"> when women come into conflict with the law for killing their abusers.</w:t>
      </w:r>
    </w:p>
    <w:p w14:paraId="04913B60" w14:textId="7E3C7C66" w:rsidR="001906BC" w:rsidRDefault="00F821FC" w:rsidP="003D1C19">
      <w:pPr>
        <w:pStyle w:val="Paragraph"/>
      </w:pPr>
      <w:r w:rsidRPr="00F821FC">
        <w:t>Gender-based violence continues to be a widespread issue in Belize. According to the Belize Crime Observatory, a unit of the Belize Police Department (BPD), women accounted for 86 percent of the gender-based violence cases reported to the BPD by the end of August</w:t>
      </w:r>
      <w:r>
        <w:t xml:space="preserve"> 2023</w:t>
      </w:r>
      <w:r w:rsidRPr="00F821FC">
        <w:t>, with 54 percent of these incidents involving intimate partners.</w:t>
      </w:r>
      <w:r>
        <w:rPr>
          <w:rStyle w:val="FootnoteReference"/>
        </w:rPr>
        <w:footnoteReference w:id="11"/>
      </w:r>
      <w:r w:rsidR="006B6417">
        <w:t xml:space="preserve"> </w:t>
      </w:r>
      <w:r w:rsidR="006B6417" w:rsidRPr="006B6417">
        <w:t>Freedom House has reported that “domestic violence [in Belize] remains a serious problem despite government measures to combat it.”</w:t>
      </w:r>
      <w:r w:rsidR="002538B1">
        <w:rPr>
          <w:rStyle w:val="FootnoteReference"/>
        </w:rPr>
        <w:footnoteReference w:id="12"/>
      </w:r>
      <w:r w:rsidR="00CA67FA">
        <w:rPr>
          <w:vertAlign w:val="superscript"/>
        </w:rPr>
        <w:t xml:space="preserve"> </w:t>
      </w:r>
      <w:r w:rsidR="008F7FEC">
        <w:t xml:space="preserve">Notably, the </w:t>
      </w:r>
      <w:r w:rsidR="007B1A2D">
        <w:t xml:space="preserve">State Party </w:t>
      </w:r>
      <w:r w:rsidR="0066682E">
        <w:t>R</w:t>
      </w:r>
      <w:r w:rsidR="007B1A2D">
        <w:t>eport acknowledged that “</w:t>
      </w:r>
      <w:r w:rsidR="003D1C19">
        <w:t>[t]</w:t>
      </w:r>
      <w:r w:rsidR="004E0434" w:rsidRPr="004E0434">
        <w:t>his violence is endemic, systemic socially and culturally tolerated in the Belizean</w:t>
      </w:r>
      <w:r w:rsidR="003D1C19">
        <w:t xml:space="preserve"> </w:t>
      </w:r>
      <w:r w:rsidR="004E0434" w:rsidRPr="004E0434">
        <w:t>community. Between the period 2017 to 2021 a total of 69 women were murdered in</w:t>
      </w:r>
      <w:r w:rsidR="003D1C19">
        <w:t xml:space="preserve"> </w:t>
      </w:r>
      <w:r w:rsidR="004E0434" w:rsidRPr="004E0434">
        <w:t>Belize. During that same period 11,461 cases of Domestic Violence were reported.</w:t>
      </w:r>
      <w:r w:rsidR="003D1C19">
        <w:t>”</w:t>
      </w:r>
      <w:r w:rsidR="003D1C19">
        <w:rPr>
          <w:rStyle w:val="FootnoteReference"/>
        </w:rPr>
        <w:footnoteReference w:id="13"/>
      </w:r>
    </w:p>
    <w:p w14:paraId="3EE82F83" w14:textId="0A7E6BC5" w:rsidR="0011545F" w:rsidRDefault="00C235FA" w:rsidP="003D1C19">
      <w:pPr>
        <w:pStyle w:val="Paragraph"/>
      </w:pPr>
      <w:r w:rsidRPr="00C235FA">
        <w:t xml:space="preserve">In a 2018 study, the Cornell Center on the Death Penalty Worldwide found that, in the global context, women are more vulnerable and most likely to be sentenced to death for criminal </w:t>
      </w:r>
      <w:r w:rsidRPr="00C235FA">
        <w:lastRenderedPageBreak/>
        <w:t>offenses committed within the context of gender-based violence</w:t>
      </w:r>
      <w:r w:rsidR="00F6743A">
        <w:rPr>
          <w:rStyle w:val="FootnoteReference"/>
        </w:rPr>
        <w:footnoteReference w:id="14"/>
      </w:r>
      <w:r w:rsidRPr="00C235FA">
        <w:t xml:space="preserve"> and manipulative or coercive relationships with male co-defendants.</w:t>
      </w:r>
      <w:r w:rsidR="00C56162">
        <w:rPr>
          <w:rStyle w:val="FootnoteReference"/>
        </w:rPr>
        <w:footnoteReference w:id="15"/>
      </w:r>
      <w:r w:rsidRPr="00C235FA">
        <w:t xml:space="preserve"> Cornell’s data indicate that most women under sentence of death have been sentenced to death for the crime of murder, which remains a death-eligible offense in Belize.</w:t>
      </w:r>
      <w:r w:rsidR="00385000">
        <w:rPr>
          <w:rStyle w:val="FootnoteReference"/>
        </w:rPr>
        <w:footnoteReference w:id="16"/>
      </w:r>
      <w:r w:rsidRPr="00C235FA">
        <w:t xml:space="preserve"> These women have overwhelmingly experienced prolonged domestic violence at the hands of a partner, spouse, or another family member.</w:t>
      </w:r>
      <w:r w:rsidR="00202D11">
        <w:rPr>
          <w:rStyle w:val="FootnoteReference"/>
        </w:rPr>
        <w:footnoteReference w:id="17"/>
      </w:r>
      <w:r w:rsidRPr="00C235FA">
        <w:t> </w:t>
      </w:r>
    </w:p>
    <w:p w14:paraId="0B73D68D" w14:textId="790F599B" w:rsidR="001E4872" w:rsidRDefault="00515F94" w:rsidP="00920C53">
      <w:pPr>
        <w:pStyle w:val="Paragraph"/>
      </w:pPr>
      <w:r>
        <w:t xml:space="preserve">Legal representation </w:t>
      </w:r>
      <w:r w:rsidR="00920C53">
        <w:t xml:space="preserve">in Belize </w:t>
      </w:r>
      <w:r>
        <w:t>is prohibitively high</w:t>
      </w:r>
      <w:r w:rsidR="00920C53">
        <w:t xml:space="preserve">, </w:t>
      </w:r>
      <w:r w:rsidR="00920C53" w:rsidRPr="00920C53">
        <w:t>significantly hinder</w:t>
      </w:r>
      <w:r w:rsidR="00920C53">
        <w:t xml:space="preserve">ing </w:t>
      </w:r>
      <w:r w:rsidR="00920C53" w:rsidRPr="00920C53">
        <w:t>access to justice, particularly for marginalized or disadvantaged individuals.</w:t>
      </w:r>
      <w:r w:rsidR="00920C53">
        <w:rPr>
          <w:rStyle w:val="FootnoteReference"/>
        </w:rPr>
        <w:footnoteReference w:id="18"/>
      </w:r>
      <w:r w:rsidR="00920C53">
        <w:t xml:space="preserve"> </w:t>
      </w:r>
      <w:r w:rsidR="001E4872" w:rsidRPr="001E4872">
        <w:t>According to Cornell's 2018 report, the majority of women on death row come from severely disadvantaged socio-economic backgrounds, with many being illiterate.</w:t>
      </w:r>
      <w:r w:rsidR="00AC41C2">
        <w:rPr>
          <w:rStyle w:val="FootnoteReference"/>
        </w:rPr>
        <w:footnoteReference w:id="19"/>
      </w:r>
      <w:r w:rsidR="001E4872" w:rsidRPr="001E4872">
        <w:t xml:space="preserve"> This situation often leads to unequal access to effective legal representation.</w:t>
      </w:r>
      <w:r w:rsidR="00FB0305">
        <w:rPr>
          <w:rStyle w:val="FootnoteReference"/>
        </w:rPr>
        <w:footnoteReference w:id="20"/>
      </w:r>
      <w:r w:rsidR="001E4872" w:rsidRPr="001E4872">
        <w:t xml:space="preserve"> These women are frequently unaware of their legal rights due to their lack of education and literacy, which increases their vulnerability to discrimination, coercion, and exploitation.</w:t>
      </w:r>
      <w:r w:rsidR="00715205">
        <w:rPr>
          <w:rStyle w:val="FootnoteReference"/>
        </w:rPr>
        <w:footnoteReference w:id="21"/>
      </w:r>
      <w:r w:rsidR="001E4872" w:rsidRPr="001E4872">
        <w:t xml:space="preserve"> Such intersectional discrimination heightens the likelihood that a woman charged with a capital offense will endure an unfair trial.</w:t>
      </w:r>
    </w:p>
    <w:p w14:paraId="050A6152" w14:textId="1D616D8A" w:rsidR="006F498A" w:rsidRDefault="006F498A" w:rsidP="00920C53">
      <w:pPr>
        <w:pStyle w:val="Paragraph"/>
      </w:pPr>
      <w:r>
        <w:t>In 2023, Belize signed on to the Needham’s Point Declaration on Criminal Justice Reform.</w:t>
      </w:r>
      <w:r w:rsidR="00A84A02">
        <w:rPr>
          <w:rStyle w:val="FootnoteReference"/>
        </w:rPr>
        <w:footnoteReference w:id="22"/>
      </w:r>
      <w:r>
        <w:t xml:space="preserve"> It has been taking steps toward operationalizing the specific requirements under the declaration. Article 20 and 21 of the declaration require member states to expand and appropriately resource legal aid schemes and establish Public Defender’s Offices.</w:t>
      </w:r>
      <w:r w:rsidR="00A84A02">
        <w:t xml:space="preserve"> Article 28 calls on signatories to consider gender and gender identity (among other factors) in addressing stereotypes in the criminal justice system. Belize’s judiciary has since appointed nine </w:t>
      </w:r>
      <w:r w:rsidR="00A84A02">
        <w:lastRenderedPageBreak/>
        <w:t>committees to review the existing criminal justice system with a means to make recommendations to operationalize the declaration and revise the Criminal Procedure Rules.</w:t>
      </w:r>
      <w:r w:rsidR="004D02FC">
        <w:rPr>
          <w:rStyle w:val="FootnoteReference"/>
        </w:rPr>
        <w:footnoteReference w:id="23"/>
      </w:r>
    </w:p>
    <w:p w14:paraId="37507F52" w14:textId="78A29F6E" w:rsidR="22A0C823" w:rsidRDefault="22A0C823" w:rsidP="3017B0B5">
      <w:pPr>
        <w:pStyle w:val="Paragraph"/>
        <w:spacing w:before="120"/>
        <w:rPr>
          <w:color w:val="000000" w:themeColor="text1"/>
        </w:rPr>
      </w:pPr>
      <w:r w:rsidRPr="3017B0B5">
        <w:rPr>
          <w:color w:val="000000" w:themeColor="text1"/>
        </w:rPr>
        <w:t>Although Belize amended its Criminal Code to eliminate the mandatory death penalty for murder, it has not taken steps to abolish the death penalty as it still allows for discretionary sentencing in such cases</w:t>
      </w:r>
      <w:r w:rsidR="113E3ADB" w:rsidRPr="3017B0B5">
        <w:rPr>
          <w:color w:val="000000" w:themeColor="text1"/>
        </w:rPr>
        <w:t>.</w:t>
      </w:r>
      <w:r w:rsidR="113E3ADB" w:rsidRPr="3017B0B5">
        <w:rPr>
          <w:color w:val="000000" w:themeColor="text1"/>
          <w:vertAlign w:val="superscript"/>
        </w:rPr>
        <w:t>2</w:t>
      </w:r>
      <w:r w:rsidR="001C4025">
        <w:rPr>
          <w:color w:val="000000" w:themeColor="text1"/>
          <w:vertAlign w:val="superscript"/>
        </w:rPr>
        <w:t xml:space="preserve"> </w:t>
      </w:r>
      <w:r w:rsidR="001C4025">
        <w:rPr>
          <w:color w:val="000000" w:themeColor="text1"/>
        </w:rPr>
        <w:t>Women therefore remain at risk of being sentenced to death</w:t>
      </w:r>
      <w:r w:rsidR="00D57AEB">
        <w:rPr>
          <w:color w:val="000000" w:themeColor="text1"/>
        </w:rPr>
        <w:t xml:space="preserve"> for killing their abusers, particularly if sentencing authorities are not familiar with </w:t>
      </w:r>
      <w:r w:rsidR="00D57AEB">
        <w:rPr>
          <w:i/>
          <w:iCs/>
          <w:color w:val="000000" w:themeColor="text1"/>
        </w:rPr>
        <w:t>Longsworth</w:t>
      </w:r>
      <w:r w:rsidR="00D57AEB">
        <w:t xml:space="preserve"> and defense counsel does not bring the precedent to the court’s attention.</w:t>
      </w:r>
    </w:p>
    <w:p w14:paraId="30E7F21E" w14:textId="4448FF0B" w:rsidR="246FE4E5" w:rsidRDefault="246FE4E5" w:rsidP="002B7804">
      <w:pPr>
        <w:pStyle w:val="SectionHeading"/>
        <w:keepNext/>
        <w:numPr>
          <w:ilvl w:val="0"/>
          <w:numId w:val="16"/>
        </w:numPr>
      </w:pPr>
      <w:r>
        <w:t>Suggested recommendations for the Government of Belize</w:t>
      </w:r>
    </w:p>
    <w:p w14:paraId="791EBE02" w14:textId="24E5C9B1" w:rsidR="00F51AFD" w:rsidRPr="00E114C5" w:rsidRDefault="3017B0B5" w:rsidP="00176737">
      <w:pPr>
        <w:keepNext/>
        <w:spacing w:before="120" w:after="120"/>
        <w:jc w:val="both"/>
        <w:rPr>
          <w:rStyle w:val="ParagraphChar"/>
          <w:color w:val="000000" w:themeColor="text1"/>
        </w:rPr>
      </w:pPr>
      <w:r w:rsidRPr="3017B0B5">
        <w:rPr>
          <w:rStyle w:val="ParagraphChar"/>
          <w:color w:val="000000" w:themeColor="text1"/>
        </w:rPr>
        <w:t xml:space="preserve">10. </w:t>
      </w:r>
      <w:r w:rsidR="3F614ADA" w:rsidRPr="3017B0B5">
        <w:rPr>
          <w:rStyle w:val="ParagraphChar"/>
          <w:color w:val="000000" w:themeColor="text1"/>
        </w:rPr>
        <w:t xml:space="preserve">The coauthors recommend that the Committee </w:t>
      </w:r>
      <w:r w:rsidR="00C86290">
        <w:rPr>
          <w:rStyle w:val="ParagraphChar"/>
          <w:color w:val="000000" w:themeColor="text1"/>
        </w:rPr>
        <w:t xml:space="preserve">make the following recommendations </w:t>
      </w:r>
      <w:r w:rsidR="3F614ADA" w:rsidRPr="3017B0B5">
        <w:rPr>
          <w:rStyle w:val="ParagraphChar"/>
          <w:color w:val="000000" w:themeColor="text1"/>
        </w:rPr>
        <w:t xml:space="preserve">to the </w:t>
      </w:r>
      <w:r w:rsidR="00C86290">
        <w:rPr>
          <w:rStyle w:val="ParagraphChar"/>
          <w:color w:val="000000" w:themeColor="text1"/>
        </w:rPr>
        <w:t>G</w:t>
      </w:r>
      <w:r w:rsidR="3F614ADA" w:rsidRPr="3017B0B5">
        <w:rPr>
          <w:rStyle w:val="ParagraphChar"/>
          <w:color w:val="000000" w:themeColor="text1"/>
        </w:rPr>
        <w:t>overnment of Belize:</w:t>
      </w:r>
    </w:p>
    <w:p w14:paraId="57074679" w14:textId="1879222B" w:rsidR="00C66A6F" w:rsidRDefault="00C66A6F" w:rsidP="3017B0B5">
      <w:pPr>
        <w:pStyle w:val="BulletRecommendationsQuestions"/>
        <w:spacing w:before="120"/>
        <w:rPr>
          <w:color w:val="000000" w:themeColor="text1"/>
        </w:rPr>
      </w:pPr>
      <w:r>
        <w:rPr>
          <w:color w:val="000000" w:themeColor="text1"/>
        </w:rPr>
        <w:t>Abolish the death penalty and replace it with penalties that are fair, proportionate, and consistent with international human rights standards.</w:t>
      </w:r>
    </w:p>
    <w:p w14:paraId="3B84AC1F" w14:textId="1C6E8594" w:rsidR="00C96FFD" w:rsidRDefault="00C86290" w:rsidP="3017B0B5">
      <w:pPr>
        <w:pStyle w:val="BulletRecommendationsQuestions"/>
        <w:spacing w:before="120"/>
        <w:rPr>
          <w:color w:val="000000" w:themeColor="text1"/>
        </w:rPr>
      </w:pPr>
      <w:r>
        <w:rPr>
          <w:color w:val="000000" w:themeColor="text1"/>
        </w:rPr>
        <w:t xml:space="preserve">In collaboration with civil society, codify the </w:t>
      </w:r>
      <w:r w:rsidR="00C96FFD">
        <w:rPr>
          <w:color w:val="000000" w:themeColor="text1"/>
        </w:rPr>
        <w:t xml:space="preserve">2014 </w:t>
      </w:r>
      <w:r>
        <w:rPr>
          <w:i/>
          <w:iCs/>
        </w:rPr>
        <w:t>Longsworth</w:t>
      </w:r>
      <w:r w:rsidRPr="3017B0B5">
        <w:rPr>
          <w:color w:val="000000" w:themeColor="text1"/>
        </w:rPr>
        <w:t xml:space="preserve"> </w:t>
      </w:r>
      <w:r w:rsidR="00C96FFD">
        <w:rPr>
          <w:color w:val="000000" w:themeColor="text1"/>
        </w:rPr>
        <w:t>decision.</w:t>
      </w:r>
    </w:p>
    <w:p w14:paraId="2D34CCC0" w14:textId="0080DDF1" w:rsidR="00C96FFD" w:rsidRPr="009557A2" w:rsidRDefault="009E3663" w:rsidP="3017B0B5">
      <w:pPr>
        <w:pStyle w:val="BulletRecommendationsQuestions"/>
        <w:spacing w:before="120"/>
        <w:rPr>
          <w:color w:val="000000" w:themeColor="text1"/>
        </w:rPr>
      </w:pPr>
      <w:r>
        <w:rPr>
          <w:color w:val="000000" w:themeColor="text1"/>
        </w:rPr>
        <w:t xml:space="preserve">Update the </w:t>
      </w:r>
      <w:r w:rsidRPr="0006023A">
        <w:rPr>
          <w:i/>
          <w:iCs/>
        </w:rPr>
        <w:t>Gender Equality Protocol for Judicial Officers</w:t>
      </w:r>
      <w:r>
        <w:t xml:space="preserve"> to ensure that all sentencing authorities are familiar with the </w:t>
      </w:r>
      <w:r>
        <w:rPr>
          <w:i/>
          <w:iCs/>
        </w:rPr>
        <w:t xml:space="preserve">Longsworth </w:t>
      </w:r>
      <w:r>
        <w:t xml:space="preserve">decision and its implications for women in conflict with the law for </w:t>
      </w:r>
      <w:r w:rsidR="009557A2">
        <w:t>killing their abusers.</w:t>
      </w:r>
    </w:p>
    <w:p w14:paraId="283FD809" w14:textId="5A616D87" w:rsidR="009557A2" w:rsidRPr="007D3809" w:rsidRDefault="009557A2" w:rsidP="3017B0B5">
      <w:pPr>
        <w:pStyle w:val="BulletRecommendationsQuestions"/>
        <w:spacing w:before="120"/>
        <w:rPr>
          <w:color w:val="000000" w:themeColor="text1"/>
        </w:rPr>
      </w:pPr>
      <w:r>
        <w:t xml:space="preserve">In collaboration with </w:t>
      </w:r>
      <w:r w:rsidR="00A77873">
        <w:t xml:space="preserve">the Legal Aid and Services Centre, ensure that attorneys representing women in conflict with the law for killing their abusers have adequate training and financial resources to </w:t>
      </w:r>
      <w:r w:rsidR="00A46F6A">
        <w:t xml:space="preserve">gather expert testimony and raise </w:t>
      </w:r>
      <w:r w:rsidR="00A46F6A">
        <w:rPr>
          <w:i/>
          <w:iCs/>
        </w:rPr>
        <w:t>Longsworth</w:t>
      </w:r>
      <w:r w:rsidR="00A46F6A">
        <w:t xml:space="preserve"> claims as relevant.</w:t>
      </w:r>
    </w:p>
    <w:p w14:paraId="0D0C9EFA" w14:textId="7E83B772" w:rsidR="005F0BD5" w:rsidRDefault="005F0BD5" w:rsidP="3017B0B5">
      <w:pPr>
        <w:pStyle w:val="BulletRecommendationsQuestions"/>
        <w:spacing w:before="120"/>
        <w:rPr>
          <w:color w:val="000000" w:themeColor="text1"/>
        </w:rPr>
      </w:pPr>
      <w:r>
        <w:t xml:space="preserve">Ensure appropriate support </w:t>
      </w:r>
      <w:r w:rsidR="003F5A1F">
        <w:t xml:space="preserve">for </w:t>
      </w:r>
      <w:r>
        <w:t xml:space="preserve">implementation of </w:t>
      </w:r>
      <w:r w:rsidR="00EE7039">
        <w:t xml:space="preserve">any relevant recommendations pertaining </w:t>
      </w:r>
      <w:r w:rsidR="003F5A1F">
        <w:t xml:space="preserve">to legal aid, public defender’s offices, and </w:t>
      </w:r>
      <w:r w:rsidR="00EE7039">
        <w:t xml:space="preserve">stereotypes and discrimination based on gender and gender identity resulting from the work of the </w:t>
      </w:r>
      <w:r w:rsidR="00845208">
        <w:t>committees established to operationalize implementation of Belize’s obligations under the Needham’s Point Declaration.</w:t>
      </w:r>
    </w:p>
    <w:p w14:paraId="4476A702" w14:textId="73E467C9" w:rsidR="21FA1A58" w:rsidRDefault="00BA1916" w:rsidP="3017B0B5">
      <w:pPr>
        <w:pStyle w:val="BulletRecommendationsQuestions"/>
        <w:spacing w:line="259" w:lineRule="auto"/>
        <w:rPr>
          <w:color w:val="000000" w:themeColor="text1"/>
        </w:rPr>
      </w:pPr>
      <w:r>
        <w:rPr>
          <w:color w:val="000000" w:themeColor="text1"/>
        </w:rPr>
        <w:t>On an annual basis, publish information regarding all women charged with murder or manslaughter</w:t>
      </w:r>
      <w:r w:rsidR="00C6321B">
        <w:rPr>
          <w:color w:val="000000" w:themeColor="text1"/>
        </w:rPr>
        <w:t>, disaggregated by relationship to the victim and any codefendants, age, occupation at the time of arrest</w:t>
      </w:r>
      <w:r w:rsidR="00DC4639">
        <w:rPr>
          <w:color w:val="000000" w:themeColor="text1"/>
        </w:rPr>
        <w:t xml:space="preserve">, age of any dependent children, whether defense counsel raised any </w:t>
      </w:r>
      <w:r w:rsidR="00DC4639">
        <w:rPr>
          <w:i/>
          <w:iCs/>
          <w:color w:val="000000" w:themeColor="text1"/>
        </w:rPr>
        <w:t>Longsworth</w:t>
      </w:r>
      <w:r w:rsidR="00B84DF0">
        <w:rPr>
          <w:i/>
          <w:iCs/>
          <w:color w:val="000000" w:themeColor="text1"/>
        </w:rPr>
        <w:t xml:space="preserve"> </w:t>
      </w:r>
      <w:r w:rsidR="00B84DF0">
        <w:rPr>
          <w:color w:val="000000" w:themeColor="text1"/>
        </w:rPr>
        <w:t xml:space="preserve">claims, whether such claims were supported by expert testimony, whether such claims were successful, </w:t>
      </w:r>
      <w:r w:rsidR="00C66A6F">
        <w:rPr>
          <w:color w:val="000000" w:themeColor="text1"/>
        </w:rPr>
        <w:t>and the ultimate outcome of the criminal proceedings.</w:t>
      </w:r>
    </w:p>
    <w:sectPr w:rsidR="21FA1A58"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1F6D0" w14:textId="77777777" w:rsidR="00996746" w:rsidRDefault="00996746">
      <w:r>
        <w:separator/>
      </w:r>
    </w:p>
  </w:endnote>
  <w:endnote w:type="continuationSeparator" w:id="0">
    <w:p w14:paraId="71D38E2F" w14:textId="77777777" w:rsidR="00996746" w:rsidRDefault="00996746">
      <w:r>
        <w:continuationSeparator/>
      </w:r>
    </w:p>
  </w:endnote>
  <w:endnote w:type="continuationNotice" w:id="1">
    <w:p w14:paraId="6D002661" w14:textId="77777777" w:rsidR="00996746" w:rsidRDefault="009967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FDAC44"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1FFE257"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CA67FA">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062628FB"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CA67FA">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CA67FA">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7935A" w14:textId="77777777" w:rsidR="00996746" w:rsidRDefault="00996746">
      <w:r>
        <w:separator/>
      </w:r>
    </w:p>
  </w:footnote>
  <w:footnote w:type="continuationSeparator" w:id="0">
    <w:p w14:paraId="4FF726C4" w14:textId="77777777" w:rsidR="00996746" w:rsidRDefault="00996746">
      <w:r>
        <w:continuationSeparator/>
      </w:r>
    </w:p>
  </w:footnote>
  <w:footnote w:type="continuationNotice" w:id="1">
    <w:p w14:paraId="57F602AB" w14:textId="77777777" w:rsidR="00996746" w:rsidRDefault="00996746"/>
  </w:footnote>
  <w:footnote w:id="2">
    <w:p w14:paraId="55CB5215" w14:textId="33DB805A" w:rsidR="004F3EB9" w:rsidRPr="00F2439C" w:rsidRDefault="004F3EB9">
      <w:pPr>
        <w:pStyle w:val="FootnoteText"/>
        <w:rPr>
          <w:sz w:val="20"/>
          <w:szCs w:val="20"/>
        </w:rPr>
      </w:pPr>
      <w:r w:rsidRPr="00F2439C">
        <w:rPr>
          <w:rStyle w:val="FootnoteReference"/>
          <w:sz w:val="20"/>
          <w:szCs w:val="20"/>
        </w:rPr>
        <w:footnoteRef/>
      </w:r>
      <w:r w:rsidRPr="00F2439C">
        <w:rPr>
          <w:sz w:val="20"/>
          <w:szCs w:val="20"/>
        </w:rPr>
        <w:t xml:space="preserve"> The Advocates for Human Rights and the World Coalition Against the Death Penalty, </w:t>
      </w:r>
      <w:r w:rsidRPr="00F2439C">
        <w:rPr>
          <w:i/>
          <w:iCs/>
          <w:sz w:val="20"/>
          <w:szCs w:val="20"/>
        </w:rPr>
        <w:t xml:space="preserve">Belize: Stakeholder </w:t>
      </w:r>
      <w:r w:rsidR="00851E83" w:rsidRPr="00F2439C">
        <w:rPr>
          <w:i/>
          <w:iCs/>
          <w:sz w:val="20"/>
          <w:szCs w:val="20"/>
        </w:rPr>
        <w:t>Report f</w:t>
      </w:r>
      <w:r w:rsidRPr="00F2439C">
        <w:rPr>
          <w:i/>
          <w:iCs/>
          <w:sz w:val="20"/>
          <w:szCs w:val="20"/>
        </w:rPr>
        <w:t>or the United Nations Universal Periodic Review: The Death Penalty</w:t>
      </w:r>
      <w:r w:rsidRPr="00F2439C">
        <w:rPr>
          <w:sz w:val="20"/>
          <w:szCs w:val="20"/>
        </w:rPr>
        <w:t>, 18 July 2023, ¶ </w:t>
      </w:r>
      <w:r w:rsidR="00851E83" w:rsidRPr="00F2439C">
        <w:rPr>
          <w:sz w:val="20"/>
          <w:szCs w:val="20"/>
        </w:rPr>
        <w:t>2</w:t>
      </w:r>
      <w:r w:rsidRPr="00F2439C">
        <w:rPr>
          <w:sz w:val="20"/>
          <w:szCs w:val="20"/>
        </w:rPr>
        <w:t xml:space="preserve">, </w:t>
      </w:r>
      <w:r w:rsidR="00851E83" w:rsidRPr="00F2439C">
        <w:rPr>
          <w:sz w:val="20"/>
          <w:szCs w:val="20"/>
        </w:rPr>
        <w:t>https://www.theadvocatesforhumanrights.org/Res/AHR%20Belize%20UPR%20Death%20Penalty%20Final%202.pdf.</w:t>
      </w:r>
    </w:p>
  </w:footnote>
  <w:footnote w:id="3">
    <w:p w14:paraId="23914326" w14:textId="28A89E40" w:rsidR="0055169D" w:rsidRPr="00F2439C" w:rsidRDefault="0055169D">
      <w:pPr>
        <w:pStyle w:val="FootnoteText"/>
        <w:rPr>
          <w:sz w:val="20"/>
          <w:szCs w:val="20"/>
        </w:rPr>
      </w:pPr>
      <w:r w:rsidRPr="00F2439C">
        <w:rPr>
          <w:rStyle w:val="FootnoteReference"/>
          <w:sz w:val="20"/>
          <w:szCs w:val="20"/>
        </w:rPr>
        <w:footnoteRef/>
      </w:r>
      <w:r w:rsidRPr="00F2439C">
        <w:rPr>
          <w:sz w:val="20"/>
          <w:szCs w:val="20"/>
        </w:rPr>
        <w:t xml:space="preserve"> Ibid.</w:t>
      </w:r>
    </w:p>
  </w:footnote>
  <w:footnote w:id="4">
    <w:p w14:paraId="26F85541" w14:textId="1F7ED3E3" w:rsidR="00855310" w:rsidRPr="00F2439C" w:rsidRDefault="00855310" w:rsidP="003F318E">
      <w:pPr>
        <w:pStyle w:val="FootnoteText"/>
        <w:jc w:val="both"/>
        <w:rPr>
          <w:sz w:val="20"/>
          <w:szCs w:val="20"/>
        </w:rPr>
      </w:pPr>
      <w:r w:rsidRPr="00F2439C">
        <w:rPr>
          <w:rStyle w:val="FootnoteReference"/>
          <w:sz w:val="20"/>
          <w:szCs w:val="20"/>
        </w:rPr>
        <w:footnoteRef/>
      </w:r>
      <w:r w:rsidRPr="00F2439C">
        <w:rPr>
          <w:sz w:val="20"/>
          <w:szCs w:val="20"/>
        </w:rPr>
        <w:t xml:space="preserve"> </w:t>
      </w:r>
      <w:r w:rsidR="00EC4C2C" w:rsidRPr="00F2439C">
        <w:rPr>
          <w:sz w:val="20"/>
          <w:szCs w:val="20"/>
        </w:rPr>
        <w:t xml:space="preserve">Committee on the Elimination of Discrimination against Women, </w:t>
      </w:r>
      <w:r w:rsidR="00EC4C2C" w:rsidRPr="00F2439C">
        <w:rPr>
          <w:i/>
          <w:iCs/>
          <w:sz w:val="20"/>
          <w:szCs w:val="20"/>
        </w:rPr>
        <w:t>List of issues and questions in relation to the combined fifth and si</w:t>
      </w:r>
      <w:r w:rsidR="0067039B" w:rsidRPr="00F2439C">
        <w:rPr>
          <w:i/>
          <w:iCs/>
          <w:sz w:val="20"/>
          <w:szCs w:val="20"/>
        </w:rPr>
        <w:t>xth periodic reports of Belize,</w:t>
      </w:r>
      <w:r w:rsidR="0067039B" w:rsidRPr="00F2439C">
        <w:rPr>
          <w:sz w:val="20"/>
          <w:szCs w:val="20"/>
        </w:rPr>
        <w:t xml:space="preserve"> (Mar. 5</w:t>
      </w:r>
      <w:r w:rsidR="00C62133" w:rsidRPr="00F2439C">
        <w:rPr>
          <w:sz w:val="20"/>
          <w:szCs w:val="20"/>
        </w:rPr>
        <w:t>, 2024</w:t>
      </w:r>
      <w:r w:rsidR="0067039B" w:rsidRPr="00F2439C">
        <w:rPr>
          <w:sz w:val="20"/>
          <w:szCs w:val="20"/>
        </w:rPr>
        <w:t>), CEDAW/C/BLZ/</w:t>
      </w:r>
      <w:r w:rsidR="006B5DFE" w:rsidRPr="00F2439C">
        <w:rPr>
          <w:sz w:val="20"/>
          <w:szCs w:val="20"/>
        </w:rPr>
        <w:t xml:space="preserve">Q/5-6, ¶ 3. </w:t>
      </w:r>
    </w:p>
  </w:footnote>
  <w:footnote w:id="5">
    <w:p w14:paraId="007B51CD" w14:textId="26887C5A" w:rsidR="001D7BB8" w:rsidRPr="00F2439C" w:rsidRDefault="001D7BB8" w:rsidP="003F318E">
      <w:pPr>
        <w:pStyle w:val="FootnoteText"/>
        <w:jc w:val="both"/>
        <w:rPr>
          <w:sz w:val="20"/>
          <w:szCs w:val="20"/>
        </w:rPr>
      </w:pPr>
      <w:r w:rsidRPr="00F2439C">
        <w:rPr>
          <w:rStyle w:val="FootnoteReference"/>
          <w:sz w:val="20"/>
          <w:szCs w:val="20"/>
        </w:rPr>
        <w:footnoteRef/>
      </w:r>
      <w:r w:rsidRPr="00F2439C">
        <w:rPr>
          <w:sz w:val="20"/>
          <w:szCs w:val="20"/>
        </w:rPr>
        <w:t xml:space="preserve"> </w:t>
      </w:r>
      <w:r w:rsidRPr="00F2439C">
        <w:rPr>
          <w:i/>
          <w:iCs/>
          <w:sz w:val="20"/>
          <w:szCs w:val="20"/>
        </w:rPr>
        <w:t>Id</w:t>
      </w:r>
      <w:r w:rsidR="00115793" w:rsidRPr="00F2439C">
        <w:rPr>
          <w:i/>
          <w:iCs/>
          <w:sz w:val="20"/>
          <w:szCs w:val="20"/>
        </w:rPr>
        <w:t>.</w:t>
      </w:r>
      <w:r w:rsidRPr="00F2439C">
        <w:rPr>
          <w:sz w:val="20"/>
          <w:szCs w:val="20"/>
        </w:rPr>
        <w:t xml:space="preserve"> ¶ 2. </w:t>
      </w:r>
    </w:p>
  </w:footnote>
  <w:footnote w:id="6">
    <w:p w14:paraId="0DC956ED" w14:textId="609FDD74" w:rsidR="00A42D4D" w:rsidRPr="00F2439C" w:rsidRDefault="00A42D4D" w:rsidP="003F318E">
      <w:pPr>
        <w:pStyle w:val="FootnoteText"/>
        <w:jc w:val="both"/>
        <w:rPr>
          <w:sz w:val="20"/>
          <w:szCs w:val="20"/>
        </w:rPr>
      </w:pPr>
      <w:r w:rsidRPr="00F2439C">
        <w:rPr>
          <w:rStyle w:val="FootnoteReference"/>
          <w:sz w:val="20"/>
          <w:szCs w:val="20"/>
        </w:rPr>
        <w:footnoteRef/>
      </w:r>
      <w:r w:rsidRPr="00F2439C">
        <w:rPr>
          <w:sz w:val="20"/>
          <w:szCs w:val="20"/>
        </w:rPr>
        <w:t xml:space="preserve"> </w:t>
      </w:r>
      <w:r w:rsidR="00C62133" w:rsidRPr="00F2439C">
        <w:rPr>
          <w:sz w:val="20"/>
          <w:szCs w:val="20"/>
        </w:rPr>
        <w:t xml:space="preserve">Committee on the Elimination of Discrimination against Women, </w:t>
      </w:r>
      <w:r w:rsidR="00C62133" w:rsidRPr="00F2439C">
        <w:rPr>
          <w:i/>
          <w:iCs/>
          <w:sz w:val="20"/>
          <w:szCs w:val="20"/>
        </w:rPr>
        <w:t>Combined fifth and ninth periodic reports submitted by Belize under article 18 of the Convention</w:t>
      </w:r>
      <w:r w:rsidR="00FB5442" w:rsidRPr="00F2439C">
        <w:rPr>
          <w:i/>
          <w:iCs/>
          <w:sz w:val="20"/>
          <w:szCs w:val="20"/>
        </w:rPr>
        <w:t>, due in 2011</w:t>
      </w:r>
      <w:r w:rsidR="00C62133" w:rsidRPr="00F2439C">
        <w:rPr>
          <w:i/>
          <w:iCs/>
          <w:sz w:val="20"/>
          <w:szCs w:val="20"/>
        </w:rPr>
        <w:t>,</w:t>
      </w:r>
      <w:r w:rsidR="00C62133" w:rsidRPr="00F2439C">
        <w:rPr>
          <w:sz w:val="20"/>
          <w:szCs w:val="20"/>
        </w:rPr>
        <w:t xml:space="preserve"> </w:t>
      </w:r>
      <w:r w:rsidR="00CD7A80" w:rsidRPr="00F2439C">
        <w:rPr>
          <w:sz w:val="20"/>
          <w:szCs w:val="20"/>
        </w:rPr>
        <w:t>(Nov. 13, 2024</w:t>
      </w:r>
      <w:r w:rsidR="00C62133" w:rsidRPr="00F2439C">
        <w:rPr>
          <w:sz w:val="20"/>
          <w:szCs w:val="20"/>
        </w:rPr>
        <w:t xml:space="preserve">), CEDAW/C/BLZ/5-6, ¶ </w:t>
      </w:r>
      <w:r w:rsidR="00665691" w:rsidRPr="00F2439C">
        <w:rPr>
          <w:sz w:val="20"/>
          <w:szCs w:val="20"/>
        </w:rPr>
        <w:t>6</w:t>
      </w:r>
      <w:r w:rsidR="00EA7176" w:rsidRPr="00F2439C">
        <w:rPr>
          <w:sz w:val="20"/>
          <w:szCs w:val="20"/>
        </w:rPr>
        <w:t>2</w:t>
      </w:r>
      <w:r w:rsidR="00C62133" w:rsidRPr="00F2439C">
        <w:rPr>
          <w:sz w:val="20"/>
          <w:szCs w:val="20"/>
        </w:rPr>
        <w:t>.</w:t>
      </w:r>
    </w:p>
  </w:footnote>
  <w:footnote w:id="7">
    <w:p w14:paraId="1C6440AB" w14:textId="059454DE" w:rsidR="006B18F4" w:rsidRPr="00F2439C" w:rsidRDefault="006B18F4" w:rsidP="003F318E">
      <w:pPr>
        <w:pStyle w:val="FootnoteText"/>
        <w:jc w:val="both"/>
        <w:rPr>
          <w:sz w:val="20"/>
          <w:szCs w:val="20"/>
        </w:rPr>
      </w:pPr>
      <w:r w:rsidRPr="00F2439C">
        <w:rPr>
          <w:rStyle w:val="FootnoteReference"/>
          <w:sz w:val="20"/>
          <w:szCs w:val="20"/>
        </w:rPr>
        <w:footnoteRef/>
      </w:r>
      <w:r w:rsidRPr="00F2439C">
        <w:rPr>
          <w:sz w:val="20"/>
          <w:szCs w:val="20"/>
        </w:rPr>
        <w:t xml:space="preserve"> </w:t>
      </w:r>
      <w:r w:rsidRPr="00F2439C">
        <w:rPr>
          <w:i/>
          <w:iCs/>
          <w:sz w:val="20"/>
          <w:szCs w:val="20"/>
        </w:rPr>
        <w:t>Id</w:t>
      </w:r>
      <w:r w:rsidR="00115793" w:rsidRPr="00F2439C">
        <w:rPr>
          <w:i/>
          <w:iCs/>
          <w:sz w:val="20"/>
          <w:szCs w:val="20"/>
        </w:rPr>
        <w:t>.</w:t>
      </w:r>
      <w:r w:rsidRPr="00F2439C">
        <w:rPr>
          <w:i/>
          <w:iCs/>
          <w:sz w:val="20"/>
          <w:szCs w:val="20"/>
        </w:rPr>
        <w:t xml:space="preserve"> </w:t>
      </w:r>
      <w:r w:rsidRPr="00F2439C">
        <w:rPr>
          <w:sz w:val="20"/>
          <w:szCs w:val="20"/>
        </w:rPr>
        <w:t xml:space="preserve">¶ 63. </w:t>
      </w:r>
    </w:p>
  </w:footnote>
  <w:footnote w:id="8">
    <w:p w14:paraId="7D92A8DC" w14:textId="3CB4A6D1" w:rsidR="005C3967" w:rsidRPr="00F2439C" w:rsidRDefault="005C3967">
      <w:pPr>
        <w:pStyle w:val="FootnoteText"/>
        <w:rPr>
          <w:sz w:val="20"/>
          <w:szCs w:val="20"/>
        </w:rPr>
      </w:pPr>
      <w:r w:rsidRPr="00F2439C">
        <w:rPr>
          <w:rStyle w:val="FootnoteReference"/>
          <w:sz w:val="20"/>
          <w:szCs w:val="20"/>
        </w:rPr>
        <w:footnoteRef/>
      </w:r>
      <w:r w:rsidRPr="00F2439C">
        <w:rPr>
          <w:sz w:val="20"/>
          <w:szCs w:val="20"/>
        </w:rPr>
        <w:t xml:space="preserve"> </w:t>
      </w:r>
      <w:r w:rsidRPr="00F2439C">
        <w:rPr>
          <w:i/>
          <w:iCs/>
          <w:sz w:val="20"/>
          <w:szCs w:val="20"/>
        </w:rPr>
        <w:t>Id.</w:t>
      </w:r>
      <w:r w:rsidRPr="00F2439C">
        <w:rPr>
          <w:sz w:val="20"/>
          <w:szCs w:val="20"/>
        </w:rPr>
        <w:t xml:space="preserve"> ¶ </w:t>
      </w:r>
      <w:r w:rsidR="00A36065" w:rsidRPr="00F2439C">
        <w:rPr>
          <w:sz w:val="20"/>
          <w:szCs w:val="20"/>
        </w:rPr>
        <w:t>67.</w:t>
      </w:r>
    </w:p>
  </w:footnote>
  <w:footnote w:id="9">
    <w:p w14:paraId="6832F98B" w14:textId="69F5634C" w:rsidR="001F7E1B" w:rsidRPr="00F2439C" w:rsidRDefault="001F7E1B">
      <w:pPr>
        <w:pStyle w:val="FootnoteText"/>
        <w:rPr>
          <w:sz w:val="20"/>
          <w:szCs w:val="20"/>
        </w:rPr>
      </w:pPr>
      <w:r w:rsidRPr="00F2439C">
        <w:rPr>
          <w:rStyle w:val="FootnoteReference"/>
          <w:sz w:val="20"/>
          <w:szCs w:val="20"/>
        </w:rPr>
        <w:footnoteRef/>
      </w:r>
      <w:r w:rsidRPr="00F2439C">
        <w:rPr>
          <w:sz w:val="20"/>
          <w:szCs w:val="20"/>
        </w:rPr>
        <w:t xml:space="preserve"> </w:t>
      </w:r>
      <w:r w:rsidR="008F6640" w:rsidRPr="00F2439C">
        <w:rPr>
          <w:i/>
          <w:iCs/>
          <w:sz w:val="20"/>
          <w:szCs w:val="20"/>
        </w:rPr>
        <w:t xml:space="preserve">Lavern Longsworth </w:t>
      </w:r>
      <w:r w:rsidR="008F6640" w:rsidRPr="00F2439C">
        <w:rPr>
          <w:sz w:val="20"/>
          <w:szCs w:val="20"/>
        </w:rPr>
        <w:t xml:space="preserve">v. </w:t>
      </w:r>
      <w:r w:rsidR="008F6640" w:rsidRPr="00F2439C">
        <w:rPr>
          <w:i/>
          <w:iCs/>
          <w:sz w:val="20"/>
          <w:szCs w:val="20"/>
        </w:rPr>
        <w:t>The Queen</w:t>
      </w:r>
      <w:r w:rsidR="008F6640" w:rsidRPr="00F2439C">
        <w:rPr>
          <w:sz w:val="20"/>
          <w:szCs w:val="20"/>
        </w:rPr>
        <w:t>, Court of Appeal of Belize,</w:t>
      </w:r>
      <w:r w:rsidR="00D55A26" w:rsidRPr="00F2439C">
        <w:rPr>
          <w:sz w:val="20"/>
          <w:szCs w:val="20"/>
        </w:rPr>
        <w:t xml:space="preserve"> Crim. App. No. 21 of 2012 (Nov. 7, 2014), ¶¶ 68, 85</w:t>
      </w:r>
      <w:r w:rsidR="00C0300E" w:rsidRPr="00F2439C">
        <w:rPr>
          <w:sz w:val="20"/>
          <w:szCs w:val="20"/>
        </w:rPr>
        <w:t xml:space="preserve"> (Hafiz-Bertram, J.A.)</w:t>
      </w:r>
      <w:r w:rsidR="0018118D" w:rsidRPr="00F2439C">
        <w:rPr>
          <w:sz w:val="20"/>
          <w:szCs w:val="20"/>
        </w:rPr>
        <w:t xml:space="preserve">; The Death Penalty Project, “Lavern Longsworth”, accessed Dec. 16, 2024, https://deathpenaltyproject.org/story/lavernlongsworth/; Cornell Center on the Death Penalty Worldwide, </w:t>
      </w:r>
      <w:r w:rsidR="0018118D" w:rsidRPr="00F2439C">
        <w:rPr>
          <w:i/>
          <w:iCs/>
          <w:sz w:val="20"/>
          <w:szCs w:val="20"/>
        </w:rPr>
        <w:t>Judged for More than Her Crime</w:t>
      </w:r>
      <w:r w:rsidR="0018118D" w:rsidRPr="00F2439C">
        <w:rPr>
          <w:sz w:val="20"/>
          <w:szCs w:val="20"/>
        </w:rPr>
        <w:t xml:space="preserve"> (Sept. 4, 2018), 12, accessed Dec. 16, 2024, https://www.deathpenaltyworldwide.org/wp-content/uploads/2019/12/Judged-More-Than-Her-Crime.pdf. </w:t>
      </w:r>
    </w:p>
  </w:footnote>
  <w:footnote w:id="10">
    <w:p w14:paraId="7172EB53" w14:textId="4B03EF6C" w:rsidR="00341CF6" w:rsidRPr="00F2439C" w:rsidRDefault="00341CF6">
      <w:pPr>
        <w:pStyle w:val="FootnoteText"/>
        <w:rPr>
          <w:sz w:val="20"/>
          <w:szCs w:val="20"/>
        </w:rPr>
      </w:pPr>
      <w:r w:rsidRPr="00F2439C">
        <w:rPr>
          <w:rStyle w:val="FootnoteReference"/>
          <w:sz w:val="20"/>
          <w:szCs w:val="20"/>
        </w:rPr>
        <w:footnoteRef/>
      </w:r>
      <w:r w:rsidRPr="00F2439C">
        <w:rPr>
          <w:sz w:val="20"/>
          <w:szCs w:val="20"/>
        </w:rPr>
        <w:t xml:space="preserve"> </w:t>
      </w:r>
      <w:r w:rsidR="00842655" w:rsidRPr="00F2439C">
        <w:rPr>
          <w:i/>
          <w:iCs/>
          <w:sz w:val="20"/>
          <w:szCs w:val="20"/>
        </w:rPr>
        <w:t>Court Accepts Abused Woman Suffered From Battered Woman Syndrome</w:t>
      </w:r>
      <w:r w:rsidR="00842655" w:rsidRPr="00F2439C">
        <w:rPr>
          <w:sz w:val="20"/>
          <w:szCs w:val="20"/>
        </w:rPr>
        <w:t xml:space="preserve">, Death Penalty Project, Dec. 4, 2015, </w:t>
      </w:r>
      <w:r w:rsidR="00270A61" w:rsidRPr="00F2439C">
        <w:rPr>
          <w:sz w:val="20"/>
          <w:szCs w:val="20"/>
        </w:rPr>
        <w:t>https://deathpenaltyproject.org/court-accepts-abused-woman-suffered-from-battered-woman-syndrome/</w:t>
      </w:r>
      <w:r w:rsidR="00BE6B8F" w:rsidRPr="00F2439C">
        <w:rPr>
          <w:sz w:val="20"/>
          <w:szCs w:val="20"/>
        </w:rPr>
        <w:t>.</w:t>
      </w:r>
      <w:r w:rsidR="00270A61" w:rsidRPr="00F2439C">
        <w:rPr>
          <w:sz w:val="20"/>
          <w:szCs w:val="20"/>
        </w:rPr>
        <w:t xml:space="preserve"> Aaron Humes, </w:t>
      </w:r>
      <w:r w:rsidR="00270A61" w:rsidRPr="00F2439C">
        <w:rPr>
          <w:i/>
          <w:iCs/>
          <w:sz w:val="20"/>
          <w:szCs w:val="20"/>
        </w:rPr>
        <w:t>Court sentences battered woman turned killer to eight years</w:t>
      </w:r>
      <w:r w:rsidR="00270A61" w:rsidRPr="00F2439C">
        <w:rPr>
          <w:sz w:val="20"/>
          <w:szCs w:val="20"/>
        </w:rPr>
        <w:t>, Breaking Belize News, Oct. 29, 2015, https://www.breakingbelizenews.com/2015/10/29/court-sentences-battered-woman-turned-killer-years/.</w:t>
      </w:r>
    </w:p>
  </w:footnote>
  <w:footnote w:id="11">
    <w:p w14:paraId="1713FE29" w14:textId="63E8A626" w:rsidR="00F821FC" w:rsidRPr="00F2439C" w:rsidRDefault="00F821FC" w:rsidP="003F318E">
      <w:pPr>
        <w:pStyle w:val="FootnoteText"/>
        <w:jc w:val="both"/>
        <w:rPr>
          <w:sz w:val="20"/>
          <w:szCs w:val="20"/>
        </w:rPr>
      </w:pPr>
      <w:r w:rsidRPr="00F2439C">
        <w:rPr>
          <w:rStyle w:val="FootnoteReference"/>
          <w:sz w:val="20"/>
          <w:szCs w:val="20"/>
        </w:rPr>
        <w:footnoteRef/>
      </w:r>
      <w:r w:rsidRPr="00F2439C">
        <w:rPr>
          <w:sz w:val="20"/>
          <w:szCs w:val="20"/>
        </w:rPr>
        <w:t xml:space="preserve"> </w:t>
      </w:r>
      <w:r w:rsidR="00064C53" w:rsidRPr="00F2439C">
        <w:rPr>
          <w:sz w:val="20"/>
          <w:szCs w:val="20"/>
        </w:rPr>
        <w:t xml:space="preserve">U.S. Department of State, </w:t>
      </w:r>
      <w:r w:rsidR="00064C53" w:rsidRPr="00F2439C">
        <w:rPr>
          <w:i/>
          <w:iCs/>
          <w:sz w:val="20"/>
          <w:szCs w:val="20"/>
        </w:rPr>
        <w:t>Belize 2023 Human Rights Report</w:t>
      </w:r>
      <w:r w:rsidR="00064C53" w:rsidRPr="00F2439C">
        <w:rPr>
          <w:sz w:val="20"/>
          <w:szCs w:val="20"/>
        </w:rPr>
        <w:t>, (2023)</w:t>
      </w:r>
      <w:r w:rsidR="00F42990" w:rsidRPr="00F2439C">
        <w:rPr>
          <w:sz w:val="20"/>
          <w:szCs w:val="20"/>
        </w:rPr>
        <w:t xml:space="preserve">, 19, </w:t>
      </w:r>
      <w:r w:rsidR="006B6417" w:rsidRPr="00F2439C">
        <w:rPr>
          <w:sz w:val="20"/>
          <w:szCs w:val="20"/>
        </w:rPr>
        <w:t>https://www.state.gov/reports/2023-country-reports-on-human-rights-practices/belize/</w:t>
      </w:r>
      <w:r w:rsidR="004857E3" w:rsidRPr="00F2439C">
        <w:rPr>
          <w:sz w:val="20"/>
          <w:szCs w:val="20"/>
        </w:rPr>
        <w:t>.</w:t>
      </w:r>
    </w:p>
  </w:footnote>
  <w:footnote w:id="12">
    <w:p w14:paraId="2FD75F93" w14:textId="2FA7A956" w:rsidR="002538B1" w:rsidRPr="00F2439C" w:rsidRDefault="002538B1" w:rsidP="003F318E">
      <w:pPr>
        <w:pStyle w:val="FootnoteText"/>
        <w:jc w:val="both"/>
        <w:rPr>
          <w:sz w:val="20"/>
          <w:szCs w:val="20"/>
        </w:rPr>
      </w:pPr>
      <w:r w:rsidRPr="00F2439C">
        <w:rPr>
          <w:rStyle w:val="FootnoteReference"/>
          <w:sz w:val="20"/>
          <w:szCs w:val="20"/>
        </w:rPr>
        <w:footnoteRef/>
      </w:r>
      <w:r w:rsidRPr="00F2439C">
        <w:rPr>
          <w:sz w:val="20"/>
          <w:szCs w:val="20"/>
        </w:rPr>
        <w:t xml:space="preserve"> Freedom House, </w:t>
      </w:r>
      <w:r w:rsidRPr="00F2439C">
        <w:rPr>
          <w:i/>
          <w:iCs/>
          <w:sz w:val="20"/>
          <w:szCs w:val="20"/>
        </w:rPr>
        <w:t>Freedom in the World 2021: Belize</w:t>
      </w:r>
      <w:r w:rsidRPr="00F2439C">
        <w:rPr>
          <w:sz w:val="20"/>
          <w:szCs w:val="20"/>
        </w:rPr>
        <w:t>, https://freedomhouse.org/country/belize/freedom-world/2021.</w:t>
      </w:r>
    </w:p>
  </w:footnote>
  <w:footnote w:id="13">
    <w:p w14:paraId="0B20813C" w14:textId="77777777" w:rsidR="00D00A15" w:rsidRPr="00F2439C" w:rsidRDefault="003D1C19" w:rsidP="003F318E">
      <w:pPr>
        <w:pStyle w:val="FootnoteText"/>
        <w:jc w:val="both"/>
        <w:rPr>
          <w:sz w:val="20"/>
          <w:szCs w:val="20"/>
        </w:rPr>
      </w:pPr>
      <w:r w:rsidRPr="00F2439C">
        <w:rPr>
          <w:rStyle w:val="FootnoteReference"/>
          <w:sz w:val="20"/>
          <w:szCs w:val="20"/>
        </w:rPr>
        <w:footnoteRef/>
      </w:r>
      <w:r w:rsidRPr="00F2439C">
        <w:rPr>
          <w:sz w:val="20"/>
          <w:szCs w:val="20"/>
        </w:rPr>
        <w:t xml:space="preserve"> </w:t>
      </w:r>
      <w:r w:rsidR="00D00A15" w:rsidRPr="00F2439C">
        <w:rPr>
          <w:sz w:val="20"/>
          <w:szCs w:val="20"/>
        </w:rPr>
        <w:t xml:space="preserve">Committee on the Elimination of Discrimination against Women, </w:t>
      </w:r>
      <w:r w:rsidR="00D00A15" w:rsidRPr="00F2439C">
        <w:rPr>
          <w:i/>
          <w:iCs/>
          <w:sz w:val="20"/>
          <w:szCs w:val="20"/>
        </w:rPr>
        <w:t>Combined fifth and ninth periodic reports submitted by Belize under article 18 of the Convention, due in 2011,</w:t>
      </w:r>
      <w:r w:rsidR="00D00A15" w:rsidRPr="00F2439C">
        <w:rPr>
          <w:sz w:val="20"/>
          <w:szCs w:val="20"/>
        </w:rPr>
        <w:t xml:space="preserve"> (Nov. 13, 2024), CEDAW/C/BLZ/5-6, ¶ 62.</w:t>
      </w:r>
    </w:p>
    <w:p w14:paraId="6B9531CB" w14:textId="16849137" w:rsidR="003D1C19" w:rsidRPr="00F2439C" w:rsidRDefault="00D00A15" w:rsidP="003F318E">
      <w:pPr>
        <w:pStyle w:val="FootnoteText"/>
        <w:jc w:val="both"/>
        <w:rPr>
          <w:sz w:val="20"/>
          <w:szCs w:val="20"/>
        </w:rPr>
      </w:pPr>
      <w:r w:rsidRPr="00F2439C">
        <w:rPr>
          <w:rStyle w:val="FootnoteReference"/>
          <w:sz w:val="20"/>
          <w:szCs w:val="20"/>
        </w:rPr>
        <w:footnoteRef/>
      </w:r>
      <w:r w:rsidRPr="00F2439C">
        <w:rPr>
          <w:sz w:val="20"/>
          <w:szCs w:val="20"/>
        </w:rPr>
        <w:t xml:space="preserve"> </w:t>
      </w:r>
      <w:r w:rsidRPr="00F2439C">
        <w:rPr>
          <w:i/>
          <w:iCs/>
          <w:sz w:val="20"/>
          <w:szCs w:val="20"/>
        </w:rPr>
        <w:t>Id</w:t>
      </w:r>
      <w:r w:rsidR="00BF44F0" w:rsidRPr="00F2439C">
        <w:rPr>
          <w:i/>
          <w:iCs/>
          <w:sz w:val="20"/>
          <w:szCs w:val="20"/>
        </w:rPr>
        <w:t>.</w:t>
      </w:r>
      <w:r w:rsidRPr="00F2439C">
        <w:rPr>
          <w:i/>
          <w:iCs/>
          <w:sz w:val="20"/>
          <w:szCs w:val="20"/>
        </w:rPr>
        <w:t xml:space="preserve"> </w:t>
      </w:r>
      <w:r w:rsidRPr="00F2439C">
        <w:rPr>
          <w:sz w:val="20"/>
          <w:szCs w:val="20"/>
        </w:rPr>
        <w:t>¶ 22.</w:t>
      </w:r>
    </w:p>
  </w:footnote>
  <w:footnote w:id="14">
    <w:p w14:paraId="4A16CFE3" w14:textId="29FE73B3" w:rsidR="00F6743A" w:rsidRPr="00F2439C" w:rsidRDefault="00F6743A" w:rsidP="003F318E">
      <w:pPr>
        <w:pStyle w:val="FootnoteText"/>
        <w:jc w:val="both"/>
        <w:rPr>
          <w:sz w:val="20"/>
          <w:szCs w:val="20"/>
        </w:rPr>
      </w:pPr>
      <w:r w:rsidRPr="00F2439C">
        <w:rPr>
          <w:rStyle w:val="FootnoteReference"/>
          <w:sz w:val="20"/>
          <w:szCs w:val="20"/>
        </w:rPr>
        <w:footnoteRef/>
      </w:r>
      <w:r w:rsidRPr="00F2439C">
        <w:rPr>
          <w:sz w:val="20"/>
          <w:szCs w:val="20"/>
        </w:rPr>
        <w:t xml:space="preserve"> Cornell Center on the Death Penalty Worldwide, </w:t>
      </w:r>
      <w:r w:rsidRPr="00F2439C">
        <w:rPr>
          <w:i/>
          <w:iCs/>
          <w:sz w:val="20"/>
          <w:szCs w:val="20"/>
        </w:rPr>
        <w:t>Judged for More Than Her Crime: A Global Overview of Women Facing the Death Penalty</w:t>
      </w:r>
      <w:r w:rsidRPr="00F2439C">
        <w:rPr>
          <w:sz w:val="20"/>
          <w:szCs w:val="20"/>
        </w:rPr>
        <w:t> (Sept. 4, 2018)</w:t>
      </w:r>
      <w:r w:rsidR="005A627E" w:rsidRPr="00F2439C">
        <w:rPr>
          <w:sz w:val="20"/>
          <w:szCs w:val="20"/>
        </w:rPr>
        <w:t xml:space="preserve">, </w:t>
      </w:r>
      <w:r w:rsidR="002F0870" w:rsidRPr="00F2439C">
        <w:rPr>
          <w:sz w:val="20"/>
          <w:szCs w:val="20"/>
        </w:rPr>
        <w:t>15</w:t>
      </w:r>
      <w:r w:rsidR="004901B1" w:rsidRPr="00F2439C">
        <w:rPr>
          <w:sz w:val="20"/>
          <w:szCs w:val="20"/>
        </w:rPr>
        <w:t xml:space="preserve">, </w:t>
      </w:r>
      <w:r w:rsidR="005A627E" w:rsidRPr="00F2439C">
        <w:rPr>
          <w:sz w:val="20"/>
          <w:szCs w:val="20"/>
        </w:rPr>
        <w:t>accessed Dec. 16, 2024,</w:t>
      </w:r>
      <w:r w:rsidRPr="00F2439C">
        <w:rPr>
          <w:sz w:val="20"/>
          <w:szCs w:val="20"/>
        </w:rPr>
        <w:t xml:space="preserve"> https://www.deathpenaltyworldwide.org/wp-content/uploads/2019/12/Judged-More-Than-Her-Crime.pdf. </w:t>
      </w:r>
    </w:p>
  </w:footnote>
  <w:footnote w:id="15">
    <w:p w14:paraId="42C1C751" w14:textId="2810049B" w:rsidR="00C56162" w:rsidRPr="00F2439C" w:rsidRDefault="00C56162" w:rsidP="003F318E">
      <w:pPr>
        <w:pStyle w:val="FootnoteText"/>
        <w:jc w:val="both"/>
        <w:rPr>
          <w:sz w:val="20"/>
          <w:szCs w:val="20"/>
        </w:rPr>
      </w:pPr>
      <w:r w:rsidRPr="00F2439C">
        <w:rPr>
          <w:rStyle w:val="FootnoteReference"/>
          <w:sz w:val="20"/>
          <w:szCs w:val="20"/>
        </w:rPr>
        <w:footnoteRef/>
      </w:r>
      <w:r w:rsidRPr="00F2439C">
        <w:rPr>
          <w:sz w:val="20"/>
          <w:szCs w:val="20"/>
        </w:rPr>
        <w:t xml:space="preserve"> Cornell Center on the Death Penalty Worldwide, </w:t>
      </w:r>
      <w:r w:rsidRPr="00F2439C">
        <w:rPr>
          <w:i/>
          <w:iCs/>
          <w:sz w:val="20"/>
          <w:szCs w:val="20"/>
        </w:rPr>
        <w:t>“No One Believed Me”: A Global Overview of Women Facing the Death Penalty for Drug Offenses </w:t>
      </w:r>
      <w:r w:rsidRPr="00F2439C">
        <w:rPr>
          <w:sz w:val="20"/>
          <w:szCs w:val="20"/>
        </w:rPr>
        <w:t xml:space="preserve">(Sept. 6, 2021), 6, </w:t>
      </w:r>
      <w:r w:rsidR="004857E3" w:rsidRPr="00F2439C">
        <w:rPr>
          <w:sz w:val="20"/>
          <w:szCs w:val="20"/>
        </w:rPr>
        <w:t xml:space="preserve">accessed Dec. 16, 2024, </w:t>
      </w:r>
      <w:r w:rsidRPr="00F2439C">
        <w:rPr>
          <w:sz w:val="20"/>
          <w:szCs w:val="20"/>
        </w:rPr>
        <w:t>https://deathpenaltyworldwide.org/wp-content/uploads/2021/10/No-One-Believed-Me-A-Global-Overview-of-Women-Facing-the-Death-Penalty-for-Drug-Offenses.pdf.</w:t>
      </w:r>
    </w:p>
  </w:footnote>
  <w:footnote w:id="16">
    <w:p w14:paraId="1C260AC6" w14:textId="399AE853" w:rsidR="00385000" w:rsidRPr="00F2439C" w:rsidRDefault="00385000" w:rsidP="003F318E">
      <w:pPr>
        <w:pStyle w:val="FootnoteText"/>
        <w:jc w:val="both"/>
        <w:rPr>
          <w:sz w:val="20"/>
          <w:szCs w:val="20"/>
        </w:rPr>
      </w:pPr>
      <w:r w:rsidRPr="00F2439C">
        <w:rPr>
          <w:rStyle w:val="FootnoteReference"/>
          <w:sz w:val="20"/>
          <w:szCs w:val="20"/>
        </w:rPr>
        <w:footnoteRef/>
      </w:r>
      <w:r w:rsidRPr="00F2439C">
        <w:rPr>
          <w:sz w:val="20"/>
          <w:szCs w:val="20"/>
        </w:rPr>
        <w:t xml:space="preserve"> Cornell Center on the Death Penalty Worldwide, </w:t>
      </w:r>
      <w:r w:rsidRPr="00F2439C">
        <w:rPr>
          <w:i/>
          <w:iCs/>
          <w:sz w:val="20"/>
          <w:szCs w:val="20"/>
        </w:rPr>
        <w:t>“No One Believed Me”: A Global Overview of Women Facing the Death Penalty for Drug Offenses </w:t>
      </w:r>
      <w:r w:rsidRPr="00F2439C">
        <w:rPr>
          <w:sz w:val="20"/>
          <w:szCs w:val="20"/>
        </w:rPr>
        <w:t>(Sept. 6, 2021), 11, accessed Dec. 16, 2024, https://deathpenaltyworldwide.org/wp-content/uploads/2021/10/No-One-Believed-Me-A-Global-Overview-of-Women-Facing-the-Death-Penalty-for-Drug-Offenses.pdf.</w:t>
      </w:r>
    </w:p>
  </w:footnote>
  <w:footnote w:id="17">
    <w:p w14:paraId="294DE65E" w14:textId="6634C8E8" w:rsidR="00202D11" w:rsidRPr="00F2439C" w:rsidRDefault="00202D11" w:rsidP="003F318E">
      <w:pPr>
        <w:pStyle w:val="FootnoteText"/>
        <w:jc w:val="both"/>
        <w:rPr>
          <w:sz w:val="20"/>
          <w:szCs w:val="20"/>
        </w:rPr>
      </w:pPr>
      <w:r w:rsidRPr="00F2439C">
        <w:rPr>
          <w:rStyle w:val="FootnoteReference"/>
          <w:sz w:val="20"/>
          <w:szCs w:val="20"/>
        </w:rPr>
        <w:footnoteRef/>
      </w:r>
      <w:r w:rsidRPr="00F2439C">
        <w:rPr>
          <w:sz w:val="20"/>
          <w:szCs w:val="20"/>
        </w:rPr>
        <w:t xml:space="preserve"> </w:t>
      </w:r>
      <w:r w:rsidR="002B775E" w:rsidRPr="00F2439C">
        <w:rPr>
          <w:sz w:val="20"/>
          <w:szCs w:val="20"/>
        </w:rPr>
        <w:t>Cornell Center on the Death Penalty Worldwide, </w:t>
      </w:r>
      <w:r w:rsidR="002B775E" w:rsidRPr="00F2439C">
        <w:rPr>
          <w:i/>
          <w:iCs/>
          <w:sz w:val="20"/>
          <w:szCs w:val="20"/>
        </w:rPr>
        <w:t>Judged for More Than Her Crime: A Global Overview of Women Facing the Death Penalty</w:t>
      </w:r>
      <w:r w:rsidR="002B775E" w:rsidRPr="00F2439C">
        <w:rPr>
          <w:sz w:val="20"/>
          <w:szCs w:val="20"/>
        </w:rPr>
        <w:t> (Sept. 4, 2018), 4, accessed Dec. 16, 2024, https://www.deathpenaltyworldwide.org/wp-content/uploads/2019/12/Judged-More-Than-Her-Crime.pdf.</w:t>
      </w:r>
    </w:p>
  </w:footnote>
  <w:footnote w:id="18">
    <w:p w14:paraId="4DA755BC" w14:textId="02D53B43" w:rsidR="00920C53" w:rsidRPr="00F2439C" w:rsidRDefault="00920C53" w:rsidP="003F318E">
      <w:pPr>
        <w:pStyle w:val="FootnoteText"/>
        <w:jc w:val="both"/>
        <w:rPr>
          <w:sz w:val="20"/>
          <w:szCs w:val="20"/>
        </w:rPr>
      </w:pPr>
      <w:r w:rsidRPr="00F2439C">
        <w:rPr>
          <w:rStyle w:val="FootnoteReference"/>
          <w:sz w:val="20"/>
          <w:szCs w:val="20"/>
        </w:rPr>
        <w:footnoteRef/>
      </w:r>
      <w:r w:rsidRPr="00F2439C">
        <w:rPr>
          <w:sz w:val="20"/>
          <w:szCs w:val="20"/>
        </w:rPr>
        <w:t xml:space="preserve"> </w:t>
      </w:r>
      <w:r w:rsidR="00022D57" w:rsidRPr="00F2439C">
        <w:rPr>
          <w:sz w:val="20"/>
          <w:szCs w:val="20"/>
        </w:rPr>
        <w:t>Omar Silva</w:t>
      </w:r>
      <w:r w:rsidR="00B94168" w:rsidRPr="00F2439C">
        <w:rPr>
          <w:sz w:val="20"/>
          <w:szCs w:val="20"/>
        </w:rPr>
        <w:t xml:space="preserve">, “Access to Legal Aid is a Fundamental right for All in Belize”, </w:t>
      </w:r>
      <w:r w:rsidR="00AC716F" w:rsidRPr="00F2439C">
        <w:rPr>
          <w:sz w:val="20"/>
          <w:szCs w:val="20"/>
        </w:rPr>
        <w:t xml:space="preserve">National Perspective Belize, </w:t>
      </w:r>
      <w:r w:rsidR="002C6D93" w:rsidRPr="00F2439C">
        <w:rPr>
          <w:sz w:val="20"/>
          <w:szCs w:val="20"/>
        </w:rPr>
        <w:t xml:space="preserve">April 19, 2023, </w:t>
      </w:r>
      <w:r w:rsidR="00AC716F" w:rsidRPr="00F2439C">
        <w:rPr>
          <w:sz w:val="20"/>
          <w:szCs w:val="20"/>
        </w:rPr>
        <w:t>https://www.nationalperspectivebz.com/editorial/2023-04-19/access-legal-aid-fundamental-right-all-belize.</w:t>
      </w:r>
    </w:p>
  </w:footnote>
  <w:footnote w:id="19">
    <w:p w14:paraId="1AE26715" w14:textId="4799981A" w:rsidR="00AC41C2" w:rsidRPr="00F2439C" w:rsidRDefault="00AC41C2" w:rsidP="003F318E">
      <w:pPr>
        <w:pStyle w:val="FootnoteText"/>
        <w:jc w:val="both"/>
        <w:rPr>
          <w:sz w:val="20"/>
          <w:szCs w:val="20"/>
        </w:rPr>
      </w:pPr>
      <w:r w:rsidRPr="00F2439C">
        <w:rPr>
          <w:rStyle w:val="FootnoteReference"/>
          <w:sz w:val="20"/>
          <w:szCs w:val="20"/>
        </w:rPr>
        <w:footnoteRef/>
      </w:r>
      <w:r w:rsidRPr="00F2439C">
        <w:rPr>
          <w:sz w:val="20"/>
          <w:szCs w:val="20"/>
        </w:rPr>
        <w:t xml:space="preserve"> Cornell Center on the Death Penalty Worldwide, </w:t>
      </w:r>
      <w:r w:rsidRPr="00F2439C">
        <w:rPr>
          <w:i/>
          <w:iCs/>
          <w:sz w:val="20"/>
          <w:szCs w:val="20"/>
        </w:rPr>
        <w:t>Judged for More Than Her Crime: A Global Overview of Women Facing the Death Penalty</w:t>
      </w:r>
      <w:r w:rsidRPr="00F2439C">
        <w:rPr>
          <w:sz w:val="20"/>
          <w:szCs w:val="20"/>
        </w:rPr>
        <w:t> (Sept. 4, 2018), 3. Available online at https://www.deathpenaltyworldwide.org/wp-content/uploads/2019/12/Judged-More-Than-Her-Crime.pdf. </w:t>
      </w:r>
    </w:p>
  </w:footnote>
  <w:footnote w:id="20">
    <w:p w14:paraId="0BD9A4BE" w14:textId="52DB4A04" w:rsidR="00FB0305" w:rsidRPr="00F2439C" w:rsidRDefault="00FB0305" w:rsidP="003F318E">
      <w:pPr>
        <w:pStyle w:val="FootnoteText"/>
        <w:jc w:val="both"/>
        <w:rPr>
          <w:sz w:val="20"/>
          <w:szCs w:val="20"/>
        </w:rPr>
      </w:pPr>
      <w:r w:rsidRPr="00F2439C">
        <w:rPr>
          <w:rStyle w:val="FootnoteReference"/>
          <w:sz w:val="20"/>
          <w:szCs w:val="20"/>
        </w:rPr>
        <w:footnoteRef/>
      </w:r>
      <w:r w:rsidRPr="00F2439C">
        <w:rPr>
          <w:sz w:val="20"/>
          <w:szCs w:val="20"/>
        </w:rPr>
        <w:t xml:space="preserve"> Cornell Center on the Death Penalty Worldwide, </w:t>
      </w:r>
      <w:r w:rsidRPr="00F2439C">
        <w:rPr>
          <w:i/>
          <w:iCs/>
          <w:sz w:val="20"/>
          <w:szCs w:val="20"/>
        </w:rPr>
        <w:t>Judged for More Than Her Crime: A Global Overview of Women Facing the Death Penalty</w:t>
      </w:r>
      <w:r w:rsidRPr="00F2439C">
        <w:rPr>
          <w:sz w:val="20"/>
          <w:szCs w:val="20"/>
        </w:rPr>
        <w:t xml:space="preserve"> (Sept. 4, 2018), 3. </w:t>
      </w:r>
      <w:r w:rsidR="00C26728" w:rsidRPr="00F2439C">
        <w:rPr>
          <w:sz w:val="20"/>
          <w:szCs w:val="20"/>
        </w:rPr>
        <w:t xml:space="preserve">accessed Dec. 16, </w:t>
      </w:r>
      <w:r w:rsidR="009779F8" w:rsidRPr="00F2439C">
        <w:rPr>
          <w:sz w:val="20"/>
          <w:szCs w:val="20"/>
        </w:rPr>
        <w:t xml:space="preserve">2024, </w:t>
      </w:r>
      <w:r w:rsidRPr="00F2439C">
        <w:rPr>
          <w:sz w:val="20"/>
          <w:szCs w:val="20"/>
        </w:rPr>
        <w:t>https://www.deathpenaltyworldwide.org/wp-content/uploads/2019/12/Judged-More-Than-Her-Crime.pdf. </w:t>
      </w:r>
    </w:p>
  </w:footnote>
  <w:footnote w:id="21">
    <w:p w14:paraId="04B86B77" w14:textId="27426445" w:rsidR="00715205" w:rsidRPr="00F2439C" w:rsidRDefault="00715205" w:rsidP="003F318E">
      <w:pPr>
        <w:pStyle w:val="FootnoteText"/>
        <w:jc w:val="both"/>
        <w:rPr>
          <w:sz w:val="20"/>
          <w:szCs w:val="20"/>
        </w:rPr>
      </w:pPr>
      <w:r w:rsidRPr="00F2439C">
        <w:rPr>
          <w:rStyle w:val="FootnoteReference"/>
          <w:sz w:val="20"/>
          <w:szCs w:val="20"/>
        </w:rPr>
        <w:footnoteRef/>
      </w:r>
      <w:r w:rsidRPr="00F2439C">
        <w:rPr>
          <w:sz w:val="20"/>
          <w:szCs w:val="20"/>
        </w:rPr>
        <w:t xml:space="preserve"> </w:t>
      </w:r>
      <w:r w:rsidR="00046E8A" w:rsidRPr="00F2439C">
        <w:rPr>
          <w:sz w:val="20"/>
          <w:szCs w:val="20"/>
        </w:rPr>
        <w:t>Cornell Center on the Death Penalty Worldwide, </w:t>
      </w:r>
      <w:r w:rsidR="00046E8A" w:rsidRPr="00F2439C">
        <w:rPr>
          <w:i/>
          <w:iCs/>
          <w:sz w:val="20"/>
          <w:szCs w:val="20"/>
        </w:rPr>
        <w:t>Judged for More Than Her Crime: A Global Overview of Women Facing the Death Penalty</w:t>
      </w:r>
      <w:r w:rsidR="00046E8A" w:rsidRPr="00F2439C">
        <w:rPr>
          <w:sz w:val="20"/>
          <w:szCs w:val="20"/>
        </w:rPr>
        <w:t> (Sept. 4, 2018), 18, accessed Dec. 16, 2024, https://www.deathpenaltyworldwide.org/wp-content/uploads/2019/12/Judged-More-Than-Her-Crime.pdf</w:t>
      </w:r>
    </w:p>
  </w:footnote>
  <w:footnote w:id="22">
    <w:p w14:paraId="77C275BD" w14:textId="4353359B" w:rsidR="00A84A02" w:rsidRPr="007D3809" w:rsidRDefault="00A84A02">
      <w:pPr>
        <w:pStyle w:val="FootnoteText"/>
        <w:rPr>
          <w:sz w:val="20"/>
          <w:szCs w:val="20"/>
        </w:rPr>
      </w:pPr>
      <w:r w:rsidRPr="007D3809">
        <w:rPr>
          <w:rStyle w:val="FootnoteReference"/>
          <w:sz w:val="20"/>
          <w:szCs w:val="20"/>
        </w:rPr>
        <w:footnoteRef/>
      </w:r>
      <w:r w:rsidRPr="007D3809">
        <w:rPr>
          <w:sz w:val="20"/>
          <w:szCs w:val="20"/>
        </w:rPr>
        <w:t xml:space="preserve"> </w:t>
      </w:r>
      <w:r w:rsidR="003D15FD" w:rsidRPr="007D3809">
        <w:rPr>
          <w:sz w:val="20"/>
          <w:szCs w:val="20"/>
        </w:rPr>
        <w:t>N</w:t>
      </w:r>
      <w:r w:rsidR="00F64DCE" w:rsidRPr="007D3809">
        <w:rPr>
          <w:sz w:val="20"/>
          <w:szCs w:val="20"/>
        </w:rPr>
        <w:t xml:space="preserve">eedham’s Point Declaration on Criminal Justice Reform: Achieving a Modern Criminal Justice System, 20 Oct. 2023, </w:t>
      </w:r>
      <w:r w:rsidR="003D15FD" w:rsidRPr="007D3809">
        <w:rPr>
          <w:sz w:val="20"/>
          <w:szCs w:val="20"/>
        </w:rPr>
        <w:t>https://ccj.org/wp-content/uploads/2023/10/NEEDHAMS-POINT-DECLARATION.pdf.</w:t>
      </w:r>
    </w:p>
  </w:footnote>
  <w:footnote w:id="23">
    <w:p w14:paraId="3DB40D14" w14:textId="3C628B12" w:rsidR="004D02FC" w:rsidRPr="007D3809" w:rsidRDefault="004D02FC">
      <w:pPr>
        <w:pStyle w:val="FootnoteText"/>
        <w:rPr>
          <w:sz w:val="20"/>
          <w:szCs w:val="20"/>
        </w:rPr>
      </w:pPr>
      <w:r w:rsidRPr="007D3809">
        <w:rPr>
          <w:rStyle w:val="FootnoteReference"/>
          <w:sz w:val="20"/>
          <w:szCs w:val="20"/>
        </w:rPr>
        <w:footnoteRef/>
      </w:r>
      <w:r w:rsidRPr="007D3809">
        <w:rPr>
          <w:sz w:val="20"/>
          <w:szCs w:val="20"/>
        </w:rPr>
        <w:t xml:space="preserve"> </w:t>
      </w:r>
      <w:r w:rsidR="00FE4BEA" w:rsidRPr="007D3809">
        <w:rPr>
          <w:i/>
          <w:iCs/>
          <w:sz w:val="20"/>
          <w:szCs w:val="20"/>
        </w:rPr>
        <w:t>The Judiciary of Belize operationalizes the Caribbean Court of Justice’s Academy for Law Needham’s Point Declaration</w:t>
      </w:r>
      <w:r w:rsidR="00FE4BEA" w:rsidRPr="007D3809">
        <w:rPr>
          <w:sz w:val="20"/>
          <w:szCs w:val="20"/>
        </w:rPr>
        <w:t xml:space="preserve">, Caribbean Court of Justice Academy for Law, May 17, 2024, </w:t>
      </w:r>
      <w:r w:rsidR="005F6D9D" w:rsidRPr="007D3809">
        <w:rPr>
          <w:sz w:val="20"/>
          <w:szCs w:val="20"/>
        </w:rPr>
        <w:t>https://ccjacademy.org/the-judiciary-of-belize-operationalizes-the-caribbean-court-of-justices-academy-for-law-needhams-point-declaration/.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387E6584" w:rsidR="00804604" w:rsidRDefault="00DD5393" w:rsidP="003F1D3D">
    <w:pPr>
      <w:pStyle w:val="Header"/>
      <w:tabs>
        <w:tab w:val="clear" w:pos="4320"/>
        <w:tab w:val="clear" w:pos="8640"/>
        <w:tab w:val="left" w:pos="3675"/>
      </w:tabs>
    </w:pPr>
    <w:r>
      <w:rPr>
        <w:noProof/>
        <w:lang w:eastAsia="en-US"/>
      </w:rPr>
      <w:drawing>
        <wp:anchor distT="0" distB="0" distL="114300" distR="114300" simplePos="0" relativeHeight="251662337" behindDoc="0" locked="0" layoutInCell="1" allowOverlap="1" wp14:anchorId="3AA9721C" wp14:editId="08BB74DC">
          <wp:simplePos x="0" y="0"/>
          <wp:positionH relativeFrom="column">
            <wp:posOffset>1571625</wp:posOffset>
          </wp:positionH>
          <wp:positionV relativeFrom="paragraph">
            <wp:posOffset>-151130</wp:posOffset>
          </wp:positionV>
          <wp:extent cx="2886075" cy="694331"/>
          <wp:effectExtent l="0" t="0" r="0" b="0"/>
          <wp:wrapNone/>
          <wp:docPr id="3" name="Picture 3" descr="A close up of 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logo"/>
                  <pic:cNvPicPr/>
                </pic:nvPicPr>
                <pic:blipFill>
                  <a:blip r:embed="rId1">
                    <a:extLst>
                      <a:ext uri="{28A0092B-C50C-407E-A947-70E740481C1C}">
                        <a14:useLocalDpi xmlns:a14="http://schemas.microsoft.com/office/drawing/2010/main" val="0"/>
                      </a:ext>
                    </a:extLst>
                  </a:blip>
                  <a:stretch>
                    <a:fillRect/>
                  </a:stretch>
                </pic:blipFill>
                <pic:spPr>
                  <a:xfrm>
                    <a:off x="0" y="0"/>
                    <a:ext cx="2886075" cy="69433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0D691956" wp14:editId="63F457D7">
          <wp:simplePos x="0" y="0"/>
          <wp:positionH relativeFrom="margin">
            <wp:posOffset>4524314</wp:posOffset>
          </wp:positionH>
          <wp:positionV relativeFrom="paragraph">
            <wp:posOffset>-228600</wp:posOffset>
          </wp:positionV>
          <wp:extent cx="1764725" cy="676275"/>
          <wp:effectExtent l="0" t="0" r="698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0392" cy="67844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9" behindDoc="0" locked="0" layoutInCell="1" hidden="0" allowOverlap="1" wp14:anchorId="36EE0005" wp14:editId="126C93E6">
          <wp:simplePos x="0" y="0"/>
          <wp:positionH relativeFrom="column">
            <wp:posOffset>0</wp:posOffset>
          </wp:positionH>
          <wp:positionV relativeFrom="paragraph">
            <wp:posOffset>-219074</wp:posOffset>
          </wp:positionV>
          <wp:extent cx="1419225" cy="762000"/>
          <wp:effectExtent l="0" t="0" r="9525" b="0"/>
          <wp:wrapNone/>
          <wp:docPr id="4" name="image1.jpg" descr="Logo&#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jpg" descr="Logo&#10;&#10;Description automatically generated with medium confidence"/>
                  <pic:cNvPicPr preferRelativeResize="0"/>
                </pic:nvPicPr>
                <pic:blipFill>
                  <a:blip r:embed="rId3"/>
                  <a:srcRect/>
                  <a:stretch>
                    <a:fillRect/>
                  </a:stretch>
                </pic:blipFill>
                <pic:spPr>
                  <a:xfrm>
                    <a:off x="0" y="0"/>
                    <a:ext cx="1419225" cy="762000"/>
                  </a:xfrm>
                  <a:prstGeom prst="rect">
                    <a:avLst/>
                  </a:prstGeom>
                  <a:ln/>
                </pic:spPr>
              </pic:pic>
            </a:graphicData>
          </a:graphic>
          <wp14:sizeRelH relativeFrom="margin">
            <wp14:pctWidth>0</wp14:pctWidth>
          </wp14:sizeRelH>
          <wp14:sizeRelV relativeFrom="margin">
            <wp14:pctHeight>0</wp14:pctHeight>
          </wp14:sizeRelV>
        </wp:anchor>
      </w:drawing>
    </w:r>
    <w:r w:rsidR="003F1D3D">
      <w:tab/>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856F3"/>
    <w:multiLevelType w:val="hybridMultilevel"/>
    <w:tmpl w:val="F0A4541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FFFFFFFF">
      <w:start w:val="1"/>
      <w:numFmt w:val="decimal"/>
      <w:pStyle w:val="Paragraph"/>
      <w:lvlText w:val="%1."/>
      <w:lvlJc w:val="left"/>
      <w:pPr>
        <w:ind w:left="720" w:hanging="360"/>
      </w:pPr>
    </w:lvl>
    <w:lvl w:ilvl="1" w:tplc="FFFFFFFF">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D26C0C"/>
    <w:multiLevelType w:val="hybridMultilevel"/>
    <w:tmpl w:val="F8AA20AE"/>
    <w:lvl w:ilvl="0" w:tplc="BA943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26C2774"/>
    <w:multiLevelType w:val="hybridMultilevel"/>
    <w:tmpl w:val="8B20CA70"/>
    <w:lvl w:ilvl="0" w:tplc="DB4473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B5DCC2"/>
    <w:multiLevelType w:val="hybridMultilevel"/>
    <w:tmpl w:val="2A86D546"/>
    <w:lvl w:ilvl="0" w:tplc="83EA0BE2">
      <w:start w:val="1"/>
      <w:numFmt w:val="upperRoman"/>
      <w:lvlText w:val="%1."/>
      <w:lvlJc w:val="right"/>
      <w:pPr>
        <w:ind w:left="720" w:hanging="360"/>
      </w:pPr>
    </w:lvl>
    <w:lvl w:ilvl="1" w:tplc="485C5286">
      <w:start w:val="1"/>
      <w:numFmt w:val="lowerLetter"/>
      <w:lvlText w:val="%2."/>
      <w:lvlJc w:val="left"/>
      <w:pPr>
        <w:ind w:left="1440" w:hanging="360"/>
      </w:pPr>
    </w:lvl>
    <w:lvl w:ilvl="2" w:tplc="2F82F4EA">
      <w:start w:val="1"/>
      <w:numFmt w:val="lowerRoman"/>
      <w:lvlText w:val="%3."/>
      <w:lvlJc w:val="right"/>
      <w:pPr>
        <w:ind w:left="2160" w:hanging="180"/>
      </w:pPr>
    </w:lvl>
    <w:lvl w:ilvl="3" w:tplc="38F6C36E">
      <w:start w:val="1"/>
      <w:numFmt w:val="decimal"/>
      <w:lvlText w:val="%4."/>
      <w:lvlJc w:val="left"/>
      <w:pPr>
        <w:ind w:left="2880" w:hanging="360"/>
      </w:pPr>
    </w:lvl>
    <w:lvl w:ilvl="4" w:tplc="D326D8EE">
      <w:start w:val="1"/>
      <w:numFmt w:val="lowerLetter"/>
      <w:lvlText w:val="%5."/>
      <w:lvlJc w:val="left"/>
      <w:pPr>
        <w:ind w:left="3600" w:hanging="360"/>
      </w:pPr>
    </w:lvl>
    <w:lvl w:ilvl="5" w:tplc="A2226DAA">
      <w:start w:val="1"/>
      <w:numFmt w:val="lowerRoman"/>
      <w:lvlText w:val="%6."/>
      <w:lvlJc w:val="right"/>
      <w:pPr>
        <w:ind w:left="4320" w:hanging="180"/>
      </w:pPr>
    </w:lvl>
    <w:lvl w:ilvl="6" w:tplc="8116BF66">
      <w:start w:val="1"/>
      <w:numFmt w:val="decimal"/>
      <w:lvlText w:val="%7."/>
      <w:lvlJc w:val="left"/>
      <w:pPr>
        <w:ind w:left="5040" w:hanging="360"/>
      </w:pPr>
    </w:lvl>
    <w:lvl w:ilvl="7" w:tplc="5B9A9562">
      <w:start w:val="1"/>
      <w:numFmt w:val="lowerLetter"/>
      <w:lvlText w:val="%8."/>
      <w:lvlJc w:val="left"/>
      <w:pPr>
        <w:ind w:left="5760" w:hanging="360"/>
      </w:pPr>
    </w:lvl>
    <w:lvl w:ilvl="8" w:tplc="7C542D62">
      <w:start w:val="1"/>
      <w:numFmt w:val="lowerRoman"/>
      <w:lvlText w:val="%9."/>
      <w:lvlJc w:val="right"/>
      <w:pPr>
        <w:ind w:left="6480" w:hanging="180"/>
      </w:pPr>
    </w:lvl>
  </w:abstractNum>
  <w:abstractNum w:abstractNumId="14" w15:restartNumberingAfterBreak="0">
    <w:nsid w:val="6D9FAB99"/>
    <w:multiLevelType w:val="hybridMultilevel"/>
    <w:tmpl w:val="02E8E8B2"/>
    <w:lvl w:ilvl="0" w:tplc="71C89BB2">
      <w:start w:val="1"/>
      <w:numFmt w:val="upperRoman"/>
      <w:lvlText w:val="%1."/>
      <w:lvlJc w:val="right"/>
      <w:pPr>
        <w:ind w:left="720" w:hanging="360"/>
      </w:pPr>
    </w:lvl>
    <w:lvl w:ilvl="1" w:tplc="9796DFF6">
      <w:start w:val="1"/>
      <w:numFmt w:val="lowerLetter"/>
      <w:lvlText w:val="%2."/>
      <w:lvlJc w:val="left"/>
      <w:pPr>
        <w:ind w:left="1440" w:hanging="360"/>
      </w:pPr>
    </w:lvl>
    <w:lvl w:ilvl="2" w:tplc="852A1382">
      <w:start w:val="1"/>
      <w:numFmt w:val="lowerRoman"/>
      <w:lvlText w:val="%3."/>
      <w:lvlJc w:val="right"/>
      <w:pPr>
        <w:ind w:left="2160" w:hanging="180"/>
      </w:pPr>
    </w:lvl>
    <w:lvl w:ilvl="3" w:tplc="DCF4255C">
      <w:start w:val="1"/>
      <w:numFmt w:val="decimal"/>
      <w:lvlText w:val="%4."/>
      <w:lvlJc w:val="left"/>
      <w:pPr>
        <w:ind w:left="2880" w:hanging="360"/>
      </w:pPr>
    </w:lvl>
    <w:lvl w:ilvl="4" w:tplc="BE820676">
      <w:start w:val="1"/>
      <w:numFmt w:val="lowerLetter"/>
      <w:lvlText w:val="%5."/>
      <w:lvlJc w:val="left"/>
      <w:pPr>
        <w:ind w:left="3600" w:hanging="360"/>
      </w:pPr>
    </w:lvl>
    <w:lvl w:ilvl="5" w:tplc="4878B40A">
      <w:start w:val="1"/>
      <w:numFmt w:val="lowerRoman"/>
      <w:lvlText w:val="%6."/>
      <w:lvlJc w:val="right"/>
      <w:pPr>
        <w:ind w:left="4320" w:hanging="180"/>
      </w:pPr>
    </w:lvl>
    <w:lvl w:ilvl="6" w:tplc="8A16E866">
      <w:start w:val="1"/>
      <w:numFmt w:val="decimal"/>
      <w:lvlText w:val="%7."/>
      <w:lvlJc w:val="left"/>
      <w:pPr>
        <w:ind w:left="5040" w:hanging="360"/>
      </w:pPr>
    </w:lvl>
    <w:lvl w:ilvl="7" w:tplc="33860F00">
      <w:start w:val="1"/>
      <w:numFmt w:val="lowerLetter"/>
      <w:lvlText w:val="%8."/>
      <w:lvlJc w:val="left"/>
      <w:pPr>
        <w:ind w:left="5760" w:hanging="360"/>
      </w:pPr>
    </w:lvl>
    <w:lvl w:ilvl="8" w:tplc="D59C54C6">
      <w:start w:val="1"/>
      <w:numFmt w:val="lowerRoman"/>
      <w:lvlText w:val="%9."/>
      <w:lvlJc w:val="right"/>
      <w:pPr>
        <w:ind w:left="6480" w:hanging="180"/>
      </w:pPr>
    </w:lvl>
  </w:abstractNum>
  <w:abstractNum w:abstractNumId="15" w15:restartNumberingAfterBreak="0">
    <w:nsid w:val="711E5B8B"/>
    <w:multiLevelType w:val="hybridMultilevel"/>
    <w:tmpl w:val="5EFA28D8"/>
    <w:lvl w:ilvl="0" w:tplc="4E268AB2">
      <w:start w:val="1"/>
      <w:numFmt w:val="upperRoman"/>
      <w:lvlText w:val="%1."/>
      <w:lvlJc w:val="right"/>
      <w:pPr>
        <w:ind w:left="720" w:hanging="360"/>
      </w:pPr>
    </w:lvl>
    <w:lvl w:ilvl="1" w:tplc="6BE00540">
      <w:start w:val="1"/>
      <w:numFmt w:val="lowerLetter"/>
      <w:lvlText w:val="%2."/>
      <w:lvlJc w:val="left"/>
      <w:pPr>
        <w:ind w:left="1440" w:hanging="360"/>
      </w:pPr>
    </w:lvl>
    <w:lvl w:ilvl="2" w:tplc="AB5EA662">
      <w:start w:val="1"/>
      <w:numFmt w:val="lowerRoman"/>
      <w:lvlText w:val="%3."/>
      <w:lvlJc w:val="right"/>
      <w:pPr>
        <w:ind w:left="2160" w:hanging="180"/>
      </w:pPr>
    </w:lvl>
    <w:lvl w:ilvl="3" w:tplc="78B2E1B8">
      <w:start w:val="1"/>
      <w:numFmt w:val="decimal"/>
      <w:lvlText w:val="%4."/>
      <w:lvlJc w:val="left"/>
      <w:pPr>
        <w:ind w:left="2880" w:hanging="360"/>
      </w:pPr>
    </w:lvl>
    <w:lvl w:ilvl="4" w:tplc="FB7A414C">
      <w:start w:val="1"/>
      <w:numFmt w:val="lowerLetter"/>
      <w:lvlText w:val="%5."/>
      <w:lvlJc w:val="left"/>
      <w:pPr>
        <w:ind w:left="3600" w:hanging="360"/>
      </w:pPr>
    </w:lvl>
    <w:lvl w:ilvl="5" w:tplc="6994B552">
      <w:start w:val="1"/>
      <w:numFmt w:val="lowerRoman"/>
      <w:lvlText w:val="%6."/>
      <w:lvlJc w:val="right"/>
      <w:pPr>
        <w:ind w:left="4320" w:hanging="180"/>
      </w:pPr>
    </w:lvl>
    <w:lvl w:ilvl="6" w:tplc="867E1342">
      <w:start w:val="1"/>
      <w:numFmt w:val="decimal"/>
      <w:lvlText w:val="%7."/>
      <w:lvlJc w:val="left"/>
      <w:pPr>
        <w:ind w:left="5040" w:hanging="360"/>
      </w:pPr>
    </w:lvl>
    <w:lvl w:ilvl="7" w:tplc="4C3E47D8">
      <w:start w:val="1"/>
      <w:numFmt w:val="lowerLetter"/>
      <w:lvlText w:val="%8."/>
      <w:lvlJc w:val="left"/>
      <w:pPr>
        <w:ind w:left="5760" w:hanging="360"/>
      </w:pPr>
    </w:lvl>
    <w:lvl w:ilvl="8" w:tplc="8CCE2B90">
      <w:start w:val="1"/>
      <w:numFmt w:val="lowerRoman"/>
      <w:lvlText w:val="%9."/>
      <w:lvlJc w:val="right"/>
      <w:pPr>
        <w:ind w:left="6480" w:hanging="180"/>
      </w:pPr>
    </w:lvl>
  </w:abstractNum>
  <w:num w:numId="1" w16cid:durableId="655374235">
    <w:abstractNumId w:val="13"/>
  </w:num>
  <w:num w:numId="2" w16cid:durableId="1746612391">
    <w:abstractNumId w:val="15"/>
  </w:num>
  <w:num w:numId="3" w16cid:durableId="1149857133">
    <w:abstractNumId w:val="14"/>
  </w:num>
  <w:num w:numId="4" w16cid:durableId="1915969075">
    <w:abstractNumId w:val="6"/>
  </w:num>
  <w:num w:numId="5" w16cid:durableId="2029719975">
    <w:abstractNumId w:val="5"/>
  </w:num>
  <w:num w:numId="6" w16cid:durableId="1539776804">
    <w:abstractNumId w:val="9"/>
  </w:num>
  <w:num w:numId="7"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5686896">
    <w:abstractNumId w:val="7"/>
  </w:num>
  <w:num w:numId="9" w16cid:durableId="594171688">
    <w:abstractNumId w:val="1"/>
  </w:num>
  <w:num w:numId="10" w16cid:durableId="1938251912">
    <w:abstractNumId w:val="4"/>
  </w:num>
  <w:num w:numId="11" w16cid:durableId="1784962959">
    <w:abstractNumId w:val="12"/>
  </w:num>
  <w:num w:numId="12" w16cid:durableId="1023946614">
    <w:abstractNumId w:val="2"/>
  </w:num>
  <w:num w:numId="13" w16cid:durableId="191308430">
    <w:abstractNumId w:val="11"/>
  </w:num>
  <w:num w:numId="14" w16cid:durableId="1092774080">
    <w:abstractNumId w:val="10"/>
  </w:num>
  <w:num w:numId="15" w16cid:durableId="1822696038">
    <w:abstractNumId w:val="8"/>
  </w:num>
  <w:num w:numId="16" w16cid:durableId="73435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509"/>
    <w:rsid w:val="000020A0"/>
    <w:rsid w:val="000058DC"/>
    <w:rsid w:val="0001070C"/>
    <w:rsid w:val="00020381"/>
    <w:rsid w:val="00022D57"/>
    <w:rsid w:val="00030F59"/>
    <w:rsid w:val="000342B6"/>
    <w:rsid w:val="00046377"/>
    <w:rsid w:val="00046E8A"/>
    <w:rsid w:val="00051716"/>
    <w:rsid w:val="000542DD"/>
    <w:rsid w:val="00056CF5"/>
    <w:rsid w:val="0006023A"/>
    <w:rsid w:val="00064C53"/>
    <w:rsid w:val="000734A4"/>
    <w:rsid w:val="00073D11"/>
    <w:rsid w:val="0008238F"/>
    <w:rsid w:val="00085935"/>
    <w:rsid w:val="00086400"/>
    <w:rsid w:val="000910FC"/>
    <w:rsid w:val="00094E10"/>
    <w:rsid w:val="0009644E"/>
    <w:rsid w:val="00097CF8"/>
    <w:rsid w:val="000A1F17"/>
    <w:rsid w:val="000A2DF7"/>
    <w:rsid w:val="000A66B8"/>
    <w:rsid w:val="000B042D"/>
    <w:rsid w:val="000B286E"/>
    <w:rsid w:val="000B4DB3"/>
    <w:rsid w:val="000C4FA1"/>
    <w:rsid w:val="000C6340"/>
    <w:rsid w:val="000D0680"/>
    <w:rsid w:val="000E0022"/>
    <w:rsid w:val="000E062E"/>
    <w:rsid w:val="000E1DDC"/>
    <w:rsid w:val="000F1632"/>
    <w:rsid w:val="000F1E67"/>
    <w:rsid w:val="000F56E0"/>
    <w:rsid w:val="001008D1"/>
    <w:rsid w:val="00105CEB"/>
    <w:rsid w:val="00111994"/>
    <w:rsid w:val="00114C6D"/>
    <w:rsid w:val="0011545F"/>
    <w:rsid w:val="00115793"/>
    <w:rsid w:val="00120CB9"/>
    <w:rsid w:val="00120F8D"/>
    <w:rsid w:val="001215B4"/>
    <w:rsid w:val="001286FC"/>
    <w:rsid w:val="001322E6"/>
    <w:rsid w:val="00136514"/>
    <w:rsid w:val="00137229"/>
    <w:rsid w:val="00137EE0"/>
    <w:rsid w:val="00143423"/>
    <w:rsid w:val="00147EA4"/>
    <w:rsid w:val="0015035B"/>
    <w:rsid w:val="0015406F"/>
    <w:rsid w:val="001565F9"/>
    <w:rsid w:val="00157099"/>
    <w:rsid w:val="00160BDA"/>
    <w:rsid w:val="00172D4A"/>
    <w:rsid w:val="00176737"/>
    <w:rsid w:val="00177048"/>
    <w:rsid w:val="0018118D"/>
    <w:rsid w:val="00181B2A"/>
    <w:rsid w:val="00181EF5"/>
    <w:rsid w:val="0018642B"/>
    <w:rsid w:val="001906BC"/>
    <w:rsid w:val="001A34F4"/>
    <w:rsid w:val="001A59C1"/>
    <w:rsid w:val="001A5ED5"/>
    <w:rsid w:val="001A7AF4"/>
    <w:rsid w:val="001B1AC4"/>
    <w:rsid w:val="001B27D7"/>
    <w:rsid w:val="001B46C2"/>
    <w:rsid w:val="001B6E97"/>
    <w:rsid w:val="001B799A"/>
    <w:rsid w:val="001C4025"/>
    <w:rsid w:val="001C42EB"/>
    <w:rsid w:val="001D7BB8"/>
    <w:rsid w:val="001E1FAF"/>
    <w:rsid w:val="001E3B94"/>
    <w:rsid w:val="001E4872"/>
    <w:rsid w:val="001E4ACC"/>
    <w:rsid w:val="001E6FD5"/>
    <w:rsid w:val="001F17A7"/>
    <w:rsid w:val="001F7E1B"/>
    <w:rsid w:val="00202D11"/>
    <w:rsid w:val="00210DCB"/>
    <w:rsid w:val="00211315"/>
    <w:rsid w:val="00214F3D"/>
    <w:rsid w:val="00220D48"/>
    <w:rsid w:val="00234644"/>
    <w:rsid w:val="002357E4"/>
    <w:rsid w:val="00237C8C"/>
    <w:rsid w:val="0024081F"/>
    <w:rsid w:val="00242F64"/>
    <w:rsid w:val="002439A3"/>
    <w:rsid w:val="00243E14"/>
    <w:rsid w:val="002468AD"/>
    <w:rsid w:val="002538B1"/>
    <w:rsid w:val="00255789"/>
    <w:rsid w:val="00262845"/>
    <w:rsid w:val="002653AE"/>
    <w:rsid w:val="00270A61"/>
    <w:rsid w:val="00272519"/>
    <w:rsid w:val="002734D9"/>
    <w:rsid w:val="00273933"/>
    <w:rsid w:val="00282223"/>
    <w:rsid w:val="00291BE8"/>
    <w:rsid w:val="002A0797"/>
    <w:rsid w:val="002A4838"/>
    <w:rsid w:val="002B1275"/>
    <w:rsid w:val="002B2F63"/>
    <w:rsid w:val="002B775E"/>
    <w:rsid w:val="002B7804"/>
    <w:rsid w:val="002C3983"/>
    <w:rsid w:val="002C57BC"/>
    <w:rsid w:val="002C6D93"/>
    <w:rsid w:val="002D2CB1"/>
    <w:rsid w:val="002D36C6"/>
    <w:rsid w:val="002E34EA"/>
    <w:rsid w:val="002E46A1"/>
    <w:rsid w:val="002F0870"/>
    <w:rsid w:val="002F5A08"/>
    <w:rsid w:val="002F7A11"/>
    <w:rsid w:val="003015D5"/>
    <w:rsid w:val="00306CBB"/>
    <w:rsid w:val="00307F84"/>
    <w:rsid w:val="0031166B"/>
    <w:rsid w:val="00315C53"/>
    <w:rsid w:val="00322CB1"/>
    <w:rsid w:val="003244CB"/>
    <w:rsid w:val="003251AD"/>
    <w:rsid w:val="0032630A"/>
    <w:rsid w:val="003369A6"/>
    <w:rsid w:val="00340484"/>
    <w:rsid w:val="00341CF6"/>
    <w:rsid w:val="00344140"/>
    <w:rsid w:val="00344556"/>
    <w:rsid w:val="00345B90"/>
    <w:rsid w:val="0035378E"/>
    <w:rsid w:val="0035424D"/>
    <w:rsid w:val="0036202F"/>
    <w:rsid w:val="00363470"/>
    <w:rsid w:val="00374FD8"/>
    <w:rsid w:val="00385000"/>
    <w:rsid w:val="00390AC3"/>
    <w:rsid w:val="003937C6"/>
    <w:rsid w:val="00397390"/>
    <w:rsid w:val="003A0BC2"/>
    <w:rsid w:val="003A101D"/>
    <w:rsid w:val="003A1D3E"/>
    <w:rsid w:val="003A6F6D"/>
    <w:rsid w:val="003C1E49"/>
    <w:rsid w:val="003C60FE"/>
    <w:rsid w:val="003C772E"/>
    <w:rsid w:val="003D15FD"/>
    <w:rsid w:val="003D1C19"/>
    <w:rsid w:val="003D608F"/>
    <w:rsid w:val="003E6A6D"/>
    <w:rsid w:val="003F1D3D"/>
    <w:rsid w:val="003F318E"/>
    <w:rsid w:val="003F4082"/>
    <w:rsid w:val="003F5A1F"/>
    <w:rsid w:val="004076CD"/>
    <w:rsid w:val="00417CE5"/>
    <w:rsid w:val="00420CCA"/>
    <w:rsid w:val="00430A63"/>
    <w:rsid w:val="004474B2"/>
    <w:rsid w:val="00450118"/>
    <w:rsid w:val="00450405"/>
    <w:rsid w:val="00453314"/>
    <w:rsid w:val="0046636D"/>
    <w:rsid w:val="00470F81"/>
    <w:rsid w:val="00476CC4"/>
    <w:rsid w:val="004857B1"/>
    <w:rsid w:val="004857E3"/>
    <w:rsid w:val="004866AE"/>
    <w:rsid w:val="004901B1"/>
    <w:rsid w:val="00493951"/>
    <w:rsid w:val="00493999"/>
    <w:rsid w:val="004A17D9"/>
    <w:rsid w:val="004A59C1"/>
    <w:rsid w:val="004A5B01"/>
    <w:rsid w:val="004A7D93"/>
    <w:rsid w:val="004A7FF9"/>
    <w:rsid w:val="004B182F"/>
    <w:rsid w:val="004B1E4E"/>
    <w:rsid w:val="004B4CAF"/>
    <w:rsid w:val="004B60FF"/>
    <w:rsid w:val="004B73AF"/>
    <w:rsid w:val="004C15C2"/>
    <w:rsid w:val="004C5974"/>
    <w:rsid w:val="004D02FC"/>
    <w:rsid w:val="004D2568"/>
    <w:rsid w:val="004D3EE9"/>
    <w:rsid w:val="004D51DD"/>
    <w:rsid w:val="004E0434"/>
    <w:rsid w:val="004E150B"/>
    <w:rsid w:val="004E2CD9"/>
    <w:rsid w:val="004E7176"/>
    <w:rsid w:val="004E783D"/>
    <w:rsid w:val="004F2465"/>
    <w:rsid w:val="004F2845"/>
    <w:rsid w:val="004F34E5"/>
    <w:rsid w:val="004F3EB9"/>
    <w:rsid w:val="004F7AD5"/>
    <w:rsid w:val="005125BF"/>
    <w:rsid w:val="005132BB"/>
    <w:rsid w:val="0051494C"/>
    <w:rsid w:val="00515F94"/>
    <w:rsid w:val="00516CBA"/>
    <w:rsid w:val="00524166"/>
    <w:rsid w:val="00524C18"/>
    <w:rsid w:val="0052780B"/>
    <w:rsid w:val="005336C2"/>
    <w:rsid w:val="0053432E"/>
    <w:rsid w:val="005403E3"/>
    <w:rsid w:val="00544E10"/>
    <w:rsid w:val="00550A8F"/>
    <w:rsid w:val="0055169D"/>
    <w:rsid w:val="0055461C"/>
    <w:rsid w:val="00558B47"/>
    <w:rsid w:val="00560C67"/>
    <w:rsid w:val="00567571"/>
    <w:rsid w:val="00567887"/>
    <w:rsid w:val="00567FD1"/>
    <w:rsid w:val="00570A6E"/>
    <w:rsid w:val="00571EF6"/>
    <w:rsid w:val="005933C7"/>
    <w:rsid w:val="0059754B"/>
    <w:rsid w:val="005A251E"/>
    <w:rsid w:val="005A5401"/>
    <w:rsid w:val="005A627E"/>
    <w:rsid w:val="005B0C1B"/>
    <w:rsid w:val="005B2D86"/>
    <w:rsid w:val="005C183B"/>
    <w:rsid w:val="005C3967"/>
    <w:rsid w:val="005C58B6"/>
    <w:rsid w:val="005C5BF7"/>
    <w:rsid w:val="005D4EE6"/>
    <w:rsid w:val="005D5F82"/>
    <w:rsid w:val="005E0AEC"/>
    <w:rsid w:val="005E32EE"/>
    <w:rsid w:val="005F0BD5"/>
    <w:rsid w:val="005F2A19"/>
    <w:rsid w:val="005F3A22"/>
    <w:rsid w:val="005F6D9D"/>
    <w:rsid w:val="00601963"/>
    <w:rsid w:val="0060568A"/>
    <w:rsid w:val="0060622C"/>
    <w:rsid w:val="00606C1A"/>
    <w:rsid w:val="0061313F"/>
    <w:rsid w:val="0061778F"/>
    <w:rsid w:val="00624A10"/>
    <w:rsid w:val="00626C39"/>
    <w:rsid w:val="00627D86"/>
    <w:rsid w:val="006435B2"/>
    <w:rsid w:val="00643D7A"/>
    <w:rsid w:val="00646D29"/>
    <w:rsid w:val="00646DE9"/>
    <w:rsid w:val="006479F2"/>
    <w:rsid w:val="00661009"/>
    <w:rsid w:val="0066318F"/>
    <w:rsid w:val="006653AD"/>
    <w:rsid w:val="00665691"/>
    <w:rsid w:val="0066682E"/>
    <w:rsid w:val="0067039B"/>
    <w:rsid w:val="006761A7"/>
    <w:rsid w:val="0067752E"/>
    <w:rsid w:val="0067762D"/>
    <w:rsid w:val="006835AA"/>
    <w:rsid w:val="006848F5"/>
    <w:rsid w:val="006927DD"/>
    <w:rsid w:val="006B18F4"/>
    <w:rsid w:val="006B5DFE"/>
    <w:rsid w:val="006B6417"/>
    <w:rsid w:val="006B7B89"/>
    <w:rsid w:val="006C56EC"/>
    <w:rsid w:val="006D39C4"/>
    <w:rsid w:val="006E0467"/>
    <w:rsid w:val="006E4952"/>
    <w:rsid w:val="006E6289"/>
    <w:rsid w:val="006E7D5B"/>
    <w:rsid w:val="006F0E0C"/>
    <w:rsid w:val="006F26A6"/>
    <w:rsid w:val="006F498A"/>
    <w:rsid w:val="006F582F"/>
    <w:rsid w:val="006F6D5E"/>
    <w:rsid w:val="006F784B"/>
    <w:rsid w:val="007064C2"/>
    <w:rsid w:val="0070771A"/>
    <w:rsid w:val="007143B8"/>
    <w:rsid w:val="00715205"/>
    <w:rsid w:val="00715A70"/>
    <w:rsid w:val="007163DE"/>
    <w:rsid w:val="00716FA6"/>
    <w:rsid w:val="007174BE"/>
    <w:rsid w:val="0072241B"/>
    <w:rsid w:val="0072298A"/>
    <w:rsid w:val="007316AA"/>
    <w:rsid w:val="00741B9C"/>
    <w:rsid w:val="00757A1C"/>
    <w:rsid w:val="007637D8"/>
    <w:rsid w:val="00765EBC"/>
    <w:rsid w:val="0077231B"/>
    <w:rsid w:val="007728C1"/>
    <w:rsid w:val="00774643"/>
    <w:rsid w:val="007838DE"/>
    <w:rsid w:val="007920C4"/>
    <w:rsid w:val="007A02F9"/>
    <w:rsid w:val="007A23AF"/>
    <w:rsid w:val="007A278F"/>
    <w:rsid w:val="007A35E1"/>
    <w:rsid w:val="007B1A2D"/>
    <w:rsid w:val="007B2BBA"/>
    <w:rsid w:val="007B46CD"/>
    <w:rsid w:val="007B587E"/>
    <w:rsid w:val="007C4387"/>
    <w:rsid w:val="007C7CCE"/>
    <w:rsid w:val="007D18A7"/>
    <w:rsid w:val="007D2FB7"/>
    <w:rsid w:val="007D3809"/>
    <w:rsid w:val="007D74DB"/>
    <w:rsid w:val="007E2315"/>
    <w:rsid w:val="007E749B"/>
    <w:rsid w:val="007E79C4"/>
    <w:rsid w:val="007F23A8"/>
    <w:rsid w:val="007F705D"/>
    <w:rsid w:val="0080292F"/>
    <w:rsid w:val="00804604"/>
    <w:rsid w:val="008047C5"/>
    <w:rsid w:val="008055F6"/>
    <w:rsid w:val="0080714A"/>
    <w:rsid w:val="0081221D"/>
    <w:rsid w:val="00826961"/>
    <w:rsid w:val="00836428"/>
    <w:rsid w:val="00842655"/>
    <w:rsid w:val="00845208"/>
    <w:rsid w:val="008465A1"/>
    <w:rsid w:val="00847C78"/>
    <w:rsid w:val="008504A9"/>
    <w:rsid w:val="00851D59"/>
    <w:rsid w:val="00851E83"/>
    <w:rsid w:val="00852B97"/>
    <w:rsid w:val="00855310"/>
    <w:rsid w:val="00857304"/>
    <w:rsid w:val="00870521"/>
    <w:rsid w:val="0087642D"/>
    <w:rsid w:val="008806CE"/>
    <w:rsid w:val="008856D7"/>
    <w:rsid w:val="00890056"/>
    <w:rsid w:val="00890D30"/>
    <w:rsid w:val="0089523C"/>
    <w:rsid w:val="008C3B9B"/>
    <w:rsid w:val="008C7B1F"/>
    <w:rsid w:val="008C7B63"/>
    <w:rsid w:val="008E0859"/>
    <w:rsid w:val="008E70CF"/>
    <w:rsid w:val="008E7A7E"/>
    <w:rsid w:val="008F0BDD"/>
    <w:rsid w:val="008F2F99"/>
    <w:rsid w:val="008F3372"/>
    <w:rsid w:val="008F37B9"/>
    <w:rsid w:val="008F6084"/>
    <w:rsid w:val="008F6640"/>
    <w:rsid w:val="008F7FEC"/>
    <w:rsid w:val="00901B7D"/>
    <w:rsid w:val="0090534A"/>
    <w:rsid w:val="009057C8"/>
    <w:rsid w:val="00920C53"/>
    <w:rsid w:val="009302F5"/>
    <w:rsid w:val="0093193B"/>
    <w:rsid w:val="009342E1"/>
    <w:rsid w:val="00947170"/>
    <w:rsid w:val="00947B3D"/>
    <w:rsid w:val="009557A2"/>
    <w:rsid w:val="00956E94"/>
    <w:rsid w:val="00962312"/>
    <w:rsid w:val="009627A1"/>
    <w:rsid w:val="009712FE"/>
    <w:rsid w:val="00975434"/>
    <w:rsid w:val="009759BD"/>
    <w:rsid w:val="0097742F"/>
    <w:rsid w:val="009778FD"/>
    <w:rsid w:val="009779F8"/>
    <w:rsid w:val="009815D1"/>
    <w:rsid w:val="00981998"/>
    <w:rsid w:val="009875AD"/>
    <w:rsid w:val="009924AF"/>
    <w:rsid w:val="00996746"/>
    <w:rsid w:val="009A7F71"/>
    <w:rsid w:val="009B51D7"/>
    <w:rsid w:val="009C77F2"/>
    <w:rsid w:val="009D3BEA"/>
    <w:rsid w:val="009D5161"/>
    <w:rsid w:val="009E3663"/>
    <w:rsid w:val="009E3B4A"/>
    <w:rsid w:val="009E4D16"/>
    <w:rsid w:val="009F04C6"/>
    <w:rsid w:val="009F12E2"/>
    <w:rsid w:val="009F3358"/>
    <w:rsid w:val="009F478B"/>
    <w:rsid w:val="009F69C1"/>
    <w:rsid w:val="00A00E35"/>
    <w:rsid w:val="00A14F79"/>
    <w:rsid w:val="00A20610"/>
    <w:rsid w:val="00A23BA0"/>
    <w:rsid w:val="00A24703"/>
    <w:rsid w:val="00A275FC"/>
    <w:rsid w:val="00A30E21"/>
    <w:rsid w:val="00A31357"/>
    <w:rsid w:val="00A36065"/>
    <w:rsid w:val="00A40EE1"/>
    <w:rsid w:val="00A423ED"/>
    <w:rsid w:val="00A42D4D"/>
    <w:rsid w:val="00A46F6A"/>
    <w:rsid w:val="00A536F3"/>
    <w:rsid w:val="00A55FCD"/>
    <w:rsid w:val="00A60C58"/>
    <w:rsid w:val="00A615D5"/>
    <w:rsid w:val="00A72103"/>
    <w:rsid w:val="00A74E9A"/>
    <w:rsid w:val="00A75C67"/>
    <w:rsid w:val="00A77873"/>
    <w:rsid w:val="00A84A02"/>
    <w:rsid w:val="00A91D08"/>
    <w:rsid w:val="00A94972"/>
    <w:rsid w:val="00A94C86"/>
    <w:rsid w:val="00A95161"/>
    <w:rsid w:val="00A975D1"/>
    <w:rsid w:val="00AA6318"/>
    <w:rsid w:val="00AA7FCB"/>
    <w:rsid w:val="00AB54F8"/>
    <w:rsid w:val="00AB59AE"/>
    <w:rsid w:val="00AB5BD9"/>
    <w:rsid w:val="00AB6602"/>
    <w:rsid w:val="00AC040C"/>
    <w:rsid w:val="00AC41C2"/>
    <w:rsid w:val="00AC6909"/>
    <w:rsid w:val="00AC716F"/>
    <w:rsid w:val="00AD0AA1"/>
    <w:rsid w:val="00AD3EEE"/>
    <w:rsid w:val="00AE07A3"/>
    <w:rsid w:val="00AE345C"/>
    <w:rsid w:val="00AE372A"/>
    <w:rsid w:val="00AE5416"/>
    <w:rsid w:val="00AF2E1E"/>
    <w:rsid w:val="00B01619"/>
    <w:rsid w:val="00B046D1"/>
    <w:rsid w:val="00B14BDA"/>
    <w:rsid w:val="00B152E6"/>
    <w:rsid w:val="00B16792"/>
    <w:rsid w:val="00B269B2"/>
    <w:rsid w:val="00B275A9"/>
    <w:rsid w:val="00B3190C"/>
    <w:rsid w:val="00B32F89"/>
    <w:rsid w:val="00B365AD"/>
    <w:rsid w:val="00B40DBF"/>
    <w:rsid w:val="00B44231"/>
    <w:rsid w:val="00B457C4"/>
    <w:rsid w:val="00B54060"/>
    <w:rsid w:val="00B71178"/>
    <w:rsid w:val="00B84DF0"/>
    <w:rsid w:val="00B914A2"/>
    <w:rsid w:val="00B94168"/>
    <w:rsid w:val="00B95048"/>
    <w:rsid w:val="00B9541E"/>
    <w:rsid w:val="00BA00D4"/>
    <w:rsid w:val="00BA1916"/>
    <w:rsid w:val="00BA4CDE"/>
    <w:rsid w:val="00BA5990"/>
    <w:rsid w:val="00BA7BD4"/>
    <w:rsid w:val="00BB0488"/>
    <w:rsid w:val="00BB3ED5"/>
    <w:rsid w:val="00BB4AB9"/>
    <w:rsid w:val="00BB5A78"/>
    <w:rsid w:val="00BC07C0"/>
    <w:rsid w:val="00BD3CFF"/>
    <w:rsid w:val="00BE59BD"/>
    <w:rsid w:val="00BE6B8F"/>
    <w:rsid w:val="00BE7F66"/>
    <w:rsid w:val="00BF1B25"/>
    <w:rsid w:val="00BF44F0"/>
    <w:rsid w:val="00C0174A"/>
    <w:rsid w:val="00C02C8C"/>
    <w:rsid w:val="00C0300E"/>
    <w:rsid w:val="00C05436"/>
    <w:rsid w:val="00C05D23"/>
    <w:rsid w:val="00C05D9B"/>
    <w:rsid w:val="00C06931"/>
    <w:rsid w:val="00C07436"/>
    <w:rsid w:val="00C17550"/>
    <w:rsid w:val="00C214BA"/>
    <w:rsid w:val="00C235FA"/>
    <w:rsid w:val="00C26130"/>
    <w:rsid w:val="00C26728"/>
    <w:rsid w:val="00C26B28"/>
    <w:rsid w:val="00C315B6"/>
    <w:rsid w:val="00C376F3"/>
    <w:rsid w:val="00C4132F"/>
    <w:rsid w:val="00C45EC5"/>
    <w:rsid w:val="00C463D2"/>
    <w:rsid w:val="00C56162"/>
    <w:rsid w:val="00C62133"/>
    <w:rsid w:val="00C62A44"/>
    <w:rsid w:val="00C6321B"/>
    <w:rsid w:val="00C66A6F"/>
    <w:rsid w:val="00C711E5"/>
    <w:rsid w:val="00C80A39"/>
    <w:rsid w:val="00C81936"/>
    <w:rsid w:val="00C84C4C"/>
    <w:rsid w:val="00C86290"/>
    <w:rsid w:val="00C949ED"/>
    <w:rsid w:val="00C967AB"/>
    <w:rsid w:val="00C96C0B"/>
    <w:rsid w:val="00C96FFD"/>
    <w:rsid w:val="00CA1702"/>
    <w:rsid w:val="00CA5CC2"/>
    <w:rsid w:val="00CA67FA"/>
    <w:rsid w:val="00CA7D78"/>
    <w:rsid w:val="00CB297F"/>
    <w:rsid w:val="00CB631F"/>
    <w:rsid w:val="00CB7DEF"/>
    <w:rsid w:val="00CC02AD"/>
    <w:rsid w:val="00CC5314"/>
    <w:rsid w:val="00CC7B30"/>
    <w:rsid w:val="00CD0444"/>
    <w:rsid w:val="00CD7A80"/>
    <w:rsid w:val="00CE53BD"/>
    <w:rsid w:val="00CF5003"/>
    <w:rsid w:val="00CF5099"/>
    <w:rsid w:val="00D0019C"/>
    <w:rsid w:val="00D00A15"/>
    <w:rsid w:val="00D1711F"/>
    <w:rsid w:val="00D17F80"/>
    <w:rsid w:val="00D2563C"/>
    <w:rsid w:val="00D3127B"/>
    <w:rsid w:val="00D3182B"/>
    <w:rsid w:val="00D32B05"/>
    <w:rsid w:val="00D33A14"/>
    <w:rsid w:val="00D4286E"/>
    <w:rsid w:val="00D470BD"/>
    <w:rsid w:val="00D52AD6"/>
    <w:rsid w:val="00D55A26"/>
    <w:rsid w:val="00D57AEB"/>
    <w:rsid w:val="00D606DA"/>
    <w:rsid w:val="00D86181"/>
    <w:rsid w:val="00D861C1"/>
    <w:rsid w:val="00D86901"/>
    <w:rsid w:val="00D871BF"/>
    <w:rsid w:val="00D908C3"/>
    <w:rsid w:val="00D92835"/>
    <w:rsid w:val="00D94291"/>
    <w:rsid w:val="00D94424"/>
    <w:rsid w:val="00DA5583"/>
    <w:rsid w:val="00DA6DB6"/>
    <w:rsid w:val="00DC41C9"/>
    <w:rsid w:val="00DC4639"/>
    <w:rsid w:val="00DC5473"/>
    <w:rsid w:val="00DC6A3F"/>
    <w:rsid w:val="00DD2F76"/>
    <w:rsid w:val="00DD3996"/>
    <w:rsid w:val="00DD5393"/>
    <w:rsid w:val="00DE3E4D"/>
    <w:rsid w:val="00DE6FE8"/>
    <w:rsid w:val="00E114C5"/>
    <w:rsid w:val="00E13D93"/>
    <w:rsid w:val="00E162F5"/>
    <w:rsid w:val="00E1750C"/>
    <w:rsid w:val="00E24F8E"/>
    <w:rsid w:val="00E307F3"/>
    <w:rsid w:val="00E3230E"/>
    <w:rsid w:val="00E35775"/>
    <w:rsid w:val="00E37D08"/>
    <w:rsid w:val="00E42EAD"/>
    <w:rsid w:val="00E6744C"/>
    <w:rsid w:val="00E70114"/>
    <w:rsid w:val="00E826D1"/>
    <w:rsid w:val="00E869BD"/>
    <w:rsid w:val="00E95CF7"/>
    <w:rsid w:val="00EA0EEB"/>
    <w:rsid w:val="00EA3651"/>
    <w:rsid w:val="00EA7176"/>
    <w:rsid w:val="00EC4C2C"/>
    <w:rsid w:val="00ED2912"/>
    <w:rsid w:val="00ED2DCC"/>
    <w:rsid w:val="00EE3828"/>
    <w:rsid w:val="00EE7039"/>
    <w:rsid w:val="00EF2BE5"/>
    <w:rsid w:val="00EF4293"/>
    <w:rsid w:val="00F00162"/>
    <w:rsid w:val="00F042FA"/>
    <w:rsid w:val="00F05CF4"/>
    <w:rsid w:val="00F13FFA"/>
    <w:rsid w:val="00F16374"/>
    <w:rsid w:val="00F22813"/>
    <w:rsid w:val="00F23CD7"/>
    <w:rsid w:val="00F2439C"/>
    <w:rsid w:val="00F2442A"/>
    <w:rsid w:val="00F31D1E"/>
    <w:rsid w:val="00F37BE1"/>
    <w:rsid w:val="00F4107A"/>
    <w:rsid w:val="00F42990"/>
    <w:rsid w:val="00F44F18"/>
    <w:rsid w:val="00F50F76"/>
    <w:rsid w:val="00F51AFD"/>
    <w:rsid w:val="00F520BC"/>
    <w:rsid w:val="00F612FF"/>
    <w:rsid w:val="00F6493F"/>
    <w:rsid w:val="00F64DCE"/>
    <w:rsid w:val="00F66C6A"/>
    <w:rsid w:val="00F6743A"/>
    <w:rsid w:val="00F75663"/>
    <w:rsid w:val="00F75EB4"/>
    <w:rsid w:val="00F76E49"/>
    <w:rsid w:val="00F811E7"/>
    <w:rsid w:val="00F81309"/>
    <w:rsid w:val="00F821FC"/>
    <w:rsid w:val="00F9056C"/>
    <w:rsid w:val="00F92EF4"/>
    <w:rsid w:val="00F97175"/>
    <w:rsid w:val="00FA2927"/>
    <w:rsid w:val="00FB0305"/>
    <w:rsid w:val="00FB03FB"/>
    <w:rsid w:val="00FB4891"/>
    <w:rsid w:val="00FB5442"/>
    <w:rsid w:val="00FC38B5"/>
    <w:rsid w:val="00FC686F"/>
    <w:rsid w:val="00FC7FBE"/>
    <w:rsid w:val="00FD0EA2"/>
    <w:rsid w:val="00FD212D"/>
    <w:rsid w:val="00FE0378"/>
    <w:rsid w:val="00FE2347"/>
    <w:rsid w:val="00FE2870"/>
    <w:rsid w:val="00FE4BEA"/>
    <w:rsid w:val="010D602B"/>
    <w:rsid w:val="01231C56"/>
    <w:rsid w:val="03B775B1"/>
    <w:rsid w:val="04700DCE"/>
    <w:rsid w:val="052A3AF5"/>
    <w:rsid w:val="05C15843"/>
    <w:rsid w:val="06A3E914"/>
    <w:rsid w:val="08CB611D"/>
    <w:rsid w:val="08CDF340"/>
    <w:rsid w:val="08E75755"/>
    <w:rsid w:val="0AC93A0E"/>
    <w:rsid w:val="0B7964EC"/>
    <w:rsid w:val="0C3712E3"/>
    <w:rsid w:val="0CD6A219"/>
    <w:rsid w:val="0E3DB531"/>
    <w:rsid w:val="0E45ABED"/>
    <w:rsid w:val="0F76490E"/>
    <w:rsid w:val="109FC7F2"/>
    <w:rsid w:val="10AC2126"/>
    <w:rsid w:val="113E3ADB"/>
    <w:rsid w:val="12087703"/>
    <w:rsid w:val="1224220B"/>
    <w:rsid w:val="13C7AB6D"/>
    <w:rsid w:val="13CFA297"/>
    <w:rsid w:val="141BCA83"/>
    <w:rsid w:val="145D6595"/>
    <w:rsid w:val="155753E8"/>
    <w:rsid w:val="173F88A6"/>
    <w:rsid w:val="1817EFD3"/>
    <w:rsid w:val="1B2033E7"/>
    <w:rsid w:val="1B2E3E75"/>
    <w:rsid w:val="1B469D7D"/>
    <w:rsid w:val="1C3D2C3E"/>
    <w:rsid w:val="1C673569"/>
    <w:rsid w:val="1CE438B3"/>
    <w:rsid w:val="1CE51F5A"/>
    <w:rsid w:val="20EBB8F7"/>
    <w:rsid w:val="21237C44"/>
    <w:rsid w:val="21FA1A58"/>
    <w:rsid w:val="22314E5B"/>
    <w:rsid w:val="22547B59"/>
    <w:rsid w:val="2279671B"/>
    <w:rsid w:val="22A0C823"/>
    <w:rsid w:val="230EC219"/>
    <w:rsid w:val="2345E9C0"/>
    <w:rsid w:val="23AEFB88"/>
    <w:rsid w:val="246FE4E5"/>
    <w:rsid w:val="250ADCE9"/>
    <w:rsid w:val="258D87B4"/>
    <w:rsid w:val="259F3593"/>
    <w:rsid w:val="2624457E"/>
    <w:rsid w:val="26DBBAE4"/>
    <w:rsid w:val="26FC3023"/>
    <w:rsid w:val="273E3612"/>
    <w:rsid w:val="27553789"/>
    <w:rsid w:val="27808596"/>
    <w:rsid w:val="2797DD14"/>
    <w:rsid w:val="288E9C40"/>
    <w:rsid w:val="28BBB97D"/>
    <w:rsid w:val="28D3B7F5"/>
    <w:rsid w:val="2A18C236"/>
    <w:rsid w:val="2ADEF6FE"/>
    <w:rsid w:val="2B322E83"/>
    <w:rsid w:val="2B56569B"/>
    <w:rsid w:val="2D2F74CD"/>
    <w:rsid w:val="2D8309FD"/>
    <w:rsid w:val="2DD9E23A"/>
    <w:rsid w:val="2E02250C"/>
    <w:rsid w:val="2E6DE6E0"/>
    <w:rsid w:val="2EFC5E18"/>
    <w:rsid w:val="2F26DD3D"/>
    <w:rsid w:val="2F87B123"/>
    <w:rsid w:val="3017B0B5"/>
    <w:rsid w:val="30A70B2A"/>
    <w:rsid w:val="3155B902"/>
    <w:rsid w:val="32258FE4"/>
    <w:rsid w:val="323B4C73"/>
    <w:rsid w:val="32C00178"/>
    <w:rsid w:val="33A7E4E3"/>
    <w:rsid w:val="3447E856"/>
    <w:rsid w:val="34EC071B"/>
    <w:rsid w:val="34FC6C67"/>
    <w:rsid w:val="36471841"/>
    <w:rsid w:val="36B575E2"/>
    <w:rsid w:val="3822E709"/>
    <w:rsid w:val="38D0A2B9"/>
    <w:rsid w:val="39B972C9"/>
    <w:rsid w:val="39FE6702"/>
    <w:rsid w:val="3A547B3D"/>
    <w:rsid w:val="3A66F4F4"/>
    <w:rsid w:val="3A730673"/>
    <w:rsid w:val="3B42EA3C"/>
    <w:rsid w:val="3B524D19"/>
    <w:rsid w:val="3B7BF1CA"/>
    <w:rsid w:val="3BC3FCE0"/>
    <w:rsid w:val="3CD2D973"/>
    <w:rsid w:val="3F3439A4"/>
    <w:rsid w:val="3F614ADA"/>
    <w:rsid w:val="3F6E47DA"/>
    <w:rsid w:val="40690A05"/>
    <w:rsid w:val="40B962A2"/>
    <w:rsid w:val="4109A311"/>
    <w:rsid w:val="432E5ACB"/>
    <w:rsid w:val="4372371F"/>
    <w:rsid w:val="43E679B9"/>
    <w:rsid w:val="44870831"/>
    <w:rsid w:val="45331E28"/>
    <w:rsid w:val="4585A2D8"/>
    <w:rsid w:val="45CA24F1"/>
    <w:rsid w:val="45F3DECE"/>
    <w:rsid w:val="4632A90C"/>
    <w:rsid w:val="46FA69C8"/>
    <w:rsid w:val="4851A30E"/>
    <w:rsid w:val="49D2EC3F"/>
    <w:rsid w:val="4A27D610"/>
    <w:rsid w:val="4A556DC3"/>
    <w:rsid w:val="4A58F6DF"/>
    <w:rsid w:val="4A8EDDC4"/>
    <w:rsid w:val="4B4026BE"/>
    <w:rsid w:val="4B9EF225"/>
    <w:rsid w:val="4BE342B8"/>
    <w:rsid w:val="4BF751D1"/>
    <w:rsid w:val="4C16C5F1"/>
    <w:rsid w:val="4C1BCBE7"/>
    <w:rsid w:val="4E1123DD"/>
    <w:rsid w:val="4E33057E"/>
    <w:rsid w:val="4E5CFD7F"/>
    <w:rsid w:val="50D05380"/>
    <w:rsid w:val="50E232A5"/>
    <w:rsid w:val="529A3C51"/>
    <w:rsid w:val="53553FFD"/>
    <w:rsid w:val="54FF61C2"/>
    <w:rsid w:val="562A2CF7"/>
    <w:rsid w:val="562F667A"/>
    <w:rsid w:val="5663873D"/>
    <w:rsid w:val="56B753AB"/>
    <w:rsid w:val="56F42F0B"/>
    <w:rsid w:val="571E506C"/>
    <w:rsid w:val="5759EB1C"/>
    <w:rsid w:val="590E449A"/>
    <w:rsid w:val="594C9EFB"/>
    <w:rsid w:val="59763B79"/>
    <w:rsid w:val="59A9162C"/>
    <w:rsid w:val="59DC8B1D"/>
    <w:rsid w:val="59F13060"/>
    <w:rsid w:val="5A99E502"/>
    <w:rsid w:val="5B244E3E"/>
    <w:rsid w:val="5B550CBF"/>
    <w:rsid w:val="5C9FC459"/>
    <w:rsid w:val="5CF8ED5A"/>
    <w:rsid w:val="5E11B3EA"/>
    <w:rsid w:val="5EDB75AA"/>
    <w:rsid w:val="5EE94364"/>
    <w:rsid w:val="5F5BBC50"/>
    <w:rsid w:val="5FA2F22F"/>
    <w:rsid w:val="602FF86D"/>
    <w:rsid w:val="60655DEE"/>
    <w:rsid w:val="614CD877"/>
    <w:rsid w:val="6171497E"/>
    <w:rsid w:val="62FA7B80"/>
    <w:rsid w:val="631A2181"/>
    <w:rsid w:val="6368B71B"/>
    <w:rsid w:val="637D312D"/>
    <w:rsid w:val="6383D4D3"/>
    <w:rsid w:val="63B50462"/>
    <w:rsid w:val="63D99220"/>
    <w:rsid w:val="641E7298"/>
    <w:rsid w:val="675E5841"/>
    <w:rsid w:val="680F86AC"/>
    <w:rsid w:val="6828B729"/>
    <w:rsid w:val="6906DB7F"/>
    <w:rsid w:val="6910DDB1"/>
    <w:rsid w:val="696D62CB"/>
    <w:rsid w:val="69C69796"/>
    <w:rsid w:val="6A4DE029"/>
    <w:rsid w:val="6B65B517"/>
    <w:rsid w:val="6BEF8937"/>
    <w:rsid w:val="6D026263"/>
    <w:rsid w:val="6D908AA8"/>
    <w:rsid w:val="6DD6B7F7"/>
    <w:rsid w:val="6ECD5DBA"/>
    <w:rsid w:val="6EE64925"/>
    <w:rsid w:val="6F842486"/>
    <w:rsid w:val="6FECD94F"/>
    <w:rsid w:val="70686FFD"/>
    <w:rsid w:val="7089537D"/>
    <w:rsid w:val="712CA39F"/>
    <w:rsid w:val="719E196A"/>
    <w:rsid w:val="71BE4E80"/>
    <w:rsid w:val="71CF1436"/>
    <w:rsid w:val="7251BFB6"/>
    <w:rsid w:val="73D91CB9"/>
    <w:rsid w:val="761126CE"/>
    <w:rsid w:val="7700BB1B"/>
    <w:rsid w:val="77A73F97"/>
    <w:rsid w:val="77A839DF"/>
    <w:rsid w:val="77CCD7BC"/>
    <w:rsid w:val="7827E305"/>
    <w:rsid w:val="782F09A5"/>
    <w:rsid w:val="798C504D"/>
    <w:rsid w:val="7ABA29B6"/>
    <w:rsid w:val="7B3DB709"/>
    <w:rsid w:val="7C00F624"/>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3"/>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10"/>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10"/>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character" w:styleId="UnresolvedMention">
    <w:name w:val="Unresolved Mention"/>
    <w:basedOn w:val="DefaultParagraphFont"/>
    <w:uiPriority w:val="99"/>
    <w:semiHidden/>
    <w:unhideWhenUsed/>
    <w:rsid w:val="003F4082"/>
    <w:rPr>
      <w:color w:val="605E5C"/>
      <w:shd w:val="clear" w:color="auto" w:fill="E1DFDD"/>
    </w:rPr>
  </w:style>
  <w:style w:type="character" w:styleId="FollowedHyperlink">
    <w:name w:val="FollowedHyperlink"/>
    <w:basedOn w:val="DefaultParagraphFont"/>
    <w:rsid w:val="00A36065"/>
    <w:rPr>
      <w:color w:val="954F72" w:themeColor="followedHyperlink"/>
      <w:u w:val="single"/>
    </w:rPr>
  </w:style>
  <w:style w:type="paragraph" w:styleId="Revision">
    <w:name w:val="Revision"/>
    <w:hidden/>
    <w:uiPriority w:val="99"/>
    <w:semiHidden/>
    <w:rsid w:val="00D871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2025-01-14T15:00:38+00:00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3.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4.xml><?xml version="1.0" encoding="utf-8"?>
<ds:datastoreItem xmlns:ds="http://schemas.openxmlformats.org/officeDocument/2006/customXml" ds:itemID="{B40B1DEF-1DE0-4687-8BD5-C06C18ECF04E}"/>
</file>

<file path=customXml/itemProps5.xml><?xml version="1.0" encoding="utf-8"?>
<ds:datastoreItem xmlns:ds="http://schemas.openxmlformats.org/officeDocument/2006/customXml" ds:itemID="{FFDF9B8E-7D2B-4F60-B18B-AF0D4CF80536}">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1875</Words>
  <Characters>10695</Characters>
  <Application>Microsoft Office Word</Application>
  <DocSecurity>0</DocSecurity>
  <Lines>159</Lines>
  <Paragraphs>37</Paragraphs>
  <ScaleCrop>false</ScaleCrop>
  <Company>Minnesota Advocates for Human Rights</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3</cp:revision>
  <cp:lastPrinted>2011-09-16T20:52:00Z</cp:lastPrinted>
  <dcterms:created xsi:type="dcterms:W3CDTF">2025-01-06T19:35:00Z</dcterms:created>
  <dcterms:modified xsi:type="dcterms:W3CDTF">2025-01-06T19:35:00Z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ContentTypeId">
    <vt:lpwstr>0x010100A3CFA62B47352B44BFD11BEB9CD9FD5A</vt:lpwstr>
  </property>
  <property fmtid="{D5CDD505-2E9C-101B-9397-08002B2CF9AE}" pid="8" name="MediaServiceImageTags">
    <vt:lpwstr/>
  </property>
  <property fmtid="{D5CDD505-2E9C-101B-9397-08002B2CF9AE}" pid="9" name="lcf76f155ced4ddcb4097134ff3c332f">
    <vt:lpwstr/>
  </property>
  <property fmtid="{D5CDD505-2E9C-101B-9397-08002B2CF9AE}" pid="10" name="TaxCatchAll">
    <vt:lpwstr/>
  </property>
</Properties>
</file>