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F4C77" w14:textId="12681EC5" w:rsidR="004F0CE8" w:rsidRPr="009B087B" w:rsidRDefault="004F0CE8" w:rsidP="009B087B">
      <w:pPr>
        <w:jc w:val="center"/>
        <w:rPr>
          <w:rFonts w:ascii="Times New Roman" w:hAnsi="Times New Roman" w:cs="Times New Roman"/>
          <w:b/>
          <w:color w:val="000000" w:themeColor="text1"/>
          <w:sz w:val="40"/>
          <w:szCs w:val="40"/>
        </w:rPr>
      </w:pPr>
      <w:bookmarkStart w:id="0" w:name="_Toc76480774"/>
      <w:bookmarkStart w:id="1" w:name="_Toc76480775"/>
      <w:bookmarkStart w:id="2" w:name="_Toc76480777"/>
      <w:bookmarkStart w:id="3" w:name="_Toc76480792"/>
      <w:r w:rsidRPr="004F0CE8">
        <w:rPr>
          <w:rFonts w:ascii="Times New Roman" w:hAnsi="Times New Roman" w:cs="Times New Roman"/>
          <w:b/>
          <w:color w:val="000000" w:themeColor="text1"/>
          <w:sz w:val="40"/>
          <w:szCs w:val="40"/>
        </w:rPr>
        <w:t>ADDITIONAL INFORMATION ON DATA AND REGULATION RELATED TO THE 2ND INDONESIAN NATIONAL REPORT ON THE IMPLEMENTATION OF ICESCR</w:t>
      </w:r>
    </w:p>
    <w:p w14:paraId="6E230B5C" w14:textId="77777777" w:rsidR="009B087B" w:rsidRPr="009B087B" w:rsidRDefault="009B087B" w:rsidP="009B087B">
      <w:pPr>
        <w:jc w:val="center"/>
        <w:rPr>
          <w:rFonts w:ascii="Times New Roman" w:hAnsi="Times New Roman" w:cs="Times New Roman"/>
          <w:b/>
          <w:color w:val="000000" w:themeColor="text1"/>
          <w:sz w:val="40"/>
          <w:szCs w:val="40"/>
        </w:rPr>
      </w:pPr>
    </w:p>
    <w:p w14:paraId="5177CBB2" w14:textId="77777777" w:rsidR="009B087B" w:rsidRPr="009B087B" w:rsidRDefault="009B087B" w:rsidP="009B087B">
      <w:pPr>
        <w:jc w:val="center"/>
        <w:rPr>
          <w:rFonts w:ascii="Times New Roman" w:hAnsi="Times New Roman" w:cs="Times New Roman"/>
          <w:b/>
          <w:color w:val="000000" w:themeColor="text1"/>
          <w:sz w:val="40"/>
          <w:szCs w:val="40"/>
        </w:rPr>
      </w:pPr>
    </w:p>
    <w:p w14:paraId="7BCE4E7E" w14:textId="77777777" w:rsidR="009B087B" w:rsidRPr="009B087B" w:rsidRDefault="009B087B" w:rsidP="009B087B">
      <w:pPr>
        <w:jc w:val="center"/>
        <w:rPr>
          <w:rFonts w:ascii="Times New Roman" w:hAnsi="Times New Roman" w:cs="Times New Roman"/>
          <w:b/>
          <w:color w:val="000000" w:themeColor="text1"/>
          <w:sz w:val="40"/>
          <w:szCs w:val="40"/>
        </w:rPr>
      </w:pPr>
    </w:p>
    <w:p w14:paraId="34A62804" w14:textId="77777777" w:rsidR="009B087B" w:rsidRPr="009B087B" w:rsidRDefault="009B087B" w:rsidP="009B087B">
      <w:pPr>
        <w:jc w:val="center"/>
        <w:rPr>
          <w:rFonts w:ascii="Times New Roman" w:hAnsi="Times New Roman" w:cs="Times New Roman"/>
          <w:b/>
          <w:color w:val="000000" w:themeColor="text1"/>
          <w:sz w:val="40"/>
          <w:szCs w:val="40"/>
        </w:rPr>
      </w:pPr>
    </w:p>
    <w:p w14:paraId="6559FF30" w14:textId="77777777" w:rsidR="009B087B" w:rsidRPr="009B087B" w:rsidRDefault="009B087B" w:rsidP="009B087B">
      <w:pPr>
        <w:jc w:val="center"/>
        <w:rPr>
          <w:rFonts w:ascii="Times New Roman" w:hAnsi="Times New Roman" w:cs="Times New Roman"/>
          <w:b/>
          <w:color w:val="000000" w:themeColor="text1"/>
          <w:sz w:val="40"/>
          <w:szCs w:val="40"/>
        </w:rPr>
      </w:pPr>
    </w:p>
    <w:p w14:paraId="489FB731" w14:textId="77777777" w:rsidR="009B087B" w:rsidRPr="009B087B" w:rsidRDefault="009B087B" w:rsidP="009B087B">
      <w:pPr>
        <w:jc w:val="center"/>
        <w:rPr>
          <w:rFonts w:ascii="Times New Roman" w:hAnsi="Times New Roman" w:cs="Times New Roman"/>
          <w:b/>
          <w:color w:val="000000" w:themeColor="text1"/>
          <w:sz w:val="40"/>
          <w:szCs w:val="40"/>
        </w:rPr>
      </w:pPr>
    </w:p>
    <w:p w14:paraId="3243BC14" w14:textId="77777777" w:rsidR="009B087B" w:rsidRPr="009B087B" w:rsidRDefault="009B087B" w:rsidP="009B087B">
      <w:pPr>
        <w:jc w:val="center"/>
        <w:rPr>
          <w:rFonts w:ascii="Times New Roman" w:hAnsi="Times New Roman" w:cs="Times New Roman"/>
          <w:b/>
          <w:color w:val="000000" w:themeColor="text1"/>
          <w:sz w:val="40"/>
          <w:szCs w:val="40"/>
        </w:rPr>
      </w:pPr>
    </w:p>
    <w:p w14:paraId="6B93069B" w14:textId="77777777" w:rsidR="009B087B" w:rsidRPr="009B087B" w:rsidRDefault="009B087B" w:rsidP="009B087B">
      <w:pPr>
        <w:jc w:val="center"/>
        <w:rPr>
          <w:rFonts w:ascii="Times New Roman" w:hAnsi="Times New Roman" w:cs="Times New Roman"/>
          <w:b/>
          <w:color w:val="000000" w:themeColor="text1"/>
          <w:sz w:val="40"/>
          <w:szCs w:val="40"/>
        </w:rPr>
      </w:pPr>
    </w:p>
    <w:p w14:paraId="0271631F" w14:textId="77777777" w:rsidR="009B087B" w:rsidRPr="009B087B" w:rsidRDefault="009B087B" w:rsidP="009B087B">
      <w:pPr>
        <w:jc w:val="center"/>
        <w:rPr>
          <w:rStyle w:val="Heading1Char"/>
          <w:rFonts w:eastAsia="SimSun"/>
          <w:caps/>
          <w:sz w:val="20"/>
          <w:szCs w:val="20"/>
          <w:lang w:val="id-ID"/>
        </w:rPr>
        <w:sectPr w:rsidR="009B087B" w:rsidRPr="009B087B" w:rsidSect="00DF6C9E">
          <w:footerReference w:type="even" r:id="rId8"/>
          <w:pgSz w:w="11906" w:h="16838"/>
          <w:pgMar w:top="1418" w:right="1134" w:bottom="1134" w:left="1134" w:header="708" w:footer="708" w:gutter="0"/>
          <w:pgNumType w:start="1"/>
          <w:cols w:space="720"/>
          <w:docGrid w:linePitch="299"/>
        </w:sectPr>
      </w:pPr>
      <w:r w:rsidRPr="009B087B">
        <w:rPr>
          <w:rFonts w:ascii="Times New Roman" w:hAnsi="Times New Roman" w:cs="Times New Roman"/>
          <w:b/>
          <w:color w:val="000000" w:themeColor="text1"/>
          <w:sz w:val="40"/>
          <w:szCs w:val="40"/>
        </w:rPr>
        <w:t>INDONESIA</w:t>
      </w:r>
    </w:p>
    <w:tbl>
      <w:tblPr>
        <w:tblW w:w="18786" w:type="dxa"/>
        <w:tblLook w:val="04A0" w:firstRow="1" w:lastRow="0" w:firstColumn="1" w:lastColumn="0" w:noHBand="0" w:noVBand="1"/>
      </w:tblPr>
      <w:tblGrid>
        <w:gridCol w:w="9180"/>
        <w:gridCol w:w="7338"/>
        <w:gridCol w:w="1275"/>
        <w:gridCol w:w="993"/>
      </w:tblGrid>
      <w:tr w:rsidR="009B087B" w:rsidRPr="009B087B" w14:paraId="7A11305A" w14:textId="77777777" w:rsidTr="00280E80">
        <w:tc>
          <w:tcPr>
            <w:tcW w:w="9180" w:type="dxa"/>
          </w:tcPr>
          <w:p w14:paraId="66161E7F" w14:textId="77777777" w:rsidR="009B087B" w:rsidRPr="009B087B" w:rsidRDefault="009B087B" w:rsidP="00280E80">
            <w:pPr>
              <w:tabs>
                <w:tab w:val="left" w:leader="dot" w:pos="8505"/>
                <w:tab w:val="left" w:leader="dot" w:pos="9072"/>
              </w:tabs>
              <w:spacing w:line="360" w:lineRule="auto"/>
              <w:jc w:val="center"/>
              <w:rPr>
                <w:rFonts w:ascii="Times New Roman" w:hAnsi="Times New Roman" w:cs="Times New Roman"/>
                <w:b/>
                <w:color w:val="000000" w:themeColor="text1"/>
                <w:sz w:val="20"/>
                <w:szCs w:val="20"/>
              </w:rPr>
            </w:pPr>
            <w:r w:rsidRPr="009B087B">
              <w:rPr>
                <w:rFonts w:ascii="Times New Roman" w:hAnsi="Times New Roman" w:cs="Times New Roman"/>
                <w:b/>
                <w:color w:val="000000" w:themeColor="text1"/>
                <w:sz w:val="20"/>
                <w:szCs w:val="20"/>
              </w:rPr>
              <w:t>ABBREVIATION LIST</w:t>
            </w:r>
          </w:p>
          <w:p w14:paraId="799CE87E" w14:textId="77777777" w:rsidR="009B087B" w:rsidRPr="009B087B" w:rsidRDefault="009B087B" w:rsidP="00280E80">
            <w:pPr>
              <w:pStyle w:val="SingleTxtG"/>
              <w:tabs>
                <w:tab w:val="left" w:pos="2835"/>
              </w:tabs>
              <w:ind w:left="2835" w:right="459" w:hanging="2835"/>
              <w:rPr>
                <w:color w:val="000000" w:themeColor="text1"/>
                <w:lang w:val="id-ID"/>
              </w:rPr>
            </w:pPr>
            <w:r w:rsidRPr="009B087B">
              <w:rPr>
                <w:color w:val="000000" w:themeColor="text1"/>
                <w:lang w:val="id-ID"/>
              </w:rPr>
              <w:t xml:space="preserve">AMDAL </w:t>
            </w:r>
            <w:r w:rsidRPr="009B087B">
              <w:rPr>
                <w:color w:val="000000" w:themeColor="text1"/>
                <w:lang w:val="id-ID"/>
              </w:rPr>
              <w:tab/>
            </w:r>
            <w:r w:rsidRPr="009B087B">
              <w:rPr>
                <w:i/>
                <w:iCs/>
                <w:color w:val="000000" w:themeColor="text1"/>
                <w:lang w:val="id-ID"/>
              </w:rPr>
              <w:t xml:space="preserve">(Analisis Mengenai Dampak Lingkungan) </w:t>
            </w:r>
            <w:r w:rsidRPr="009B087B">
              <w:rPr>
                <w:color w:val="000000" w:themeColor="text1"/>
                <w:lang w:val="id-ID"/>
              </w:rPr>
              <w:t xml:space="preserve">Environmental Impact Analysis </w:t>
            </w:r>
          </w:p>
          <w:p w14:paraId="13901B5E" w14:textId="77777777" w:rsidR="009B087B" w:rsidRPr="009B087B" w:rsidRDefault="009B087B" w:rsidP="00280E80">
            <w:pPr>
              <w:pStyle w:val="SingleTxtG"/>
              <w:tabs>
                <w:tab w:val="left" w:pos="2835"/>
              </w:tabs>
              <w:ind w:left="2835" w:right="459" w:hanging="2835"/>
              <w:rPr>
                <w:color w:val="000000" w:themeColor="text1"/>
                <w:shd w:val="clear" w:color="auto" w:fill="FFFFFF"/>
                <w:lang w:val="id-ID"/>
              </w:rPr>
            </w:pPr>
            <w:r w:rsidRPr="009B087B">
              <w:rPr>
                <w:color w:val="000000" w:themeColor="text1"/>
                <w:shd w:val="clear" w:color="auto" w:fill="FFFFFF"/>
                <w:lang w:val="id-ID"/>
              </w:rPr>
              <w:t xml:space="preserve">BOS </w:t>
            </w:r>
            <w:r w:rsidRPr="009B087B">
              <w:rPr>
                <w:color w:val="000000" w:themeColor="text1"/>
                <w:shd w:val="clear" w:color="auto" w:fill="FFFFFF"/>
                <w:lang w:val="id-ID"/>
              </w:rPr>
              <w:tab/>
            </w:r>
            <w:r w:rsidRPr="009B087B">
              <w:rPr>
                <w:i/>
                <w:iCs/>
                <w:color w:val="000000" w:themeColor="text1"/>
                <w:shd w:val="clear" w:color="auto" w:fill="FFFFFF"/>
                <w:lang w:val="id-ID"/>
              </w:rPr>
              <w:t xml:space="preserve">(Bantuan Operasional Sekolah) </w:t>
            </w:r>
            <w:r w:rsidRPr="009B087B">
              <w:rPr>
                <w:color w:val="000000" w:themeColor="text1"/>
                <w:shd w:val="clear" w:color="auto" w:fill="FFFFFF"/>
                <w:lang w:val="id-ID"/>
              </w:rPr>
              <w:t xml:space="preserve">School Operational Assistance </w:t>
            </w:r>
          </w:p>
          <w:p w14:paraId="1A76A6B7" w14:textId="77777777" w:rsidR="009B087B" w:rsidRPr="009B087B" w:rsidRDefault="009B087B" w:rsidP="00280E80">
            <w:pPr>
              <w:pStyle w:val="SingleTxtG"/>
              <w:tabs>
                <w:tab w:val="left" w:pos="2835"/>
              </w:tabs>
              <w:ind w:left="2835" w:right="459" w:hanging="2835"/>
              <w:rPr>
                <w:color w:val="000000" w:themeColor="text1"/>
                <w:lang w:val="id-ID" w:eastAsia="id-ID"/>
              </w:rPr>
            </w:pPr>
            <w:r w:rsidRPr="009B087B">
              <w:rPr>
                <w:color w:val="000000" w:themeColor="text1"/>
              </w:rPr>
              <w:t>DGHR</w:t>
            </w:r>
            <w:r w:rsidRPr="009B087B">
              <w:rPr>
                <w:color w:val="000000" w:themeColor="text1"/>
                <w:lang w:val="id-ID" w:eastAsia="id-ID"/>
              </w:rPr>
              <w:tab/>
            </w:r>
            <w:r w:rsidRPr="009B087B">
              <w:rPr>
                <w:color w:val="000000" w:themeColor="text1"/>
                <w:lang w:val="en-US"/>
              </w:rPr>
              <w:t xml:space="preserve">Directorate General of Human Rights </w:t>
            </w:r>
          </w:p>
          <w:p w14:paraId="54E66B7C" w14:textId="77777777" w:rsidR="009B087B" w:rsidRPr="009B087B" w:rsidRDefault="009B087B" w:rsidP="00280E80">
            <w:pPr>
              <w:pStyle w:val="SingleTxtG"/>
              <w:tabs>
                <w:tab w:val="left" w:pos="2835"/>
              </w:tabs>
              <w:ind w:left="2835" w:right="459" w:hanging="2835"/>
              <w:rPr>
                <w:color w:val="000000" w:themeColor="text1"/>
                <w:lang w:val="id-ID"/>
              </w:rPr>
            </w:pPr>
            <w:r w:rsidRPr="009B087B">
              <w:rPr>
                <w:color w:val="000000" w:themeColor="text1"/>
                <w:lang w:val="en-US"/>
              </w:rPr>
              <w:t>FKTPs</w:t>
            </w:r>
            <w:r w:rsidRPr="009B087B">
              <w:rPr>
                <w:color w:val="000000" w:themeColor="text1"/>
                <w:lang w:val="en-US"/>
              </w:rPr>
              <w:tab/>
            </w:r>
            <w:r w:rsidRPr="009B087B">
              <w:rPr>
                <w:i/>
                <w:iCs/>
                <w:color w:val="000000" w:themeColor="text1"/>
                <w:lang w:val="en-US"/>
              </w:rPr>
              <w:t xml:space="preserve">(Fasilitas Kesehatan Tingkat Pertama) </w:t>
            </w:r>
            <w:r w:rsidRPr="009B087B">
              <w:rPr>
                <w:color w:val="000000" w:themeColor="text1"/>
                <w:lang w:val="en-US"/>
              </w:rPr>
              <w:t xml:space="preserve">First-Rate Health Facilities </w:t>
            </w:r>
          </w:p>
          <w:p w14:paraId="26B645F2" w14:textId="77777777" w:rsidR="009B087B" w:rsidRPr="009B087B" w:rsidRDefault="009B087B" w:rsidP="00280E80">
            <w:pPr>
              <w:pStyle w:val="SingleTxtG"/>
              <w:tabs>
                <w:tab w:val="left" w:pos="2835"/>
              </w:tabs>
              <w:ind w:left="2835" w:right="459" w:hanging="2835"/>
              <w:rPr>
                <w:b/>
                <w:color w:val="000000" w:themeColor="text1"/>
                <w:lang w:val="id-ID"/>
              </w:rPr>
            </w:pPr>
            <w:r w:rsidRPr="009B087B">
              <w:rPr>
                <w:bCs/>
                <w:color w:val="000000" w:themeColor="text1"/>
                <w:lang w:val="id-ID"/>
              </w:rPr>
              <w:t>GoI</w:t>
            </w:r>
            <w:r w:rsidRPr="009B087B">
              <w:rPr>
                <w:b/>
                <w:color w:val="000000" w:themeColor="text1"/>
                <w:lang w:val="id-ID"/>
              </w:rPr>
              <w:t xml:space="preserve"> </w:t>
            </w:r>
            <w:r w:rsidRPr="009B087B">
              <w:rPr>
                <w:b/>
                <w:color w:val="000000" w:themeColor="text1"/>
                <w:lang w:val="id-ID"/>
              </w:rPr>
              <w:tab/>
            </w:r>
            <w:r w:rsidRPr="009B087B">
              <w:rPr>
                <w:color w:val="000000" w:themeColor="text1"/>
                <w:lang w:val="en-US"/>
              </w:rPr>
              <w:t>Government of Indonesia</w:t>
            </w:r>
          </w:p>
          <w:p w14:paraId="39A61CD9" w14:textId="77777777" w:rsidR="009B087B" w:rsidRPr="009B087B" w:rsidRDefault="009B087B" w:rsidP="00280E80">
            <w:pPr>
              <w:pStyle w:val="SingleTxtG"/>
              <w:tabs>
                <w:tab w:val="left" w:pos="2835"/>
              </w:tabs>
              <w:ind w:left="2835" w:right="459" w:hanging="2835"/>
              <w:rPr>
                <w:color w:val="000000" w:themeColor="text1"/>
                <w:lang w:val="id-ID"/>
              </w:rPr>
            </w:pPr>
            <w:r w:rsidRPr="009B087B">
              <w:rPr>
                <w:color w:val="000000" w:themeColor="text1"/>
                <w:lang w:val="en-US"/>
              </w:rPr>
              <w:t>IEC</w:t>
            </w:r>
            <w:r w:rsidRPr="009B087B">
              <w:rPr>
                <w:color w:val="000000" w:themeColor="text1"/>
                <w:lang w:val="en-US"/>
              </w:rPr>
              <w:tab/>
              <w:t>Information, Education and Communication</w:t>
            </w:r>
          </w:p>
          <w:p w14:paraId="34AD72B2" w14:textId="77777777" w:rsidR="009B087B" w:rsidRPr="009B087B" w:rsidRDefault="009B087B" w:rsidP="00280E80">
            <w:pPr>
              <w:pStyle w:val="SingleTxtG"/>
              <w:tabs>
                <w:tab w:val="left" w:pos="2835"/>
              </w:tabs>
              <w:ind w:left="2835" w:right="459" w:hanging="2835"/>
              <w:rPr>
                <w:color w:val="000000" w:themeColor="text1"/>
                <w:lang w:val="id-ID"/>
              </w:rPr>
            </w:pPr>
            <w:r w:rsidRPr="009B087B">
              <w:rPr>
                <w:color w:val="000000" w:themeColor="text1"/>
                <w:lang w:val="en-US"/>
              </w:rPr>
              <w:t>KAT</w:t>
            </w:r>
            <w:r w:rsidRPr="009B087B">
              <w:rPr>
                <w:color w:val="000000" w:themeColor="text1"/>
                <w:lang w:val="en-US"/>
              </w:rPr>
              <w:tab/>
            </w:r>
            <w:r w:rsidRPr="009B087B">
              <w:rPr>
                <w:i/>
                <w:iCs/>
                <w:color w:val="000000" w:themeColor="text1"/>
                <w:lang w:val="en-US"/>
              </w:rPr>
              <w:t xml:space="preserve">(Komunitas Adat Terpencil) </w:t>
            </w:r>
            <w:r w:rsidRPr="009B087B">
              <w:rPr>
                <w:color w:val="000000" w:themeColor="text1"/>
                <w:lang w:val="en-US"/>
              </w:rPr>
              <w:t xml:space="preserve">Remote </w:t>
            </w:r>
            <w:r w:rsidRPr="009B087B">
              <w:rPr>
                <w:color w:val="000000" w:themeColor="text1"/>
              </w:rPr>
              <w:t>Adat</w:t>
            </w:r>
            <w:r w:rsidRPr="009B087B">
              <w:rPr>
                <w:color w:val="000000" w:themeColor="text1"/>
                <w:lang w:val="en-US"/>
              </w:rPr>
              <w:t xml:space="preserve"> Communities </w:t>
            </w:r>
          </w:p>
          <w:p w14:paraId="7D15E389" w14:textId="77777777" w:rsidR="009B087B" w:rsidRPr="009B087B" w:rsidRDefault="009B087B" w:rsidP="00280E80">
            <w:pPr>
              <w:pStyle w:val="SingleTxtG"/>
              <w:tabs>
                <w:tab w:val="left" w:pos="2835"/>
              </w:tabs>
              <w:ind w:left="2835" w:right="459" w:hanging="2835"/>
              <w:rPr>
                <w:color w:val="000000" w:themeColor="text1"/>
                <w:lang w:val="id-ID"/>
              </w:rPr>
            </w:pPr>
            <w:r w:rsidRPr="009B087B">
              <w:rPr>
                <w:color w:val="000000" w:themeColor="text1"/>
                <w:lang w:val="en-US"/>
              </w:rPr>
              <w:t>KIP</w:t>
            </w:r>
            <w:r w:rsidRPr="009B087B">
              <w:rPr>
                <w:color w:val="000000" w:themeColor="text1"/>
                <w:lang w:val="en-US"/>
              </w:rPr>
              <w:tab/>
            </w:r>
            <w:r w:rsidRPr="009B087B">
              <w:rPr>
                <w:i/>
                <w:iCs/>
                <w:color w:val="000000" w:themeColor="text1"/>
                <w:lang w:val="en-US"/>
              </w:rPr>
              <w:t xml:space="preserve">(Kartu Indonesia Pintar) </w:t>
            </w:r>
            <w:r w:rsidRPr="009B087B">
              <w:rPr>
                <w:color w:val="000000" w:themeColor="text1"/>
                <w:lang w:val="en-US"/>
              </w:rPr>
              <w:t>Smart Indonesia Card</w:t>
            </w:r>
          </w:p>
          <w:p w14:paraId="4BC70CE8" w14:textId="77777777" w:rsidR="009B087B" w:rsidRPr="009B087B" w:rsidRDefault="009B087B" w:rsidP="00280E80">
            <w:pPr>
              <w:pStyle w:val="SingleTxtG"/>
              <w:tabs>
                <w:tab w:val="left" w:pos="2835"/>
              </w:tabs>
              <w:ind w:left="2835" w:right="459" w:hanging="2835"/>
              <w:rPr>
                <w:color w:val="000000" w:themeColor="text1"/>
                <w:lang w:val="en-US"/>
              </w:rPr>
            </w:pPr>
            <w:r w:rsidRPr="009B087B">
              <w:rPr>
                <w:color w:val="000000" w:themeColor="text1"/>
                <w:lang w:val="en-US"/>
              </w:rPr>
              <w:t xml:space="preserve">Komnas Perempuan </w:t>
            </w:r>
            <w:r w:rsidRPr="009B087B">
              <w:rPr>
                <w:color w:val="000000" w:themeColor="text1"/>
                <w:lang w:val="id-ID"/>
              </w:rPr>
              <w:tab/>
            </w:r>
            <w:r w:rsidRPr="009B087B">
              <w:rPr>
                <w:color w:val="000000" w:themeColor="text1"/>
                <w:lang w:val="en-US"/>
              </w:rPr>
              <w:t>National Commission on Violence against Women</w:t>
            </w:r>
          </w:p>
          <w:p w14:paraId="2E471027" w14:textId="77777777" w:rsidR="009B087B" w:rsidRPr="009B087B" w:rsidRDefault="009B087B" w:rsidP="00280E80">
            <w:pPr>
              <w:pStyle w:val="SingleTxtG"/>
              <w:tabs>
                <w:tab w:val="left" w:pos="2835"/>
              </w:tabs>
              <w:ind w:left="2835" w:right="459" w:hanging="2835"/>
              <w:rPr>
                <w:color w:val="000000" w:themeColor="text1"/>
                <w:lang w:val="en-US"/>
              </w:rPr>
            </w:pPr>
            <w:r w:rsidRPr="009B087B">
              <w:rPr>
                <w:color w:val="000000" w:themeColor="text1"/>
                <w:lang w:val="en-US"/>
              </w:rPr>
              <w:t xml:space="preserve">KPK                                                </w:t>
            </w:r>
            <w:r w:rsidRPr="009B087B">
              <w:rPr>
                <w:i/>
                <w:iCs/>
                <w:color w:val="000000" w:themeColor="text1"/>
                <w:lang w:val="en-US"/>
              </w:rPr>
              <w:t xml:space="preserve">(Komisi Pemberantasan Korupsi) </w:t>
            </w:r>
            <w:r w:rsidRPr="009B087B">
              <w:rPr>
                <w:color w:val="000000" w:themeColor="text1"/>
                <w:lang w:val="en-US"/>
              </w:rPr>
              <w:t>Corruption Eradication Commission</w:t>
            </w:r>
          </w:p>
          <w:p w14:paraId="774362E9" w14:textId="77777777" w:rsidR="009B087B" w:rsidRPr="009B087B" w:rsidRDefault="009B087B" w:rsidP="00280E80">
            <w:pPr>
              <w:pStyle w:val="SingleTxtG"/>
              <w:tabs>
                <w:tab w:val="left" w:pos="2835"/>
              </w:tabs>
              <w:ind w:left="2835" w:right="459" w:hanging="2835"/>
              <w:rPr>
                <w:color w:val="000000" w:themeColor="text1"/>
                <w:lang w:val="en-US"/>
              </w:rPr>
            </w:pPr>
            <w:r w:rsidRPr="009B087B">
              <w:rPr>
                <w:bCs/>
                <w:color w:val="000000" w:themeColor="text1"/>
                <w:lang w:val="en-US"/>
              </w:rPr>
              <w:t xml:space="preserve">MHA </w:t>
            </w:r>
            <w:r w:rsidRPr="009B087B">
              <w:rPr>
                <w:color w:val="000000" w:themeColor="text1"/>
                <w:lang w:val="en-US"/>
              </w:rPr>
              <w:tab/>
            </w:r>
            <w:r w:rsidRPr="009B087B">
              <w:rPr>
                <w:i/>
                <w:iCs/>
                <w:color w:val="000000" w:themeColor="text1"/>
                <w:lang w:val="en-US"/>
              </w:rPr>
              <w:t>(Masyarakat Hukum Adat)</w:t>
            </w:r>
            <w:r w:rsidRPr="009B087B">
              <w:rPr>
                <w:color w:val="000000" w:themeColor="text1"/>
                <w:lang w:val="en-US"/>
              </w:rPr>
              <w:t xml:space="preserve"> Customary Law Community</w:t>
            </w:r>
          </w:p>
          <w:p w14:paraId="6F366E11" w14:textId="77777777" w:rsidR="009B087B" w:rsidRPr="009B087B" w:rsidRDefault="009B087B" w:rsidP="00280E80">
            <w:pPr>
              <w:pStyle w:val="SingleTxtG"/>
              <w:tabs>
                <w:tab w:val="left" w:pos="2835"/>
              </w:tabs>
              <w:ind w:left="2835" w:right="459" w:hanging="2835"/>
              <w:rPr>
                <w:color w:val="000000" w:themeColor="text1"/>
                <w:lang w:val="id-ID"/>
              </w:rPr>
            </w:pPr>
            <w:r w:rsidRPr="009B087B">
              <w:rPr>
                <w:color w:val="000000" w:themeColor="text1"/>
              </w:rPr>
              <w:t>MoA</w:t>
            </w:r>
            <w:r w:rsidRPr="009B087B">
              <w:rPr>
                <w:color w:val="000000" w:themeColor="text1"/>
              </w:rPr>
              <w:tab/>
            </w:r>
            <w:r w:rsidRPr="009B087B">
              <w:rPr>
                <w:color w:val="000000" w:themeColor="text1"/>
                <w:lang w:val="en-US"/>
              </w:rPr>
              <w:t>Ministry</w:t>
            </w:r>
            <w:r w:rsidRPr="009B087B">
              <w:rPr>
                <w:color w:val="000000" w:themeColor="text1"/>
              </w:rPr>
              <w:t xml:space="preserve"> of Agriculture</w:t>
            </w:r>
          </w:p>
          <w:p w14:paraId="162971E6" w14:textId="77777777" w:rsidR="009B087B" w:rsidRPr="009B087B" w:rsidRDefault="009B087B" w:rsidP="00280E80">
            <w:pPr>
              <w:pStyle w:val="SingleTxtG"/>
              <w:tabs>
                <w:tab w:val="left" w:pos="2835"/>
              </w:tabs>
              <w:ind w:left="2835" w:right="459" w:hanging="2835"/>
              <w:rPr>
                <w:color w:val="000000" w:themeColor="text1"/>
                <w:lang w:val="en-US"/>
              </w:rPr>
            </w:pPr>
            <w:r w:rsidRPr="009B087B">
              <w:rPr>
                <w:color w:val="000000" w:themeColor="text1"/>
                <w:lang w:val="en-US"/>
              </w:rPr>
              <w:t>MoEC</w:t>
            </w:r>
            <w:r w:rsidRPr="009B087B">
              <w:rPr>
                <w:color w:val="000000" w:themeColor="text1"/>
                <w:lang w:val="en-US"/>
              </w:rPr>
              <w:tab/>
              <w:t>Ministry of Education and Culture</w:t>
            </w:r>
          </w:p>
          <w:p w14:paraId="4F033170" w14:textId="77777777" w:rsidR="009B087B" w:rsidRPr="009B087B" w:rsidRDefault="009B087B" w:rsidP="00280E80">
            <w:pPr>
              <w:pStyle w:val="SingleTxtG"/>
              <w:tabs>
                <w:tab w:val="left" w:pos="2835"/>
              </w:tabs>
              <w:ind w:left="2835" w:right="459" w:hanging="2835"/>
              <w:rPr>
                <w:color w:val="000000" w:themeColor="text1"/>
                <w:lang w:val="en-US"/>
              </w:rPr>
            </w:pPr>
            <w:r w:rsidRPr="009B087B">
              <w:rPr>
                <w:color w:val="000000" w:themeColor="text1"/>
                <w:lang w:val="en-US"/>
              </w:rPr>
              <w:t>MoLHR</w:t>
            </w:r>
            <w:r w:rsidRPr="009B087B">
              <w:rPr>
                <w:color w:val="000000" w:themeColor="text1"/>
                <w:lang w:val="en-US"/>
              </w:rPr>
              <w:tab/>
              <w:t>Ministry of Law and Human Rights</w:t>
            </w:r>
          </w:p>
          <w:p w14:paraId="488C67F5" w14:textId="77777777" w:rsidR="009B087B" w:rsidRPr="009B087B" w:rsidRDefault="009B087B" w:rsidP="00280E80">
            <w:pPr>
              <w:pStyle w:val="SingleTxtG"/>
              <w:tabs>
                <w:tab w:val="left" w:pos="2835"/>
              </w:tabs>
              <w:ind w:left="2835" w:right="459" w:hanging="2835"/>
              <w:rPr>
                <w:color w:val="000000" w:themeColor="text1"/>
                <w:lang w:val="en-US"/>
              </w:rPr>
            </w:pPr>
            <w:r w:rsidRPr="009B087B">
              <w:rPr>
                <w:color w:val="000000" w:themeColor="text1"/>
                <w:lang w:val="en-US"/>
              </w:rPr>
              <w:t>MoH</w:t>
            </w:r>
            <w:r w:rsidRPr="009B087B">
              <w:rPr>
                <w:color w:val="000000" w:themeColor="text1"/>
                <w:lang w:val="en-US"/>
              </w:rPr>
              <w:tab/>
              <w:t xml:space="preserve">Ministry of Health </w:t>
            </w:r>
          </w:p>
          <w:p w14:paraId="4D7D0CC7" w14:textId="77777777" w:rsidR="009B087B" w:rsidRPr="009B087B" w:rsidRDefault="009B087B" w:rsidP="00280E80">
            <w:pPr>
              <w:pStyle w:val="SingleTxtG"/>
              <w:tabs>
                <w:tab w:val="left" w:pos="2835"/>
              </w:tabs>
              <w:ind w:left="2835" w:right="459" w:hanging="2835"/>
              <w:rPr>
                <w:color w:val="000000" w:themeColor="text1"/>
                <w:lang w:val="en-US"/>
              </w:rPr>
            </w:pPr>
            <w:r w:rsidRPr="009B087B">
              <w:rPr>
                <w:color w:val="000000" w:themeColor="text1"/>
                <w:lang w:val="en-US"/>
              </w:rPr>
              <w:t xml:space="preserve">MoR            </w:t>
            </w:r>
            <w:r w:rsidRPr="009B087B">
              <w:rPr>
                <w:color w:val="000000" w:themeColor="text1"/>
                <w:lang w:val="en-US"/>
              </w:rPr>
              <w:tab/>
              <w:t>Ministry of Religion</w:t>
            </w:r>
          </w:p>
          <w:p w14:paraId="516001EA" w14:textId="77777777" w:rsidR="009B087B" w:rsidRPr="009B087B" w:rsidRDefault="009B087B" w:rsidP="00280E80">
            <w:pPr>
              <w:pStyle w:val="SingleTxtG"/>
              <w:tabs>
                <w:tab w:val="left" w:pos="2835"/>
              </w:tabs>
              <w:ind w:left="2835" w:right="459" w:hanging="2835"/>
              <w:rPr>
                <w:color w:val="000000" w:themeColor="text1"/>
                <w:lang w:val="en-US"/>
              </w:rPr>
            </w:pPr>
            <w:r w:rsidRPr="009B087B">
              <w:rPr>
                <w:color w:val="000000" w:themeColor="text1"/>
                <w:spacing w:val="-1"/>
                <w:lang w:val="en-US"/>
              </w:rPr>
              <w:t>MoVDDAT</w:t>
            </w:r>
            <w:r w:rsidRPr="009B087B">
              <w:rPr>
                <w:color w:val="000000" w:themeColor="text1"/>
                <w:lang w:val="en-US"/>
              </w:rPr>
              <w:t xml:space="preserve">                              </w:t>
            </w:r>
            <w:r w:rsidRPr="009B087B">
              <w:rPr>
                <w:color w:val="000000" w:themeColor="text1"/>
                <w:lang w:val="en-US"/>
              </w:rPr>
              <w:tab/>
            </w:r>
            <w:r w:rsidRPr="009B087B">
              <w:rPr>
                <w:color w:val="000000" w:themeColor="text1"/>
                <w:spacing w:val="-1"/>
                <w:lang w:val="en-US"/>
              </w:rPr>
              <w:t xml:space="preserve">Ministry of </w:t>
            </w:r>
            <w:r w:rsidRPr="009B087B">
              <w:rPr>
                <w:color w:val="000000" w:themeColor="text1"/>
                <w:lang w:val="en-US"/>
              </w:rPr>
              <w:t>Village</w:t>
            </w:r>
            <w:r w:rsidRPr="009B087B">
              <w:rPr>
                <w:color w:val="000000" w:themeColor="text1"/>
                <w:lang w:val="id-ID"/>
              </w:rPr>
              <w:t>,</w:t>
            </w:r>
            <w:r w:rsidRPr="009B087B">
              <w:rPr>
                <w:color w:val="000000" w:themeColor="text1"/>
                <w:lang w:val="en-US"/>
              </w:rPr>
              <w:t xml:space="preserve"> Development of Disadvantaged Areas, and Transmigration</w:t>
            </w:r>
            <w:r w:rsidRPr="009B087B">
              <w:rPr>
                <w:color w:val="000000" w:themeColor="text1"/>
                <w:spacing w:val="-1"/>
                <w:lang w:val="en-US"/>
              </w:rPr>
              <w:t xml:space="preserve"> </w:t>
            </w:r>
          </w:p>
          <w:p w14:paraId="6B363CC1" w14:textId="77777777" w:rsidR="009B087B" w:rsidRPr="009B087B" w:rsidRDefault="009B087B" w:rsidP="00280E80">
            <w:pPr>
              <w:pStyle w:val="SingleTxtG"/>
              <w:tabs>
                <w:tab w:val="left" w:pos="2835"/>
              </w:tabs>
              <w:ind w:left="2835" w:right="459" w:hanging="2835"/>
              <w:rPr>
                <w:color w:val="000000" w:themeColor="text1"/>
                <w:lang w:val="en-US"/>
              </w:rPr>
            </w:pPr>
            <w:r w:rsidRPr="009B087B">
              <w:rPr>
                <w:color w:val="000000" w:themeColor="text1"/>
                <w:lang w:val="en-US"/>
              </w:rPr>
              <w:t>MoHA</w:t>
            </w:r>
            <w:r w:rsidRPr="009B087B">
              <w:rPr>
                <w:color w:val="000000" w:themeColor="text1"/>
                <w:lang w:val="en-US"/>
              </w:rPr>
              <w:tab/>
              <w:t>Ministry of Home Affairs</w:t>
            </w:r>
          </w:p>
          <w:p w14:paraId="1AC5B4A6" w14:textId="77777777" w:rsidR="009B087B" w:rsidRPr="009B087B" w:rsidRDefault="009B087B" w:rsidP="00280E80">
            <w:pPr>
              <w:pStyle w:val="SingleTxtG"/>
              <w:tabs>
                <w:tab w:val="left" w:pos="2835"/>
              </w:tabs>
              <w:ind w:left="2835" w:right="459" w:hanging="2835"/>
              <w:rPr>
                <w:color w:val="000000" w:themeColor="text1"/>
                <w:lang w:val="en-US"/>
              </w:rPr>
            </w:pPr>
            <w:r w:rsidRPr="009B087B">
              <w:rPr>
                <w:color w:val="000000" w:themeColor="text1"/>
                <w:lang w:val="en-US"/>
              </w:rPr>
              <w:t>MoM</w:t>
            </w:r>
            <w:r w:rsidRPr="009B087B">
              <w:rPr>
                <w:color w:val="000000" w:themeColor="text1"/>
                <w:lang w:val="en-US"/>
              </w:rPr>
              <w:tab/>
              <w:t>Ministry of Manpower</w:t>
            </w:r>
          </w:p>
          <w:p w14:paraId="2DAFF396" w14:textId="77777777" w:rsidR="009B087B" w:rsidRPr="009B087B" w:rsidRDefault="009B087B" w:rsidP="00280E80">
            <w:pPr>
              <w:pStyle w:val="SingleTxtG"/>
              <w:tabs>
                <w:tab w:val="left" w:pos="2835"/>
              </w:tabs>
              <w:ind w:left="2835" w:right="459" w:hanging="2835"/>
              <w:rPr>
                <w:color w:val="000000" w:themeColor="text1"/>
                <w:lang w:val="en-US"/>
              </w:rPr>
            </w:pPr>
            <w:r w:rsidRPr="009B087B">
              <w:rPr>
                <w:color w:val="000000" w:themeColor="text1"/>
                <w:lang w:val="en-US"/>
              </w:rPr>
              <w:t>MoMAF</w:t>
            </w:r>
            <w:r w:rsidRPr="009B087B">
              <w:rPr>
                <w:color w:val="000000" w:themeColor="text1"/>
                <w:lang w:val="en-US"/>
              </w:rPr>
              <w:tab/>
              <w:t>Ministry of Marine Affairs and Fisheries</w:t>
            </w:r>
          </w:p>
          <w:p w14:paraId="52208C92" w14:textId="77777777" w:rsidR="009B087B" w:rsidRPr="009B087B" w:rsidRDefault="009B087B" w:rsidP="00280E80">
            <w:pPr>
              <w:pStyle w:val="SingleTxtG"/>
              <w:tabs>
                <w:tab w:val="left" w:pos="2835"/>
              </w:tabs>
              <w:ind w:left="2835" w:right="459" w:hanging="2835"/>
              <w:rPr>
                <w:color w:val="000000" w:themeColor="text1"/>
                <w:lang w:val="id-ID"/>
              </w:rPr>
            </w:pPr>
            <w:r w:rsidRPr="009B087B">
              <w:rPr>
                <w:color w:val="000000" w:themeColor="text1"/>
                <w:lang w:val="en-US"/>
              </w:rPr>
              <w:t>MoWECP</w:t>
            </w:r>
            <w:r w:rsidRPr="009B087B">
              <w:rPr>
                <w:color w:val="000000" w:themeColor="text1"/>
                <w:lang w:val="en-US"/>
              </w:rPr>
              <w:tab/>
              <w:t xml:space="preserve">Ministry of Women Empowerment and Child </w:t>
            </w:r>
            <w:r w:rsidRPr="009B087B">
              <w:rPr>
                <w:color w:val="000000" w:themeColor="text1"/>
                <w:lang w:val="id-ID"/>
              </w:rPr>
              <w:t>Protection</w:t>
            </w:r>
          </w:p>
          <w:p w14:paraId="45BD9707" w14:textId="77777777" w:rsidR="009B087B" w:rsidRPr="009B087B" w:rsidRDefault="009B087B" w:rsidP="00280E80">
            <w:pPr>
              <w:pStyle w:val="SingleTxtG"/>
              <w:tabs>
                <w:tab w:val="left" w:pos="2835"/>
              </w:tabs>
              <w:ind w:left="2835" w:right="459" w:hanging="2835"/>
              <w:rPr>
                <w:color w:val="000000" w:themeColor="text1"/>
                <w:lang w:val="en-US"/>
              </w:rPr>
            </w:pPr>
            <w:r w:rsidRPr="009B087B">
              <w:rPr>
                <w:color w:val="000000" w:themeColor="text1"/>
                <w:lang w:val="en-US"/>
              </w:rPr>
              <w:t>MoEF</w:t>
            </w:r>
            <w:r w:rsidRPr="009B087B">
              <w:rPr>
                <w:color w:val="000000" w:themeColor="text1"/>
                <w:lang w:val="en-US"/>
              </w:rPr>
              <w:tab/>
              <w:t>Ministry of Environment and Forestry</w:t>
            </w:r>
          </w:p>
          <w:p w14:paraId="1557C728" w14:textId="77777777" w:rsidR="009B087B" w:rsidRPr="009B087B" w:rsidRDefault="009B087B" w:rsidP="00280E80">
            <w:pPr>
              <w:pStyle w:val="SingleTxtG"/>
              <w:tabs>
                <w:tab w:val="left" w:pos="2835"/>
              </w:tabs>
              <w:ind w:left="2835" w:right="459" w:hanging="2835"/>
              <w:rPr>
                <w:color w:val="000000" w:themeColor="text1"/>
                <w:lang w:val="en-US"/>
              </w:rPr>
            </w:pPr>
            <w:r w:rsidRPr="009B087B">
              <w:rPr>
                <w:color w:val="000000" w:themeColor="text1"/>
                <w:lang w:val="id-ID"/>
              </w:rPr>
              <w:t>MoNDP</w:t>
            </w:r>
            <w:r w:rsidRPr="009B087B">
              <w:rPr>
                <w:color w:val="000000" w:themeColor="text1"/>
                <w:lang w:val="en-US"/>
              </w:rPr>
              <w:tab/>
              <w:t>Ministry of National Development Planning</w:t>
            </w:r>
          </w:p>
          <w:p w14:paraId="637FF450" w14:textId="77777777" w:rsidR="009B087B" w:rsidRPr="009B087B" w:rsidRDefault="009B087B" w:rsidP="00280E80">
            <w:pPr>
              <w:pStyle w:val="SingleTxtG"/>
              <w:tabs>
                <w:tab w:val="left" w:pos="2835"/>
              </w:tabs>
              <w:ind w:left="2835" w:right="459" w:hanging="2835"/>
              <w:rPr>
                <w:color w:val="000000" w:themeColor="text1"/>
                <w:lang w:val="id-ID"/>
              </w:rPr>
            </w:pPr>
            <w:r w:rsidRPr="009B087B">
              <w:rPr>
                <w:color w:val="000000" w:themeColor="text1"/>
                <w:lang w:val="en-US"/>
              </w:rPr>
              <w:t>MoPWH</w:t>
            </w:r>
            <w:r w:rsidRPr="009B087B">
              <w:rPr>
                <w:color w:val="000000" w:themeColor="text1"/>
                <w:lang w:val="en-US"/>
              </w:rPr>
              <w:tab/>
              <w:t xml:space="preserve">Ministry of Public Works and Housing </w:t>
            </w:r>
          </w:p>
          <w:p w14:paraId="3ECC9667" w14:textId="77777777" w:rsidR="009B087B" w:rsidRPr="009B087B" w:rsidRDefault="009B087B" w:rsidP="00280E80">
            <w:pPr>
              <w:pStyle w:val="SingleTxtG"/>
              <w:tabs>
                <w:tab w:val="left" w:pos="2835"/>
              </w:tabs>
              <w:ind w:left="2835" w:right="459" w:hanging="2835"/>
              <w:rPr>
                <w:color w:val="000000" w:themeColor="text1"/>
                <w:lang w:val="id-ID" w:eastAsia="id-ID"/>
              </w:rPr>
            </w:pPr>
            <w:r w:rsidRPr="009B087B">
              <w:rPr>
                <w:color w:val="000000" w:themeColor="text1"/>
                <w:lang w:eastAsia="id-ID"/>
              </w:rPr>
              <w:t>MoAASP</w:t>
            </w:r>
            <w:r w:rsidRPr="009B087B">
              <w:rPr>
                <w:color w:val="000000" w:themeColor="text1"/>
                <w:lang w:val="en-US"/>
              </w:rPr>
              <w:tab/>
            </w:r>
            <w:r w:rsidRPr="009B087B">
              <w:rPr>
                <w:color w:val="000000" w:themeColor="text1"/>
                <w:lang w:val="en-US" w:eastAsia="id-ID"/>
              </w:rPr>
              <w:t xml:space="preserve">Ministry of Agrarian Affairs and Spatial Planning </w:t>
            </w:r>
          </w:p>
          <w:p w14:paraId="49B2B220" w14:textId="77777777" w:rsidR="009B087B" w:rsidRPr="009B087B" w:rsidRDefault="009B087B" w:rsidP="00280E80">
            <w:pPr>
              <w:pStyle w:val="SingleTxtG"/>
              <w:tabs>
                <w:tab w:val="left" w:pos="2835"/>
              </w:tabs>
              <w:ind w:left="2835" w:right="459" w:hanging="2835"/>
              <w:rPr>
                <w:color w:val="000000" w:themeColor="text1"/>
                <w:lang w:val="id-ID"/>
              </w:rPr>
            </w:pPr>
            <w:r w:rsidRPr="009B087B">
              <w:rPr>
                <w:color w:val="000000" w:themeColor="text1"/>
                <w:lang w:val="en-US"/>
              </w:rPr>
              <w:t>MSS</w:t>
            </w:r>
            <w:r w:rsidRPr="009B087B">
              <w:rPr>
                <w:color w:val="000000" w:themeColor="text1"/>
                <w:lang w:val="en-US"/>
              </w:rPr>
              <w:tab/>
            </w:r>
            <w:r w:rsidRPr="009B087B">
              <w:rPr>
                <w:color w:val="000000" w:themeColor="text1"/>
                <w:lang w:val="id-ID"/>
              </w:rPr>
              <w:t xml:space="preserve">Minimum </w:t>
            </w:r>
            <w:r w:rsidRPr="009B087B">
              <w:rPr>
                <w:color w:val="000000" w:themeColor="text1"/>
                <w:lang w:val="en-US"/>
              </w:rPr>
              <w:t>Standards of Services</w:t>
            </w:r>
          </w:p>
          <w:p w14:paraId="6768651E" w14:textId="77777777" w:rsidR="009B087B" w:rsidRPr="009B087B" w:rsidRDefault="009B087B" w:rsidP="00280E80">
            <w:pPr>
              <w:pStyle w:val="SingleTxtG"/>
              <w:tabs>
                <w:tab w:val="left" w:pos="2835"/>
              </w:tabs>
              <w:ind w:left="2835" w:right="459" w:hanging="2835"/>
              <w:rPr>
                <w:color w:val="000000" w:themeColor="text1"/>
                <w:lang w:val="id-ID"/>
              </w:rPr>
            </w:pPr>
            <w:r w:rsidRPr="009B087B">
              <w:rPr>
                <w:color w:val="000000" w:themeColor="text1"/>
                <w:lang w:val="id-ID"/>
              </w:rPr>
              <w:t>NE</w:t>
            </w:r>
            <w:r w:rsidRPr="009B087B">
              <w:rPr>
                <w:color w:val="000000" w:themeColor="text1"/>
                <w:lang w:val="en-US"/>
              </w:rPr>
              <w:t>R</w:t>
            </w:r>
            <w:r w:rsidRPr="009B087B">
              <w:rPr>
                <w:color w:val="000000" w:themeColor="text1"/>
                <w:lang w:val="en-US"/>
              </w:rPr>
              <w:tab/>
              <w:t>Net Enrollment Rate</w:t>
            </w:r>
          </w:p>
          <w:p w14:paraId="2AFC1487" w14:textId="77777777" w:rsidR="009B087B" w:rsidRPr="009B087B" w:rsidRDefault="009B087B" w:rsidP="00280E80">
            <w:pPr>
              <w:pStyle w:val="SingleTxtG"/>
              <w:tabs>
                <w:tab w:val="left" w:pos="2835"/>
              </w:tabs>
              <w:ind w:left="2835" w:right="459" w:hanging="2835"/>
              <w:rPr>
                <w:color w:val="000000" w:themeColor="text1"/>
                <w:lang w:val="en-US"/>
              </w:rPr>
            </w:pPr>
            <w:r w:rsidRPr="009B087B">
              <w:rPr>
                <w:color w:val="000000" w:themeColor="text1"/>
                <w:lang w:val="en-US"/>
              </w:rPr>
              <w:t>NSPK</w:t>
            </w:r>
            <w:r w:rsidRPr="009B087B">
              <w:rPr>
                <w:color w:val="000000" w:themeColor="text1"/>
                <w:lang w:val="en-US"/>
              </w:rPr>
              <w:tab/>
              <w:t>Norms, Standards, Procedures and Criteria</w:t>
            </w:r>
          </w:p>
          <w:p w14:paraId="23AC56B6" w14:textId="77777777" w:rsidR="009B087B" w:rsidRPr="009B087B" w:rsidRDefault="009B087B" w:rsidP="00280E80">
            <w:pPr>
              <w:pStyle w:val="SingleTxtG"/>
              <w:tabs>
                <w:tab w:val="left" w:pos="2835"/>
              </w:tabs>
              <w:ind w:left="2835" w:right="459" w:hanging="2835"/>
              <w:rPr>
                <w:color w:val="000000" w:themeColor="text1"/>
                <w:lang w:val="id-ID"/>
              </w:rPr>
            </w:pPr>
            <w:r w:rsidRPr="009B087B">
              <w:rPr>
                <w:color w:val="000000" w:themeColor="text1"/>
              </w:rPr>
              <w:t xml:space="preserve">PIP </w:t>
            </w:r>
            <w:r w:rsidRPr="009B087B">
              <w:rPr>
                <w:color w:val="000000" w:themeColor="text1"/>
              </w:rPr>
              <w:tab/>
            </w:r>
            <w:r w:rsidRPr="009B087B">
              <w:rPr>
                <w:i/>
                <w:iCs/>
                <w:color w:val="000000" w:themeColor="text1"/>
              </w:rPr>
              <w:t xml:space="preserve">(Program Indonesia Pintar) </w:t>
            </w:r>
            <w:r w:rsidRPr="009B087B">
              <w:rPr>
                <w:color w:val="000000" w:themeColor="text1"/>
              </w:rPr>
              <w:t>Smart Indonesia Program</w:t>
            </w:r>
          </w:p>
          <w:p w14:paraId="25874B87" w14:textId="77777777" w:rsidR="009B087B" w:rsidRPr="009B087B" w:rsidRDefault="009B087B" w:rsidP="00280E80">
            <w:pPr>
              <w:pStyle w:val="SingleTxtG"/>
              <w:tabs>
                <w:tab w:val="left" w:pos="2835"/>
              </w:tabs>
              <w:ind w:left="2835" w:right="459" w:hanging="2835"/>
              <w:rPr>
                <w:color w:val="000000" w:themeColor="text1"/>
                <w:lang w:val="id-ID"/>
              </w:rPr>
            </w:pPr>
            <w:r w:rsidRPr="009B087B">
              <w:rPr>
                <w:color w:val="000000" w:themeColor="text1"/>
                <w:lang w:val="id-ID"/>
              </w:rPr>
              <w:t>PMI</w:t>
            </w:r>
            <w:r w:rsidRPr="009B087B">
              <w:rPr>
                <w:color w:val="000000" w:themeColor="text1"/>
                <w:lang w:val="id-ID"/>
              </w:rPr>
              <w:tab/>
            </w:r>
            <w:r w:rsidRPr="009B087B">
              <w:rPr>
                <w:i/>
                <w:iCs/>
                <w:color w:val="000000" w:themeColor="text1"/>
                <w:lang w:val="en-US"/>
              </w:rPr>
              <w:t xml:space="preserve">(Pekerja Migran Indonesia) </w:t>
            </w:r>
            <w:r w:rsidRPr="009B087B">
              <w:rPr>
                <w:color w:val="000000" w:themeColor="text1"/>
                <w:lang w:val="id-ID"/>
              </w:rPr>
              <w:t>Indonesian Migrant Workers</w:t>
            </w:r>
          </w:p>
          <w:p w14:paraId="5269317D" w14:textId="77777777" w:rsidR="009B087B" w:rsidRPr="009B087B" w:rsidRDefault="009B087B" w:rsidP="00280E80">
            <w:pPr>
              <w:pStyle w:val="SingleTxtG"/>
              <w:tabs>
                <w:tab w:val="left" w:pos="2835"/>
              </w:tabs>
              <w:ind w:left="2835" w:right="459" w:hanging="2835"/>
              <w:rPr>
                <w:rFonts w:eastAsia="Arial"/>
                <w:color w:val="000000" w:themeColor="text1"/>
                <w:lang w:val="id-ID"/>
              </w:rPr>
            </w:pPr>
            <w:r w:rsidRPr="009B087B">
              <w:rPr>
                <w:color w:val="000000" w:themeColor="text1"/>
                <w:lang w:val="id-ID"/>
              </w:rPr>
              <w:t xml:space="preserve">Prolegnas </w:t>
            </w:r>
            <w:r w:rsidRPr="009B087B">
              <w:rPr>
                <w:color w:val="000000" w:themeColor="text1"/>
                <w:lang w:val="id-ID"/>
              </w:rPr>
              <w:tab/>
            </w:r>
            <w:r w:rsidRPr="009B087B">
              <w:rPr>
                <w:i/>
                <w:iCs/>
                <w:color w:val="000000" w:themeColor="text1"/>
                <w:lang w:val="id-ID"/>
              </w:rPr>
              <w:t xml:space="preserve">(Program Legislasi Nasional) </w:t>
            </w:r>
            <w:r w:rsidRPr="009B087B">
              <w:rPr>
                <w:color w:val="000000" w:themeColor="text1"/>
                <w:lang w:val="id-ID"/>
              </w:rPr>
              <w:t>National Legislative Program</w:t>
            </w:r>
          </w:p>
          <w:p w14:paraId="289C7223" w14:textId="77777777" w:rsidR="009B087B" w:rsidRPr="009B087B" w:rsidRDefault="009B087B" w:rsidP="00280E80">
            <w:pPr>
              <w:pStyle w:val="SingleTxtG"/>
              <w:tabs>
                <w:tab w:val="left" w:pos="2835"/>
              </w:tabs>
              <w:ind w:left="2835" w:right="459" w:hanging="2835"/>
              <w:rPr>
                <w:rFonts w:eastAsia="Arial"/>
                <w:color w:val="000000" w:themeColor="text1"/>
                <w:lang w:val="id-ID"/>
              </w:rPr>
            </w:pPr>
            <w:r w:rsidRPr="009B087B">
              <w:rPr>
                <w:rFonts w:eastAsia="Arial"/>
                <w:color w:val="000000" w:themeColor="text1"/>
                <w:lang w:val="id-ID"/>
              </w:rPr>
              <w:t xml:space="preserve">Puskesmas </w:t>
            </w:r>
            <w:r w:rsidRPr="009B087B">
              <w:rPr>
                <w:rFonts w:eastAsia="Arial"/>
                <w:color w:val="000000" w:themeColor="text1"/>
                <w:lang w:val="id-ID"/>
              </w:rPr>
              <w:tab/>
            </w:r>
            <w:r w:rsidRPr="009B087B">
              <w:rPr>
                <w:rFonts w:eastAsia="Arial"/>
                <w:i/>
                <w:iCs/>
                <w:color w:val="000000" w:themeColor="text1"/>
                <w:lang w:val="id-ID"/>
              </w:rPr>
              <w:t xml:space="preserve">(Pusat Kesehatan Masyarakat) </w:t>
            </w:r>
            <w:r w:rsidRPr="009B087B">
              <w:rPr>
                <w:rFonts w:eastAsia="Arial"/>
                <w:color w:val="000000" w:themeColor="text1"/>
                <w:lang w:val="id-ID"/>
              </w:rPr>
              <w:t>Community Health Centers</w:t>
            </w:r>
          </w:p>
          <w:p w14:paraId="14D36782" w14:textId="77777777" w:rsidR="009B087B" w:rsidRPr="009B087B" w:rsidRDefault="009B087B" w:rsidP="00280E80">
            <w:pPr>
              <w:pStyle w:val="SingleTxtG"/>
              <w:tabs>
                <w:tab w:val="left" w:pos="2835"/>
              </w:tabs>
              <w:ind w:left="2835" w:right="459" w:hanging="2835"/>
              <w:rPr>
                <w:i/>
                <w:color w:val="000000" w:themeColor="text1"/>
                <w:lang w:val="id-ID"/>
              </w:rPr>
            </w:pPr>
            <w:r w:rsidRPr="009B087B">
              <w:rPr>
                <w:color w:val="000000" w:themeColor="text1"/>
                <w:lang w:val="id-ID"/>
              </w:rPr>
              <w:t xml:space="preserve">RPJMN </w:t>
            </w:r>
            <w:r w:rsidRPr="009B087B">
              <w:rPr>
                <w:color w:val="000000" w:themeColor="text1"/>
                <w:lang w:val="id-ID"/>
              </w:rPr>
              <w:tab/>
            </w:r>
            <w:r w:rsidRPr="009B087B">
              <w:rPr>
                <w:i/>
                <w:iCs/>
                <w:color w:val="000000" w:themeColor="text1"/>
                <w:lang w:val="id-ID"/>
              </w:rPr>
              <w:t xml:space="preserve">(Rencana Pembangunan Jangka Menengah Nasional) </w:t>
            </w:r>
            <w:r w:rsidRPr="009B087B">
              <w:rPr>
                <w:color w:val="000000" w:themeColor="text1"/>
                <w:lang w:val="id-ID"/>
              </w:rPr>
              <w:t xml:space="preserve">National Medium Term Development Plan </w:t>
            </w:r>
          </w:p>
          <w:p w14:paraId="0D36A1F3" w14:textId="77777777" w:rsidR="009B087B" w:rsidRPr="009B087B" w:rsidRDefault="009B087B" w:rsidP="00280E80">
            <w:pPr>
              <w:pStyle w:val="SingleTxtG"/>
              <w:tabs>
                <w:tab w:val="left" w:pos="2835"/>
              </w:tabs>
              <w:ind w:left="2835" w:right="459" w:hanging="2835"/>
              <w:rPr>
                <w:color w:val="000000" w:themeColor="text1"/>
                <w:lang w:val="id-ID"/>
              </w:rPr>
            </w:pPr>
            <w:r w:rsidRPr="009B087B">
              <w:rPr>
                <w:color w:val="000000" w:themeColor="text1"/>
                <w:lang w:val="id-ID"/>
              </w:rPr>
              <w:t>ODGJ</w:t>
            </w:r>
            <w:r w:rsidRPr="009B087B">
              <w:rPr>
                <w:color w:val="000000" w:themeColor="text1"/>
                <w:lang w:val="id-ID"/>
              </w:rPr>
              <w:tab/>
            </w:r>
            <w:r w:rsidRPr="009B087B">
              <w:rPr>
                <w:i/>
                <w:iCs/>
                <w:color w:val="000000" w:themeColor="text1"/>
                <w:lang w:val="id-ID"/>
              </w:rPr>
              <w:t xml:space="preserve">(Orang dengan Gangguan Jiwa) </w:t>
            </w:r>
            <w:r w:rsidRPr="009B087B">
              <w:rPr>
                <w:color w:val="000000" w:themeColor="text1"/>
                <w:lang w:val="id-ID"/>
              </w:rPr>
              <w:t xml:space="preserve">People with Mental Disorders </w:t>
            </w:r>
          </w:p>
          <w:p w14:paraId="03EF91D7" w14:textId="77777777" w:rsidR="009B087B" w:rsidRPr="009B087B" w:rsidRDefault="009B087B" w:rsidP="00280E80">
            <w:pPr>
              <w:pStyle w:val="SingleTxtG"/>
              <w:tabs>
                <w:tab w:val="left" w:pos="2835"/>
              </w:tabs>
              <w:ind w:left="2835" w:right="459" w:hanging="2835"/>
              <w:rPr>
                <w:i/>
                <w:color w:val="000000" w:themeColor="text1"/>
                <w:lang w:val="id-ID"/>
              </w:rPr>
            </w:pPr>
            <w:r w:rsidRPr="009B087B">
              <w:rPr>
                <w:color w:val="000000" w:themeColor="text1"/>
                <w:lang w:val="id-ID"/>
              </w:rPr>
              <w:t xml:space="preserve">VAW </w:t>
            </w:r>
            <w:r w:rsidRPr="009B087B">
              <w:rPr>
                <w:color w:val="000000" w:themeColor="text1"/>
                <w:lang w:val="id-ID"/>
              </w:rPr>
              <w:tab/>
              <w:t>Viol</w:t>
            </w:r>
            <w:r w:rsidRPr="009B087B">
              <w:rPr>
                <w:color w:val="000000" w:themeColor="text1"/>
                <w:lang w:val="en-US"/>
              </w:rPr>
              <w:t>e</w:t>
            </w:r>
            <w:r w:rsidRPr="009B087B">
              <w:rPr>
                <w:color w:val="000000" w:themeColor="text1"/>
                <w:lang w:val="id-ID"/>
              </w:rPr>
              <w:t xml:space="preserve">nce Against Woman </w:t>
            </w:r>
          </w:p>
        </w:tc>
        <w:tc>
          <w:tcPr>
            <w:tcW w:w="7338" w:type="dxa"/>
          </w:tcPr>
          <w:p w14:paraId="18BA9F2D" w14:textId="77777777" w:rsidR="009B087B" w:rsidRPr="009B087B" w:rsidRDefault="009B087B" w:rsidP="00280E80">
            <w:pPr>
              <w:tabs>
                <w:tab w:val="left" w:leader="dot" w:pos="8505"/>
                <w:tab w:val="left" w:leader="dot" w:pos="9072"/>
              </w:tabs>
              <w:spacing w:line="360" w:lineRule="auto"/>
              <w:rPr>
                <w:rFonts w:ascii="Times New Roman" w:hAnsi="Times New Roman" w:cs="Times New Roman"/>
                <w:color w:val="000000" w:themeColor="text1"/>
                <w:sz w:val="20"/>
                <w:szCs w:val="20"/>
              </w:rPr>
            </w:pPr>
          </w:p>
        </w:tc>
        <w:tc>
          <w:tcPr>
            <w:tcW w:w="1275" w:type="dxa"/>
          </w:tcPr>
          <w:p w14:paraId="4A79526B" w14:textId="77777777" w:rsidR="009B087B" w:rsidRPr="009B087B" w:rsidRDefault="009B087B" w:rsidP="00280E80">
            <w:pPr>
              <w:tabs>
                <w:tab w:val="left" w:leader="dot" w:pos="8505"/>
                <w:tab w:val="left" w:leader="dot" w:pos="9072"/>
              </w:tabs>
              <w:spacing w:line="360" w:lineRule="auto"/>
              <w:rPr>
                <w:rFonts w:ascii="Times New Roman" w:hAnsi="Times New Roman" w:cs="Times New Roman"/>
                <w:color w:val="000000" w:themeColor="text1"/>
                <w:sz w:val="20"/>
                <w:szCs w:val="20"/>
              </w:rPr>
            </w:pPr>
          </w:p>
        </w:tc>
        <w:tc>
          <w:tcPr>
            <w:tcW w:w="993" w:type="dxa"/>
          </w:tcPr>
          <w:p w14:paraId="2B5BC13E" w14:textId="77777777" w:rsidR="009B087B" w:rsidRPr="009B087B" w:rsidRDefault="009B087B" w:rsidP="00280E80">
            <w:pPr>
              <w:tabs>
                <w:tab w:val="left" w:leader="dot" w:pos="8505"/>
                <w:tab w:val="left" w:leader="dot" w:pos="9072"/>
              </w:tabs>
              <w:spacing w:line="360" w:lineRule="auto"/>
              <w:rPr>
                <w:rFonts w:ascii="Times New Roman" w:hAnsi="Times New Roman" w:cs="Times New Roman"/>
                <w:color w:val="000000" w:themeColor="text1"/>
                <w:sz w:val="20"/>
                <w:szCs w:val="20"/>
              </w:rPr>
            </w:pPr>
          </w:p>
        </w:tc>
      </w:tr>
    </w:tbl>
    <w:p w14:paraId="0E8EE732" w14:textId="77777777" w:rsidR="00611F13" w:rsidRDefault="00611F13" w:rsidP="009B087B">
      <w:pPr>
        <w:rPr>
          <w:rFonts w:ascii="Times New Roman" w:hAnsi="Times New Roman" w:cs="Times New Roman"/>
          <w:b/>
          <w:color w:val="000000" w:themeColor="text1"/>
          <w:sz w:val="20"/>
          <w:szCs w:val="20"/>
        </w:rPr>
      </w:pPr>
    </w:p>
    <w:p w14:paraId="3D34E56F" w14:textId="437F87F0" w:rsidR="009B087B" w:rsidRPr="009B087B" w:rsidRDefault="009B087B" w:rsidP="009B087B">
      <w:pPr>
        <w:rPr>
          <w:rFonts w:ascii="Times New Roman" w:hAnsi="Times New Roman" w:cs="Times New Roman"/>
          <w:b/>
          <w:color w:val="000000" w:themeColor="text1"/>
          <w:sz w:val="20"/>
          <w:szCs w:val="20"/>
        </w:rPr>
      </w:pPr>
      <w:r w:rsidRPr="009B087B">
        <w:rPr>
          <w:rFonts w:ascii="Times New Roman" w:hAnsi="Times New Roman" w:cs="Times New Roman"/>
          <w:b/>
          <w:color w:val="000000" w:themeColor="text1"/>
          <w:sz w:val="20"/>
          <w:szCs w:val="20"/>
        </w:rPr>
        <w:t>ADDITIONAL INFORMATION</w:t>
      </w:r>
      <w:r w:rsidR="00F963EA">
        <w:rPr>
          <w:rFonts w:ascii="Times New Roman" w:hAnsi="Times New Roman" w:cs="Times New Roman"/>
          <w:b/>
          <w:color w:val="000000" w:themeColor="text1"/>
          <w:sz w:val="20"/>
          <w:szCs w:val="20"/>
        </w:rPr>
        <w:t>,</w:t>
      </w:r>
      <w:r w:rsidR="00C83CC1">
        <w:rPr>
          <w:rFonts w:ascii="Times New Roman" w:hAnsi="Times New Roman" w:cs="Times New Roman"/>
          <w:b/>
          <w:color w:val="000000" w:themeColor="text1"/>
          <w:sz w:val="20"/>
          <w:szCs w:val="20"/>
        </w:rPr>
        <w:t xml:space="preserve"> </w:t>
      </w:r>
      <w:r w:rsidRPr="009B087B">
        <w:rPr>
          <w:rFonts w:ascii="Times New Roman" w:hAnsi="Times New Roman" w:cs="Times New Roman"/>
          <w:b/>
          <w:color w:val="000000" w:themeColor="text1"/>
          <w:sz w:val="20"/>
          <w:szCs w:val="20"/>
        </w:rPr>
        <w:t>DATA</w:t>
      </w:r>
      <w:r w:rsidR="00F963EA">
        <w:rPr>
          <w:rFonts w:ascii="Times New Roman" w:hAnsi="Times New Roman" w:cs="Times New Roman"/>
          <w:b/>
          <w:color w:val="000000" w:themeColor="text1"/>
          <w:sz w:val="20"/>
          <w:szCs w:val="20"/>
        </w:rPr>
        <w:t xml:space="preserve"> AND REGULATION</w:t>
      </w:r>
      <w:r w:rsidRPr="009B087B">
        <w:rPr>
          <w:rFonts w:ascii="Times New Roman" w:hAnsi="Times New Roman" w:cs="Times New Roman"/>
          <w:b/>
          <w:color w:val="000000" w:themeColor="text1"/>
          <w:sz w:val="20"/>
          <w:szCs w:val="20"/>
        </w:rPr>
        <w:t xml:space="preserve"> RELATED TO THE INDONESIA NATIONAL REPORT ON THE IMPLEMENTATION OF ICESCR</w:t>
      </w:r>
    </w:p>
    <w:p w14:paraId="4F96A733" w14:textId="177D4E63" w:rsidR="00DC285D" w:rsidRPr="009B087B" w:rsidRDefault="00DC285D" w:rsidP="00DC285D">
      <w:pPr>
        <w:pStyle w:val="Heading1"/>
        <w:rPr>
          <w:sz w:val="20"/>
          <w:szCs w:val="20"/>
        </w:rPr>
      </w:pPr>
      <w:r w:rsidRPr="009B087B">
        <w:rPr>
          <w:sz w:val="20"/>
          <w:szCs w:val="20"/>
        </w:rPr>
        <w:t>Application of the Covenant and Access to Justice for Economic, Social and Cultural Rights</w:t>
      </w:r>
      <w:bookmarkEnd w:id="0"/>
    </w:p>
    <w:p w14:paraId="048A7AD3" w14:textId="3841E80D" w:rsidR="00DC285D" w:rsidRPr="00256A07" w:rsidRDefault="00E77608" w:rsidP="00256A07">
      <w:pPr>
        <w:pStyle w:val="ListParagraph"/>
        <w:numPr>
          <w:ilvl w:val="0"/>
          <w:numId w:val="2"/>
        </w:numPr>
        <w:tabs>
          <w:tab w:val="left" w:pos="1701"/>
        </w:tabs>
        <w:ind w:left="1134" w:right="1077" w:firstLine="0"/>
        <w:contextualSpacing w:val="0"/>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H</w:t>
      </w:r>
      <w:r w:rsidR="00DC285D" w:rsidRPr="009B087B">
        <w:rPr>
          <w:rFonts w:ascii="Times New Roman" w:hAnsi="Times New Roman" w:cs="Times New Roman"/>
          <w:color w:val="000000" w:themeColor="text1"/>
          <w:sz w:val="20"/>
          <w:szCs w:val="20"/>
          <w:lang w:val="en-US"/>
        </w:rPr>
        <w:t xml:space="preserve">uman rights materials have been included in every level of education organized by the respective education and training bodies for law enforcement officials, </w:t>
      </w:r>
      <w:r w:rsidR="00DC285D" w:rsidRPr="009B087B">
        <w:rPr>
          <w:rFonts w:ascii="Times New Roman" w:hAnsi="Times New Roman" w:cs="Times New Roman"/>
          <w:color w:val="000000" w:themeColor="text1"/>
          <w:sz w:val="20"/>
          <w:szCs w:val="20"/>
        </w:rPr>
        <w:t>namely</w:t>
      </w:r>
      <w:r w:rsidR="00DC285D" w:rsidRPr="009B087B">
        <w:rPr>
          <w:rFonts w:ascii="Times New Roman" w:hAnsi="Times New Roman" w:cs="Times New Roman"/>
          <w:color w:val="000000" w:themeColor="text1"/>
          <w:sz w:val="20"/>
          <w:szCs w:val="20"/>
          <w:lang w:val="en-US"/>
        </w:rPr>
        <w:t xml:space="preserve"> the Indonesian Police and the Supreme Court. However, training on the Covenant on Economic, Social and Cultural Rights has not been carried out specifically.</w:t>
      </w:r>
    </w:p>
    <w:p w14:paraId="3AFFA4C9" w14:textId="6161EB3D" w:rsidR="00DE3F5E" w:rsidRPr="009B087B" w:rsidRDefault="00DE3F5E" w:rsidP="00DE3F5E">
      <w:pPr>
        <w:pStyle w:val="Heading1"/>
        <w:rPr>
          <w:sz w:val="20"/>
          <w:szCs w:val="20"/>
        </w:rPr>
      </w:pPr>
      <w:r w:rsidRPr="009B087B">
        <w:rPr>
          <w:sz w:val="20"/>
          <w:szCs w:val="20"/>
        </w:rPr>
        <w:t xml:space="preserve">Local Law </w:t>
      </w:r>
      <w:r w:rsidRPr="009B087B">
        <w:rPr>
          <w:sz w:val="20"/>
          <w:szCs w:val="20"/>
          <w:lang w:val="id-ID"/>
        </w:rPr>
        <w:t>and</w:t>
      </w:r>
      <w:r w:rsidRPr="009B087B">
        <w:rPr>
          <w:sz w:val="20"/>
          <w:szCs w:val="20"/>
        </w:rPr>
        <w:t xml:space="preserve"> Regulations</w:t>
      </w:r>
      <w:bookmarkEnd w:id="1"/>
    </w:p>
    <w:p w14:paraId="6C600729" w14:textId="44CB7040" w:rsidR="00DE3F5E" w:rsidRPr="002F7A7C" w:rsidRDefault="00A96528" w:rsidP="002F7A7C">
      <w:pPr>
        <w:pStyle w:val="ListParagraph"/>
        <w:numPr>
          <w:ilvl w:val="0"/>
          <w:numId w:val="2"/>
        </w:numPr>
        <w:tabs>
          <w:tab w:val="left" w:pos="1701"/>
        </w:tabs>
        <w:ind w:left="1134" w:right="1077" w:firstLine="0"/>
        <w:contextualSpacing w:val="0"/>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I</w:t>
      </w:r>
      <w:r w:rsidR="00DE3F5E" w:rsidRPr="009B087B">
        <w:rPr>
          <w:rFonts w:ascii="Times New Roman" w:hAnsi="Times New Roman" w:cs="Times New Roman"/>
          <w:color w:val="000000" w:themeColor="text1"/>
          <w:sz w:val="20"/>
          <w:szCs w:val="20"/>
          <w:lang w:val="en-US"/>
        </w:rPr>
        <w:t xml:space="preserve">n Law No. 15/2019 on Amendments of Law No. 12/2011 on the </w:t>
      </w:r>
      <w:r w:rsidR="00DE3F5E" w:rsidRPr="009B087B">
        <w:rPr>
          <w:rFonts w:ascii="Times New Roman" w:hAnsi="Times New Roman" w:cs="Times New Roman"/>
          <w:color w:val="000000" w:themeColor="text1"/>
          <w:sz w:val="20"/>
          <w:szCs w:val="20"/>
        </w:rPr>
        <w:t>Legislation Making</w:t>
      </w:r>
      <w:r w:rsidR="00DE3F5E" w:rsidRPr="009B087B">
        <w:rPr>
          <w:rFonts w:ascii="Times New Roman" w:hAnsi="Times New Roman" w:cs="Times New Roman"/>
          <w:color w:val="000000" w:themeColor="text1"/>
          <w:sz w:val="20"/>
          <w:szCs w:val="20"/>
          <w:lang w:val="en-US"/>
        </w:rPr>
        <w:t>, the formation of laws and regulations should involve the planners in order to ensure the conformity of the draft laws and regulations with existing laws and regulations. At the local level, drafting by-laws should also involve legal drafters of Local Offices of the MoLHR.</w:t>
      </w:r>
    </w:p>
    <w:p w14:paraId="3915D559" w14:textId="1CCC803B" w:rsidR="00552731" w:rsidRPr="009B087B" w:rsidRDefault="00552731" w:rsidP="00552731">
      <w:pPr>
        <w:pStyle w:val="Heading1"/>
        <w:rPr>
          <w:sz w:val="20"/>
          <w:szCs w:val="20"/>
        </w:rPr>
      </w:pPr>
      <w:r w:rsidRPr="009B087B">
        <w:rPr>
          <w:sz w:val="20"/>
          <w:szCs w:val="20"/>
        </w:rPr>
        <w:t>Corruption</w:t>
      </w:r>
      <w:bookmarkEnd w:id="2"/>
    </w:p>
    <w:p w14:paraId="7113A4BE" w14:textId="6B308405" w:rsidR="00DE3F5E" w:rsidRPr="002F7A7C" w:rsidRDefault="00DE3F5E" w:rsidP="002F7A7C">
      <w:pPr>
        <w:pStyle w:val="ListParagraph"/>
        <w:numPr>
          <w:ilvl w:val="0"/>
          <w:numId w:val="2"/>
        </w:numPr>
        <w:tabs>
          <w:tab w:val="left" w:pos="1701"/>
        </w:tabs>
        <w:ind w:left="1134" w:right="1077" w:firstLine="0"/>
        <w:contextualSpacing w:val="0"/>
        <w:rPr>
          <w:rFonts w:ascii="Times New Roman" w:hAnsi="Times New Roman" w:cs="Times New Roman"/>
          <w:color w:val="000000" w:themeColor="text1"/>
          <w:sz w:val="20"/>
          <w:szCs w:val="20"/>
          <w:lang w:val="en-US"/>
        </w:rPr>
      </w:pPr>
      <w:r w:rsidRPr="009B087B">
        <w:rPr>
          <w:rFonts w:ascii="Times New Roman" w:hAnsi="Times New Roman" w:cs="Times New Roman"/>
          <w:color w:val="000000" w:themeColor="text1"/>
          <w:sz w:val="20"/>
          <w:szCs w:val="20"/>
          <w:lang w:val="en-US"/>
        </w:rPr>
        <w:t xml:space="preserve">The procedures and measures governing the recruitment, hiring, retention, promotion, retirement and discipline of civil servants in Indonesia has incorporated standards on integrity and corruption prevention. Education materials on prevention of corruption are also integrated into the civil </w:t>
      </w:r>
      <w:r w:rsidR="005C0EF7" w:rsidRPr="009B087B">
        <w:rPr>
          <w:rFonts w:ascii="Times New Roman" w:hAnsi="Times New Roman" w:cs="Times New Roman"/>
          <w:color w:val="000000" w:themeColor="text1"/>
          <w:sz w:val="20"/>
          <w:szCs w:val="20"/>
          <w:lang w:val="en-US"/>
        </w:rPr>
        <w:t>servant’s</w:t>
      </w:r>
      <w:r w:rsidRPr="009B087B">
        <w:rPr>
          <w:rFonts w:ascii="Times New Roman" w:hAnsi="Times New Roman" w:cs="Times New Roman"/>
          <w:color w:val="000000" w:themeColor="text1"/>
          <w:sz w:val="20"/>
          <w:szCs w:val="20"/>
          <w:lang w:val="en-US"/>
        </w:rPr>
        <w:t xml:space="preserve"> education and training program. </w:t>
      </w:r>
    </w:p>
    <w:p w14:paraId="311D6BBA" w14:textId="5A3CFF1B" w:rsidR="00552731" w:rsidRPr="009B087B" w:rsidRDefault="00552731" w:rsidP="009B087B">
      <w:pPr>
        <w:pStyle w:val="ListParagraph"/>
        <w:numPr>
          <w:ilvl w:val="0"/>
          <w:numId w:val="2"/>
        </w:numPr>
        <w:tabs>
          <w:tab w:val="left" w:pos="1701"/>
        </w:tabs>
        <w:ind w:left="1134" w:right="1077" w:firstLine="0"/>
        <w:contextualSpacing w:val="0"/>
        <w:rPr>
          <w:rFonts w:ascii="Times New Roman" w:hAnsi="Times New Roman" w:cs="Times New Roman"/>
          <w:color w:val="000000" w:themeColor="text1"/>
          <w:sz w:val="20"/>
          <w:szCs w:val="20"/>
          <w:lang w:val="en-US"/>
        </w:rPr>
      </w:pPr>
      <w:r w:rsidRPr="009B087B">
        <w:rPr>
          <w:rFonts w:ascii="Times New Roman" w:hAnsi="Times New Roman" w:cs="Times New Roman"/>
          <w:color w:val="000000" w:themeColor="text1"/>
          <w:sz w:val="20"/>
          <w:szCs w:val="20"/>
          <w:lang w:val="en-US"/>
        </w:rPr>
        <w:t>The KPK has also collaborated with the MoEC, the MoR, and other tertiary partners in developing the learning manuals for students, teachers, and lecturers.</w:t>
      </w:r>
    </w:p>
    <w:p w14:paraId="1976201B" w14:textId="115174C5" w:rsidR="001A289D" w:rsidRPr="009B087B" w:rsidRDefault="001A289D" w:rsidP="001A289D">
      <w:pPr>
        <w:pStyle w:val="Heading1"/>
        <w:rPr>
          <w:sz w:val="20"/>
          <w:szCs w:val="20"/>
        </w:rPr>
      </w:pPr>
      <w:bookmarkStart w:id="4" w:name="_Toc76480779"/>
      <w:r w:rsidRPr="009B087B">
        <w:rPr>
          <w:sz w:val="20"/>
          <w:szCs w:val="20"/>
        </w:rPr>
        <w:t>Person with Disabilities</w:t>
      </w:r>
      <w:bookmarkEnd w:id="4"/>
    </w:p>
    <w:p w14:paraId="3E7F9DA7" w14:textId="3C4649F4" w:rsidR="001A289D" w:rsidRPr="009B087B" w:rsidRDefault="001A289D" w:rsidP="009B087B">
      <w:pPr>
        <w:pStyle w:val="ListParagraph"/>
        <w:numPr>
          <w:ilvl w:val="0"/>
          <w:numId w:val="2"/>
        </w:numPr>
        <w:tabs>
          <w:tab w:val="left" w:pos="1701"/>
        </w:tabs>
        <w:ind w:left="1134" w:right="1077" w:firstLine="0"/>
        <w:contextualSpacing w:val="0"/>
        <w:rPr>
          <w:rFonts w:ascii="Times New Roman" w:hAnsi="Times New Roman" w:cs="Times New Roman"/>
          <w:color w:val="000000" w:themeColor="text1"/>
          <w:sz w:val="20"/>
          <w:szCs w:val="20"/>
          <w:lang w:val="en-US"/>
        </w:rPr>
      </w:pPr>
      <w:r w:rsidRPr="009B087B">
        <w:rPr>
          <w:rFonts w:ascii="Times New Roman" w:hAnsi="Times New Roman" w:cs="Times New Roman"/>
          <w:color w:val="000000" w:themeColor="text1"/>
          <w:sz w:val="20"/>
          <w:szCs w:val="20"/>
          <w:lang w:val="en-US"/>
        </w:rPr>
        <w:t xml:space="preserve">A broad range of dissemination and campaign activities have been carried out by various relevant Ministries/Agencies in cooperation with the disability stakeholders, to raise awareness regarding the rights of persons with disabilities as well as combating stereotypes against them. These campaigns include seminars, publications, education and training, television and radio broadcasts, as well as intra-governmental coordination meeting among related institutions. Efforts have also been taken to make campaign programs accessible to disabled people. </w:t>
      </w:r>
    </w:p>
    <w:p w14:paraId="47928E98" w14:textId="77777777" w:rsidR="00EE3A21" w:rsidRPr="009B087B" w:rsidRDefault="00EE3A21" w:rsidP="009B087B">
      <w:pPr>
        <w:pStyle w:val="ListParagraph"/>
        <w:numPr>
          <w:ilvl w:val="0"/>
          <w:numId w:val="2"/>
        </w:numPr>
        <w:tabs>
          <w:tab w:val="left" w:pos="1701"/>
        </w:tabs>
        <w:ind w:left="1134" w:right="1077" w:firstLine="0"/>
        <w:contextualSpacing w:val="0"/>
        <w:rPr>
          <w:rFonts w:ascii="Times New Roman" w:hAnsi="Times New Roman" w:cs="Times New Roman"/>
          <w:color w:val="000000" w:themeColor="text1"/>
          <w:sz w:val="20"/>
          <w:szCs w:val="20"/>
          <w:lang w:val="en-US"/>
        </w:rPr>
      </w:pPr>
      <w:r w:rsidRPr="009B087B">
        <w:rPr>
          <w:rFonts w:ascii="Times New Roman" w:hAnsi="Times New Roman" w:cs="Times New Roman"/>
          <w:color w:val="000000" w:themeColor="text1"/>
          <w:sz w:val="20"/>
          <w:szCs w:val="20"/>
          <w:lang w:val="en-US"/>
        </w:rPr>
        <w:t>Furthermore, Article 5 of Law No. 20/2003 on National Education System affirmed the rights of persons with disabilities to education, including education that address their special needs that align with their interest and ability. Law No.8/2016 and Law No. 35/2014 on Child Protection, also ensure the provision of basic and primary education for all children, including children with disabilities and special needs (disabilities, and special intelligence and special talent).</w:t>
      </w:r>
    </w:p>
    <w:p w14:paraId="11C86D14" w14:textId="77777777" w:rsidR="00974B78" w:rsidRPr="009B087B" w:rsidRDefault="00974B78" w:rsidP="00657B2E">
      <w:pPr>
        <w:pStyle w:val="Heading1"/>
        <w:rPr>
          <w:sz w:val="20"/>
          <w:szCs w:val="20"/>
        </w:rPr>
      </w:pPr>
      <w:bookmarkStart w:id="5" w:name="_Toc76480780"/>
      <w:r w:rsidRPr="009B087B">
        <w:rPr>
          <w:sz w:val="20"/>
          <w:szCs w:val="20"/>
        </w:rPr>
        <w:t>Economic, Social and Cultural Rights in Remote Areas</w:t>
      </w:r>
      <w:bookmarkEnd w:id="5"/>
    </w:p>
    <w:p w14:paraId="012ACC26" w14:textId="77777777" w:rsidR="00974B78" w:rsidRPr="009B087B" w:rsidRDefault="00974B78" w:rsidP="009B087B">
      <w:pPr>
        <w:pStyle w:val="ListParagraph"/>
        <w:numPr>
          <w:ilvl w:val="0"/>
          <w:numId w:val="2"/>
        </w:numPr>
        <w:tabs>
          <w:tab w:val="left" w:pos="1701"/>
        </w:tabs>
        <w:ind w:left="1134" w:right="1077" w:firstLine="0"/>
        <w:contextualSpacing w:val="0"/>
        <w:rPr>
          <w:rFonts w:ascii="Times New Roman" w:hAnsi="Times New Roman" w:cs="Times New Roman"/>
          <w:color w:val="000000" w:themeColor="text1"/>
          <w:sz w:val="20"/>
          <w:szCs w:val="20"/>
          <w:lang w:val="en-US"/>
        </w:rPr>
      </w:pPr>
      <w:r w:rsidRPr="009B087B">
        <w:rPr>
          <w:rFonts w:ascii="Times New Roman" w:hAnsi="Times New Roman" w:cs="Times New Roman"/>
          <w:color w:val="000000" w:themeColor="text1"/>
          <w:sz w:val="20"/>
          <w:szCs w:val="20"/>
          <w:lang w:val="en-US"/>
        </w:rPr>
        <w:t>In addition to village empowerment, through Presidential Regulation No. 186/2014 on Social Empowerment of Remote Adat Communities (KAT), GoI also conducts KAT empowerment to improve the standard of living of adat communities in the borders, coastal, outer islands, and remote areas. This was done by fulfilling the basic needs and rights of local communities, including MHA. For example, the E-Warung program where KAT in Indonesia can receive basic needs assistance which is more targeted and affordable.</w:t>
      </w:r>
    </w:p>
    <w:p w14:paraId="5A3EE27F" w14:textId="77777777" w:rsidR="00974B78" w:rsidRPr="009B087B" w:rsidRDefault="00974B78" w:rsidP="009B087B">
      <w:pPr>
        <w:pStyle w:val="ListParagraph"/>
        <w:numPr>
          <w:ilvl w:val="0"/>
          <w:numId w:val="2"/>
        </w:numPr>
        <w:tabs>
          <w:tab w:val="left" w:pos="1701"/>
        </w:tabs>
        <w:ind w:left="1134" w:right="1077" w:firstLine="0"/>
        <w:contextualSpacing w:val="0"/>
        <w:rPr>
          <w:rFonts w:ascii="Times New Roman" w:hAnsi="Times New Roman" w:cs="Times New Roman"/>
          <w:color w:val="000000" w:themeColor="text1"/>
          <w:sz w:val="20"/>
          <w:szCs w:val="20"/>
          <w:lang w:val="en-US"/>
        </w:rPr>
      </w:pPr>
      <w:r w:rsidRPr="009B087B">
        <w:rPr>
          <w:rFonts w:ascii="Times New Roman" w:hAnsi="Times New Roman" w:cs="Times New Roman"/>
          <w:color w:val="000000" w:themeColor="text1"/>
          <w:sz w:val="20"/>
          <w:szCs w:val="20"/>
          <w:lang w:val="en-US"/>
        </w:rPr>
        <w:t xml:space="preserve">In addition, GoI implemented “Menuju Indonesia Terang” program to ensure the availability of electricity throughout Indonesia. Villages can also allocate a portion of the Village Fund for Village electricity supply. </w:t>
      </w:r>
    </w:p>
    <w:p w14:paraId="28626FB1" w14:textId="507CAD37" w:rsidR="00974B78" w:rsidRPr="00657B2E" w:rsidRDefault="00974B78" w:rsidP="00657B2E">
      <w:pPr>
        <w:pStyle w:val="ListParagraph"/>
        <w:numPr>
          <w:ilvl w:val="0"/>
          <w:numId w:val="2"/>
        </w:numPr>
        <w:tabs>
          <w:tab w:val="left" w:pos="1701"/>
        </w:tabs>
        <w:ind w:left="1134" w:right="1077" w:firstLine="0"/>
        <w:contextualSpacing w:val="0"/>
        <w:rPr>
          <w:rFonts w:ascii="Times New Roman" w:hAnsi="Times New Roman" w:cs="Times New Roman"/>
          <w:color w:val="000000" w:themeColor="text1"/>
          <w:sz w:val="20"/>
          <w:szCs w:val="20"/>
          <w:lang w:val="en-US"/>
        </w:rPr>
      </w:pPr>
      <w:r w:rsidRPr="009B087B">
        <w:rPr>
          <w:rFonts w:ascii="Times New Roman" w:hAnsi="Times New Roman" w:cs="Times New Roman"/>
          <w:color w:val="000000" w:themeColor="text1"/>
          <w:sz w:val="20"/>
          <w:szCs w:val="20"/>
          <w:lang w:val="en-US"/>
        </w:rPr>
        <w:t>Moreover, GoI also built 15 Special Economic Zones (KEK) with 11 KEKs that have been operated and equipped with supporting infrastructure, both inside and outside KEKs.</w:t>
      </w:r>
    </w:p>
    <w:p w14:paraId="4E6CAF58" w14:textId="77777777" w:rsidR="001A289D" w:rsidRPr="009B087B" w:rsidRDefault="001A289D" w:rsidP="001A289D">
      <w:pPr>
        <w:pStyle w:val="Heading1"/>
        <w:rPr>
          <w:sz w:val="20"/>
          <w:szCs w:val="20"/>
        </w:rPr>
      </w:pPr>
      <w:bookmarkStart w:id="6" w:name="_Toc76480782"/>
      <w:r w:rsidRPr="009B087B">
        <w:rPr>
          <w:sz w:val="20"/>
          <w:szCs w:val="20"/>
        </w:rPr>
        <w:t>Gender Wage Gap</w:t>
      </w:r>
      <w:bookmarkEnd w:id="6"/>
    </w:p>
    <w:p w14:paraId="01BA7C78" w14:textId="3FC0EB72" w:rsidR="00974B78" w:rsidRPr="00657B2E" w:rsidRDefault="00974B78" w:rsidP="00657B2E">
      <w:pPr>
        <w:pStyle w:val="ListParagraph"/>
        <w:numPr>
          <w:ilvl w:val="0"/>
          <w:numId w:val="2"/>
        </w:numPr>
        <w:tabs>
          <w:tab w:val="left" w:pos="1701"/>
        </w:tabs>
        <w:ind w:left="1134" w:right="1077" w:firstLine="0"/>
        <w:contextualSpacing w:val="0"/>
        <w:rPr>
          <w:rFonts w:ascii="Times New Roman" w:hAnsi="Times New Roman" w:cs="Times New Roman"/>
          <w:color w:val="000000" w:themeColor="text1"/>
          <w:sz w:val="20"/>
          <w:szCs w:val="20"/>
          <w:lang w:val="en-US"/>
        </w:rPr>
      </w:pPr>
      <w:r w:rsidRPr="009B087B">
        <w:rPr>
          <w:rFonts w:ascii="Times New Roman" w:hAnsi="Times New Roman" w:cs="Times New Roman"/>
          <w:color w:val="000000" w:themeColor="text1"/>
          <w:sz w:val="20"/>
          <w:szCs w:val="20"/>
          <w:lang w:val="en-US"/>
        </w:rPr>
        <w:t xml:space="preserve">GoI supports women participation in economy by running various programs and campaigns to support productivity including such as providing microfinance loans, capacity building, granting awards for leading females and public lobbying. </w:t>
      </w:r>
    </w:p>
    <w:p w14:paraId="63BE5BC0" w14:textId="03078C18" w:rsidR="001A289D" w:rsidRPr="009B087B" w:rsidRDefault="001A289D" w:rsidP="001A289D">
      <w:pPr>
        <w:pStyle w:val="Heading1"/>
        <w:rPr>
          <w:sz w:val="20"/>
          <w:szCs w:val="20"/>
        </w:rPr>
      </w:pPr>
      <w:bookmarkStart w:id="7" w:name="_Toc76480783"/>
      <w:r w:rsidRPr="009B087B">
        <w:rPr>
          <w:sz w:val="20"/>
          <w:szCs w:val="20"/>
        </w:rPr>
        <w:t>Employment in the Formal Sector</w:t>
      </w:r>
      <w:bookmarkEnd w:id="7"/>
      <w:r w:rsidRPr="009B087B">
        <w:rPr>
          <w:sz w:val="20"/>
          <w:szCs w:val="20"/>
        </w:rPr>
        <w:t xml:space="preserve"> </w:t>
      </w:r>
    </w:p>
    <w:p w14:paraId="0EDF5622" w14:textId="4542BFBF" w:rsidR="001C349C" w:rsidRPr="001C349C" w:rsidRDefault="001A289D" w:rsidP="009B087B">
      <w:pPr>
        <w:pStyle w:val="ListParagraph"/>
        <w:numPr>
          <w:ilvl w:val="0"/>
          <w:numId w:val="2"/>
        </w:numPr>
        <w:tabs>
          <w:tab w:val="left" w:pos="1701"/>
        </w:tabs>
        <w:ind w:left="1134" w:right="1077" w:firstLine="0"/>
        <w:contextualSpacing w:val="0"/>
        <w:rPr>
          <w:rFonts w:ascii="Times New Roman" w:hAnsi="Times New Roman" w:cs="Times New Roman"/>
          <w:color w:val="000000" w:themeColor="text1"/>
          <w:sz w:val="20"/>
          <w:szCs w:val="20"/>
          <w:lang w:val="en-US"/>
        </w:rPr>
      </w:pPr>
      <w:r w:rsidRPr="001C349C">
        <w:rPr>
          <w:rFonts w:ascii="Times New Roman" w:hAnsi="Times New Roman" w:cs="Times New Roman"/>
          <w:color w:val="000000" w:themeColor="text1"/>
          <w:sz w:val="20"/>
          <w:szCs w:val="20"/>
          <w:lang w:val="en-US"/>
        </w:rPr>
        <w:t>The MoM uses the Manpower Development Index (IPK) to measure the success of manpower development both nationally and in each province. Based on the provisions of Law No. 13/2003 on Manpower, there are 9 (nine) main indicators used in measuring the success of manpower development.</w:t>
      </w:r>
      <w:r w:rsidR="001C349C" w:rsidRPr="001C349C">
        <w:rPr>
          <w:rFonts w:ascii="Times New Roman" w:hAnsi="Times New Roman" w:cs="Times New Roman"/>
          <w:color w:val="000000" w:themeColor="text1"/>
          <w:sz w:val="20"/>
          <w:szCs w:val="20"/>
          <w:lang w:val="en-US"/>
        </w:rPr>
        <w:t xml:space="preserve"> </w:t>
      </w:r>
      <w:r w:rsidR="001C349C" w:rsidRPr="001C349C">
        <w:rPr>
          <w:rFonts w:ascii="Times New Roman" w:hAnsi="Times New Roman" w:cs="Times New Roman"/>
          <w:color w:val="000000"/>
          <w:sz w:val="20"/>
          <w:szCs w:val="20"/>
          <w:lang w:val="en-US"/>
        </w:rPr>
        <w:t>The nine main indicators are</w:t>
      </w:r>
      <w:r w:rsidR="001C349C" w:rsidRPr="001C349C">
        <w:rPr>
          <w:rFonts w:ascii="Times New Roman" w:hAnsi="Times New Roman" w:cs="Times New Roman"/>
          <w:color w:val="000000"/>
          <w:sz w:val="20"/>
          <w:szCs w:val="20"/>
        </w:rPr>
        <w:t xml:space="preserve">: 1. </w:t>
      </w:r>
      <w:r w:rsidR="001C349C" w:rsidRPr="001C349C">
        <w:rPr>
          <w:rFonts w:ascii="Times New Roman" w:hAnsi="Times New Roman" w:cs="Times New Roman"/>
          <w:color w:val="000000"/>
          <w:sz w:val="20"/>
          <w:szCs w:val="20"/>
          <w:lang w:val="en-US"/>
        </w:rPr>
        <w:t>Manpower planning</w:t>
      </w:r>
      <w:r w:rsidR="001C349C" w:rsidRPr="001C349C">
        <w:rPr>
          <w:rFonts w:ascii="Times New Roman" w:hAnsi="Times New Roman" w:cs="Times New Roman"/>
          <w:color w:val="000000"/>
          <w:sz w:val="20"/>
          <w:szCs w:val="20"/>
        </w:rPr>
        <w:t xml:space="preserve">; 2. Population </w:t>
      </w:r>
      <w:r w:rsidR="001C349C" w:rsidRPr="001C349C">
        <w:rPr>
          <w:rFonts w:ascii="Times New Roman" w:hAnsi="Times New Roman" w:cs="Times New Roman"/>
          <w:color w:val="000000"/>
          <w:sz w:val="20"/>
          <w:szCs w:val="20"/>
          <w:lang w:val="en-US"/>
        </w:rPr>
        <w:t>and manpower</w:t>
      </w:r>
      <w:r w:rsidR="001C349C" w:rsidRPr="001C349C">
        <w:rPr>
          <w:rFonts w:ascii="Times New Roman" w:hAnsi="Times New Roman" w:cs="Times New Roman"/>
          <w:color w:val="000000"/>
          <w:sz w:val="20"/>
          <w:szCs w:val="20"/>
        </w:rPr>
        <w:t xml:space="preserve">; 3. Work </w:t>
      </w:r>
      <w:r w:rsidR="001C349C" w:rsidRPr="001C349C">
        <w:rPr>
          <w:rFonts w:ascii="Times New Roman" w:hAnsi="Times New Roman" w:cs="Times New Roman"/>
          <w:color w:val="000000"/>
          <w:sz w:val="20"/>
          <w:szCs w:val="20"/>
          <w:lang w:val="en-US"/>
        </w:rPr>
        <w:t>opportunity</w:t>
      </w:r>
      <w:r w:rsidR="001C349C" w:rsidRPr="001C349C">
        <w:rPr>
          <w:rFonts w:ascii="Times New Roman" w:hAnsi="Times New Roman" w:cs="Times New Roman"/>
          <w:color w:val="000000"/>
          <w:sz w:val="20"/>
          <w:szCs w:val="20"/>
        </w:rPr>
        <w:t>; 4. Work t</w:t>
      </w:r>
      <w:r w:rsidR="001C349C" w:rsidRPr="001C349C">
        <w:rPr>
          <w:rFonts w:ascii="Times New Roman" w:hAnsi="Times New Roman" w:cs="Times New Roman"/>
          <w:color w:val="000000"/>
          <w:sz w:val="20"/>
          <w:szCs w:val="20"/>
          <w:lang w:val="en-US"/>
        </w:rPr>
        <w:t>raining and work competention</w:t>
      </w:r>
      <w:r w:rsidR="001C349C" w:rsidRPr="001C349C">
        <w:rPr>
          <w:rFonts w:ascii="Times New Roman" w:hAnsi="Times New Roman" w:cs="Times New Roman"/>
          <w:color w:val="000000"/>
          <w:sz w:val="20"/>
          <w:szCs w:val="20"/>
        </w:rPr>
        <w:t xml:space="preserve">; 5. Manpower </w:t>
      </w:r>
      <w:r w:rsidR="001C349C" w:rsidRPr="001C349C">
        <w:rPr>
          <w:rFonts w:ascii="Times New Roman" w:hAnsi="Times New Roman" w:cs="Times New Roman"/>
          <w:color w:val="000000"/>
          <w:sz w:val="20"/>
          <w:szCs w:val="20"/>
          <w:lang w:val="en-US"/>
        </w:rPr>
        <w:t>productivity</w:t>
      </w:r>
      <w:r w:rsidR="001C349C" w:rsidRPr="001C349C">
        <w:rPr>
          <w:rFonts w:ascii="Times New Roman" w:hAnsi="Times New Roman" w:cs="Times New Roman"/>
          <w:color w:val="000000"/>
          <w:sz w:val="20"/>
          <w:szCs w:val="20"/>
        </w:rPr>
        <w:t xml:space="preserve">; 6. Industrial </w:t>
      </w:r>
      <w:r w:rsidR="001C349C" w:rsidRPr="001C349C">
        <w:rPr>
          <w:rFonts w:ascii="Times New Roman" w:hAnsi="Times New Roman" w:cs="Times New Roman"/>
          <w:color w:val="000000"/>
          <w:sz w:val="20"/>
          <w:szCs w:val="20"/>
          <w:lang w:val="en-US"/>
        </w:rPr>
        <w:t>relations</w:t>
      </w:r>
      <w:r w:rsidR="001C349C" w:rsidRPr="001C349C">
        <w:rPr>
          <w:rFonts w:ascii="Times New Roman" w:hAnsi="Times New Roman" w:cs="Times New Roman"/>
          <w:color w:val="000000"/>
          <w:sz w:val="20"/>
          <w:szCs w:val="20"/>
        </w:rPr>
        <w:t xml:space="preserve">; 7. The </w:t>
      </w:r>
      <w:r w:rsidR="001C349C" w:rsidRPr="001C349C">
        <w:rPr>
          <w:rFonts w:ascii="Times New Roman" w:hAnsi="Times New Roman" w:cs="Times New Roman"/>
          <w:color w:val="000000"/>
          <w:sz w:val="20"/>
          <w:szCs w:val="20"/>
          <w:lang w:val="en-US"/>
        </w:rPr>
        <w:t>condition of work environment</w:t>
      </w:r>
      <w:r w:rsidR="001C349C" w:rsidRPr="001C349C">
        <w:rPr>
          <w:rFonts w:ascii="Times New Roman" w:hAnsi="Times New Roman" w:cs="Times New Roman"/>
          <w:color w:val="000000"/>
          <w:sz w:val="20"/>
          <w:szCs w:val="20"/>
        </w:rPr>
        <w:t xml:space="preserve">; 8. Wages </w:t>
      </w:r>
      <w:r w:rsidR="001C349C" w:rsidRPr="001C349C">
        <w:rPr>
          <w:rFonts w:ascii="Times New Roman" w:hAnsi="Times New Roman" w:cs="Times New Roman"/>
          <w:color w:val="000000"/>
          <w:sz w:val="20"/>
          <w:szCs w:val="20"/>
          <w:lang w:val="en-US"/>
        </w:rPr>
        <w:t>andworkerwalfare</w:t>
      </w:r>
      <w:r w:rsidR="001C349C" w:rsidRPr="001C349C">
        <w:rPr>
          <w:rFonts w:ascii="Times New Roman" w:hAnsi="Times New Roman" w:cs="Times New Roman"/>
          <w:color w:val="000000"/>
          <w:sz w:val="20"/>
          <w:szCs w:val="20"/>
        </w:rPr>
        <w:t xml:space="preserve">; dan 9. Social </w:t>
      </w:r>
      <w:r w:rsidR="001C349C" w:rsidRPr="001C349C">
        <w:rPr>
          <w:rFonts w:ascii="Times New Roman" w:hAnsi="Times New Roman" w:cs="Times New Roman"/>
          <w:color w:val="000000"/>
          <w:sz w:val="20"/>
          <w:szCs w:val="20"/>
          <w:lang w:val="en-US"/>
        </w:rPr>
        <w:t>security of manpower</w:t>
      </w:r>
      <w:r w:rsidR="009246AE">
        <w:rPr>
          <w:rFonts w:ascii="Times New Roman" w:hAnsi="Times New Roman" w:cs="Times New Roman"/>
          <w:color w:val="000000"/>
          <w:sz w:val="20"/>
          <w:szCs w:val="20"/>
          <w:lang w:val="en-US"/>
        </w:rPr>
        <w:t>.</w:t>
      </w:r>
    </w:p>
    <w:p w14:paraId="0C22082B" w14:textId="115F36FB" w:rsidR="001A289D" w:rsidRPr="009B087B" w:rsidRDefault="001A289D" w:rsidP="009B087B">
      <w:pPr>
        <w:pStyle w:val="ListParagraph"/>
        <w:numPr>
          <w:ilvl w:val="0"/>
          <w:numId w:val="2"/>
        </w:numPr>
        <w:tabs>
          <w:tab w:val="left" w:pos="1701"/>
        </w:tabs>
        <w:ind w:left="1134" w:right="1077" w:firstLine="0"/>
        <w:contextualSpacing w:val="0"/>
        <w:rPr>
          <w:rFonts w:ascii="Times New Roman" w:hAnsi="Times New Roman" w:cs="Times New Roman"/>
          <w:color w:val="000000" w:themeColor="text1"/>
          <w:sz w:val="20"/>
          <w:szCs w:val="20"/>
          <w:lang w:val="en-US"/>
        </w:rPr>
      </w:pPr>
      <w:r w:rsidRPr="001C349C">
        <w:rPr>
          <w:rFonts w:ascii="Times New Roman" w:hAnsi="Times New Roman" w:cs="Times New Roman"/>
          <w:color w:val="000000" w:themeColor="text1"/>
          <w:sz w:val="20"/>
          <w:szCs w:val="20"/>
          <w:lang w:val="en-US"/>
        </w:rPr>
        <w:t xml:space="preserve">The results of the index on each main indicator provide information on the performance of labor development machines, including information on various labor problems and challenges that must be resolved immediately so that various policies, strategies and programs for employment development can be formulated to bring Indonesia closer to 4 (four) main goals of manpower </w:t>
      </w:r>
      <w:r w:rsidRPr="009B087B">
        <w:rPr>
          <w:rFonts w:ascii="Times New Roman" w:hAnsi="Times New Roman" w:cs="Times New Roman"/>
          <w:color w:val="000000" w:themeColor="text1"/>
          <w:sz w:val="20"/>
          <w:szCs w:val="20"/>
          <w:lang w:val="en-US"/>
        </w:rPr>
        <w:t>development</w:t>
      </w:r>
      <w:r w:rsidR="00FA51C7" w:rsidRPr="009B087B">
        <w:endnoteReference w:id="1"/>
      </w:r>
      <w:r w:rsidR="00FA51C7" w:rsidRPr="009B087B">
        <w:rPr>
          <w:rFonts w:ascii="Times New Roman" w:hAnsi="Times New Roman" w:cs="Times New Roman"/>
          <w:color w:val="000000" w:themeColor="text1"/>
          <w:sz w:val="20"/>
          <w:szCs w:val="20"/>
          <w:lang w:val="en-US"/>
        </w:rPr>
        <w:t>.</w:t>
      </w:r>
      <w:r w:rsidRPr="009B087B">
        <w:rPr>
          <w:rFonts w:ascii="Times New Roman" w:hAnsi="Times New Roman" w:cs="Times New Roman"/>
          <w:color w:val="000000" w:themeColor="text1"/>
          <w:sz w:val="20"/>
          <w:szCs w:val="20"/>
          <w:lang w:val="en-US"/>
        </w:rPr>
        <w:t xml:space="preserve"> </w:t>
      </w:r>
    </w:p>
    <w:p w14:paraId="10A01019" w14:textId="77777777" w:rsidR="001A289D" w:rsidRPr="009B087B" w:rsidRDefault="001A289D" w:rsidP="009B087B">
      <w:pPr>
        <w:pStyle w:val="ListParagraph"/>
        <w:numPr>
          <w:ilvl w:val="0"/>
          <w:numId w:val="2"/>
        </w:numPr>
        <w:tabs>
          <w:tab w:val="left" w:pos="1701"/>
        </w:tabs>
        <w:ind w:left="1134" w:right="1077" w:firstLine="0"/>
        <w:contextualSpacing w:val="0"/>
        <w:rPr>
          <w:rFonts w:ascii="Times New Roman" w:hAnsi="Times New Roman" w:cs="Times New Roman"/>
          <w:color w:val="000000" w:themeColor="text1"/>
          <w:sz w:val="20"/>
          <w:szCs w:val="20"/>
          <w:lang w:val="en-US"/>
        </w:rPr>
      </w:pPr>
      <w:r w:rsidRPr="009B087B">
        <w:rPr>
          <w:rFonts w:ascii="Times New Roman" w:hAnsi="Times New Roman" w:cs="Times New Roman"/>
          <w:color w:val="000000" w:themeColor="text1"/>
          <w:sz w:val="20"/>
          <w:szCs w:val="20"/>
          <w:lang w:val="en-US"/>
        </w:rPr>
        <w:t>The results of the 2019 Manpower Development Index (MDI) of 61.06 increased 0.25 points compared to the 2018 MPI of 60.81. This increase occurred in six main indicators, namely workforce planning; population and workforce; training and job competene; industrial relations; conditions of work environment; and social security of workers.</w:t>
      </w:r>
    </w:p>
    <w:p w14:paraId="5BB9B9C8" w14:textId="77777777" w:rsidR="00DE3F5E" w:rsidRPr="009B087B" w:rsidRDefault="00DE3F5E" w:rsidP="00DE3F5E">
      <w:pPr>
        <w:pStyle w:val="Heading1"/>
        <w:rPr>
          <w:sz w:val="20"/>
          <w:szCs w:val="20"/>
        </w:rPr>
      </w:pPr>
      <w:bookmarkStart w:id="8" w:name="_Toc76480784"/>
      <w:bookmarkStart w:id="9" w:name="_Toc76480786"/>
      <w:r w:rsidRPr="009B087B">
        <w:rPr>
          <w:sz w:val="20"/>
          <w:szCs w:val="20"/>
        </w:rPr>
        <w:t>Conditions of Work in the Informal Economy</w:t>
      </w:r>
      <w:bookmarkEnd w:id="8"/>
    </w:p>
    <w:p w14:paraId="671C442A" w14:textId="152A516D" w:rsidR="00DE3F5E" w:rsidRPr="00657B2E" w:rsidRDefault="00DE3F5E" w:rsidP="00657B2E">
      <w:pPr>
        <w:pStyle w:val="ListParagraph"/>
        <w:numPr>
          <w:ilvl w:val="0"/>
          <w:numId w:val="2"/>
        </w:numPr>
        <w:tabs>
          <w:tab w:val="left" w:pos="1701"/>
        </w:tabs>
        <w:ind w:left="1134" w:right="1077" w:firstLine="0"/>
        <w:contextualSpacing w:val="0"/>
        <w:rPr>
          <w:rFonts w:ascii="Times New Roman" w:hAnsi="Times New Roman" w:cs="Times New Roman"/>
          <w:color w:val="000000" w:themeColor="text1"/>
          <w:sz w:val="20"/>
          <w:szCs w:val="20"/>
          <w:lang w:val="en-US"/>
        </w:rPr>
      </w:pPr>
      <w:r w:rsidRPr="009B087B">
        <w:rPr>
          <w:rFonts w:ascii="Times New Roman" w:hAnsi="Times New Roman" w:cs="Times New Roman"/>
          <w:color w:val="000000" w:themeColor="text1"/>
          <w:sz w:val="20"/>
          <w:szCs w:val="20"/>
          <w:lang w:val="en-US"/>
        </w:rPr>
        <w:t>GoI is currently drafting several labor regulations in various informal sectors and continues to encourage the improvement of welfare of informal sector workers by including them in the employee social security scheme as regulated in the MoM Regulation No. 21/2017 on Amendments to the MoM Regulation No. 1/2016 on Procedures for Providing and Payment of Old Age Benefits for Participants who do not Receive Wages.</w:t>
      </w:r>
    </w:p>
    <w:p w14:paraId="4923E3F0" w14:textId="05EF6AAE" w:rsidR="00552731" w:rsidRPr="009B087B" w:rsidRDefault="001A289D" w:rsidP="00032091">
      <w:pPr>
        <w:pStyle w:val="Heading1"/>
        <w:rPr>
          <w:sz w:val="20"/>
          <w:szCs w:val="20"/>
        </w:rPr>
      </w:pPr>
      <w:r w:rsidRPr="009B087B">
        <w:rPr>
          <w:sz w:val="20"/>
          <w:szCs w:val="20"/>
        </w:rPr>
        <w:t>Indonesian Migrant Workers</w:t>
      </w:r>
      <w:bookmarkEnd w:id="9"/>
    </w:p>
    <w:p w14:paraId="1A4E29FC" w14:textId="25FD4B33" w:rsidR="001A289D" w:rsidRPr="009B087B" w:rsidRDefault="001A289D" w:rsidP="009B087B">
      <w:pPr>
        <w:pStyle w:val="ListParagraph"/>
        <w:numPr>
          <w:ilvl w:val="0"/>
          <w:numId w:val="2"/>
        </w:numPr>
        <w:tabs>
          <w:tab w:val="left" w:pos="1701"/>
        </w:tabs>
        <w:ind w:left="1134" w:right="1077" w:firstLine="0"/>
        <w:contextualSpacing w:val="0"/>
        <w:rPr>
          <w:rFonts w:ascii="Times New Roman" w:hAnsi="Times New Roman" w:cs="Times New Roman"/>
          <w:color w:val="000000" w:themeColor="text1"/>
          <w:sz w:val="20"/>
          <w:szCs w:val="20"/>
          <w:lang w:val="en-US"/>
        </w:rPr>
      </w:pPr>
      <w:r w:rsidRPr="009B087B">
        <w:rPr>
          <w:rFonts w:ascii="Times New Roman" w:hAnsi="Times New Roman" w:cs="Times New Roman"/>
          <w:color w:val="000000" w:themeColor="text1"/>
          <w:sz w:val="20"/>
          <w:szCs w:val="20"/>
          <w:lang w:val="en-US"/>
        </w:rPr>
        <w:t>Indonesia acknowledges the contribution of PMI to national development and economic growth and is fully committed to advancing and protecting their rights. Nawacita reaffirmed the State's obligation to fulfill the rights of migrant workers through the following priorities: (i) enhancing the quality of protection for Indonesian citizens and legal entities abroad and (ii) protecting the rights and safety of migrant workers.</w:t>
      </w:r>
    </w:p>
    <w:p w14:paraId="43AD69CF" w14:textId="77777777" w:rsidR="001A289D" w:rsidRPr="009B087B" w:rsidRDefault="001A289D" w:rsidP="009B087B">
      <w:pPr>
        <w:pStyle w:val="ListParagraph"/>
        <w:numPr>
          <w:ilvl w:val="0"/>
          <w:numId w:val="2"/>
        </w:numPr>
        <w:tabs>
          <w:tab w:val="left" w:pos="1701"/>
        </w:tabs>
        <w:ind w:left="1134" w:right="1077" w:firstLine="0"/>
        <w:contextualSpacing w:val="0"/>
        <w:rPr>
          <w:rFonts w:ascii="Times New Roman" w:hAnsi="Times New Roman" w:cs="Times New Roman"/>
          <w:color w:val="000000" w:themeColor="text1"/>
          <w:sz w:val="20"/>
          <w:szCs w:val="20"/>
          <w:lang w:val="en-US"/>
        </w:rPr>
      </w:pPr>
      <w:r w:rsidRPr="009B087B">
        <w:rPr>
          <w:rFonts w:ascii="Times New Roman" w:hAnsi="Times New Roman" w:cs="Times New Roman"/>
          <w:color w:val="000000" w:themeColor="text1"/>
          <w:sz w:val="20"/>
          <w:szCs w:val="20"/>
          <w:lang w:val="en-US"/>
        </w:rPr>
        <w:t>Indonesia is also strengthening its capacity and strategies for prevention, early detection, and rapid response. This has been done through, among others, the integration of priority areas for the recruitment and placement mechanism for migrant workers in the 2015-2019 RPJMN and the establishment of an integrated national task force on the protection of PMI.</w:t>
      </w:r>
    </w:p>
    <w:p w14:paraId="1222AC2F" w14:textId="77777777" w:rsidR="00974B78" w:rsidRPr="009B087B" w:rsidRDefault="00974B78" w:rsidP="009B087B">
      <w:pPr>
        <w:pStyle w:val="ListParagraph"/>
        <w:numPr>
          <w:ilvl w:val="0"/>
          <w:numId w:val="2"/>
        </w:numPr>
        <w:tabs>
          <w:tab w:val="left" w:pos="1701"/>
        </w:tabs>
        <w:ind w:left="1134" w:right="1077" w:firstLine="0"/>
        <w:contextualSpacing w:val="0"/>
        <w:rPr>
          <w:rFonts w:ascii="Times New Roman" w:hAnsi="Times New Roman" w:cs="Times New Roman"/>
          <w:color w:val="000000" w:themeColor="text1"/>
          <w:sz w:val="20"/>
          <w:szCs w:val="20"/>
          <w:lang w:val="en-US"/>
        </w:rPr>
      </w:pPr>
      <w:r w:rsidRPr="009B087B">
        <w:rPr>
          <w:rFonts w:ascii="Times New Roman" w:hAnsi="Times New Roman" w:cs="Times New Roman"/>
          <w:color w:val="000000" w:themeColor="text1"/>
          <w:sz w:val="20"/>
          <w:szCs w:val="20"/>
          <w:lang w:val="en-US"/>
        </w:rPr>
        <w:t>MoFA noted that in 2018, out of 2,988,552 Indonesian citizens abroad, informal sector migrant workers had reached 2,743,601 people or 97% of the total number of PMI abroad. A total of 1,194,306 domestic sector migrant workers are housekeepers.</w:t>
      </w:r>
    </w:p>
    <w:p w14:paraId="1FAB8539" w14:textId="38AC9E84" w:rsidR="00974B78" w:rsidRPr="00657B2E" w:rsidRDefault="00974B78" w:rsidP="00657B2E">
      <w:pPr>
        <w:pStyle w:val="ListParagraph"/>
        <w:numPr>
          <w:ilvl w:val="0"/>
          <w:numId w:val="2"/>
        </w:numPr>
        <w:tabs>
          <w:tab w:val="left" w:pos="1701"/>
        </w:tabs>
        <w:ind w:left="1134" w:right="1077" w:firstLine="0"/>
        <w:contextualSpacing w:val="0"/>
        <w:rPr>
          <w:rFonts w:ascii="Times New Roman" w:hAnsi="Times New Roman" w:cs="Times New Roman"/>
          <w:color w:val="000000" w:themeColor="text1"/>
          <w:sz w:val="20"/>
          <w:szCs w:val="20"/>
          <w:lang w:val="en-US"/>
        </w:rPr>
      </w:pPr>
      <w:r w:rsidRPr="009B087B">
        <w:rPr>
          <w:rFonts w:ascii="Times New Roman" w:hAnsi="Times New Roman" w:cs="Times New Roman"/>
          <w:color w:val="000000" w:themeColor="text1"/>
          <w:sz w:val="20"/>
          <w:szCs w:val="20"/>
          <w:lang w:val="en-US"/>
        </w:rPr>
        <w:t>At the global level, Indonesia plays an active role in shaping international migration norms, the Inter-Governmental Conference to Adopt Global Compact on Migration (IGC-GCM) in Marrakesh, Morocco, 10-11 December 2018.</w:t>
      </w:r>
    </w:p>
    <w:p w14:paraId="009FCE25" w14:textId="3F489F71" w:rsidR="001A289D" w:rsidRPr="009B087B" w:rsidRDefault="001A289D" w:rsidP="001A289D">
      <w:pPr>
        <w:pStyle w:val="Heading1"/>
        <w:rPr>
          <w:sz w:val="20"/>
          <w:szCs w:val="20"/>
        </w:rPr>
      </w:pPr>
      <w:bookmarkStart w:id="10" w:name="_Toc76480789"/>
      <w:r w:rsidRPr="009B087B">
        <w:rPr>
          <w:sz w:val="20"/>
          <w:szCs w:val="20"/>
        </w:rPr>
        <w:t>Social Security</w:t>
      </w:r>
      <w:bookmarkEnd w:id="10"/>
    </w:p>
    <w:p w14:paraId="38881A71" w14:textId="7632E569" w:rsidR="001A289D" w:rsidRPr="009B087B" w:rsidRDefault="001A289D" w:rsidP="009B087B">
      <w:pPr>
        <w:pStyle w:val="ListParagraph"/>
        <w:numPr>
          <w:ilvl w:val="0"/>
          <w:numId w:val="2"/>
        </w:numPr>
        <w:tabs>
          <w:tab w:val="left" w:pos="1701"/>
        </w:tabs>
        <w:ind w:left="1134" w:right="1077" w:firstLine="0"/>
        <w:contextualSpacing w:val="0"/>
        <w:rPr>
          <w:rFonts w:ascii="Times New Roman" w:hAnsi="Times New Roman" w:cs="Times New Roman"/>
          <w:color w:val="000000" w:themeColor="text1"/>
          <w:sz w:val="20"/>
          <w:szCs w:val="20"/>
          <w:lang w:val="en-US"/>
        </w:rPr>
      </w:pPr>
      <w:r w:rsidRPr="009B087B">
        <w:rPr>
          <w:rFonts w:ascii="Times New Roman" w:hAnsi="Times New Roman" w:cs="Times New Roman"/>
          <w:color w:val="000000" w:themeColor="text1"/>
          <w:sz w:val="20"/>
          <w:szCs w:val="20"/>
          <w:lang w:val="en-US"/>
        </w:rPr>
        <w:t>GoI also provides social assistance programs for displaced people. These programs are Person with Child Social Welfare Problems, as well as Social Assistance for the elderly and person with disabilities.</w:t>
      </w:r>
    </w:p>
    <w:p w14:paraId="53956E96" w14:textId="77777777" w:rsidR="001A289D" w:rsidRPr="009B087B" w:rsidRDefault="001A289D" w:rsidP="009B087B">
      <w:pPr>
        <w:pStyle w:val="ListParagraph"/>
        <w:numPr>
          <w:ilvl w:val="0"/>
          <w:numId w:val="2"/>
        </w:numPr>
        <w:tabs>
          <w:tab w:val="left" w:pos="1701"/>
        </w:tabs>
        <w:ind w:left="1134" w:right="1077" w:firstLine="0"/>
        <w:contextualSpacing w:val="0"/>
        <w:rPr>
          <w:rFonts w:ascii="Times New Roman" w:hAnsi="Times New Roman" w:cs="Times New Roman"/>
          <w:color w:val="000000" w:themeColor="text1"/>
          <w:sz w:val="20"/>
          <w:szCs w:val="20"/>
          <w:lang w:val="en-US"/>
        </w:rPr>
      </w:pPr>
      <w:r w:rsidRPr="009B087B">
        <w:rPr>
          <w:rFonts w:ascii="Times New Roman" w:hAnsi="Times New Roman" w:cs="Times New Roman"/>
          <w:color w:val="000000" w:themeColor="text1"/>
          <w:sz w:val="20"/>
          <w:szCs w:val="20"/>
          <w:lang w:val="en-US"/>
        </w:rPr>
        <w:t xml:space="preserve">Apart from the pre-employment card, in Law No. 11/2020 on Job Creation, there is an additional Social Security Program for Workers/Laborers, namely Job Loss Security which will be regulated later in a government regulation. </w:t>
      </w:r>
    </w:p>
    <w:p w14:paraId="048D4515" w14:textId="6F0C3C0A" w:rsidR="00974B78" w:rsidRPr="009B087B" w:rsidRDefault="00974B78" w:rsidP="00974B78">
      <w:pPr>
        <w:pStyle w:val="Heading1"/>
        <w:rPr>
          <w:sz w:val="20"/>
          <w:szCs w:val="20"/>
        </w:rPr>
      </w:pPr>
      <w:bookmarkStart w:id="11" w:name="_Toc76480790"/>
      <w:r w:rsidRPr="009B087B">
        <w:rPr>
          <w:sz w:val="20"/>
          <w:szCs w:val="20"/>
        </w:rPr>
        <w:t>Child Marriage</w:t>
      </w:r>
      <w:bookmarkEnd w:id="11"/>
    </w:p>
    <w:p w14:paraId="456B1BC9" w14:textId="2FD537D0" w:rsidR="00552731" w:rsidRPr="00657B2E" w:rsidRDefault="00974B78" w:rsidP="00657B2E">
      <w:pPr>
        <w:pStyle w:val="ListParagraph"/>
        <w:numPr>
          <w:ilvl w:val="0"/>
          <w:numId w:val="2"/>
        </w:numPr>
        <w:tabs>
          <w:tab w:val="left" w:pos="1701"/>
        </w:tabs>
        <w:ind w:left="1134" w:right="1077" w:firstLine="0"/>
        <w:contextualSpacing w:val="0"/>
        <w:rPr>
          <w:rFonts w:ascii="Times New Roman" w:hAnsi="Times New Roman" w:cs="Times New Roman"/>
          <w:color w:val="000000" w:themeColor="text1"/>
          <w:sz w:val="20"/>
          <w:szCs w:val="20"/>
          <w:lang w:val="en-US"/>
        </w:rPr>
      </w:pPr>
      <w:r w:rsidRPr="009B087B">
        <w:rPr>
          <w:rFonts w:ascii="Times New Roman" w:hAnsi="Times New Roman" w:cs="Times New Roman"/>
          <w:color w:val="000000" w:themeColor="text1"/>
          <w:sz w:val="20"/>
          <w:szCs w:val="20"/>
          <w:lang w:val="en-US"/>
        </w:rPr>
        <w:t>RAN-PBPTA involves various Ministries/Agencies, including: MoM, MoHA, MoEC, MoSA, MoH, MoWECP, National Police, trade unions, Employers' Associations and CSOs. Moreover, stronger coordination between MoM, Attorney General’s Office, National Police and advocates continues to be developed to better enforced existing laws and regulations.</w:t>
      </w:r>
    </w:p>
    <w:p w14:paraId="0C608C25" w14:textId="092E0464" w:rsidR="000D4EDD" w:rsidRPr="009B087B" w:rsidRDefault="000D4EDD" w:rsidP="00032091">
      <w:pPr>
        <w:pStyle w:val="Heading1"/>
        <w:rPr>
          <w:sz w:val="20"/>
          <w:szCs w:val="20"/>
        </w:rPr>
      </w:pPr>
      <w:r w:rsidRPr="009B087B">
        <w:rPr>
          <w:sz w:val="20"/>
          <w:szCs w:val="20"/>
        </w:rPr>
        <w:t>Violence against Women (VAW)</w:t>
      </w:r>
      <w:bookmarkEnd w:id="3"/>
    </w:p>
    <w:p w14:paraId="3AB9566E" w14:textId="25A3A97B" w:rsidR="000D4EDD" w:rsidRPr="009B087B" w:rsidRDefault="000D4EDD" w:rsidP="000D4EDD">
      <w:pPr>
        <w:numPr>
          <w:ilvl w:val="0"/>
          <w:numId w:val="1"/>
        </w:numPr>
        <w:pBdr>
          <w:top w:val="nil"/>
          <w:left w:val="nil"/>
          <w:bottom w:val="nil"/>
          <w:right w:val="nil"/>
          <w:between w:val="nil"/>
        </w:pBdr>
        <w:tabs>
          <w:tab w:val="left" w:pos="1701"/>
        </w:tabs>
        <w:spacing w:after="120" w:line="240" w:lineRule="atLeast"/>
        <w:ind w:left="1134" w:right="1080" w:firstLine="0"/>
        <w:jc w:val="both"/>
        <w:rPr>
          <w:rFonts w:ascii="Times New Roman" w:eastAsia="Arial" w:hAnsi="Times New Roman" w:cs="Times New Roman"/>
          <w:color w:val="000000" w:themeColor="text1"/>
          <w:sz w:val="20"/>
          <w:szCs w:val="20"/>
        </w:rPr>
      </w:pPr>
      <w:r w:rsidRPr="009B087B">
        <w:rPr>
          <w:rFonts w:ascii="Times New Roman" w:eastAsia="Arial" w:hAnsi="Times New Roman" w:cs="Times New Roman"/>
          <w:color w:val="000000" w:themeColor="text1"/>
          <w:sz w:val="20"/>
          <w:szCs w:val="20"/>
        </w:rPr>
        <w:t xml:space="preserve">GoI recognizes the need for a systematic solution to ending VAW. </w:t>
      </w:r>
      <w:r w:rsidRPr="009B087B">
        <w:rPr>
          <w:rFonts w:ascii="Times New Roman" w:hAnsi="Times New Roman" w:cs="Times New Roman"/>
          <w:color w:val="000000" w:themeColor="text1"/>
          <w:sz w:val="20"/>
          <w:szCs w:val="20"/>
        </w:rPr>
        <w:t xml:space="preserve">GoI </w:t>
      </w:r>
      <w:r w:rsidRPr="009B087B">
        <w:rPr>
          <w:rFonts w:ascii="Times New Roman" w:eastAsia="Arial" w:hAnsi="Times New Roman" w:cs="Times New Roman"/>
          <w:color w:val="000000" w:themeColor="text1"/>
          <w:sz w:val="20"/>
          <w:szCs w:val="20"/>
        </w:rPr>
        <w:t xml:space="preserve">is committed to stopping cases of violence to happen, to bringing the respective cases into court and to protecting survivors based on human rights principles, non-discriminatory, and offers protection of victims and witnesses. With regard to the implementation of Law No. 23/2004 on the Elimination of Domestic Violence, </w:t>
      </w:r>
      <w:r w:rsidRPr="009B087B">
        <w:rPr>
          <w:rFonts w:ascii="Times New Roman" w:hAnsi="Times New Roman" w:cs="Times New Roman"/>
          <w:color w:val="000000" w:themeColor="text1"/>
          <w:sz w:val="20"/>
          <w:szCs w:val="20"/>
        </w:rPr>
        <w:t xml:space="preserve">GoI </w:t>
      </w:r>
      <w:r w:rsidRPr="009B087B">
        <w:rPr>
          <w:rFonts w:ascii="Times New Roman" w:eastAsia="Arial" w:hAnsi="Times New Roman" w:cs="Times New Roman"/>
          <w:color w:val="000000" w:themeColor="text1"/>
          <w:sz w:val="20"/>
          <w:szCs w:val="20"/>
        </w:rPr>
        <w:t>commits to translate the law into several measures, including policies on stopping domestic violence; coordination and cooperation; communications, information and education (IEC); awareness-raising and advocacy, capacity development, education and training, and setting up gender-sensitive service standards.</w:t>
      </w:r>
    </w:p>
    <w:p w14:paraId="573B4A2A" w14:textId="388CA741" w:rsidR="000D4EDD" w:rsidRPr="009B087B" w:rsidRDefault="000D4EDD" w:rsidP="000D4EDD">
      <w:pPr>
        <w:pStyle w:val="ListParagraph"/>
        <w:numPr>
          <w:ilvl w:val="0"/>
          <w:numId w:val="1"/>
        </w:numPr>
        <w:tabs>
          <w:tab w:val="left" w:pos="1701"/>
        </w:tabs>
        <w:ind w:left="1134" w:right="1080" w:firstLine="0"/>
        <w:contextualSpacing w:val="0"/>
        <w:rPr>
          <w:rFonts w:ascii="Times New Roman" w:hAnsi="Times New Roman" w:cs="Times New Roman"/>
          <w:color w:val="000000" w:themeColor="text1"/>
          <w:sz w:val="20"/>
          <w:szCs w:val="20"/>
          <w:lang w:val="en-US"/>
        </w:rPr>
      </w:pPr>
      <w:r w:rsidRPr="009B087B">
        <w:rPr>
          <w:rFonts w:ascii="Times New Roman" w:hAnsi="Times New Roman" w:cs="Times New Roman"/>
          <w:color w:val="000000" w:themeColor="text1"/>
          <w:sz w:val="20"/>
          <w:szCs w:val="20"/>
          <w:lang w:val="en-US"/>
        </w:rPr>
        <w:t>To improve interventions, in 2016, GoI has conducted the first-ever survey on prevalence of VAW. The survey was conducted in cooperation between MoWECP and Central Bureau of Statistics (</w:t>
      </w:r>
      <w:r w:rsidRPr="009B087B">
        <w:rPr>
          <w:rFonts w:ascii="Times New Roman" w:hAnsi="Times New Roman" w:cs="Times New Roman"/>
          <w:color w:val="000000" w:themeColor="text1"/>
          <w:sz w:val="20"/>
          <w:szCs w:val="20"/>
        </w:rPr>
        <w:t>BPS</w:t>
      </w:r>
      <w:r w:rsidRPr="009B087B">
        <w:rPr>
          <w:rFonts w:ascii="Times New Roman" w:hAnsi="Times New Roman" w:cs="Times New Roman"/>
          <w:color w:val="000000" w:themeColor="text1"/>
          <w:sz w:val="20"/>
          <w:szCs w:val="20"/>
          <w:lang w:val="en-US"/>
        </w:rPr>
        <w:t>). The survey gathers data from 9,000 households, in 83 regencies across 24 provinces through one-on-one interview. The survey focuses on finding out whether women experience one of the following violence: physical, sexual, emotional</w:t>
      </w:r>
      <w:r w:rsidR="00FA51C7" w:rsidRPr="009B087B">
        <w:rPr>
          <w:rStyle w:val="FootnoteReference"/>
          <w:rFonts w:ascii="Times New Roman" w:hAnsi="Times New Roman" w:cs="Times New Roman"/>
          <w:color w:val="000000" w:themeColor="text1"/>
          <w:sz w:val="20"/>
          <w:szCs w:val="20"/>
          <w:lang w:val="en-US"/>
        </w:rPr>
        <w:footnoteReference w:id="1"/>
      </w:r>
      <w:r w:rsidR="00FA51C7" w:rsidRPr="009B087B">
        <w:rPr>
          <w:rFonts w:ascii="Times New Roman" w:hAnsi="Times New Roman" w:cs="Times New Roman"/>
          <w:color w:val="000000" w:themeColor="text1"/>
          <w:sz w:val="20"/>
          <w:szCs w:val="20"/>
          <w:lang w:val="en-US"/>
        </w:rPr>
        <w:t xml:space="preserve"> </w:t>
      </w:r>
      <w:r w:rsidRPr="009B087B">
        <w:rPr>
          <w:rFonts w:ascii="Times New Roman" w:hAnsi="Times New Roman" w:cs="Times New Roman"/>
          <w:color w:val="000000" w:themeColor="text1"/>
          <w:sz w:val="20"/>
          <w:szCs w:val="20"/>
          <w:lang w:val="en-US"/>
        </w:rPr>
        <w:t xml:space="preserve">and economic. </w:t>
      </w:r>
    </w:p>
    <w:p w14:paraId="5936E878" w14:textId="77777777" w:rsidR="000D4EDD" w:rsidRPr="009B087B" w:rsidRDefault="000D4EDD" w:rsidP="000D4EDD">
      <w:pPr>
        <w:pStyle w:val="ListParagraph"/>
        <w:numPr>
          <w:ilvl w:val="0"/>
          <w:numId w:val="1"/>
        </w:numPr>
        <w:tabs>
          <w:tab w:val="left" w:pos="1701"/>
        </w:tabs>
        <w:ind w:left="1134" w:right="1080" w:firstLine="0"/>
        <w:contextualSpacing w:val="0"/>
        <w:rPr>
          <w:rFonts w:ascii="Times New Roman" w:hAnsi="Times New Roman" w:cs="Times New Roman"/>
          <w:color w:val="000000" w:themeColor="text1"/>
          <w:sz w:val="20"/>
          <w:szCs w:val="20"/>
          <w:lang w:val="en-US"/>
        </w:rPr>
      </w:pPr>
      <w:r w:rsidRPr="009B087B">
        <w:rPr>
          <w:rFonts w:ascii="Times New Roman" w:hAnsi="Times New Roman" w:cs="Times New Roman"/>
          <w:color w:val="000000" w:themeColor="text1"/>
          <w:sz w:val="20"/>
          <w:szCs w:val="20"/>
          <w:lang w:val="en-US"/>
        </w:rPr>
        <w:t>Other scaled up measures to improve protection and service for victims of violence are supported by government efforts in improving various legal framework and related infrastructures at the national level, such as (i) harmonization of legislation and the policies of VAW and complement the rules of implementation of existing legislation; (ii) enhancing stakeholders’ understanding of legislation and related policies of VAW; (iii) improving coordination among ministries/agencies/local agencies and central areas within the prevention and handling of VAW; (iv) improving the availability and capacity of human resources in ministries/agencies/local agencies/related services of VAW; and (v) institutionalizing the provision, updating and utilizing VAW data in policy formulation and development program/activities by line ministers.</w:t>
      </w:r>
    </w:p>
    <w:p w14:paraId="6BD4AE7D" w14:textId="3FEE46AE" w:rsidR="000D4EDD" w:rsidRPr="009B087B" w:rsidRDefault="000D4EDD" w:rsidP="000D4EDD">
      <w:pPr>
        <w:pStyle w:val="Heading1"/>
        <w:rPr>
          <w:sz w:val="20"/>
          <w:szCs w:val="20"/>
        </w:rPr>
      </w:pPr>
      <w:bookmarkStart w:id="12" w:name="_Toc76480793"/>
      <w:r w:rsidRPr="009B087B">
        <w:rPr>
          <w:sz w:val="20"/>
          <w:szCs w:val="20"/>
        </w:rPr>
        <w:t>Female Genital Mutilation (FGM)</w:t>
      </w:r>
      <w:bookmarkEnd w:id="12"/>
    </w:p>
    <w:p w14:paraId="5DCEA3B6" w14:textId="77777777" w:rsidR="000D4EDD" w:rsidRPr="009B087B" w:rsidRDefault="000D4EDD" w:rsidP="000D4EDD">
      <w:pPr>
        <w:pStyle w:val="ListParagraph"/>
        <w:numPr>
          <w:ilvl w:val="0"/>
          <w:numId w:val="1"/>
        </w:numPr>
        <w:tabs>
          <w:tab w:val="left" w:pos="1701"/>
        </w:tabs>
        <w:ind w:left="1134" w:right="1080" w:firstLine="0"/>
        <w:contextualSpacing w:val="0"/>
        <w:rPr>
          <w:rFonts w:ascii="Times New Roman" w:hAnsi="Times New Roman" w:cs="Times New Roman"/>
          <w:color w:val="000000" w:themeColor="text1"/>
          <w:sz w:val="20"/>
          <w:szCs w:val="20"/>
          <w:lang w:val="en-US"/>
        </w:rPr>
      </w:pPr>
      <w:r w:rsidRPr="009B087B">
        <w:rPr>
          <w:rFonts w:ascii="Times New Roman" w:hAnsi="Times New Roman" w:cs="Times New Roman"/>
          <w:color w:val="000000" w:themeColor="text1"/>
          <w:sz w:val="20"/>
          <w:szCs w:val="20"/>
          <w:lang w:val="en-US"/>
        </w:rPr>
        <w:t>In 2017, MoWECP published Advocacy and Socialization Guidelines on the Prevention of FGM/C for Religious Leaders and Institutions. These guidelines help provide tools for religious leaders, as well as prominent religious institutions, to convince communities that: there are no religious verses or text, or religious teachings on female circumcisions; it has no medical benefits; and there are no social/behavioral consequences. Another guideline, on Preventing FGM targeting Family and Community Leaders, is currently in the formulation process.</w:t>
      </w:r>
    </w:p>
    <w:p w14:paraId="5B6B5FA6" w14:textId="77777777" w:rsidR="000D4EDD" w:rsidRPr="009B087B" w:rsidRDefault="000D4EDD" w:rsidP="000D4EDD">
      <w:pPr>
        <w:pStyle w:val="ListParagraph"/>
        <w:numPr>
          <w:ilvl w:val="0"/>
          <w:numId w:val="1"/>
        </w:numPr>
        <w:tabs>
          <w:tab w:val="left" w:pos="1701"/>
        </w:tabs>
        <w:ind w:left="1134" w:right="1080" w:firstLine="0"/>
        <w:contextualSpacing w:val="0"/>
        <w:rPr>
          <w:rFonts w:ascii="Times New Roman" w:hAnsi="Times New Roman" w:cs="Times New Roman"/>
          <w:color w:val="000000" w:themeColor="text1"/>
          <w:sz w:val="20"/>
          <w:szCs w:val="20"/>
          <w:lang w:val="en-US"/>
        </w:rPr>
      </w:pPr>
      <w:r w:rsidRPr="009B087B">
        <w:rPr>
          <w:rFonts w:ascii="Times New Roman" w:eastAsiaTheme="minorEastAsia" w:hAnsi="Times New Roman" w:cs="Times New Roman"/>
          <w:color w:val="000000" w:themeColor="text1"/>
          <w:sz w:val="20"/>
          <w:szCs w:val="20"/>
          <w:lang w:val="en-US" w:eastAsia="id-ID"/>
        </w:rPr>
        <w:t xml:space="preserve">In 2018, MoH also published “Guidelines for Health Workers in the Prevention of Female Circumcision Practices”. This handbook is equipped with a Female Circumcision Practice Prevention Sheet that is used as a tool for health workers in providing Communication, Information and Education (CIE) regarding prevention of Female Circumcision practices to the public.  </w:t>
      </w:r>
    </w:p>
    <w:p w14:paraId="414137AD" w14:textId="77777777" w:rsidR="000D4EDD" w:rsidRPr="009B087B" w:rsidRDefault="000D4EDD" w:rsidP="000D4EDD">
      <w:pPr>
        <w:pStyle w:val="ListParagraph"/>
        <w:numPr>
          <w:ilvl w:val="0"/>
          <w:numId w:val="1"/>
        </w:numPr>
        <w:tabs>
          <w:tab w:val="left" w:pos="1701"/>
        </w:tabs>
        <w:ind w:left="1134" w:right="1080" w:firstLine="0"/>
        <w:rPr>
          <w:rFonts w:ascii="Times New Roman" w:eastAsiaTheme="minorEastAsia" w:hAnsi="Times New Roman" w:cs="Times New Roman"/>
          <w:strike/>
          <w:color w:val="000000" w:themeColor="text1"/>
          <w:sz w:val="20"/>
          <w:szCs w:val="20"/>
          <w:lang w:val="en-US" w:eastAsia="id-ID"/>
        </w:rPr>
      </w:pPr>
      <w:r w:rsidRPr="009B087B">
        <w:rPr>
          <w:rFonts w:ascii="Times New Roman" w:eastAsiaTheme="minorEastAsia" w:hAnsi="Times New Roman" w:cs="Times New Roman"/>
          <w:color w:val="000000" w:themeColor="text1"/>
          <w:sz w:val="20"/>
          <w:szCs w:val="20"/>
          <w:lang w:val="en-US" w:eastAsia="id-ID"/>
        </w:rPr>
        <w:t>In 2019, MOWECP with the support of UNFPA, established roadmap and National Action Plan on prevention FGM/C (P2GP) for 2020 – 2030. One of the main priorities is increasing public awareness including state administrators and health workers about the dangers of P2GP through various educations, both formal and non-formal.</w:t>
      </w:r>
      <w:r w:rsidRPr="009B087B">
        <w:rPr>
          <w:rFonts w:ascii="Times New Roman" w:hAnsi="Times New Roman" w:cs="Times New Roman"/>
          <w:color w:val="000000" w:themeColor="text1"/>
          <w:sz w:val="20"/>
          <w:szCs w:val="20"/>
          <w:lang w:val="en-US"/>
        </w:rPr>
        <w:t xml:space="preserve"> </w:t>
      </w:r>
    </w:p>
    <w:p w14:paraId="16A7315F" w14:textId="77777777" w:rsidR="00095223" w:rsidRPr="009B087B" w:rsidRDefault="00095223" w:rsidP="00095223">
      <w:pPr>
        <w:pStyle w:val="Heading1"/>
        <w:rPr>
          <w:sz w:val="20"/>
          <w:szCs w:val="20"/>
        </w:rPr>
      </w:pPr>
      <w:bookmarkStart w:id="13" w:name="_Toc76480794"/>
      <w:bookmarkStart w:id="14" w:name="_Toc76480795"/>
      <w:r w:rsidRPr="009B087B">
        <w:rPr>
          <w:sz w:val="20"/>
          <w:szCs w:val="20"/>
        </w:rPr>
        <w:t>Water and Sanitation</w:t>
      </w:r>
      <w:bookmarkEnd w:id="13"/>
    </w:p>
    <w:p w14:paraId="7BF69108" w14:textId="55BE0C7C" w:rsidR="00095223" w:rsidRPr="009B087B" w:rsidRDefault="00095223" w:rsidP="00095223">
      <w:pPr>
        <w:pStyle w:val="ListParagraph"/>
        <w:numPr>
          <w:ilvl w:val="0"/>
          <w:numId w:val="1"/>
        </w:numPr>
        <w:tabs>
          <w:tab w:val="left" w:pos="1701"/>
        </w:tabs>
        <w:ind w:left="1134" w:right="1080" w:firstLine="0"/>
        <w:contextualSpacing w:val="0"/>
        <w:rPr>
          <w:rFonts w:ascii="Times New Roman" w:hAnsi="Times New Roman" w:cs="Times New Roman"/>
          <w:color w:val="000000" w:themeColor="text1"/>
          <w:sz w:val="20"/>
          <w:szCs w:val="20"/>
          <w:lang w:val="en-US"/>
        </w:rPr>
      </w:pPr>
      <w:r w:rsidRPr="009B087B">
        <w:rPr>
          <w:rFonts w:ascii="Times New Roman" w:hAnsi="Times New Roman" w:cs="Times New Roman"/>
          <w:color w:val="000000" w:themeColor="text1"/>
          <w:sz w:val="20"/>
          <w:szCs w:val="20"/>
          <w:lang w:val="en-US"/>
        </w:rPr>
        <w:t xml:space="preserve">GoI continues to improve access to drinking water and proper sanitation by establishing the Community Based Drinking Water Supply and Sanitation (Pamsimas) program which has become one of the national priority programs to increase access of rural populations to proper drinking water and sanitation facilities using a community-based approach. </w:t>
      </w:r>
    </w:p>
    <w:p w14:paraId="3451E007" w14:textId="77777777" w:rsidR="007631AE" w:rsidRPr="009B087B" w:rsidRDefault="007631AE" w:rsidP="007631AE">
      <w:pPr>
        <w:pStyle w:val="ListParagraph"/>
        <w:numPr>
          <w:ilvl w:val="0"/>
          <w:numId w:val="1"/>
        </w:numPr>
        <w:tabs>
          <w:tab w:val="left" w:pos="1701"/>
        </w:tabs>
        <w:autoSpaceDE w:val="0"/>
        <w:autoSpaceDN w:val="0"/>
        <w:adjustRightInd w:val="0"/>
        <w:ind w:left="1134" w:right="1080" w:firstLine="0"/>
        <w:contextualSpacing w:val="0"/>
        <w:rPr>
          <w:rFonts w:ascii="Times New Roman" w:hAnsi="Times New Roman" w:cs="Times New Roman"/>
          <w:color w:val="000000" w:themeColor="text1"/>
          <w:sz w:val="20"/>
          <w:szCs w:val="20"/>
          <w:lang w:val="en-US"/>
        </w:rPr>
      </w:pPr>
      <w:r w:rsidRPr="009B087B">
        <w:rPr>
          <w:rFonts w:ascii="Times New Roman" w:hAnsi="Times New Roman" w:cs="Times New Roman"/>
          <w:color w:val="000000" w:themeColor="text1"/>
          <w:sz w:val="20"/>
          <w:szCs w:val="20"/>
          <w:lang w:val="en-US"/>
        </w:rPr>
        <w:t>Data from the STBM National Profile until early 2018, from a total of 9,825 health centers in Indonesia as of December 2017, as many as 8,584 Puskesmas (87.36%) have run the STBM program, and have health human resources, especially sanitarians, as many as 8,760 people, 1,976 people (22.56%) of them are trained sanitarians, with 81% of the active STBM facilitators.</w:t>
      </w:r>
    </w:p>
    <w:p w14:paraId="440C34D9" w14:textId="77777777" w:rsidR="007631AE" w:rsidRPr="009B087B" w:rsidRDefault="007631AE" w:rsidP="007631AE">
      <w:pPr>
        <w:pStyle w:val="ListParagraph"/>
        <w:numPr>
          <w:ilvl w:val="0"/>
          <w:numId w:val="1"/>
        </w:numPr>
        <w:tabs>
          <w:tab w:val="left" w:pos="1701"/>
        </w:tabs>
        <w:autoSpaceDE w:val="0"/>
        <w:autoSpaceDN w:val="0"/>
        <w:adjustRightInd w:val="0"/>
        <w:ind w:left="1134" w:right="1080" w:firstLine="0"/>
        <w:contextualSpacing w:val="0"/>
        <w:rPr>
          <w:rFonts w:ascii="Times New Roman" w:hAnsi="Times New Roman" w:cs="Times New Roman"/>
          <w:color w:val="000000" w:themeColor="text1"/>
          <w:sz w:val="20"/>
          <w:szCs w:val="20"/>
          <w:lang w:val="en-US"/>
        </w:rPr>
      </w:pPr>
      <w:r w:rsidRPr="009B087B">
        <w:rPr>
          <w:rFonts w:ascii="Times New Roman" w:hAnsi="Times New Roman" w:cs="Times New Roman"/>
          <w:color w:val="000000" w:themeColor="text1"/>
          <w:sz w:val="20"/>
          <w:szCs w:val="20"/>
          <w:lang w:val="en-US"/>
        </w:rPr>
        <w:t>The percentage of villages/wards with STBM this year has reached 47.48% of the total number of villages/wards, an increase from the average achievement in 2016 of 42.24% and in 2015 of 32.91%. While the percentage of villages/wards with ODF that has been cumulatively verified reaches 14,020 villages/wards or 35.39% of the 39,616 villages/wards with STBM</w:t>
      </w:r>
      <w:r w:rsidRPr="009B087B">
        <w:rPr>
          <w:rStyle w:val="EndnoteReference"/>
          <w:rFonts w:ascii="Times New Roman" w:hAnsi="Times New Roman" w:cs="Times New Roman"/>
          <w:color w:val="000000" w:themeColor="text1"/>
          <w:sz w:val="20"/>
          <w:szCs w:val="20"/>
          <w:lang w:val="en-US"/>
        </w:rPr>
        <w:endnoteReference w:id="2"/>
      </w:r>
      <w:r w:rsidRPr="009B087B">
        <w:rPr>
          <w:rFonts w:ascii="Times New Roman" w:hAnsi="Times New Roman" w:cs="Times New Roman"/>
          <w:color w:val="000000" w:themeColor="text1"/>
          <w:sz w:val="20"/>
          <w:szCs w:val="20"/>
          <w:lang w:val="en-US"/>
        </w:rPr>
        <w:t>. Several provinces that have successfully implemented this program well are D.I Yogyakarta, West Nusa Tenggara and East Java.</w:t>
      </w:r>
    </w:p>
    <w:p w14:paraId="76F1C650" w14:textId="1FB9EEB7" w:rsidR="007631AE" w:rsidRPr="003566AC" w:rsidRDefault="007631AE" w:rsidP="003566AC">
      <w:pPr>
        <w:pStyle w:val="ListParagraph"/>
        <w:numPr>
          <w:ilvl w:val="0"/>
          <w:numId w:val="1"/>
        </w:numPr>
        <w:tabs>
          <w:tab w:val="left" w:pos="1701"/>
        </w:tabs>
        <w:autoSpaceDE w:val="0"/>
        <w:autoSpaceDN w:val="0"/>
        <w:adjustRightInd w:val="0"/>
        <w:ind w:left="1134" w:right="1080" w:firstLine="0"/>
        <w:contextualSpacing w:val="0"/>
        <w:rPr>
          <w:rFonts w:ascii="Times New Roman" w:hAnsi="Times New Roman" w:cs="Times New Roman"/>
          <w:color w:val="000000" w:themeColor="text1"/>
          <w:sz w:val="20"/>
          <w:szCs w:val="20"/>
          <w:lang w:val="en-US"/>
        </w:rPr>
      </w:pPr>
      <w:r w:rsidRPr="009B087B">
        <w:rPr>
          <w:rFonts w:ascii="Times New Roman" w:hAnsi="Times New Roman" w:cs="Times New Roman"/>
          <w:color w:val="000000" w:themeColor="text1"/>
          <w:sz w:val="20"/>
          <w:szCs w:val="20"/>
          <w:lang w:val="en-US"/>
        </w:rPr>
        <w:t>Nationally, the percentage of households with access to proper drinking water is 89.27%. Provinces with the highest percentage of households with access to safe drinking water were DKI Jakarta (99.82%), Bali (96.84%), and DIY (94.94%). Meanwhile, provinces with the lowest percentage of households according to access to safe drinking water were South Kalimantan (69.45%), Papua (60.85%), and Bengkulu (57.60%).</w:t>
      </w:r>
    </w:p>
    <w:p w14:paraId="7EE41442" w14:textId="2280FC65" w:rsidR="00172AEF" w:rsidRPr="009B087B" w:rsidRDefault="00172AEF" w:rsidP="00095223">
      <w:pPr>
        <w:pStyle w:val="Heading1"/>
        <w:rPr>
          <w:sz w:val="20"/>
          <w:szCs w:val="20"/>
        </w:rPr>
      </w:pPr>
      <w:r w:rsidRPr="009B087B">
        <w:rPr>
          <w:sz w:val="20"/>
          <w:szCs w:val="20"/>
        </w:rPr>
        <w:t>Mining and Plantation Sectors</w:t>
      </w:r>
      <w:bookmarkEnd w:id="14"/>
    </w:p>
    <w:p w14:paraId="15FCC2E4" w14:textId="77777777" w:rsidR="00172AEF" w:rsidRPr="009B087B" w:rsidRDefault="00172AEF" w:rsidP="00172AEF">
      <w:pPr>
        <w:pStyle w:val="ListParagraph"/>
        <w:numPr>
          <w:ilvl w:val="0"/>
          <w:numId w:val="1"/>
        </w:numPr>
        <w:tabs>
          <w:tab w:val="left" w:pos="1701"/>
        </w:tabs>
        <w:ind w:left="1134" w:right="1077" w:firstLine="0"/>
        <w:contextualSpacing w:val="0"/>
        <w:rPr>
          <w:rFonts w:ascii="Times New Roman" w:hAnsi="Times New Roman" w:cs="Times New Roman"/>
          <w:color w:val="000000" w:themeColor="text1"/>
          <w:sz w:val="20"/>
          <w:szCs w:val="20"/>
          <w:lang w:val="en-US"/>
        </w:rPr>
      </w:pPr>
      <w:r w:rsidRPr="009B087B">
        <w:rPr>
          <w:rFonts w:ascii="Times New Roman" w:hAnsi="Times New Roman" w:cs="Times New Roman"/>
          <w:color w:val="000000" w:themeColor="text1"/>
          <w:sz w:val="20"/>
          <w:szCs w:val="20"/>
          <w:lang w:val="en-US"/>
        </w:rPr>
        <w:t>GoI has also included a program to improve the environmental impact assessment system and examination of environmental documents by developing and implementing an environmental document information system, reports from the Environmental Impact Assessment Commission (KPA) and evaluation of the environmental impact assessment system in the 2020-2024</w:t>
      </w:r>
      <w:r w:rsidRPr="009B087B">
        <w:rPr>
          <w:rFonts w:ascii="Times New Roman" w:hAnsi="Times New Roman" w:cs="Times New Roman"/>
          <w:color w:val="000000" w:themeColor="text1"/>
          <w:sz w:val="20"/>
          <w:szCs w:val="20"/>
        </w:rPr>
        <w:t xml:space="preserve"> </w:t>
      </w:r>
      <w:r w:rsidRPr="009B087B">
        <w:rPr>
          <w:rFonts w:ascii="Times New Roman" w:hAnsi="Times New Roman" w:cs="Times New Roman"/>
          <w:color w:val="000000" w:themeColor="text1"/>
          <w:sz w:val="20"/>
          <w:szCs w:val="20"/>
          <w:lang w:val="en-US"/>
        </w:rPr>
        <w:t>RPJMN. In addition, 2 programs in priority projects are law enforcement, civil law enforcement, and mediation in the law enforcement process in the natural resources and environment sector; and environmental impacts of regional policies and prevention of environmental impacts of businesses and activities.</w:t>
      </w:r>
    </w:p>
    <w:p w14:paraId="1CC4B21E" w14:textId="3D7898BB" w:rsidR="00172AEF" w:rsidRPr="009B087B" w:rsidRDefault="00172AEF" w:rsidP="00172AEF">
      <w:pPr>
        <w:pStyle w:val="Heading1"/>
        <w:rPr>
          <w:sz w:val="20"/>
          <w:szCs w:val="20"/>
        </w:rPr>
      </w:pPr>
      <w:bookmarkStart w:id="15" w:name="_Toc76480796"/>
      <w:r w:rsidRPr="009B087B">
        <w:rPr>
          <w:sz w:val="20"/>
          <w:szCs w:val="20"/>
        </w:rPr>
        <w:t>Land Tenure</w:t>
      </w:r>
      <w:bookmarkEnd w:id="15"/>
    </w:p>
    <w:p w14:paraId="6F34D907" w14:textId="1997DE4A" w:rsidR="00032091" w:rsidRPr="009B087B" w:rsidRDefault="00032091" w:rsidP="00032091">
      <w:pPr>
        <w:pStyle w:val="ListParagraph"/>
        <w:numPr>
          <w:ilvl w:val="0"/>
          <w:numId w:val="1"/>
        </w:numPr>
        <w:tabs>
          <w:tab w:val="left" w:pos="1701"/>
        </w:tabs>
        <w:ind w:left="1134" w:right="1077" w:firstLine="0"/>
        <w:contextualSpacing w:val="0"/>
        <w:rPr>
          <w:rFonts w:ascii="Times New Roman" w:eastAsia="Times New Roman" w:hAnsi="Times New Roman" w:cs="Times New Roman"/>
          <w:color w:val="000000" w:themeColor="text1"/>
          <w:sz w:val="20"/>
          <w:szCs w:val="20"/>
          <w:lang w:val="en-US" w:eastAsia="id-ID"/>
        </w:rPr>
      </w:pPr>
      <w:r w:rsidRPr="009B087B">
        <w:rPr>
          <w:rFonts w:ascii="Times New Roman" w:hAnsi="Times New Roman" w:cs="Times New Roman"/>
          <w:color w:val="000000" w:themeColor="text1"/>
          <w:sz w:val="20"/>
          <w:szCs w:val="20"/>
          <w:lang w:val="en-US"/>
        </w:rPr>
        <w:t xml:space="preserve">GoI </w:t>
      </w:r>
      <w:r w:rsidRPr="009B087B">
        <w:rPr>
          <w:rFonts w:ascii="Times New Roman" w:eastAsia="Times New Roman" w:hAnsi="Times New Roman" w:cs="Times New Roman"/>
          <w:color w:val="000000" w:themeColor="text1"/>
          <w:sz w:val="20"/>
          <w:szCs w:val="20"/>
          <w:lang w:val="en-US" w:eastAsia="id-ID"/>
        </w:rPr>
        <w:t xml:space="preserve">has formed an Accelerated Agrarian Conflict Resolution Team since 2016 with 2 institutions in charge, namely </w:t>
      </w:r>
      <w:r w:rsidRPr="009B087B">
        <w:rPr>
          <w:rFonts w:ascii="Times New Roman" w:hAnsi="Times New Roman" w:cs="Times New Roman"/>
          <w:color w:val="000000" w:themeColor="text1"/>
          <w:sz w:val="20"/>
          <w:szCs w:val="20"/>
          <w:lang w:eastAsia="id-ID"/>
        </w:rPr>
        <w:t>MoAASP</w:t>
      </w:r>
      <w:r w:rsidRPr="009B087B">
        <w:rPr>
          <w:rFonts w:ascii="Times New Roman" w:eastAsia="Times New Roman" w:hAnsi="Times New Roman" w:cs="Times New Roman"/>
          <w:color w:val="000000" w:themeColor="text1"/>
          <w:sz w:val="20"/>
          <w:szCs w:val="20"/>
          <w:lang w:val="en-US" w:eastAsia="id-ID"/>
        </w:rPr>
        <w:t xml:space="preserve"> for agrarian conflicts outside forest areas and </w:t>
      </w:r>
      <w:r w:rsidRPr="009B087B">
        <w:rPr>
          <w:rFonts w:ascii="Times New Roman" w:eastAsia="Times New Roman" w:hAnsi="Times New Roman" w:cs="Times New Roman"/>
          <w:color w:val="000000" w:themeColor="text1"/>
          <w:sz w:val="20"/>
          <w:szCs w:val="20"/>
          <w:lang w:eastAsia="id-ID"/>
        </w:rPr>
        <w:t>MoEF</w:t>
      </w:r>
      <w:r w:rsidRPr="009B087B">
        <w:rPr>
          <w:rFonts w:ascii="Times New Roman" w:eastAsia="Times New Roman" w:hAnsi="Times New Roman" w:cs="Times New Roman"/>
          <w:color w:val="000000" w:themeColor="text1"/>
          <w:sz w:val="20"/>
          <w:szCs w:val="20"/>
          <w:lang w:val="en-US" w:eastAsia="id-ID"/>
        </w:rPr>
        <w:t xml:space="preserve"> for agrarian conflicts inside forest areas. </w:t>
      </w:r>
    </w:p>
    <w:p w14:paraId="5976D036" w14:textId="77777777" w:rsidR="00032091" w:rsidRPr="009B087B" w:rsidRDefault="00032091" w:rsidP="00032091">
      <w:pPr>
        <w:pStyle w:val="ListParagraph"/>
        <w:numPr>
          <w:ilvl w:val="0"/>
          <w:numId w:val="1"/>
        </w:numPr>
        <w:tabs>
          <w:tab w:val="left" w:pos="1701"/>
        </w:tabs>
        <w:ind w:left="1134" w:right="1077" w:firstLine="0"/>
        <w:contextualSpacing w:val="0"/>
        <w:rPr>
          <w:rFonts w:ascii="Times New Roman" w:eastAsia="Times New Roman" w:hAnsi="Times New Roman" w:cs="Times New Roman"/>
          <w:color w:val="000000" w:themeColor="text1"/>
          <w:sz w:val="20"/>
          <w:szCs w:val="20"/>
          <w:lang w:val="en-US"/>
        </w:rPr>
      </w:pPr>
      <w:r w:rsidRPr="009B087B">
        <w:rPr>
          <w:rFonts w:ascii="Times New Roman" w:hAnsi="Times New Roman" w:cs="Times New Roman"/>
          <w:color w:val="000000" w:themeColor="text1"/>
          <w:sz w:val="20"/>
          <w:szCs w:val="20"/>
          <w:lang w:val="en-US"/>
        </w:rPr>
        <w:t xml:space="preserve">Implementing regulations in handling land cases, namely the Regulation of the </w:t>
      </w:r>
      <w:r w:rsidRPr="009B087B">
        <w:rPr>
          <w:rFonts w:ascii="Times New Roman" w:hAnsi="Times New Roman" w:cs="Times New Roman"/>
          <w:color w:val="000000" w:themeColor="text1"/>
          <w:sz w:val="20"/>
          <w:szCs w:val="20"/>
          <w:lang w:eastAsia="id-ID"/>
        </w:rPr>
        <w:t>MoAASP</w:t>
      </w:r>
      <w:r w:rsidRPr="009B087B">
        <w:rPr>
          <w:rFonts w:ascii="Times New Roman" w:hAnsi="Times New Roman" w:cs="Times New Roman"/>
          <w:color w:val="000000" w:themeColor="text1"/>
          <w:sz w:val="20"/>
          <w:szCs w:val="20"/>
          <w:lang w:val="en-US"/>
        </w:rPr>
        <w:t xml:space="preserve">/Head of the National Land Agency </w:t>
      </w:r>
      <w:r w:rsidRPr="009B087B">
        <w:rPr>
          <w:rFonts w:ascii="Times New Roman" w:hAnsi="Times New Roman" w:cs="Times New Roman"/>
          <w:color w:val="000000" w:themeColor="text1"/>
          <w:sz w:val="20"/>
          <w:szCs w:val="20"/>
        </w:rPr>
        <w:t xml:space="preserve">No. </w:t>
      </w:r>
      <w:r w:rsidRPr="009B087B">
        <w:rPr>
          <w:rFonts w:ascii="Times New Roman" w:hAnsi="Times New Roman" w:cs="Times New Roman"/>
          <w:color w:val="000000" w:themeColor="text1"/>
          <w:sz w:val="20"/>
          <w:szCs w:val="20"/>
          <w:lang w:val="en-US"/>
        </w:rPr>
        <w:t xml:space="preserve"> 11 of 2016 on Settlement of Land Cases. In handling land cases, especially those classified as serious cases, the handling by the </w:t>
      </w:r>
      <w:r w:rsidRPr="009B087B">
        <w:rPr>
          <w:rFonts w:ascii="Times New Roman" w:hAnsi="Times New Roman" w:cs="Times New Roman"/>
          <w:color w:val="000000" w:themeColor="text1"/>
          <w:sz w:val="20"/>
          <w:szCs w:val="20"/>
          <w:lang w:eastAsia="id-ID"/>
        </w:rPr>
        <w:t>MoAASP</w:t>
      </w:r>
      <w:r w:rsidRPr="009B087B">
        <w:rPr>
          <w:rFonts w:ascii="Times New Roman" w:hAnsi="Times New Roman" w:cs="Times New Roman"/>
          <w:color w:val="000000" w:themeColor="text1"/>
          <w:sz w:val="20"/>
          <w:szCs w:val="20"/>
          <w:lang w:val="en-US"/>
        </w:rPr>
        <w:t xml:space="preserve"> is carried out openly and in coordination with other ministries/agencies which also have the authority to resolve land problems in accordance with their main duties. This is intended so that the results of problem solving do not cause new problems in the future, especially with regard to land issues involving government agencies as one of the parties. Handling of land cases until 2019 is 22,424 cases with 11,967 cases that have been concluded (53.36%).</w:t>
      </w:r>
    </w:p>
    <w:p w14:paraId="516945B1" w14:textId="7CEF0B4B" w:rsidR="00032091" w:rsidRPr="009B087B" w:rsidRDefault="00032091" w:rsidP="00032091">
      <w:pPr>
        <w:pStyle w:val="Heading1"/>
        <w:rPr>
          <w:sz w:val="20"/>
          <w:szCs w:val="20"/>
        </w:rPr>
      </w:pPr>
      <w:bookmarkStart w:id="16" w:name="_Toc76480798"/>
      <w:r w:rsidRPr="009B087B">
        <w:rPr>
          <w:sz w:val="20"/>
          <w:szCs w:val="20"/>
        </w:rPr>
        <w:t>Right to Food</w:t>
      </w:r>
      <w:bookmarkEnd w:id="16"/>
    </w:p>
    <w:p w14:paraId="1C1182D2" w14:textId="77777777" w:rsidR="00032091" w:rsidRPr="009B087B" w:rsidRDefault="00032091" w:rsidP="00032091">
      <w:pPr>
        <w:pStyle w:val="ListParagraph"/>
        <w:numPr>
          <w:ilvl w:val="0"/>
          <w:numId w:val="1"/>
        </w:numPr>
        <w:tabs>
          <w:tab w:val="left" w:pos="1701"/>
        </w:tabs>
        <w:ind w:left="1134" w:right="1077" w:firstLine="0"/>
        <w:contextualSpacing w:val="0"/>
        <w:rPr>
          <w:rFonts w:ascii="Times New Roman" w:hAnsi="Times New Roman" w:cs="Times New Roman"/>
          <w:color w:val="000000" w:themeColor="text1"/>
          <w:sz w:val="20"/>
          <w:szCs w:val="20"/>
          <w:lang w:val="en-US"/>
        </w:rPr>
      </w:pPr>
      <w:r w:rsidRPr="009B087B">
        <w:rPr>
          <w:rFonts w:ascii="Times New Roman" w:hAnsi="Times New Roman" w:cs="Times New Roman"/>
          <w:color w:val="000000" w:themeColor="text1"/>
          <w:sz w:val="20"/>
          <w:szCs w:val="20"/>
          <w:lang w:val="en-US"/>
        </w:rPr>
        <w:t xml:space="preserve">In </w:t>
      </w:r>
      <w:r w:rsidRPr="009B087B">
        <w:rPr>
          <w:rFonts w:ascii="Times New Roman" w:eastAsia="Times New Roman" w:hAnsi="Times New Roman" w:cs="Times New Roman"/>
          <w:color w:val="000000" w:themeColor="text1"/>
          <w:sz w:val="20"/>
          <w:szCs w:val="20"/>
          <w:lang w:val="en-US" w:eastAsia="id-ID"/>
        </w:rPr>
        <w:t>RPJMN</w:t>
      </w:r>
      <w:r w:rsidRPr="009B087B">
        <w:rPr>
          <w:rFonts w:ascii="Times New Roman" w:hAnsi="Times New Roman" w:cs="Times New Roman"/>
          <w:color w:val="000000" w:themeColor="text1"/>
          <w:sz w:val="20"/>
          <w:szCs w:val="20"/>
          <w:lang w:val="en-US"/>
        </w:rPr>
        <w:t xml:space="preserve"> 2020 - 2024, GoI will build 18 multipurpose reservoirs to improve the availability of water supply in 51 premium irrigation areas by 20%. Furthermore, GoI establishes a program to increase the availability, accessibility, and quality of food consumption which is implemented with the following strategies: (1) increasing the quality of consumption, safety, fortification and bio fortification of food; (2) increasing the availability of food from agriculture, fishery and seafood, especially by increasing productivity and sustainable production techniques to maintain the stability of supply and price of basic necessities; (3) increasing productivity, human resource welfare in agriculture, fisheries and market certainty; (4) maintaining sustainable productivity of agricultural resources that are adaptive to climate change, precision farming systems, land management and irrigation water; and (5) improving the governance of the national food system.</w:t>
      </w:r>
    </w:p>
    <w:p w14:paraId="18936095" w14:textId="48020712" w:rsidR="00032091" w:rsidRPr="009B087B" w:rsidRDefault="00032091" w:rsidP="00032091">
      <w:pPr>
        <w:pStyle w:val="Heading1"/>
        <w:rPr>
          <w:sz w:val="20"/>
          <w:szCs w:val="20"/>
        </w:rPr>
      </w:pPr>
      <w:bookmarkStart w:id="17" w:name="_Toc76480799"/>
      <w:r w:rsidRPr="009B087B">
        <w:rPr>
          <w:sz w:val="20"/>
          <w:szCs w:val="20"/>
        </w:rPr>
        <w:t>Health Care System</w:t>
      </w:r>
      <w:bookmarkEnd w:id="17"/>
    </w:p>
    <w:p w14:paraId="3006C168" w14:textId="4BD8CD1C" w:rsidR="00032091" w:rsidRPr="009B087B" w:rsidRDefault="008F27D0" w:rsidP="00032091">
      <w:pPr>
        <w:pStyle w:val="ListParagraph"/>
        <w:numPr>
          <w:ilvl w:val="0"/>
          <w:numId w:val="1"/>
        </w:numPr>
        <w:tabs>
          <w:tab w:val="left" w:pos="1701"/>
        </w:tabs>
        <w:ind w:left="1134" w:right="1080" w:firstLine="0"/>
        <w:contextualSpacing w:val="0"/>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S</w:t>
      </w:r>
      <w:r w:rsidR="00032091" w:rsidRPr="009B087B">
        <w:rPr>
          <w:rFonts w:ascii="Times New Roman" w:hAnsi="Times New Roman" w:cs="Times New Roman"/>
          <w:color w:val="000000" w:themeColor="text1"/>
          <w:sz w:val="20"/>
          <w:szCs w:val="20"/>
          <w:lang w:val="en-US"/>
        </w:rPr>
        <w:t xml:space="preserve">everal other efforts are made to ensure that health services can reached remote areas, including through the Village Fund, 4,004 Pustu units and 10,964 </w:t>
      </w:r>
      <w:r w:rsidR="00032091" w:rsidRPr="009B087B">
        <w:rPr>
          <w:rFonts w:ascii="Times New Roman" w:hAnsi="Times New Roman" w:cs="Times New Roman"/>
          <w:color w:val="000000" w:themeColor="text1"/>
          <w:sz w:val="20"/>
          <w:szCs w:val="20"/>
        </w:rPr>
        <w:t>Integrated Health Service (</w:t>
      </w:r>
      <w:r w:rsidR="00032091" w:rsidRPr="009B087B">
        <w:rPr>
          <w:rFonts w:ascii="Times New Roman" w:hAnsi="Times New Roman" w:cs="Times New Roman"/>
          <w:color w:val="000000" w:themeColor="text1"/>
          <w:sz w:val="20"/>
          <w:szCs w:val="20"/>
          <w:lang w:val="en-US"/>
        </w:rPr>
        <w:t>Posyandu</w:t>
      </w:r>
      <w:r w:rsidR="00032091" w:rsidRPr="009B087B">
        <w:rPr>
          <w:rFonts w:ascii="Times New Roman" w:hAnsi="Times New Roman" w:cs="Times New Roman"/>
          <w:color w:val="000000" w:themeColor="text1"/>
          <w:sz w:val="20"/>
          <w:szCs w:val="20"/>
        </w:rPr>
        <w:t>)</w:t>
      </w:r>
      <w:r w:rsidR="00032091" w:rsidRPr="009B087B">
        <w:rPr>
          <w:rFonts w:ascii="Times New Roman" w:hAnsi="Times New Roman" w:cs="Times New Roman"/>
          <w:color w:val="000000" w:themeColor="text1"/>
          <w:sz w:val="20"/>
          <w:szCs w:val="20"/>
          <w:lang w:val="en-US"/>
        </w:rPr>
        <w:t xml:space="preserve"> units have been established in the 2015-2019 period. The SDGs Village also ensures that all villagers receive health social security</w:t>
      </w:r>
      <w:r w:rsidR="00032091" w:rsidRPr="009B087B">
        <w:rPr>
          <w:rFonts w:ascii="Times New Roman" w:hAnsi="Times New Roman" w:cs="Times New Roman"/>
          <w:color w:val="000000" w:themeColor="text1"/>
          <w:sz w:val="20"/>
          <w:szCs w:val="20"/>
        </w:rPr>
        <w:t xml:space="preserve"> </w:t>
      </w:r>
      <w:r w:rsidR="00032091" w:rsidRPr="009B087B">
        <w:rPr>
          <w:rFonts w:ascii="Times New Roman" w:hAnsi="Times New Roman" w:cs="Times New Roman"/>
          <w:color w:val="000000" w:themeColor="text1"/>
          <w:sz w:val="20"/>
          <w:szCs w:val="20"/>
          <w:lang w:val="en-US"/>
        </w:rPr>
        <w:t>especially with regard to lowest income families.</w:t>
      </w:r>
    </w:p>
    <w:p w14:paraId="7F9A19CA" w14:textId="5FB2F4F4" w:rsidR="004B3FC2" w:rsidRPr="009B087B" w:rsidRDefault="004B3FC2" w:rsidP="004B3FC2">
      <w:pPr>
        <w:pStyle w:val="Heading1"/>
        <w:rPr>
          <w:sz w:val="20"/>
          <w:szCs w:val="20"/>
        </w:rPr>
      </w:pPr>
      <w:bookmarkStart w:id="18" w:name="_Toc76480801"/>
      <w:r w:rsidRPr="009B087B">
        <w:rPr>
          <w:sz w:val="20"/>
          <w:szCs w:val="20"/>
        </w:rPr>
        <w:t>Mental Health</w:t>
      </w:r>
      <w:bookmarkEnd w:id="18"/>
    </w:p>
    <w:p w14:paraId="2818413E" w14:textId="77777777" w:rsidR="004B3FC2" w:rsidRPr="009B087B" w:rsidRDefault="004B3FC2" w:rsidP="004B3FC2">
      <w:pPr>
        <w:pStyle w:val="ListParagraph"/>
        <w:numPr>
          <w:ilvl w:val="0"/>
          <w:numId w:val="1"/>
        </w:numPr>
        <w:tabs>
          <w:tab w:val="left" w:pos="1701"/>
        </w:tabs>
        <w:ind w:left="1134" w:right="1080" w:firstLine="0"/>
        <w:contextualSpacing w:val="0"/>
        <w:rPr>
          <w:rFonts w:ascii="Times New Roman" w:hAnsi="Times New Roman" w:cs="Times New Roman"/>
          <w:color w:val="000000" w:themeColor="text1"/>
          <w:sz w:val="20"/>
          <w:szCs w:val="20"/>
          <w:lang w:val="en-US"/>
        </w:rPr>
      </w:pPr>
      <w:r w:rsidRPr="009B087B">
        <w:rPr>
          <w:rFonts w:ascii="Times New Roman" w:hAnsi="Times New Roman" w:cs="Times New Roman"/>
          <w:color w:val="000000" w:themeColor="text1"/>
          <w:sz w:val="20"/>
          <w:szCs w:val="20"/>
          <w:lang w:val="en-US"/>
        </w:rPr>
        <w:t xml:space="preserve">Mental health is one of the health indicators listed in the 2015-2019 RPJMN and </w:t>
      </w:r>
      <w:r w:rsidRPr="009B087B">
        <w:rPr>
          <w:rFonts w:ascii="Times New Roman" w:hAnsi="Times New Roman" w:cs="Times New Roman"/>
          <w:color w:val="000000" w:themeColor="text1"/>
          <w:sz w:val="20"/>
          <w:szCs w:val="20"/>
        </w:rPr>
        <w:t>Strateg</w:t>
      </w:r>
      <w:r w:rsidRPr="009B087B">
        <w:rPr>
          <w:rFonts w:ascii="Times New Roman" w:hAnsi="Times New Roman" w:cs="Times New Roman"/>
          <w:color w:val="000000" w:themeColor="text1"/>
          <w:sz w:val="20"/>
          <w:szCs w:val="20"/>
          <w:lang w:val="en-GB"/>
        </w:rPr>
        <w:t>ic</w:t>
      </w:r>
      <w:r w:rsidRPr="009B087B">
        <w:rPr>
          <w:rFonts w:ascii="Times New Roman" w:hAnsi="Times New Roman" w:cs="Times New Roman"/>
          <w:color w:val="000000" w:themeColor="text1"/>
          <w:sz w:val="20"/>
          <w:szCs w:val="20"/>
        </w:rPr>
        <w:t xml:space="preserve"> Plan of MoH</w:t>
      </w:r>
      <w:r w:rsidRPr="009B087B">
        <w:rPr>
          <w:rFonts w:ascii="Times New Roman" w:hAnsi="Times New Roman" w:cs="Times New Roman"/>
          <w:color w:val="000000" w:themeColor="text1"/>
          <w:sz w:val="20"/>
          <w:szCs w:val="20"/>
          <w:lang w:val="en-US"/>
        </w:rPr>
        <w:t>, namely the number of regencies/cities with Puskesmas that carry out mental health measures according to the criteria: having trained mental health personnel, making promotional preventive efforts, conducting early detection and intervention for mental disorders.</w:t>
      </w:r>
    </w:p>
    <w:p w14:paraId="663B75E4" w14:textId="77777777" w:rsidR="004B3FC2" w:rsidRPr="009B087B" w:rsidRDefault="004B3FC2" w:rsidP="004B3FC2">
      <w:pPr>
        <w:pStyle w:val="ListParagraph"/>
        <w:numPr>
          <w:ilvl w:val="0"/>
          <w:numId w:val="1"/>
        </w:numPr>
        <w:tabs>
          <w:tab w:val="left" w:pos="1701"/>
        </w:tabs>
        <w:ind w:left="1134" w:right="1077" w:firstLine="0"/>
        <w:contextualSpacing w:val="0"/>
        <w:rPr>
          <w:rFonts w:ascii="Times New Roman" w:hAnsi="Times New Roman" w:cs="Times New Roman"/>
          <w:color w:val="000000" w:themeColor="text1"/>
          <w:sz w:val="20"/>
          <w:szCs w:val="20"/>
          <w:lang w:val="en-US"/>
        </w:rPr>
      </w:pPr>
      <w:r w:rsidRPr="009B087B">
        <w:rPr>
          <w:rFonts w:ascii="Times New Roman" w:hAnsi="Times New Roman" w:cs="Times New Roman"/>
          <w:color w:val="000000" w:themeColor="text1"/>
          <w:sz w:val="20"/>
          <w:szCs w:val="20"/>
          <w:lang w:val="en-US"/>
        </w:rPr>
        <w:t xml:space="preserve">Tobacco control efforts in Indonesia is stipulated in Government Regulation no. 109/2012 on Safeguarding of Materials Containing Addictive Substances in the form of Tobacco Products for Health, whichis in line with the MPOWER strategy proposed by WHO in accordance with the FCTC.  </w:t>
      </w:r>
    </w:p>
    <w:p w14:paraId="12269375" w14:textId="77777777" w:rsidR="004B3FC2" w:rsidRPr="009B087B" w:rsidRDefault="004B3FC2" w:rsidP="004B3FC2">
      <w:pPr>
        <w:pStyle w:val="ListParagraph"/>
        <w:numPr>
          <w:ilvl w:val="0"/>
          <w:numId w:val="1"/>
        </w:numPr>
        <w:tabs>
          <w:tab w:val="left" w:pos="1701"/>
        </w:tabs>
        <w:ind w:left="1134" w:right="1077" w:firstLine="0"/>
        <w:contextualSpacing w:val="0"/>
        <w:rPr>
          <w:rFonts w:ascii="Times New Roman" w:hAnsi="Times New Roman" w:cs="Times New Roman"/>
          <w:color w:val="000000" w:themeColor="text1"/>
          <w:sz w:val="20"/>
          <w:szCs w:val="20"/>
          <w:lang w:val="en-US"/>
        </w:rPr>
      </w:pPr>
      <w:r w:rsidRPr="009B087B">
        <w:rPr>
          <w:rFonts w:ascii="Times New Roman" w:hAnsi="Times New Roman" w:cs="Times New Roman"/>
          <w:color w:val="000000" w:themeColor="text1"/>
          <w:sz w:val="20"/>
          <w:szCs w:val="20"/>
          <w:lang w:val="en-US"/>
        </w:rPr>
        <w:t>Indonesia is committed to monitoring the consumption of tobacco products through Riskesdas and the National Health Indicator Survey (Sirkesnas) conducted by the Health Research and Development Agency, the National Socio-Economic Survey (Susenas) conducted by BPS as well as program monitored by Ministries and Agencies in accordance with their respective authorities. To provide protection against cigarette smoke, efforts are made through the issuance of policies and regulations on Cigarette Smoking Areas. Currently, 21 Provinces and 369 Regencies/Cities has Regional Regulations and Regional Head Regulations related to No</w:t>
      </w:r>
      <w:r w:rsidRPr="009B087B">
        <w:rPr>
          <w:rFonts w:ascii="Times New Roman" w:hAnsi="Times New Roman" w:cs="Times New Roman"/>
          <w:color w:val="000000" w:themeColor="text1"/>
          <w:sz w:val="20"/>
          <w:szCs w:val="20"/>
        </w:rPr>
        <w:t>n</w:t>
      </w:r>
      <w:r w:rsidRPr="009B087B">
        <w:rPr>
          <w:rFonts w:ascii="Times New Roman" w:hAnsi="Times New Roman" w:cs="Times New Roman"/>
          <w:color w:val="000000" w:themeColor="text1"/>
          <w:sz w:val="20"/>
          <w:szCs w:val="20"/>
          <w:lang w:val="en-US"/>
        </w:rPr>
        <w:t>-Smoking Areas. To help people who want to quit smoking, MoH has prepared primary health facilities such as Puskesmas and Hospitals, as well as a free telephone counseling service called Quit line Stop Smoking on the telephone 0800-177-6565.</w:t>
      </w:r>
    </w:p>
    <w:p w14:paraId="6CF3AAFF" w14:textId="77777777" w:rsidR="004B3FC2" w:rsidRPr="009B087B" w:rsidRDefault="004B3FC2" w:rsidP="004B3FC2">
      <w:pPr>
        <w:pStyle w:val="ListParagraph"/>
        <w:numPr>
          <w:ilvl w:val="0"/>
          <w:numId w:val="1"/>
        </w:numPr>
        <w:tabs>
          <w:tab w:val="left" w:pos="1701"/>
        </w:tabs>
        <w:ind w:left="1134" w:right="1077" w:firstLine="0"/>
        <w:contextualSpacing w:val="0"/>
        <w:rPr>
          <w:rFonts w:ascii="Times New Roman" w:hAnsi="Times New Roman" w:cs="Times New Roman"/>
          <w:color w:val="000000" w:themeColor="text1"/>
          <w:sz w:val="20"/>
          <w:szCs w:val="20"/>
          <w:lang w:val="en-US"/>
        </w:rPr>
      </w:pPr>
      <w:r w:rsidRPr="009B087B">
        <w:rPr>
          <w:rFonts w:ascii="Times New Roman" w:hAnsi="Times New Roman" w:cs="Times New Roman"/>
          <w:color w:val="000000" w:themeColor="text1"/>
          <w:sz w:val="20"/>
          <w:szCs w:val="20"/>
          <w:lang w:val="en-US"/>
        </w:rPr>
        <w:t xml:space="preserve">In order to disseminate information, education, and public knowledge about the dangers of smoking, Indonesia has included a pictorial health warning, with area of ​​the picture covers 40% of cigarette packs. In addition, information has also been disseminated through various mass media and social media. </w:t>
      </w:r>
    </w:p>
    <w:p w14:paraId="5AF3DB04" w14:textId="77777777" w:rsidR="004B3FC2" w:rsidRPr="009B087B" w:rsidRDefault="004B3FC2" w:rsidP="004B3FC2">
      <w:pPr>
        <w:pStyle w:val="ListParagraph"/>
        <w:numPr>
          <w:ilvl w:val="0"/>
          <w:numId w:val="1"/>
        </w:numPr>
        <w:tabs>
          <w:tab w:val="left" w:pos="1701"/>
        </w:tabs>
        <w:ind w:left="1134" w:right="1077" w:firstLine="0"/>
        <w:contextualSpacing w:val="0"/>
        <w:rPr>
          <w:rFonts w:ascii="Times New Roman" w:hAnsi="Times New Roman" w:cs="Times New Roman"/>
          <w:color w:val="000000" w:themeColor="text1"/>
          <w:sz w:val="20"/>
          <w:szCs w:val="20"/>
          <w:lang w:val="en-US"/>
        </w:rPr>
      </w:pPr>
      <w:r w:rsidRPr="009B087B">
        <w:rPr>
          <w:rFonts w:ascii="Times New Roman" w:hAnsi="Times New Roman" w:cs="Times New Roman"/>
          <w:color w:val="000000" w:themeColor="text1"/>
          <w:sz w:val="20"/>
          <w:szCs w:val="20"/>
          <w:lang w:val="en-US"/>
        </w:rPr>
        <w:t>For the prohibition of advertisements for tobacco products, currently there are 10 regions (1 Province and 9 Regencies/Cities) that have issued regulations prohibiting cigarette advertising outside of buildings. GoI, through the MoEC, has issued a Regulation of the MoEC No. 64/2015 on No</w:t>
      </w:r>
      <w:r w:rsidRPr="009B087B">
        <w:rPr>
          <w:rFonts w:ascii="Times New Roman" w:hAnsi="Times New Roman" w:cs="Times New Roman"/>
          <w:color w:val="000000" w:themeColor="text1"/>
          <w:sz w:val="20"/>
          <w:szCs w:val="20"/>
        </w:rPr>
        <w:t>n</w:t>
      </w:r>
      <w:r w:rsidRPr="009B087B">
        <w:rPr>
          <w:rFonts w:ascii="Times New Roman" w:hAnsi="Times New Roman" w:cs="Times New Roman"/>
          <w:color w:val="000000" w:themeColor="text1"/>
          <w:sz w:val="20"/>
          <w:szCs w:val="20"/>
          <w:lang w:val="en-US"/>
        </w:rPr>
        <w:t>-Smoking Areas in School Environments.</w:t>
      </w:r>
    </w:p>
    <w:p w14:paraId="58261553" w14:textId="77777777" w:rsidR="004B3FC2" w:rsidRPr="009B087B" w:rsidRDefault="004B3FC2" w:rsidP="004B3FC2">
      <w:pPr>
        <w:pStyle w:val="ListParagraph"/>
        <w:numPr>
          <w:ilvl w:val="0"/>
          <w:numId w:val="1"/>
        </w:numPr>
        <w:tabs>
          <w:tab w:val="left" w:pos="1701"/>
        </w:tabs>
        <w:ind w:left="1134" w:right="1077" w:firstLine="0"/>
        <w:contextualSpacing w:val="0"/>
        <w:rPr>
          <w:rFonts w:ascii="Times New Roman" w:hAnsi="Times New Roman" w:cs="Times New Roman"/>
          <w:color w:val="000000" w:themeColor="text1"/>
          <w:sz w:val="20"/>
          <w:szCs w:val="20"/>
          <w:lang w:val="en-US"/>
        </w:rPr>
      </w:pPr>
      <w:r w:rsidRPr="009B087B">
        <w:rPr>
          <w:rFonts w:ascii="Times New Roman" w:hAnsi="Times New Roman" w:cs="Times New Roman"/>
          <w:color w:val="000000" w:themeColor="text1"/>
          <w:sz w:val="20"/>
          <w:szCs w:val="20"/>
          <w:lang w:val="en-US"/>
        </w:rPr>
        <w:t>GoI has also set an increase in excise on tobacco products and retail selling prices which takes effect in 2020. These provisions are stipulated in the Minister of Finance (MoF) Regulation No. 152/2019 on the Second Amendment to MoF Regulation No. 146/2017 on Tobacco Excise Rates.</w:t>
      </w:r>
    </w:p>
    <w:p w14:paraId="480CE812" w14:textId="77777777" w:rsidR="004B3FC2" w:rsidRPr="009B087B" w:rsidRDefault="004B3FC2" w:rsidP="004B3FC2">
      <w:pPr>
        <w:pStyle w:val="ListParagraph"/>
        <w:numPr>
          <w:ilvl w:val="0"/>
          <w:numId w:val="1"/>
        </w:numPr>
        <w:tabs>
          <w:tab w:val="left" w:pos="1701"/>
        </w:tabs>
        <w:ind w:left="1134" w:right="1077" w:firstLine="0"/>
        <w:contextualSpacing w:val="0"/>
        <w:rPr>
          <w:rFonts w:ascii="Times New Roman" w:hAnsi="Times New Roman" w:cs="Times New Roman"/>
          <w:color w:val="000000" w:themeColor="text1"/>
          <w:sz w:val="20"/>
          <w:szCs w:val="20"/>
          <w:lang w:val="en-US"/>
        </w:rPr>
      </w:pPr>
      <w:r w:rsidRPr="009B087B">
        <w:rPr>
          <w:rFonts w:ascii="Times New Roman" w:hAnsi="Times New Roman" w:cs="Times New Roman"/>
          <w:color w:val="000000" w:themeColor="text1"/>
          <w:sz w:val="20"/>
          <w:szCs w:val="20"/>
          <w:lang w:val="en-US"/>
        </w:rPr>
        <w:t xml:space="preserve">The revision of Law No. 35/2009 on Narcotics has been included as one of the draft laws prioritized by Indonesian Parliament in the 2018 Prolegnas, but until now it is still being discussed in the DPR. Some of the points revised include: definitions of abuser, victim of abuser and dealer; rehabilitation provision policy; and additional formulation of norms for the classification of new types of narcotics. </w:t>
      </w:r>
    </w:p>
    <w:p w14:paraId="2C7B278F" w14:textId="3B6C1503" w:rsidR="00672A57" w:rsidRPr="009B087B" w:rsidRDefault="00F66019" w:rsidP="009B087B">
      <w:pPr>
        <w:pStyle w:val="Heading1"/>
        <w:rPr>
          <w:sz w:val="20"/>
          <w:szCs w:val="20"/>
        </w:rPr>
      </w:pPr>
      <w:bookmarkStart w:id="19" w:name="_Toc76480802"/>
      <w:r w:rsidRPr="009B087B">
        <w:rPr>
          <w:sz w:val="20"/>
          <w:szCs w:val="20"/>
        </w:rPr>
        <w:t>Primary Education, Literacy Rate and Dropout Rates among Girls</w:t>
      </w:r>
      <w:bookmarkEnd w:id="19"/>
    </w:p>
    <w:p w14:paraId="5610FD29" w14:textId="05F89510" w:rsidR="00F66019" w:rsidRPr="009B087B" w:rsidRDefault="00F66019" w:rsidP="00F66019">
      <w:pPr>
        <w:pStyle w:val="SingleTxtG"/>
        <w:numPr>
          <w:ilvl w:val="0"/>
          <w:numId w:val="1"/>
        </w:numPr>
        <w:tabs>
          <w:tab w:val="left" w:pos="1701"/>
          <w:tab w:val="left" w:pos="4820"/>
        </w:tabs>
        <w:ind w:left="1134" w:right="1080" w:firstLine="0"/>
        <w:rPr>
          <w:color w:val="000000" w:themeColor="text1"/>
          <w:shd w:val="clear" w:color="auto" w:fill="FFFFFF"/>
          <w:lang w:val="en-US"/>
        </w:rPr>
      </w:pPr>
      <w:r w:rsidRPr="009B087B">
        <w:rPr>
          <w:color w:val="000000" w:themeColor="text1"/>
          <w:shd w:val="clear" w:color="auto" w:fill="FFFFFF"/>
          <w:lang w:val="en-US"/>
        </w:rPr>
        <w:t>In Law No. 20/2003 on the National Education System</w:t>
      </w:r>
      <w:r w:rsidRPr="009B087B">
        <w:rPr>
          <w:color w:val="000000" w:themeColor="text1"/>
          <w:shd w:val="clear" w:color="auto" w:fill="FFFFFF"/>
          <w:lang w:val="id-ID"/>
        </w:rPr>
        <w:t>, t</w:t>
      </w:r>
      <w:r w:rsidRPr="009B087B">
        <w:rPr>
          <w:color w:val="000000" w:themeColor="text1"/>
          <w:shd w:val="clear" w:color="auto" w:fill="FFFFFF"/>
          <w:lang w:val="en-US"/>
        </w:rPr>
        <w:t xml:space="preserve">he use of local languages ​​is regulated as a complement to the use of Indonesian language which is required in the implementation of national education in Indonesia. Local languages ​​may be used in the early stages of education to convey certain knowledge and skills. The use of local languages ​​as an introduction to the world of education is an effort to reach students who have not been able to follow lessons conveyed in Indonesian. This is also a proof that Indonesia has also implemented the multilingual education program, which is an educational program that uses the first language as the language of instruction at the initial rank and then in grade III or IV switches to the national language. The MLE program was only introduced by UNESCO in the 2000s. </w:t>
      </w:r>
    </w:p>
    <w:p w14:paraId="5A754C1A" w14:textId="7D3432C6" w:rsidR="00F66019" w:rsidRPr="009B087B" w:rsidRDefault="00F66019" w:rsidP="00F66019">
      <w:pPr>
        <w:pStyle w:val="Heading1"/>
        <w:rPr>
          <w:sz w:val="20"/>
          <w:szCs w:val="20"/>
        </w:rPr>
      </w:pPr>
      <w:bookmarkStart w:id="20" w:name="_Toc76480804"/>
      <w:r w:rsidRPr="009B087B">
        <w:rPr>
          <w:i/>
          <w:iCs/>
          <w:sz w:val="20"/>
          <w:szCs w:val="20"/>
        </w:rPr>
        <w:t>Masyarakat Hukum Adat</w:t>
      </w:r>
      <w:r w:rsidRPr="009B087B">
        <w:rPr>
          <w:sz w:val="20"/>
          <w:szCs w:val="20"/>
        </w:rPr>
        <w:t xml:space="preserve"> (MHA)</w:t>
      </w:r>
      <w:bookmarkEnd w:id="20"/>
    </w:p>
    <w:p w14:paraId="7DF36307" w14:textId="1254ACD7" w:rsidR="00FA51C7" w:rsidRPr="00FA51C7" w:rsidRDefault="00F66019" w:rsidP="00FA51C7">
      <w:pPr>
        <w:pStyle w:val="SingleTxtG"/>
        <w:numPr>
          <w:ilvl w:val="0"/>
          <w:numId w:val="1"/>
        </w:numPr>
        <w:tabs>
          <w:tab w:val="left" w:pos="1701"/>
        </w:tabs>
        <w:ind w:left="1134" w:right="1080" w:firstLine="0"/>
        <w:rPr>
          <w:color w:val="000000" w:themeColor="text1"/>
          <w:lang w:val="en-US"/>
        </w:rPr>
      </w:pPr>
      <w:r w:rsidRPr="009B087B">
        <w:rPr>
          <w:color w:val="000000" w:themeColor="text1"/>
          <w:lang w:val="en-US"/>
        </w:rPr>
        <w:t>Since 2015, the KPK has carried out the National Movement to Save Natural Resources by conducting a Memorandum of Understanding with cross-sectorial ministries/agencies. This movement is needed to harmonize overlapping regulations in the environmental, mining, forestry and plantation sectors; technical alignment of the establishment of forest areas, including ensuring the recognition of community rights; and institutional conflict resolution.</w:t>
      </w:r>
    </w:p>
    <w:sectPr w:rsidR="00FA51C7" w:rsidRPr="00FA51C7" w:rsidSect="0052047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50F1D" w14:textId="77777777" w:rsidR="000D4EDD" w:rsidRDefault="000D4EDD" w:rsidP="000D4EDD">
      <w:r>
        <w:separator/>
      </w:r>
    </w:p>
  </w:endnote>
  <w:endnote w:type="continuationSeparator" w:id="0">
    <w:p w14:paraId="50E75F2E" w14:textId="77777777" w:rsidR="000D4EDD" w:rsidRDefault="000D4EDD" w:rsidP="000D4EDD">
      <w:r>
        <w:continuationSeparator/>
      </w:r>
    </w:p>
  </w:endnote>
  <w:endnote w:id="1">
    <w:p w14:paraId="0AD1D622" w14:textId="77777777" w:rsidR="00FA51C7" w:rsidRPr="00335C21" w:rsidRDefault="00FA51C7" w:rsidP="00E34C25">
      <w:pPr>
        <w:pStyle w:val="EndnoteText"/>
        <w:ind w:left="0" w:firstLine="0"/>
        <w:rPr>
          <w:rFonts w:cstheme="minorHAnsi"/>
          <w:sz w:val="16"/>
          <w:szCs w:val="16"/>
          <w:lang w:val="en-US"/>
        </w:rPr>
      </w:pPr>
    </w:p>
    <w:p w14:paraId="2F108D33" w14:textId="661894F6" w:rsidR="00FA51C7" w:rsidRPr="00024978" w:rsidRDefault="00FA51C7" w:rsidP="001A289D">
      <w:pPr>
        <w:pStyle w:val="EndnoteText"/>
        <w:ind w:left="1134" w:firstLine="4"/>
        <w:rPr>
          <w:sz w:val="16"/>
          <w:szCs w:val="16"/>
          <w:lang w:val="en-US"/>
        </w:rPr>
      </w:pPr>
    </w:p>
  </w:endnote>
  <w:endnote w:id="2">
    <w:p w14:paraId="742F5F67" w14:textId="595336AF" w:rsidR="007631AE" w:rsidRPr="002F4FE8" w:rsidRDefault="007631AE" w:rsidP="00E34C25">
      <w:pPr>
        <w:pStyle w:val="EndnoteText"/>
        <w:ind w:left="0" w:firstLine="0"/>
        <w:rPr>
          <w:rFonts w:ascii="Times New Roman" w:hAnsi="Times New Roman" w:cs="Times New Roman"/>
          <w:sz w:val="16"/>
          <w:szCs w:val="16"/>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22146706"/>
      <w:docPartObj>
        <w:docPartGallery w:val="Page Numbers (Bottom of Page)"/>
        <w:docPartUnique/>
      </w:docPartObj>
    </w:sdtPr>
    <w:sdtEndPr>
      <w:rPr>
        <w:rStyle w:val="PageNumber"/>
      </w:rPr>
    </w:sdtEndPr>
    <w:sdtContent>
      <w:p w14:paraId="52F444A6" w14:textId="77777777" w:rsidR="009B087B" w:rsidRDefault="009B087B" w:rsidP="005302D5">
        <w:pPr>
          <w:pStyle w:val="Footer"/>
          <w:framePr w:wrap="none" w:vAnchor="text" w:hAnchor="margin" w:xAlign="outside"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7FFA6A79" w14:textId="77777777" w:rsidR="009B087B" w:rsidRDefault="009B087B" w:rsidP="005302D5">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2BDBC8" w14:textId="77777777" w:rsidR="000D4EDD" w:rsidRDefault="000D4EDD" w:rsidP="000D4EDD">
      <w:r>
        <w:separator/>
      </w:r>
    </w:p>
  </w:footnote>
  <w:footnote w:type="continuationSeparator" w:id="0">
    <w:p w14:paraId="6145D94F" w14:textId="77777777" w:rsidR="000D4EDD" w:rsidRDefault="000D4EDD" w:rsidP="000D4EDD">
      <w:r>
        <w:continuationSeparator/>
      </w:r>
    </w:p>
  </w:footnote>
  <w:footnote w:id="1">
    <w:p w14:paraId="4594AF02" w14:textId="581794C1" w:rsidR="00FA51C7" w:rsidRPr="00024978" w:rsidRDefault="00FA51C7" w:rsidP="00FA51C7">
      <w:pPr>
        <w:pStyle w:val="FootnoteText"/>
        <w:ind w:left="1700" w:hanging="562"/>
        <w:contextualSpacing/>
        <w:rPr>
          <w:rFonts w:ascii="Times New Roman" w:hAnsi="Times New Roman" w:cs="Times New Roman"/>
          <w:sz w:val="16"/>
          <w:szCs w:val="16"/>
          <w:lang w:val="en-GB"/>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A04962"/>
    <w:multiLevelType w:val="hybridMultilevel"/>
    <w:tmpl w:val="F52E95F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C376DA"/>
    <w:multiLevelType w:val="hybridMultilevel"/>
    <w:tmpl w:val="90AEEDFA"/>
    <w:lvl w:ilvl="0" w:tplc="9EA6E788">
      <w:start w:val="1"/>
      <w:numFmt w:val="decimal"/>
      <w:lvlText w:val="%1."/>
      <w:lvlJc w:val="left"/>
      <w:pPr>
        <w:ind w:left="1498" w:hanging="360"/>
      </w:pPr>
      <w:rPr>
        <w:rFonts w:hint="default"/>
      </w:rPr>
    </w:lvl>
    <w:lvl w:ilvl="1" w:tplc="04090019" w:tentative="1">
      <w:start w:val="1"/>
      <w:numFmt w:val="lowerLetter"/>
      <w:lvlText w:val="%2."/>
      <w:lvlJc w:val="left"/>
      <w:pPr>
        <w:ind w:left="2218" w:hanging="360"/>
      </w:pPr>
    </w:lvl>
    <w:lvl w:ilvl="2" w:tplc="0409001B" w:tentative="1">
      <w:start w:val="1"/>
      <w:numFmt w:val="lowerRoman"/>
      <w:lvlText w:val="%3."/>
      <w:lvlJc w:val="right"/>
      <w:pPr>
        <w:ind w:left="2938" w:hanging="180"/>
      </w:pPr>
    </w:lvl>
    <w:lvl w:ilvl="3" w:tplc="0409000F" w:tentative="1">
      <w:start w:val="1"/>
      <w:numFmt w:val="decimal"/>
      <w:lvlText w:val="%4."/>
      <w:lvlJc w:val="left"/>
      <w:pPr>
        <w:ind w:left="3658" w:hanging="360"/>
      </w:pPr>
    </w:lvl>
    <w:lvl w:ilvl="4" w:tplc="04090019" w:tentative="1">
      <w:start w:val="1"/>
      <w:numFmt w:val="lowerLetter"/>
      <w:lvlText w:val="%5."/>
      <w:lvlJc w:val="left"/>
      <w:pPr>
        <w:ind w:left="4378" w:hanging="360"/>
      </w:pPr>
    </w:lvl>
    <w:lvl w:ilvl="5" w:tplc="0409001B" w:tentative="1">
      <w:start w:val="1"/>
      <w:numFmt w:val="lowerRoman"/>
      <w:lvlText w:val="%6."/>
      <w:lvlJc w:val="right"/>
      <w:pPr>
        <w:ind w:left="5098" w:hanging="180"/>
      </w:pPr>
    </w:lvl>
    <w:lvl w:ilvl="6" w:tplc="0409000F" w:tentative="1">
      <w:start w:val="1"/>
      <w:numFmt w:val="decimal"/>
      <w:lvlText w:val="%7."/>
      <w:lvlJc w:val="left"/>
      <w:pPr>
        <w:ind w:left="5818" w:hanging="360"/>
      </w:pPr>
    </w:lvl>
    <w:lvl w:ilvl="7" w:tplc="04090019" w:tentative="1">
      <w:start w:val="1"/>
      <w:numFmt w:val="lowerLetter"/>
      <w:lvlText w:val="%8."/>
      <w:lvlJc w:val="left"/>
      <w:pPr>
        <w:ind w:left="6538" w:hanging="360"/>
      </w:pPr>
    </w:lvl>
    <w:lvl w:ilvl="8" w:tplc="0409001B" w:tentative="1">
      <w:start w:val="1"/>
      <w:numFmt w:val="lowerRoman"/>
      <w:lvlText w:val="%9."/>
      <w:lvlJc w:val="right"/>
      <w:pPr>
        <w:ind w:left="7258" w:hanging="180"/>
      </w:pPr>
    </w:lvl>
  </w:abstractNum>
  <w:abstractNum w:abstractNumId="2" w15:restartNumberingAfterBreak="0">
    <w:nsid w:val="751B672F"/>
    <w:multiLevelType w:val="hybridMultilevel"/>
    <w:tmpl w:val="935E0664"/>
    <w:lvl w:ilvl="0" w:tplc="F9AE13EE">
      <w:start w:val="19"/>
      <w:numFmt w:val="decimal"/>
      <w:lvlText w:val="%1."/>
      <w:lvlJc w:val="left"/>
      <w:pPr>
        <w:ind w:left="4046" w:hanging="360"/>
      </w:pPr>
      <w:rPr>
        <w:rFonts w:hint="default"/>
        <w:b w:val="0"/>
        <w:strike w:val="0"/>
        <w:color w:val="auto"/>
        <w:sz w:val="2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proofState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EDD"/>
    <w:rsid w:val="00032091"/>
    <w:rsid w:val="00095223"/>
    <w:rsid w:val="000D4EDD"/>
    <w:rsid w:val="00162930"/>
    <w:rsid w:val="00172AEF"/>
    <w:rsid w:val="001914F3"/>
    <w:rsid w:val="001A289D"/>
    <w:rsid w:val="001C349C"/>
    <w:rsid w:val="00256A07"/>
    <w:rsid w:val="002C273E"/>
    <w:rsid w:val="002F7A7C"/>
    <w:rsid w:val="003566AC"/>
    <w:rsid w:val="004B3FC2"/>
    <w:rsid w:val="004F0CE8"/>
    <w:rsid w:val="00506680"/>
    <w:rsid w:val="00520475"/>
    <w:rsid w:val="00532123"/>
    <w:rsid w:val="00552731"/>
    <w:rsid w:val="005C0EF7"/>
    <w:rsid w:val="00611F13"/>
    <w:rsid w:val="00657B2E"/>
    <w:rsid w:val="00672A57"/>
    <w:rsid w:val="007631AE"/>
    <w:rsid w:val="008F27D0"/>
    <w:rsid w:val="009246AE"/>
    <w:rsid w:val="00974586"/>
    <w:rsid w:val="00974B78"/>
    <w:rsid w:val="009B087B"/>
    <w:rsid w:val="00A96528"/>
    <w:rsid w:val="00B458BD"/>
    <w:rsid w:val="00BB2D19"/>
    <w:rsid w:val="00C11C21"/>
    <w:rsid w:val="00C76000"/>
    <w:rsid w:val="00C83CC1"/>
    <w:rsid w:val="00DC285D"/>
    <w:rsid w:val="00DE3F5E"/>
    <w:rsid w:val="00E34C25"/>
    <w:rsid w:val="00E35273"/>
    <w:rsid w:val="00E77608"/>
    <w:rsid w:val="00EE3A21"/>
    <w:rsid w:val="00F66019"/>
    <w:rsid w:val="00F963EA"/>
    <w:rsid w:val="00FA51C7"/>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ecimalSymbol w:val="."/>
  <w:listSeparator w:val=","/>
  <w14:docId w14:val="2B80740C"/>
  <w15:chartTrackingRefBased/>
  <w15:docId w15:val="{CF8AC76F-495B-8C41-B698-1B98CC167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D"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qFormat/>
    <w:rsid w:val="000D4EDD"/>
    <w:pPr>
      <w:keepNext/>
      <w:keepLines/>
      <w:suppressAutoHyphens/>
      <w:spacing w:before="360" w:after="240" w:line="300" w:lineRule="exact"/>
      <w:ind w:left="1134" w:right="1077"/>
      <w:jc w:val="both"/>
      <w:outlineLvl w:val="0"/>
    </w:pPr>
    <w:rPr>
      <w:rFonts w:ascii="Times New Roman" w:eastAsia="Times New Roman" w:hAnsi="Times New Roman" w:cs="Times New Roman"/>
      <w:b/>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4EDD"/>
    <w:rPr>
      <w:rFonts w:ascii="Times New Roman" w:eastAsia="Times New Roman" w:hAnsi="Times New Roman" w:cs="Times New Roman"/>
      <w:b/>
      <w:color w:val="000000" w:themeColor="text1"/>
      <w:lang w:val="en-US"/>
    </w:rPr>
  </w:style>
  <w:style w:type="paragraph" w:styleId="ListParagraph">
    <w:name w:val="List Paragraph"/>
    <w:aliases w:val="Dot pt,F5 List Paragraph,List Paragraph Char Char Char,Indicator Text,Numbered Para 1,Bullet 1,List Paragraph12,Bullet Points,MAIN CONTENT,List Paragraph1,Normal ind,Bullet point,Recommendation,List Paragraph11,L,CV text,Table text,Atan,B"/>
    <w:basedOn w:val="Normal"/>
    <w:link w:val="ListParagraphChar"/>
    <w:uiPriority w:val="34"/>
    <w:qFormat/>
    <w:rsid w:val="000D4EDD"/>
    <w:pPr>
      <w:spacing w:after="120" w:line="240" w:lineRule="atLeast"/>
      <w:ind w:left="720" w:right="1094" w:hanging="562"/>
      <w:contextualSpacing/>
      <w:jc w:val="both"/>
    </w:pPr>
    <w:rPr>
      <w:rFonts w:eastAsia="SimSun"/>
      <w:sz w:val="22"/>
      <w:szCs w:val="22"/>
      <w:lang w:val="id-ID"/>
    </w:rPr>
  </w:style>
  <w:style w:type="character" w:customStyle="1" w:styleId="ListParagraphChar">
    <w:name w:val="List Paragraph Char"/>
    <w:aliases w:val="Dot pt Char,F5 List Paragraph Char,List Paragraph Char Char Char Char,Indicator Text Char,Numbered Para 1 Char,Bullet 1 Char,List Paragraph12 Char,Bullet Points Char,MAIN CONTENT Char,List Paragraph1 Char,Normal ind Char,L Char"/>
    <w:link w:val="ListParagraph"/>
    <w:uiPriority w:val="34"/>
    <w:qFormat/>
    <w:rsid w:val="000D4EDD"/>
    <w:rPr>
      <w:rFonts w:eastAsia="SimSun"/>
      <w:sz w:val="22"/>
      <w:szCs w:val="22"/>
      <w:lang w:val="id-ID"/>
    </w:rPr>
  </w:style>
  <w:style w:type="paragraph" w:styleId="EndnoteText">
    <w:name w:val="endnote text"/>
    <w:basedOn w:val="Normal"/>
    <w:link w:val="EndnoteTextChar"/>
    <w:uiPriority w:val="99"/>
    <w:semiHidden/>
    <w:unhideWhenUsed/>
    <w:rsid w:val="000D4EDD"/>
    <w:pPr>
      <w:ind w:left="1700" w:right="1094" w:hanging="562"/>
      <w:jc w:val="both"/>
    </w:pPr>
    <w:rPr>
      <w:rFonts w:eastAsia="SimSun"/>
      <w:sz w:val="20"/>
      <w:szCs w:val="20"/>
      <w:lang w:val="id-ID"/>
    </w:rPr>
  </w:style>
  <w:style w:type="character" w:customStyle="1" w:styleId="EndnoteTextChar">
    <w:name w:val="Endnote Text Char"/>
    <w:basedOn w:val="DefaultParagraphFont"/>
    <w:link w:val="EndnoteText"/>
    <w:uiPriority w:val="99"/>
    <w:semiHidden/>
    <w:rsid w:val="000D4EDD"/>
    <w:rPr>
      <w:rFonts w:eastAsia="SimSun"/>
      <w:sz w:val="20"/>
      <w:szCs w:val="20"/>
      <w:lang w:val="id-ID"/>
    </w:rPr>
  </w:style>
  <w:style w:type="character" w:styleId="EndnoteReference">
    <w:name w:val="endnote reference"/>
    <w:basedOn w:val="DefaultParagraphFont"/>
    <w:uiPriority w:val="99"/>
    <w:semiHidden/>
    <w:unhideWhenUsed/>
    <w:rsid w:val="000D4EDD"/>
    <w:rPr>
      <w:vertAlign w:val="superscript"/>
    </w:rPr>
  </w:style>
  <w:style w:type="paragraph" w:customStyle="1" w:styleId="SingleTxtG">
    <w:name w:val="_ Single Txt_G"/>
    <w:basedOn w:val="Normal"/>
    <w:link w:val="SingleTxtGChar"/>
    <w:rsid w:val="00F66019"/>
    <w:pPr>
      <w:suppressAutoHyphens/>
      <w:spacing w:after="120" w:line="240" w:lineRule="atLeast"/>
      <w:ind w:left="1134" w:right="1134" w:hanging="562"/>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locked/>
    <w:rsid w:val="00F66019"/>
    <w:rPr>
      <w:rFonts w:ascii="Times New Roman" w:eastAsia="Times New Roman" w:hAnsi="Times New Roman" w:cs="Times New Roman"/>
      <w:sz w:val="20"/>
      <w:szCs w:val="20"/>
      <w:lang w:val="en-GB"/>
    </w:rPr>
  </w:style>
  <w:style w:type="paragraph" w:styleId="Footer">
    <w:name w:val="footer"/>
    <w:basedOn w:val="Normal"/>
    <w:link w:val="FooterChar"/>
    <w:uiPriority w:val="99"/>
    <w:unhideWhenUsed/>
    <w:rsid w:val="009B087B"/>
    <w:pPr>
      <w:tabs>
        <w:tab w:val="center" w:pos="4513"/>
        <w:tab w:val="right" w:pos="9026"/>
      </w:tabs>
      <w:ind w:left="1700" w:right="1094" w:hanging="562"/>
      <w:jc w:val="both"/>
    </w:pPr>
    <w:rPr>
      <w:rFonts w:eastAsia="SimSun"/>
      <w:sz w:val="22"/>
      <w:szCs w:val="22"/>
      <w:lang w:val="id-ID"/>
    </w:rPr>
  </w:style>
  <w:style w:type="character" w:customStyle="1" w:styleId="FooterChar">
    <w:name w:val="Footer Char"/>
    <w:basedOn w:val="DefaultParagraphFont"/>
    <w:link w:val="Footer"/>
    <w:uiPriority w:val="99"/>
    <w:rsid w:val="009B087B"/>
    <w:rPr>
      <w:rFonts w:eastAsia="SimSun"/>
      <w:sz w:val="22"/>
      <w:szCs w:val="22"/>
      <w:lang w:val="id-ID"/>
    </w:rPr>
  </w:style>
  <w:style w:type="character" w:styleId="PageNumber">
    <w:name w:val="page number"/>
    <w:basedOn w:val="DefaultParagraphFont"/>
    <w:uiPriority w:val="99"/>
    <w:semiHidden/>
    <w:unhideWhenUsed/>
    <w:rsid w:val="009B087B"/>
  </w:style>
  <w:style w:type="paragraph" w:styleId="NoSpacing">
    <w:name w:val="No Spacing"/>
    <w:uiPriority w:val="1"/>
    <w:qFormat/>
    <w:rsid w:val="00611F13"/>
    <w:pPr>
      <w:spacing w:after="120" w:line="240" w:lineRule="atLeast"/>
      <w:ind w:left="1700" w:right="1094" w:hanging="562"/>
      <w:jc w:val="both"/>
    </w:pPr>
    <w:rPr>
      <w:rFonts w:ascii="Calibri" w:eastAsia="Calibri" w:hAnsi="Calibri" w:cs="Times New Roman"/>
      <w:sz w:val="22"/>
      <w:szCs w:val="22"/>
      <w:lang w:val="en-US"/>
    </w:rPr>
  </w:style>
  <w:style w:type="paragraph" w:styleId="FootnoteText">
    <w:name w:val="footnote text"/>
    <w:basedOn w:val="Normal"/>
    <w:link w:val="FootnoteTextChar"/>
    <w:uiPriority w:val="99"/>
    <w:semiHidden/>
    <w:unhideWhenUsed/>
    <w:rsid w:val="00FA51C7"/>
    <w:rPr>
      <w:sz w:val="20"/>
      <w:szCs w:val="20"/>
    </w:rPr>
  </w:style>
  <w:style w:type="character" w:customStyle="1" w:styleId="FootnoteTextChar">
    <w:name w:val="Footnote Text Char"/>
    <w:basedOn w:val="DefaultParagraphFont"/>
    <w:link w:val="FootnoteText"/>
    <w:uiPriority w:val="99"/>
    <w:semiHidden/>
    <w:rsid w:val="00FA51C7"/>
    <w:rPr>
      <w:sz w:val="20"/>
      <w:szCs w:val="20"/>
      <w:lang w:val="en-US"/>
    </w:rPr>
  </w:style>
  <w:style w:type="character" w:styleId="FootnoteReference">
    <w:name w:val="footnote reference"/>
    <w:basedOn w:val="DefaultParagraphFont"/>
    <w:uiPriority w:val="99"/>
    <w:semiHidden/>
    <w:unhideWhenUsed/>
    <w:rsid w:val="00FA51C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636AC6-BB09-CA4E-BBAF-2279CC7BDB85}">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B3D0B05D-E399-4368-B880-3331121C7C40}"/>
</file>

<file path=customXml/itemProps3.xml><?xml version="1.0" encoding="utf-8"?>
<ds:datastoreItem xmlns:ds="http://schemas.openxmlformats.org/officeDocument/2006/customXml" ds:itemID="{39345DDB-EAAD-4B70-BD85-46E74119D62B}"/>
</file>

<file path=customXml/itemProps4.xml><?xml version="1.0" encoding="utf-8"?>
<ds:datastoreItem xmlns:ds="http://schemas.openxmlformats.org/officeDocument/2006/customXml" ds:itemID="{F907CDB1-0A65-4E55-9CCC-EDD8A572093B}"/>
</file>

<file path=docProps/app.xml><?xml version="1.0" encoding="utf-8"?>
<Properties xmlns="http://schemas.openxmlformats.org/officeDocument/2006/extended-properties" xmlns:vt="http://schemas.openxmlformats.org/officeDocument/2006/docPropsVTypes">
  <Template>Normal</Template>
  <TotalTime>0</TotalTime>
  <Pages>1</Pages>
  <Words>3232</Words>
  <Characters>18428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Axelsyah Reza Miraza</dc:creator>
  <cp:keywords/>
  <dc:description/>
  <cp:lastModifiedBy>Mia Padma</cp:lastModifiedBy>
  <cp:revision>2</cp:revision>
  <dcterms:created xsi:type="dcterms:W3CDTF">2021-08-13T13:10:00Z</dcterms:created>
  <dcterms:modified xsi:type="dcterms:W3CDTF">2021-08-13T13:10:00Z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