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01C07" w:rsidRDefault="00701C07">
      <w:pPr>
        <w:pStyle w:val="SingleTxt"/>
        <w:spacing w:line="360" w:lineRule="auto"/>
        <w:rPr>
          <w:rFonts w:eastAsia="Liberation Serif"/>
        </w:rPr>
      </w:pPr>
    </w:p>
    <w:p w:rsidR="00701C07" w:rsidRDefault="00701C07">
      <w:pPr>
        <w:pStyle w:val="SingleTxt"/>
        <w:spacing w:line="360" w:lineRule="auto"/>
        <w:rPr>
          <w:rFonts w:eastAsia="Liberation Serif"/>
        </w:rPr>
      </w:pPr>
    </w:p>
    <w:p w:rsidR="00701C07" w:rsidRDefault="00000000">
      <w:pPr>
        <w:pStyle w:val="SingleTxt"/>
        <w:spacing w:line="360" w:lineRule="auto"/>
        <w:jc w:val="center"/>
        <w:rPr>
          <w:rFonts w:eastAsia="Liberation Serif"/>
          <w:b/>
          <w:bCs/>
          <w:sz w:val="50"/>
          <w:szCs w:val="50"/>
        </w:rPr>
      </w:pPr>
      <w:r>
        <w:rPr>
          <w:rFonts w:eastAsia="Liberation Serif"/>
          <w:b/>
          <w:bCs/>
          <w:sz w:val="50"/>
          <w:szCs w:val="50"/>
        </w:rPr>
        <w:t>Women’s Rights in China</w:t>
      </w:r>
    </w:p>
    <w:p w:rsidR="00701C07" w:rsidRDefault="00000000">
      <w:pPr>
        <w:pStyle w:val="SingleTxt"/>
        <w:spacing w:line="360" w:lineRule="auto"/>
        <w:jc w:val="center"/>
        <w:rPr>
          <w:rFonts w:eastAsia="Liberation Serif"/>
        </w:rPr>
      </w:pPr>
      <w:r>
        <w:rPr>
          <w:rFonts w:eastAsia="Liberation Serif"/>
        </w:rPr>
        <w:t>(Submission for the 85</w:t>
      </w:r>
      <w:r>
        <w:rPr>
          <w:rFonts w:eastAsia="Liberation Serif"/>
          <w:vertAlign w:val="superscript"/>
        </w:rPr>
        <w:t>th</w:t>
      </w:r>
      <w:r>
        <w:rPr>
          <w:rFonts w:eastAsia="Liberation Serif"/>
        </w:rPr>
        <w:t xml:space="preserve"> Session of the Convention on the Elimination of All Forms of Discrimination against Women Committee)</w:t>
      </w:r>
    </w:p>
    <w:p w:rsidR="00701C07" w:rsidRDefault="00000000">
      <w:pPr>
        <w:pStyle w:val="SingleTxt"/>
        <w:spacing w:line="360" w:lineRule="auto"/>
        <w:jc w:val="center"/>
        <w:rPr>
          <w:rFonts w:eastAsia="Liberation Serif"/>
          <w:u w:val="single"/>
        </w:rPr>
      </w:pPr>
      <w:r>
        <w:rPr>
          <w:rFonts w:eastAsia="Liberation Serif"/>
          <w:u w:val="single"/>
        </w:rPr>
        <w:t>Submitted on 11 April, 2023</w:t>
      </w:r>
    </w:p>
    <w:p w:rsidR="00701C07" w:rsidRDefault="00701C07">
      <w:pPr>
        <w:pStyle w:val="SingleTxt"/>
        <w:spacing w:line="360" w:lineRule="auto"/>
        <w:jc w:val="center"/>
        <w:rPr>
          <w:rFonts w:eastAsia="Liberation Serif"/>
        </w:rPr>
      </w:pPr>
    </w:p>
    <w:p w:rsidR="00701C07" w:rsidRDefault="00701C07">
      <w:pPr>
        <w:pStyle w:val="SingleTxt"/>
        <w:spacing w:line="360" w:lineRule="auto"/>
        <w:jc w:val="center"/>
        <w:rPr>
          <w:rFonts w:eastAsia="Liberation Serif"/>
        </w:rPr>
      </w:pPr>
    </w:p>
    <w:p w:rsidR="00701C07" w:rsidRDefault="00000000">
      <w:pPr>
        <w:pStyle w:val="SingleTxt"/>
        <w:spacing w:line="360" w:lineRule="auto"/>
        <w:jc w:val="center"/>
        <w:rPr>
          <w:rFonts w:eastAsia="Liberation Serif"/>
          <w:b/>
          <w:bCs/>
          <w:sz w:val="50"/>
          <w:szCs w:val="50"/>
        </w:rPr>
      </w:pPr>
      <w:r>
        <w:rPr>
          <w:rFonts w:eastAsia="Liberation Serif"/>
          <w:b/>
          <w:bCs/>
          <w:sz w:val="50"/>
          <w:szCs w:val="50"/>
        </w:rPr>
        <w:t xml:space="preserve">International Probono </w:t>
      </w:r>
    </w:p>
    <w:p w:rsidR="00701C07" w:rsidRDefault="00000000">
      <w:pPr>
        <w:pStyle w:val="SingleTxt"/>
        <w:spacing w:line="360" w:lineRule="auto"/>
        <w:jc w:val="center"/>
        <w:rPr>
          <w:rFonts w:eastAsia="Liberation Serif"/>
          <w:b/>
          <w:bCs/>
          <w:sz w:val="50"/>
          <w:szCs w:val="50"/>
        </w:rPr>
      </w:pPr>
      <w:r>
        <w:rPr>
          <w:rFonts w:eastAsia="Liberation Serif"/>
          <w:b/>
          <w:bCs/>
          <w:sz w:val="50"/>
          <w:szCs w:val="50"/>
        </w:rPr>
        <w:t xml:space="preserve">Legal Services Association </w:t>
      </w:r>
    </w:p>
    <w:p w:rsidR="00701C07" w:rsidRDefault="00000000">
      <w:pPr>
        <w:pStyle w:val="SingleTxt"/>
        <w:spacing w:line="360" w:lineRule="auto"/>
        <w:rPr>
          <w:rFonts w:eastAsia="Liberation Serif"/>
        </w:rPr>
      </w:pPr>
      <w:r>
        <w:rPr>
          <w:rFonts w:eastAsia="Liberation Serif"/>
        </w:rPr>
        <w:t xml:space="preserve">The International Probono Legal Services Association Limited (“IPLSA”) is a non-profit organization that aims to improve </w:t>
      </w:r>
      <w:r>
        <w:rPr>
          <w:rFonts w:eastAsia="Liberation Serif"/>
        </w:rPr>
        <w:lastRenderedPageBreak/>
        <w:t xml:space="preserve">access to justice for those in need. With the vision of facilitating and promoting cross-jurisdictional pro bono legal services, IPLSA provides both pro bono legal services, and training for local legal practitioners and those from overseas, working towards its goal of enhancing access to justice for all. </w:t>
      </w:r>
    </w:p>
    <w:p w:rsidR="00701C07" w:rsidRDefault="00701C07">
      <w:pPr>
        <w:pStyle w:val="SingleTxt"/>
        <w:spacing w:line="360" w:lineRule="auto"/>
        <w:rPr>
          <w:rFonts w:eastAsia="Liberation Serif"/>
        </w:rPr>
      </w:pP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1925"/>
        <w:gridCol w:w="1286"/>
        <w:gridCol w:w="644"/>
        <w:gridCol w:w="1925"/>
        <w:gridCol w:w="641"/>
        <w:gridCol w:w="1289"/>
        <w:gridCol w:w="1928"/>
      </w:tblGrid>
      <w:tr w:rsidR="00701C07">
        <w:tc>
          <w:tcPr>
            <w:tcW w:w="1925" w:type="dxa"/>
            <w:shd w:val="clear" w:color="auto" w:fill="39B540"/>
            <w:vAlign w:val="center"/>
          </w:tcPr>
          <w:p w:rsidR="00701C07" w:rsidRDefault="00701C07">
            <w:pPr>
              <w:pStyle w:val="TableContents"/>
              <w:spacing w:line="360" w:lineRule="auto"/>
              <w:jc w:val="center"/>
              <w:rPr>
                <w:rFonts w:eastAsia="Liberation Serif"/>
              </w:rPr>
            </w:pPr>
          </w:p>
        </w:tc>
        <w:tc>
          <w:tcPr>
            <w:tcW w:w="1930" w:type="dxa"/>
            <w:gridSpan w:val="2"/>
            <w:shd w:val="clear" w:color="auto" w:fill="27AAE1"/>
            <w:vAlign w:val="center"/>
          </w:tcPr>
          <w:p w:rsidR="00701C07" w:rsidRDefault="00701C07">
            <w:pPr>
              <w:pStyle w:val="TableContents"/>
              <w:spacing w:line="360" w:lineRule="auto"/>
              <w:jc w:val="center"/>
              <w:rPr>
                <w:rFonts w:eastAsia="Liberation Serif"/>
              </w:rPr>
            </w:pPr>
          </w:p>
        </w:tc>
        <w:tc>
          <w:tcPr>
            <w:tcW w:w="1925" w:type="dxa"/>
            <w:shd w:val="clear" w:color="auto" w:fill="92278F"/>
            <w:vAlign w:val="center"/>
          </w:tcPr>
          <w:p w:rsidR="00701C07" w:rsidRDefault="00701C07">
            <w:pPr>
              <w:pStyle w:val="TableContents"/>
              <w:spacing w:line="360" w:lineRule="auto"/>
              <w:jc w:val="center"/>
              <w:rPr>
                <w:rFonts w:eastAsia="Liberation Serif"/>
              </w:rPr>
            </w:pPr>
          </w:p>
        </w:tc>
        <w:tc>
          <w:tcPr>
            <w:tcW w:w="1930" w:type="dxa"/>
            <w:gridSpan w:val="2"/>
            <w:shd w:val="clear" w:color="auto" w:fill="EC008C"/>
            <w:vAlign w:val="center"/>
          </w:tcPr>
          <w:p w:rsidR="00701C07" w:rsidRDefault="00701C07">
            <w:pPr>
              <w:pStyle w:val="TableContents"/>
              <w:spacing w:line="360" w:lineRule="auto"/>
              <w:jc w:val="center"/>
              <w:rPr>
                <w:rFonts w:eastAsia="Liberation Serif"/>
              </w:rPr>
            </w:pPr>
          </w:p>
        </w:tc>
        <w:tc>
          <w:tcPr>
            <w:tcW w:w="1928" w:type="dxa"/>
            <w:shd w:val="clear" w:color="auto" w:fill="F7941D"/>
            <w:vAlign w:val="center"/>
          </w:tcPr>
          <w:p w:rsidR="00701C07" w:rsidRDefault="00701C07">
            <w:pPr>
              <w:pStyle w:val="TableContents"/>
              <w:spacing w:line="360" w:lineRule="auto"/>
              <w:jc w:val="center"/>
              <w:rPr>
                <w:rFonts w:eastAsia="Liberation Serif"/>
              </w:rPr>
            </w:pPr>
          </w:p>
        </w:tc>
      </w:tr>
      <w:tr w:rsidR="00701C07">
        <w:tc>
          <w:tcPr>
            <w:tcW w:w="3211" w:type="dxa"/>
            <w:gridSpan w:val="2"/>
            <w:vAlign w:val="center"/>
          </w:tcPr>
          <w:p w:rsidR="00701C07" w:rsidRDefault="00000000">
            <w:pPr>
              <w:pStyle w:val="LO-normal"/>
              <w:spacing w:line="360" w:lineRule="auto"/>
              <w:jc w:val="center"/>
              <w:rPr>
                <w:rFonts w:ascii="Times New Roman" w:eastAsia="Garamond" w:hAnsi="Times New Roman" w:cs="Garamond"/>
                <w:b/>
                <w:bCs/>
                <w:i/>
                <w:iCs/>
                <w:color w:val="000000"/>
                <w:sz w:val="18"/>
                <w:szCs w:val="18"/>
              </w:rPr>
            </w:pPr>
            <w:r>
              <w:rPr>
                <w:rFonts w:eastAsia="Liberation Serif" w:cs="Garamond"/>
                <w:b/>
                <w:bCs/>
                <w:color w:val="000000"/>
                <w:sz w:val="18"/>
                <w:szCs w:val="18"/>
              </w:rPr>
              <w:t xml:space="preserve">📧 </w:t>
            </w:r>
            <w:r>
              <w:rPr>
                <w:rFonts w:eastAsia="Liberation Serif" w:cs="Garamond"/>
                <w:b/>
                <w:bCs/>
                <w:i/>
                <w:iCs/>
                <w:color w:val="000000"/>
                <w:sz w:val="18"/>
                <w:szCs w:val="18"/>
              </w:rPr>
              <w:t xml:space="preserve">   Email: </w:t>
            </w:r>
            <w:hyperlink r:id="rId7">
              <w:r>
                <w:rPr>
                  <w:rStyle w:val="Hyperlink"/>
                  <w:rFonts w:eastAsia="Liberation Serif" w:cs="Garamond"/>
                  <w:b/>
                  <w:bCs/>
                  <w:i/>
                  <w:iCs/>
                  <w:color w:val="000000"/>
                  <w:sz w:val="18"/>
                  <w:szCs w:val="18"/>
                  <w:u w:val="none"/>
                </w:rPr>
                <w:t>info@iplsa.net</w:t>
              </w:r>
            </w:hyperlink>
          </w:p>
        </w:tc>
        <w:tc>
          <w:tcPr>
            <w:tcW w:w="3210" w:type="dxa"/>
            <w:gridSpan w:val="3"/>
            <w:vAlign w:val="center"/>
          </w:tcPr>
          <w:p w:rsidR="00701C07" w:rsidRDefault="00000000">
            <w:pPr>
              <w:pStyle w:val="LO-normal"/>
              <w:spacing w:line="360" w:lineRule="auto"/>
              <w:jc w:val="center"/>
              <w:rPr>
                <w:rFonts w:eastAsia="Liberation Serif" w:cs="Garamond"/>
                <w:b/>
                <w:bCs/>
                <w:i/>
                <w:iCs/>
                <w:color w:val="000000"/>
                <w:sz w:val="18"/>
                <w:szCs w:val="18"/>
              </w:rPr>
            </w:pPr>
            <w:r>
              <w:rPr>
                <w:rFonts w:eastAsia="Liberation Serif" w:cs="Garamond"/>
                <w:b/>
                <w:bCs/>
                <w:i/>
                <w:iCs/>
                <w:color w:val="000000"/>
                <w:sz w:val="18"/>
                <w:szCs w:val="18"/>
              </w:rPr>
              <w:t>G2, Kai Wong Commercial Building, No. 222 Queen’s Road Central, Hong Kong</w:t>
            </w:r>
          </w:p>
        </w:tc>
        <w:tc>
          <w:tcPr>
            <w:tcW w:w="3217" w:type="dxa"/>
            <w:gridSpan w:val="2"/>
            <w:vAlign w:val="center"/>
          </w:tcPr>
          <w:p w:rsidR="00701C07" w:rsidRDefault="00000000">
            <w:pPr>
              <w:pStyle w:val="LO-normal"/>
              <w:spacing w:line="360" w:lineRule="auto"/>
              <w:jc w:val="center"/>
              <w:rPr>
                <w:rFonts w:eastAsia="Liberation Serif" w:cs="Garamond"/>
                <w:b/>
                <w:bCs/>
                <w:i/>
                <w:iCs/>
                <w:color w:val="000000"/>
                <w:sz w:val="18"/>
                <w:szCs w:val="18"/>
              </w:rPr>
            </w:pPr>
            <w:r>
              <w:rPr>
                <w:rFonts w:eastAsia="Liberation Serif" w:cs="Garamond"/>
                <w:b/>
                <w:bCs/>
                <w:color w:val="000000"/>
                <w:sz w:val="18"/>
                <w:szCs w:val="18"/>
              </w:rPr>
              <w:t xml:space="preserve">🕿   </w:t>
            </w:r>
            <w:r>
              <w:rPr>
                <w:rFonts w:eastAsia="Liberation Serif" w:cs="Garamond"/>
                <w:b/>
                <w:bCs/>
                <w:i/>
                <w:iCs/>
                <w:color w:val="000000"/>
                <w:sz w:val="18"/>
                <w:szCs w:val="18"/>
              </w:rPr>
              <w:t>Tel: +852 5448 8415</w:t>
            </w:r>
          </w:p>
        </w:tc>
      </w:tr>
    </w:tbl>
    <w:p w:rsidR="00701C07" w:rsidRDefault="00701C07">
      <w:pPr>
        <w:pStyle w:val="SingleTxt"/>
        <w:spacing w:line="360" w:lineRule="auto"/>
        <w:rPr>
          <w:rFonts w:eastAsia="Liberation Serif"/>
        </w:rPr>
      </w:pPr>
    </w:p>
    <w:p w:rsidR="00701C07" w:rsidRDefault="00701C07">
      <w:pPr>
        <w:pStyle w:val="SingleTxt"/>
        <w:spacing w:line="360" w:lineRule="auto"/>
        <w:ind w:left="0"/>
        <w:rPr>
          <w:rFonts w:eastAsia="Liberation Serif"/>
        </w:rPr>
      </w:pPr>
    </w:p>
    <w:p w:rsidR="00701C07" w:rsidRDefault="00000000">
      <w:pPr>
        <w:pStyle w:val="SingleTxt"/>
        <w:spacing w:line="360" w:lineRule="auto"/>
        <w:ind w:left="0"/>
        <w:rPr>
          <w:rFonts w:eastAsia="Liberation Serif"/>
          <w:u w:val="single"/>
        </w:rPr>
      </w:pPr>
      <w:r>
        <w:rPr>
          <w:rFonts w:eastAsia="Liberation Serif" w:cs="Times New Roman"/>
          <w:b/>
          <w:bCs/>
          <w:u w:val="single"/>
        </w:rPr>
        <w:t>Introduction</w:t>
      </w:r>
    </w:p>
    <w:p w:rsidR="00701C07" w:rsidRDefault="00701C07">
      <w:pPr>
        <w:pStyle w:val="SingleTxt"/>
        <w:spacing w:line="360" w:lineRule="auto"/>
        <w:ind w:left="0"/>
        <w:rPr>
          <w:rFonts w:eastAsia="Liberation Serif"/>
          <w:u w:val="single"/>
        </w:rPr>
      </w:pPr>
    </w:p>
    <w:p w:rsidR="00701C07" w:rsidRDefault="00000000">
      <w:pPr>
        <w:pStyle w:val="SingleTxt"/>
        <w:numPr>
          <w:ilvl w:val="0"/>
          <w:numId w:val="1"/>
        </w:numPr>
        <w:spacing w:line="360" w:lineRule="auto"/>
        <w:rPr>
          <w:rFonts w:eastAsia="Liberation Serif"/>
        </w:rPr>
      </w:pPr>
      <w:r>
        <w:rPr>
          <w:rFonts w:eastAsia="Liberation Serif" w:cs="Times New Roman"/>
        </w:rPr>
        <w:t>This report is submitted for the 85</w:t>
      </w:r>
      <w:r>
        <w:rPr>
          <w:rFonts w:eastAsia="Liberation Serif" w:cs="Times New Roman"/>
          <w:vertAlign w:val="superscript"/>
        </w:rPr>
        <w:t>th</w:t>
      </w:r>
      <w:r>
        <w:rPr>
          <w:rFonts w:eastAsia="Liberation Serif" w:cs="Times New Roman"/>
        </w:rPr>
        <w:t xml:space="preserve"> Session of the Convention on the Elimination of All Forms of Discrimination against Women (CEDAW) </w:t>
      </w:r>
      <w:r>
        <w:rPr>
          <w:rFonts w:eastAsia="Liberation Serif" w:cs="Times New Roman"/>
        </w:rPr>
        <w:lastRenderedPageBreak/>
        <w:t>Committee on women’s rights issues in the People’s Republic of China, which has been party to the said convention since 1980.</w:t>
      </w:r>
    </w:p>
    <w:p w:rsidR="00701C07" w:rsidRDefault="00000000">
      <w:pPr>
        <w:pStyle w:val="SingleTxt"/>
        <w:numPr>
          <w:ilvl w:val="0"/>
          <w:numId w:val="1"/>
        </w:numPr>
        <w:spacing w:line="360" w:lineRule="auto"/>
        <w:rPr>
          <w:rFonts w:eastAsia="Liberation Serif"/>
        </w:rPr>
      </w:pPr>
      <w:r>
        <w:rPr>
          <w:rFonts w:eastAsia="Liberation Serif"/>
        </w:rPr>
        <w:t xml:space="preserve">IPLSA's submission provides a comprehensive overview of women's rights in China since the country's last State Party report of 2014.  </w:t>
      </w:r>
    </w:p>
    <w:p w:rsidR="00701C07" w:rsidRDefault="00000000">
      <w:pPr>
        <w:pStyle w:val="SingleTxt"/>
        <w:numPr>
          <w:ilvl w:val="0"/>
          <w:numId w:val="1"/>
        </w:numPr>
        <w:spacing w:line="360" w:lineRule="auto"/>
        <w:rPr>
          <w:rFonts w:eastAsia="Liberation Serif"/>
        </w:rPr>
      </w:pPr>
      <w:r>
        <w:rPr>
          <w:rFonts w:eastAsia="Liberation Serif"/>
        </w:rPr>
        <w:t>The report is divided into three distinct sections.  The first section takes a thematic approach, focusing on the articles outlined in the CEDAW.  The second section examines the serious allegations related to the Xinjiang Uyghur Autonomous Region of China (XUAR).   The third and final section of the report reviews matters pertaining to the Hong Kong Special Administrative Region of China (HKSAR), specifically concerning women's political participation in the Legislative Council and the District Councils.  This section also addresses the documented violence against women and their families during the riots</w:t>
      </w:r>
      <w:r>
        <w:rPr>
          <w:rStyle w:val="FootnoteReference"/>
          <w:rFonts w:eastAsia="Liberation Serif"/>
          <w:b/>
          <w:bCs/>
        </w:rPr>
        <w:footnoteReference w:id="1"/>
      </w:r>
      <w:r>
        <w:rPr>
          <w:rFonts w:eastAsia="Liberation Serif"/>
        </w:rPr>
        <w:t xml:space="preserve"> associated with The Fugitive Offenders and Mutual Legal Assistance in Criminal Matters Legislation Bill 2019.</w:t>
      </w:r>
    </w:p>
    <w:p w:rsidR="00701C07" w:rsidRDefault="00000000">
      <w:pPr>
        <w:pStyle w:val="SingleTxt"/>
        <w:numPr>
          <w:ilvl w:val="0"/>
          <w:numId w:val="1"/>
        </w:numPr>
        <w:spacing w:line="360" w:lineRule="auto"/>
        <w:rPr>
          <w:rFonts w:eastAsia="Liberation Serif"/>
        </w:rPr>
      </w:pPr>
      <w:r>
        <w:rPr>
          <w:rFonts w:eastAsia="Liberation Serif"/>
        </w:rPr>
        <w:t>At the end of each section, IPLSA offers recommendations for both the Committee and the Member State's consideration.  These recommendations serve as a call to action, urging both the Committee and China to take meaningful steps towards promoting and protecting the rights of women in the country.</w:t>
      </w:r>
      <w:r>
        <w:br w:type="page"/>
      </w:r>
    </w:p>
    <w:p w:rsidR="00701C07" w:rsidRDefault="00000000">
      <w:pPr>
        <w:pStyle w:val="SingleTxt"/>
        <w:spacing w:line="360" w:lineRule="auto"/>
        <w:ind w:left="0" w:right="0"/>
        <w:jc w:val="center"/>
        <w:rPr>
          <w:rFonts w:eastAsia="Liberation Serif"/>
          <w:b/>
          <w:bCs/>
          <w:sz w:val="50"/>
          <w:szCs w:val="50"/>
        </w:rPr>
      </w:pPr>
      <w:r>
        <w:rPr>
          <w:rFonts w:eastAsia="Liberation Serif"/>
          <w:b/>
          <w:bCs/>
          <w:sz w:val="50"/>
          <w:szCs w:val="50"/>
        </w:rPr>
        <w:t>Section 1</w:t>
      </w:r>
    </w:p>
    <w:p w:rsidR="00701C07" w:rsidRDefault="00000000">
      <w:pPr>
        <w:pStyle w:val="SingleTxt"/>
        <w:spacing w:line="360" w:lineRule="auto"/>
        <w:ind w:left="0" w:right="0"/>
        <w:rPr>
          <w:rFonts w:eastAsia="Liberation Serif"/>
        </w:rPr>
      </w:pPr>
      <w:r>
        <w:rPr>
          <w:rFonts w:eastAsia="Liberation Serif"/>
          <w:b/>
          <w:bCs/>
        </w:rPr>
        <w:t xml:space="preserve">Articles 2, 10 &amp; 16 – </w:t>
      </w:r>
    </w:p>
    <w:p w:rsidR="00701C07" w:rsidRDefault="00000000">
      <w:pPr>
        <w:pStyle w:val="SingleTxt"/>
        <w:spacing w:line="360" w:lineRule="auto"/>
        <w:ind w:left="0" w:right="0"/>
        <w:rPr>
          <w:rFonts w:eastAsia="Liberation Serif"/>
        </w:rPr>
      </w:pPr>
      <w:r>
        <w:rPr>
          <w:rFonts w:eastAsia="Liberation Serif"/>
          <w:b/>
          <w:bCs/>
        </w:rPr>
        <w:t>On the State’s Obligation to Eliminate Discrimination Against Women and Measures to Eliminate Discrimination Against Women in all Matters relating to Education, Marriage and Family Relations.</w:t>
      </w:r>
    </w:p>
    <w:p w:rsidR="00701C07" w:rsidRDefault="00000000">
      <w:pPr>
        <w:pStyle w:val="SingleTxt"/>
        <w:numPr>
          <w:ilvl w:val="0"/>
          <w:numId w:val="1"/>
        </w:numPr>
        <w:spacing w:line="360" w:lineRule="auto"/>
        <w:rPr>
          <w:rFonts w:eastAsia="Liberation Serif"/>
        </w:rPr>
      </w:pPr>
      <w:r>
        <w:rPr>
          <w:rFonts w:eastAsia="Liberation Serif"/>
        </w:rPr>
        <w:t>IPLSA recognizes and commends the recent efforts made by China to promote gender equality and improve the welfare of its citizens with the submission of its last State Party report in 2014.  Specifically, we applaud China's ongoing recognition of the critical importance of eliminating all forms of discrimination against women, as demonstrated by the promulgation of the Anti-Domestic Violence Law in 2016.  This law clearly defines domestic violence as physical and psychological abuse of a family member.  In addition, we commend the recent revision of the Law of the PRC on the Protection of Rights and Interests of Women in 2022, which aims to protect maternity rights, combat gender-based discrimination in employment, and clarify the forms of sexual harassment in schools and workplaces.  Furthermore, the strengthening of the Vocational Education Law in 2022 to recognize the importance of vocational education on par with general education is also laudable.</w:t>
      </w:r>
    </w:p>
    <w:p w:rsidR="00701C07" w:rsidRDefault="00000000">
      <w:pPr>
        <w:pStyle w:val="SingleTxt"/>
        <w:numPr>
          <w:ilvl w:val="0"/>
          <w:numId w:val="1"/>
        </w:numPr>
        <w:spacing w:line="360" w:lineRule="auto"/>
        <w:rPr>
          <w:rFonts w:eastAsia="Liberation Serif"/>
        </w:rPr>
      </w:pPr>
      <w:r>
        <w:rPr>
          <w:rFonts w:eastAsia="Liberation Serif"/>
        </w:rPr>
        <w:t xml:space="preserve">These laws not only promote gender equality by providing women with more opportunities to compete with their male counterparts in the workplace, but also provide them with more protection.  This allows women to pursue vocational goals without significantly sacrificing their work-life balance, which includes duties such as child-rearing and family-building. </w:t>
      </w:r>
    </w:p>
    <w:p w:rsidR="00701C07" w:rsidRDefault="00000000">
      <w:pPr>
        <w:pStyle w:val="SingleTxt"/>
        <w:numPr>
          <w:ilvl w:val="0"/>
          <w:numId w:val="1"/>
        </w:numPr>
        <w:spacing w:line="360" w:lineRule="auto"/>
        <w:rPr>
          <w:rFonts w:eastAsia="Liberation Serif"/>
        </w:rPr>
      </w:pPr>
      <w:r>
        <w:rPr>
          <w:rFonts w:eastAsia="Liberation Serif"/>
        </w:rPr>
        <w:t>IPLSA is also delighted to learn that China has made significant progress in enhancing legal access across the country.  As of 2020, there were over 70,000 legal aid stations established to facilitate legal services, and between 2011 to 2020, more than 3.29 million legal aid cases had been handled for women. These efforts had provided legal assistance to over 3.307 million women and offered legal counsel to more than 13.01 million women.</w:t>
      </w:r>
    </w:p>
    <w:p w:rsidR="00701C07" w:rsidRDefault="00000000">
      <w:pPr>
        <w:pStyle w:val="SingleTxt"/>
        <w:numPr>
          <w:ilvl w:val="0"/>
          <w:numId w:val="1"/>
        </w:numPr>
        <w:spacing w:line="360" w:lineRule="auto"/>
        <w:rPr>
          <w:rFonts w:eastAsia="Liberation Serif"/>
        </w:rPr>
      </w:pPr>
      <w:r>
        <w:rPr>
          <w:rFonts w:eastAsia="Liberation Serif"/>
        </w:rPr>
        <w:t>Furthermore, China's recent adoption of The Legal Aid Law, which came into effect on Jan 1, 2022, has further improved access to justice, particularly in cases of domestic abuse compounded with economic control. These developments are a testament to China's commitment to promoting legal aid and ensuring that its citizens can access justice regardless of their circumstances.</w:t>
      </w:r>
    </w:p>
    <w:p w:rsidR="00701C07" w:rsidRDefault="00000000">
      <w:pPr>
        <w:pStyle w:val="SingleTxt"/>
        <w:numPr>
          <w:ilvl w:val="0"/>
          <w:numId w:val="1"/>
        </w:numPr>
        <w:spacing w:line="360" w:lineRule="auto"/>
        <w:rPr>
          <w:rFonts w:eastAsia="Liberation Serif"/>
        </w:rPr>
      </w:pPr>
      <w:r>
        <w:rPr>
          <w:rFonts w:eastAsia="Liberation Serif"/>
        </w:rPr>
        <w:t>IPLSA has observed China's increasingly progressive stance towards easing restrictions on the number and spacing of children that most families are allowed to have.  The transition from the one-child policy, established in the 1980s, to the two-child policy in 2015, and later to the current three-child limit under the revised Population and Family Planning Law is commendable.  We welcome these revisions, particularly the expansion of healthcare services for expectant mothers and the support for child-rearing through the establishment of specialized facilities for child-related activities within communities, workplaces, and public spaces.</w:t>
      </w:r>
    </w:p>
    <w:p w:rsidR="00701C07" w:rsidRDefault="00000000">
      <w:pPr>
        <w:pStyle w:val="SingleTxt"/>
        <w:numPr>
          <w:ilvl w:val="0"/>
          <w:numId w:val="1"/>
        </w:numPr>
        <w:spacing w:line="360" w:lineRule="auto"/>
        <w:rPr>
          <w:rFonts w:eastAsia="Liberation Serif"/>
        </w:rPr>
      </w:pPr>
      <w:r>
        <w:rPr>
          <w:rFonts w:eastAsia="Liberation Serif"/>
        </w:rPr>
        <w:t>These efforts by China are a significant step towards promoting the well-being of families and children.  IPLSA acknowledges China's commitment to creating an environment that is supportive of family development and child-rearing practices.  We believe that these measures will contribute positively towards the growth and development of future generations, whilst helping to ensure the fulfilment of fundamental human rights for all Chinese citizens.</w:t>
      </w:r>
    </w:p>
    <w:p w:rsidR="00701C07" w:rsidRDefault="00701C07">
      <w:pPr>
        <w:pStyle w:val="SingleTxt"/>
        <w:spacing w:line="360" w:lineRule="auto"/>
        <w:ind w:left="0"/>
        <w:rPr>
          <w:rFonts w:eastAsia="Liberation Serif"/>
        </w:rPr>
      </w:pPr>
    </w:p>
    <w:p w:rsidR="00701C07" w:rsidRDefault="00000000">
      <w:pPr>
        <w:pStyle w:val="SingleTxt"/>
        <w:spacing w:line="360" w:lineRule="auto"/>
        <w:ind w:left="0"/>
        <w:rPr>
          <w:rFonts w:eastAsia="Liberation Serif"/>
          <w:b/>
          <w:bCs/>
        </w:rPr>
      </w:pPr>
      <w:r>
        <w:br w:type="page"/>
      </w:r>
    </w:p>
    <w:p w:rsidR="00701C07" w:rsidRDefault="00701C07">
      <w:pPr>
        <w:pStyle w:val="SingleTxt"/>
        <w:spacing w:line="360" w:lineRule="auto"/>
        <w:ind w:left="0"/>
        <w:rPr>
          <w:rFonts w:eastAsia="Liberation Serif"/>
          <w:b/>
          <w:bCs/>
        </w:rPr>
      </w:pPr>
    </w:p>
    <w:p w:rsidR="00701C07" w:rsidRDefault="00000000">
      <w:pPr>
        <w:pStyle w:val="SingleTxt"/>
        <w:spacing w:line="360" w:lineRule="auto"/>
        <w:ind w:left="0"/>
        <w:rPr>
          <w:rFonts w:eastAsia="Liberation Serif"/>
          <w:b/>
          <w:bCs/>
        </w:rPr>
      </w:pPr>
      <w:r>
        <w:rPr>
          <w:rFonts w:eastAsia="Liberation Serif"/>
          <w:b/>
          <w:bCs/>
        </w:rPr>
        <w:t>Recommendations</w:t>
      </w:r>
    </w:p>
    <w:p w:rsidR="00701C07" w:rsidRDefault="00701C07">
      <w:pPr>
        <w:pStyle w:val="SingleTxt"/>
        <w:spacing w:line="360" w:lineRule="auto"/>
        <w:ind w:left="0"/>
        <w:rPr>
          <w:rFonts w:eastAsia="Liberation Serif"/>
          <w:b/>
          <w:bCs/>
        </w:rPr>
      </w:pPr>
    </w:p>
    <w:p w:rsidR="00701C07" w:rsidRDefault="00000000">
      <w:pPr>
        <w:pStyle w:val="SingleTxt"/>
        <w:numPr>
          <w:ilvl w:val="0"/>
          <w:numId w:val="1"/>
        </w:numPr>
        <w:spacing w:line="360" w:lineRule="auto"/>
        <w:rPr>
          <w:rFonts w:eastAsia="Liberation Serif"/>
        </w:rPr>
      </w:pPr>
      <w:r>
        <w:rPr>
          <w:rFonts w:eastAsia="Liberation Serif"/>
        </w:rPr>
        <w:t>The implementation of the Anti-Domestic Violence Law in China is a commendable initiative towards the empowerment of women.  However, the law's scope of protection is limited to married couples, cohabiting partners, and other family members, thus excluding divorced partners and couples who do not live together.  This exclusionary aspect of the law undermines its effectiveness in addressing domestic violence in all its forms.  IPLSA, therefore, strongly recommends that the law be amended to encompass all categories of domestic partners and prevent any forms of abuse from persisting even after the termination of a relationship.  Such inclusive measures would enhance the law's efficacy in combating domestic violence and promoting gender equality in China.</w:t>
      </w:r>
    </w:p>
    <w:p w:rsidR="00701C07" w:rsidRDefault="00000000">
      <w:pPr>
        <w:pStyle w:val="SingleTxt"/>
        <w:numPr>
          <w:ilvl w:val="0"/>
          <w:numId w:val="1"/>
        </w:numPr>
        <w:spacing w:line="360" w:lineRule="auto"/>
        <w:rPr>
          <w:rFonts w:eastAsia="Liberation Serif"/>
        </w:rPr>
      </w:pPr>
      <w:r>
        <w:rPr>
          <w:rFonts w:eastAsia="Liberation Serif"/>
        </w:rPr>
        <w:t>Whilst the recent amendments to the Population and Family Planning Law in China are welcome, IPLSA notes that the hard limits enshrined in the law may still be perceived as restrictive for families that are capable of bearing more children.  In this regard, IPLSA strongly advocates for the removal of any hard limits on the number of children in the law.  Instead, the Member State should prioritize its efforts towards providing better education and information to families, thereby empowering them to make informed decisions about their reproductive health.  By doing so, the Member State can effectively uphold Article 16(e) of the Convention - “rights [of families] to decide freely and responsibly on the number and spacing of their children and to have access to the information, education and means to enable them to exercise these rights”.</w:t>
      </w:r>
    </w:p>
    <w:p w:rsidR="00701C07" w:rsidRDefault="00000000">
      <w:pPr>
        <w:pStyle w:val="SingleTxt"/>
        <w:spacing w:line="360" w:lineRule="auto"/>
        <w:ind w:left="0"/>
        <w:rPr>
          <w:rFonts w:eastAsia="Liberation Serif"/>
        </w:rPr>
      </w:pPr>
      <w:r>
        <w:br w:type="page"/>
      </w:r>
    </w:p>
    <w:p w:rsidR="00701C07" w:rsidRDefault="00000000">
      <w:pPr>
        <w:pStyle w:val="SingleTxt"/>
        <w:spacing w:line="360" w:lineRule="auto"/>
        <w:ind w:left="0" w:right="0"/>
        <w:jc w:val="center"/>
        <w:rPr>
          <w:rFonts w:eastAsia="Liberation Serif"/>
          <w:b/>
          <w:bCs/>
          <w:sz w:val="50"/>
          <w:szCs w:val="50"/>
        </w:rPr>
      </w:pPr>
      <w:r>
        <w:rPr>
          <w:rFonts w:eastAsia="Liberation Serif"/>
          <w:b/>
          <w:bCs/>
          <w:sz w:val="50"/>
          <w:szCs w:val="50"/>
        </w:rPr>
        <w:t>Section 2</w:t>
      </w:r>
    </w:p>
    <w:p w:rsidR="00701C07" w:rsidRDefault="00000000">
      <w:pPr>
        <w:pStyle w:val="SingleTxt"/>
        <w:spacing w:line="360" w:lineRule="auto"/>
        <w:ind w:left="0"/>
        <w:rPr>
          <w:rFonts w:eastAsia="Liberation Serif"/>
        </w:rPr>
      </w:pPr>
      <w:r>
        <w:rPr>
          <w:rFonts w:eastAsia="Liberation Serif"/>
          <w:b/>
          <w:bCs/>
        </w:rPr>
        <w:t>Allegations of Uyghur Population Control</w:t>
      </w:r>
    </w:p>
    <w:p w:rsidR="00701C07" w:rsidRDefault="00000000">
      <w:pPr>
        <w:pStyle w:val="SingleTxt"/>
        <w:numPr>
          <w:ilvl w:val="0"/>
          <w:numId w:val="1"/>
        </w:numPr>
        <w:spacing w:line="360" w:lineRule="auto"/>
        <w:rPr>
          <w:rFonts w:eastAsia="Liberation Serif"/>
        </w:rPr>
      </w:pPr>
      <w:r>
        <w:rPr>
          <w:rFonts w:eastAsia="Liberation Serif"/>
        </w:rPr>
        <w:t xml:space="preserve">IPLSA is aware of the allegations of genocide via forced population control on Uyghur and/or Muslim minorities residing in XUAR. These allegations are extremely serious and demand careful consideration.  However, IPLSA believes that the evidence presented by the accusers must also be equally compelling and irrefutable to support such claims.  Given the gravity of the allegations, it is important to ensure that any accusations and subsequent actions taken are based on reliable and verifiable evidence. </w:t>
      </w:r>
    </w:p>
    <w:p w:rsidR="00701C07" w:rsidRDefault="00000000">
      <w:pPr>
        <w:pStyle w:val="SingleTxt"/>
        <w:numPr>
          <w:ilvl w:val="0"/>
          <w:numId w:val="1"/>
        </w:numPr>
        <w:spacing w:line="360" w:lineRule="auto"/>
        <w:rPr>
          <w:rFonts w:eastAsia="Liberation Serif"/>
        </w:rPr>
      </w:pPr>
      <w:r>
        <w:rPr>
          <w:rFonts w:eastAsia="Liberation Serif"/>
        </w:rPr>
        <w:t>To the surprise of our researchers, the evidence by which the allegations were based upon are by and large unverifiable or severely lacking in logical consistency.  Many of the allegations are based on hearsay that could not be properly cross-examined.  But more importantly, we note that many of these allegations point heavily towards the report “Sterilizations, IUDs, and Mandatory Birth Control: The CCP’s Campaign to Suppress Uygur Birthrates in Xinjiang” (henceforth in this section, “the Report”).</w:t>
      </w:r>
      <w:r>
        <w:rPr>
          <w:rStyle w:val="FootnoteReference"/>
          <w:rFonts w:eastAsia="Liberation Serif"/>
        </w:rPr>
        <w:footnoteReference w:id="2"/>
      </w:r>
    </w:p>
    <w:p w:rsidR="00701C07" w:rsidRDefault="00000000">
      <w:pPr>
        <w:pStyle w:val="SingleTxt"/>
        <w:numPr>
          <w:ilvl w:val="0"/>
          <w:numId w:val="1"/>
        </w:numPr>
        <w:spacing w:line="360" w:lineRule="auto"/>
        <w:rPr>
          <w:rFonts w:eastAsia="Liberation Serif"/>
        </w:rPr>
      </w:pPr>
      <w:r>
        <w:rPr>
          <w:rFonts w:eastAsia="Liberation Serif"/>
        </w:rPr>
        <w:t>The Report suffers from several shortcomings, including fallacious argumentation and questionable referencing practices.  As such, the Report fails to provide sufficient evidence to support the incredulous allegations under discussion.  To name a few examples, the Report</w:t>
      </w:r>
      <w:r>
        <w:rPr>
          <w:rStyle w:val="FootnoteReference"/>
          <w:rFonts w:eastAsia="Liberation Serif"/>
        </w:rPr>
        <w:footnoteReference w:id="3"/>
      </w:r>
      <w:r>
        <w:rPr>
          <w:rFonts w:eastAsia="Liberation Serif"/>
        </w:rPr>
        <w:t xml:space="preserve"> relies on hearsay to claim that a woman was “forcibly fitted with an intrauterine contraceptive device (IUD)” despite the source which the author drew from, a Washington Post</w:t>
      </w:r>
      <w:r>
        <w:rPr>
          <w:rStyle w:val="FootnoteReference"/>
          <w:rFonts w:eastAsia="Liberation Serif"/>
        </w:rPr>
        <w:footnoteReference w:id="4"/>
      </w:r>
      <w:r>
        <w:rPr>
          <w:rFonts w:eastAsia="Liberation Serif"/>
        </w:rPr>
        <w:t>, clearly stated that the experiences of the woman in question who was “forced to undergo abortions [and] had contraceptive devices implanted against [her] will […] could not be independently verified”.</w:t>
      </w:r>
    </w:p>
    <w:p w:rsidR="00701C07" w:rsidRDefault="00000000">
      <w:pPr>
        <w:pStyle w:val="SingleTxt"/>
        <w:numPr>
          <w:ilvl w:val="0"/>
          <w:numId w:val="1"/>
        </w:numPr>
        <w:spacing w:line="360" w:lineRule="auto"/>
        <w:rPr>
          <w:rFonts w:eastAsia="Liberation Serif"/>
        </w:rPr>
      </w:pPr>
      <w:r>
        <w:rPr>
          <w:rFonts w:eastAsia="Liberation Serif"/>
        </w:rPr>
        <w:t>Furthermore, the deliberate omission of the phrase "自发", meaning “by volition” or “self-motivated”, from the Report’s translation</w:t>
      </w:r>
      <w:r>
        <w:rPr>
          <w:rStyle w:val="FootnoteReference"/>
          <w:rFonts w:eastAsia="Liberation Serif"/>
        </w:rPr>
        <w:footnoteReference w:id="5"/>
      </w:r>
      <w:r>
        <w:rPr>
          <w:rFonts w:eastAsia="Liberation Serif"/>
        </w:rPr>
        <w:t xml:space="preserve"> may be a clear attempt to suggest that Uyghur farmers were coerced into taking birth control measures, despite evidence that the surgeries described were provided on an elective basis.  The inclusion of the word "spontaneously" in the translation in question also appears to be unjustified as the Chinese characters do not support such a meaning or interpretation. </w:t>
      </w:r>
    </w:p>
    <w:p w:rsidR="00701C07" w:rsidRDefault="00000000">
      <w:pPr>
        <w:pStyle w:val="SingleTxt"/>
        <w:numPr>
          <w:ilvl w:val="0"/>
          <w:numId w:val="1"/>
        </w:numPr>
        <w:spacing w:line="360" w:lineRule="auto"/>
        <w:rPr>
          <w:rFonts w:eastAsia="Liberation Serif"/>
        </w:rPr>
      </w:pPr>
      <w:r>
        <w:rPr>
          <w:rFonts w:eastAsia="Liberation Serif"/>
        </w:rPr>
        <w:t>It should be emphasized that family planning via contraception and birth control measures to prevent and reduce unwanted pregnancies is a matter of choice that is codified in the amendment of Article 20 of the Population and Family Planning Law in 2016, meaning these procedures are available to all citizens equally and freely.</w:t>
      </w:r>
    </w:p>
    <w:p w:rsidR="00701C07" w:rsidRDefault="00000000">
      <w:pPr>
        <w:pStyle w:val="SingleTxt"/>
        <w:numPr>
          <w:ilvl w:val="0"/>
          <w:numId w:val="1"/>
        </w:numPr>
        <w:spacing w:line="360" w:lineRule="auto"/>
        <w:rPr>
          <w:rFonts w:eastAsia="Liberation Serif"/>
        </w:rPr>
      </w:pPr>
      <w:r>
        <w:rPr>
          <w:rFonts w:eastAsia="Liberation Serif"/>
        </w:rPr>
        <w:t>The Report also insinuated that the Member State was deliberately targeting Uyghur women because the phrase “target” (目标) was used in the “Hotan City” document</w:t>
      </w:r>
      <w:r>
        <w:rPr>
          <w:rStyle w:val="FootnoteReference"/>
          <w:rFonts w:eastAsia="Liberation Serif"/>
        </w:rPr>
        <w:footnoteReference w:id="6"/>
      </w:r>
      <w:r>
        <w:rPr>
          <w:rFonts w:eastAsia="Liberation Serif"/>
        </w:rPr>
        <w:t xml:space="preserve"> that the Report had cited.   Though the author did not specify which part of the document they were referring to, the Report seemed to be referring to the following sentence “根据实际人的人群检查后符合条件给予上环，取环，人流，查环，查孕等免费服务.  预计上环目标人群 524 人,结扎人群 14872 人” on page 24 of the Hotan City Document.</w:t>
      </w:r>
    </w:p>
    <w:p w:rsidR="00701C07" w:rsidRDefault="00000000">
      <w:pPr>
        <w:pStyle w:val="SingleTxt"/>
        <w:numPr>
          <w:ilvl w:val="0"/>
          <w:numId w:val="1"/>
        </w:numPr>
        <w:spacing w:line="360" w:lineRule="auto"/>
        <w:rPr>
          <w:rFonts w:eastAsia="Liberation Serif"/>
        </w:rPr>
      </w:pPr>
      <w:r>
        <w:rPr>
          <w:rFonts w:eastAsia="Liberation Serif"/>
        </w:rPr>
        <w:t>The cited sentence can only be understood as literally targeting Uyghur women if one is ignorant of the linguistic context of the document.  It should be noted that the phrase "target population" is a common term used in public health documents and does not imply any form of discriminatory or coercive practices.  Instead, it may be more likely that the phrase was used to refer to the group of individuals who are eligible for a particular health service.  Along with the Hotan City document cited and the documents in footnotes 48 and 49</w:t>
      </w:r>
      <w:r>
        <w:rPr>
          <w:rStyle w:val="FootnoteReference"/>
          <w:rFonts w:eastAsia="Liberation Serif"/>
        </w:rPr>
        <w:footnoteReference w:id="7"/>
      </w:r>
      <w:r>
        <w:rPr>
          <w:rFonts w:eastAsia="Liberation Serif"/>
        </w:rPr>
        <w:t xml:space="preserve"> of the Report, it is also self-evidently clear that the authorities were estimating the costs for providing free contraception and elective surgeries for those who met the targeted requirements for poverty alleviation purposes.</w:t>
      </w:r>
    </w:p>
    <w:p w:rsidR="00701C07" w:rsidRDefault="00000000">
      <w:pPr>
        <w:pStyle w:val="SingleTxt"/>
        <w:numPr>
          <w:ilvl w:val="0"/>
          <w:numId w:val="1"/>
        </w:numPr>
        <w:spacing w:line="360" w:lineRule="auto"/>
        <w:rPr>
          <w:rFonts w:eastAsia="Liberation Serif"/>
        </w:rPr>
      </w:pPr>
      <w:r>
        <w:rPr>
          <w:rFonts w:eastAsia="Liberation Serif"/>
        </w:rPr>
        <w:t xml:space="preserve">Thus, the words chosen by the author of the Report have been taken out of context and subjected to an overly-literal translation that does not reflect the true meaning intended to be conveyed. It is essential to avoid such misinterpretations as they can lead to inaccurate and baseless claims that undermine the credibility of the Report. </w:t>
      </w:r>
    </w:p>
    <w:p w:rsidR="00701C07" w:rsidRDefault="00000000">
      <w:pPr>
        <w:pStyle w:val="SingleTxt"/>
        <w:numPr>
          <w:ilvl w:val="0"/>
          <w:numId w:val="1"/>
        </w:numPr>
        <w:spacing w:line="360" w:lineRule="auto"/>
        <w:rPr>
          <w:rFonts w:eastAsia="Liberation Serif"/>
        </w:rPr>
      </w:pPr>
      <w:r>
        <w:rPr>
          <w:rFonts w:eastAsia="Liberation Serif"/>
        </w:rPr>
        <w:t>Similarly, Figure 9 of the Report</w:t>
      </w:r>
      <w:r>
        <w:rPr>
          <w:rStyle w:val="FootnoteReference"/>
          <w:rFonts w:eastAsia="Liberation Serif"/>
        </w:rPr>
        <w:footnoteReference w:id="8"/>
      </w:r>
      <w:r>
        <w:rPr>
          <w:rFonts w:eastAsia="Liberation Serif"/>
        </w:rPr>
        <w:t xml:space="preserve"> raises significant concerns due to poor citation practices that make it challenging to independently verify the presented data.  Figure 9 is misleading, as it compares one region with the entirety of the nation, suggesting questionable data presentation.  A more transparent and honest approach would be a region-by-region comparison.</w:t>
      </w:r>
    </w:p>
    <w:p w:rsidR="00701C07" w:rsidRDefault="00000000">
      <w:pPr>
        <w:pStyle w:val="SingleTxt"/>
        <w:numPr>
          <w:ilvl w:val="0"/>
          <w:numId w:val="1"/>
        </w:numPr>
        <w:spacing w:line="360" w:lineRule="auto"/>
        <w:rPr>
          <w:rFonts w:eastAsia="Liberation Serif"/>
        </w:rPr>
      </w:pPr>
      <w:r>
        <w:rPr>
          <w:rFonts w:eastAsia="Liberation Serif"/>
        </w:rPr>
        <w:t>In the Report’s conclusion, the author makes a serious allegation, suggesting that the authorities in Xinjiang are deliberately engaging in the mass sterilization of women.</w:t>
      </w:r>
      <w:r>
        <w:rPr>
          <w:rStyle w:val="FootnoteReference"/>
          <w:rFonts w:eastAsia="Liberation Serif"/>
        </w:rPr>
        <w:footnoteReference w:id="9"/>
      </w:r>
      <w:r>
        <w:rPr>
          <w:rFonts w:eastAsia="Liberation Serif"/>
        </w:rPr>
        <w:t xml:space="preserve">  The author goes on to claim that the findings raise concerns tantamount to "demographic campaign of genocide per the text of Section D, Article II of the </w:t>
      </w:r>
      <w:r>
        <w:rPr>
          <w:rFonts w:eastAsia="Liberation Serif"/>
          <w:i/>
          <w:iCs/>
        </w:rPr>
        <w:t xml:space="preserve">U.N. Convention on the Prevention and Punishment of the Crime of Genocide </w:t>
      </w:r>
      <w:r>
        <w:rPr>
          <w:rFonts w:eastAsia="Liberation Serif"/>
        </w:rPr>
        <w:t>[</w:t>
      </w:r>
      <w:r>
        <w:rPr>
          <w:rFonts w:eastAsia="Liberation Serif"/>
          <w:i/>
          <w:iCs/>
        </w:rPr>
        <w:t>sic</w:t>
      </w:r>
      <w:r>
        <w:rPr>
          <w:rFonts w:eastAsia="Liberation Serif"/>
        </w:rPr>
        <w:t>]".</w:t>
      </w:r>
      <w:r>
        <w:rPr>
          <w:rStyle w:val="FootnoteReference"/>
          <w:rFonts w:eastAsia="Liberation Serif"/>
        </w:rPr>
        <w:footnoteReference w:id="10"/>
      </w:r>
      <w:r>
        <w:rPr>
          <w:rFonts w:eastAsia="Liberation Serif"/>
        </w:rPr>
        <w:t xml:space="preserve"> Such accusations are grave and require substantial evidence to support them.  However, as demonstrated throughout this section, the author’s arguments and allegations do not provide sufficient evidence to substantiate the Report’s final conclusions. </w:t>
      </w:r>
    </w:p>
    <w:p w:rsidR="00701C07" w:rsidRDefault="00701C07">
      <w:pPr>
        <w:pStyle w:val="SingleTxt"/>
        <w:spacing w:line="360" w:lineRule="auto"/>
        <w:ind w:left="0"/>
        <w:rPr>
          <w:rFonts w:eastAsia="Liberation Serif"/>
          <w:sz w:val="2"/>
          <w:szCs w:val="2"/>
        </w:rPr>
      </w:pPr>
    </w:p>
    <w:p w:rsidR="00701C07" w:rsidRDefault="00000000">
      <w:pPr>
        <w:pStyle w:val="SingleTxt"/>
        <w:spacing w:line="360" w:lineRule="auto"/>
        <w:ind w:left="0"/>
        <w:rPr>
          <w:rFonts w:eastAsia="Liberation Serif"/>
          <w:b/>
          <w:bCs/>
        </w:rPr>
      </w:pPr>
      <w:r>
        <w:rPr>
          <w:rFonts w:eastAsia="Liberation Serif"/>
          <w:b/>
          <w:bCs/>
        </w:rPr>
        <w:t>Recommendations</w:t>
      </w:r>
    </w:p>
    <w:p w:rsidR="00701C07" w:rsidRDefault="00000000">
      <w:pPr>
        <w:pStyle w:val="SingleTxt"/>
        <w:numPr>
          <w:ilvl w:val="0"/>
          <w:numId w:val="1"/>
        </w:numPr>
        <w:spacing w:line="360" w:lineRule="auto"/>
        <w:rPr>
          <w:rFonts w:eastAsia="Liberation Serif"/>
        </w:rPr>
      </w:pPr>
      <w:r>
        <w:rPr>
          <w:rFonts w:eastAsia="Liberation Serif"/>
        </w:rPr>
        <w:t>The deliberate manipulation of language as demonstrated in paragraphs 14-22 is a cause for concern and undermines the credibility of the Report.  It is imperative that reports on sensitive issues such as this are based on accurate translations and interpretations to ensure that the facts are presented in an objective and truthful manner.</w:t>
      </w:r>
    </w:p>
    <w:p w:rsidR="00701C07" w:rsidRDefault="00000000">
      <w:pPr>
        <w:pStyle w:val="SingleTxt"/>
        <w:numPr>
          <w:ilvl w:val="0"/>
          <w:numId w:val="1"/>
        </w:numPr>
        <w:spacing w:line="360" w:lineRule="auto"/>
        <w:rPr>
          <w:rFonts w:eastAsia="Liberation Serif"/>
        </w:rPr>
      </w:pPr>
      <w:r>
        <w:rPr>
          <w:rFonts w:eastAsia="Liberation Serif"/>
        </w:rPr>
        <w:t>Given the unreliability of the translations provided and the second-hand information of which the allegations of genocide were built upon, the Committee must exercise the utmost caution when considering the weighting of these claims.</w:t>
      </w:r>
    </w:p>
    <w:p w:rsidR="00701C07" w:rsidRDefault="00000000">
      <w:pPr>
        <w:pStyle w:val="SingleTxt"/>
        <w:numPr>
          <w:ilvl w:val="0"/>
          <w:numId w:val="1"/>
        </w:numPr>
        <w:spacing w:line="360" w:lineRule="auto"/>
        <w:rPr>
          <w:rFonts w:eastAsia="Liberation Serif"/>
        </w:rPr>
      </w:pPr>
      <w:r>
        <w:rPr>
          <w:rFonts w:eastAsia="Liberation Serif"/>
        </w:rPr>
        <w:t>IPLSA strongly recommends that the Committee appoints competent experts and reputable academics to thoroughly review the allegations and evidence presented by the accusers.  By the same token, it is essential that the Member State provides any additional contextual information that may be of assistance to the Committee in their investigation of this matter.  By taking these steps, we can ensure that a fair and impartial evaluation of the allegations is conducted, and that justice is served for all parties involved.</w:t>
      </w:r>
      <w:r>
        <w:br w:type="page"/>
      </w:r>
    </w:p>
    <w:p w:rsidR="00701C07" w:rsidRDefault="00000000">
      <w:pPr>
        <w:pStyle w:val="SingleTxt"/>
        <w:spacing w:line="360" w:lineRule="auto"/>
        <w:ind w:left="0"/>
        <w:jc w:val="left"/>
        <w:rPr>
          <w:rFonts w:eastAsia="Liberation Serif"/>
        </w:rPr>
      </w:pPr>
      <w:r>
        <w:rPr>
          <w:rFonts w:eastAsia="Liberation Serif"/>
          <w:b/>
          <w:bCs/>
        </w:rPr>
        <w:t xml:space="preserve">Hong Kong Special Administrative Region of the People’s Republic of China – </w:t>
      </w:r>
    </w:p>
    <w:p w:rsidR="00701C07" w:rsidRDefault="00000000">
      <w:pPr>
        <w:pStyle w:val="SingleTxt"/>
        <w:spacing w:line="360" w:lineRule="auto"/>
        <w:ind w:left="0"/>
        <w:rPr>
          <w:rFonts w:eastAsia="Liberation Serif"/>
        </w:rPr>
      </w:pPr>
      <w:r>
        <w:rPr>
          <w:rFonts w:eastAsia="Liberation Serif"/>
          <w:b/>
          <w:bCs/>
        </w:rPr>
        <w:t>I. Article 7—Promoting Women’s Political Participation in HKSAR</w:t>
      </w:r>
    </w:p>
    <w:p w:rsidR="00701C07" w:rsidRDefault="00000000">
      <w:pPr>
        <w:pStyle w:val="SingleTxt"/>
        <w:numPr>
          <w:ilvl w:val="0"/>
          <w:numId w:val="1"/>
        </w:numPr>
        <w:spacing w:line="360" w:lineRule="auto"/>
        <w:rPr>
          <w:rFonts w:eastAsia="Liberation Serif"/>
        </w:rPr>
      </w:pPr>
      <w:r>
        <w:rPr>
          <w:rFonts w:eastAsia="Liberation Serif"/>
        </w:rPr>
        <w:t>IPLSA notes that women's representation in the Legislative Council of HKSAR has remained stagnant over the past 11 years.</w:t>
      </w:r>
      <w:r>
        <w:rPr>
          <w:rStyle w:val="FootnoteReference"/>
          <w:rFonts w:eastAsia="Liberation Serif"/>
        </w:rPr>
        <w:footnoteReference w:id="11"/>
      </w:r>
      <w:r>
        <w:rPr>
          <w:rFonts w:eastAsia="Liberation Serif"/>
        </w:rPr>
        <w:t xml:space="preserve"> Specifically, in the 5</w:t>
      </w:r>
      <w:r>
        <w:rPr>
          <w:rFonts w:eastAsia="Liberation Serif"/>
          <w:vertAlign w:val="superscript"/>
        </w:rPr>
        <w:t>th</w:t>
      </w:r>
      <w:r>
        <w:rPr>
          <w:rFonts w:eastAsia="Liberation Serif"/>
        </w:rPr>
        <w:t xml:space="preserve">  Legislative Council (2012-2016), only 11 out of 70 members were women (15.71%). In the following term, the 6</w:t>
      </w:r>
      <w:r>
        <w:rPr>
          <w:rFonts w:eastAsia="Liberation Serif"/>
          <w:vertAlign w:val="superscript"/>
        </w:rPr>
        <w:t>th</w:t>
      </w:r>
      <w:r>
        <w:rPr>
          <w:rFonts w:eastAsia="Liberation Serif"/>
        </w:rPr>
        <w:t xml:space="preserve"> Legislative Council (2016-2021), the number of women increased nominally to 12 out of 70 members (17.14%). In the current 7</w:t>
      </w:r>
      <w:r>
        <w:rPr>
          <w:rFonts w:eastAsia="Liberation Serif"/>
          <w:vertAlign w:val="superscript"/>
        </w:rPr>
        <w:t>th</w:t>
      </w:r>
      <w:r>
        <w:rPr>
          <w:rFonts w:eastAsia="Liberation Serif"/>
        </w:rPr>
        <w:t xml:space="preserve"> Legislative Council (2022-present), 16 out of 89 members are women (17.97%). Similarly, at the district level, women's representation has seen only a nominal increase over the past 12 years, from 17.55% in 2011 to 18.79% in the last 2019 District Council. </w:t>
      </w:r>
    </w:p>
    <w:p w:rsidR="00701C07" w:rsidRDefault="00000000">
      <w:pPr>
        <w:pStyle w:val="SingleTxt"/>
        <w:numPr>
          <w:ilvl w:val="0"/>
          <w:numId w:val="1"/>
        </w:numPr>
        <w:spacing w:line="360" w:lineRule="auto"/>
        <w:rPr>
          <w:rFonts w:eastAsia="Liberation Serif"/>
        </w:rPr>
      </w:pPr>
      <w:r>
        <w:rPr>
          <w:rFonts w:eastAsia="Liberation Serif"/>
        </w:rPr>
        <w:t>Despite these small increases, the number of women participating in politics in Hong Kong remains relatively low, especially given the city’s significant sex ratio (number of males per 1,000 females) of 852 and 839 in 2016 and 2021, respectively.</w:t>
      </w:r>
      <w:r>
        <w:rPr>
          <w:rStyle w:val="FootnoteReference"/>
          <w:rFonts w:eastAsia="Liberation Serif"/>
        </w:rPr>
        <w:footnoteReference w:id="12"/>
      </w:r>
      <w:r>
        <w:rPr>
          <w:rFonts w:eastAsia="Liberation Serif"/>
        </w:rPr>
        <w:t xml:space="preserve">  Moreover, there is no significant difference in gender among registered electors and voter turnout for the Legislative Council, and there are more registered female electors than male electors for district elections, approximately 223 thousand more registered female electors than their male counterparts, in 2022,</w:t>
      </w:r>
      <w:r>
        <w:rPr>
          <w:rStyle w:val="FootnoteReference"/>
          <w:rFonts w:eastAsia="Liberation Serif"/>
        </w:rPr>
        <w:footnoteReference w:id="13"/>
      </w:r>
      <w:r>
        <w:rPr>
          <w:rFonts w:eastAsia="Liberation Serif"/>
        </w:rPr>
        <w:t xml:space="preserve"> suggesting that either a lack of women representatives or public’s low confidence in female candidates may be a contributing factor for women’s political participation in the city.</w:t>
      </w:r>
      <w:r>
        <w:br w:type="page"/>
      </w:r>
    </w:p>
    <w:p w:rsidR="00701C07" w:rsidRDefault="00000000">
      <w:pPr>
        <w:pStyle w:val="SingleTxt"/>
        <w:numPr>
          <w:ilvl w:val="0"/>
          <w:numId w:val="1"/>
        </w:numPr>
        <w:spacing w:line="360" w:lineRule="auto"/>
        <w:rPr>
          <w:rFonts w:eastAsia="Liberation Serif"/>
        </w:rPr>
      </w:pPr>
      <w:r>
        <w:rPr>
          <w:rFonts w:eastAsia="Liberation Serif"/>
        </w:rPr>
        <w:t>This suggestion is also supported by a study</w:t>
      </w:r>
      <w:r>
        <w:rPr>
          <w:rStyle w:val="FootnoteReference"/>
          <w:rFonts w:eastAsia="Liberation Serif"/>
        </w:rPr>
        <w:footnoteReference w:id="14"/>
      </w:r>
      <w:r>
        <w:rPr>
          <w:rFonts w:eastAsia="Liberation Serif"/>
        </w:rPr>
        <w:t xml:space="preserve"> which highlights the significant barriers to women attaining political roles. Namely, both the public and political leaders view men as more capable leaders, which further contributes to the lack of women's representation in Hong Kong politics. </w:t>
      </w:r>
    </w:p>
    <w:p w:rsidR="00701C07" w:rsidRDefault="00701C07">
      <w:pPr>
        <w:pStyle w:val="SingleTxt"/>
        <w:spacing w:line="360" w:lineRule="auto"/>
        <w:ind w:left="720"/>
        <w:rPr>
          <w:rFonts w:eastAsia="Liberation Serif"/>
        </w:rPr>
      </w:pPr>
    </w:p>
    <w:p w:rsidR="00701C07" w:rsidRDefault="00000000">
      <w:pPr>
        <w:pStyle w:val="SingleTxt"/>
        <w:spacing w:line="360" w:lineRule="auto"/>
        <w:ind w:left="0"/>
        <w:rPr>
          <w:rFonts w:eastAsia="Liberation Serif"/>
          <w:b/>
          <w:bCs/>
        </w:rPr>
      </w:pPr>
      <w:r>
        <w:rPr>
          <w:rFonts w:eastAsia="Liberation Serif"/>
          <w:b/>
          <w:bCs/>
        </w:rPr>
        <w:t>Recommendations</w:t>
      </w:r>
    </w:p>
    <w:p w:rsidR="00701C07" w:rsidRDefault="00000000">
      <w:pPr>
        <w:pStyle w:val="SingleTxt"/>
        <w:numPr>
          <w:ilvl w:val="0"/>
          <w:numId w:val="1"/>
        </w:numPr>
        <w:spacing w:line="360" w:lineRule="auto"/>
        <w:rPr>
          <w:rFonts w:eastAsia="Liberation Serif"/>
        </w:rPr>
      </w:pPr>
      <w:r>
        <w:rPr>
          <w:rFonts w:eastAsia="Liberation Serif"/>
        </w:rPr>
        <w:t>IPLSA recommends that the HKSAR Government should encourage more women to run for political office by providing more support and resources to female candidates to help them overcome the challenges they are facing.</w:t>
      </w:r>
    </w:p>
    <w:p w:rsidR="00701C07" w:rsidRDefault="00000000">
      <w:pPr>
        <w:pStyle w:val="SingleTxt"/>
        <w:numPr>
          <w:ilvl w:val="0"/>
          <w:numId w:val="1"/>
        </w:numPr>
        <w:spacing w:line="360" w:lineRule="auto"/>
        <w:rPr>
          <w:rFonts w:eastAsia="Liberation Serif"/>
        </w:rPr>
      </w:pPr>
      <w:r>
        <w:rPr>
          <w:rFonts w:eastAsia="Liberation Serif"/>
        </w:rPr>
        <w:t>Meanwhile, the HKSAR Government should also promote gender equality and challenge gender stereotypes through education and awareness campaigns, and conduct further research to help identify barriers to women’s political participation and develop targeted strategies to overcome these barriers.</w:t>
      </w:r>
    </w:p>
    <w:p w:rsidR="00701C07" w:rsidRDefault="00701C07">
      <w:pPr>
        <w:pStyle w:val="SingleTxt"/>
        <w:spacing w:line="360" w:lineRule="auto"/>
        <w:ind w:left="0"/>
        <w:rPr>
          <w:rFonts w:eastAsia="Liberation Serif"/>
        </w:rPr>
      </w:pPr>
    </w:p>
    <w:p w:rsidR="00701C07" w:rsidRDefault="00000000">
      <w:pPr>
        <w:pStyle w:val="SingleTxt"/>
        <w:spacing w:line="360" w:lineRule="auto"/>
        <w:ind w:left="0"/>
        <w:rPr>
          <w:rFonts w:eastAsia="Liberation Serif"/>
        </w:rPr>
      </w:pPr>
      <w:r>
        <w:rPr>
          <w:rFonts w:eastAsia="Liberation Serif"/>
          <w:b/>
          <w:bCs/>
        </w:rPr>
        <w:t>II. Hong Kong Riots 2019</w:t>
      </w:r>
    </w:p>
    <w:p w:rsidR="00701C07" w:rsidRDefault="00000000">
      <w:pPr>
        <w:pStyle w:val="SingleTxt"/>
        <w:numPr>
          <w:ilvl w:val="0"/>
          <w:numId w:val="1"/>
        </w:numPr>
        <w:spacing w:line="360" w:lineRule="auto"/>
        <w:rPr>
          <w:rFonts w:eastAsia="Liberation Serif"/>
        </w:rPr>
      </w:pPr>
      <w:r>
        <w:rPr>
          <w:rFonts w:eastAsia="Liberation Serif"/>
        </w:rPr>
        <w:t>IPLSA is aware of the wanton violence that occurred during the Hong Kong Extradition Riots between 2019 and 2020, and we denounce any form of violence or discrimination that is used to achieve political goals.</w:t>
      </w:r>
    </w:p>
    <w:p w:rsidR="00701C07" w:rsidRDefault="00000000">
      <w:pPr>
        <w:pStyle w:val="SingleTxt"/>
        <w:numPr>
          <w:ilvl w:val="0"/>
          <w:numId w:val="1"/>
        </w:numPr>
        <w:spacing w:line="360" w:lineRule="auto"/>
        <w:rPr>
          <w:rFonts w:eastAsia="Liberation Serif"/>
        </w:rPr>
      </w:pPr>
      <w:r>
        <w:rPr>
          <w:rFonts w:eastAsia="Liberation Serif"/>
        </w:rPr>
        <w:t>Despite the extensive news coverage</w:t>
      </w:r>
      <w:r>
        <w:rPr>
          <w:rStyle w:val="FootnoteReference"/>
          <w:rFonts w:eastAsia="Liberation Serif"/>
        </w:rPr>
        <w:footnoteReference w:id="15"/>
      </w:r>
      <w:r>
        <w:rPr>
          <w:rFonts w:eastAsia="Liberation Serif"/>
        </w:rPr>
        <w:t xml:space="preserve"> and media posts that highlighted allegations of police brutality during the Hong Kong Extradition Riots, they failed to provide a balanced report on the violence perpetuated by black-clad rioters, especially against women and children who supported the Hong Kong Police Force (HKPF) or the HKSAR Government.  As a result, the true extent of the violence and its impact on innocent victims were often overlooked. </w:t>
      </w:r>
    </w:p>
    <w:p w:rsidR="00701C07" w:rsidRDefault="00000000">
      <w:pPr>
        <w:pStyle w:val="SingleTxt"/>
        <w:numPr>
          <w:ilvl w:val="0"/>
          <w:numId w:val="1"/>
        </w:numPr>
        <w:spacing w:line="360" w:lineRule="auto"/>
        <w:rPr>
          <w:rFonts w:eastAsia="Liberation Serif"/>
        </w:rPr>
      </w:pPr>
      <w:r>
        <w:rPr>
          <w:rFonts w:eastAsia="Liberation Serif"/>
        </w:rPr>
        <w:t>In fact, our organization was frequently contacted during the riots in 2019 by the spouses</w:t>
      </w:r>
      <w:r>
        <w:rPr>
          <w:rStyle w:val="FootnoteReference"/>
          <w:rFonts w:eastAsia="Liberation Serif"/>
        </w:rPr>
        <w:footnoteReference w:id="16"/>
      </w:r>
      <w:r>
        <w:rPr>
          <w:rFonts w:eastAsia="Liberation Serif"/>
        </w:rPr>
        <w:t xml:space="preserve"> of HKPF members, seeking legal advice on how to protect their identities from cyberbullying, doxxing, stalking, verbal and physical abuse.  The most common form of abuse suffered by women was doxxing, in which rioters treated the personal information of their targets as a game, collecting and distributing it on the internet for their own amusement and political ends, as some researchers have noted.</w:t>
      </w:r>
      <w:r>
        <w:rPr>
          <w:rStyle w:val="FootnoteReference"/>
          <w:rFonts w:eastAsia="Liberation Serif"/>
        </w:rPr>
        <w:footnoteReference w:id="17"/>
      </w:r>
    </w:p>
    <w:p w:rsidR="00701C07" w:rsidRDefault="00000000">
      <w:pPr>
        <w:pStyle w:val="SingleTxt"/>
        <w:numPr>
          <w:ilvl w:val="0"/>
          <w:numId w:val="1"/>
        </w:numPr>
        <w:spacing w:line="360" w:lineRule="auto"/>
        <w:rPr>
          <w:rFonts w:eastAsia="Liberation Serif"/>
        </w:rPr>
      </w:pPr>
      <w:r>
        <w:rPr>
          <w:rFonts w:eastAsia="Liberation Serif"/>
        </w:rPr>
        <w:t>Some further examples of abuse against women are also well documented by the public and other organisations.</w:t>
      </w:r>
      <w:r>
        <w:rPr>
          <w:rStyle w:val="FootnoteReference"/>
          <w:rFonts w:eastAsia="Liberation Serif"/>
        </w:rPr>
        <w:footnoteReference w:id="18"/>
      </w:r>
      <w:r>
        <w:rPr>
          <w:rFonts w:eastAsia="Liberation Serif"/>
        </w:rPr>
        <w:t xml:space="preserve">  On January 1, 2020, a woman was subjected to bullying and robbery after she took photographs of rioters who were caught in the act of setting fire to an ATM machine in Central.  A video footage of the incident also documented the utilization of signature umbrellas by rioters to mask the violence they were committing, which was a recurring tactic employed by them to limit media coverage of their actions and mitigate the consequences of their treatment of individuals who opposed their political views or otherwise.</w:t>
      </w:r>
      <w:r>
        <w:rPr>
          <w:rStyle w:val="FootnoteReference"/>
          <w:rFonts w:eastAsia="Liberation Serif"/>
        </w:rPr>
        <w:footnoteReference w:id="19"/>
      </w:r>
      <w:r>
        <w:rPr>
          <w:rFonts w:eastAsia="Liberation Serif"/>
        </w:rPr>
        <w:t xml:space="preserve">  </w:t>
      </w:r>
    </w:p>
    <w:p w:rsidR="00701C07" w:rsidRDefault="00000000">
      <w:pPr>
        <w:pStyle w:val="SingleTxt"/>
        <w:numPr>
          <w:ilvl w:val="0"/>
          <w:numId w:val="1"/>
        </w:numPr>
        <w:spacing w:line="360" w:lineRule="auto"/>
        <w:rPr>
          <w:rFonts w:eastAsia="Liberation Serif"/>
        </w:rPr>
      </w:pPr>
      <w:r>
        <w:rPr>
          <w:rFonts w:eastAsia="Liberation Serif"/>
        </w:rPr>
        <w:t>On December 28, 2019, rioters assaulted various women by trashing their personal belongings.</w:t>
      </w:r>
      <w:r>
        <w:rPr>
          <w:rStyle w:val="FootnoteReference"/>
          <w:rFonts w:eastAsia="Liberation Serif"/>
        </w:rPr>
        <w:footnoteReference w:id="20"/>
      </w:r>
      <w:r>
        <w:rPr>
          <w:rFonts w:eastAsia="Liberation Serif"/>
        </w:rPr>
        <w:t xml:space="preserve">  On December 15, 2019, three women were assaulted by rioters for confronting their vandalism in a shopping mall.</w:t>
      </w:r>
      <w:r>
        <w:rPr>
          <w:rStyle w:val="FootnoteReference"/>
          <w:rFonts w:eastAsia="Liberation Serif"/>
        </w:rPr>
        <w:footnoteReference w:id="21"/>
      </w:r>
      <w:r>
        <w:rPr>
          <w:rFonts w:eastAsia="Liberation Serif"/>
        </w:rPr>
        <w:t xml:space="preserve">  On December 1, 2019, a couple was brutally attacked by a group of rioters near Hung Hom in response to a verbal dispute, with the perpetrators using their umbrellas to conceal the violent act.</w:t>
      </w:r>
      <w:r>
        <w:rPr>
          <w:rStyle w:val="FootnoteReference"/>
          <w:rFonts w:eastAsia="Liberation Serif"/>
        </w:rPr>
        <w:footnoteReference w:id="22"/>
      </w:r>
      <w:r>
        <w:rPr>
          <w:rFonts w:eastAsia="Liberation Serif"/>
        </w:rPr>
        <w:t xml:space="preserve"> On November 16, 2019, rioters hurled bricks at innocent civilians who were trying to clear the blockades created by them.  As a result, a woman was left bleeding profusely from her head trauma.</w:t>
      </w:r>
      <w:r>
        <w:rPr>
          <w:rStyle w:val="FootnoteReference"/>
          <w:rFonts w:eastAsia="Liberation Serif"/>
        </w:rPr>
        <w:footnoteReference w:id="23"/>
      </w:r>
      <w:r>
        <w:rPr>
          <w:rFonts w:eastAsia="Liberation Serif"/>
        </w:rPr>
        <w:t xml:space="preserve">  On November 11, 2019, rioters prevented a young woman from escaping the rioting and repeatedly struck her with metal sticks, causing severe head injuries and copious bleeding.</w:t>
      </w:r>
      <w:r>
        <w:rPr>
          <w:rStyle w:val="FootnoteReference"/>
          <w:rFonts w:eastAsia="Liberation Serif"/>
        </w:rPr>
        <w:footnoteReference w:id="24"/>
      </w:r>
      <w:r>
        <w:rPr>
          <w:rFonts w:eastAsia="Liberation Serif"/>
        </w:rPr>
        <w:t xml:space="preserve"> On September 14, 2019, a woman was recklessly bullied and thrown down an escalator after confronting a group of rioters.  Consequently, the victim suffered multiple acute dental traumas, whilst a significant portion of the incident was deliberately obscured by the perpetrators using their signature umbrellas.</w:t>
      </w:r>
      <w:r>
        <w:rPr>
          <w:rStyle w:val="FootnoteReference"/>
          <w:rFonts w:eastAsia="Liberation Serif"/>
        </w:rPr>
        <w:footnoteReference w:id="25"/>
      </w:r>
    </w:p>
    <w:p w:rsidR="00701C07" w:rsidRDefault="00000000">
      <w:pPr>
        <w:pStyle w:val="SingleTxt"/>
        <w:numPr>
          <w:ilvl w:val="0"/>
          <w:numId w:val="1"/>
        </w:numPr>
        <w:spacing w:line="360" w:lineRule="auto"/>
        <w:rPr>
          <w:rFonts w:eastAsia="Liberation Serif"/>
        </w:rPr>
      </w:pPr>
      <w:r>
        <w:rPr>
          <w:rFonts w:eastAsia="Liberation Serif"/>
        </w:rPr>
        <w:t xml:space="preserve">These examples of reprehensible behaviour are clear indications of the violent and manipulative tactics employed by rioters to evade accountability for their actions, and these incidents are a grave reminder of the dangerous and destructive nature of the Hong Kong Extradition Riots, which has caused immense harm to innocent civilians and posed a serious threat to public safety and security. </w:t>
      </w:r>
    </w:p>
    <w:p w:rsidR="00701C07" w:rsidRDefault="00701C07">
      <w:pPr>
        <w:pStyle w:val="SingleTxt"/>
        <w:spacing w:line="360" w:lineRule="auto"/>
        <w:ind w:left="0"/>
        <w:rPr>
          <w:rFonts w:eastAsia="Liberation Serif"/>
        </w:rPr>
      </w:pPr>
    </w:p>
    <w:p w:rsidR="00701C07" w:rsidRDefault="00000000">
      <w:pPr>
        <w:pStyle w:val="SingleTxt"/>
        <w:spacing w:line="360" w:lineRule="auto"/>
        <w:ind w:left="0"/>
        <w:rPr>
          <w:rFonts w:eastAsia="Liberation Serif"/>
          <w:b/>
          <w:bCs/>
          <w:u w:val="single"/>
        </w:rPr>
      </w:pPr>
      <w:r>
        <w:br w:type="page"/>
      </w:r>
    </w:p>
    <w:p w:rsidR="00701C07" w:rsidRDefault="00701C07">
      <w:pPr>
        <w:pStyle w:val="SingleTxt"/>
        <w:spacing w:line="360" w:lineRule="auto"/>
        <w:ind w:left="0"/>
        <w:rPr>
          <w:rFonts w:eastAsia="Liberation Serif"/>
          <w:b/>
          <w:bCs/>
          <w:u w:val="single"/>
        </w:rPr>
      </w:pPr>
    </w:p>
    <w:p w:rsidR="00701C07" w:rsidRDefault="00000000">
      <w:pPr>
        <w:pStyle w:val="SingleTxt"/>
        <w:spacing w:line="360" w:lineRule="auto"/>
        <w:ind w:left="0"/>
        <w:rPr>
          <w:rFonts w:eastAsia="Liberation Serif"/>
          <w:b/>
          <w:bCs/>
          <w:u w:val="single"/>
        </w:rPr>
      </w:pPr>
      <w:r>
        <w:rPr>
          <w:rFonts w:eastAsia="Liberation Serif"/>
          <w:b/>
          <w:bCs/>
          <w:u w:val="single"/>
        </w:rPr>
        <w:t>Recommendations</w:t>
      </w:r>
    </w:p>
    <w:p w:rsidR="00701C07" w:rsidRDefault="00701C07">
      <w:pPr>
        <w:pStyle w:val="SingleTxt"/>
        <w:spacing w:line="360" w:lineRule="auto"/>
        <w:ind w:left="0"/>
        <w:rPr>
          <w:rFonts w:eastAsia="Liberation Serif"/>
          <w:b/>
          <w:bCs/>
          <w:u w:val="single"/>
        </w:rPr>
      </w:pPr>
    </w:p>
    <w:p w:rsidR="00701C07" w:rsidRDefault="00000000">
      <w:pPr>
        <w:pStyle w:val="SingleTxt"/>
        <w:numPr>
          <w:ilvl w:val="0"/>
          <w:numId w:val="1"/>
        </w:numPr>
        <w:spacing w:line="360" w:lineRule="auto"/>
        <w:rPr>
          <w:rFonts w:eastAsia="Liberation Serif"/>
        </w:rPr>
      </w:pPr>
      <w:r>
        <w:rPr>
          <w:rFonts w:eastAsia="Liberation Serif"/>
        </w:rPr>
        <w:t>IPLSA is pleased to learn that the HKSAR Government has taken a proactive step towards safeguarding the privacy of its citizens by implementing the Personal Data (Privacy) (Amendment) Ordinance 2021 to tackle the malicious practice of doxxing.</w:t>
      </w:r>
    </w:p>
    <w:p w:rsidR="00701C07" w:rsidRDefault="00000000">
      <w:pPr>
        <w:pStyle w:val="SingleTxt"/>
        <w:numPr>
          <w:ilvl w:val="0"/>
          <w:numId w:val="1"/>
        </w:numPr>
        <w:spacing w:line="360" w:lineRule="auto"/>
        <w:rPr>
          <w:rFonts w:eastAsia="Liberation Serif"/>
        </w:rPr>
      </w:pPr>
      <w:r>
        <w:rPr>
          <w:rFonts w:eastAsia="Liberation Serif"/>
        </w:rPr>
        <w:t>However, the tragic consequences and impact of the violent black-clad riots cannot be undone.  IPLSA strongly recommends the Committee to adopt a more balanced approach towards the issues related to the Hong Kong riots in 2019, and make use of the context provided in section three as to why members of the HKPF had reacted against the riots in the way they did and, with all things considered, they have only shown commendable restraint in their efforts to keep the city safe.</w:t>
      </w:r>
    </w:p>
    <w:p w:rsidR="00701C07" w:rsidRDefault="00000000">
      <w:pPr>
        <w:pStyle w:val="SingleTxt"/>
        <w:numPr>
          <w:ilvl w:val="0"/>
          <w:numId w:val="1"/>
        </w:numPr>
        <w:spacing w:line="360" w:lineRule="auto"/>
        <w:rPr>
          <w:rFonts w:eastAsia="Liberation Serif"/>
        </w:rPr>
      </w:pPr>
      <w:r>
        <w:rPr>
          <w:rFonts w:eastAsia="Liberation Serif"/>
        </w:rPr>
        <w:t>IPLSA believes that it is imperative to condemn any forms of violence for political gains, as they cause immense harm to innocent victims and ultimately violate the principles of democracy and human rights.  Therefore, IPLSA urges the Committee to take a strong stance against such acts of violence and uphold the values of peace and stability.</w:t>
      </w:r>
    </w:p>
    <w:sectPr w:rsidR="00701C07">
      <w:headerReference w:type="default" r:id="rId8"/>
      <w:footerReference w:type="default" r:id="rId9"/>
      <w:pgSz w:w="11906" w:h="16838"/>
      <w:pgMar w:top="3061" w:right="1134" w:bottom="1693" w:left="1134" w:header="1134" w:footer="1134"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7736" w:rsidRDefault="00CE7736">
      <w:r>
        <w:separator/>
      </w:r>
    </w:p>
  </w:endnote>
  <w:endnote w:type="continuationSeparator" w:id="0">
    <w:p w:rsidR="00CE7736" w:rsidRDefault="00CE7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Microsoft JhengHei"/>
    <w:charset w:val="88"/>
    <w:family w:val="swiss"/>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penSymbol">
    <w:altName w:val="Arial Unicode MS"/>
    <w:charset w:val="88"/>
    <w:family w:val="roman"/>
    <w:pitch w:val="variable"/>
  </w:font>
  <w:font w:name="Liberation Sans">
    <w:altName w:val="Arial"/>
    <w:charset w:val="88"/>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
    <w:charset w:val="88"/>
    <w:family w:val="roman"/>
    <w:pitch w:val="variable"/>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01C07" w:rsidRDefault="00000000">
    <w:pPr>
      <w:pStyle w:val="Footer"/>
      <w:jc w:val="center"/>
    </w:pPr>
    <w:r>
      <w:fldChar w:fldCharType="begin"/>
    </w:r>
    <w:r>
      <w:instrText xml:space="preserve"> PAGE </w:instrText>
    </w:r>
    <w:r>
      <w:fldChar w:fldCharType="separate"/>
    </w:r>
    <w: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7736" w:rsidRDefault="00CE7736">
      <w:pPr>
        <w:rPr>
          <w:sz w:val="12"/>
        </w:rPr>
      </w:pPr>
      <w:r>
        <w:separator/>
      </w:r>
    </w:p>
  </w:footnote>
  <w:footnote w:type="continuationSeparator" w:id="0">
    <w:p w:rsidR="00CE7736" w:rsidRDefault="00CE7736">
      <w:pPr>
        <w:rPr>
          <w:sz w:val="12"/>
        </w:rPr>
      </w:pPr>
      <w:r>
        <w:continuationSeparator/>
      </w:r>
    </w:p>
  </w:footnote>
  <w:footnote w:id="1">
    <w:p w:rsidR="00701C07" w:rsidRDefault="00000000">
      <w:pPr>
        <w:pStyle w:val="FootnoteText"/>
      </w:pPr>
      <w:r>
        <w:rPr>
          <w:rStyle w:val="FootnoteCharacters"/>
        </w:rPr>
        <w:footnoteRef/>
      </w:r>
      <w:r>
        <w:tab/>
        <w:t>See the legal definition of “riot” under s.18 and s.19 of the Public Order Ordinance, Cap.245 of the HKSAR of China.</w:t>
      </w:r>
    </w:p>
  </w:footnote>
  <w:footnote w:id="2">
    <w:p w:rsidR="00701C07" w:rsidRDefault="00000000">
      <w:pPr>
        <w:pStyle w:val="FootnoteText"/>
      </w:pPr>
      <w:r>
        <w:rPr>
          <w:rStyle w:val="FootnoteCharacters"/>
        </w:rPr>
        <w:footnoteRef/>
      </w:r>
      <w:r>
        <w:tab/>
        <w:t xml:space="preserve">Zenz, Adrian. 2020. “Sterilizations, IUDs, and Mandatory Birth Control: The CCP’s Campaign to Suppress Uyghur Birthrates in Xinjiang.” </w:t>
      </w:r>
      <w:r>
        <w:rPr>
          <w:i/>
          <w:iCs/>
        </w:rPr>
        <w:t xml:space="preserve">The Jamestown Foundation. </w:t>
      </w:r>
      <w:r>
        <w:t xml:space="preserve"> Last modified July 21, 2020. </w:t>
      </w:r>
      <w:hyperlink r:id="rId1">
        <w:r>
          <w:rPr>
            <w:rStyle w:val="Hyperlink"/>
          </w:rPr>
          <w:t>https://jamestown.org/wp-content/uploads/2020/06/Zenz-Internment-Sterilizations-and-IUDs-UPDATED-July-21-Rev2.pdf</w:t>
        </w:r>
      </w:hyperlink>
      <w:r>
        <w:t xml:space="preserve"> </w:t>
      </w:r>
    </w:p>
  </w:footnote>
  <w:footnote w:id="3">
    <w:p w:rsidR="00701C07" w:rsidRDefault="00000000">
      <w:pPr>
        <w:pStyle w:val="FootnoteText"/>
      </w:pPr>
      <w:r>
        <w:rPr>
          <w:rStyle w:val="FootnoteCharacters"/>
        </w:rPr>
        <w:footnoteRef/>
      </w:r>
      <w:r>
        <w:tab/>
        <w:t>Ibid, page 1.</w:t>
      </w:r>
    </w:p>
  </w:footnote>
  <w:footnote w:id="4">
    <w:p w:rsidR="00701C07" w:rsidRDefault="00000000">
      <w:pPr>
        <w:pStyle w:val="FootnoteText"/>
      </w:pPr>
      <w:r>
        <w:rPr>
          <w:rStyle w:val="FootnoteCharacters"/>
        </w:rPr>
        <w:footnoteRef/>
      </w:r>
      <w:r>
        <w:tab/>
        <w:t>Ferris-Rotman, Amie. 2019.  “Abortions, IUDs and sexual humiliation: Muslim women who fled China for Kazakhstan recount ordeals”.</w:t>
      </w:r>
      <w:r>
        <w:rPr>
          <w:i/>
          <w:iCs/>
        </w:rPr>
        <w:t xml:space="preserve">  The Washington Post</w:t>
      </w:r>
      <w:r>
        <w:t xml:space="preserve">, October 5, 2019. </w:t>
      </w:r>
      <w:hyperlink r:id="rId2">
        <w:r>
          <w:rPr>
            <w:rStyle w:val="Hyperlink"/>
          </w:rPr>
          <w:t>https://www.washingtonpost.com/world/asia_pacific/abortions-iuds-and-sexual-humiliation-muslim-women-who-fled-china-for-kazakhstan-recount-ordeals/2019/10/04/551c2658-cfd2-11e9-a620-0a91656d7db6_story.html</w:t>
        </w:r>
      </w:hyperlink>
      <w:r>
        <w:t xml:space="preserve"> </w:t>
      </w:r>
    </w:p>
  </w:footnote>
  <w:footnote w:id="5">
    <w:p w:rsidR="00701C07" w:rsidRDefault="00000000">
      <w:pPr>
        <w:pStyle w:val="FootnoteText"/>
        <w:rPr>
          <w:rFonts w:eastAsia="Liberation Serif"/>
        </w:rPr>
      </w:pPr>
      <w:r>
        <w:rPr>
          <w:rStyle w:val="FootnoteCharacters"/>
        </w:rPr>
        <w:footnoteRef/>
      </w:r>
      <w:r>
        <w:rPr>
          <w:rFonts w:eastAsia="Liberation Serif"/>
        </w:rPr>
        <w:tab/>
        <w:t>Zenz, op. cit., 16.  Zenz translates the following line “引导广大农牧民群众自发进行计划生育绝育手术，实施节育手术免费政策，有效推进计划生育工作，有效控制人口过快增长”as “Guide the masses of farmers and herdsmen to spontaneously carry out family planning sterilization surgery, implement the free policy of birth control surgery, effectively promote family planning work, and effectively control excessive population growth.”</w:t>
      </w:r>
    </w:p>
  </w:footnote>
  <w:footnote w:id="6">
    <w:p w:rsidR="00701C07" w:rsidRDefault="00000000">
      <w:pPr>
        <w:pStyle w:val="FootnoteText"/>
      </w:pPr>
      <w:r>
        <w:rPr>
          <w:rStyle w:val="FootnoteCharacters"/>
        </w:rPr>
        <w:footnoteRef/>
      </w:r>
      <w:r>
        <w:rPr>
          <w:rFonts w:eastAsia="Liberation Serif"/>
        </w:rPr>
        <w:tab/>
        <w:t xml:space="preserve">Anonymous. 2019. “和田市人口和计划生育委员会 2019 年部门, 预算公开” Accessed April 5, 2023. </w:t>
      </w:r>
      <w:hyperlink r:id="rId3">
        <w:r>
          <w:rPr>
            <w:rStyle w:val="Hyperlink"/>
            <w:rFonts w:eastAsia="Liberation Serif"/>
          </w:rPr>
          <w:t>https://web.archive.org/web/20200406144736/https:/www.hts.gov.cn/file/upload/201908/10/121136987.pdf</w:t>
        </w:r>
      </w:hyperlink>
      <w:r>
        <w:rPr>
          <w:rFonts w:eastAsia="Liberation Serif"/>
        </w:rPr>
        <w:t xml:space="preserve"> </w:t>
      </w:r>
    </w:p>
  </w:footnote>
  <w:footnote w:id="7">
    <w:p w:rsidR="00701C07" w:rsidRDefault="00000000">
      <w:pPr>
        <w:pStyle w:val="FootnoteText"/>
      </w:pPr>
      <w:r>
        <w:rPr>
          <w:rStyle w:val="FootnoteCharacters"/>
        </w:rPr>
        <w:footnoteRef/>
      </w:r>
      <w:r>
        <w:tab/>
        <w:t>Anonymous. 2020. “</w:t>
      </w:r>
      <w:r>
        <w:t>新疆维吾尔自治区卫生健康委员会</w:t>
      </w:r>
      <w:r>
        <w:t xml:space="preserve">- 2020 </w:t>
      </w:r>
      <w:r>
        <w:t>年度部门预算公开报告</w:t>
      </w:r>
      <w:r>
        <w:t xml:space="preserve">”.  Accessed April 5, 2023. </w:t>
      </w:r>
      <w:hyperlink r:id="rId4">
        <w:r>
          <w:rPr>
            <w:rStyle w:val="Hyperlink"/>
          </w:rPr>
          <w:t>https://bit.ly/3fOqdxw</w:t>
        </w:r>
      </w:hyperlink>
      <w:r>
        <w:t>.</w:t>
      </w:r>
    </w:p>
  </w:footnote>
  <w:footnote w:id="8">
    <w:p w:rsidR="00701C07" w:rsidRDefault="00000000">
      <w:pPr>
        <w:pStyle w:val="FootnoteText"/>
      </w:pPr>
      <w:r>
        <w:rPr>
          <w:rStyle w:val="FootnoteCharacters"/>
        </w:rPr>
        <w:footnoteRef/>
      </w:r>
      <w:r>
        <w:tab/>
        <w:t xml:space="preserve">Zenz, op. cit., 17. </w:t>
      </w:r>
    </w:p>
  </w:footnote>
  <w:footnote w:id="9">
    <w:p w:rsidR="00701C07" w:rsidRDefault="00000000">
      <w:pPr>
        <w:pStyle w:val="FootnoteText"/>
      </w:pPr>
      <w:r>
        <w:rPr>
          <w:rStyle w:val="FootnoteCharacters"/>
        </w:rPr>
        <w:footnoteRef/>
      </w:r>
      <w:r>
        <w:tab/>
        <w:t>Zenz, op. cit., 18.</w:t>
      </w:r>
    </w:p>
  </w:footnote>
  <w:footnote w:id="10">
    <w:p w:rsidR="00701C07" w:rsidRDefault="00000000">
      <w:pPr>
        <w:pStyle w:val="FootnoteText"/>
      </w:pPr>
      <w:r>
        <w:rPr>
          <w:rStyle w:val="FootnoteCharacters"/>
        </w:rPr>
        <w:footnoteRef/>
      </w:r>
      <w:r>
        <w:tab/>
        <w:t>Zenz, op. cit., 21.</w:t>
      </w:r>
    </w:p>
  </w:footnote>
  <w:footnote w:id="11">
    <w:p w:rsidR="00701C07" w:rsidRDefault="00000000">
      <w:pPr>
        <w:pStyle w:val="FootnoteText"/>
      </w:pPr>
      <w:r>
        <w:rPr>
          <w:rStyle w:val="FootnoteCharacters"/>
        </w:rPr>
        <w:footnoteRef/>
      </w:r>
      <w:r>
        <w:tab/>
        <w:t xml:space="preserve">Women’s Commission. 2022. “Hong Kong Women in Figures 2021”. Women’s Commission. Last modified May 10, 2022.  </w:t>
      </w:r>
      <w:hyperlink r:id="rId5">
        <w:r>
          <w:rPr>
            <w:rStyle w:val="Hyperlink"/>
          </w:rPr>
          <w:t>https://www.women.gov.hk/download/research/HK_Women2021_e.pdf</w:t>
        </w:r>
      </w:hyperlink>
      <w:r>
        <w:t xml:space="preserve"> </w:t>
      </w:r>
    </w:p>
  </w:footnote>
  <w:footnote w:id="12">
    <w:p w:rsidR="00701C07" w:rsidRDefault="00000000">
      <w:pPr>
        <w:pStyle w:val="FootnoteText"/>
      </w:pPr>
      <w:r>
        <w:rPr>
          <w:rStyle w:val="FootnoteCharacters"/>
        </w:rPr>
        <w:footnoteRef/>
      </w:r>
      <w:r>
        <w:tab/>
        <w:t xml:space="preserve">HKSAR. 2023. “2021 Population Census”. Census and Statistic Department. Last modified March 15, 2023. </w:t>
      </w:r>
      <w:hyperlink r:id="rId6">
        <w:r>
          <w:rPr>
            <w:rStyle w:val="Hyperlink"/>
          </w:rPr>
          <w:t>https://www.censtatd.gov.hk/en/scode600.html</w:t>
        </w:r>
      </w:hyperlink>
      <w:r>
        <w:t xml:space="preserve"> </w:t>
      </w:r>
    </w:p>
  </w:footnote>
  <w:footnote w:id="13">
    <w:p w:rsidR="00701C07" w:rsidRDefault="00000000">
      <w:pPr>
        <w:pStyle w:val="FootnoteText"/>
      </w:pPr>
      <w:r>
        <w:rPr>
          <w:rStyle w:val="FootnoteCharacters"/>
        </w:rPr>
        <w:footnoteRef/>
      </w:r>
      <w:r>
        <w:tab/>
        <w:t xml:space="preserve">HKSAR. 2022. “Voter Registration Statistics”. Voter Registration.  Last modified March 15, 2023. </w:t>
      </w:r>
      <w:hyperlink r:id="rId7">
        <w:r>
          <w:rPr>
            <w:rStyle w:val="Hyperlink"/>
          </w:rPr>
          <w:t>https://www.voterregistration.gov.hk/eng/statistic20221.html</w:t>
        </w:r>
      </w:hyperlink>
      <w:r>
        <w:t xml:space="preserve"> </w:t>
      </w:r>
    </w:p>
  </w:footnote>
  <w:footnote w:id="14">
    <w:p w:rsidR="00701C07" w:rsidRDefault="00000000">
      <w:pPr>
        <w:pStyle w:val="FootnoteText"/>
      </w:pPr>
      <w:r>
        <w:rPr>
          <w:rStyle w:val="FootnoteCharacters"/>
        </w:rPr>
        <w:footnoteRef/>
      </w:r>
      <w:r>
        <w:tab/>
        <w:t xml:space="preserve">The Chinese University of Hong Kong. 2020. “A Study on Public Attitudes towards Female Political Leadership (2018-2020)”.  </w:t>
      </w:r>
      <w:r>
        <w:rPr>
          <w:i/>
          <w:iCs/>
        </w:rPr>
        <w:t>Hong Kong’s Equal Opportunities Commission</w:t>
      </w:r>
      <w:r>
        <w:t xml:space="preserve">, October, 2020. </w:t>
      </w:r>
      <w:hyperlink r:id="rId8">
        <w:r>
          <w:rPr>
            <w:rStyle w:val="Hyperlink"/>
          </w:rPr>
          <w:t>https://www.eoc.org.hk/EOC/upload/ResearchReport/20210412/3_Infographics_E.pdf</w:t>
        </w:r>
      </w:hyperlink>
      <w:r>
        <w:t xml:space="preserve"> </w:t>
      </w:r>
    </w:p>
  </w:footnote>
  <w:footnote w:id="15">
    <w:p w:rsidR="00701C07" w:rsidRDefault="00000000">
      <w:pPr>
        <w:pStyle w:val="FootnoteText"/>
      </w:pPr>
      <w:r>
        <w:rPr>
          <w:rStyle w:val="FootnoteCharacters"/>
        </w:rPr>
        <w:footnoteRef/>
      </w:r>
      <w:r>
        <w:tab/>
        <w:t>Macleod, Alan. 2019. “With People in the Streets Worldwide, Media Focus Uniquely on Hong Kong”.</w:t>
      </w:r>
      <w:r>
        <w:rPr>
          <w:i/>
          <w:iCs/>
        </w:rPr>
        <w:t xml:space="preserve">  FAIR, </w:t>
      </w:r>
      <w:r>
        <w:t>December 6, 2019.</w:t>
      </w:r>
      <w:r>
        <w:rPr>
          <w:i/>
          <w:iCs/>
        </w:rPr>
        <w:t xml:space="preserve"> </w:t>
      </w:r>
      <w:hyperlink r:id="rId9">
        <w:r>
          <w:rPr>
            <w:rStyle w:val="Hyperlink"/>
          </w:rPr>
          <w:t>https://fair.org/home/with-people-in-the-streets-worldwide-media-focus-uniquely-on-hong-kong/</w:t>
        </w:r>
      </w:hyperlink>
      <w:r>
        <w:t xml:space="preserve"> </w:t>
      </w:r>
    </w:p>
  </w:footnote>
  <w:footnote w:id="16">
    <w:p w:rsidR="00701C07" w:rsidRDefault="00000000">
      <w:pPr>
        <w:pStyle w:val="FootnoteText"/>
      </w:pPr>
      <w:r>
        <w:rPr>
          <w:rStyle w:val="FootnoteCharacters"/>
        </w:rPr>
        <w:footnoteRef/>
      </w:r>
      <w:r>
        <w:tab/>
        <w:t>Xinhua. 2019. “Policeman's wife tells her fear, discomfort about anti-police sentiment in Hong Kong”.</w:t>
      </w:r>
      <w:r>
        <w:rPr>
          <w:i/>
          <w:iCs/>
        </w:rPr>
        <w:t xml:space="preserve"> China Daily</w:t>
      </w:r>
      <w:r>
        <w:t>, September 8, 2019.</w:t>
      </w:r>
      <w:r>
        <w:rPr>
          <w:i/>
          <w:iCs/>
        </w:rPr>
        <w:t xml:space="preserve"> </w:t>
      </w:r>
      <w:hyperlink r:id="rId10">
        <w:r>
          <w:rPr>
            <w:rStyle w:val="Hyperlink"/>
          </w:rPr>
          <w:t>https://www.chinadaily.com.cn/a/201909/08/WS5d7483c6a310cf3e3556a53e.html</w:t>
        </w:r>
      </w:hyperlink>
      <w:r>
        <w:t xml:space="preserve"> </w:t>
      </w:r>
    </w:p>
  </w:footnote>
  <w:footnote w:id="17">
    <w:p w:rsidR="00701C07" w:rsidRDefault="00000000">
      <w:pPr>
        <w:pStyle w:val="FootnoteText"/>
      </w:pPr>
      <w:r>
        <w:rPr>
          <w:rStyle w:val="FootnoteCharacters"/>
        </w:rPr>
        <w:footnoteRef/>
      </w:r>
      <w:r>
        <w:tab/>
        <w:t xml:space="preserve">Ho, C. J. (2022). Civil Disobedience in the Era of Videogames. </w:t>
      </w:r>
      <w:r>
        <w:rPr>
          <w:i/>
        </w:rPr>
        <w:t>British Journal of Chinese Studies</w:t>
      </w:r>
      <w:r>
        <w:t xml:space="preserve">, </w:t>
      </w:r>
      <w:r>
        <w:rPr>
          <w:i/>
        </w:rPr>
        <w:t>12</w:t>
      </w:r>
      <w:r>
        <w:t xml:space="preserve">(2), 101-113. </w:t>
      </w:r>
      <w:hyperlink r:id="rId11">
        <w:r>
          <w:rPr>
            <w:rStyle w:val="Hyperlink"/>
          </w:rPr>
          <w:t>https://doi.org/10.51661/bjocs.v12i2.187</w:t>
        </w:r>
      </w:hyperlink>
      <w:r>
        <w:t xml:space="preserve"> </w:t>
      </w:r>
    </w:p>
  </w:footnote>
  <w:footnote w:id="18">
    <w:p w:rsidR="00701C07" w:rsidRDefault="00000000">
      <w:pPr>
        <w:pStyle w:val="FootnoteText"/>
      </w:pPr>
      <w:r>
        <w:rPr>
          <w:rStyle w:val="FootnoteCharacters"/>
        </w:rPr>
        <w:footnoteRef/>
      </w:r>
      <w:r>
        <w:tab/>
        <w:t xml:space="preserve">The International Police Association (Hong Kong Section). 2020.  “Behind the Protests, The Truth of Hong Kong”.  Accessed April 2, 2023. </w:t>
      </w:r>
      <w:hyperlink r:id="rId12">
        <w:r>
          <w:rPr>
            <w:rStyle w:val="Hyperlink"/>
          </w:rPr>
          <w:t>https://www.truth-hk.org/the-truth-about-hong-kong</w:t>
        </w:r>
      </w:hyperlink>
      <w:r>
        <w:t xml:space="preserve"> </w:t>
      </w:r>
    </w:p>
  </w:footnote>
  <w:footnote w:id="19">
    <w:p w:rsidR="00701C07" w:rsidRDefault="00000000">
      <w:pPr>
        <w:pStyle w:val="FootnoteText"/>
      </w:pPr>
      <w:r>
        <w:rPr>
          <w:rStyle w:val="FootnoteCharacters"/>
        </w:rPr>
        <w:footnoteRef/>
      </w:r>
      <w:r>
        <w:tab/>
        <w:t xml:space="preserve">Truth-HK. 2020. “Central 01.01.2020”.  Accessed April 2, 2023. </w:t>
      </w:r>
      <w:hyperlink r:id="rId13">
        <w:r>
          <w:rPr>
            <w:rStyle w:val="Hyperlink"/>
          </w:rPr>
          <w:t>https://www.truth-hk.org/post/central-01-01-2020</w:t>
        </w:r>
      </w:hyperlink>
      <w:r>
        <w:t xml:space="preserve"> </w:t>
      </w:r>
    </w:p>
  </w:footnote>
  <w:footnote w:id="20">
    <w:p w:rsidR="00701C07" w:rsidRDefault="00000000">
      <w:pPr>
        <w:pStyle w:val="FootnoteText"/>
      </w:pPr>
      <w:r>
        <w:rPr>
          <w:rStyle w:val="FootnoteCharacters"/>
        </w:rPr>
        <w:footnoteRef/>
      </w:r>
      <w:r>
        <w:tab/>
        <w:t xml:space="preserve">Truth-HK. 2019. “Shueng Shui 28.12.2019”.  Accessed April 2, 2023. </w:t>
      </w:r>
      <w:hyperlink r:id="rId14">
        <w:r>
          <w:rPr>
            <w:rStyle w:val="Hyperlink"/>
          </w:rPr>
          <w:t>https://www.truth-hk.org/post/shueng-shui-28-12-2019</w:t>
        </w:r>
      </w:hyperlink>
      <w:r>
        <w:t xml:space="preserve"> </w:t>
      </w:r>
    </w:p>
  </w:footnote>
  <w:footnote w:id="21">
    <w:p w:rsidR="00701C07" w:rsidRDefault="00000000">
      <w:pPr>
        <w:pStyle w:val="FootnoteText"/>
      </w:pPr>
      <w:r>
        <w:rPr>
          <w:rStyle w:val="FootnoteCharacters"/>
        </w:rPr>
        <w:footnoteRef/>
      </w:r>
      <w:r>
        <w:tab/>
        <w:t xml:space="preserve">Truth-HK. 2019. “New Town Plaza 15.12.2019”.  Accessed April 2, 2023. </w:t>
      </w:r>
      <w:hyperlink r:id="rId15">
        <w:r>
          <w:rPr>
            <w:rStyle w:val="Hyperlink"/>
          </w:rPr>
          <w:t>https://www.truth-hk.org/post/shatin-15-12-2019</w:t>
        </w:r>
      </w:hyperlink>
      <w:r>
        <w:t xml:space="preserve"> </w:t>
      </w:r>
    </w:p>
  </w:footnote>
  <w:footnote w:id="22">
    <w:p w:rsidR="00701C07" w:rsidRDefault="00000000">
      <w:pPr>
        <w:pStyle w:val="FootnoteText"/>
      </w:pPr>
      <w:r>
        <w:rPr>
          <w:rStyle w:val="FootnoteCharacters"/>
        </w:rPr>
        <w:footnoteRef/>
      </w:r>
      <w:r>
        <w:tab/>
        <w:t xml:space="preserve">Truth-HK. 2019. “Hong Hum 01.12.2019”.  Accessed April 2, 2023. </w:t>
      </w:r>
      <w:hyperlink r:id="rId16">
        <w:r>
          <w:rPr>
            <w:rStyle w:val="Hyperlink"/>
          </w:rPr>
          <w:t>https://www.truth-hk.org/post/hong-hum-1-12-2019</w:t>
        </w:r>
      </w:hyperlink>
      <w:r>
        <w:t xml:space="preserve"> </w:t>
      </w:r>
    </w:p>
  </w:footnote>
  <w:footnote w:id="23">
    <w:p w:rsidR="00701C07" w:rsidRDefault="00000000">
      <w:pPr>
        <w:pStyle w:val="FootnoteText"/>
      </w:pPr>
      <w:r>
        <w:rPr>
          <w:rStyle w:val="FootnoteCharacters"/>
        </w:rPr>
        <w:footnoteRef/>
      </w:r>
      <w:r>
        <w:tab/>
        <w:t xml:space="preserve">Truth-HK. 2019. “Tsim Sha Tsui 16.11.2019”.  Accessed April 2, 2023. </w:t>
      </w:r>
      <w:hyperlink r:id="rId17">
        <w:r>
          <w:rPr>
            <w:rStyle w:val="Hyperlink"/>
          </w:rPr>
          <w:t>https://www.truth-hk.org/post/tsim-sha-tsui-16-11-2019</w:t>
        </w:r>
      </w:hyperlink>
      <w:r>
        <w:t xml:space="preserve"> </w:t>
      </w:r>
    </w:p>
  </w:footnote>
  <w:footnote w:id="24">
    <w:p w:rsidR="00701C07" w:rsidRDefault="00000000">
      <w:pPr>
        <w:pStyle w:val="FootnoteText"/>
      </w:pPr>
      <w:r>
        <w:rPr>
          <w:rStyle w:val="FootnoteCharacters"/>
        </w:rPr>
        <w:footnoteRef/>
      </w:r>
      <w:r>
        <w:tab/>
        <w:t xml:space="preserve">Truth-HK. 2019. “Mong Kok 11.11.2019”.  Accessed April 2, 2023. </w:t>
      </w:r>
      <w:hyperlink r:id="rId18">
        <w:r>
          <w:rPr>
            <w:rStyle w:val="Hyperlink"/>
          </w:rPr>
          <w:t>https://www.truth-hk.org/post/mong-kok-11-11-2019-1</w:t>
        </w:r>
      </w:hyperlink>
      <w:r>
        <w:t xml:space="preserve"> </w:t>
      </w:r>
    </w:p>
  </w:footnote>
  <w:footnote w:id="25">
    <w:p w:rsidR="00701C07" w:rsidRDefault="00000000">
      <w:pPr>
        <w:pStyle w:val="FootnoteText"/>
      </w:pPr>
      <w:r>
        <w:rPr>
          <w:rStyle w:val="FootnoteCharacters"/>
        </w:rPr>
        <w:footnoteRef/>
      </w:r>
      <w:r>
        <w:tab/>
        <w:t xml:space="preserve">Truth-HK. 2019. “Amoy Mall 14.09.2019”.  Accessed April 2, 2023.  </w:t>
      </w:r>
      <w:hyperlink r:id="rId19">
        <w:r>
          <w:rPr>
            <w:rStyle w:val="Hyperlink"/>
          </w:rPr>
          <w:t>https://www.truth-hk.org/post/6-14-09-2019</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01C07" w:rsidRDefault="00000000">
    <w:pPr>
      <w:pStyle w:val="Header"/>
    </w:pPr>
    <w:r>
      <w:rPr>
        <w:noProof/>
      </w:rPr>
      <w:drawing>
        <wp:anchor distT="0" distB="0" distL="114300" distR="114300" simplePos="0" relativeHeight="15" behindDoc="1" locked="0" layoutInCell="0" allowOverlap="1">
          <wp:simplePos x="0" y="0"/>
          <wp:positionH relativeFrom="column">
            <wp:posOffset>14605</wp:posOffset>
          </wp:positionH>
          <wp:positionV relativeFrom="paragraph">
            <wp:posOffset>-206375</wp:posOffset>
          </wp:positionV>
          <wp:extent cx="6087110" cy="1056005"/>
          <wp:effectExtent l="0" t="0" r="0" b="0"/>
          <wp:wrapTopAndBottom/>
          <wp:docPr id="1" name="image1.png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Copy 1"/>
                  <pic:cNvPicPr>
                    <a:picLocks noChangeAspect="1" noChangeArrowheads="1"/>
                  </pic:cNvPicPr>
                </pic:nvPicPr>
                <pic:blipFill>
                  <a:blip r:embed="rId1"/>
                  <a:stretch>
                    <a:fillRect/>
                  </a:stretch>
                </pic:blipFill>
                <pic:spPr bwMode="auto">
                  <a:xfrm>
                    <a:off x="0" y="0"/>
                    <a:ext cx="6087110" cy="1056005"/>
                  </a:xfrm>
                  <a:prstGeom prst="rect">
                    <a:avLst/>
                  </a:prstGeom>
                </pic:spPr>
              </pic:pic>
            </a:graphicData>
          </a:graphic>
        </wp:anchor>
      </w:drawing>
    </w:r>
  </w:p>
  <w:p w:rsidR="00701C07" w:rsidRDefault="00701C07">
    <w:pPr>
      <w:pStyle w:val="Header"/>
    </w:pPr>
  </w:p>
  <w:p w:rsidR="00701C07" w:rsidRDefault="00701C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C6DAC"/>
    <w:multiLevelType w:val="multilevel"/>
    <w:tmpl w:val="38884090"/>
    <w:lvl w:ilvl="0">
      <w:start w:val="1"/>
      <w:numFmt w:val="decimal"/>
      <w:lvlText w:val="%1."/>
      <w:lvlJc w:val="left"/>
      <w:pPr>
        <w:tabs>
          <w:tab w:val="num" w:pos="720"/>
        </w:tabs>
        <w:ind w:left="720" w:hanging="360"/>
      </w:pPr>
      <w:rPr>
        <w:i w:val="0"/>
        <w:iCs w:val="0"/>
      </w:rPr>
    </w:lvl>
    <w:lvl w:ilvl="1">
      <w:start w:val="1"/>
      <w:numFmt w:val="decimal"/>
      <w:lvlText w:val="%2."/>
      <w:lvlJc w:val="left"/>
      <w:pPr>
        <w:tabs>
          <w:tab w:val="num" w:pos="1080"/>
        </w:tabs>
        <w:ind w:left="1080" w:hanging="360"/>
      </w:pPr>
      <w:rPr>
        <w:i w:val="0"/>
        <w:iCs w:val="0"/>
      </w:rPr>
    </w:lvl>
    <w:lvl w:ilvl="2">
      <w:start w:val="1"/>
      <w:numFmt w:val="decimal"/>
      <w:lvlText w:val="%3."/>
      <w:lvlJc w:val="left"/>
      <w:pPr>
        <w:tabs>
          <w:tab w:val="num" w:pos="1440"/>
        </w:tabs>
        <w:ind w:left="1440" w:hanging="360"/>
      </w:pPr>
      <w:rPr>
        <w:i w:val="0"/>
        <w:iCs w:val="0"/>
      </w:rPr>
    </w:lvl>
    <w:lvl w:ilvl="3">
      <w:start w:val="1"/>
      <w:numFmt w:val="decimal"/>
      <w:lvlText w:val="%4."/>
      <w:lvlJc w:val="left"/>
      <w:pPr>
        <w:tabs>
          <w:tab w:val="num" w:pos="1800"/>
        </w:tabs>
        <w:ind w:left="1800" w:hanging="360"/>
      </w:pPr>
      <w:rPr>
        <w:i w:val="0"/>
        <w:iCs w:val="0"/>
      </w:rPr>
    </w:lvl>
    <w:lvl w:ilvl="4">
      <w:start w:val="1"/>
      <w:numFmt w:val="decimal"/>
      <w:lvlText w:val="%5."/>
      <w:lvlJc w:val="left"/>
      <w:pPr>
        <w:tabs>
          <w:tab w:val="num" w:pos="2160"/>
        </w:tabs>
        <w:ind w:left="2160" w:hanging="360"/>
      </w:pPr>
      <w:rPr>
        <w:i w:val="0"/>
        <w:iCs w:val="0"/>
      </w:rPr>
    </w:lvl>
    <w:lvl w:ilvl="5">
      <w:start w:val="1"/>
      <w:numFmt w:val="decimal"/>
      <w:lvlText w:val="%6."/>
      <w:lvlJc w:val="left"/>
      <w:pPr>
        <w:tabs>
          <w:tab w:val="num" w:pos="2520"/>
        </w:tabs>
        <w:ind w:left="2520" w:hanging="360"/>
      </w:pPr>
      <w:rPr>
        <w:i w:val="0"/>
        <w:iCs w:val="0"/>
      </w:rPr>
    </w:lvl>
    <w:lvl w:ilvl="6">
      <w:start w:val="1"/>
      <w:numFmt w:val="decimal"/>
      <w:lvlText w:val="%7."/>
      <w:lvlJc w:val="left"/>
      <w:pPr>
        <w:tabs>
          <w:tab w:val="num" w:pos="2880"/>
        </w:tabs>
        <w:ind w:left="2880" w:hanging="360"/>
      </w:pPr>
      <w:rPr>
        <w:i w:val="0"/>
        <w:iCs w:val="0"/>
      </w:rPr>
    </w:lvl>
    <w:lvl w:ilvl="7">
      <w:start w:val="1"/>
      <w:numFmt w:val="decimal"/>
      <w:lvlText w:val="%8."/>
      <w:lvlJc w:val="left"/>
      <w:pPr>
        <w:tabs>
          <w:tab w:val="num" w:pos="3240"/>
        </w:tabs>
        <w:ind w:left="3240" w:hanging="360"/>
      </w:pPr>
      <w:rPr>
        <w:i w:val="0"/>
        <w:iCs w:val="0"/>
      </w:rPr>
    </w:lvl>
    <w:lvl w:ilvl="8">
      <w:start w:val="1"/>
      <w:numFmt w:val="decimal"/>
      <w:lvlText w:val="%9."/>
      <w:lvlJc w:val="left"/>
      <w:pPr>
        <w:tabs>
          <w:tab w:val="num" w:pos="3600"/>
        </w:tabs>
        <w:ind w:left="3600" w:hanging="360"/>
      </w:pPr>
      <w:rPr>
        <w:i w:val="0"/>
        <w:iCs w:val="0"/>
      </w:rPr>
    </w:lvl>
  </w:abstractNum>
  <w:abstractNum w:abstractNumId="1" w15:restartNumberingAfterBreak="0">
    <w:nsid w:val="5240273F"/>
    <w:multiLevelType w:val="multilevel"/>
    <w:tmpl w:val="CAB64C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31447699">
    <w:abstractNumId w:val="0"/>
  </w:num>
  <w:num w:numId="2" w16cid:durableId="458572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C07"/>
    <w:rsid w:val="00521821"/>
    <w:rsid w:val="00701C07"/>
    <w:rsid w:val="00CE773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30D56A-B87B-40DA-B975-D6DC44087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BodyText"/>
    <w:uiPriority w:val="9"/>
    <w:qFormat/>
    <w:pPr>
      <w:outlineLvl w:val="0"/>
    </w:pPr>
    <w:rPr>
      <w:rFonts w:ascii="Liberation Serif" w:eastAsia="NSimSun" w:hAnsi="Liberation Serif"/>
      <w:b/>
      <w:bCs/>
      <w:sz w:val="48"/>
      <w:szCs w:val="48"/>
    </w:rPr>
  </w:style>
  <w:style w:type="paragraph" w:styleId="Heading2">
    <w:name w:val="heading 2"/>
    <w:basedOn w:val="Heading"/>
    <w:next w:val="BodyText"/>
    <w:uiPriority w:val="9"/>
    <w:semiHidden/>
    <w:unhideWhenUsed/>
    <w:qFormat/>
    <w:pPr>
      <w:spacing w:before="200"/>
      <w:outlineLvl w:val="1"/>
    </w:pPr>
    <w:rPr>
      <w:rFonts w:ascii="Liberation Serif" w:eastAsia="NSimSun"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qFormat/>
    <w:rPr>
      <w:i w:val="0"/>
      <w:iCs w:val="0"/>
    </w:rPr>
  </w:style>
  <w:style w:type="character" w:customStyle="1" w:styleId="Bullets">
    <w:name w:val="Bullets"/>
    <w:qFormat/>
    <w:rPr>
      <w:rFonts w:ascii="OpenSymbol" w:eastAsia="OpenSymbol" w:hAnsi="OpenSymbol" w:cs="OpenSymbol"/>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styleId="Hyperlink">
    <w:name w:val="Hyperlink"/>
    <w:rPr>
      <w:color w:val="000080"/>
      <w:u w:val="single"/>
    </w:rPr>
  </w:style>
  <w:style w:type="character" w:styleId="FollowedHyperlink">
    <w:name w:val="FollowedHyperlink"/>
    <w:rPr>
      <w:color w:val="800000"/>
      <w:u w:val="single"/>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SingleTxt">
    <w:name w:val="__Single Txt"/>
    <w:basedOn w:val="Normal"/>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styleId="Footer">
    <w:name w:val="footer"/>
    <w:basedOn w:val="HeaderandFooter"/>
  </w:style>
  <w:style w:type="paragraph" w:customStyle="1" w:styleId="TableContents">
    <w:name w:val="Table Contents"/>
    <w:basedOn w:val="Normal"/>
    <w:qFormat/>
    <w:pPr>
      <w:widowControl w:val="0"/>
      <w:suppressLineNumbers/>
    </w:pPr>
  </w:style>
  <w:style w:type="paragraph" w:customStyle="1" w:styleId="LO-normal">
    <w:name w:val="LO-normal"/>
    <w:qFormat/>
    <w:pPr>
      <w:widowControl w:val="0"/>
      <w:jc w:val="both"/>
    </w:pPr>
  </w:style>
  <w:style w:type="paragraph" w:styleId="FootnoteText">
    <w:name w:val="footnote text"/>
    <w:basedOn w:val="Normal"/>
    <w:pPr>
      <w:suppressLineNumbers/>
      <w:ind w:left="340" w:hanging="340"/>
    </w:pPr>
    <w:rPr>
      <w:sz w:val="20"/>
      <w:szCs w:val="20"/>
    </w:rPr>
  </w:style>
  <w:style w:type="paragraph" w:customStyle="1" w:styleId="SingleTxtG">
    <w:name w:val="_ Single Txt_G"/>
    <w:basedOn w:val="Normal"/>
    <w:qFormat/>
    <w:pPr>
      <w:tabs>
        <w:tab w:val="left" w:pos="1701"/>
        <w:tab w:val="left" w:pos="2268"/>
        <w:tab w:val="left" w:pos="2835"/>
      </w:tabs>
      <w:snapToGrid w:val="0"/>
      <w:spacing w:after="120"/>
      <w:ind w:left="1134" w:right="1134"/>
      <w:jc w:val="both"/>
    </w:pPr>
    <w:rPr>
      <w:rFonts w:eastAsia="Calibri"/>
    </w:rPr>
  </w:style>
  <w:style w:type="paragraph" w:customStyle="1" w:styleId="TableHeading">
    <w:name w:val="Table Heading"/>
    <w:basedOn w:val="TableContents"/>
    <w:qFormat/>
    <w:pPr>
      <w:jc w:val="center"/>
    </w:pPr>
    <w:rPr>
      <w:b/>
      <w:bCs/>
    </w:rPr>
  </w:style>
  <w:style w:type="paragraph" w:customStyle="1" w:styleId="Default">
    <w:name w:val="Default"/>
    <w:qFormat/>
    <w:rPr>
      <w:rFonts w:ascii=".." w:hAns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iplsa.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eoc.org.hk/EOC/upload/ResearchReport/20210412/3_Infographics_E.pdf" TargetMode="External"/><Relationship Id="rId13" Type="http://schemas.openxmlformats.org/officeDocument/2006/relationships/hyperlink" Target="https://www.truth-hk.org/post/central-01-01-2020" TargetMode="External"/><Relationship Id="rId18" Type="http://schemas.openxmlformats.org/officeDocument/2006/relationships/hyperlink" Target="https://www.truth-hk.org/post/mong-kok-11-11-2019-1" TargetMode="External"/><Relationship Id="rId3" Type="http://schemas.openxmlformats.org/officeDocument/2006/relationships/hyperlink" Target="https://web.archive.org/web/20200406144736/https:/www.hts.gov.cn/file/upload/201908/10/121136987.pdf" TargetMode="External"/><Relationship Id="rId7" Type="http://schemas.openxmlformats.org/officeDocument/2006/relationships/hyperlink" Target="https://www.voterregistration.gov.hk/eng/statistic20221.html" TargetMode="External"/><Relationship Id="rId12" Type="http://schemas.openxmlformats.org/officeDocument/2006/relationships/hyperlink" Target="https://www.truth-hk.org/the-truth-about-hong-kong" TargetMode="External"/><Relationship Id="rId17" Type="http://schemas.openxmlformats.org/officeDocument/2006/relationships/hyperlink" Target="https://www.truth-hk.org/post/tsim-sha-tsui-16-11-2019" TargetMode="External"/><Relationship Id="rId2" Type="http://schemas.openxmlformats.org/officeDocument/2006/relationships/hyperlink" Target="https://www.washingtonpost.com/world/asia_pacific/abortions-iuds-and-sexual-humiliation-muslim-women-who-fled-china-for-kazakhstan-recount-ordeals/2019/10/04/551c2658-cfd2-11e9-a620-0a91656d7db6_story.html" TargetMode="External"/><Relationship Id="rId16" Type="http://schemas.openxmlformats.org/officeDocument/2006/relationships/hyperlink" Target="https://www.truth-hk.org/post/hong-hum-1-12-2019" TargetMode="External"/><Relationship Id="rId1" Type="http://schemas.openxmlformats.org/officeDocument/2006/relationships/hyperlink" Target="https://jamestown.org/wp-content/uploads/2020/06/Zenz-Internment-Sterilizations-and-IUDs-UPDATED-July-21-Rev2.pdf" TargetMode="External"/><Relationship Id="rId6" Type="http://schemas.openxmlformats.org/officeDocument/2006/relationships/hyperlink" Target="https://www.censtatd.gov.hk/en/scode600.html" TargetMode="External"/><Relationship Id="rId11" Type="http://schemas.openxmlformats.org/officeDocument/2006/relationships/hyperlink" Target="https://doi.org/10.51661/bjocs.v12i2.187" TargetMode="External"/><Relationship Id="rId5" Type="http://schemas.openxmlformats.org/officeDocument/2006/relationships/hyperlink" Target="https://www.women.gov.hk/download/research/HK_Women2021_e.pdf" TargetMode="External"/><Relationship Id="rId15" Type="http://schemas.openxmlformats.org/officeDocument/2006/relationships/hyperlink" Target="https://www.truth-hk.org/post/shatin-15-12-2019" TargetMode="External"/><Relationship Id="rId10" Type="http://schemas.openxmlformats.org/officeDocument/2006/relationships/hyperlink" Target="https://www.chinadaily.com.cn/a/201909/08/WS5d7483c6a310cf3e3556a53e.html" TargetMode="External"/><Relationship Id="rId19" Type="http://schemas.openxmlformats.org/officeDocument/2006/relationships/hyperlink" Target="https://www.truth-hk.org/post/6-14-09-2019" TargetMode="External"/><Relationship Id="rId4" Type="http://schemas.openxmlformats.org/officeDocument/2006/relationships/hyperlink" Target="https://bit.ly/3fOqdxw" TargetMode="External"/><Relationship Id="rId9" Type="http://schemas.openxmlformats.org/officeDocument/2006/relationships/hyperlink" Target="https://fair.org/home/with-people-in-the-streets-worldwide-media-focus-uniquely-on-hong-kong/" TargetMode="External"/><Relationship Id="rId14" Type="http://schemas.openxmlformats.org/officeDocument/2006/relationships/hyperlink" Target="https://www.truth-hk.org/post/shueng-shui-28-12-20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3037</Words>
  <Characters>17314</Characters>
  <Application>Microsoft Office Word</Application>
  <DocSecurity>0</DocSecurity>
  <Lines>144</Lines>
  <Paragraphs>40</Paragraphs>
  <ScaleCrop>false</ScaleCrop>
  <Company>OHCHR</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季利</dc:creator>
  <dc:description/>
  <cp:lastModifiedBy>Caroline Harvey</cp:lastModifiedBy>
  <cp:revision>2</cp:revision>
  <dcterms:created xsi:type="dcterms:W3CDTF">2023-04-21T15:45:00Z</dcterms:created>
  <dcterms:modified xsi:type="dcterms:W3CDTF">2023-04-21T15:45:00Z</dcterms:modified>
  <dc:language>en-GB</dc:language>
</cp:coreProperties>
</file>