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FEDB7AD" w14:textId="77777777" w:rsidTr="00C01462">
        <w:trPr>
          <w:cantSplit/>
          <w:trHeight w:hRule="exact" w:val="851"/>
        </w:trPr>
        <w:tc>
          <w:tcPr>
            <w:tcW w:w="1276" w:type="dxa"/>
            <w:tcBorders>
              <w:bottom w:val="single" w:sz="4" w:space="0" w:color="auto"/>
            </w:tcBorders>
            <w:vAlign w:val="bottom"/>
          </w:tcPr>
          <w:p w14:paraId="52092830" w14:textId="77777777" w:rsidR="00307688" w:rsidRPr="00AB536E" w:rsidRDefault="00307688" w:rsidP="00C01462">
            <w:pPr>
              <w:pStyle w:val="SingleTxtG"/>
            </w:pPr>
          </w:p>
        </w:tc>
        <w:tc>
          <w:tcPr>
            <w:tcW w:w="2268" w:type="dxa"/>
            <w:tcBorders>
              <w:bottom w:val="single" w:sz="4" w:space="0" w:color="auto"/>
            </w:tcBorders>
            <w:vAlign w:val="bottom"/>
          </w:tcPr>
          <w:p w14:paraId="44579EE4" w14:textId="46A68B9C" w:rsidR="00307688" w:rsidRPr="00B97172" w:rsidRDefault="00307688" w:rsidP="00C01462">
            <w:pPr>
              <w:spacing w:after="80" w:line="300" w:lineRule="exact"/>
              <w:rPr>
                <w:b/>
                <w:sz w:val="24"/>
                <w:szCs w:val="24"/>
              </w:rPr>
            </w:pPr>
          </w:p>
        </w:tc>
        <w:tc>
          <w:tcPr>
            <w:tcW w:w="6095" w:type="dxa"/>
            <w:gridSpan w:val="2"/>
            <w:tcBorders>
              <w:bottom w:val="single" w:sz="4" w:space="0" w:color="auto"/>
            </w:tcBorders>
            <w:vAlign w:val="bottom"/>
          </w:tcPr>
          <w:p w14:paraId="7077686B" w14:textId="60CEB50C" w:rsidR="00307688" w:rsidRPr="002E51B7" w:rsidRDefault="002961A2" w:rsidP="00F5120F">
            <w:pPr>
              <w:suppressAutoHyphens w:val="0"/>
              <w:spacing w:after="20"/>
              <w:jc w:val="right"/>
            </w:pPr>
            <w:r w:rsidRPr="002961A2">
              <w:rPr>
                <w:sz w:val="40"/>
              </w:rPr>
              <w:t>CERD</w:t>
            </w:r>
            <w:r>
              <w:t>/C/</w:t>
            </w:r>
            <w:r w:rsidR="006B6AEC">
              <w:t>C</w:t>
            </w:r>
            <w:r w:rsidR="00DF0B0F">
              <w:t>AN/24-25</w:t>
            </w:r>
          </w:p>
        </w:tc>
      </w:tr>
      <w:tr w:rsidR="00307688" w14:paraId="2EEEC192" w14:textId="77777777" w:rsidTr="00C01462">
        <w:trPr>
          <w:cantSplit/>
          <w:trHeight w:hRule="exact" w:val="2835"/>
        </w:trPr>
        <w:tc>
          <w:tcPr>
            <w:tcW w:w="1276" w:type="dxa"/>
            <w:tcBorders>
              <w:top w:val="single" w:sz="4" w:space="0" w:color="auto"/>
              <w:bottom w:val="single" w:sz="12" w:space="0" w:color="auto"/>
            </w:tcBorders>
          </w:tcPr>
          <w:p w14:paraId="4DAC236A" w14:textId="6747909A" w:rsidR="00307688" w:rsidRDefault="00307688" w:rsidP="00C01462">
            <w:pPr>
              <w:spacing w:before="120"/>
              <w:jc w:val="center"/>
            </w:pPr>
          </w:p>
        </w:tc>
        <w:tc>
          <w:tcPr>
            <w:tcW w:w="5528" w:type="dxa"/>
            <w:gridSpan w:val="2"/>
            <w:tcBorders>
              <w:top w:val="single" w:sz="4" w:space="0" w:color="auto"/>
              <w:bottom w:val="single" w:sz="12" w:space="0" w:color="auto"/>
            </w:tcBorders>
          </w:tcPr>
          <w:p w14:paraId="69C3F43B" w14:textId="136694D9" w:rsidR="00307688" w:rsidRPr="00C8319F" w:rsidRDefault="00C8319F" w:rsidP="00C01462">
            <w:pPr>
              <w:spacing w:before="120" w:line="420" w:lineRule="exact"/>
              <w:rPr>
                <w:b/>
                <w:bCs/>
                <w:sz w:val="28"/>
                <w:szCs w:val="28"/>
              </w:rPr>
            </w:pPr>
            <w:r>
              <w:rPr>
                <w:b/>
                <w:bCs/>
                <w:sz w:val="28"/>
                <w:szCs w:val="28"/>
              </w:rPr>
              <w:t>ADVANCE UNEDITED VERSION</w:t>
            </w:r>
          </w:p>
        </w:tc>
        <w:tc>
          <w:tcPr>
            <w:tcW w:w="2835" w:type="dxa"/>
            <w:tcBorders>
              <w:top w:val="single" w:sz="4" w:space="0" w:color="auto"/>
              <w:bottom w:val="single" w:sz="12" w:space="0" w:color="auto"/>
            </w:tcBorders>
          </w:tcPr>
          <w:p w14:paraId="1D7D721F" w14:textId="77777777" w:rsidR="00307688" w:rsidRDefault="002961A2" w:rsidP="002961A2">
            <w:pPr>
              <w:spacing w:before="240"/>
            </w:pPr>
            <w:r>
              <w:t>Distr.: General</w:t>
            </w:r>
          </w:p>
          <w:p w14:paraId="708FDE4F" w14:textId="4A3C0CF5" w:rsidR="002961A2" w:rsidRDefault="00B016B8" w:rsidP="002961A2">
            <w:pPr>
              <w:suppressAutoHyphens w:val="0"/>
            </w:pPr>
            <w:r>
              <w:t>3 March 2026</w:t>
            </w:r>
          </w:p>
          <w:p w14:paraId="5A506EBD" w14:textId="77777777" w:rsidR="002961A2" w:rsidRDefault="002961A2" w:rsidP="002961A2">
            <w:pPr>
              <w:suppressAutoHyphens w:val="0"/>
            </w:pPr>
          </w:p>
          <w:p w14:paraId="5AB5342E" w14:textId="77777777" w:rsidR="002961A2" w:rsidRDefault="002961A2" w:rsidP="002961A2">
            <w:pPr>
              <w:suppressAutoHyphens w:val="0"/>
            </w:pPr>
            <w:r>
              <w:t>Original: English and French</w:t>
            </w:r>
          </w:p>
          <w:p w14:paraId="749FBBA6" w14:textId="77777777" w:rsidR="002961A2" w:rsidRDefault="002961A2" w:rsidP="002961A2">
            <w:pPr>
              <w:suppressAutoHyphens w:val="0"/>
            </w:pPr>
            <w:r>
              <w:t>English, French and Spanish only</w:t>
            </w:r>
          </w:p>
        </w:tc>
      </w:tr>
    </w:tbl>
    <w:p w14:paraId="1884D808" w14:textId="77777777" w:rsidR="002961A2" w:rsidRPr="007662AB" w:rsidRDefault="002961A2">
      <w:pPr>
        <w:spacing w:before="120"/>
        <w:rPr>
          <w:b/>
          <w:sz w:val="24"/>
          <w:szCs w:val="24"/>
        </w:rPr>
      </w:pPr>
      <w:r w:rsidRPr="007662AB">
        <w:rPr>
          <w:b/>
          <w:sz w:val="24"/>
          <w:szCs w:val="24"/>
        </w:rPr>
        <w:t>Committee on the Elimination of Racial Discrimination</w:t>
      </w:r>
    </w:p>
    <w:p w14:paraId="3B606427" w14:textId="1AD87028" w:rsidR="0065271E" w:rsidRPr="007662AB" w:rsidRDefault="0065271E" w:rsidP="0065271E">
      <w:pPr>
        <w:pStyle w:val="HMG"/>
      </w:pPr>
      <w:r w:rsidRPr="007662AB">
        <w:tab/>
      </w:r>
      <w:r w:rsidRPr="007662AB">
        <w:tab/>
      </w:r>
      <w:fldSimple w:instr=" DOCPROPERTY  prepwc  \* MERGEFORMAT ">
        <w:r w:rsidRPr="007662AB">
          <w:t>Combined twenty-</w:t>
        </w:r>
        <w:r w:rsidR="00924EC4">
          <w:t xml:space="preserve">fourth </w:t>
        </w:r>
        <w:r w:rsidR="00AA402B">
          <w:t>and</w:t>
        </w:r>
        <w:r w:rsidRPr="007662AB">
          <w:t xml:space="preserve"> twenty-</w:t>
        </w:r>
        <w:r w:rsidR="00AA402B">
          <w:t>fif</w:t>
        </w:r>
        <w:r w:rsidR="00924EC4">
          <w:t>th</w:t>
        </w:r>
        <w:r w:rsidRPr="007662AB">
          <w:t xml:space="preserve"> reports </w:t>
        </w:r>
      </w:fldSimple>
      <w:r w:rsidRPr="007662AB">
        <w:t xml:space="preserve">submitted by </w:t>
      </w:r>
      <w:fldSimple w:instr=" DOCPROPERTY  countw  \* MERGEFORMAT ">
        <w:r w:rsidRPr="007662AB">
          <w:t>C</w:t>
        </w:r>
      </w:fldSimple>
      <w:r w:rsidR="00AA402B">
        <w:t>anada</w:t>
      </w:r>
      <w:r w:rsidRPr="007662AB">
        <w:t xml:space="preserve"> under article 9 of the Convention, due in 20</w:t>
      </w:r>
      <w:r w:rsidR="00AA402B">
        <w:t>21</w:t>
      </w:r>
      <w:r w:rsidRPr="007662AB">
        <w:rPr>
          <w:rStyle w:val="FootnoteReference"/>
          <w:b w:val="0"/>
          <w:sz w:val="20"/>
          <w:vertAlign w:val="baseline"/>
        </w:rPr>
        <w:footnoteReference w:customMarkFollows="1" w:id="1"/>
        <w:t>*</w:t>
      </w:r>
      <w:r w:rsidR="00A8626E">
        <w:rPr>
          <w:rStyle w:val="FootnoteReference"/>
          <w:b w:val="0"/>
          <w:sz w:val="20"/>
          <w:vertAlign w:val="baseline"/>
        </w:rPr>
        <w:t xml:space="preserve"> </w:t>
      </w:r>
      <w:r w:rsidR="00A8626E" w:rsidRPr="00A8626E">
        <w:rPr>
          <w:rStyle w:val="FootnoteReference"/>
          <w:b w:val="0"/>
          <w:sz w:val="20"/>
          <w:vertAlign w:val="baseline"/>
        </w:rPr>
        <w:footnoteReference w:customMarkFollows="1" w:id="2"/>
        <w:t>**</w:t>
      </w:r>
    </w:p>
    <w:p w14:paraId="7BEEFD50" w14:textId="02D96F69" w:rsidR="0065271E" w:rsidRPr="007662AB" w:rsidRDefault="0065271E" w:rsidP="0065271E">
      <w:pPr>
        <w:pStyle w:val="SingleTxtG"/>
        <w:jc w:val="right"/>
      </w:pPr>
      <w:r w:rsidRPr="007662AB">
        <w:t xml:space="preserve">[Date received: </w:t>
      </w:r>
      <w:r w:rsidR="00B016B8">
        <w:t>25 February 2026</w:t>
      </w:r>
      <w:r w:rsidRPr="007662AB">
        <w:t>]</w:t>
      </w:r>
    </w:p>
    <w:p w14:paraId="1A78DB67" w14:textId="77777777" w:rsidR="0065271E" w:rsidRPr="007662AB" w:rsidRDefault="0065271E" w:rsidP="0065271E">
      <w:pPr>
        <w:pStyle w:val="SingleTxtG"/>
        <w:rPr>
          <w:rFonts w:eastAsiaTheme="minorHAnsi"/>
        </w:rPr>
      </w:pPr>
      <w:r w:rsidRPr="007662AB">
        <w:rPr>
          <w:color w:val="0000FF"/>
        </w:rPr>
        <w:br w:type="page"/>
      </w:r>
    </w:p>
    <w:p w14:paraId="1EFA40AB" w14:textId="54223A6A" w:rsidR="0065271E" w:rsidRDefault="0065271E" w:rsidP="008B2E82">
      <w:pPr>
        <w:pStyle w:val="HChG"/>
      </w:pPr>
      <w:r w:rsidRPr="007662AB">
        <w:lastRenderedPageBreak/>
        <w:tab/>
      </w:r>
      <w:r w:rsidR="00F76B6F">
        <w:t>I.</w:t>
      </w:r>
      <w:r w:rsidRPr="007662AB">
        <w:tab/>
        <w:t>Introduction</w:t>
      </w:r>
    </w:p>
    <w:p w14:paraId="55C356C4" w14:textId="77777777" w:rsidR="00F76B6F" w:rsidRPr="006940C3" w:rsidRDefault="00F76B6F" w:rsidP="009D7D15">
      <w:pPr>
        <w:pStyle w:val="Content1"/>
        <w:numPr>
          <w:ilvl w:val="0"/>
          <w:numId w:val="7"/>
        </w:numPr>
        <w:ind w:left="1134" w:right="1134" w:firstLine="0"/>
        <w:jc w:val="both"/>
        <w:rPr>
          <w:sz w:val="20"/>
          <w:szCs w:val="20"/>
          <w:lang w:val="en-CA"/>
        </w:rPr>
      </w:pPr>
      <w:r w:rsidRPr="0E3EC28B">
        <w:rPr>
          <w:sz w:val="20"/>
          <w:szCs w:val="20"/>
          <w:lang w:val="en-CA"/>
        </w:rPr>
        <w:t xml:space="preserve">The present report outlines key measures adopted in Canada to enhance the implementation of the </w:t>
      </w:r>
      <w:r w:rsidRPr="0E3EC28B">
        <w:rPr>
          <w:i/>
          <w:iCs/>
          <w:sz w:val="20"/>
          <w:szCs w:val="20"/>
          <w:lang w:val="en-CA"/>
        </w:rPr>
        <w:t>International Convention on the Elimination of All Forms of Racial Discrimination</w:t>
      </w:r>
      <w:r w:rsidRPr="0E3EC28B">
        <w:rPr>
          <w:sz w:val="20"/>
          <w:szCs w:val="20"/>
          <w:lang w:val="en-CA"/>
        </w:rPr>
        <w:t xml:space="preserve"> (ICERD) since its appearance before the United Nations (UN) Committee on the Elimination of Racial Discrimination (CERD) in August 2017 until March </w:t>
      </w:r>
      <w:r w:rsidRPr="00E95816">
        <w:rPr>
          <w:sz w:val="20"/>
          <w:szCs w:val="20"/>
          <w:lang w:val="en-CA"/>
        </w:rPr>
        <w:t>2024.</w:t>
      </w:r>
      <w:r>
        <w:rPr>
          <w:sz w:val="20"/>
          <w:szCs w:val="20"/>
          <w:lang w:val="en-CA"/>
        </w:rPr>
        <w:t xml:space="preserve"> </w:t>
      </w:r>
      <w:r w:rsidRPr="0E3EC28B">
        <w:rPr>
          <w:sz w:val="20"/>
          <w:szCs w:val="20"/>
          <w:lang w:val="en-CA"/>
        </w:rPr>
        <w:t>The report was prepared collaboratively by federal, provincial and territorial (</w:t>
      </w:r>
      <w:r>
        <w:rPr>
          <w:sz w:val="20"/>
          <w:szCs w:val="20"/>
          <w:lang w:val="en-CA"/>
        </w:rPr>
        <w:t>FPT</w:t>
      </w:r>
      <w:r w:rsidRPr="0E3EC28B">
        <w:rPr>
          <w:sz w:val="20"/>
          <w:szCs w:val="20"/>
          <w:lang w:val="en-CA"/>
        </w:rPr>
        <w:t>) governments</w:t>
      </w:r>
      <w:r>
        <w:rPr>
          <w:sz w:val="20"/>
          <w:szCs w:val="20"/>
          <w:lang w:val="en-CA"/>
        </w:rPr>
        <w:t xml:space="preserve"> in fulfillment of the 24th and 25th reporting cycles</w:t>
      </w:r>
      <w:r w:rsidRPr="0E3EC28B">
        <w:rPr>
          <w:sz w:val="20"/>
          <w:szCs w:val="20"/>
          <w:lang w:val="en-CA"/>
        </w:rPr>
        <w:t xml:space="preserve">. </w:t>
      </w:r>
      <w:r>
        <w:rPr>
          <w:sz w:val="20"/>
          <w:szCs w:val="20"/>
          <w:lang w:val="en-CA"/>
        </w:rPr>
        <w:t xml:space="preserve">It was not possible to expand on all efforts within all orders of government in Canada to follow up on the CERD’s 2017 Concluding Observations due to the Committees request for States to observe the word count limits, but all efforts were made to provide a high-level overview highlighting some of the most representative </w:t>
      </w:r>
      <w:r w:rsidRPr="4FAAC925">
        <w:rPr>
          <w:sz w:val="20"/>
          <w:szCs w:val="20"/>
          <w:lang w:val="en-CA"/>
        </w:rPr>
        <w:t>examples</w:t>
      </w:r>
      <w:r>
        <w:rPr>
          <w:sz w:val="20"/>
          <w:szCs w:val="20"/>
          <w:lang w:val="en-CA"/>
        </w:rPr>
        <w:t xml:space="preserve"> from FPT governments in Canada.</w:t>
      </w:r>
    </w:p>
    <w:p w14:paraId="41E48E6C" w14:textId="77777777" w:rsidR="00F76B6F" w:rsidRPr="003B1CB8" w:rsidRDefault="00F76B6F" w:rsidP="009D7D15">
      <w:pPr>
        <w:pStyle w:val="ListParagraph"/>
        <w:numPr>
          <w:ilvl w:val="0"/>
          <w:numId w:val="7"/>
        </w:numPr>
        <w:spacing w:after="160" w:line="240" w:lineRule="auto"/>
        <w:ind w:left="1134" w:right="1134" w:firstLine="0"/>
        <w:jc w:val="both"/>
        <w:rPr>
          <w:rFonts w:ascii="Times New Roman" w:eastAsia="Times New Roman" w:hAnsi="Times New Roman" w:cs="Times New Roman"/>
          <w:sz w:val="20"/>
          <w:szCs w:val="20"/>
        </w:rPr>
      </w:pPr>
      <w:r w:rsidRPr="003B1CB8">
        <w:rPr>
          <w:rFonts w:ascii="Times New Roman" w:eastAsia="Times New Roman" w:hAnsi="Times New Roman" w:cs="Times New Roman"/>
          <w:sz w:val="20"/>
          <w:szCs w:val="20"/>
        </w:rPr>
        <w:t>Any reference to “the Government of Canada” (GC) in this report is a reference to the Canadian federal government, while a reference to “Canada” is generally a reference to the federal, provincial and territorial governments combined. Furthermore, any reference to the provinces or territories, for example, Quebec, Manitoba or the Yukon, is generally a reference to their government.</w:t>
      </w:r>
    </w:p>
    <w:p w14:paraId="5BAFCBBD" w14:textId="3C25ECCD" w:rsidR="004D60FB" w:rsidRDefault="00F76B6F" w:rsidP="00E5223E">
      <w:pPr>
        <w:pStyle w:val="HChG"/>
      </w:pPr>
      <w:r>
        <w:tab/>
        <w:t>II.</w:t>
      </w:r>
      <w:r>
        <w:tab/>
      </w:r>
      <w:r w:rsidR="00014F3E">
        <w:t>Overarching Implementation Considerations</w:t>
      </w:r>
    </w:p>
    <w:p w14:paraId="2B92D846" w14:textId="77777777" w:rsidR="009B4D94" w:rsidRPr="009B4D94" w:rsidRDefault="009B4D94" w:rsidP="009D7D15">
      <w:pPr>
        <w:pStyle w:val="Content1"/>
        <w:numPr>
          <w:ilvl w:val="0"/>
          <w:numId w:val="7"/>
        </w:numPr>
        <w:ind w:left="1134" w:right="1134" w:firstLine="0"/>
        <w:jc w:val="both"/>
        <w:rPr>
          <w:sz w:val="20"/>
          <w:szCs w:val="20"/>
          <w:lang w:val="x-none" w:eastAsia="x-none"/>
        </w:rPr>
      </w:pPr>
      <w:r w:rsidRPr="009B4D94">
        <w:rPr>
          <w:sz w:val="20"/>
          <w:szCs w:val="20"/>
          <w:lang w:val="x-none" w:eastAsia="x-none"/>
        </w:rPr>
        <w:t xml:space="preserve">This section of the report focuses on Concluding Observations 8, 35, 10, 38, 36, 42, and 37, and contains information related to Canada’s specific measures to implement the ICERD, including its overarching approach to combating racial discrimination and to promoting equity for all Canadians of all races and ethnicities. </w:t>
      </w:r>
    </w:p>
    <w:p w14:paraId="2B3BCCAF" w14:textId="50E21EF2" w:rsidR="00E5223E" w:rsidRPr="003B1CB8" w:rsidRDefault="000930EF" w:rsidP="00E5223E">
      <w:pPr>
        <w:pStyle w:val="H1G"/>
        <w:rPr>
          <w:lang w:val="en-CA"/>
        </w:rPr>
      </w:pPr>
      <w:bookmarkStart w:id="0" w:name="_Toc177633096"/>
      <w:r>
        <w:rPr>
          <w:lang w:val="en-CA"/>
        </w:rPr>
        <w:tab/>
      </w:r>
      <w:r>
        <w:rPr>
          <w:lang w:val="en-CA"/>
        </w:rPr>
        <w:tab/>
      </w:r>
      <w:r w:rsidR="00E5223E" w:rsidRPr="003B1CB8">
        <w:rPr>
          <w:lang w:val="en-CA"/>
        </w:rPr>
        <w:t>Domestic applicability of the Convention</w:t>
      </w:r>
      <w:bookmarkEnd w:id="0"/>
    </w:p>
    <w:p w14:paraId="302820CE" w14:textId="77777777" w:rsidR="00E5223E" w:rsidRPr="00E95B2A" w:rsidRDefault="00E5223E" w:rsidP="009D7D15">
      <w:pPr>
        <w:pStyle w:val="Content1"/>
        <w:numPr>
          <w:ilvl w:val="0"/>
          <w:numId w:val="7"/>
        </w:numPr>
        <w:ind w:left="1134" w:right="1134" w:firstLine="0"/>
        <w:jc w:val="both"/>
        <w:rPr>
          <w:sz w:val="20"/>
          <w:szCs w:val="20"/>
          <w:lang w:val="en-CA"/>
        </w:rPr>
      </w:pPr>
      <w:r w:rsidRPr="00972DFB">
        <w:rPr>
          <w:sz w:val="20"/>
          <w:szCs w:val="20"/>
          <w:lang w:val="en-CA"/>
        </w:rPr>
        <w:t>Canada's Constitution divides legislative and executive powers among</w:t>
      </w:r>
      <w:r>
        <w:rPr>
          <w:sz w:val="20"/>
          <w:szCs w:val="20"/>
          <w:lang w:val="en-CA"/>
        </w:rPr>
        <w:t xml:space="preserve"> 14</w:t>
      </w:r>
      <w:r w:rsidRPr="00972DFB">
        <w:rPr>
          <w:sz w:val="20"/>
          <w:szCs w:val="20"/>
          <w:lang w:val="en-CA"/>
        </w:rPr>
        <w:t xml:space="preserve"> federal, provincial and territorial governments. </w:t>
      </w:r>
      <w:proofErr w:type="gramStart"/>
      <w:r w:rsidRPr="00972DFB">
        <w:rPr>
          <w:sz w:val="20"/>
          <w:szCs w:val="20"/>
          <w:lang w:val="en-CA"/>
        </w:rPr>
        <w:t>As a general rule</w:t>
      </w:r>
      <w:proofErr w:type="gramEnd"/>
      <w:r w:rsidRPr="00972DFB">
        <w:rPr>
          <w:sz w:val="20"/>
          <w:szCs w:val="20"/>
          <w:lang w:val="en-CA"/>
        </w:rPr>
        <w:t xml:space="preserve">, each order of government legislates on matters falling within their respective jurisdiction, although there can be areas of some overlap. Some of </w:t>
      </w:r>
      <w:r>
        <w:rPr>
          <w:sz w:val="20"/>
          <w:szCs w:val="20"/>
          <w:lang w:val="en-CA"/>
        </w:rPr>
        <w:t xml:space="preserve">the </w:t>
      </w:r>
      <w:r w:rsidRPr="00972DFB">
        <w:rPr>
          <w:sz w:val="20"/>
          <w:szCs w:val="20"/>
          <w:lang w:val="en-CA"/>
        </w:rPr>
        <w:t>provisions of the Convention fall under federal jurisdiction, while others fall under provincial and territorial</w:t>
      </w:r>
      <w:r>
        <w:rPr>
          <w:sz w:val="20"/>
          <w:szCs w:val="20"/>
          <w:lang w:val="en-CA"/>
        </w:rPr>
        <w:t xml:space="preserve"> (PT)</w:t>
      </w:r>
      <w:r w:rsidRPr="00972DFB">
        <w:rPr>
          <w:sz w:val="20"/>
          <w:szCs w:val="20"/>
          <w:lang w:val="en-CA"/>
        </w:rPr>
        <w:t xml:space="preserve"> jurisdiction, and some are shared by both levels of government.  </w:t>
      </w:r>
    </w:p>
    <w:p w14:paraId="0E7F4067" w14:textId="77777777" w:rsidR="00E5223E" w:rsidRPr="00E95B2A"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Protection of human rights in Canada is founded on a system of representative and responsible government, constitutional guarantees, statute law, including specialised human rights legislation, the common law and an independent judiciary. The legislative, executive and judicial branches of government, within all </w:t>
      </w:r>
      <w:r>
        <w:rPr>
          <w:sz w:val="20"/>
          <w:szCs w:val="20"/>
          <w:lang w:val="en-CA"/>
        </w:rPr>
        <w:t>levels</w:t>
      </w:r>
      <w:r w:rsidRPr="27136E50">
        <w:rPr>
          <w:sz w:val="20"/>
          <w:szCs w:val="20"/>
          <w:lang w:val="en-CA"/>
        </w:rPr>
        <w:t xml:space="preserve"> of government in Canada, share responsibility for the protection of human rights and implementing international human rights obligations. Relevant legislation is enacted by the federal Parliament and the </w:t>
      </w:r>
      <w:r>
        <w:rPr>
          <w:sz w:val="20"/>
          <w:szCs w:val="20"/>
          <w:lang w:val="en-CA"/>
        </w:rPr>
        <w:t>PT</w:t>
      </w:r>
      <w:r w:rsidRPr="27136E50">
        <w:rPr>
          <w:sz w:val="20"/>
          <w:szCs w:val="20"/>
          <w:lang w:val="en-CA"/>
        </w:rPr>
        <w:t xml:space="preserve"> legislatures. Numerous departments and agencies work within the executive branches of all orders of government to formulate policies and programs and </w:t>
      </w:r>
      <w:proofErr w:type="gramStart"/>
      <w:r w:rsidRPr="27136E50">
        <w:rPr>
          <w:sz w:val="20"/>
          <w:szCs w:val="20"/>
          <w:lang w:val="en-CA"/>
        </w:rPr>
        <w:t>take into account</w:t>
      </w:r>
      <w:proofErr w:type="gramEnd"/>
      <w:r w:rsidRPr="27136E50">
        <w:rPr>
          <w:sz w:val="20"/>
          <w:szCs w:val="20"/>
          <w:lang w:val="en-CA"/>
        </w:rPr>
        <w:t xml:space="preserve"> Canada's human rights obligations in their work. </w:t>
      </w:r>
    </w:p>
    <w:p w14:paraId="42D6606C" w14:textId="77777777" w:rsidR="00E5223E" w:rsidRPr="008457C3" w:rsidRDefault="00E5223E" w:rsidP="009D7D15">
      <w:pPr>
        <w:pStyle w:val="Content1"/>
        <w:numPr>
          <w:ilvl w:val="0"/>
          <w:numId w:val="7"/>
        </w:numPr>
        <w:ind w:left="1134" w:right="1134" w:firstLine="0"/>
        <w:jc w:val="both"/>
        <w:rPr>
          <w:sz w:val="20"/>
          <w:szCs w:val="20"/>
          <w:lang w:val="en-CA"/>
        </w:rPr>
      </w:pPr>
      <w:r w:rsidRPr="008457C3">
        <w:rPr>
          <w:sz w:val="20"/>
          <w:szCs w:val="20"/>
          <w:lang w:val="en-CA"/>
        </w:rPr>
        <w:t>To foster intergovernmental cooperation between FPT governments, Canada has established permanent mechanisms within and between the various levels of government, including through its National Mechanism for Implementation, Reporting and Follow-Up</w:t>
      </w:r>
      <w:r>
        <w:rPr>
          <w:sz w:val="20"/>
          <w:szCs w:val="20"/>
          <w:lang w:val="en-CA"/>
        </w:rPr>
        <w:t xml:space="preserve"> (NMIRF) on human rights</w:t>
      </w:r>
      <w:r w:rsidRPr="008457C3">
        <w:rPr>
          <w:sz w:val="20"/>
          <w:szCs w:val="20"/>
          <w:lang w:val="en-CA"/>
        </w:rPr>
        <w:t>, which is focused on the seven international human rights treaties to which Canada is a party and the Universal Periodic Review</w:t>
      </w:r>
      <w:r>
        <w:rPr>
          <w:sz w:val="20"/>
          <w:szCs w:val="20"/>
          <w:lang w:val="en-CA"/>
        </w:rPr>
        <w:t xml:space="preserve"> (UPR)</w:t>
      </w:r>
      <w:r w:rsidRPr="008457C3">
        <w:rPr>
          <w:sz w:val="20"/>
          <w:szCs w:val="20"/>
          <w:lang w:val="en-CA"/>
        </w:rPr>
        <w:t xml:space="preserve">. The NMIRF is comprised of a secretariat housed within the federal Department of Canadian Heritage; a standing intergovernmental FPT Table on Human Rights and its three committees at the officials’ (since 1975), senior officials’ (since 2018) and ministerial (since 2023) levels; federal interdepartmental coordination mechanisms; and </w:t>
      </w:r>
      <w:r>
        <w:rPr>
          <w:sz w:val="20"/>
          <w:szCs w:val="20"/>
          <w:lang w:val="en-CA"/>
        </w:rPr>
        <w:t>PT</w:t>
      </w:r>
      <w:r w:rsidRPr="008457C3">
        <w:rPr>
          <w:sz w:val="20"/>
          <w:szCs w:val="20"/>
          <w:lang w:val="en-CA"/>
        </w:rPr>
        <w:t xml:space="preserve"> interdepartmental mechanisms. </w:t>
      </w:r>
      <w:r>
        <w:rPr>
          <w:sz w:val="20"/>
          <w:szCs w:val="20"/>
          <w:lang w:val="en-CA"/>
        </w:rPr>
        <w:t>The NMIRF coordinates the preparation of reports and reviews before human rights treaty bodies, undertakes ongoing engagement with civil society, Indigenous representatives and human rights commissions, and ensures follow-up to recommendations received.</w:t>
      </w:r>
    </w:p>
    <w:p w14:paraId="353DE122" w14:textId="77777777" w:rsidR="00E5223E" w:rsidRDefault="00E5223E" w:rsidP="009D7D15">
      <w:pPr>
        <w:pStyle w:val="Content1"/>
        <w:numPr>
          <w:ilvl w:val="0"/>
          <w:numId w:val="7"/>
        </w:numPr>
        <w:ind w:left="1134" w:right="1134" w:firstLine="0"/>
        <w:jc w:val="both"/>
        <w:rPr>
          <w:sz w:val="20"/>
          <w:szCs w:val="20"/>
          <w:lang w:val="en-CA"/>
        </w:rPr>
      </w:pPr>
      <w:r>
        <w:rPr>
          <w:sz w:val="20"/>
          <w:szCs w:val="20"/>
          <w:lang w:val="en-CA"/>
        </w:rPr>
        <w:t xml:space="preserve">An example of a PT coordination mechanism is </w:t>
      </w:r>
      <w:r w:rsidRPr="6BCE64E0">
        <w:rPr>
          <w:sz w:val="20"/>
          <w:szCs w:val="20"/>
          <w:lang w:val="en-CA"/>
        </w:rPr>
        <w:t>Quebec</w:t>
      </w:r>
      <w:r>
        <w:rPr>
          <w:sz w:val="20"/>
          <w:szCs w:val="20"/>
          <w:lang w:val="en-CA"/>
        </w:rPr>
        <w:t>’s</w:t>
      </w:r>
      <w:r w:rsidRPr="6BCE64E0">
        <w:rPr>
          <w:sz w:val="20"/>
          <w:szCs w:val="20"/>
          <w:lang w:val="en-CA"/>
        </w:rPr>
        <w:t xml:space="preserve"> Interdepartmental Committee on Human Rights created in 2018 to ensure the implementation and monitoring of international instruments, including the ICERD. The Committee brings together</w:t>
      </w:r>
      <w:r>
        <w:rPr>
          <w:sz w:val="20"/>
          <w:szCs w:val="20"/>
          <w:lang w:val="en-CA"/>
        </w:rPr>
        <w:t xml:space="preserve"> high-level representatives from</w:t>
      </w:r>
      <w:r w:rsidRPr="6BCE64E0">
        <w:rPr>
          <w:sz w:val="20"/>
          <w:szCs w:val="20"/>
          <w:lang w:val="en-CA"/>
        </w:rPr>
        <w:t xml:space="preserve"> 1</w:t>
      </w:r>
      <w:r>
        <w:rPr>
          <w:sz w:val="20"/>
          <w:szCs w:val="20"/>
          <w:lang w:val="en-CA"/>
        </w:rPr>
        <w:t>8</w:t>
      </w:r>
      <w:r w:rsidRPr="6BCE64E0">
        <w:rPr>
          <w:sz w:val="20"/>
          <w:szCs w:val="20"/>
          <w:lang w:val="en-CA"/>
        </w:rPr>
        <w:t xml:space="preserve"> Quebec ministries and agencies and is the main consultation mechanism for respecting and monitoring international human rights commitments</w:t>
      </w:r>
      <w:r w:rsidRPr="00F43614">
        <w:rPr>
          <w:sz w:val="20"/>
          <w:szCs w:val="20"/>
          <w:lang w:val="en-CA"/>
        </w:rPr>
        <w:t xml:space="preserve"> and</w:t>
      </w:r>
      <w:r w:rsidRPr="6BCE64E0">
        <w:rPr>
          <w:sz w:val="20"/>
          <w:szCs w:val="20"/>
          <w:lang w:val="en-CA"/>
        </w:rPr>
        <w:t xml:space="preserve"> protecting and promoting these rights on the international stage.</w:t>
      </w:r>
    </w:p>
    <w:p w14:paraId="21F29D49" w14:textId="6F582C98" w:rsidR="00E5223E" w:rsidRPr="003B1CB8" w:rsidRDefault="00D300A6" w:rsidP="004C448A">
      <w:pPr>
        <w:pStyle w:val="H23G"/>
        <w:rPr>
          <w:lang w:val="en-CA"/>
        </w:rPr>
      </w:pPr>
      <w:r>
        <w:rPr>
          <w:lang w:val="en-CA"/>
        </w:rPr>
        <w:tab/>
      </w:r>
      <w:r>
        <w:rPr>
          <w:lang w:val="en-CA"/>
        </w:rPr>
        <w:tab/>
      </w:r>
      <w:r w:rsidR="00E5223E" w:rsidRPr="27136E50">
        <w:rPr>
          <w:lang w:val="en-CA"/>
        </w:rPr>
        <w:t xml:space="preserve">Other instruments under </w:t>
      </w:r>
      <w:r w:rsidR="00E5223E" w:rsidRPr="00E95816">
        <w:rPr>
          <w:lang w:val="en-CA"/>
        </w:rPr>
        <w:t>consideration</w:t>
      </w:r>
      <w:r w:rsidR="00E5223E" w:rsidRPr="4FAAC925">
        <w:rPr>
          <w:lang w:val="en-CA"/>
        </w:rPr>
        <w:t xml:space="preserve"> </w:t>
      </w:r>
    </w:p>
    <w:p w14:paraId="7388BB61" w14:textId="77777777" w:rsidR="00E5223E" w:rsidRPr="003B1CB8" w:rsidRDefault="00E5223E" w:rsidP="009D7D15">
      <w:pPr>
        <w:pStyle w:val="Content1"/>
        <w:numPr>
          <w:ilvl w:val="0"/>
          <w:numId w:val="7"/>
        </w:numPr>
        <w:ind w:left="1134" w:right="1134" w:firstLine="0"/>
        <w:jc w:val="both"/>
        <w:rPr>
          <w:lang w:val="en-CA"/>
        </w:rPr>
      </w:pPr>
      <w:r w:rsidRPr="00420518">
        <w:rPr>
          <w:color w:val="000000" w:themeColor="text1"/>
          <w:sz w:val="20"/>
          <w:szCs w:val="20"/>
          <w:lang w:val="en-CA" w:eastAsia="en-CA"/>
        </w:rPr>
        <w:t>In 2018, Canada acceded to the Optional Protocol to the Convention on the Rights of Persons with Disabilities (CRPD) with the formal support of all provinces and territories.</w:t>
      </w:r>
      <w:r w:rsidRPr="003B1CB8">
        <w:rPr>
          <w:sz w:val="20"/>
          <w:szCs w:val="20"/>
          <w:lang w:val="en-CA"/>
        </w:rPr>
        <w:t xml:space="preserve"> </w:t>
      </w:r>
      <w:r w:rsidRPr="00420518">
        <w:rPr>
          <w:sz w:val="20"/>
          <w:szCs w:val="20"/>
          <w:lang w:val="en-CA"/>
        </w:rPr>
        <w:t>Canada ratified the CRPD in 2010.</w:t>
      </w:r>
    </w:p>
    <w:p w14:paraId="35ED0F3F"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Canada is not currently considering the ratification of International Labour Organization (ILO) Indigenous and Tribal Peoples Convention, 1989 (No. 169) (ILO C169). However, the GC is fully committed to advancing the rights of Indigenous Peoples at home and abroad and is currently focused on the implementation of the UN Declaration on the Rights of Indigenous Peoples in Canada (UN Declaration) through the United Nations Declaration on the Rights of Indigenous Peoples Act (2021) (UN Declaration Act). The Act reflects the overall principles of equality, consultation, participation, and cooperation expressed in ILO C169.  </w:t>
      </w:r>
    </w:p>
    <w:p w14:paraId="626EBB40" w14:textId="77777777" w:rsidR="00E5223E" w:rsidRPr="006940C3" w:rsidRDefault="00E5223E" w:rsidP="009D7D15">
      <w:pPr>
        <w:pStyle w:val="Content1"/>
        <w:numPr>
          <w:ilvl w:val="0"/>
          <w:numId w:val="7"/>
        </w:numPr>
        <w:ind w:left="1134" w:right="1134" w:firstLine="0"/>
        <w:jc w:val="both"/>
        <w:rPr>
          <w:sz w:val="20"/>
          <w:szCs w:val="20"/>
          <w:lang w:val="en-CA"/>
        </w:rPr>
      </w:pPr>
      <w:r>
        <w:rPr>
          <w:sz w:val="20"/>
          <w:szCs w:val="20"/>
          <w:lang w:val="en-CA"/>
        </w:rPr>
        <w:t>In</w:t>
      </w:r>
      <w:r w:rsidRPr="006940C3">
        <w:rPr>
          <w:sz w:val="20"/>
          <w:szCs w:val="20"/>
          <w:lang w:val="en-CA"/>
        </w:rPr>
        <w:t xml:space="preserve"> 2023, Canada ratified the ILO Convention on Violence and Harassment, 2019 (No. 190) concerning the elimination of violence and harassment in the world of work. </w:t>
      </w:r>
    </w:p>
    <w:p w14:paraId="4D127E82" w14:textId="56B56285" w:rsidR="00E5223E" w:rsidRPr="003B1CB8" w:rsidRDefault="00D300A6" w:rsidP="00D300A6">
      <w:pPr>
        <w:pStyle w:val="H1G"/>
      </w:pPr>
      <w:bookmarkStart w:id="1" w:name="_Toc177633097"/>
      <w:r>
        <w:rPr>
          <w:lang w:val="en-CA"/>
        </w:rPr>
        <w:tab/>
      </w:r>
      <w:r>
        <w:rPr>
          <w:lang w:val="en-CA"/>
        </w:rPr>
        <w:tab/>
      </w:r>
      <w:r w:rsidR="00E5223E" w:rsidRPr="003B1CB8">
        <w:rPr>
          <w:lang w:val="en-CA"/>
        </w:rPr>
        <w:t>Federal, provincial and territorial mechanisms to combat racial discrimination</w:t>
      </w:r>
    </w:p>
    <w:bookmarkEnd w:id="1"/>
    <w:p w14:paraId="598C2F85" w14:textId="77777777" w:rsidR="00E5223E" w:rsidRPr="006940C3"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Canada has a strong legal and policy framework to combat racial discrimination and to advance substantive equality. This framework includes prohibitions on discrimination in the </w:t>
      </w:r>
      <w:r w:rsidRPr="6BCE64E0">
        <w:rPr>
          <w:i/>
          <w:iCs/>
          <w:sz w:val="20"/>
          <w:szCs w:val="20"/>
          <w:lang w:val="en-CA"/>
        </w:rPr>
        <w:t>Canadian Charter of Rights and Freedoms</w:t>
      </w:r>
      <w:r w:rsidRPr="6BCE64E0">
        <w:rPr>
          <w:sz w:val="20"/>
          <w:szCs w:val="20"/>
          <w:lang w:val="en-CA"/>
        </w:rPr>
        <w:t>, the</w:t>
      </w:r>
      <w:r>
        <w:rPr>
          <w:sz w:val="20"/>
          <w:szCs w:val="20"/>
          <w:lang w:val="en-CA"/>
        </w:rPr>
        <w:t xml:space="preserve"> </w:t>
      </w:r>
      <w:r w:rsidRPr="00536C47">
        <w:rPr>
          <w:i/>
          <w:sz w:val="20"/>
          <w:szCs w:val="20"/>
          <w:lang w:val="en-CA"/>
        </w:rPr>
        <w:t>Canadian</w:t>
      </w:r>
      <w:r w:rsidRPr="6BCE64E0">
        <w:rPr>
          <w:sz w:val="20"/>
          <w:szCs w:val="20"/>
          <w:lang w:val="en-CA"/>
        </w:rPr>
        <w:t xml:space="preserve"> </w:t>
      </w:r>
      <w:r w:rsidRPr="00536C47">
        <w:rPr>
          <w:i/>
          <w:sz w:val="20"/>
          <w:szCs w:val="20"/>
          <w:lang w:val="en-CA"/>
        </w:rPr>
        <w:t>Criminal Code,</w:t>
      </w:r>
      <w:r w:rsidRPr="6BCE64E0">
        <w:rPr>
          <w:sz w:val="20"/>
          <w:szCs w:val="20"/>
          <w:lang w:val="en-CA"/>
        </w:rPr>
        <w:t xml:space="preserve"> and </w:t>
      </w:r>
      <w:r>
        <w:rPr>
          <w:sz w:val="20"/>
          <w:szCs w:val="20"/>
          <w:lang w:val="en-CA"/>
        </w:rPr>
        <w:t>FPT</w:t>
      </w:r>
      <w:r w:rsidRPr="6BCE64E0">
        <w:rPr>
          <w:sz w:val="20"/>
          <w:szCs w:val="20"/>
          <w:lang w:val="en-CA"/>
        </w:rPr>
        <w:t xml:space="preserve"> human rights statutes. In particular, the</w:t>
      </w:r>
      <w:r>
        <w:rPr>
          <w:sz w:val="20"/>
          <w:szCs w:val="20"/>
          <w:lang w:val="en-CA"/>
        </w:rPr>
        <w:t xml:space="preserve"> GC’s</w:t>
      </w:r>
      <w:r w:rsidRPr="6BCE64E0">
        <w:rPr>
          <w:i/>
          <w:iCs/>
          <w:sz w:val="20"/>
          <w:szCs w:val="20"/>
          <w:lang w:val="en-CA"/>
        </w:rPr>
        <w:t xml:space="preserve"> Canadian Multiculturalism Act</w:t>
      </w:r>
      <w:r w:rsidRPr="6BCE64E0">
        <w:rPr>
          <w:sz w:val="20"/>
          <w:szCs w:val="20"/>
          <w:lang w:val="en-CA"/>
        </w:rPr>
        <w:t xml:space="preserve"> recognizes diversity as a fundamental characteristic of Canadian society; encourages institutions to be respectful and inclusive of Canada’s multicultural character; and makes a commitment to promote the full and equitable participation of individuals of all origins and to eliminate barriers to that participation. According to the 2023-2024 Annual Report on the Operation of the </w:t>
      </w:r>
      <w:r w:rsidRPr="006D2470">
        <w:rPr>
          <w:i/>
          <w:iCs/>
          <w:sz w:val="20"/>
          <w:szCs w:val="20"/>
          <w:lang w:val="en-CA"/>
        </w:rPr>
        <w:t>Canadian Multiculturalism Act</w:t>
      </w:r>
      <w:r w:rsidRPr="6BCE64E0">
        <w:rPr>
          <w:sz w:val="20"/>
          <w:szCs w:val="20"/>
          <w:lang w:val="en-CA"/>
        </w:rPr>
        <w:t>, 84% of federal institutions implemented initiatives primarily devoted to multiculturalism, and 77% implemented initiatives primarily devoted to anti-racism, including data collection, education and awareness, commemoration, and community investments.</w:t>
      </w:r>
    </w:p>
    <w:p w14:paraId="7207E98A" w14:textId="77777777" w:rsidR="00E5223E" w:rsidRPr="006940C3"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Canada also has a wide range of measures to promote diversity and inclusion, such as employment equity legislation, policies, programs and services at the FPT levels. At the same time, Canada takes special measures, where necessary, to advance substantive equality for certain groups, most notably for Indigenous Peoples who have suffered </w:t>
      </w:r>
      <w:r w:rsidRPr="5BEB5EF0">
        <w:rPr>
          <w:sz w:val="20"/>
          <w:szCs w:val="20"/>
          <w:lang w:val="en-CA"/>
        </w:rPr>
        <w:t xml:space="preserve">colonial </w:t>
      </w:r>
      <w:r w:rsidRPr="440A54DF">
        <w:rPr>
          <w:sz w:val="20"/>
          <w:szCs w:val="20"/>
          <w:lang w:val="en-CA"/>
        </w:rPr>
        <w:t>harms and structural exclusion</w:t>
      </w:r>
    </w:p>
    <w:p w14:paraId="34974660" w14:textId="77777777" w:rsidR="00E5223E" w:rsidRPr="00A033BC" w:rsidRDefault="00E5223E" w:rsidP="009D7D15">
      <w:pPr>
        <w:pStyle w:val="Content1"/>
        <w:numPr>
          <w:ilvl w:val="0"/>
          <w:numId w:val="7"/>
        </w:numPr>
        <w:ind w:left="1134" w:right="1134" w:firstLine="0"/>
        <w:jc w:val="both"/>
        <w:rPr>
          <w:color w:val="000000" w:themeColor="text1"/>
          <w:sz w:val="20"/>
          <w:szCs w:val="20"/>
        </w:rPr>
      </w:pPr>
      <w:r w:rsidRPr="5BEB5EF0">
        <w:rPr>
          <w:color w:val="000000" w:themeColor="text1"/>
          <w:sz w:val="20"/>
          <w:szCs w:val="20"/>
        </w:rPr>
        <w:t>After</w:t>
      </w:r>
      <w:r w:rsidRPr="6789CA4F">
        <w:rPr>
          <w:color w:val="000000" w:themeColor="text1"/>
          <w:sz w:val="20"/>
          <w:szCs w:val="20"/>
        </w:rPr>
        <w:t xml:space="preserve"> </w:t>
      </w:r>
      <w:r>
        <w:rPr>
          <w:color w:val="000000" w:themeColor="text1"/>
          <w:sz w:val="20"/>
          <w:szCs w:val="20"/>
        </w:rPr>
        <w:t>over</w:t>
      </w:r>
      <w:r w:rsidRPr="6789CA4F">
        <w:rPr>
          <w:color w:val="000000" w:themeColor="text1"/>
          <w:sz w:val="20"/>
          <w:szCs w:val="20"/>
        </w:rPr>
        <w:t xml:space="preserve"> two years of extensive engagements with Indigenous partners</w:t>
      </w:r>
      <w:r>
        <w:rPr>
          <w:color w:val="000000" w:themeColor="text1"/>
          <w:sz w:val="20"/>
          <w:szCs w:val="20"/>
        </w:rPr>
        <w:t xml:space="preserve"> and PT governments</w:t>
      </w:r>
      <w:r w:rsidRPr="6789CA4F">
        <w:rPr>
          <w:color w:val="000000" w:themeColor="text1"/>
          <w:sz w:val="20"/>
          <w:szCs w:val="20"/>
        </w:rPr>
        <w:t xml:space="preserve"> to inform the </w:t>
      </w:r>
      <w:r w:rsidRPr="007E5230">
        <w:rPr>
          <w:sz w:val="20"/>
          <w:szCs w:val="20"/>
          <w:lang w:val="en-CA"/>
        </w:rPr>
        <w:t>development</w:t>
      </w:r>
      <w:r w:rsidRPr="6789CA4F">
        <w:rPr>
          <w:color w:val="000000" w:themeColor="text1"/>
          <w:sz w:val="20"/>
          <w:szCs w:val="20"/>
        </w:rPr>
        <w:t xml:space="preserve"> </w:t>
      </w:r>
      <w:r>
        <w:rPr>
          <w:color w:val="000000" w:themeColor="text1"/>
          <w:sz w:val="20"/>
          <w:szCs w:val="20"/>
        </w:rPr>
        <w:t xml:space="preserve">of </w:t>
      </w:r>
      <w:r w:rsidRPr="6789CA4F">
        <w:rPr>
          <w:color w:val="000000" w:themeColor="text1"/>
          <w:sz w:val="20"/>
          <w:szCs w:val="20"/>
        </w:rPr>
        <w:t>a</w:t>
      </w:r>
      <w:r>
        <w:rPr>
          <w:color w:val="000000" w:themeColor="text1"/>
          <w:sz w:val="20"/>
          <w:szCs w:val="20"/>
        </w:rPr>
        <w:t xml:space="preserve"> federal</w:t>
      </w:r>
      <w:r w:rsidRPr="6789CA4F">
        <w:rPr>
          <w:color w:val="000000" w:themeColor="text1"/>
          <w:sz w:val="20"/>
          <w:szCs w:val="20"/>
        </w:rPr>
        <w:t xml:space="preserve"> Indigenous Justice Strategy (IJS) to address systemic discrimination and the overrepresentation of Indigenous people in the Canadian justice system</w:t>
      </w:r>
      <w:r>
        <w:rPr>
          <w:color w:val="000000" w:themeColor="text1"/>
          <w:sz w:val="20"/>
          <w:szCs w:val="20"/>
        </w:rPr>
        <w:t>,</w:t>
      </w:r>
      <w:r w:rsidRPr="6789CA4F">
        <w:rPr>
          <w:color w:val="000000" w:themeColor="text1"/>
          <w:sz w:val="20"/>
          <w:szCs w:val="20"/>
        </w:rPr>
        <w:t xml:space="preserve"> Justice Canada released the IJS Key Elements Consultation Draft (KECD) for validation and feedback in 2024.</w:t>
      </w:r>
      <w:r>
        <w:rPr>
          <w:color w:val="000000" w:themeColor="text1"/>
          <w:sz w:val="20"/>
          <w:szCs w:val="20"/>
        </w:rPr>
        <w:t xml:space="preserve"> </w:t>
      </w:r>
      <w:r w:rsidRPr="6789CA4F">
        <w:rPr>
          <w:color w:val="000000" w:themeColor="text1"/>
          <w:sz w:val="20"/>
          <w:szCs w:val="20"/>
        </w:rPr>
        <w:t xml:space="preserve">The </w:t>
      </w:r>
      <w:r>
        <w:rPr>
          <w:color w:val="000000" w:themeColor="text1"/>
          <w:sz w:val="20"/>
          <w:szCs w:val="20"/>
        </w:rPr>
        <w:t xml:space="preserve">KECD </w:t>
      </w:r>
      <w:r w:rsidRPr="6789CA4F">
        <w:rPr>
          <w:color w:val="000000" w:themeColor="text1"/>
          <w:sz w:val="20"/>
          <w:szCs w:val="20"/>
        </w:rPr>
        <w:t>represents a vehicle for further advancing First Nations, Inuit and Métis self-determination and the revitalization of First Nations, Inuit and Métis laws and legal systems</w:t>
      </w:r>
      <w:r>
        <w:rPr>
          <w:color w:val="000000" w:themeColor="text1"/>
          <w:sz w:val="20"/>
          <w:szCs w:val="20"/>
        </w:rPr>
        <w:t xml:space="preserve">, </w:t>
      </w:r>
      <w:r w:rsidRPr="0092588D">
        <w:rPr>
          <w:color w:val="000000" w:themeColor="text1"/>
          <w:sz w:val="20"/>
          <w:szCs w:val="20"/>
        </w:rPr>
        <w:t xml:space="preserve">while also outlining priorities for addressing overrepresentation within the Canadian justice system. </w:t>
      </w:r>
      <w:r>
        <w:rPr>
          <w:color w:val="000000" w:themeColor="text1"/>
          <w:sz w:val="20"/>
          <w:szCs w:val="20"/>
        </w:rPr>
        <w:t>T</w:t>
      </w:r>
      <w:r w:rsidRPr="0092588D">
        <w:rPr>
          <w:color w:val="000000" w:themeColor="text1"/>
          <w:sz w:val="20"/>
          <w:szCs w:val="20"/>
        </w:rPr>
        <w:t>he</w:t>
      </w:r>
      <w:r w:rsidRPr="6789CA4F">
        <w:rPr>
          <w:color w:val="000000" w:themeColor="text1"/>
          <w:sz w:val="20"/>
          <w:szCs w:val="20"/>
        </w:rPr>
        <w:t xml:space="preserve"> final Strategy </w:t>
      </w:r>
      <w:r>
        <w:rPr>
          <w:color w:val="000000" w:themeColor="text1"/>
          <w:sz w:val="20"/>
          <w:szCs w:val="20"/>
        </w:rPr>
        <w:t xml:space="preserve">is expected to be released </w:t>
      </w:r>
      <w:r w:rsidRPr="6789CA4F">
        <w:rPr>
          <w:color w:val="000000" w:themeColor="text1"/>
          <w:sz w:val="20"/>
          <w:szCs w:val="20"/>
        </w:rPr>
        <w:t>in 2025.</w:t>
      </w:r>
    </w:p>
    <w:p w14:paraId="2A739270" w14:textId="77777777" w:rsidR="00E5223E" w:rsidRPr="00252959" w:rsidRDefault="00E5223E" w:rsidP="009D7D15">
      <w:pPr>
        <w:pStyle w:val="Content1"/>
        <w:numPr>
          <w:ilvl w:val="0"/>
          <w:numId w:val="7"/>
        </w:numPr>
        <w:ind w:left="1134" w:right="1134" w:firstLine="0"/>
        <w:jc w:val="both"/>
        <w:rPr>
          <w:sz w:val="20"/>
          <w:szCs w:val="20"/>
        </w:rPr>
      </w:pPr>
      <w:bookmarkStart w:id="2" w:name="_Hlk197411574"/>
      <w:r w:rsidRPr="00824AC6">
        <w:rPr>
          <w:sz w:val="20"/>
          <w:szCs w:val="20"/>
        </w:rPr>
        <w:t>B</w:t>
      </w:r>
      <w:r>
        <w:rPr>
          <w:sz w:val="20"/>
          <w:szCs w:val="20"/>
        </w:rPr>
        <w:t xml:space="preserve">ritish </w:t>
      </w:r>
      <w:r w:rsidRPr="00824AC6">
        <w:rPr>
          <w:sz w:val="20"/>
          <w:szCs w:val="20"/>
        </w:rPr>
        <w:t>C</w:t>
      </w:r>
      <w:r>
        <w:rPr>
          <w:sz w:val="20"/>
          <w:szCs w:val="20"/>
        </w:rPr>
        <w:t>olumbia</w:t>
      </w:r>
      <w:r w:rsidRPr="00824AC6">
        <w:rPr>
          <w:sz w:val="20"/>
          <w:szCs w:val="20"/>
        </w:rPr>
        <w:t xml:space="preserve">'s </w:t>
      </w:r>
      <w:r w:rsidRPr="00E95B2A">
        <w:rPr>
          <w:i/>
          <w:iCs/>
          <w:sz w:val="20"/>
          <w:szCs w:val="20"/>
        </w:rPr>
        <w:t>Anti-Racism Data Act (2022)</w:t>
      </w:r>
      <w:r w:rsidRPr="00824AC6">
        <w:rPr>
          <w:sz w:val="20"/>
          <w:szCs w:val="20"/>
        </w:rPr>
        <w:t xml:space="preserve">, </w:t>
      </w:r>
      <w:r w:rsidRPr="00252959">
        <w:rPr>
          <w:sz w:val="20"/>
          <w:szCs w:val="20"/>
        </w:rPr>
        <w:t xml:space="preserve">enables the province to collect, use, and disclose personal information </w:t>
      </w:r>
      <w:r w:rsidRPr="004E7B65">
        <w:rPr>
          <w:sz w:val="20"/>
          <w:szCs w:val="20"/>
        </w:rPr>
        <w:t>for the purpose</w:t>
      </w:r>
      <w:r w:rsidRPr="00252959">
        <w:rPr>
          <w:sz w:val="20"/>
          <w:szCs w:val="20"/>
        </w:rPr>
        <w:t xml:space="preserve"> of identifying and eliminating systemic racism and </w:t>
      </w:r>
      <w:r>
        <w:rPr>
          <w:sz w:val="20"/>
          <w:szCs w:val="20"/>
        </w:rPr>
        <w:t>advanc</w:t>
      </w:r>
      <w:r w:rsidRPr="00252959">
        <w:rPr>
          <w:sz w:val="20"/>
          <w:szCs w:val="20"/>
        </w:rPr>
        <w:t>ing racial equity in government p</w:t>
      </w:r>
      <w:r w:rsidRPr="000B458B">
        <w:rPr>
          <w:sz w:val="20"/>
          <w:szCs w:val="20"/>
        </w:rPr>
        <w:t xml:space="preserve">rograms and services. The Act was co-developed with Indigenous Peoples and racialized communities. There are four data initiatives under the Act: the biennial publication of research priorities, the annual release of statistics and other information respecting systemic racism and equality, and the development of anti-racism data standards and data directives. In 2024, research related to three of the research priorities was published. </w:t>
      </w:r>
      <w:r w:rsidRPr="004E7B65">
        <w:rPr>
          <w:sz w:val="20"/>
          <w:szCs w:val="20"/>
        </w:rPr>
        <w:t xml:space="preserve">Initiatives </w:t>
      </w:r>
      <w:r w:rsidRPr="000B458B">
        <w:rPr>
          <w:sz w:val="20"/>
          <w:szCs w:val="20"/>
        </w:rPr>
        <w:t xml:space="preserve">under this Act are developed in collaboration with the Anti-Racism Data Committee (established under the Act), and in consultation and cooperation with Indigenous Peoples. The British Columbia Demographic Survey was launched in 2023 to collect information related to race, ethnicity, ancestry and other areas of </w:t>
      </w:r>
      <w:r w:rsidRPr="007E5230">
        <w:rPr>
          <w:sz w:val="20"/>
          <w:szCs w:val="20"/>
          <w:lang w:val="en-CA"/>
        </w:rPr>
        <w:t>identity</w:t>
      </w:r>
      <w:r w:rsidRPr="000B458B">
        <w:rPr>
          <w:sz w:val="20"/>
          <w:szCs w:val="20"/>
        </w:rPr>
        <w:t xml:space="preserve"> to better identify gaps and barriers individuals may face when accessing government services. In 2024, the </w:t>
      </w:r>
      <w:r w:rsidRPr="000B458B">
        <w:rPr>
          <w:i/>
          <w:iCs/>
          <w:sz w:val="20"/>
          <w:szCs w:val="20"/>
        </w:rPr>
        <w:t>Anti-Racism Act</w:t>
      </w:r>
      <w:r w:rsidRPr="000B458B">
        <w:rPr>
          <w:sz w:val="20"/>
          <w:szCs w:val="20"/>
        </w:rPr>
        <w:t xml:space="preserve"> was passed and will require government to address systemic racism uncovered through the </w:t>
      </w:r>
      <w:r w:rsidRPr="000B458B">
        <w:rPr>
          <w:i/>
          <w:iCs/>
          <w:sz w:val="20"/>
          <w:szCs w:val="20"/>
        </w:rPr>
        <w:t xml:space="preserve">Anti-Racism Data </w:t>
      </w:r>
      <w:r w:rsidRPr="00833907">
        <w:rPr>
          <w:i/>
          <w:iCs/>
          <w:sz w:val="20"/>
          <w:szCs w:val="20"/>
        </w:rPr>
        <w:t>Act</w:t>
      </w:r>
      <w:r w:rsidRPr="004E7B65">
        <w:rPr>
          <w:i/>
          <w:iCs/>
          <w:sz w:val="20"/>
          <w:szCs w:val="20"/>
        </w:rPr>
        <w:t xml:space="preserve"> (2022).</w:t>
      </w:r>
      <w:r>
        <w:rPr>
          <w:sz w:val="20"/>
          <w:szCs w:val="20"/>
        </w:rPr>
        <w:t xml:space="preserve"> </w:t>
      </w:r>
    </w:p>
    <w:bookmarkEnd w:id="2"/>
    <w:p w14:paraId="2EC5AA0E" w14:textId="77777777" w:rsidR="00E5223E" w:rsidRPr="00EE59CE" w:rsidRDefault="00E5223E" w:rsidP="009D7D15">
      <w:pPr>
        <w:pStyle w:val="Content1"/>
        <w:numPr>
          <w:ilvl w:val="0"/>
          <w:numId w:val="7"/>
        </w:numPr>
        <w:ind w:left="1134" w:right="1134" w:firstLine="0"/>
        <w:jc w:val="both"/>
        <w:rPr>
          <w:sz w:val="20"/>
          <w:szCs w:val="20"/>
        </w:rPr>
      </w:pPr>
      <w:r w:rsidRPr="00EE59CE">
        <w:rPr>
          <w:sz w:val="20"/>
          <w:szCs w:val="20"/>
        </w:rPr>
        <w:t xml:space="preserve">Nova Scotia passed the </w:t>
      </w:r>
      <w:r w:rsidRPr="00EE59CE">
        <w:rPr>
          <w:i/>
          <w:sz w:val="20"/>
          <w:szCs w:val="20"/>
        </w:rPr>
        <w:t xml:space="preserve">Dismantling Racism and Hate Act </w:t>
      </w:r>
      <w:r w:rsidRPr="00EE59CE">
        <w:rPr>
          <w:sz w:val="20"/>
          <w:szCs w:val="20"/>
        </w:rPr>
        <w:t>in</w:t>
      </w:r>
      <w:r w:rsidRPr="00EE59CE">
        <w:rPr>
          <w:i/>
          <w:sz w:val="20"/>
          <w:szCs w:val="20"/>
        </w:rPr>
        <w:t xml:space="preserve"> </w:t>
      </w:r>
      <w:r w:rsidRPr="00EE59CE">
        <w:rPr>
          <w:sz w:val="20"/>
          <w:szCs w:val="20"/>
        </w:rPr>
        <w:t>2022 and released the Equity and Anti-Racism Strategy in 2023 to address systemic hate, systemic racism and inequity province wide.</w:t>
      </w:r>
    </w:p>
    <w:p w14:paraId="7019ACFB" w14:textId="77777777" w:rsidR="00E5223E" w:rsidRDefault="00E5223E" w:rsidP="009D7D15">
      <w:pPr>
        <w:pStyle w:val="Content1"/>
        <w:numPr>
          <w:ilvl w:val="0"/>
          <w:numId w:val="7"/>
        </w:numPr>
        <w:ind w:left="1134" w:right="1134" w:firstLine="0"/>
        <w:jc w:val="both"/>
        <w:rPr>
          <w:sz w:val="20"/>
          <w:szCs w:val="20"/>
        </w:rPr>
      </w:pPr>
      <w:r>
        <w:rPr>
          <w:sz w:val="20"/>
          <w:szCs w:val="20"/>
        </w:rPr>
        <w:t xml:space="preserve">In 2021, Prince Edward Island established a new Anti-Racism Table and appointed a provincial anti-racism policy advisor to </w:t>
      </w:r>
      <w:r w:rsidRPr="00824AC6">
        <w:rPr>
          <w:sz w:val="20"/>
          <w:szCs w:val="20"/>
        </w:rPr>
        <w:t>provide advice to Cabinet and recommend legislation, new positions and programs to address racism in P</w:t>
      </w:r>
      <w:r>
        <w:rPr>
          <w:sz w:val="20"/>
          <w:szCs w:val="20"/>
        </w:rPr>
        <w:t xml:space="preserve">rince </w:t>
      </w:r>
      <w:r w:rsidRPr="00824AC6">
        <w:rPr>
          <w:sz w:val="20"/>
          <w:szCs w:val="20"/>
        </w:rPr>
        <w:t>E</w:t>
      </w:r>
      <w:r>
        <w:rPr>
          <w:sz w:val="20"/>
          <w:szCs w:val="20"/>
        </w:rPr>
        <w:t xml:space="preserve">dward </w:t>
      </w:r>
      <w:r w:rsidRPr="00824AC6">
        <w:rPr>
          <w:sz w:val="20"/>
          <w:szCs w:val="20"/>
        </w:rPr>
        <w:t>I</w:t>
      </w:r>
      <w:r>
        <w:rPr>
          <w:sz w:val="20"/>
          <w:szCs w:val="20"/>
        </w:rPr>
        <w:t>sland</w:t>
      </w:r>
      <w:r w:rsidRPr="00824AC6">
        <w:rPr>
          <w:sz w:val="20"/>
          <w:szCs w:val="20"/>
        </w:rPr>
        <w:t xml:space="preserve">. The Anti-Racism Policy Advisor </w:t>
      </w:r>
      <w:r>
        <w:rPr>
          <w:sz w:val="20"/>
          <w:szCs w:val="20"/>
        </w:rPr>
        <w:t xml:space="preserve">position was reclassified as the Manager of Anti-Racism Initiatives and the Manager worked with the government to develop the Anti-Racism Action Plan. The </w:t>
      </w:r>
      <w:r w:rsidRPr="007E5230">
        <w:rPr>
          <w:sz w:val="20"/>
          <w:szCs w:val="20"/>
          <w:lang w:val="en-CA"/>
        </w:rPr>
        <w:t>Manager</w:t>
      </w:r>
      <w:r>
        <w:rPr>
          <w:sz w:val="20"/>
          <w:szCs w:val="20"/>
        </w:rPr>
        <w:t xml:space="preserve"> </w:t>
      </w:r>
      <w:r w:rsidRPr="00824AC6">
        <w:rPr>
          <w:sz w:val="20"/>
          <w:szCs w:val="20"/>
        </w:rPr>
        <w:t xml:space="preserve">is currently working </w:t>
      </w:r>
      <w:r>
        <w:rPr>
          <w:sz w:val="20"/>
          <w:szCs w:val="20"/>
          <w:lang w:val="en-CA"/>
        </w:rPr>
        <w:t>on</w:t>
      </w:r>
      <w:r w:rsidRPr="00824AC6">
        <w:rPr>
          <w:sz w:val="20"/>
          <w:szCs w:val="20"/>
          <w:lang w:val="en-CA"/>
        </w:rPr>
        <w:t xml:space="preserve"> implement</w:t>
      </w:r>
      <w:r>
        <w:rPr>
          <w:sz w:val="20"/>
          <w:szCs w:val="20"/>
          <w:lang w:val="en-CA"/>
        </w:rPr>
        <w:t>ing</w:t>
      </w:r>
      <w:r w:rsidRPr="00824AC6">
        <w:rPr>
          <w:sz w:val="20"/>
          <w:szCs w:val="20"/>
          <w:lang w:val="en-CA"/>
        </w:rPr>
        <w:t xml:space="preserve"> an accountability framework that will include a monitoring and reporting mechanism</w:t>
      </w:r>
      <w:r>
        <w:rPr>
          <w:sz w:val="20"/>
          <w:szCs w:val="20"/>
          <w:lang w:val="en-CA"/>
        </w:rPr>
        <w:t xml:space="preserve"> and </w:t>
      </w:r>
      <w:r w:rsidRPr="00A021FC">
        <w:rPr>
          <w:sz w:val="20"/>
          <w:szCs w:val="20"/>
        </w:rPr>
        <w:t>the</w:t>
      </w:r>
      <w:r>
        <w:rPr>
          <w:sz w:val="20"/>
          <w:szCs w:val="20"/>
        </w:rPr>
        <w:t xml:space="preserve"> </w:t>
      </w:r>
      <w:r w:rsidRPr="00A021FC">
        <w:rPr>
          <w:sz w:val="20"/>
          <w:szCs w:val="20"/>
        </w:rPr>
        <w:t>Anti-Racism Impact Assessment</w:t>
      </w:r>
      <w:r>
        <w:rPr>
          <w:sz w:val="20"/>
          <w:szCs w:val="20"/>
        </w:rPr>
        <w:t xml:space="preserve"> (ARIA)</w:t>
      </w:r>
      <w:r w:rsidRPr="00A021FC">
        <w:rPr>
          <w:sz w:val="20"/>
          <w:szCs w:val="20"/>
        </w:rPr>
        <w:t xml:space="preserve">, a resource </w:t>
      </w:r>
      <w:r>
        <w:rPr>
          <w:sz w:val="20"/>
          <w:szCs w:val="20"/>
        </w:rPr>
        <w:t xml:space="preserve">created </w:t>
      </w:r>
      <w:r w:rsidRPr="00A021FC">
        <w:rPr>
          <w:sz w:val="20"/>
          <w:szCs w:val="20"/>
        </w:rPr>
        <w:t>for departments to assess the potential impacts of legislation, policy, budgets, etc. on racially marginalized communities.</w:t>
      </w:r>
    </w:p>
    <w:p w14:paraId="240E077B" w14:textId="77777777" w:rsidR="00E5223E" w:rsidRPr="00272F9F"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In 2021, the Alberta Human Rights Commission launched its Indigenous Human Rights Strategy with input from the Indigenous community in Alberta. This strategy guides the Commission’s practices and initiatives with the goal of reducing barriers that Indigenous individuals and communities </w:t>
      </w:r>
      <w:r>
        <w:rPr>
          <w:sz w:val="20"/>
          <w:szCs w:val="20"/>
          <w:lang w:val="en-CA"/>
        </w:rPr>
        <w:t xml:space="preserve">may </w:t>
      </w:r>
      <w:r w:rsidRPr="6BCE64E0">
        <w:rPr>
          <w:sz w:val="20"/>
          <w:szCs w:val="20"/>
          <w:lang w:val="en-CA"/>
        </w:rPr>
        <w:t xml:space="preserve">face when accessing the human rights system. It also aims to enhance the Commission’s interactions with Indigenous </w:t>
      </w:r>
      <w:r w:rsidRPr="00272F9F">
        <w:rPr>
          <w:sz w:val="20"/>
          <w:szCs w:val="20"/>
          <w:lang w:val="en-CA"/>
        </w:rPr>
        <w:t>people and communities overall.</w:t>
      </w:r>
    </w:p>
    <w:p w14:paraId="4941BB8C" w14:textId="4EADA967" w:rsidR="00E5223E" w:rsidRPr="00272F9F" w:rsidRDefault="00D300A6" w:rsidP="001B0779">
      <w:pPr>
        <w:pStyle w:val="H23G"/>
        <w:rPr>
          <w:lang w:val="en-CA"/>
        </w:rPr>
      </w:pPr>
      <w:bookmarkStart w:id="3" w:name="_Toc177633098"/>
      <w:r>
        <w:rPr>
          <w:lang w:val="en-CA"/>
        </w:rPr>
        <w:tab/>
      </w:r>
      <w:r>
        <w:rPr>
          <w:lang w:val="en-CA"/>
        </w:rPr>
        <w:tab/>
      </w:r>
      <w:r w:rsidR="00E5223E" w:rsidRPr="00272F9F">
        <w:rPr>
          <w:lang w:val="en-CA"/>
        </w:rPr>
        <w:t>Canada’s Anti-Racism Strategy</w:t>
      </w:r>
      <w:bookmarkEnd w:id="3"/>
    </w:p>
    <w:p w14:paraId="79C4B6BC" w14:textId="77777777" w:rsidR="00E5223E" w:rsidRPr="00272F9F" w:rsidRDefault="00E5223E" w:rsidP="009D7D15">
      <w:pPr>
        <w:pStyle w:val="Content1"/>
        <w:numPr>
          <w:ilvl w:val="0"/>
          <w:numId w:val="7"/>
        </w:numPr>
        <w:ind w:left="1134" w:right="1134" w:firstLine="0"/>
        <w:jc w:val="both"/>
        <w:rPr>
          <w:sz w:val="20"/>
          <w:szCs w:val="20"/>
        </w:rPr>
      </w:pPr>
      <w:r w:rsidRPr="00272F9F">
        <w:rPr>
          <w:sz w:val="20"/>
          <w:szCs w:val="20"/>
        </w:rPr>
        <w:t>Canada’s Anti-Racism Strategy (2019–2022), Building a Foundation for Change, was a landmark initiative grounded in the vision of a country where all Canadians benefit from equitable access and participation. It supported communities with lived experience and expertise in addressing racism and discrimination and strengthened data and evidence-based approaches across government. Renewed in 2024 as Changing Systems, Transforming Lives (2024–2028), the strategy drives coordinated federal action in employment, justice, housing, healthcare, and immigration. It includes over 70 federal initiatives developed through extensive engagement with communities, researchers, and organizations, and aims to ensure policies and services reflect the diversity of Canada</w:t>
      </w:r>
      <w:r>
        <w:rPr>
          <w:sz w:val="20"/>
          <w:szCs w:val="20"/>
        </w:rPr>
        <w:t>.</w:t>
      </w:r>
    </w:p>
    <w:p w14:paraId="0AA33213" w14:textId="77777777" w:rsidR="00E5223E" w:rsidRPr="00272F9F" w:rsidRDefault="00E5223E" w:rsidP="009D7D15">
      <w:pPr>
        <w:pStyle w:val="Content1"/>
        <w:numPr>
          <w:ilvl w:val="0"/>
          <w:numId w:val="7"/>
        </w:numPr>
        <w:ind w:left="1134" w:right="1134" w:firstLine="0"/>
        <w:jc w:val="both"/>
        <w:rPr>
          <w:color w:val="000000" w:themeColor="text1"/>
          <w:sz w:val="20"/>
          <w:szCs w:val="20"/>
        </w:rPr>
      </w:pPr>
      <w:r w:rsidRPr="00272F9F">
        <w:rPr>
          <w:sz w:val="20"/>
          <w:szCs w:val="20"/>
        </w:rPr>
        <w:t>In 2017, Ontario released its Anti-Racism Strategic Plan (the Strategy), A Better Way Forward. The Strategy established the government’s commitment to address critical forms of systemic racism, including passing legislation (</w:t>
      </w:r>
      <w:r w:rsidRPr="00272F9F">
        <w:rPr>
          <w:i/>
          <w:iCs/>
          <w:sz w:val="20"/>
          <w:szCs w:val="20"/>
        </w:rPr>
        <w:t xml:space="preserve">Anti-Racism Act, </w:t>
      </w:r>
      <w:r w:rsidRPr="007E5230">
        <w:rPr>
          <w:sz w:val="20"/>
          <w:szCs w:val="20"/>
          <w:lang w:val="en-CA"/>
        </w:rPr>
        <w:t>2017</w:t>
      </w:r>
      <w:r w:rsidRPr="00272F9F">
        <w:rPr>
          <w:sz w:val="20"/>
          <w:szCs w:val="20"/>
        </w:rPr>
        <w:t xml:space="preserve">) to ensure the sustainability of anti-racism efforts while maintaining </w:t>
      </w:r>
      <w:r w:rsidRPr="00272F9F">
        <w:rPr>
          <w:color w:val="000000" w:themeColor="text1"/>
          <w:sz w:val="20"/>
          <w:szCs w:val="20"/>
        </w:rPr>
        <w:t xml:space="preserve">public accountability. The </w:t>
      </w:r>
      <w:r w:rsidRPr="00272F9F">
        <w:rPr>
          <w:i/>
          <w:iCs/>
          <w:color w:val="000000" w:themeColor="text1"/>
          <w:sz w:val="20"/>
          <w:szCs w:val="20"/>
        </w:rPr>
        <w:t>Anti-Racism Act, 2017</w:t>
      </w:r>
      <w:r w:rsidRPr="00272F9F">
        <w:rPr>
          <w:color w:val="000000" w:themeColor="text1"/>
          <w:sz w:val="20"/>
          <w:szCs w:val="20"/>
        </w:rPr>
        <w:t xml:space="preserve"> requires the Ontario government to maintain an Anti-Racism Strategy, which must be reviewed at least once every five years. The Strategy must include clear targets and indicators, and the government must publish an Annual Progress Report detailing the Strategy’s implementation and outcomes. In 2023, an updated strategy, </w:t>
      </w:r>
      <w:proofErr w:type="gramStart"/>
      <w:r w:rsidRPr="00272F9F">
        <w:rPr>
          <w:color w:val="000000" w:themeColor="text1"/>
          <w:sz w:val="20"/>
          <w:szCs w:val="20"/>
        </w:rPr>
        <w:t>Building</w:t>
      </w:r>
      <w:proofErr w:type="gramEnd"/>
      <w:r w:rsidRPr="00272F9F">
        <w:rPr>
          <w:color w:val="000000" w:themeColor="text1"/>
          <w:sz w:val="20"/>
          <w:szCs w:val="20"/>
        </w:rPr>
        <w:t xml:space="preserve"> a Stronger and More Inclusive Ontario: Ontario’s Anti-Racism Strategic Plan, was publicly released. It focuses on fostering economic empowerment, racialized children and youth policy and accountability and population-specific initiatives including addressing racially motivated hate. It includes supports to address adverse impacts of racism and hate, including anti-Indigenous racism, anti-Black racism, antisemitism and Islamophobia.  </w:t>
      </w:r>
    </w:p>
    <w:p w14:paraId="31C4CC68" w14:textId="77777777" w:rsidR="00E5223E" w:rsidRPr="00272F9F" w:rsidRDefault="00E5223E" w:rsidP="009D7D15">
      <w:pPr>
        <w:pStyle w:val="Content1"/>
        <w:numPr>
          <w:ilvl w:val="0"/>
          <w:numId w:val="7"/>
        </w:numPr>
        <w:ind w:left="1134" w:right="1134" w:firstLine="0"/>
        <w:jc w:val="both"/>
        <w:rPr>
          <w:color w:val="000000" w:themeColor="text1"/>
          <w:sz w:val="20"/>
          <w:szCs w:val="20"/>
        </w:rPr>
      </w:pPr>
      <w:r w:rsidRPr="00272F9F">
        <w:rPr>
          <w:color w:val="000000" w:themeColor="text1"/>
          <w:sz w:val="20"/>
          <w:szCs w:val="20"/>
        </w:rPr>
        <w:t xml:space="preserve">In 2021, New Brunswick appointed an independent Commissioner on Systemic Racism with a mandate to consult and make </w:t>
      </w:r>
      <w:r w:rsidRPr="007E5230">
        <w:rPr>
          <w:sz w:val="20"/>
          <w:szCs w:val="20"/>
          <w:lang w:val="en-CA"/>
        </w:rPr>
        <w:t>recommendations</w:t>
      </w:r>
      <w:r w:rsidRPr="00272F9F">
        <w:rPr>
          <w:color w:val="000000" w:themeColor="text1"/>
          <w:sz w:val="20"/>
          <w:szCs w:val="20"/>
        </w:rPr>
        <w:t xml:space="preserve"> to government toward developing a provincial anti-racism strategy</w:t>
      </w:r>
      <w:r w:rsidRPr="00272F9F">
        <w:rPr>
          <w:color w:val="000000" w:themeColor="text1"/>
          <w:sz w:val="20"/>
          <w:szCs w:val="20"/>
          <w:lang w:val="en-CA"/>
        </w:rPr>
        <w:t>.</w:t>
      </w:r>
    </w:p>
    <w:p w14:paraId="65E292E3" w14:textId="4B100BB2" w:rsidR="00E5223E" w:rsidRPr="00272F9F" w:rsidRDefault="00D300A6" w:rsidP="003D4419">
      <w:pPr>
        <w:pStyle w:val="H23G"/>
        <w:rPr>
          <w:lang w:val="en-CA"/>
        </w:rPr>
      </w:pPr>
      <w:r>
        <w:rPr>
          <w:lang w:val="en-CA"/>
        </w:rPr>
        <w:tab/>
      </w:r>
      <w:r>
        <w:rPr>
          <w:lang w:val="en-CA"/>
        </w:rPr>
        <w:tab/>
      </w:r>
      <w:r w:rsidR="00E5223E" w:rsidRPr="00272F9F">
        <w:rPr>
          <w:lang w:val="en-CA"/>
        </w:rPr>
        <w:t>Special Envoy on Preserving Holocaust Remembrance and Combatting Antisemitism (Special Envoy) and Special Representative on Combatting Islamophobia (Special Representative)</w:t>
      </w:r>
    </w:p>
    <w:p w14:paraId="4029F7E4" w14:textId="77777777" w:rsidR="00E5223E" w:rsidRPr="00272F9F" w:rsidRDefault="00E5223E" w:rsidP="009D7D15">
      <w:pPr>
        <w:pStyle w:val="Content1"/>
        <w:numPr>
          <w:ilvl w:val="0"/>
          <w:numId w:val="7"/>
        </w:numPr>
        <w:ind w:left="1134" w:right="1134" w:firstLine="0"/>
        <w:jc w:val="both"/>
        <w:rPr>
          <w:color w:val="000000" w:themeColor="text1"/>
          <w:sz w:val="20"/>
          <w:szCs w:val="20"/>
          <w:lang w:val="en-CA"/>
        </w:rPr>
      </w:pPr>
      <w:r w:rsidRPr="00272F9F">
        <w:rPr>
          <w:color w:val="000000" w:themeColor="text1"/>
          <w:sz w:val="20"/>
          <w:szCs w:val="20"/>
          <w:lang w:val="en-CA"/>
        </w:rPr>
        <w:t>Canada continues to support the Special</w:t>
      </w:r>
      <w:r>
        <w:rPr>
          <w:color w:val="000000" w:themeColor="text1"/>
          <w:sz w:val="20"/>
          <w:szCs w:val="20"/>
          <w:lang w:val="en-CA"/>
        </w:rPr>
        <w:t xml:space="preserve"> Envoy</w:t>
      </w:r>
      <w:r w:rsidRPr="00272F9F">
        <w:rPr>
          <w:color w:val="000000" w:themeColor="text1"/>
          <w:sz w:val="20"/>
          <w:szCs w:val="20"/>
          <w:lang w:val="en-CA"/>
        </w:rPr>
        <w:t>, who promotes Holocaust education, remembrance, and research, and encourages adoption of the</w:t>
      </w:r>
      <w:r>
        <w:rPr>
          <w:color w:val="000000" w:themeColor="text1"/>
          <w:sz w:val="20"/>
          <w:szCs w:val="20"/>
          <w:lang w:val="en-CA"/>
        </w:rPr>
        <w:t xml:space="preserve"> </w:t>
      </w:r>
      <w:r w:rsidRPr="0034645C">
        <w:rPr>
          <w:color w:val="000000" w:themeColor="text1"/>
          <w:sz w:val="20"/>
          <w:szCs w:val="20"/>
          <w:lang w:val="en-CA"/>
        </w:rPr>
        <w:t>International Holocaust Remembrance Alliance</w:t>
      </w:r>
      <w:r>
        <w:rPr>
          <w:color w:val="000000" w:themeColor="text1"/>
          <w:sz w:val="20"/>
          <w:szCs w:val="20"/>
          <w:lang w:val="en-CA"/>
        </w:rPr>
        <w:t>’s</w:t>
      </w:r>
      <w:r w:rsidRPr="00272F9F">
        <w:rPr>
          <w:color w:val="000000" w:themeColor="text1"/>
          <w:sz w:val="20"/>
          <w:szCs w:val="20"/>
          <w:lang w:val="en-CA"/>
        </w:rPr>
        <w:t xml:space="preserve"> definition of antisemitism. Appointed in 2023, the Special Representative engages communities and raises awareness of Islamophobia across </w:t>
      </w:r>
      <w:r w:rsidRPr="007E5230">
        <w:rPr>
          <w:sz w:val="20"/>
          <w:szCs w:val="20"/>
          <w:lang w:val="en-CA"/>
        </w:rPr>
        <w:t>Canada</w:t>
      </w:r>
      <w:r w:rsidRPr="00272F9F">
        <w:rPr>
          <w:color w:val="000000" w:themeColor="text1"/>
          <w:sz w:val="20"/>
          <w:szCs w:val="20"/>
          <w:lang w:val="en-CA"/>
        </w:rPr>
        <w:t>. In 2025, the federal government released the Canadian Guide to Understanding and Combatting Islamophobia to support education, inclusion, and policy development</w:t>
      </w:r>
      <w:r>
        <w:rPr>
          <w:color w:val="000000" w:themeColor="text1"/>
          <w:sz w:val="20"/>
          <w:szCs w:val="20"/>
          <w:lang w:val="en-CA"/>
        </w:rPr>
        <w:t>.</w:t>
      </w:r>
    </w:p>
    <w:p w14:paraId="2517AF1C" w14:textId="3FE693BD" w:rsidR="00E5223E" w:rsidRPr="00272F9F" w:rsidRDefault="00D300A6" w:rsidP="003D4419">
      <w:pPr>
        <w:pStyle w:val="H23G"/>
        <w:rPr>
          <w:lang w:val="en-CA"/>
        </w:rPr>
      </w:pPr>
      <w:r>
        <w:rPr>
          <w:lang w:val="en-CA"/>
        </w:rPr>
        <w:tab/>
      </w:r>
      <w:r>
        <w:rPr>
          <w:lang w:val="en-CA"/>
        </w:rPr>
        <w:tab/>
      </w:r>
      <w:r w:rsidR="00E5223E" w:rsidRPr="00272F9F">
        <w:rPr>
          <w:lang w:val="en-CA"/>
        </w:rPr>
        <w:t>Canada’s Action Plan on Combatting Hate (CAPCH)</w:t>
      </w:r>
    </w:p>
    <w:p w14:paraId="18A59160" w14:textId="77777777" w:rsidR="00E5223E" w:rsidRPr="00AD53A6" w:rsidRDefault="00E5223E" w:rsidP="009D7D15">
      <w:pPr>
        <w:pStyle w:val="Content1"/>
        <w:numPr>
          <w:ilvl w:val="0"/>
          <w:numId w:val="7"/>
        </w:numPr>
        <w:ind w:left="1134" w:right="1134" w:firstLine="0"/>
        <w:jc w:val="both"/>
        <w:rPr>
          <w:sz w:val="20"/>
          <w:szCs w:val="20"/>
        </w:rPr>
      </w:pPr>
      <w:r w:rsidRPr="00AD53A6">
        <w:rPr>
          <w:sz w:val="20"/>
          <w:szCs w:val="20"/>
        </w:rPr>
        <w:t xml:space="preserve">Launched in 2024, CAPCH is the </w:t>
      </w:r>
      <w:r>
        <w:rPr>
          <w:sz w:val="20"/>
          <w:szCs w:val="20"/>
        </w:rPr>
        <w:t>GC</w:t>
      </w:r>
      <w:r w:rsidRPr="00AD53A6">
        <w:rPr>
          <w:sz w:val="20"/>
          <w:szCs w:val="20"/>
        </w:rPr>
        <w:t xml:space="preserve">’s first cross-government initiative to address hate in all its forms. It brings together 20 coordinated </w:t>
      </w:r>
      <w:r w:rsidRPr="007E5230">
        <w:rPr>
          <w:sz w:val="20"/>
          <w:szCs w:val="20"/>
          <w:lang w:val="en-CA"/>
        </w:rPr>
        <w:t>measures</w:t>
      </w:r>
      <w:r w:rsidRPr="00AD53A6">
        <w:rPr>
          <w:sz w:val="20"/>
          <w:szCs w:val="20"/>
        </w:rPr>
        <w:t xml:space="preserve"> led by six federal departments and agencies, focusing on prevention, protection, accountability, and community support. CAPCH builds on the Anti-Racism Strategy and reflects deep engagement with communities and experts. It strengthens Canada’s ability to respond to hate incidents, support victims, and promote inclusive public policies. </w:t>
      </w:r>
      <w:r>
        <w:rPr>
          <w:sz w:val="20"/>
          <w:szCs w:val="20"/>
        </w:rPr>
        <w:t>CAPCH</w:t>
      </w:r>
      <w:r w:rsidRPr="00AD53A6">
        <w:rPr>
          <w:sz w:val="20"/>
          <w:szCs w:val="20"/>
        </w:rPr>
        <w:t xml:space="preserve"> addresses a wide spectrum of hate, including anti-Indigenous racism, anti-Black racism, anti-Asian racism, antisemitism, Islamophobia, and other forms of discrimination.</w:t>
      </w:r>
    </w:p>
    <w:p w14:paraId="22C6DF4D" w14:textId="65AFCC4A" w:rsidR="00E5223E" w:rsidRPr="00272F9F" w:rsidRDefault="00D300A6" w:rsidP="00D300A6">
      <w:pPr>
        <w:pStyle w:val="H1G"/>
        <w:rPr>
          <w:lang w:val="en-CA"/>
        </w:rPr>
      </w:pPr>
      <w:bookmarkStart w:id="4" w:name="_Toc177633101"/>
      <w:r>
        <w:rPr>
          <w:lang w:val="en-CA"/>
        </w:rPr>
        <w:tab/>
      </w:r>
      <w:r>
        <w:rPr>
          <w:lang w:val="en-CA"/>
        </w:rPr>
        <w:tab/>
      </w:r>
      <w:r w:rsidR="00E5223E" w:rsidRPr="00272F9F">
        <w:rPr>
          <w:lang w:val="en-CA"/>
        </w:rPr>
        <w:t xml:space="preserve">Consultations with civil society, Indigenous </w:t>
      </w:r>
      <w:bookmarkEnd w:id="4"/>
      <w:r w:rsidR="00E5223E" w:rsidRPr="00272F9F">
        <w:rPr>
          <w:lang w:val="en-CA"/>
        </w:rPr>
        <w:t>representatives, and human rights commissions</w:t>
      </w:r>
    </w:p>
    <w:p w14:paraId="42715521" w14:textId="77777777" w:rsidR="00E5223E" w:rsidRPr="00272F9F" w:rsidRDefault="00E5223E" w:rsidP="009D7D15">
      <w:pPr>
        <w:pStyle w:val="Content1"/>
        <w:numPr>
          <w:ilvl w:val="0"/>
          <w:numId w:val="7"/>
        </w:numPr>
        <w:ind w:left="1134" w:right="1134" w:firstLine="0"/>
        <w:jc w:val="both"/>
        <w:rPr>
          <w:color w:val="000000" w:themeColor="text1"/>
          <w:sz w:val="20"/>
          <w:szCs w:val="20"/>
          <w:lang w:val="en-CA"/>
        </w:rPr>
      </w:pPr>
      <w:r w:rsidRPr="00272F9F">
        <w:rPr>
          <w:color w:val="000000" w:themeColor="text1"/>
          <w:sz w:val="20"/>
          <w:szCs w:val="20"/>
          <w:lang w:val="en-CA"/>
        </w:rPr>
        <w:t xml:space="preserve">The FPT Table on Human Rights, an integral part of Canada’s National Mechanism for Implementation, Reporting and Follow-Up on human rights, engages with hundreds of civil society stakeholders, Indigenous representatives, and human rights commissions across the country, representing over 486 organizations. This engagement occurs through formal meetings, bilateral consultations, and continuous information sharing related to the seven international human rights treaties to which Canada is a party, and the UPR.  As part of the 2020 FPT ministerial </w:t>
      </w:r>
      <w:r w:rsidRPr="007E5230">
        <w:rPr>
          <w:sz w:val="20"/>
          <w:szCs w:val="20"/>
          <w:lang w:val="en-CA"/>
        </w:rPr>
        <w:t>meeting</w:t>
      </w:r>
      <w:r w:rsidRPr="00272F9F">
        <w:rPr>
          <w:color w:val="000000" w:themeColor="text1"/>
          <w:sz w:val="20"/>
          <w:szCs w:val="20"/>
          <w:lang w:val="en-CA"/>
        </w:rPr>
        <w:t>, representatives of FPT governments in attendance endorsed the publicly available Engagement Strategy for Canada’s International Human Rights Reporting Process and the Protocol for Follow-up to Recommendations from International Human Rights Bodies, which provide guidance on engagement with non-governmental organizations.</w:t>
      </w:r>
    </w:p>
    <w:p w14:paraId="10DBA9C2" w14:textId="77777777" w:rsidR="00E5223E" w:rsidRPr="00272F9F" w:rsidRDefault="00E5223E" w:rsidP="009D7D15">
      <w:pPr>
        <w:pStyle w:val="Content1"/>
        <w:numPr>
          <w:ilvl w:val="0"/>
          <w:numId w:val="7"/>
        </w:numPr>
        <w:ind w:left="1134" w:right="1134" w:firstLine="0"/>
        <w:jc w:val="both"/>
        <w:rPr>
          <w:color w:val="000000" w:themeColor="text1"/>
          <w:sz w:val="20"/>
          <w:szCs w:val="20"/>
          <w:lang w:val="en-CA"/>
        </w:rPr>
      </w:pPr>
      <w:r w:rsidRPr="00272F9F">
        <w:rPr>
          <w:color w:val="000000" w:themeColor="text1"/>
          <w:sz w:val="20"/>
          <w:szCs w:val="20"/>
          <w:lang w:val="en-CA"/>
        </w:rPr>
        <w:t xml:space="preserve">Following a 2022–2023 pilot project on engagement for treaty body reporting, led by the FPT Table on Human Rights in response to civil society input, a revised Engagement Approach for Treaty Body Reporting (2024) was developed and launched to organizations across Canada. This updated approach defines the engagement activities of the FPT Table throughout the entire reporting cycle, ensuring a more structured and inclusive process. This approach includes regular meetings between partners, stakeholders, and the various committees of the FPT Tables to </w:t>
      </w:r>
      <w:r w:rsidRPr="007E5230">
        <w:rPr>
          <w:sz w:val="20"/>
          <w:szCs w:val="20"/>
          <w:lang w:val="en-CA"/>
        </w:rPr>
        <w:t>address</w:t>
      </w:r>
      <w:r w:rsidRPr="00272F9F">
        <w:rPr>
          <w:color w:val="000000" w:themeColor="text1"/>
          <w:sz w:val="20"/>
          <w:szCs w:val="20"/>
          <w:lang w:val="en-CA"/>
        </w:rPr>
        <w:t xml:space="preserve"> questions, share perspectives on implementation, and engage directly with FPT government officials on priorities and concrete actions governments could take to address Concluding Observations. The process culminates in a dedicated space prior to the biennial Forum of Ministers on Human Rights, where reports and reviews</w:t>
      </w:r>
      <w:r>
        <w:rPr>
          <w:color w:val="000000" w:themeColor="text1"/>
          <w:sz w:val="20"/>
          <w:szCs w:val="20"/>
          <w:lang w:val="en-CA"/>
        </w:rPr>
        <w:t xml:space="preserve">, </w:t>
      </w:r>
      <w:r w:rsidRPr="00272F9F">
        <w:rPr>
          <w:color w:val="000000" w:themeColor="text1"/>
          <w:sz w:val="20"/>
          <w:szCs w:val="20"/>
          <w:lang w:val="en-CA"/>
        </w:rPr>
        <w:t>including those related to ICERD</w:t>
      </w:r>
      <w:r>
        <w:rPr>
          <w:color w:val="000000" w:themeColor="text1"/>
          <w:sz w:val="20"/>
          <w:szCs w:val="20"/>
          <w:lang w:val="en-CA"/>
        </w:rPr>
        <w:t xml:space="preserve">, </w:t>
      </w:r>
      <w:r w:rsidRPr="00272F9F">
        <w:rPr>
          <w:color w:val="000000" w:themeColor="text1"/>
          <w:sz w:val="20"/>
          <w:szCs w:val="20"/>
          <w:lang w:val="en-CA"/>
        </w:rPr>
        <w:t xml:space="preserve">are discussed with FPT Ministers. </w:t>
      </w:r>
    </w:p>
    <w:p w14:paraId="560C37FD" w14:textId="77777777" w:rsidR="00E5223E" w:rsidRPr="00272F9F" w:rsidRDefault="00E5223E" w:rsidP="009D7D15">
      <w:pPr>
        <w:pStyle w:val="Content1"/>
        <w:numPr>
          <w:ilvl w:val="0"/>
          <w:numId w:val="7"/>
        </w:numPr>
        <w:ind w:left="1134" w:right="1134" w:firstLine="0"/>
        <w:jc w:val="both"/>
        <w:rPr>
          <w:color w:val="000000" w:themeColor="text1"/>
          <w:sz w:val="20"/>
          <w:szCs w:val="20"/>
          <w:lang w:val="en-CA"/>
        </w:rPr>
      </w:pPr>
      <w:r w:rsidRPr="00272F9F">
        <w:rPr>
          <w:color w:val="000000" w:themeColor="text1"/>
          <w:sz w:val="20"/>
          <w:szCs w:val="20"/>
          <w:lang w:val="en-CA"/>
        </w:rPr>
        <w:t xml:space="preserve">Distinct engagement sessions are held with civil society, Indigenous partners, human rights commissions, at the request of the latter two </w:t>
      </w:r>
      <w:r w:rsidRPr="007E5230">
        <w:rPr>
          <w:sz w:val="20"/>
          <w:szCs w:val="20"/>
          <w:lang w:val="en-CA"/>
        </w:rPr>
        <w:t>partners</w:t>
      </w:r>
      <w:r w:rsidRPr="00272F9F">
        <w:rPr>
          <w:color w:val="000000" w:themeColor="text1"/>
          <w:sz w:val="20"/>
          <w:szCs w:val="20"/>
          <w:lang w:val="en-CA"/>
        </w:rPr>
        <w:t xml:space="preserve">. Since the launch of the Engagement Strategy, Canada has held over 12 sessions to discuss Canada’s international human rights treaty reporting and the Universal Periodic Review, </w:t>
      </w:r>
      <w:r w:rsidRPr="00272F9F">
        <w:rPr>
          <w:color w:val="000000" w:themeColor="text1"/>
          <w:sz w:val="20"/>
          <w:szCs w:val="20"/>
        </w:rPr>
        <w:t>in addition to informal conversations with civil society organizations, Indigenous representatives, and Canadian human rights commissions.</w:t>
      </w:r>
    </w:p>
    <w:p w14:paraId="2DCCCDD0" w14:textId="77777777" w:rsidR="00E5223E" w:rsidRPr="006940C3" w:rsidRDefault="00E5223E" w:rsidP="009D7D15">
      <w:pPr>
        <w:pStyle w:val="Content1"/>
        <w:numPr>
          <w:ilvl w:val="0"/>
          <w:numId w:val="7"/>
        </w:numPr>
        <w:ind w:left="1134" w:right="1134" w:firstLine="0"/>
        <w:jc w:val="both"/>
        <w:rPr>
          <w:sz w:val="20"/>
          <w:szCs w:val="20"/>
          <w:lang w:val="en-CA"/>
        </w:rPr>
      </w:pPr>
      <w:r w:rsidRPr="00272F9F">
        <w:rPr>
          <w:color w:val="000000" w:themeColor="text1"/>
          <w:sz w:val="20"/>
          <w:szCs w:val="20"/>
          <w:lang w:val="en-CA"/>
        </w:rPr>
        <w:t xml:space="preserve">Engagement on human rights issues is also undertaken by PT governments and organizations at arms-length from government such as human rights commissions across Canada. For instance, in 2017, the Alberta Human Rights Commission hosted human rights consultations with five communities across Alberta related to the state of human rights issues and </w:t>
      </w:r>
      <w:r w:rsidRPr="007E5230">
        <w:rPr>
          <w:sz w:val="20"/>
          <w:szCs w:val="20"/>
          <w:lang w:val="en-CA"/>
        </w:rPr>
        <w:t>priorities</w:t>
      </w:r>
      <w:r w:rsidRPr="00272F9F">
        <w:rPr>
          <w:color w:val="000000" w:themeColor="text1"/>
          <w:sz w:val="20"/>
          <w:szCs w:val="20"/>
          <w:lang w:val="en-CA"/>
        </w:rPr>
        <w:t xml:space="preserve"> in the province. These consultations resulted in the production of </w:t>
      </w:r>
      <w:r w:rsidRPr="00272F9F">
        <w:rPr>
          <w:iCs/>
          <w:color w:val="000000" w:themeColor="text1"/>
          <w:sz w:val="20"/>
          <w:szCs w:val="20"/>
          <w:lang w:val="en-CA"/>
        </w:rPr>
        <w:t>Your Voice: Advancing Human Rights in Alberta</w:t>
      </w:r>
      <w:r w:rsidRPr="00272F9F">
        <w:rPr>
          <w:color w:val="000000" w:themeColor="text1"/>
          <w:sz w:val="20"/>
          <w:szCs w:val="20"/>
          <w:lang w:val="en-CA"/>
        </w:rPr>
        <w:t xml:space="preserve">, which summarized the feedback received from a diverse range of </w:t>
      </w:r>
      <w:r w:rsidRPr="006940C3">
        <w:rPr>
          <w:sz w:val="20"/>
          <w:szCs w:val="20"/>
          <w:lang w:val="en-CA"/>
        </w:rPr>
        <w:t>Albertans, including Indigenous people, immigrants, and refugees.</w:t>
      </w:r>
    </w:p>
    <w:p w14:paraId="2500636E" w14:textId="57360993" w:rsidR="00E5223E" w:rsidRPr="00A033BC" w:rsidRDefault="00D300A6" w:rsidP="00D300A6">
      <w:pPr>
        <w:pStyle w:val="H1G"/>
        <w:rPr>
          <w:lang w:val="en-CA"/>
        </w:rPr>
      </w:pPr>
      <w:bookmarkStart w:id="5" w:name="_Toc177633102"/>
      <w:r>
        <w:rPr>
          <w:lang w:val="en-CA"/>
        </w:rPr>
        <w:tab/>
      </w:r>
      <w:r>
        <w:rPr>
          <w:lang w:val="en-CA"/>
        </w:rPr>
        <w:tab/>
      </w:r>
      <w:r w:rsidR="00E5223E" w:rsidRPr="00A033BC">
        <w:rPr>
          <w:lang w:val="en-CA"/>
        </w:rPr>
        <w:t>Availability of reports and Concluding Observations</w:t>
      </w:r>
      <w:bookmarkEnd w:id="5"/>
    </w:p>
    <w:p w14:paraId="1AF335A6" w14:textId="77777777" w:rsidR="00E5223E" w:rsidRPr="006940C3"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Canada’s reports to UN human rights treaty bodies and for the UPR and the Concluding Observations issued to Canada are available to the public through the GC website. These materials are also proactively shared with partners and stakeholders active on human rights reporting and are tabled in federal Parliament. </w:t>
      </w:r>
    </w:p>
    <w:p w14:paraId="7F5DEE1A" w14:textId="280A2263" w:rsidR="00E5223E" w:rsidRPr="00A033BC" w:rsidRDefault="00D300A6" w:rsidP="00D300A6">
      <w:pPr>
        <w:pStyle w:val="H1G"/>
        <w:rPr>
          <w:lang w:val="en-CA"/>
        </w:rPr>
      </w:pPr>
      <w:bookmarkStart w:id="6" w:name="_Toc177633103"/>
      <w:r>
        <w:rPr>
          <w:lang w:val="en-CA"/>
        </w:rPr>
        <w:tab/>
      </w:r>
      <w:r>
        <w:rPr>
          <w:lang w:val="en-CA"/>
        </w:rPr>
        <w:tab/>
      </w:r>
      <w:r w:rsidR="00E5223E" w:rsidRPr="00A033BC">
        <w:rPr>
          <w:lang w:val="en-CA"/>
        </w:rPr>
        <w:t>Follow-up to the International Decade for People of African Descent</w:t>
      </w:r>
      <w:bookmarkEnd w:id="6"/>
    </w:p>
    <w:p w14:paraId="5184629D" w14:textId="77777777" w:rsidR="00E5223E" w:rsidRPr="006940C3"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w:t>
      </w:r>
      <w:r>
        <w:rPr>
          <w:sz w:val="20"/>
          <w:szCs w:val="20"/>
          <w:lang w:val="en-CA"/>
        </w:rPr>
        <w:t>GC</w:t>
      </w:r>
      <w:r w:rsidRPr="27136E50">
        <w:rPr>
          <w:sz w:val="20"/>
          <w:szCs w:val="20"/>
          <w:lang w:val="en-CA"/>
        </w:rPr>
        <w:t xml:space="preserve"> </w:t>
      </w:r>
      <w:r w:rsidRPr="390E6915">
        <w:rPr>
          <w:sz w:val="20"/>
          <w:szCs w:val="20"/>
          <w:lang w:val="en-CA"/>
        </w:rPr>
        <w:t>officialised</w:t>
      </w:r>
      <w:r>
        <w:rPr>
          <w:sz w:val="20"/>
          <w:szCs w:val="20"/>
          <w:lang w:val="en-CA"/>
        </w:rPr>
        <w:t xml:space="preserve"> </w:t>
      </w:r>
      <w:r w:rsidRPr="27136E50">
        <w:rPr>
          <w:sz w:val="20"/>
          <w:szCs w:val="20"/>
          <w:lang w:val="en-CA"/>
        </w:rPr>
        <w:t xml:space="preserve">the International Decade for People of African Descent in 2018 (the Decade). </w:t>
      </w:r>
      <w:r>
        <w:rPr>
          <w:sz w:val="20"/>
          <w:szCs w:val="20"/>
          <w:lang w:val="en-CA"/>
        </w:rPr>
        <w:t>In</w:t>
      </w:r>
      <w:r w:rsidRPr="27136E50">
        <w:rPr>
          <w:sz w:val="20"/>
          <w:szCs w:val="20"/>
          <w:lang w:val="en-CA"/>
        </w:rPr>
        <w:t xml:space="preserve"> 2024, the Prime Minister announced a continuation of these efforts until 2028.</w:t>
      </w:r>
    </w:p>
    <w:p w14:paraId="5EC814F3"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 xml:space="preserve">At the international level, Canada supported the UN General </w:t>
      </w:r>
      <w:r>
        <w:rPr>
          <w:sz w:val="20"/>
          <w:szCs w:val="20"/>
        </w:rPr>
        <w:t xml:space="preserve">Assembly </w:t>
      </w:r>
      <w:r w:rsidRPr="6789CA4F">
        <w:rPr>
          <w:sz w:val="20"/>
          <w:szCs w:val="20"/>
        </w:rPr>
        <w:t xml:space="preserve">Resolution that created the Permanent Forum on People of African Descent (Permanent Forum) </w:t>
      </w:r>
      <w:r>
        <w:rPr>
          <w:sz w:val="20"/>
          <w:szCs w:val="20"/>
        </w:rPr>
        <w:t xml:space="preserve">in 2021 </w:t>
      </w:r>
      <w:r w:rsidRPr="6789CA4F">
        <w:rPr>
          <w:sz w:val="20"/>
          <w:szCs w:val="20"/>
        </w:rPr>
        <w:t xml:space="preserve">and was a co-sponsor of the International Day of People of African Descent, adopted in 2020.  The Permanent Forum serves as a platform for improving the safety and quality of life and livelihoods of people of African descent. The GC has participated in all </w:t>
      </w:r>
      <w:r>
        <w:rPr>
          <w:sz w:val="20"/>
          <w:szCs w:val="20"/>
        </w:rPr>
        <w:t xml:space="preserve">annual </w:t>
      </w:r>
      <w:r w:rsidRPr="6789CA4F">
        <w:rPr>
          <w:sz w:val="20"/>
          <w:szCs w:val="20"/>
        </w:rPr>
        <w:t xml:space="preserve">sessions of the Permanent Forum.  </w:t>
      </w:r>
    </w:p>
    <w:p w14:paraId="3CD8880B"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 xml:space="preserve">The </w:t>
      </w:r>
      <w:r>
        <w:rPr>
          <w:sz w:val="20"/>
          <w:szCs w:val="20"/>
        </w:rPr>
        <w:t xml:space="preserve">GC’s </w:t>
      </w:r>
      <w:r w:rsidRPr="000C619C">
        <w:rPr>
          <w:iCs/>
          <w:sz w:val="20"/>
          <w:szCs w:val="20"/>
        </w:rPr>
        <w:t>Supporting Black Canadian Communities Initiative</w:t>
      </w:r>
      <w:r w:rsidRPr="00FD765F">
        <w:rPr>
          <w:i/>
          <w:sz w:val="20"/>
          <w:szCs w:val="20"/>
        </w:rPr>
        <w:t xml:space="preserve"> </w:t>
      </w:r>
      <w:r w:rsidRPr="6789CA4F">
        <w:rPr>
          <w:sz w:val="20"/>
          <w:szCs w:val="20"/>
        </w:rPr>
        <w:t xml:space="preserve">(SBCCI) aims to empower Black-led and Black-serving community organizations to address emerging priorities of Black communities and organizations in Canada. Grant </w:t>
      </w:r>
      <w:r w:rsidRPr="007E5230">
        <w:rPr>
          <w:sz w:val="20"/>
          <w:szCs w:val="20"/>
          <w:lang w:val="en-CA"/>
        </w:rPr>
        <w:t>funding</w:t>
      </w:r>
      <w:r w:rsidRPr="6789CA4F">
        <w:rPr>
          <w:sz w:val="20"/>
          <w:szCs w:val="20"/>
        </w:rPr>
        <w:t xml:space="preserve"> is delivered through four Black-led intermediary organizations. SBCCI also supports projects that reduce systemic barriers faced by Black communities in Canada, including the establishment of a National Institute for People of African Descent; and the creation of an External Reference Group consisting of leaders from Black communities to advise the Minister responsible for diversity and inclusion on SBCCI and the Decade.  </w:t>
      </w:r>
    </w:p>
    <w:p w14:paraId="59E7D8B3" w14:textId="77777777" w:rsidR="00E5223E"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GC has provided $200 million for the Black-led Philanthropic Endowment Fund (the fund). The fund is a long-term source of funding for charities and non-profit organizations in Canada that are Black-led, Black-focused and Black-serving</w:t>
      </w:r>
      <w:r>
        <w:rPr>
          <w:sz w:val="20"/>
          <w:szCs w:val="20"/>
          <w:lang w:val="en-CA"/>
        </w:rPr>
        <w:t xml:space="preserve"> (B3)</w:t>
      </w:r>
      <w:r w:rsidRPr="27136E50">
        <w:rPr>
          <w:sz w:val="20"/>
          <w:szCs w:val="20"/>
          <w:lang w:val="en-CA"/>
        </w:rPr>
        <w:t xml:space="preserve">. This work is part of efforts to reduce anti-Black racism </w:t>
      </w:r>
      <w:r>
        <w:rPr>
          <w:sz w:val="20"/>
          <w:szCs w:val="20"/>
          <w:lang w:val="en-CA"/>
        </w:rPr>
        <w:t xml:space="preserve">and </w:t>
      </w:r>
      <w:r w:rsidRPr="27136E50">
        <w:rPr>
          <w:sz w:val="20"/>
          <w:szCs w:val="20"/>
          <w:lang w:val="en-CA"/>
        </w:rPr>
        <w:t xml:space="preserve">improve social and economic outcomes in Black communities. In 2023, the GC signed an agreement with the Foundation for Black Communities </w:t>
      </w:r>
      <w:r>
        <w:rPr>
          <w:sz w:val="20"/>
          <w:szCs w:val="20"/>
          <w:lang w:val="en-CA"/>
        </w:rPr>
        <w:t xml:space="preserve">(FFBC) </w:t>
      </w:r>
      <w:r w:rsidRPr="27136E50">
        <w:rPr>
          <w:sz w:val="20"/>
          <w:szCs w:val="20"/>
          <w:lang w:val="en-CA"/>
        </w:rPr>
        <w:t>to administer the fund. Each year, for the next decade, the FFBC will launch call</w:t>
      </w:r>
      <w:r>
        <w:rPr>
          <w:sz w:val="20"/>
          <w:szCs w:val="20"/>
          <w:lang w:val="en-CA"/>
        </w:rPr>
        <w:t>s</w:t>
      </w:r>
      <w:r w:rsidRPr="27136E50">
        <w:rPr>
          <w:sz w:val="20"/>
          <w:szCs w:val="20"/>
          <w:lang w:val="en-CA"/>
        </w:rPr>
        <w:t xml:space="preserve"> for proposals inviting </w:t>
      </w:r>
      <w:r>
        <w:rPr>
          <w:sz w:val="20"/>
          <w:szCs w:val="20"/>
          <w:lang w:val="en-CA"/>
        </w:rPr>
        <w:t>B3</w:t>
      </w:r>
      <w:r w:rsidRPr="27136E50">
        <w:rPr>
          <w:sz w:val="20"/>
          <w:szCs w:val="20"/>
          <w:lang w:val="en-CA"/>
        </w:rPr>
        <w:t xml:space="preserve"> charities to apply for funding.  </w:t>
      </w:r>
    </w:p>
    <w:p w14:paraId="2E71288A" w14:textId="77777777" w:rsidR="00E5223E" w:rsidRPr="004122CD" w:rsidRDefault="00E5223E" w:rsidP="009D7D15">
      <w:pPr>
        <w:pStyle w:val="Content1"/>
        <w:numPr>
          <w:ilvl w:val="0"/>
          <w:numId w:val="7"/>
        </w:numPr>
        <w:ind w:left="1134" w:right="1134" w:firstLine="0"/>
        <w:jc w:val="both"/>
        <w:rPr>
          <w:sz w:val="20"/>
          <w:szCs w:val="20"/>
          <w:lang w:val="en-CA"/>
        </w:rPr>
      </w:pPr>
      <w:r w:rsidRPr="004122CD">
        <w:rPr>
          <w:sz w:val="20"/>
          <w:szCs w:val="20"/>
          <w:lang w:val="en-CA"/>
        </w:rPr>
        <w:t xml:space="preserve">Ontario has established the Black Youth Action Plan (BYAP) to work towards eliminating systemic, race-based disparities by increasing opportunities for Black children, youth and families across Ontario. Since 2018, BYAP partners have supported better outcomes for over 90,000 Black children, youth and families in education, employment and in conflict with the law. </w:t>
      </w:r>
    </w:p>
    <w:p w14:paraId="462D03FC" w14:textId="3BE80B62" w:rsidR="00E5223E" w:rsidRPr="002050AE" w:rsidRDefault="00D300A6" w:rsidP="00D300A6">
      <w:pPr>
        <w:pStyle w:val="HChG"/>
      </w:pPr>
      <w:bookmarkStart w:id="7" w:name="_Toc177633104"/>
      <w:r>
        <w:tab/>
      </w:r>
      <w:r w:rsidR="00E5223E" w:rsidRPr="002050AE">
        <w:t>III.</w:t>
      </w:r>
      <w:r>
        <w:tab/>
      </w:r>
      <w:r w:rsidR="00E5223E" w:rsidRPr="002050AE">
        <w:t>Ethnocultural Groups</w:t>
      </w:r>
      <w:bookmarkEnd w:id="7"/>
    </w:p>
    <w:p w14:paraId="47FEA9D2" w14:textId="77777777" w:rsidR="00E5223E" w:rsidRPr="002050AE" w:rsidRDefault="00E5223E" w:rsidP="009D7D15">
      <w:pPr>
        <w:pStyle w:val="Content1"/>
        <w:numPr>
          <w:ilvl w:val="0"/>
          <w:numId w:val="7"/>
        </w:numPr>
        <w:ind w:left="1134" w:right="1134" w:firstLine="0"/>
        <w:jc w:val="both"/>
        <w:rPr>
          <w:sz w:val="20"/>
          <w:szCs w:val="20"/>
        </w:rPr>
      </w:pPr>
      <w:r w:rsidRPr="002050AE">
        <w:rPr>
          <w:sz w:val="20"/>
          <w:szCs w:val="20"/>
        </w:rPr>
        <w:t xml:space="preserve">This section contains information regarding the social, economic and cultural rights of ethnocultural groups, including education, employment equity, race-based hate crimes, and the status of migrants and asylum seekers. The following </w:t>
      </w:r>
      <w:r w:rsidRPr="007E5230">
        <w:rPr>
          <w:sz w:val="20"/>
          <w:szCs w:val="20"/>
          <w:lang w:val="en-CA"/>
        </w:rPr>
        <w:t>sections</w:t>
      </w:r>
      <w:r w:rsidRPr="002050AE">
        <w:rPr>
          <w:sz w:val="20"/>
          <w:szCs w:val="20"/>
        </w:rPr>
        <w:t xml:space="preserve"> focus on Concluding Observations 6, 30, 32, 14, and 34</w:t>
      </w:r>
      <w:r w:rsidRPr="66A47EF9">
        <w:rPr>
          <w:sz w:val="20"/>
          <w:szCs w:val="20"/>
        </w:rPr>
        <w:t>.</w:t>
      </w:r>
    </w:p>
    <w:p w14:paraId="0FC5BDE0" w14:textId="44064E71" w:rsidR="00E5223E" w:rsidRPr="002050AE" w:rsidRDefault="00D300A6" w:rsidP="00D300A6">
      <w:pPr>
        <w:pStyle w:val="H1G"/>
        <w:rPr>
          <w:lang w:val="en-CA"/>
        </w:rPr>
      </w:pPr>
      <w:r>
        <w:rPr>
          <w:lang w:val="en-CA"/>
        </w:rPr>
        <w:tab/>
      </w:r>
      <w:r>
        <w:rPr>
          <w:lang w:val="en-CA"/>
        </w:rPr>
        <w:tab/>
      </w:r>
      <w:r w:rsidR="00E5223E" w:rsidRPr="002050AE">
        <w:rPr>
          <w:lang w:val="en-CA"/>
        </w:rPr>
        <w:t>Demographic context</w:t>
      </w:r>
    </w:p>
    <w:p w14:paraId="3011F306" w14:textId="77777777" w:rsidR="00E5223E" w:rsidRPr="006940C3"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Since the last reporting cycle, the Canadian Census indicated shifts in population, which inform the GC’s approach to addressing racial discrimination. According to the 2021 Census of Population, there were 1.8 million Indigenous </w:t>
      </w:r>
      <w:r>
        <w:rPr>
          <w:sz w:val="20"/>
          <w:szCs w:val="20"/>
          <w:lang w:val="en-CA"/>
        </w:rPr>
        <w:t>P</w:t>
      </w:r>
      <w:r w:rsidRPr="27136E50">
        <w:rPr>
          <w:sz w:val="20"/>
          <w:szCs w:val="20"/>
          <w:lang w:val="en-CA"/>
        </w:rPr>
        <w:t xml:space="preserve">eoples in Canada. This included 1,048,405 First Nations people, 624,220 Métis, and 70,545 Inuit. The Indigenous population grew by 9.4% between 2016 and 2021. This surpassed the growth of the non-Indigenous population in the same period (5.3%). Indigenous Peoples made up 5.0% of the total population, up from 4.9% in 2016. </w:t>
      </w:r>
    </w:p>
    <w:p w14:paraId="3BA4ECF2" w14:textId="77777777" w:rsidR="00E5223E" w:rsidRPr="006940C3" w:rsidRDefault="00E5223E" w:rsidP="009D7D15">
      <w:pPr>
        <w:pStyle w:val="Content1"/>
        <w:numPr>
          <w:ilvl w:val="0"/>
          <w:numId w:val="7"/>
        </w:numPr>
        <w:ind w:left="1134" w:right="1134" w:firstLine="0"/>
        <w:jc w:val="both"/>
        <w:rPr>
          <w:sz w:val="20"/>
          <w:szCs w:val="20"/>
          <w:lang w:val="en-CA"/>
        </w:rPr>
      </w:pPr>
      <w:r w:rsidRPr="36D162E9">
        <w:rPr>
          <w:sz w:val="20"/>
          <w:szCs w:val="20"/>
          <w:lang w:val="en-CA"/>
        </w:rPr>
        <w:t xml:space="preserve">In 2021, Canada had 8.3 million people who were landed immigrants or permanent residents, representing 23% of the total population. Over 1.3 million immigrants settled permanently in Canada from 2016 to 2021. The most common place of birth for immigrants from 2016 to 2021 were India (18.6%), the Philippines (11.4%), China (8.9%), Syria (4.8%), and Nigeria (3.0%). </w:t>
      </w:r>
      <w:r>
        <w:rPr>
          <w:sz w:val="20"/>
          <w:szCs w:val="20"/>
          <w:lang w:val="en-CA"/>
        </w:rPr>
        <w:t>This included</w:t>
      </w:r>
      <w:r w:rsidRPr="36D162E9">
        <w:rPr>
          <w:sz w:val="20"/>
          <w:szCs w:val="20"/>
          <w:lang w:val="en-CA"/>
        </w:rPr>
        <w:t xml:space="preserve"> 218,430 refugees that were admitted as permanent residents. The most common birthplace for refugees was Syria (60,795), followed by Iraq (15,505), Eritrea (13,965), Afghanistan (9,490) and Pakistan (7,810).</w:t>
      </w:r>
    </w:p>
    <w:p w14:paraId="4122C97E" w14:textId="77777777" w:rsidR="00E5223E" w:rsidRPr="006940C3" w:rsidRDefault="00E5223E" w:rsidP="009D7D15">
      <w:pPr>
        <w:pStyle w:val="Content1"/>
        <w:numPr>
          <w:ilvl w:val="0"/>
          <w:numId w:val="7"/>
        </w:numPr>
        <w:ind w:left="1134" w:right="1134" w:firstLine="0"/>
        <w:jc w:val="both"/>
        <w:rPr>
          <w:sz w:val="20"/>
          <w:szCs w:val="20"/>
          <w:lang w:val="en-CA"/>
        </w:rPr>
      </w:pPr>
      <w:r w:rsidRPr="6BCE64E0">
        <w:rPr>
          <w:sz w:val="20"/>
          <w:szCs w:val="20"/>
          <w:lang w:val="en-CA"/>
        </w:rPr>
        <w:t>More than 450 ethnic and cultural origins were included in the 2021 Census. 35.5% of the population reported more than one ethnic origin. One in four people in Canada (26.5%)</w:t>
      </w:r>
      <w:r>
        <w:rPr>
          <w:sz w:val="20"/>
          <w:szCs w:val="20"/>
          <w:lang w:val="en-CA"/>
        </w:rPr>
        <w:t xml:space="preserve">, </w:t>
      </w:r>
      <w:r w:rsidRPr="00E76780">
        <w:rPr>
          <w:sz w:val="20"/>
          <w:szCs w:val="20"/>
          <w:lang w:val="en-CA"/>
        </w:rPr>
        <w:t>representing 9,639,200 people</w:t>
      </w:r>
      <w:r>
        <w:rPr>
          <w:sz w:val="20"/>
          <w:szCs w:val="20"/>
          <w:lang w:val="en-CA"/>
        </w:rPr>
        <w:t>,</w:t>
      </w:r>
      <w:r w:rsidRPr="6BCE64E0">
        <w:rPr>
          <w:sz w:val="20"/>
          <w:szCs w:val="20"/>
          <w:lang w:val="en-CA"/>
        </w:rPr>
        <w:t xml:space="preserve"> were part of the racialized population in 2021, which is nearly twice the proportion 20 years prior (13.4%). Racialized groups accounted for 69.3% of the immigrant population in 2021, a proportion higher among recent immigrants, between 2016 and 2021, at 83.0%.</w:t>
      </w:r>
    </w:p>
    <w:p w14:paraId="6E98CED9" w14:textId="77777777" w:rsidR="00E5223E" w:rsidRPr="006940C3" w:rsidRDefault="00E5223E" w:rsidP="009D7D15">
      <w:pPr>
        <w:pStyle w:val="Content1"/>
        <w:numPr>
          <w:ilvl w:val="0"/>
          <w:numId w:val="7"/>
        </w:numPr>
        <w:ind w:left="1134" w:right="1134" w:firstLine="0"/>
        <w:jc w:val="both"/>
        <w:rPr>
          <w:sz w:val="20"/>
          <w:szCs w:val="20"/>
          <w:lang w:val="en-CA"/>
        </w:rPr>
      </w:pPr>
      <w:r w:rsidRPr="006940C3">
        <w:rPr>
          <w:sz w:val="20"/>
          <w:szCs w:val="20"/>
          <w:lang w:val="en-CA"/>
        </w:rPr>
        <w:t>The three largest racialized groups in 2021 were South Asians, Chinese, and Black people, who combined accounted for 60</w:t>
      </w:r>
      <w:r>
        <w:rPr>
          <w:sz w:val="20"/>
          <w:szCs w:val="20"/>
          <w:lang w:val="en-CA"/>
        </w:rPr>
        <w:t>.5</w:t>
      </w:r>
      <w:r w:rsidRPr="006940C3">
        <w:rPr>
          <w:sz w:val="20"/>
          <w:szCs w:val="20"/>
          <w:lang w:val="en-CA"/>
        </w:rPr>
        <w:t>% of the racialized population. This was followed by Filipinos, Arabs, Latin Americans, Southeast Asians, West Asians, Koreans, and Japanese. These 10 groups made up 94.</w:t>
      </w:r>
      <w:r>
        <w:rPr>
          <w:sz w:val="20"/>
          <w:szCs w:val="20"/>
          <w:lang w:val="en-CA"/>
        </w:rPr>
        <w:t>8</w:t>
      </w:r>
      <w:r w:rsidRPr="006940C3">
        <w:rPr>
          <w:sz w:val="20"/>
          <w:szCs w:val="20"/>
          <w:lang w:val="en-CA"/>
        </w:rPr>
        <w:t>% of the racialized population.</w:t>
      </w:r>
    </w:p>
    <w:p w14:paraId="77444022" w14:textId="640EDD9F" w:rsidR="00E5223E" w:rsidRPr="006940C3" w:rsidRDefault="00D300A6" w:rsidP="003D4419">
      <w:pPr>
        <w:pStyle w:val="H23G"/>
        <w:rPr>
          <w:lang w:val="en-CA"/>
        </w:rPr>
      </w:pPr>
      <w:bookmarkStart w:id="8" w:name="_Toc177633105"/>
      <w:r>
        <w:rPr>
          <w:lang w:val="en-CA"/>
        </w:rPr>
        <w:tab/>
      </w:r>
      <w:r>
        <w:rPr>
          <w:lang w:val="en-CA"/>
        </w:rPr>
        <w:tab/>
      </w:r>
      <w:r w:rsidR="00E5223E" w:rsidRPr="12512A46">
        <w:rPr>
          <w:lang w:val="en-CA"/>
        </w:rPr>
        <w:t>Use of the term visible minority</w:t>
      </w:r>
      <w:bookmarkEnd w:id="8"/>
    </w:p>
    <w:p w14:paraId="105D485F" w14:textId="77777777" w:rsidR="00E5223E" w:rsidRDefault="00E5223E" w:rsidP="009D7D15">
      <w:pPr>
        <w:pStyle w:val="Content1"/>
        <w:numPr>
          <w:ilvl w:val="0"/>
          <w:numId w:val="7"/>
        </w:numPr>
        <w:ind w:left="1134" w:right="1134" w:firstLine="0"/>
        <w:jc w:val="both"/>
      </w:pPr>
      <w:r w:rsidRPr="27136E50">
        <w:rPr>
          <w:color w:val="000000" w:themeColor="text1"/>
          <w:sz w:val="20"/>
          <w:szCs w:val="20"/>
        </w:rPr>
        <w:t xml:space="preserve">In 2021, the GC launched </w:t>
      </w:r>
      <w:r>
        <w:rPr>
          <w:color w:val="000000" w:themeColor="text1"/>
          <w:sz w:val="20"/>
          <w:szCs w:val="20"/>
        </w:rPr>
        <w:t>an</w:t>
      </w:r>
      <w:r w:rsidRPr="27136E50">
        <w:rPr>
          <w:color w:val="000000" w:themeColor="text1"/>
          <w:sz w:val="20"/>
          <w:szCs w:val="20"/>
        </w:rPr>
        <w:t xml:space="preserve"> Employment Equity Act Review Task Force to review the </w:t>
      </w:r>
      <w:r w:rsidRPr="27136E50">
        <w:rPr>
          <w:i/>
          <w:iCs/>
          <w:color w:val="000000" w:themeColor="text1"/>
          <w:sz w:val="20"/>
          <w:szCs w:val="20"/>
        </w:rPr>
        <w:t>Employment Equity Act</w:t>
      </w:r>
      <w:r w:rsidRPr="27136E50">
        <w:rPr>
          <w:color w:val="000000" w:themeColor="text1"/>
          <w:sz w:val="20"/>
          <w:szCs w:val="20"/>
        </w:rPr>
        <w:t xml:space="preserve"> and its supporting programs and advise the Minister of Labour on how to modernize and strengthen the federal employment equity framework. This review included an assessment of potential changes to the current designated groups in the Act, including names and definitions in the Act, and whether the Act should reflect the experiences and </w:t>
      </w:r>
      <w:proofErr w:type="spellStart"/>
      <w:r w:rsidRPr="27136E50">
        <w:rPr>
          <w:color w:val="000000" w:themeColor="text1"/>
          <w:sz w:val="20"/>
          <w:szCs w:val="20"/>
        </w:rPr>
        <w:t>labour</w:t>
      </w:r>
      <w:proofErr w:type="spellEnd"/>
      <w:r w:rsidRPr="27136E50">
        <w:rPr>
          <w:color w:val="000000" w:themeColor="text1"/>
          <w:sz w:val="20"/>
          <w:szCs w:val="20"/>
        </w:rPr>
        <w:t xml:space="preserve"> market circumstances of specific communities, such as Black Canadians and Indigenous Peoples. In 2023, </w:t>
      </w:r>
      <w:r w:rsidRPr="005432F2">
        <w:rPr>
          <w:color w:val="000000" w:themeColor="text1"/>
          <w:sz w:val="20"/>
          <w:szCs w:val="20"/>
        </w:rPr>
        <w:t xml:space="preserve">the </w:t>
      </w:r>
      <w:r w:rsidRPr="007E5230">
        <w:rPr>
          <w:sz w:val="20"/>
          <w:szCs w:val="20"/>
          <w:lang w:val="en-CA"/>
        </w:rPr>
        <w:t>GC</w:t>
      </w:r>
      <w:r w:rsidRPr="005432F2">
        <w:rPr>
          <w:color w:val="000000" w:themeColor="text1"/>
          <w:sz w:val="20"/>
          <w:szCs w:val="20"/>
        </w:rPr>
        <w:t xml:space="preserve"> announced several commitments, including replacing the terms “members of visible minorities” with “racialized people”, and “Aboriginal Peoples” with “Indigenous Peoples”, </w:t>
      </w:r>
      <w:r>
        <w:rPr>
          <w:color w:val="000000" w:themeColor="text1"/>
          <w:sz w:val="20"/>
          <w:szCs w:val="20"/>
        </w:rPr>
        <w:t>and</w:t>
      </w:r>
      <w:r w:rsidRPr="005432F2">
        <w:rPr>
          <w:color w:val="000000" w:themeColor="text1"/>
          <w:sz w:val="20"/>
          <w:szCs w:val="20"/>
        </w:rPr>
        <w:t xml:space="preserve"> </w:t>
      </w:r>
      <w:r>
        <w:rPr>
          <w:color w:val="000000" w:themeColor="text1"/>
          <w:sz w:val="20"/>
          <w:szCs w:val="20"/>
        </w:rPr>
        <w:t>adding</w:t>
      </w:r>
      <w:r w:rsidRPr="005432F2">
        <w:rPr>
          <w:color w:val="000000" w:themeColor="text1"/>
          <w:sz w:val="20"/>
          <w:szCs w:val="20"/>
        </w:rPr>
        <w:t xml:space="preserve"> ‘Black people’ as a new designated group under the Act. In 2024, the GC engaged with affected communities, unions, organizations, and employers to understand how best to implement possible changes to the Act</w:t>
      </w:r>
      <w:r w:rsidRPr="00E95816">
        <w:rPr>
          <w:sz w:val="20"/>
          <w:szCs w:val="20"/>
        </w:rPr>
        <w:t xml:space="preserve">. </w:t>
      </w:r>
      <w:r w:rsidRPr="00E95816">
        <w:t xml:space="preserve"> </w:t>
      </w:r>
    </w:p>
    <w:p w14:paraId="65AE2D44" w14:textId="7269ADE7" w:rsidR="00E5223E" w:rsidRPr="00FD765F" w:rsidRDefault="00D300A6" w:rsidP="00D300A6">
      <w:pPr>
        <w:pStyle w:val="H1G"/>
        <w:rPr>
          <w:lang w:val="en-CA"/>
        </w:rPr>
      </w:pPr>
      <w:bookmarkStart w:id="9" w:name="_Toc177633106"/>
      <w:r>
        <w:rPr>
          <w:lang w:val="en-CA"/>
        </w:rPr>
        <w:tab/>
      </w:r>
      <w:r>
        <w:rPr>
          <w:lang w:val="en-CA"/>
        </w:rPr>
        <w:tab/>
      </w:r>
      <w:r w:rsidR="00E5223E" w:rsidRPr="00FD765F">
        <w:rPr>
          <w:lang w:val="en-CA"/>
        </w:rPr>
        <w:t>Education</w:t>
      </w:r>
    </w:p>
    <w:p w14:paraId="660B71DA" w14:textId="77777777" w:rsidR="00E5223E" w:rsidRDefault="00E5223E" w:rsidP="009D7D15">
      <w:pPr>
        <w:pStyle w:val="Content1"/>
        <w:numPr>
          <w:ilvl w:val="0"/>
          <w:numId w:val="7"/>
        </w:numPr>
        <w:ind w:left="1134" w:right="1134" w:firstLine="0"/>
        <w:jc w:val="both"/>
        <w:rPr>
          <w:sz w:val="20"/>
          <w:szCs w:val="20"/>
        </w:rPr>
      </w:pPr>
      <w:r w:rsidRPr="00BC37A9">
        <w:rPr>
          <w:sz w:val="20"/>
          <w:szCs w:val="20"/>
        </w:rPr>
        <w:t xml:space="preserve">Education in Canada is a </w:t>
      </w:r>
      <w:r>
        <w:rPr>
          <w:sz w:val="20"/>
          <w:szCs w:val="20"/>
        </w:rPr>
        <w:t>PT government</w:t>
      </w:r>
      <w:r w:rsidRPr="00BC37A9">
        <w:rPr>
          <w:sz w:val="20"/>
          <w:szCs w:val="20"/>
        </w:rPr>
        <w:t xml:space="preserve"> responsibility, with each</w:t>
      </w:r>
      <w:r>
        <w:rPr>
          <w:sz w:val="20"/>
          <w:szCs w:val="20"/>
        </w:rPr>
        <w:t xml:space="preserve"> government </w:t>
      </w:r>
      <w:r w:rsidRPr="00BC37A9">
        <w:rPr>
          <w:sz w:val="20"/>
          <w:szCs w:val="20"/>
        </w:rPr>
        <w:t>independently managing its own</w:t>
      </w:r>
      <w:r>
        <w:rPr>
          <w:sz w:val="20"/>
          <w:szCs w:val="20"/>
        </w:rPr>
        <w:t xml:space="preserve"> education</w:t>
      </w:r>
      <w:r w:rsidRPr="00BC37A9">
        <w:rPr>
          <w:sz w:val="20"/>
          <w:szCs w:val="20"/>
        </w:rPr>
        <w:t xml:space="preserve"> system</w:t>
      </w:r>
      <w:r>
        <w:rPr>
          <w:sz w:val="20"/>
          <w:szCs w:val="20"/>
        </w:rPr>
        <w:t xml:space="preserve">, though there are intergovernmental mechanisms in place for collaboration such as through the Council of Ministers on Education, Canada. Specific information on education pertaining to Indigenous children on reserve is further </w:t>
      </w:r>
      <w:r w:rsidRPr="007E5230">
        <w:rPr>
          <w:sz w:val="20"/>
          <w:szCs w:val="20"/>
          <w:lang w:val="en-CA"/>
        </w:rPr>
        <w:t>described</w:t>
      </w:r>
      <w:r>
        <w:rPr>
          <w:sz w:val="20"/>
          <w:szCs w:val="20"/>
        </w:rPr>
        <w:t xml:space="preserve"> later in this report.</w:t>
      </w:r>
    </w:p>
    <w:p w14:paraId="1F815521" w14:textId="77777777" w:rsidR="00E5223E" w:rsidRPr="000C619C" w:rsidRDefault="00E5223E" w:rsidP="009D7D15">
      <w:pPr>
        <w:pStyle w:val="Content1"/>
        <w:numPr>
          <w:ilvl w:val="0"/>
          <w:numId w:val="7"/>
        </w:numPr>
        <w:ind w:left="1134" w:right="1134" w:firstLine="0"/>
        <w:jc w:val="both"/>
        <w:rPr>
          <w:sz w:val="20"/>
          <w:szCs w:val="20"/>
        </w:rPr>
      </w:pPr>
      <w:r w:rsidRPr="27136E50">
        <w:rPr>
          <w:sz w:val="20"/>
          <w:szCs w:val="20"/>
        </w:rPr>
        <w:t>Alberta works collaboratively with the GC to support equal access to quality education for all children, without racial discrimination and regardless of whether the child lives on or off reserve.</w:t>
      </w:r>
      <w:r>
        <w:rPr>
          <w:sz w:val="20"/>
          <w:szCs w:val="20"/>
        </w:rPr>
        <w:t xml:space="preserve"> </w:t>
      </w:r>
      <w:r w:rsidRPr="000C619C">
        <w:rPr>
          <w:sz w:val="20"/>
          <w:szCs w:val="20"/>
        </w:rPr>
        <w:t xml:space="preserve">In 2023, the Alberta Human Rights Commission </w:t>
      </w:r>
      <w:r w:rsidRPr="007E5230">
        <w:rPr>
          <w:sz w:val="20"/>
          <w:szCs w:val="20"/>
          <w:lang w:val="en-CA"/>
        </w:rPr>
        <w:t>launched</w:t>
      </w:r>
      <w:r w:rsidRPr="000C619C">
        <w:rPr>
          <w:sz w:val="20"/>
          <w:szCs w:val="20"/>
        </w:rPr>
        <w:t xml:space="preserve"> a new, accessible website with plain language content, education tools, and a disaggregated demographic data collection tool. The website contains information about preventing and addressing racism, including a page dedicated to Indigenous people.</w:t>
      </w:r>
    </w:p>
    <w:p w14:paraId="3FAB9C0B" w14:textId="77777777" w:rsidR="00E5223E" w:rsidRPr="00252959" w:rsidRDefault="00E5223E" w:rsidP="009D7D15">
      <w:pPr>
        <w:pStyle w:val="Content1"/>
        <w:numPr>
          <w:ilvl w:val="0"/>
          <w:numId w:val="7"/>
        </w:numPr>
        <w:ind w:left="1134" w:right="1134" w:firstLine="0"/>
        <w:jc w:val="both"/>
        <w:rPr>
          <w:sz w:val="20"/>
          <w:szCs w:val="20"/>
        </w:rPr>
      </w:pPr>
      <w:r w:rsidRPr="00252959">
        <w:rPr>
          <w:sz w:val="20"/>
          <w:szCs w:val="20"/>
        </w:rPr>
        <w:t xml:space="preserve">British Columbia is committed to implementing 13 education and childcare specific actions in the Declaration Act Action Plan, a provincial framework for reconciliation as called for by the Truth and Reconciliation Commission </w:t>
      </w:r>
      <w:r w:rsidRPr="007E5230">
        <w:rPr>
          <w:sz w:val="20"/>
          <w:szCs w:val="20"/>
          <w:lang w:val="en-CA"/>
        </w:rPr>
        <w:t>of</w:t>
      </w:r>
      <w:r w:rsidRPr="00252959">
        <w:rPr>
          <w:sz w:val="20"/>
          <w:szCs w:val="20"/>
        </w:rPr>
        <w:t xml:space="preserve"> Canada. This includes strategies to address Indigenous-specific racism in the K-12 and Post Secondary public education sectors and to further improve educational outcomes for Indigenous students. British Columbia is also committed to supporting First Nation student success by working with the First Nations Education Steering Committee and the G</w:t>
      </w:r>
      <w:r>
        <w:rPr>
          <w:sz w:val="20"/>
          <w:szCs w:val="20"/>
        </w:rPr>
        <w:t>C</w:t>
      </w:r>
      <w:r w:rsidRPr="00252959">
        <w:rPr>
          <w:sz w:val="20"/>
          <w:szCs w:val="20"/>
        </w:rPr>
        <w:t xml:space="preserve"> through the implementation of the B.C. Tripartite Education Agreement (BCTEA). The province also launched the K-12 Anti-Racism Action Plan, a multi-year strategy to address racism and discrimination in B</w:t>
      </w:r>
      <w:r>
        <w:rPr>
          <w:sz w:val="20"/>
          <w:szCs w:val="20"/>
        </w:rPr>
        <w:t xml:space="preserve">ritish </w:t>
      </w:r>
      <w:r w:rsidRPr="00252959">
        <w:rPr>
          <w:sz w:val="20"/>
          <w:szCs w:val="20"/>
        </w:rPr>
        <w:t>C</w:t>
      </w:r>
      <w:r>
        <w:rPr>
          <w:sz w:val="20"/>
          <w:szCs w:val="20"/>
        </w:rPr>
        <w:t>olumbia</w:t>
      </w:r>
      <w:r w:rsidRPr="00252959">
        <w:rPr>
          <w:sz w:val="20"/>
          <w:szCs w:val="20"/>
        </w:rPr>
        <w:t xml:space="preserve"> schools.</w:t>
      </w:r>
    </w:p>
    <w:p w14:paraId="358E2FA8" w14:textId="77777777" w:rsidR="00E5223E" w:rsidRPr="004157B9" w:rsidRDefault="00E5223E" w:rsidP="009D7D15">
      <w:pPr>
        <w:pStyle w:val="Content1"/>
        <w:numPr>
          <w:ilvl w:val="0"/>
          <w:numId w:val="7"/>
        </w:numPr>
        <w:ind w:left="1134" w:right="1134" w:firstLine="0"/>
        <w:jc w:val="both"/>
        <w:rPr>
          <w:sz w:val="20"/>
          <w:szCs w:val="20"/>
        </w:rPr>
      </w:pPr>
      <w:r w:rsidRPr="6BCE64E0">
        <w:rPr>
          <w:sz w:val="20"/>
          <w:szCs w:val="20"/>
        </w:rPr>
        <w:t>Manitoba</w:t>
      </w:r>
      <w:r>
        <w:rPr>
          <w:sz w:val="20"/>
          <w:szCs w:val="20"/>
        </w:rPr>
        <w:t xml:space="preserve"> </w:t>
      </w:r>
      <w:r w:rsidRPr="00651085">
        <w:rPr>
          <w:sz w:val="20"/>
          <w:szCs w:val="20"/>
        </w:rPr>
        <w:t>provides several curriculum implementation resources to promote equity and provide for culturally responsive and inclusive education throughou</w:t>
      </w:r>
      <w:r>
        <w:rPr>
          <w:sz w:val="20"/>
          <w:szCs w:val="20"/>
        </w:rPr>
        <w:t>t the province.</w:t>
      </w:r>
      <w:r w:rsidRPr="6BCE64E0">
        <w:rPr>
          <w:sz w:val="20"/>
          <w:szCs w:val="20"/>
        </w:rPr>
        <w:t xml:space="preserve"> In 2017, </w:t>
      </w:r>
      <w:r w:rsidRPr="00420518">
        <w:rPr>
          <w:sz w:val="20"/>
          <w:szCs w:val="20"/>
        </w:rPr>
        <w:t>Creating Racism-Free Schools through Critical/</w:t>
      </w:r>
      <w:r w:rsidRPr="007E5230">
        <w:rPr>
          <w:sz w:val="20"/>
          <w:szCs w:val="20"/>
          <w:lang w:val="en-CA"/>
        </w:rPr>
        <w:t>Courageous</w:t>
      </w:r>
      <w:r w:rsidRPr="00420518">
        <w:rPr>
          <w:sz w:val="20"/>
          <w:szCs w:val="20"/>
        </w:rPr>
        <w:t xml:space="preserve"> Conversations on Race</w:t>
      </w:r>
      <w:r w:rsidRPr="6BCE64E0">
        <w:rPr>
          <w:sz w:val="20"/>
          <w:szCs w:val="20"/>
        </w:rPr>
        <w:t xml:space="preserve"> was published to support school divisions, schools, teachers, parents, and students’ conversations on racism to create inclusive and equitable classrooms and schools for First Nation, Métis and Inuit students and all students. </w:t>
      </w:r>
    </w:p>
    <w:p w14:paraId="2AC71BD2" w14:textId="77777777" w:rsidR="00E5223E" w:rsidRPr="00F6555C" w:rsidRDefault="00E5223E" w:rsidP="009D7D15">
      <w:pPr>
        <w:pStyle w:val="Content1"/>
        <w:numPr>
          <w:ilvl w:val="0"/>
          <w:numId w:val="7"/>
        </w:numPr>
        <w:ind w:left="1134" w:right="1134" w:firstLine="0"/>
        <w:jc w:val="both"/>
        <w:rPr>
          <w:sz w:val="20"/>
          <w:szCs w:val="20"/>
        </w:rPr>
      </w:pPr>
      <w:r w:rsidRPr="6BCE64E0">
        <w:rPr>
          <w:sz w:val="20"/>
          <w:szCs w:val="20"/>
        </w:rPr>
        <w:t xml:space="preserve">In 2022, Manitoba </w:t>
      </w:r>
      <w:r w:rsidRPr="00420518">
        <w:rPr>
          <w:sz w:val="20"/>
          <w:szCs w:val="20"/>
        </w:rPr>
        <w:t xml:space="preserve">launched </w:t>
      </w:r>
      <w:proofErr w:type="spellStart"/>
      <w:r w:rsidRPr="00420518">
        <w:rPr>
          <w:sz w:val="20"/>
          <w:szCs w:val="20"/>
        </w:rPr>
        <w:t>Mamàhtawisiwin</w:t>
      </w:r>
      <w:proofErr w:type="spellEnd"/>
      <w:r w:rsidRPr="00420518">
        <w:rPr>
          <w:sz w:val="20"/>
          <w:szCs w:val="20"/>
        </w:rPr>
        <w:t xml:space="preserve">: The Wonder We Are Born With – An Indigenous Education Policy Framework. </w:t>
      </w:r>
      <w:r>
        <w:rPr>
          <w:sz w:val="20"/>
          <w:szCs w:val="20"/>
        </w:rPr>
        <w:t>It</w:t>
      </w:r>
      <w:r w:rsidRPr="6BCE64E0">
        <w:rPr>
          <w:sz w:val="20"/>
          <w:szCs w:val="20"/>
        </w:rPr>
        <w:t xml:space="preserve"> supports the holistic achievements of First Nations, Métis, and Inuit learners by helping Manitoba educators to incorporate Indigenous languages, cultures, and identities into their teaching and practices, setting Indigenous students up for success in school and beyond. This also includes the Elders and Knowledge Keepers in Schools Initiative, which supports respectful and relational engagement with Elders and Knowledge Keepers to embed Indigenous worldviews across curricula, instruction, and assessment and within mental health and well-being programming. The initiative supports students, educators and families to learn First Nations, Métis and Inuit histories, languages and cultures, traditional values and knowledge systems, and contemporary lifestyles.</w:t>
      </w:r>
      <w:r>
        <w:rPr>
          <w:sz w:val="20"/>
          <w:szCs w:val="20"/>
        </w:rPr>
        <w:t xml:space="preserve"> </w:t>
      </w:r>
      <w:r w:rsidRPr="00651085">
        <w:rPr>
          <w:sz w:val="20"/>
          <w:szCs w:val="20"/>
        </w:rPr>
        <w:t xml:space="preserve">In 2023, Manitoba released </w:t>
      </w:r>
      <w:proofErr w:type="spellStart"/>
      <w:r w:rsidRPr="00420518">
        <w:rPr>
          <w:sz w:val="20"/>
          <w:szCs w:val="20"/>
        </w:rPr>
        <w:t>Mamàhtawisiwin</w:t>
      </w:r>
      <w:proofErr w:type="spellEnd"/>
      <w:r w:rsidRPr="00420518">
        <w:rPr>
          <w:sz w:val="20"/>
          <w:szCs w:val="20"/>
        </w:rPr>
        <w:t xml:space="preserve"> - Tools for Reflection, Planning, and Reporting</w:t>
      </w:r>
      <w:r w:rsidRPr="00651085">
        <w:rPr>
          <w:sz w:val="20"/>
          <w:szCs w:val="20"/>
        </w:rPr>
        <w:t xml:space="preserve"> to provide educators and school staff with opportunities for reflection, professional learning, and a framework for reporting on progress towards the building of an Indigenous-inclusive school community. </w:t>
      </w:r>
    </w:p>
    <w:p w14:paraId="33830E52" w14:textId="77777777" w:rsidR="00E5223E" w:rsidRPr="000C619C" w:rsidRDefault="00E5223E" w:rsidP="009D7D15">
      <w:pPr>
        <w:pStyle w:val="Content1"/>
        <w:numPr>
          <w:ilvl w:val="0"/>
          <w:numId w:val="7"/>
        </w:numPr>
        <w:ind w:left="1134" w:right="1134" w:firstLine="0"/>
        <w:jc w:val="both"/>
        <w:rPr>
          <w:sz w:val="20"/>
          <w:szCs w:val="20"/>
          <w:lang w:val="en-CA"/>
        </w:rPr>
      </w:pPr>
      <w:r w:rsidRPr="000C619C">
        <w:rPr>
          <w:rFonts w:eastAsiaTheme="minorEastAsia"/>
          <w:sz w:val="20"/>
          <w:szCs w:val="20"/>
          <w:lang w:val="en-CA"/>
        </w:rPr>
        <w:t xml:space="preserve">Ontario launched the Indigenous Graduation Coach Program in 2018 to help address the achievement gap between Indigenous students and all students across the province, including graduation rates. This program provides select </w:t>
      </w:r>
      <w:r w:rsidRPr="007E5230">
        <w:rPr>
          <w:sz w:val="20"/>
          <w:szCs w:val="20"/>
          <w:lang w:val="en-CA"/>
        </w:rPr>
        <w:t>school</w:t>
      </w:r>
      <w:r w:rsidRPr="000C619C">
        <w:rPr>
          <w:rFonts w:eastAsiaTheme="minorEastAsia"/>
          <w:sz w:val="20"/>
          <w:szCs w:val="20"/>
          <w:lang w:val="en-CA"/>
        </w:rPr>
        <w:t xml:space="preserve"> boards with funding to hire Indigenous Graduation Coaches to support the well-being and achievement of First Nations, Métis and Inuit students from grades seven to 12 year-round with the goal of obtaining an Ontario Secondary School Diploma and successfully transitioning into postsecondary education, training or labour market opportunities. The program also supports First Nations students as they transition from federally funded/First Nations-operated schools to the provincially funded education system.</w:t>
      </w:r>
    </w:p>
    <w:p w14:paraId="45C9411F" w14:textId="77777777" w:rsidR="00E5223E" w:rsidRPr="000C619C" w:rsidRDefault="00E5223E" w:rsidP="009D7D15">
      <w:pPr>
        <w:pStyle w:val="Content1"/>
        <w:numPr>
          <w:ilvl w:val="0"/>
          <w:numId w:val="7"/>
        </w:numPr>
        <w:ind w:left="1134" w:right="1134" w:firstLine="0"/>
        <w:jc w:val="both"/>
        <w:rPr>
          <w:b/>
          <w:bCs/>
          <w:sz w:val="20"/>
          <w:szCs w:val="20"/>
          <w:lang w:val="en-CA"/>
        </w:rPr>
      </w:pPr>
      <w:r w:rsidRPr="000C619C">
        <w:rPr>
          <w:sz w:val="20"/>
          <w:szCs w:val="20"/>
        </w:rPr>
        <w:t>To help address anti-Black racism in the education system, Ontario also</w:t>
      </w:r>
      <w:r w:rsidRPr="000C619C">
        <w:rPr>
          <w:sz w:val="20"/>
          <w:szCs w:val="20"/>
          <w:lang w:val="en-CA"/>
        </w:rPr>
        <w:t xml:space="preserve"> launched the Graduation Coach Program for Black Students in 2019. The program provides selected schools boards with funding to hire graduation coaches who provide intensive, culturally responsive supports to support the well-being and academic achievement of Black students. The Ontario Ministry of Education is reviewing the Ontario Human Rights Commission’s report Dreams Delayed: Addressing Systemic Anti-Black Racism and Discrimination in Ontario’s Public Education System and will carefully consider the proposed recommendations.</w:t>
      </w:r>
    </w:p>
    <w:p w14:paraId="54D41A3A" w14:textId="77777777" w:rsidR="00E5223E" w:rsidRDefault="00E5223E" w:rsidP="009D7D15">
      <w:pPr>
        <w:pStyle w:val="Content1"/>
        <w:numPr>
          <w:ilvl w:val="0"/>
          <w:numId w:val="7"/>
        </w:numPr>
        <w:ind w:left="1134" w:right="1134" w:firstLine="0"/>
        <w:jc w:val="both"/>
        <w:rPr>
          <w:sz w:val="20"/>
          <w:szCs w:val="20"/>
        </w:rPr>
      </w:pPr>
      <w:r w:rsidRPr="6BCE64E0">
        <w:rPr>
          <w:sz w:val="20"/>
          <w:szCs w:val="20"/>
        </w:rPr>
        <w:t xml:space="preserve">The Prince Edward Island education system works to ensure at-risk students are supported to attain high school graduation. </w:t>
      </w:r>
      <w:r>
        <w:rPr>
          <w:sz w:val="20"/>
          <w:szCs w:val="20"/>
        </w:rPr>
        <w:t>A n</w:t>
      </w:r>
      <w:r w:rsidRPr="6BCE64E0">
        <w:rPr>
          <w:sz w:val="20"/>
          <w:szCs w:val="20"/>
        </w:rPr>
        <w:t>ew program</w:t>
      </w:r>
      <w:r>
        <w:rPr>
          <w:sz w:val="20"/>
          <w:szCs w:val="20"/>
        </w:rPr>
        <w:t>,</w:t>
      </w:r>
      <w:r w:rsidRPr="6BCE64E0">
        <w:rPr>
          <w:sz w:val="20"/>
          <w:szCs w:val="20"/>
        </w:rPr>
        <w:t xml:space="preserve"> such as the Youth Transitions Initiative</w:t>
      </w:r>
      <w:r>
        <w:rPr>
          <w:sz w:val="20"/>
          <w:szCs w:val="20"/>
        </w:rPr>
        <w:t>, has been</w:t>
      </w:r>
      <w:r w:rsidRPr="6BCE64E0">
        <w:rPr>
          <w:sz w:val="20"/>
          <w:szCs w:val="20"/>
        </w:rPr>
        <w:t xml:space="preserve"> rolled out to </w:t>
      </w:r>
      <w:r>
        <w:rPr>
          <w:sz w:val="20"/>
          <w:szCs w:val="20"/>
        </w:rPr>
        <w:t xml:space="preserve">high schools across the province </w:t>
      </w:r>
      <w:r w:rsidRPr="6BCE64E0">
        <w:rPr>
          <w:sz w:val="20"/>
          <w:szCs w:val="20"/>
        </w:rPr>
        <w:t xml:space="preserve">to </w:t>
      </w:r>
      <w:r w:rsidRPr="007E5230">
        <w:rPr>
          <w:sz w:val="20"/>
          <w:szCs w:val="20"/>
          <w:lang w:val="en-CA"/>
        </w:rPr>
        <w:t>help</w:t>
      </w:r>
      <w:r w:rsidRPr="6BCE64E0">
        <w:rPr>
          <w:sz w:val="20"/>
          <w:szCs w:val="20"/>
        </w:rPr>
        <w:t xml:space="preserve"> ensure students are engaged and have alternative pathways to graduation.</w:t>
      </w:r>
    </w:p>
    <w:p w14:paraId="67FF0659" w14:textId="14A9FA65" w:rsidR="00E5223E" w:rsidRPr="00E6321A" w:rsidRDefault="00D300A6" w:rsidP="00D300A6">
      <w:pPr>
        <w:pStyle w:val="H1G"/>
        <w:rPr>
          <w:lang w:val="en-CA"/>
        </w:rPr>
      </w:pPr>
      <w:r>
        <w:rPr>
          <w:lang w:val="en-CA"/>
        </w:rPr>
        <w:tab/>
      </w:r>
      <w:r>
        <w:rPr>
          <w:lang w:val="en-CA"/>
        </w:rPr>
        <w:tab/>
      </w:r>
      <w:r w:rsidR="00E5223E" w:rsidRPr="00E6321A">
        <w:rPr>
          <w:lang w:val="en-CA"/>
        </w:rPr>
        <w:t>Employment Equity</w:t>
      </w:r>
      <w:bookmarkEnd w:id="9"/>
    </w:p>
    <w:p w14:paraId="3DA37806" w14:textId="77777777" w:rsidR="00E5223E" w:rsidRPr="004157B9" w:rsidRDefault="00E5223E" w:rsidP="009D7D15">
      <w:pPr>
        <w:pStyle w:val="Content1"/>
        <w:numPr>
          <w:ilvl w:val="0"/>
          <w:numId w:val="7"/>
        </w:numPr>
        <w:ind w:left="1134" w:right="1134" w:firstLine="0"/>
        <w:jc w:val="both"/>
        <w:rPr>
          <w:sz w:val="20"/>
          <w:szCs w:val="20"/>
          <w:lang w:val="en-CA"/>
        </w:rPr>
      </w:pPr>
      <w:r w:rsidRPr="0E3EC28B">
        <w:rPr>
          <w:sz w:val="20"/>
          <w:szCs w:val="20"/>
          <w:lang w:val="en-CA"/>
        </w:rPr>
        <w:t xml:space="preserve">Under the </w:t>
      </w:r>
      <w:r w:rsidRPr="008B4B0A">
        <w:rPr>
          <w:i/>
          <w:iCs/>
          <w:sz w:val="20"/>
          <w:szCs w:val="20"/>
          <w:lang w:val="en-CA"/>
        </w:rPr>
        <w:t>Employment Equity Act</w:t>
      </w:r>
      <w:r>
        <w:rPr>
          <w:i/>
          <w:iCs/>
          <w:sz w:val="20"/>
          <w:szCs w:val="20"/>
          <w:lang w:val="en-CA"/>
        </w:rPr>
        <w:t xml:space="preserve"> </w:t>
      </w:r>
      <w:r w:rsidRPr="00C46D9D">
        <w:rPr>
          <w:sz w:val="20"/>
          <w:szCs w:val="20"/>
          <w:lang w:val="en-CA"/>
        </w:rPr>
        <w:t>(The Act)</w:t>
      </w:r>
      <w:r w:rsidRPr="0E3EC28B">
        <w:rPr>
          <w:sz w:val="20"/>
          <w:szCs w:val="20"/>
          <w:lang w:val="en-CA"/>
        </w:rPr>
        <w:t>, the G</w:t>
      </w:r>
      <w:r>
        <w:rPr>
          <w:sz w:val="20"/>
          <w:szCs w:val="20"/>
          <w:lang w:val="en-CA"/>
        </w:rPr>
        <w:t>C</w:t>
      </w:r>
      <w:r w:rsidRPr="0E3EC28B">
        <w:rPr>
          <w:sz w:val="20"/>
          <w:szCs w:val="20"/>
          <w:lang w:val="en-CA"/>
        </w:rPr>
        <w:t xml:space="preserve"> has the responsibility to support federally regulated employers subject to the </w:t>
      </w:r>
      <w:r w:rsidRPr="00E95816">
        <w:rPr>
          <w:sz w:val="20"/>
          <w:szCs w:val="20"/>
          <w:lang w:val="en-CA"/>
        </w:rPr>
        <w:t>Act</w:t>
      </w:r>
      <w:r>
        <w:rPr>
          <w:sz w:val="20"/>
          <w:szCs w:val="20"/>
          <w:lang w:val="en-CA"/>
        </w:rPr>
        <w:t xml:space="preserve"> </w:t>
      </w:r>
      <w:r w:rsidRPr="0E3EC28B">
        <w:rPr>
          <w:sz w:val="20"/>
          <w:szCs w:val="20"/>
          <w:lang w:val="en-CA"/>
        </w:rPr>
        <w:t xml:space="preserve">in their efforts to implement employment equity in their organizations for four designated groups – women, Indigenous </w:t>
      </w:r>
      <w:r>
        <w:rPr>
          <w:sz w:val="20"/>
          <w:szCs w:val="20"/>
          <w:lang w:val="en-CA"/>
        </w:rPr>
        <w:t>P</w:t>
      </w:r>
      <w:r w:rsidRPr="0E3EC28B">
        <w:rPr>
          <w:sz w:val="20"/>
          <w:szCs w:val="20"/>
          <w:lang w:val="en-CA"/>
        </w:rPr>
        <w:t xml:space="preserve">eoples, persons with disabilities, and </w:t>
      </w:r>
      <w:r w:rsidRPr="00C46D9D">
        <w:rPr>
          <w:sz w:val="20"/>
          <w:szCs w:val="20"/>
          <w:lang w:val="en-CA"/>
        </w:rPr>
        <w:t>members of racialized minorities</w:t>
      </w:r>
      <w:r w:rsidRPr="0E3EC28B">
        <w:rPr>
          <w:sz w:val="20"/>
          <w:szCs w:val="20"/>
          <w:lang w:val="en-CA"/>
        </w:rPr>
        <w:t xml:space="preserve">. </w:t>
      </w:r>
    </w:p>
    <w:p w14:paraId="4340430A" w14:textId="77777777" w:rsidR="00E5223E" w:rsidRPr="00F43614" w:rsidRDefault="00E5223E" w:rsidP="009D7D15">
      <w:pPr>
        <w:pStyle w:val="Content1"/>
        <w:numPr>
          <w:ilvl w:val="0"/>
          <w:numId w:val="7"/>
        </w:numPr>
        <w:ind w:left="1134" w:right="1134" w:firstLine="0"/>
        <w:jc w:val="both"/>
        <w:rPr>
          <w:sz w:val="20"/>
          <w:szCs w:val="20"/>
          <w:lang w:val="en-CA"/>
        </w:rPr>
      </w:pPr>
      <w:r w:rsidRPr="00F43614">
        <w:rPr>
          <w:sz w:val="20"/>
          <w:szCs w:val="20"/>
          <w:lang w:val="en-CA"/>
        </w:rPr>
        <w:t>The GC has delegated responsibility to provide guidance and support to employers about employment equity, including regular email communication regarding their employment equity obligations, responding to employer inquiries by phone and email, and publishing detailed guidance and tools online.</w:t>
      </w:r>
    </w:p>
    <w:p w14:paraId="1358ADB4" w14:textId="77777777" w:rsidR="00E5223E" w:rsidRPr="004157B9" w:rsidRDefault="00E5223E" w:rsidP="009D7D15">
      <w:pPr>
        <w:pStyle w:val="Content1"/>
        <w:numPr>
          <w:ilvl w:val="0"/>
          <w:numId w:val="7"/>
        </w:numPr>
        <w:ind w:left="1134" w:right="1134" w:firstLine="0"/>
        <w:jc w:val="both"/>
        <w:rPr>
          <w:sz w:val="20"/>
          <w:szCs w:val="20"/>
        </w:rPr>
      </w:pPr>
      <w:r w:rsidRPr="6789CA4F">
        <w:rPr>
          <w:sz w:val="20"/>
          <w:szCs w:val="20"/>
        </w:rPr>
        <w:t xml:space="preserve">The GC is also responsible for the administration of the Federal Contractors Program (FCP), which seeks to ensure </w:t>
      </w:r>
      <w:r w:rsidRPr="007E5230">
        <w:rPr>
          <w:sz w:val="20"/>
          <w:szCs w:val="20"/>
          <w:lang w:val="en-CA"/>
        </w:rPr>
        <w:t>eligible</w:t>
      </w:r>
      <w:r>
        <w:rPr>
          <w:sz w:val="20"/>
          <w:szCs w:val="20"/>
        </w:rPr>
        <w:t xml:space="preserve"> </w:t>
      </w:r>
      <w:r w:rsidRPr="6789CA4F">
        <w:rPr>
          <w:sz w:val="20"/>
          <w:szCs w:val="20"/>
        </w:rPr>
        <w:t xml:space="preserve">contractors </w:t>
      </w:r>
      <w:r>
        <w:rPr>
          <w:sz w:val="20"/>
          <w:szCs w:val="20"/>
        </w:rPr>
        <w:t xml:space="preserve">who do business with the GC </w:t>
      </w:r>
      <w:r w:rsidRPr="6789CA4F">
        <w:rPr>
          <w:sz w:val="20"/>
          <w:szCs w:val="20"/>
        </w:rPr>
        <w:t xml:space="preserve">achieve and maintain a workforce that is representative of the Canadian workforce. </w:t>
      </w:r>
    </w:p>
    <w:p w14:paraId="4C0C886A"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Workplace Equity Information Management System (WEIMS) is an online application designed to help </w:t>
      </w:r>
      <w:r>
        <w:rPr>
          <w:sz w:val="20"/>
          <w:szCs w:val="20"/>
          <w:lang w:val="en-CA"/>
        </w:rPr>
        <w:t xml:space="preserve">federally regulated </w:t>
      </w:r>
      <w:r w:rsidRPr="27136E50">
        <w:rPr>
          <w:sz w:val="20"/>
          <w:szCs w:val="20"/>
          <w:lang w:val="en-CA"/>
        </w:rPr>
        <w:t>employers fulfill their employment equity responsibilities. WEIMS provides relevant analytical tools and assists in the submission of data required to ensure compliance with employment equity reporting under the Act and FCP requirements. The Act requires that the annual reports submitted by federally regulated private-sector employers be made available for public inspection.</w:t>
      </w:r>
    </w:p>
    <w:p w14:paraId="17DA22ED"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In the federal budget of 2018, the GC committed to implementing pay gap reporting measures for private-sector employers subject to the Act. As of 2021, </w:t>
      </w:r>
      <w:r>
        <w:rPr>
          <w:sz w:val="20"/>
          <w:szCs w:val="20"/>
          <w:lang w:val="en-CA"/>
        </w:rPr>
        <w:t xml:space="preserve">federally regulated </w:t>
      </w:r>
      <w:r w:rsidRPr="27136E50">
        <w:rPr>
          <w:sz w:val="20"/>
          <w:szCs w:val="20"/>
          <w:lang w:val="en-CA"/>
        </w:rPr>
        <w:t xml:space="preserve">employers </w:t>
      </w:r>
      <w:r>
        <w:rPr>
          <w:sz w:val="20"/>
          <w:szCs w:val="20"/>
          <w:lang w:val="en-CA"/>
        </w:rPr>
        <w:t>we</w:t>
      </w:r>
      <w:r w:rsidRPr="27136E50">
        <w:rPr>
          <w:sz w:val="20"/>
          <w:szCs w:val="20"/>
          <w:lang w:val="en-CA"/>
        </w:rPr>
        <w:t xml:space="preserve">re required to record new salary data and to use it for their annual employment equity reports. In 2022, employers reported pay gaps that affect women, Indigenous </w:t>
      </w:r>
      <w:r w:rsidRPr="27136E50" w:rsidDel="006F529B">
        <w:rPr>
          <w:sz w:val="20"/>
          <w:szCs w:val="20"/>
          <w:lang w:val="en-CA"/>
        </w:rPr>
        <w:t>P</w:t>
      </w:r>
      <w:r w:rsidRPr="27136E50">
        <w:rPr>
          <w:sz w:val="20"/>
          <w:szCs w:val="20"/>
          <w:lang w:val="en-CA"/>
        </w:rPr>
        <w:t>eoples, persons with disabilities and members of racialized minorities for the first time.</w:t>
      </w:r>
    </w:p>
    <w:p w14:paraId="267A9E77" w14:textId="77777777" w:rsidR="00E5223E" w:rsidRDefault="00E5223E" w:rsidP="009D7D15">
      <w:pPr>
        <w:pStyle w:val="Content1"/>
        <w:numPr>
          <w:ilvl w:val="0"/>
          <w:numId w:val="7"/>
        </w:numPr>
        <w:ind w:left="1134" w:right="1134" w:firstLine="0"/>
        <w:jc w:val="both"/>
      </w:pPr>
      <w:r w:rsidRPr="27136E50">
        <w:rPr>
          <w:color w:val="000000" w:themeColor="text1"/>
          <w:sz w:val="20"/>
          <w:szCs w:val="20"/>
        </w:rPr>
        <w:t xml:space="preserve">In 2024, the GC </w:t>
      </w:r>
      <w:r w:rsidRPr="00420518">
        <w:rPr>
          <w:color w:val="000000" w:themeColor="text1"/>
          <w:sz w:val="20"/>
          <w:szCs w:val="20"/>
        </w:rPr>
        <w:t xml:space="preserve">launched </w:t>
      </w:r>
      <w:proofErr w:type="spellStart"/>
      <w:r w:rsidRPr="00420518">
        <w:rPr>
          <w:color w:val="000000" w:themeColor="text1"/>
          <w:sz w:val="20"/>
          <w:szCs w:val="20"/>
        </w:rPr>
        <w:t>Equi’Vision</w:t>
      </w:r>
      <w:proofErr w:type="spellEnd"/>
      <w:r w:rsidRPr="27136E50">
        <w:rPr>
          <w:i/>
          <w:iCs/>
          <w:color w:val="000000" w:themeColor="text1"/>
          <w:sz w:val="20"/>
          <w:szCs w:val="20"/>
        </w:rPr>
        <w:t>,</w:t>
      </w:r>
      <w:r w:rsidRPr="27136E50">
        <w:rPr>
          <w:color w:val="000000" w:themeColor="text1"/>
          <w:sz w:val="20"/>
          <w:szCs w:val="20"/>
        </w:rPr>
        <w:t xml:space="preserve"> a first-of-its-kind online tool that makes employer workforce information publicly available. The website provides user-friendly and easily comparable data on representation </w:t>
      </w:r>
      <w:r>
        <w:rPr>
          <w:color w:val="000000" w:themeColor="text1"/>
          <w:sz w:val="20"/>
          <w:szCs w:val="20"/>
        </w:rPr>
        <w:t xml:space="preserve">rates </w:t>
      </w:r>
      <w:r w:rsidRPr="27136E50">
        <w:rPr>
          <w:color w:val="000000" w:themeColor="text1"/>
          <w:sz w:val="20"/>
          <w:szCs w:val="20"/>
        </w:rPr>
        <w:t xml:space="preserve">and pay gaps </w:t>
      </w:r>
      <w:r w:rsidRPr="007E5230">
        <w:rPr>
          <w:sz w:val="20"/>
          <w:szCs w:val="20"/>
          <w:lang w:val="en-CA"/>
        </w:rPr>
        <w:t>for</w:t>
      </w:r>
      <w:r w:rsidRPr="27136E50">
        <w:rPr>
          <w:color w:val="000000" w:themeColor="text1"/>
          <w:sz w:val="20"/>
          <w:szCs w:val="20"/>
        </w:rPr>
        <w:t xml:space="preserve"> each private-sector employer subject to the Act. </w:t>
      </w:r>
      <w:r>
        <w:t xml:space="preserve"> </w:t>
      </w:r>
    </w:p>
    <w:p w14:paraId="491DEFD4"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Canadian Human Rights Commission is responsible for enforcing the non-reporting obligations of both public-sector and private-sector employers. It conducts compliance audits of employers to assess their progress in implementing requirements under the Act</w:t>
      </w:r>
      <w:r>
        <w:rPr>
          <w:sz w:val="20"/>
          <w:szCs w:val="20"/>
          <w:lang w:val="en-CA"/>
        </w:rPr>
        <w:t xml:space="preserve"> and </w:t>
      </w:r>
      <w:r w:rsidRPr="27136E50">
        <w:rPr>
          <w:sz w:val="20"/>
          <w:szCs w:val="20"/>
          <w:lang w:val="en-CA"/>
        </w:rPr>
        <w:t>helps employers achieve their employment equity objectives</w:t>
      </w:r>
      <w:r>
        <w:rPr>
          <w:sz w:val="20"/>
          <w:szCs w:val="20"/>
          <w:lang w:val="en-CA"/>
        </w:rPr>
        <w:t>.</w:t>
      </w:r>
    </w:p>
    <w:p w14:paraId="1C86857D" w14:textId="77777777" w:rsidR="00E5223E" w:rsidRPr="00735D5B" w:rsidRDefault="00E5223E" w:rsidP="009D7D15">
      <w:pPr>
        <w:pStyle w:val="Content1"/>
        <w:numPr>
          <w:ilvl w:val="0"/>
          <w:numId w:val="7"/>
        </w:numPr>
        <w:ind w:left="1134" w:right="1134" w:firstLine="0"/>
        <w:jc w:val="both"/>
        <w:rPr>
          <w:color w:val="000000" w:themeColor="text1"/>
          <w:sz w:val="20"/>
          <w:szCs w:val="20"/>
          <w:lang w:val="en-CA"/>
        </w:rPr>
      </w:pPr>
      <w:r w:rsidRPr="6BCE64E0">
        <w:rPr>
          <w:color w:val="000000" w:themeColor="text1"/>
          <w:sz w:val="20"/>
          <w:szCs w:val="20"/>
        </w:rPr>
        <w:t xml:space="preserve">The </w:t>
      </w:r>
      <w:r w:rsidRPr="6BCE64E0">
        <w:rPr>
          <w:i/>
          <w:iCs/>
          <w:color w:val="000000" w:themeColor="text1"/>
          <w:sz w:val="20"/>
          <w:szCs w:val="20"/>
        </w:rPr>
        <w:t>Alberta Human Rights Act</w:t>
      </w:r>
      <w:r w:rsidRPr="6BCE64E0">
        <w:rPr>
          <w:color w:val="000000" w:themeColor="text1"/>
          <w:sz w:val="20"/>
          <w:szCs w:val="20"/>
        </w:rPr>
        <w:t xml:space="preserve"> was amended, effective</w:t>
      </w:r>
      <w:r>
        <w:rPr>
          <w:color w:val="000000" w:themeColor="text1"/>
          <w:sz w:val="20"/>
          <w:szCs w:val="20"/>
        </w:rPr>
        <w:t xml:space="preserve"> in</w:t>
      </w:r>
      <w:r w:rsidRPr="6BCE64E0">
        <w:rPr>
          <w:color w:val="000000" w:themeColor="text1"/>
          <w:sz w:val="20"/>
          <w:szCs w:val="20"/>
        </w:rPr>
        <w:t xml:space="preserve"> 2018, to protect ameliorative programs and activities that are designed to </w:t>
      </w:r>
      <w:r w:rsidRPr="007E5230">
        <w:rPr>
          <w:sz w:val="20"/>
          <w:szCs w:val="20"/>
          <w:lang w:val="en-CA"/>
        </w:rPr>
        <w:t>improve</w:t>
      </w:r>
      <w:r w:rsidRPr="6BCE64E0">
        <w:rPr>
          <w:color w:val="000000" w:themeColor="text1"/>
          <w:sz w:val="20"/>
          <w:szCs w:val="20"/>
        </w:rPr>
        <w:t xml:space="preserve"> the condition of disadvantaged persons, including those who are disadvantaged because of their race,</w:t>
      </w:r>
      <w:r>
        <w:rPr>
          <w:color w:val="000000" w:themeColor="text1"/>
          <w:sz w:val="20"/>
          <w:szCs w:val="20"/>
        </w:rPr>
        <w:t xml:space="preserve"> religious beliefs, color, gender identity, gender expression, physical disability, </w:t>
      </w:r>
      <w:r w:rsidRPr="00433F02">
        <w:rPr>
          <w:color w:val="000000" w:themeColor="text1"/>
          <w:sz w:val="20"/>
          <w:szCs w:val="20"/>
        </w:rPr>
        <w:t xml:space="preserve">mental disability, age, ancestry, place of origin, marital status, source of income, family status or sexual </w:t>
      </w:r>
      <w:r w:rsidRPr="00735D5B">
        <w:rPr>
          <w:color w:val="000000" w:themeColor="text1"/>
          <w:sz w:val="20"/>
          <w:szCs w:val="20"/>
        </w:rPr>
        <w:t xml:space="preserve">orientation. </w:t>
      </w:r>
    </w:p>
    <w:p w14:paraId="6FBBCE58"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In 2021, the Alberta Human Rights Commission updated its “Duty to Accommodate” human rights guide, which provides guidelines on </w:t>
      </w:r>
      <w:r>
        <w:rPr>
          <w:sz w:val="20"/>
          <w:szCs w:val="20"/>
          <w:lang w:val="en-CA"/>
        </w:rPr>
        <w:t xml:space="preserve">how to accommodate a person based on </w:t>
      </w:r>
      <w:r w:rsidRPr="6BCE64E0">
        <w:rPr>
          <w:sz w:val="20"/>
          <w:szCs w:val="20"/>
          <w:lang w:val="en-CA"/>
        </w:rPr>
        <w:t>a protected ground or grounds</w:t>
      </w:r>
      <w:r>
        <w:rPr>
          <w:sz w:val="20"/>
          <w:szCs w:val="20"/>
          <w:lang w:val="en-CA"/>
        </w:rPr>
        <w:t>,</w:t>
      </w:r>
      <w:r w:rsidRPr="6BCE64E0">
        <w:rPr>
          <w:sz w:val="20"/>
          <w:szCs w:val="20"/>
          <w:lang w:val="en-CA"/>
        </w:rPr>
        <w:t xml:space="preserve"> includ</w:t>
      </w:r>
      <w:r>
        <w:rPr>
          <w:sz w:val="20"/>
          <w:szCs w:val="20"/>
          <w:lang w:val="en-CA"/>
        </w:rPr>
        <w:t>ing</w:t>
      </w:r>
      <w:r w:rsidRPr="6BCE64E0">
        <w:rPr>
          <w:sz w:val="20"/>
          <w:szCs w:val="20"/>
          <w:lang w:val="en-CA"/>
        </w:rPr>
        <w:t xml:space="preserve"> the duty to accommodate racial </w:t>
      </w:r>
      <w:r>
        <w:rPr>
          <w:sz w:val="20"/>
          <w:szCs w:val="20"/>
          <w:lang w:val="en-CA"/>
        </w:rPr>
        <w:t xml:space="preserve">and </w:t>
      </w:r>
      <w:r w:rsidRPr="6BCE64E0">
        <w:rPr>
          <w:sz w:val="20"/>
          <w:szCs w:val="20"/>
          <w:lang w:val="en-CA"/>
        </w:rPr>
        <w:t>religious minorities</w:t>
      </w:r>
      <w:r>
        <w:rPr>
          <w:sz w:val="20"/>
          <w:szCs w:val="20"/>
          <w:lang w:val="en-CA"/>
        </w:rPr>
        <w:t>.</w:t>
      </w:r>
    </w:p>
    <w:p w14:paraId="12E8002E" w14:textId="77777777" w:rsidR="00E5223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Quebec </w:t>
      </w:r>
      <w:r>
        <w:rPr>
          <w:sz w:val="20"/>
          <w:szCs w:val="20"/>
          <w:lang w:val="en-CA"/>
        </w:rPr>
        <w:t xml:space="preserve">provides </w:t>
      </w:r>
      <w:r w:rsidRPr="6BCE64E0">
        <w:rPr>
          <w:sz w:val="20"/>
          <w:szCs w:val="20"/>
          <w:lang w:val="en-CA"/>
        </w:rPr>
        <w:t xml:space="preserve">financial assistance to businesses through various measures, including </w:t>
      </w:r>
      <w:r>
        <w:rPr>
          <w:sz w:val="20"/>
          <w:szCs w:val="20"/>
          <w:lang w:val="en-CA"/>
        </w:rPr>
        <w:t xml:space="preserve">support to </w:t>
      </w:r>
      <w:r w:rsidRPr="6BCE64E0">
        <w:rPr>
          <w:sz w:val="20"/>
          <w:szCs w:val="20"/>
          <w:lang w:val="en-CA"/>
        </w:rPr>
        <w:t xml:space="preserve">carry out a structuring intervention aimed at addressing issues related to human resources management, and more specifically, </w:t>
      </w:r>
      <w:r>
        <w:rPr>
          <w:sz w:val="20"/>
          <w:szCs w:val="20"/>
          <w:lang w:val="en-CA"/>
        </w:rPr>
        <w:t xml:space="preserve">inclusive workforce </w:t>
      </w:r>
      <w:r w:rsidRPr="6BCE64E0">
        <w:rPr>
          <w:sz w:val="20"/>
          <w:szCs w:val="20"/>
          <w:lang w:val="en-CA"/>
        </w:rPr>
        <w:t xml:space="preserve">management. </w:t>
      </w:r>
    </w:p>
    <w:p w14:paraId="695BA213" w14:textId="77777777" w:rsidR="00E5223E" w:rsidRPr="00FD765F" w:rsidRDefault="00E5223E" w:rsidP="009D7D15">
      <w:pPr>
        <w:pStyle w:val="Content1"/>
        <w:numPr>
          <w:ilvl w:val="0"/>
          <w:numId w:val="7"/>
        </w:numPr>
        <w:ind w:left="1134" w:right="1134" w:firstLine="0"/>
        <w:jc w:val="both"/>
        <w:rPr>
          <w:sz w:val="20"/>
          <w:szCs w:val="20"/>
          <w:lang w:val="en-CA"/>
        </w:rPr>
      </w:pPr>
      <w:r w:rsidRPr="00252959">
        <w:rPr>
          <w:sz w:val="20"/>
          <w:szCs w:val="20"/>
          <w:lang w:val="en-CA"/>
        </w:rPr>
        <w:t>B</w:t>
      </w:r>
      <w:r>
        <w:rPr>
          <w:sz w:val="20"/>
          <w:szCs w:val="20"/>
          <w:lang w:val="en-CA"/>
        </w:rPr>
        <w:t>ritish Columbia</w:t>
      </w:r>
      <w:r w:rsidRPr="00252959">
        <w:rPr>
          <w:sz w:val="20"/>
          <w:szCs w:val="20"/>
          <w:lang w:val="en-CA"/>
        </w:rPr>
        <w:t xml:space="preserve">’s </w:t>
      </w:r>
      <w:r w:rsidRPr="00420518">
        <w:rPr>
          <w:i/>
          <w:iCs/>
          <w:sz w:val="20"/>
          <w:szCs w:val="20"/>
          <w:lang w:val="en-CA"/>
        </w:rPr>
        <w:t>Pay Transparency Act</w:t>
      </w:r>
      <w:r w:rsidRPr="00252959">
        <w:rPr>
          <w:sz w:val="20"/>
          <w:szCs w:val="20"/>
          <w:lang w:val="en-CA"/>
        </w:rPr>
        <w:t xml:space="preserve"> became law </w:t>
      </w:r>
      <w:r>
        <w:rPr>
          <w:sz w:val="20"/>
          <w:szCs w:val="20"/>
          <w:lang w:val="en-CA"/>
        </w:rPr>
        <w:t xml:space="preserve">in </w:t>
      </w:r>
      <w:r w:rsidRPr="00252959">
        <w:rPr>
          <w:sz w:val="20"/>
          <w:szCs w:val="20"/>
          <w:lang w:val="en-CA"/>
        </w:rPr>
        <w:t xml:space="preserve">2023, aimed at addressing systemic discrimination in the workplace by requiring employers to enhance transparency in their pay practices and by prohibiting employer conduct that contributes to the gender pay gap. The gender pay gap disproportionately impacts racialized, newcomer, and Indigenous women and gender-diverse people.  </w:t>
      </w:r>
    </w:p>
    <w:p w14:paraId="7B65AA09" w14:textId="5C71243F" w:rsidR="00E5223E" w:rsidRPr="00FD765F" w:rsidRDefault="00D300A6" w:rsidP="00D300A6">
      <w:pPr>
        <w:pStyle w:val="H1G"/>
        <w:rPr>
          <w:lang w:val="en-CA"/>
        </w:rPr>
      </w:pPr>
      <w:bookmarkStart w:id="10" w:name="_Toc177633107"/>
      <w:r>
        <w:rPr>
          <w:lang w:val="en-CA"/>
        </w:rPr>
        <w:tab/>
      </w:r>
      <w:r>
        <w:rPr>
          <w:lang w:val="en-CA"/>
        </w:rPr>
        <w:tab/>
      </w:r>
      <w:r w:rsidR="00E5223E" w:rsidRPr="00FD765F">
        <w:rPr>
          <w:lang w:val="en-CA"/>
        </w:rPr>
        <w:t>Race-Based Hate Crimes</w:t>
      </w:r>
      <w:bookmarkEnd w:id="10"/>
    </w:p>
    <w:p w14:paraId="06391422" w14:textId="77777777" w:rsidR="00E5223E" w:rsidRPr="00C271E3"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There are currently four specific hate propaganda offences in the Criminal Code (subsection 318(1) – Advocating genocide, 319(1) – Public incitement of hatred, 319(2) – Wilful promotion of hatred, and 319(2.1) – Wilful promotion of antisemitism). Subsection 319(2.1) came into force in 2022 and creates the offence of wilfully promoting hatred by denying, condoning or downplaying the Holocaust.</w:t>
      </w:r>
      <w:r w:rsidRPr="0040776B">
        <w:t xml:space="preserve"> </w:t>
      </w:r>
      <w:r>
        <w:rPr>
          <w:sz w:val="20"/>
          <w:szCs w:val="20"/>
          <w:lang w:val="en-CA"/>
        </w:rPr>
        <w:t>A</w:t>
      </w:r>
      <w:r w:rsidRPr="0040776B">
        <w:rPr>
          <w:sz w:val="20"/>
          <w:szCs w:val="20"/>
          <w:lang w:val="en-CA"/>
        </w:rPr>
        <w:t>lso</w:t>
      </w:r>
      <w:r>
        <w:rPr>
          <w:sz w:val="20"/>
          <w:szCs w:val="20"/>
          <w:lang w:val="en-CA"/>
        </w:rPr>
        <w:t xml:space="preserve">, </w:t>
      </w:r>
      <w:r w:rsidRPr="0040776B">
        <w:rPr>
          <w:sz w:val="20"/>
          <w:szCs w:val="20"/>
          <w:lang w:val="en-CA"/>
        </w:rPr>
        <w:t xml:space="preserve">a sentencing provision </w:t>
      </w:r>
      <w:r>
        <w:rPr>
          <w:sz w:val="20"/>
          <w:szCs w:val="20"/>
          <w:lang w:val="en-CA"/>
        </w:rPr>
        <w:t>requires</w:t>
      </w:r>
      <w:r w:rsidRPr="0040776B">
        <w:rPr>
          <w:sz w:val="20"/>
          <w:szCs w:val="20"/>
          <w:lang w:val="en-CA"/>
        </w:rPr>
        <w:t xml:space="preserve"> judge</w:t>
      </w:r>
      <w:r>
        <w:rPr>
          <w:sz w:val="20"/>
          <w:szCs w:val="20"/>
          <w:lang w:val="en-CA"/>
        </w:rPr>
        <w:t>s</w:t>
      </w:r>
      <w:r w:rsidRPr="0040776B">
        <w:rPr>
          <w:sz w:val="20"/>
          <w:szCs w:val="20"/>
          <w:lang w:val="en-CA"/>
        </w:rPr>
        <w:t xml:space="preserve"> to consider hate-motivation as an aggravating factor when sentencing someone for any offence (subparagraph 718.2(a)(i))</w:t>
      </w:r>
      <w:r w:rsidRPr="00E95816">
        <w:rPr>
          <w:sz w:val="20"/>
          <w:szCs w:val="20"/>
          <w:lang w:val="en-CA"/>
        </w:rPr>
        <w:t xml:space="preserve">.  </w:t>
      </w:r>
    </w:p>
    <w:p w14:paraId="56C60F60"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C</w:t>
      </w:r>
      <w:r>
        <w:rPr>
          <w:sz w:val="20"/>
          <w:szCs w:val="20"/>
          <w:lang w:val="en-CA"/>
        </w:rPr>
        <w:t>anada Border Services Agency (C</w:t>
      </w:r>
      <w:r w:rsidRPr="27136E50">
        <w:rPr>
          <w:sz w:val="20"/>
          <w:szCs w:val="20"/>
          <w:lang w:val="en-CA"/>
        </w:rPr>
        <w:t>BSA</w:t>
      </w:r>
      <w:r>
        <w:rPr>
          <w:sz w:val="20"/>
          <w:szCs w:val="20"/>
          <w:lang w:val="en-CA"/>
        </w:rPr>
        <w:t>)</w:t>
      </w:r>
      <w:r w:rsidRPr="27136E50">
        <w:rPr>
          <w:sz w:val="20"/>
          <w:szCs w:val="20"/>
          <w:lang w:val="en-CA"/>
        </w:rPr>
        <w:t xml:space="preserve"> Enforcement Manual provides extensive information to officers with regards to hate propaganda, outlining the roles and responsibilities for Border Service Officers, Intelligence Officers, and Intelligence Analysts. Officers also review all goods intercepted at the border that are suspected to constitute obscenity or hate propaganda against any group of individuals, and persons found to be in possession of obscenity or hate propaganda can also be found criminally inadmissible under the </w:t>
      </w:r>
      <w:r w:rsidRPr="27136E50">
        <w:rPr>
          <w:i/>
          <w:iCs/>
          <w:sz w:val="20"/>
          <w:szCs w:val="20"/>
          <w:lang w:val="en-CA"/>
        </w:rPr>
        <w:t>Immigration and Refugee Protection Act</w:t>
      </w:r>
      <w:r w:rsidRPr="27136E50">
        <w:rPr>
          <w:sz w:val="20"/>
          <w:szCs w:val="20"/>
          <w:lang w:val="en-CA"/>
        </w:rPr>
        <w:t>.</w:t>
      </w:r>
    </w:p>
    <w:p w14:paraId="0748CA78"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w:t>
      </w:r>
      <w:r>
        <w:rPr>
          <w:sz w:val="20"/>
          <w:szCs w:val="20"/>
          <w:lang w:val="en-CA"/>
        </w:rPr>
        <w:t xml:space="preserve"> Canada Community Security Program</w:t>
      </w:r>
      <w:r w:rsidRPr="27136E50">
        <w:rPr>
          <w:sz w:val="20"/>
          <w:szCs w:val="20"/>
          <w:lang w:val="en-CA"/>
        </w:rPr>
        <w:t xml:space="preserve"> is designed to help communities at risk of hate-motivated crime by providing funding to make security improvements to their community gathering spaces including places of worship, community centres, provincially or territorially recognized educational institutions and gender-based violence shelters to help protect them and prevent hate-motivated crime.</w:t>
      </w:r>
    </w:p>
    <w:p w14:paraId="0E8C02FC" w14:textId="77777777" w:rsidR="00E5223E" w:rsidRPr="00C161DF"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British Columbia is the only province in Canada which has a dedicated </w:t>
      </w:r>
      <w:r>
        <w:rPr>
          <w:sz w:val="20"/>
          <w:szCs w:val="20"/>
          <w:lang w:val="en-CA"/>
        </w:rPr>
        <w:t>provincial-level Royal Canadian Mounted Police (RCMP)</w:t>
      </w:r>
      <w:r w:rsidRPr="27136E50">
        <w:rPr>
          <w:sz w:val="20"/>
          <w:szCs w:val="20"/>
          <w:lang w:val="en-CA"/>
        </w:rPr>
        <w:t xml:space="preserve"> </w:t>
      </w:r>
      <w:r>
        <w:rPr>
          <w:sz w:val="20"/>
          <w:szCs w:val="20"/>
          <w:lang w:val="en-CA"/>
        </w:rPr>
        <w:t>integrated h</w:t>
      </w:r>
      <w:r w:rsidRPr="27136E50">
        <w:rPr>
          <w:sz w:val="20"/>
          <w:szCs w:val="20"/>
          <w:lang w:val="en-CA"/>
        </w:rPr>
        <w:t xml:space="preserve">ate </w:t>
      </w:r>
      <w:r>
        <w:rPr>
          <w:sz w:val="20"/>
          <w:szCs w:val="20"/>
          <w:lang w:val="en-CA"/>
        </w:rPr>
        <w:t>c</w:t>
      </w:r>
      <w:r w:rsidRPr="27136E50">
        <w:rPr>
          <w:sz w:val="20"/>
          <w:szCs w:val="20"/>
          <w:lang w:val="en-CA"/>
        </w:rPr>
        <w:t xml:space="preserve">rime </w:t>
      </w:r>
      <w:r>
        <w:rPr>
          <w:sz w:val="20"/>
          <w:szCs w:val="20"/>
          <w:lang w:val="en-CA"/>
        </w:rPr>
        <w:t>t</w:t>
      </w:r>
      <w:r w:rsidRPr="27136E50">
        <w:rPr>
          <w:sz w:val="20"/>
          <w:szCs w:val="20"/>
          <w:lang w:val="en-CA"/>
        </w:rPr>
        <w:t>eam which provides consultative expertise and guidance to police in the province investigating hate crimes</w:t>
      </w:r>
      <w:r>
        <w:rPr>
          <w:sz w:val="20"/>
          <w:szCs w:val="20"/>
          <w:lang w:val="en-CA"/>
        </w:rPr>
        <w:t xml:space="preserve"> to ensure that hate crime charges forwarded</w:t>
      </w:r>
      <w:r w:rsidRPr="27136E50">
        <w:rPr>
          <w:sz w:val="20"/>
          <w:szCs w:val="20"/>
          <w:lang w:val="en-CA"/>
        </w:rPr>
        <w:t xml:space="preserve"> to the Crown Counsel </w:t>
      </w:r>
      <w:r>
        <w:rPr>
          <w:sz w:val="20"/>
          <w:szCs w:val="20"/>
          <w:lang w:val="en-CA"/>
        </w:rPr>
        <w:t>will meet</w:t>
      </w:r>
      <w:r w:rsidRPr="27136E50">
        <w:rPr>
          <w:sz w:val="20"/>
          <w:szCs w:val="20"/>
          <w:lang w:val="en-CA"/>
        </w:rPr>
        <w:t xml:space="preserve"> the British Columbia Prosecution</w:t>
      </w:r>
      <w:r>
        <w:rPr>
          <w:sz w:val="20"/>
          <w:szCs w:val="20"/>
          <w:lang w:val="en-CA"/>
        </w:rPr>
        <w:t xml:space="preserve"> Service’s charge assessment standard and can proceed to court</w:t>
      </w:r>
      <w:r w:rsidRPr="27136E50">
        <w:rPr>
          <w:sz w:val="20"/>
          <w:szCs w:val="20"/>
          <w:lang w:val="en-CA"/>
        </w:rPr>
        <w:t xml:space="preserve">. </w:t>
      </w:r>
      <w:r w:rsidRPr="004E7B65">
        <w:rPr>
          <w:sz w:val="20"/>
          <w:szCs w:val="20"/>
          <w:lang w:val="en-CA"/>
        </w:rPr>
        <w:t>There is also</w:t>
      </w:r>
      <w:r w:rsidRPr="27136E50">
        <w:rPr>
          <w:sz w:val="20"/>
          <w:szCs w:val="20"/>
          <w:lang w:val="en-CA"/>
        </w:rPr>
        <w:t xml:space="preserve"> a cross-ministry Anti-Hate and Anti-Racism Working Group, which is mandated to identify new ways to coordinate responses to incidents of racism in communities and to address broader, more complex issues of systemic and institutional racism</w:t>
      </w:r>
      <w:r>
        <w:rPr>
          <w:sz w:val="20"/>
          <w:szCs w:val="20"/>
          <w:lang w:val="en-CA"/>
        </w:rPr>
        <w:t>.</w:t>
      </w:r>
    </w:p>
    <w:p w14:paraId="2C5B4987" w14:textId="77777777" w:rsidR="00E5223E" w:rsidRPr="006F2D6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To address the rise in hate in recent years and to ensure that all hate-motived crimes are identified and prosecuted as such, Ontario established the Hate Crime Working Group in 2019. The Working Group is comprised of </w:t>
      </w:r>
      <w:r>
        <w:rPr>
          <w:sz w:val="20"/>
          <w:szCs w:val="20"/>
          <w:lang w:val="en-CA"/>
        </w:rPr>
        <w:t xml:space="preserve">specially trained and designated </w:t>
      </w:r>
      <w:r w:rsidRPr="6BCE64E0">
        <w:rPr>
          <w:sz w:val="20"/>
          <w:szCs w:val="20"/>
          <w:lang w:val="en-CA"/>
        </w:rPr>
        <w:t>Crown prosecutors from across the province who prosecute such matters,</w:t>
      </w:r>
      <w:r>
        <w:rPr>
          <w:sz w:val="20"/>
          <w:szCs w:val="20"/>
          <w:lang w:val="en-CA"/>
        </w:rPr>
        <w:t xml:space="preserve"> give</w:t>
      </w:r>
      <w:r w:rsidRPr="6BCE64E0">
        <w:rPr>
          <w:sz w:val="20"/>
          <w:szCs w:val="20"/>
          <w:lang w:val="en-CA"/>
        </w:rPr>
        <w:t xml:space="preserve"> legal advice to the police on active </w:t>
      </w:r>
      <w:r>
        <w:rPr>
          <w:sz w:val="20"/>
          <w:szCs w:val="20"/>
          <w:lang w:val="en-CA"/>
        </w:rPr>
        <w:t xml:space="preserve">hate-related </w:t>
      </w:r>
      <w:r w:rsidRPr="6BCE64E0">
        <w:rPr>
          <w:sz w:val="20"/>
          <w:szCs w:val="20"/>
          <w:lang w:val="en-CA"/>
        </w:rPr>
        <w:t xml:space="preserve">investigations, </w:t>
      </w:r>
      <w:r>
        <w:rPr>
          <w:sz w:val="20"/>
          <w:szCs w:val="20"/>
          <w:lang w:val="en-CA"/>
        </w:rPr>
        <w:t>provide ongoing training to individual Ontario police services and through</w:t>
      </w:r>
      <w:r w:rsidRPr="6BCE64E0">
        <w:rPr>
          <w:sz w:val="20"/>
          <w:szCs w:val="20"/>
          <w:lang w:val="en-CA"/>
        </w:rPr>
        <w:t xml:space="preserve"> the Ontario Police College</w:t>
      </w:r>
      <w:r>
        <w:rPr>
          <w:sz w:val="20"/>
          <w:szCs w:val="20"/>
          <w:lang w:val="en-CA"/>
        </w:rPr>
        <w:t>, and engage in community outreach activities and education.</w:t>
      </w:r>
    </w:p>
    <w:p w14:paraId="45207A90" w14:textId="758FFE2E" w:rsidR="00E5223E" w:rsidRPr="00C1401C" w:rsidRDefault="00D300A6" w:rsidP="00D300A6">
      <w:pPr>
        <w:pStyle w:val="H1G"/>
        <w:rPr>
          <w:lang w:val="en-CA"/>
        </w:rPr>
      </w:pPr>
      <w:bookmarkStart w:id="11" w:name="_Toc177633108"/>
      <w:r>
        <w:rPr>
          <w:lang w:val="en-CA"/>
        </w:rPr>
        <w:tab/>
      </w:r>
      <w:r>
        <w:rPr>
          <w:lang w:val="en-CA"/>
        </w:rPr>
        <w:tab/>
      </w:r>
      <w:r w:rsidR="00E5223E" w:rsidRPr="00C1401C">
        <w:rPr>
          <w:lang w:val="en-CA"/>
        </w:rPr>
        <w:t>Immigration Detention</w:t>
      </w:r>
      <w:bookmarkEnd w:id="11"/>
    </w:p>
    <w:p w14:paraId="0A0ABAD6"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In fulfillment of the National Immigration Detention Framework (NIDF), the GC launched an Alternatives to Detention (ATD) Program in 2018 that provides officers with an expanded set of tools and programs that enable them to more effectively manage the needs of individuals released into the community, while achieving balanced enforcement outcomes. </w:t>
      </w:r>
    </w:p>
    <w:p w14:paraId="58AE5305"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In 2021, the GC updated and published new National Detention Standards that guide the administration of CBSA Immigration Holding Centres (IHC), and the treatment of immigration detainees</w:t>
      </w:r>
      <w:r>
        <w:rPr>
          <w:sz w:val="20"/>
          <w:szCs w:val="20"/>
          <w:lang w:val="en-CA"/>
        </w:rPr>
        <w:t xml:space="preserve"> to</w:t>
      </w:r>
      <w:r w:rsidRPr="27136E50">
        <w:rPr>
          <w:sz w:val="20"/>
          <w:szCs w:val="20"/>
          <w:lang w:val="en-CA"/>
        </w:rPr>
        <w:t xml:space="preserve"> establish expected practices and provide national consistency in the administration of the detention program, particularly in areas related to safety, security and detainee care. These processes are supported by regulatory changes that focus on the reduced use of detention, </w:t>
      </w:r>
      <w:r>
        <w:rPr>
          <w:sz w:val="20"/>
          <w:szCs w:val="20"/>
          <w:lang w:val="en-CA"/>
        </w:rPr>
        <w:t>including</w:t>
      </w:r>
      <w:r w:rsidRPr="27136E50">
        <w:rPr>
          <w:sz w:val="20"/>
          <w:szCs w:val="20"/>
          <w:lang w:val="en-CA"/>
        </w:rPr>
        <w:t xml:space="preserve"> the updated guidance on the housing, detention, and separation of minors to eliminate the detention and housing of minors and family separation, except in limited circumstances.</w:t>
      </w:r>
    </w:p>
    <w:p w14:paraId="32B3D842" w14:textId="77777777" w:rsidR="00E5223E" w:rsidRPr="00057579" w:rsidRDefault="00E5223E" w:rsidP="009D7D15">
      <w:pPr>
        <w:pStyle w:val="Content1"/>
        <w:numPr>
          <w:ilvl w:val="0"/>
          <w:numId w:val="7"/>
        </w:numPr>
        <w:ind w:left="1134" w:right="1134" w:firstLine="0"/>
        <w:jc w:val="both"/>
        <w:rPr>
          <w:sz w:val="20"/>
          <w:szCs w:val="20"/>
          <w:lang w:val="en-CA"/>
        </w:rPr>
      </w:pPr>
      <w:r w:rsidRPr="00057579">
        <w:rPr>
          <w:sz w:val="20"/>
          <w:szCs w:val="20"/>
          <w:lang w:val="en-CA"/>
        </w:rPr>
        <w:t>As of 2023, there were 325 people in immigration detention. The GC keeps information on the legislative grounds for detention, length of days detained, age, gender, and nationality.</w:t>
      </w:r>
    </w:p>
    <w:p w14:paraId="387C35F7"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w:t>
      </w:r>
      <w:r>
        <w:rPr>
          <w:sz w:val="20"/>
          <w:szCs w:val="20"/>
          <w:lang w:val="en-CA"/>
        </w:rPr>
        <w:t xml:space="preserve"> GC’s</w:t>
      </w:r>
      <w:r w:rsidRPr="27136E50">
        <w:rPr>
          <w:i/>
          <w:iCs/>
          <w:sz w:val="20"/>
          <w:szCs w:val="20"/>
          <w:lang w:val="en-CA"/>
        </w:rPr>
        <w:t xml:space="preserve"> Immigration and Refugee Protection Act </w:t>
      </w:r>
      <w:r w:rsidRPr="27136E50">
        <w:rPr>
          <w:sz w:val="20"/>
          <w:szCs w:val="20"/>
          <w:lang w:val="en-CA"/>
        </w:rPr>
        <w:t xml:space="preserve">does not include a time limit on immigration detention. Canada’s Supreme Court has concluded that the absence of a time limit does not constitute “indefinite detention,” because of the meaningful process for ongoing review of detention, which considers the circumstances of each individual case. </w:t>
      </w:r>
      <w:r>
        <w:rPr>
          <w:sz w:val="20"/>
          <w:szCs w:val="20"/>
          <w:lang w:val="en-CA"/>
        </w:rPr>
        <w:t xml:space="preserve">Canada’s </w:t>
      </w:r>
      <w:r w:rsidRPr="27136E50">
        <w:rPr>
          <w:sz w:val="20"/>
          <w:szCs w:val="20"/>
          <w:lang w:val="en-CA"/>
        </w:rPr>
        <w:t xml:space="preserve">international obligations are fulfilled by its robust statutory scheme for regular, meaningful detention reviews by an independent decision-maker, coupled with the availability of judicial review of detention decisions and the constitutional safeguards contained in the </w:t>
      </w:r>
      <w:r w:rsidRPr="005D4622">
        <w:rPr>
          <w:i/>
          <w:iCs/>
          <w:sz w:val="20"/>
          <w:szCs w:val="20"/>
          <w:lang w:val="en-CA"/>
        </w:rPr>
        <w:t>Canadian Charter of Rights and Freedoms</w:t>
      </w:r>
      <w:r w:rsidRPr="27136E50">
        <w:rPr>
          <w:sz w:val="20"/>
          <w:szCs w:val="20"/>
          <w:lang w:val="en-CA"/>
        </w:rPr>
        <w:t>. Immigration detention protects both the safety of Canadians and the integrity of the immigration system. Individuals who are detained for immigration purposes are protected from arbitrary arrest and detention and have access to effective remedies.</w:t>
      </w:r>
    </w:p>
    <w:p w14:paraId="102F2458" w14:textId="12637FF9" w:rsidR="00E5223E" w:rsidRPr="00C1401C" w:rsidRDefault="00D300A6" w:rsidP="003D4419">
      <w:pPr>
        <w:pStyle w:val="H23G"/>
        <w:rPr>
          <w:lang w:val="en-CA"/>
        </w:rPr>
      </w:pPr>
      <w:bookmarkStart w:id="12" w:name="_Toc177633109"/>
      <w:r>
        <w:rPr>
          <w:lang w:val="en-CA"/>
        </w:rPr>
        <w:tab/>
      </w:r>
      <w:r>
        <w:rPr>
          <w:lang w:val="en-CA"/>
        </w:rPr>
        <w:tab/>
      </w:r>
      <w:r w:rsidR="00E5223E" w:rsidRPr="00C1401C">
        <w:rPr>
          <w:lang w:val="en-CA"/>
        </w:rPr>
        <w:t>Status of Temporary Foreign Workers</w:t>
      </w:r>
      <w:bookmarkEnd w:id="12"/>
    </w:p>
    <w:p w14:paraId="7B91EEC0" w14:textId="77777777" w:rsidR="00E5223E" w:rsidRDefault="00E5223E" w:rsidP="009D7D15">
      <w:pPr>
        <w:pStyle w:val="Content1"/>
        <w:numPr>
          <w:ilvl w:val="0"/>
          <w:numId w:val="7"/>
        </w:numPr>
        <w:ind w:left="1134" w:right="1134" w:firstLine="0"/>
        <w:jc w:val="both"/>
        <w:rPr>
          <w:color w:val="000000" w:themeColor="text1"/>
          <w:sz w:val="20"/>
          <w:szCs w:val="20"/>
          <w:lang w:val="en-CA"/>
        </w:rPr>
      </w:pPr>
      <w:r w:rsidRPr="27136E50">
        <w:rPr>
          <w:color w:val="000000" w:themeColor="text1"/>
          <w:sz w:val="20"/>
          <w:szCs w:val="20"/>
          <w:lang w:val="en-CA"/>
        </w:rPr>
        <w:t xml:space="preserve">The GC is committed to ensuring the health and safety of temporary foreign workers, </w:t>
      </w:r>
      <w:r>
        <w:rPr>
          <w:color w:val="000000" w:themeColor="text1"/>
          <w:sz w:val="20"/>
          <w:szCs w:val="20"/>
          <w:lang w:val="en-CA"/>
        </w:rPr>
        <w:t>and</w:t>
      </w:r>
      <w:r w:rsidRPr="27136E50">
        <w:rPr>
          <w:color w:val="000000" w:themeColor="text1"/>
          <w:sz w:val="20"/>
          <w:szCs w:val="20"/>
          <w:lang w:val="en-CA"/>
        </w:rPr>
        <w:t xml:space="preserve"> the integrity of the Temporary Foreign Worker (TFW) Program</w:t>
      </w:r>
      <w:r>
        <w:rPr>
          <w:color w:val="000000" w:themeColor="text1"/>
          <w:sz w:val="20"/>
          <w:szCs w:val="20"/>
          <w:lang w:val="en-CA"/>
        </w:rPr>
        <w:t xml:space="preserve"> </w:t>
      </w:r>
      <w:r w:rsidRPr="008952FB">
        <w:rPr>
          <w:color w:val="000000" w:themeColor="text1"/>
          <w:sz w:val="20"/>
          <w:szCs w:val="20"/>
          <w:lang w:val="en-CA"/>
        </w:rPr>
        <w:t>and the International Mobility Program (IMP)</w:t>
      </w:r>
      <w:r w:rsidRPr="27136E50">
        <w:rPr>
          <w:color w:val="000000" w:themeColor="text1"/>
          <w:sz w:val="20"/>
          <w:szCs w:val="20"/>
          <w:lang w:val="en-CA"/>
        </w:rPr>
        <w:t>. Mistreatment of any worker</w:t>
      </w:r>
      <w:r w:rsidRPr="27136E50" w:rsidDel="005D4622">
        <w:rPr>
          <w:color w:val="000000" w:themeColor="text1"/>
          <w:sz w:val="20"/>
          <w:szCs w:val="20"/>
          <w:lang w:val="en-CA"/>
        </w:rPr>
        <w:t xml:space="preserve"> </w:t>
      </w:r>
      <w:r w:rsidRPr="27136E50">
        <w:rPr>
          <w:color w:val="000000" w:themeColor="text1"/>
          <w:sz w:val="20"/>
          <w:szCs w:val="20"/>
          <w:lang w:val="en-CA"/>
        </w:rPr>
        <w:t xml:space="preserve">is always unacceptable. </w:t>
      </w:r>
    </w:p>
    <w:p w14:paraId="28813117" w14:textId="77777777" w:rsidR="00E5223E" w:rsidRPr="004E7B65" w:rsidRDefault="00E5223E" w:rsidP="009D7D15">
      <w:pPr>
        <w:pStyle w:val="Content1"/>
        <w:numPr>
          <w:ilvl w:val="0"/>
          <w:numId w:val="7"/>
        </w:numPr>
        <w:ind w:left="1134" w:right="1134" w:firstLine="0"/>
        <w:jc w:val="both"/>
        <w:rPr>
          <w:sz w:val="20"/>
          <w:szCs w:val="20"/>
          <w:lang w:val="en-CA"/>
        </w:rPr>
      </w:pPr>
      <w:r>
        <w:rPr>
          <w:color w:val="000000" w:themeColor="text1"/>
          <w:sz w:val="20"/>
          <w:szCs w:val="20"/>
          <w:lang w:val="en-CA"/>
        </w:rPr>
        <w:t>T</w:t>
      </w:r>
      <w:r w:rsidRPr="00B93C70">
        <w:rPr>
          <w:color w:val="000000" w:themeColor="text1"/>
          <w:sz w:val="20"/>
          <w:szCs w:val="20"/>
          <w:lang w:val="en-CA"/>
        </w:rPr>
        <w:t xml:space="preserve">emporary foreign workers have the same employment standards, rights, and protections under federal, provincial, and territorial law as Canadian citizens and permanent residents. </w:t>
      </w:r>
      <w:r w:rsidRPr="004E7B65">
        <w:rPr>
          <w:sz w:val="20"/>
          <w:szCs w:val="20"/>
          <w:lang w:val="en-CA"/>
        </w:rPr>
        <w:t>Employers who participate in Canada’s TFW Program and IMP must ensure that they respect the rights of foreign workers and are required to remain compliant with Program requirements and conditions throughout their period of employment.</w:t>
      </w:r>
    </w:p>
    <w:p w14:paraId="7F450436" w14:textId="77777777" w:rsidR="00E5223E" w:rsidRDefault="00E5223E" w:rsidP="009D7D15">
      <w:pPr>
        <w:pStyle w:val="Content1"/>
        <w:numPr>
          <w:ilvl w:val="0"/>
          <w:numId w:val="7"/>
        </w:numPr>
        <w:ind w:left="1134" w:right="1134" w:firstLine="0"/>
        <w:jc w:val="both"/>
        <w:rPr>
          <w:color w:val="000000" w:themeColor="text1"/>
          <w:sz w:val="20"/>
          <w:szCs w:val="20"/>
          <w:lang w:val="en-CA"/>
        </w:rPr>
      </w:pPr>
      <w:r w:rsidRPr="27136E50">
        <w:rPr>
          <w:color w:val="333333"/>
          <w:sz w:val="20"/>
          <w:szCs w:val="20"/>
          <w:lang w:val="en-CA"/>
        </w:rPr>
        <w:t xml:space="preserve">Employers who use the TFW Program </w:t>
      </w:r>
      <w:r>
        <w:rPr>
          <w:color w:val="333333"/>
          <w:sz w:val="20"/>
          <w:szCs w:val="20"/>
          <w:lang w:val="en-CA"/>
        </w:rPr>
        <w:t xml:space="preserve">and the IMP </w:t>
      </w:r>
      <w:r w:rsidRPr="27136E50">
        <w:rPr>
          <w:color w:val="333333"/>
          <w:sz w:val="20"/>
          <w:szCs w:val="20"/>
          <w:lang w:val="en-CA"/>
        </w:rPr>
        <w:t xml:space="preserve">may be subject to inspections to verify their compliance with </w:t>
      </w:r>
      <w:r w:rsidRPr="00D978B1">
        <w:rPr>
          <w:color w:val="333333"/>
          <w:sz w:val="20"/>
          <w:szCs w:val="20"/>
          <w:lang w:val="en-CA"/>
        </w:rPr>
        <w:t>program requirements and regulatory</w:t>
      </w:r>
      <w:r w:rsidRPr="27136E50">
        <w:rPr>
          <w:color w:val="333333"/>
          <w:sz w:val="20"/>
          <w:szCs w:val="20"/>
          <w:lang w:val="en-CA"/>
        </w:rPr>
        <w:t xml:space="preserve"> conditions. Inspections can be triggered due to several factors including reason to </w:t>
      </w:r>
      <w:r w:rsidRPr="007E5230">
        <w:rPr>
          <w:sz w:val="20"/>
          <w:szCs w:val="20"/>
          <w:lang w:val="en-CA"/>
        </w:rPr>
        <w:t>suspect</w:t>
      </w:r>
      <w:r w:rsidRPr="27136E50">
        <w:rPr>
          <w:color w:val="333333"/>
          <w:sz w:val="20"/>
          <w:szCs w:val="20"/>
          <w:lang w:val="en-CA"/>
        </w:rPr>
        <w:t xml:space="preserve"> non-compliance (e.g., a tip or allegation received via the tip line or online form), past non-compliance, and/or random selection. Non-compliant employers may face a range of consequences including administrative monetary penalties (AMPs) ranging from $500 to $100,000 per violation, to a maximum combined amount of $1 million per year and may also include a temporary or permanent ban from the </w:t>
      </w:r>
      <w:r>
        <w:rPr>
          <w:color w:val="333333"/>
          <w:sz w:val="20"/>
          <w:szCs w:val="20"/>
          <w:lang w:val="en-CA"/>
        </w:rPr>
        <w:t>p</w:t>
      </w:r>
      <w:r w:rsidRPr="27136E50">
        <w:rPr>
          <w:color w:val="333333"/>
          <w:sz w:val="20"/>
          <w:szCs w:val="20"/>
          <w:lang w:val="en-CA"/>
        </w:rPr>
        <w:t>rogram. When criminal activity is uncovered during an inspection, these employers are immediately reported to the appropriate law enforcement agencies.</w:t>
      </w:r>
      <w:r w:rsidRPr="27136E50">
        <w:rPr>
          <w:color w:val="000000" w:themeColor="text1"/>
          <w:sz w:val="20"/>
          <w:szCs w:val="20"/>
          <w:lang w:val="en-CA"/>
        </w:rPr>
        <w:t xml:space="preserve"> </w:t>
      </w:r>
    </w:p>
    <w:p w14:paraId="15BF890D" w14:textId="77777777" w:rsidR="00E5223E" w:rsidRDefault="00E5223E" w:rsidP="009D7D15">
      <w:pPr>
        <w:pStyle w:val="Content1"/>
        <w:numPr>
          <w:ilvl w:val="0"/>
          <w:numId w:val="7"/>
        </w:numPr>
        <w:ind w:left="1134" w:right="1134" w:firstLine="0"/>
        <w:jc w:val="both"/>
        <w:rPr>
          <w:color w:val="000000" w:themeColor="text1"/>
          <w:sz w:val="20"/>
          <w:szCs w:val="20"/>
          <w:lang w:val="en-CA"/>
        </w:rPr>
      </w:pPr>
      <w:r w:rsidRPr="27136E50">
        <w:rPr>
          <w:color w:val="000000" w:themeColor="text1"/>
          <w:sz w:val="20"/>
          <w:szCs w:val="20"/>
          <w:lang w:val="en-CA"/>
        </w:rPr>
        <w:t>In 2022, the GC further strengthened protections for</w:t>
      </w:r>
      <w:r>
        <w:rPr>
          <w:color w:val="000000" w:themeColor="text1"/>
          <w:sz w:val="20"/>
          <w:szCs w:val="20"/>
          <w:lang w:val="en-CA"/>
        </w:rPr>
        <w:t xml:space="preserve"> temporary foreign workers</w:t>
      </w:r>
      <w:r w:rsidRPr="27136E50">
        <w:rPr>
          <w:color w:val="000000" w:themeColor="text1"/>
          <w:sz w:val="20"/>
          <w:szCs w:val="20"/>
          <w:lang w:val="en-CA"/>
        </w:rPr>
        <w:t xml:space="preserve"> through regulatory amendments that require employers to provide </w:t>
      </w:r>
      <w:r>
        <w:rPr>
          <w:color w:val="000000" w:themeColor="text1"/>
          <w:sz w:val="20"/>
          <w:szCs w:val="20"/>
          <w:lang w:val="en-CA"/>
        </w:rPr>
        <w:t xml:space="preserve">temporary foreign </w:t>
      </w:r>
      <w:r w:rsidRPr="27136E50">
        <w:rPr>
          <w:color w:val="000000" w:themeColor="text1"/>
          <w:sz w:val="20"/>
          <w:szCs w:val="20"/>
          <w:lang w:val="en-CA"/>
        </w:rPr>
        <w:t xml:space="preserve">workers with information about their rights, prohibit reprisals by employers against </w:t>
      </w:r>
      <w:r w:rsidRPr="007E5230">
        <w:rPr>
          <w:sz w:val="20"/>
          <w:szCs w:val="20"/>
          <w:lang w:val="en-CA"/>
        </w:rPr>
        <w:t>temporary</w:t>
      </w:r>
      <w:r>
        <w:rPr>
          <w:color w:val="000000" w:themeColor="text1"/>
          <w:sz w:val="20"/>
          <w:szCs w:val="20"/>
          <w:lang w:val="en-CA"/>
        </w:rPr>
        <w:t xml:space="preserve"> foreign </w:t>
      </w:r>
      <w:r w:rsidRPr="27136E50">
        <w:rPr>
          <w:color w:val="000000" w:themeColor="text1"/>
          <w:sz w:val="20"/>
          <w:szCs w:val="20"/>
          <w:lang w:val="en-CA"/>
        </w:rPr>
        <w:t xml:space="preserve">workers, prohibit employers from charging recruitment fees and require employers to provide reasonable access to health-care services. </w:t>
      </w:r>
    </w:p>
    <w:p w14:paraId="6FF96DE5" w14:textId="77777777" w:rsidR="00E5223E" w:rsidRDefault="00E5223E" w:rsidP="009D7D15">
      <w:pPr>
        <w:pStyle w:val="Content1"/>
        <w:numPr>
          <w:ilvl w:val="0"/>
          <w:numId w:val="7"/>
        </w:numPr>
        <w:ind w:left="1134" w:right="1134" w:firstLine="0"/>
        <w:jc w:val="both"/>
        <w:rPr>
          <w:color w:val="000000" w:themeColor="text1"/>
          <w:sz w:val="20"/>
          <w:szCs w:val="20"/>
          <w:lang w:val="en-CA"/>
        </w:rPr>
      </w:pPr>
      <w:r w:rsidRPr="00C42129">
        <w:rPr>
          <w:color w:val="000000" w:themeColor="text1"/>
          <w:sz w:val="20"/>
          <w:szCs w:val="20"/>
          <w:lang w:val="en-CA"/>
        </w:rPr>
        <w:t xml:space="preserve">The Changing Employers Public Policy and the Open Work Permit for Vulnerable Workers are also available to facilitate temporary foreign workers seeking to </w:t>
      </w:r>
      <w:r w:rsidRPr="007E5230">
        <w:rPr>
          <w:sz w:val="20"/>
          <w:szCs w:val="20"/>
          <w:lang w:val="en-CA"/>
        </w:rPr>
        <w:t>change</w:t>
      </w:r>
      <w:r w:rsidRPr="00C42129">
        <w:rPr>
          <w:color w:val="000000" w:themeColor="text1"/>
          <w:sz w:val="20"/>
          <w:szCs w:val="20"/>
          <w:lang w:val="en-CA"/>
        </w:rPr>
        <w:t xml:space="preserve"> jobs in Canada.</w:t>
      </w:r>
    </w:p>
    <w:p w14:paraId="4EF9D08B" w14:textId="77777777" w:rsidR="00E5223E" w:rsidRDefault="00E5223E" w:rsidP="009D7D15">
      <w:pPr>
        <w:pStyle w:val="Content1"/>
        <w:numPr>
          <w:ilvl w:val="0"/>
          <w:numId w:val="7"/>
        </w:numPr>
        <w:ind w:left="1134" w:right="1134" w:firstLine="0"/>
        <w:jc w:val="both"/>
        <w:rPr>
          <w:color w:val="000000" w:themeColor="text1"/>
          <w:sz w:val="20"/>
          <w:szCs w:val="20"/>
          <w:lang w:val="en-CA"/>
        </w:rPr>
      </w:pPr>
      <w:r w:rsidRPr="27136E50">
        <w:rPr>
          <w:color w:val="000000" w:themeColor="text1"/>
          <w:sz w:val="20"/>
          <w:szCs w:val="20"/>
          <w:lang w:val="en-CA"/>
        </w:rPr>
        <w:t xml:space="preserve">As part of the GC’s broader commitment to protecting </w:t>
      </w:r>
      <w:r>
        <w:rPr>
          <w:color w:val="000000" w:themeColor="text1"/>
          <w:sz w:val="20"/>
          <w:szCs w:val="20"/>
          <w:lang w:val="en-CA"/>
        </w:rPr>
        <w:t>temporary foreign workers</w:t>
      </w:r>
      <w:r w:rsidRPr="27136E50">
        <w:rPr>
          <w:color w:val="000000" w:themeColor="text1"/>
          <w:sz w:val="20"/>
          <w:szCs w:val="20"/>
          <w:lang w:val="en-CA"/>
        </w:rPr>
        <w:t xml:space="preserve"> rights, the Migrant Worker Support (MWS) program was launched in 2022. The MWS program provides funding to over 110 community organizations across Canada </w:t>
      </w:r>
      <w:r>
        <w:rPr>
          <w:color w:val="000000" w:themeColor="text1"/>
          <w:sz w:val="20"/>
          <w:szCs w:val="20"/>
          <w:lang w:val="en-CA"/>
        </w:rPr>
        <w:t xml:space="preserve">to provide </w:t>
      </w:r>
      <w:r w:rsidRPr="27136E50">
        <w:rPr>
          <w:color w:val="000000" w:themeColor="text1"/>
          <w:sz w:val="20"/>
          <w:szCs w:val="20"/>
          <w:lang w:val="en-CA"/>
        </w:rPr>
        <w:t xml:space="preserve">in-community and upon-arrival services to </w:t>
      </w:r>
      <w:r>
        <w:rPr>
          <w:color w:val="000000" w:themeColor="text1"/>
          <w:sz w:val="20"/>
          <w:szCs w:val="20"/>
          <w:lang w:val="en-CA"/>
        </w:rPr>
        <w:t>help</w:t>
      </w:r>
      <w:r w:rsidRPr="27136E50">
        <w:rPr>
          <w:color w:val="000000" w:themeColor="text1"/>
          <w:sz w:val="20"/>
          <w:szCs w:val="20"/>
          <w:lang w:val="en-CA"/>
        </w:rPr>
        <w:t xml:space="preserve"> </w:t>
      </w:r>
      <w:r>
        <w:rPr>
          <w:color w:val="000000" w:themeColor="text1"/>
          <w:sz w:val="20"/>
          <w:szCs w:val="20"/>
          <w:lang w:val="en-CA"/>
        </w:rPr>
        <w:t>temporary foreign</w:t>
      </w:r>
      <w:r w:rsidRPr="27136E50">
        <w:rPr>
          <w:color w:val="000000" w:themeColor="text1"/>
          <w:sz w:val="20"/>
          <w:szCs w:val="20"/>
          <w:lang w:val="en-CA"/>
        </w:rPr>
        <w:t xml:space="preserve"> workers learn about and exercise their rights. Funded organizations do so by providing </w:t>
      </w:r>
      <w:r>
        <w:rPr>
          <w:color w:val="000000" w:themeColor="text1"/>
          <w:sz w:val="20"/>
          <w:szCs w:val="20"/>
          <w:lang w:val="en-CA"/>
        </w:rPr>
        <w:t>temporary foreign</w:t>
      </w:r>
      <w:r w:rsidRPr="27136E50">
        <w:rPr>
          <w:color w:val="000000" w:themeColor="text1"/>
          <w:sz w:val="20"/>
          <w:szCs w:val="20"/>
          <w:lang w:val="en-CA"/>
        </w:rPr>
        <w:t xml:space="preserve"> worker-centric support programs and services, such as on-arrival orientation services, information workshops, legal support, and assistance in emergency and at-risk situations.</w:t>
      </w:r>
    </w:p>
    <w:p w14:paraId="60C24321" w14:textId="77777777" w:rsidR="00E5223E" w:rsidRPr="004E7B65" w:rsidRDefault="00E5223E" w:rsidP="009D7D15">
      <w:pPr>
        <w:pStyle w:val="Content1"/>
        <w:numPr>
          <w:ilvl w:val="0"/>
          <w:numId w:val="7"/>
        </w:numPr>
        <w:ind w:left="1134" w:right="1134" w:firstLine="0"/>
        <w:jc w:val="both"/>
        <w:rPr>
          <w:sz w:val="20"/>
          <w:szCs w:val="20"/>
          <w:lang w:val="en-CA"/>
        </w:rPr>
      </w:pPr>
      <w:r w:rsidRPr="004E7B65">
        <w:rPr>
          <w:sz w:val="20"/>
          <w:szCs w:val="20"/>
          <w:lang w:val="en-CA"/>
        </w:rPr>
        <w:t>Prince Edward Island enacted temporary foreign worker protection legislation that covers some gaps between the rules of the federal Temporary Foreign Worker programs and the provincial employment standards rules. The intention is to add a level of protection from abuse that is specific to temporary foreign workers, including a requirement for foreign worker recruiters to be licenced. The legislation prohibits employers and recruiters from charging foreign workers for recruitment services and provides protections from certain reprisal actions.</w:t>
      </w:r>
    </w:p>
    <w:p w14:paraId="179632A4" w14:textId="77777777" w:rsidR="00E5223E" w:rsidRPr="004E7B65" w:rsidRDefault="00E5223E" w:rsidP="009D7D15">
      <w:pPr>
        <w:pStyle w:val="Content1"/>
        <w:numPr>
          <w:ilvl w:val="0"/>
          <w:numId w:val="7"/>
        </w:numPr>
        <w:ind w:left="1134" w:right="1134" w:firstLine="0"/>
        <w:jc w:val="both"/>
        <w:rPr>
          <w:sz w:val="20"/>
          <w:szCs w:val="20"/>
          <w:lang w:val="en-CA"/>
        </w:rPr>
      </w:pPr>
      <w:r w:rsidRPr="004E7B65">
        <w:rPr>
          <w:sz w:val="20"/>
          <w:szCs w:val="20"/>
          <w:lang w:val="en-CA"/>
        </w:rPr>
        <w:t xml:space="preserve">In Quebec, TFWs have the same labour rights and obligations as all Quebec workers. The regulation respecting personnel placement agencies and TFW recruitment agencies and certain provisions of the </w:t>
      </w:r>
      <w:r w:rsidRPr="004E7B65">
        <w:rPr>
          <w:i/>
          <w:iCs/>
          <w:sz w:val="20"/>
          <w:szCs w:val="20"/>
          <w:lang w:val="en-CA"/>
        </w:rPr>
        <w:t>Act Respecting Labour Standards</w:t>
      </w:r>
      <w:r w:rsidRPr="004E7B65">
        <w:rPr>
          <w:sz w:val="20"/>
          <w:szCs w:val="20"/>
          <w:lang w:val="en-CA"/>
        </w:rPr>
        <w:t xml:space="preserve"> came into force in 2020. It makes it mandatory for personnel placement agencies and temporary foreign worker recruitment agencies to hold a permit issued by the Commission of labour standards, pay equity, and occupational health and safety.</w:t>
      </w:r>
    </w:p>
    <w:p w14:paraId="78217566" w14:textId="2DA341D1" w:rsidR="00E5223E" w:rsidRPr="00C1401C" w:rsidRDefault="00D300A6" w:rsidP="00D300A6">
      <w:pPr>
        <w:pStyle w:val="H1G"/>
        <w:rPr>
          <w:lang w:val="en-CA"/>
        </w:rPr>
      </w:pPr>
      <w:bookmarkStart w:id="13" w:name="_Toc177633110"/>
      <w:r>
        <w:rPr>
          <w:lang w:val="en-CA"/>
        </w:rPr>
        <w:tab/>
      </w:r>
      <w:r>
        <w:rPr>
          <w:lang w:val="en-CA"/>
        </w:rPr>
        <w:tab/>
      </w:r>
      <w:r w:rsidR="00E5223E" w:rsidRPr="00C1401C">
        <w:rPr>
          <w:lang w:val="en-CA"/>
        </w:rPr>
        <w:t>Asylum Claims</w:t>
      </w:r>
      <w:bookmarkEnd w:id="13"/>
    </w:p>
    <w:p w14:paraId="36A1B042" w14:textId="77777777" w:rsidR="00E5223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The Safe Third Country Agreement (STCA) </w:t>
      </w:r>
      <w:r w:rsidRPr="00D5719D">
        <w:rPr>
          <w:sz w:val="20"/>
          <w:szCs w:val="20"/>
          <w:lang w:val="en-CA"/>
        </w:rPr>
        <w:t>serves as a mutually beneficial framework that enables Canada and the United States to collaborate on the orderly and efficient management of asylum claims</w:t>
      </w:r>
      <w:r w:rsidRPr="6BCE64E0">
        <w:rPr>
          <w:sz w:val="20"/>
          <w:szCs w:val="20"/>
          <w:lang w:val="en-CA"/>
        </w:rPr>
        <w:t xml:space="preserve">. The STCA </w:t>
      </w:r>
      <w:r>
        <w:rPr>
          <w:sz w:val="20"/>
          <w:szCs w:val="20"/>
          <w:lang w:val="en-CA"/>
        </w:rPr>
        <w:t>recognizes</w:t>
      </w:r>
      <w:r w:rsidRPr="6BCE64E0">
        <w:rPr>
          <w:sz w:val="20"/>
          <w:szCs w:val="20"/>
          <w:lang w:val="en-CA"/>
        </w:rPr>
        <w:t xml:space="preserve"> that both countries share a mutual responsibility to protect human rights and fundamental freedoms. The STCA is based on the first safe country principle, wherein asylum claimants fleeing persecution should seek asylum in the first country where it is safe for them to do so, a principle is internationally recognized and supported by the UN Refugee Agency.</w:t>
      </w:r>
    </w:p>
    <w:p w14:paraId="65618ADE" w14:textId="77777777" w:rsidR="00F76831" w:rsidRPr="00F76831" w:rsidRDefault="00E5223E" w:rsidP="009D7D15">
      <w:pPr>
        <w:pStyle w:val="Content1"/>
        <w:numPr>
          <w:ilvl w:val="0"/>
          <w:numId w:val="7"/>
        </w:numPr>
        <w:ind w:left="1134" w:right="1134" w:firstLine="0"/>
        <w:jc w:val="both"/>
        <w:rPr>
          <w:lang w:val="en-CA"/>
        </w:rPr>
      </w:pPr>
      <w:r>
        <w:rPr>
          <w:sz w:val="20"/>
          <w:szCs w:val="20"/>
          <w:lang w:val="en-CA"/>
        </w:rPr>
        <w:t>I</w:t>
      </w:r>
      <w:r w:rsidRPr="004157B9">
        <w:rPr>
          <w:sz w:val="20"/>
          <w:szCs w:val="20"/>
          <w:lang w:val="en-CA"/>
        </w:rPr>
        <w:t>n 2023, the STCA</w:t>
      </w:r>
      <w:r>
        <w:rPr>
          <w:sz w:val="20"/>
          <w:szCs w:val="20"/>
          <w:lang w:val="en-CA"/>
        </w:rPr>
        <w:t>’s</w:t>
      </w:r>
      <w:r w:rsidRPr="004157B9" w:rsidDel="008E2BEB">
        <w:rPr>
          <w:sz w:val="20"/>
          <w:szCs w:val="20"/>
          <w:lang w:val="en-CA"/>
        </w:rPr>
        <w:t xml:space="preserve"> </w:t>
      </w:r>
      <w:r w:rsidRPr="008E2BEB">
        <w:rPr>
          <w:sz w:val="20"/>
          <w:szCs w:val="20"/>
          <w:lang w:val="en-CA"/>
        </w:rPr>
        <w:t xml:space="preserve">application was expanded (including exception and exemption provisions) to those who claim asylum within 14 days of crossing the border between ports of entry, including via </w:t>
      </w:r>
      <w:r>
        <w:rPr>
          <w:sz w:val="20"/>
          <w:szCs w:val="20"/>
          <w:lang w:val="en-CA"/>
        </w:rPr>
        <w:t xml:space="preserve">most </w:t>
      </w:r>
      <w:r w:rsidRPr="008E2BEB">
        <w:rPr>
          <w:sz w:val="20"/>
          <w:szCs w:val="20"/>
          <w:lang w:val="en-CA"/>
        </w:rPr>
        <w:t>internal waterways</w:t>
      </w:r>
      <w:r>
        <w:rPr>
          <w:sz w:val="20"/>
          <w:szCs w:val="20"/>
          <w:lang w:val="en-CA"/>
        </w:rPr>
        <w:t>.</w:t>
      </w:r>
      <w:bookmarkStart w:id="14" w:name="_Toc177633111"/>
    </w:p>
    <w:p w14:paraId="64FB8CA2" w14:textId="47C6F3D9" w:rsidR="00E5223E" w:rsidRPr="00D300A6" w:rsidRDefault="00F76831" w:rsidP="00F76831">
      <w:pPr>
        <w:pStyle w:val="HChG"/>
        <w:rPr>
          <w:lang w:val="en-CA"/>
        </w:rPr>
      </w:pPr>
      <w:r>
        <w:rPr>
          <w:lang w:val="en-CA"/>
        </w:rPr>
        <w:tab/>
      </w:r>
      <w:r w:rsidR="00E5223E" w:rsidRPr="00D300A6">
        <w:rPr>
          <w:lang w:val="en-CA"/>
        </w:rPr>
        <w:t>IV.</w:t>
      </w:r>
      <w:r>
        <w:rPr>
          <w:lang w:val="en-CA"/>
        </w:rPr>
        <w:tab/>
      </w:r>
      <w:r w:rsidR="00E5223E" w:rsidRPr="00D300A6">
        <w:rPr>
          <w:lang w:val="en-CA"/>
        </w:rPr>
        <w:t>Indigenous People</w:t>
      </w:r>
      <w:bookmarkEnd w:id="14"/>
      <w:r>
        <w:rPr>
          <w:lang w:val="en-CA"/>
        </w:rPr>
        <w:t>s</w:t>
      </w:r>
    </w:p>
    <w:p w14:paraId="214F08AE" w14:textId="77777777" w:rsidR="00E5223E" w:rsidRPr="00C46D9D" w:rsidRDefault="00E5223E" w:rsidP="009D7D15">
      <w:pPr>
        <w:pStyle w:val="Content1"/>
        <w:numPr>
          <w:ilvl w:val="0"/>
          <w:numId w:val="7"/>
        </w:numPr>
        <w:ind w:left="1134" w:right="1134" w:firstLine="0"/>
        <w:jc w:val="both"/>
        <w:rPr>
          <w:sz w:val="20"/>
          <w:szCs w:val="20"/>
          <w:lang w:val="en-CA"/>
        </w:rPr>
      </w:pPr>
      <w:r w:rsidRPr="00E95B2A">
        <w:rPr>
          <w:sz w:val="20"/>
          <w:szCs w:val="20"/>
          <w:lang w:val="en-CA"/>
        </w:rPr>
        <w:t>This section includes information on initiatives undertaken to improve the socio-economic conditions of Indigenous Peoples, initiatives focusing on Indigenous women and girls, and consultations with Indigenous Peoples</w:t>
      </w:r>
      <w:r>
        <w:rPr>
          <w:sz w:val="20"/>
          <w:szCs w:val="20"/>
          <w:lang w:val="en-CA"/>
        </w:rPr>
        <w:t xml:space="preserve"> in support of</w:t>
      </w:r>
      <w:r w:rsidRPr="00E95B2A">
        <w:rPr>
          <w:sz w:val="20"/>
          <w:szCs w:val="20"/>
          <w:lang w:val="en-CA"/>
        </w:rPr>
        <w:t xml:space="preserve"> </w:t>
      </w:r>
      <w:r>
        <w:rPr>
          <w:sz w:val="20"/>
          <w:szCs w:val="20"/>
          <w:lang w:val="en-CA"/>
        </w:rPr>
        <w:t xml:space="preserve">the Committee’s 2017 </w:t>
      </w:r>
      <w:r w:rsidRPr="00E95B2A">
        <w:rPr>
          <w:sz w:val="20"/>
          <w:szCs w:val="20"/>
          <w:lang w:val="en-CA"/>
        </w:rPr>
        <w:t xml:space="preserve">Concluding Observations </w:t>
      </w:r>
      <w:r w:rsidRPr="00C46D9D">
        <w:rPr>
          <w:sz w:val="20"/>
          <w:szCs w:val="20"/>
          <w:lang w:val="en-CA"/>
        </w:rPr>
        <w:t xml:space="preserve">24, 20, and 14. </w:t>
      </w:r>
    </w:p>
    <w:p w14:paraId="700CCF47" w14:textId="39B9528E" w:rsidR="00E5223E" w:rsidRPr="002C6BCF" w:rsidRDefault="00F76831" w:rsidP="00F76831">
      <w:pPr>
        <w:pStyle w:val="H1G"/>
        <w:rPr>
          <w:lang w:val="en-CA"/>
        </w:rPr>
      </w:pPr>
      <w:bookmarkStart w:id="15" w:name="_Toc177633112"/>
      <w:r>
        <w:rPr>
          <w:lang w:val="en-CA"/>
        </w:rPr>
        <w:tab/>
      </w:r>
      <w:r>
        <w:rPr>
          <w:lang w:val="en-CA"/>
        </w:rPr>
        <w:tab/>
      </w:r>
      <w:r w:rsidR="00E5223E" w:rsidRPr="002C6BCF">
        <w:rPr>
          <w:lang w:val="en-CA"/>
        </w:rPr>
        <w:t>Federal Strategies</w:t>
      </w:r>
      <w:bookmarkEnd w:id="15"/>
    </w:p>
    <w:p w14:paraId="3678CF5A" w14:textId="77777777" w:rsidR="00E5223E" w:rsidRPr="004157B9" w:rsidRDefault="00E5223E" w:rsidP="009D7D15">
      <w:pPr>
        <w:pStyle w:val="Content1"/>
        <w:numPr>
          <w:ilvl w:val="0"/>
          <w:numId w:val="7"/>
        </w:numPr>
        <w:ind w:left="1134" w:right="1134" w:firstLine="0"/>
        <w:jc w:val="both"/>
        <w:rPr>
          <w:sz w:val="20"/>
          <w:szCs w:val="20"/>
          <w:lang w:val="en-CA"/>
        </w:rPr>
      </w:pPr>
      <w:r w:rsidRPr="0BCDA949">
        <w:rPr>
          <w:sz w:val="20"/>
          <w:szCs w:val="20"/>
          <w:lang w:val="en-CA"/>
        </w:rPr>
        <w:t>In 2007, the U</w:t>
      </w:r>
      <w:r>
        <w:rPr>
          <w:sz w:val="20"/>
          <w:szCs w:val="20"/>
          <w:lang w:val="en-CA"/>
        </w:rPr>
        <w:t>N</w:t>
      </w:r>
      <w:r w:rsidRPr="0BCDA949">
        <w:rPr>
          <w:sz w:val="20"/>
          <w:szCs w:val="20"/>
          <w:lang w:val="en-CA"/>
        </w:rPr>
        <w:t xml:space="preserve"> General Assembly adopted the UN Declaration. In 2016, the G</w:t>
      </w:r>
      <w:r>
        <w:rPr>
          <w:sz w:val="20"/>
          <w:szCs w:val="20"/>
          <w:lang w:val="en-CA"/>
        </w:rPr>
        <w:t>C</w:t>
      </w:r>
      <w:r w:rsidRPr="0BCDA949">
        <w:rPr>
          <w:sz w:val="20"/>
          <w:szCs w:val="20"/>
          <w:lang w:val="en-CA"/>
        </w:rPr>
        <w:t xml:space="preserve"> endorsed the UN Declaration without qualification and committed to its full and effective implementation. </w:t>
      </w:r>
      <w:r>
        <w:rPr>
          <w:sz w:val="20"/>
          <w:szCs w:val="20"/>
          <w:lang w:val="en-CA"/>
        </w:rPr>
        <w:t>In</w:t>
      </w:r>
      <w:r w:rsidRPr="0BCDA949">
        <w:rPr>
          <w:sz w:val="20"/>
          <w:szCs w:val="20"/>
          <w:lang w:val="en-CA"/>
        </w:rPr>
        <w:t xml:space="preserve"> 2021</w:t>
      </w:r>
      <w:r>
        <w:rPr>
          <w:sz w:val="20"/>
          <w:szCs w:val="20"/>
          <w:lang w:val="en-CA"/>
        </w:rPr>
        <w:t>,</w:t>
      </w:r>
      <w:r w:rsidRPr="0BCDA949">
        <w:rPr>
          <w:sz w:val="20"/>
          <w:szCs w:val="20"/>
          <w:lang w:val="en-CA"/>
        </w:rPr>
        <w:t xml:space="preserve"> the </w:t>
      </w:r>
      <w:r w:rsidRPr="0BCDA949">
        <w:rPr>
          <w:i/>
          <w:iCs/>
          <w:sz w:val="20"/>
          <w:szCs w:val="20"/>
          <w:lang w:val="en-CA"/>
        </w:rPr>
        <w:t xml:space="preserve">United Nations Declaration on the </w:t>
      </w:r>
      <w:r w:rsidRPr="007E5230">
        <w:rPr>
          <w:sz w:val="20"/>
          <w:szCs w:val="20"/>
          <w:lang w:val="en-CA"/>
        </w:rPr>
        <w:t>Rights</w:t>
      </w:r>
      <w:r w:rsidRPr="0BCDA949">
        <w:rPr>
          <w:i/>
          <w:iCs/>
          <w:sz w:val="20"/>
          <w:szCs w:val="20"/>
          <w:lang w:val="en-CA"/>
        </w:rPr>
        <w:t xml:space="preserve"> of Indigenous Peoples Act</w:t>
      </w:r>
      <w:r w:rsidRPr="0BCDA949">
        <w:rPr>
          <w:sz w:val="20"/>
          <w:szCs w:val="20"/>
          <w:lang w:val="en-CA"/>
        </w:rPr>
        <w:t xml:space="preserve"> </w:t>
      </w:r>
      <w:r>
        <w:rPr>
          <w:sz w:val="20"/>
          <w:szCs w:val="20"/>
          <w:lang w:val="en-CA"/>
        </w:rPr>
        <w:t xml:space="preserve">(UNDA) </w:t>
      </w:r>
      <w:r w:rsidRPr="0BCDA949">
        <w:rPr>
          <w:sz w:val="20"/>
          <w:szCs w:val="20"/>
          <w:lang w:val="en-CA"/>
        </w:rPr>
        <w:t>received Royal Assent and immediately came into force.</w:t>
      </w:r>
    </w:p>
    <w:p w14:paraId="53B79393" w14:textId="77777777" w:rsidR="00E5223E" w:rsidRDefault="00E5223E" w:rsidP="009D7D15">
      <w:pPr>
        <w:pStyle w:val="Content1"/>
        <w:numPr>
          <w:ilvl w:val="0"/>
          <w:numId w:val="7"/>
        </w:numPr>
        <w:ind w:left="1134" w:right="1134" w:firstLine="0"/>
        <w:jc w:val="both"/>
        <w:rPr>
          <w:sz w:val="20"/>
          <w:szCs w:val="20"/>
        </w:rPr>
      </w:pPr>
      <w:r>
        <w:rPr>
          <w:sz w:val="20"/>
          <w:szCs w:val="20"/>
        </w:rPr>
        <w:t>The legislation</w:t>
      </w:r>
      <w:r w:rsidRPr="27136E50">
        <w:rPr>
          <w:sz w:val="20"/>
          <w:szCs w:val="20"/>
        </w:rPr>
        <w:t xml:space="preserve"> provides a framework for the GC to </w:t>
      </w:r>
      <w:r>
        <w:rPr>
          <w:sz w:val="20"/>
          <w:szCs w:val="20"/>
        </w:rPr>
        <w:t xml:space="preserve">achieve the objectives of </w:t>
      </w:r>
      <w:r w:rsidRPr="27136E50">
        <w:rPr>
          <w:sz w:val="20"/>
          <w:szCs w:val="20"/>
        </w:rPr>
        <w:t>the UN</w:t>
      </w:r>
      <w:r>
        <w:rPr>
          <w:sz w:val="20"/>
          <w:szCs w:val="20"/>
        </w:rPr>
        <w:t xml:space="preserve"> </w:t>
      </w:r>
      <w:r w:rsidRPr="27136E50">
        <w:rPr>
          <w:sz w:val="20"/>
          <w:szCs w:val="20"/>
        </w:rPr>
        <w:t>D</w:t>
      </w:r>
      <w:r>
        <w:rPr>
          <w:sz w:val="20"/>
          <w:szCs w:val="20"/>
        </w:rPr>
        <w:t xml:space="preserve">eclaration </w:t>
      </w:r>
      <w:r w:rsidRPr="27136E50">
        <w:rPr>
          <w:sz w:val="20"/>
          <w:szCs w:val="20"/>
        </w:rPr>
        <w:t>in federal areas of responsibility and is a key step in renewing Canada’s relationship with Indigenous Peoples. The purpose of the UN</w:t>
      </w:r>
      <w:r>
        <w:rPr>
          <w:sz w:val="20"/>
          <w:szCs w:val="20"/>
        </w:rPr>
        <w:t>DA</w:t>
      </w:r>
      <w:r w:rsidRPr="27136E50">
        <w:rPr>
          <w:sz w:val="20"/>
          <w:szCs w:val="20"/>
        </w:rPr>
        <w:t xml:space="preserve"> is to affirm the </w:t>
      </w:r>
      <w:r>
        <w:rPr>
          <w:sz w:val="20"/>
          <w:szCs w:val="20"/>
        </w:rPr>
        <w:t xml:space="preserve">UN </w:t>
      </w:r>
      <w:r w:rsidRPr="27136E50">
        <w:rPr>
          <w:sz w:val="20"/>
          <w:szCs w:val="20"/>
        </w:rPr>
        <w:t xml:space="preserve">Declaration as an international human rights instrument with application in Canadian law and to provide a framework for the </w:t>
      </w:r>
      <w:r>
        <w:rPr>
          <w:sz w:val="20"/>
          <w:szCs w:val="20"/>
        </w:rPr>
        <w:t>GC</w:t>
      </w:r>
      <w:r w:rsidRPr="27136E50">
        <w:rPr>
          <w:sz w:val="20"/>
          <w:szCs w:val="20"/>
        </w:rPr>
        <w:t>’s implementation of the UN Declaration. The UN</w:t>
      </w:r>
      <w:r>
        <w:rPr>
          <w:sz w:val="20"/>
          <w:szCs w:val="20"/>
        </w:rPr>
        <w:t>DA</w:t>
      </w:r>
      <w:r w:rsidRPr="27136E50">
        <w:rPr>
          <w:sz w:val="20"/>
          <w:szCs w:val="20"/>
        </w:rPr>
        <w:t xml:space="preserve"> provides a clear vision for the future, ensuring that federal laws are consistent with the principles and rights set out in the UN Declaration, while also respecting Aboriginal and Treaty rights recognized and affirmed by the </w:t>
      </w:r>
      <w:r w:rsidRPr="009F18A6">
        <w:rPr>
          <w:i/>
          <w:iCs/>
          <w:sz w:val="20"/>
          <w:szCs w:val="20"/>
        </w:rPr>
        <w:t>Constitution Act, 1982</w:t>
      </w:r>
      <w:r w:rsidRPr="27136E50">
        <w:rPr>
          <w:sz w:val="20"/>
          <w:szCs w:val="20"/>
        </w:rPr>
        <w:t>.</w:t>
      </w:r>
      <w:r>
        <w:rPr>
          <w:sz w:val="20"/>
          <w:szCs w:val="20"/>
        </w:rPr>
        <w:t xml:space="preserve"> </w:t>
      </w:r>
      <w:r w:rsidRPr="00072113">
        <w:rPr>
          <w:sz w:val="20"/>
          <w:szCs w:val="20"/>
        </w:rPr>
        <w:t xml:space="preserve">The </w:t>
      </w:r>
      <w:r>
        <w:rPr>
          <w:sz w:val="20"/>
          <w:szCs w:val="20"/>
        </w:rPr>
        <w:t>UNDA</w:t>
      </w:r>
      <w:r w:rsidRPr="00072113">
        <w:rPr>
          <w:sz w:val="20"/>
          <w:szCs w:val="20"/>
        </w:rPr>
        <w:t xml:space="preserve"> requires that Canada take all measures necessary to ensure that the laws of Canada are consistent with the</w:t>
      </w:r>
      <w:r>
        <w:rPr>
          <w:sz w:val="20"/>
          <w:szCs w:val="20"/>
        </w:rPr>
        <w:t xml:space="preserve"> UN</w:t>
      </w:r>
      <w:r w:rsidRPr="00072113">
        <w:rPr>
          <w:sz w:val="20"/>
          <w:szCs w:val="20"/>
        </w:rPr>
        <w:t xml:space="preserve"> Declaration, in consultation and cooperation with Indigenous Peoples</w:t>
      </w:r>
      <w:r>
        <w:rPr>
          <w:sz w:val="20"/>
          <w:szCs w:val="20"/>
        </w:rPr>
        <w:t>.</w:t>
      </w:r>
    </w:p>
    <w:p w14:paraId="44A54D1D" w14:textId="77777777" w:rsidR="00E5223E" w:rsidRPr="00C46D9D" w:rsidRDefault="00E5223E" w:rsidP="009D7D15">
      <w:pPr>
        <w:pStyle w:val="Content1"/>
        <w:numPr>
          <w:ilvl w:val="0"/>
          <w:numId w:val="7"/>
        </w:numPr>
        <w:ind w:left="1134" w:right="1134" w:firstLine="0"/>
        <w:jc w:val="both"/>
        <w:rPr>
          <w:lang w:val="en-CA"/>
        </w:rPr>
      </w:pPr>
      <w:r w:rsidRPr="00564D6C">
        <w:rPr>
          <w:color w:val="000000" w:themeColor="text1"/>
          <w:sz w:val="20"/>
          <w:szCs w:val="20"/>
          <w:lang w:val="en-CA"/>
        </w:rPr>
        <w:t xml:space="preserve">Through the development of </w:t>
      </w:r>
      <w:r w:rsidRPr="005C6F7F">
        <w:rPr>
          <w:color w:val="000000" w:themeColor="text1"/>
          <w:sz w:val="20"/>
          <w:szCs w:val="20"/>
          <w:lang w:val="en-CA"/>
        </w:rPr>
        <w:t>the UNDA</w:t>
      </w:r>
      <w:r>
        <w:rPr>
          <w:i/>
          <w:iCs/>
          <w:color w:val="000000" w:themeColor="text1"/>
          <w:sz w:val="20"/>
          <w:szCs w:val="20"/>
          <w:lang w:val="en-CA"/>
        </w:rPr>
        <w:t xml:space="preserve"> </w:t>
      </w:r>
      <w:r w:rsidRPr="00564D6C">
        <w:rPr>
          <w:color w:val="000000" w:themeColor="text1"/>
          <w:sz w:val="20"/>
          <w:szCs w:val="20"/>
          <w:lang w:val="en-CA"/>
        </w:rPr>
        <w:t xml:space="preserve">Action Plan, </w:t>
      </w:r>
      <w:r>
        <w:rPr>
          <w:color w:val="000000" w:themeColor="text1"/>
          <w:sz w:val="20"/>
          <w:szCs w:val="20"/>
          <w:lang w:val="en-CA"/>
        </w:rPr>
        <w:t>t</w:t>
      </w:r>
      <w:r w:rsidRPr="27136E50">
        <w:rPr>
          <w:color w:val="000000" w:themeColor="text1"/>
          <w:sz w:val="20"/>
          <w:szCs w:val="20"/>
          <w:lang w:val="en-CA"/>
        </w:rPr>
        <w:t xml:space="preserve">he GC is working in consultation and cooperation with Indigenous Peoples to identify the measures </w:t>
      </w:r>
      <w:r>
        <w:rPr>
          <w:color w:val="000000" w:themeColor="text1"/>
          <w:sz w:val="20"/>
          <w:szCs w:val="20"/>
          <w:lang w:val="en-CA"/>
        </w:rPr>
        <w:t>to ensure</w:t>
      </w:r>
      <w:r w:rsidRPr="27136E50">
        <w:rPr>
          <w:color w:val="000000" w:themeColor="text1"/>
          <w:sz w:val="20"/>
          <w:szCs w:val="20"/>
          <w:lang w:val="en-CA"/>
        </w:rPr>
        <w:t xml:space="preserve"> the objectives of the UN Declaration</w:t>
      </w:r>
      <w:r>
        <w:rPr>
          <w:color w:val="000000" w:themeColor="text1"/>
          <w:sz w:val="20"/>
          <w:szCs w:val="20"/>
          <w:lang w:val="en-CA"/>
        </w:rPr>
        <w:t xml:space="preserve"> are achieved</w:t>
      </w:r>
      <w:r w:rsidRPr="27136E50">
        <w:rPr>
          <w:color w:val="000000" w:themeColor="text1"/>
          <w:sz w:val="20"/>
          <w:szCs w:val="20"/>
          <w:lang w:val="en-CA"/>
        </w:rPr>
        <w:t>. The 2023-2028 Action Plan provides a roadmap of actions need</w:t>
      </w:r>
      <w:r>
        <w:rPr>
          <w:color w:val="000000" w:themeColor="text1"/>
          <w:sz w:val="20"/>
          <w:szCs w:val="20"/>
          <w:lang w:val="en-CA"/>
        </w:rPr>
        <w:t>ed</w:t>
      </w:r>
      <w:r w:rsidRPr="27136E50">
        <w:rPr>
          <w:color w:val="000000" w:themeColor="text1"/>
          <w:sz w:val="20"/>
          <w:szCs w:val="20"/>
          <w:lang w:val="en-CA"/>
        </w:rPr>
        <w:t xml:space="preserve"> to </w:t>
      </w:r>
      <w:r>
        <w:rPr>
          <w:color w:val="000000" w:themeColor="text1"/>
          <w:sz w:val="20"/>
          <w:szCs w:val="20"/>
          <w:lang w:val="en-CA"/>
        </w:rPr>
        <w:t>be taken</w:t>
      </w:r>
      <w:r w:rsidRPr="27136E50">
        <w:rPr>
          <w:color w:val="000000" w:themeColor="text1"/>
          <w:sz w:val="20"/>
          <w:szCs w:val="20"/>
          <w:lang w:val="en-CA"/>
        </w:rPr>
        <w:t xml:space="preserve"> in </w:t>
      </w:r>
      <w:r>
        <w:rPr>
          <w:color w:val="000000" w:themeColor="text1"/>
          <w:sz w:val="20"/>
          <w:szCs w:val="20"/>
          <w:lang w:val="en-CA"/>
        </w:rPr>
        <w:t>consultation and cooperation</w:t>
      </w:r>
      <w:r w:rsidRPr="27136E50">
        <w:rPr>
          <w:color w:val="000000" w:themeColor="text1"/>
          <w:sz w:val="20"/>
          <w:szCs w:val="20"/>
          <w:lang w:val="en-CA"/>
        </w:rPr>
        <w:t xml:space="preserve"> with Indigenous Peoples to implement the principles and rights set out in the UN Declaration and to further advance reconciliation in a tangible way. The Action Plan includes 181 measures that reflect priorities and proposals identified by First Nations, Inuit, Métis, Indigenous Modern Treaty partners and other Indigenous organizations inclusive of different distinctions</w:t>
      </w:r>
      <w:r>
        <w:rPr>
          <w:color w:val="000000" w:themeColor="text1"/>
          <w:sz w:val="20"/>
          <w:szCs w:val="20"/>
          <w:lang w:val="en-CA"/>
        </w:rPr>
        <w:t xml:space="preserve">, </w:t>
      </w:r>
      <w:r w:rsidRPr="0027600D">
        <w:rPr>
          <w:color w:val="000000" w:themeColor="text1"/>
          <w:sz w:val="20"/>
          <w:szCs w:val="20"/>
          <w:lang w:val="en-CA"/>
        </w:rPr>
        <w:t>and commitments to combat anti-Indigenous racism, including in the health and legal systems</w:t>
      </w:r>
      <w:r w:rsidRPr="27136E50">
        <w:rPr>
          <w:color w:val="000000" w:themeColor="text1"/>
          <w:sz w:val="20"/>
          <w:szCs w:val="20"/>
          <w:lang w:val="en-CA"/>
        </w:rPr>
        <w:t xml:space="preserve">. </w:t>
      </w:r>
      <w:r w:rsidRPr="00794863">
        <w:rPr>
          <w:color w:val="000000" w:themeColor="text1"/>
          <w:sz w:val="20"/>
          <w:szCs w:val="20"/>
          <w:lang w:val="en-CA"/>
        </w:rPr>
        <w:t xml:space="preserve">Canada tables an Annual Progress Report to Parliament to demonstrate how it advances the commitments made through the </w:t>
      </w:r>
      <w:r>
        <w:rPr>
          <w:color w:val="000000" w:themeColor="text1"/>
          <w:sz w:val="20"/>
          <w:szCs w:val="20"/>
          <w:lang w:val="en-CA"/>
        </w:rPr>
        <w:t>UNDA</w:t>
      </w:r>
      <w:r w:rsidRPr="00794863">
        <w:rPr>
          <w:color w:val="000000" w:themeColor="text1"/>
          <w:sz w:val="20"/>
          <w:szCs w:val="20"/>
          <w:lang w:val="en-CA"/>
        </w:rPr>
        <w:t xml:space="preserve"> and</w:t>
      </w:r>
      <w:r>
        <w:rPr>
          <w:color w:val="000000" w:themeColor="text1"/>
          <w:sz w:val="20"/>
          <w:szCs w:val="20"/>
          <w:lang w:val="en-CA"/>
        </w:rPr>
        <w:t xml:space="preserve"> </w:t>
      </w:r>
      <w:r w:rsidRPr="00794863">
        <w:rPr>
          <w:color w:val="000000" w:themeColor="text1"/>
          <w:sz w:val="20"/>
          <w:szCs w:val="20"/>
          <w:lang w:val="en-CA"/>
        </w:rPr>
        <w:t xml:space="preserve">Action Plan.   </w:t>
      </w:r>
    </w:p>
    <w:p w14:paraId="148C1BCB" w14:textId="77777777" w:rsidR="00E5223E" w:rsidRPr="002C2ABF" w:rsidRDefault="00E5223E" w:rsidP="009D7D15">
      <w:pPr>
        <w:pStyle w:val="Content1"/>
        <w:numPr>
          <w:ilvl w:val="0"/>
          <w:numId w:val="7"/>
        </w:numPr>
        <w:ind w:left="1134" w:right="1134" w:firstLine="0"/>
        <w:jc w:val="both"/>
        <w:rPr>
          <w:sz w:val="20"/>
          <w:szCs w:val="20"/>
          <w:lang w:val="en-CA"/>
        </w:rPr>
      </w:pPr>
      <w:r w:rsidRPr="00C46D9D">
        <w:rPr>
          <w:sz w:val="20"/>
          <w:szCs w:val="20"/>
          <w:lang w:val="en-CA"/>
        </w:rPr>
        <w:t xml:space="preserve">To support this work, the GC began funding eligible Indigenous organizations under the Indigenous Partnership Fund (IPF) beginning in fiscal year 2023–2024. The IPF supports ongoing consultation and cooperation with </w:t>
      </w:r>
      <w:r>
        <w:rPr>
          <w:sz w:val="20"/>
          <w:szCs w:val="20"/>
          <w:lang w:val="en-CA"/>
        </w:rPr>
        <w:t>Indigenous Peoples</w:t>
      </w:r>
      <w:r w:rsidRPr="00C46D9D">
        <w:rPr>
          <w:sz w:val="20"/>
          <w:szCs w:val="20"/>
          <w:lang w:val="en-CA"/>
        </w:rPr>
        <w:t xml:space="preserve"> to implement the UN Declaration, the UN</w:t>
      </w:r>
      <w:r>
        <w:rPr>
          <w:sz w:val="20"/>
          <w:szCs w:val="20"/>
          <w:lang w:val="en-CA"/>
        </w:rPr>
        <w:t>DA</w:t>
      </w:r>
      <w:r w:rsidRPr="002C2ABF">
        <w:rPr>
          <w:sz w:val="20"/>
          <w:szCs w:val="20"/>
          <w:lang w:val="en-CA"/>
        </w:rPr>
        <w:t>, and measures included in the UN</w:t>
      </w:r>
      <w:r>
        <w:rPr>
          <w:sz w:val="20"/>
          <w:szCs w:val="20"/>
          <w:lang w:val="en-CA"/>
        </w:rPr>
        <w:t>DA</w:t>
      </w:r>
      <w:r w:rsidRPr="002C2ABF">
        <w:rPr>
          <w:sz w:val="20"/>
          <w:szCs w:val="20"/>
          <w:lang w:val="en-CA"/>
        </w:rPr>
        <w:t xml:space="preserve"> Action Plan. </w:t>
      </w:r>
      <w:r w:rsidRPr="004E7B65">
        <w:rPr>
          <w:sz w:val="20"/>
          <w:szCs w:val="20"/>
          <w:lang w:val="en-CA"/>
        </w:rPr>
        <w:t>These consultations aim to address systemic barriers and support marginalized communities, particularly Indigenous Peoples.</w:t>
      </w:r>
    </w:p>
    <w:p w14:paraId="5E12EE72" w14:textId="77777777" w:rsidR="00E5223E" w:rsidRPr="00420518" w:rsidRDefault="00E5223E" w:rsidP="009D7D15">
      <w:pPr>
        <w:pStyle w:val="Content1"/>
        <w:numPr>
          <w:ilvl w:val="0"/>
          <w:numId w:val="7"/>
        </w:numPr>
        <w:ind w:left="1134" w:right="1134" w:firstLine="0"/>
        <w:jc w:val="both"/>
        <w:rPr>
          <w:sz w:val="20"/>
          <w:szCs w:val="20"/>
        </w:rPr>
      </w:pPr>
      <w:r w:rsidRPr="6789CA4F">
        <w:rPr>
          <w:sz w:val="20"/>
          <w:szCs w:val="20"/>
        </w:rPr>
        <w:t>The GC has also worked in consultation and cooperation with Indigenous Peoples to develop federal policies and strategies which are consistent with the U</w:t>
      </w:r>
      <w:r>
        <w:rPr>
          <w:sz w:val="20"/>
          <w:szCs w:val="20"/>
        </w:rPr>
        <w:t>N</w:t>
      </w:r>
      <w:r w:rsidRPr="6789CA4F">
        <w:rPr>
          <w:sz w:val="20"/>
          <w:szCs w:val="20"/>
        </w:rPr>
        <w:t xml:space="preserve"> Declaration. The Arctic and Northern Policy Framework, for example, includes the goal “Reconciliation supports self-determination and nurtures mutually respectful relationships between Indigenous and non-</w:t>
      </w:r>
      <w:r>
        <w:rPr>
          <w:sz w:val="20"/>
          <w:szCs w:val="20"/>
        </w:rPr>
        <w:t>Indigenous peoples</w:t>
      </w:r>
      <w:r w:rsidRPr="6789CA4F">
        <w:rPr>
          <w:sz w:val="20"/>
          <w:szCs w:val="20"/>
        </w:rPr>
        <w:t>”. Other Framework goals address areas such as language and knowledge systems, housing, education, and community safety (including a specific objective to “Address the systemic causes of all forms of violence against Indigenous women and girls”</w:t>
      </w:r>
      <w:r>
        <w:rPr>
          <w:sz w:val="20"/>
          <w:szCs w:val="20"/>
        </w:rPr>
        <w:t>)</w:t>
      </w:r>
      <w:r w:rsidRPr="6789CA4F">
        <w:rPr>
          <w:sz w:val="20"/>
          <w:szCs w:val="20"/>
        </w:rPr>
        <w:t xml:space="preserve">.  </w:t>
      </w:r>
    </w:p>
    <w:p w14:paraId="175271FE" w14:textId="77777777" w:rsidR="00E5223E" w:rsidRDefault="00E5223E" w:rsidP="009D7D15">
      <w:pPr>
        <w:pStyle w:val="Content1"/>
        <w:numPr>
          <w:ilvl w:val="0"/>
          <w:numId w:val="7"/>
        </w:numPr>
        <w:ind w:left="1134" w:right="1134" w:firstLine="0"/>
        <w:jc w:val="both"/>
        <w:rPr>
          <w:sz w:val="20"/>
          <w:szCs w:val="20"/>
          <w:lang w:val="en-CA"/>
        </w:rPr>
      </w:pPr>
      <w:r w:rsidRPr="004157B9">
        <w:rPr>
          <w:sz w:val="20"/>
          <w:szCs w:val="20"/>
          <w:lang w:val="en-CA"/>
        </w:rPr>
        <w:t xml:space="preserve">These efforts are part of the broader Reconciliation agenda in Canada and align with other federal plans and strategies including the Gender-Based Violence Strategy, the Federal </w:t>
      </w:r>
      <w:r w:rsidRPr="0076214C">
        <w:rPr>
          <w:sz w:val="20"/>
          <w:szCs w:val="20"/>
          <w:lang w:val="en-CA"/>
        </w:rPr>
        <w:t xml:space="preserve">Two-Spirit, </w:t>
      </w:r>
      <w:r>
        <w:rPr>
          <w:sz w:val="20"/>
          <w:szCs w:val="20"/>
          <w:lang w:val="en-CA"/>
        </w:rPr>
        <w:t>L</w:t>
      </w:r>
      <w:r w:rsidRPr="0076214C">
        <w:rPr>
          <w:sz w:val="20"/>
          <w:szCs w:val="20"/>
          <w:lang w:val="en-CA"/>
        </w:rPr>
        <w:t>esbian,</w:t>
      </w:r>
      <w:r>
        <w:rPr>
          <w:sz w:val="20"/>
          <w:szCs w:val="20"/>
          <w:lang w:val="en-CA"/>
        </w:rPr>
        <w:t xml:space="preserve"> Gay,</w:t>
      </w:r>
      <w:r w:rsidRPr="0076214C">
        <w:rPr>
          <w:sz w:val="20"/>
          <w:szCs w:val="20"/>
          <w:lang w:val="en-CA"/>
        </w:rPr>
        <w:t xml:space="preserve"> </w:t>
      </w:r>
      <w:r>
        <w:rPr>
          <w:sz w:val="20"/>
          <w:szCs w:val="20"/>
          <w:lang w:val="en-CA"/>
        </w:rPr>
        <w:t>B</w:t>
      </w:r>
      <w:r w:rsidRPr="0076214C">
        <w:rPr>
          <w:sz w:val="20"/>
          <w:szCs w:val="20"/>
          <w:lang w:val="en-CA"/>
        </w:rPr>
        <w:t xml:space="preserve">isexual, </w:t>
      </w:r>
      <w:r>
        <w:rPr>
          <w:sz w:val="20"/>
          <w:szCs w:val="20"/>
          <w:lang w:val="en-CA"/>
        </w:rPr>
        <w:t>T</w:t>
      </w:r>
      <w:r w:rsidRPr="0076214C">
        <w:rPr>
          <w:sz w:val="20"/>
          <w:szCs w:val="20"/>
          <w:lang w:val="en-CA"/>
        </w:rPr>
        <w:t xml:space="preserve">ransgender, </w:t>
      </w:r>
      <w:r>
        <w:rPr>
          <w:sz w:val="20"/>
          <w:szCs w:val="20"/>
          <w:lang w:val="en-CA"/>
        </w:rPr>
        <w:t>Q</w:t>
      </w:r>
      <w:r w:rsidRPr="0076214C">
        <w:rPr>
          <w:sz w:val="20"/>
          <w:szCs w:val="20"/>
          <w:lang w:val="en-CA"/>
        </w:rPr>
        <w:t xml:space="preserve">ueer, </w:t>
      </w:r>
      <w:r>
        <w:rPr>
          <w:sz w:val="20"/>
          <w:szCs w:val="20"/>
          <w:lang w:val="en-CA"/>
        </w:rPr>
        <w:t>I</w:t>
      </w:r>
      <w:r w:rsidRPr="0076214C">
        <w:rPr>
          <w:sz w:val="20"/>
          <w:szCs w:val="20"/>
          <w:lang w:val="en-CA"/>
        </w:rPr>
        <w:t xml:space="preserve">ntersex and additional </w:t>
      </w:r>
      <w:r>
        <w:rPr>
          <w:sz w:val="20"/>
          <w:szCs w:val="20"/>
          <w:lang w:val="en-CA"/>
        </w:rPr>
        <w:t xml:space="preserve">sexually and </w:t>
      </w:r>
      <w:r w:rsidRPr="0076214C">
        <w:rPr>
          <w:sz w:val="20"/>
          <w:szCs w:val="20"/>
          <w:lang w:val="en-CA"/>
        </w:rPr>
        <w:t>gender diverse</w:t>
      </w:r>
      <w:r>
        <w:rPr>
          <w:sz w:val="20"/>
          <w:szCs w:val="20"/>
          <w:lang w:val="en-CA"/>
        </w:rPr>
        <w:t xml:space="preserve"> people</w:t>
      </w:r>
      <w:r w:rsidRPr="0076214C">
        <w:rPr>
          <w:sz w:val="20"/>
          <w:szCs w:val="20"/>
          <w:lang w:val="en-CA"/>
        </w:rPr>
        <w:t xml:space="preserve"> </w:t>
      </w:r>
      <w:r>
        <w:rPr>
          <w:sz w:val="20"/>
          <w:szCs w:val="20"/>
          <w:lang w:val="en-CA"/>
        </w:rPr>
        <w:t>(</w:t>
      </w:r>
      <w:r w:rsidRPr="004157B9">
        <w:rPr>
          <w:sz w:val="20"/>
          <w:szCs w:val="20"/>
          <w:lang w:val="en-CA"/>
        </w:rPr>
        <w:t>2SLGBTQI+</w:t>
      </w:r>
      <w:r>
        <w:rPr>
          <w:sz w:val="20"/>
          <w:szCs w:val="20"/>
          <w:lang w:val="en-CA"/>
        </w:rPr>
        <w:t>)</w:t>
      </w:r>
      <w:r w:rsidRPr="004157B9">
        <w:rPr>
          <w:sz w:val="20"/>
          <w:szCs w:val="20"/>
          <w:lang w:val="en-CA"/>
        </w:rPr>
        <w:t xml:space="preserve"> Action Plan, </w:t>
      </w:r>
      <w:r>
        <w:rPr>
          <w:sz w:val="20"/>
          <w:szCs w:val="20"/>
          <w:lang w:val="en-CA"/>
        </w:rPr>
        <w:t xml:space="preserve">Canada’s </w:t>
      </w:r>
      <w:r w:rsidRPr="004157B9">
        <w:rPr>
          <w:sz w:val="20"/>
          <w:szCs w:val="20"/>
          <w:lang w:val="en-CA"/>
        </w:rPr>
        <w:t xml:space="preserve">Anti-Racism Strategy, the Indigenous Justice Strategy, Canada’s </w:t>
      </w:r>
      <w:r w:rsidRPr="0B387C4B">
        <w:rPr>
          <w:sz w:val="20"/>
          <w:szCs w:val="20"/>
          <w:lang w:val="en-CA"/>
        </w:rPr>
        <w:t>National</w:t>
      </w:r>
      <w:r w:rsidRPr="004157B9">
        <w:rPr>
          <w:sz w:val="20"/>
          <w:szCs w:val="20"/>
          <w:lang w:val="en-CA"/>
        </w:rPr>
        <w:t xml:space="preserve"> Action Plan on Women, Peace and Security, and the overall implementation of the UN</w:t>
      </w:r>
      <w:r>
        <w:rPr>
          <w:sz w:val="20"/>
          <w:szCs w:val="20"/>
          <w:lang w:val="en-CA"/>
        </w:rPr>
        <w:t xml:space="preserve"> </w:t>
      </w:r>
      <w:r w:rsidRPr="004157B9">
        <w:rPr>
          <w:sz w:val="20"/>
          <w:szCs w:val="20"/>
          <w:lang w:val="en-CA"/>
        </w:rPr>
        <w:t>D</w:t>
      </w:r>
      <w:r>
        <w:rPr>
          <w:sz w:val="20"/>
          <w:szCs w:val="20"/>
          <w:lang w:val="en-CA"/>
        </w:rPr>
        <w:t xml:space="preserve">eclaration </w:t>
      </w:r>
      <w:r w:rsidRPr="004157B9">
        <w:rPr>
          <w:sz w:val="20"/>
          <w:szCs w:val="20"/>
          <w:lang w:val="en-CA"/>
        </w:rPr>
        <w:t>A</w:t>
      </w:r>
      <w:r>
        <w:rPr>
          <w:sz w:val="20"/>
          <w:szCs w:val="20"/>
          <w:lang w:val="en-CA"/>
        </w:rPr>
        <w:t>ct</w:t>
      </w:r>
      <w:r w:rsidRPr="004157B9">
        <w:rPr>
          <w:sz w:val="20"/>
          <w:szCs w:val="20"/>
          <w:lang w:val="en-CA"/>
        </w:rPr>
        <w:t xml:space="preserve">. </w:t>
      </w:r>
    </w:p>
    <w:p w14:paraId="50EBEA4D" w14:textId="77777777" w:rsidR="00E5223E" w:rsidRPr="00EA5ED4" w:rsidRDefault="00E5223E" w:rsidP="009D7D15">
      <w:pPr>
        <w:pStyle w:val="Content1"/>
        <w:numPr>
          <w:ilvl w:val="0"/>
          <w:numId w:val="7"/>
        </w:numPr>
        <w:ind w:left="1134" w:right="1134" w:firstLine="0"/>
        <w:jc w:val="both"/>
        <w:rPr>
          <w:sz w:val="20"/>
          <w:szCs w:val="20"/>
          <w:lang w:val="en-CA"/>
        </w:rPr>
      </w:pPr>
      <w:r w:rsidRPr="00EA5ED4">
        <w:rPr>
          <w:sz w:val="20"/>
          <w:szCs w:val="20"/>
          <w:lang w:val="en-CA"/>
        </w:rPr>
        <w:t xml:space="preserve">Indigenous Services Canada </w:t>
      </w:r>
      <w:r>
        <w:rPr>
          <w:sz w:val="20"/>
          <w:szCs w:val="20"/>
          <w:lang w:val="en-CA"/>
        </w:rPr>
        <w:t xml:space="preserve">(ISC) </w:t>
      </w:r>
      <w:r w:rsidRPr="00EA5ED4">
        <w:rPr>
          <w:sz w:val="20"/>
          <w:szCs w:val="20"/>
          <w:lang w:val="en-CA"/>
        </w:rPr>
        <w:t>collaborates with Indigenous communities, groups, governing bodies and their representatives to support and empower First Nation, Inuit and Métis groups and communities to independently develop and deliver services addressing socio-economic conditions</w:t>
      </w:r>
      <w:r>
        <w:rPr>
          <w:sz w:val="20"/>
          <w:szCs w:val="20"/>
          <w:lang w:val="en-CA"/>
        </w:rPr>
        <w:t xml:space="preserve">. For example, </w:t>
      </w:r>
      <w:r w:rsidRPr="00604E2C">
        <w:rPr>
          <w:sz w:val="20"/>
          <w:szCs w:val="20"/>
          <w:lang w:val="en-CA"/>
        </w:rPr>
        <w:t xml:space="preserve">The </w:t>
      </w:r>
      <w:r w:rsidRPr="00604E2C">
        <w:rPr>
          <w:i/>
          <w:iCs/>
          <w:sz w:val="20"/>
          <w:szCs w:val="20"/>
          <w:lang w:val="en-CA"/>
        </w:rPr>
        <w:t>Act respecting First Nations, Inuit and Métis children, youth and families</w:t>
      </w:r>
      <w:r w:rsidRPr="00604E2C">
        <w:rPr>
          <w:sz w:val="20"/>
          <w:szCs w:val="20"/>
          <w:lang w:val="en-CA"/>
        </w:rPr>
        <w:t xml:space="preserve"> (the Act), affirms that the inherent right of self-government includes jurisdiction in relation to child and family services, and legislative authority and the authority to administer and enforce these laws with respect to such services</w:t>
      </w:r>
      <w:r>
        <w:rPr>
          <w:sz w:val="20"/>
          <w:szCs w:val="20"/>
          <w:lang w:val="en-CA"/>
        </w:rPr>
        <w:t>.</w:t>
      </w:r>
      <w:r w:rsidRPr="00EA5ED4">
        <w:rPr>
          <w:sz w:val="20"/>
          <w:szCs w:val="20"/>
          <w:lang w:val="en-CA"/>
        </w:rPr>
        <w:t xml:space="preserve"> </w:t>
      </w:r>
      <w:r w:rsidRPr="00F701ED">
        <w:rPr>
          <w:sz w:val="20"/>
          <w:szCs w:val="20"/>
          <w:lang w:val="en-CA"/>
        </w:rPr>
        <w:t>As of 2025, 419 Indigenous communities or groups (370 First Nation, 20 Inuit, 3 Métis and 26 of multiple distinctions), have indicated their interest in exercising jurisdiction via the framework of the Act by accessing capacity-building program funding, providing a notice of intent to exercise jurisdiction, negotiating a coordination agreement or signing an agreement</w:t>
      </w:r>
      <w:r>
        <w:rPr>
          <w:sz w:val="20"/>
          <w:szCs w:val="20"/>
          <w:lang w:val="en-CA"/>
        </w:rPr>
        <w:t>.</w:t>
      </w:r>
    </w:p>
    <w:p w14:paraId="05885B53" w14:textId="44C1AD99" w:rsidR="00E5223E" w:rsidRPr="005777D4" w:rsidRDefault="00F76831" w:rsidP="00F76831">
      <w:pPr>
        <w:pStyle w:val="H1G"/>
        <w:rPr>
          <w:lang w:val="en-CA"/>
        </w:rPr>
      </w:pPr>
      <w:bookmarkStart w:id="16" w:name="_Toc177633114"/>
      <w:r>
        <w:rPr>
          <w:lang w:val="en-CA"/>
        </w:rPr>
        <w:tab/>
      </w:r>
      <w:r>
        <w:rPr>
          <w:lang w:val="en-CA"/>
        </w:rPr>
        <w:tab/>
      </w:r>
      <w:r w:rsidR="00E5223E" w:rsidRPr="005777D4">
        <w:rPr>
          <w:lang w:val="en-CA"/>
        </w:rPr>
        <w:t>Violence against Indigenous women and girls</w:t>
      </w:r>
      <w:bookmarkEnd w:id="16"/>
    </w:p>
    <w:p w14:paraId="5B244057" w14:textId="77777777" w:rsidR="00E5223E" w:rsidRPr="005777D4" w:rsidRDefault="00E5223E" w:rsidP="009D7D15">
      <w:pPr>
        <w:pStyle w:val="Content1"/>
        <w:numPr>
          <w:ilvl w:val="0"/>
          <w:numId w:val="7"/>
        </w:numPr>
        <w:ind w:left="1134" w:right="1134" w:firstLine="0"/>
        <w:jc w:val="both"/>
        <w:rPr>
          <w:sz w:val="20"/>
          <w:szCs w:val="20"/>
          <w:lang w:val="en-CA"/>
        </w:rPr>
      </w:pPr>
      <w:r w:rsidRPr="005777D4">
        <w:rPr>
          <w:sz w:val="20"/>
          <w:szCs w:val="20"/>
          <w:lang w:val="en-CA"/>
        </w:rPr>
        <w:t>Canada continues to undertake initiatives to address violence against Indigenous women and girls, including the National Inquiry into Missing and Murdered Indigenous Women and Girls (MMIWG), National Action Plan and accompanying Federal Pathway.</w:t>
      </w:r>
    </w:p>
    <w:p w14:paraId="18C5247F" w14:textId="381455E1" w:rsidR="00E5223E" w:rsidRPr="005777D4" w:rsidRDefault="00F76831" w:rsidP="003D4419">
      <w:pPr>
        <w:pStyle w:val="H23G"/>
      </w:pPr>
      <w:bookmarkStart w:id="17" w:name="_Toc177633115"/>
      <w:r>
        <w:tab/>
      </w:r>
      <w:r>
        <w:tab/>
      </w:r>
      <w:r w:rsidR="00E5223E" w:rsidRPr="005777D4">
        <w:t>MMIWG National Action Plan and Federal Pathway</w:t>
      </w:r>
      <w:bookmarkEnd w:id="17"/>
    </w:p>
    <w:p w14:paraId="5E15DC46"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On September 1, 2016, the G</w:t>
      </w:r>
      <w:r>
        <w:rPr>
          <w:sz w:val="20"/>
          <w:szCs w:val="20"/>
          <w:lang w:val="en-CA"/>
        </w:rPr>
        <w:t>C</w:t>
      </w:r>
      <w:r w:rsidRPr="6BCE64E0">
        <w:rPr>
          <w:sz w:val="20"/>
          <w:szCs w:val="20"/>
          <w:lang w:val="en-CA"/>
        </w:rPr>
        <w:t xml:space="preserve"> launched the National Inquiry into MMIWG (National Inquiry), to investigate and report on the systemic causes behind the violence that Indigenous women, girls, and 2SLGBTQI+ people experience. An Interim Report was submitted in 2017, and, after a year extension, the Final Report was released to the public </w:t>
      </w:r>
      <w:r>
        <w:rPr>
          <w:sz w:val="20"/>
          <w:szCs w:val="20"/>
          <w:lang w:val="en-CA"/>
        </w:rPr>
        <w:t>in</w:t>
      </w:r>
      <w:r w:rsidRPr="6BCE64E0">
        <w:rPr>
          <w:sz w:val="20"/>
          <w:szCs w:val="20"/>
          <w:lang w:val="en-CA"/>
        </w:rPr>
        <w:t xml:space="preserve"> 2019, identifying 231 Calls for Justice addressed to various levels of governments and organizations in Canada.</w:t>
      </w:r>
    </w:p>
    <w:p w14:paraId="07B055DB"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Call for Justice 1.1. calls upon all governments to develop and implement a National Action Plan to address violence against Indigenous women, girls and 2SLGBTQI+ people. After receiving the Final Report, the G</w:t>
      </w:r>
      <w:r>
        <w:rPr>
          <w:sz w:val="20"/>
          <w:szCs w:val="20"/>
          <w:lang w:val="en-CA"/>
        </w:rPr>
        <w:t>C</w:t>
      </w:r>
      <w:r w:rsidRPr="004157B9">
        <w:rPr>
          <w:sz w:val="20"/>
          <w:szCs w:val="20"/>
          <w:lang w:val="en-CA"/>
        </w:rPr>
        <w:t xml:space="preserve"> committed to developing and implementing a National Action Plan in collaboration with Indigenous partners </w:t>
      </w:r>
      <w:r w:rsidRPr="004E7B65">
        <w:rPr>
          <w:sz w:val="20"/>
          <w:szCs w:val="20"/>
          <w:lang w:val="en-CA"/>
        </w:rPr>
        <w:t>and PT</w:t>
      </w:r>
      <w:r>
        <w:rPr>
          <w:sz w:val="20"/>
          <w:szCs w:val="20"/>
          <w:lang w:val="en-CA"/>
        </w:rPr>
        <w:t xml:space="preserve"> governments.</w:t>
      </w:r>
    </w:p>
    <w:p w14:paraId="12DA5FAB"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An Indigenous-led structure comprised of over 100 Indigenous women and 2SLGBTQI+ partners was established to develop the National Action Plan. It included a Core Working Group, the National Family and Survivors Circle </w:t>
      </w:r>
      <w:r>
        <w:rPr>
          <w:sz w:val="20"/>
          <w:szCs w:val="20"/>
          <w:lang w:val="en-CA"/>
        </w:rPr>
        <w:t>-</w:t>
      </w:r>
      <w:r w:rsidRPr="6BCE64E0">
        <w:rPr>
          <w:sz w:val="20"/>
          <w:szCs w:val="20"/>
          <w:lang w:val="en-CA"/>
        </w:rPr>
        <w:t xml:space="preserve"> a group of women who are family members and survivors of MMIWG - and eight sub-working groups: First Nations, Inuit, Métis, 2SLGBTQI+, urban, data, </w:t>
      </w:r>
      <w:r>
        <w:rPr>
          <w:sz w:val="20"/>
          <w:szCs w:val="20"/>
          <w:lang w:val="en-CA"/>
        </w:rPr>
        <w:t>PT</w:t>
      </w:r>
      <w:r w:rsidRPr="6BCE64E0">
        <w:rPr>
          <w:sz w:val="20"/>
          <w:szCs w:val="20"/>
          <w:lang w:val="en-CA"/>
        </w:rPr>
        <w:t xml:space="preserve"> and federal.</w:t>
      </w:r>
    </w:p>
    <w:p w14:paraId="5E94E3EF" w14:textId="77777777" w:rsidR="00E5223E" w:rsidRPr="00282A36" w:rsidRDefault="00E5223E" w:rsidP="009D7D15">
      <w:pPr>
        <w:pStyle w:val="Content1"/>
        <w:numPr>
          <w:ilvl w:val="0"/>
          <w:numId w:val="7"/>
        </w:numPr>
        <w:ind w:left="1134" w:right="1134" w:firstLine="0"/>
        <w:jc w:val="both"/>
        <w:rPr>
          <w:sz w:val="20"/>
          <w:szCs w:val="20"/>
          <w:lang w:val="en-CA"/>
        </w:rPr>
      </w:pPr>
      <w:r>
        <w:rPr>
          <w:sz w:val="20"/>
          <w:szCs w:val="20"/>
          <w:lang w:val="en-CA"/>
        </w:rPr>
        <w:t>I</w:t>
      </w:r>
      <w:r w:rsidRPr="6BCE64E0">
        <w:rPr>
          <w:sz w:val="20"/>
          <w:szCs w:val="20"/>
          <w:lang w:val="en-CA"/>
        </w:rPr>
        <w:t>n 2021, the G</w:t>
      </w:r>
      <w:r>
        <w:rPr>
          <w:sz w:val="20"/>
          <w:szCs w:val="20"/>
          <w:lang w:val="en-CA"/>
        </w:rPr>
        <w:t>C</w:t>
      </w:r>
      <w:r w:rsidRPr="6BCE64E0">
        <w:rPr>
          <w:sz w:val="20"/>
          <w:szCs w:val="20"/>
          <w:lang w:val="en-CA"/>
        </w:rPr>
        <w:t xml:space="preserve">, alongside Indigenous partners and organizations, families, survivors, and </w:t>
      </w:r>
      <w:r>
        <w:rPr>
          <w:sz w:val="20"/>
          <w:szCs w:val="20"/>
          <w:lang w:val="en-CA"/>
        </w:rPr>
        <w:t>PT governments</w:t>
      </w:r>
      <w:r w:rsidRPr="6BCE64E0">
        <w:rPr>
          <w:sz w:val="20"/>
          <w:szCs w:val="20"/>
          <w:lang w:val="en-CA"/>
        </w:rPr>
        <w:t xml:space="preserve">, launched the 2021 </w:t>
      </w:r>
      <w:r w:rsidRPr="00E516CB">
        <w:rPr>
          <w:sz w:val="20"/>
          <w:szCs w:val="20"/>
          <w:lang w:val="en-CA"/>
        </w:rPr>
        <w:t xml:space="preserve">Missing and Murdered Indigenous Women, Girls, and </w:t>
      </w:r>
      <w:r w:rsidRPr="00282A36">
        <w:rPr>
          <w:sz w:val="20"/>
          <w:szCs w:val="20"/>
          <w:lang w:val="en-CA"/>
        </w:rPr>
        <w:t>Two Spirit, Lesbian, Gay, Bisexual, Transgender,</w:t>
      </w:r>
      <w:r>
        <w:rPr>
          <w:sz w:val="20"/>
          <w:szCs w:val="20"/>
          <w:lang w:val="en-CA"/>
        </w:rPr>
        <w:t xml:space="preserve"> </w:t>
      </w:r>
      <w:r w:rsidRPr="00282A36">
        <w:rPr>
          <w:sz w:val="20"/>
          <w:szCs w:val="20"/>
          <w:lang w:val="en-CA"/>
        </w:rPr>
        <w:t>Queer, Questioning, Intersex, and Asexual Plus</w:t>
      </w:r>
      <w:r>
        <w:rPr>
          <w:sz w:val="20"/>
          <w:szCs w:val="20"/>
          <w:lang w:val="en-CA"/>
        </w:rPr>
        <w:t xml:space="preserve"> (</w:t>
      </w:r>
      <w:r w:rsidRPr="00282A36">
        <w:rPr>
          <w:sz w:val="20"/>
          <w:szCs w:val="20"/>
          <w:lang w:val="en-CA"/>
        </w:rPr>
        <w:t>2SLGBTQQIA+</w:t>
      </w:r>
      <w:r>
        <w:rPr>
          <w:sz w:val="20"/>
          <w:szCs w:val="20"/>
          <w:lang w:val="en-CA"/>
        </w:rPr>
        <w:t>)</w:t>
      </w:r>
      <w:r w:rsidRPr="00282A36">
        <w:rPr>
          <w:sz w:val="20"/>
          <w:szCs w:val="20"/>
          <w:lang w:val="en-CA"/>
        </w:rPr>
        <w:t xml:space="preserve"> People National Action Plan: Ending Violence Against Indigenous Women, Girls, and 2SLGBTQQIA+ People. The GC’s component of the National Action Plan, the Federal Pathway, was released alongside the National Action Plan, outlining the federal commitments. </w:t>
      </w:r>
    </w:p>
    <w:p w14:paraId="10F9263D" w14:textId="77777777" w:rsidR="00E5223E" w:rsidRPr="004157B9" w:rsidRDefault="00E5223E" w:rsidP="009D7D15">
      <w:pPr>
        <w:pStyle w:val="Content1"/>
        <w:numPr>
          <w:ilvl w:val="0"/>
          <w:numId w:val="7"/>
        </w:numPr>
        <w:ind w:left="1134" w:right="1134" w:firstLine="0"/>
        <w:jc w:val="both"/>
        <w:rPr>
          <w:sz w:val="20"/>
          <w:szCs w:val="20"/>
          <w:lang w:val="en-CA"/>
        </w:rPr>
      </w:pPr>
      <w:r>
        <w:rPr>
          <w:sz w:val="20"/>
          <w:szCs w:val="20"/>
          <w:lang w:val="en-CA"/>
        </w:rPr>
        <w:t>I</w:t>
      </w:r>
      <w:r w:rsidRPr="6BCE64E0">
        <w:rPr>
          <w:sz w:val="20"/>
          <w:szCs w:val="20"/>
          <w:lang w:val="en-CA"/>
        </w:rPr>
        <w:t xml:space="preserve">n 2022, Indigenous families, survivors, organizations and partners, the 13 </w:t>
      </w:r>
      <w:r>
        <w:rPr>
          <w:sz w:val="20"/>
          <w:szCs w:val="20"/>
          <w:lang w:val="en-CA"/>
        </w:rPr>
        <w:t>PT governments</w:t>
      </w:r>
      <w:r w:rsidRPr="6BCE64E0">
        <w:rPr>
          <w:sz w:val="20"/>
          <w:szCs w:val="20"/>
          <w:lang w:val="en-CA"/>
        </w:rPr>
        <w:t xml:space="preserve"> and the G</w:t>
      </w:r>
      <w:r>
        <w:rPr>
          <w:sz w:val="20"/>
          <w:szCs w:val="20"/>
          <w:lang w:val="en-CA"/>
        </w:rPr>
        <w:t>C</w:t>
      </w:r>
      <w:r w:rsidRPr="6BCE64E0">
        <w:rPr>
          <w:sz w:val="20"/>
          <w:szCs w:val="20"/>
          <w:lang w:val="en-CA"/>
        </w:rPr>
        <w:t xml:space="preserve"> released the 2022 Progress Report on the National Action Plan, which included a progress report on the federal commitments. Over 25 federal departments and agencies are actively contributing to</w:t>
      </w:r>
      <w:r>
        <w:rPr>
          <w:sz w:val="20"/>
          <w:szCs w:val="20"/>
          <w:lang w:val="en-CA"/>
        </w:rPr>
        <w:t xml:space="preserve"> GC</w:t>
      </w:r>
      <w:r w:rsidRPr="6BCE64E0">
        <w:rPr>
          <w:sz w:val="20"/>
          <w:szCs w:val="20"/>
          <w:lang w:val="en-CA"/>
        </w:rPr>
        <w:t xml:space="preserve"> efforts.</w:t>
      </w:r>
    </w:p>
    <w:p w14:paraId="413CA08B" w14:textId="77777777" w:rsidR="00E5223E" w:rsidRPr="004157B9" w:rsidRDefault="00E5223E" w:rsidP="009D7D15">
      <w:pPr>
        <w:pStyle w:val="Content1"/>
        <w:numPr>
          <w:ilvl w:val="0"/>
          <w:numId w:val="7"/>
        </w:numPr>
        <w:ind w:left="1134" w:right="1134" w:firstLine="0"/>
        <w:jc w:val="both"/>
        <w:rPr>
          <w:sz w:val="20"/>
          <w:szCs w:val="20"/>
          <w:lang w:val="en-CA"/>
        </w:rPr>
      </w:pPr>
      <w:r w:rsidRPr="0BCDA949">
        <w:rPr>
          <w:sz w:val="20"/>
          <w:szCs w:val="20"/>
          <w:lang w:val="en-CA"/>
        </w:rPr>
        <w:t xml:space="preserve">In response to the National Inquiry, Canada has made significant investments dedicated to addressing the root causes of missing and murdered Indigenous women, girls, and 2SLGBTQI+ people and is launching new programs such as those for families and survivors, construction of cultural spaces, shelters and housing, and programs which focus on health and wellness, languages and education, and data collection. </w:t>
      </w:r>
    </w:p>
    <w:p w14:paraId="4DE7B8AE" w14:textId="77777777" w:rsidR="00E5223E" w:rsidRDefault="00E5223E" w:rsidP="009D7D15">
      <w:pPr>
        <w:pStyle w:val="Content1"/>
        <w:numPr>
          <w:ilvl w:val="0"/>
          <w:numId w:val="7"/>
        </w:numPr>
        <w:ind w:left="1134" w:right="1134" w:firstLine="0"/>
        <w:jc w:val="both"/>
        <w:rPr>
          <w:sz w:val="20"/>
          <w:szCs w:val="20"/>
        </w:rPr>
      </w:pPr>
      <w:r w:rsidRPr="27136E50">
        <w:rPr>
          <w:sz w:val="20"/>
          <w:szCs w:val="20"/>
        </w:rPr>
        <w:t>In 2023, the GC announced that an external Indigenous firm was contracted to develop recommendations for an oversight mechanism to enhance accountability for ongoing implementation of the Calls for Justice</w:t>
      </w:r>
      <w:r>
        <w:rPr>
          <w:sz w:val="20"/>
          <w:szCs w:val="20"/>
        </w:rPr>
        <w:t xml:space="preserve">, </w:t>
      </w:r>
      <w:r w:rsidRPr="27136E50">
        <w:rPr>
          <w:sz w:val="20"/>
          <w:szCs w:val="20"/>
        </w:rPr>
        <w:t>represent</w:t>
      </w:r>
      <w:r>
        <w:rPr>
          <w:sz w:val="20"/>
          <w:szCs w:val="20"/>
        </w:rPr>
        <w:t>ing</w:t>
      </w:r>
      <w:r w:rsidRPr="27136E50">
        <w:rPr>
          <w:sz w:val="20"/>
          <w:szCs w:val="20"/>
        </w:rPr>
        <w:t xml:space="preserve"> a tangible step in responding to the calls from families and survivors for greater monitoring and accountability. The GC also announced the </w:t>
      </w:r>
      <w:r w:rsidRPr="007E5230">
        <w:rPr>
          <w:sz w:val="20"/>
          <w:szCs w:val="20"/>
          <w:lang w:val="en-CA"/>
        </w:rPr>
        <w:t>appointment</w:t>
      </w:r>
      <w:r w:rsidRPr="27136E50">
        <w:rPr>
          <w:sz w:val="20"/>
          <w:szCs w:val="20"/>
        </w:rPr>
        <w:t xml:space="preserve"> of a Ministerial Special Representative to provide advice and recommendations, through engagement with survivors, families, partners and organizations, in support of Call for Justice 1.7 to create an Indigenous and Human Rights Ombudsperson. The Ministerial Special Representative conducted engagement sessions with key organizations and </w:t>
      </w:r>
      <w:r>
        <w:rPr>
          <w:sz w:val="20"/>
          <w:szCs w:val="20"/>
        </w:rPr>
        <w:t>PT</w:t>
      </w:r>
      <w:r w:rsidRPr="27136E50">
        <w:rPr>
          <w:sz w:val="20"/>
          <w:szCs w:val="20"/>
        </w:rPr>
        <w:t xml:space="preserve"> government</w:t>
      </w:r>
      <w:r>
        <w:rPr>
          <w:sz w:val="20"/>
          <w:szCs w:val="20"/>
        </w:rPr>
        <w:t>s</w:t>
      </w:r>
      <w:r w:rsidRPr="27136E50">
        <w:rPr>
          <w:sz w:val="20"/>
          <w:szCs w:val="20"/>
        </w:rPr>
        <w:t xml:space="preserve"> and submitted </w:t>
      </w:r>
      <w:r>
        <w:rPr>
          <w:sz w:val="20"/>
          <w:szCs w:val="20"/>
        </w:rPr>
        <w:t>t</w:t>
      </w:r>
      <w:r w:rsidRPr="27136E50">
        <w:rPr>
          <w:sz w:val="20"/>
          <w:szCs w:val="20"/>
        </w:rPr>
        <w:t>he</w:t>
      </w:r>
      <w:r>
        <w:rPr>
          <w:sz w:val="20"/>
          <w:szCs w:val="20"/>
        </w:rPr>
        <w:t>i</w:t>
      </w:r>
      <w:r w:rsidRPr="27136E50">
        <w:rPr>
          <w:sz w:val="20"/>
          <w:szCs w:val="20"/>
        </w:rPr>
        <w:t xml:space="preserve">r report with recommendations to the Minister of Crown-Indigenous Relations in early 2024.  </w:t>
      </w:r>
    </w:p>
    <w:p w14:paraId="4DA4D04A"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Family Information Liaison Units (FILUs) provide culturally</w:t>
      </w:r>
      <w:r>
        <w:rPr>
          <w:sz w:val="20"/>
          <w:szCs w:val="20"/>
          <w:lang w:val="en-CA"/>
        </w:rPr>
        <w:t xml:space="preserve"> </w:t>
      </w:r>
      <w:r w:rsidRPr="004157B9">
        <w:rPr>
          <w:sz w:val="20"/>
          <w:szCs w:val="20"/>
          <w:lang w:val="en-CA"/>
        </w:rPr>
        <w:t xml:space="preserve">grounded victim services for families of missing or murdered Indigenous women to overcome the structural and systemic barriers they experience in accessing information about their loved ones, such as geographic distance, experiences of systemic and individual racism, and the historical nature of events. </w:t>
      </w:r>
      <w:r>
        <w:rPr>
          <w:sz w:val="20"/>
          <w:szCs w:val="20"/>
          <w:lang w:val="en-CA"/>
        </w:rPr>
        <w:t>I</w:t>
      </w:r>
      <w:r w:rsidRPr="004157B9">
        <w:rPr>
          <w:sz w:val="20"/>
          <w:szCs w:val="20"/>
          <w:lang w:val="en-CA"/>
        </w:rPr>
        <w:t>n 2023, the G</w:t>
      </w:r>
      <w:r>
        <w:rPr>
          <w:sz w:val="20"/>
          <w:szCs w:val="20"/>
          <w:lang w:val="en-CA"/>
        </w:rPr>
        <w:t>C</w:t>
      </w:r>
      <w:r w:rsidRPr="004157B9">
        <w:rPr>
          <w:sz w:val="20"/>
          <w:szCs w:val="20"/>
          <w:lang w:val="en-CA"/>
        </w:rPr>
        <w:t xml:space="preserve"> announced ongoing federal funding for FILUs to ensure that families have access to support for as long as needed.</w:t>
      </w:r>
    </w:p>
    <w:p w14:paraId="46D781FF"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also provides funding to support Indigenous community organizations to design, develop and deliver activities to assist families of MMIWG with the grief and trauma of their loss. </w:t>
      </w:r>
    </w:p>
    <w:p w14:paraId="54A2E8AE" w14:textId="77777777" w:rsidR="00E5223E" w:rsidRPr="004157B9" w:rsidRDefault="00E5223E" w:rsidP="009D7D15">
      <w:pPr>
        <w:pStyle w:val="Content1"/>
        <w:numPr>
          <w:ilvl w:val="0"/>
          <w:numId w:val="7"/>
        </w:numPr>
        <w:ind w:left="1134" w:right="1134" w:firstLine="0"/>
        <w:jc w:val="both"/>
        <w:rPr>
          <w:sz w:val="20"/>
          <w:szCs w:val="20"/>
          <w:lang w:val="en-CA"/>
        </w:rPr>
      </w:pPr>
      <w:r w:rsidRPr="12512A46">
        <w:rPr>
          <w:sz w:val="20"/>
          <w:szCs w:val="20"/>
          <w:lang w:val="en-CA"/>
        </w:rPr>
        <w:t>The G</w:t>
      </w:r>
      <w:r>
        <w:rPr>
          <w:sz w:val="20"/>
          <w:szCs w:val="20"/>
          <w:lang w:val="en-CA"/>
        </w:rPr>
        <w:t>C</w:t>
      </w:r>
      <w:r w:rsidRPr="12512A46">
        <w:rPr>
          <w:sz w:val="20"/>
          <w:szCs w:val="20"/>
          <w:lang w:val="en-CA"/>
        </w:rPr>
        <w:t xml:space="preserve"> has also taken steps to enhance victim safety and to strengthen the criminal law’s response to violence against Indigenous women and girls. Former Bill C-75 amended the </w:t>
      </w:r>
      <w:r w:rsidRPr="006A49F9">
        <w:rPr>
          <w:i/>
          <w:iCs/>
          <w:sz w:val="20"/>
          <w:szCs w:val="20"/>
          <w:lang w:val="en-CA"/>
        </w:rPr>
        <w:t>Criminal Code</w:t>
      </w:r>
      <w:r w:rsidRPr="12512A46">
        <w:rPr>
          <w:sz w:val="20"/>
          <w:szCs w:val="20"/>
          <w:lang w:val="en-CA"/>
        </w:rPr>
        <w:t xml:space="preserve"> in 2019 to strengthen criminal laws in the context of intimate partner violence (IPV) and human trafficking, and to ensure that sentencing for the abuse of a person who is vulnerable because of personal circumstances (including that they are Indigenous and female or involves IPV) is treated more seriously.</w:t>
      </w:r>
    </w:p>
    <w:p w14:paraId="08C53B46"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Aboriginal Community Safety Planning Initiative (ACSPI) supports Call for Justice 3.4 through support for Indigenous community-led (health) services, including supporting communities in the implementation of addiction and trauma treatment programs. It also supports Call for Justice 3.5 for culturally competent, community-led responses to safety priorities identified in Community Safety Plans. The ACSPI program also supports Call for Justice 5.5iv through community-led initiatives that address community needs.</w:t>
      </w:r>
    </w:p>
    <w:p w14:paraId="117F9AAA" w14:textId="77777777" w:rsidR="00E5223E" w:rsidRPr="00735D5B"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ACSPI has been a component of the GC’s response to Violence against Indigenous Women and MMIWG since 2010 and has succeeded in supporting close to 60 communities in defining their safety concerns, including violence, and finding solutions to respond to root causes and current aggravating factors. Among the GC’s strategies to tackle causes of violent crime, the ACSPI is grounded in six core principles ensuring that solutions are determined and led by the community. </w:t>
      </w:r>
    </w:p>
    <w:p w14:paraId="675D2201" w14:textId="77777777" w:rsidR="00E5223E" w:rsidRPr="003A22D5"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Indigenous Community Corrections Initiative (ICCI) responds to sections 14.6 and 14.8 of the Calls for Justice from the Final Report of the National Inquiry. The ICCI responds to section 14.6 by supporting targeted proposals (e.g., Indigenous women, girls, and 2SLGBTQ</w:t>
      </w:r>
      <w:r w:rsidRPr="00E95816">
        <w:rPr>
          <w:sz w:val="20"/>
          <w:szCs w:val="20"/>
          <w:lang w:val="en-CA"/>
        </w:rPr>
        <w:t xml:space="preserve">I+) </w:t>
      </w:r>
      <w:r w:rsidRPr="27136E50">
        <w:rPr>
          <w:sz w:val="20"/>
          <w:szCs w:val="20"/>
          <w:lang w:val="en-CA"/>
        </w:rPr>
        <w:t>that respond to underlying causes of offending, including mental health, addictions, and trauma services, as part of the reintegration process. These services will be accessible to ICCI participants on an as-needed basis for the duration of the project</w:t>
      </w:r>
      <w:r>
        <w:rPr>
          <w:sz w:val="20"/>
          <w:szCs w:val="20"/>
          <w:lang w:val="en-CA"/>
        </w:rPr>
        <w:t xml:space="preserve"> and</w:t>
      </w:r>
      <w:r w:rsidRPr="27136E50">
        <w:rPr>
          <w:sz w:val="20"/>
          <w:szCs w:val="20"/>
          <w:lang w:val="en-CA"/>
        </w:rPr>
        <w:t xml:space="preserve"> will not be tied to the duration of the justice-involved Indigenous person’s sentence or period of incarceration.</w:t>
      </w:r>
      <w:r>
        <w:rPr>
          <w:sz w:val="20"/>
          <w:szCs w:val="20"/>
          <w:lang w:val="en-CA"/>
        </w:rPr>
        <w:t xml:space="preserve"> </w:t>
      </w:r>
      <w:r w:rsidRPr="003A22D5">
        <w:rPr>
          <w:sz w:val="20"/>
          <w:szCs w:val="20"/>
          <w:lang w:val="en-CA"/>
        </w:rPr>
        <w:t>The ICCI responds to section 14.8 by supporting the development and implementation of Indigenous community-led projects that respond to the unique needs and circumstances of justice-involved Indigenous Peoples, including women, girls and 2SLGBTQI+ people.</w:t>
      </w:r>
    </w:p>
    <w:p w14:paraId="7AEE6DAE" w14:textId="77777777" w:rsidR="00E5223E" w:rsidRPr="004E7B65" w:rsidRDefault="00E5223E" w:rsidP="009D7D15">
      <w:pPr>
        <w:pStyle w:val="Content1"/>
        <w:numPr>
          <w:ilvl w:val="0"/>
          <w:numId w:val="7"/>
        </w:numPr>
        <w:ind w:left="1134" w:right="1134" w:firstLine="0"/>
        <w:jc w:val="both"/>
        <w:rPr>
          <w:sz w:val="20"/>
          <w:szCs w:val="20"/>
          <w:lang w:val="en-CA"/>
        </w:rPr>
      </w:pPr>
      <w:r w:rsidRPr="00595762">
        <w:rPr>
          <w:sz w:val="20"/>
          <w:szCs w:val="20"/>
          <w:lang w:val="en-CA"/>
        </w:rPr>
        <w:t>Pathways to Safety: Ontario’s Strategy in Response to the Final Report of the National Inquiry into Missing and Murdered Indigenous Women and Girls, co-developed with the Indigenous Women’s Advisory Council, was released in</w:t>
      </w:r>
      <w:r>
        <w:rPr>
          <w:sz w:val="20"/>
          <w:szCs w:val="20"/>
          <w:lang w:val="en-CA"/>
        </w:rPr>
        <w:t xml:space="preserve"> </w:t>
      </w:r>
      <w:r w:rsidRPr="00595762">
        <w:rPr>
          <w:sz w:val="20"/>
          <w:szCs w:val="20"/>
          <w:lang w:val="en-CA"/>
        </w:rPr>
        <w:t>2021. Progress reports were released in 2022 and 2023 to highlight key Indigenous-led initiatives and broader government initiatives and strategies that support Indigenous women, girls, 2SLGBTQQIA+ people and their communities. Ontario is working collaboratively with the Indigenous Women’s Advisory Council to implement the Strategy by strengthening relationships with Indigenous communities and organizations and addressing gaps through a systems transformation analysis and interventions in priority areas including justice, policing and child welfare.</w:t>
      </w:r>
    </w:p>
    <w:p w14:paraId="27F2ACF1" w14:textId="77777777" w:rsidR="00E5223E" w:rsidRPr="004E7B65" w:rsidRDefault="00E5223E" w:rsidP="009D7D15">
      <w:pPr>
        <w:pStyle w:val="Content1"/>
        <w:numPr>
          <w:ilvl w:val="0"/>
          <w:numId w:val="7"/>
        </w:numPr>
        <w:ind w:left="1134" w:right="1134" w:firstLine="0"/>
        <w:jc w:val="both"/>
        <w:rPr>
          <w:sz w:val="20"/>
          <w:szCs w:val="20"/>
          <w:lang w:val="en"/>
        </w:rPr>
      </w:pPr>
      <w:r w:rsidRPr="004157B9">
        <w:rPr>
          <w:sz w:val="20"/>
          <w:szCs w:val="20"/>
          <w:lang w:val="en-CA"/>
        </w:rPr>
        <w:t xml:space="preserve">In response to Call to Justice 20 of the report specific to Quebec, the Quebec National Assembly passed the </w:t>
      </w:r>
      <w:r w:rsidRPr="004157B9">
        <w:rPr>
          <w:i/>
          <w:iCs/>
          <w:sz w:val="20"/>
          <w:szCs w:val="20"/>
          <w:lang w:val="en-CA"/>
        </w:rPr>
        <w:t>Act to Authorize the Communication of Personal Information to the Families of Indigenous Children who went Missing or Died After Being Admitted to an Institution</w:t>
      </w:r>
      <w:r w:rsidRPr="004157B9">
        <w:rPr>
          <w:sz w:val="20"/>
          <w:szCs w:val="20"/>
          <w:lang w:val="en-CA"/>
        </w:rPr>
        <w:t xml:space="preserve">. This Act, which came into force </w:t>
      </w:r>
      <w:r>
        <w:rPr>
          <w:sz w:val="20"/>
          <w:szCs w:val="20"/>
          <w:lang w:val="en-CA"/>
        </w:rPr>
        <w:t xml:space="preserve">in </w:t>
      </w:r>
      <w:r w:rsidRPr="004157B9">
        <w:rPr>
          <w:sz w:val="20"/>
          <w:szCs w:val="20"/>
          <w:lang w:val="en-CA"/>
        </w:rPr>
        <w:t>2021, is designed to support families in their search for information from health and social service institutions and religious congregations, particularly on the circumstances surrounding the disappearance or death of their child following admission to an institution.</w:t>
      </w:r>
      <w:r>
        <w:rPr>
          <w:sz w:val="20"/>
          <w:szCs w:val="20"/>
          <w:lang w:val="en-CA"/>
        </w:rPr>
        <w:t xml:space="preserve"> </w:t>
      </w:r>
      <w:r w:rsidRPr="00D5468E">
        <w:rPr>
          <w:sz w:val="20"/>
          <w:szCs w:val="20"/>
          <w:lang w:val="en"/>
        </w:rPr>
        <w:t>Between the coming into force of th</w:t>
      </w:r>
      <w:r>
        <w:rPr>
          <w:sz w:val="20"/>
          <w:szCs w:val="20"/>
          <w:lang w:val="en"/>
        </w:rPr>
        <w:t>is</w:t>
      </w:r>
      <w:r w:rsidRPr="00D5468E">
        <w:rPr>
          <w:sz w:val="20"/>
          <w:szCs w:val="20"/>
          <w:lang w:val="en"/>
        </w:rPr>
        <w:t xml:space="preserve"> Act and</w:t>
      </w:r>
      <w:r>
        <w:rPr>
          <w:sz w:val="20"/>
          <w:szCs w:val="20"/>
          <w:lang w:val="en"/>
        </w:rPr>
        <w:t xml:space="preserve"> </w:t>
      </w:r>
      <w:r w:rsidRPr="00D5468E">
        <w:rPr>
          <w:sz w:val="20"/>
          <w:szCs w:val="20"/>
          <w:lang w:val="en"/>
        </w:rPr>
        <w:t xml:space="preserve">2025, searches for information concerning 209 children were conducted based on </w:t>
      </w:r>
      <w:r>
        <w:rPr>
          <w:sz w:val="20"/>
          <w:szCs w:val="20"/>
          <w:lang w:val="en"/>
        </w:rPr>
        <w:t xml:space="preserve">requests </w:t>
      </w:r>
      <w:r w:rsidRPr="00D5468E">
        <w:rPr>
          <w:sz w:val="20"/>
          <w:szCs w:val="20"/>
          <w:lang w:val="en"/>
        </w:rPr>
        <w:t>received from 121 applicants.</w:t>
      </w:r>
    </w:p>
    <w:p w14:paraId="23E14F6D"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Through the </w:t>
      </w:r>
      <w:r w:rsidRPr="004E7B65">
        <w:rPr>
          <w:sz w:val="20"/>
          <w:szCs w:val="20"/>
          <w:lang w:val="en-CA"/>
        </w:rPr>
        <w:t>Working Together for Violence Free Communities Action Plan</w:t>
      </w:r>
      <w:r w:rsidRPr="00F43614">
        <w:rPr>
          <w:sz w:val="20"/>
          <w:szCs w:val="20"/>
          <w:lang w:val="en-CA"/>
        </w:rPr>
        <w:t>,</w:t>
      </w:r>
      <w:r w:rsidRPr="6BCE64E0">
        <w:rPr>
          <w:sz w:val="20"/>
          <w:szCs w:val="20"/>
          <w:lang w:val="en-CA"/>
        </w:rPr>
        <w:t xml:space="preserve"> Newfoundland and Labrador commits to working with Indigenous communities to develop their own culturally appropriate solutions and interventions to prevent violence against women and children. This includes engaging Indigenous governments and communities in building the leadership capacity of Indigenous women and supporting Indigenous men and boys in their efforts to reject and prevent all forms of violence.</w:t>
      </w:r>
    </w:p>
    <w:p w14:paraId="15B0D314" w14:textId="77777777" w:rsidR="00E5223E" w:rsidRDefault="00E5223E" w:rsidP="009D7D15">
      <w:pPr>
        <w:pStyle w:val="Content1"/>
        <w:numPr>
          <w:ilvl w:val="0"/>
          <w:numId w:val="7"/>
        </w:numPr>
        <w:ind w:left="1134" w:right="1134" w:firstLine="0"/>
        <w:jc w:val="both"/>
        <w:rPr>
          <w:sz w:val="20"/>
          <w:szCs w:val="20"/>
          <w:lang w:val="en-CA"/>
        </w:rPr>
      </w:pPr>
      <w:r w:rsidRPr="004E7B65">
        <w:rPr>
          <w:sz w:val="20"/>
          <w:szCs w:val="20"/>
          <w:lang w:val="en-CA"/>
        </w:rPr>
        <w:t>Since 2022</w:t>
      </w:r>
      <w:r w:rsidRPr="00346F05">
        <w:rPr>
          <w:sz w:val="20"/>
          <w:szCs w:val="20"/>
          <w:lang w:val="en-CA"/>
        </w:rPr>
        <w:t>, British Columbia released progress reports outlining cross-government action to end violence against Indigenous women, girls and 2SLGBTQQIA+ people in response to the Inquiry into MMIWG. The updates highlight related government initiatives including community-based supports, health and wellness, housing, justice and public safety, child welfare, education and reconciliation, Indigenous rights and cultural preservation projects.</w:t>
      </w:r>
    </w:p>
    <w:p w14:paraId="3B9E6EDF" w14:textId="77777777" w:rsidR="00E5223E" w:rsidRDefault="00E5223E" w:rsidP="009D7D15">
      <w:pPr>
        <w:pStyle w:val="Content1"/>
        <w:numPr>
          <w:ilvl w:val="0"/>
          <w:numId w:val="7"/>
        </w:numPr>
        <w:ind w:left="1134" w:right="1134" w:firstLine="0"/>
        <w:jc w:val="both"/>
        <w:rPr>
          <w:sz w:val="20"/>
          <w:szCs w:val="20"/>
          <w:lang w:val="en-CA"/>
        </w:rPr>
      </w:pPr>
      <w:r>
        <w:rPr>
          <w:sz w:val="20"/>
          <w:szCs w:val="20"/>
          <w:lang w:val="en-CA"/>
        </w:rPr>
        <w:t xml:space="preserve">Alberta is advancing initiatives </w:t>
      </w:r>
      <w:r>
        <w:rPr>
          <w:sz w:val="20"/>
          <w:szCs w:val="20"/>
        </w:rPr>
        <w:t xml:space="preserve">to ensure Indigenous women, girls and </w:t>
      </w:r>
      <w:r>
        <w:rPr>
          <w:sz w:val="20"/>
          <w:szCs w:val="20"/>
          <w:lang w:val="en-CA"/>
        </w:rPr>
        <w:t>2SLGBTQQIA+</w:t>
      </w:r>
      <w:r>
        <w:rPr>
          <w:sz w:val="20"/>
          <w:szCs w:val="20"/>
        </w:rPr>
        <w:t xml:space="preserve"> people are treated with dignity and respect and live in safety and economic security. In 2022, </w:t>
      </w:r>
      <w:r>
        <w:rPr>
          <w:sz w:val="20"/>
          <w:szCs w:val="20"/>
          <w:lang w:val="en-CA"/>
        </w:rPr>
        <w:t xml:space="preserve">the Alberta Missing and Murdered Indigenous Women and Girls Roadmap was released and the Premier's Council on Missing and Murdered Indigenous Women, Girls and Two Spirit Plus People was established to guide government actions </w:t>
      </w:r>
      <w:r>
        <w:rPr>
          <w:sz w:val="20"/>
          <w:szCs w:val="20"/>
        </w:rPr>
        <w:t>to make Alberta safer. The council’s five-year mandate includes monitoring and reporting on government progress.</w:t>
      </w:r>
    </w:p>
    <w:p w14:paraId="48103B3A" w14:textId="77777777" w:rsidR="00E5223E" w:rsidRPr="00C235C5" w:rsidRDefault="00E5223E" w:rsidP="009D7D15">
      <w:pPr>
        <w:pStyle w:val="Content1"/>
        <w:numPr>
          <w:ilvl w:val="0"/>
          <w:numId w:val="7"/>
        </w:numPr>
        <w:ind w:left="1134" w:right="1134" w:firstLine="0"/>
        <w:jc w:val="both"/>
        <w:rPr>
          <w:sz w:val="20"/>
          <w:szCs w:val="20"/>
          <w:lang w:val="en-CA"/>
        </w:rPr>
      </w:pPr>
      <w:r>
        <w:rPr>
          <w:sz w:val="20"/>
          <w:szCs w:val="20"/>
          <w:lang w:val="en-CA"/>
        </w:rPr>
        <w:t xml:space="preserve">In 2023, Alberta launched the </w:t>
      </w:r>
      <w:r>
        <w:rPr>
          <w:sz w:val="20"/>
          <w:szCs w:val="20"/>
        </w:rPr>
        <w:t xml:space="preserve">Community Support Fund, a $4 million annual grant program that focusses on improving the well-being of Indigenous women, girls and </w:t>
      </w:r>
      <w:r>
        <w:rPr>
          <w:sz w:val="20"/>
          <w:szCs w:val="20"/>
          <w:lang w:val="en-CA"/>
        </w:rPr>
        <w:t>2SLGBTQQIA+</w:t>
      </w:r>
      <w:r>
        <w:rPr>
          <w:sz w:val="20"/>
          <w:szCs w:val="20"/>
        </w:rPr>
        <w:t xml:space="preserve"> people. The program supports Indigenous-led, community-based initiatives that address violence, increase safety, and improve economic security of Indigenous women, girls and </w:t>
      </w:r>
      <w:r>
        <w:rPr>
          <w:sz w:val="20"/>
          <w:szCs w:val="20"/>
          <w:lang w:val="en-CA"/>
        </w:rPr>
        <w:t>2SLGBTQQIA+</w:t>
      </w:r>
      <w:r>
        <w:rPr>
          <w:sz w:val="20"/>
          <w:szCs w:val="20"/>
        </w:rPr>
        <w:t xml:space="preserve"> people. Initiatives include healing circles, mentorship connections, peer support networks, job skills training and financial literacy programs. </w:t>
      </w:r>
    </w:p>
    <w:p w14:paraId="31BCEE39" w14:textId="45D93FB1" w:rsidR="00E5223E" w:rsidRPr="009360D6" w:rsidRDefault="00F76831" w:rsidP="00F76831">
      <w:pPr>
        <w:pStyle w:val="H1G"/>
        <w:rPr>
          <w:lang w:val="en-CA"/>
        </w:rPr>
      </w:pPr>
      <w:bookmarkStart w:id="18" w:name="_Toc177633116"/>
      <w:r>
        <w:rPr>
          <w:lang w:val="en-CA"/>
        </w:rPr>
        <w:tab/>
      </w:r>
      <w:r>
        <w:rPr>
          <w:lang w:val="en-CA"/>
        </w:rPr>
        <w:tab/>
      </w:r>
      <w:r w:rsidR="00E5223E" w:rsidRPr="009360D6">
        <w:rPr>
          <w:lang w:val="en-CA"/>
        </w:rPr>
        <w:t>On-and-off reserve socio-economic issues for Indigenous Peoples</w:t>
      </w:r>
      <w:bookmarkEnd w:id="18"/>
    </w:p>
    <w:p w14:paraId="380BC57E" w14:textId="7DBB0EC0" w:rsidR="00E5223E" w:rsidRPr="009360D6" w:rsidRDefault="00F76831" w:rsidP="00F76831">
      <w:pPr>
        <w:pStyle w:val="H23G"/>
      </w:pPr>
      <w:bookmarkStart w:id="19" w:name="_Toc177633117"/>
      <w:r>
        <w:tab/>
      </w:r>
      <w:r>
        <w:tab/>
      </w:r>
      <w:r w:rsidR="00E5223E" w:rsidRPr="009360D6">
        <w:t>Ending the underfunding of Indigenous children and family services</w:t>
      </w:r>
      <w:bookmarkEnd w:id="19"/>
    </w:p>
    <w:p w14:paraId="36A442DF" w14:textId="77777777" w:rsidR="00E5223E" w:rsidRDefault="00E5223E" w:rsidP="009D7D15">
      <w:pPr>
        <w:pStyle w:val="Content1"/>
        <w:numPr>
          <w:ilvl w:val="0"/>
          <w:numId w:val="7"/>
        </w:numPr>
        <w:ind w:left="1134" w:right="1134" w:firstLine="0"/>
        <w:jc w:val="both"/>
        <w:rPr>
          <w:sz w:val="20"/>
          <w:szCs w:val="20"/>
          <w:lang w:val="en-CA"/>
        </w:rPr>
      </w:pPr>
      <w:r>
        <w:rPr>
          <w:sz w:val="20"/>
          <w:szCs w:val="20"/>
          <w:lang w:val="en-CA"/>
        </w:rPr>
        <w:t xml:space="preserve">In </w:t>
      </w:r>
      <w:r w:rsidRPr="00EE1157">
        <w:rPr>
          <w:sz w:val="20"/>
          <w:szCs w:val="20"/>
          <w:lang w:val="en-CA"/>
        </w:rPr>
        <w:t xml:space="preserve">2016, the Canadian Human Rights Tribunal found that the </w:t>
      </w:r>
      <w:r>
        <w:rPr>
          <w:sz w:val="20"/>
          <w:szCs w:val="20"/>
          <w:lang w:val="en-CA"/>
        </w:rPr>
        <w:t>GC</w:t>
      </w:r>
      <w:r w:rsidRPr="00EE1157">
        <w:rPr>
          <w:sz w:val="20"/>
          <w:szCs w:val="20"/>
          <w:lang w:val="en-CA"/>
        </w:rPr>
        <w:t xml:space="preserve"> had discriminated against First Nations children and their families living on-reserve and in Yukon by underfunding child and family services under its First Nations Child and Family Services (FNCFS) program. The Tribunal ordered the </w:t>
      </w:r>
      <w:r>
        <w:rPr>
          <w:sz w:val="20"/>
          <w:szCs w:val="20"/>
          <w:lang w:val="en-CA"/>
        </w:rPr>
        <w:t>GC</w:t>
      </w:r>
      <w:r w:rsidRPr="00EE1157">
        <w:rPr>
          <w:sz w:val="20"/>
          <w:szCs w:val="20"/>
          <w:lang w:val="en-CA"/>
        </w:rPr>
        <w:t xml:space="preserve"> to cease its discriminatory practices and to reform the FNCFS program. It also ordered Canada to cease applying its narrow definition of Jordan’s Principle. </w:t>
      </w:r>
    </w:p>
    <w:p w14:paraId="56A64585" w14:textId="77777777" w:rsidR="00E5223E" w:rsidRDefault="00E5223E" w:rsidP="009D7D15">
      <w:pPr>
        <w:pStyle w:val="Content1"/>
        <w:numPr>
          <w:ilvl w:val="0"/>
          <w:numId w:val="7"/>
        </w:numPr>
        <w:ind w:left="1134" w:right="1134" w:firstLine="0"/>
        <w:jc w:val="both"/>
        <w:rPr>
          <w:sz w:val="20"/>
          <w:szCs w:val="20"/>
          <w:lang w:val="en-CA"/>
        </w:rPr>
      </w:pPr>
      <w:r w:rsidRPr="00D9703B">
        <w:rPr>
          <w:sz w:val="20"/>
          <w:szCs w:val="20"/>
          <w:lang w:val="en-CA"/>
        </w:rPr>
        <w:t xml:space="preserve">In 2023, the </w:t>
      </w:r>
      <w:r>
        <w:rPr>
          <w:sz w:val="20"/>
          <w:szCs w:val="20"/>
          <w:lang w:val="en-CA"/>
        </w:rPr>
        <w:t>GC</w:t>
      </w:r>
      <w:r w:rsidRPr="00D9703B">
        <w:rPr>
          <w:sz w:val="20"/>
          <w:szCs w:val="20"/>
          <w:lang w:val="en-CA"/>
        </w:rPr>
        <w:t xml:space="preserve"> reached a First Nations-led Final Settlement Agreement with the plaintiffs in the Assembly of First Nations-</w:t>
      </w:r>
      <w:proofErr w:type="spellStart"/>
      <w:r w:rsidRPr="00D9703B">
        <w:rPr>
          <w:sz w:val="20"/>
          <w:szCs w:val="20"/>
          <w:lang w:val="en-CA"/>
        </w:rPr>
        <w:t>Moushoom</w:t>
      </w:r>
      <w:proofErr w:type="spellEnd"/>
      <w:r w:rsidRPr="00D9703B">
        <w:rPr>
          <w:sz w:val="20"/>
          <w:szCs w:val="20"/>
          <w:lang w:val="en-CA"/>
        </w:rPr>
        <w:t xml:space="preserve"> and Trout class actions, with the support of the First Nations Child and Family Caring Society, to compensate First Nations children and families who were harmed by discriminatory underfunding of the FNCFS program and those impacted by the federal government’s narrow definition of Jordan’s Principle. </w:t>
      </w:r>
    </w:p>
    <w:p w14:paraId="43C5D75B" w14:textId="77777777" w:rsidR="00E5223E" w:rsidRPr="002C2ABF" w:rsidRDefault="00E5223E" w:rsidP="009D7D15">
      <w:pPr>
        <w:pStyle w:val="Content1"/>
        <w:numPr>
          <w:ilvl w:val="0"/>
          <w:numId w:val="7"/>
        </w:numPr>
        <w:ind w:left="1134" w:right="1134" w:firstLine="0"/>
        <w:jc w:val="both"/>
        <w:rPr>
          <w:color w:val="FF0000"/>
          <w:sz w:val="20"/>
          <w:szCs w:val="20"/>
          <w:lang w:val="en-CA"/>
        </w:rPr>
      </w:pPr>
      <w:r w:rsidRPr="004E7B65">
        <w:rPr>
          <w:sz w:val="20"/>
          <w:szCs w:val="20"/>
          <w:lang w:val="en-CA"/>
        </w:rPr>
        <w:t xml:space="preserve">The GC continues to work towards meeting the needs </w:t>
      </w:r>
      <w:r>
        <w:rPr>
          <w:sz w:val="20"/>
          <w:szCs w:val="20"/>
          <w:lang w:val="en-CA"/>
        </w:rPr>
        <w:t xml:space="preserve">of </w:t>
      </w:r>
      <w:r w:rsidRPr="004E7B65">
        <w:rPr>
          <w:sz w:val="20"/>
          <w:szCs w:val="20"/>
          <w:lang w:val="en-CA"/>
        </w:rPr>
        <w:t xml:space="preserve">Indigenous children. In addition </w:t>
      </w:r>
      <w:r w:rsidRPr="00D9703B">
        <w:rPr>
          <w:sz w:val="20"/>
          <w:szCs w:val="20"/>
          <w:lang w:val="en-CA"/>
        </w:rPr>
        <w:t xml:space="preserve">to ongoing efforts to reform the FNCFS program, the </w:t>
      </w:r>
      <w:r>
        <w:rPr>
          <w:sz w:val="20"/>
          <w:szCs w:val="20"/>
          <w:lang w:val="en-CA"/>
        </w:rPr>
        <w:t>GC</w:t>
      </w:r>
      <w:r w:rsidRPr="00D9703B">
        <w:rPr>
          <w:sz w:val="20"/>
          <w:szCs w:val="20"/>
          <w:lang w:val="en-CA"/>
        </w:rPr>
        <w:t xml:space="preserve"> has been working with Indigenous governing bodies and provincial/territorial governments to implement </w:t>
      </w:r>
      <w:r w:rsidRPr="001F2019">
        <w:rPr>
          <w:sz w:val="20"/>
          <w:szCs w:val="20"/>
          <w:lang w:val="en-CA"/>
        </w:rPr>
        <w:t xml:space="preserve">An </w:t>
      </w:r>
      <w:r w:rsidRPr="002C2ABF">
        <w:rPr>
          <w:i/>
          <w:iCs/>
          <w:sz w:val="20"/>
          <w:szCs w:val="20"/>
          <w:lang w:val="en-CA"/>
        </w:rPr>
        <w:t>Act respecting First Nations, Inuit and Métis children, youth and families</w:t>
      </w:r>
      <w:r w:rsidRPr="00D9703B">
        <w:rPr>
          <w:sz w:val="20"/>
          <w:szCs w:val="20"/>
          <w:lang w:val="en-CA"/>
        </w:rPr>
        <w:t xml:space="preserve"> (the Act). The Act, which came into force </w:t>
      </w:r>
      <w:r>
        <w:rPr>
          <w:sz w:val="20"/>
          <w:szCs w:val="20"/>
          <w:lang w:val="en-CA"/>
        </w:rPr>
        <w:t>in</w:t>
      </w:r>
      <w:r w:rsidRPr="00D9703B">
        <w:rPr>
          <w:sz w:val="20"/>
          <w:szCs w:val="20"/>
          <w:lang w:val="en-CA"/>
        </w:rPr>
        <w:t xml:space="preserve"> 2020, sets national principles, such as the best interests of the child, cultural continuity and substantive equality to help guide the delivery of child and family services and provides a framework by which an Indigenous governing body, acting on behalf of an Indigenous group, community or people, can exercise jurisdiction in relation to child and family services. </w:t>
      </w:r>
    </w:p>
    <w:p w14:paraId="17E3A84F"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In the federal budget of</w:t>
      </w:r>
      <w:r>
        <w:rPr>
          <w:sz w:val="20"/>
          <w:szCs w:val="20"/>
        </w:rPr>
        <w:t xml:space="preserve"> </w:t>
      </w:r>
      <w:r w:rsidRPr="6789CA4F">
        <w:rPr>
          <w:sz w:val="20"/>
          <w:szCs w:val="20"/>
        </w:rPr>
        <w:t>2021, the GC committed to building a Canada-wide system of high-quality, affordable, flexible and inclusive early learning and child</w:t>
      </w:r>
      <w:r>
        <w:rPr>
          <w:sz w:val="20"/>
          <w:szCs w:val="20"/>
        </w:rPr>
        <w:t>care</w:t>
      </w:r>
      <w:r w:rsidRPr="6789CA4F">
        <w:rPr>
          <w:sz w:val="20"/>
          <w:szCs w:val="20"/>
        </w:rPr>
        <w:t xml:space="preserve"> (ELCC) with </w:t>
      </w:r>
      <w:r>
        <w:rPr>
          <w:sz w:val="20"/>
          <w:szCs w:val="20"/>
        </w:rPr>
        <w:t>PT</w:t>
      </w:r>
      <w:r w:rsidRPr="6789CA4F">
        <w:rPr>
          <w:sz w:val="20"/>
          <w:szCs w:val="20"/>
        </w:rPr>
        <w:t xml:space="preserve"> and Indigenous partners. </w:t>
      </w:r>
      <w:r>
        <w:rPr>
          <w:sz w:val="20"/>
          <w:szCs w:val="20"/>
        </w:rPr>
        <w:t>F</w:t>
      </w:r>
      <w:r w:rsidRPr="6789CA4F">
        <w:rPr>
          <w:sz w:val="20"/>
          <w:szCs w:val="20"/>
        </w:rPr>
        <w:t xml:space="preserve">ederal funding is provided to </w:t>
      </w:r>
      <w:r>
        <w:rPr>
          <w:sz w:val="20"/>
          <w:szCs w:val="20"/>
        </w:rPr>
        <w:t>PT</w:t>
      </w:r>
      <w:r w:rsidRPr="6789CA4F">
        <w:rPr>
          <w:sz w:val="20"/>
          <w:szCs w:val="20"/>
        </w:rPr>
        <w:t xml:space="preserve"> governments to support and grow the ELCC systems within their jurisdictions via negotiated 5-year bilateral agreements that include specific commitments for developing and funding inclusion plans to ensure all children, no matter their background, have access to regulated, affordable childcare. The federal budget 2022 announced the creation of an ELCC Infrastructure Fund, which provides funding to </w:t>
      </w:r>
      <w:r>
        <w:rPr>
          <w:sz w:val="20"/>
          <w:szCs w:val="20"/>
        </w:rPr>
        <w:t>PT governments</w:t>
      </w:r>
      <w:r w:rsidRPr="6789CA4F">
        <w:rPr>
          <w:sz w:val="20"/>
          <w:szCs w:val="20"/>
        </w:rPr>
        <w:t xml:space="preserve"> to make additional investments to support the implementation of an inclusive Canada-wide ELCC system, including support for underserved communities and communities with barriers to access such as Black and racialized groups, Indigenous Peoples, official language minority communities, newcomers, and children, parents and employees with disabilities. </w:t>
      </w:r>
      <w:r>
        <w:rPr>
          <w:sz w:val="20"/>
          <w:szCs w:val="20"/>
        </w:rPr>
        <w:t xml:space="preserve">In </w:t>
      </w:r>
      <w:r w:rsidRPr="6789CA4F">
        <w:rPr>
          <w:sz w:val="20"/>
          <w:szCs w:val="20"/>
        </w:rPr>
        <w:t xml:space="preserve">2024, the Canada Early Learning and Child Care Act received Royal Assent and cemented Canada's commitment to maintaining long-term funding relating to ELCC to be provided to </w:t>
      </w:r>
      <w:r>
        <w:rPr>
          <w:sz w:val="20"/>
          <w:szCs w:val="20"/>
        </w:rPr>
        <w:t>PT</w:t>
      </w:r>
      <w:r w:rsidRPr="6789CA4F">
        <w:rPr>
          <w:sz w:val="20"/>
          <w:szCs w:val="20"/>
        </w:rPr>
        <w:t xml:space="preserve"> and Indigenous partners.  </w:t>
      </w:r>
    </w:p>
    <w:p w14:paraId="13BCA7E8"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Indigenous Early Learning and Childcare (IELCC) Framework establishes overarching principles and sets a vision for happy and safe Indigenous children and families, strong cultural identity, and a comprehensive and coordinated system that is anchored in self-determination, centered on children and grounded in culture. It was jointly released in 2018 by the G</w:t>
      </w:r>
      <w:r>
        <w:rPr>
          <w:sz w:val="20"/>
          <w:szCs w:val="20"/>
          <w:lang w:val="en-CA"/>
        </w:rPr>
        <w:t>C</w:t>
      </w:r>
      <w:r w:rsidRPr="6BCE64E0">
        <w:rPr>
          <w:sz w:val="20"/>
          <w:szCs w:val="20"/>
          <w:lang w:val="en-CA"/>
        </w:rPr>
        <w:t>, the Assembly of First Nations, Inuit Tapiriit Kanatami, and the Métis National Council.</w:t>
      </w:r>
    </w:p>
    <w:p w14:paraId="47823484"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Jordan’s Principle is </w:t>
      </w:r>
      <w:r w:rsidRPr="00E75FF3">
        <w:rPr>
          <w:sz w:val="20"/>
          <w:szCs w:val="20"/>
          <w:lang w:val="en-CA"/>
        </w:rPr>
        <w:t>a human rights principle established by the Canadian Human Rights Tribunal (CHRT) to ensure that First Nations children have substantively equal access to government services, taking into account their distinct circumstances, experiences, and needs, and that they do not face gaps, delays, or denials in accessing these services because of their identity as First Nations children</w:t>
      </w:r>
      <w:r w:rsidRPr="6BCE64E0">
        <w:rPr>
          <w:sz w:val="20"/>
          <w:szCs w:val="20"/>
          <w:lang w:val="en-CA"/>
        </w:rPr>
        <w:t xml:space="preserve">. The </w:t>
      </w:r>
      <w:r>
        <w:rPr>
          <w:sz w:val="20"/>
          <w:szCs w:val="20"/>
          <w:lang w:val="en-CA"/>
        </w:rPr>
        <w:t xml:space="preserve">GC </w:t>
      </w:r>
      <w:r w:rsidRPr="6BCE64E0">
        <w:rPr>
          <w:sz w:val="20"/>
          <w:szCs w:val="20"/>
          <w:lang w:val="en-CA"/>
        </w:rPr>
        <w:t xml:space="preserve">is implementing Tribunal’s orders. </w:t>
      </w:r>
      <w:r w:rsidRPr="00603A3C">
        <w:rPr>
          <w:sz w:val="20"/>
          <w:szCs w:val="20"/>
          <w:lang w:val="en-CA"/>
        </w:rPr>
        <w:t xml:space="preserve">To date, nearly $8.8 billion in Jordan’s </w:t>
      </w:r>
      <w:proofErr w:type="gramStart"/>
      <w:r w:rsidRPr="00603A3C">
        <w:rPr>
          <w:sz w:val="20"/>
          <w:szCs w:val="20"/>
          <w:lang w:val="en-CA"/>
        </w:rPr>
        <w:t>Principle</w:t>
      </w:r>
      <w:proofErr w:type="gramEnd"/>
      <w:r w:rsidRPr="00603A3C">
        <w:rPr>
          <w:sz w:val="20"/>
          <w:szCs w:val="20"/>
          <w:lang w:val="en-CA"/>
        </w:rPr>
        <w:t xml:space="preserve"> funding has been announced, and more than 8.7 million products, services, and supports have been approved since 2016</w:t>
      </w:r>
      <w:r w:rsidRPr="6BCE64E0">
        <w:rPr>
          <w:sz w:val="20"/>
          <w:szCs w:val="20"/>
          <w:lang w:val="en-CA"/>
        </w:rPr>
        <w:t>.</w:t>
      </w:r>
    </w:p>
    <w:p w14:paraId="69257F7F" w14:textId="77777777" w:rsidR="00E5223E" w:rsidRPr="00F369C3" w:rsidRDefault="00E5223E" w:rsidP="009D7D15">
      <w:pPr>
        <w:pStyle w:val="Content1"/>
        <w:numPr>
          <w:ilvl w:val="0"/>
          <w:numId w:val="7"/>
        </w:numPr>
        <w:ind w:left="1134" w:right="1134" w:firstLine="0"/>
        <w:jc w:val="both"/>
        <w:rPr>
          <w:sz w:val="20"/>
          <w:szCs w:val="20"/>
          <w:lang w:val="en-CA"/>
        </w:rPr>
      </w:pPr>
      <w:r w:rsidRPr="004E7B65">
        <w:rPr>
          <w:sz w:val="20"/>
          <w:szCs w:val="20"/>
          <w:lang w:val="en-CA"/>
        </w:rPr>
        <w:t>The Inuit Child First Initiative is an interim approach modeled after Jordan’s Principle. It ensures Inuit children have equal access to essential government funded health, social and educational products, services and supports they need, when they need them. Between</w:t>
      </w:r>
      <w:r>
        <w:rPr>
          <w:sz w:val="20"/>
          <w:szCs w:val="20"/>
          <w:lang w:val="en-CA"/>
        </w:rPr>
        <w:t xml:space="preserve"> </w:t>
      </w:r>
      <w:r w:rsidRPr="004E7B65">
        <w:rPr>
          <w:sz w:val="20"/>
          <w:szCs w:val="20"/>
          <w:lang w:val="en-CA"/>
        </w:rPr>
        <w:t>2019</w:t>
      </w:r>
      <w:r w:rsidRPr="00A426CF">
        <w:rPr>
          <w:sz w:val="20"/>
          <w:szCs w:val="20"/>
          <w:lang w:val="en-CA"/>
        </w:rPr>
        <w:t xml:space="preserve"> and 2024, the </w:t>
      </w:r>
      <w:r>
        <w:rPr>
          <w:sz w:val="20"/>
          <w:szCs w:val="20"/>
          <w:lang w:val="en-CA"/>
        </w:rPr>
        <w:t>GC</w:t>
      </w:r>
      <w:r w:rsidRPr="00A426CF">
        <w:rPr>
          <w:sz w:val="20"/>
          <w:szCs w:val="20"/>
          <w:lang w:val="en-CA"/>
        </w:rPr>
        <w:t xml:space="preserve"> approved 274,239 products, services and supports as needed by Inuit children, regardless of where they live in Canada. The </w:t>
      </w:r>
      <w:r>
        <w:rPr>
          <w:sz w:val="20"/>
          <w:szCs w:val="20"/>
          <w:lang w:val="en-CA"/>
        </w:rPr>
        <w:t>GC</w:t>
      </w:r>
      <w:r w:rsidRPr="00A426CF">
        <w:rPr>
          <w:sz w:val="20"/>
          <w:szCs w:val="20"/>
          <w:lang w:val="en-CA"/>
        </w:rPr>
        <w:t xml:space="preserve"> is working with Inuit partners, including the Inuit Tapiriit Kanatami and the four Inuit Treaty Organizations, to co-develop an Inuit-specific long-term approach to replace the interim Inuit Child First Initiative. The new approach </w:t>
      </w:r>
      <w:r>
        <w:rPr>
          <w:sz w:val="20"/>
          <w:szCs w:val="20"/>
          <w:lang w:val="en-CA"/>
        </w:rPr>
        <w:t xml:space="preserve">seeks </w:t>
      </w:r>
      <w:r w:rsidRPr="00A426CF">
        <w:rPr>
          <w:sz w:val="20"/>
          <w:szCs w:val="20"/>
          <w:lang w:val="en-CA"/>
        </w:rPr>
        <w:t xml:space="preserve">to align supports to better meet the health, social, and education needs of Inuit children. </w:t>
      </w:r>
    </w:p>
    <w:p w14:paraId="5E991948" w14:textId="77777777" w:rsidR="00E5223E" w:rsidRPr="007E5230"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Alberta has established a cross-jurisdictional Jordan’s Principle Technical Committee to identify gaps in provincial and federal programs for First Nations children and identify opportunities for collaboration and case management. </w:t>
      </w:r>
    </w:p>
    <w:p w14:paraId="326BB972"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As part of the </w:t>
      </w:r>
      <w:r w:rsidRPr="00D53493">
        <w:rPr>
          <w:sz w:val="20"/>
          <w:szCs w:val="20"/>
          <w:lang w:val="en-CA"/>
        </w:rPr>
        <w:t>Action Plan for the Social and Cultural Development of the First Nations and Inuit,</w:t>
      </w:r>
      <w:r w:rsidRPr="6BCE64E0">
        <w:rPr>
          <w:sz w:val="20"/>
          <w:szCs w:val="20"/>
          <w:lang w:val="en-CA"/>
        </w:rPr>
        <w:t xml:space="preserve"> the Quebec Government has expressed its willingness to work actively with the federal partner to implement Jordan's Principle. It is collaborating with the </w:t>
      </w:r>
      <w:r w:rsidRPr="00811B19">
        <w:rPr>
          <w:sz w:val="20"/>
          <w:szCs w:val="20"/>
          <w:lang w:val="en-CA"/>
        </w:rPr>
        <w:t xml:space="preserve">GC, notably through the Committee of Quebec Regional Coordinators. This Committee aims to mobilize partners and identify difficulties and solutions associated with providing services to First Nations children, </w:t>
      </w:r>
      <w:r w:rsidRPr="004E7B65">
        <w:rPr>
          <w:sz w:val="20"/>
          <w:szCs w:val="20"/>
          <w:lang w:val="en-CA"/>
        </w:rPr>
        <w:t>as well as</w:t>
      </w:r>
      <w:r w:rsidRPr="00811B19">
        <w:rPr>
          <w:sz w:val="20"/>
          <w:szCs w:val="20"/>
          <w:lang w:val="en-CA"/>
        </w:rPr>
        <w:t xml:space="preserve"> aims to develop comprehensive and sustainable approaches in the context of a continuum of services</w:t>
      </w:r>
      <w:r w:rsidRPr="6BCE64E0">
        <w:rPr>
          <w:sz w:val="20"/>
          <w:szCs w:val="20"/>
          <w:lang w:val="en-CA"/>
        </w:rPr>
        <w:t>.</w:t>
      </w:r>
    </w:p>
    <w:p w14:paraId="69B61F88" w14:textId="77777777" w:rsidR="00E5223E" w:rsidRDefault="00E5223E" w:rsidP="009D7D15">
      <w:pPr>
        <w:pStyle w:val="Content1"/>
        <w:numPr>
          <w:ilvl w:val="0"/>
          <w:numId w:val="7"/>
        </w:numPr>
        <w:ind w:left="1134" w:right="1134" w:firstLine="0"/>
        <w:jc w:val="both"/>
        <w:rPr>
          <w:sz w:val="20"/>
          <w:szCs w:val="20"/>
          <w:lang w:val="en-CA"/>
        </w:rPr>
      </w:pPr>
      <w:r w:rsidRPr="004157B9">
        <w:rPr>
          <w:sz w:val="20"/>
          <w:szCs w:val="20"/>
          <w:lang w:val="en-CA"/>
        </w:rPr>
        <w:t>Prince Edward Island has recently created</w:t>
      </w:r>
      <w:r>
        <w:rPr>
          <w:sz w:val="20"/>
          <w:szCs w:val="20"/>
          <w:lang w:val="en-CA"/>
        </w:rPr>
        <w:t xml:space="preserve"> and approved</w:t>
      </w:r>
      <w:r w:rsidRPr="004157B9">
        <w:rPr>
          <w:sz w:val="20"/>
          <w:szCs w:val="20"/>
          <w:lang w:val="en-CA"/>
        </w:rPr>
        <w:t xml:space="preserve"> a draft Compliance Guide for </w:t>
      </w:r>
      <w:r w:rsidRPr="00276918">
        <w:rPr>
          <w:sz w:val="20"/>
          <w:szCs w:val="20"/>
          <w:lang w:val="en-CA"/>
        </w:rPr>
        <w:t>the</w:t>
      </w:r>
      <w:r w:rsidRPr="007E5230">
        <w:rPr>
          <w:sz w:val="20"/>
          <w:szCs w:val="20"/>
          <w:lang w:val="en-CA"/>
        </w:rPr>
        <w:t xml:space="preserve"> </w:t>
      </w:r>
      <w:r w:rsidRPr="00276918">
        <w:rPr>
          <w:sz w:val="20"/>
          <w:szCs w:val="20"/>
          <w:lang w:val="en-CA"/>
        </w:rPr>
        <w:t>Federal</w:t>
      </w:r>
      <w:r w:rsidRPr="007E5230">
        <w:rPr>
          <w:sz w:val="20"/>
          <w:szCs w:val="20"/>
          <w:lang w:val="en-CA"/>
        </w:rPr>
        <w:t xml:space="preserve"> Act Respecting First Nations, Inuit and Metis children, Youth and Families</w:t>
      </w:r>
      <w:r w:rsidRPr="004157B9">
        <w:rPr>
          <w:sz w:val="20"/>
          <w:szCs w:val="20"/>
          <w:lang w:val="en-CA"/>
        </w:rPr>
        <w:t xml:space="preserve"> that includes information about Jordan’s Principle and contact information for accessing the Jordan’s Principal Office. </w:t>
      </w:r>
      <w:r w:rsidRPr="00462BEC">
        <w:rPr>
          <w:sz w:val="20"/>
          <w:szCs w:val="20"/>
          <w:lang w:val="en-CA"/>
        </w:rPr>
        <w:t>All Child and Family social work staff have received training to use th</w:t>
      </w:r>
      <w:r>
        <w:rPr>
          <w:sz w:val="20"/>
          <w:szCs w:val="20"/>
          <w:lang w:val="en-CA"/>
        </w:rPr>
        <w:t>is</w:t>
      </w:r>
      <w:r w:rsidRPr="00462BEC">
        <w:rPr>
          <w:sz w:val="20"/>
          <w:szCs w:val="20"/>
          <w:lang w:val="en-CA"/>
        </w:rPr>
        <w:t xml:space="preserve"> guide. </w:t>
      </w:r>
      <w:r w:rsidRPr="00276918">
        <w:rPr>
          <w:sz w:val="20"/>
          <w:szCs w:val="20"/>
          <w:lang w:val="en-CA"/>
        </w:rPr>
        <w:t xml:space="preserve">The province has also amended the </w:t>
      </w:r>
      <w:r w:rsidRPr="007E5230">
        <w:rPr>
          <w:sz w:val="20"/>
          <w:szCs w:val="20"/>
          <w:lang w:val="en-CA"/>
        </w:rPr>
        <w:t xml:space="preserve">Social Assistance Act and the Supports for Persons with Disabilities Act </w:t>
      </w:r>
      <w:r w:rsidRPr="00276918">
        <w:rPr>
          <w:sz w:val="20"/>
          <w:szCs w:val="20"/>
          <w:lang w:val="en-CA"/>
        </w:rPr>
        <w:t>in response to Human Rights Tribunal decisions relating to Child Protection for Indigenous children and Jordan’s Principle.</w:t>
      </w:r>
    </w:p>
    <w:p w14:paraId="0AE48B70" w14:textId="77777777" w:rsidR="00E5223E" w:rsidRPr="00E9747F" w:rsidRDefault="00E5223E" w:rsidP="009D7D15">
      <w:pPr>
        <w:pStyle w:val="Content1"/>
        <w:numPr>
          <w:ilvl w:val="0"/>
          <w:numId w:val="7"/>
        </w:numPr>
        <w:ind w:left="1134" w:right="1134" w:firstLine="0"/>
        <w:jc w:val="both"/>
        <w:rPr>
          <w:sz w:val="20"/>
          <w:szCs w:val="20"/>
          <w:lang w:val="en-CA"/>
        </w:rPr>
      </w:pPr>
      <w:r w:rsidRPr="00E9747F">
        <w:rPr>
          <w:sz w:val="20"/>
          <w:szCs w:val="20"/>
          <w:lang w:val="en-CA"/>
        </w:rPr>
        <w:t xml:space="preserve">To help eliminate racism and reduce systemic barriers in accessing health services and systems, the GC established the Addressing Racism and Discrimination in Canada’s Health Systems Program to foster health systems free from racism and discrimination and to increase the capacity of health system partners to provide culturally safe and inclusive health services for Indigenous, racialized, and marginalized communities. The Program has two distinct streams of funding. The Project stream provides funding for community-supported projects that address systemic racism and discrimination in Canada’s health systems in a way that is informed by the lived experiences of Indigenous, racialized, and marginalized communities. The Project Stream launched its first call for proposals in 2022, targeting proposals that address anti-Indigenous racism, with priority given to projects that develop and implement cultural safety training, curriculum, and accreditation requirements or that integrate culturally safe care and traditional approaches to health into acute care settings. The Program’s Engagement stream launched a targeted solicitation process in 2022 and is providing funding to National Indigenous Organizations to build capacity to engage on their health priorities. </w:t>
      </w:r>
    </w:p>
    <w:p w14:paraId="7CC5F1CB" w14:textId="48ECEB28" w:rsidR="00E5223E" w:rsidRPr="00E364DA" w:rsidRDefault="00F76831" w:rsidP="00F76831">
      <w:pPr>
        <w:pStyle w:val="H23G"/>
      </w:pPr>
      <w:bookmarkStart w:id="20" w:name="_Toc177633119"/>
      <w:r>
        <w:tab/>
      </w:r>
      <w:r>
        <w:tab/>
      </w:r>
      <w:r w:rsidR="00E5223E" w:rsidRPr="00E364DA">
        <w:t>Truth and Reconciliation Commission</w:t>
      </w:r>
      <w:bookmarkEnd w:id="20"/>
    </w:p>
    <w:p w14:paraId="50D9FC18" w14:textId="77777777" w:rsidR="00E5223E" w:rsidRPr="004E7B65" w:rsidRDefault="00E5223E" w:rsidP="009D7D15">
      <w:pPr>
        <w:pStyle w:val="Content1"/>
        <w:numPr>
          <w:ilvl w:val="0"/>
          <w:numId w:val="7"/>
        </w:numPr>
        <w:ind w:left="1134" w:right="1134" w:firstLine="0"/>
        <w:jc w:val="both"/>
        <w:rPr>
          <w:color w:val="000000" w:themeColor="text1"/>
          <w:sz w:val="20"/>
          <w:szCs w:val="20"/>
          <w:lang w:val="en-CA"/>
        </w:rPr>
      </w:pPr>
      <w:r w:rsidRPr="0BCDA949">
        <w:rPr>
          <w:sz w:val="20"/>
          <w:szCs w:val="20"/>
          <w:lang w:val="en-CA"/>
        </w:rPr>
        <w:t xml:space="preserve">Canada has adopted a distinctions-based, whole-of-government approach to implementing the Truth and Reconciliation Commission’s Calls to Action. Of the 94 Truth and Reconciliation Commission’s Calls to Action (CTAs), 76 </w:t>
      </w:r>
      <w:proofErr w:type="gramStart"/>
      <w:r w:rsidRPr="0BCDA949">
        <w:rPr>
          <w:sz w:val="20"/>
          <w:szCs w:val="20"/>
          <w:lang w:val="en-CA"/>
        </w:rPr>
        <w:t>fall</w:t>
      </w:r>
      <w:proofErr w:type="gramEnd"/>
      <w:r w:rsidRPr="0BCDA949">
        <w:rPr>
          <w:sz w:val="20"/>
          <w:szCs w:val="20"/>
          <w:lang w:val="en-CA"/>
        </w:rPr>
        <w:t xml:space="preserve"> under the responsibility of the </w:t>
      </w:r>
      <w:r>
        <w:rPr>
          <w:sz w:val="20"/>
          <w:szCs w:val="20"/>
          <w:lang w:val="en-CA"/>
        </w:rPr>
        <w:t>GC</w:t>
      </w:r>
      <w:r w:rsidRPr="0BCDA949">
        <w:rPr>
          <w:sz w:val="20"/>
          <w:szCs w:val="20"/>
          <w:lang w:val="en-CA"/>
        </w:rPr>
        <w:t xml:space="preserve"> alone or shared responsibility with numerous </w:t>
      </w:r>
      <w:r>
        <w:rPr>
          <w:sz w:val="20"/>
          <w:szCs w:val="20"/>
          <w:lang w:val="en-CA"/>
        </w:rPr>
        <w:t>PT</w:t>
      </w:r>
      <w:r w:rsidRPr="0BCDA949">
        <w:rPr>
          <w:sz w:val="20"/>
          <w:szCs w:val="20"/>
          <w:lang w:val="en-CA"/>
        </w:rPr>
        <w:t xml:space="preserve"> governments and other key partners. Over 85% of these 76 CTAs under federal </w:t>
      </w:r>
      <w:r w:rsidRPr="004E7B65">
        <w:rPr>
          <w:color w:val="000000" w:themeColor="text1"/>
          <w:sz w:val="20"/>
          <w:szCs w:val="20"/>
          <w:lang w:val="en-CA"/>
        </w:rPr>
        <w:t xml:space="preserve">jurisdiction, or shared responsibility, have been completed or are well underway. </w:t>
      </w:r>
    </w:p>
    <w:p w14:paraId="55A90E97" w14:textId="77777777" w:rsidR="00E5223E" w:rsidRPr="004E7B65" w:rsidRDefault="00E5223E" w:rsidP="009D7D15">
      <w:pPr>
        <w:pStyle w:val="Content1"/>
        <w:numPr>
          <w:ilvl w:val="0"/>
          <w:numId w:val="7"/>
        </w:numPr>
        <w:ind w:left="1134" w:right="1134" w:firstLine="0"/>
        <w:jc w:val="both"/>
        <w:rPr>
          <w:color w:val="000000" w:themeColor="text1"/>
          <w:sz w:val="20"/>
          <w:szCs w:val="20"/>
        </w:rPr>
      </w:pPr>
      <w:r w:rsidRPr="004E7B65">
        <w:rPr>
          <w:color w:val="000000" w:themeColor="text1"/>
          <w:sz w:val="20"/>
          <w:szCs w:val="20"/>
        </w:rPr>
        <w:t xml:space="preserve">Calls to </w:t>
      </w:r>
      <w:proofErr w:type="gramStart"/>
      <w:r w:rsidRPr="004E7B65">
        <w:rPr>
          <w:color w:val="000000" w:themeColor="text1"/>
          <w:sz w:val="20"/>
          <w:szCs w:val="20"/>
        </w:rPr>
        <w:t>Action (#</w:t>
      </w:r>
      <w:proofErr w:type="gramEnd"/>
      <w:r w:rsidRPr="004E7B65">
        <w:rPr>
          <w:color w:val="000000" w:themeColor="text1"/>
          <w:sz w:val="20"/>
          <w:szCs w:val="20"/>
        </w:rPr>
        <w:t xml:space="preserve">53-56) pertain to the establishment of the National Council for Reconciliation, with the purpose of providing a formal governance structure to monitor, evaluate, and report annually to Parliament on reconciliation progress, including progress towards the implementation of the CTAs. </w:t>
      </w:r>
      <w:r w:rsidRPr="004E7B65">
        <w:rPr>
          <w:i/>
          <w:iCs/>
          <w:color w:val="000000" w:themeColor="text1"/>
          <w:sz w:val="20"/>
          <w:szCs w:val="20"/>
        </w:rPr>
        <w:t>The National Council for Reconciliation Act</w:t>
      </w:r>
      <w:r w:rsidRPr="004E7B65">
        <w:rPr>
          <w:color w:val="000000" w:themeColor="text1"/>
          <w:sz w:val="20"/>
          <w:szCs w:val="20"/>
        </w:rPr>
        <w:t xml:space="preserve"> received Royal Assent on April 30, 2024, and came into force on July 2, 2024. The legislation ensures that the National </w:t>
      </w:r>
      <w:r w:rsidRPr="007E5230">
        <w:rPr>
          <w:sz w:val="20"/>
          <w:szCs w:val="20"/>
          <w:lang w:val="en-CA"/>
        </w:rPr>
        <w:t>Council</w:t>
      </w:r>
      <w:r w:rsidRPr="004E7B65">
        <w:rPr>
          <w:color w:val="000000" w:themeColor="text1"/>
          <w:sz w:val="20"/>
          <w:szCs w:val="20"/>
        </w:rPr>
        <w:t xml:space="preserve"> for Reconciliation will be an independent, Indigenous-led, non-political organization, working to advance reconciliation. In 2025, the inaugural Board of Directors for the National Council for Reconciliation was named.   </w:t>
      </w:r>
    </w:p>
    <w:p w14:paraId="51A1A9F2"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GC is implementing several new investments that support the successful transition of Indigenous youth into the labour market</w:t>
      </w:r>
      <w:r>
        <w:rPr>
          <w:sz w:val="20"/>
          <w:szCs w:val="20"/>
          <w:lang w:val="en-CA"/>
        </w:rPr>
        <w:t xml:space="preserve"> including </w:t>
      </w:r>
      <w:r w:rsidRPr="27136E50">
        <w:rPr>
          <w:sz w:val="20"/>
          <w:szCs w:val="20"/>
          <w:lang w:val="en-CA"/>
        </w:rPr>
        <w:t>working with First Nations, Métis and Inuit organizations and service providers to ensure all Indigenous people have access to the skills development and employment training they need to fully participate in the Canadian economy.</w:t>
      </w:r>
    </w:p>
    <w:p w14:paraId="420182C1"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is engaging with Indigenous partners to advance the vision and priorities of the co-developed IELCC Framework, hence contributing to strengthening Indigenous governance and technical capacity in the ELCC sector.  </w:t>
      </w:r>
    </w:p>
    <w:p w14:paraId="4F01F7C9"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GC is also ensuring that Indigenous perspectives are reflected in Canada’s implementation of the 2030 Agenda for Sustainable Development and contributing to reconciliation through ongoing engagement protocol agreements with the Assembly of First Nations</w:t>
      </w:r>
      <w:r>
        <w:rPr>
          <w:sz w:val="20"/>
          <w:szCs w:val="20"/>
          <w:lang w:val="en-CA"/>
        </w:rPr>
        <w:t xml:space="preserve"> (AFN)</w:t>
      </w:r>
      <w:r w:rsidRPr="27136E50">
        <w:rPr>
          <w:sz w:val="20"/>
          <w:szCs w:val="20"/>
          <w:lang w:val="en-CA"/>
        </w:rPr>
        <w:t>, Inuit Tapiriit Kanatami</w:t>
      </w:r>
      <w:r>
        <w:rPr>
          <w:sz w:val="20"/>
          <w:szCs w:val="20"/>
          <w:lang w:val="en-CA"/>
        </w:rPr>
        <w:t xml:space="preserve"> (ITK)</w:t>
      </w:r>
      <w:r w:rsidRPr="27136E50">
        <w:rPr>
          <w:sz w:val="20"/>
          <w:szCs w:val="20"/>
          <w:lang w:val="en-CA"/>
        </w:rPr>
        <w:t xml:space="preserve"> and the Métis National Council</w:t>
      </w:r>
      <w:r>
        <w:rPr>
          <w:sz w:val="20"/>
          <w:szCs w:val="20"/>
          <w:lang w:val="en-CA"/>
        </w:rPr>
        <w:t xml:space="preserve"> (MNC)</w:t>
      </w:r>
      <w:r w:rsidRPr="27136E50">
        <w:rPr>
          <w:sz w:val="20"/>
          <w:szCs w:val="20"/>
          <w:lang w:val="en-CA"/>
        </w:rPr>
        <w:t>.</w:t>
      </w:r>
    </w:p>
    <w:p w14:paraId="198BB369" w14:textId="77777777" w:rsidR="00E5223E" w:rsidRPr="007D78A0" w:rsidRDefault="00E5223E" w:rsidP="009D7D15">
      <w:pPr>
        <w:pStyle w:val="Content1"/>
        <w:numPr>
          <w:ilvl w:val="0"/>
          <w:numId w:val="7"/>
        </w:numPr>
        <w:ind w:left="1134" w:right="1134" w:firstLine="0"/>
        <w:jc w:val="both"/>
        <w:rPr>
          <w:sz w:val="20"/>
          <w:szCs w:val="20"/>
          <w:lang w:val="en-CA"/>
        </w:rPr>
      </w:pPr>
      <w:r w:rsidRPr="007D78A0">
        <w:rPr>
          <w:sz w:val="20"/>
          <w:szCs w:val="20"/>
          <w:lang w:val="en-CA"/>
        </w:rPr>
        <w:t>Following the release of the final report of the CTAs in 2015, the Government of Prince Edward Island committed to the release of an annual status report detailing its progress towards implementing the CTAs. Since 2020, it has also incorporated an update on progress made towards the National Inquiry to MMIWG Call to Justice in the report.</w:t>
      </w:r>
    </w:p>
    <w:p w14:paraId="1F6E915F" w14:textId="77777777" w:rsidR="00E5223E" w:rsidRPr="007D78A0" w:rsidRDefault="00E5223E" w:rsidP="009D7D15">
      <w:pPr>
        <w:pStyle w:val="Content1"/>
        <w:numPr>
          <w:ilvl w:val="0"/>
          <w:numId w:val="7"/>
        </w:numPr>
        <w:ind w:left="1134" w:right="1134" w:firstLine="0"/>
        <w:jc w:val="both"/>
        <w:rPr>
          <w:sz w:val="20"/>
          <w:szCs w:val="20"/>
          <w:lang w:val="en-CA"/>
        </w:rPr>
      </w:pPr>
      <w:r w:rsidRPr="007D78A0">
        <w:rPr>
          <w:sz w:val="20"/>
          <w:szCs w:val="20"/>
          <w:lang w:val="en-CA"/>
        </w:rPr>
        <w:t>In 2018, British Columbia introduced a set of draft principles to guide the implementation of the CTAs. The province released the 2022-2027 Declaration Act Action Plan</w:t>
      </w:r>
      <w:r w:rsidRPr="007D78A0">
        <w:rPr>
          <w:i/>
          <w:iCs/>
          <w:sz w:val="20"/>
          <w:szCs w:val="20"/>
          <w:lang w:val="en-CA"/>
        </w:rPr>
        <w:t xml:space="preserve"> </w:t>
      </w:r>
      <w:r w:rsidRPr="007D78A0">
        <w:rPr>
          <w:sz w:val="20"/>
          <w:szCs w:val="20"/>
          <w:lang w:val="en-CA"/>
        </w:rPr>
        <w:t>to</w:t>
      </w:r>
      <w:r w:rsidRPr="007D78A0">
        <w:rPr>
          <w:i/>
          <w:iCs/>
          <w:sz w:val="20"/>
          <w:szCs w:val="20"/>
          <w:lang w:val="en-CA"/>
        </w:rPr>
        <w:t xml:space="preserve"> </w:t>
      </w:r>
      <w:r w:rsidRPr="007D78A0">
        <w:rPr>
          <w:sz w:val="20"/>
          <w:szCs w:val="20"/>
          <w:lang w:val="en-CA"/>
        </w:rPr>
        <w:t>supplement the draft principles, with ministries monitoring system alignments and progress on each of the CTAs.</w:t>
      </w:r>
    </w:p>
    <w:p w14:paraId="6FCBB543"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In 2019, the GC released the Arctic and Northern Policy Framework, following its co-development with northern Indigenous, PT partners, to guide federal priorities in the region until 2030. The Framework is well-aligned with federal and Indigenous ambitions related to reconciliation, guided by the Truth and Reconciliation Commission's Calls to Action, the UN Declaration, the Canadian Constitution, and collaboration with Indigenous Peoples and PT governments.  </w:t>
      </w:r>
    </w:p>
    <w:p w14:paraId="74F5BDAD" w14:textId="77777777" w:rsidR="00E5223E" w:rsidRPr="004157B9" w:rsidRDefault="00E5223E" w:rsidP="009D7D15">
      <w:pPr>
        <w:pStyle w:val="Content1"/>
        <w:numPr>
          <w:ilvl w:val="0"/>
          <w:numId w:val="7"/>
        </w:numPr>
        <w:ind w:left="1134" w:right="1134" w:firstLine="0"/>
        <w:jc w:val="both"/>
        <w:rPr>
          <w:sz w:val="20"/>
          <w:szCs w:val="20"/>
          <w:lang w:val="en-CA"/>
        </w:rPr>
      </w:pPr>
      <w:r w:rsidRPr="12512A46">
        <w:rPr>
          <w:sz w:val="20"/>
          <w:szCs w:val="20"/>
          <w:lang w:val="en-CA"/>
        </w:rPr>
        <w:t>Following through on a commitment made in Opportunity for All, Canada’s first Poverty Reduction Strategy, the G</w:t>
      </w:r>
      <w:r>
        <w:rPr>
          <w:sz w:val="20"/>
          <w:szCs w:val="20"/>
          <w:lang w:val="en-CA"/>
        </w:rPr>
        <w:t>C</w:t>
      </w:r>
      <w:r w:rsidRPr="12512A46">
        <w:rPr>
          <w:sz w:val="20"/>
          <w:szCs w:val="20"/>
          <w:lang w:val="en-CA"/>
        </w:rPr>
        <w:t xml:space="preserve"> is working with National Indigenous Organizations to identify and co-develop distinctions-based Indigenous indicators of poverty and well-being, including non-income-based measures of poverty, that reflect the multiple dimensions of poverty and well-being experienced by First Nations, Inuit and Métis.</w:t>
      </w:r>
    </w:p>
    <w:p w14:paraId="127A9D3F" w14:textId="1E05A180" w:rsidR="00E5223E" w:rsidRPr="00F2323E" w:rsidRDefault="00F76831" w:rsidP="00F76831">
      <w:pPr>
        <w:pStyle w:val="H23G"/>
        <w:rPr>
          <w:lang w:val="en-CA"/>
        </w:rPr>
      </w:pPr>
      <w:bookmarkStart w:id="21" w:name="_Toc177633120"/>
      <w:r>
        <w:rPr>
          <w:lang w:val="en-CA"/>
        </w:rPr>
        <w:tab/>
      </w:r>
      <w:r>
        <w:rPr>
          <w:lang w:val="en-CA"/>
        </w:rPr>
        <w:tab/>
      </w:r>
      <w:r w:rsidR="00E5223E" w:rsidRPr="00F2323E">
        <w:rPr>
          <w:lang w:val="en-CA"/>
        </w:rPr>
        <w:t>Revitalization of Indigenous languages</w:t>
      </w:r>
      <w:bookmarkEnd w:id="21"/>
    </w:p>
    <w:p w14:paraId="04EF360F"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is committed to the revitalization of Indigenous languages. In 2017, the G</w:t>
      </w:r>
      <w:r>
        <w:rPr>
          <w:sz w:val="20"/>
          <w:szCs w:val="20"/>
          <w:lang w:val="en-CA"/>
        </w:rPr>
        <w:t>C</w:t>
      </w:r>
      <w:r w:rsidRPr="6BCE64E0">
        <w:rPr>
          <w:sz w:val="20"/>
          <w:szCs w:val="20"/>
          <w:lang w:val="en-CA"/>
        </w:rPr>
        <w:t xml:space="preserve">, the AFN, ITK and the MNC launched the co-development of legislation </w:t>
      </w:r>
      <w:r>
        <w:rPr>
          <w:sz w:val="20"/>
          <w:szCs w:val="20"/>
          <w:lang w:val="en-CA"/>
        </w:rPr>
        <w:t xml:space="preserve">for </w:t>
      </w:r>
      <w:r w:rsidRPr="6BCE64E0">
        <w:rPr>
          <w:sz w:val="20"/>
          <w:szCs w:val="20"/>
          <w:lang w:val="en-CA"/>
        </w:rPr>
        <w:t xml:space="preserve">the preservation, protection and revitalization of First Nations, Inuit and Métis languages. </w:t>
      </w:r>
    </w:p>
    <w:p w14:paraId="67F98B74"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In 2019, the </w:t>
      </w:r>
      <w:r w:rsidRPr="009D4B43">
        <w:rPr>
          <w:i/>
          <w:iCs/>
          <w:sz w:val="20"/>
          <w:szCs w:val="20"/>
          <w:lang w:val="en-CA"/>
        </w:rPr>
        <w:t>Indigenous Languages Act</w:t>
      </w:r>
      <w:r w:rsidRPr="6BCE64E0">
        <w:rPr>
          <w:sz w:val="20"/>
          <w:szCs w:val="20"/>
          <w:lang w:val="en-CA"/>
        </w:rPr>
        <w:t xml:space="preserve"> </w:t>
      </w:r>
      <w:r>
        <w:rPr>
          <w:sz w:val="20"/>
          <w:szCs w:val="20"/>
          <w:lang w:val="en-CA"/>
        </w:rPr>
        <w:t xml:space="preserve">(the Act) </w:t>
      </w:r>
      <w:r w:rsidRPr="6BCE64E0">
        <w:rPr>
          <w:sz w:val="20"/>
          <w:szCs w:val="20"/>
          <w:lang w:val="en-CA"/>
        </w:rPr>
        <w:t xml:space="preserve">received Royal Assent, with the overall purpose of supporting the efforts of Indigenous Peoples to reclaim, revitalize, maintain and strengthen Indigenous languages. The Act also responds to the Truth and Reconciliation Commission of Canada’s Calls to Action 13 to 15; to the implementation of the </w:t>
      </w:r>
      <w:r>
        <w:rPr>
          <w:sz w:val="20"/>
          <w:szCs w:val="20"/>
          <w:lang w:val="en-CA"/>
        </w:rPr>
        <w:t>UN Declaration</w:t>
      </w:r>
      <w:r w:rsidRPr="6BCE64E0">
        <w:rPr>
          <w:sz w:val="20"/>
          <w:szCs w:val="20"/>
          <w:lang w:val="en-CA"/>
        </w:rPr>
        <w:t xml:space="preserve"> as it relates to Indigenous languages; and to the G</w:t>
      </w:r>
      <w:r>
        <w:rPr>
          <w:sz w:val="20"/>
          <w:szCs w:val="20"/>
          <w:lang w:val="en-CA"/>
        </w:rPr>
        <w:t>C</w:t>
      </w:r>
      <w:r w:rsidRPr="6BCE64E0">
        <w:rPr>
          <w:sz w:val="20"/>
          <w:szCs w:val="20"/>
          <w:lang w:val="en-CA"/>
        </w:rPr>
        <w:t>’s Federal Pathway to Address Missing and Murdered Indigenous Women, Girls and 2SLGBTQQIA+ People.</w:t>
      </w:r>
    </w:p>
    <w:p w14:paraId="6B67CF35"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Act contains mechanisms to create an Office of the Commissioner of Indigenous Languages, establish measures for sustainable and long-term funding, and define the role of federal institutions in providing access to services in Indigenous languages where capacity and demand exist, subject to regulations or agreements. Additionally, it aims to facilitate cooperation with Indigenous </w:t>
      </w:r>
      <w:r>
        <w:rPr>
          <w:sz w:val="20"/>
          <w:szCs w:val="20"/>
          <w:lang w:val="en-CA"/>
        </w:rPr>
        <w:t>partners,</w:t>
      </w:r>
      <w:r w:rsidRPr="27136E50">
        <w:rPr>
          <w:sz w:val="20"/>
          <w:szCs w:val="20"/>
          <w:lang w:val="en-CA"/>
        </w:rPr>
        <w:t xml:space="preserve"> and </w:t>
      </w:r>
      <w:r>
        <w:rPr>
          <w:sz w:val="20"/>
          <w:szCs w:val="20"/>
          <w:lang w:val="en-CA"/>
        </w:rPr>
        <w:t>PT</w:t>
      </w:r>
      <w:r w:rsidRPr="27136E50">
        <w:rPr>
          <w:sz w:val="20"/>
          <w:szCs w:val="20"/>
          <w:lang w:val="en-CA"/>
        </w:rPr>
        <w:t xml:space="preserve"> governments to create meaningful opportunities for Indigenous governments and other Indigenous governing bodies to collaborate in policy development related to the implementation of the Act.</w:t>
      </w:r>
    </w:p>
    <w:p w14:paraId="08851DF1" w14:textId="77777777" w:rsidR="00E5223E" w:rsidRPr="00651085" w:rsidRDefault="00E5223E" w:rsidP="009D7D15">
      <w:pPr>
        <w:pStyle w:val="Content1"/>
        <w:numPr>
          <w:ilvl w:val="0"/>
          <w:numId w:val="7"/>
        </w:numPr>
        <w:ind w:left="1134" w:right="1134" w:firstLine="0"/>
        <w:jc w:val="both"/>
        <w:rPr>
          <w:lang w:val="en-CA"/>
        </w:rPr>
      </w:pPr>
      <w:r w:rsidRPr="27136E50">
        <w:rPr>
          <w:color w:val="000000" w:themeColor="text1"/>
          <w:sz w:val="20"/>
          <w:szCs w:val="20"/>
          <w:lang w:val="en-CA"/>
        </w:rPr>
        <w:t xml:space="preserve">Since 2019, the implementation of the Act has been guided by a Joint Implementation Steering Committee (JISC) comprised of representatives of the </w:t>
      </w:r>
      <w:r w:rsidRPr="00276918">
        <w:rPr>
          <w:color w:val="000000" w:themeColor="text1"/>
          <w:sz w:val="20"/>
          <w:szCs w:val="20"/>
          <w:lang w:val="en-CA"/>
        </w:rPr>
        <w:t>AFN, ITK, the MNC</w:t>
      </w:r>
      <w:r w:rsidRPr="27136E50">
        <w:rPr>
          <w:color w:val="000000" w:themeColor="text1"/>
          <w:sz w:val="20"/>
          <w:szCs w:val="20"/>
          <w:lang w:val="en-CA"/>
        </w:rPr>
        <w:t xml:space="preserve"> and the GC. To support the implementation of the Act, budgets 2019, 2021, and 2024 have provided significant investments, totaling $1.4 billion from 2019-2020 to 2028-2029, </w:t>
      </w:r>
      <w:r w:rsidRPr="007E5230">
        <w:rPr>
          <w:sz w:val="20"/>
          <w:szCs w:val="20"/>
          <w:lang w:val="en-CA"/>
        </w:rPr>
        <w:t>along</w:t>
      </w:r>
      <w:r w:rsidRPr="27136E50">
        <w:rPr>
          <w:color w:val="000000" w:themeColor="text1"/>
          <w:sz w:val="20"/>
          <w:szCs w:val="20"/>
          <w:lang w:val="en-CA"/>
        </w:rPr>
        <w:t xml:space="preserve"> with $162.3 million in ongoing funding.</w:t>
      </w:r>
    </w:p>
    <w:p w14:paraId="75DA596D" w14:textId="77777777" w:rsidR="00E5223E" w:rsidRDefault="00E5223E" w:rsidP="009D7D15">
      <w:pPr>
        <w:pStyle w:val="Content1"/>
        <w:numPr>
          <w:ilvl w:val="0"/>
          <w:numId w:val="7"/>
        </w:numPr>
        <w:ind w:left="1134" w:right="1134" w:firstLine="0"/>
        <w:jc w:val="both"/>
        <w:rPr>
          <w:sz w:val="20"/>
          <w:szCs w:val="20"/>
          <w:lang w:val="en-CA"/>
        </w:rPr>
      </w:pPr>
      <w:r w:rsidRPr="00651085">
        <w:rPr>
          <w:sz w:val="20"/>
          <w:szCs w:val="20"/>
          <w:lang w:val="en-CA"/>
        </w:rPr>
        <w:t xml:space="preserve">In partnership with the Manitoba Aboriginal Languages Strategy, in 2021, the Government of Manitoba launched the Manitoba School Survey on Indigenous Languages Teaching to determine the number of Indigenous language teachers needed in provincial </w:t>
      </w:r>
      <w:r w:rsidRPr="004E2ECB">
        <w:rPr>
          <w:sz w:val="20"/>
          <w:szCs w:val="20"/>
          <w:lang w:val="en-CA"/>
        </w:rPr>
        <w:t>schools</w:t>
      </w:r>
      <w:r w:rsidRPr="004E7B65">
        <w:rPr>
          <w:sz w:val="20"/>
          <w:szCs w:val="20"/>
          <w:lang w:val="en-CA"/>
        </w:rPr>
        <w:t xml:space="preserve">. A final report was published that same </w:t>
      </w:r>
      <w:proofErr w:type="gramStart"/>
      <w:r w:rsidRPr="004E7B65">
        <w:rPr>
          <w:sz w:val="20"/>
          <w:szCs w:val="20"/>
          <w:lang w:val="en-CA"/>
        </w:rPr>
        <w:t>year</w:t>
      </w:r>
      <w:proofErr w:type="gramEnd"/>
      <w:r w:rsidRPr="004E7B65">
        <w:rPr>
          <w:sz w:val="20"/>
          <w:szCs w:val="20"/>
          <w:lang w:val="en-CA"/>
        </w:rPr>
        <w:t xml:space="preserve"> and results of the survey</w:t>
      </w:r>
      <w:r w:rsidRPr="004E2ECB">
        <w:rPr>
          <w:sz w:val="20"/>
          <w:szCs w:val="20"/>
          <w:lang w:val="en-CA"/>
        </w:rPr>
        <w:t xml:space="preserve"> have been utilized to support</w:t>
      </w:r>
      <w:r w:rsidRPr="00651085">
        <w:rPr>
          <w:sz w:val="20"/>
          <w:szCs w:val="20"/>
          <w:lang w:val="en-CA"/>
        </w:rPr>
        <w:t xml:space="preserve"> teacher workforce planning</w:t>
      </w:r>
      <w:r>
        <w:rPr>
          <w:sz w:val="20"/>
          <w:szCs w:val="20"/>
          <w:lang w:val="en-CA"/>
        </w:rPr>
        <w:t>.</w:t>
      </w:r>
    </w:p>
    <w:p w14:paraId="54A59140" w14:textId="77777777" w:rsidR="00E5223E" w:rsidRPr="001E3619" w:rsidRDefault="00E5223E" w:rsidP="009D7D15">
      <w:pPr>
        <w:pStyle w:val="Content1"/>
        <w:numPr>
          <w:ilvl w:val="0"/>
          <w:numId w:val="7"/>
        </w:numPr>
        <w:ind w:left="1134" w:right="1134" w:firstLine="0"/>
        <w:jc w:val="both"/>
        <w:rPr>
          <w:sz w:val="20"/>
          <w:szCs w:val="20"/>
          <w:lang w:val="en-CA"/>
        </w:rPr>
      </w:pPr>
      <w:r w:rsidRPr="0A00F4B0">
        <w:rPr>
          <w:sz w:val="20"/>
          <w:szCs w:val="20"/>
          <w:lang w:val="en-CA"/>
        </w:rPr>
        <w:t xml:space="preserve">As part of the commitment to supporting Indigenous language revitalization Ontario has added </w:t>
      </w:r>
      <w:r w:rsidRPr="00E95816">
        <w:rPr>
          <w:sz w:val="20"/>
          <w:szCs w:val="20"/>
          <w:lang w:val="en-CA"/>
        </w:rPr>
        <w:t>Inuktitut</w:t>
      </w:r>
      <w:r w:rsidRPr="0A00F4B0">
        <w:rPr>
          <w:sz w:val="20"/>
          <w:szCs w:val="20"/>
          <w:lang w:val="en-CA"/>
        </w:rPr>
        <w:t xml:space="preserve"> and Algonquin as languages of instruction at the elementary and secondary level within Ontario’s Indigenous languages curricula. With these additions, the Native Languages curriculum can now be delivered in nine languages of instruction: Algonquin, Cayuga, Cree, Delaware, Inuktitut, Oji-Cree, Mohawk, Oneida and Ojibwe. </w:t>
      </w:r>
    </w:p>
    <w:p w14:paraId="6EC21864" w14:textId="77777777" w:rsidR="00E5223E" w:rsidRPr="00420518"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Nova Scotia passed the Mi’kmaw Language Act to support the revitalization and protection of the Mi’kmaw language and recently worked with Mi’kmaw partners through the Mi’kmaw Language Committee to finalize </w:t>
      </w:r>
      <w:proofErr w:type="spellStart"/>
      <w:r w:rsidRPr="007E5230">
        <w:rPr>
          <w:sz w:val="20"/>
          <w:szCs w:val="20"/>
          <w:lang w:val="en-CA"/>
        </w:rPr>
        <w:t>L’nui’sutinej</w:t>
      </w:r>
      <w:proofErr w:type="spellEnd"/>
      <w:r w:rsidRPr="007E5230">
        <w:rPr>
          <w:sz w:val="20"/>
          <w:szCs w:val="20"/>
          <w:lang w:val="en-CA"/>
        </w:rPr>
        <w:t xml:space="preserve">, the Mi’kmaw Language </w:t>
      </w:r>
      <w:proofErr w:type="spellStart"/>
      <w:r w:rsidRPr="007E5230">
        <w:rPr>
          <w:sz w:val="20"/>
          <w:szCs w:val="20"/>
          <w:lang w:val="en-CA"/>
        </w:rPr>
        <w:t>ReVITALization</w:t>
      </w:r>
      <w:proofErr w:type="spellEnd"/>
      <w:r w:rsidRPr="007E5230">
        <w:rPr>
          <w:sz w:val="20"/>
          <w:szCs w:val="20"/>
          <w:lang w:val="en-CA"/>
        </w:rPr>
        <w:t xml:space="preserve"> Strategy for 2024–2030.</w:t>
      </w:r>
    </w:p>
    <w:p w14:paraId="272EB3DC" w14:textId="77777777" w:rsidR="00E5223E" w:rsidRDefault="00E5223E" w:rsidP="009D7D15">
      <w:pPr>
        <w:pStyle w:val="Content1"/>
        <w:numPr>
          <w:ilvl w:val="0"/>
          <w:numId w:val="7"/>
        </w:numPr>
        <w:ind w:left="1134" w:right="1134" w:firstLine="0"/>
        <w:jc w:val="both"/>
        <w:rPr>
          <w:lang w:val="en-CA"/>
        </w:rPr>
      </w:pPr>
      <w:r w:rsidRPr="007E5230">
        <w:rPr>
          <w:sz w:val="20"/>
          <w:szCs w:val="20"/>
          <w:lang w:val="en-CA"/>
        </w:rPr>
        <w:t>Since 2022, the GC has advanced access to services in Indigenous languages to support the Indigenous Languages Act</w:t>
      </w:r>
      <w:r>
        <w:rPr>
          <w:sz w:val="20"/>
          <w:szCs w:val="20"/>
          <w:lang w:val="en-CA"/>
        </w:rPr>
        <w:t xml:space="preserve"> (the Act) </w:t>
      </w:r>
      <w:r w:rsidRPr="007E5230">
        <w:rPr>
          <w:sz w:val="20"/>
          <w:szCs w:val="20"/>
          <w:lang w:val="en-CA"/>
        </w:rPr>
        <w:t xml:space="preserve">and, in collaboration with Inuit partners, has identified existing federal services available in </w:t>
      </w:r>
      <w:proofErr w:type="spellStart"/>
      <w:r w:rsidRPr="007E5230">
        <w:rPr>
          <w:sz w:val="20"/>
          <w:szCs w:val="20"/>
          <w:lang w:val="en-CA"/>
        </w:rPr>
        <w:t>Inuktut</w:t>
      </w:r>
      <w:proofErr w:type="spellEnd"/>
      <w:r w:rsidRPr="007E5230">
        <w:rPr>
          <w:sz w:val="20"/>
          <w:szCs w:val="20"/>
          <w:lang w:val="en-CA"/>
        </w:rPr>
        <w:t xml:space="preserve"> in Nunavut</w:t>
      </w:r>
      <w:r w:rsidRPr="27136E50">
        <w:rPr>
          <w:color w:val="000000" w:themeColor="text1"/>
          <w:sz w:val="20"/>
          <w:szCs w:val="20"/>
        </w:rPr>
        <w:t xml:space="preserve">. </w:t>
      </w:r>
      <w:r w:rsidRPr="27136E50">
        <w:rPr>
          <w:lang w:val="en-CA"/>
        </w:rPr>
        <w:t xml:space="preserve"> </w:t>
      </w:r>
    </w:p>
    <w:p w14:paraId="45B6B864" w14:textId="77777777" w:rsidR="00E5223E" w:rsidRPr="00735D5B"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A framework for negotiating and concluding time-limited agreements under sections 8 and 9 of the Act came into effect to support cooperation and coordination to advance the purposes of the Act. Twelve agreements have been concluded under this framework, in addition to two Pathfinders agreements, which are preliminary agreements centered around funding for specific languages and piloting maintenance revitalization services. </w:t>
      </w:r>
    </w:p>
    <w:p w14:paraId="0DCCBA62"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In 2023, the G</w:t>
      </w:r>
      <w:r>
        <w:rPr>
          <w:sz w:val="20"/>
          <w:szCs w:val="20"/>
          <w:lang w:val="en-CA"/>
        </w:rPr>
        <w:t>C</w:t>
      </w:r>
      <w:r w:rsidRPr="6BCE64E0">
        <w:rPr>
          <w:sz w:val="20"/>
          <w:szCs w:val="20"/>
          <w:lang w:val="en-CA"/>
        </w:rPr>
        <w:t xml:space="preserve"> implemented new distinction-based funding models for Indigenous languages. These were developed jointly with the AFN, ITK and MNC to address the objective of the Act of establishing measures that facilitate the provision of adequate, sustainable and long-term funding for Indigenous languages. Key elements of the funding models include providing long-term funding agreements; increasing Indigenous control over funding decisions to better support their priorities and strategies; and supporting the distinct needs of First Nations, Inuit and Métis peoples in their efforts to revitalize and strengthen their languages.</w:t>
      </w:r>
    </w:p>
    <w:p w14:paraId="02170438"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also engages with Self-Governing Nations, other Indigenous governing bodies and Indigenous organizations, such as the Manitoba Métis Federation, Congress of Aboriginal Peoples, and Friendship Centre organizations, to seek their perspectives on the implementation of the Act.</w:t>
      </w:r>
    </w:p>
    <w:p w14:paraId="480977D0" w14:textId="197F8357" w:rsidR="00E5223E" w:rsidRPr="00872E8F" w:rsidRDefault="00F76831" w:rsidP="00F76831">
      <w:pPr>
        <w:pStyle w:val="H23G"/>
        <w:rPr>
          <w:lang w:val="en-CA"/>
        </w:rPr>
      </w:pPr>
      <w:bookmarkStart w:id="22" w:name="_Toc177633121"/>
      <w:r>
        <w:rPr>
          <w:lang w:val="en-CA"/>
        </w:rPr>
        <w:tab/>
      </w:r>
      <w:r>
        <w:rPr>
          <w:lang w:val="en-CA"/>
        </w:rPr>
        <w:tab/>
      </w:r>
      <w:r w:rsidR="00E5223E" w:rsidRPr="00872E8F">
        <w:rPr>
          <w:lang w:val="en-CA"/>
        </w:rPr>
        <w:t>Housing</w:t>
      </w:r>
      <w:bookmarkEnd w:id="22"/>
    </w:p>
    <w:p w14:paraId="2E464B7F"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is providing funding for the implementation of three distinctions-based strategies: a First Nations-led housing Strategy, an Inuit-led housing strategy, and a Métis Nation housing strategy. The GC has been working in collaboration with the AFN and its Chiefs Committee on Housing and Infrastructure to co-develop the 10-year </w:t>
      </w:r>
      <w:r w:rsidRPr="007D78A0">
        <w:rPr>
          <w:sz w:val="20"/>
          <w:szCs w:val="20"/>
          <w:lang w:val="en-CA"/>
        </w:rPr>
        <w:t>National First Nations Housing and Related Infrastructure Strategy</w:t>
      </w:r>
      <w:r w:rsidRPr="27136E50">
        <w:rPr>
          <w:sz w:val="20"/>
          <w:szCs w:val="20"/>
          <w:lang w:val="en-CA"/>
        </w:rPr>
        <w:t>. The Strategy was endorsed in 2018, outlining the path forward to transition care, control, and management of housing to First Nations. The GC continues to work with First Nations to advance the Strategy to meet short-, medium- and long-term objectives.</w:t>
      </w:r>
    </w:p>
    <w:p w14:paraId="59CB04F4"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Since 2016, the GC has delivered distinctions-based federal funding direct to Inuit Treaty Organizations to improve the housing and infrastructure conditions in Inuit </w:t>
      </w:r>
      <w:proofErr w:type="spellStart"/>
      <w:r w:rsidRPr="007E5230">
        <w:rPr>
          <w:sz w:val="20"/>
          <w:szCs w:val="20"/>
          <w:lang w:val="en-CA"/>
        </w:rPr>
        <w:t>Nunangat</w:t>
      </w:r>
      <w:proofErr w:type="spellEnd"/>
      <w:r w:rsidRPr="007E5230">
        <w:rPr>
          <w:sz w:val="20"/>
          <w:szCs w:val="20"/>
          <w:lang w:val="en-CA"/>
        </w:rPr>
        <w:t xml:space="preserve">. Through the Inuit Crown Partnership Committee, Inuit and the GC worked together to co-develop the Inuit </w:t>
      </w:r>
      <w:proofErr w:type="spellStart"/>
      <w:r w:rsidRPr="007E5230">
        <w:rPr>
          <w:sz w:val="20"/>
          <w:szCs w:val="20"/>
          <w:lang w:val="en-CA"/>
        </w:rPr>
        <w:t>Nunangat</w:t>
      </w:r>
      <w:proofErr w:type="spellEnd"/>
      <w:r w:rsidRPr="007E5230">
        <w:rPr>
          <w:sz w:val="20"/>
          <w:szCs w:val="20"/>
          <w:lang w:val="en-CA"/>
        </w:rPr>
        <w:t xml:space="preserve"> Housing Strategy in 2019. Implementation of the Strategy continues, and the GC and Inuit partners will be co-developing a long-term plan for improving and sustaining housing outcomes in Inuit </w:t>
      </w:r>
      <w:proofErr w:type="spellStart"/>
      <w:r w:rsidRPr="007E5230">
        <w:rPr>
          <w:sz w:val="20"/>
          <w:szCs w:val="20"/>
          <w:lang w:val="en-CA"/>
        </w:rPr>
        <w:t>Nunangat</w:t>
      </w:r>
      <w:proofErr w:type="spellEnd"/>
      <w:r w:rsidRPr="007E5230">
        <w:rPr>
          <w:sz w:val="20"/>
          <w:szCs w:val="20"/>
          <w:lang w:val="en-CA"/>
        </w:rPr>
        <w:t>.</w:t>
      </w:r>
    </w:p>
    <w:p w14:paraId="5C89D8DC"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In 2018, the GC and the Métis Nation co-developed the Métis Nation Housing Strategy, providing investments for the Strategy for a 10-year period. The Strategy was underpinned by the Housing Sub-Accord to the Canada-Métis Nation Accord, also signed in 2018, which reflects a shared commitment to narrow the core housing need gap between Métis Nation and non-Indigenous people in Canada, and further Indigenous self-determination in this area. </w:t>
      </w:r>
    </w:p>
    <w:p w14:paraId="2F51500E"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has made significant investments to enable the transfer of housing care and control by enhancing the capacity of First Nations communities. Emphasis has been placed on increasing the training, recruitment, and retention of qualified housing managers and administrators. </w:t>
      </w:r>
      <w:r>
        <w:rPr>
          <w:sz w:val="20"/>
          <w:szCs w:val="20"/>
          <w:lang w:val="en-CA"/>
        </w:rPr>
        <w:t>In</w:t>
      </w:r>
      <w:r w:rsidRPr="27136E50">
        <w:rPr>
          <w:sz w:val="20"/>
          <w:szCs w:val="20"/>
          <w:lang w:val="en-CA"/>
        </w:rPr>
        <w:t xml:space="preserve"> 2022, the GC has launched a Housing Management Subsidy to support on-reserve First Nations with the salaries of managers and support staff, assisting with the retention of qualified staff.</w:t>
      </w:r>
    </w:p>
    <w:p w14:paraId="5D7904A6"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Alberta’s Indigenous Housing Capital Program strives to alleviate challenges that Indigenous </w:t>
      </w:r>
      <w:r>
        <w:rPr>
          <w:sz w:val="20"/>
          <w:szCs w:val="20"/>
          <w:lang w:val="en-CA"/>
        </w:rPr>
        <w:t>p</w:t>
      </w:r>
      <w:r w:rsidRPr="6BCE64E0">
        <w:rPr>
          <w:sz w:val="20"/>
          <w:szCs w:val="20"/>
          <w:lang w:val="en-CA"/>
        </w:rPr>
        <w:t>eople face accessing affordable housing</w:t>
      </w:r>
      <w:r w:rsidRPr="004E2ECB">
        <w:rPr>
          <w:sz w:val="20"/>
          <w:szCs w:val="20"/>
          <w:lang w:val="en-CA"/>
        </w:rPr>
        <w:t>. The program increases the supply of affordable off-reserve and on-and-off-settlement housing units for Indigenous people</w:t>
      </w:r>
      <w:r w:rsidRPr="6BCE64E0">
        <w:rPr>
          <w:sz w:val="20"/>
          <w:szCs w:val="20"/>
          <w:lang w:val="en-CA"/>
        </w:rPr>
        <w:t xml:space="preserve"> in need through construction (including additions/extensions), purchase, and repurposing units. All projects funded through the program are eligible for cost-matching under the National Housing Strategy Bilateral Agreement.</w:t>
      </w:r>
    </w:p>
    <w:p w14:paraId="06B42CCC" w14:textId="77777777" w:rsidR="00E5223E" w:rsidRDefault="00E5223E" w:rsidP="009D7D15">
      <w:pPr>
        <w:pStyle w:val="Content1"/>
        <w:numPr>
          <w:ilvl w:val="0"/>
          <w:numId w:val="7"/>
        </w:numPr>
        <w:ind w:left="1134" w:right="1134" w:firstLine="0"/>
        <w:jc w:val="both"/>
        <w:rPr>
          <w:sz w:val="20"/>
          <w:szCs w:val="20"/>
          <w:lang w:val="en-CA"/>
        </w:rPr>
      </w:pPr>
      <w:r w:rsidRPr="00CD12A8">
        <w:rPr>
          <w:sz w:val="20"/>
          <w:szCs w:val="20"/>
          <w:lang w:val="en-CA"/>
        </w:rPr>
        <w:t xml:space="preserve">The Women’s Transition Housing Fund in British Columbia was created in 2018 as a $734 million investment over 10 years to build and operate 1,500 new units of much-needed housing, including transition houses, safe homes, second stage and long-term housing. As part of the province’s 2023 housing plan, Homes for People, British Columbia is investing a further $1.2 billion over 10 years to double the number of Women's Transition Housing Fund (WTHF) units, bringing the total to 3,000. </w:t>
      </w:r>
      <w:r w:rsidRPr="00CD12A8">
        <w:rPr>
          <w:sz w:val="20"/>
          <w:szCs w:val="20"/>
        </w:rPr>
        <w:t>As of 2024, through the WTHF program there are 728 homes open with an additional 471 underway</w:t>
      </w:r>
      <w:r>
        <w:rPr>
          <w:sz w:val="20"/>
          <w:szCs w:val="20"/>
        </w:rPr>
        <w:t>.</w:t>
      </w:r>
    </w:p>
    <w:p w14:paraId="49275571" w14:textId="77777777" w:rsidR="00E5223E" w:rsidRPr="004E7B65" w:rsidRDefault="00E5223E" w:rsidP="009D7D15">
      <w:pPr>
        <w:pStyle w:val="Content1"/>
        <w:numPr>
          <w:ilvl w:val="0"/>
          <w:numId w:val="7"/>
        </w:numPr>
        <w:ind w:left="1134" w:right="1134" w:firstLine="0"/>
        <w:jc w:val="both"/>
        <w:rPr>
          <w:sz w:val="20"/>
          <w:szCs w:val="20"/>
          <w:lang w:val="en-CA"/>
        </w:rPr>
      </w:pPr>
      <w:r w:rsidRPr="6BCE64E0">
        <w:rPr>
          <w:sz w:val="20"/>
          <w:szCs w:val="20"/>
          <w:lang w:val="en-CA"/>
        </w:rPr>
        <w:t>Manitoba</w:t>
      </w:r>
      <w:r>
        <w:rPr>
          <w:sz w:val="20"/>
          <w:szCs w:val="20"/>
          <w:lang w:val="en-CA"/>
        </w:rPr>
        <w:t xml:space="preserve"> Housing, Addictions and Homelessness</w:t>
      </w:r>
      <w:r w:rsidRPr="6BCE64E0">
        <w:rPr>
          <w:sz w:val="20"/>
          <w:szCs w:val="20"/>
          <w:lang w:val="en-CA"/>
        </w:rPr>
        <w:t xml:space="preserve"> has hosted engagement sessions</w:t>
      </w:r>
      <w:r>
        <w:rPr>
          <w:sz w:val="20"/>
          <w:szCs w:val="20"/>
          <w:lang w:val="en-CA"/>
        </w:rPr>
        <w:t xml:space="preserve"> and released </w:t>
      </w:r>
      <w:proofErr w:type="spellStart"/>
      <w:r>
        <w:rPr>
          <w:sz w:val="20"/>
          <w:szCs w:val="20"/>
          <w:lang w:val="en-CA"/>
        </w:rPr>
        <w:t>EngageMB</w:t>
      </w:r>
      <w:proofErr w:type="spellEnd"/>
      <w:r>
        <w:rPr>
          <w:sz w:val="20"/>
          <w:szCs w:val="20"/>
          <w:lang w:val="en-CA"/>
        </w:rPr>
        <w:t xml:space="preserve"> surveys</w:t>
      </w:r>
      <w:r w:rsidRPr="6BCE64E0">
        <w:rPr>
          <w:sz w:val="20"/>
          <w:szCs w:val="20"/>
          <w:lang w:val="en-CA"/>
        </w:rPr>
        <w:t xml:space="preserve"> to</w:t>
      </w:r>
      <w:r>
        <w:rPr>
          <w:sz w:val="20"/>
          <w:szCs w:val="20"/>
          <w:lang w:val="en-CA"/>
        </w:rPr>
        <w:t xml:space="preserve"> help</w:t>
      </w:r>
      <w:r w:rsidRPr="6BCE64E0">
        <w:rPr>
          <w:sz w:val="20"/>
          <w:szCs w:val="20"/>
          <w:lang w:val="en-CA"/>
        </w:rPr>
        <w:t xml:space="preserve"> inform the National Housing Strategy and has also supported organizations to facilitate sessions for people with lived experience of homelessness, many of whom were Indigenous. </w:t>
      </w:r>
      <w:r w:rsidRPr="004E2ECB">
        <w:rPr>
          <w:sz w:val="20"/>
          <w:szCs w:val="20"/>
          <w:lang w:val="en-CA"/>
        </w:rPr>
        <w:t>Manitoba Housing continues to discuss the implementation and delivery of the federal Urban, Rural and Northern Indigenous Housing Strategy.</w:t>
      </w:r>
    </w:p>
    <w:p w14:paraId="0505A6E6" w14:textId="77777777" w:rsidR="00E5223E" w:rsidRDefault="00E5223E" w:rsidP="009D7D15">
      <w:pPr>
        <w:pStyle w:val="Content1"/>
        <w:numPr>
          <w:ilvl w:val="0"/>
          <w:numId w:val="7"/>
        </w:numPr>
        <w:ind w:left="1134" w:right="1134" w:firstLine="0"/>
        <w:jc w:val="both"/>
        <w:rPr>
          <w:sz w:val="20"/>
          <w:szCs w:val="20"/>
        </w:rPr>
      </w:pPr>
      <w:r w:rsidRPr="00974368">
        <w:rPr>
          <w:sz w:val="20"/>
          <w:szCs w:val="20"/>
        </w:rPr>
        <w:t>Ontario is enhancing investments in the Indigenous Supportive Housing Program (ISHP)</w:t>
      </w:r>
      <w:r w:rsidRPr="6FD76E39">
        <w:rPr>
          <w:sz w:val="20"/>
          <w:szCs w:val="20"/>
        </w:rPr>
        <w:t xml:space="preserve"> </w:t>
      </w:r>
      <w:r w:rsidRPr="767B159B">
        <w:rPr>
          <w:sz w:val="20"/>
          <w:szCs w:val="20"/>
        </w:rPr>
        <w:t>which</w:t>
      </w:r>
      <w:r w:rsidRPr="00974368">
        <w:rPr>
          <w:sz w:val="20"/>
          <w:szCs w:val="20"/>
        </w:rPr>
        <w:t xml:space="preserve"> provides culturally appropriate housing assistance and support services to Indigenous people that are homeless or at-risk of homelessness. </w:t>
      </w:r>
      <w:r w:rsidRPr="007E5230">
        <w:rPr>
          <w:sz w:val="20"/>
          <w:szCs w:val="20"/>
          <w:lang w:val="en-CA"/>
        </w:rPr>
        <w:t>Funding</w:t>
      </w:r>
      <w:r w:rsidRPr="00974368">
        <w:rPr>
          <w:sz w:val="20"/>
          <w:szCs w:val="20"/>
        </w:rPr>
        <w:t xml:space="preserve"> for the </w:t>
      </w:r>
      <w:r>
        <w:rPr>
          <w:sz w:val="20"/>
          <w:szCs w:val="20"/>
        </w:rPr>
        <w:t>ISHP</w:t>
      </w:r>
      <w:r w:rsidRPr="00974368">
        <w:rPr>
          <w:sz w:val="20"/>
          <w:szCs w:val="20"/>
        </w:rPr>
        <w:t xml:space="preserve"> increased by nearly 40% to $41.5 million in 2023-24, maintained for 2024</w:t>
      </w:r>
      <w:r w:rsidRPr="004E2ECB">
        <w:rPr>
          <w:sz w:val="20"/>
          <w:szCs w:val="20"/>
        </w:rPr>
        <w:t>-</w:t>
      </w:r>
      <w:r w:rsidRPr="004E7B65">
        <w:rPr>
          <w:sz w:val="20"/>
          <w:szCs w:val="20"/>
        </w:rPr>
        <w:t>20</w:t>
      </w:r>
      <w:r w:rsidRPr="004E2ECB">
        <w:rPr>
          <w:sz w:val="20"/>
          <w:szCs w:val="20"/>
        </w:rPr>
        <w:t>25</w:t>
      </w:r>
      <w:r w:rsidRPr="00974368">
        <w:rPr>
          <w:sz w:val="20"/>
          <w:szCs w:val="20"/>
        </w:rPr>
        <w:t xml:space="preserve">. </w:t>
      </w:r>
      <w:r>
        <w:rPr>
          <w:sz w:val="20"/>
          <w:szCs w:val="20"/>
        </w:rPr>
        <w:t xml:space="preserve">The funding can be </w:t>
      </w:r>
      <w:r w:rsidRPr="00974368">
        <w:rPr>
          <w:sz w:val="20"/>
          <w:szCs w:val="20"/>
        </w:rPr>
        <w:t>use</w:t>
      </w:r>
      <w:r>
        <w:rPr>
          <w:sz w:val="20"/>
          <w:szCs w:val="20"/>
        </w:rPr>
        <w:t>d</w:t>
      </w:r>
      <w:r w:rsidRPr="00974368">
        <w:rPr>
          <w:sz w:val="20"/>
          <w:szCs w:val="20"/>
        </w:rPr>
        <w:t xml:space="preserve"> for</w:t>
      </w:r>
      <w:r>
        <w:rPr>
          <w:sz w:val="20"/>
          <w:szCs w:val="20"/>
        </w:rPr>
        <w:t xml:space="preserve"> both</w:t>
      </w:r>
      <w:r w:rsidRPr="00974368">
        <w:rPr>
          <w:sz w:val="20"/>
          <w:szCs w:val="20"/>
        </w:rPr>
        <w:t xml:space="preserve"> capital and </w:t>
      </w:r>
      <w:r>
        <w:rPr>
          <w:sz w:val="20"/>
          <w:szCs w:val="20"/>
        </w:rPr>
        <w:t xml:space="preserve">ongoing </w:t>
      </w:r>
      <w:r w:rsidRPr="00974368">
        <w:rPr>
          <w:sz w:val="20"/>
          <w:szCs w:val="20"/>
        </w:rPr>
        <w:t>operational support for housing</w:t>
      </w:r>
      <w:r>
        <w:rPr>
          <w:sz w:val="20"/>
          <w:szCs w:val="20"/>
        </w:rPr>
        <w:t xml:space="preserve">. </w:t>
      </w:r>
    </w:p>
    <w:p w14:paraId="44E066AC" w14:textId="77777777" w:rsidR="00E5223E" w:rsidRPr="001F27C9" w:rsidRDefault="00E5223E" w:rsidP="009D7D15">
      <w:pPr>
        <w:pStyle w:val="Content1"/>
        <w:numPr>
          <w:ilvl w:val="0"/>
          <w:numId w:val="7"/>
        </w:numPr>
        <w:ind w:left="1134" w:right="1134" w:firstLine="0"/>
        <w:jc w:val="both"/>
        <w:rPr>
          <w:sz w:val="20"/>
          <w:szCs w:val="20"/>
        </w:rPr>
      </w:pPr>
      <w:r w:rsidRPr="002D16C0">
        <w:rPr>
          <w:sz w:val="20"/>
          <w:szCs w:val="20"/>
        </w:rPr>
        <w:t xml:space="preserve">The </w:t>
      </w:r>
      <w:r>
        <w:rPr>
          <w:sz w:val="20"/>
          <w:szCs w:val="20"/>
        </w:rPr>
        <w:t>GC</w:t>
      </w:r>
      <w:r w:rsidRPr="002D16C0">
        <w:rPr>
          <w:sz w:val="20"/>
          <w:szCs w:val="20"/>
        </w:rPr>
        <w:t xml:space="preserve"> is working with First Nations, Inuit, Métis, and Modern Treaty Self Governing Indigenous Government partners on their distinctions-based housing strategies to support their people living in urban, rural and northern areas and discuss interim approaches </w:t>
      </w:r>
      <w:r>
        <w:rPr>
          <w:sz w:val="20"/>
          <w:szCs w:val="20"/>
        </w:rPr>
        <w:t>as needed</w:t>
      </w:r>
      <w:r w:rsidRPr="002D16C0">
        <w:rPr>
          <w:sz w:val="20"/>
          <w:szCs w:val="20"/>
        </w:rPr>
        <w:t>. These advanc</w:t>
      </w:r>
      <w:r>
        <w:rPr>
          <w:sz w:val="20"/>
          <w:szCs w:val="20"/>
        </w:rPr>
        <w:t>e</w:t>
      </w:r>
      <w:r w:rsidRPr="002D16C0">
        <w:rPr>
          <w:sz w:val="20"/>
          <w:szCs w:val="20"/>
        </w:rPr>
        <w:t xml:space="preserve"> the Budget 2023 commitment of $4 billion over 7 years starting in 2024</w:t>
      </w:r>
      <w:r>
        <w:rPr>
          <w:sz w:val="20"/>
          <w:szCs w:val="20"/>
        </w:rPr>
        <w:t>-</w:t>
      </w:r>
      <w:r w:rsidRPr="007E5230">
        <w:rPr>
          <w:sz w:val="20"/>
          <w:szCs w:val="20"/>
          <w:lang w:val="en-CA"/>
        </w:rPr>
        <w:t>2025</w:t>
      </w:r>
      <w:r w:rsidRPr="002D16C0">
        <w:rPr>
          <w:sz w:val="20"/>
          <w:szCs w:val="20"/>
        </w:rPr>
        <w:t xml:space="preserve"> for the implementation of the Urban, Rural and Northern Indigenous Housing Strategy, which was in addition to the Budget 2022 commitment of $300 million to address urgent and unmet needs and support Indigenous-led engagement.</w:t>
      </w:r>
    </w:p>
    <w:p w14:paraId="6FCFB943" w14:textId="18467347" w:rsidR="00E5223E" w:rsidRPr="0008337A" w:rsidRDefault="00F76831" w:rsidP="00F76831">
      <w:pPr>
        <w:pStyle w:val="H23G"/>
        <w:rPr>
          <w:lang w:val="en-CA"/>
        </w:rPr>
      </w:pPr>
      <w:bookmarkStart w:id="23" w:name="_Toc177633122"/>
      <w:r>
        <w:rPr>
          <w:lang w:val="en-CA"/>
        </w:rPr>
        <w:tab/>
      </w:r>
      <w:r>
        <w:rPr>
          <w:lang w:val="en-CA"/>
        </w:rPr>
        <w:tab/>
      </w:r>
      <w:r w:rsidR="00E5223E" w:rsidRPr="0008337A">
        <w:rPr>
          <w:lang w:val="en-CA"/>
        </w:rPr>
        <w:t>Employment</w:t>
      </w:r>
      <w:bookmarkEnd w:id="23"/>
    </w:p>
    <w:p w14:paraId="0F0324F2"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Launched in 2019, the Indigenous Skills and Employment Training (ISET) program provides First Nations, Inuit, Métis and Urban/Non-affiliated Indigenous Peoples with training and supports to improve their skills and secure employment. It allows Indigenous service delivery organizations to provide employment-related and career development assistance; wrap-around services such as living expenses; financial assistance to support individuals in obtaining skills for employment; tuition or living expense costs; business coaching and mentorship; and disability-related supports. In the 2023-</w:t>
      </w:r>
      <w:r>
        <w:rPr>
          <w:sz w:val="20"/>
          <w:szCs w:val="20"/>
        </w:rPr>
        <w:t>20</w:t>
      </w:r>
      <w:r w:rsidRPr="6789CA4F">
        <w:rPr>
          <w:sz w:val="20"/>
          <w:szCs w:val="20"/>
        </w:rPr>
        <w:t xml:space="preserve">24 fiscal year, Indigenous service delivery organizations provided skills training and other support to over 54,000 Indigenous participants, including </w:t>
      </w:r>
      <w:r>
        <w:rPr>
          <w:sz w:val="20"/>
          <w:szCs w:val="20"/>
        </w:rPr>
        <w:t>nearly</w:t>
      </w:r>
      <w:r w:rsidRPr="6789CA4F">
        <w:rPr>
          <w:sz w:val="20"/>
          <w:szCs w:val="20"/>
        </w:rPr>
        <w:t xml:space="preserve"> 48,000 new participants. This aided 19,401 individuals in finding employment and 6,535 individuals in returning to school.  </w:t>
      </w:r>
    </w:p>
    <w:p w14:paraId="06AD1715"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Youth Employment and Skills Strategy (YESS) </w:t>
      </w:r>
      <w:proofErr w:type="gramStart"/>
      <w:r w:rsidRPr="27136E50">
        <w:rPr>
          <w:sz w:val="20"/>
          <w:szCs w:val="20"/>
          <w:lang w:val="en-CA"/>
        </w:rPr>
        <w:t>provides</w:t>
      </w:r>
      <w:proofErr w:type="gramEnd"/>
      <w:r w:rsidRPr="27136E50">
        <w:rPr>
          <w:sz w:val="20"/>
          <w:szCs w:val="20"/>
          <w:lang w:val="en-CA"/>
        </w:rPr>
        <w:t xml:space="preserve"> funding to third party delivery organizations and employers to help </w:t>
      </w:r>
      <w:r>
        <w:rPr>
          <w:sz w:val="20"/>
          <w:szCs w:val="20"/>
          <w:lang w:val="en-CA"/>
        </w:rPr>
        <w:t>youth</w:t>
      </w:r>
      <w:r w:rsidRPr="27136E50">
        <w:rPr>
          <w:sz w:val="20"/>
          <w:szCs w:val="20"/>
          <w:lang w:val="en-CA"/>
        </w:rPr>
        <w:t xml:space="preserve"> ages 15-30, including Indigenous youth, gain </w:t>
      </w:r>
      <w:r>
        <w:rPr>
          <w:sz w:val="20"/>
          <w:szCs w:val="20"/>
          <w:lang w:val="en-CA"/>
        </w:rPr>
        <w:t>needed</w:t>
      </w:r>
      <w:r w:rsidRPr="27136E50">
        <w:rPr>
          <w:sz w:val="20"/>
          <w:szCs w:val="20"/>
          <w:lang w:val="en-CA"/>
        </w:rPr>
        <w:t xml:space="preserve"> skills, abilities and experience. Supports include wage subsidies, skills development and training, mentorship, and wrap-around services (e.g. dependent care support, mental health counselling, Indigenous language training). While each of the YESS federal partners have their own program objectives and funding processes, the YESS program has a target of 20% First Nation, Metis or Inuit youth served.</w:t>
      </w:r>
    </w:p>
    <w:p w14:paraId="395B38D3" w14:textId="77777777" w:rsidR="00E5223E" w:rsidRDefault="00E5223E" w:rsidP="009D7D15">
      <w:pPr>
        <w:pStyle w:val="Content1"/>
        <w:numPr>
          <w:ilvl w:val="0"/>
          <w:numId w:val="7"/>
        </w:numPr>
        <w:ind w:left="1134" w:right="1134" w:firstLine="0"/>
        <w:jc w:val="both"/>
        <w:rPr>
          <w:sz w:val="20"/>
          <w:szCs w:val="20"/>
          <w:lang w:val="en-CA"/>
        </w:rPr>
      </w:pPr>
      <w:r w:rsidRPr="12512A46">
        <w:rPr>
          <w:sz w:val="20"/>
          <w:szCs w:val="20"/>
          <w:lang w:val="en-CA"/>
        </w:rPr>
        <w:t>The Student Work Placement program supports post-secondary students to develop work-ready skills, employers to hire and develop talent, and post-secondary institutions to keep pace with changing on the job expectations. To promote diversity and inclusion, the Program incentivizes employers through an enhanced wage subsidy to offer placements to students who have historically lacked access or experience barriers to participating in innovative work-integrated learning including Indigenous Peoples. The Skills for Success (SFS) program funds projects to deliver foundational and transferable skills training; develop foundational and transferable skills assessment tools and training resources; and test, replicate, and scale approaches. In 2023-</w:t>
      </w:r>
      <w:r>
        <w:rPr>
          <w:sz w:val="20"/>
          <w:szCs w:val="20"/>
          <w:lang w:val="en-CA"/>
        </w:rPr>
        <w:t>20</w:t>
      </w:r>
      <w:r w:rsidRPr="12512A46">
        <w:rPr>
          <w:sz w:val="20"/>
          <w:szCs w:val="20"/>
          <w:lang w:val="en-CA"/>
        </w:rPr>
        <w:t>24, 7% of enrolled training participants in the program self-identified as being Indigenous.</w:t>
      </w:r>
    </w:p>
    <w:p w14:paraId="7B9FD954" w14:textId="2055ACFA" w:rsidR="00E5223E" w:rsidRPr="0008337A" w:rsidRDefault="00F76831" w:rsidP="00F76831">
      <w:pPr>
        <w:pStyle w:val="H23G"/>
        <w:rPr>
          <w:i/>
        </w:rPr>
      </w:pPr>
      <w:bookmarkStart w:id="24" w:name="_Toc177633123"/>
      <w:r>
        <w:tab/>
      </w:r>
      <w:r>
        <w:tab/>
      </w:r>
      <w:r w:rsidR="00E5223E" w:rsidRPr="0008337A">
        <w:t>Safe drinking water</w:t>
      </w:r>
      <w:bookmarkEnd w:id="24"/>
    </w:p>
    <w:p w14:paraId="3E61742F"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and First Nations communities are working in partnership to build long-term solutions that support sustainable access to, and transfer control of, safe, clean drinking water for </w:t>
      </w:r>
      <w:r>
        <w:rPr>
          <w:sz w:val="20"/>
          <w:szCs w:val="20"/>
          <w:lang w:val="en-CA"/>
        </w:rPr>
        <w:t>First Nations</w:t>
      </w:r>
      <w:r w:rsidRPr="6BCE64E0">
        <w:rPr>
          <w:sz w:val="20"/>
          <w:szCs w:val="20"/>
          <w:lang w:val="en-CA"/>
        </w:rPr>
        <w:t>.</w:t>
      </w:r>
    </w:p>
    <w:p w14:paraId="3BB314E7" w14:textId="77777777" w:rsidR="00E5223E" w:rsidRPr="007D78A0" w:rsidRDefault="00E5223E" w:rsidP="009D7D15">
      <w:pPr>
        <w:pStyle w:val="Content1"/>
        <w:numPr>
          <w:ilvl w:val="0"/>
          <w:numId w:val="7"/>
        </w:numPr>
        <w:ind w:left="1134" w:right="1134" w:firstLine="0"/>
        <w:jc w:val="both"/>
        <w:rPr>
          <w:sz w:val="20"/>
          <w:szCs w:val="20"/>
          <w:lang w:val="en-CA"/>
        </w:rPr>
      </w:pPr>
      <w:r w:rsidRPr="007D78A0">
        <w:rPr>
          <w:sz w:val="20"/>
          <w:szCs w:val="20"/>
          <w:lang w:val="en-CA"/>
        </w:rPr>
        <w:t xml:space="preserve">In 2022, the Minister of Indigenous Services signed a Service Transfer Agreement with the </w:t>
      </w:r>
      <w:bookmarkStart w:id="25" w:name="_Hlk200099376"/>
      <w:r w:rsidRPr="007D78A0">
        <w:rPr>
          <w:sz w:val="20"/>
          <w:szCs w:val="20"/>
          <w:lang w:val="en-CA"/>
        </w:rPr>
        <w:t>Atlantic First Nation Water Authority</w:t>
      </w:r>
      <w:bookmarkEnd w:id="25"/>
      <w:r w:rsidRPr="007D78A0">
        <w:rPr>
          <w:sz w:val="20"/>
          <w:szCs w:val="20"/>
          <w:lang w:val="en-CA"/>
        </w:rPr>
        <w:t xml:space="preserve"> puts control of water and wastewater management firmly in the hands of First Nations, supporting self-determination. Since 2015, 147 long-term drinking water advisories on public systems on reserves have been lifted across Canada.</w:t>
      </w:r>
    </w:p>
    <w:p w14:paraId="6035B5FC"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 xml:space="preserve">C </w:t>
      </w:r>
      <w:r w:rsidRPr="6BCE64E0">
        <w:rPr>
          <w:sz w:val="20"/>
          <w:szCs w:val="20"/>
          <w:lang w:val="en-CA"/>
        </w:rPr>
        <w:t xml:space="preserve">continues to work with partners to expand </w:t>
      </w:r>
      <w:r>
        <w:rPr>
          <w:sz w:val="20"/>
          <w:szCs w:val="20"/>
          <w:lang w:val="en-CA"/>
        </w:rPr>
        <w:t xml:space="preserve">First Nations </w:t>
      </w:r>
      <w:r w:rsidRPr="003F571B">
        <w:rPr>
          <w:sz w:val="20"/>
          <w:szCs w:val="20"/>
          <w:lang w:val="en-CA"/>
        </w:rPr>
        <w:t xml:space="preserve">to operate and maintain water systems through </w:t>
      </w:r>
      <w:r w:rsidRPr="6BCE64E0">
        <w:rPr>
          <w:sz w:val="20"/>
          <w:szCs w:val="20"/>
          <w:lang w:val="en-CA"/>
        </w:rPr>
        <w:t>Indigenous-informed and -led initiatives to support water operators</w:t>
      </w:r>
      <w:r>
        <w:rPr>
          <w:sz w:val="20"/>
          <w:szCs w:val="20"/>
          <w:lang w:val="en-CA"/>
        </w:rPr>
        <w:t xml:space="preserve">. This includes </w:t>
      </w:r>
      <w:r w:rsidRPr="6BCE64E0">
        <w:rPr>
          <w:sz w:val="20"/>
          <w:szCs w:val="20"/>
          <w:lang w:val="en-CA"/>
        </w:rPr>
        <w:t xml:space="preserve">training workshops for operators and managers; community outreach and awareness raising; internship programs; source water protection planning; youth education and outreach; and the development of a variety of training materials. </w:t>
      </w:r>
    </w:p>
    <w:p w14:paraId="07937D1C" w14:textId="507EEE16" w:rsidR="00E5223E" w:rsidRPr="004E7B65" w:rsidRDefault="00F76831" w:rsidP="00F76831">
      <w:pPr>
        <w:pStyle w:val="H23G"/>
        <w:rPr>
          <w:i/>
        </w:rPr>
      </w:pPr>
      <w:bookmarkStart w:id="26" w:name="_Toc177633124"/>
      <w:r>
        <w:tab/>
      </w:r>
      <w:r>
        <w:tab/>
      </w:r>
      <w:r w:rsidR="00E5223E" w:rsidRPr="004F6CE9">
        <w:t>Access to health care</w:t>
      </w:r>
      <w:bookmarkEnd w:id="26"/>
    </w:p>
    <w:p w14:paraId="4033589D" w14:textId="77777777" w:rsidR="00E5223E" w:rsidRPr="00C222EE" w:rsidRDefault="00E5223E" w:rsidP="009D7D15">
      <w:pPr>
        <w:pStyle w:val="Content1"/>
        <w:numPr>
          <w:ilvl w:val="0"/>
          <w:numId w:val="7"/>
        </w:numPr>
        <w:ind w:left="1134" w:right="1134" w:firstLine="0"/>
        <w:jc w:val="both"/>
        <w:rPr>
          <w:sz w:val="20"/>
          <w:szCs w:val="20"/>
          <w:lang w:val="en-CA"/>
        </w:rPr>
      </w:pPr>
      <w:r w:rsidRPr="00AC01EA">
        <w:rPr>
          <w:sz w:val="20"/>
          <w:szCs w:val="20"/>
          <w:lang w:val="en-CA"/>
        </w:rPr>
        <w:t xml:space="preserve">From 2021 to 2023, </w:t>
      </w:r>
      <w:r w:rsidRPr="00C222EE">
        <w:rPr>
          <w:sz w:val="20"/>
          <w:szCs w:val="20"/>
          <w:lang w:val="en-CA"/>
        </w:rPr>
        <w:t xml:space="preserve">ISC worked in partnership with regional and national First Nations, Inuit, and Métis partners, and Indigenous organizations who represent an intersectional lens to support engagement and co-development of legislative options. A summary report, </w:t>
      </w:r>
      <w:proofErr w:type="gramStart"/>
      <w:r w:rsidRPr="00C222EE">
        <w:rPr>
          <w:i/>
          <w:iCs/>
          <w:sz w:val="20"/>
          <w:szCs w:val="20"/>
          <w:lang w:val="en-CA"/>
        </w:rPr>
        <w:t>What</w:t>
      </w:r>
      <w:proofErr w:type="gramEnd"/>
      <w:r w:rsidRPr="00C222EE">
        <w:rPr>
          <w:i/>
          <w:iCs/>
          <w:sz w:val="20"/>
          <w:szCs w:val="20"/>
          <w:lang w:val="en-CA"/>
        </w:rPr>
        <w:t xml:space="preserve"> we heard: Visions for Distinctions-based Indigenous Health Legislation</w:t>
      </w:r>
      <w:r w:rsidRPr="00C222EE">
        <w:rPr>
          <w:sz w:val="20"/>
          <w:szCs w:val="20"/>
          <w:lang w:val="en-CA"/>
        </w:rPr>
        <w:t>, and individual engagement reports, informed co-development discussions. Based on feedback, ISC committed to pursuing separate First Nations, Inuit, and Métis policy and/or legislative options and adjust the co-development process to improve transparency and collaboration. Discussions are ongoing with partners to establish next steps and advance shared priorities.</w:t>
      </w:r>
    </w:p>
    <w:p w14:paraId="0CDB56C8" w14:textId="77777777" w:rsidR="00E5223E" w:rsidRPr="004E7B65" w:rsidRDefault="00E5223E" w:rsidP="009D7D15">
      <w:pPr>
        <w:pStyle w:val="Content1"/>
        <w:numPr>
          <w:ilvl w:val="0"/>
          <w:numId w:val="7"/>
        </w:numPr>
        <w:ind w:left="1134" w:right="1134" w:firstLine="0"/>
        <w:jc w:val="both"/>
        <w:rPr>
          <w:sz w:val="20"/>
          <w:szCs w:val="20"/>
          <w:lang w:val="en-CA"/>
        </w:rPr>
      </w:pPr>
      <w:r w:rsidRPr="004E7B65">
        <w:rPr>
          <w:sz w:val="20"/>
          <w:szCs w:val="20"/>
        </w:rPr>
        <w:t xml:space="preserve">Building on the success from Budget 2021 investments, ISC’s Addressing Anti-Indigenous Racism (AAIR) in health systems initiative was renewed over five years, starting in 2024-25, to combat anti-Indigenous racism in Canada's health systems. This </w:t>
      </w:r>
      <w:r w:rsidRPr="007E5230">
        <w:rPr>
          <w:sz w:val="20"/>
          <w:szCs w:val="20"/>
          <w:lang w:val="en-CA"/>
        </w:rPr>
        <w:t>initiative</w:t>
      </w:r>
      <w:r w:rsidRPr="004E7B65">
        <w:rPr>
          <w:sz w:val="20"/>
          <w:szCs w:val="20"/>
        </w:rPr>
        <w:t xml:space="preserve"> is helping foster health systems free from racism and discrimination and ensure Indigenous Peoples are treated with the respect and safety they deserve. AAIR is continuing to support patient advocates, health system navigators, midwives, and birth support workers, as well as initiatives to increase Indigenous representation in the health profession.</w:t>
      </w:r>
    </w:p>
    <w:p w14:paraId="559CDEAB" w14:textId="6AB1F5FF" w:rsidR="00E5223E" w:rsidRPr="00870B8E" w:rsidRDefault="00F76831" w:rsidP="00F76831">
      <w:pPr>
        <w:pStyle w:val="H23G"/>
        <w:rPr>
          <w:lang w:val="en-CA"/>
        </w:rPr>
      </w:pPr>
      <w:bookmarkStart w:id="27" w:name="_Toc177633125"/>
      <w:r>
        <w:rPr>
          <w:lang w:val="en-CA"/>
        </w:rPr>
        <w:tab/>
      </w:r>
      <w:r>
        <w:rPr>
          <w:lang w:val="en-CA"/>
        </w:rPr>
        <w:tab/>
      </w:r>
      <w:r w:rsidR="00E5223E" w:rsidRPr="00870B8E">
        <w:rPr>
          <w:lang w:val="en-CA"/>
        </w:rPr>
        <w:t>Education</w:t>
      </w:r>
      <w:bookmarkEnd w:id="27"/>
    </w:p>
    <w:p w14:paraId="7E171FCF" w14:textId="77777777" w:rsidR="00E5223E" w:rsidRPr="004E7B65"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provides funding for elementary and secondary education for First Nations students on reserve. For First Nations in the North, off-reserve First Nations, Inuit and Métis, elementary and secondary education is provided by the respective </w:t>
      </w:r>
      <w:r>
        <w:rPr>
          <w:sz w:val="20"/>
          <w:szCs w:val="20"/>
          <w:lang w:val="en-CA"/>
        </w:rPr>
        <w:t>PT government</w:t>
      </w:r>
      <w:r w:rsidRPr="27136E50">
        <w:rPr>
          <w:sz w:val="20"/>
          <w:szCs w:val="20"/>
          <w:lang w:val="en-CA"/>
        </w:rPr>
        <w:t>. Investments in school facilities support the creation of quality learning environments that are safe and healthy, promoting better educational outcomes for students living on reserve. These investments include new construction</w:t>
      </w:r>
      <w:r>
        <w:rPr>
          <w:sz w:val="20"/>
          <w:szCs w:val="20"/>
          <w:lang w:val="en-CA"/>
        </w:rPr>
        <w:t>s,</w:t>
      </w:r>
      <w:r w:rsidRPr="27136E50">
        <w:rPr>
          <w:sz w:val="20"/>
          <w:szCs w:val="20"/>
          <w:lang w:val="en-CA"/>
        </w:rPr>
        <w:t xml:space="preserve"> additions, renovations</w:t>
      </w:r>
      <w:r>
        <w:rPr>
          <w:sz w:val="20"/>
          <w:szCs w:val="20"/>
          <w:lang w:val="en-CA"/>
        </w:rPr>
        <w:t xml:space="preserve">, </w:t>
      </w:r>
      <w:r w:rsidRPr="27136E50">
        <w:rPr>
          <w:sz w:val="20"/>
          <w:szCs w:val="20"/>
          <w:lang w:val="en-CA"/>
        </w:rPr>
        <w:t>and major repairs to existing schools.</w:t>
      </w:r>
    </w:p>
    <w:p w14:paraId="582C324C"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 xml:space="preserve">C </w:t>
      </w:r>
      <w:r w:rsidRPr="6BCE64E0">
        <w:rPr>
          <w:sz w:val="20"/>
          <w:szCs w:val="20"/>
          <w:lang w:val="en-CA"/>
        </w:rPr>
        <w:t xml:space="preserve">worked with First Nations to co-develop a new funding and policy approach, which was implemented </w:t>
      </w:r>
      <w:r>
        <w:rPr>
          <w:sz w:val="20"/>
          <w:szCs w:val="20"/>
          <w:lang w:val="en-CA"/>
        </w:rPr>
        <w:t xml:space="preserve">in </w:t>
      </w:r>
      <w:r w:rsidRPr="6BCE64E0">
        <w:rPr>
          <w:sz w:val="20"/>
          <w:szCs w:val="20"/>
          <w:lang w:val="en-CA"/>
        </w:rPr>
        <w:t xml:space="preserve">2019, and transformed education funding to better meet the needs of First Nations students on reserve. The new approach provides more predictable funding through a formula-based funding model, based on provincially comparable funding, and includes </w:t>
      </w:r>
      <w:r>
        <w:rPr>
          <w:sz w:val="20"/>
          <w:szCs w:val="20"/>
          <w:lang w:val="en-CA"/>
        </w:rPr>
        <w:t xml:space="preserve">adaptations and </w:t>
      </w:r>
      <w:r w:rsidRPr="6BCE64E0">
        <w:rPr>
          <w:sz w:val="20"/>
          <w:szCs w:val="20"/>
          <w:lang w:val="en-CA"/>
        </w:rPr>
        <w:t xml:space="preserve">additional </w:t>
      </w:r>
      <w:r>
        <w:rPr>
          <w:sz w:val="20"/>
          <w:szCs w:val="20"/>
          <w:lang w:val="en-CA"/>
        </w:rPr>
        <w:t xml:space="preserve">national common </w:t>
      </w:r>
      <w:r w:rsidRPr="6BCE64E0">
        <w:rPr>
          <w:sz w:val="20"/>
          <w:szCs w:val="20"/>
          <w:lang w:val="en-CA"/>
        </w:rPr>
        <w:t>investments</w:t>
      </w:r>
      <w:r>
        <w:rPr>
          <w:sz w:val="20"/>
          <w:szCs w:val="20"/>
          <w:lang w:val="en-CA"/>
        </w:rPr>
        <w:t>, such as</w:t>
      </w:r>
      <w:r w:rsidRPr="6BCE64E0">
        <w:rPr>
          <w:sz w:val="20"/>
          <w:szCs w:val="20"/>
          <w:lang w:val="en-CA"/>
        </w:rPr>
        <w:t xml:space="preserve"> in language and culture programming, full-day kindergarten for children aged </w:t>
      </w:r>
      <w:r>
        <w:rPr>
          <w:sz w:val="20"/>
          <w:szCs w:val="20"/>
          <w:lang w:val="en-CA"/>
        </w:rPr>
        <w:t>four</w:t>
      </w:r>
      <w:r w:rsidRPr="6BCE64E0">
        <w:rPr>
          <w:sz w:val="20"/>
          <w:szCs w:val="20"/>
          <w:lang w:val="en-CA"/>
        </w:rPr>
        <w:t xml:space="preserve"> and </w:t>
      </w:r>
      <w:r>
        <w:rPr>
          <w:sz w:val="20"/>
          <w:szCs w:val="20"/>
          <w:lang w:val="en-CA"/>
        </w:rPr>
        <w:t>five</w:t>
      </w:r>
      <w:r w:rsidRPr="6BCE64E0">
        <w:rPr>
          <w:sz w:val="20"/>
          <w:szCs w:val="20"/>
          <w:lang w:val="en-CA"/>
        </w:rPr>
        <w:t>, before- and after-school progra</w:t>
      </w:r>
      <w:r>
        <w:rPr>
          <w:sz w:val="20"/>
          <w:szCs w:val="20"/>
          <w:lang w:val="en-CA"/>
        </w:rPr>
        <w:t>m</w:t>
      </w:r>
      <w:r w:rsidRPr="6BCE64E0">
        <w:rPr>
          <w:sz w:val="20"/>
          <w:szCs w:val="20"/>
          <w:lang w:val="en-CA"/>
        </w:rPr>
        <w:t>ming</w:t>
      </w:r>
      <w:r>
        <w:rPr>
          <w:sz w:val="20"/>
          <w:szCs w:val="20"/>
          <w:lang w:val="en-CA"/>
        </w:rPr>
        <w:t xml:space="preserve">, </w:t>
      </w:r>
      <w:r w:rsidRPr="00B02FCA">
        <w:rPr>
          <w:sz w:val="20"/>
          <w:szCs w:val="20"/>
          <w:lang w:val="en-CA"/>
        </w:rPr>
        <w:t>and most recently, school food programming. This approach recognizes that First Nations are best placed to make decisions on their priorities or where they see the greatest need and aligns with the principle of First Nations control of First Nations education</w:t>
      </w:r>
      <w:r w:rsidRPr="6BCE64E0">
        <w:rPr>
          <w:sz w:val="20"/>
          <w:szCs w:val="20"/>
          <w:lang w:val="en-CA"/>
        </w:rPr>
        <w:t xml:space="preserve">. </w:t>
      </w:r>
    </w:p>
    <w:p w14:paraId="32926F3E"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Introduced in 2019 as part of the co-developed education transformation policy framework, regional education agreements support First Nation-designed and culturally appropriate education systems to improve student success through the vision and goals set by First Nations for elementary and secondary education. These agreements are tailored to the local or regional context and outline First Nations’ design, implementation and management plans for their education systems, including funding required to achieve better student outcomes, and formalizing Canada’s commitment to provide the required resources. To date, I</w:t>
      </w:r>
      <w:r>
        <w:rPr>
          <w:sz w:val="20"/>
          <w:szCs w:val="20"/>
          <w:lang w:val="en-CA"/>
        </w:rPr>
        <w:t>SC</w:t>
      </w:r>
      <w:r w:rsidRPr="6BCE64E0">
        <w:rPr>
          <w:sz w:val="20"/>
          <w:szCs w:val="20"/>
          <w:lang w:val="en-CA"/>
        </w:rPr>
        <w:t xml:space="preserve"> has signed </w:t>
      </w:r>
      <w:r>
        <w:rPr>
          <w:sz w:val="20"/>
          <w:szCs w:val="20"/>
          <w:lang w:val="en-CA"/>
        </w:rPr>
        <w:t>11</w:t>
      </w:r>
      <w:r w:rsidRPr="6BCE64E0">
        <w:rPr>
          <w:sz w:val="20"/>
          <w:szCs w:val="20"/>
          <w:lang w:val="en-CA"/>
        </w:rPr>
        <w:t xml:space="preserve"> regional education agreements with partners, </w:t>
      </w:r>
      <w:r w:rsidRPr="00F86CD5">
        <w:rPr>
          <w:sz w:val="20"/>
          <w:szCs w:val="20"/>
          <w:lang w:val="en-CA"/>
        </w:rPr>
        <w:t>covering over 25,000 students</w:t>
      </w:r>
      <w:r>
        <w:rPr>
          <w:sz w:val="20"/>
          <w:szCs w:val="20"/>
          <w:lang w:val="en-CA"/>
        </w:rPr>
        <w:t>. Nine agreements remain active</w:t>
      </w:r>
      <w:r w:rsidRPr="6BCE64E0">
        <w:rPr>
          <w:sz w:val="20"/>
          <w:szCs w:val="20"/>
          <w:lang w:val="en-CA"/>
        </w:rPr>
        <w:t>.</w:t>
      </w:r>
    </w:p>
    <w:p w14:paraId="36C26B00" w14:textId="77777777" w:rsidR="00E5223E" w:rsidRDefault="00E5223E" w:rsidP="009D7D15">
      <w:pPr>
        <w:pStyle w:val="Content1"/>
        <w:numPr>
          <w:ilvl w:val="0"/>
          <w:numId w:val="7"/>
        </w:numPr>
        <w:ind w:left="1134" w:right="1134" w:firstLine="0"/>
        <w:jc w:val="both"/>
        <w:rPr>
          <w:sz w:val="20"/>
          <w:szCs w:val="20"/>
          <w:lang w:val="en-CA"/>
        </w:rPr>
      </w:pPr>
      <w:r>
        <w:rPr>
          <w:sz w:val="20"/>
          <w:szCs w:val="20"/>
          <w:lang w:val="en-CA"/>
        </w:rPr>
        <w:t>S</w:t>
      </w:r>
      <w:r w:rsidRPr="0057619C">
        <w:rPr>
          <w:sz w:val="20"/>
          <w:szCs w:val="20"/>
          <w:lang w:val="en-CA"/>
        </w:rPr>
        <w:t>ectoral self-government agreements involving 42 Indigenous communities recognize Indigenous governments</w:t>
      </w:r>
      <w:r>
        <w:rPr>
          <w:sz w:val="20"/>
          <w:szCs w:val="20"/>
          <w:lang w:val="en-CA"/>
        </w:rPr>
        <w:t>’</w:t>
      </w:r>
      <w:r w:rsidRPr="0057619C">
        <w:rPr>
          <w:sz w:val="20"/>
          <w:szCs w:val="20"/>
          <w:lang w:val="en-CA"/>
        </w:rPr>
        <w:t xml:space="preserve"> jurisdiction over elementary and secondary education and enable Indigenous governments to establish an education system that better reflects student needs and the cultural priorities of the participating communities. </w:t>
      </w:r>
    </w:p>
    <w:p w14:paraId="5B8FB1CB" w14:textId="77777777" w:rsidR="00E5223E" w:rsidRPr="00F4196A"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To improve access and foster the success of First Nations, Inuit and Métis Nation students pursuing post-secondary education, </w:t>
      </w:r>
      <w:r>
        <w:rPr>
          <w:sz w:val="20"/>
          <w:szCs w:val="20"/>
          <w:lang w:val="en-CA"/>
        </w:rPr>
        <w:t>ISC</w:t>
      </w:r>
      <w:r w:rsidRPr="6BCE64E0">
        <w:rPr>
          <w:sz w:val="20"/>
          <w:szCs w:val="20"/>
          <w:lang w:val="en-CA"/>
        </w:rPr>
        <w:t xml:space="preserve"> launched distinctions-based Indigenous Post-Secondary Education Strategies in 2019-20, which aim to help close the post-secondary education attainment gaps between First Nations, Inuit and Métis Nation and non-Indigenous Canadians through distinctions-based and regionally delivered strategic supports. Through the First Nations Strategy, </w:t>
      </w:r>
      <w:r>
        <w:rPr>
          <w:sz w:val="20"/>
          <w:szCs w:val="20"/>
          <w:lang w:val="en-CA"/>
        </w:rPr>
        <w:t>t</w:t>
      </w:r>
      <w:r w:rsidRPr="6BCE64E0">
        <w:rPr>
          <w:sz w:val="20"/>
          <w:szCs w:val="20"/>
          <w:lang w:val="en-CA"/>
        </w:rPr>
        <w:t>he G</w:t>
      </w:r>
      <w:r>
        <w:rPr>
          <w:sz w:val="20"/>
          <w:szCs w:val="20"/>
          <w:lang w:val="en-CA"/>
        </w:rPr>
        <w:t>C</w:t>
      </w:r>
      <w:r w:rsidRPr="6BCE64E0">
        <w:rPr>
          <w:sz w:val="20"/>
          <w:szCs w:val="20"/>
          <w:lang w:val="en-CA"/>
        </w:rPr>
        <w:t xml:space="preserve"> </w:t>
      </w:r>
      <w:r w:rsidRPr="00020208">
        <w:rPr>
          <w:sz w:val="20"/>
          <w:szCs w:val="20"/>
          <w:lang w:val="en-CA"/>
        </w:rPr>
        <w:t>provides financial support for eligible First Nations students, institutions and community-based programming</w:t>
      </w:r>
      <w:r>
        <w:rPr>
          <w:sz w:val="20"/>
          <w:szCs w:val="20"/>
          <w:lang w:val="en-CA"/>
        </w:rPr>
        <w:t>.</w:t>
      </w:r>
      <w:r w:rsidRPr="00020208">
        <w:rPr>
          <w:sz w:val="20"/>
          <w:szCs w:val="20"/>
          <w:lang w:val="en-CA"/>
        </w:rPr>
        <w:t xml:space="preserve"> </w:t>
      </w:r>
      <w:r w:rsidRPr="6BCE64E0">
        <w:rPr>
          <w:sz w:val="20"/>
          <w:szCs w:val="20"/>
          <w:lang w:val="en-CA"/>
        </w:rPr>
        <w:t xml:space="preserve">The approach for Inuit and Métis Nation post-secondary education includes allocating funds to Inuit and Métis Nation recipients through their respective strategies. These funds are then provided as direct support to students and used for complementary programs and services, and governance capacity to support service delivery. </w:t>
      </w:r>
    </w:p>
    <w:p w14:paraId="32A4ADEF"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Language and culture programming is a critical component of successful on-reserve education systems. In addition to providing funding that is provincially comparable, the Elementary and Secondary Education Program also provides additional funding up to $1500 per student per year to support language and culture programming in on-reserve schools. </w:t>
      </w:r>
    </w:p>
    <w:p w14:paraId="72B186F5"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Alberta Education works collaboratively with the G</w:t>
      </w:r>
      <w:r>
        <w:rPr>
          <w:sz w:val="20"/>
          <w:szCs w:val="20"/>
          <w:lang w:val="en-CA"/>
        </w:rPr>
        <w:t>C</w:t>
      </w:r>
      <w:r w:rsidRPr="004157B9">
        <w:rPr>
          <w:sz w:val="20"/>
          <w:szCs w:val="20"/>
          <w:lang w:val="en-CA"/>
        </w:rPr>
        <w:t xml:space="preserve"> to support equal access to quality education for all children, without racial discrimination and regardless of whether the child lives on or off reserve.</w:t>
      </w:r>
    </w:p>
    <w:p w14:paraId="1F935CBE" w14:textId="77777777" w:rsidR="00E5223E" w:rsidRDefault="00E5223E" w:rsidP="009D7D15">
      <w:pPr>
        <w:pStyle w:val="Content1"/>
        <w:numPr>
          <w:ilvl w:val="0"/>
          <w:numId w:val="7"/>
        </w:numPr>
        <w:ind w:left="1134" w:right="1134" w:firstLine="0"/>
        <w:jc w:val="both"/>
        <w:rPr>
          <w:sz w:val="20"/>
          <w:szCs w:val="20"/>
          <w:lang w:val="en-CA"/>
        </w:rPr>
      </w:pPr>
      <w:r>
        <w:rPr>
          <w:sz w:val="20"/>
          <w:szCs w:val="20"/>
          <w:lang w:val="en-CA"/>
        </w:rPr>
        <w:t>N</w:t>
      </w:r>
      <w:r w:rsidRPr="004157B9">
        <w:rPr>
          <w:sz w:val="20"/>
          <w:szCs w:val="20"/>
          <w:lang w:val="en-CA"/>
        </w:rPr>
        <w:t xml:space="preserve">ewfoundland and Labrador’s Indigenous Education Advisory Committee advises on Indigenous content in the provincial curriculum, which has allowed for the development of a framework document on Indigenous Education which supports and improves educational opportunities for Indigenous students in K – 12; and provides direction for revision of existing curriculum and development of new curriculum that reflects the history, contributions, traditions and culture of </w:t>
      </w:r>
      <w:r w:rsidRPr="009915C9">
        <w:rPr>
          <w:sz w:val="20"/>
          <w:szCs w:val="20"/>
          <w:lang w:val="en-CA"/>
        </w:rPr>
        <w:t xml:space="preserve">Indigenous </w:t>
      </w:r>
      <w:r w:rsidRPr="004E7B65">
        <w:rPr>
          <w:sz w:val="20"/>
          <w:szCs w:val="20"/>
          <w:lang w:val="en-CA"/>
        </w:rPr>
        <w:t>P</w:t>
      </w:r>
      <w:r w:rsidRPr="009915C9">
        <w:rPr>
          <w:sz w:val="20"/>
          <w:szCs w:val="20"/>
          <w:lang w:val="en-CA"/>
        </w:rPr>
        <w:t>eoples</w:t>
      </w:r>
      <w:r w:rsidRPr="004157B9">
        <w:rPr>
          <w:sz w:val="20"/>
          <w:szCs w:val="20"/>
          <w:lang w:val="en-CA"/>
        </w:rPr>
        <w:t xml:space="preserve"> in Newfoundland and Labrador and in Canada.</w:t>
      </w:r>
    </w:p>
    <w:p w14:paraId="7359A2B0" w14:textId="77777777" w:rsidR="00E5223E" w:rsidRPr="001A6F5E" w:rsidRDefault="00E5223E" w:rsidP="009D7D15">
      <w:pPr>
        <w:pStyle w:val="Content1"/>
        <w:numPr>
          <w:ilvl w:val="0"/>
          <w:numId w:val="7"/>
        </w:numPr>
        <w:ind w:left="1134" w:right="1134" w:firstLine="0"/>
        <w:jc w:val="both"/>
        <w:rPr>
          <w:sz w:val="20"/>
          <w:szCs w:val="20"/>
          <w:lang w:val="en-CA"/>
        </w:rPr>
      </w:pPr>
      <w:r w:rsidRPr="004157B9">
        <w:rPr>
          <w:sz w:val="20"/>
          <w:szCs w:val="20"/>
          <w:lang w:val="en-CA"/>
        </w:rPr>
        <w:t xml:space="preserve">Annual funding is provided to all Ontario provincial school boards for Indigenous Education and to support the academic success and well-being of First Nation, Métis, and Inuit students. Targeted funding is also provided to school boards and third-party Indigenous education partners to support initiatives that help to connect Indigenous students with culturally relevant academic, safety and well-being supports and services both inside and outside of school, </w:t>
      </w:r>
      <w:r w:rsidRPr="2CBFFFEA">
        <w:rPr>
          <w:sz w:val="20"/>
          <w:szCs w:val="20"/>
          <w:lang w:val="en-CA"/>
        </w:rPr>
        <w:t>langu</w:t>
      </w:r>
      <w:r>
        <w:rPr>
          <w:sz w:val="20"/>
          <w:szCs w:val="20"/>
          <w:lang w:val="en-CA"/>
        </w:rPr>
        <w:t>a</w:t>
      </w:r>
      <w:r w:rsidRPr="2CBFFFEA">
        <w:rPr>
          <w:sz w:val="20"/>
          <w:szCs w:val="20"/>
          <w:lang w:val="en-CA"/>
        </w:rPr>
        <w:t>ges revitalization</w:t>
      </w:r>
      <w:r w:rsidRPr="009915C9">
        <w:rPr>
          <w:sz w:val="20"/>
          <w:szCs w:val="20"/>
          <w:lang w:val="en-CA"/>
        </w:rPr>
        <w:t xml:space="preserve">, </w:t>
      </w:r>
      <w:r w:rsidRPr="004E7B65">
        <w:rPr>
          <w:sz w:val="20"/>
          <w:szCs w:val="20"/>
          <w:lang w:val="en-CA"/>
        </w:rPr>
        <w:t>as well as</w:t>
      </w:r>
      <w:r w:rsidRPr="009915C9">
        <w:rPr>
          <w:sz w:val="20"/>
          <w:szCs w:val="20"/>
          <w:lang w:val="en-CA"/>
        </w:rPr>
        <w:t xml:space="preserve"> supports</w:t>
      </w:r>
      <w:r w:rsidRPr="004157B9">
        <w:rPr>
          <w:sz w:val="20"/>
          <w:szCs w:val="20"/>
          <w:lang w:val="en-CA"/>
        </w:rPr>
        <w:t xml:space="preserve"> for First Nation students that attend school on reserve. </w:t>
      </w:r>
    </w:p>
    <w:p w14:paraId="50C32695" w14:textId="41933502" w:rsidR="00E5223E" w:rsidRPr="001A6F5E" w:rsidRDefault="00F76831" w:rsidP="00F76831">
      <w:pPr>
        <w:pStyle w:val="H23G"/>
        <w:rPr>
          <w:lang w:val="en-CA"/>
        </w:rPr>
      </w:pPr>
      <w:bookmarkStart w:id="28" w:name="_Toc177633126"/>
      <w:r>
        <w:rPr>
          <w:lang w:val="en-CA"/>
        </w:rPr>
        <w:tab/>
      </w:r>
      <w:r>
        <w:rPr>
          <w:lang w:val="en-CA"/>
        </w:rPr>
        <w:tab/>
      </w:r>
      <w:r w:rsidR="00E5223E" w:rsidRPr="001A6F5E">
        <w:rPr>
          <w:lang w:val="en-CA"/>
        </w:rPr>
        <w:t>Justice and community safety</w:t>
      </w:r>
      <w:bookmarkEnd w:id="28"/>
    </w:p>
    <w:p w14:paraId="69AC0AA7" w14:textId="77777777" w:rsidR="00E5223E" w:rsidRPr="001A6F5E" w:rsidRDefault="00E5223E" w:rsidP="009D7D15">
      <w:pPr>
        <w:pStyle w:val="Content1"/>
        <w:numPr>
          <w:ilvl w:val="0"/>
          <w:numId w:val="7"/>
        </w:numPr>
        <w:ind w:left="1134" w:right="1134" w:firstLine="0"/>
        <w:jc w:val="both"/>
        <w:rPr>
          <w:sz w:val="20"/>
          <w:szCs w:val="20"/>
        </w:rPr>
      </w:pPr>
      <w:r w:rsidRPr="27136E50">
        <w:rPr>
          <w:color w:val="000000" w:themeColor="text1"/>
          <w:sz w:val="20"/>
          <w:szCs w:val="20"/>
        </w:rPr>
        <w:t xml:space="preserve">Justice Canada has </w:t>
      </w:r>
      <w:r w:rsidRPr="007E5230">
        <w:rPr>
          <w:sz w:val="20"/>
          <w:szCs w:val="20"/>
          <w:lang w:val="en-CA"/>
        </w:rPr>
        <w:t>engaged</w:t>
      </w:r>
      <w:r w:rsidRPr="27136E50">
        <w:rPr>
          <w:color w:val="000000" w:themeColor="text1"/>
          <w:sz w:val="20"/>
          <w:szCs w:val="20"/>
        </w:rPr>
        <w:t xml:space="preserve"> with Indigenous partners</w:t>
      </w:r>
      <w:r>
        <w:rPr>
          <w:color w:val="000000" w:themeColor="text1"/>
          <w:sz w:val="20"/>
          <w:szCs w:val="20"/>
        </w:rPr>
        <w:t xml:space="preserve"> </w:t>
      </w:r>
      <w:r w:rsidRPr="00D47102">
        <w:rPr>
          <w:color w:val="000000" w:themeColor="text1"/>
          <w:sz w:val="20"/>
          <w:szCs w:val="20"/>
        </w:rPr>
        <w:t>and PT governments to</w:t>
      </w:r>
      <w:r w:rsidRPr="27136E50">
        <w:rPr>
          <w:color w:val="000000" w:themeColor="text1"/>
          <w:sz w:val="20"/>
          <w:szCs w:val="20"/>
        </w:rPr>
        <w:t xml:space="preserve"> inform the development an Indigenous Justice Strategy to address systemic discrimination and the overrepresentation of Indigenous people in the Canadian justice system. </w:t>
      </w:r>
      <w:r w:rsidRPr="00AC01EA">
        <w:rPr>
          <w:sz w:val="20"/>
          <w:szCs w:val="20"/>
        </w:rPr>
        <w:t>Justice Canada released the IJS Key Elements Consultation Draft (KECD) for validation and feedback in 2024. It is expected that the IJS will be released in 2025</w:t>
      </w:r>
      <w:r>
        <w:rPr>
          <w:sz w:val="20"/>
          <w:szCs w:val="20"/>
        </w:rPr>
        <w:t>.</w:t>
      </w:r>
    </w:p>
    <w:p w14:paraId="0821916C" w14:textId="77777777" w:rsidR="00E5223E" w:rsidRPr="00A63BF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The Aboriginal Community Safety Development Contribution Program (ACSDCP) supports and collaborates with Indigenous organizations, Indigenous governments and municipalities to develop tailored approaches to community safety that are responsive to the concerns, priorities and unique circumstances of Indigenous communities. The ACSDCP includes two initiatives: (1) the Aboriginal Community Safety Planning Initiative (ACSPI); and (2) the Indigenous Community Corrections Initiative (ICCI). </w:t>
      </w:r>
    </w:p>
    <w:p w14:paraId="0AD48D2B" w14:textId="77777777" w:rsidR="00E5223E" w:rsidRPr="00A63BF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ACSPI was created in 2010 as part of Canada's response to</w:t>
      </w:r>
      <w:r>
        <w:rPr>
          <w:sz w:val="20"/>
          <w:szCs w:val="20"/>
          <w:lang w:val="en-CA"/>
        </w:rPr>
        <w:t xml:space="preserve"> </w:t>
      </w:r>
      <w:r w:rsidRPr="6BCE64E0">
        <w:rPr>
          <w:sz w:val="20"/>
          <w:szCs w:val="20"/>
          <w:lang w:val="en-CA"/>
        </w:rPr>
        <w:t xml:space="preserve">MMIWG, to support Indigenous communities in identifying risks to community safety and to develop their own Community Safety Plans (CSP) to address those risks. CSPs identify community strengths, assets, and safety and wellness goals for all community members to see themselves involved on a path leading toward a healthier, safer home and community life. </w:t>
      </w:r>
    </w:p>
    <w:p w14:paraId="17384F30" w14:textId="77777777" w:rsidR="00E5223E" w:rsidRPr="00A63BFE" w:rsidRDefault="00E5223E" w:rsidP="009D7D15">
      <w:pPr>
        <w:pStyle w:val="Content1"/>
        <w:numPr>
          <w:ilvl w:val="0"/>
          <w:numId w:val="7"/>
        </w:numPr>
        <w:ind w:left="1134" w:right="1134" w:firstLine="0"/>
        <w:jc w:val="both"/>
        <w:rPr>
          <w:sz w:val="20"/>
          <w:szCs w:val="20"/>
          <w:lang w:val="en-CA"/>
        </w:rPr>
      </w:pPr>
      <w:r>
        <w:rPr>
          <w:sz w:val="20"/>
          <w:szCs w:val="20"/>
          <w:lang w:val="en-CA"/>
        </w:rPr>
        <w:t>The 2021 federal b</w:t>
      </w:r>
      <w:r w:rsidRPr="6BCE64E0">
        <w:rPr>
          <w:sz w:val="20"/>
          <w:szCs w:val="20"/>
          <w:lang w:val="en-CA"/>
        </w:rPr>
        <w:t xml:space="preserve">udget announced up to $64.6 million over five years, and $18.1 million ongoing, to enhance Indigenous-led crime prevention strategies and community safety services, including the ACSPI. Through the Aboriginal Community Safety Development Contribution Program (ACSDCP) and horizontal governance partnerships, the ACSPI pools and collaborates efforts to support CSP communities to gain access to resources to develop and/or implement safety initiatives identified in their CSP through a grassroots approach. This allows for sustained, longer-term solutions that improve the lives of Indigenous Peoples. </w:t>
      </w:r>
    </w:p>
    <w:p w14:paraId="6642B07D" w14:textId="77777777" w:rsidR="00E5223E" w:rsidRPr="00A63BF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ICCI seeks to support the development of alternatives to incarceration projects and to provide reintegration support for Indigenous offenders. ICCI projects provide culturally relevant services that can include counselling, treatment, life skills coaching, family reunification, and addressing the effects of residential schools and involvement with child welfare systems. Through its funded projects, ICCI aims to reduce recidivism rate by preventing reconviction of Indigenous offenders and thereby, to address the overrepresentation of Indigenous offenders in the correctional institutions. In 2021, ICCI funded 16 projects that covered a wide range of services and supports for Indigenous offenders.</w:t>
      </w:r>
    </w:p>
    <w:p w14:paraId="27799343" w14:textId="77777777" w:rsidR="00E5223E" w:rsidRPr="00A63BFE" w:rsidRDefault="00E5223E" w:rsidP="009D7D15">
      <w:pPr>
        <w:pStyle w:val="Content1"/>
        <w:numPr>
          <w:ilvl w:val="0"/>
          <w:numId w:val="7"/>
        </w:numPr>
        <w:ind w:left="1134" w:right="1134" w:firstLine="0"/>
        <w:jc w:val="both"/>
        <w:rPr>
          <w:sz w:val="20"/>
          <w:szCs w:val="20"/>
          <w:lang w:val="en-CA"/>
        </w:rPr>
      </w:pPr>
      <w:r w:rsidRPr="27136E50">
        <w:rPr>
          <w:sz w:val="20"/>
          <w:szCs w:val="20"/>
          <w:lang w:val="en-CA"/>
        </w:rPr>
        <w:t>In 2022, ICCI was renewed and broaden</w:t>
      </w:r>
      <w:r>
        <w:rPr>
          <w:sz w:val="20"/>
          <w:szCs w:val="20"/>
          <w:lang w:val="en-CA"/>
        </w:rPr>
        <w:t>ed</w:t>
      </w:r>
      <w:r w:rsidRPr="27136E50">
        <w:rPr>
          <w:sz w:val="20"/>
          <w:szCs w:val="20"/>
          <w:lang w:val="en-CA"/>
        </w:rPr>
        <w:t xml:space="preserve"> the reach and scope of the program to create tailored opportunities for 2SLGBTQQIA+ people and Indigenous women. Renewal of the ICCI also supports the GC’s commitment to developing an Indigenous Justice Strategy to address systemic racism and the overrepresentation of Indigenous Peoples in the justice system. </w:t>
      </w:r>
    </w:p>
    <w:p w14:paraId="7E1341BC" w14:textId="77777777" w:rsidR="00E5223E" w:rsidRPr="00A63BF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In 2022, the G</w:t>
      </w:r>
      <w:r>
        <w:rPr>
          <w:sz w:val="20"/>
          <w:szCs w:val="20"/>
          <w:lang w:val="en-CA"/>
        </w:rPr>
        <w:t>C</w:t>
      </w:r>
      <w:r w:rsidRPr="6BCE64E0">
        <w:rPr>
          <w:sz w:val="20"/>
          <w:szCs w:val="20"/>
          <w:lang w:val="en-CA"/>
        </w:rPr>
        <w:t xml:space="preserve"> established the Jay Treaty Border Alliance – Collaboration Initiative (JTBA-CI) through the Minister of Public Safety. The JTBA-CI provides a formal mechanism to engage with representatives of Indigenous Nations (from communities who are bisected by the Canada-US international border) on matters related to border policies and border programming. The forum provides an opportunity to co-develop work in relation to right of entry, border crossing experience, identification and the movement of goods/trade facilitation for Indigenous people, which will touch on work in relation to anti-racism relate</w:t>
      </w:r>
      <w:r>
        <w:rPr>
          <w:sz w:val="20"/>
          <w:szCs w:val="20"/>
          <w:lang w:val="en-CA"/>
        </w:rPr>
        <w:t>d</w:t>
      </w:r>
      <w:r w:rsidRPr="6BCE64E0">
        <w:rPr>
          <w:sz w:val="20"/>
          <w:szCs w:val="20"/>
          <w:lang w:val="en-CA"/>
        </w:rPr>
        <w:t xml:space="preserve"> to the border crossing experience and identification usage. In 2023, the G</w:t>
      </w:r>
      <w:r>
        <w:rPr>
          <w:sz w:val="20"/>
          <w:szCs w:val="20"/>
          <w:lang w:val="en-CA"/>
        </w:rPr>
        <w:t xml:space="preserve">C </w:t>
      </w:r>
      <w:r w:rsidRPr="6BCE64E0">
        <w:rPr>
          <w:sz w:val="20"/>
          <w:szCs w:val="20"/>
          <w:lang w:val="en-CA"/>
        </w:rPr>
        <w:t>committed to an UN</w:t>
      </w:r>
      <w:r>
        <w:rPr>
          <w:sz w:val="20"/>
          <w:szCs w:val="20"/>
          <w:lang w:val="en-CA"/>
        </w:rPr>
        <w:t xml:space="preserve"> </w:t>
      </w:r>
      <w:r w:rsidRPr="6BCE64E0">
        <w:rPr>
          <w:sz w:val="20"/>
          <w:szCs w:val="20"/>
          <w:lang w:val="en-CA"/>
        </w:rPr>
        <w:t>D</w:t>
      </w:r>
      <w:r>
        <w:rPr>
          <w:sz w:val="20"/>
          <w:szCs w:val="20"/>
          <w:lang w:val="en-CA"/>
        </w:rPr>
        <w:t xml:space="preserve">eclaration </w:t>
      </w:r>
      <w:r w:rsidRPr="6BCE64E0">
        <w:rPr>
          <w:sz w:val="20"/>
          <w:szCs w:val="20"/>
          <w:lang w:val="en-CA"/>
        </w:rPr>
        <w:t>A</w:t>
      </w:r>
      <w:r>
        <w:rPr>
          <w:sz w:val="20"/>
          <w:szCs w:val="20"/>
          <w:lang w:val="en-CA"/>
        </w:rPr>
        <w:t>ct</w:t>
      </w:r>
      <w:r w:rsidRPr="6BCE64E0">
        <w:rPr>
          <w:sz w:val="20"/>
          <w:szCs w:val="20"/>
          <w:lang w:val="en-CA"/>
        </w:rPr>
        <w:t xml:space="preserve"> Action Plan measure that specifically focused on examining options to improve the situation of Indigenous travelers at the border via potential legislative amendments.</w:t>
      </w:r>
    </w:p>
    <w:p w14:paraId="43CDC5AE" w14:textId="062F2215" w:rsidR="00E5223E" w:rsidRPr="004F6CE9" w:rsidRDefault="00F76831" w:rsidP="00F76831">
      <w:pPr>
        <w:pStyle w:val="H1G"/>
        <w:rPr>
          <w:lang w:val="en-CA"/>
        </w:rPr>
      </w:pPr>
      <w:bookmarkStart w:id="29" w:name="_Toc177633127"/>
      <w:r>
        <w:rPr>
          <w:lang w:val="en-CA"/>
        </w:rPr>
        <w:tab/>
      </w:r>
      <w:r>
        <w:rPr>
          <w:lang w:val="en-CA"/>
        </w:rPr>
        <w:tab/>
      </w:r>
      <w:r w:rsidR="00E5223E" w:rsidRPr="004F6CE9">
        <w:rPr>
          <w:lang w:val="en-CA"/>
        </w:rPr>
        <w:t>Consultations with Indigenous Peoples on Aboriginal titles and land claims</w:t>
      </w:r>
      <w:bookmarkEnd w:id="29"/>
    </w:p>
    <w:p w14:paraId="48256BC4"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Since 1973, the GC, Indigenous partners</w:t>
      </w:r>
      <w:r>
        <w:rPr>
          <w:sz w:val="20"/>
          <w:szCs w:val="20"/>
        </w:rPr>
        <w:t xml:space="preserve"> and PT governments</w:t>
      </w:r>
      <w:r w:rsidRPr="6789CA4F">
        <w:rPr>
          <w:sz w:val="20"/>
          <w:szCs w:val="20"/>
        </w:rPr>
        <w:t>, have negotiated, signed and continue to implement 27 modern treaties</w:t>
      </w:r>
      <w:r w:rsidRPr="004A2363">
        <w:t xml:space="preserve"> </w:t>
      </w:r>
      <w:r w:rsidRPr="004A2363">
        <w:rPr>
          <w:sz w:val="20"/>
          <w:szCs w:val="20"/>
        </w:rPr>
        <w:t>with 30 Indigenous Modern Treaty partners, and three comprehensive non-treaty self-government arrangements with three Indigenous partners</w:t>
      </w:r>
      <w:r w:rsidRPr="6789CA4F">
        <w:rPr>
          <w:sz w:val="20"/>
          <w:szCs w:val="20"/>
        </w:rPr>
        <w:t xml:space="preserve">. These treaties and agreements, which span six provinces and all three territories and cover over 40% of Canada’s land mass, have provided access to resource development opportunities. </w:t>
      </w:r>
      <w:r>
        <w:rPr>
          <w:sz w:val="20"/>
          <w:szCs w:val="20"/>
        </w:rPr>
        <w:t>C</w:t>
      </w:r>
      <w:r w:rsidRPr="6789CA4F">
        <w:rPr>
          <w:sz w:val="20"/>
          <w:szCs w:val="20"/>
        </w:rPr>
        <w:t xml:space="preserve">onsultative </w:t>
      </w:r>
      <w:r w:rsidRPr="007E5230">
        <w:rPr>
          <w:sz w:val="20"/>
          <w:szCs w:val="20"/>
          <w:lang w:val="en-CA"/>
        </w:rPr>
        <w:t>land</w:t>
      </w:r>
      <w:r w:rsidRPr="6789CA4F">
        <w:rPr>
          <w:sz w:val="20"/>
          <w:szCs w:val="20"/>
        </w:rPr>
        <w:t xml:space="preserve"> and resources management decision processes with modern treaty partners have benefited both Indigenous and non-Indigenous people. Stability and predictability have empowered modern treaty and self-governing partners to preserve, protect, or enhance Indigenous culture, language, identity, oral history, heritage, </w:t>
      </w:r>
      <w:r>
        <w:rPr>
          <w:sz w:val="20"/>
          <w:szCs w:val="20"/>
        </w:rPr>
        <w:t>and</w:t>
      </w:r>
      <w:r w:rsidRPr="6789CA4F">
        <w:rPr>
          <w:sz w:val="20"/>
          <w:szCs w:val="20"/>
        </w:rPr>
        <w:t xml:space="preserve"> bridge traditions and skills between elders and youth.  </w:t>
      </w:r>
    </w:p>
    <w:p w14:paraId="5EA429F3" w14:textId="77777777" w:rsidR="00E5223E" w:rsidRPr="004157B9" w:rsidRDefault="00E5223E" w:rsidP="009D7D15">
      <w:pPr>
        <w:pStyle w:val="Content1"/>
        <w:numPr>
          <w:ilvl w:val="0"/>
          <w:numId w:val="7"/>
        </w:numPr>
        <w:ind w:left="1134" w:right="1134" w:firstLine="0"/>
        <w:jc w:val="both"/>
        <w:rPr>
          <w:sz w:val="20"/>
          <w:szCs w:val="20"/>
          <w:lang w:val="en-CA"/>
        </w:rPr>
      </w:pPr>
      <w:r w:rsidRPr="0BCDA949">
        <w:rPr>
          <w:sz w:val="20"/>
          <w:szCs w:val="20"/>
          <w:lang w:val="en-CA"/>
        </w:rPr>
        <w:t xml:space="preserve">Negotiated agreements put decision-making power into the hands of Indigenous </w:t>
      </w:r>
      <w:r>
        <w:rPr>
          <w:sz w:val="20"/>
          <w:szCs w:val="20"/>
          <w:lang w:val="en-CA"/>
        </w:rPr>
        <w:t xml:space="preserve">communities </w:t>
      </w:r>
      <w:r w:rsidRPr="0BCDA949">
        <w:rPr>
          <w:sz w:val="20"/>
          <w:szCs w:val="20"/>
          <w:lang w:val="en-CA"/>
        </w:rPr>
        <w:t>who make their own choices about how to deliver programs and services to their communities</w:t>
      </w:r>
      <w:r>
        <w:rPr>
          <w:sz w:val="20"/>
          <w:szCs w:val="20"/>
          <w:lang w:val="en-CA"/>
        </w:rPr>
        <w:t xml:space="preserve">, including </w:t>
      </w:r>
      <w:r w:rsidRPr="0BCDA949">
        <w:rPr>
          <w:sz w:val="20"/>
          <w:szCs w:val="20"/>
          <w:lang w:val="en-CA"/>
        </w:rPr>
        <w:t>making decisions about how to better protect their culture and language, educate their students, manage their own lands, and develop new business partnerships that create jobs</w:t>
      </w:r>
      <w:r>
        <w:rPr>
          <w:sz w:val="20"/>
          <w:szCs w:val="20"/>
          <w:lang w:val="en-CA"/>
        </w:rPr>
        <w:t>,</w:t>
      </w:r>
      <w:r w:rsidRPr="0BCDA949">
        <w:rPr>
          <w:sz w:val="20"/>
          <w:szCs w:val="20"/>
          <w:lang w:val="en-CA"/>
        </w:rPr>
        <w:t xml:space="preserve"> and other benefits. </w:t>
      </w:r>
    </w:p>
    <w:p w14:paraId="5AEA30C2" w14:textId="77777777" w:rsidR="00E5223E"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is engaged in over 170 active negotiation tables with Indigenous groups across Canada that are exploring new ways of working together to advance reconciliation and self-determination. The negotiation tables offer a framework for Indigenous groups to advance their unique priorities, interests, and needs, and to jointly design a process to address these through the development of practical arrangements with Canada. </w:t>
      </w:r>
    </w:p>
    <w:p w14:paraId="655D6861" w14:textId="77777777" w:rsidR="00E5223E" w:rsidRDefault="00E5223E" w:rsidP="009D7D15">
      <w:pPr>
        <w:pStyle w:val="Content1"/>
        <w:numPr>
          <w:ilvl w:val="0"/>
          <w:numId w:val="7"/>
        </w:numPr>
        <w:ind w:left="1134" w:right="1134" w:firstLine="0"/>
        <w:jc w:val="both"/>
        <w:rPr>
          <w:sz w:val="20"/>
          <w:szCs w:val="20"/>
        </w:rPr>
      </w:pPr>
      <w:r w:rsidRPr="6789CA4F">
        <w:rPr>
          <w:sz w:val="20"/>
          <w:szCs w:val="20"/>
        </w:rPr>
        <w:t xml:space="preserve">The GC’s approach to engaging with Indigenous Peoples has resulted in tangible outcomes, including: 27 modern treaties, </w:t>
      </w:r>
      <w:r>
        <w:rPr>
          <w:sz w:val="20"/>
          <w:szCs w:val="20"/>
        </w:rPr>
        <w:t>three</w:t>
      </w:r>
      <w:r w:rsidRPr="6789CA4F">
        <w:rPr>
          <w:sz w:val="20"/>
          <w:szCs w:val="20"/>
        </w:rPr>
        <w:t xml:space="preserve"> standalone self-government agreements, and </w:t>
      </w:r>
      <w:r>
        <w:rPr>
          <w:sz w:val="20"/>
          <w:szCs w:val="20"/>
        </w:rPr>
        <w:t>three</w:t>
      </w:r>
      <w:r w:rsidRPr="6789CA4F">
        <w:rPr>
          <w:sz w:val="20"/>
          <w:szCs w:val="20"/>
        </w:rPr>
        <w:t xml:space="preserve"> sectoral self-government agreements signed; 48 other constructive arrangements (reconciliation agreements, implementation agreements, financing agreements, etc.) signed; and 110 preliminary-type agreements signed.   </w:t>
      </w:r>
    </w:p>
    <w:p w14:paraId="4B7A2C47" w14:textId="0BA1F1E6" w:rsidR="00E5223E" w:rsidRPr="004F6CE9" w:rsidRDefault="00F76831" w:rsidP="00F76831">
      <w:pPr>
        <w:pStyle w:val="H23G"/>
      </w:pPr>
      <w:bookmarkStart w:id="30" w:name="_Toc177633128"/>
      <w:r>
        <w:rPr>
          <w:lang w:val="en-CA"/>
        </w:rPr>
        <w:tab/>
      </w:r>
      <w:r>
        <w:rPr>
          <w:lang w:val="en-CA"/>
        </w:rPr>
        <w:tab/>
      </w:r>
      <w:r w:rsidR="00E5223E" w:rsidRPr="004F6CE9">
        <w:rPr>
          <w:lang w:val="en-CA"/>
        </w:rPr>
        <w:t xml:space="preserve">Obtaining the </w:t>
      </w:r>
      <w:r w:rsidR="00E5223E" w:rsidRPr="004F6CE9">
        <w:t>free, prior, and informed consent of Indigenous Peoples</w:t>
      </w:r>
      <w:bookmarkEnd w:id="30"/>
    </w:p>
    <w:p w14:paraId="29016DDF" w14:textId="77777777" w:rsidR="00E5223E"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GC has committed</w:t>
      </w:r>
      <w:r>
        <w:rPr>
          <w:sz w:val="20"/>
          <w:szCs w:val="20"/>
          <w:lang w:val="en-CA"/>
        </w:rPr>
        <w:t xml:space="preserve"> to</w:t>
      </w:r>
      <w:r w:rsidRPr="27136E50">
        <w:rPr>
          <w:sz w:val="20"/>
          <w:szCs w:val="20"/>
          <w:lang w:val="en-CA"/>
        </w:rPr>
        <w:t xml:space="preserve"> </w:t>
      </w:r>
      <w:r w:rsidRPr="00EE1801">
        <w:rPr>
          <w:sz w:val="20"/>
          <w:szCs w:val="20"/>
          <w:lang w:val="en-CA"/>
        </w:rPr>
        <w:t xml:space="preserve">consulting and cooperating with Indigenous Peoples to </w:t>
      </w:r>
      <w:r w:rsidRPr="27136E50">
        <w:rPr>
          <w:sz w:val="20"/>
          <w:szCs w:val="20"/>
          <w:lang w:val="en-CA"/>
        </w:rPr>
        <w:t xml:space="preserve">obtain free, prior and informed consent prior to the approval of federal projects affecting their lands, territories and resources. Consultations </w:t>
      </w:r>
      <w:r>
        <w:rPr>
          <w:sz w:val="20"/>
          <w:szCs w:val="20"/>
          <w:lang w:val="en-CA"/>
        </w:rPr>
        <w:t>seek to</w:t>
      </w:r>
      <w:r w:rsidRPr="27136E50">
        <w:rPr>
          <w:sz w:val="20"/>
          <w:szCs w:val="20"/>
          <w:lang w:val="en-CA"/>
        </w:rPr>
        <w:t xml:space="preserve"> understand the rights and interests that may be affected by the project, find common ground</w:t>
      </w:r>
      <w:r>
        <w:rPr>
          <w:sz w:val="20"/>
          <w:szCs w:val="20"/>
          <w:lang w:val="en-CA"/>
        </w:rPr>
        <w:t xml:space="preserve">, </w:t>
      </w:r>
      <w:r w:rsidRPr="27136E50">
        <w:rPr>
          <w:sz w:val="20"/>
          <w:szCs w:val="20"/>
          <w:lang w:val="en-CA"/>
        </w:rPr>
        <w:t xml:space="preserve">and </w:t>
      </w:r>
      <w:r>
        <w:rPr>
          <w:sz w:val="20"/>
          <w:szCs w:val="20"/>
          <w:lang w:val="en-CA"/>
        </w:rPr>
        <w:t>reach agreements together</w:t>
      </w:r>
      <w:r w:rsidRPr="27136E50">
        <w:rPr>
          <w:sz w:val="20"/>
          <w:szCs w:val="20"/>
          <w:lang w:val="en-CA"/>
        </w:rPr>
        <w:t>. This approach is consistent with direction from the</w:t>
      </w:r>
      <w:r>
        <w:rPr>
          <w:sz w:val="20"/>
          <w:szCs w:val="20"/>
          <w:lang w:val="en-CA"/>
        </w:rPr>
        <w:t xml:space="preserve"> Canadian</w:t>
      </w:r>
      <w:r w:rsidRPr="27136E50">
        <w:rPr>
          <w:sz w:val="20"/>
          <w:szCs w:val="20"/>
          <w:lang w:val="en-CA"/>
        </w:rPr>
        <w:t xml:space="preserve"> courts and principles set out in the UN Declaration which states that meaningful consultation and cooperation with Indigenous Peoples aims to secure their free, prior and informed consent.  </w:t>
      </w:r>
    </w:p>
    <w:p w14:paraId="36E0C1D4" w14:textId="77777777" w:rsidR="00E5223E" w:rsidRPr="007258D1" w:rsidRDefault="00E5223E" w:rsidP="009D7D15">
      <w:pPr>
        <w:pStyle w:val="Content1"/>
        <w:numPr>
          <w:ilvl w:val="0"/>
          <w:numId w:val="7"/>
        </w:numPr>
        <w:ind w:left="1134" w:right="1134" w:firstLine="0"/>
        <w:jc w:val="both"/>
        <w:rPr>
          <w:sz w:val="20"/>
          <w:szCs w:val="20"/>
          <w:lang w:val="en-CA"/>
        </w:rPr>
      </w:pPr>
      <w:r>
        <w:rPr>
          <w:sz w:val="20"/>
          <w:szCs w:val="20"/>
        </w:rPr>
        <w:t>For</w:t>
      </w:r>
      <w:r w:rsidRPr="27136E50">
        <w:rPr>
          <w:sz w:val="20"/>
          <w:szCs w:val="20"/>
          <w:lang w:val="en-CA"/>
        </w:rPr>
        <w:t xml:space="preserve"> natural resources specifically, the GC adheres to regulatory systems under the </w:t>
      </w:r>
      <w:r w:rsidRPr="27136E50">
        <w:rPr>
          <w:i/>
          <w:iCs/>
          <w:sz w:val="20"/>
          <w:szCs w:val="20"/>
          <w:lang w:val="en-CA"/>
        </w:rPr>
        <w:t xml:space="preserve">Impact Assessment Act </w:t>
      </w:r>
      <w:r w:rsidRPr="27136E50">
        <w:rPr>
          <w:sz w:val="20"/>
          <w:szCs w:val="20"/>
          <w:lang w:val="en-CA"/>
        </w:rPr>
        <w:t xml:space="preserve">(IAA) and </w:t>
      </w:r>
      <w:r w:rsidRPr="00420518">
        <w:rPr>
          <w:sz w:val="20"/>
          <w:szCs w:val="20"/>
          <w:lang w:val="en-CA"/>
        </w:rPr>
        <w:t>the</w:t>
      </w:r>
      <w:r w:rsidRPr="27136E50">
        <w:rPr>
          <w:i/>
          <w:iCs/>
          <w:sz w:val="20"/>
          <w:szCs w:val="20"/>
          <w:lang w:val="en-CA"/>
        </w:rPr>
        <w:t xml:space="preserve"> Canadian Energy Regulator Act</w:t>
      </w:r>
      <w:r w:rsidRPr="27136E50">
        <w:rPr>
          <w:sz w:val="20"/>
          <w:szCs w:val="20"/>
          <w:lang w:val="en-CA"/>
        </w:rPr>
        <w:t xml:space="preserve"> (CER</w:t>
      </w:r>
      <w:r>
        <w:rPr>
          <w:sz w:val="20"/>
          <w:szCs w:val="20"/>
          <w:lang w:val="en-CA"/>
        </w:rPr>
        <w:t>-A</w:t>
      </w:r>
      <w:r w:rsidRPr="27136E50">
        <w:rPr>
          <w:sz w:val="20"/>
          <w:szCs w:val="20"/>
          <w:lang w:val="en-CA"/>
        </w:rPr>
        <w:t>). The GC further supports meaningful consultation regarding designated projects under the IAA and CERA and undertakes early engagement and consultation for resource projects that are not designated under either Act, such as clean energy projects or legacy projects. In 2019, the GC amended the CER</w:t>
      </w:r>
      <w:r>
        <w:rPr>
          <w:sz w:val="20"/>
          <w:szCs w:val="20"/>
          <w:lang w:val="en-CA"/>
        </w:rPr>
        <w:t>-</w:t>
      </w:r>
      <w:r w:rsidRPr="27136E50">
        <w:rPr>
          <w:sz w:val="20"/>
          <w:szCs w:val="20"/>
          <w:lang w:val="en-CA"/>
        </w:rPr>
        <w:t xml:space="preserve">A to include reference to the UN Declaration and ensure that when </w:t>
      </w:r>
      <w:r>
        <w:rPr>
          <w:sz w:val="20"/>
          <w:szCs w:val="20"/>
          <w:lang w:val="en-CA"/>
        </w:rPr>
        <w:t>deciding</w:t>
      </w:r>
      <w:r w:rsidRPr="27136E50">
        <w:rPr>
          <w:sz w:val="20"/>
          <w:szCs w:val="20"/>
          <w:lang w:val="en-CA"/>
        </w:rPr>
        <w:t xml:space="preserve"> an order or a recommendation under this Act, the GC must consider any adverse effects that </w:t>
      </w:r>
      <w:r>
        <w:rPr>
          <w:sz w:val="20"/>
          <w:szCs w:val="20"/>
          <w:lang w:val="en-CA"/>
        </w:rPr>
        <w:t>it</w:t>
      </w:r>
      <w:r w:rsidRPr="27136E50">
        <w:rPr>
          <w:sz w:val="20"/>
          <w:szCs w:val="20"/>
          <w:lang w:val="en-CA"/>
        </w:rPr>
        <w:t xml:space="preserve"> may have on the rights of Indigenous Peoples</w:t>
      </w:r>
      <w:r>
        <w:rPr>
          <w:sz w:val="20"/>
          <w:szCs w:val="20"/>
          <w:lang w:val="en-CA"/>
        </w:rPr>
        <w:t>.</w:t>
      </w:r>
      <w:r w:rsidRPr="27136E50">
        <w:rPr>
          <w:sz w:val="20"/>
          <w:szCs w:val="20"/>
          <w:lang w:val="en-CA"/>
        </w:rPr>
        <w:t xml:space="preserve"> </w:t>
      </w:r>
    </w:p>
    <w:p w14:paraId="6778B63C"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 xml:space="preserve">A framework was developed by the Canadian Forest Sector, in partnership with Indigenous communities, to guide how scientists work with Indigenous communities related to resource extraction. </w:t>
      </w:r>
    </w:p>
    <w:p w14:paraId="1CF3FBEF" w14:textId="77777777" w:rsidR="00E5223E" w:rsidRPr="007258D1" w:rsidRDefault="00E5223E" w:rsidP="009D7D15">
      <w:pPr>
        <w:pStyle w:val="Content1"/>
        <w:numPr>
          <w:ilvl w:val="0"/>
          <w:numId w:val="7"/>
        </w:numPr>
        <w:ind w:left="1134" w:right="1134" w:firstLine="0"/>
        <w:jc w:val="both"/>
        <w:rPr>
          <w:sz w:val="20"/>
          <w:szCs w:val="20"/>
          <w:lang w:val="en-CA"/>
        </w:rPr>
      </w:pPr>
      <w:r w:rsidRPr="1E979ED7">
        <w:rPr>
          <w:sz w:val="20"/>
          <w:szCs w:val="20"/>
          <w:lang w:val="en-CA"/>
        </w:rPr>
        <w:t xml:space="preserve">A pan-national Canadian Minerals and Metals Plan </w:t>
      </w:r>
      <w:proofErr w:type="gramStart"/>
      <w:r w:rsidRPr="1E979ED7">
        <w:rPr>
          <w:sz w:val="20"/>
          <w:szCs w:val="20"/>
          <w:lang w:val="en-CA"/>
        </w:rPr>
        <w:t>supports</w:t>
      </w:r>
      <w:proofErr w:type="gramEnd"/>
      <w:r w:rsidRPr="1E979ED7">
        <w:rPr>
          <w:sz w:val="20"/>
          <w:szCs w:val="20"/>
          <w:lang w:val="en-CA"/>
        </w:rPr>
        <w:t xml:space="preserve"> several initiatives to help mobilize greater Indigenous participation in the mining sector and advance economic reconciliation. Measures in place to prohibit the environmentally destructive development of the territories of Indigenous Peoples and allow Indigenous Peoples to conduct independent environmental impact studies</w:t>
      </w:r>
      <w:r>
        <w:rPr>
          <w:sz w:val="20"/>
          <w:szCs w:val="20"/>
          <w:lang w:val="en-CA"/>
        </w:rPr>
        <w:t>.</w:t>
      </w:r>
    </w:p>
    <w:p w14:paraId="5714B506"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The Northern Participant Funding Program focuses on meaningful participation of Indigenous Peoples in environmental governance related to development projects on or near their land helps to ensure potentially affected Indigenous Peoples and other northerners have the financial resources to enhance their voices and views during impact assessment processes.</w:t>
      </w:r>
    </w:p>
    <w:p w14:paraId="50717FAB" w14:textId="77777777" w:rsidR="00E5223E" w:rsidRPr="004157B9" w:rsidRDefault="00E5223E" w:rsidP="009D7D15">
      <w:pPr>
        <w:pStyle w:val="Content1"/>
        <w:numPr>
          <w:ilvl w:val="0"/>
          <w:numId w:val="7"/>
        </w:numPr>
        <w:ind w:left="1134" w:right="1134" w:firstLine="0"/>
        <w:jc w:val="both"/>
        <w:rPr>
          <w:sz w:val="20"/>
          <w:szCs w:val="20"/>
          <w:lang w:val="en-CA"/>
        </w:rPr>
      </w:pPr>
      <w:r w:rsidRPr="12512A46">
        <w:rPr>
          <w:sz w:val="20"/>
          <w:szCs w:val="20"/>
          <w:lang w:val="en-CA"/>
        </w:rPr>
        <w:t xml:space="preserve">The </w:t>
      </w:r>
      <w:r w:rsidRPr="12512A46">
        <w:rPr>
          <w:i/>
          <w:iCs/>
          <w:sz w:val="20"/>
          <w:szCs w:val="20"/>
          <w:lang w:val="en-CA"/>
        </w:rPr>
        <w:t>Fisheries Act</w:t>
      </w:r>
      <w:r w:rsidRPr="12512A46">
        <w:rPr>
          <w:sz w:val="20"/>
          <w:szCs w:val="20"/>
          <w:lang w:val="en-CA"/>
        </w:rPr>
        <w:t xml:space="preserve"> </w:t>
      </w:r>
      <w:r>
        <w:rPr>
          <w:sz w:val="20"/>
          <w:szCs w:val="20"/>
          <w:lang w:val="en-CA"/>
        </w:rPr>
        <w:t xml:space="preserve">(the Act) </w:t>
      </w:r>
      <w:r w:rsidRPr="12512A46">
        <w:rPr>
          <w:sz w:val="20"/>
          <w:szCs w:val="20"/>
          <w:lang w:val="en-CA"/>
        </w:rPr>
        <w:t xml:space="preserve">provides the legal basis for conserving and protecting fish and fish habitat. The </w:t>
      </w:r>
      <w:r w:rsidRPr="12512A46">
        <w:rPr>
          <w:i/>
          <w:iCs/>
          <w:sz w:val="20"/>
          <w:szCs w:val="20"/>
          <w:lang w:val="en-CA"/>
        </w:rPr>
        <w:t>Fisheries Act</w:t>
      </w:r>
      <w:r w:rsidRPr="12512A46">
        <w:rPr>
          <w:sz w:val="20"/>
          <w:szCs w:val="20"/>
          <w:lang w:val="en-CA"/>
        </w:rPr>
        <w:t xml:space="preserve"> was modernized in 2019 and section 2.4 of the Act states that decisions </w:t>
      </w:r>
      <w:r>
        <w:rPr>
          <w:sz w:val="20"/>
          <w:szCs w:val="20"/>
          <w:lang w:val="en-CA"/>
        </w:rPr>
        <w:t xml:space="preserve">made </w:t>
      </w:r>
      <w:r w:rsidRPr="12512A46">
        <w:rPr>
          <w:sz w:val="20"/>
          <w:szCs w:val="20"/>
          <w:lang w:val="en-CA"/>
        </w:rPr>
        <w:t>under the Act must consider any adverse effects a decision may have on the rights of Indigenous Peoples. In addition, should an authorization decision have the potential to adversely affect Aboriginal or treaty rights, the G</w:t>
      </w:r>
      <w:r>
        <w:rPr>
          <w:sz w:val="20"/>
          <w:szCs w:val="20"/>
          <w:lang w:val="en-CA"/>
        </w:rPr>
        <w:t>C</w:t>
      </w:r>
      <w:r w:rsidRPr="12512A46">
        <w:rPr>
          <w:sz w:val="20"/>
          <w:szCs w:val="20"/>
          <w:lang w:val="en-CA"/>
        </w:rPr>
        <w:t xml:space="preserve"> will consult and accommodate</w:t>
      </w:r>
      <w:r>
        <w:rPr>
          <w:sz w:val="20"/>
          <w:szCs w:val="20"/>
          <w:lang w:val="en-CA"/>
        </w:rPr>
        <w:t xml:space="preserve"> </w:t>
      </w:r>
      <w:r w:rsidRPr="12512A46">
        <w:rPr>
          <w:sz w:val="20"/>
          <w:szCs w:val="20"/>
          <w:lang w:val="en-CA"/>
        </w:rPr>
        <w:t>with potentially affected Indigenous groups. The Act also requires the</w:t>
      </w:r>
      <w:r>
        <w:rPr>
          <w:sz w:val="20"/>
          <w:szCs w:val="20"/>
          <w:lang w:val="en-CA"/>
        </w:rPr>
        <w:t xml:space="preserve"> Minister to consider</w:t>
      </w:r>
      <w:r w:rsidRPr="12512A46">
        <w:rPr>
          <w:sz w:val="20"/>
          <w:szCs w:val="20"/>
          <w:lang w:val="en-CA"/>
        </w:rPr>
        <w:t xml:space="preserve"> Indigenous </w:t>
      </w:r>
      <w:r>
        <w:rPr>
          <w:sz w:val="20"/>
          <w:szCs w:val="20"/>
          <w:lang w:val="en-CA"/>
        </w:rPr>
        <w:t>k</w:t>
      </w:r>
      <w:r w:rsidRPr="12512A46">
        <w:rPr>
          <w:sz w:val="20"/>
          <w:szCs w:val="20"/>
          <w:lang w:val="en-CA"/>
        </w:rPr>
        <w:t>nowledge provided for certain decisions</w:t>
      </w:r>
      <w:r>
        <w:rPr>
          <w:sz w:val="20"/>
          <w:szCs w:val="20"/>
          <w:lang w:val="en-CA"/>
        </w:rPr>
        <w:t xml:space="preserve"> and</w:t>
      </w:r>
      <w:r w:rsidRPr="12512A46">
        <w:rPr>
          <w:sz w:val="20"/>
          <w:szCs w:val="20"/>
          <w:lang w:val="en-CA"/>
        </w:rPr>
        <w:t xml:space="preserve"> </w:t>
      </w:r>
      <w:r>
        <w:rPr>
          <w:sz w:val="20"/>
          <w:szCs w:val="20"/>
          <w:lang w:val="en-CA"/>
        </w:rPr>
        <w:t>include provisions to protect such k</w:t>
      </w:r>
      <w:r w:rsidRPr="12512A46">
        <w:rPr>
          <w:sz w:val="20"/>
          <w:szCs w:val="20"/>
          <w:lang w:val="en-CA"/>
        </w:rPr>
        <w:t xml:space="preserve">nowledge provided in confidence. </w:t>
      </w:r>
    </w:p>
    <w:p w14:paraId="2D3BB0D1" w14:textId="77777777" w:rsidR="00E5223E" w:rsidRDefault="00E5223E" w:rsidP="009D7D15">
      <w:pPr>
        <w:pStyle w:val="Content1"/>
        <w:numPr>
          <w:ilvl w:val="0"/>
          <w:numId w:val="7"/>
        </w:numPr>
        <w:ind w:left="1134" w:right="1134" w:firstLine="0"/>
        <w:jc w:val="both"/>
        <w:rPr>
          <w:lang w:val="en-CA"/>
        </w:rPr>
      </w:pPr>
      <w:r w:rsidRPr="27136E50">
        <w:rPr>
          <w:color w:val="000000" w:themeColor="text1"/>
          <w:sz w:val="20"/>
          <w:szCs w:val="20"/>
          <w:lang w:val="en-CA"/>
        </w:rPr>
        <w:t xml:space="preserve">The Indigenous Habitat Participation Program (IHPP) is a funding program that gives Indigenous Peoples opportunities to participate in the conservation and protection of fish and fish habitat. IHPP provides Indigenous Peoples with funding to participate </w:t>
      </w:r>
      <w:r w:rsidRPr="007E5230">
        <w:rPr>
          <w:sz w:val="20"/>
          <w:szCs w:val="20"/>
          <w:lang w:val="en-CA"/>
        </w:rPr>
        <w:t>in</w:t>
      </w:r>
      <w:r w:rsidRPr="27136E50">
        <w:rPr>
          <w:color w:val="000000" w:themeColor="text1"/>
          <w:sz w:val="20"/>
          <w:szCs w:val="20"/>
          <w:lang w:val="en-CA"/>
        </w:rPr>
        <w:t xml:space="preserve"> consultation and engagement activities related to policy, program, and regulatory initiatives (e.g., authorizations and permits) and for collaborative activities, including integrated planning activities, monitoring, data collection, and establishing fish and fish habitat conservation and protection priorities</w:t>
      </w:r>
      <w:r>
        <w:rPr>
          <w:color w:val="000000" w:themeColor="text1"/>
          <w:sz w:val="20"/>
          <w:szCs w:val="20"/>
          <w:lang w:val="en-CA"/>
        </w:rPr>
        <w:t>, and capacity building</w:t>
      </w:r>
    </w:p>
    <w:p w14:paraId="65FB18C4"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The G</w:t>
      </w:r>
      <w:r>
        <w:rPr>
          <w:sz w:val="20"/>
          <w:szCs w:val="20"/>
          <w:lang w:val="en-CA"/>
        </w:rPr>
        <w:t>C</w:t>
      </w:r>
      <w:r w:rsidRPr="004157B9">
        <w:rPr>
          <w:sz w:val="20"/>
          <w:szCs w:val="20"/>
          <w:lang w:val="en-CA"/>
        </w:rPr>
        <w:t xml:space="preserve"> support</w:t>
      </w:r>
      <w:r>
        <w:rPr>
          <w:sz w:val="20"/>
          <w:szCs w:val="20"/>
          <w:lang w:val="en-CA"/>
        </w:rPr>
        <w:t>s</w:t>
      </w:r>
      <w:r w:rsidRPr="004157B9">
        <w:rPr>
          <w:sz w:val="20"/>
          <w:szCs w:val="20"/>
          <w:lang w:val="en-CA"/>
        </w:rPr>
        <w:t xml:space="preserve"> the impact assessments of major development and infrastructure-related development projects by working with and supporting First Nations to undertake environmental reviews of projects on reserve; and by providing specialized support and guidance to the Impact Assessment Agency of Canada and other federal authorities for designated projects undergoing an </w:t>
      </w:r>
      <w:r>
        <w:rPr>
          <w:sz w:val="20"/>
          <w:szCs w:val="20"/>
          <w:lang w:val="en-CA"/>
        </w:rPr>
        <w:t>i</w:t>
      </w:r>
      <w:r w:rsidRPr="004157B9">
        <w:rPr>
          <w:sz w:val="20"/>
          <w:szCs w:val="20"/>
          <w:lang w:val="en-CA"/>
        </w:rPr>
        <w:t xml:space="preserve">mpact </w:t>
      </w:r>
      <w:r>
        <w:rPr>
          <w:sz w:val="20"/>
          <w:szCs w:val="20"/>
          <w:lang w:val="en-CA"/>
        </w:rPr>
        <w:t>a</w:t>
      </w:r>
      <w:r w:rsidRPr="004157B9">
        <w:rPr>
          <w:sz w:val="20"/>
          <w:szCs w:val="20"/>
          <w:lang w:val="en-CA"/>
        </w:rPr>
        <w:t>ssessment with potential impacts on Indigenous communities.</w:t>
      </w:r>
    </w:p>
    <w:p w14:paraId="6CF2050C" w14:textId="77777777" w:rsidR="00E5223E" w:rsidRDefault="00E5223E" w:rsidP="009D7D15">
      <w:pPr>
        <w:pStyle w:val="Content1"/>
        <w:numPr>
          <w:ilvl w:val="0"/>
          <w:numId w:val="7"/>
        </w:numPr>
        <w:ind w:left="1134" w:right="1134" w:firstLine="0"/>
        <w:jc w:val="both"/>
        <w:rPr>
          <w:sz w:val="20"/>
          <w:szCs w:val="20"/>
          <w:lang w:val="en-CA"/>
        </w:rPr>
      </w:pPr>
      <w:r w:rsidRPr="6BCE64E0">
        <w:rPr>
          <w:sz w:val="20"/>
          <w:szCs w:val="20"/>
          <w:lang w:val="en-CA"/>
        </w:rPr>
        <w:t>Newfoundland and Labrador review</w:t>
      </w:r>
      <w:r>
        <w:rPr>
          <w:sz w:val="20"/>
          <w:szCs w:val="20"/>
          <w:lang w:val="en-CA"/>
        </w:rPr>
        <w:t>s</w:t>
      </w:r>
      <w:r w:rsidRPr="6BCE64E0">
        <w:rPr>
          <w:sz w:val="20"/>
          <w:szCs w:val="20"/>
          <w:lang w:val="en-CA"/>
        </w:rPr>
        <w:t xml:space="preserve"> all Crown land applications, mineral exploration referrals, quarry permits, environmental assessment registrations, and post-environmental assessment permit applications to ensure appropriate Indigenous consultation is conducted. Advice is also provided on government resource management policies, working to ensure Indigenous rights are considered. </w:t>
      </w:r>
    </w:p>
    <w:p w14:paraId="1BB88224" w14:textId="77777777" w:rsidR="00E5223E" w:rsidRPr="004157B9" w:rsidRDefault="00E5223E" w:rsidP="009D7D15">
      <w:pPr>
        <w:pStyle w:val="Content1"/>
        <w:numPr>
          <w:ilvl w:val="0"/>
          <w:numId w:val="7"/>
        </w:numPr>
        <w:ind w:left="1134" w:right="1134" w:firstLine="0"/>
        <w:jc w:val="both"/>
        <w:rPr>
          <w:sz w:val="20"/>
          <w:szCs w:val="20"/>
          <w:lang w:val="en-CA"/>
        </w:rPr>
      </w:pPr>
      <w:r>
        <w:rPr>
          <w:sz w:val="20"/>
          <w:szCs w:val="20"/>
          <w:lang w:val="en-CA"/>
        </w:rPr>
        <w:t>British Columbia</w:t>
      </w:r>
      <w:r w:rsidRPr="007C674D">
        <w:rPr>
          <w:sz w:val="20"/>
          <w:szCs w:val="20"/>
          <w:lang w:val="en-CA"/>
        </w:rPr>
        <w:t xml:space="preserve"> is developing and implementing a wide range of programs, policies, and procedures that respond t</w:t>
      </w:r>
      <w:r>
        <w:rPr>
          <w:sz w:val="20"/>
          <w:szCs w:val="20"/>
          <w:lang w:val="en-CA"/>
        </w:rPr>
        <w:t>o</w:t>
      </w:r>
      <w:r w:rsidRPr="007C674D">
        <w:rPr>
          <w:sz w:val="20"/>
          <w:szCs w:val="20"/>
          <w:lang w:val="en-CA"/>
        </w:rPr>
        <w:t xml:space="preserve"> interests to enhance reconciliation, advance shared decision-making, and create enduring benefits for all British Columbians. </w:t>
      </w:r>
      <w:r>
        <w:rPr>
          <w:sz w:val="20"/>
          <w:szCs w:val="20"/>
          <w:lang w:val="en-CA"/>
        </w:rPr>
        <w:t>A</w:t>
      </w:r>
      <w:r w:rsidRPr="007C674D">
        <w:rPr>
          <w:sz w:val="20"/>
          <w:szCs w:val="20"/>
          <w:lang w:val="en-CA"/>
        </w:rPr>
        <w:t xml:space="preserve"> range of consultation</w:t>
      </w:r>
      <w:r>
        <w:rPr>
          <w:sz w:val="20"/>
          <w:szCs w:val="20"/>
          <w:lang w:val="en-CA"/>
        </w:rPr>
        <w:t>s</w:t>
      </w:r>
      <w:r w:rsidRPr="007C674D">
        <w:rPr>
          <w:sz w:val="20"/>
          <w:szCs w:val="20"/>
          <w:lang w:val="en-CA"/>
        </w:rPr>
        <w:t>, engagement</w:t>
      </w:r>
      <w:r>
        <w:rPr>
          <w:sz w:val="20"/>
          <w:szCs w:val="20"/>
          <w:lang w:val="en-CA"/>
        </w:rPr>
        <w:t>s</w:t>
      </w:r>
      <w:r w:rsidRPr="007C674D">
        <w:rPr>
          <w:sz w:val="20"/>
          <w:szCs w:val="20"/>
          <w:lang w:val="en-CA"/>
        </w:rPr>
        <w:t xml:space="preserve"> and partnerships currently occur with Indigenous Nations</w:t>
      </w:r>
      <w:r>
        <w:rPr>
          <w:sz w:val="20"/>
          <w:szCs w:val="20"/>
          <w:lang w:val="en-CA"/>
        </w:rPr>
        <w:t xml:space="preserve"> to ensure</w:t>
      </w:r>
      <w:r w:rsidRPr="007C674D">
        <w:rPr>
          <w:sz w:val="20"/>
          <w:szCs w:val="20"/>
          <w:lang w:val="en-CA"/>
        </w:rPr>
        <w:t xml:space="preserve"> collaborative stewardship of the environment</w:t>
      </w:r>
      <w:r>
        <w:rPr>
          <w:sz w:val="20"/>
          <w:szCs w:val="20"/>
          <w:lang w:val="en-CA"/>
        </w:rPr>
        <w:t>.</w:t>
      </w:r>
    </w:p>
    <w:p w14:paraId="10655E65"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is also working with First Nations organizations and communities to advance a multi-phased approach to addressing environmental protection gaps on reserve. The goal of this initiative is to recognize First Nations law-making authority and related capacity development measures to develop, monitor and enforce environmental protection measures on reserve.</w:t>
      </w:r>
    </w:p>
    <w:p w14:paraId="1BE30ED4"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actively supports the co-development of federally sponsored Indigenous Climate Leadership agendas and has developed an internal strategy to ensure that departmental programs and services help build climate resiliency and support climate action in Indigenous communities. I</w:t>
      </w:r>
      <w:r>
        <w:rPr>
          <w:sz w:val="20"/>
          <w:szCs w:val="20"/>
          <w:lang w:val="en-CA"/>
        </w:rPr>
        <w:t xml:space="preserve">SC </w:t>
      </w:r>
      <w:r w:rsidRPr="6BCE64E0">
        <w:rPr>
          <w:sz w:val="20"/>
          <w:szCs w:val="20"/>
          <w:lang w:val="en-CA"/>
        </w:rPr>
        <w:t xml:space="preserve">also administers </w:t>
      </w:r>
      <w:proofErr w:type="gramStart"/>
      <w:r w:rsidRPr="6BCE64E0">
        <w:rPr>
          <w:sz w:val="20"/>
          <w:szCs w:val="20"/>
          <w:lang w:val="en-CA"/>
        </w:rPr>
        <w:t>a number of</w:t>
      </w:r>
      <w:proofErr w:type="gramEnd"/>
      <w:r w:rsidRPr="6BCE64E0">
        <w:rPr>
          <w:sz w:val="20"/>
          <w:szCs w:val="20"/>
          <w:lang w:val="en-CA"/>
        </w:rPr>
        <w:t xml:space="preserve"> programs that work to protect and remediate local environments including the Contaminated Sites of Reserve Program which provides financial assistance to assess and remediate environmentally contaminated sites on reserve lands.</w:t>
      </w:r>
    </w:p>
    <w:p w14:paraId="70BC8F17" w14:textId="11A352C9" w:rsidR="00E5223E" w:rsidRPr="00AC5405" w:rsidRDefault="00F76831" w:rsidP="00F76831">
      <w:pPr>
        <w:pStyle w:val="H1G"/>
        <w:rPr>
          <w:lang w:val="en-CA"/>
        </w:rPr>
      </w:pPr>
      <w:bookmarkStart w:id="31" w:name="_Toc177633129"/>
      <w:r>
        <w:rPr>
          <w:lang w:val="en-CA"/>
        </w:rPr>
        <w:tab/>
      </w:r>
      <w:r>
        <w:rPr>
          <w:lang w:val="en-CA"/>
        </w:rPr>
        <w:tab/>
      </w:r>
      <w:r w:rsidR="00E5223E" w:rsidRPr="00AC5405">
        <w:rPr>
          <w:lang w:val="en-CA"/>
        </w:rPr>
        <w:t>CERD Early Warning and Urgent Action Procedures (EWUAP) communications</w:t>
      </w:r>
    </w:p>
    <w:p w14:paraId="0CCA486A" w14:textId="77777777" w:rsidR="00E5223E" w:rsidRPr="00AC5405" w:rsidRDefault="00E5223E" w:rsidP="009D7D15">
      <w:pPr>
        <w:pStyle w:val="Content1"/>
        <w:numPr>
          <w:ilvl w:val="0"/>
          <w:numId w:val="7"/>
        </w:numPr>
        <w:ind w:left="1134" w:right="1134" w:firstLine="0"/>
        <w:jc w:val="both"/>
        <w:rPr>
          <w:sz w:val="20"/>
          <w:szCs w:val="20"/>
        </w:rPr>
      </w:pPr>
      <w:r w:rsidRPr="00AC5405">
        <w:rPr>
          <w:sz w:val="20"/>
          <w:szCs w:val="20"/>
        </w:rPr>
        <w:t xml:space="preserve">While a State Party to the Convention, Canada has not entered a </w:t>
      </w:r>
      <w:r w:rsidRPr="00E95816">
        <w:rPr>
          <w:sz w:val="20"/>
          <w:szCs w:val="20"/>
        </w:rPr>
        <w:t>declaration</w:t>
      </w:r>
      <w:r w:rsidRPr="00AC5405">
        <w:rPr>
          <w:sz w:val="20"/>
          <w:szCs w:val="20"/>
        </w:rPr>
        <w:t xml:space="preserve"> under Article 14 and does not recognize the competence of the Committee to receive or consider complaints by individuals or groups of individua</w:t>
      </w:r>
      <w:r>
        <w:rPr>
          <w:sz w:val="20"/>
          <w:szCs w:val="20"/>
        </w:rPr>
        <w:t>l</w:t>
      </w:r>
      <w:r w:rsidRPr="00E95816">
        <w:rPr>
          <w:sz w:val="20"/>
          <w:szCs w:val="20"/>
        </w:rPr>
        <w:t>s.</w:t>
      </w:r>
      <w:r w:rsidRPr="00AC5405">
        <w:rPr>
          <w:sz w:val="20"/>
          <w:szCs w:val="20"/>
        </w:rPr>
        <w:t xml:space="preserve"> However, Canada </w:t>
      </w:r>
      <w:r w:rsidRPr="007E5230">
        <w:rPr>
          <w:sz w:val="20"/>
          <w:szCs w:val="20"/>
          <w:lang w:val="en-CA"/>
        </w:rPr>
        <w:t>continues</w:t>
      </w:r>
      <w:r w:rsidRPr="00AC5405">
        <w:rPr>
          <w:sz w:val="20"/>
          <w:szCs w:val="20"/>
        </w:rPr>
        <w:t xml:space="preserve"> to respond to EWUAP communications from the Committee in good faith</w:t>
      </w:r>
      <w:r>
        <w:rPr>
          <w:sz w:val="20"/>
          <w:szCs w:val="20"/>
        </w:rPr>
        <w:t xml:space="preserve"> as part of periodic reporting</w:t>
      </w:r>
      <w:r w:rsidRPr="00AC5405">
        <w:rPr>
          <w:sz w:val="20"/>
          <w:szCs w:val="20"/>
        </w:rPr>
        <w:t xml:space="preserve">. </w:t>
      </w:r>
    </w:p>
    <w:p w14:paraId="4748C314" w14:textId="363599CF" w:rsidR="00E5223E" w:rsidRPr="00AC5405" w:rsidRDefault="00F76831" w:rsidP="00F76831">
      <w:pPr>
        <w:pStyle w:val="H23G"/>
        <w:rPr>
          <w:lang w:val="en-CA"/>
        </w:rPr>
      </w:pPr>
      <w:r>
        <w:rPr>
          <w:lang w:val="en-CA"/>
        </w:rPr>
        <w:tab/>
      </w:r>
      <w:r>
        <w:rPr>
          <w:lang w:val="en-CA"/>
        </w:rPr>
        <w:tab/>
      </w:r>
      <w:r w:rsidR="00E5223E" w:rsidRPr="00AC5405">
        <w:rPr>
          <w:lang w:val="en-CA"/>
        </w:rPr>
        <w:t>Trans Mountain Pipeline</w:t>
      </w:r>
      <w:bookmarkEnd w:id="31"/>
    </w:p>
    <w:p w14:paraId="4D70B56D" w14:textId="77777777" w:rsidR="00E5223E" w:rsidRPr="00B470D9" w:rsidRDefault="00E5223E" w:rsidP="009D7D15">
      <w:pPr>
        <w:pStyle w:val="Content1"/>
        <w:numPr>
          <w:ilvl w:val="0"/>
          <w:numId w:val="7"/>
        </w:numPr>
        <w:ind w:left="1134" w:right="1134" w:firstLine="0"/>
        <w:jc w:val="both"/>
        <w:rPr>
          <w:color w:val="000000" w:themeColor="text1"/>
          <w:sz w:val="20"/>
          <w:szCs w:val="20"/>
          <w:lang w:val="en-CA"/>
        </w:rPr>
      </w:pPr>
      <w:r>
        <w:rPr>
          <w:color w:val="000000" w:themeColor="text1"/>
          <w:sz w:val="20"/>
          <w:szCs w:val="20"/>
          <w:lang w:val="en-CA"/>
        </w:rPr>
        <w:t xml:space="preserve">A response </w:t>
      </w:r>
      <w:r w:rsidRPr="006C77D8">
        <w:rPr>
          <w:color w:val="000000" w:themeColor="text1"/>
          <w:sz w:val="20"/>
          <w:szCs w:val="20"/>
          <w:lang w:val="en-CA"/>
        </w:rPr>
        <w:t>to the EWUAP communication</w:t>
      </w:r>
      <w:r>
        <w:rPr>
          <w:color w:val="000000" w:themeColor="text1"/>
          <w:sz w:val="20"/>
          <w:szCs w:val="20"/>
          <w:lang w:val="en-CA"/>
        </w:rPr>
        <w:t xml:space="preserve"> Canada</w:t>
      </w:r>
      <w:r w:rsidRPr="006C77D8">
        <w:rPr>
          <w:color w:val="000000" w:themeColor="text1"/>
          <w:sz w:val="20"/>
          <w:szCs w:val="20"/>
          <w:lang w:val="en-CA"/>
        </w:rPr>
        <w:t xml:space="preserve"> received from the CERD on April 29, 2022,</w:t>
      </w:r>
      <w:r>
        <w:rPr>
          <w:color w:val="000000" w:themeColor="text1"/>
          <w:sz w:val="20"/>
          <w:szCs w:val="20"/>
          <w:lang w:val="en-CA"/>
        </w:rPr>
        <w:t xml:space="preserve"> was </w:t>
      </w:r>
      <w:r w:rsidRPr="00AB5A9F">
        <w:rPr>
          <w:color w:val="000000" w:themeColor="text1"/>
          <w:sz w:val="20"/>
          <w:szCs w:val="20"/>
          <w:lang w:val="en-CA"/>
        </w:rPr>
        <w:t>submitted on November 7, 2023</w:t>
      </w:r>
      <w:r>
        <w:rPr>
          <w:color w:val="000000" w:themeColor="text1"/>
          <w:sz w:val="20"/>
          <w:szCs w:val="20"/>
          <w:lang w:val="en-CA"/>
        </w:rPr>
        <w:t>.</w:t>
      </w:r>
      <w:r w:rsidRPr="00AB5A9F">
        <w:rPr>
          <w:color w:val="000000" w:themeColor="text1"/>
          <w:sz w:val="20"/>
          <w:szCs w:val="20"/>
          <w:lang w:val="en-CA"/>
        </w:rPr>
        <w:t xml:space="preserve"> </w:t>
      </w:r>
    </w:p>
    <w:p w14:paraId="77ECE44C" w14:textId="77777777" w:rsidR="00E5223E" w:rsidRDefault="00E5223E" w:rsidP="009D7D15">
      <w:pPr>
        <w:pStyle w:val="Content1"/>
        <w:numPr>
          <w:ilvl w:val="0"/>
          <w:numId w:val="7"/>
        </w:numPr>
        <w:ind w:left="1134" w:right="1134" w:firstLine="0"/>
        <w:jc w:val="both"/>
        <w:rPr>
          <w:lang w:val="en-CA"/>
        </w:rPr>
      </w:pPr>
      <w:r w:rsidRPr="27136E50">
        <w:rPr>
          <w:color w:val="000000" w:themeColor="text1"/>
          <w:sz w:val="20"/>
          <w:szCs w:val="20"/>
          <w:lang w:val="en-CA"/>
        </w:rPr>
        <w:t>In response to Trans Mountain Expansion (TMX) Project Phase III consultations, the GC supported a suite of accommodation measures and recommendations to support the construction and operation of the project. One example is the Indigenous Advisory and Monitoring Committee (IAMC-TMX) established in 2017 to facilitate joint federal-Indigenous oversight of TMX and help monitor the Project through its entire life cycle. The GC</w:t>
      </w:r>
      <w:r>
        <w:rPr>
          <w:color w:val="000000" w:themeColor="text1"/>
          <w:sz w:val="20"/>
          <w:szCs w:val="20"/>
          <w:lang w:val="en-CA"/>
        </w:rPr>
        <w:t>-</w:t>
      </w:r>
      <w:r w:rsidRPr="27136E50">
        <w:rPr>
          <w:color w:val="000000" w:themeColor="text1"/>
          <w:sz w:val="20"/>
          <w:szCs w:val="20"/>
          <w:lang w:val="en-CA"/>
        </w:rPr>
        <w:t xml:space="preserve">funded IAMC-TMX is a tangible demonstration of our government’s commitment to strengthening relationships with Indigenous Peoples and to ensuring that natural resources are developed </w:t>
      </w:r>
      <w:r>
        <w:rPr>
          <w:color w:val="000000" w:themeColor="text1"/>
          <w:sz w:val="20"/>
          <w:szCs w:val="20"/>
          <w:lang w:val="en-CA"/>
        </w:rPr>
        <w:t>properly</w:t>
      </w:r>
      <w:r w:rsidRPr="27136E50">
        <w:rPr>
          <w:color w:val="000000" w:themeColor="text1"/>
          <w:sz w:val="20"/>
          <w:szCs w:val="20"/>
          <w:lang w:val="en-CA"/>
        </w:rPr>
        <w:t xml:space="preserve">. Through this initiative, Indigenous Peoples have meaningful involvement in providing advice and monitoring of the environmental, safety, </w:t>
      </w:r>
      <w:r w:rsidRPr="007E5230">
        <w:rPr>
          <w:sz w:val="20"/>
          <w:szCs w:val="20"/>
          <w:lang w:val="en-CA"/>
        </w:rPr>
        <w:t>social</w:t>
      </w:r>
      <w:r w:rsidRPr="27136E50">
        <w:rPr>
          <w:color w:val="000000" w:themeColor="text1"/>
          <w:sz w:val="20"/>
          <w:szCs w:val="20"/>
          <w:lang w:val="en-CA"/>
        </w:rPr>
        <w:t>, and economic aspects and progress of Trans Mountain activities.</w:t>
      </w:r>
    </w:p>
    <w:p w14:paraId="55FF1F4F" w14:textId="77777777" w:rsidR="00E5223E" w:rsidRPr="004157B9" w:rsidRDefault="00E5223E" w:rsidP="009D7D15">
      <w:pPr>
        <w:pStyle w:val="Content1"/>
        <w:numPr>
          <w:ilvl w:val="0"/>
          <w:numId w:val="7"/>
        </w:numPr>
        <w:ind w:left="1134" w:right="1134" w:firstLine="0"/>
        <w:jc w:val="both"/>
        <w:rPr>
          <w:sz w:val="20"/>
          <w:szCs w:val="20"/>
          <w:lang w:val="en-CA"/>
        </w:rPr>
      </w:pPr>
      <w:r w:rsidRPr="12512A46">
        <w:rPr>
          <w:sz w:val="20"/>
          <w:szCs w:val="20"/>
          <w:lang w:val="en-CA"/>
        </w:rPr>
        <w:t xml:space="preserve">Since the TMX Project was approved in 2019, Canada has continued to engage directly with Indigenous groups to discuss the potential impacts of regulatory authorizations on Aboriginal and Treaty rights, </w:t>
      </w:r>
      <w:r>
        <w:rPr>
          <w:sz w:val="20"/>
          <w:szCs w:val="20"/>
          <w:lang w:val="en-CA"/>
        </w:rPr>
        <w:t>and</w:t>
      </w:r>
      <w:r w:rsidRPr="12512A46">
        <w:rPr>
          <w:sz w:val="20"/>
          <w:szCs w:val="20"/>
          <w:lang w:val="en-CA"/>
        </w:rPr>
        <w:t xml:space="preserve"> other issues related to the TMX Project. </w:t>
      </w:r>
    </w:p>
    <w:p w14:paraId="37610286" w14:textId="77777777" w:rsidR="00E5223E" w:rsidRDefault="00E5223E" w:rsidP="009D7D15">
      <w:pPr>
        <w:pStyle w:val="Content1"/>
        <w:numPr>
          <w:ilvl w:val="0"/>
          <w:numId w:val="7"/>
        </w:numPr>
        <w:ind w:left="1134" w:right="1134" w:firstLine="0"/>
        <w:jc w:val="both"/>
        <w:rPr>
          <w:lang w:val="en-CA"/>
        </w:rPr>
      </w:pPr>
      <w:r w:rsidRPr="27136E50">
        <w:rPr>
          <w:color w:val="000000" w:themeColor="text1"/>
          <w:sz w:val="20"/>
          <w:szCs w:val="20"/>
          <w:lang w:val="en-CA"/>
        </w:rPr>
        <w:t xml:space="preserve">The GC has also worked collaboratively with potentially impacted Indigenous groups to develop and deliver eight accommodation measures that address Indigenous interests in the potential impacts of the TMX Project. As of 2022, over $135 million dollars has been allocated to 126 Indigenous groups in </w:t>
      </w:r>
      <w:r w:rsidRPr="00824AC6">
        <w:rPr>
          <w:sz w:val="20"/>
          <w:szCs w:val="20"/>
        </w:rPr>
        <w:t>B</w:t>
      </w:r>
      <w:r>
        <w:rPr>
          <w:sz w:val="20"/>
          <w:szCs w:val="20"/>
        </w:rPr>
        <w:t xml:space="preserve">ritish </w:t>
      </w:r>
      <w:r w:rsidRPr="00824AC6">
        <w:rPr>
          <w:sz w:val="20"/>
          <w:szCs w:val="20"/>
        </w:rPr>
        <w:t>C</w:t>
      </w:r>
      <w:r>
        <w:rPr>
          <w:sz w:val="20"/>
          <w:szCs w:val="20"/>
        </w:rPr>
        <w:t>olumbia</w:t>
      </w:r>
      <w:r w:rsidRPr="27136E50">
        <w:rPr>
          <w:color w:val="000000" w:themeColor="text1"/>
          <w:sz w:val="20"/>
          <w:szCs w:val="20"/>
          <w:lang w:val="en-CA"/>
        </w:rPr>
        <w:t xml:space="preserve"> and Alberta through </w:t>
      </w:r>
      <w:r w:rsidRPr="007E5230">
        <w:rPr>
          <w:sz w:val="20"/>
          <w:szCs w:val="20"/>
          <w:lang w:val="en-CA"/>
        </w:rPr>
        <w:t>these</w:t>
      </w:r>
      <w:r w:rsidRPr="27136E50">
        <w:rPr>
          <w:color w:val="000000" w:themeColor="text1"/>
          <w:sz w:val="20"/>
          <w:szCs w:val="20"/>
          <w:lang w:val="en-CA"/>
        </w:rPr>
        <w:t xml:space="preserve"> measures to support Indigenous-led projects, studies, and other initiatives in areas such as cumulative effects, marine safety, and aquatic habitat restoration.</w:t>
      </w:r>
    </w:p>
    <w:p w14:paraId="1FAAACF1" w14:textId="32AB2DF4" w:rsidR="00E5223E" w:rsidRPr="00884DC8" w:rsidRDefault="00E80255" w:rsidP="00F76831">
      <w:pPr>
        <w:pStyle w:val="H23G"/>
        <w:rPr>
          <w:lang w:val="en-CA"/>
        </w:rPr>
      </w:pPr>
      <w:r>
        <w:rPr>
          <w:lang w:val="en-CA"/>
        </w:rPr>
        <w:tab/>
      </w:r>
      <w:r>
        <w:rPr>
          <w:lang w:val="en-CA"/>
        </w:rPr>
        <w:tab/>
      </w:r>
      <w:r w:rsidR="00E5223E" w:rsidRPr="00884DC8">
        <w:rPr>
          <w:lang w:val="en-CA"/>
        </w:rPr>
        <w:t>Coastal GasLink Pipeline</w:t>
      </w:r>
    </w:p>
    <w:p w14:paraId="71B9605B" w14:textId="77777777" w:rsidR="00E5223E" w:rsidRPr="004157B9" w:rsidRDefault="00E5223E" w:rsidP="009D7D15">
      <w:pPr>
        <w:pStyle w:val="Content1"/>
        <w:numPr>
          <w:ilvl w:val="0"/>
          <w:numId w:val="7"/>
        </w:numPr>
        <w:ind w:left="1134" w:right="1134" w:firstLine="0"/>
        <w:jc w:val="both"/>
        <w:rPr>
          <w:sz w:val="20"/>
          <w:szCs w:val="20"/>
          <w:lang w:val="en-CA"/>
        </w:rPr>
      </w:pPr>
      <w:r>
        <w:rPr>
          <w:sz w:val="20"/>
          <w:szCs w:val="20"/>
          <w:lang w:val="en-CA"/>
        </w:rPr>
        <w:t xml:space="preserve">Detailed information will be provided as part of a separate response to AL CAN 2/2022.  </w:t>
      </w:r>
    </w:p>
    <w:p w14:paraId="6FB275D9" w14:textId="7AC55D2B" w:rsidR="00E5223E" w:rsidRPr="00884DC8" w:rsidRDefault="00E80255" w:rsidP="00E80255">
      <w:pPr>
        <w:pStyle w:val="H23G"/>
        <w:rPr>
          <w:lang w:val="en-CA"/>
        </w:rPr>
      </w:pPr>
      <w:bookmarkStart w:id="32" w:name="_Toc177633130"/>
      <w:r>
        <w:rPr>
          <w:lang w:val="en-CA"/>
        </w:rPr>
        <w:tab/>
      </w:r>
      <w:r>
        <w:rPr>
          <w:lang w:val="en-CA"/>
        </w:rPr>
        <w:tab/>
      </w:r>
      <w:r w:rsidR="00E5223E" w:rsidRPr="00884DC8">
        <w:rPr>
          <w:lang w:val="en-CA"/>
        </w:rPr>
        <w:t>Nova Scotia Mi’kmaq and fisheries</w:t>
      </w:r>
      <w:bookmarkEnd w:id="32"/>
    </w:p>
    <w:p w14:paraId="2C5FEA2A"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A response to the EWUAP communication Canada received from the CERD on April 30, 2021, was submitted on March 14, 2022. </w:t>
      </w:r>
    </w:p>
    <w:p w14:paraId="76A7091F"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The Mi'kmaq of Nova Scotia communities have long asserted their right to self-determination and self-government and have consistently rejected Fisheries and Oceans Canada (DFO) authority to regulate their rights-based fisheries, leading to tensions with the Department and between Indigenous and non-Indigenous harvesters. </w:t>
      </w:r>
    </w:p>
    <w:p w14:paraId="41914063"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The Mi’kmaq of Nova Scotia rejected DFO’s 2017 mandate to negotiate Rights Reconciliation Agreements (RRAs) to further implement the treaty right of the 34 Mi’kmaq and </w:t>
      </w:r>
      <w:proofErr w:type="spellStart"/>
      <w:r w:rsidRPr="007E5230">
        <w:rPr>
          <w:sz w:val="20"/>
          <w:szCs w:val="20"/>
          <w:lang w:val="en-CA"/>
        </w:rPr>
        <w:t>Wolastoqiyik</w:t>
      </w:r>
      <w:proofErr w:type="spellEnd"/>
      <w:r w:rsidRPr="007E5230">
        <w:rPr>
          <w:sz w:val="20"/>
          <w:szCs w:val="20"/>
          <w:lang w:val="en-CA"/>
        </w:rPr>
        <w:t xml:space="preserve"> First Nations in Nova Scotia, New Brunswick, Prince Edward Island, and the Gaspé region of Quebec, and the </w:t>
      </w:r>
      <w:proofErr w:type="spellStart"/>
      <w:r w:rsidRPr="007E5230">
        <w:rPr>
          <w:sz w:val="20"/>
          <w:szCs w:val="20"/>
          <w:lang w:val="en-CA"/>
        </w:rPr>
        <w:t>Peskotomuhkati</w:t>
      </w:r>
      <w:proofErr w:type="spellEnd"/>
      <w:r w:rsidRPr="007E5230">
        <w:rPr>
          <w:sz w:val="20"/>
          <w:szCs w:val="20"/>
          <w:lang w:val="en-CA"/>
        </w:rPr>
        <w:t xml:space="preserve"> Nation at </w:t>
      </w:r>
      <w:proofErr w:type="spellStart"/>
      <w:r w:rsidRPr="007E5230">
        <w:rPr>
          <w:sz w:val="20"/>
          <w:szCs w:val="20"/>
          <w:lang w:val="en-CA"/>
        </w:rPr>
        <w:t>Skutik</w:t>
      </w:r>
      <w:proofErr w:type="spellEnd"/>
      <w:r w:rsidRPr="007E5230">
        <w:rPr>
          <w:sz w:val="20"/>
          <w:szCs w:val="20"/>
          <w:lang w:val="en-CA"/>
        </w:rPr>
        <w:t xml:space="preserve"> (Treaty Nations), to fish in pursuit of a moderate livelihood (Treaty right). </w:t>
      </w:r>
    </w:p>
    <w:p w14:paraId="0862A4C2"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As a result, in 2021, DFO offered an interim alternative path to support moderate livelihood fishing activities through reaching understandings with First Nations on the issuance of annual DFO authorizations related to community-developed Moderate Livelihood Fishing Plans (MLFP). Since 2021, DFO has reached 24 interim MLFP understandings with 18 Treaty Nations, including nine Nova Scotia Mi’kmaq communities.</w:t>
      </w:r>
    </w:p>
    <w:p w14:paraId="72D7A3A7" w14:textId="77777777" w:rsidR="00E5223E" w:rsidRPr="00884DC8" w:rsidRDefault="00E5223E" w:rsidP="009D7D15">
      <w:pPr>
        <w:pStyle w:val="Content1"/>
        <w:numPr>
          <w:ilvl w:val="0"/>
          <w:numId w:val="7"/>
        </w:numPr>
        <w:ind w:left="1134" w:right="1134" w:firstLine="0"/>
        <w:jc w:val="both"/>
        <w:rPr>
          <w:sz w:val="20"/>
          <w:szCs w:val="20"/>
        </w:rPr>
      </w:pPr>
      <w:r w:rsidRPr="007E5230">
        <w:rPr>
          <w:sz w:val="20"/>
          <w:szCs w:val="20"/>
          <w:lang w:val="en-CA"/>
        </w:rPr>
        <w:t>In 2024, DFO announced $259.4 million over three years to support the continued implementation of the Treaty right. Funding can be used towards the purchase of access, vessels and gear, through the ‘willing buyer, willing seller’ approach, and to support development and testing of governance and management structures, and participation in discussions with DFO at fisheries negotiation tables, with the aim of reaching long-term collaborative management agreements. While some Chiefs have rejected the concept of receiving funding to acquire access to support their rights-based fisheries, DFO continues to engage with the Mi’kmaq of Nova Scotia Leadership on a path forward to further implement their treaty rights according to their vision and interests</w:t>
      </w:r>
      <w:r w:rsidRPr="00884DC8">
        <w:rPr>
          <w:sz w:val="20"/>
          <w:szCs w:val="20"/>
        </w:rPr>
        <w:t>.</w:t>
      </w:r>
    </w:p>
    <w:p w14:paraId="55AE30D5" w14:textId="24150B5D" w:rsidR="00E5223E" w:rsidRPr="00884DC8" w:rsidRDefault="00E80255" w:rsidP="00E80255">
      <w:pPr>
        <w:pStyle w:val="HChG"/>
      </w:pPr>
      <w:bookmarkStart w:id="33" w:name="_Toc177633131"/>
      <w:r>
        <w:tab/>
      </w:r>
      <w:r w:rsidR="00E5223E" w:rsidRPr="00884DC8">
        <w:t>V.</w:t>
      </w:r>
      <w:r>
        <w:tab/>
      </w:r>
      <w:r w:rsidR="00E5223E" w:rsidRPr="00884DC8">
        <w:t>Justice</w:t>
      </w:r>
      <w:bookmarkEnd w:id="33"/>
    </w:p>
    <w:p w14:paraId="16943C44" w14:textId="77777777" w:rsidR="00E5223E" w:rsidRPr="00884DC8" w:rsidRDefault="00E5223E" w:rsidP="009D7D15">
      <w:pPr>
        <w:pStyle w:val="Content1"/>
        <w:numPr>
          <w:ilvl w:val="0"/>
          <w:numId w:val="7"/>
        </w:numPr>
        <w:ind w:left="1134" w:right="1134" w:firstLine="0"/>
        <w:jc w:val="both"/>
        <w:rPr>
          <w:sz w:val="20"/>
          <w:szCs w:val="20"/>
        </w:rPr>
      </w:pPr>
      <w:r w:rsidRPr="00884DC8">
        <w:rPr>
          <w:sz w:val="20"/>
          <w:szCs w:val="20"/>
        </w:rPr>
        <w:t xml:space="preserve">This section includes information on the prevention of racial discrimination in the criminal justice system, with a focus on reducing the rates of incarceration for Indigenous Peoples and Black </w:t>
      </w:r>
      <w:r>
        <w:rPr>
          <w:sz w:val="20"/>
          <w:szCs w:val="20"/>
        </w:rPr>
        <w:t>people</w:t>
      </w:r>
      <w:r w:rsidRPr="00884DC8">
        <w:rPr>
          <w:sz w:val="20"/>
          <w:szCs w:val="20"/>
        </w:rPr>
        <w:t xml:space="preserve">. This focuses on Concluding Observation 16. </w:t>
      </w:r>
    </w:p>
    <w:p w14:paraId="4FD8AADC" w14:textId="3FEF4748" w:rsidR="00E5223E" w:rsidRPr="00884DC8" w:rsidRDefault="00E80255" w:rsidP="00E80255">
      <w:pPr>
        <w:pStyle w:val="H1G"/>
        <w:rPr>
          <w:lang w:val="en-CA"/>
        </w:rPr>
      </w:pPr>
      <w:bookmarkStart w:id="34" w:name="_Toc177633132"/>
      <w:r>
        <w:rPr>
          <w:lang w:val="en-CA"/>
        </w:rPr>
        <w:tab/>
      </w:r>
      <w:r>
        <w:rPr>
          <w:lang w:val="en-CA"/>
        </w:rPr>
        <w:tab/>
      </w:r>
      <w:r w:rsidR="00E5223E" w:rsidRPr="00884DC8">
        <w:rPr>
          <w:lang w:val="en-CA"/>
        </w:rPr>
        <w:t>Prevention of racial discrimination in the criminal justice system</w:t>
      </w:r>
      <w:bookmarkEnd w:id="34"/>
    </w:p>
    <w:p w14:paraId="461F8F91" w14:textId="36EF3844" w:rsidR="00E5223E" w:rsidRPr="00884DC8" w:rsidRDefault="00E80255" w:rsidP="00E80255">
      <w:pPr>
        <w:pStyle w:val="H23G"/>
      </w:pPr>
      <w:bookmarkStart w:id="35" w:name="_Toc177633133"/>
      <w:r>
        <w:tab/>
      </w:r>
      <w:r>
        <w:tab/>
      </w:r>
      <w:r w:rsidR="00E5223E" w:rsidRPr="00884DC8">
        <w:t>Bias-free policing</w:t>
      </w:r>
      <w:bookmarkEnd w:id="35"/>
    </w:p>
    <w:p w14:paraId="43D378C1" w14:textId="77777777" w:rsidR="00E5223E" w:rsidRPr="004157B9" w:rsidRDefault="00E5223E" w:rsidP="009D7D15">
      <w:pPr>
        <w:pStyle w:val="Content1"/>
        <w:numPr>
          <w:ilvl w:val="0"/>
          <w:numId w:val="7"/>
        </w:numPr>
        <w:ind w:left="1134" w:right="1134" w:firstLine="0"/>
        <w:jc w:val="both"/>
        <w:rPr>
          <w:sz w:val="20"/>
          <w:szCs w:val="20"/>
          <w:lang w:val="en-CA"/>
        </w:rPr>
      </w:pPr>
      <w:r w:rsidRPr="27136E50">
        <w:rPr>
          <w:sz w:val="20"/>
          <w:szCs w:val="20"/>
          <w:lang w:val="en-CA"/>
        </w:rPr>
        <w:t xml:space="preserve">The GC is committed to the non-discriminatory treatment of persons. In 2017, the GC implemented a directive that specifically prohibits all forms of race-based discrimination under the Canadian Human Rights Act, including racial profiling. </w:t>
      </w:r>
    </w:p>
    <w:p w14:paraId="22CC5E1B" w14:textId="77777777" w:rsidR="00E5223E" w:rsidRPr="006F71D2"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has a robust training and development program for its frontline workforce on cultural sensitivity and anti-racism. Frontline employees are required to complete mandatory training on accessibility, Prevention of Racial Profiling, Processing Indigenous Travellers and Sacred Goods, Anti-Racism and Allyship, Anti-Harassment and Discrimination, and Values and Ethics. Compliance is monitored through regular reporting mechanisms. Training is also updated and maintained through its life-cycle management process to ensure relevancy. Beyond this, the Indigenous Training Program provides Kairos Blanket Exercises for </w:t>
      </w:r>
      <w:r>
        <w:rPr>
          <w:sz w:val="20"/>
          <w:szCs w:val="20"/>
          <w:lang w:val="en-CA"/>
        </w:rPr>
        <w:t>r</w:t>
      </w:r>
      <w:r w:rsidRPr="6BCE64E0">
        <w:rPr>
          <w:sz w:val="20"/>
          <w:szCs w:val="20"/>
          <w:lang w:val="en-CA"/>
        </w:rPr>
        <w:t xml:space="preserve">ecruits and </w:t>
      </w:r>
      <w:r>
        <w:rPr>
          <w:sz w:val="20"/>
          <w:szCs w:val="20"/>
          <w:lang w:val="en-CA"/>
        </w:rPr>
        <w:t>o</w:t>
      </w:r>
      <w:r w:rsidRPr="6BCE64E0">
        <w:rPr>
          <w:sz w:val="20"/>
          <w:szCs w:val="20"/>
          <w:lang w:val="en-CA"/>
        </w:rPr>
        <w:t xml:space="preserve">fficers, Sacred Bundles Presentations, and Akwesasne Cultural Awareness Training for </w:t>
      </w:r>
      <w:r>
        <w:rPr>
          <w:sz w:val="20"/>
          <w:szCs w:val="20"/>
          <w:lang w:val="en-CA"/>
        </w:rPr>
        <w:t>o</w:t>
      </w:r>
      <w:r w:rsidRPr="6BCE64E0">
        <w:rPr>
          <w:sz w:val="20"/>
          <w:szCs w:val="20"/>
          <w:lang w:val="en-CA"/>
        </w:rPr>
        <w:t>fficers working at or near Akwesasne.</w:t>
      </w:r>
      <w:r w:rsidRPr="006F71D2">
        <w:rPr>
          <w:sz w:val="20"/>
          <w:szCs w:val="20"/>
          <w:lang w:val="en-CA"/>
        </w:rPr>
        <w:t xml:space="preserve"> </w:t>
      </w:r>
    </w:p>
    <w:p w14:paraId="1542EB0F" w14:textId="77777777" w:rsidR="00E5223E" w:rsidRPr="00D47102" w:rsidRDefault="00E5223E" w:rsidP="009D7D15">
      <w:pPr>
        <w:pStyle w:val="Content1"/>
        <w:numPr>
          <w:ilvl w:val="0"/>
          <w:numId w:val="7"/>
        </w:numPr>
        <w:ind w:left="1134" w:right="1134" w:firstLine="0"/>
        <w:jc w:val="both"/>
        <w:rPr>
          <w:sz w:val="20"/>
          <w:szCs w:val="20"/>
          <w:lang w:val="en-CA"/>
        </w:rPr>
      </w:pPr>
      <w:bookmarkStart w:id="36" w:name="_Hlk197501465"/>
      <w:r>
        <w:rPr>
          <w:sz w:val="20"/>
          <w:szCs w:val="20"/>
          <w:lang w:val="en-CA"/>
        </w:rPr>
        <w:t>In 2018, t</w:t>
      </w:r>
      <w:r w:rsidRPr="00BC19D0">
        <w:rPr>
          <w:sz w:val="20"/>
          <w:szCs w:val="20"/>
          <w:lang w:val="en-CA"/>
        </w:rPr>
        <w:t>he Honourable Michael H. Tulloch conducted an Independent Street Checks Review</w:t>
      </w:r>
      <w:r>
        <w:rPr>
          <w:sz w:val="20"/>
          <w:szCs w:val="20"/>
          <w:lang w:val="en-CA"/>
        </w:rPr>
        <w:t xml:space="preserve"> in Ontario</w:t>
      </w:r>
      <w:r w:rsidRPr="00BC19D0">
        <w:rPr>
          <w:sz w:val="20"/>
          <w:szCs w:val="20"/>
          <w:lang w:val="en-CA"/>
        </w:rPr>
        <w:t xml:space="preserve"> to assess whether</w:t>
      </w:r>
      <w:r>
        <w:rPr>
          <w:sz w:val="20"/>
          <w:szCs w:val="20"/>
          <w:lang w:val="en-CA"/>
        </w:rPr>
        <w:t xml:space="preserve"> the</w:t>
      </w:r>
      <w:r w:rsidRPr="00BC19D0">
        <w:rPr>
          <w:sz w:val="20"/>
          <w:szCs w:val="20"/>
          <w:lang w:val="en-CA"/>
        </w:rPr>
        <w:t xml:space="preserve"> regulations </w:t>
      </w:r>
      <w:r>
        <w:rPr>
          <w:sz w:val="20"/>
          <w:szCs w:val="20"/>
          <w:lang w:val="en-CA"/>
        </w:rPr>
        <w:t>on the arbitrary collection of identifying information by police,</w:t>
      </w:r>
      <w:r w:rsidRPr="00BC19D0">
        <w:rPr>
          <w:sz w:val="20"/>
          <w:szCs w:val="20"/>
          <w:lang w:val="en-CA"/>
        </w:rPr>
        <w:t xml:space="preserve"> under the </w:t>
      </w:r>
      <w:r w:rsidRPr="00BC19D0">
        <w:rPr>
          <w:i/>
          <w:iCs/>
          <w:sz w:val="20"/>
          <w:szCs w:val="20"/>
          <w:lang w:val="en-CA"/>
        </w:rPr>
        <w:t>Police Services Act</w:t>
      </w:r>
      <w:r w:rsidRPr="00BC19D0">
        <w:rPr>
          <w:sz w:val="20"/>
          <w:szCs w:val="20"/>
          <w:lang w:val="en-CA"/>
        </w:rPr>
        <w:t> (PSA)</w:t>
      </w:r>
      <w:r>
        <w:rPr>
          <w:sz w:val="20"/>
          <w:szCs w:val="20"/>
          <w:lang w:val="en-CA"/>
        </w:rPr>
        <w:t>,</w:t>
      </w:r>
      <w:r w:rsidRPr="00BC19D0">
        <w:rPr>
          <w:sz w:val="20"/>
          <w:szCs w:val="20"/>
          <w:lang w:val="en-CA"/>
        </w:rPr>
        <w:t xml:space="preserve"> supported the provincial government's objectives of ensuring that interactions between police and the public were consistent, free from bias or discrimination, respectful of human rights, and </w:t>
      </w:r>
      <w:r>
        <w:rPr>
          <w:sz w:val="20"/>
          <w:szCs w:val="20"/>
          <w:lang w:val="en-CA"/>
        </w:rPr>
        <w:t>done in a manner that promotes</w:t>
      </w:r>
      <w:r w:rsidRPr="00BC19D0">
        <w:rPr>
          <w:sz w:val="20"/>
          <w:szCs w:val="20"/>
          <w:lang w:val="en-CA"/>
        </w:rPr>
        <w:t xml:space="preserve"> public confidence. Ontario considered the findings of the review, and many recommendations were addressed when the </w:t>
      </w:r>
      <w:r w:rsidRPr="00BC19D0">
        <w:rPr>
          <w:i/>
          <w:iCs/>
          <w:sz w:val="20"/>
          <w:szCs w:val="20"/>
          <w:lang w:val="en-CA"/>
        </w:rPr>
        <w:t>Community Safety and Policing Act</w:t>
      </w:r>
      <w:r w:rsidRPr="00BC19D0">
        <w:rPr>
          <w:sz w:val="20"/>
          <w:szCs w:val="20"/>
          <w:lang w:val="en-CA"/>
        </w:rPr>
        <w:t xml:space="preserve">, </w:t>
      </w:r>
      <w:r w:rsidRPr="00BC19D0">
        <w:rPr>
          <w:i/>
          <w:iCs/>
          <w:sz w:val="20"/>
          <w:szCs w:val="20"/>
          <w:lang w:val="en-CA"/>
        </w:rPr>
        <w:t>2019</w:t>
      </w:r>
      <w:r w:rsidRPr="00BC19D0">
        <w:rPr>
          <w:sz w:val="20"/>
          <w:szCs w:val="20"/>
          <w:lang w:val="en-CA"/>
        </w:rPr>
        <w:t> (CSPA) was brought into force, replacing the PSA as the province’s governing legislation for police services</w:t>
      </w:r>
      <w:r>
        <w:rPr>
          <w:sz w:val="20"/>
          <w:szCs w:val="20"/>
          <w:lang w:val="en-CA"/>
        </w:rPr>
        <w:t xml:space="preserve">. The CSPA provides a modernized framework for policing that is designed to advance policing that is fair, equitable, safe, transparent and effective. Pursuant to the CSPA training requirements, </w:t>
      </w:r>
      <w:r w:rsidRPr="00BC19D0">
        <w:rPr>
          <w:sz w:val="20"/>
          <w:szCs w:val="20"/>
          <w:lang w:val="en-CA"/>
        </w:rPr>
        <w:t>Ontario developed e-learning modules for police officers, special constables, members of police service boards/committees, and certain personnel from oversight bodies that raise awareness of human rights and systemic racism, promote recognition and respect for the diverse nature of Ontario society a</w:t>
      </w:r>
      <w:r>
        <w:rPr>
          <w:sz w:val="20"/>
          <w:szCs w:val="20"/>
          <w:lang w:val="en-CA"/>
        </w:rPr>
        <w:t>s well as</w:t>
      </w:r>
      <w:r w:rsidRPr="00BC19D0">
        <w:rPr>
          <w:sz w:val="20"/>
          <w:szCs w:val="20"/>
          <w:lang w:val="en-CA"/>
        </w:rPr>
        <w:t xml:space="preserve"> the </w:t>
      </w:r>
      <w:r w:rsidRPr="00D47102">
        <w:rPr>
          <w:sz w:val="20"/>
          <w:szCs w:val="20"/>
          <w:lang w:val="en-CA"/>
        </w:rPr>
        <w:t xml:space="preserve">rights and cultures of First Nation, Inuit and Métis peoples. </w:t>
      </w:r>
    </w:p>
    <w:bookmarkEnd w:id="36"/>
    <w:p w14:paraId="4340493C" w14:textId="77777777" w:rsidR="00E5223E" w:rsidRPr="00D47102" w:rsidRDefault="00E5223E" w:rsidP="009D7D15">
      <w:pPr>
        <w:pStyle w:val="Content1"/>
        <w:numPr>
          <w:ilvl w:val="0"/>
          <w:numId w:val="7"/>
        </w:numPr>
        <w:ind w:left="1134" w:right="1134" w:firstLine="0"/>
        <w:jc w:val="both"/>
        <w:rPr>
          <w:sz w:val="20"/>
          <w:szCs w:val="20"/>
          <w:lang w:val="en-CA"/>
        </w:rPr>
      </w:pPr>
      <w:r w:rsidRPr="00D47102">
        <w:rPr>
          <w:sz w:val="20"/>
          <w:szCs w:val="20"/>
          <w:lang w:val="en-CA"/>
        </w:rPr>
        <w:t xml:space="preserve">In Quebec, since 1995, the Guide to Police Practices has been setting standards and specifying the guiding principles of police action. In 2020, a practice designed to ensure that police questioning is not random, unfounded or discriminatory, and that it is carried out with respect for the individual, was added. A Guide to preventing, detecting and responding to racial and social profiling has also been available since 2020. </w:t>
      </w:r>
    </w:p>
    <w:p w14:paraId="144651C6" w14:textId="77777777" w:rsidR="00E5223E" w:rsidRPr="00D47102" w:rsidRDefault="00E5223E" w:rsidP="009D7D15">
      <w:pPr>
        <w:pStyle w:val="Content1"/>
        <w:numPr>
          <w:ilvl w:val="0"/>
          <w:numId w:val="7"/>
        </w:numPr>
        <w:ind w:left="1134" w:right="1134" w:firstLine="0"/>
        <w:jc w:val="both"/>
        <w:rPr>
          <w:sz w:val="20"/>
          <w:szCs w:val="20"/>
          <w:lang w:val="en-CA"/>
        </w:rPr>
      </w:pPr>
      <w:r w:rsidRPr="00D47102">
        <w:rPr>
          <w:sz w:val="20"/>
          <w:szCs w:val="20"/>
          <w:lang w:val="en-CA"/>
        </w:rPr>
        <w:t>British Columbia set Provincial Standards in 2023 to promote unbiased policing. They include mandatory in-person training for all frontline officers on fair and impartial policing which is designed to help police understand the science of Implicit Bias. It provides practical tools to recognize bias and reduce its influence on police decision-making. Concepts of principles of fair and impartial policing have also been embedded in municipal police recruit training.</w:t>
      </w:r>
    </w:p>
    <w:p w14:paraId="68BBDDA3" w14:textId="54C9A6F6" w:rsidR="00E5223E" w:rsidRPr="00E364DA" w:rsidRDefault="00E80255" w:rsidP="00E80255">
      <w:pPr>
        <w:pStyle w:val="H1G"/>
        <w:rPr>
          <w:sz w:val="20"/>
        </w:rPr>
      </w:pPr>
      <w:r>
        <w:rPr>
          <w:lang w:val="en-CA"/>
        </w:rPr>
        <w:tab/>
      </w:r>
      <w:r>
        <w:rPr>
          <w:lang w:val="en-CA"/>
        </w:rPr>
        <w:tab/>
      </w:r>
      <w:r w:rsidR="00E5223E" w:rsidRPr="00E364DA">
        <w:rPr>
          <w:lang w:val="en-CA"/>
        </w:rPr>
        <w:t>Representation in the criminal justice system</w:t>
      </w:r>
    </w:p>
    <w:p w14:paraId="0A32A5B6" w14:textId="5D8652DE" w:rsidR="00E5223E" w:rsidRPr="00E364DA" w:rsidRDefault="00E80255" w:rsidP="00E80255">
      <w:pPr>
        <w:pStyle w:val="H23G"/>
      </w:pPr>
      <w:bookmarkStart w:id="37" w:name="_Toc177633135"/>
      <w:r>
        <w:tab/>
      </w:r>
      <w:r>
        <w:tab/>
      </w:r>
      <w:r w:rsidR="00E5223E" w:rsidRPr="00E364DA">
        <w:t>Data collection</w:t>
      </w:r>
      <w:bookmarkEnd w:id="37"/>
    </w:p>
    <w:p w14:paraId="540BF562" w14:textId="77777777" w:rsidR="00E5223E" w:rsidRPr="00E364DA" w:rsidRDefault="00E5223E" w:rsidP="009D7D15">
      <w:pPr>
        <w:pStyle w:val="Content1"/>
        <w:numPr>
          <w:ilvl w:val="0"/>
          <w:numId w:val="7"/>
        </w:numPr>
        <w:ind w:left="1134" w:right="1134" w:firstLine="0"/>
        <w:jc w:val="both"/>
        <w:rPr>
          <w:sz w:val="20"/>
          <w:szCs w:val="20"/>
        </w:rPr>
      </w:pPr>
      <w:r w:rsidRPr="007E5230">
        <w:rPr>
          <w:sz w:val="20"/>
          <w:szCs w:val="20"/>
          <w:lang w:val="en-CA"/>
        </w:rPr>
        <w:t>The</w:t>
      </w:r>
      <w:r w:rsidRPr="00E364DA">
        <w:rPr>
          <w:sz w:val="20"/>
          <w:szCs w:val="20"/>
        </w:rPr>
        <w:t xml:space="preserve"> State of the Criminal Justice System initiative measures Canada’s performance on relevant indicators: </w:t>
      </w:r>
    </w:p>
    <w:p w14:paraId="2665867A" w14:textId="77777777" w:rsidR="00E5223E" w:rsidRPr="00936421" w:rsidRDefault="00E5223E" w:rsidP="00E80255">
      <w:pPr>
        <w:pStyle w:val="Bullet1G"/>
      </w:pPr>
      <w:r w:rsidRPr="00E364DA">
        <w:t>Individuals under federal correctional supervision granted parole (by Indigenous identity</w:t>
      </w:r>
      <w:r w:rsidRPr="00936421">
        <w:t xml:space="preserve"> and racialized identity</w:t>
      </w:r>
      <w:proofErr w:type="gramStart"/>
      <w:r w:rsidRPr="00936421">
        <w:t>);</w:t>
      </w:r>
      <w:proofErr w:type="gramEnd"/>
    </w:p>
    <w:p w14:paraId="1FE4ADC5" w14:textId="77777777" w:rsidR="00E5223E" w:rsidRPr="00936421" w:rsidRDefault="00E5223E" w:rsidP="00E80255">
      <w:pPr>
        <w:pStyle w:val="Bullet1G"/>
      </w:pPr>
      <w:r w:rsidRPr="00936421">
        <w:t xml:space="preserve">Admissions of Indigenous and Black adults/youth to PT correctional </w:t>
      </w:r>
      <w:proofErr w:type="gramStart"/>
      <w:r w:rsidRPr="00936421">
        <w:t>services;</w:t>
      </w:r>
      <w:proofErr w:type="gramEnd"/>
    </w:p>
    <w:p w14:paraId="22EB21EE" w14:textId="77777777" w:rsidR="00E5223E" w:rsidRPr="00936421" w:rsidRDefault="00E5223E" w:rsidP="00E80255">
      <w:pPr>
        <w:pStyle w:val="Bullet1G"/>
      </w:pPr>
      <w:r w:rsidRPr="00936421">
        <w:t xml:space="preserve">Indigenous admissions to federal correctional </w:t>
      </w:r>
      <w:proofErr w:type="gramStart"/>
      <w:r w:rsidRPr="00936421">
        <w:t>services;</w:t>
      </w:r>
      <w:proofErr w:type="gramEnd"/>
    </w:p>
    <w:p w14:paraId="31816641" w14:textId="77777777" w:rsidR="00E5223E" w:rsidRPr="00D47102" w:rsidRDefault="00E5223E" w:rsidP="00E80255">
      <w:pPr>
        <w:pStyle w:val="Bullet1G"/>
      </w:pPr>
      <w:r w:rsidRPr="00D47102">
        <w:t>Representation of Indigenous and Black individuals in the federal offender population; and</w:t>
      </w:r>
    </w:p>
    <w:p w14:paraId="4C3C8755" w14:textId="15099413" w:rsidR="00E5223E" w:rsidRPr="00936421" w:rsidRDefault="00E5223E" w:rsidP="00E80255">
      <w:pPr>
        <w:pStyle w:val="Bullet1G"/>
      </w:pPr>
      <w:r w:rsidRPr="00936421">
        <w:t>Indigenous individuals designated as Dangerous Offenders</w:t>
      </w:r>
      <w:r w:rsidR="00E80255">
        <w:t>.</w:t>
      </w:r>
    </w:p>
    <w:p w14:paraId="492098CD"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conducts the National Justice Survey on an annual basis to understand the perceptions of and experiences with Canada’s justice system. Data </w:t>
      </w:r>
      <w:r>
        <w:rPr>
          <w:sz w:val="20"/>
          <w:szCs w:val="20"/>
          <w:lang w:val="en-CA"/>
        </w:rPr>
        <w:t>is</w:t>
      </w:r>
      <w:r w:rsidRPr="6BCE64E0">
        <w:rPr>
          <w:sz w:val="20"/>
          <w:szCs w:val="20"/>
          <w:lang w:val="en-CA"/>
        </w:rPr>
        <w:t xml:space="preserve"> collected in a way that allows for disaggregation by Indigenous and racialized identity. </w:t>
      </w:r>
    </w:p>
    <w:p w14:paraId="0292D0E9"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C</w:t>
      </w:r>
      <w:r w:rsidRPr="6BCE64E0">
        <w:rPr>
          <w:sz w:val="20"/>
          <w:szCs w:val="20"/>
          <w:lang w:val="en-CA"/>
        </w:rPr>
        <w:t xml:space="preserve"> is undertaking the Justice Data Modernization Initiative to better measure and address the overrepresentation of Indigenous, Black and other racialized people in the criminal justice system. </w:t>
      </w:r>
      <w:r>
        <w:rPr>
          <w:sz w:val="20"/>
          <w:szCs w:val="20"/>
          <w:lang w:val="en-CA"/>
        </w:rPr>
        <w:t>R</w:t>
      </w:r>
      <w:r w:rsidRPr="6BCE64E0">
        <w:rPr>
          <w:sz w:val="20"/>
          <w:szCs w:val="20"/>
          <w:lang w:val="en-CA"/>
        </w:rPr>
        <w:t>esearch is being conducted and commissioned to understand how social infrastructure can be leveraged to improve individual and community well-being, reduce criminalization, and address overrepresentation.</w:t>
      </w:r>
    </w:p>
    <w:p w14:paraId="5565255A"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G</w:t>
      </w:r>
      <w:r>
        <w:rPr>
          <w:sz w:val="20"/>
          <w:szCs w:val="20"/>
          <w:lang w:val="en-CA"/>
        </w:rPr>
        <w:t xml:space="preserve">C </w:t>
      </w:r>
      <w:r w:rsidRPr="6BCE64E0">
        <w:rPr>
          <w:sz w:val="20"/>
          <w:szCs w:val="20"/>
          <w:lang w:val="en-CA"/>
        </w:rPr>
        <w:t xml:space="preserve">periodically publishes reports online on issues related to the overrepresentation of Indigenous, Black </w:t>
      </w:r>
      <w:r>
        <w:rPr>
          <w:sz w:val="20"/>
          <w:szCs w:val="20"/>
          <w:lang w:val="en-CA"/>
        </w:rPr>
        <w:t>people</w:t>
      </w:r>
      <w:r w:rsidRPr="6BCE64E0">
        <w:rPr>
          <w:sz w:val="20"/>
          <w:szCs w:val="20"/>
          <w:lang w:val="en-CA"/>
        </w:rPr>
        <w:t xml:space="preserve"> and other racialized people in the criminal justice system, and differential outcomes based on Indigenous and racialized identity. </w:t>
      </w:r>
    </w:p>
    <w:p w14:paraId="2456DC12"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British Columbia Corrections utilizes CORNET (Corrections Offender Network) to capture race-based/Indigenous identity data and subsequently uses this data to report out on metrics of over-representation. For example, rates of Indigenous Incarceration (remand and sentenced) are annually reported as a part of the Justice and Public Safety Council’s Strategic Plan. Contributions are also made to several initiatives of the National Justice Statistics Initiative (NJSI), through the provision of disaggregated administrative data to the Canadian Correctional Services Survey (CCSS). Using this data, Statistics Canada regularly reports on the over-representation of Indigenous </w:t>
      </w:r>
      <w:r>
        <w:rPr>
          <w:sz w:val="20"/>
          <w:szCs w:val="20"/>
          <w:lang w:val="en-CA"/>
        </w:rPr>
        <w:t>P</w:t>
      </w:r>
      <w:r w:rsidRPr="6BCE64E0">
        <w:rPr>
          <w:sz w:val="20"/>
          <w:szCs w:val="20"/>
          <w:lang w:val="en-CA"/>
        </w:rPr>
        <w:t xml:space="preserve">eoples and </w:t>
      </w:r>
      <w:r>
        <w:rPr>
          <w:sz w:val="20"/>
          <w:szCs w:val="20"/>
          <w:lang w:val="en-CA"/>
        </w:rPr>
        <w:t xml:space="preserve">racialized peoples </w:t>
      </w:r>
      <w:r w:rsidRPr="6BCE64E0">
        <w:rPr>
          <w:sz w:val="20"/>
          <w:szCs w:val="20"/>
          <w:lang w:val="en-CA"/>
        </w:rPr>
        <w:t>in Corrections.</w:t>
      </w:r>
    </w:p>
    <w:p w14:paraId="33455803" w14:textId="49A2FC4E" w:rsidR="00E5223E" w:rsidRPr="00743118" w:rsidRDefault="00E80255" w:rsidP="00E80255">
      <w:pPr>
        <w:pStyle w:val="H23G"/>
      </w:pPr>
      <w:bookmarkStart w:id="38" w:name="_Toc177633136"/>
      <w:r>
        <w:tab/>
      </w:r>
      <w:r>
        <w:tab/>
      </w:r>
      <w:r w:rsidR="00E5223E" w:rsidRPr="00743118">
        <w:t>Disproportionate incarceration</w:t>
      </w:r>
      <w:bookmarkEnd w:id="38"/>
    </w:p>
    <w:p w14:paraId="064E2AC8" w14:textId="77777777" w:rsidR="00E5223E" w:rsidRPr="007E5230" w:rsidRDefault="00E5223E" w:rsidP="009D7D15">
      <w:pPr>
        <w:pStyle w:val="Content1"/>
        <w:numPr>
          <w:ilvl w:val="0"/>
          <w:numId w:val="7"/>
        </w:numPr>
        <w:ind w:left="1134" w:right="1134" w:firstLine="0"/>
        <w:jc w:val="both"/>
        <w:rPr>
          <w:sz w:val="20"/>
          <w:szCs w:val="20"/>
          <w:lang w:val="en-CA"/>
        </w:rPr>
      </w:pPr>
      <w:r w:rsidRPr="007E5230">
        <w:rPr>
          <w:sz w:val="20"/>
          <w:szCs w:val="20"/>
          <w:lang w:val="en-CA"/>
        </w:rPr>
        <w:t xml:space="preserve">In 2020-2021, Black people accounted for 9% of the federal correctional population (in custody or under community supervision) while comprising 4% of Canada's population.  In response to demands to better understand the experiences of Indigenous Peoples and Black people in the Justice system, Statistics Canada launched an initiative to collect more disaggregated data for police-reported crime. </w:t>
      </w:r>
    </w:p>
    <w:p w14:paraId="7FCBFD44"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In 2023, the G</w:t>
      </w:r>
      <w:r>
        <w:rPr>
          <w:sz w:val="20"/>
          <w:szCs w:val="20"/>
          <w:lang w:val="en-CA"/>
        </w:rPr>
        <w:t>C</w:t>
      </w:r>
      <w:r w:rsidRPr="004157B9">
        <w:rPr>
          <w:sz w:val="20"/>
          <w:szCs w:val="20"/>
          <w:lang w:val="en-CA"/>
        </w:rPr>
        <w:t xml:space="preserve"> published a revised guideline on the decision to prosecute. The updated directive provides guidance on how prosecutors can avoid contributing to over-representation. </w:t>
      </w:r>
    </w:p>
    <w:p w14:paraId="4FC005E6" w14:textId="77777777" w:rsidR="00E5223E" w:rsidRDefault="00E5223E" w:rsidP="009D7D15">
      <w:pPr>
        <w:pStyle w:val="Content1"/>
        <w:numPr>
          <w:ilvl w:val="0"/>
          <w:numId w:val="7"/>
        </w:numPr>
        <w:ind w:left="1134" w:right="1134" w:firstLine="0"/>
        <w:jc w:val="both"/>
        <w:rPr>
          <w:sz w:val="20"/>
          <w:szCs w:val="20"/>
          <w:lang w:val="en-CA"/>
        </w:rPr>
      </w:pPr>
      <w:r w:rsidRPr="004157B9">
        <w:rPr>
          <w:sz w:val="20"/>
          <w:szCs w:val="20"/>
          <w:lang w:val="en-CA"/>
        </w:rPr>
        <w:t>To address the high rates of overrepresentation of Black and Indigenous Canadian youth in the criminal justice system, the last call for proposals under the National Crime Prevention Strategy’s Crime Prevention Action Fund focused on the needs of at-risk Black and Indigenous youth. It funded 34 projects for an investment of more than $83 million over five years, to reduce the risk factors among youth.</w:t>
      </w:r>
    </w:p>
    <w:p w14:paraId="14AF2D7C" w14:textId="77777777" w:rsidR="00E5223E" w:rsidRPr="00C71314" w:rsidRDefault="00E5223E" w:rsidP="009D7D15">
      <w:pPr>
        <w:pStyle w:val="Content1"/>
        <w:numPr>
          <w:ilvl w:val="0"/>
          <w:numId w:val="7"/>
        </w:numPr>
        <w:ind w:left="1134" w:right="1134" w:firstLine="0"/>
        <w:jc w:val="both"/>
        <w:rPr>
          <w:sz w:val="20"/>
          <w:szCs w:val="20"/>
          <w:lang w:val="en-CA"/>
        </w:rPr>
      </w:pPr>
      <w:bookmarkStart w:id="39" w:name="_Hlk189044671"/>
      <w:r w:rsidRPr="6BCE64E0">
        <w:rPr>
          <w:sz w:val="20"/>
          <w:szCs w:val="20"/>
          <w:lang w:val="en-CA"/>
        </w:rPr>
        <w:t xml:space="preserve">Impact of Race and Culture Assessments (IRCAs) address the overrepresentation, systemic racism, and discrimination Black and other racialized offenders face in the criminal justice system. These reports document the unique adversity faced by the accused. Agreements with </w:t>
      </w:r>
      <w:r>
        <w:rPr>
          <w:sz w:val="20"/>
          <w:szCs w:val="20"/>
          <w:lang w:val="en-CA"/>
        </w:rPr>
        <w:t>non-</w:t>
      </w:r>
      <w:r w:rsidRPr="00FA62E3">
        <w:rPr>
          <w:sz w:val="20"/>
          <w:szCs w:val="20"/>
          <w:lang w:val="en-CA"/>
        </w:rPr>
        <w:t xml:space="preserve">governmental organizations </w:t>
      </w:r>
      <w:r w:rsidRPr="6BCE64E0">
        <w:rPr>
          <w:sz w:val="20"/>
          <w:szCs w:val="20"/>
          <w:lang w:val="en-CA"/>
        </w:rPr>
        <w:t xml:space="preserve">were put in place to train assessors to write these reports and provide educational opportunities for the judiciary and other legal professionals. In addition, agreements with the </w:t>
      </w:r>
      <w:r>
        <w:rPr>
          <w:sz w:val="20"/>
          <w:szCs w:val="20"/>
          <w:lang w:val="en-CA"/>
        </w:rPr>
        <w:t>PTs</w:t>
      </w:r>
      <w:r w:rsidRPr="6BCE64E0">
        <w:rPr>
          <w:sz w:val="20"/>
          <w:szCs w:val="20"/>
          <w:lang w:val="en-CA"/>
        </w:rPr>
        <w:t xml:space="preserve"> and legal aid plans </w:t>
      </w:r>
      <w:r w:rsidRPr="00BF6F4F">
        <w:rPr>
          <w:sz w:val="20"/>
          <w:szCs w:val="20"/>
          <w:lang w:val="en-CA"/>
        </w:rPr>
        <w:t xml:space="preserve">financially support the provision of </w:t>
      </w:r>
      <w:r w:rsidRPr="6BCE64E0">
        <w:rPr>
          <w:sz w:val="20"/>
          <w:szCs w:val="20"/>
          <w:lang w:val="en-CA"/>
        </w:rPr>
        <w:t xml:space="preserve">IRCAs for eligible legal aid clients. Progress is measured through interim payments and reports, invoices, business cases, and statistical reports. The Community Justice Centres (CJC) Pilot Initiative brings together justice, health, employment, education and social services to address the root causes of crime, break the cycle of offending, and improve public safety and community wellbeing. Through the integration of culturally appropriate services, CJCs helps decrease the overrepresentation of Indigenous Peoples and Black </w:t>
      </w:r>
      <w:r>
        <w:rPr>
          <w:sz w:val="20"/>
          <w:szCs w:val="20"/>
          <w:lang w:val="en-CA"/>
        </w:rPr>
        <w:t>people</w:t>
      </w:r>
      <w:r w:rsidRPr="6BCE64E0">
        <w:rPr>
          <w:sz w:val="20"/>
          <w:szCs w:val="20"/>
          <w:lang w:val="en-CA"/>
        </w:rPr>
        <w:t xml:space="preserve"> in the criminal justice system and provide solutions to systemic issues. </w:t>
      </w:r>
    </w:p>
    <w:bookmarkEnd w:id="39"/>
    <w:p w14:paraId="1F70BB3A"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In Quebec, support for community justice structures in Indigenous communities, both urban and rural, enables these communities to play an active role in the justice system.</w:t>
      </w:r>
      <w:r w:rsidRPr="007E5230">
        <w:rPr>
          <w:sz w:val="20"/>
          <w:szCs w:val="20"/>
          <w:lang w:val="en-CA"/>
        </w:rPr>
        <w:t xml:space="preserve"> </w:t>
      </w:r>
      <w:r w:rsidRPr="004157B9">
        <w:rPr>
          <w:sz w:val="20"/>
          <w:szCs w:val="20"/>
          <w:lang w:val="en-CA"/>
        </w:rPr>
        <w:t>Various adaptability and restorative justice programs have been put in place in recent years to reduce the “revolving door” phenomenon, among the general population, but with adaptations for Indigenous offenders.</w:t>
      </w:r>
    </w:p>
    <w:p w14:paraId="42CB56FE"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British Columbia Corrections is working with other provincial government partners to support the implementation of the First Nations Justice Strategy and the M</w:t>
      </w:r>
      <w:r>
        <w:rPr>
          <w:sz w:val="20"/>
          <w:szCs w:val="20"/>
          <w:lang w:val="en-CA"/>
        </w:rPr>
        <w:t>é</w:t>
      </w:r>
      <w:r w:rsidRPr="004157B9">
        <w:rPr>
          <w:sz w:val="20"/>
          <w:szCs w:val="20"/>
          <w:lang w:val="en-CA"/>
        </w:rPr>
        <w:t xml:space="preserve">tis Justice Strategy with the goal of reducing over-representation of Indigenous people in custody. These strategies build on work to reduce the incarceration of Indigenous </w:t>
      </w:r>
      <w:r>
        <w:rPr>
          <w:sz w:val="20"/>
          <w:szCs w:val="20"/>
          <w:lang w:val="en-CA"/>
        </w:rPr>
        <w:t>P</w:t>
      </w:r>
      <w:r w:rsidRPr="004157B9">
        <w:rPr>
          <w:sz w:val="20"/>
          <w:szCs w:val="20"/>
          <w:lang w:val="en-CA"/>
        </w:rPr>
        <w:t>eoples.</w:t>
      </w:r>
    </w:p>
    <w:p w14:paraId="0DD52D96" w14:textId="40954068" w:rsidR="00E5223E" w:rsidRPr="00C27F66" w:rsidRDefault="00E80255" w:rsidP="00E80255">
      <w:pPr>
        <w:pStyle w:val="H23G"/>
      </w:pPr>
      <w:bookmarkStart w:id="40" w:name="_Toc177633137"/>
      <w:r>
        <w:tab/>
      </w:r>
      <w:r>
        <w:tab/>
      </w:r>
      <w:r w:rsidR="00E5223E" w:rsidRPr="00C27F66">
        <w:t>Alternatives to imprisonment</w:t>
      </w:r>
      <w:bookmarkEnd w:id="40"/>
    </w:p>
    <w:p w14:paraId="464288C4" w14:textId="77777777" w:rsidR="00E5223E" w:rsidRPr="004157B9" w:rsidRDefault="00E5223E" w:rsidP="009D7D15">
      <w:pPr>
        <w:pStyle w:val="Content1"/>
        <w:numPr>
          <w:ilvl w:val="0"/>
          <w:numId w:val="7"/>
        </w:numPr>
        <w:ind w:left="1134" w:right="1134" w:firstLine="0"/>
        <w:jc w:val="both"/>
        <w:rPr>
          <w:sz w:val="20"/>
          <w:szCs w:val="20"/>
          <w:lang w:val="en-CA"/>
        </w:rPr>
      </w:pPr>
      <w:r>
        <w:rPr>
          <w:sz w:val="20"/>
          <w:szCs w:val="20"/>
          <w:lang w:val="en-CA"/>
        </w:rPr>
        <w:t xml:space="preserve">In 2022, an amendment to the </w:t>
      </w:r>
      <w:r w:rsidRPr="009D4B43">
        <w:rPr>
          <w:i/>
          <w:iCs/>
          <w:sz w:val="20"/>
          <w:szCs w:val="20"/>
          <w:lang w:val="en-CA"/>
        </w:rPr>
        <w:t xml:space="preserve">Criminal Code </w:t>
      </w:r>
      <w:r w:rsidRPr="00276918">
        <w:rPr>
          <w:sz w:val="20"/>
          <w:szCs w:val="20"/>
          <w:lang w:val="en-CA"/>
        </w:rPr>
        <w:t>and the</w:t>
      </w:r>
      <w:r w:rsidRPr="009D4B43">
        <w:rPr>
          <w:i/>
          <w:iCs/>
          <w:sz w:val="20"/>
          <w:szCs w:val="20"/>
          <w:lang w:val="en-CA"/>
        </w:rPr>
        <w:t xml:space="preserve"> Controlled Drugs and Substances Act</w:t>
      </w:r>
      <w:r w:rsidRPr="004157B9">
        <w:rPr>
          <w:sz w:val="20"/>
          <w:szCs w:val="20"/>
          <w:lang w:val="en-CA"/>
        </w:rPr>
        <w:t xml:space="preserve"> </w:t>
      </w:r>
      <w:r>
        <w:rPr>
          <w:sz w:val="20"/>
          <w:szCs w:val="20"/>
          <w:lang w:val="en-CA"/>
        </w:rPr>
        <w:t xml:space="preserve">was amended to </w:t>
      </w:r>
      <w:r w:rsidRPr="004157B9">
        <w:rPr>
          <w:sz w:val="20"/>
          <w:szCs w:val="20"/>
          <w:lang w:val="en-CA"/>
        </w:rPr>
        <w:t xml:space="preserve">repeal mandatory minimum penalties for all offences in the </w:t>
      </w:r>
      <w:r w:rsidRPr="007E5230">
        <w:rPr>
          <w:sz w:val="20"/>
          <w:szCs w:val="20"/>
          <w:lang w:val="en-CA"/>
        </w:rPr>
        <w:t>Controlled Drugs and Substances Act</w:t>
      </w:r>
      <w:r w:rsidRPr="004157B9">
        <w:rPr>
          <w:sz w:val="20"/>
          <w:szCs w:val="20"/>
          <w:lang w:val="en-CA"/>
        </w:rPr>
        <w:t xml:space="preserve">, and for certain </w:t>
      </w:r>
      <w:r w:rsidRPr="007E5230">
        <w:rPr>
          <w:sz w:val="20"/>
          <w:szCs w:val="20"/>
          <w:lang w:val="en-CA"/>
        </w:rPr>
        <w:t>Criminal Code</w:t>
      </w:r>
      <w:r w:rsidRPr="004157B9">
        <w:rPr>
          <w:sz w:val="20"/>
          <w:szCs w:val="20"/>
          <w:lang w:val="en-CA"/>
        </w:rPr>
        <w:t xml:space="preserve"> offences that have contributed most to the overrepresentation of Indigenous people, Black persons, and members of marginalized communities in custody. </w:t>
      </w:r>
      <w:r>
        <w:rPr>
          <w:sz w:val="20"/>
          <w:szCs w:val="20"/>
          <w:lang w:val="en-CA"/>
        </w:rPr>
        <w:t xml:space="preserve">These reforms </w:t>
      </w:r>
      <w:r w:rsidRPr="004157B9">
        <w:rPr>
          <w:sz w:val="20"/>
          <w:szCs w:val="20"/>
          <w:lang w:val="en-CA"/>
        </w:rPr>
        <w:t xml:space="preserve">also increased the availability of conditional sentence orders, </w:t>
      </w:r>
      <w:r>
        <w:rPr>
          <w:sz w:val="20"/>
          <w:szCs w:val="20"/>
          <w:lang w:val="en-CA"/>
        </w:rPr>
        <w:t xml:space="preserve">also known as house arrest, </w:t>
      </w:r>
      <w:r w:rsidRPr="004157B9">
        <w:rPr>
          <w:sz w:val="20"/>
          <w:szCs w:val="20"/>
          <w:lang w:val="en-CA"/>
        </w:rPr>
        <w:t xml:space="preserve">allowing judges to impose sentences that are proportionate to the seriousness of the offence committed while </w:t>
      </w:r>
      <w:r>
        <w:rPr>
          <w:sz w:val="20"/>
          <w:szCs w:val="20"/>
          <w:lang w:val="en-CA"/>
        </w:rPr>
        <w:t>maintaining</w:t>
      </w:r>
      <w:r w:rsidRPr="004157B9">
        <w:rPr>
          <w:sz w:val="20"/>
          <w:szCs w:val="20"/>
          <w:lang w:val="en-CA"/>
        </w:rPr>
        <w:t xml:space="preserve"> public safety. Finally, </w:t>
      </w:r>
      <w:r>
        <w:rPr>
          <w:sz w:val="20"/>
          <w:szCs w:val="20"/>
          <w:lang w:val="en-CA"/>
        </w:rPr>
        <w:t>they</w:t>
      </w:r>
      <w:r w:rsidRPr="004157B9">
        <w:rPr>
          <w:sz w:val="20"/>
          <w:szCs w:val="20"/>
          <w:lang w:val="en-CA"/>
        </w:rPr>
        <w:t xml:space="preserve"> allow for greater use of early diversion in simple possession of controlled </w:t>
      </w:r>
      <w:r>
        <w:rPr>
          <w:sz w:val="20"/>
          <w:szCs w:val="20"/>
          <w:lang w:val="en-CA"/>
        </w:rPr>
        <w:t>substances</w:t>
      </w:r>
      <w:r w:rsidRPr="004157B9">
        <w:rPr>
          <w:sz w:val="20"/>
          <w:szCs w:val="20"/>
          <w:lang w:val="en-CA"/>
        </w:rPr>
        <w:t xml:space="preserve"> cases, and provide, among other things, that past and future convictions in simple possession of controlled drugs cases must be kept separately from other conviction records after a certain period.</w:t>
      </w:r>
    </w:p>
    <w:p w14:paraId="0185A6AA" w14:textId="77777777" w:rsidR="00E5223E" w:rsidRDefault="00E5223E" w:rsidP="009D7D15">
      <w:pPr>
        <w:pStyle w:val="Content1"/>
        <w:numPr>
          <w:ilvl w:val="0"/>
          <w:numId w:val="7"/>
        </w:numPr>
        <w:ind w:left="1134" w:right="1134" w:firstLine="0"/>
        <w:jc w:val="both"/>
        <w:rPr>
          <w:sz w:val="20"/>
          <w:szCs w:val="20"/>
          <w:lang w:val="en-CA"/>
        </w:rPr>
      </w:pPr>
      <w:r w:rsidRPr="002B703D">
        <w:rPr>
          <w:sz w:val="20"/>
          <w:szCs w:val="20"/>
          <w:lang w:val="en-CA"/>
        </w:rPr>
        <w:t xml:space="preserve">Manitoba Prosecution Service’s Prosecution Procedures Manual includes a presumption to consider Restorative Justice options, particularly for Indigenous </w:t>
      </w:r>
      <w:r>
        <w:rPr>
          <w:sz w:val="20"/>
          <w:szCs w:val="20"/>
          <w:lang w:val="en-CA"/>
        </w:rPr>
        <w:t>P</w:t>
      </w:r>
      <w:r w:rsidRPr="002B703D">
        <w:rPr>
          <w:sz w:val="20"/>
          <w:szCs w:val="20"/>
          <w:lang w:val="en-CA"/>
        </w:rPr>
        <w:t xml:space="preserve">eoples. The Supreme Court of Canada has mandated considerations in sentencing for Indigenous </w:t>
      </w:r>
      <w:r>
        <w:rPr>
          <w:sz w:val="20"/>
          <w:szCs w:val="20"/>
          <w:lang w:val="en-CA"/>
        </w:rPr>
        <w:t>P</w:t>
      </w:r>
      <w:r w:rsidRPr="002B703D">
        <w:rPr>
          <w:sz w:val="20"/>
          <w:szCs w:val="20"/>
          <w:lang w:val="en-CA"/>
        </w:rPr>
        <w:t xml:space="preserve">eoples </w:t>
      </w:r>
      <w:r>
        <w:rPr>
          <w:sz w:val="20"/>
          <w:szCs w:val="20"/>
          <w:lang w:val="en-CA"/>
        </w:rPr>
        <w:t xml:space="preserve">which is </w:t>
      </w:r>
      <w:r w:rsidRPr="002B703D">
        <w:rPr>
          <w:sz w:val="20"/>
          <w:szCs w:val="20"/>
          <w:lang w:val="en-CA"/>
        </w:rPr>
        <w:t>embedded as a requirement</w:t>
      </w:r>
      <w:r>
        <w:rPr>
          <w:sz w:val="20"/>
          <w:szCs w:val="20"/>
          <w:lang w:val="en-CA"/>
        </w:rPr>
        <w:t xml:space="preserve"> for Crown attorneys</w:t>
      </w:r>
      <w:r w:rsidRPr="002B703D">
        <w:rPr>
          <w:sz w:val="20"/>
          <w:szCs w:val="20"/>
          <w:lang w:val="en-CA"/>
        </w:rPr>
        <w:t xml:space="preserve"> and captured in information systems.</w:t>
      </w:r>
    </w:p>
    <w:p w14:paraId="7F578AF7" w14:textId="77777777" w:rsidR="00E5223E" w:rsidRPr="00C86601" w:rsidRDefault="00E5223E" w:rsidP="009D7D15">
      <w:pPr>
        <w:pStyle w:val="Content1"/>
        <w:numPr>
          <w:ilvl w:val="0"/>
          <w:numId w:val="7"/>
        </w:numPr>
        <w:ind w:left="1134" w:right="1134" w:firstLine="0"/>
        <w:jc w:val="both"/>
        <w:rPr>
          <w:sz w:val="20"/>
          <w:szCs w:val="20"/>
          <w:lang w:val="en-CA"/>
        </w:rPr>
      </w:pPr>
      <w:r w:rsidRPr="004157B9">
        <w:rPr>
          <w:sz w:val="20"/>
          <w:szCs w:val="20"/>
          <w:lang w:val="en-CA"/>
        </w:rPr>
        <w:t>Ontario</w:t>
      </w:r>
      <w:r>
        <w:rPr>
          <w:sz w:val="20"/>
          <w:szCs w:val="20"/>
          <w:lang w:val="en-CA"/>
        </w:rPr>
        <w:t>’s</w:t>
      </w:r>
      <w:r w:rsidRPr="004157B9">
        <w:rPr>
          <w:sz w:val="20"/>
          <w:szCs w:val="20"/>
          <w:lang w:val="en-CA"/>
        </w:rPr>
        <w:t xml:space="preserve"> </w:t>
      </w:r>
      <w:r>
        <w:rPr>
          <w:sz w:val="20"/>
          <w:szCs w:val="20"/>
          <w:lang w:val="en-CA"/>
        </w:rPr>
        <w:t xml:space="preserve">Crown Prosecution Manual includes </w:t>
      </w:r>
      <w:r w:rsidRPr="004157B9">
        <w:rPr>
          <w:sz w:val="20"/>
          <w:szCs w:val="20"/>
          <w:lang w:val="en-CA"/>
        </w:rPr>
        <w:t xml:space="preserve">a prosecution directive involving Indigenous Peoples, which </w:t>
      </w:r>
      <w:r>
        <w:rPr>
          <w:sz w:val="20"/>
          <w:szCs w:val="20"/>
          <w:lang w:val="en-CA"/>
        </w:rPr>
        <w:t xml:space="preserve">provides that </w:t>
      </w:r>
      <w:r w:rsidRPr="004157B9">
        <w:rPr>
          <w:sz w:val="20"/>
          <w:szCs w:val="20"/>
          <w:lang w:val="en-CA"/>
        </w:rPr>
        <w:t xml:space="preserve">prosecutors </w:t>
      </w:r>
      <w:r>
        <w:rPr>
          <w:sz w:val="20"/>
          <w:szCs w:val="20"/>
          <w:lang w:val="en-CA"/>
        </w:rPr>
        <w:t>may</w:t>
      </w:r>
      <w:r w:rsidRPr="004157B9">
        <w:rPr>
          <w:sz w:val="20"/>
          <w:szCs w:val="20"/>
          <w:lang w:val="en-CA"/>
        </w:rPr>
        <w:t xml:space="preserve"> consider alternatives to custody at the pretrial detention and sentencing phases of a prosecution. It also instructs prosecutors </w:t>
      </w:r>
      <w:r>
        <w:rPr>
          <w:sz w:val="20"/>
          <w:szCs w:val="20"/>
          <w:lang w:val="en-CA"/>
        </w:rPr>
        <w:t xml:space="preserve">to </w:t>
      </w:r>
      <w:r w:rsidRPr="004157B9">
        <w:rPr>
          <w:sz w:val="20"/>
          <w:szCs w:val="20"/>
          <w:lang w:val="en-CA"/>
        </w:rPr>
        <w:t>consider</w:t>
      </w:r>
      <w:r>
        <w:rPr>
          <w:sz w:val="20"/>
          <w:szCs w:val="20"/>
          <w:lang w:val="en-CA"/>
        </w:rPr>
        <w:t>, for certain offences,</w:t>
      </w:r>
      <w:r w:rsidRPr="004157B9">
        <w:rPr>
          <w:sz w:val="20"/>
          <w:szCs w:val="20"/>
          <w:lang w:val="en-CA"/>
        </w:rPr>
        <w:t xml:space="preserve"> diverting Indigenous accused persons from a formal prosecution and into one of the Indigenous Restorative Justice Programs funded by the province. </w:t>
      </w:r>
    </w:p>
    <w:p w14:paraId="5C7B234F" w14:textId="489F3C5D" w:rsidR="00E5223E" w:rsidRPr="00FA4130" w:rsidRDefault="00E80255" w:rsidP="00E80255">
      <w:pPr>
        <w:pStyle w:val="H23G"/>
      </w:pPr>
      <w:bookmarkStart w:id="41" w:name="_Toc177633138"/>
      <w:r>
        <w:tab/>
      </w:r>
      <w:r>
        <w:tab/>
      </w:r>
      <w:r w:rsidR="00E5223E" w:rsidRPr="00FA4130">
        <w:t>Indigenous Justice Initiatives</w:t>
      </w:r>
      <w:bookmarkEnd w:id="41"/>
    </w:p>
    <w:p w14:paraId="7B06838F" w14:textId="77777777" w:rsidR="00E5223E" w:rsidRDefault="00E5223E" w:rsidP="009D7D15">
      <w:pPr>
        <w:pStyle w:val="Content1"/>
        <w:numPr>
          <w:ilvl w:val="0"/>
          <w:numId w:val="7"/>
        </w:numPr>
        <w:ind w:left="1134" w:right="1134" w:firstLine="0"/>
        <w:jc w:val="both"/>
      </w:pPr>
      <w:r w:rsidRPr="221D4B68">
        <w:rPr>
          <w:color w:val="000000" w:themeColor="text1"/>
          <w:sz w:val="20"/>
          <w:szCs w:val="20"/>
        </w:rPr>
        <w:t>CTAs 30 and 38 are particularly focused on addressing the root causes of overrepresentation of Indigenous people in the Canadian justice system. The G</w:t>
      </w:r>
      <w:r>
        <w:rPr>
          <w:color w:val="000000" w:themeColor="text1"/>
          <w:sz w:val="20"/>
          <w:szCs w:val="20"/>
        </w:rPr>
        <w:t>C</w:t>
      </w:r>
      <w:r w:rsidRPr="221D4B68">
        <w:rPr>
          <w:color w:val="000000" w:themeColor="text1"/>
          <w:sz w:val="20"/>
          <w:szCs w:val="20"/>
        </w:rPr>
        <w:t xml:space="preserve"> has taken </w:t>
      </w:r>
      <w:proofErr w:type="gramStart"/>
      <w:r w:rsidRPr="221D4B68">
        <w:rPr>
          <w:color w:val="000000" w:themeColor="text1"/>
          <w:sz w:val="20"/>
          <w:szCs w:val="20"/>
        </w:rPr>
        <w:t>a number of</w:t>
      </w:r>
      <w:proofErr w:type="gramEnd"/>
      <w:r w:rsidRPr="221D4B68">
        <w:rPr>
          <w:color w:val="000000" w:themeColor="text1"/>
          <w:sz w:val="20"/>
          <w:szCs w:val="20"/>
        </w:rPr>
        <w:t xml:space="preserve"> steps to help address this issue, including investments supporting the broad application of </w:t>
      </w:r>
      <w:proofErr w:type="spellStart"/>
      <w:r w:rsidRPr="221D4B68">
        <w:rPr>
          <w:color w:val="000000" w:themeColor="text1"/>
          <w:sz w:val="20"/>
          <w:szCs w:val="20"/>
        </w:rPr>
        <w:t>Gladue</w:t>
      </w:r>
      <w:proofErr w:type="spellEnd"/>
      <w:r w:rsidRPr="221D4B68">
        <w:rPr>
          <w:color w:val="000000" w:themeColor="text1"/>
          <w:sz w:val="20"/>
          <w:szCs w:val="20"/>
        </w:rPr>
        <w:t xml:space="preserve"> principles, and expanding the Indigenous </w:t>
      </w:r>
      <w:proofErr w:type="spellStart"/>
      <w:r w:rsidRPr="221D4B68">
        <w:rPr>
          <w:color w:val="000000" w:themeColor="text1"/>
          <w:sz w:val="20"/>
          <w:szCs w:val="20"/>
        </w:rPr>
        <w:t>Courtworker</w:t>
      </w:r>
      <w:proofErr w:type="spellEnd"/>
      <w:r w:rsidRPr="221D4B68">
        <w:rPr>
          <w:color w:val="000000" w:themeColor="text1"/>
          <w:sz w:val="20"/>
          <w:szCs w:val="20"/>
        </w:rPr>
        <w:t xml:space="preserve"> Program </w:t>
      </w:r>
      <w:r>
        <w:rPr>
          <w:color w:val="000000" w:themeColor="text1"/>
          <w:sz w:val="20"/>
          <w:szCs w:val="20"/>
        </w:rPr>
        <w:t xml:space="preserve">to </w:t>
      </w:r>
      <w:r w:rsidRPr="221D4B68">
        <w:rPr>
          <w:color w:val="000000" w:themeColor="text1"/>
          <w:sz w:val="20"/>
          <w:szCs w:val="20"/>
        </w:rPr>
        <w:t xml:space="preserve">better support Indigenous families navigating a complicated system. </w:t>
      </w:r>
      <w:r w:rsidRPr="221D4B68">
        <w:t xml:space="preserve"> </w:t>
      </w:r>
    </w:p>
    <w:p w14:paraId="43F1FA70"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Furthermore, legislative changes focused on reducing the use of sentencing mechanisms that disproportionately affect Indigenous accused and offenders will contribute to making our criminal justice system fairer and more effective without undermining public safety.</w:t>
      </w:r>
    </w:p>
    <w:p w14:paraId="35216D56"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Since 2017, federally appointed judges have been offered a total of </w:t>
      </w:r>
      <w:r>
        <w:rPr>
          <w:sz w:val="20"/>
          <w:szCs w:val="20"/>
          <w:lang w:val="en-CA"/>
        </w:rPr>
        <w:t>60</w:t>
      </w:r>
      <w:r w:rsidRPr="6BCE64E0">
        <w:rPr>
          <w:sz w:val="20"/>
          <w:szCs w:val="20"/>
          <w:lang w:val="en-CA"/>
        </w:rPr>
        <w:t xml:space="preserve"> sessions on the following topics: cultural competence (2</w:t>
      </w:r>
      <w:r>
        <w:rPr>
          <w:sz w:val="20"/>
          <w:szCs w:val="20"/>
          <w:lang w:val="en-CA"/>
        </w:rPr>
        <w:t>1</w:t>
      </w:r>
      <w:r w:rsidRPr="6BCE64E0">
        <w:rPr>
          <w:sz w:val="20"/>
          <w:szCs w:val="20"/>
          <w:lang w:val="en-CA"/>
        </w:rPr>
        <w:t>), discrimination (</w:t>
      </w:r>
      <w:r>
        <w:rPr>
          <w:sz w:val="20"/>
          <w:szCs w:val="20"/>
          <w:lang w:val="en-CA"/>
        </w:rPr>
        <w:t>2</w:t>
      </w:r>
      <w:r w:rsidRPr="6BCE64E0">
        <w:rPr>
          <w:sz w:val="20"/>
          <w:szCs w:val="20"/>
          <w:lang w:val="en-CA"/>
        </w:rPr>
        <w:t>), diverse communities (2</w:t>
      </w:r>
      <w:r>
        <w:rPr>
          <w:sz w:val="20"/>
          <w:szCs w:val="20"/>
          <w:lang w:val="en-CA"/>
        </w:rPr>
        <w:t>5</w:t>
      </w:r>
      <w:r w:rsidRPr="6BCE64E0">
        <w:rPr>
          <w:sz w:val="20"/>
          <w:szCs w:val="20"/>
          <w:lang w:val="en-CA"/>
        </w:rPr>
        <w:t>), racism (</w:t>
      </w:r>
      <w:r>
        <w:rPr>
          <w:sz w:val="20"/>
          <w:szCs w:val="20"/>
          <w:lang w:val="en-CA"/>
        </w:rPr>
        <w:t>5</w:t>
      </w:r>
      <w:r w:rsidRPr="6BCE64E0">
        <w:rPr>
          <w:sz w:val="20"/>
          <w:szCs w:val="20"/>
          <w:lang w:val="en-CA"/>
        </w:rPr>
        <w:t>), and unconscious bias (</w:t>
      </w:r>
      <w:r>
        <w:rPr>
          <w:sz w:val="20"/>
          <w:szCs w:val="20"/>
          <w:lang w:val="en-CA"/>
        </w:rPr>
        <w:t>7</w:t>
      </w:r>
      <w:r w:rsidRPr="6BCE64E0">
        <w:rPr>
          <w:sz w:val="20"/>
          <w:szCs w:val="20"/>
          <w:lang w:val="en-CA"/>
        </w:rPr>
        <w:t>). They have also been offered 24 training sessions on sentencing in general, 5</w:t>
      </w:r>
      <w:r>
        <w:rPr>
          <w:sz w:val="20"/>
          <w:szCs w:val="20"/>
          <w:lang w:val="en-CA"/>
        </w:rPr>
        <w:t>1</w:t>
      </w:r>
      <w:r w:rsidRPr="6BCE64E0">
        <w:rPr>
          <w:sz w:val="20"/>
          <w:szCs w:val="20"/>
          <w:lang w:val="en-CA"/>
        </w:rPr>
        <w:t xml:space="preserve"> training sessions on issues related to Indigenous Peoples, and </w:t>
      </w:r>
      <w:r>
        <w:rPr>
          <w:sz w:val="20"/>
          <w:szCs w:val="20"/>
          <w:lang w:val="en-CA"/>
        </w:rPr>
        <w:t>6</w:t>
      </w:r>
      <w:r w:rsidRPr="6BCE64E0">
        <w:rPr>
          <w:sz w:val="20"/>
          <w:szCs w:val="20"/>
          <w:lang w:val="en-CA"/>
        </w:rPr>
        <w:t xml:space="preserve"> training session on Gladue principles. Furthermore, through amendments to the </w:t>
      </w:r>
      <w:r w:rsidRPr="009D4B43">
        <w:rPr>
          <w:i/>
          <w:iCs/>
          <w:sz w:val="20"/>
          <w:szCs w:val="20"/>
          <w:lang w:val="en-CA"/>
        </w:rPr>
        <w:t xml:space="preserve">Judges Act </w:t>
      </w:r>
      <w:r w:rsidRPr="6BCE64E0">
        <w:rPr>
          <w:sz w:val="20"/>
          <w:szCs w:val="20"/>
          <w:lang w:val="en-CA"/>
        </w:rPr>
        <w:t xml:space="preserve">made in 2021, provincial judicial appointment candidates must agree to participate in continuing education on matters related to sexual assault law and social context, which includes systemic racism and systemic discrimination. </w:t>
      </w:r>
      <w:r w:rsidRPr="007A76F7">
        <w:rPr>
          <w:sz w:val="20"/>
          <w:szCs w:val="20"/>
          <w:lang w:val="en-CA"/>
        </w:rPr>
        <w:t>Judicial training is provided through the National Judicial Institute, a judge-led organization. For prosecutors</w:t>
      </w:r>
      <w:r>
        <w:rPr>
          <w:sz w:val="20"/>
          <w:szCs w:val="20"/>
          <w:lang w:val="en-CA"/>
        </w:rPr>
        <w:t>, t</w:t>
      </w:r>
      <w:r w:rsidRPr="6BCE64E0">
        <w:rPr>
          <w:sz w:val="20"/>
          <w:szCs w:val="20"/>
          <w:lang w:val="en-CA"/>
        </w:rPr>
        <w:t>raining is provided through an internal School for Prosecutors and external training to its lawyers on provisions relating to sentencing and alternatives to incarceration for Indigenous Peoples.</w:t>
      </w:r>
    </w:p>
    <w:p w14:paraId="5E6C3D21"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A new Sentencing Guideline is being drafted that will support its effort of addressing overrepresentation of Indigenous, Black and Racialized people in the criminal justice system. </w:t>
      </w:r>
    </w:p>
    <w:p w14:paraId="7972005D"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Justice and Public Safety and the Mi’kmaq Confederacy of Prince Edward Island (MCPEI) have established a Memorandum of Understanding to enable access to</w:t>
      </w:r>
      <w:r>
        <w:rPr>
          <w:sz w:val="20"/>
          <w:szCs w:val="20"/>
          <w:lang w:val="en-CA"/>
        </w:rPr>
        <w:t xml:space="preserve"> Indigenous led and written</w:t>
      </w:r>
      <w:r w:rsidRPr="6BCE64E0">
        <w:rPr>
          <w:sz w:val="20"/>
          <w:szCs w:val="20"/>
          <w:lang w:val="en-CA"/>
        </w:rPr>
        <w:t xml:space="preserve"> Gladue Reports to the Courts to inform sentencing. The agreement </w:t>
      </w:r>
      <w:r>
        <w:rPr>
          <w:sz w:val="20"/>
          <w:szCs w:val="20"/>
          <w:lang w:val="en-CA"/>
        </w:rPr>
        <w:t xml:space="preserve">also </w:t>
      </w:r>
      <w:r w:rsidRPr="6BCE64E0">
        <w:rPr>
          <w:sz w:val="20"/>
          <w:szCs w:val="20"/>
          <w:lang w:val="en-CA"/>
        </w:rPr>
        <w:t>supports ongoing dialogue with justice system officials and the judiciary to continue to increase their knowledge and better understand the impact of colonialism on Indigenous people involved in the criminal justice system.</w:t>
      </w:r>
    </w:p>
    <w:p w14:paraId="2584E6C6" w14:textId="4927914D" w:rsidR="00E5223E" w:rsidRPr="00E364DA" w:rsidRDefault="00E80255" w:rsidP="00E80255">
      <w:pPr>
        <w:pStyle w:val="H23G"/>
      </w:pPr>
      <w:r>
        <w:tab/>
      </w:r>
      <w:r>
        <w:tab/>
      </w:r>
      <w:r w:rsidR="00E5223E" w:rsidRPr="00E364DA">
        <w:t>Canada’s Black Justice Strategy</w:t>
      </w:r>
    </w:p>
    <w:p w14:paraId="7695FE7C" w14:textId="77777777" w:rsidR="00E5223E" w:rsidRPr="00B20A14" w:rsidRDefault="00E5223E" w:rsidP="009D7D15">
      <w:pPr>
        <w:pStyle w:val="Content1"/>
        <w:numPr>
          <w:ilvl w:val="0"/>
          <w:numId w:val="7"/>
        </w:numPr>
        <w:ind w:left="1134" w:right="1134" w:firstLine="0"/>
        <w:jc w:val="both"/>
        <w:rPr>
          <w:sz w:val="20"/>
          <w:szCs w:val="20"/>
          <w:lang w:val="en-CA"/>
        </w:rPr>
      </w:pPr>
      <w:r w:rsidRPr="00B20A14">
        <w:rPr>
          <w:sz w:val="20"/>
          <w:szCs w:val="20"/>
          <w:lang w:val="en-CA"/>
        </w:rPr>
        <w:t>The 2017 Report of the United Nations Working Group for People of African Descent on its mission to Canada highlighted the historical entrenchment of anti-Black racism in Canadian institutions and policies and recommended the development of a Strategy to address the overrepresentation of Black people in the criminal justice system, including as victims of crime. The development of Canada’s Black Justice Strategy was the GC’s response to this recommendation and aims to help ensure that Black people have access to equal treatment before and under the law in Canada.</w:t>
      </w:r>
    </w:p>
    <w:p w14:paraId="7350E2F7" w14:textId="77777777" w:rsidR="00E5223E" w:rsidRPr="00B20A14" w:rsidRDefault="00E5223E" w:rsidP="009D7D15">
      <w:pPr>
        <w:pStyle w:val="Content1"/>
        <w:numPr>
          <w:ilvl w:val="0"/>
          <w:numId w:val="7"/>
        </w:numPr>
        <w:ind w:left="1134" w:right="1134" w:firstLine="0"/>
        <w:jc w:val="both"/>
        <w:rPr>
          <w:sz w:val="20"/>
          <w:szCs w:val="20"/>
          <w:lang w:val="en-CA"/>
        </w:rPr>
      </w:pPr>
      <w:r w:rsidRPr="00B20A14">
        <w:rPr>
          <w:sz w:val="20"/>
          <w:szCs w:val="20"/>
          <w:lang w:val="en-CA"/>
        </w:rPr>
        <w:t xml:space="preserve">The Strategy was developed in consultation with Black communities across Canada and an external Steering Group of nine experts and leaders in 2023. The external Steering Group and the consultation with Black communities across Canada reflected the diversity of experiences and regional realities of Black people in Canada, and the impact of </w:t>
      </w:r>
      <w:proofErr w:type="spellStart"/>
      <w:r w:rsidRPr="00B20A14">
        <w:rPr>
          <w:sz w:val="20"/>
          <w:szCs w:val="20"/>
          <w:lang w:val="en-CA"/>
        </w:rPr>
        <w:t>intersectionalities</w:t>
      </w:r>
      <w:proofErr w:type="spellEnd"/>
      <w:r w:rsidRPr="00B20A14">
        <w:rPr>
          <w:sz w:val="20"/>
          <w:szCs w:val="20"/>
          <w:lang w:val="en-CA"/>
        </w:rPr>
        <w:t xml:space="preserve">, including ethnic or cultural origin, religion, gender, age, language, disability, income, sexual orientation, and multiracial heritage. </w:t>
      </w:r>
    </w:p>
    <w:p w14:paraId="01200AC1" w14:textId="77777777" w:rsidR="00E5223E" w:rsidRPr="00B20A14" w:rsidRDefault="00E5223E" w:rsidP="009D7D15">
      <w:pPr>
        <w:pStyle w:val="Content1"/>
        <w:numPr>
          <w:ilvl w:val="0"/>
          <w:numId w:val="7"/>
        </w:numPr>
        <w:ind w:left="1134" w:right="1134" w:firstLine="0"/>
        <w:jc w:val="both"/>
        <w:rPr>
          <w:sz w:val="20"/>
          <w:szCs w:val="20"/>
          <w:lang w:val="en-CA"/>
        </w:rPr>
      </w:pPr>
      <w:r w:rsidRPr="00B20A14">
        <w:rPr>
          <w:sz w:val="20"/>
          <w:szCs w:val="20"/>
          <w:lang w:val="en-CA"/>
        </w:rPr>
        <w:t xml:space="preserve">At the international level, the Strategy is Canada’s response to the Justice Pillar of the United Nations’ International Decade for People of African Descent. </w:t>
      </w:r>
    </w:p>
    <w:p w14:paraId="45494CAE" w14:textId="4B582AF7" w:rsidR="00E5223E" w:rsidRPr="00E364DA" w:rsidRDefault="00E80255" w:rsidP="00E80255">
      <w:pPr>
        <w:pStyle w:val="H23G"/>
        <w:rPr>
          <w:lang w:val="en-CA"/>
        </w:rPr>
      </w:pPr>
      <w:bookmarkStart w:id="42" w:name="_Toc177633139"/>
      <w:r>
        <w:rPr>
          <w:lang w:val="en-CA"/>
        </w:rPr>
        <w:tab/>
      </w:r>
      <w:r>
        <w:rPr>
          <w:lang w:val="en-CA"/>
        </w:rPr>
        <w:tab/>
      </w:r>
      <w:r w:rsidR="00E5223E" w:rsidRPr="00E364DA">
        <w:rPr>
          <w:lang w:val="en-CA"/>
        </w:rPr>
        <w:t>Access to justice</w:t>
      </w:r>
    </w:p>
    <w:p w14:paraId="280F7C64" w14:textId="2570AC3E" w:rsidR="00E5223E" w:rsidRPr="00E364DA" w:rsidRDefault="00E80255" w:rsidP="00E80255">
      <w:pPr>
        <w:pStyle w:val="H4G"/>
      </w:pPr>
      <w:r>
        <w:tab/>
      </w:r>
      <w:r>
        <w:tab/>
      </w:r>
      <w:r w:rsidR="00E5223E" w:rsidRPr="00E364DA">
        <w:t>Court Challenges Program</w:t>
      </w:r>
      <w:bookmarkEnd w:id="42"/>
    </w:p>
    <w:p w14:paraId="7523CAB6"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 xml:space="preserve">The modernized Court Challenges Program (CCP) reintroduced </w:t>
      </w:r>
      <w:r>
        <w:rPr>
          <w:sz w:val="20"/>
          <w:szCs w:val="20"/>
          <w:lang w:val="en-CA"/>
        </w:rPr>
        <w:t xml:space="preserve">in </w:t>
      </w:r>
      <w:r w:rsidRPr="6BCE64E0">
        <w:rPr>
          <w:sz w:val="20"/>
          <w:szCs w:val="20"/>
          <w:lang w:val="en-CA"/>
        </w:rPr>
        <w:t xml:space="preserve">2017, and fully operational as of 2019, plays a critical role in empowering individuals and groups in Canada to bring test cases of national significance before the courts to clarify and assert certain constitutional and quasi-constitutional official language rights and human rights. With its funding doubled to $10.4 million annually </w:t>
      </w:r>
      <w:r>
        <w:rPr>
          <w:sz w:val="20"/>
          <w:szCs w:val="20"/>
          <w:lang w:val="en-CA"/>
        </w:rPr>
        <w:t>in</w:t>
      </w:r>
      <w:r w:rsidRPr="6BCE64E0">
        <w:rPr>
          <w:sz w:val="20"/>
          <w:szCs w:val="20"/>
          <w:lang w:val="en-CA"/>
        </w:rPr>
        <w:t xml:space="preserve"> 2023, the program demonstrates the G</w:t>
      </w:r>
      <w:r>
        <w:rPr>
          <w:sz w:val="20"/>
          <w:szCs w:val="20"/>
          <w:lang w:val="en-CA"/>
        </w:rPr>
        <w:t>C</w:t>
      </w:r>
      <w:r w:rsidRPr="6BCE64E0">
        <w:rPr>
          <w:sz w:val="20"/>
          <w:szCs w:val="20"/>
          <w:lang w:val="en-CA"/>
        </w:rPr>
        <w:t>’s strong commitment to making justice more accessible.</w:t>
      </w:r>
    </w:p>
    <w:p w14:paraId="7924A5C5" w14:textId="77777777" w:rsidR="00E5223E" w:rsidRPr="004157B9" w:rsidRDefault="00E5223E" w:rsidP="009D7D15">
      <w:pPr>
        <w:pStyle w:val="Content1"/>
        <w:numPr>
          <w:ilvl w:val="0"/>
          <w:numId w:val="7"/>
        </w:numPr>
        <w:ind w:left="1134" w:right="1134" w:firstLine="0"/>
        <w:jc w:val="both"/>
        <w:rPr>
          <w:sz w:val="20"/>
          <w:szCs w:val="20"/>
          <w:lang w:val="en-CA"/>
        </w:rPr>
      </w:pPr>
      <w:r w:rsidRPr="004157B9">
        <w:rPr>
          <w:sz w:val="20"/>
          <w:szCs w:val="20"/>
          <w:lang w:val="en-CA"/>
        </w:rPr>
        <w:t xml:space="preserve">The modernized Program covers essential rights under the </w:t>
      </w:r>
      <w:r w:rsidRPr="00420518">
        <w:rPr>
          <w:i/>
          <w:iCs/>
          <w:sz w:val="20"/>
          <w:szCs w:val="20"/>
          <w:lang w:val="en-CA"/>
        </w:rPr>
        <w:t>Canadian Charter of Rights and Freedoms</w:t>
      </w:r>
      <w:r w:rsidRPr="004157B9">
        <w:rPr>
          <w:sz w:val="20"/>
          <w:szCs w:val="20"/>
          <w:lang w:val="en-CA"/>
        </w:rPr>
        <w:t>, such as freedoms of religion, expression, peaceful assembly, association, and democratic rights</w:t>
      </w:r>
      <w:r>
        <w:rPr>
          <w:sz w:val="20"/>
          <w:szCs w:val="20"/>
          <w:lang w:val="en-CA"/>
        </w:rPr>
        <w:t xml:space="preserve"> and</w:t>
      </w:r>
      <w:r w:rsidRPr="004157B9">
        <w:rPr>
          <w:sz w:val="20"/>
          <w:szCs w:val="20"/>
          <w:lang w:val="en-CA"/>
        </w:rPr>
        <w:t xml:space="preserve"> includes rights to life, liberty, and security of the person. Further, it addresses key provisions of the </w:t>
      </w:r>
      <w:r w:rsidRPr="00EF27B7">
        <w:rPr>
          <w:i/>
          <w:iCs/>
          <w:sz w:val="20"/>
          <w:szCs w:val="20"/>
          <w:lang w:val="en-CA"/>
        </w:rPr>
        <w:t>Official Languages Act</w:t>
      </w:r>
      <w:r w:rsidRPr="004157B9">
        <w:rPr>
          <w:sz w:val="20"/>
          <w:szCs w:val="20"/>
          <w:lang w:val="en-CA"/>
        </w:rPr>
        <w:t>, strengthening inclusivity and ensuring government accountability in the promotion and protection of language rights.</w:t>
      </w:r>
    </w:p>
    <w:p w14:paraId="0DF867F0" w14:textId="77777777" w:rsidR="00E5223E" w:rsidRPr="004157B9" w:rsidRDefault="00E5223E" w:rsidP="009D7D15">
      <w:pPr>
        <w:pStyle w:val="Content1"/>
        <w:numPr>
          <w:ilvl w:val="0"/>
          <w:numId w:val="7"/>
        </w:numPr>
        <w:ind w:left="1134" w:right="1134" w:firstLine="0"/>
        <w:jc w:val="both"/>
        <w:rPr>
          <w:sz w:val="20"/>
          <w:szCs w:val="20"/>
          <w:lang w:val="en-CA"/>
        </w:rPr>
      </w:pPr>
      <w:r w:rsidRPr="6BCE64E0">
        <w:rPr>
          <w:sz w:val="20"/>
          <w:szCs w:val="20"/>
          <w:lang w:val="en-CA"/>
        </w:rPr>
        <w:t>The Court Challenges Program operates under an independent third-party administrator to ensure impartial decision-making. Two expert panels</w:t>
      </w:r>
      <w:r>
        <w:rPr>
          <w:sz w:val="20"/>
          <w:szCs w:val="20"/>
          <w:lang w:val="en-CA"/>
        </w:rPr>
        <w:t xml:space="preserve">, </w:t>
      </w:r>
      <w:r w:rsidRPr="6BCE64E0">
        <w:rPr>
          <w:sz w:val="20"/>
          <w:szCs w:val="20"/>
          <w:lang w:val="en-CA"/>
        </w:rPr>
        <w:t>for official languages and for human rights</w:t>
      </w:r>
      <w:r>
        <w:rPr>
          <w:sz w:val="20"/>
          <w:szCs w:val="20"/>
          <w:lang w:val="en-CA"/>
        </w:rPr>
        <w:t>, are responsible for</w:t>
      </w:r>
      <w:r w:rsidRPr="6BCE64E0">
        <w:rPr>
          <w:sz w:val="20"/>
          <w:szCs w:val="20"/>
          <w:lang w:val="en-CA"/>
        </w:rPr>
        <w:t xml:space="preserve"> funding decisions. The expanded scope of the Program</w:t>
      </w:r>
      <w:r>
        <w:rPr>
          <w:sz w:val="20"/>
          <w:szCs w:val="20"/>
          <w:lang w:val="en-CA"/>
        </w:rPr>
        <w:t xml:space="preserve"> </w:t>
      </w:r>
      <w:r w:rsidRPr="6BCE64E0">
        <w:rPr>
          <w:sz w:val="20"/>
          <w:szCs w:val="20"/>
          <w:lang w:val="en-CA"/>
        </w:rPr>
        <w:t>enables broader support for marginalized groups, fostering inclusion, diversity, and the upholding of constitutional rights across Canada.</w:t>
      </w:r>
    </w:p>
    <w:p w14:paraId="0DB80EEC" w14:textId="33F24CA5" w:rsidR="00E5223E" w:rsidRPr="004157B9" w:rsidRDefault="00E80255" w:rsidP="003D4419">
      <w:pPr>
        <w:pStyle w:val="H4G"/>
      </w:pPr>
      <w:bookmarkStart w:id="43" w:name="_Toc177633140"/>
      <w:r>
        <w:tab/>
      </w:r>
      <w:r>
        <w:tab/>
      </w:r>
      <w:r w:rsidR="00E5223E" w:rsidRPr="6BCE64E0">
        <w:t>Corporations operating abroad</w:t>
      </w:r>
      <w:bookmarkEnd w:id="43"/>
    </w:p>
    <w:p w14:paraId="69213811" w14:textId="77777777" w:rsidR="00E5223E" w:rsidRPr="00C2055B" w:rsidRDefault="00E5223E" w:rsidP="009D7D15">
      <w:pPr>
        <w:pStyle w:val="Content1"/>
        <w:numPr>
          <w:ilvl w:val="0"/>
          <w:numId w:val="7"/>
        </w:numPr>
        <w:ind w:left="1134" w:right="1134" w:firstLine="0"/>
        <w:jc w:val="both"/>
        <w:rPr>
          <w:lang w:val="en-CA"/>
        </w:rPr>
      </w:pPr>
      <w:r w:rsidRPr="00C2055B">
        <w:rPr>
          <w:sz w:val="20"/>
          <w:szCs w:val="20"/>
        </w:rPr>
        <w:t xml:space="preserve">In a 2020 decision, the Supreme Court of Canada held that three individuals from Eritrea could proceed with a civil action in Canada against a Canadian mining company (Nevsun Resources Ltd. v. Araya, 2020 SCC 5).  They alleged violations in </w:t>
      </w:r>
      <w:r w:rsidRPr="007E5230">
        <w:rPr>
          <w:sz w:val="20"/>
          <w:szCs w:val="20"/>
          <w:lang w:val="en-CA"/>
        </w:rPr>
        <w:t>Eritrea</w:t>
      </w:r>
      <w:r w:rsidRPr="00C2055B">
        <w:rPr>
          <w:sz w:val="20"/>
          <w:szCs w:val="20"/>
        </w:rPr>
        <w:t xml:space="preserve"> of the customary prohibitions of forced </w:t>
      </w:r>
      <w:proofErr w:type="spellStart"/>
      <w:r w:rsidRPr="00C2055B">
        <w:rPr>
          <w:sz w:val="20"/>
          <w:szCs w:val="20"/>
        </w:rPr>
        <w:t>labour</w:t>
      </w:r>
      <w:proofErr w:type="spellEnd"/>
      <w:r w:rsidRPr="00C2055B">
        <w:rPr>
          <w:sz w:val="20"/>
          <w:szCs w:val="20"/>
        </w:rPr>
        <w:t>, slavery, cruel, inhuman or degrading treatment, and crimes against humanity. The Court declined a preliminary motion to strike the claim. Later that year the company reached a settlement with the plaintiffs.</w:t>
      </w:r>
    </w:p>
    <w:p w14:paraId="233B2E3D" w14:textId="71732E21" w:rsidR="009B4D94" w:rsidRPr="00E80255" w:rsidRDefault="00E80255" w:rsidP="00E80255">
      <w:pPr>
        <w:pStyle w:val="SingleTxtG"/>
        <w:spacing w:before="240" w:after="0" w:line="240" w:lineRule="atLeast"/>
        <w:ind w:left="0" w:right="0"/>
        <w:jc w:val="center"/>
        <w:rPr>
          <w:u w:val="single"/>
        </w:rPr>
      </w:pPr>
      <w:r>
        <w:rPr>
          <w:u w:val="single"/>
        </w:rPr>
        <w:tab/>
      </w:r>
      <w:r>
        <w:rPr>
          <w:u w:val="single"/>
        </w:rPr>
        <w:tab/>
      </w:r>
      <w:r>
        <w:rPr>
          <w:u w:val="single"/>
        </w:rPr>
        <w:tab/>
      </w:r>
    </w:p>
    <w:sectPr w:rsidR="009B4D94" w:rsidRPr="00E80255" w:rsidSect="00CB1FB9">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7B6E1" w14:textId="77777777" w:rsidR="00915F30" w:rsidRPr="00A0297D" w:rsidRDefault="00915F30" w:rsidP="00A0297D">
      <w:pPr>
        <w:pStyle w:val="Footer"/>
      </w:pPr>
    </w:p>
  </w:endnote>
  <w:endnote w:type="continuationSeparator" w:id="0">
    <w:p w14:paraId="200A1F51" w14:textId="77777777" w:rsidR="00915F30" w:rsidRPr="00A0297D" w:rsidRDefault="00915F30"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39T30Lfz">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DDB81" w14:textId="77777777" w:rsidR="005C4AE9" w:rsidRDefault="005C4AE9" w:rsidP="00A26CAD">
    <w:pPr>
      <w:pStyle w:val="Footer"/>
      <w:tabs>
        <w:tab w:val="right" w:pos="9638"/>
      </w:tabs>
    </w:pP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w:t>
    </w:r>
    <w:r w:rsidRPr="002961A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63B7" w14:textId="77777777" w:rsidR="005C4AE9" w:rsidRDefault="005C4AE9" w:rsidP="002961A2">
    <w:pPr>
      <w:pStyle w:val="Footer"/>
      <w:tabs>
        <w:tab w:val="right" w:pos="9638"/>
      </w:tabs>
    </w:pPr>
    <w:r>
      <w:tab/>
    </w:r>
    <w:r w:rsidRPr="002961A2">
      <w:rPr>
        <w:b/>
        <w:bCs/>
        <w:sz w:val="18"/>
      </w:rPr>
      <w:fldChar w:fldCharType="begin"/>
    </w:r>
    <w:r w:rsidRPr="002961A2">
      <w:rPr>
        <w:b/>
        <w:bCs/>
        <w:sz w:val="18"/>
      </w:rPr>
      <w:instrText xml:space="preserve"> PAGE  \* MERGEFORMAT </w:instrText>
    </w:r>
    <w:r w:rsidRPr="002961A2">
      <w:rPr>
        <w:b/>
        <w:bCs/>
        <w:sz w:val="18"/>
      </w:rPr>
      <w:fldChar w:fldCharType="separate"/>
    </w:r>
    <w:r w:rsidR="000E1377">
      <w:rPr>
        <w:b/>
        <w:bCs/>
        <w:noProof/>
        <w:sz w:val="18"/>
      </w:rPr>
      <w:t>21</w:t>
    </w:r>
    <w:r w:rsidRPr="002961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9DFEF" w14:textId="77777777" w:rsidR="000E1377" w:rsidRDefault="000E1377" w:rsidP="000E1377">
    <w:pPr>
      <w:pStyle w:val="Footer"/>
    </w:pPr>
    <w:r>
      <w:rPr>
        <w:noProof/>
        <w:lang w:val="en-US"/>
      </w:rPr>
      <w:drawing>
        <wp:anchor distT="0" distB="0" distL="114300" distR="114300" simplePos="0" relativeHeight="251658240" behindDoc="1" locked="1" layoutInCell="1" allowOverlap="1" wp14:anchorId="6333EAA8" wp14:editId="59BE277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53754D" w14:textId="21D6CCF6" w:rsidR="000E1377" w:rsidRPr="000E1377" w:rsidRDefault="000E1377" w:rsidP="000E1377">
    <w:pPr>
      <w:pStyle w:val="Footer"/>
      <w:ind w:right="1134"/>
      <w:rPr>
        <w:rFonts w:ascii="C39T30Lfz" w:hAnsi="C39T30Lfz" w:hint="eastAsia"/>
        <w:sz w:val="56"/>
      </w:rPr>
    </w:pPr>
    <w:r>
      <w:rPr>
        <w:rFonts w:ascii="C39T30Lfz" w:hAnsi="C39T30Lfz"/>
        <w:noProof/>
        <w:sz w:val="56"/>
        <w:lang w:val="en-US"/>
      </w:rPr>
      <w:drawing>
        <wp:anchor distT="0" distB="0" distL="114300" distR="114300" simplePos="0" relativeHeight="251658241" behindDoc="0" locked="0" layoutInCell="1" allowOverlap="1" wp14:anchorId="6EFBEFEB" wp14:editId="522FEA5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CMR/22-2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MR/22-2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5721C" w14:textId="77777777" w:rsidR="00915F30" w:rsidRPr="00A0297D" w:rsidRDefault="00915F30" w:rsidP="00A0297D">
      <w:pPr>
        <w:tabs>
          <w:tab w:val="right" w:pos="2155"/>
        </w:tabs>
        <w:spacing w:after="80" w:line="240" w:lineRule="auto"/>
        <w:ind w:left="680"/>
      </w:pPr>
      <w:r>
        <w:rPr>
          <w:u w:val="single"/>
        </w:rPr>
        <w:tab/>
      </w:r>
    </w:p>
  </w:footnote>
  <w:footnote w:type="continuationSeparator" w:id="0">
    <w:p w14:paraId="2847ADCC" w14:textId="77777777" w:rsidR="00915F30" w:rsidRPr="00A0297D" w:rsidRDefault="00915F30" w:rsidP="00A0297D">
      <w:pPr>
        <w:tabs>
          <w:tab w:val="right" w:pos="2155"/>
        </w:tabs>
        <w:spacing w:after="80" w:line="240" w:lineRule="auto"/>
        <w:ind w:left="680"/>
      </w:pPr>
      <w:r>
        <w:rPr>
          <w:u w:val="single"/>
        </w:rPr>
        <w:tab/>
      </w:r>
    </w:p>
  </w:footnote>
  <w:footnote w:id="1">
    <w:p w14:paraId="133E72C3" w14:textId="77777777" w:rsidR="005C4AE9" w:rsidRPr="00A8626E" w:rsidRDefault="005C4AE9" w:rsidP="00BC5BF4">
      <w:pPr>
        <w:pStyle w:val="FootnoteText"/>
        <w:spacing w:after="0" w:line="240" w:lineRule="auto"/>
        <w:rPr>
          <w:szCs w:val="18"/>
        </w:rPr>
      </w:pPr>
      <w:r w:rsidRPr="00A8626E">
        <w:rPr>
          <w:szCs w:val="18"/>
        </w:rPr>
        <w:tab/>
      </w:r>
      <w:r w:rsidRPr="00A8626E">
        <w:rPr>
          <w:rStyle w:val="FootnoteReference"/>
          <w:szCs w:val="18"/>
          <w:vertAlign w:val="baseline"/>
        </w:rPr>
        <w:t>*</w:t>
      </w:r>
      <w:r w:rsidRPr="00A8626E">
        <w:rPr>
          <w:szCs w:val="18"/>
        </w:rPr>
        <w:tab/>
        <w:t>The present document is being issued without formal editing.</w:t>
      </w:r>
    </w:p>
  </w:footnote>
  <w:footnote w:id="2">
    <w:p w14:paraId="7C537FE6" w14:textId="3B005DD7" w:rsidR="00A8626E" w:rsidRPr="00A8626E" w:rsidRDefault="00A8626E" w:rsidP="00BC5BF4">
      <w:pPr>
        <w:pStyle w:val="FootnoteText"/>
        <w:spacing w:after="0" w:line="240" w:lineRule="auto"/>
        <w:rPr>
          <w:szCs w:val="18"/>
          <w:lang w:val="en-CH"/>
        </w:rPr>
      </w:pPr>
      <w:r w:rsidRPr="00A8626E">
        <w:rPr>
          <w:rStyle w:val="FootnoteReference"/>
          <w:szCs w:val="18"/>
        </w:rPr>
        <w:tab/>
      </w:r>
      <w:r w:rsidRPr="00A8626E">
        <w:rPr>
          <w:rStyle w:val="FootnoteReference"/>
          <w:szCs w:val="18"/>
          <w:vertAlign w:val="baseline"/>
        </w:rPr>
        <w:t>**</w:t>
      </w:r>
      <w:r w:rsidRPr="00A8626E">
        <w:rPr>
          <w:rStyle w:val="FootnoteReference"/>
          <w:szCs w:val="18"/>
          <w:vertAlign w:val="baseline"/>
        </w:rPr>
        <w:tab/>
      </w:r>
      <w:r w:rsidRPr="00A8626E">
        <w:rPr>
          <w:szCs w:val="18"/>
        </w:rPr>
        <w:t>The annex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D14C" w14:textId="4BB8D6B5" w:rsidR="005C4AE9" w:rsidRDefault="005C4AE9" w:rsidP="002961A2">
    <w:pPr>
      <w:pStyle w:val="Header"/>
    </w:pPr>
    <w:r>
      <w:t>CERD/C/C</w:t>
    </w:r>
    <w:r w:rsidR="00B016B8">
      <w:t>AN/24-25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774E1" w14:textId="313B1E63" w:rsidR="005C4AE9" w:rsidRDefault="005C4AE9" w:rsidP="002961A2">
    <w:pPr>
      <w:pStyle w:val="Header"/>
      <w:jc w:val="right"/>
    </w:pPr>
    <w:r>
      <w:t>CERD/C/</w:t>
    </w:r>
    <w:r w:rsidR="00F76831">
      <w:t>CAN/24-25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D3110" w14:textId="31119366" w:rsidR="005D4070" w:rsidRPr="005D4070" w:rsidRDefault="004A252C" w:rsidP="002D6E61">
    <w:pPr>
      <w:rPr>
        <w:lang w:val="en-CH"/>
      </w:rPr>
    </w:pPr>
    <w:r>
      <w:rPr>
        <w:lang w:val="en-CH"/>
      </w:rPr>
      <w:tab/>
    </w:r>
    <w:r>
      <w:rPr>
        <w:lang w:val="en-CH"/>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5541FC"/>
    <w:multiLevelType w:val="hybridMultilevel"/>
    <w:tmpl w:val="89D8C2DA"/>
    <w:lvl w:ilvl="0" w:tplc="2000000F">
      <w:start w:val="1"/>
      <w:numFmt w:val="decimal"/>
      <w:lvlText w:val="%1."/>
      <w:lvlJc w:val="left"/>
      <w:pPr>
        <w:ind w:left="360" w:hanging="360"/>
      </w:pPr>
      <w:rPr>
        <w:rFonts w:hint="default"/>
        <w:b w:val="0"/>
        <w:bCs w:val="0"/>
        <w:color w:val="auto"/>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37616869">
    <w:abstractNumId w:val="4"/>
  </w:num>
  <w:num w:numId="2" w16cid:durableId="738361070">
    <w:abstractNumId w:val="2"/>
  </w:num>
  <w:num w:numId="3" w16cid:durableId="85345505">
    <w:abstractNumId w:val="0"/>
  </w:num>
  <w:num w:numId="4" w16cid:durableId="1361541549">
    <w:abstractNumId w:val="5"/>
  </w:num>
  <w:num w:numId="5" w16cid:durableId="1615751948">
    <w:abstractNumId w:val="6"/>
  </w:num>
  <w:num w:numId="6" w16cid:durableId="2125608846">
    <w:abstractNumId w:val="1"/>
  </w:num>
  <w:num w:numId="7" w16cid:durableId="54861115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fr-CH" w:vendorID="64" w:dllVersion="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CH" w:vendorID="64" w:dllVersion="0" w:nlCheck="1" w:checkStyle="0"/>
  <w:activeWritingStyle w:appName="MSWord" w:lang="en-CA" w:vendorID="64" w:dllVersion="0" w:nlCheck="1" w:checkStyle="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E8"/>
    <w:rsid w:val="00014F3E"/>
    <w:rsid w:val="000368DA"/>
    <w:rsid w:val="0004468D"/>
    <w:rsid w:val="00046E92"/>
    <w:rsid w:val="00090DB9"/>
    <w:rsid w:val="000930EF"/>
    <w:rsid w:val="000A078A"/>
    <w:rsid w:val="000A6933"/>
    <w:rsid w:val="000B1BE5"/>
    <w:rsid w:val="000C3579"/>
    <w:rsid w:val="000C5DE0"/>
    <w:rsid w:val="000D1B37"/>
    <w:rsid w:val="000D64A4"/>
    <w:rsid w:val="000E1377"/>
    <w:rsid w:val="000F001E"/>
    <w:rsid w:val="000F3F48"/>
    <w:rsid w:val="00102379"/>
    <w:rsid w:val="00102CC6"/>
    <w:rsid w:val="00117F3D"/>
    <w:rsid w:val="00120EA1"/>
    <w:rsid w:val="0012782E"/>
    <w:rsid w:val="001346DF"/>
    <w:rsid w:val="001428FE"/>
    <w:rsid w:val="00146291"/>
    <w:rsid w:val="001961E6"/>
    <w:rsid w:val="001A3E55"/>
    <w:rsid w:val="001B0779"/>
    <w:rsid w:val="001B39A3"/>
    <w:rsid w:val="001B3B04"/>
    <w:rsid w:val="001C6B9F"/>
    <w:rsid w:val="001E5ACC"/>
    <w:rsid w:val="001E7C35"/>
    <w:rsid w:val="0020387B"/>
    <w:rsid w:val="00212A68"/>
    <w:rsid w:val="002137FE"/>
    <w:rsid w:val="00243470"/>
    <w:rsid w:val="00247E2C"/>
    <w:rsid w:val="00260718"/>
    <w:rsid w:val="00264DE4"/>
    <w:rsid w:val="00270DA0"/>
    <w:rsid w:val="0027136B"/>
    <w:rsid w:val="00285A7A"/>
    <w:rsid w:val="0029361D"/>
    <w:rsid w:val="002961A2"/>
    <w:rsid w:val="002B3D7A"/>
    <w:rsid w:val="002C174A"/>
    <w:rsid w:val="002C2DF4"/>
    <w:rsid w:val="002C4C6C"/>
    <w:rsid w:val="002D388B"/>
    <w:rsid w:val="002D6C53"/>
    <w:rsid w:val="002D6E61"/>
    <w:rsid w:val="002E134E"/>
    <w:rsid w:val="002F5595"/>
    <w:rsid w:val="003056D7"/>
    <w:rsid w:val="00307688"/>
    <w:rsid w:val="00320899"/>
    <w:rsid w:val="00331D42"/>
    <w:rsid w:val="00334F6A"/>
    <w:rsid w:val="00342AC8"/>
    <w:rsid w:val="003456D4"/>
    <w:rsid w:val="003515B6"/>
    <w:rsid w:val="0037087F"/>
    <w:rsid w:val="003B4550"/>
    <w:rsid w:val="003B6E99"/>
    <w:rsid w:val="003C0A13"/>
    <w:rsid w:val="003D4419"/>
    <w:rsid w:val="004029E9"/>
    <w:rsid w:val="00405398"/>
    <w:rsid w:val="004341B8"/>
    <w:rsid w:val="00434500"/>
    <w:rsid w:val="00461253"/>
    <w:rsid w:val="00462C55"/>
    <w:rsid w:val="0047570E"/>
    <w:rsid w:val="0048551F"/>
    <w:rsid w:val="004A252C"/>
    <w:rsid w:val="004C448A"/>
    <w:rsid w:val="004C6284"/>
    <w:rsid w:val="004D60FB"/>
    <w:rsid w:val="005042C2"/>
    <w:rsid w:val="00505F1D"/>
    <w:rsid w:val="005278A8"/>
    <w:rsid w:val="0053016D"/>
    <w:rsid w:val="00543679"/>
    <w:rsid w:val="005529A4"/>
    <w:rsid w:val="00557F19"/>
    <w:rsid w:val="00576F8B"/>
    <w:rsid w:val="0058587E"/>
    <w:rsid w:val="00585E40"/>
    <w:rsid w:val="005A509A"/>
    <w:rsid w:val="005B3211"/>
    <w:rsid w:val="005C4AE9"/>
    <w:rsid w:val="005D4070"/>
    <w:rsid w:val="005F0382"/>
    <w:rsid w:val="006301E3"/>
    <w:rsid w:val="00642AD7"/>
    <w:rsid w:val="0065271E"/>
    <w:rsid w:val="00671529"/>
    <w:rsid w:val="00682C02"/>
    <w:rsid w:val="006B2D3E"/>
    <w:rsid w:val="006B6AEC"/>
    <w:rsid w:val="006C7DA9"/>
    <w:rsid w:val="006D71F2"/>
    <w:rsid w:val="006E3071"/>
    <w:rsid w:val="006E7CD8"/>
    <w:rsid w:val="00713177"/>
    <w:rsid w:val="00723D53"/>
    <w:rsid w:val="00725990"/>
    <w:rsid w:val="00726328"/>
    <w:rsid w:val="007268F9"/>
    <w:rsid w:val="00727D3A"/>
    <w:rsid w:val="007324BF"/>
    <w:rsid w:val="0073434E"/>
    <w:rsid w:val="00735147"/>
    <w:rsid w:val="00736685"/>
    <w:rsid w:val="00756270"/>
    <w:rsid w:val="00765502"/>
    <w:rsid w:val="007662AB"/>
    <w:rsid w:val="007830CF"/>
    <w:rsid w:val="007B46ED"/>
    <w:rsid w:val="007C52B0"/>
    <w:rsid w:val="007E429B"/>
    <w:rsid w:val="007E464B"/>
    <w:rsid w:val="007E484C"/>
    <w:rsid w:val="007E5230"/>
    <w:rsid w:val="008205EF"/>
    <w:rsid w:val="0082349E"/>
    <w:rsid w:val="00864475"/>
    <w:rsid w:val="008747FF"/>
    <w:rsid w:val="00883988"/>
    <w:rsid w:val="008B2E82"/>
    <w:rsid w:val="008B533A"/>
    <w:rsid w:val="008D55AA"/>
    <w:rsid w:val="008E0F96"/>
    <w:rsid w:val="00914AFD"/>
    <w:rsid w:val="00915C76"/>
    <w:rsid w:val="00915F30"/>
    <w:rsid w:val="00924EC4"/>
    <w:rsid w:val="00931EDD"/>
    <w:rsid w:val="009411B4"/>
    <w:rsid w:val="009614D0"/>
    <w:rsid w:val="009704B0"/>
    <w:rsid w:val="009813E0"/>
    <w:rsid w:val="009824AF"/>
    <w:rsid w:val="0098620F"/>
    <w:rsid w:val="009A3F21"/>
    <w:rsid w:val="009B4D94"/>
    <w:rsid w:val="009D0139"/>
    <w:rsid w:val="009D7D15"/>
    <w:rsid w:val="009E0D01"/>
    <w:rsid w:val="009F5CDC"/>
    <w:rsid w:val="00A0297D"/>
    <w:rsid w:val="00A05080"/>
    <w:rsid w:val="00A2528B"/>
    <w:rsid w:val="00A2633C"/>
    <w:rsid w:val="00A26CAD"/>
    <w:rsid w:val="00A42761"/>
    <w:rsid w:val="00A45B8B"/>
    <w:rsid w:val="00A775CF"/>
    <w:rsid w:val="00A77E82"/>
    <w:rsid w:val="00A8196B"/>
    <w:rsid w:val="00A844B7"/>
    <w:rsid w:val="00A8626E"/>
    <w:rsid w:val="00AA402B"/>
    <w:rsid w:val="00AB536E"/>
    <w:rsid w:val="00AC09B4"/>
    <w:rsid w:val="00AC3EF9"/>
    <w:rsid w:val="00AC4AE8"/>
    <w:rsid w:val="00B016B8"/>
    <w:rsid w:val="00B06045"/>
    <w:rsid w:val="00B2498F"/>
    <w:rsid w:val="00B50173"/>
    <w:rsid w:val="00B51277"/>
    <w:rsid w:val="00B53E5E"/>
    <w:rsid w:val="00B60990"/>
    <w:rsid w:val="00B65189"/>
    <w:rsid w:val="00B722E9"/>
    <w:rsid w:val="00BA46E7"/>
    <w:rsid w:val="00BC5BF4"/>
    <w:rsid w:val="00BD031B"/>
    <w:rsid w:val="00BF38C5"/>
    <w:rsid w:val="00C01462"/>
    <w:rsid w:val="00C27F32"/>
    <w:rsid w:val="00C30B3B"/>
    <w:rsid w:val="00C34FBF"/>
    <w:rsid w:val="00C35A27"/>
    <w:rsid w:val="00C5221A"/>
    <w:rsid w:val="00C55AE8"/>
    <w:rsid w:val="00C70D87"/>
    <w:rsid w:val="00C773F7"/>
    <w:rsid w:val="00C8319F"/>
    <w:rsid w:val="00C87F9F"/>
    <w:rsid w:val="00CA1E0F"/>
    <w:rsid w:val="00CB1FB9"/>
    <w:rsid w:val="00CC6109"/>
    <w:rsid w:val="00CD6BFA"/>
    <w:rsid w:val="00CE5018"/>
    <w:rsid w:val="00CE7E7B"/>
    <w:rsid w:val="00D02EBE"/>
    <w:rsid w:val="00D14DEA"/>
    <w:rsid w:val="00D279F0"/>
    <w:rsid w:val="00D300A6"/>
    <w:rsid w:val="00D42F17"/>
    <w:rsid w:val="00D548BB"/>
    <w:rsid w:val="00D62889"/>
    <w:rsid w:val="00D6368B"/>
    <w:rsid w:val="00D81C07"/>
    <w:rsid w:val="00DA7116"/>
    <w:rsid w:val="00DB22BD"/>
    <w:rsid w:val="00DC3086"/>
    <w:rsid w:val="00DD75DC"/>
    <w:rsid w:val="00DE1D1B"/>
    <w:rsid w:val="00DF0B0F"/>
    <w:rsid w:val="00DF57F5"/>
    <w:rsid w:val="00DF5C7B"/>
    <w:rsid w:val="00E02C2B"/>
    <w:rsid w:val="00E14486"/>
    <w:rsid w:val="00E23B39"/>
    <w:rsid w:val="00E26F6A"/>
    <w:rsid w:val="00E3661E"/>
    <w:rsid w:val="00E5223E"/>
    <w:rsid w:val="00E80255"/>
    <w:rsid w:val="00E90B32"/>
    <w:rsid w:val="00EA18D4"/>
    <w:rsid w:val="00EA35AC"/>
    <w:rsid w:val="00ED428A"/>
    <w:rsid w:val="00ED6C48"/>
    <w:rsid w:val="00ED79E4"/>
    <w:rsid w:val="00EE1900"/>
    <w:rsid w:val="00EE3F6F"/>
    <w:rsid w:val="00EF207A"/>
    <w:rsid w:val="00F027B3"/>
    <w:rsid w:val="00F07385"/>
    <w:rsid w:val="00F47685"/>
    <w:rsid w:val="00F5120F"/>
    <w:rsid w:val="00F630FD"/>
    <w:rsid w:val="00F633AA"/>
    <w:rsid w:val="00F65F5D"/>
    <w:rsid w:val="00F76831"/>
    <w:rsid w:val="00F76B6F"/>
    <w:rsid w:val="00F86A3A"/>
    <w:rsid w:val="00FD545E"/>
    <w:rsid w:val="00FF18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01075E"/>
  <w15:docId w15:val="{7A1EEFDF-0773-49C5-9815-5E85292C3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688"/>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65271E"/>
    <w:pPr>
      <w:keepNext/>
      <w:keepLines/>
      <w:tabs>
        <w:tab w:val="right" w:pos="851"/>
      </w:tabs>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FootnoteTextChar"/>
    <w:uiPriority w:val="99"/>
    <w:qFormat/>
    <w:rsid w:val="0065271E"/>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Знак Знак Char,Footnote Text Char Знак Char,Текст сноски Знак Знак Знак Знак Char,stile 1 Char,f Char,Texte de note de bas de page Char,Footnote Text1 Char,fn Char,Footnote Text Char Char Char,Car Char"/>
    <w:basedOn w:val="DefaultParagraphFont"/>
    <w:link w:val="FootnoteText"/>
    <w:uiPriority w:val="99"/>
    <w:rsid w:val="0065271E"/>
    <w:rPr>
      <w:rFonts w:ascii="Times New Roma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SUPERS,ftref,BVI fnr,16 Point,Superscript 6 Point,Footnote,Footnote symbol,Footnote Refernece,Texto de nota al pie,Fußnotenzeichen_Raxen,Footnote number,4_G Char,4_G Char Char,4_G Char Char Char,ftref Char Char Char Char,Ref"/>
    <w:uiPriority w:val="99"/>
    <w:qFormat/>
    <w:rsid w:val="0065271E"/>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ParNoG">
    <w:name w:val="_ParNo_G"/>
    <w:basedOn w:val="Normal"/>
    <w:qFormat/>
    <w:rsid w:val="0065271E"/>
    <w:pPr>
      <w:numPr>
        <w:numId w:val="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uiPriority w:val="99"/>
    <w:rsid w:val="0065271E"/>
    <w:rPr>
      <w:color w:val="0000FF"/>
      <w:u w:val="none"/>
    </w:rPr>
  </w:style>
  <w:style w:type="character" w:styleId="FollowedHyperlink">
    <w:name w:val="FollowedHyperlink"/>
    <w:basedOn w:val="DefaultParagraphFont"/>
    <w:uiPriority w:val="99"/>
    <w:semiHidden/>
    <w:rsid w:val="0065271E"/>
    <w:rPr>
      <w:color w:val="0000FF"/>
      <w:u w:val="none"/>
    </w:rPr>
  </w:style>
  <w:style w:type="character" w:customStyle="1" w:styleId="SingleTxtGChar">
    <w:name w:val="_ Single Txt_G Char"/>
    <w:link w:val="SingleTxtG"/>
    <w:locked/>
    <w:rsid w:val="0065271E"/>
    <w:rPr>
      <w:rFonts w:ascii="Times New Roman" w:hAnsi="Times New Roman" w:cs="Times New Roman"/>
      <w:sz w:val="20"/>
      <w:szCs w:val="20"/>
    </w:rPr>
  </w:style>
  <w:style w:type="table" w:customStyle="1" w:styleId="TableGrid1">
    <w:name w:val="Table Grid1"/>
    <w:basedOn w:val="TableNormal"/>
    <w:rsid w:val="0065271E"/>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msonormal0">
    <w:name w:val="msonormal"/>
    <w:basedOn w:val="Normal"/>
    <w:uiPriority w:val="99"/>
    <w:rsid w:val="0065271E"/>
    <w:pPr>
      <w:spacing w:before="100" w:beforeAutospacing="1" w:after="100" w:afterAutospacing="1" w:line="240" w:lineRule="auto"/>
    </w:pPr>
    <w:rPr>
      <w:sz w:val="24"/>
      <w:szCs w:val="24"/>
      <w:lang w:val="en-US"/>
    </w:rPr>
  </w:style>
  <w:style w:type="paragraph" w:styleId="NormalWeb">
    <w:name w:val="Normal (Web)"/>
    <w:basedOn w:val="Normal"/>
    <w:uiPriority w:val="99"/>
    <w:unhideWhenUsed/>
    <w:rsid w:val="0065271E"/>
    <w:pPr>
      <w:spacing w:before="100" w:beforeAutospacing="1" w:after="100" w:afterAutospacing="1" w:line="240" w:lineRule="auto"/>
    </w:pPr>
    <w:rPr>
      <w:sz w:val="24"/>
      <w:szCs w:val="24"/>
      <w:lang w:val="en-US"/>
    </w:rPr>
  </w:style>
  <w:style w:type="paragraph" w:styleId="CommentText">
    <w:name w:val="annotation text"/>
    <w:basedOn w:val="Normal"/>
    <w:link w:val="CommentTextChar"/>
    <w:uiPriority w:val="99"/>
    <w:unhideWhenUsed/>
    <w:rsid w:val="0065271E"/>
    <w:pPr>
      <w:spacing w:after="160" w:line="240" w:lineRule="auto"/>
    </w:pPr>
    <w:rPr>
      <w:rFonts w:ascii="Calibri" w:eastAsia="Calibri" w:hAnsi="Calibri"/>
      <w:lang w:val="x-none"/>
    </w:rPr>
  </w:style>
  <w:style w:type="character" w:customStyle="1" w:styleId="CommentTextChar">
    <w:name w:val="Comment Text Char"/>
    <w:basedOn w:val="DefaultParagraphFont"/>
    <w:link w:val="CommentText"/>
    <w:uiPriority w:val="99"/>
    <w:rsid w:val="0065271E"/>
    <w:rPr>
      <w:rFonts w:ascii="Calibri" w:eastAsia="Calibri" w:hAnsi="Calibri" w:cs="Times New Roman"/>
      <w:sz w:val="20"/>
      <w:szCs w:val="20"/>
      <w:lang w:val="x-none" w:eastAsia="en-US"/>
    </w:rPr>
  </w:style>
  <w:style w:type="paragraph" w:styleId="NoSpacing">
    <w:name w:val="No Spacing"/>
    <w:uiPriority w:val="1"/>
    <w:qFormat/>
    <w:rsid w:val="0065271E"/>
    <w:pPr>
      <w:spacing w:after="0" w:line="240" w:lineRule="auto"/>
    </w:pPr>
    <w:rPr>
      <w:rFonts w:ascii="Calibri" w:eastAsia="Calibri" w:hAnsi="Calibri" w:cs="Times New Roman"/>
      <w:lang w:val="fr-FR" w:eastAsia="en-US"/>
    </w:rPr>
  </w:style>
  <w:style w:type="paragraph" w:styleId="Revision">
    <w:name w:val="Revision"/>
    <w:uiPriority w:val="99"/>
    <w:semiHidden/>
    <w:rsid w:val="0065271E"/>
    <w:pPr>
      <w:spacing w:after="0" w:line="240" w:lineRule="auto"/>
    </w:pPr>
    <w:rPr>
      <w:rFonts w:ascii="Calibri" w:eastAsia="Calibri" w:hAnsi="Calibri" w:cs="Times New Roman"/>
      <w:lang w:val="fr-FR" w:eastAsia="en-US"/>
    </w:rPr>
  </w:style>
  <w:style w:type="character" w:customStyle="1" w:styleId="ListParagraphChar">
    <w:name w:val="List Paragraph Char"/>
    <w:aliases w:val="References Char,Grille claire - Accent 31 Char,Liste couleur - Accent 111 Char,Liste couleur - Accent 11 Char,Liste couleur - Accent 112 Char"/>
    <w:link w:val="ListParagraph"/>
    <w:uiPriority w:val="99"/>
    <w:locked/>
    <w:rsid w:val="0065271E"/>
    <w:rPr>
      <w:lang w:val="x-none" w:eastAsia="x-none"/>
    </w:rPr>
  </w:style>
  <w:style w:type="paragraph" w:styleId="ListParagraph">
    <w:name w:val="List Paragraph"/>
    <w:aliases w:val="References,Grille claire - Accent 31,Liste couleur - Accent 111,Liste couleur - Accent 11,Liste couleur - Accent 112"/>
    <w:basedOn w:val="Normal"/>
    <w:link w:val="ListParagraphChar"/>
    <w:uiPriority w:val="34"/>
    <w:qFormat/>
    <w:rsid w:val="0065271E"/>
    <w:pPr>
      <w:ind w:left="720"/>
      <w:contextualSpacing/>
    </w:pPr>
    <w:rPr>
      <w:rFonts w:asciiTheme="minorHAnsi" w:eastAsia="SimSun" w:hAnsiTheme="minorHAnsi" w:cstheme="minorBidi"/>
      <w:sz w:val="22"/>
      <w:szCs w:val="22"/>
      <w:lang w:val="x-none" w:eastAsia="x-none"/>
    </w:rPr>
  </w:style>
  <w:style w:type="paragraph" w:customStyle="1" w:styleId="Default">
    <w:name w:val="Default"/>
    <w:uiPriority w:val="99"/>
    <w:rsid w:val="0065271E"/>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customStyle="1" w:styleId="twunmatched">
    <w:name w:val="twunmatched"/>
    <w:basedOn w:val="Normal"/>
    <w:uiPriority w:val="99"/>
    <w:rsid w:val="0065271E"/>
    <w:pPr>
      <w:spacing w:before="100" w:beforeAutospacing="1" w:after="100" w:afterAutospacing="1" w:line="240" w:lineRule="auto"/>
    </w:pPr>
    <w:rPr>
      <w:sz w:val="24"/>
      <w:szCs w:val="24"/>
      <w:lang w:eastAsia="fr-FR"/>
    </w:rPr>
  </w:style>
  <w:style w:type="character" w:styleId="CommentReference">
    <w:name w:val="annotation reference"/>
    <w:uiPriority w:val="99"/>
    <w:semiHidden/>
    <w:unhideWhenUsed/>
    <w:rsid w:val="0065271E"/>
    <w:rPr>
      <w:sz w:val="16"/>
      <w:szCs w:val="16"/>
    </w:rPr>
  </w:style>
  <w:style w:type="character" w:customStyle="1" w:styleId="st">
    <w:name w:val="st"/>
    <w:basedOn w:val="DefaultParagraphFont"/>
    <w:rsid w:val="0065271E"/>
  </w:style>
  <w:style w:type="character" w:customStyle="1" w:styleId="shorttext">
    <w:name w:val="short_text"/>
    <w:basedOn w:val="DefaultParagraphFont"/>
    <w:rsid w:val="0065271E"/>
  </w:style>
  <w:style w:type="character" w:customStyle="1" w:styleId="uccresultamount">
    <w:name w:val="uccresultamount"/>
    <w:basedOn w:val="DefaultParagraphFont"/>
    <w:rsid w:val="0065271E"/>
  </w:style>
  <w:style w:type="character" w:customStyle="1" w:styleId="SDestinataire">
    <w:name w:val="SDestinataire"/>
    <w:uiPriority w:val="1"/>
    <w:rsid w:val="0065271E"/>
    <w:rPr>
      <w:rFonts w:ascii="Arial Narrow" w:hAnsi="Arial Narrow" w:hint="default"/>
      <w:sz w:val="28"/>
    </w:rPr>
  </w:style>
  <w:style w:type="character" w:styleId="Emphasis">
    <w:name w:val="Emphasis"/>
    <w:basedOn w:val="DefaultParagraphFont"/>
    <w:uiPriority w:val="20"/>
    <w:qFormat/>
    <w:rsid w:val="0065271E"/>
    <w:rPr>
      <w:i/>
      <w:iCs/>
    </w:rPr>
  </w:style>
  <w:style w:type="character" w:customStyle="1" w:styleId="HChGChar">
    <w:name w:val="_ H _Ch_G Char"/>
    <w:link w:val="HChG"/>
    <w:rsid w:val="0065271E"/>
    <w:rPr>
      <w:rFonts w:ascii="Times New Roman" w:eastAsia="Times New Roman" w:hAnsi="Times New Roman" w:cs="Times New Roman"/>
      <w:b/>
      <w:sz w:val="28"/>
      <w:szCs w:val="20"/>
      <w:lang w:eastAsia="en-US"/>
    </w:rPr>
  </w:style>
  <w:style w:type="character" w:customStyle="1" w:styleId="H23GChar">
    <w:name w:val="_ H_2/3_G Char"/>
    <w:link w:val="H23G"/>
    <w:locked/>
    <w:rsid w:val="0065271E"/>
    <w:rPr>
      <w:rFonts w:ascii="Times New Roman" w:eastAsia="Times New Roman" w:hAnsi="Times New Roman" w:cs="Times New Roman"/>
      <w:b/>
      <w:sz w:val="20"/>
      <w:szCs w:val="20"/>
      <w:lang w:eastAsia="en-US"/>
    </w:rPr>
  </w:style>
  <w:style w:type="character" w:styleId="Strong">
    <w:name w:val="Strong"/>
    <w:basedOn w:val="DefaultParagraphFont"/>
    <w:uiPriority w:val="22"/>
    <w:qFormat/>
    <w:rsid w:val="008B2E82"/>
    <w:rPr>
      <w:b/>
      <w:bCs/>
    </w:rPr>
  </w:style>
  <w:style w:type="character" w:customStyle="1" w:styleId="H1GChar">
    <w:name w:val="_ H_1_G Char"/>
    <w:link w:val="H1G"/>
    <w:locked/>
    <w:rsid w:val="008B2E82"/>
    <w:rPr>
      <w:rFonts w:ascii="Times New Roman" w:eastAsia="Times New Roman" w:hAnsi="Times New Roman" w:cs="Times New Roman"/>
      <w:b/>
      <w:sz w:val="24"/>
      <w:szCs w:val="20"/>
      <w:lang w:eastAsia="en-US"/>
    </w:rPr>
  </w:style>
  <w:style w:type="paragraph" w:customStyle="1" w:styleId="al">
    <w:name w:val="al"/>
    <w:basedOn w:val="Normal"/>
    <w:rsid w:val="008B2E82"/>
    <w:pPr>
      <w:spacing w:before="100" w:beforeAutospacing="1" w:after="100" w:afterAutospacing="1" w:line="240" w:lineRule="auto"/>
    </w:pPr>
    <w:rPr>
      <w:sz w:val="24"/>
      <w:szCs w:val="24"/>
      <w:lang w:val="fr-FR" w:eastAsia="fr-FR"/>
    </w:rPr>
  </w:style>
  <w:style w:type="character" w:customStyle="1" w:styleId="num-art">
    <w:name w:val="num-art"/>
    <w:basedOn w:val="DefaultParagraphFont"/>
    <w:rsid w:val="008B2E82"/>
  </w:style>
  <w:style w:type="character" w:customStyle="1" w:styleId="zrenv">
    <w:name w:val="zrenv"/>
    <w:basedOn w:val="DefaultParagraphFont"/>
    <w:rsid w:val="008B2E82"/>
  </w:style>
  <w:style w:type="character" w:customStyle="1" w:styleId="y2iqfc">
    <w:name w:val="y2iqfc"/>
    <w:basedOn w:val="DefaultParagraphFont"/>
    <w:rsid w:val="008B2E82"/>
  </w:style>
  <w:style w:type="character" w:customStyle="1" w:styleId="chapeau">
    <w:name w:val="chapeau"/>
    <w:basedOn w:val="DefaultParagraphFont"/>
    <w:rsid w:val="008B2E82"/>
  </w:style>
  <w:style w:type="character" w:customStyle="1" w:styleId="rynqvb">
    <w:name w:val="rynqvb"/>
    <w:basedOn w:val="DefaultParagraphFont"/>
    <w:rsid w:val="008B2E82"/>
  </w:style>
  <w:style w:type="character" w:customStyle="1" w:styleId="hwtze">
    <w:name w:val="hwtze"/>
    <w:basedOn w:val="DefaultParagraphFont"/>
    <w:rsid w:val="008B2E82"/>
  </w:style>
  <w:style w:type="paragraph" w:styleId="CommentSubject">
    <w:name w:val="annotation subject"/>
    <w:basedOn w:val="CommentText"/>
    <w:next w:val="CommentText"/>
    <w:link w:val="CommentSubjectChar"/>
    <w:uiPriority w:val="99"/>
    <w:semiHidden/>
    <w:unhideWhenUsed/>
    <w:rsid w:val="008B2E82"/>
    <w:pPr>
      <w:spacing w:after="0"/>
    </w:pPr>
    <w:rPr>
      <w:rFonts w:asciiTheme="minorHAnsi" w:eastAsiaTheme="minorHAnsi" w:hAnsiTheme="minorHAnsi" w:cstheme="minorBidi"/>
      <w:b/>
      <w:bCs/>
      <w:kern w:val="2"/>
      <w:lang w:val="fr-FR"/>
      <w14:ligatures w14:val="standardContextual"/>
    </w:rPr>
  </w:style>
  <w:style w:type="character" w:customStyle="1" w:styleId="CommentSubjectChar">
    <w:name w:val="Comment Subject Char"/>
    <w:basedOn w:val="CommentTextChar"/>
    <w:link w:val="CommentSubject"/>
    <w:uiPriority w:val="99"/>
    <w:semiHidden/>
    <w:rsid w:val="008B2E82"/>
    <w:rPr>
      <w:rFonts w:ascii="Calibri" w:eastAsiaTheme="minorHAnsi" w:hAnsi="Calibri" w:cs="Times New Roman"/>
      <w:b/>
      <w:bCs/>
      <w:kern w:val="2"/>
      <w:sz w:val="20"/>
      <w:szCs w:val="20"/>
      <w:lang w:val="fr-FR" w:eastAsia="en-US"/>
      <w14:ligatures w14:val="standardContextual"/>
    </w:rPr>
  </w:style>
  <w:style w:type="paragraph" w:styleId="TOCHeading">
    <w:name w:val="TOC Heading"/>
    <w:basedOn w:val="Heading1"/>
    <w:next w:val="Normal"/>
    <w:uiPriority w:val="39"/>
    <w:unhideWhenUsed/>
    <w:qFormat/>
    <w:rsid w:val="008B2E82"/>
    <w:pPr>
      <w:keepNext/>
      <w:keepLines/>
      <w:spacing w:before="240" w:line="259" w:lineRule="auto"/>
      <w:ind w:left="0"/>
      <w:outlineLvl w:val="9"/>
    </w:pPr>
    <w:rPr>
      <w:rFonts w:asciiTheme="majorHAnsi" w:eastAsiaTheme="majorEastAsia" w:hAnsiTheme="majorHAnsi" w:cstheme="majorBidi"/>
      <w:sz w:val="32"/>
      <w:szCs w:val="32"/>
      <w:lang w:val="fr-FR" w:eastAsia="fr-FR"/>
    </w:rPr>
  </w:style>
  <w:style w:type="paragraph" w:styleId="TOC2">
    <w:name w:val="toc 2"/>
    <w:basedOn w:val="Normal"/>
    <w:next w:val="Normal"/>
    <w:autoRedefine/>
    <w:uiPriority w:val="39"/>
    <w:unhideWhenUsed/>
    <w:rsid w:val="008B2E82"/>
    <w:pPr>
      <w:spacing w:after="100" w:line="240" w:lineRule="auto"/>
      <w:ind w:left="240"/>
    </w:pPr>
    <w:rPr>
      <w:rFonts w:asciiTheme="minorHAnsi" w:eastAsiaTheme="minorHAnsi" w:hAnsiTheme="minorHAnsi" w:cstheme="minorBidi"/>
      <w:kern w:val="2"/>
      <w:sz w:val="24"/>
      <w:szCs w:val="24"/>
      <w:lang w:val="fr-FR"/>
      <w14:ligatures w14:val="standardContextual"/>
    </w:rPr>
  </w:style>
  <w:style w:type="paragraph" w:styleId="TOC1">
    <w:name w:val="toc 1"/>
    <w:basedOn w:val="Normal"/>
    <w:next w:val="Normal"/>
    <w:autoRedefine/>
    <w:uiPriority w:val="39"/>
    <w:unhideWhenUsed/>
    <w:rsid w:val="008B2E82"/>
    <w:pPr>
      <w:spacing w:after="100" w:line="240" w:lineRule="auto"/>
    </w:pPr>
    <w:rPr>
      <w:rFonts w:asciiTheme="minorHAnsi" w:eastAsiaTheme="minorHAnsi" w:hAnsiTheme="minorHAnsi" w:cstheme="minorBidi"/>
      <w:kern w:val="2"/>
      <w:sz w:val="24"/>
      <w:szCs w:val="24"/>
      <w:lang w:val="fr-FR"/>
      <w14:ligatures w14:val="standardContextual"/>
    </w:rPr>
  </w:style>
  <w:style w:type="paragraph" w:styleId="TOC3">
    <w:name w:val="toc 3"/>
    <w:basedOn w:val="Normal"/>
    <w:next w:val="Normal"/>
    <w:autoRedefine/>
    <w:uiPriority w:val="39"/>
    <w:unhideWhenUsed/>
    <w:rsid w:val="008B2E82"/>
    <w:pPr>
      <w:spacing w:after="100" w:line="240" w:lineRule="auto"/>
      <w:ind w:left="480"/>
    </w:pPr>
    <w:rPr>
      <w:rFonts w:asciiTheme="minorHAnsi" w:eastAsiaTheme="minorHAnsi" w:hAnsiTheme="minorHAnsi" w:cstheme="minorBidi"/>
      <w:kern w:val="2"/>
      <w:sz w:val="24"/>
      <w:szCs w:val="24"/>
      <w:lang w:val="fr-FR"/>
      <w14:ligatures w14:val="standardContextual"/>
    </w:rPr>
  </w:style>
  <w:style w:type="paragraph" w:styleId="TOC4">
    <w:name w:val="toc 4"/>
    <w:basedOn w:val="Normal"/>
    <w:next w:val="Normal"/>
    <w:autoRedefine/>
    <w:uiPriority w:val="39"/>
    <w:unhideWhenUsed/>
    <w:rsid w:val="008B2E82"/>
    <w:pPr>
      <w:spacing w:after="100" w:line="240" w:lineRule="auto"/>
      <w:ind w:left="720"/>
    </w:pPr>
    <w:rPr>
      <w:rFonts w:asciiTheme="minorHAnsi" w:eastAsiaTheme="minorHAnsi" w:hAnsiTheme="minorHAnsi" w:cstheme="minorBidi"/>
      <w:kern w:val="2"/>
      <w:sz w:val="24"/>
      <w:szCs w:val="24"/>
      <w:lang w:val="fr-FR"/>
      <w14:ligatures w14:val="standardContextual"/>
    </w:rPr>
  </w:style>
  <w:style w:type="paragraph" w:customStyle="1" w:styleId="Content1">
    <w:name w:val="Content1"/>
    <w:basedOn w:val="Normal"/>
    <w:link w:val="Content1Char"/>
    <w:qFormat/>
    <w:rsid w:val="00F76B6F"/>
    <w:pPr>
      <w:spacing w:before="240" w:after="240" w:line="240" w:lineRule="auto"/>
      <w:ind w:left="-851"/>
    </w:pPr>
    <w:rPr>
      <w:sz w:val="24"/>
      <w:szCs w:val="24"/>
      <w:lang w:val="en-US"/>
    </w:rPr>
  </w:style>
  <w:style w:type="character" w:customStyle="1" w:styleId="Content1Char">
    <w:name w:val="Content1 Char"/>
    <w:basedOn w:val="DefaultParagraphFont"/>
    <w:link w:val="Content1"/>
    <w:rsid w:val="00F76B6F"/>
    <w:rPr>
      <w:rFonts w:ascii="Times New Roman" w:eastAsia="Times New Roman" w:hAnsi="Times New Roman" w:cs="Times New Roman"/>
      <w:sz w:val="24"/>
      <w:szCs w:val="24"/>
      <w:lang w:val="en-US" w:eastAsia="en-US"/>
    </w:rPr>
  </w:style>
  <w:style w:type="character" w:customStyle="1" w:styleId="normaltextrun">
    <w:name w:val="normaltextrun"/>
    <w:basedOn w:val="DefaultParagraphFont"/>
    <w:rsid w:val="00E5223E"/>
  </w:style>
  <w:style w:type="character" w:customStyle="1" w:styleId="eop">
    <w:name w:val="eop"/>
    <w:basedOn w:val="DefaultParagraphFont"/>
    <w:rsid w:val="00E5223E"/>
  </w:style>
  <w:style w:type="paragraph" w:customStyle="1" w:styleId="paragraph">
    <w:name w:val="paragraph"/>
    <w:basedOn w:val="Normal"/>
    <w:rsid w:val="00E5223E"/>
    <w:pPr>
      <w:spacing w:before="100" w:beforeAutospacing="1" w:after="100" w:afterAutospacing="1" w:line="240" w:lineRule="auto"/>
    </w:pPr>
    <w:rPr>
      <w:sz w:val="24"/>
      <w:szCs w:val="24"/>
      <w:lang w:val="en-CA" w:eastAsia="en-CA"/>
    </w:rPr>
  </w:style>
  <w:style w:type="paragraph" w:styleId="Title">
    <w:name w:val="Title"/>
    <w:basedOn w:val="Normal"/>
    <w:next w:val="Normal"/>
    <w:link w:val="TitleChar"/>
    <w:uiPriority w:val="10"/>
    <w:qFormat/>
    <w:rsid w:val="00E5223E"/>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E5223E"/>
    <w:rPr>
      <w:rFonts w:asciiTheme="majorHAnsi" w:eastAsiaTheme="majorEastAsia" w:hAnsiTheme="majorHAnsi" w:cstheme="majorBidi"/>
      <w:spacing w:val="-10"/>
      <w:kern w:val="28"/>
      <w:sz w:val="56"/>
      <w:szCs w:val="56"/>
      <w:lang w:val="en-US" w:eastAsia="en-US"/>
    </w:rPr>
  </w:style>
  <w:style w:type="character" w:styleId="UnresolvedMention">
    <w:name w:val="Unresolved Mention"/>
    <w:basedOn w:val="DefaultParagraphFont"/>
    <w:uiPriority w:val="99"/>
    <w:semiHidden/>
    <w:unhideWhenUsed/>
    <w:rsid w:val="00E5223E"/>
    <w:rPr>
      <w:color w:val="605E5C"/>
      <w:shd w:val="clear" w:color="auto" w:fill="E1DFDD"/>
    </w:rPr>
  </w:style>
  <w:style w:type="character" w:styleId="Mention">
    <w:name w:val="Mention"/>
    <w:basedOn w:val="DefaultParagraphFont"/>
    <w:uiPriority w:val="99"/>
    <w:unhideWhenUsed/>
    <w:rsid w:val="00E522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d898ffd0bd190952e71897c3dcc0ad44">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f7a98970d8a932617f5e778f06c29072"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2025-12-23T10:51:02+00:00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5575A7-C749-4A21-A813-7057EC04B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7502BB-3CA4-49B6-86B3-AD3CFF502955}">
  <ds:schemaRefs>
    <ds:schemaRef ds:uri="http://schemas.openxmlformats.org/officeDocument/2006/bibliography"/>
  </ds:schemaRefs>
</ds:datastoreItem>
</file>

<file path=customXml/itemProps3.xml><?xml version="1.0" encoding="utf-8"?>
<ds:datastoreItem xmlns:ds="http://schemas.openxmlformats.org/officeDocument/2006/customXml" ds:itemID="{1DA4BCDF-CDCC-43CE-B4EB-6A9CEE8D7BE7}">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4.xml><?xml version="1.0" encoding="utf-8"?>
<ds:datastoreItem xmlns:ds="http://schemas.openxmlformats.org/officeDocument/2006/customXml" ds:itemID="{E00FDE1D-09DD-4338-8188-4FF31B5CFA6A}">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CERD</Template>
  <TotalTime>0</TotalTime>
  <Pages>31</Pages>
  <Words>17645</Words>
  <Characters>100578</Characters>
  <Application>Microsoft Office Word</Application>
  <DocSecurity>0</DocSecurity>
  <Lines>838</Lines>
  <Paragraphs>235</Paragraphs>
  <ScaleCrop>false</ScaleCrop>
  <HeadingPairs>
    <vt:vector size="2" baseType="variant">
      <vt:variant>
        <vt:lpstr>Title</vt:lpstr>
      </vt:variant>
      <vt:variant>
        <vt:i4>1</vt:i4>
      </vt:variant>
    </vt:vector>
  </HeadingPairs>
  <TitlesOfParts>
    <vt:vector size="1" baseType="lpstr">
      <vt:lpstr>CERD/C/CMR/22-23</vt:lpstr>
    </vt:vector>
  </TitlesOfParts>
  <Company>DCM</Company>
  <LinksUpToDate>false</LinksUpToDate>
  <CharactersWithSpaces>117988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CERD/C/CMR/22-23</dc:title>
  <dc:subject>1917790</dc:subject>
  <dc:creator>Giltsoff</dc:creator>
  <cp:keywords/>
  <dc:description/>
  <cp:lastModifiedBy>Kalpana Singh</cp:lastModifiedBy>
  <cp:revision>2</cp:revision>
  <cp:lastPrinted>2019-10-11T08:15:00Z</cp:lastPrinted>
  <dcterms:created xsi:type="dcterms:W3CDTF">2026-03-03T13:10:00Z</dcterms:created>
  <dcterms:modified xsi:type="dcterms:W3CDTF">2026-03-03T13:10:00Z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b77875e-5908-45a0-9cb4-dec9ae074618_Enabled">
    <vt:lpwstr>true</vt:lpwstr>
  </property>
  <property fmtid="{D5CDD505-2E9C-101B-9397-08002B2CF9AE}" pid="3" name="MSIP_Label_8b77875e-5908-45a0-9cb4-dec9ae074618_SetDate">
    <vt:lpwstr>2025-12-23T10:51:02Z</vt:lpwstr>
  </property>
  <property fmtid="{D5CDD505-2E9C-101B-9397-08002B2CF9AE}" pid="4" name="MSIP_Label_8b77875e-5908-45a0-9cb4-dec9ae074618_Method">
    <vt:lpwstr>Standard</vt:lpwstr>
  </property>
  <property fmtid="{D5CDD505-2E9C-101B-9397-08002B2CF9AE}" pid="5" name="MSIP_Label_8b77875e-5908-45a0-9cb4-dec9ae074618_Name">
    <vt:lpwstr>8b77875e-5908-45a0-9cb4-dec9ae074618</vt:lpwstr>
  </property>
  <property fmtid="{D5CDD505-2E9C-101B-9397-08002B2CF9AE}" pid="6" name="MSIP_Label_8b77875e-5908-45a0-9cb4-dec9ae074618_SiteId">
    <vt:lpwstr>0f9e35db-544f-4f60-bdcc-5ea416e6dc70</vt:lpwstr>
  </property>
  <property fmtid="{D5CDD505-2E9C-101B-9397-08002B2CF9AE}" pid="7" name="MSIP_Label_8b77875e-5908-45a0-9cb4-dec9ae074618_ActionId">
    <vt:lpwstr>43de5575-017f-4a27-8997-cc55d49f1d35</vt:lpwstr>
  </property>
  <property fmtid="{D5CDD505-2E9C-101B-9397-08002B2CF9AE}" pid="8" name="MSIP_Label_8b77875e-5908-45a0-9cb4-dec9ae074618_ContentBits">
    <vt:lpwstr>0</vt:lpwstr>
  </property>
  <property fmtid="{D5CDD505-2E9C-101B-9397-08002B2CF9AE}" pid="9" name="ContentTypeId">
    <vt:lpwstr>0x0101001193CD93B399A24291B7775C5A053C9B</vt:lpwstr>
  </property>
  <property fmtid="{D5CDD505-2E9C-101B-9397-08002B2CF9AE}" pid="10" name="MediaServiceImageTags">
    <vt:lpwstr/>
  </property>
</Properties>
</file>