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0A99B" w14:textId="6439741A" w:rsidR="00FD74AB" w:rsidRDefault="00FD74AB" w:rsidP="00FD74AB">
      <w:pPr>
        <w:pBdr>
          <w:bottom w:val="single" w:sz="18" w:space="1" w:color="auto"/>
        </w:pBdr>
        <w:jc w:val="center"/>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74AB">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Maat for Peace</w:t>
      </w:r>
      <w:r>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FD74AB">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Report </w:t>
      </w:r>
      <w:r>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submitted to The </w:t>
      </w:r>
      <w:r w:rsidRPr="00FD74AB">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Committee on Economic, Social, and Cultural Rights Regarding </w:t>
      </w:r>
      <w:r w:rsidRPr="00FD74AB">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Germany</w:t>
      </w:r>
    </w:p>
    <w:p w14:paraId="477B6235" w14:textId="5087F0C5" w:rsidR="004229C3" w:rsidRPr="00FD74AB" w:rsidRDefault="004229C3" w:rsidP="00FD74AB">
      <w:pPr>
        <w:pBdr>
          <w:bottom w:val="single" w:sz="18" w:space="1" w:color="auto"/>
        </w:pBdr>
        <w:jc w:val="center"/>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 of Issues</w:t>
      </w:r>
    </w:p>
    <w:p w14:paraId="3B277FD1" w14:textId="7C7060DC" w:rsidR="00FD74AB" w:rsidRPr="00FD74AB" w:rsidRDefault="00FD74AB" w:rsidP="00FD74AB">
      <w:pPr>
        <w:jc w:val="both"/>
        <w:rPr>
          <w:rFonts w:asciiTheme="majorBidi" w:hAnsiTheme="majorBidi" w:cstheme="majorBidi"/>
          <w:sz w:val="24"/>
          <w:szCs w:val="24"/>
        </w:rPr>
      </w:pPr>
      <w:r>
        <w:rPr>
          <w:rFonts w:asciiTheme="majorBidi" w:hAnsiTheme="majorBidi" w:cstheme="majorBidi"/>
          <w:sz w:val="24"/>
          <w:szCs w:val="24"/>
        </w:rPr>
        <w:t xml:space="preserve">The </w:t>
      </w:r>
      <w:r w:rsidRPr="00FD74AB">
        <w:rPr>
          <w:rFonts w:asciiTheme="majorBidi" w:hAnsiTheme="majorBidi" w:cstheme="majorBidi"/>
          <w:sz w:val="24"/>
          <w:szCs w:val="24"/>
        </w:rPr>
        <w:t xml:space="preserve">Federal Republic of Germany signed </w:t>
      </w:r>
      <w:r>
        <w:rPr>
          <w:rFonts w:asciiTheme="majorBidi" w:hAnsiTheme="majorBidi" w:cstheme="majorBidi"/>
          <w:sz w:val="24"/>
          <w:szCs w:val="24"/>
        </w:rPr>
        <w:t xml:space="preserve">The </w:t>
      </w:r>
      <w:r w:rsidRPr="00FD74AB">
        <w:rPr>
          <w:rFonts w:asciiTheme="majorBidi" w:hAnsiTheme="majorBidi" w:cstheme="majorBidi"/>
          <w:sz w:val="24"/>
          <w:szCs w:val="24"/>
        </w:rPr>
        <w:t>International Covenant on Economic, Social, and Cultural Rights in October 1968 and ratified it in December 1973.</w:t>
      </w:r>
      <w:r w:rsidRPr="00FD74AB">
        <w:rPr>
          <w:rStyle w:val="FootnoteReference"/>
          <w:rFonts w:asciiTheme="majorBidi" w:hAnsiTheme="majorBidi" w:cstheme="majorBidi"/>
          <w:sz w:val="24"/>
          <w:szCs w:val="24"/>
        </w:rPr>
        <w:footnoteReference w:id="1"/>
      </w:r>
      <w:r w:rsidRPr="00FD74AB">
        <w:rPr>
          <w:rFonts w:asciiTheme="majorBidi" w:hAnsiTheme="majorBidi" w:cstheme="majorBidi"/>
          <w:sz w:val="24"/>
          <w:szCs w:val="24"/>
        </w:rPr>
        <w:t xml:space="preserve"> By this ratification, Germany is legally committed to protecting and promoting the economic, social, and cultural rights of all individuals within its territory, regardless of their citizenship or residency status, without any form of discrimination.</w:t>
      </w:r>
    </w:p>
    <w:p w14:paraId="755F4CF7" w14:textId="4B7FF85F" w:rsidR="00FD74AB" w:rsidRPr="00FD74AB" w:rsidRDefault="00FD74AB" w:rsidP="00FD74AB">
      <w:pPr>
        <w:jc w:val="both"/>
        <w:rPr>
          <w:rFonts w:asciiTheme="majorBidi" w:hAnsiTheme="majorBidi" w:cstheme="majorBidi"/>
          <w:sz w:val="24"/>
          <w:szCs w:val="24"/>
        </w:rPr>
      </w:pPr>
      <w:r w:rsidRPr="00FD74AB">
        <w:rPr>
          <w:rFonts w:asciiTheme="majorBidi" w:hAnsiTheme="majorBidi" w:cstheme="majorBidi"/>
          <w:sz w:val="24"/>
          <w:szCs w:val="24"/>
        </w:rPr>
        <w:t xml:space="preserve">This report aims to assess Germany compliance with the provisions of </w:t>
      </w:r>
      <w:bookmarkStart w:id="0" w:name="OLE_LINK4"/>
      <w:r>
        <w:rPr>
          <w:rFonts w:asciiTheme="majorBidi" w:hAnsiTheme="majorBidi" w:cstheme="majorBidi"/>
          <w:sz w:val="24"/>
          <w:szCs w:val="24"/>
        </w:rPr>
        <w:t xml:space="preserve">The </w:t>
      </w:r>
      <w:r w:rsidRPr="00FD74AB">
        <w:rPr>
          <w:rFonts w:asciiTheme="majorBidi" w:hAnsiTheme="majorBidi" w:cstheme="majorBidi"/>
          <w:sz w:val="24"/>
          <w:szCs w:val="24"/>
        </w:rPr>
        <w:t xml:space="preserve">Covenant, </w:t>
      </w:r>
      <w:bookmarkEnd w:id="0"/>
      <w:r w:rsidRPr="00FD74AB">
        <w:rPr>
          <w:rFonts w:asciiTheme="majorBidi" w:hAnsiTheme="majorBidi" w:cstheme="majorBidi"/>
          <w:sz w:val="24"/>
          <w:szCs w:val="24"/>
        </w:rPr>
        <w:t>highlighting ongoing shortcomings and challenges in implementing certain articles. Maat also presents issues it hopes the Committee will consider. This report supports the Committee's efforts to conduct an objective and comprehensive evaluation of Germany's performance in the field of economic, social, and cultural rights during the upcoming session.</w:t>
      </w:r>
    </w:p>
    <w:p w14:paraId="641889FA" w14:textId="77777777" w:rsidR="00FD74AB" w:rsidRPr="00FD74AB" w:rsidRDefault="00FD74AB" w:rsidP="00FD74AB">
      <w:pPr>
        <w:pStyle w:val="ListParagraph"/>
        <w:numPr>
          <w:ilvl w:val="0"/>
          <w:numId w:val="48"/>
        </w:numPr>
        <w:spacing w:line="278" w:lineRule="auto"/>
        <w:jc w:val="both"/>
        <w:rPr>
          <w:rFonts w:asciiTheme="majorBidi" w:hAnsiTheme="majorBidi" w:cstheme="majorBidi"/>
          <w:b/>
          <w:bCs/>
          <w:color w:val="C45911" w:themeColor="accent2" w:themeShade="BF"/>
          <w:sz w:val="28"/>
          <w:szCs w:val="28"/>
        </w:rPr>
      </w:pPr>
      <w:r w:rsidRPr="00FD74AB">
        <w:rPr>
          <w:rFonts w:asciiTheme="majorBidi" w:hAnsiTheme="majorBidi" w:cstheme="majorBidi"/>
          <w:b/>
          <w:bCs/>
          <w:color w:val="C45911" w:themeColor="accent2" w:themeShade="BF"/>
          <w:sz w:val="28"/>
          <w:szCs w:val="28"/>
        </w:rPr>
        <w:t>Right to Work (Article 6)</w:t>
      </w:r>
    </w:p>
    <w:p w14:paraId="1C722B8A" w14:textId="77777777" w:rsidR="00FD74AB" w:rsidRPr="00FD74AB" w:rsidRDefault="00FD74AB" w:rsidP="00FD74AB">
      <w:pPr>
        <w:jc w:val="both"/>
        <w:rPr>
          <w:rFonts w:asciiTheme="majorBidi" w:hAnsiTheme="majorBidi" w:cstheme="majorBidi"/>
          <w:sz w:val="24"/>
          <w:szCs w:val="24"/>
        </w:rPr>
      </w:pPr>
      <w:r w:rsidRPr="00FD74AB">
        <w:rPr>
          <w:rFonts w:asciiTheme="majorBidi" w:hAnsiTheme="majorBidi" w:cstheme="majorBidi"/>
          <w:sz w:val="24"/>
          <w:szCs w:val="24"/>
        </w:rPr>
        <w:t>Maat notes the legislative commitment of German government requiring employers with 20 or more positions to hire a specific percentage of persons with severe disabilities. If this quota is not met, employers are required to pay a graduated compensatory tax. The Act to Promote an Inclusive Labor Market, issued on June 6, 2023, reinforced this obligation by introducing a fourth level of the compensatory tax targeting employers who do not employ any persons with severe disabilities. Starting January 2024, this tax has been significantly increased, enhancing the incentive to integrate this group into German labor market.</w:t>
      </w:r>
      <w:r w:rsidRPr="00FD74AB">
        <w:rPr>
          <w:rStyle w:val="FootnoteReference"/>
          <w:rFonts w:asciiTheme="majorBidi" w:hAnsiTheme="majorBidi" w:cstheme="majorBidi"/>
          <w:sz w:val="24"/>
          <w:szCs w:val="24"/>
        </w:rPr>
        <w:footnoteReference w:id="2"/>
      </w:r>
    </w:p>
    <w:p w14:paraId="62FD204D" w14:textId="77777777" w:rsidR="00FD74AB" w:rsidRPr="00FD74AB" w:rsidRDefault="00FD74AB" w:rsidP="00FD74AB">
      <w:pPr>
        <w:jc w:val="both"/>
        <w:rPr>
          <w:rFonts w:asciiTheme="majorBidi" w:hAnsiTheme="majorBidi" w:cstheme="majorBidi"/>
          <w:sz w:val="24"/>
          <w:szCs w:val="24"/>
        </w:rPr>
      </w:pPr>
      <w:r w:rsidRPr="00FD74AB">
        <w:rPr>
          <w:rFonts w:asciiTheme="majorBidi" w:hAnsiTheme="majorBidi" w:cstheme="majorBidi"/>
          <w:sz w:val="24"/>
          <w:szCs w:val="24"/>
        </w:rPr>
        <w:t xml:space="preserve">Additionally, Maat acknowledges Germany's role in enacting the Supply Chain Act at the beginning of 2023, which obliges German companies to exercise due diligence to ensure that their operations and supply chains are free from human rights violations, including child labor, low wages, and environmental harm. As of January 2024, the scope of this law has been expanded to include companies with 1,000 or more employees, up from the initial threshold of 3,000 employees at the start of its enforcement. This law comes in light of reports indicating that major German </w:t>
      </w:r>
      <w:r w:rsidRPr="00FD74AB">
        <w:rPr>
          <w:rFonts w:asciiTheme="majorBidi" w:hAnsiTheme="majorBidi" w:cstheme="majorBidi"/>
          <w:sz w:val="24"/>
          <w:szCs w:val="24"/>
        </w:rPr>
        <w:lastRenderedPageBreak/>
        <w:t>companies were benefiting from the labor of approximately 700,000 children in the cocoa industry in Ghana alone, causing significant health and educational harm to these children.</w:t>
      </w:r>
      <w:r w:rsidRPr="00FD74AB">
        <w:rPr>
          <w:rStyle w:val="FootnoteReference"/>
          <w:rFonts w:asciiTheme="majorBidi" w:hAnsiTheme="majorBidi" w:cstheme="majorBidi"/>
          <w:sz w:val="24"/>
          <w:szCs w:val="24"/>
        </w:rPr>
        <w:footnoteReference w:id="3"/>
      </w:r>
    </w:p>
    <w:p w14:paraId="23CD1BA4" w14:textId="77777777" w:rsidR="00FD74AB" w:rsidRPr="00FD74AB" w:rsidRDefault="00FD74AB" w:rsidP="005F528C">
      <w:pPr>
        <w:jc w:val="both"/>
        <w:rPr>
          <w:rFonts w:asciiTheme="majorBidi" w:hAnsiTheme="majorBidi" w:cstheme="majorBidi"/>
          <w:sz w:val="24"/>
          <w:szCs w:val="24"/>
        </w:rPr>
      </w:pPr>
      <w:r w:rsidRPr="00FD74AB">
        <w:rPr>
          <w:rFonts w:asciiTheme="majorBidi" w:hAnsiTheme="majorBidi" w:cstheme="majorBidi"/>
          <w:sz w:val="24"/>
          <w:szCs w:val="24"/>
        </w:rPr>
        <w:t>Despite these achievements, Maat sadly notes that Germany has yet to ratify the International Convention on the Protection of the Rights of All Migrant Workers and Members of Their Families. German authorities have justified this abstention by stating that the rights of migrant workers are protected under other treaties ratified by Germany. However, the lack of ratification of this convention deprives migrant workers of additional protections that could address existing gaps, particularly for those without legal residency status.</w:t>
      </w:r>
      <w:r w:rsidRPr="00FD74AB">
        <w:rPr>
          <w:rStyle w:val="FootnoteReference"/>
          <w:rFonts w:asciiTheme="majorBidi" w:hAnsiTheme="majorBidi" w:cstheme="majorBidi"/>
          <w:sz w:val="24"/>
          <w:szCs w:val="24"/>
        </w:rPr>
        <w:footnoteReference w:id="4"/>
      </w:r>
      <w:r w:rsidRPr="00FD74AB">
        <w:rPr>
          <w:rFonts w:asciiTheme="majorBidi" w:hAnsiTheme="majorBidi" w:cstheme="majorBidi"/>
          <w:sz w:val="24"/>
          <w:szCs w:val="24"/>
        </w:rPr>
        <w:t xml:space="preserve"> Migrant workers in Germany pay a heavy price due to this delay, with many estimated to be working in temporary or low-paying jobs that do not meet their families' needs. They also face significant barriers in recognizing qualifications obtained in their home countries.</w:t>
      </w:r>
      <w:r w:rsidRPr="00FD74AB">
        <w:rPr>
          <w:rStyle w:val="FootnoteReference"/>
          <w:rFonts w:asciiTheme="majorBidi" w:hAnsiTheme="majorBidi" w:cstheme="majorBidi"/>
          <w:sz w:val="24"/>
          <w:szCs w:val="24"/>
        </w:rPr>
        <w:footnoteReference w:id="5"/>
      </w:r>
    </w:p>
    <w:p w14:paraId="0EAA2B1D" w14:textId="77777777" w:rsidR="00FD74AB" w:rsidRPr="00FD74AB" w:rsidRDefault="00FD74AB" w:rsidP="005F528C">
      <w:pPr>
        <w:jc w:val="both"/>
        <w:rPr>
          <w:rFonts w:asciiTheme="majorBidi" w:hAnsiTheme="majorBidi" w:cstheme="majorBidi"/>
          <w:sz w:val="24"/>
          <w:szCs w:val="24"/>
        </w:rPr>
      </w:pPr>
      <w:r w:rsidRPr="00FD74AB">
        <w:rPr>
          <w:rFonts w:asciiTheme="majorBidi" w:hAnsiTheme="majorBidi" w:cstheme="majorBidi"/>
          <w:sz w:val="24"/>
          <w:szCs w:val="24"/>
        </w:rPr>
        <w:t>Maat illustrates this with the challenges faced by foreign nurses in Germany, who are required by authorities to meet additional academic qualifications and language skills despite having adequate academic credentials and professional training in their home countries. Testimonies from several nurses reveal experiences of neglect and racial discrimination from some colleagues and supervisors in the workplace, manifested in unfair distribution of tasks, wage gaps, and mistreatment. Estimates indicate that 65% of Filipino nurses working in Germany have experienced racial discrimination, and they often do not receive adequate training or integration programs within work teams. Additionally, discriminatory practices persist, with some healthcare workers categorizing people of color as "less sensitive to pain," negatively impacting the quality of care they receive.</w:t>
      </w:r>
      <w:r w:rsidRPr="00FD74AB">
        <w:rPr>
          <w:rStyle w:val="FootnoteReference"/>
          <w:rFonts w:asciiTheme="majorBidi" w:hAnsiTheme="majorBidi" w:cstheme="majorBidi"/>
          <w:sz w:val="24"/>
          <w:szCs w:val="24"/>
        </w:rPr>
        <w:footnoteReference w:id="6"/>
      </w:r>
      <w:r w:rsidRPr="00FD74AB">
        <w:rPr>
          <w:rStyle w:val="FootnoteReference"/>
          <w:rFonts w:asciiTheme="majorBidi" w:hAnsiTheme="majorBidi" w:cstheme="majorBidi"/>
          <w:sz w:val="24"/>
          <w:szCs w:val="24"/>
        </w:rPr>
        <w:footnoteReference w:id="7"/>
      </w:r>
    </w:p>
    <w:p w14:paraId="3144A46B" w14:textId="77777777" w:rsidR="00FD74AB" w:rsidRPr="005F528C" w:rsidRDefault="00FD74AB" w:rsidP="00FD74AB">
      <w:pPr>
        <w:jc w:val="both"/>
        <w:rPr>
          <w:rFonts w:asciiTheme="majorBidi" w:hAnsiTheme="majorBidi" w:cstheme="majorBidi"/>
          <w:b/>
          <w:bCs/>
          <w:sz w:val="24"/>
          <w:szCs w:val="24"/>
          <w:u w:val="single"/>
        </w:rPr>
      </w:pPr>
      <w:r w:rsidRPr="005F528C">
        <w:rPr>
          <w:rFonts w:asciiTheme="majorBidi" w:hAnsiTheme="majorBidi" w:cstheme="majorBidi"/>
          <w:b/>
          <w:bCs/>
          <w:sz w:val="24"/>
          <w:szCs w:val="24"/>
          <w:u w:val="single"/>
        </w:rPr>
        <w:t>List of Issues</w:t>
      </w:r>
    </w:p>
    <w:p w14:paraId="31646F25" w14:textId="77777777" w:rsidR="00FD74AB" w:rsidRPr="00FD74AB" w:rsidRDefault="00FD74AB" w:rsidP="00FD74AB">
      <w:pPr>
        <w:jc w:val="both"/>
        <w:rPr>
          <w:rFonts w:asciiTheme="majorBidi" w:hAnsiTheme="majorBidi" w:cstheme="majorBidi"/>
          <w:sz w:val="24"/>
          <w:szCs w:val="24"/>
        </w:rPr>
      </w:pPr>
      <w:r w:rsidRPr="00FD74AB">
        <w:rPr>
          <w:rFonts w:asciiTheme="majorBidi" w:hAnsiTheme="majorBidi" w:cstheme="majorBidi"/>
          <w:sz w:val="24"/>
          <w:szCs w:val="24"/>
        </w:rPr>
        <w:t>Maat calls on the Committee to encourage German government to:</w:t>
      </w:r>
    </w:p>
    <w:p w14:paraId="7508A2D9" w14:textId="77777777" w:rsidR="00FD74AB" w:rsidRPr="00FD74AB" w:rsidRDefault="00FD74AB" w:rsidP="00FD74AB">
      <w:pPr>
        <w:numPr>
          <w:ilvl w:val="0"/>
          <w:numId w:val="45"/>
        </w:numPr>
        <w:spacing w:line="278" w:lineRule="auto"/>
        <w:jc w:val="both"/>
        <w:rPr>
          <w:rFonts w:asciiTheme="majorBidi" w:hAnsiTheme="majorBidi" w:cstheme="majorBidi"/>
          <w:sz w:val="24"/>
          <w:szCs w:val="24"/>
        </w:rPr>
      </w:pPr>
      <w:r w:rsidRPr="00FD74AB">
        <w:rPr>
          <w:rFonts w:asciiTheme="majorBidi" w:hAnsiTheme="majorBidi" w:cstheme="majorBidi"/>
          <w:sz w:val="24"/>
          <w:szCs w:val="24"/>
        </w:rPr>
        <w:t>Provide information on measures taken by German government to prevent discrimination against foreign nurses in Germany.</w:t>
      </w:r>
    </w:p>
    <w:p w14:paraId="675C58D0" w14:textId="77777777" w:rsidR="00FD74AB" w:rsidRPr="005F528C" w:rsidRDefault="00FD74AB" w:rsidP="00FD74AB">
      <w:pPr>
        <w:pStyle w:val="ListParagraph"/>
        <w:numPr>
          <w:ilvl w:val="0"/>
          <w:numId w:val="48"/>
        </w:numPr>
        <w:spacing w:line="278" w:lineRule="auto"/>
        <w:jc w:val="both"/>
        <w:rPr>
          <w:rFonts w:asciiTheme="majorBidi" w:hAnsiTheme="majorBidi" w:cstheme="majorBidi"/>
          <w:b/>
          <w:bCs/>
          <w:color w:val="C45911" w:themeColor="accent2" w:themeShade="BF"/>
          <w:sz w:val="28"/>
          <w:szCs w:val="28"/>
        </w:rPr>
      </w:pPr>
      <w:r w:rsidRPr="005F528C">
        <w:rPr>
          <w:rFonts w:asciiTheme="majorBidi" w:hAnsiTheme="majorBidi" w:cstheme="majorBidi"/>
          <w:b/>
          <w:bCs/>
          <w:color w:val="C45911" w:themeColor="accent2" w:themeShade="BF"/>
          <w:sz w:val="28"/>
          <w:szCs w:val="28"/>
        </w:rPr>
        <w:t>Right to Social Security (Article 9)</w:t>
      </w:r>
    </w:p>
    <w:p w14:paraId="5CC818AD" w14:textId="77777777" w:rsidR="00FD74AB" w:rsidRPr="00FD74AB" w:rsidRDefault="00FD74AB" w:rsidP="00FD74AB">
      <w:pPr>
        <w:jc w:val="both"/>
        <w:rPr>
          <w:rFonts w:asciiTheme="majorBidi" w:hAnsiTheme="majorBidi" w:cstheme="majorBidi"/>
          <w:sz w:val="24"/>
          <w:szCs w:val="24"/>
        </w:rPr>
      </w:pPr>
      <w:r w:rsidRPr="00FD74AB">
        <w:rPr>
          <w:rFonts w:asciiTheme="majorBidi" w:hAnsiTheme="majorBidi" w:cstheme="majorBidi"/>
          <w:sz w:val="24"/>
          <w:szCs w:val="24"/>
        </w:rPr>
        <w:t xml:space="preserve">Maat has reviewed reports on the performance of the social security system in Germany and noted significant challenges regarding gender equality in this area. Reports indicate that the social </w:t>
      </w:r>
      <w:r w:rsidRPr="00FD74AB">
        <w:rPr>
          <w:rFonts w:asciiTheme="majorBidi" w:hAnsiTheme="majorBidi" w:cstheme="majorBidi"/>
          <w:sz w:val="24"/>
          <w:szCs w:val="24"/>
        </w:rPr>
        <w:lastRenderedPageBreak/>
        <w:t>security system does not provide adequate protection for women against poverty risks, contradicting the constitutional commitment of the state to ensure basic livelihoods for all citizens. Statistics show that women are disproportionately affected by poverty, constituting two-thirds of low-wage workers. Additionally, women often receive lower pensions compared to their male counterparts due to insufficient recognition of childcare responsibilities in pension benefit calculations. The prevalence of single-parent households led by women exacerbates their financial vulnerability.</w:t>
      </w:r>
    </w:p>
    <w:p w14:paraId="03677B05" w14:textId="77777777" w:rsidR="00FD74AB" w:rsidRPr="00FD74AB" w:rsidRDefault="00FD74AB" w:rsidP="005F528C">
      <w:pPr>
        <w:jc w:val="both"/>
        <w:rPr>
          <w:rFonts w:asciiTheme="majorBidi" w:hAnsiTheme="majorBidi" w:cstheme="majorBidi"/>
          <w:sz w:val="24"/>
          <w:szCs w:val="24"/>
        </w:rPr>
      </w:pPr>
      <w:r w:rsidRPr="00FD74AB">
        <w:rPr>
          <w:rFonts w:asciiTheme="majorBidi" w:hAnsiTheme="majorBidi" w:cstheme="majorBidi"/>
          <w:sz w:val="24"/>
          <w:szCs w:val="24"/>
        </w:rPr>
        <w:t>Furthermore, Maat observes that the rising cost of living, driven by inflation, has deepened existing economic disparities between genders. According to Article 1 of German Basic Law, the state is obligated to guarantee a minimum standard of living, which includes not only material necessities but also social and cultural resources that facilitate social relationships and participation in cultural and political life. Despite German government's commitment in 2021 to reform the social security system to address the economic fallout from rising prices post-COVID-19, political disagreements among ruling parties resulted in limited reforms that did not meet the prevailing challenges. The aging population complicates these issues, indicating that elderly women may be at greater risk of poverty in the future due to the anticipated decline in pension support and the ongoing gender wage gap. The current cost-of-living crisis, influenced by geopolitical tensions, adds to the increasing economic pressures on vulnerable groups, particularly women.</w:t>
      </w:r>
      <w:r w:rsidRPr="00FD74AB">
        <w:rPr>
          <w:rStyle w:val="FootnoteReference"/>
          <w:rFonts w:asciiTheme="majorBidi" w:hAnsiTheme="majorBidi" w:cstheme="majorBidi"/>
          <w:sz w:val="24"/>
          <w:szCs w:val="24"/>
        </w:rPr>
        <w:footnoteReference w:id="8"/>
      </w:r>
    </w:p>
    <w:p w14:paraId="33E71DF3" w14:textId="77777777" w:rsidR="00FD74AB" w:rsidRPr="00FD74AB" w:rsidRDefault="00FD74AB" w:rsidP="00FD74AB">
      <w:pPr>
        <w:jc w:val="both"/>
        <w:rPr>
          <w:rFonts w:asciiTheme="majorBidi" w:hAnsiTheme="majorBidi" w:cstheme="majorBidi"/>
          <w:b/>
          <w:bCs/>
          <w:sz w:val="24"/>
          <w:szCs w:val="24"/>
          <w:u w:val="single"/>
        </w:rPr>
      </w:pPr>
      <w:r w:rsidRPr="00FD74AB">
        <w:rPr>
          <w:rFonts w:asciiTheme="majorBidi" w:hAnsiTheme="majorBidi" w:cstheme="majorBidi"/>
          <w:b/>
          <w:bCs/>
          <w:sz w:val="24"/>
          <w:szCs w:val="24"/>
          <w:u w:val="single"/>
        </w:rPr>
        <w:t>List of Issues</w:t>
      </w:r>
    </w:p>
    <w:p w14:paraId="4474B06B" w14:textId="77777777" w:rsidR="00FD74AB" w:rsidRPr="00FD74AB" w:rsidRDefault="00FD74AB" w:rsidP="00FD74AB">
      <w:pPr>
        <w:jc w:val="both"/>
        <w:rPr>
          <w:rFonts w:asciiTheme="majorBidi" w:hAnsiTheme="majorBidi" w:cstheme="majorBidi"/>
          <w:sz w:val="24"/>
          <w:szCs w:val="24"/>
        </w:rPr>
      </w:pPr>
      <w:r w:rsidRPr="00FD74AB">
        <w:rPr>
          <w:rFonts w:asciiTheme="majorBidi" w:hAnsiTheme="majorBidi" w:cstheme="majorBidi"/>
          <w:sz w:val="24"/>
          <w:szCs w:val="24"/>
        </w:rPr>
        <w:t>Maat calls on the Committee to encourage German government to:</w:t>
      </w:r>
    </w:p>
    <w:p w14:paraId="4BA0DB1A" w14:textId="77777777" w:rsidR="00FD74AB" w:rsidRPr="00FD74AB" w:rsidRDefault="00FD74AB" w:rsidP="00FD74AB">
      <w:pPr>
        <w:numPr>
          <w:ilvl w:val="0"/>
          <w:numId w:val="46"/>
        </w:numPr>
        <w:spacing w:line="278" w:lineRule="auto"/>
        <w:jc w:val="both"/>
        <w:rPr>
          <w:rFonts w:asciiTheme="majorBidi" w:hAnsiTheme="majorBidi" w:cstheme="majorBidi"/>
          <w:sz w:val="24"/>
          <w:szCs w:val="24"/>
        </w:rPr>
      </w:pPr>
      <w:r w:rsidRPr="00FD74AB">
        <w:rPr>
          <w:rFonts w:asciiTheme="majorBidi" w:hAnsiTheme="majorBidi" w:cstheme="majorBidi"/>
          <w:sz w:val="24"/>
          <w:szCs w:val="24"/>
        </w:rPr>
        <w:t>Provide information on measures taken by German government to prevent discrimination against foreign nurses in Germany.</w:t>
      </w:r>
    </w:p>
    <w:p w14:paraId="7502534D" w14:textId="77777777" w:rsidR="00FD74AB" w:rsidRPr="00FD74AB" w:rsidRDefault="00FD74AB" w:rsidP="00FD74AB">
      <w:pPr>
        <w:numPr>
          <w:ilvl w:val="0"/>
          <w:numId w:val="46"/>
        </w:numPr>
        <w:spacing w:line="278" w:lineRule="auto"/>
        <w:jc w:val="both"/>
        <w:rPr>
          <w:rFonts w:asciiTheme="majorBidi" w:hAnsiTheme="majorBidi" w:cstheme="majorBidi"/>
          <w:sz w:val="24"/>
          <w:szCs w:val="24"/>
        </w:rPr>
      </w:pPr>
      <w:r w:rsidRPr="00FD74AB">
        <w:rPr>
          <w:rFonts w:asciiTheme="majorBidi" w:hAnsiTheme="majorBidi" w:cstheme="majorBidi"/>
          <w:sz w:val="24"/>
          <w:szCs w:val="24"/>
        </w:rPr>
        <w:t>Provide information on steps taken to include migrants in the social security system.</w:t>
      </w:r>
    </w:p>
    <w:p w14:paraId="7542AF86" w14:textId="77777777" w:rsidR="00FD74AB" w:rsidRPr="005F528C" w:rsidRDefault="00FD74AB" w:rsidP="00FD74AB">
      <w:pPr>
        <w:pStyle w:val="ListParagraph"/>
        <w:numPr>
          <w:ilvl w:val="0"/>
          <w:numId w:val="48"/>
        </w:numPr>
        <w:spacing w:line="278" w:lineRule="auto"/>
        <w:jc w:val="both"/>
        <w:rPr>
          <w:rFonts w:asciiTheme="majorBidi" w:hAnsiTheme="majorBidi" w:cstheme="majorBidi"/>
          <w:b/>
          <w:bCs/>
          <w:color w:val="C45911" w:themeColor="accent2" w:themeShade="BF"/>
          <w:sz w:val="28"/>
          <w:szCs w:val="28"/>
        </w:rPr>
      </w:pPr>
      <w:r w:rsidRPr="005F528C">
        <w:rPr>
          <w:rFonts w:asciiTheme="majorBidi" w:hAnsiTheme="majorBidi" w:cstheme="majorBidi"/>
          <w:b/>
          <w:bCs/>
          <w:color w:val="C45911" w:themeColor="accent2" w:themeShade="BF"/>
          <w:sz w:val="28"/>
          <w:szCs w:val="28"/>
        </w:rPr>
        <w:t>Right to Adequate Housing (Article 11)</w:t>
      </w:r>
    </w:p>
    <w:p w14:paraId="1A549FF1" w14:textId="082D52C0" w:rsidR="00FD74AB" w:rsidRPr="00FD74AB" w:rsidRDefault="00FD74AB" w:rsidP="00FD74AB">
      <w:pPr>
        <w:jc w:val="both"/>
        <w:rPr>
          <w:rFonts w:asciiTheme="majorBidi" w:hAnsiTheme="majorBidi" w:cstheme="majorBidi"/>
          <w:sz w:val="24"/>
          <w:szCs w:val="24"/>
        </w:rPr>
      </w:pPr>
      <w:r w:rsidRPr="00FD74AB">
        <w:rPr>
          <w:rFonts w:asciiTheme="majorBidi" w:hAnsiTheme="majorBidi" w:cstheme="majorBidi"/>
          <w:sz w:val="24"/>
          <w:szCs w:val="24"/>
        </w:rPr>
        <w:t xml:space="preserve">The right to adequate housing is integral to enjoying an adequate standard of living, as emphasized in Article 11 of </w:t>
      </w:r>
      <w:r w:rsidR="005F528C">
        <w:rPr>
          <w:rFonts w:asciiTheme="majorBidi" w:hAnsiTheme="majorBidi" w:cstheme="majorBidi"/>
          <w:sz w:val="24"/>
          <w:szCs w:val="24"/>
        </w:rPr>
        <w:t xml:space="preserve">The </w:t>
      </w:r>
      <w:r w:rsidRPr="00FD74AB">
        <w:rPr>
          <w:rFonts w:asciiTheme="majorBidi" w:hAnsiTheme="majorBidi" w:cstheme="majorBidi"/>
          <w:sz w:val="24"/>
          <w:szCs w:val="24"/>
        </w:rPr>
        <w:t>Covenant. In this context, Maat notes the significant challenges facing this right in Germany, especially amid economic crises and high population pressures.</w:t>
      </w:r>
    </w:p>
    <w:p w14:paraId="3B88A88F" w14:textId="77777777" w:rsidR="00FD74AB" w:rsidRPr="00FD74AB" w:rsidRDefault="00FD74AB" w:rsidP="005F528C">
      <w:pPr>
        <w:jc w:val="both"/>
        <w:rPr>
          <w:rFonts w:asciiTheme="majorBidi" w:hAnsiTheme="majorBidi" w:cstheme="majorBidi"/>
          <w:sz w:val="24"/>
          <w:szCs w:val="24"/>
        </w:rPr>
      </w:pPr>
      <w:r w:rsidRPr="00FD74AB">
        <w:rPr>
          <w:rFonts w:asciiTheme="majorBidi" w:hAnsiTheme="majorBidi" w:cstheme="majorBidi"/>
          <w:sz w:val="24"/>
          <w:szCs w:val="24"/>
        </w:rPr>
        <w:t xml:space="preserve">Maat observes rising rental prices and a shortage of new residential buildings, leading an increasing number of residents to abandon their homes. Estimates suggest that a growing segment of citizens now spends more than 40% of their monthly income on housing costs, exacerbated by the scarcity of housing, particularly in social housing. The crisis has intensified due to additional pressures from rising holiday rental prices and the influx of large numbers of refugees, further straining major cities. Germany is considered a "rental state," with over 50% of its population </w:t>
      </w:r>
      <w:r w:rsidRPr="00FD74AB">
        <w:rPr>
          <w:rFonts w:asciiTheme="majorBidi" w:hAnsiTheme="majorBidi" w:cstheme="majorBidi"/>
          <w:sz w:val="24"/>
          <w:szCs w:val="24"/>
        </w:rPr>
        <w:lastRenderedPageBreak/>
        <w:t>renting their homes, compared to an average of about 30% within the European Union as of 2023. This high reliance on rental housing deepens the housing crisis; while attempts to curb rent increases have helped some tenants, they have also led to a decrease in the availability of apartments due to reluctance among residents to move and a scarcity of units in the rental market.</w:t>
      </w:r>
    </w:p>
    <w:p w14:paraId="04B73EC9" w14:textId="77777777" w:rsidR="00FD74AB" w:rsidRPr="00FD74AB" w:rsidRDefault="00FD74AB" w:rsidP="005F528C">
      <w:pPr>
        <w:jc w:val="both"/>
        <w:rPr>
          <w:rFonts w:asciiTheme="majorBidi" w:hAnsiTheme="majorBidi" w:cstheme="majorBidi"/>
          <w:sz w:val="24"/>
          <w:szCs w:val="24"/>
        </w:rPr>
      </w:pPr>
      <w:r w:rsidRPr="00FD74AB">
        <w:rPr>
          <w:rFonts w:asciiTheme="majorBidi" w:hAnsiTheme="majorBidi" w:cstheme="majorBidi"/>
          <w:sz w:val="24"/>
          <w:szCs w:val="24"/>
        </w:rPr>
        <w:t>Some property owners have exploited legal loopholes to impose higher prices on furnished apartments, which are exempt from rent controls, forcing many families to move to the outskirts of cities in search of affordable housing. Estimates indicate that Germany needs between 600,000 and 800,000 additional housing units to meet rising demand, with this shortfall increasing over time. More than 9.5 million people live in overcrowded conditions, according to data from the Federal Statistical Office. Although German government has pledged to build 400,000 housing units annually, including 100,000 for social housing, achieving this goal seems distant due to rising interest rates and construction costs, as well as a slowdown in construction projects.</w:t>
      </w:r>
      <w:r w:rsidRPr="00FD74AB">
        <w:rPr>
          <w:rStyle w:val="FootnoteReference"/>
          <w:rFonts w:asciiTheme="majorBidi" w:hAnsiTheme="majorBidi" w:cstheme="majorBidi"/>
          <w:sz w:val="24"/>
          <w:szCs w:val="24"/>
        </w:rPr>
        <w:footnoteReference w:id="9"/>
      </w:r>
    </w:p>
    <w:p w14:paraId="04F0476A" w14:textId="77777777" w:rsidR="00FD74AB" w:rsidRPr="00FD74AB" w:rsidRDefault="00FD74AB" w:rsidP="005F528C">
      <w:pPr>
        <w:jc w:val="both"/>
        <w:rPr>
          <w:rFonts w:asciiTheme="majorBidi" w:hAnsiTheme="majorBidi" w:cstheme="majorBidi"/>
          <w:sz w:val="24"/>
          <w:szCs w:val="24"/>
          <w:rtl/>
        </w:rPr>
      </w:pPr>
      <w:r w:rsidRPr="00FD74AB">
        <w:rPr>
          <w:rFonts w:asciiTheme="majorBidi" w:hAnsiTheme="majorBidi" w:cstheme="majorBidi"/>
          <w:sz w:val="24"/>
          <w:szCs w:val="24"/>
        </w:rPr>
        <w:t>Refugees and migrants face compounded challenges in housing, as the pace of new housing construction has significantly slowed since the major refugee influx in 2015, worsening the housing crisis. With the influx of hundreds of thousands of refugees from Ukraine following the Russian-Ukrainian war, the situation has become more difficult, forcing many to pay exorbitant fees to brokers for housing, especially in major cities. The fierce competition for apartments has led to a boom in speculation and unprecedented corruption, with reports of bribes as high as €5,000 being paid for a small apartment in Berlin within state-supported housing projects.</w:t>
      </w:r>
      <w:r w:rsidRPr="00FD74AB">
        <w:rPr>
          <w:rStyle w:val="FootnoteReference"/>
          <w:rFonts w:asciiTheme="majorBidi" w:hAnsiTheme="majorBidi" w:cstheme="majorBidi"/>
          <w:sz w:val="24"/>
          <w:szCs w:val="24"/>
        </w:rPr>
        <w:footnoteReference w:id="10"/>
      </w:r>
    </w:p>
    <w:p w14:paraId="10F06F4C" w14:textId="77777777" w:rsidR="00FD74AB" w:rsidRPr="00FD74AB" w:rsidRDefault="00FD74AB" w:rsidP="00FD74AB">
      <w:pPr>
        <w:jc w:val="both"/>
        <w:rPr>
          <w:rFonts w:asciiTheme="majorBidi" w:hAnsiTheme="majorBidi" w:cstheme="majorBidi"/>
          <w:b/>
          <w:bCs/>
          <w:sz w:val="24"/>
          <w:szCs w:val="24"/>
          <w:u w:val="single"/>
        </w:rPr>
      </w:pPr>
      <w:r w:rsidRPr="00FD74AB">
        <w:rPr>
          <w:rFonts w:asciiTheme="majorBidi" w:hAnsiTheme="majorBidi" w:cstheme="majorBidi"/>
          <w:b/>
          <w:bCs/>
          <w:sz w:val="24"/>
          <w:szCs w:val="24"/>
          <w:u w:val="single"/>
        </w:rPr>
        <w:t xml:space="preserve">List of Issues </w:t>
      </w:r>
    </w:p>
    <w:p w14:paraId="72EA7C84" w14:textId="77777777" w:rsidR="00FD74AB" w:rsidRPr="00FD74AB" w:rsidRDefault="00FD74AB" w:rsidP="00FD74AB">
      <w:pPr>
        <w:jc w:val="both"/>
        <w:rPr>
          <w:rFonts w:asciiTheme="majorBidi" w:hAnsiTheme="majorBidi" w:cstheme="majorBidi"/>
          <w:sz w:val="24"/>
          <w:szCs w:val="24"/>
        </w:rPr>
      </w:pPr>
      <w:r w:rsidRPr="00FD74AB">
        <w:rPr>
          <w:rFonts w:asciiTheme="majorBidi" w:hAnsiTheme="majorBidi" w:cstheme="majorBidi"/>
          <w:sz w:val="24"/>
          <w:szCs w:val="24"/>
        </w:rPr>
        <w:t>Maat calls on the Committee to encourage German government to:</w:t>
      </w:r>
    </w:p>
    <w:p w14:paraId="28B7BFDA" w14:textId="77777777" w:rsidR="00FD74AB" w:rsidRPr="00FD74AB" w:rsidRDefault="00FD74AB" w:rsidP="00FD74AB">
      <w:pPr>
        <w:numPr>
          <w:ilvl w:val="0"/>
          <w:numId w:val="49"/>
        </w:numPr>
        <w:spacing w:line="278" w:lineRule="auto"/>
        <w:jc w:val="both"/>
        <w:rPr>
          <w:rFonts w:asciiTheme="majorBidi" w:hAnsiTheme="majorBidi" w:cstheme="majorBidi"/>
          <w:sz w:val="24"/>
          <w:szCs w:val="24"/>
        </w:rPr>
      </w:pPr>
      <w:r w:rsidRPr="00FD74AB">
        <w:rPr>
          <w:rFonts w:asciiTheme="majorBidi" w:hAnsiTheme="majorBidi" w:cstheme="majorBidi"/>
          <w:sz w:val="24"/>
          <w:szCs w:val="24"/>
        </w:rPr>
        <w:t>Provide information on affordable housing projects launched by German government for vulnerable groups and persons with disabilities.</w:t>
      </w:r>
    </w:p>
    <w:p w14:paraId="2C47D740" w14:textId="77777777" w:rsidR="00FD74AB" w:rsidRPr="005F528C" w:rsidRDefault="00FD74AB" w:rsidP="00FD74AB">
      <w:pPr>
        <w:pStyle w:val="ListParagraph"/>
        <w:numPr>
          <w:ilvl w:val="0"/>
          <w:numId w:val="48"/>
        </w:numPr>
        <w:spacing w:line="278" w:lineRule="auto"/>
        <w:jc w:val="both"/>
        <w:rPr>
          <w:rFonts w:asciiTheme="majorBidi" w:hAnsiTheme="majorBidi" w:cstheme="majorBidi"/>
          <w:b/>
          <w:bCs/>
          <w:color w:val="C45911" w:themeColor="accent2" w:themeShade="BF"/>
          <w:sz w:val="28"/>
          <w:szCs w:val="28"/>
        </w:rPr>
      </w:pPr>
      <w:r w:rsidRPr="005F528C">
        <w:rPr>
          <w:rFonts w:asciiTheme="majorBidi" w:hAnsiTheme="majorBidi" w:cstheme="majorBidi"/>
          <w:b/>
          <w:bCs/>
          <w:color w:val="C45911" w:themeColor="accent2" w:themeShade="BF"/>
          <w:sz w:val="28"/>
          <w:szCs w:val="28"/>
        </w:rPr>
        <w:t>Right to Health (Article 12)</w:t>
      </w:r>
    </w:p>
    <w:p w14:paraId="5B198FE9" w14:textId="77777777" w:rsidR="00FD74AB" w:rsidRPr="00FD74AB" w:rsidRDefault="00FD74AB" w:rsidP="00FD74AB">
      <w:pPr>
        <w:jc w:val="both"/>
        <w:rPr>
          <w:rFonts w:asciiTheme="majorBidi" w:hAnsiTheme="majorBidi" w:cstheme="majorBidi"/>
          <w:sz w:val="24"/>
          <w:szCs w:val="24"/>
        </w:rPr>
      </w:pPr>
      <w:r w:rsidRPr="00FD74AB">
        <w:rPr>
          <w:rFonts w:asciiTheme="majorBidi" w:hAnsiTheme="majorBidi" w:cstheme="majorBidi"/>
          <w:sz w:val="24"/>
          <w:szCs w:val="24"/>
        </w:rPr>
        <w:t xml:space="preserve">Ensuring the right to health without discrimination is one of the fundamental principles outlined in the International Covenant on Economic, Social, and Cultural Rights. Although Germany has long been known for having one of the best healthcare systems in the world, the reality reveals significant challenges in ensuring equal access to this right for all individuals. Reports reviewed by Maat document that ethnic minorities in Germany face systemic discriminatory practices within </w:t>
      </w:r>
      <w:r w:rsidRPr="00FD74AB">
        <w:rPr>
          <w:rFonts w:asciiTheme="majorBidi" w:hAnsiTheme="majorBidi" w:cstheme="majorBidi"/>
          <w:sz w:val="24"/>
          <w:szCs w:val="24"/>
        </w:rPr>
        <w:lastRenderedPageBreak/>
        <w:t>the healthcare sector, negatively affecting their access to necessary care. Data indicates that 39% of Black women, 35% of Muslim women, and 29% of Asian women have experienced racial discrimination from medical staff and healthcare workers. This discrimination manifests in various ways, from the difficulty in booking appointments for patients of non-German backgrounds, whether seeking physical or mental health treatment, to deliberate neglect in providing care to individuals from minority groups. This situation has led many to refuse treatment or seek care elsewhere, and some have chosen not to seek medical attention at all for fear of mistreatment or bias.</w:t>
      </w:r>
      <w:r w:rsidRPr="00FD74AB">
        <w:rPr>
          <w:rStyle w:val="FootnoteReference"/>
          <w:rFonts w:asciiTheme="majorBidi" w:hAnsiTheme="majorBidi" w:cstheme="majorBidi"/>
          <w:sz w:val="24"/>
          <w:szCs w:val="24"/>
        </w:rPr>
        <w:footnoteReference w:id="11"/>
      </w:r>
    </w:p>
    <w:p w14:paraId="7EB2B96E" w14:textId="00E669DC" w:rsidR="00FD74AB" w:rsidRPr="00FD74AB" w:rsidRDefault="00FD74AB" w:rsidP="005F528C">
      <w:pPr>
        <w:jc w:val="both"/>
        <w:rPr>
          <w:rFonts w:asciiTheme="majorBidi" w:hAnsiTheme="majorBidi" w:cstheme="majorBidi"/>
          <w:sz w:val="24"/>
          <w:szCs w:val="24"/>
        </w:rPr>
      </w:pPr>
      <w:r w:rsidRPr="00FD74AB">
        <w:rPr>
          <w:rFonts w:asciiTheme="majorBidi" w:hAnsiTheme="majorBidi" w:cstheme="majorBidi"/>
          <w:sz w:val="24"/>
          <w:szCs w:val="24"/>
        </w:rPr>
        <w:t xml:space="preserve">These practices have severely impacted the level of trust in German healthcare system among ethnic minorities, with statistics showing that their trust has dropped to only 45%. Maat notes that this lack of trust stems from a strong belief that skin color and the patient's surname are the determining factors in the quality of healthcare received in Germany, which constitutes a clear violation of the state’s obligations under Article 12 of </w:t>
      </w:r>
      <w:r w:rsidR="005F528C">
        <w:rPr>
          <w:rFonts w:asciiTheme="majorBidi" w:hAnsiTheme="majorBidi" w:cstheme="majorBidi"/>
          <w:sz w:val="24"/>
          <w:szCs w:val="24"/>
        </w:rPr>
        <w:t xml:space="preserve">The </w:t>
      </w:r>
      <w:r w:rsidRPr="00FD74AB">
        <w:rPr>
          <w:rFonts w:asciiTheme="majorBidi" w:hAnsiTheme="majorBidi" w:cstheme="majorBidi"/>
          <w:sz w:val="24"/>
          <w:szCs w:val="24"/>
        </w:rPr>
        <w:t>Covenant.</w:t>
      </w:r>
      <w:r w:rsidRPr="00FD74AB">
        <w:rPr>
          <w:rStyle w:val="FootnoteReference"/>
          <w:rFonts w:asciiTheme="majorBidi" w:hAnsiTheme="majorBidi" w:cstheme="majorBidi"/>
          <w:sz w:val="24"/>
          <w:szCs w:val="24"/>
        </w:rPr>
        <w:footnoteReference w:id="12"/>
      </w:r>
    </w:p>
    <w:p w14:paraId="29809E5C" w14:textId="77777777" w:rsidR="00FD74AB" w:rsidRPr="00FD74AB" w:rsidRDefault="00FD74AB" w:rsidP="005F528C">
      <w:pPr>
        <w:jc w:val="both"/>
        <w:rPr>
          <w:rFonts w:asciiTheme="majorBidi" w:hAnsiTheme="majorBidi" w:cstheme="majorBidi"/>
          <w:sz w:val="24"/>
          <w:szCs w:val="24"/>
        </w:rPr>
      </w:pPr>
      <w:r w:rsidRPr="00FD74AB">
        <w:rPr>
          <w:rFonts w:asciiTheme="majorBidi" w:hAnsiTheme="majorBidi" w:cstheme="majorBidi"/>
          <w:sz w:val="24"/>
          <w:szCs w:val="24"/>
        </w:rPr>
        <w:t>Additionally, Maat has observed other challenges facing the healthcare sector in Germany. A survey of 3,700 family doctors out of a total of 56,000 indicated that 25% of doctors plan to leave their positions by 2030. The survey concluded that those who continue to work will have to reduce their weekly hours by an average of two hours.</w:t>
      </w:r>
      <w:r w:rsidRPr="00FD74AB">
        <w:rPr>
          <w:rStyle w:val="FootnoteReference"/>
          <w:rFonts w:asciiTheme="majorBidi" w:hAnsiTheme="majorBidi" w:cstheme="majorBidi"/>
          <w:sz w:val="24"/>
          <w:szCs w:val="24"/>
        </w:rPr>
        <w:footnoteReference w:id="13"/>
      </w:r>
      <w:r w:rsidRPr="00FD74AB">
        <w:rPr>
          <w:rFonts w:asciiTheme="majorBidi" w:hAnsiTheme="majorBidi" w:cstheme="majorBidi"/>
          <w:sz w:val="24"/>
          <w:szCs w:val="24"/>
        </w:rPr>
        <w:t xml:space="preserve"> Moreover, refugees and asylum seekers in Germany lack access to mental healthcare.</w:t>
      </w:r>
      <w:r w:rsidRPr="00FD74AB">
        <w:rPr>
          <w:rStyle w:val="FootnoteReference"/>
          <w:rFonts w:asciiTheme="majorBidi" w:hAnsiTheme="majorBidi" w:cstheme="majorBidi"/>
          <w:sz w:val="24"/>
          <w:szCs w:val="24"/>
        </w:rPr>
        <w:footnoteReference w:id="14"/>
      </w:r>
    </w:p>
    <w:p w14:paraId="4647EA64" w14:textId="77777777" w:rsidR="00FD74AB" w:rsidRPr="00FD74AB" w:rsidRDefault="00FD74AB" w:rsidP="00FD74AB">
      <w:pPr>
        <w:jc w:val="both"/>
        <w:rPr>
          <w:rFonts w:asciiTheme="majorBidi" w:hAnsiTheme="majorBidi" w:cstheme="majorBidi"/>
          <w:b/>
          <w:bCs/>
          <w:sz w:val="24"/>
          <w:szCs w:val="24"/>
          <w:u w:val="single"/>
        </w:rPr>
      </w:pPr>
      <w:r w:rsidRPr="00FD74AB">
        <w:rPr>
          <w:rFonts w:asciiTheme="majorBidi" w:hAnsiTheme="majorBidi" w:cstheme="majorBidi"/>
          <w:b/>
          <w:bCs/>
          <w:sz w:val="24"/>
          <w:szCs w:val="24"/>
          <w:u w:val="single"/>
        </w:rPr>
        <w:t>List of Issues</w:t>
      </w:r>
    </w:p>
    <w:p w14:paraId="4FF7D64B" w14:textId="77777777" w:rsidR="00FD74AB" w:rsidRPr="00FD74AB" w:rsidRDefault="00FD74AB" w:rsidP="00FD74AB">
      <w:pPr>
        <w:jc w:val="both"/>
        <w:rPr>
          <w:rFonts w:asciiTheme="majorBidi" w:hAnsiTheme="majorBidi" w:cstheme="majorBidi"/>
          <w:sz w:val="24"/>
          <w:szCs w:val="24"/>
        </w:rPr>
      </w:pPr>
      <w:bookmarkStart w:id="1" w:name="OLE_LINK2"/>
      <w:r w:rsidRPr="00FD74AB">
        <w:rPr>
          <w:rFonts w:asciiTheme="majorBidi" w:hAnsiTheme="majorBidi" w:cstheme="majorBidi"/>
          <w:sz w:val="24"/>
          <w:szCs w:val="24"/>
        </w:rPr>
        <w:t xml:space="preserve">Maat </w:t>
      </w:r>
      <w:bookmarkEnd w:id="1"/>
      <w:r w:rsidRPr="00FD74AB">
        <w:rPr>
          <w:rFonts w:asciiTheme="majorBidi" w:hAnsiTheme="majorBidi" w:cstheme="majorBidi"/>
          <w:sz w:val="24"/>
          <w:szCs w:val="24"/>
        </w:rPr>
        <w:t>calls on the Committee to encourage German government to:</w:t>
      </w:r>
    </w:p>
    <w:p w14:paraId="71E4DE86" w14:textId="77777777" w:rsidR="00FD74AB" w:rsidRPr="00FD74AB" w:rsidRDefault="00FD74AB" w:rsidP="00FD74AB">
      <w:pPr>
        <w:numPr>
          <w:ilvl w:val="0"/>
          <w:numId w:val="47"/>
        </w:numPr>
        <w:spacing w:line="278" w:lineRule="auto"/>
        <w:jc w:val="both"/>
        <w:rPr>
          <w:rFonts w:asciiTheme="majorBidi" w:hAnsiTheme="majorBidi" w:cstheme="majorBidi"/>
          <w:sz w:val="24"/>
          <w:szCs w:val="24"/>
        </w:rPr>
      </w:pPr>
      <w:r w:rsidRPr="00FD74AB">
        <w:rPr>
          <w:rFonts w:asciiTheme="majorBidi" w:hAnsiTheme="majorBidi" w:cstheme="majorBidi"/>
          <w:sz w:val="24"/>
          <w:szCs w:val="24"/>
        </w:rPr>
        <w:t>Provide information on the number of mental health care centers at federal level in Germany.</w:t>
      </w:r>
    </w:p>
    <w:p w14:paraId="7439AE5E" w14:textId="77777777" w:rsidR="00FD74AB" w:rsidRPr="00FD74AB" w:rsidRDefault="00FD74AB" w:rsidP="00FD74AB">
      <w:pPr>
        <w:jc w:val="both"/>
        <w:rPr>
          <w:rFonts w:asciiTheme="majorBidi" w:hAnsiTheme="majorBidi" w:cstheme="majorBidi"/>
          <w:sz w:val="24"/>
          <w:szCs w:val="24"/>
        </w:rPr>
      </w:pPr>
    </w:p>
    <w:p w14:paraId="4994A190" w14:textId="532B01AF" w:rsidR="004A7201" w:rsidRPr="00FD74AB" w:rsidRDefault="004A7201" w:rsidP="00BF478D">
      <w:pPr>
        <w:rPr>
          <w:sz w:val="24"/>
          <w:szCs w:val="24"/>
          <w:rtl/>
        </w:rPr>
      </w:pPr>
    </w:p>
    <w:sectPr w:rsidR="004A7201" w:rsidRPr="00FD74AB"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26390" w14:textId="77777777" w:rsidR="00DE6A62" w:rsidRDefault="00DE6A62" w:rsidP="004F6D5A">
      <w:pPr>
        <w:spacing w:after="0" w:line="240" w:lineRule="auto"/>
      </w:pPr>
      <w:r>
        <w:separator/>
      </w:r>
    </w:p>
  </w:endnote>
  <w:endnote w:type="continuationSeparator" w:id="0">
    <w:p w14:paraId="6B1F6FA5" w14:textId="77777777" w:rsidR="00DE6A62" w:rsidRDefault="00DE6A62"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El-Zyrae Road, El Matbaa</w:t>
          </w:r>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Sq, Hadayek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380 Corniche El Nil St., Gawharet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9C81B" w14:textId="77777777" w:rsidR="00DE6A62" w:rsidRDefault="00DE6A62" w:rsidP="004F6D5A">
      <w:pPr>
        <w:spacing w:after="0" w:line="240" w:lineRule="auto"/>
      </w:pPr>
      <w:r>
        <w:separator/>
      </w:r>
    </w:p>
  </w:footnote>
  <w:footnote w:type="continuationSeparator" w:id="0">
    <w:p w14:paraId="101DF00A" w14:textId="77777777" w:rsidR="00DE6A62" w:rsidRDefault="00DE6A62" w:rsidP="004F6D5A">
      <w:pPr>
        <w:spacing w:after="0" w:line="240" w:lineRule="auto"/>
      </w:pPr>
      <w:r>
        <w:continuationSeparator/>
      </w:r>
    </w:p>
  </w:footnote>
  <w:footnote w:id="1">
    <w:p w14:paraId="63E3375E" w14:textId="345A8191" w:rsidR="00FD74AB" w:rsidRPr="00687968" w:rsidRDefault="00FD74AB" w:rsidP="00FD74AB">
      <w:pPr>
        <w:pStyle w:val="FootnoteText"/>
        <w:rPr>
          <w:rFonts w:asciiTheme="majorBidi" w:hAnsiTheme="majorBidi" w:cstheme="majorBidi"/>
          <w:sz w:val="16"/>
          <w:szCs w:val="16"/>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Ratification, Reporting &amp; Documentation for Germany, </w:t>
      </w:r>
      <w:r w:rsidR="001434F3">
        <w:rPr>
          <w:rFonts w:asciiTheme="majorBidi" w:hAnsiTheme="majorBidi" w:cstheme="majorBidi"/>
          <w:sz w:val="16"/>
          <w:szCs w:val="16"/>
        </w:rPr>
        <w:t>OHCHR</w:t>
      </w:r>
      <w:r w:rsidRPr="00687968">
        <w:rPr>
          <w:rFonts w:asciiTheme="majorBidi" w:hAnsiTheme="majorBidi" w:cstheme="majorBidi"/>
          <w:sz w:val="16"/>
          <w:szCs w:val="16"/>
        </w:rPr>
        <w:t xml:space="preserve">, </w:t>
      </w:r>
      <w:hyperlink r:id="rId1">
        <w:r w:rsidRPr="00687968">
          <w:rPr>
            <w:rFonts w:asciiTheme="majorBidi" w:hAnsiTheme="majorBidi" w:cstheme="majorBidi"/>
            <w:color w:val="1155CC"/>
            <w:sz w:val="16"/>
            <w:szCs w:val="16"/>
            <w:u w:val="single"/>
          </w:rPr>
          <w:t>https://2h.ae/wfUt</w:t>
        </w:r>
      </w:hyperlink>
    </w:p>
  </w:footnote>
  <w:footnote w:id="2">
    <w:p w14:paraId="1ED00EA8" w14:textId="77777777" w:rsidR="00FD74AB" w:rsidRPr="00687968" w:rsidRDefault="00FD74AB" w:rsidP="00FD74AB">
      <w:pPr>
        <w:pStyle w:val="FootnoteText"/>
        <w:rPr>
          <w:rFonts w:asciiTheme="majorBidi" w:hAnsiTheme="majorBidi" w:cstheme="majorBidi"/>
          <w:sz w:val="16"/>
          <w:szCs w:val="16"/>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Seventh periodic report submitted by Germany under articles 16 and 17 of Covenant, due in 2023*, </w:t>
      </w:r>
      <w:hyperlink r:id="rId2">
        <w:r w:rsidRPr="00687968">
          <w:rPr>
            <w:rFonts w:asciiTheme="majorBidi" w:hAnsiTheme="majorBidi" w:cstheme="majorBidi"/>
            <w:color w:val="1155CC"/>
            <w:sz w:val="16"/>
            <w:szCs w:val="16"/>
            <w:u w:val="single"/>
          </w:rPr>
          <w:t>https://2h.ae/Tcqw</w:t>
        </w:r>
      </w:hyperlink>
    </w:p>
  </w:footnote>
  <w:footnote w:id="3">
    <w:p w14:paraId="2ECF0006" w14:textId="77777777" w:rsidR="00FD74AB" w:rsidRPr="00687968" w:rsidRDefault="00FD74AB" w:rsidP="00FD74AB">
      <w:pPr>
        <w:pStyle w:val="FootnoteText"/>
        <w:rPr>
          <w:rFonts w:asciiTheme="majorBidi" w:hAnsiTheme="majorBidi" w:cstheme="majorBidi"/>
          <w:sz w:val="16"/>
          <w:szCs w:val="16"/>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Available at the following link, </w:t>
      </w:r>
      <w:hyperlink r:id="rId3">
        <w:r w:rsidRPr="00687968">
          <w:rPr>
            <w:rFonts w:asciiTheme="majorBidi" w:hAnsiTheme="majorBidi" w:cstheme="majorBidi"/>
            <w:color w:val="1155CC"/>
            <w:sz w:val="16"/>
            <w:szCs w:val="16"/>
            <w:u w:val="single"/>
          </w:rPr>
          <w:t>https://2h.ae/iMYn</w:t>
        </w:r>
      </w:hyperlink>
    </w:p>
  </w:footnote>
  <w:footnote w:id="4">
    <w:p w14:paraId="5640BA79" w14:textId="0C77273E" w:rsidR="00FD74AB" w:rsidRPr="00687968" w:rsidRDefault="00FD74AB" w:rsidP="00FD74AB">
      <w:pPr>
        <w:pStyle w:val="FootnoteText"/>
        <w:rPr>
          <w:rFonts w:asciiTheme="majorBidi" w:hAnsiTheme="majorBidi" w:cstheme="majorBidi"/>
          <w:sz w:val="16"/>
          <w:szCs w:val="16"/>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Seventh periodic report submitted by Germany under articles 16 and 17 of </w:t>
      </w:r>
      <w:r w:rsidR="005F528C">
        <w:rPr>
          <w:rFonts w:asciiTheme="majorBidi" w:hAnsiTheme="majorBidi" w:cstheme="majorBidi"/>
          <w:sz w:val="16"/>
          <w:szCs w:val="16"/>
        </w:rPr>
        <w:t xml:space="preserve">The </w:t>
      </w:r>
      <w:r w:rsidRPr="00687968">
        <w:rPr>
          <w:rFonts w:asciiTheme="majorBidi" w:hAnsiTheme="majorBidi" w:cstheme="majorBidi"/>
          <w:sz w:val="16"/>
          <w:szCs w:val="16"/>
        </w:rPr>
        <w:t xml:space="preserve">Covenant, due in 2023*, </w:t>
      </w:r>
      <w:hyperlink r:id="rId4">
        <w:r w:rsidRPr="00687968">
          <w:rPr>
            <w:rFonts w:asciiTheme="majorBidi" w:hAnsiTheme="majorBidi" w:cstheme="majorBidi"/>
            <w:color w:val="1155CC"/>
            <w:sz w:val="16"/>
            <w:szCs w:val="16"/>
            <w:u w:val="single"/>
          </w:rPr>
          <w:t>https://2h.ae/Tcqw</w:t>
        </w:r>
      </w:hyperlink>
    </w:p>
  </w:footnote>
  <w:footnote w:id="5">
    <w:p w14:paraId="0C3E9B10" w14:textId="77777777" w:rsidR="00FD74AB" w:rsidRPr="00687968" w:rsidRDefault="00FD74AB" w:rsidP="00FD74AB">
      <w:pPr>
        <w:pStyle w:val="FootnoteText"/>
        <w:rPr>
          <w:rFonts w:asciiTheme="majorBidi" w:hAnsiTheme="majorBidi" w:cstheme="majorBidi"/>
          <w:sz w:val="16"/>
          <w:szCs w:val="16"/>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Available at the following link, </w:t>
      </w:r>
      <w:hyperlink r:id="rId5">
        <w:r w:rsidRPr="00687968">
          <w:rPr>
            <w:rFonts w:asciiTheme="majorBidi" w:hAnsiTheme="majorBidi" w:cstheme="majorBidi"/>
            <w:color w:val="1155CC"/>
            <w:sz w:val="16"/>
            <w:szCs w:val="16"/>
            <w:u w:val="single"/>
          </w:rPr>
          <w:t>https://2h.ae/aHaJ</w:t>
        </w:r>
      </w:hyperlink>
    </w:p>
  </w:footnote>
  <w:footnote w:id="6">
    <w:p w14:paraId="58CF65E4" w14:textId="77777777" w:rsidR="00FD74AB" w:rsidRPr="00687968" w:rsidRDefault="00FD74AB" w:rsidP="00FD74AB">
      <w:pPr>
        <w:pStyle w:val="FootnoteText"/>
        <w:rPr>
          <w:rFonts w:asciiTheme="majorBidi" w:hAnsiTheme="majorBidi" w:cstheme="majorBidi"/>
          <w:sz w:val="16"/>
          <w:szCs w:val="16"/>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Available at the following link, </w:t>
      </w:r>
      <w:hyperlink r:id="rId6">
        <w:r w:rsidRPr="00687968">
          <w:rPr>
            <w:rFonts w:asciiTheme="majorBidi" w:hAnsiTheme="majorBidi" w:cstheme="majorBidi"/>
            <w:color w:val="1155CC"/>
            <w:sz w:val="16"/>
            <w:szCs w:val="16"/>
            <w:u w:val="single"/>
          </w:rPr>
          <w:t>https://2h.ae/kGhf</w:t>
        </w:r>
      </w:hyperlink>
    </w:p>
  </w:footnote>
  <w:footnote w:id="7">
    <w:p w14:paraId="2784B4B2" w14:textId="77777777" w:rsidR="00FD74AB" w:rsidRPr="00687968" w:rsidRDefault="00FD74AB" w:rsidP="00FD74AB">
      <w:pPr>
        <w:pStyle w:val="FootnoteText"/>
        <w:rPr>
          <w:rFonts w:asciiTheme="majorBidi" w:hAnsiTheme="majorBidi" w:cstheme="majorBidi"/>
          <w:sz w:val="16"/>
          <w:szCs w:val="16"/>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Available at the following link, </w:t>
      </w:r>
      <w:hyperlink r:id="rId7">
        <w:r w:rsidRPr="00687968">
          <w:rPr>
            <w:rFonts w:asciiTheme="majorBidi" w:hAnsiTheme="majorBidi" w:cstheme="majorBidi"/>
            <w:color w:val="1155CC"/>
            <w:sz w:val="16"/>
            <w:szCs w:val="16"/>
            <w:u w:val="single"/>
          </w:rPr>
          <w:t>https://2h.ae/tagD</w:t>
        </w:r>
      </w:hyperlink>
    </w:p>
  </w:footnote>
  <w:footnote w:id="8">
    <w:p w14:paraId="2914D47A" w14:textId="77777777" w:rsidR="00FD74AB" w:rsidRPr="00687968" w:rsidRDefault="00FD74AB" w:rsidP="00FD74AB">
      <w:pPr>
        <w:pStyle w:val="FootnoteText"/>
        <w:rPr>
          <w:rFonts w:asciiTheme="majorBidi" w:hAnsiTheme="majorBidi" w:cstheme="majorBidi"/>
          <w:sz w:val="16"/>
          <w:szCs w:val="16"/>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Germany Social Security System Fails to Protect Women’s Rights, Shia Waves,  </w:t>
      </w:r>
      <w:hyperlink r:id="rId8">
        <w:r w:rsidRPr="00687968">
          <w:rPr>
            <w:rFonts w:asciiTheme="majorBidi" w:hAnsiTheme="majorBidi" w:cstheme="majorBidi"/>
            <w:color w:val="1155CC"/>
            <w:sz w:val="16"/>
            <w:szCs w:val="16"/>
            <w:u w:val="single"/>
          </w:rPr>
          <w:t>https://2h.ae/AUsH</w:t>
        </w:r>
      </w:hyperlink>
    </w:p>
  </w:footnote>
  <w:footnote w:id="9">
    <w:p w14:paraId="1F280E8F" w14:textId="08EDA9B1" w:rsidR="00FD74AB" w:rsidRPr="00687968" w:rsidRDefault="00FD74AB" w:rsidP="00FD74AB">
      <w:pPr>
        <w:pStyle w:val="FootnoteText"/>
        <w:rPr>
          <w:rFonts w:asciiTheme="majorBidi" w:hAnsiTheme="majorBidi" w:cstheme="majorBidi"/>
          <w:sz w:val="16"/>
          <w:szCs w:val="16"/>
          <w:rtl/>
          <w:lang w:bidi="ar-EG"/>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The housing crisis 'nobody talks about' in Germany, </w:t>
      </w:r>
      <w:r w:rsidR="005F528C">
        <w:rPr>
          <w:rFonts w:asciiTheme="majorBidi" w:hAnsiTheme="majorBidi" w:cstheme="majorBidi"/>
          <w:sz w:val="16"/>
          <w:szCs w:val="16"/>
        </w:rPr>
        <w:t>Context News</w:t>
      </w:r>
      <w:r w:rsidRPr="00687968">
        <w:rPr>
          <w:rFonts w:asciiTheme="majorBidi" w:hAnsiTheme="majorBidi" w:cstheme="majorBidi"/>
          <w:sz w:val="16"/>
          <w:szCs w:val="16"/>
        </w:rPr>
        <w:t xml:space="preserve">, </w:t>
      </w:r>
      <w:hyperlink r:id="rId9">
        <w:r w:rsidRPr="00687968">
          <w:rPr>
            <w:rFonts w:asciiTheme="majorBidi" w:hAnsiTheme="majorBidi" w:cstheme="majorBidi"/>
            <w:color w:val="1155CC"/>
            <w:sz w:val="16"/>
            <w:szCs w:val="16"/>
            <w:u w:val="single"/>
          </w:rPr>
          <w:t>https://2h.ae/VGHf</w:t>
        </w:r>
      </w:hyperlink>
    </w:p>
  </w:footnote>
  <w:footnote w:id="10">
    <w:p w14:paraId="5EC34D4D" w14:textId="77777777" w:rsidR="00FD74AB" w:rsidRPr="00687968" w:rsidRDefault="00FD74AB" w:rsidP="00FD74AB">
      <w:pPr>
        <w:pStyle w:val="FootnoteText"/>
        <w:rPr>
          <w:rFonts w:asciiTheme="majorBidi" w:hAnsiTheme="majorBidi" w:cstheme="majorBidi"/>
          <w:sz w:val="16"/>
          <w:szCs w:val="16"/>
          <w:rtl/>
          <w:lang w:bidi="ar-EG"/>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How is housing in Germany for refugees and migrants? </w:t>
      </w:r>
      <w:hyperlink r:id="rId10">
        <w:r w:rsidRPr="00687968">
          <w:rPr>
            <w:rFonts w:asciiTheme="majorBidi" w:hAnsiTheme="majorBidi" w:cstheme="majorBidi"/>
            <w:color w:val="1155CC"/>
            <w:sz w:val="16"/>
            <w:szCs w:val="16"/>
            <w:u w:val="single"/>
          </w:rPr>
          <w:t>https://2h.ae/bYCV</w:t>
        </w:r>
      </w:hyperlink>
      <w:r w:rsidRPr="00687968">
        <w:rPr>
          <w:rFonts w:asciiTheme="majorBidi" w:hAnsiTheme="majorBidi" w:cstheme="majorBidi"/>
          <w:sz w:val="16"/>
          <w:szCs w:val="16"/>
        </w:rPr>
        <w:t xml:space="preserve"> </w:t>
      </w:r>
    </w:p>
  </w:footnote>
  <w:footnote w:id="11">
    <w:p w14:paraId="05797C83" w14:textId="77777777" w:rsidR="00FD74AB" w:rsidRPr="00687968" w:rsidRDefault="00FD74AB" w:rsidP="00FD74AB">
      <w:pPr>
        <w:pStyle w:val="FootnoteText"/>
        <w:rPr>
          <w:rFonts w:asciiTheme="majorBidi" w:hAnsiTheme="majorBidi" w:cstheme="majorBidi"/>
          <w:sz w:val="16"/>
          <w:szCs w:val="16"/>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Available at the following link, </w:t>
      </w:r>
      <w:hyperlink r:id="rId11">
        <w:r w:rsidRPr="00687968">
          <w:rPr>
            <w:rFonts w:asciiTheme="majorBidi" w:hAnsiTheme="majorBidi" w:cstheme="majorBidi"/>
            <w:color w:val="1155CC"/>
            <w:sz w:val="16"/>
            <w:szCs w:val="16"/>
            <w:u w:val="single"/>
          </w:rPr>
          <w:t>https://2h.ae/Urwx</w:t>
        </w:r>
      </w:hyperlink>
    </w:p>
  </w:footnote>
  <w:footnote w:id="12">
    <w:p w14:paraId="20AA5288" w14:textId="77777777" w:rsidR="00FD74AB" w:rsidRPr="00687968" w:rsidRDefault="00FD74AB" w:rsidP="00FD74AB">
      <w:pPr>
        <w:pStyle w:val="FootnoteText"/>
        <w:rPr>
          <w:rFonts w:asciiTheme="majorBidi" w:hAnsiTheme="majorBidi" w:cstheme="majorBidi"/>
          <w:sz w:val="16"/>
          <w:szCs w:val="16"/>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Available at the following link, </w:t>
      </w:r>
      <w:hyperlink r:id="rId12">
        <w:r w:rsidRPr="00687968">
          <w:rPr>
            <w:rFonts w:asciiTheme="majorBidi" w:hAnsiTheme="majorBidi" w:cstheme="majorBidi"/>
            <w:color w:val="1155CC"/>
            <w:sz w:val="16"/>
            <w:szCs w:val="16"/>
            <w:u w:val="single"/>
          </w:rPr>
          <w:t>https://2h.ae/Urwx</w:t>
        </w:r>
      </w:hyperlink>
    </w:p>
  </w:footnote>
  <w:footnote w:id="13">
    <w:p w14:paraId="412CF3F0" w14:textId="77777777" w:rsidR="00FD74AB" w:rsidRPr="00687968" w:rsidRDefault="00FD74AB" w:rsidP="00FD74AB">
      <w:pPr>
        <w:pStyle w:val="FootnoteText"/>
        <w:rPr>
          <w:rFonts w:asciiTheme="majorBidi" w:hAnsiTheme="majorBidi" w:cstheme="majorBidi"/>
          <w:sz w:val="16"/>
          <w:szCs w:val="16"/>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The health sector in Germany: Hospitals declaring bankruptcy and lack of doctors: </w:t>
      </w:r>
      <w:hyperlink r:id="rId13" w:history="1">
        <w:r w:rsidRPr="00687968">
          <w:rPr>
            <w:rStyle w:val="Hyperlink"/>
            <w:rFonts w:asciiTheme="majorBidi" w:hAnsiTheme="majorBidi" w:cstheme="majorBidi"/>
            <w:sz w:val="16"/>
            <w:szCs w:val="16"/>
          </w:rPr>
          <w:t>https://shorturl.at/zezvf</w:t>
        </w:r>
      </w:hyperlink>
      <w:r w:rsidRPr="00687968">
        <w:rPr>
          <w:rFonts w:asciiTheme="majorBidi" w:hAnsiTheme="majorBidi" w:cstheme="majorBidi"/>
          <w:sz w:val="16"/>
          <w:szCs w:val="16"/>
        </w:rPr>
        <w:t xml:space="preserve"> </w:t>
      </w:r>
    </w:p>
  </w:footnote>
  <w:footnote w:id="14">
    <w:p w14:paraId="7497116E" w14:textId="77777777" w:rsidR="00FD74AB" w:rsidRPr="00687968" w:rsidRDefault="00FD74AB" w:rsidP="00FD74AB">
      <w:pPr>
        <w:pStyle w:val="FootnoteText"/>
        <w:rPr>
          <w:rFonts w:asciiTheme="majorBidi" w:hAnsiTheme="majorBidi" w:cstheme="majorBidi"/>
          <w:sz w:val="16"/>
          <w:szCs w:val="16"/>
        </w:rPr>
      </w:pPr>
      <w:r w:rsidRPr="00687968">
        <w:rPr>
          <w:rStyle w:val="FootnoteReference"/>
          <w:rFonts w:asciiTheme="majorBidi" w:hAnsiTheme="majorBidi" w:cstheme="majorBidi"/>
          <w:sz w:val="16"/>
          <w:szCs w:val="16"/>
        </w:rPr>
        <w:footnoteRef/>
      </w:r>
      <w:r w:rsidRPr="00687968">
        <w:rPr>
          <w:rFonts w:asciiTheme="majorBidi" w:hAnsiTheme="majorBidi" w:cstheme="majorBidi"/>
          <w:sz w:val="16"/>
          <w:szCs w:val="16"/>
        </w:rPr>
        <w:t xml:space="preserve"> Difficulty accessing psychological care increases fragility of asylum seekers in Germany: </w:t>
      </w:r>
      <w:hyperlink r:id="rId14" w:history="1">
        <w:r w:rsidRPr="00687968">
          <w:rPr>
            <w:rStyle w:val="Hyperlink"/>
            <w:rFonts w:asciiTheme="majorBidi" w:hAnsiTheme="majorBidi" w:cstheme="majorBidi"/>
            <w:sz w:val="16"/>
            <w:szCs w:val="16"/>
          </w:rPr>
          <w:t>https://shorturl.at/lyp59</w:t>
        </w:r>
      </w:hyperlink>
      <w:r w:rsidRPr="00687968">
        <w:rPr>
          <w:rFonts w:asciiTheme="majorBidi" w:hAnsiTheme="majorBidi" w:cstheme="majorBid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7927018"/>
    <w:multiLevelType w:val="multilevel"/>
    <w:tmpl w:val="47DAC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3230DD7"/>
    <w:multiLevelType w:val="hybridMultilevel"/>
    <w:tmpl w:val="2946D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536F57"/>
    <w:multiLevelType w:val="multilevel"/>
    <w:tmpl w:val="4AA4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B84BFB"/>
    <w:multiLevelType w:val="multilevel"/>
    <w:tmpl w:val="54E2F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D31A58"/>
    <w:multiLevelType w:val="multilevel"/>
    <w:tmpl w:val="C636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8969025">
    <w:abstractNumId w:val="21"/>
  </w:num>
  <w:num w:numId="2" w16cid:durableId="319427900">
    <w:abstractNumId w:val="7"/>
  </w:num>
  <w:num w:numId="3" w16cid:durableId="483819352">
    <w:abstractNumId w:val="1"/>
  </w:num>
  <w:num w:numId="4" w16cid:durableId="1550531087">
    <w:abstractNumId w:val="15"/>
  </w:num>
  <w:num w:numId="5" w16cid:durableId="365302262">
    <w:abstractNumId w:val="4"/>
  </w:num>
  <w:num w:numId="6" w16cid:durableId="1490904455">
    <w:abstractNumId w:val="35"/>
  </w:num>
  <w:num w:numId="7" w16cid:durableId="1975796718">
    <w:abstractNumId w:val="41"/>
  </w:num>
  <w:num w:numId="8" w16cid:durableId="168910388">
    <w:abstractNumId w:val="45"/>
  </w:num>
  <w:num w:numId="9" w16cid:durableId="864364265">
    <w:abstractNumId w:val="33"/>
  </w:num>
  <w:num w:numId="10" w16cid:durableId="1110662610">
    <w:abstractNumId w:val="36"/>
  </w:num>
  <w:num w:numId="11" w16cid:durableId="48504678">
    <w:abstractNumId w:val="27"/>
  </w:num>
  <w:num w:numId="12" w16cid:durableId="1057243330">
    <w:abstractNumId w:val="44"/>
  </w:num>
  <w:num w:numId="13" w16cid:durableId="113838224">
    <w:abstractNumId w:val="25"/>
  </w:num>
  <w:num w:numId="14" w16cid:durableId="1819300015">
    <w:abstractNumId w:val="10"/>
  </w:num>
  <w:num w:numId="15" w16cid:durableId="1354769003">
    <w:abstractNumId w:val="31"/>
  </w:num>
  <w:num w:numId="16" w16cid:durableId="765884069">
    <w:abstractNumId w:val="16"/>
  </w:num>
  <w:num w:numId="17" w16cid:durableId="1830708544">
    <w:abstractNumId w:val="0"/>
  </w:num>
  <w:num w:numId="18" w16cid:durableId="1195772453">
    <w:abstractNumId w:val="22"/>
  </w:num>
  <w:num w:numId="19" w16cid:durableId="116266373">
    <w:abstractNumId w:val="2"/>
  </w:num>
  <w:num w:numId="20" w16cid:durableId="1165899663">
    <w:abstractNumId w:val="12"/>
  </w:num>
  <w:num w:numId="21" w16cid:durableId="1921870603">
    <w:abstractNumId w:val="47"/>
  </w:num>
  <w:num w:numId="22" w16cid:durableId="1106846340">
    <w:abstractNumId w:val="14"/>
  </w:num>
  <w:num w:numId="23" w16cid:durableId="1120413215">
    <w:abstractNumId w:val="20"/>
  </w:num>
  <w:num w:numId="24" w16cid:durableId="884490536">
    <w:abstractNumId w:val="34"/>
  </w:num>
  <w:num w:numId="25" w16cid:durableId="1098991049">
    <w:abstractNumId w:val="38"/>
  </w:num>
  <w:num w:numId="26" w16cid:durableId="631596808">
    <w:abstractNumId w:val="11"/>
  </w:num>
  <w:num w:numId="27" w16cid:durableId="1306087360">
    <w:abstractNumId w:val="9"/>
  </w:num>
  <w:num w:numId="28" w16cid:durableId="909191109">
    <w:abstractNumId w:val="28"/>
  </w:num>
  <w:num w:numId="29" w16cid:durableId="556204899">
    <w:abstractNumId w:val="29"/>
  </w:num>
  <w:num w:numId="30" w16cid:durableId="1668284805">
    <w:abstractNumId w:val="17"/>
  </w:num>
  <w:num w:numId="31" w16cid:durableId="1777868951">
    <w:abstractNumId w:val="26"/>
  </w:num>
  <w:num w:numId="32" w16cid:durableId="1614898655">
    <w:abstractNumId w:val="8"/>
  </w:num>
  <w:num w:numId="33" w16cid:durableId="364449577">
    <w:abstractNumId w:val="13"/>
  </w:num>
  <w:num w:numId="34" w16cid:durableId="248081818">
    <w:abstractNumId w:val="43"/>
  </w:num>
  <w:num w:numId="35" w16cid:durableId="1742749116">
    <w:abstractNumId w:val="39"/>
  </w:num>
  <w:num w:numId="36" w16cid:durableId="1632056943">
    <w:abstractNumId w:val="30"/>
  </w:num>
  <w:num w:numId="37" w16cid:durableId="16198188">
    <w:abstractNumId w:val="37"/>
  </w:num>
  <w:num w:numId="38" w16cid:durableId="995642619">
    <w:abstractNumId w:val="23"/>
  </w:num>
  <w:num w:numId="39" w16cid:durableId="1951429902">
    <w:abstractNumId w:val="46"/>
  </w:num>
  <w:num w:numId="40" w16cid:durableId="1660618793">
    <w:abstractNumId w:val="24"/>
  </w:num>
  <w:num w:numId="41" w16cid:durableId="566649021">
    <w:abstractNumId w:val="42"/>
  </w:num>
  <w:num w:numId="42" w16cid:durableId="230387690">
    <w:abstractNumId w:val="19"/>
  </w:num>
  <w:num w:numId="43" w16cid:durableId="335613693">
    <w:abstractNumId w:val="3"/>
  </w:num>
  <w:num w:numId="44" w16cid:durableId="1955866269">
    <w:abstractNumId w:val="5"/>
  </w:num>
  <w:num w:numId="45" w16cid:durableId="1820031803">
    <w:abstractNumId w:val="40"/>
  </w:num>
  <w:num w:numId="46" w16cid:durableId="754472248">
    <w:abstractNumId w:val="32"/>
  </w:num>
  <w:num w:numId="47" w16cid:durableId="291062472">
    <w:abstractNumId w:val="48"/>
  </w:num>
  <w:num w:numId="48" w16cid:durableId="728841869">
    <w:abstractNumId w:val="18"/>
  </w:num>
  <w:num w:numId="49" w16cid:durableId="14784558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434F3"/>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84AAE"/>
    <w:rsid w:val="0028723E"/>
    <w:rsid w:val="002876FE"/>
    <w:rsid w:val="0029400A"/>
    <w:rsid w:val="002D0B34"/>
    <w:rsid w:val="002D5B01"/>
    <w:rsid w:val="002D65A3"/>
    <w:rsid w:val="002D727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29C3"/>
    <w:rsid w:val="004273C5"/>
    <w:rsid w:val="00434DDB"/>
    <w:rsid w:val="00436AE3"/>
    <w:rsid w:val="004650D2"/>
    <w:rsid w:val="00477C56"/>
    <w:rsid w:val="00484A19"/>
    <w:rsid w:val="00490571"/>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5F528C"/>
    <w:rsid w:val="006105E2"/>
    <w:rsid w:val="00640577"/>
    <w:rsid w:val="006412F6"/>
    <w:rsid w:val="00644334"/>
    <w:rsid w:val="00644785"/>
    <w:rsid w:val="00646A53"/>
    <w:rsid w:val="006807A3"/>
    <w:rsid w:val="00683E71"/>
    <w:rsid w:val="00690C3F"/>
    <w:rsid w:val="00693967"/>
    <w:rsid w:val="006946CB"/>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15C5"/>
    <w:rsid w:val="009E290C"/>
    <w:rsid w:val="00A11DC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D74AB"/>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2h.ae/AUsH" TargetMode="External"/><Relationship Id="rId13" Type="http://schemas.openxmlformats.org/officeDocument/2006/relationships/hyperlink" Target="https://shorturl.at/zezvf" TargetMode="External"/><Relationship Id="rId3" Type="http://schemas.openxmlformats.org/officeDocument/2006/relationships/hyperlink" Target="https://2h.ae/iMYn" TargetMode="External"/><Relationship Id="rId7" Type="http://schemas.openxmlformats.org/officeDocument/2006/relationships/hyperlink" Target="https://2h.ae/tagD" TargetMode="External"/><Relationship Id="rId12" Type="http://schemas.openxmlformats.org/officeDocument/2006/relationships/hyperlink" Target="https://2h.ae/Urwx" TargetMode="External"/><Relationship Id="rId2" Type="http://schemas.openxmlformats.org/officeDocument/2006/relationships/hyperlink" Target="https://2h.ae/Tcqw" TargetMode="External"/><Relationship Id="rId1" Type="http://schemas.openxmlformats.org/officeDocument/2006/relationships/hyperlink" Target="https://2h.ae/wfUt" TargetMode="External"/><Relationship Id="rId6" Type="http://schemas.openxmlformats.org/officeDocument/2006/relationships/hyperlink" Target="https://2h.ae/kGhf" TargetMode="External"/><Relationship Id="rId11" Type="http://schemas.openxmlformats.org/officeDocument/2006/relationships/hyperlink" Target="https://2h.ae/Urwx" TargetMode="External"/><Relationship Id="rId5" Type="http://schemas.openxmlformats.org/officeDocument/2006/relationships/hyperlink" Target="https://2h.ae/aHaJ" TargetMode="External"/><Relationship Id="rId10" Type="http://schemas.openxmlformats.org/officeDocument/2006/relationships/hyperlink" Target="https://2h.ae/bYCV" TargetMode="External"/><Relationship Id="rId4" Type="http://schemas.openxmlformats.org/officeDocument/2006/relationships/hyperlink" Target="https://2h.ae/Tcqw" TargetMode="External"/><Relationship Id="rId9" Type="http://schemas.openxmlformats.org/officeDocument/2006/relationships/hyperlink" Target="https://2h.ae/VGHf" TargetMode="External"/><Relationship Id="rId14" Type="http://schemas.openxmlformats.org/officeDocument/2006/relationships/hyperlink" Target="https://shorturl.at/lyp5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1720</Words>
  <Characters>9808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3</cp:revision>
  <dcterms:created xsi:type="dcterms:W3CDTF">2025-07-01T08:37:00Z</dcterms:created>
  <dcterms:modified xsi:type="dcterms:W3CDTF">2025-07-01T08:37:00Z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