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00ff66" w:val="clear"/>
        <w:spacing w:line="240" w:lineRule="auto"/>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t>
      </w:r>
    </w:p>
    <w:p w:rsidR="00000000" w:rsidDel="00000000" w:rsidP="00000000" w:rsidRDefault="00000000" w:rsidRPr="00000000" w14:paraId="00000002">
      <w:pPr>
        <w:widowControl w:val="0"/>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03">
      <w:pPr>
        <w:widowControl w:val="0"/>
        <w:spacing w:line="240" w:lineRule="auto"/>
        <w:jc w:val="center"/>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Contribution regarding Slovenia on racial profiling in Slovenia</w:t>
      </w:r>
    </w:p>
    <w:p w:rsidR="00000000" w:rsidDel="00000000" w:rsidP="00000000" w:rsidRDefault="00000000" w:rsidRPr="00000000" w14:paraId="00000004">
      <w:pPr>
        <w:widowControl w:val="0"/>
        <w:spacing w:line="240" w:lineRule="auto"/>
        <w:jc w:val="center"/>
        <w:rPr>
          <w:rFonts w:ascii="Helvetica Neue" w:cs="Helvetica Neue" w:eastAsia="Helvetica Neue" w:hAnsi="Helvetica Neue"/>
          <w:b w:val="1"/>
          <w:bCs w:val="1"/>
          <w:sz w:val="24"/>
          <w:szCs w:val="24"/>
        </w:rPr>
      </w:pPr>
      <w:r w:rsidDel="00000000" w:rsidR="00000000" w:rsidRPr="00000000">
        <w:rPr>
          <w:rtl w:val="0"/>
        </w:rPr>
      </w:r>
    </w:p>
    <w:p w:rsidR="00000000" w:rsidDel="00000000" w:rsidP="00000000" w:rsidRDefault="00000000" w:rsidRPr="00000000" w14:paraId="00000005">
      <w:pPr>
        <w:widowControl w:val="0"/>
        <w:spacing w:line="240" w:lineRule="auto"/>
        <w:jc w:val="center"/>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Presented by ODRI - Office against Discrimination, Racism and Intolerance</w:t>
      </w:r>
    </w:p>
    <w:p w:rsidR="00000000" w:rsidDel="00000000" w:rsidP="00000000" w:rsidRDefault="00000000" w:rsidRPr="00000000" w14:paraId="00000006">
      <w:pPr>
        <w:widowControl w:val="0"/>
        <w:spacing w:line="240" w:lineRule="auto"/>
        <w:jc w:val="center"/>
        <w:rPr>
          <w:rFonts w:ascii="Helvetica Neue" w:cs="Helvetica Neue" w:eastAsia="Helvetica Neue" w:hAnsi="Helvetica Neue"/>
          <w:b w:val="1"/>
          <w:bCs w:val="1"/>
          <w:sz w:val="24"/>
          <w:szCs w:val="24"/>
        </w:rPr>
      </w:pPr>
      <w:r w:rsidDel="00000000" w:rsidR="00000000" w:rsidRPr="00000000">
        <w:rPr>
          <w:rtl w:val="0"/>
        </w:rPr>
      </w:r>
    </w:p>
    <w:p w:rsidR="00000000" w:rsidDel="00000000" w:rsidP="00000000" w:rsidRDefault="00000000" w:rsidRPr="00000000" w14:paraId="00000007">
      <w:pPr>
        <w:widowControl w:val="0"/>
        <w:spacing w:line="240" w:lineRule="auto"/>
        <w:jc w:val="center"/>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March 5, 2026 </w:t>
      </w:r>
    </w:p>
    <w:p w:rsidR="00000000" w:rsidDel="00000000" w:rsidP="00000000" w:rsidRDefault="00000000" w:rsidRPr="00000000" w14:paraId="00000008">
      <w:pPr>
        <w:widowControl w:val="0"/>
        <w:spacing w:line="240" w:lineRule="auto"/>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(2051 words)</w:t>
      </w:r>
    </w:p>
    <w:p w:rsidR="00000000" w:rsidDel="00000000" w:rsidP="00000000" w:rsidRDefault="00000000" w:rsidRPr="00000000" w14:paraId="00000009">
      <w:pPr>
        <w:widowControl w:val="0"/>
        <w:spacing w:line="240" w:lineRule="auto"/>
        <w:jc w:val="center"/>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0A">
      <w:pPr>
        <w:shd w:fill="00ff66" w:val="clear"/>
        <w:spacing w:lin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t>
      </w:r>
    </w:p>
    <w:p w:rsidR="00000000" w:rsidDel="00000000" w:rsidP="00000000" w:rsidRDefault="00000000" w:rsidRPr="00000000" w14:paraId="0000000B">
      <w:pPr>
        <w:widowControl w:val="0"/>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0C">
      <w:pPr>
        <w:widowControl w:val="0"/>
        <w:spacing w:line="240" w:lineRule="auto"/>
        <w:ind w:left="720" w:firstLine="0"/>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Introduction</w:t>
        <w:br w:type="textWrapping"/>
      </w:r>
    </w:p>
    <w:p w:rsidR="00000000" w:rsidDel="00000000" w:rsidP="00000000" w:rsidRDefault="00000000" w:rsidRPr="00000000" w14:paraId="0000000D">
      <w:pPr>
        <w:widowControl w:val="0"/>
        <w:spacing w:after="240"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ODRI, the Office against Discrimination, Racism, and Intolerance, appreciates the opportunity to engage with the Committee on the Elimination of All Forms of Racial Discrimination. We hope our input regarding racial profiling will assist the Committee in advancing racial equality in Slovenia.</w:t>
      </w:r>
    </w:p>
    <w:p w:rsidR="00000000" w:rsidDel="00000000" w:rsidP="00000000" w:rsidRDefault="00000000" w:rsidRPr="00000000" w14:paraId="0000000E">
      <w:pPr>
        <w:widowControl w:val="0"/>
        <w:numPr>
          <w:ilvl w:val="0"/>
          <w:numId w:val="1"/>
        </w:numPr>
        <w:spacing w:line="240" w:lineRule="auto"/>
        <w:ind w:left="720" w:hanging="360"/>
        <w:jc w:val="both"/>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Racial profiling against Roma people</w:t>
      </w:r>
    </w:p>
    <w:p w:rsidR="00000000" w:rsidDel="00000000" w:rsidP="00000000" w:rsidRDefault="00000000" w:rsidRPr="00000000" w14:paraId="0000000F">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0">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The periodic report includes twenty-seven references to police efforts in combating discrimination, addressing hate speech, and engaging with the Roma community. As highlighted by the State, the Code of Police Ethics mandates equal treatment without distinction based on ethnicity, race, gender, language, religion, or other grounds (CERD/C/SVN/12-14, para. 30). While this provision enshrines a general commitment to non-discrimination, the government has not yet adopted a specific legal prohibition on racial profiling.</w:t>
      </w:r>
    </w:p>
    <w:p w:rsidR="00000000" w:rsidDel="00000000" w:rsidP="00000000" w:rsidRDefault="00000000" w:rsidRPr="00000000" w14:paraId="00000011">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2">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The report highlights 12 training sessions (2018-2019) on Roma community challenges for judiciary and police (CERD/C/SVN/12-14, para. 77). To gauge progress, the Committee should inquire about the effectiveness of these sessions, ongoing initiatives, and whether racial profiling was covered, ensuring continued improvement in Roma relations. Continuing this line of inquiry, the Committee might also explore how these training programs have influenced law enforcement interactions with Roma individuals, and if discriminatory practices have been documented and prevented. Additionally, understanding the long-term commitment to such educational efforts will help determine their sustainability and potential expansion to private security forces, migrant authorities and other actors.</w:t>
      </w:r>
    </w:p>
    <w:p w:rsidR="00000000" w:rsidDel="00000000" w:rsidP="00000000" w:rsidRDefault="00000000" w:rsidRPr="00000000" w14:paraId="00000013">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4">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One significant challenge in implementing the obligations under the International Convention on the Elimination of All Forms of Racial Discrimination, in accordance with General Recommendation No. 36 (2020) on racial profiling, is the absence of systematic, ethnicity-disaggregated data. In Slovenia, there are no disaggregated public records on police stops, searches, or surveillance actions broken down by racial or ethnic background. This lack of data extends to immigration enforcement and crime prevention practices, where monitoring for potential profiling of marginalized groups, including the Roma community, remains limited. Without transparent data collection and oversight mechanisms, it is difficult to assess whether trainings adopted and safeguards against racial profiling are effectively applied in law enforcement activities across the country.</w:t>
      </w:r>
    </w:p>
    <w:p w:rsidR="00000000" w:rsidDel="00000000" w:rsidP="00000000" w:rsidRDefault="00000000" w:rsidRPr="00000000" w14:paraId="00000015">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6">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Following the fatal incident in Novo Mesto, southern Slovenia, on 25 October 2025, large-scale anti-Roma protests broke out, triggering significant political pressure. In response, two ministers resigned, and the Presidency moved swiftly to adopt the Act on Urgent Measures to Ensure Public Security (</w:t>
      </w:r>
      <w:r w:rsidDel="00000000" w:rsidR="00000000" w:rsidRPr="00000000">
        <w:rPr>
          <w:rFonts w:ascii="Helvetica Neue" w:cs="Helvetica Neue" w:eastAsia="Helvetica Neue" w:hAnsi="Helvetica Neue"/>
          <w:i w:val="1"/>
          <w:iCs w:val="1"/>
          <w:sz w:val="24"/>
          <w:szCs w:val="24"/>
          <w:rtl w:val="0"/>
        </w:rPr>
        <w:t xml:space="preserve">ZNUZJV – Zakon o nujnih ukrepih za zagotavljanje javne varnosti</w:t>
      </w:r>
      <w:r w:rsidDel="00000000" w:rsidR="00000000" w:rsidRPr="00000000">
        <w:rPr>
          <w:rFonts w:ascii="Helvetica Neue" w:cs="Helvetica Neue" w:eastAsia="Helvetica Neue" w:hAnsi="Helvetica Neue"/>
          <w:sz w:val="24"/>
          <w:szCs w:val="24"/>
          <w:rtl w:val="0"/>
        </w:rPr>
        <w:t xml:space="preserve">), fast-tracked through Parliament in November 2025.</w:t>
      </w:r>
    </w:p>
    <w:p w:rsidR="00000000" w:rsidDel="00000000" w:rsidP="00000000" w:rsidRDefault="00000000" w:rsidRPr="00000000" w14:paraId="00000017">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8">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w:t>
      </w:r>
      <w:r w:rsidDel="00000000" w:rsidR="00000000" w:rsidRPr="00000000">
        <w:rPr>
          <w:rFonts w:ascii="Helvetica Neue" w:cs="Helvetica Neue" w:eastAsia="Helvetica Neue" w:hAnsi="Helvetica Neue"/>
          <w:i w:val="1"/>
          <w:iCs w:val="1"/>
          <w:sz w:val="24"/>
          <w:szCs w:val="24"/>
          <w:rtl w:val="0"/>
        </w:rPr>
        <w:t xml:space="preserve"> ZNUZJV </w:t>
      </w:r>
      <w:r w:rsidDel="00000000" w:rsidR="00000000" w:rsidRPr="00000000">
        <w:rPr>
          <w:rFonts w:ascii="Helvetica Neue" w:cs="Helvetica Neue" w:eastAsia="Helvetica Neue" w:hAnsi="Helvetica Neue"/>
          <w:sz w:val="24"/>
          <w:szCs w:val="24"/>
          <w:rtl w:val="0"/>
        </w:rPr>
        <w:t xml:space="preserve">raises some concerns regarding the obligations enshrined in the International Convention on the Elimination of All Forms of Racial Discrimination regarding the prohibition of racial profiling.  Article 2 introduces the category of Roma settlements, to guarantee the assignment of financial and material resources to securitize surveillance. Such a reference that singles out "Roma settlements"  targets an ethnic group, and must be read in connection with other of the Articles.  </w:t>
      </w:r>
    </w:p>
    <w:p w:rsidR="00000000" w:rsidDel="00000000" w:rsidP="00000000" w:rsidRDefault="00000000" w:rsidRPr="00000000" w14:paraId="00000019">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A">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 Article 17(1) enables the police use of photographing and video and audio recording and other means in “security-risk areas” from a vehicle, vessel, aircraft, including unmanned drones.  These areas are defined under Article 17(2) as geographically specific zones identified by the director of a police administration or, in cross-jurisdictional cases, by the Director General of Police, based on a prior security assessment. The designation must rely on objective and verifiable indicators such as crime rates, statistical data on offenses and misdemeanors, records of security interventions, and professional risk analyses derived from operational intelligence. A security-risk area is established only where there is evidence or reasonable expectation of widespread criminal activity or a significant threat to the life, safety, or property of individuals. The law allows for continuous monitoring in areas that may include Roma settlements, raising risks of collective surveillance based on geography rather than individualized suspicion. While the use of data-driven criteria for defining risk zones appears objective on paper, in practice, reliance on historical crime statistics, often shaped by biased policing patterns, can reinforce discriminatory targeting and entrench spatial segregation. Furthermore, there is no explicit requirement for public transparency, periodic review, or community input in the designation or renewal of these zones, limiting accountability.</w:t>
      </w:r>
    </w:p>
    <w:p w:rsidR="00000000" w:rsidDel="00000000" w:rsidP="00000000" w:rsidRDefault="00000000" w:rsidRPr="00000000" w14:paraId="0000001B">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C">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 Furthermore, under Article 19(1) police may use technical means for optical recognition of vehicle registration plates and for automatic processing and comparison of thus recorded data in situations  “where life or property of people has been or is being endangered by use of weapons or dangerous objects, police officers”. Article 19(4) extends the use of technology to collect personal data “connected with the read vehicle registration plate, and analysis, processing and comparison of data between records for the purpose of establishing whether further police action is necessary in accordance with the act regulating tasks and powers of the police, the act regulating criminal procedure, or the act regulating misdemeanors”. </w:t>
      </w:r>
    </w:p>
    <w:p w:rsidR="00000000" w:rsidDel="00000000" w:rsidP="00000000" w:rsidRDefault="00000000" w:rsidRPr="00000000" w14:paraId="0000001D">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(8) Articles 19(5), 19(6), 19(7), 19(8), 19(9), 19(10), 19(11), 19(12), and 19(13) allows law enforcement to store and process personal data for various operational purposes, with deletion occurring once its necessity has been assessed. However, the increasing use of technology in policing raises significant human rights concerns, particularly regarding algorithmic profiling. Such systems risk undermining fundamental rights, including the right to non-discrimination, equality before the law, liberty and security, and the right to privacy. In this context, the Committee should ask the State what measures have been put in place to ensure that the design, development, deployment, and use of artificial intelligence and biometric surveillance technologies, including automated vehicle registration checks, comply with international human rights standards, especially in safeguarding individuals against discriminatory practices and profiling based on race, colour, descent, or national or ethnic origin against Roma people.</w:t>
      </w:r>
    </w:p>
    <w:p w:rsidR="00000000" w:rsidDel="00000000" w:rsidP="00000000" w:rsidRDefault="00000000" w:rsidRPr="00000000" w14:paraId="0000001F">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0">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(9) ZNUZJV decriminalized the theft of small value. Specifically, the law stipulates that theft of property with a "small value" (tatvina stvari majhne vrednosti) now constitutes a misdemeanor (prekršek) with fines, rather than a criminal offense under the Criminal Code (KZ-1). During the discussions of the law, the government explained that the purpose of this shift was to create a "more efficient and faster process" against perpetrators by moving "less dangerous bagatelle criminal acts" into the misdemeanor sphere. However, the decriminalization has not analyzed that thefts could be used by discriminatory bias, and some attacks against cultural, religious property  no longer fall under the jurisdiction of criminal court proceedings but are handled by the police as the misdemeanor authority. Therefore, the decriminalization policy overlooks potential racial discrimination in theft cases, particularly those targeting minority groups, as it shifts some offenses to misdemeanor status without considering these nuances. Under this legislation, the Maribor District Court, consistent with this normative change, suspended criminal proceedings against the theft of a LGTBI flag.</w:t>
      </w:r>
    </w:p>
    <w:p w:rsidR="00000000" w:rsidDel="00000000" w:rsidP="00000000" w:rsidRDefault="00000000" w:rsidRPr="00000000" w14:paraId="00000021">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2">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 Article 18(10) establishes a legal basis for stop-and-search procedures by authorizing police officers to detain individuals who obstruct or hinder the execution of a security operation. This provision grants law enforcement discretion to intervene when conduct is perceived as impeding official actions, effectively expanding the circumstances under which personal liberty may be restricted in the name of public security. While framed as a measure to ensure operational effectiveness, its broad wording raises concerns about potential overreach, particularly in contexts where the threshold for “obstruction” is subject to subjective interpretation.</w:t>
      </w:r>
    </w:p>
    <w:p w:rsidR="00000000" w:rsidDel="00000000" w:rsidP="00000000" w:rsidRDefault="00000000" w:rsidRPr="00000000" w14:paraId="00000023">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4">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 Another significant concern arises from the involvement of the Social Security Fraud, Cash Benefits, and Financial Administration in identifying and pursuing cases involving members of the Roma community, particularly through tax compliance measures and the temporary seizure of assets, and restrictions to the payment of cash social assistance. While the social protection efficiency, the fiscal oversight, and the recovery of other non-tax monetary obligations are legitimate functions of the Slovenian government, the use of financial enforcement mechanisms in ways that disproportionately affect specific ethnic groups raises serious questions about indirect discrimination. The risk is compounded by the absence of mandatory training on racial bias and cultural sensitivity for tax officials, unlike law enforcement personnel, who, as the State has reported, have received some level of instruction in these areas. This gap in institutional preparedness increases the potential for racial profiling to occur under the guise of administrative procedure, undermining both fairness and trust in public institutions.</w:t>
      </w:r>
    </w:p>
    <w:p w:rsidR="00000000" w:rsidDel="00000000" w:rsidP="00000000" w:rsidRDefault="00000000" w:rsidRPr="00000000" w14:paraId="00000025">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6">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 Civil society organizations have strongly criticized the law for enabling intrusive police operations in Roma settlements, including warrantless entry into homes and vehicles within areas labeled as “security-risk zones,” justified by the aim of seizing firearms and other property. These provisions, they argue, disproportionately target Roma communities and normalize surveillance and coercion under the guise of public safety. The National Human Rights Institution has echoed these concerns, emphasizing that the legislation was rushed through without meaningful consultation with affected communities or civil society, and in the absence of a mandatory human rights impact assessment. It has since filed a constitutional challenge, currently pending before the Constitutional Court. Advocacy groups warn that the law effectively frames an entire ethnic group as a security problem, reinforcing systemic stigma and diverting attention from structural issues such as poverty, exclusion, and lack of access to housing and education that lie at the root of social tensions.</w:t>
      </w:r>
      <w:r w:rsidDel="00000000" w:rsidR="00000000" w:rsidRPr="00000000">
        <w:rPr>
          <w:rtl w:val="0"/>
        </w:rPr>
      </w:r>
    </w:p>
    <w:p w:rsidR="00000000" w:rsidDel="00000000" w:rsidP="00000000" w:rsidRDefault="00000000" w:rsidRPr="00000000" w14:paraId="00000027">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8">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(13) According to government reports from early 2026, such as the Preliminary Report by the President of the Expert Council , the implementation of the ZNUZJV has already produced measurable results in public safety, enforcement, and integration programs. The government has reported a reduction in the number of criminal acts decreased by one third during the first few months, the decrease of victims of crime by half, and an improvement of a sense of safety in environments where police measures were intensified. The police recorded 1,231 offenses under the new law, including 906 for theft (Article 12) and 318 for property damage (Article 13) in the security areas of Ljubljana - Center area and the Brezje settlement area within the Novo Mesto Police Department. Authorities have seized illegal weapons in 387 cases, which the government cites as a sign of a strengthened security situation. The Financial Administration (FURS) upgraded its IT systems to enforce payments against repeat offenders. As of late January 2026, 1,914 enforcement orders had been issued, recovering 134,686.54 euros. In joint operations with the police in southeastern Slovenia, 47 vehicles were seized for unpaid liabilities.</w:t>
      </w:r>
    </w:p>
    <w:p w:rsidR="00000000" w:rsidDel="00000000" w:rsidP="00000000" w:rsidRDefault="00000000" w:rsidRPr="00000000" w14:paraId="00000029">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A">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 The government has also reported that in 23 municipalities with Roma settlements, 77 members of the Roma community were participating in public works programs by early 2026. The Education Inspectorate reported receiving between 45 and 138 proposals for suspected misdemeanors regarding non-attendance (averaging 127 unexcused hours per student), leading to mandatory notifications of social work centers. Under these results, the government announced it is likely to propose a new, permanent Public Safety Act that would integrate these tools into a uniform regulation for future security risk responses. Nevertheless, the government has not disclosed any information on measures implemented to prevent racial profiling or to address the potential for racial bias in the application of these provisions.</w:t>
      </w:r>
    </w:p>
    <w:p w:rsidR="00000000" w:rsidDel="00000000" w:rsidP="00000000" w:rsidRDefault="00000000" w:rsidRPr="00000000" w14:paraId="0000002B">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C">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 To fully realize the potential of Slovenia's anti-discrimination framework, the Committee should urge the government to swiftly introduce safeguards that mandate the impact assessment of racial bias within the ZNUZJV legislation, either in the text of the law or through its implementing regulations, and provide timely and continuous evaluations of cases of racial profiling. In accordance with the obligations under articles 2 and 5 of the Convention, the Committee should recommend that Slovenia:</w:t>
      </w:r>
    </w:p>
    <w:p w:rsidR="00000000" w:rsidDel="00000000" w:rsidP="00000000" w:rsidRDefault="00000000" w:rsidRPr="00000000" w14:paraId="0000002D">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2E">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establish mandatory human rights impact assessments, including racial bias and equality impact assessments, prior to designating any "security-risk areas" with periodic review mechanisms and meaningful consultation with affected Roma communities; </w:t>
      </w:r>
    </w:p>
    <w:p w:rsidR="00000000" w:rsidDel="00000000" w:rsidP="00000000" w:rsidRDefault="00000000" w:rsidRPr="00000000" w14:paraId="0000002F">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0">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 introduce comprehensive ethnicity-disaggregated data collection on all police stops, searches, surveillance actions, and misdemeanor proceedings, made publicly available to enable transparency and accountability; </w:t>
      </w:r>
    </w:p>
    <w:p w:rsidR="00000000" w:rsidDel="00000000" w:rsidP="00000000" w:rsidRDefault="00000000" w:rsidRPr="00000000" w14:paraId="00000031">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2">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 ensure that all algorithmic and biometric surveillance technologies deployed under Articles 17–19 undergo rigorous pre-deployment and post-deployment testing for racial bias, with independent oversight and community impact assessments as required under General Recommendation No. 36;  </w:t>
      </w:r>
    </w:p>
    <w:p w:rsidR="00000000" w:rsidDel="00000000" w:rsidP="00000000" w:rsidRDefault="00000000" w:rsidRPr="00000000" w14:paraId="00000033">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4">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 extend mandatory anti-racial profiling training to all officials exercising enforcement powers under the Act, including tax and social welfare administrators, not solely police personnel; </w:t>
      </w:r>
    </w:p>
    <w:p w:rsidR="00000000" w:rsidDel="00000000" w:rsidP="00000000" w:rsidRDefault="00000000" w:rsidRPr="00000000" w14:paraId="00000035">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36">
      <w:pPr>
        <w:widowControl w:val="0"/>
        <w:spacing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and (e) guarantee accessible, independent complaint mechanisms for victims of racial profiling with effective remedies and reparation.</w:t>
      </w:r>
    </w:p>
    <w:p w:rsidR="00000000" w:rsidDel="00000000" w:rsidP="00000000" w:rsidRDefault="00000000" w:rsidRPr="00000000" w14:paraId="00000037">
      <w:pPr>
        <w:widowControl w:val="0"/>
        <w:spacing w:line="240" w:lineRule="auto"/>
        <w:jc w:val="both"/>
        <w:rPr>
          <w:rFonts w:ascii="Helvetica Neue" w:cs="Helvetica Neue" w:eastAsia="Helvetica Neue" w:hAnsi="Helvetica Neue"/>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720" w:hanging="360"/>
      </w:pPr>
      <w:rPr>
        <w:u w:val="none"/>
      </w:rPr>
    </w:lvl>
    <w:lvl w:ilvl="1">
      <w:start w:val="1"/>
      <w:numFmt w:val="decimal"/>
      <w:lvlText w:val="%2."/>
      <w:lvlJc w:val="left"/>
      <w:pPr>
        <w:ind w:left="1080" w:hanging="360"/>
      </w:pPr>
      <w:rPr>
        <w:u w:val="none"/>
      </w:rPr>
    </w:lvl>
    <w:lvl w:ilvl="2">
      <w:start w:val="1"/>
      <w:numFmt w:val="decimal"/>
      <w:lvlText w:val="%2.%3."/>
      <w:lvlJc w:val="left"/>
      <w:pPr>
        <w:ind w:left="1440" w:hanging="360"/>
      </w:pPr>
      <w:rPr>
        <w:u w:val="none"/>
      </w:rPr>
    </w:lvl>
    <w:lvl w:ilvl="3">
      <w:start w:val="1"/>
      <w:numFmt w:val="decimal"/>
      <w:lvlText w:val="%2.%3.%4."/>
      <w:lvlJc w:val="left"/>
      <w:pPr>
        <w:ind w:left="1800" w:hanging="360"/>
      </w:pPr>
      <w:rPr>
        <w:u w:val="none"/>
      </w:rPr>
    </w:lvl>
    <w:lvl w:ilvl="4">
      <w:start w:val="1"/>
      <w:numFmt w:val="decimal"/>
      <w:lvlText w:val="%2.%3.%4.%5."/>
      <w:lvlJc w:val="left"/>
      <w:pPr>
        <w:ind w:left="2160" w:hanging="360"/>
      </w:pPr>
      <w:rPr>
        <w:u w:val="none"/>
      </w:rPr>
    </w:lvl>
    <w:lvl w:ilvl="5">
      <w:start w:val="1"/>
      <w:numFmt w:val="decimal"/>
      <w:lvlText w:val="%2.%3.%4.%5.%6."/>
      <w:lvlJc w:val="left"/>
      <w:pPr>
        <w:ind w:left="2520" w:hanging="360"/>
      </w:pPr>
      <w:rPr>
        <w:u w:val="none"/>
      </w:rPr>
    </w:lvl>
    <w:lvl w:ilvl="6">
      <w:start w:val="1"/>
      <w:numFmt w:val="decimal"/>
      <w:lvlText w:val="%2.%3.%4.%5.%6.%7."/>
      <w:lvlJc w:val="left"/>
      <w:pPr>
        <w:ind w:left="2880" w:hanging="360"/>
      </w:pPr>
      <w:rPr>
        <w:u w:val="none"/>
      </w:rPr>
    </w:lvl>
    <w:lvl w:ilvl="7">
      <w:start w:val="1"/>
      <w:numFmt w:val="decimal"/>
      <w:lvlText w:val="%2.%3.%4.%5.%6.%7.%8."/>
      <w:lvlJc w:val="left"/>
      <w:pPr>
        <w:ind w:left="3240" w:hanging="360"/>
      </w:pPr>
      <w:rPr>
        <w:u w:val="none"/>
      </w:rPr>
    </w:lvl>
    <w:lvl w:ilvl="8">
      <w:start w:val="1"/>
      <w:numFmt w:val="decimal"/>
      <w:lvlText w:val="%2.%3.%4.%5.%6.%7.%8.%9."/>
      <w:lvlJc w:val="left"/>
      <w:pPr>
        <w:ind w:left="36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