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3ACCE" w14:textId="1180AC48" w:rsidR="005070AD" w:rsidRPr="00D810F0" w:rsidRDefault="00CF5C93" w:rsidP="00D810F0">
      <w:pPr>
        <w:spacing w:after="0" w:line="259" w:lineRule="auto"/>
        <w:ind w:left="0" w:firstLine="0"/>
      </w:pPr>
      <w:r w:rsidRPr="00D810F0">
        <w:rPr>
          <w:b/>
          <w:noProof/>
        </w:rPr>
        <w:drawing>
          <wp:anchor distT="0" distB="0" distL="114300" distR="114300" simplePos="0" relativeHeight="251658240" behindDoc="1" locked="0" layoutInCell="1" allowOverlap="1" wp14:anchorId="105DFFB4" wp14:editId="5C3B26C1">
            <wp:simplePos x="0" y="0"/>
            <wp:positionH relativeFrom="margin">
              <wp:align>center</wp:align>
            </wp:positionH>
            <wp:positionV relativeFrom="paragraph">
              <wp:posOffset>0</wp:posOffset>
            </wp:positionV>
            <wp:extent cx="1905000" cy="952500"/>
            <wp:effectExtent l="0" t="0" r="0" b="0"/>
            <wp:wrapTight wrapText="bothSides">
              <wp:wrapPolygon edited="0">
                <wp:start x="0" y="0"/>
                <wp:lineTo x="0" y="21168"/>
                <wp:lineTo x="21384" y="21168"/>
                <wp:lineTo x="2138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8">
                      <a:extLst>
                        <a:ext uri="{28A0092B-C50C-407E-A947-70E740481C1C}">
                          <a14:useLocalDpi xmlns:a14="http://schemas.microsoft.com/office/drawing/2010/main" val="0"/>
                        </a:ext>
                      </a:extLst>
                    </a:blip>
                    <a:stretch>
                      <a:fillRect/>
                    </a:stretch>
                  </pic:blipFill>
                  <pic:spPr>
                    <a:xfrm>
                      <a:off x="0" y="0"/>
                      <a:ext cx="1905000" cy="952500"/>
                    </a:xfrm>
                    <a:prstGeom prst="rect">
                      <a:avLst/>
                    </a:prstGeom>
                  </pic:spPr>
                </pic:pic>
              </a:graphicData>
            </a:graphic>
          </wp:anchor>
        </w:drawing>
      </w:r>
      <w:r w:rsidRPr="00D810F0">
        <w:rPr>
          <w:b/>
        </w:rPr>
        <w:t xml:space="preserve"> </w:t>
      </w:r>
    </w:p>
    <w:p w14:paraId="72991235" w14:textId="77777777" w:rsidR="005070AD" w:rsidRPr="00D810F0" w:rsidRDefault="00000000" w:rsidP="00D810F0">
      <w:pPr>
        <w:spacing w:after="221" w:line="259" w:lineRule="auto"/>
        <w:ind w:left="15" w:firstLine="0"/>
      </w:pPr>
      <w:r w:rsidRPr="00D810F0">
        <w:rPr>
          <w:b/>
        </w:rPr>
        <w:t xml:space="preserve"> </w:t>
      </w:r>
    </w:p>
    <w:p w14:paraId="1B5D11DA" w14:textId="77777777" w:rsidR="00CF5C93" w:rsidRPr="00D810F0" w:rsidRDefault="00CF5C93" w:rsidP="00D810F0">
      <w:pPr>
        <w:spacing w:after="206" w:line="270" w:lineRule="auto"/>
        <w:ind w:left="18" w:right="109"/>
        <w:rPr>
          <w:b/>
        </w:rPr>
      </w:pPr>
    </w:p>
    <w:p w14:paraId="17A811FC" w14:textId="77777777" w:rsidR="00CF5C93" w:rsidRPr="00D810F0" w:rsidRDefault="00CF5C93" w:rsidP="00D810F0">
      <w:pPr>
        <w:spacing w:after="206" w:line="270" w:lineRule="auto"/>
        <w:ind w:left="18" w:right="109"/>
        <w:rPr>
          <w:b/>
        </w:rPr>
      </w:pPr>
    </w:p>
    <w:p w14:paraId="755C5E02" w14:textId="403DD9AE" w:rsidR="005070AD" w:rsidRPr="00D810F0" w:rsidRDefault="00000000" w:rsidP="00D810F0">
      <w:pPr>
        <w:spacing w:after="206" w:line="270" w:lineRule="auto"/>
        <w:ind w:left="18" w:right="109"/>
        <w:jc w:val="center"/>
        <w:rPr>
          <w:sz w:val="24"/>
          <w:szCs w:val="24"/>
        </w:rPr>
      </w:pPr>
      <w:r w:rsidRPr="00D810F0">
        <w:rPr>
          <w:b/>
          <w:sz w:val="24"/>
          <w:szCs w:val="24"/>
        </w:rPr>
        <w:t>Situación de las mujeres lesbianas, bisexuales, transexuales, transgénero e intersex en Costa Rica en relación a la discriminación</w:t>
      </w:r>
    </w:p>
    <w:p w14:paraId="738F5C26" w14:textId="77777777" w:rsidR="005070AD" w:rsidRPr="00D810F0" w:rsidRDefault="00000000" w:rsidP="00D810F0">
      <w:pPr>
        <w:spacing w:after="221" w:line="259" w:lineRule="auto"/>
        <w:ind w:left="15" w:firstLine="0"/>
      </w:pPr>
      <w:r w:rsidRPr="00D810F0">
        <w:rPr>
          <w:b/>
        </w:rPr>
        <w:t xml:space="preserve"> </w:t>
      </w:r>
    </w:p>
    <w:p w14:paraId="5DCF0D85" w14:textId="77777777" w:rsidR="005070AD" w:rsidRPr="00D810F0" w:rsidRDefault="00000000" w:rsidP="00D810F0">
      <w:pPr>
        <w:spacing w:after="221" w:line="259" w:lineRule="auto"/>
        <w:ind w:left="10" w:right="103"/>
      </w:pPr>
      <w:r w:rsidRPr="00D810F0">
        <w:rPr>
          <w:b/>
        </w:rPr>
        <w:t xml:space="preserve">Informe Sombra </w:t>
      </w:r>
    </w:p>
    <w:p w14:paraId="6B46A0EC" w14:textId="77777777" w:rsidR="005070AD" w:rsidRPr="00D810F0" w:rsidRDefault="00000000" w:rsidP="00D810F0">
      <w:pPr>
        <w:spacing w:after="221" w:line="259" w:lineRule="auto"/>
        <w:ind w:left="15" w:firstLine="0"/>
      </w:pPr>
      <w:r w:rsidRPr="00D810F0">
        <w:rPr>
          <w:b/>
        </w:rPr>
        <w:t xml:space="preserve"> </w:t>
      </w:r>
    </w:p>
    <w:p w14:paraId="0F98765F" w14:textId="220651EE" w:rsidR="005070AD" w:rsidRPr="00D810F0" w:rsidRDefault="00000000" w:rsidP="00D810F0">
      <w:pPr>
        <w:spacing w:after="0" w:line="270" w:lineRule="auto"/>
        <w:ind w:left="18" w:right="109"/>
      </w:pPr>
      <w:r w:rsidRPr="00D810F0">
        <w:rPr>
          <w:b/>
        </w:rPr>
        <w:t>RECONOCIMIENTOS</w:t>
      </w:r>
      <w:r w:rsidR="00ED1A32">
        <w:rPr>
          <w:b/>
        </w:rPr>
        <w:t xml:space="preserve"> </w:t>
      </w:r>
    </w:p>
    <w:p w14:paraId="6701DF12" w14:textId="490A61F0" w:rsidR="005070AD" w:rsidRPr="00D810F0" w:rsidRDefault="00000000" w:rsidP="00D810F0">
      <w:pPr>
        <w:spacing w:after="206" w:line="270" w:lineRule="auto"/>
        <w:ind w:left="18" w:right="109"/>
      </w:pPr>
      <w:r w:rsidRPr="00D810F0">
        <w:rPr>
          <w:b/>
        </w:rPr>
        <w:t xml:space="preserve">El presente Informe Sombra sobre la situación de las mujeres lesbianas, bisexuales, transexuales, transgénero e intersex en Costa Rica en relación a la discriminación fue coordinado por Natasha Jiménez </w:t>
      </w:r>
      <w:r w:rsidR="00CF5C93" w:rsidRPr="00D810F0">
        <w:rPr>
          <w:b/>
        </w:rPr>
        <w:t>Coordinadora general de Mulabi/Espacio Latinoamericano de Sexualidades y Derechos</w:t>
      </w:r>
      <w:r w:rsidRPr="00D810F0">
        <w:rPr>
          <w:b/>
        </w:rPr>
        <w:t xml:space="preserve">. Contribuyó para la realización de este informe: </w:t>
      </w:r>
    </w:p>
    <w:p w14:paraId="4DD79718" w14:textId="2B3F6879" w:rsidR="005070AD" w:rsidRDefault="00CF5C93" w:rsidP="00D810F0">
      <w:pPr>
        <w:spacing w:after="0" w:line="259" w:lineRule="auto"/>
        <w:ind w:left="0" w:right="122" w:firstLine="0"/>
        <w:rPr>
          <w:b/>
          <w:bCs/>
        </w:rPr>
      </w:pPr>
      <w:proofErr w:type="spellStart"/>
      <w:r w:rsidRPr="00D810F0">
        <w:rPr>
          <w:b/>
          <w:bCs/>
        </w:rPr>
        <w:t>Aniram</w:t>
      </w:r>
      <w:proofErr w:type="spellEnd"/>
      <w:r w:rsidRPr="00D810F0">
        <w:rPr>
          <w:b/>
          <w:bCs/>
        </w:rPr>
        <w:t xml:space="preserve"> Brenes</w:t>
      </w:r>
    </w:p>
    <w:p w14:paraId="3A97A633" w14:textId="77777777" w:rsidR="00ED1A32" w:rsidRDefault="00ED1A32" w:rsidP="00D810F0">
      <w:pPr>
        <w:spacing w:after="0" w:line="259" w:lineRule="auto"/>
        <w:ind w:left="0" w:right="122" w:firstLine="0"/>
        <w:rPr>
          <w:b/>
          <w:bCs/>
        </w:rPr>
      </w:pPr>
    </w:p>
    <w:p w14:paraId="62CC6096" w14:textId="01C593AF" w:rsidR="005070AD" w:rsidRDefault="00ED1A32" w:rsidP="00ED1A32">
      <w:pPr>
        <w:spacing w:after="0" w:line="259" w:lineRule="auto"/>
        <w:ind w:left="0" w:right="122" w:firstLine="0"/>
        <w:rPr>
          <w:b/>
          <w:bCs/>
        </w:rPr>
      </w:pPr>
      <w:r>
        <w:rPr>
          <w:b/>
          <w:bCs/>
        </w:rPr>
        <w:t>Jota Vargas Alvarado</w:t>
      </w:r>
    </w:p>
    <w:p w14:paraId="13BF4179" w14:textId="77777777" w:rsidR="00ED1A32" w:rsidRPr="00ED1A32" w:rsidRDefault="00ED1A32" w:rsidP="00ED1A32">
      <w:pPr>
        <w:spacing w:after="0" w:line="259" w:lineRule="auto"/>
        <w:ind w:left="0" w:right="122" w:firstLine="0"/>
        <w:rPr>
          <w:b/>
          <w:bCs/>
        </w:rPr>
      </w:pPr>
    </w:p>
    <w:p w14:paraId="55A257C5" w14:textId="77777777" w:rsidR="005070AD" w:rsidRPr="00D810F0" w:rsidRDefault="00000000" w:rsidP="00D810F0">
      <w:pPr>
        <w:spacing w:after="221" w:line="259" w:lineRule="auto"/>
        <w:ind w:left="15" w:firstLine="0"/>
        <w:rPr>
          <w:sz w:val="24"/>
          <w:szCs w:val="24"/>
        </w:rPr>
      </w:pPr>
      <w:r w:rsidRPr="00D810F0">
        <w:rPr>
          <w:b/>
        </w:rPr>
        <w:t xml:space="preserve"> </w:t>
      </w:r>
    </w:p>
    <w:p w14:paraId="500E1561" w14:textId="6410D260" w:rsidR="005070AD" w:rsidRPr="00D810F0" w:rsidRDefault="00000000" w:rsidP="00D810F0">
      <w:pPr>
        <w:spacing w:after="206" w:line="270" w:lineRule="auto"/>
        <w:ind w:left="2803" w:right="109" w:hanging="2795"/>
        <w:jc w:val="right"/>
        <w:rPr>
          <w:sz w:val="24"/>
          <w:szCs w:val="24"/>
        </w:rPr>
      </w:pPr>
      <w:r w:rsidRPr="00D810F0">
        <w:rPr>
          <w:b/>
          <w:sz w:val="24"/>
          <w:szCs w:val="24"/>
        </w:rPr>
        <w:t>Convención sobre la eliminación de todas las formas de discriminación hacia</w:t>
      </w:r>
      <w:r w:rsidR="00D810F0" w:rsidRPr="00D810F0">
        <w:rPr>
          <w:b/>
          <w:sz w:val="24"/>
          <w:szCs w:val="24"/>
        </w:rPr>
        <w:t xml:space="preserve"> </w:t>
      </w:r>
      <w:r w:rsidRPr="00D810F0">
        <w:rPr>
          <w:b/>
          <w:sz w:val="24"/>
          <w:szCs w:val="24"/>
        </w:rPr>
        <w:t>la mujer (CEDAW)</w:t>
      </w:r>
    </w:p>
    <w:p w14:paraId="47570AE5" w14:textId="77777777" w:rsidR="005070AD" w:rsidRPr="00D810F0" w:rsidRDefault="00000000" w:rsidP="00D810F0">
      <w:pPr>
        <w:spacing w:after="221" w:line="259" w:lineRule="auto"/>
        <w:ind w:left="15" w:firstLine="0"/>
      </w:pPr>
      <w:r w:rsidRPr="00D810F0">
        <w:rPr>
          <w:b/>
        </w:rPr>
        <w:t xml:space="preserve"> </w:t>
      </w:r>
    </w:p>
    <w:p w14:paraId="7149D92B" w14:textId="77777777" w:rsidR="005070AD" w:rsidRPr="00D810F0" w:rsidRDefault="00000000" w:rsidP="00D810F0">
      <w:pPr>
        <w:spacing w:after="221" w:line="259" w:lineRule="auto"/>
        <w:ind w:left="15" w:firstLine="0"/>
      </w:pPr>
      <w:r w:rsidRPr="00D810F0">
        <w:rPr>
          <w:b/>
        </w:rPr>
        <w:t xml:space="preserve"> </w:t>
      </w:r>
    </w:p>
    <w:p w14:paraId="391D28A1" w14:textId="74F84531" w:rsidR="005070AD" w:rsidRPr="00D810F0" w:rsidRDefault="00CF5C93" w:rsidP="00D810F0">
      <w:pPr>
        <w:spacing w:after="221" w:line="259" w:lineRule="auto"/>
        <w:ind w:left="10" w:right="117"/>
      </w:pPr>
      <w:r w:rsidRPr="00D810F0">
        <w:rPr>
          <w:b/>
        </w:rPr>
        <w:t xml:space="preserve">84° Período de Sesiones </w:t>
      </w:r>
    </w:p>
    <w:p w14:paraId="2EAC7272" w14:textId="3BC3EBFC" w:rsidR="005070AD" w:rsidRPr="00D810F0" w:rsidRDefault="00CF5C93" w:rsidP="00D810F0">
      <w:pPr>
        <w:spacing w:after="221" w:line="259" w:lineRule="auto"/>
        <w:ind w:left="10" w:right="105"/>
      </w:pPr>
      <w:r w:rsidRPr="00D810F0">
        <w:rPr>
          <w:b/>
        </w:rPr>
        <w:t>6 – 2</w:t>
      </w:r>
      <w:r w:rsidR="005C7997" w:rsidRPr="00D810F0">
        <w:rPr>
          <w:b/>
        </w:rPr>
        <w:t>4</w:t>
      </w:r>
      <w:r w:rsidRPr="00D810F0">
        <w:rPr>
          <w:b/>
        </w:rPr>
        <w:t xml:space="preserve"> de febrero 2023 </w:t>
      </w:r>
    </w:p>
    <w:p w14:paraId="28AF3D9B" w14:textId="77777777" w:rsidR="005070AD" w:rsidRPr="00D810F0" w:rsidRDefault="00000000" w:rsidP="00D810F0">
      <w:pPr>
        <w:spacing w:after="221" w:line="259" w:lineRule="auto"/>
        <w:ind w:left="15" w:firstLine="0"/>
      </w:pPr>
      <w:r w:rsidRPr="00D810F0">
        <w:rPr>
          <w:b/>
        </w:rPr>
        <w:t xml:space="preserve"> </w:t>
      </w:r>
    </w:p>
    <w:p w14:paraId="65DB3401" w14:textId="77777777" w:rsidR="005070AD" w:rsidRPr="00D810F0" w:rsidRDefault="00000000" w:rsidP="00D810F0">
      <w:pPr>
        <w:spacing w:after="221" w:line="259" w:lineRule="auto"/>
        <w:ind w:left="15" w:firstLine="0"/>
      </w:pPr>
      <w:r w:rsidRPr="00D810F0">
        <w:rPr>
          <w:b/>
        </w:rPr>
        <w:t xml:space="preserve"> </w:t>
      </w:r>
    </w:p>
    <w:p w14:paraId="2566FC42" w14:textId="77777777" w:rsidR="005070AD" w:rsidRPr="00D810F0" w:rsidRDefault="00000000" w:rsidP="00D810F0">
      <w:pPr>
        <w:spacing w:after="0" w:line="259" w:lineRule="auto"/>
        <w:ind w:left="15" w:firstLine="0"/>
      </w:pPr>
      <w:r w:rsidRPr="00D810F0">
        <w:rPr>
          <w:b/>
        </w:rPr>
        <w:t xml:space="preserve"> </w:t>
      </w:r>
    </w:p>
    <w:p w14:paraId="7AE8270C" w14:textId="77777777" w:rsidR="005070AD" w:rsidRPr="00D810F0" w:rsidRDefault="00000000" w:rsidP="00D810F0">
      <w:pPr>
        <w:spacing w:after="221" w:line="259" w:lineRule="auto"/>
        <w:ind w:left="15" w:firstLine="0"/>
      </w:pPr>
      <w:r w:rsidRPr="00D810F0">
        <w:rPr>
          <w:b/>
        </w:rPr>
        <w:t xml:space="preserve"> </w:t>
      </w:r>
    </w:p>
    <w:p w14:paraId="6489E5DF" w14:textId="77777777" w:rsidR="005C7997" w:rsidRPr="00D810F0" w:rsidRDefault="005C7997" w:rsidP="00D810F0">
      <w:pPr>
        <w:spacing w:after="0" w:line="259" w:lineRule="auto"/>
        <w:ind w:left="10"/>
      </w:pPr>
    </w:p>
    <w:p w14:paraId="733054F1" w14:textId="77777777" w:rsidR="005C7997" w:rsidRPr="00D810F0" w:rsidRDefault="005C7997" w:rsidP="00D810F0">
      <w:pPr>
        <w:spacing w:after="0" w:line="259" w:lineRule="auto"/>
        <w:ind w:left="10"/>
      </w:pPr>
    </w:p>
    <w:p w14:paraId="0ED57701" w14:textId="74639998" w:rsidR="005C7997" w:rsidRDefault="005C7997" w:rsidP="00D810F0">
      <w:pPr>
        <w:spacing w:after="0" w:line="259" w:lineRule="auto"/>
        <w:ind w:left="10"/>
      </w:pPr>
    </w:p>
    <w:p w14:paraId="2C084B90" w14:textId="5547AA27" w:rsidR="00D810F0" w:rsidRDefault="00D810F0" w:rsidP="00D810F0">
      <w:pPr>
        <w:spacing w:after="0" w:line="259" w:lineRule="auto"/>
        <w:ind w:left="10"/>
      </w:pPr>
    </w:p>
    <w:p w14:paraId="56D3572C" w14:textId="77777777" w:rsidR="00D810F0" w:rsidRDefault="00D810F0">
      <w:pPr>
        <w:spacing w:after="160" w:line="259" w:lineRule="auto"/>
        <w:ind w:left="0" w:firstLine="0"/>
        <w:jc w:val="left"/>
      </w:pPr>
      <w:r>
        <w:br w:type="page"/>
      </w:r>
    </w:p>
    <w:p w14:paraId="372EE49B" w14:textId="03545F29" w:rsidR="005070AD" w:rsidRDefault="00000000" w:rsidP="00D810F0">
      <w:pPr>
        <w:spacing w:after="0" w:line="259" w:lineRule="auto"/>
        <w:ind w:left="0" w:firstLine="0"/>
        <w:rPr>
          <w:b/>
          <w:bCs/>
        </w:rPr>
      </w:pPr>
      <w:r w:rsidRPr="00D810F0">
        <w:rPr>
          <w:b/>
          <w:bCs/>
        </w:rPr>
        <w:lastRenderedPageBreak/>
        <w:t xml:space="preserve">INDICE </w:t>
      </w:r>
    </w:p>
    <w:p w14:paraId="15CAB692" w14:textId="77777777" w:rsidR="00D810F0" w:rsidRPr="00D810F0" w:rsidRDefault="00D810F0" w:rsidP="00D810F0">
      <w:pPr>
        <w:spacing w:after="0" w:line="259" w:lineRule="auto"/>
        <w:ind w:left="10"/>
        <w:rPr>
          <w:b/>
          <w:bCs/>
        </w:rPr>
      </w:pPr>
    </w:p>
    <w:tbl>
      <w:tblPr>
        <w:tblStyle w:val="TableGrid"/>
        <w:tblW w:w="7197" w:type="dxa"/>
        <w:jc w:val="center"/>
        <w:tblInd w:w="0" w:type="dxa"/>
        <w:tblCellMar>
          <w:top w:w="12" w:type="dxa"/>
          <w:left w:w="107" w:type="dxa"/>
          <w:right w:w="30" w:type="dxa"/>
        </w:tblCellMar>
        <w:tblLook w:val="04A0" w:firstRow="1" w:lastRow="0" w:firstColumn="1" w:lastColumn="0" w:noHBand="0" w:noVBand="1"/>
      </w:tblPr>
      <w:tblGrid>
        <w:gridCol w:w="7197"/>
      </w:tblGrid>
      <w:tr w:rsidR="008F0CB5" w:rsidRPr="00D810F0" w14:paraId="45B674BA" w14:textId="77777777" w:rsidTr="00D810F0">
        <w:trPr>
          <w:trHeight w:val="123"/>
          <w:jc w:val="center"/>
        </w:trPr>
        <w:tc>
          <w:tcPr>
            <w:tcW w:w="7197" w:type="dxa"/>
            <w:tcBorders>
              <w:top w:val="single" w:sz="3" w:space="0" w:color="000000"/>
              <w:left w:val="single" w:sz="3" w:space="0" w:color="000000"/>
              <w:bottom w:val="single" w:sz="3" w:space="0" w:color="000000"/>
              <w:right w:val="single" w:sz="3" w:space="0" w:color="000000"/>
            </w:tcBorders>
          </w:tcPr>
          <w:p w14:paraId="1D04E1DB" w14:textId="77777777" w:rsidR="008F0CB5" w:rsidRPr="00D810F0" w:rsidRDefault="008F0CB5" w:rsidP="00D810F0">
            <w:pPr>
              <w:spacing w:after="0" w:line="259" w:lineRule="auto"/>
              <w:ind w:left="0" w:firstLine="0"/>
            </w:pPr>
            <w:r w:rsidRPr="00D810F0">
              <w:t xml:space="preserve"> </w:t>
            </w:r>
          </w:p>
        </w:tc>
      </w:tr>
      <w:tr w:rsidR="008F0CB5" w:rsidRPr="00D810F0" w14:paraId="2EEB7E41" w14:textId="77777777" w:rsidTr="008F0CB5">
        <w:trPr>
          <w:trHeight w:val="301"/>
          <w:jc w:val="center"/>
        </w:trPr>
        <w:tc>
          <w:tcPr>
            <w:tcW w:w="7197" w:type="dxa"/>
            <w:tcBorders>
              <w:top w:val="single" w:sz="3" w:space="0" w:color="000000"/>
              <w:left w:val="single" w:sz="3" w:space="0" w:color="000000"/>
              <w:bottom w:val="single" w:sz="3" w:space="0" w:color="000000"/>
              <w:right w:val="single" w:sz="3" w:space="0" w:color="000000"/>
            </w:tcBorders>
            <w:shd w:val="clear" w:color="auto" w:fill="F2F2F2"/>
          </w:tcPr>
          <w:p w14:paraId="3186B8CF" w14:textId="77777777" w:rsidR="00ED1A32" w:rsidRDefault="00ED1A32" w:rsidP="00D810F0">
            <w:pPr>
              <w:spacing w:after="0" w:line="259" w:lineRule="auto"/>
              <w:ind w:left="360" w:firstLine="0"/>
            </w:pPr>
          </w:p>
          <w:p w14:paraId="727EC5C9" w14:textId="5E99134F" w:rsidR="008F0CB5" w:rsidRDefault="008F0CB5" w:rsidP="00D810F0">
            <w:pPr>
              <w:spacing w:after="0" w:line="259" w:lineRule="auto"/>
              <w:ind w:left="360" w:firstLine="0"/>
            </w:pPr>
            <w:r w:rsidRPr="00D810F0">
              <w:t>-</w:t>
            </w:r>
            <w:r w:rsidRPr="00D810F0">
              <w:rPr>
                <w:rFonts w:eastAsia="Arial"/>
              </w:rPr>
              <w:t xml:space="preserve"> </w:t>
            </w:r>
            <w:r w:rsidRPr="00D810F0">
              <w:t xml:space="preserve">Introducción </w:t>
            </w:r>
          </w:p>
          <w:p w14:paraId="03A8DF83" w14:textId="7303C3E3" w:rsidR="00D810F0" w:rsidRPr="00D810F0" w:rsidRDefault="00D810F0" w:rsidP="00D810F0">
            <w:pPr>
              <w:spacing w:after="0" w:line="259" w:lineRule="auto"/>
              <w:ind w:left="360" w:firstLine="0"/>
            </w:pPr>
          </w:p>
        </w:tc>
      </w:tr>
      <w:tr w:rsidR="008F0CB5" w:rsidRPr="00D810F0" w14:paraId="33886B19" w14:textId="77777777" w:rsidTr="00D810F0">
        <w:trPr>
          <w:trHeight w:val="2190"/>
          <w:jc w:val="center"/>
        </w:trPr>
        <w:tc>
          <w:tcPr>
            <w:tcW w:w="7197" w:type="dxa"/>
            <w:tcBorders>
              <w:top w:val="single" w:sz="3" w:space="0" w:color="000000"/>
              <w:left w:val="single" w:sz="3" w:space="0" w:color="000000"/>
              <w:bottom w:val="single" w:sz="3" w:space="0" w:color="000000"/>
              <w:right w:val="single" w:sz="3" w:space="0" w:color="000000"/>
            </w:tcBorders>
            <w:shd w:val="clear" w:color="auto" w:fill="D9D9D9"/>
          </w:tcPr>
          <w:p w14:paraId="6FB71B23" w14:textId="77777777" w:rsidR="00ED1A32" w:rsidRDefault="00ED1A32" w:rsidP="00D810F0">
            <w:pPr>
              <w:spacing w:after="0" w:line="240" w:lineRule="auto"/>
              <w:ind w:left="720" w:hanging="360"/>
            </w:pPr>
          </w:p>
          <w:p w14:paraId="1B575C55" w14:textId="39A450A8" w:rsidR="008F0CB5" w:rsidRPr="00D810F0" w:rsidRDefault="008F0CB5" w:rsidP="00D810F0">
            <w:pPr>
              <w:spacing w:after="0" w:line="240" w:lineRule="auto"/>
              <w:ind w:left="720" w:hanging="360"/>
            </w:pPr>
            <w:r w:rsidRPr="00D810F0">
              <w:t>-</w:t>
            </w:r>
            <w:r w:rsidRPr="00D810F0">
              <w:rPr>
                <w:rFonts w:eastAsia="Arial"/>
              </w:rPr>
              <w:t xml:space="preserve"> </w:t>
            </w:r>
            <w:r w:rsidRPr="00D810F0">
              <w:t xml:space="preserve">Principales violaciones a los artículos de la Convención sobre la Eliminación de Todas las Formas de </w:t>
            </w:r>
          </w:p>
          <w:p w14:paraId="017DEA42" w14:textId="77777777" w:rsidR="008F0CB5" w:rsidRPr="00D810F0" w:rsidRDefault="008F0CB5" w:rsidP="00D810F0">
            <w:pPr>
              <w:spacing w:after="264" w:line="259" w:lineRule="auto"/>
              <w:ind w:left="720" w:firstLine="0"/>
            </w:pPr>
            <w:r w:rsidRPr="00D810F0">
              <w:t xml:space="preserve">Discriminación Contra la Mujer </w:t>
            </w:r>
          </w:p>
          <w:p w14:paraId="569098BD" w14:textId="77819C92" w:rsidR="008F0CB5" w:rsidRPr="00D810F0" w:rsidRDefault="008F0CB5" w:rsidP="00D810F0">
            <w:pPr>
              <w:spacing w:after="280" w:line="239" w:lineRule="auto"/>
              <w:ind w:left="720" w:firstLine="0"/>
            </w:pPr>
            <w:r w:rsidRPr="00D810F0">
              <w:rPr>
                <w:b/>
              </w:rPr>
              <w:t xml:space="preserve">Artículos 1 y 2: </w:t>
            </w:r>
            <w:r w:rsidRPr="00D810F0">
              <w:t xml:space="preserve">Discriminación contra la mujer. </w:t>
            </w:r>
          </w:p>
          <w:p w14:paraId="3896CA7E" w14:textId="3F3C3334" w:rsidR="008F0CB5" w:rsidRPr="00D810F0" w:rsidRDefault="00006B67" w:rsidP="00D810F0">
            <w:pPr>
              <w:spacing w:after="0" w:line="259" w:lineRule="auto"/>
              <w:ind w:left="720" w:firstLine="0"/>
              <w:rPr>
                <w:b/>
                <w:bCs/>
              </w:rPr>
            </w:pPr>
            <w:r w:rsidRPr="00D810F0">
              <w:rPr>
                <w:b/>
                <w:bCs/>
              </w:rPr>
              <w:t>“TERAPIAS DE CONVERSION“</w:t>
            </w:r>
            <w:r w:rsidR="008F0CB5" w:rsidRPr="00D810F0">
              <w:rPr>
                <w:b/>
                <w:bCs/>
              </w:rPr>
              <w:t xml:space="preserve"> </w:t>
            </w:r>
          </w:p>
        </w:tc>
      </w:tr>
      <w:tr w:rsidR="008F0CB5" w:rsidRPr="00D810F0" w14:paraId="4468B4A2" w14:textId="77777777" w:rsidTr="008F0CB5">
        <w:trPr>
          <w:trHeight w:val="1711"/>
          <w:jc w:val="center"/>
        </w:trPr>
        <w:tc>
          <w:tcPr>
            <w:tcW w:w="7197" w:type="dxa"/>
            <w:tcBorders>
              <w:top w:val="single" w:sz="3" w:space="0" w:color="000000"/>
              <w:left w:val="single" w:sz="3" w:space="0" w:color="000000"/>
              <w:bottom w:val="single" w:sz="3" w:space="0" w:color="000000"/>
              <w:right w:val="single" w:sz="3" w:space="0" w:color="000000"/>
            </w:tcBorders>
            <w:shd w:val="clear" w:color="auto" w:fill="F2F2F2"/>
          </w:tcPr>
          <w:p w14:paraId="5B1E6F65" w14:textId="77777777" w:rsidR="00ED1A32" w:rsidRDefault="00ED1A32" w:rsidP="00D810F0">
            <w:pPr>
              <w:spacing w:after="263" w:line="242" w:lineRule="auto"/>
              <w:ind w:right="89"/>
              <w:rPr>
                <w:b/>
              </w:rPr>
            </w:pPr>
          </w:p>
          <w:p w14:paraId="77EC9688" w14:textId="030E6AA8" w:rsidR="00006B67" w:rsidRPr="00D810F0" w:rsidRDefault="00006B67" w:rsidP="00D810F0">
            <w:pPr>
              <w:spacing w:after="263" w:line="242" w:lineRule="auto"/>
              <w:ind w:right="89"/>
              <w:rPr>
                <w:b/>
              </w:rPr>
            </w:pPr>
            <w:r w:rsidRPr="00D810F0">
              <w:rPr>
                <w:b/>
              </w:rPr>
              <w:t>Derecho al Empleo</w:t>
            </w:r>
          </w:p>
          <w:p w14:paraId="13816DA9" w14:textId="79D1A52A" w:rsidR="008F0CB5" w:rsidRPr="00D810F0" w:rsidRDefault="008F0CB5" w:rsidP="00D810F0">
            <w:pPr>
              <w:spacing w:after="263" w:line="242" w:lineRule="auto"/>
              <w:ind w:left="720" w:right="89" w:firstLine="0"/>
            </w:pPr>
            <w:r w:rsidRPr="00D810F0">
              <w:rPr>
                <w:b/>
              </w:rPr>
              <w:t>Artículo</w:t>
            </w:r>
            <w:r w:rsidR="00006B67" w:rsidRPr="00D810F0">
              <w:rPr>
                <w:b/>
              </w:rPr>
              <w:t xml:space="preserve"> 11:</w:t>
            </w:r>
            <w:r w:rsidR="00ED1A32">
              <w:rPr>
                <w:b/>
              </w:rPr>
              <w:t xml:space="preserve"> </w:t>
            </w:r>
            <w:r w:rsidR="00006B67" w:rsidRPr="00D810F0">
              <w:t>Los Estados Partes adoptarán todas las medidas apropiadas para eliminar la discriminación contra la mujer en la esfera del empleo a fin de asegurar a la mujer, en condiciones de igualdad con los hombres.</w:t>
            </w:r>
          </w:p>
          <w:p w14:paraId="4C7370BE" w14:textId="77777777" w:rsidR="00006B67" w:rsidRPr="00D810F0" w:rsidRDefault="00006B67" w:rsidP="00D810F0">
            <w:pPr>
              <w:spacing w:after="0" w:line="259" w:lineRule="auto"/>
              <w:ind w:left="0" w:firstLine="0"/>
              <w:rPr>
                <w:rFonts w:eastAsia="Arial"/>
              </w:rPr>
            </w:pPr>
            <w:r w:rsidRPr="00D810F0">
              <w:rPr>
                <w:rFonts w:eastAsia="Arial"/>
              </w:rPr>
              <w:t>a) El derecho al trabajo como derecho inalienable de todo ser humano;</w:t>
            </w:r>
          </w:p>
          <w:p w14:paraId="03B91141" w14:textId="77777777" w:rsidR="00006B67" w:rsidRPr="00D810F0" w:rsidRDefault="00006B67" w:rsidP="00D810F0">
            <w:pPr>
              <w:spacing w:after="0" w:line="259" w:lineRule="auto"/>
              <w:ind w:left="0" w:firstLine="0"/>
              <w:rPr>
                <w:rFonts w:eastAsia="Arial"/>
              </w:rPr>
            </w:pPr>
          </w:p>
          <w:p w14:paraId="7DA30BAC" w14:textId="77777777" w:rsidR="008F0CB5" w:rsidRDefault="00006B67" w:rsidP="00D810F0">
            <w:pPr>
              <w:spacing w:after="0" w:line="259" w:lineRule="auto"/>
              <w:ind w:left="0" w:firstLine="0"/>
              <w:rPr>
                <w:rFonts w:eastAsia="Arial"/>
              </w:rPr>
            </w:pPr>
            <w:r w:rsidRPr="00D810F0">
              <w:rPr>
                <w:rFonts w:eastAsia="Arial"/>
              </w:rPr>
              <w:t>b) El derecho a las mismas oportunidades de empleo, inclusive a la aplicación de los mismos criterios de selección en cuestiones de empleo</w:t>
            </w:r>
            <w:r w:rsidR="00D810F0">
              <w:rPr>
                <w:rFonts w:eastAsia="Arial"/>
              </w:rPr>
              <w:t>.</w:t>
            </w:r>
          </w:p>
          <w:p w14:paraId="67589C1F" w14:textId="5EC66F27" w:rsidR="00D810F0" w:rsidRPr="00D810F0" w:rsidRDefault="00D810F0" w:rsidP="00D810F0">
            <w:pPr>
              <w:spacing w:after="0" w:line="259" w:lineRule="auto"/>
              <w:ind w:left="0" w:firstLine="0"/>
            </w:pPr>
          </w:p>
        </w:tc>
      </w:tr>
      <w:tr w:rsidR="008F0CB5" w:rsidRPr="00D810F0" w14:paraId="54FB4C15" w14:textId="77777777" w:rsidTr="00ED1A32">
        <w:trPr>
          <w:trHeight w:val="1634"/>
          <w:jc w:val="center"/>
        </w:trPr>
        <w:tc>
          <w:tcPr>
            <w:tcW w:w="7197" w:type="dxa"/>
            <w:tcBorders>
              <w:top w:val="single" w:sz="3" w:space="0" w:color="000000"/>
              <w:left w:val="single" w:sz="3" w:space="0" w:color="000000"/>
              <w:bottom w:val="single" w:sz="3" w:space="0" w:color="000000"/>
              <w:right w:val="single" w:sz="3" w:space="0" w:color="000000"/>
            </w:tcBorders>
            <w:shd w:val="clear" w:color="auto" w:fill="D9D9D9"/>
          </w:tcPr>
          <w:p w14:paraId="6D08BB82" w14:textId="77777777" w:rsidR="00ED1A32" w:rsidRDefault="00ED1A32" w:rsidP="00D810F0">
            <w:pPr>
              <w:spacing w:after="257" w:line="259" w:lineRule="auto"/>
              <w:ind w:left="0" w:firstLine="0"/>
              <w:rPr>
                <w:b/>
              </w:rPr>
            </w:pPr>
            <w:r>
              <w:rPr>
                <w:b/>
              </w:rPr>
              <w:t xml:space="preserve">   </w:t>
            </w:r>
          </w:p>
          <w:p w14:paraId="7FE68972" w14:textId="6665DE29" w:rsidR="008F0CB5" w:rsidRPr="00D810F0" w:rsidRDefault="008F0CB5" w:rsidP="00ED1A32">
            <w:pPr>
              <w:spacing w:after="257" w:line="259" w:lineRule="auto"/>
              <w:ind w:left="456" w:firstLine="0"/>
            </w:pPr>
            <w:r w:rsidRPr="00D810F0">
              <w:rPr>
                <w:b/>
              </w:rPr>
              <w:t>El Derecho a la Salud</w:t>
            </w:r>
            <w:r w:rsidR="00ED1A32">
              <w:rPr>
                <w:b/>
              </w:rPr>
              <w:t xml:space="preserve">   </w:t>
            </w:r>
          </w:p>
          <w:p w14:paraId="41511CD7" w14:textId="748C78C2" w:rsidR="008F0CB5" w:rsidRPr="00D810F0" w:rsidRDefault="008F0CB5" w:rsidP="00ED1A32">
            <w:pPr>
              <w:spacing w:after="0" w:line="482" w:lineRule="auto"/>
              <w:ind w:left="0" w:right="206" w:firstLine="0"/>
            </w:pPr>
            <w:r w:rsidRPr="00D810F0">
              <w:rPr>
                <w:b/>
              </w:rPr>
              <w:t xml:space="preserve">Artículo 12: </w:t>
            </w:r>
            <w:r w:rsidRPr="00D810F0">
              <w:t xml:space="preserve">Atención médica justa, digna e igualitaria </w:t>
            </w:r>
          </w:p>
          <w:p w14:paraId="38156E3C" w14:textId="022AC997" w:rsidR="008F0CB5" w:rsidRPr="00D810F0" w:rsidRDefault="00ED1A32" w:rsidP="00D810F0">
            <w:pPr>
              <w:spacing w:after="0" w:line="259" w:lineRule="auto"/>
              <w:ind w:left="0" w:firstLine="0"/>
            </w:pPr>
            <w:r>
              <w:rPr>
                <w:rFonts w:eastAsia="Arial"/>
              </w:rPr>
              <w:t xml:space="preserve">  </w:t>
            </w:r>
            <w:r w:rsidR="008F0CB5" w:rsidRPr="00D810F0">
              <w:rPr>
                <w:rFonts w:eastAsia="Arial"/>
              </w:rPr>
              <w:t xml:space="preserve"> Las personas intersexuales y el Derecho a la Salud</w:t>
            </w:r>
            <w:r w:rsidR="008F0CB5" w:rsidRPr="00D810F0">
              <w:rPr>
                <w:rFonts w:eastAsia="Arial"/>
                <w:color w:val="888888"/>
              </w:rPr>
              <w:t xml:space="preserve"> </w:t>
            </w:r>
          </w:p>
        </w:tc>
      </w:tr>
      <w:tr w:rsidR="008F0CB5" w:rsidRPr="00D810F0" w14:paraId="1E14F27D" w14:textId="77777777" w:rsidTr="008F0CB5">
        <w:trPr>
          <w:trHeight w:val="590"/>
          <w:jc w:val="center"/>
        </w:trPr>
        <w:tc>
          <w:tcPr>
            <w:tcW w:w="7197" w:type="dxa"/>
            <w:tcBorders>
              <w:top w:val="single" w:sz="3" w:space="0" w:color="000000"/>
              <w:left w:val="single" w:sz="3" w:space="0" w:color="000000"/>
              <w:bottom w:val="single" w:sz="3" w:space="0" w:color="000000"/>
              <w:right w:val="single" w:sz="3" w:space="0" w:color="000000"/>
            </w:tcBorders>
            <w:shd w:val="clear" w:color="auto" w:fill="F2F2F2"/>
          </w:tcPr>
          <w:p w14:paraId="11A79E05" w14:textId="77777777" w:rsidR="00ED1A32" w:rsidRDefault="00ED1A32" w:rsidP="00D810F0">
            <w:pPr>
              <w:spacing w:after="0" w:line="259" w:lineRule="auto"/>
              <w:ind w:left="360" w:firstLine="0"/>
            </w:pPr>
          </w:p>
          <w:p w14:paraId="76DEDFBC" w14:textId="06875A80" w:rsidR="008F0CB5" w:rsidRPr="00D810F0" w:rsidRDefault="008F0CB5" w:rsidP="00D810F0">
            <w:pPr>
              <w:spacing w:after="0" w:line="259" w:lineRule="auto"/>
              <w:ind w:left="360" w:firstLine="0"/>
            </w:pPr>
            <w:r w:rsidRPr="00D810F0">
              <w:t>-</w:t>
            </w:r>
            <w:r w:rsidRPr="00D810F0">
              <w:rPr>
                <w:rFonts w:eastAsia="Arial"/>
              </w:rPr>
              <w:t xml:space="preserve"> </w:t>
            </w:r>
            <w:r w:rsidRPr="00D810F0">
              <w:t xml:space="preserve">Sumario de Recomendaciones </w:t>
            </w:r>
          </w:p>
          <w:p w14:paraId="5F3A1D84" w14:textId="77777777" w:rsidR="008F0CB5" w:rsidRPr="00D810F0" w:rsidRDefault="008F0CB5" w:rsidP="00D810F0">
            <w:pPr>
              <w:spacing w:after="0" w:line="259" w:lineRule="auto"/>
              <w:ind w:left="720" w:firstLine="0"/>
            </w:pPr>
            <w:r w:rsidRPr="00D810F0">
              <w:t xml:space="preserve"> </w:t>
            </w:r>
          </w:p>
        </w:tc>
      </w:tr>
      <w:tr w:rsidR="008F0CB5" w:rsidRPr="00D810F0" w14:paraId="518BC995" w14:textId="77777777" w:rsidTr="008F0CB5">
        <w:trPr>
          <w:trHeight w:val="590"/>
          <w:jc w:val="center"/>
        </w:trPr>
        <w:tc>
          <w:tcPr>
            <w:tcW w:w="7197" w:type="dxa"/>
            <w:tcBorders>
              <w:top w:val="single" w:sz="3" w:space="0" w:color="000000"/>
              <w:left w:val="single" w:sz="3" w:space="0" w:color="000000"/>
              <w:bottom w:val="single" w:sz="3" w:space="0" w:color="000000"/>
              <w:right w:val="single" w:sz="3" w:space="0" w:color="000000"/>
            </w:tcBorders>
            <w:shd w:val="clear" w:color="auto" w:fill="D9D9D9"/>
          </w:tcPr>
          <w:p w14:paraId="09C5DBA1" w14:textId="77777777" w:rsidR="00ED1A32" w:rsidRDefault="00ED1A32" w:rsidP="00D810F0">
            <w:pPr>
              <w:spacing w:after="0" w:line="259" w:lineRule="auto"/>
              <w:ind w:left="360" w:firstLine="0"/>
            </w:pPr>
          </w:p>
          <w:p w14:paraId="24A76254" w14:textId="324E880B" w:rsidR="008F0CB5" w:rsidRPr="00D810F0" w:rsidRDefault="008F0CB5" w:rsidP="00D810F0">
            <w:pPr>
              <w:spacing w:after="0" w:line="259" w:lineRule="auto"/>
              <w:ind w:left="360" w:firstLine="0"/>
            </w:pPr>
            <w:r w:rsidRPr="00D810F0">
              <w:t>-</w:t>
            </w:r>
            <w:r w:rsidRPr="00D810F0">
              <w:rPr>
                <w:rFonts w:eastAsia="Arial"/>
              </w:rPr>
              <w:t xml:space="preserve"> </w:t>
            </w:r>
            <w:r w:rsidRPr="00D810F0">
              <w:t xml:space="preserve">Bibliografía </w:t>
            </w:r>
          </w:p>
          <w:p w14:paraId="4473FDD7" w14:textId="77777777" w:rsidR="008F0CB5" w:rsidRPr="00D810F0" w:rsidRDefault="008F0CB5" w:rsidP="00D810F0">
            <w:pPr>
              <w:spacing w:after="0" w:line="259" w:lineRule="auto"/>
              <w:ind w:left="720" w:firstLine="0"/>
            </w:pPr>
            <w:r w:rsidRPr="00D810F0">
              <w:t xml:space="preserve"> </w:t>
            </w:r>
          </w:p>
        </w:tc>
      </w:tr>
    </w:tbl>
    <w:p w14:paraId="7AC13583" w14:textId="77777777" w:rsidR="005070AD" w:rsidRPr="00D810F0" w:rsidRDefault="00000000" w:rsidP="00D810F0">
      <w:pPr>
        <w:spacing w:after="0" w:line="259" w:lineRule="auto"/>
        <w:ind w:left="15" w:firstLine="0"/>
      </w:pPr>
      <w:r w:rsidRPr="00D810F0">
        <w:rPr>
          <w:b/>
        </w:rPr>
        <w:t xml:space="preserve"> </w:t>
      </w:r>
    </w:p>
    <w:p w14:paraId="2EF46B90" w14:textId="77777777" w:rsidR="00CF5C93" w:rsidRPr="00D810F0" w:rsidRDefault="00CF5C93" w:rsidP="00D810F0">
      <w:pPr>
        <w:pStyle w:val="Ttulo1"/>
        <w:spacing w:after="222"/>
        <w:ind w:left="10"/>
        <w:jc w:val="both"/>
      </w:pPr>
    </w:p>
    <w:p w14:paraId="7B158320" w14:textId="77777777" w:rsidR="00D810F0" w:rsidRDefault="00D810F0">
      <w:pPr>
        <w:spacing w:after="160" w:line="259" w:lineRule="auto"/>
        <w:ind w:left="0" w:firstLine="0"/>
        <w:jc w:val="left"/>
        <w:rPr>
          <w:b/>
        </w:rPr>
      </w:pPr>
      <w:r>
        <w:br w:type="page"/>
      </w:r>
    </w:p>
    <w:p w14:paraId="5E88B9E0" w14:textId="1A7811AF" w:rsidR="005070AD" w:rsidRPr="00D810F0" w:rsidRDefault="00000000" w:rsidP="00ED1A32">
      <w:pPr>
        <w:pStyle w:val="Ttulo1"/>
        <w:spacing w:after="222"/>
        <w:ind w:left="0" w:firstLine="0"/>
        <w:jc w:val="both"/>
      </w:pPr>
      <w:r w:rsidRPr="00D810F0">
        <w:lastRenderedPageBreak/>
        <w:t xml:space="preserve">Introducción </w:t>
      </w:r>
    </w:p>
    <w:p w14:paraId="4CCFF02E" w14:textId="0780A55C" w:rsidR="00CF5C93" w:rsidRPr="00D810F0" w:rsidRDefault="00CF5C93" w:rsidP="00D810F0">
      <w:pPr>
        <w:spacing w:after="0" w:line="240" w:lineRule="auto"/>
        <w:contextualSpacing/>
      </w:pPr>
      <w:r w:rsidRPr="00D810F0">
        <w:t>Este informe es presentado por Mulabi – Espacio Latinoamericano de Sexualidades</w:t>
      </w:r>
      <w:r w:rsidR="00D810F0" w:rsidRPr="00D810F0">
        <w:t xml:space="preserve"> y Derechos.</w:t>
      </w:r>
      <w:r w:rsidRPr="00D810F0">
        <w:rPr>
          <w:vertAlign w:val="superscript"/>
        </w:rPr>
        <w:footnoteReference w:id="1"/>
      </w:r>
      <w:r w:rsidRPr="00D810F0">
        <w:rPr>
          <w:vertAlign w:val="superscript"/>
        </w:rPr>
        <w:t xml:space="preserve"> </w:t>
      </w:r>
      <w:r w:rsidRPr="00D810F0">
        <w:t>Mulabi tiene como visión contribuir al disfrute de una sociedad más justa, a través de la alfabetización en derechos humanos para la reivindicación de las sexualidades, como un referente latinoamericano de consulta e incidencia política. describe la situación de los Derechos Humanos relacionados con la orientación sexual, identidad, expresión de género, características sexuales y los derechos sexuales y reproductivos de las personas.</w:t>
      </w:r>
    </w:p>
    <w:p w14:paraId="16C41D2A" w14:textId="77777777" w:rsidR="008F0CB5" w:rsidRPr="00D810F0" w:rsidRDefault="008F0CB5" w:rsidP="00D810F0">
      <w:pPr>
        <w:spacing w:after="0" w:line="240" w:lineRule="auto"/>
        <w:contextualSpacing/>
      </w:pPr>
    </w:p>
    <w:p w14:paraId="603DFC09" w14:textId="095180BA" w:rsidR="00CF5C93" w:rsidRPr="00D810F0" w:rsidRDefault="00CF5C93" w:rsidP="00D810F0">
      <w:pPr>
        <w:spacing w:after="0" w:line="240" w:lineRule="auto"/>
        <w:contextualSpacing/>
      </w:pPr>
      <w:r w:rsidRPr="00D810F0">
        <w:t xml:space="preserve">En </w:t>
      </w:r>
      <w:r w:rsidRPr="00D810F0">
        <w:rPr>
          <w:rFonts w:eastAsia="Calibri"/>
        </w:rPr>
        <w:t>Mulabi se tiene claro que la manera de hacer incidencia se sustenta en mostrar a través de ejemplos concretos cómo la falta de comprensión acerca de la diversidad como regla -y no como excepción- en las sexualidades humanas afecta a personas y a grupos específicos.</w:t>
      </w:r>
      <w:r w:rsidRPr="00D810F0">
        <w:t xml:space="preserve"> </w:t>
      </w:r>
    </w:p>
    <w:p w14:paraId="10ED348A" w14:textId="77777777" w:rsidR="008F0CB5" w:rsidRPr="00D810F0" w:rsidRDefault="008F0CB5" w:rsidP="00D810F0">
      <w:pPr>
        <w:spacing w:after="0" w:line="240" w:lineRule="auto"/>
        <w:contextualSpacing/>
      </w:pPr>
    </w:p>
    <w:p w14:paraId="44FAD19E" w14:textId="31C6156B" w:rsidR="00CF5C93" w:rsidRPr="00D810F0" w:rsidRDefault="00CF5C93" w:rsidP="00D810F0">
      <w:pPr>
        <w:spacing w:after="0" w:line="240" w:lineRule="auto"/>
        <w:contextualSpacing/>
      </w:pPr>
      <w:r w:rsidRPr="00D810F0">
        <w:t xml:space="preserve">Mulabi no sólo ha presentado informes ante la Comisión contra la Eliminación de toda forma de Discriminación a la </w:t>
      </w:r>
      <w:r w:rsidR="008F0CB5" w:rsidRPr="00D810F0">
        <w:t>Mujer,</w:t>
      </w:r>
      <w:r w:rsidR="00AA469C" w:rsidRPr="00D810F0">
        <w:t xml:space="preserve"> así como ante otras instancias </w:t>
      </w:r>
      <w:r w:rsidRPr="00D810F0">
        <w:t>sobre todo para denunciar la situación que viven y sufren las personas por razón de su orientación sexual y su identidad y expresión de género, así como por el tema de las características sexuales.</w:t>
      </w:r>
    </w:p>
    <w:p w14:paraId="20634250" w14:textId="77777777" w:rsidR="008F0CB5" w:rsidRPr="00D810F0" w:rsidRDefault="008F0CB5" w:rsidP="00D810F0">
      <w:pPr>
        <w:spacing w:after="0" w:line="240" w:lineRule="auto"/>
        <w:contextualSpacing/>
      </w:pPr>
    </w:p>
    <w:p w14:paraId="654866E6" w14:textId="0EE48848" w:rsidR="00CF5C93" w:rsidRPr="00D810F0" w:rsidRDefault="00CF5C93" w:rsidP="00D810F0">
      <w:pPr>
        <w:spacing w:after="0" w:line="240" w:lineRule="auto"/>
        <w:contextualSpacing/>
      </w:pPr>
      <w:r w:rsidRPr="00D810F0">
        <w:t xml:space="preserve">El objetivo de este informe es alentar al gobierno de Costa Rica a tomar medidas concretas y efectivas para eliminar toda situación de violencia y/o discriminación que vulnera los derechos de las personas lesbianas, </w:t>
      </w:r>
      <w:proofErr w:type="spellStart"/>
      <w:r w:rsidR="00D810F0" w:rsidRPr="00D810F0">
        <w:t>gays</w:t>
      </w:r>
      <w:proofErr w:type="spellEnd"/>
      <w:r w:rsidR="00D810F0" w:rsidRPr="00D810F0">
        <w:t xml:space="preserve">, </w:t>
      </w:r>
      <w:r w:rsidRPr="00D810F0">
        <w:t>bisexuales, trans e intersex</w:t>
      </w:r>
      <w:r w:rsidR="00ED1A32">
        <w:t xml:space="preserve"> </w:t>
      </w:r>
      <w:r w:rsidRPr="00D810F0">
        <w:t>(LGBTI)</w:t>
      </w:r>
      <w:r w:rsidR="00AA469C" w:rsidRPr="00D810F0">
        <w:t xml:space="preserve"> </w:t>
      </w:r>
      <w:r w:rsidRPr="00D810F0">
        <w:t xml:space="preserve">y garantice los derechos sexuales y reproductivos para todas las personas. </w:t>
      </w:r>
    </w:p>
    <w:p w14:paraId="7EE17A20" w14:textId="77777777" w:rsidR="008F0CB5" w:rsidRPr="00D810F0" w:rsidRDefault="008F0CB5" w:rsidP="00D810F0">
      <w:pPr>
        <w:spacing w:after="0" w:line="240" w:lineRule="auto"/>
        <w:contextualSpacing/>
      </w:pPr>
    </w:p>
    <w:p w14:paraId="25A070DB" w14:textId="6DDE2940" w:rsidR="00CF5C93" w:rsidRPr="00D810F0" w:rsidRDefault="00CF5C93" w:rsidP="00D810F0">
      <w:pPr>
        <w:spacing w:after="0" w:line="240" w:lineRule="auto"/>
        <w:contextualSpacing/>
      </w:pPr>
      <w:r w:rsidRPr="00D810F0">
        <w:t>Evidenciar los avances que Costa Rica ha materializado para las personas LGBTI y las diferentes y múltiples políticas públicas que se han acogido para procurar la igualdad y la no discriminación. Asimismo, evidenciar las recomendaciones pertinentes para seguir avanzando en la obtención, promoción y protección de los Derechos Humanos de la población LGBTI.</w:t>
      </w:r>
    </w:p>
    <w:p w14:paraId="45F88746" w14:textId="77777777" w:rsidR="005070AD" w:rsidRPr="00D810F0" w:rsidRDefault="00000000" w:rsidP="00D810F0">
      <w:pPr>
        <w:spacing w:after="0" w:line="259" w:lineRule="auto"/>
        <w:ind w:left="0" w:right="40" w:firstLine="0"/>
      </w:pPr>
      <w:r w:rsidRPr="00D810F0">
        <w:rPr>
          <w:b/>
        </w:rPr>
        <w:t xml:space="preserve"> </w:t>
      </w:r>
    </w:p>
    <w:p w14:paraId="5F5CD715" w14:textId="51E6FFF4" w:rsidR="00AA469C" w:rsidRPr="00D810F0" w:rsidRDefault="00AA469C" w:rsidP="00D810F0">
      <w:pPr>
        <w:spacing w:after="0" w:line="240" w:lineRule="auto"/>
        <w:contextualSpacing/>
      </w:pPr>
      <w:r w:rsidRPr="00D810F0">
        <w:t xml:space="preserve">Uno de los principales avances del Estado Costarricense es que a partir del año 2018 el gobierno creó la figura del Comisionado LGBTI, una </w:t>
      </w:r>
      <w:r w:rsidR="008F0CB5" w:rsidRPr="00D810F0">
        <w:t>persona perteneciente</w:t>
      </w:r>
      <w:r w:rsidRPr="00D810F0">
        <w:t xml:space="preserve"> al Poder Ejecutivo y quien recibirá los informes de cada Institución, como también trabajará en los temas pendientes en Derechos Humanos de la población LGBTI en Costa Rica. Este Comisionado tendrá como principal deber ser mediador, y vocero directo ante la Presidencia de la República de Costa Rica y las distintas organizaciones de sociedad civil. Sin embargo, la promoción y protección de los DDHH</w:t>
      </w:r>
      <w:r w:rsidR="00ED1A32">
        <w:t xml:space="preserve"> </w:t>
      </w:r>
      <w:r w:rsidRPr="00D810F0">
        <w:t xml:space="preserve">para las personas LGBTI ha sido poco constante. Desafortunadamente el gobierno entrante eliminó la figura de la Comisión LGBTIQ+ e instauró la de un Comisionado de la Inclusión, dejando sin representación a las poblaciones históricamente </w:t>
      </w:r>
      <w:proofErr w:type="spellStart"/>
      <w:r w:rsidRPr="00D810F0">
        <w:t>vulnerabilizadas</w:t>
      </w:r>
      <w:proofErr w:type="spellEnd"/>
      <w:r w:rsidRPr="00D810F0">
        <w:t xml:space="preserve">. </w:t>
      </w:r>
    </w:p>
    <w:p w14:paraId="2D2C882A" w14:textId="77777777" w:rsidR="008F0CB5" w:rsidRPr="00D810F0" w:rsidRDefault="008F0CB5" w:rsidP="00D810F0">
      <w:pPr>
        <w:spacing w:after="0" w:line="240" w:lineRule="auto"/>
        <w:contextualSpacing/>
      </w:pPr>
    </w:p>
    <w:p w14:paraId="07B439F1" w14:textId="7207B80C" w:rsidR="00AA469C" w:rsidRPr="00D810F0" w:rsidRDefault="00AA469C" w:rsidP="00D810F0">
      <w:pPr>
        <w:spacing w:after="0" w:line="240" w:lineRule="auto"/>
        <w:contextualSpacing/>
      </w:pPr>
      <w:r w:rsidRPr="00D810F0">
        <w:t xml:space="preserve">La deuda bajo la cual el Estado Costarricense se mantiene con la población LGBTI de Costa Rica suma décadas, afectando las vidas de muchas personas y familias, es necesario reconocer el avance de los Derechos Humanos gracias a los colectivos, y en </w:t>
      </w:r>
      <w:r w:rsidRPr="00D810F0">
        <w:lastRenderedPageBreak/>
        <w:t>parte la promoción de dichos Derechos se ha nutrido y contribuido gracias a las diferentes organizaciones de sociedad civil las cuales han promovido políticas públicas abogando el respeto, la igualdad y no discriminación.</w:t>
      </w:r>
    </w:p>
    <w:p w14:paraId="6913B4BB" w14:textId="25601A48" w:rsidR="005070AD" w:rsidRPr="00D810F0" w:rsidRDefault="005070AD" w:rsidP="00D810F0">
      <w:pPr>
        <w:spacing w:after="0" w:line="259" w:lineRule="auto"/>
        <w:ind w:left="0" w:right="40" w:firstLine="0"/>
      </w:pPr>
    </w:p>
    <w:p w14:paraId="72DCFD57" w14:textId="1D14C15C" w:rsidR="003F6036" w:rsidRPr="00D810F0" w:rsidRDefault="008F0CB5" w:rsidP="00D810F0">
      <w:pPr>
        <w:spacing w:after="0" w:line="259" w:lineRule="auto"/>
        <w:ind w:left="0" w:right="40" w:firstLine="0"/>
      </w:pPr>
      <w:r w:rsidRPr="00D810F0">
        <w:t>Palabras clave: Personas Intersex, transgénero, transexuales, “trans” travestis</w:t>
      </w:r>
      <w:r w:rsidR="00006B67" w:rsidRPr="00D810F0">
        <w:t xml:space="preserve">, </w:t>
      </w:r>
      <w:r w:rsidRPr="00D810F0">
        <w:t>Políticas Públicas, Derechos Humanos, Igualdad.</w:t>
      </w:r>
    </w:p>
    <w:p w14:paraId="6A6AFF22" w14:textId="77777777" w:rsidR="003F6036" w:rsidRPr="00D810F0" w:rsidRDefault="003F6036" w:rsidP="00D810F0">
      <w:pPr>
        <w:spacing w:after="0" w:line="259" w:lineRule="auto"/>
        <w:ind w:left="0" w:right="40" w:firstLine="0"/>
      </w:pPr>
    </w:p>
    <w:p w14:paraId="340948DE" w14:textId="77777777" w:rsidR="005070AD" w:rsidRPr="00D810F0" w:rsidRDefault="00000000" w:rsidP="00D810F0">
      <w:pPr>
        <w:spacing w:after="0" w:line="236" w:lineRule="auto"/>
        <w:ind w:left="132" w:right="171" w:firstLine="0"/>
      </w:pPr>
      <w:r w:rsidRPr="00D810F0">
        <w:rPr>
          <w:b/>
        </w:rPr>
        <w:t xml:space="preserve">Principales violaciones a los artículos de la Convención sobre la Eliminación de Todas las Formas de Discriminación Contra la Mujer – CEDAW. </w:t>
      </w:r>
    </w:p>
    <w:p w14:paraId="633D4BCE" w14:textId="77777777" w:rsidR="005070AD" w:rsidRPr="00D810F0" w:rsidRDefault="00000000" w:rsidP="00D810F0">
      <w:pPr>
        <w:spacing w:after="0" w:line="259" w:lineRule="auto"/>
        <w:ind w:left="15" w:firstLine="0"/>
      </w:pPr>
      <w:r w:rsidRPr="00D810F0">
        <w:rPr>
          <w:b/>
        </w:rPr>
        <w:t xml:space="preserve"> </w:t>
      </w:r>
    </w:p>
    <w:p w14:paraId="419211E6" w14:textId="20708B00" w:rsidR="005070AD" w:rsidRPr="00D810F0" w:rsidRDefault="00000000" w:rsidP="00D810F0">
      <w:pPr>
        <w:spacing w:after="270" w:line="247" w:lineRule="auto"/>
        <w:ind w:left="10"/>
      </w:pPr>
      <w:r w:rsidRPr="00D810F0">
        <w:rPr>
          <w:b/>
        </w:rPr>
        <w:t xml:space="preserve">Violación a los principios estructurales de la Convención: igualdad, no discriminación y obligaciones del Estado: Artículos 1, 2. </w:t>
      </w:r>
    </w:p>
    <w:p w14:paraId="1BC58C42" w14:textId="19F205E9" w:rsidR="005070AD" w:rsidRPr="00D810F0" w:rsidRDefault="00000000" w:rsidP="00D810F0">
      <w:pPr>
        <w:spacing w:after="277"/>
        <w:ind w:left="10" w:right="107"/>
      </w:pPr>
      <w:r w:rsidRPr="00D810F0">
        <w:rPr>
          <w:b/>
        </w:rPr>
        <w:t xml:space="preserve">Artículos 1 y </w:t>
      </w:r>
      <w:r w:rsidR="008F0CB5" w:rsidRPr="00D810F0">
        <w:rPr>
          <w:b/>
        </w:rPr>
        <w:t>2</w:t>
      </w:r>
      <w:r w:rsidRPr="00D810F0">
        <w:rPr>
          <w:b/>
        </w:rPr>
        <w:t xml:space="preserve">: </w:t>
      </w:r>
      <w:r w:rsidRPr="00D810F0">
        <w:t xml:space="preserve">"Discriminación contra la mujer" </w:t>
      </w:r>
    </w:p>
    <w:p w14:paraId="74D9733D" w14:textId="7F252370" w:rsidR="008F0CB5" w:rsidRPr="00D810F0" w:rsidRDefault="008F0CB5" w:rsidP="00D810F0">
      <w:pPr>
        <w:spacing w:after="277"/>
        <w:ind w:left="10" w:right="107"/>
      </w:pPr>
      <w:r w:rsidRPr="00D810F0">
        <w:rPr>
          <w:b/>
        </w:rPr>
        <w:t>“Terapias de Conversión”</w:t>
      </w:r>
    </w:p>
    <w:p w14:paraId="2CD51EC6" w14:textId="1C071D15" w:rsidR="00965F22" w:rsidRDefault="00D810F0" w:rsidP="00D810F0">
      <w:pPr>
        <w:spacing w:after="0" w:line="259" w:lineRule="auto"/>
        <w:ind w:left="15" w:firstLine="0"/>
        <w:rPr>
          <w:bCs/>
        </w:rPr>
      </w:pPr>
      <w:r>
        <w:rPr>
          <w:bCs/>
        </w:rPr>
        <w:t>Hay testimonios en Costa Rica s</w:t>
      </w:r>
      <w:r w:rsidRPr="00D810F0">
        <w:rPr>
          <w:bCs/>
        </w:rPr>
        <w:t xml:space="preserve">obre las mal-llamadas terapias de conversión o, mejor dicho, torturas de conversión, donde </w:t>
      </w:r>
      <w:r>
        <w:rPr>
          <w:bCs/>
        </w:rPr>
        <w:t>una persona es sometida, muchas veces en contra de su voluntad o sin un consentimiento previo, libre, pleno e informado, a procedimientos que buscan modificar o anular la orientación sexual, la identidad de género o la expresión de género. Muchos de esos testimonios señalan que se realizan dichas torturas en un espacio espiritual o religioso. Estas torturas vulneran el derecho a la vida, a la intimidad, a la seguridad personal, a la integridad personal, a la salud, a la identidad y a la autodeterminación personal.</w:t>
      </w:r>
    </w:p>
    <w:p w14:paraId="5AE6D887" w14:textId="650D9CB1" w:rsidR="00D810F0" w:rsidRDefault="00D810F0" w:rsidP="00D810F0">
      <w:pPr>
        <w:spacing w:after="0" w:line="259" w:lineRule="auto"/>
        <w:ind w:left="15" w:firstLine="0"/>
        <w:rPr>
          <w:bCs/>
        </w:rPr>
      </w:pPr>
    </w:p>
    <w:p w14:paraId="5641107C" w14:textId="60CD6DA2" w:rsidR="00D810F0" w:rsidRDefault="00D810F0" w:rsidP="00D810F0">
      <w:pPr>
        <w:spacing w:after="0" w:line="259" w:lineRule="auto"/>
        <w:ind w:left="15" w:firstLine="0"/>
        <w:rPr>
          <w:bCs/>
        </w:rPr>
      </w:pPr>
      <w:r>
        <w:rPr>
          <w:bCs/>
        </w:rPr>
        <w:t>Al respecto, si bien hay un proyecto de ley en la corriente legislativa que tiene la finalidad de prohibir dichas “terapias,” diputaciones de tinte religioso han presentado su oposición a través de mociones para bloquear la aprobación del proyecto.</w:t>
      </w:r>
      <w:r>
        <w:rPr>
          <w:rStyle w:val="Refdenotaalpie"/>
          <w:bCs/>
        </w:rPr>
        <w:footnoteReference w:id="2"/>
      </w:r>
      <w:r>
        <w:rPr>
          <w:bCs/>
        </w:rPr>
        <w:t xml:space="preserve"> Desde Mulabi, consideramos que el proyecto de ley ha incorporado, erróneamente, a las personas intersex dentro del tipo penal de terapia de conversión; las personas intersex, deben tener un trato diferenciado, como analizaremos más adelante. Más allá, si bien en Costa Rica hay un delito de tortura general, al ser materia penal, no puede interpretarse que incluye las formas de modificar o anular la orientación sexual, la identidad de género y expresión de género de las personas, principalmente, porque requiere que exista una afectación grave que enlista el mismo artículo.</w:t>
      </w:r>
      <w:r>
        <w:rPr>
          <w:rStyle w:val="Refdenotaalpie"/>
          <w:bCs/>
        </w:rPr>
        <w:footnoteReference w:id="3"/>
      </w:r>
      <w:r>
        <w:rPr>
          <w:bCs/>
        </w:rPr>
        <w:t xml:space="preserve"> </w:t>
      </w:r>
    </w:p>
    <w:p w14:paraId="43F3D304" w14:textId="7BF32142" w:rsidR="00ED1A32" w:rsidRDefault="00ED1A32" w:rsidP="00D810F0">
      <w:pPr>
        <w:spacing w:after="0" w:line="259" w:lineRule="auto"/>
        <w:ind w:left="15" w:firstLine="0"/>
        <w:rPr>
          <w:bCs/>
        </w:rPr>
      </w:pPr>
    </w:p>
    <w:p w14:paraId="46A708AB" w14:textId="77777777" w:rsidR="00ED1A32" w:rsidRPr="00D810F0" w:rsidRDefault="00ED1A32" w:rsidP="00ED1A32">
      <w:pPr>
        <w:spacing w:after="0" w:line="259" w:lineRule="auto"/>
        <w:ind w:left="15" w:firstLine="0"/>
        <w:rPr>
          <w:b/>
        </w:rPr>
      </w:pPr>
      <w:r w:rsidRPr="00D810F0">
        <w:rPr>
          <w:b/>
        </w:rPr>
        <w:t>Recomendaciones</w:t>
      </w:r>
    </w:p>
    <w:p w14:paraId="110459CC" w14:textId="77777777" w:rsidR="00ED1A32" w:rsidRPr="00D810F0" w:rsidRDefault="00ED1A32" w:rsidP="00ED1A32">
      <w:pPr>
        <w:spacing w:after="0" w:line="259" w:lineRule="auto"/>
        <w:ind w:left="15" w:firstLine="0"/>
        <w:rPr>
          <w:bCs/>
        </w:rPr>
      </w:pPr>
    </w:p>
    <w:p w14:paraId="7ECDAF55" w14:textId="77777777" w:rsidR="00ED1A32" w:rsidRDefault="00ED1A32" w:rsidP="00ED1A32">
      <w:pPr>
        <w:pStyle w:val="Prrafodelista"/>
        <w:numPr>
          <w:ilvl w:val="0"/>
          <w:numId w:val="9"/>
        </w:numPr>
        <w:spacing w:after="0" w:line="259" w:lineRule="auto"/>
        <w:rPr>
          <w:bCs/>
        </w:rPr>
      </w:pPr>
      <w:r>
        <w:rPr>
          <w:bCs/>
        </w:rPr>
        <w:t>Prohibir y sancionar cualquier forma que busque modificar o anular la orientación sexual, identidad o expresión de género de las personas LGBTI o aquellas percibidas como tales</w:t>
      </w:r>
      <w:r w:rsidRPr="00D810F0">
        <w:rPr>
          <w:bCs/>
        </w:rPr>
        <w:t>.</w:t>
      </w:r>
    </w:p>
    <w:p w14:paraId="6EF59A22" w14:textId="6ED80D7C" w:rsidR="00ED1A32" w:rsidRPr="00ED1A32" w:rsidRDefault="00ED1A32" w:rsidP="00ED1A32">
      <w:pPr>
        <w:pStyle w:val="Prrafodelista"/>
        <w:numPr>
          <w:ilvl w:val="0"/>
          <w:numId w:val="9"/>
        </w:numPr>
        <w:spacing w:after="0" w:line="259" w:lineRule="auto"/>
        <w:rPr>
          <w:bCs/>
        </w:rPr>
      </w:pPr>
      <w:r>
        <w:rPr>
          <w:bCs/>
        </w:rPr>
        <w:t>Considerar tortura</w:t>
      </w:r>
      <w:r w:rsidRPr="00D810F0">
        <w:rPr>
          <w:bCs/>
        </w:rPr>
        <w:t xml:space="preserve"> </w:t>
      </w:r>
      <w:r>
        <w:rPr>
          <w:bCs/>
        </w:rPr>
        <w:t>cualquier forma que busque modificar o anular la orientación sexual, identidad o expresión de género de las personas LGBTI o aquellas percibidas como tales</w:t>
      </w:r>
      <w:r w:rsidRPr="00D810F0">
        <w:rPr>
          <w:bCs/>
        </w:rPr>
        <w:t>.</w:t>
      </w:r>
    </w:p>
    <w:p w14:paraId="35E0C139" w14:textId="77777777" w:rsidR="00965F22" w:rsidRPr="00D810F0" w:rsidRDefault="00965F22" w:rsidP="00ED1A32">
      <w:pPr>
        <w:spacing w:after="0" w:line="259" w:lineRule="auto"/>
        <w:ind w:left="0" w:firstLine="0"/>
        <w:rPr>
          <w:b/>
        </w:rPr>
      </w:pPr>
    </w:p>
    <w:p w14:paraId="18C136A1" w14:textId="103B3192" w:rsidR="00071249" w:rsidRPr="00D810F0" w:rsidRDefault="00071249" w:rsidP="00D810F0">
      <w:pPr>
        <w:spacing w:after="0" w:line="259" w:lineRule="auto"/>
        <w:ind w:left="15" w:firstLine="0"/>
        <w:rPr>
          <w:b/>
        </w:rPr>
      </w:pPr>
      <w:r w:rsidRPr="00D810F0">
        <w:rPr>
          <w:b/>
        </w:rPr>
        <w:lastRenderedPageBreak/>
        <w:t xml:space="preserve">Derecho al Empleo </w:t>
      </w:r>
    </w:p>
    <w:p w14:paraId="49E95ED1" w14:textId="18E75B49" w:rsidR="008F0CB5" w:rsidRPr="00D810F0" w:rsidRDefault="008F0CB5" w:rsidP="00D810F0">
      <w:pPr>
        <w:spacing w:after="0" w:line="259" w:lineRule="auto"/>
        <w:ind w:left="15" w:firstLine="0"/>
        <w:rPr>
          <w:b/>
        </w:rPr>
      </w:pPr>
    </w:p>
    <w:p w14:paraId="7D49D7C2" w14:textId="77777777" w:rsidR="008F0CB5" w:rsidRPr="00D810F0" w:rsidRDefault="008F0CB5" w:rsidP="00D810F0">
      <w:pPr>
        <w:spacing w:after="0" w:line="259" w:lineRule="auto"/>
        <w:ind w:left="15" w:firstLine="0"/>
        <w:rPr>
          <w:b/>
        </w:rPr>
      </w:pPr>
      <w:r w:rsidRPr="00D810F0">
        <w:rPr>
          <w:b/>
        </w:rPr>
        <w:t xml:space="preserve">Cadena de la Marginación </w:t>
      </w:r>
    </w:p>
    <w:p w14:paraId="14E72E22" w14:textId="77777777" w:rsidR="008F0CB5" w:rsidRPr="00D810F0" w:rsidRDefault="008F0CB5" w:rsidP="00D810F0">
      <w:pPr>
        <w:spacing w:after="0" w:line="259" w:lineRule="auto"/>
        <w:ind w:left="15" w:firstLine="0"/>
        <w:rPr>
          <w:b/>
        </w:rPr>
      </w:pPr>
      <w:r w:rsidRPr="00D810F0">
        <w:rPr>
          <w:b/>
        </w:rPr>
        <w:t xml:space="preserve"> </w:t>
      </w:r>
    </w:p>
    <w:p w14:paraId="03E17D30" w14:textId="77777777" w:rsidR="008F0CB5" w:rsidRPr="00D810F0" w:rsidRDefault="008F0CB5" w:rsidP="00D810F0">
      <w:pPr>
        <w:spacing w:after="0" w:line="259" w:lineRule="auto"/>
        <w:ind w:left="15" w:firstLine="0"/>
        <w:rPr>
          <w:bCs/>
        </w:rPr>
      </w:pPr>
      <w:r w:rsidRPr="00D810F0">
        <w:rPr>
          <w:bCs/>
        </w:rPr>
        <w:t xml:space="preserve">Las mujeres trans sufren una “Cadena de Marginalización”, que empieza en la niñez, en el seno familiar, cuando por su identidad y expresión de género son expulsadas de sus hogares, por sus mismos padres, quienes se ven confrontados con una realidad distinta a la que esperaban, una realidad que no pueden afrontar. </w:t>
      </w:r>
    </w:p>
    <w:p w14:paraId="7C8C3BB4" w14:textId="77777777" w:rsidR="008F0CB5" w:rsidRPr="00D810F0" w:rsidRDefault="008F0CB5" w:rsidP="00D810F0">
      <w:pPr>
        <w:spacing w:after="0" w:line="259" w:lineRule="auto"/>
        <w:ind w:left="15" w:firstLine="0"/>
        <w:rPr>
          <w:bCs/>
        </w:rPr>
      </w:pPr>
      <w:r w:rsidRPr="00D810F0">
        <w:rPr>
          <w:bCs/>
        </w:rPr>
        <w:t xml:space="preserve">Al no tener apoyo familiar (ni económico, ni emocional), </w:t>
      </w:r>
      <w:proofErr w:type="spellStart"/>
      <w:r w:rsidRPr="00D810F0">
        <w:rPr>
          <w:bCs/>
        </w:rPr>
        <w:t>est</w:t>
      </w:r>
      <w:proofErr w:type="spellEnd"/>
      <w:r w:rsidRPr="00D810F0">
        <w:rPr>
          <w:bCs/>
        </w:rPr>
        <w:t xml:space="preserve">*s </w:t>
      </w:r>
      <w:proofErr w:type="spellStart"/>
      <w:r w:rsidRPr="00D810F0">
        <w:rPr>
          <w:bCs/>
        </w:rPr>
        <w:t>niñ</w:t>
      </w:r>
      <w:proofErr w:type="spellEnd"/>
      <w:r w:rsidRPr="00D810F0">
        <w:rPr>
          <w:bCs/>
        </w:rPr>
        <w:t xml:space="preserve">*s1 o adolescentes se ven privados a su vez de una educación que les permita tener herramientas para desenvolverse en la sociedad. El siguiente eslabón de esta cadena de marginalización y discriminación que se suma es el de la falta de empleo, tanto porque es un factor generalizado en Costa Rica pero que, por la identidad y expresión de género, como por la carencia de estudios formales agrava la situación de estas personas; es así que por una cuestión de embudo se ven en la necesidad de ejercer el comercio sexual en las calles donde son víctimas de otros abusos, violaciones y agresiones. </w:t>
      </w:r>
    </w:p>
    <w:p w14:paraId="595BFD83" w14:textId="77777777" w:rsidR="00965F22" w:rsidRPr="00D810F0" w:rsidRDefault="00965F22" w:rsidP="00D810F0">
      <w:pPr>
        <w:spacing w:after="0" w:line="259" w:lineRule="auto"/>
        <w:ind w:left="15" w:firstLine="0"/>
        <w:rPr>
          <w:b/>
        </w:rPr>
      </w:pPr>
    </w:p>
    <w:p w14:paraId="2FAEA8AD" w14:textId="39197211" w:rsidR="00071249" w:rsidRPr="00D810F0" w:rsidRDefault="00071249" w:rsidP="00D810F0">
      <w:pPr>
        <w:spacing w:after="0" w:line="259" w:lineRule="auto"/>
        <w:ind w:left="15" w:firstLine="0"/>
        <w:rPr>
          <w:bCs/>
        </w:rPr>
      </w:pPr>
      <w:r w:rsidRPr="00D810F0">
        <w:rPr>
          <w:b/>
        </w:rPr>
        <w:t xml:space="preserve">Articulo 11: </w:t>
      </w:r>
      <w:r w:rsidRPr="00D810F0">
        <w:rPr>
          <w:bCs/>
        </w:rPr>
        <w:t>Los Estados Partes adoptarán todas las medidas apropiadas para eliminar la discriminación contra la mujer en la esfera del empleo a fin de asegurar a la mujer, en condiciones de igualdad con los hombres</w:t>
      </w:r>
    </w:p>
    <w:p w14:paraId="2039CA19" w14:textId="640AE557" w:rsidR="00965F22" w:rsidRPr="00D810F0" w:rsidRDefault="00965F22" w:rsidP="00D810F0">
      <w:pPr>
        <w:spacing w:after="0" w:line="259" w:lineRule="auto"/>
        <w:ind w:left="15" w:firstLine="0"/>
        <w:rPr>
          <w:bCs/>
        </w:rPr>
      </w:pPr>
    </w:p>
    <w:p w14:paraId="5FF00015" w14:textId="77777777" w:rsidR="00965F22" w:rsidRPr="00D810F0" w:rsidRDefault="00965F22" w:rsidP="00D810F0">
      <w:pPr>
        <w:spacing w:after="0" w:line="259" w:lineRule="auto"/>
        <w:ind w:left="15" w:firstLine="0"/>
        <w:rPr>
          <w:bCs/>
        </w:rPr>
      </w:pPr>
      <w:r w:rsidRPr="00D810F0">
        <w:rPr>
          <w:bCs/>
        </w:rPr>
        <w:t>a) El derecho al trabajo como derecho inalienable de todo ser humano;</w:t>
      </w:r>
    </w:p>
    <w:p w14:paraId="15400E4F" w14:textId="77777777" w:rsidR="00965F22" w:rsidRPr="00D810F0" w:rsidRDefault="00965F22" w:rsidP="00D810F0">
      <w:pPr>
        <w:spacing w:after="0" w:line="259" w:lineRule="auto"/>
        <w:ind w:left="15" w:firstLine="0"/>
        <w:rPr>
          <w:bCs/>
        </w:rPr>
      </w:pPr>
    </w:p>
    <w:p w14:paraId="110D26A8" w14:textId="557196A8" w:rsidR="00965F22" w:rsidRPr="00D810F0" w:rsidRDefault="00965F22" w:rsidP="00D810F0">
      <w:pPr>
        <w:spacing w:after="0" w:line="259" w:lineRule="auto"/>
        <w:ind w:left="15" w:firstLine="0"/>
        <w:rPr>
          <w:bCs/>
        </w:rPr>
      </w:pPr>
      <w:r w:rsidRPr="00D810F0">
        <w:rPr>
          <w:bCs/>
        </w:rPr>
        <w:t>b) El derecho a las mismas oportunidades de empleo, inclusive a la aplicación de los mismos criterios de selección en cuestiones de empleo;</w:t>
      </w:r>
    </w:p>
    <w:p w14:paraId="0E68A625" w14:textId="55EC725E" w:rsidR="00071249" w:rsidRPr="00D810F0" w:rsidRDefault="00071249" w:rsidP="00D810F0">
      <w:pPr>
        <w:spacing w:after="0" w:line="259" w:lineRule="auto"/>
        <w:ind w:left="15" w:firstLine="0"/>
        <w:rPr>
          <w:bCs/>
        </w:rPr>
      </w:pPr>
    </w:p>
    <w:p w14:paraId="6AEC5244" w14:textId="5E4EDB04" w:rsidR="00071249" w:rsidRPr="00D810F0" w:rsidRDefault="00071249" w:rsidP="00D810F0">
      <w:pPr>
        <w:spacing w:after="0" w:line="259" w:lineRule="auto"/>
        <w:ind w:left="15" w:firstLine="0"/>
        <w:rPr>
          <w:b/>
        </w:rPr>
      </w:pPr>
      <w:r w:rsidRPr="00D810F0">
        <w:rPr>
          <w:b/>
        </w:rPr>
        <w:t>Derechos laborales de las Mujeres Trans:</w:t>
      </w:r>
    </w:p>
    <w:p w14:paraId="3554EF2D" w14:textId="16686439" w:rsidR="00071249" w:rsidRPr="00D810F0" w:rsidRDefault="00071249" w:rsidP="00D810F0">
      <w:pPr>
        <w:spacing w:after="0" w:line="259" w:lineRule="auto"/>
        <w:ind w:left="15" w:firstLine="0"/>
        <w:rPr>
          <w:bCs/>
        </w:rPr>
      </w:pPr>
    </w:p>
    <w:p w14:paraId="6789C22E" w14:textId="16412D72" w:rsidR="00071249" w:rsidRPr="00D810F0" w:rsidRDefault="00071249" w:rsidP="00D810F0">
      <w:pPr>
        <w:spacing w:after="0" w:line="259" w:lineRule="auto"/>
        <w:ind w:left="15" w:firstLine="0"/>
        <w:rPr>
          <w:bCs/>
        </w:rPr>
      </w:pPr>
      <w:r w:rsidRPr="00D810F0">
        <w:rPr>
          <w:bCs/>
        </w:rPr>
        <w:t xml:space="preserve">El Ministerio de Trabajo y Seguridad Social amplió el Código Laboral que rige la normativa en este tema en Costa Rica mediante la Reforma Procesal Laboral. Uno de los puntos más importantes de dicha reforma es la importancia que se retoma sobre el respeto a los Derechos Humanos y la prohibición de discriminar. l artículo 404 señala que: Se prohíbe toda discriminación en el trabajo por razones de edad, etnia, sexo, religión, raza, orientación sexual, estado civil, opinión política, o cualquier otra forma análoga de discriminación, asimismo el artículo 405 tiene una disposición general. </w:t>
      </w:r>
    </w:p>
    <w:p w14:paraId="43114162" w14:textId="77777777" w:rsidR="00071249" w:rsidRPr="00D810F0" w:rsidRDefault="00071249" w:rsidP="00D810F0">
      <w:pPr>
        <w:spacing w:after="0" w:line="259" w:lineRule="auto"/>
        <w:ind w:left="15" w:firstLine="0"/>
        <w:rPr>
          <w:bCs/>
        </w:rPr>
      </w:pPr>
    </w:p>
    <w:p w14:paraId="2AEB44C4" w14:textId="4566CDD1" w:rsidR="00071249" w:rsidRPr="00D810F0" w:rsidRDefault="00071249" w:rsidP="00D810F0">
      <w:pPr>
        <w:spacing w:after="0" w:line="259" w:lineRule="auto"/>
        <w:ind w:left="15" w:firstLine="0"/>
        <w:rPr>
          <w:bCs/>
        </w:rPr>
      </w:pPr>
      <w:r w:rsidRPr="00D810F0">
        <w:rPr>
          <w:bCs/>
        </w:rPr>
        <w:t xml:space="preserve">Ninguna de las causales de discriminación incluye la discriminación por identidad de género, pese a que las personas trans siguen siendo discriminadas en los espacios de trabajo, tanto públicos como privados. No existen guías de capacitación ni de inserción laboral en las empresas e instituciones, que le permita a la población acceder a un ambiente de trabajo sano y libre de discriminación; y esta es una de las excusas persistentes par la no contratación de esta población, relegando entonces a las mujeres trans al comercio sexual y a los hombres trans a labores de seguridad privada en la mayoría de los casos. </w:t>
      </w:r>
    </w:p>
    <w:p w14:paraId="13F2B075" w14:textId="0B4B1B54" w:rsidR="00071249" w:rsidRDefault="00071249" w:rsidP="00D810F0">
      <w:pPr>
        <w:spacing w:after="0" w:line="259" w:lineRule="auto"/>
        <w:ind w:left="15" w:firstLine="0"/>
        <w:rPr>
          <w:bCs/>
        </w:rPr>
      </w:pPr>
    </w:p>
    <w:p w14:paraId="5B641432" w14:textId="2967A239" w:rsidR="00ED1A32" w:rsidRDefault="00ED1A32" w:rsidP="00D810F0">
      <w:pPr>
        <w:spacing w:after="0" w:line="259" w:lineRule="auto"/>
        <w:ind w:left="15" w:firstLine="0"/>
        <w:rPr>
          <w:bCs/>
        </w:rPr>
      </w:pPr>
    </w:p>
    <w:p w14:paraId="07C7394E" w14:textId="00EE1B97" w:rsidR="00ED1A32" w:rsidRDefault="00ED1A32" w:rsidP="00D810F0">
      <w:pPr>
        <w:spacing w:after="0" w:line="259" w:lineRule="auto"/>
        <w:ind w:left="15" w:firstLine="0"/>
        <w:rPr>
          <w:bCs/>
        </w:rPr>
      </w:pPr>
    </w:p>
    <w:p w14:paraId="49A51073" w14:textId="77777777" w:rsidR="00ED1A32" w:rsidRPr="00D810F0" w:rsidRDefault="00ED1A32" w:rsidP="00D810F0">
      <w:pPr>
        <w:spacing w:after="0" w:line="259" w:lineRule="auto"/>
        <w:ind w:left="15" w:firstLine="0"/>
        <w:rPr>
          <w:bCs/>
        </w:rPr>
      </w:pPr>
    </w:p>
    <w:p w14:paraId="1EB9D5D1" w14:textId="658733DC" w:rsidR="00071249" w:rsidRPr="00D810F0" w:rsidRDefault="00071249" w:rsidP="00D810F0">
      <w:pPr>
        <w:spacing w:after="0" w:line="259" w:lineRule="auto"/>
        <w:ind w:left="15" w:firstLine="0"/>
        <w:rPr>
          <w:b/>
        </w:rPr>
      </w:pPr>
      <w:r w:rsidRPr="00D810F0">
        <w:rPr>
          <w:b/>
        </w:rPr>
        <w:lastRenderedPageBreak/>
        <w:t>Recomendaciones</w:t>
      </w:r>
    </w:p>
    <w:p w14:paraId="0EDD77A2" w14:textId="77777777" w:rsidR="00071249" w:rsidRPr="00D810F0" w:rsidRDefault="00071249" w:rsidP="00D810F0">
      <w:pPr>
        <w:spacing w:after="0" w:line="259" w:lineRule="auto"/>
        <w:ind w:left="15" w:firstLine="0"/>
        <w:rPr>
          <w:bCs/>
        </w:rPr>
      </w:pPr>
    </w:p>
    <w:p w14:paraId="5A4C78C2" w14:textId="099CC93C" w:rsidR="00071249" w:rsidRPr="00D810F0" w:rsidRDefault="00071249" w:rsidP="00D810F0">
      <w:pPr>
        <w:pStyle w:val="Prrafodelista"/>
        <w:numPr>
          <w:ilvl w:val="0"/>
          <w:numId w:val="9"/>
        </w:numPr>
        <w:spacing w:after="0" w:line="259" w:lineRule="auto"/>
        <w:rPr>
          <w:bCs/>
        </w:rPr>
      </w:pPr>
      <w:r w:rsidRPr="00D810F0">
        <w:rPr>
          <w:bCs/>
        </w:rPr>
        <w:t xml:space="preserve">Generar políticas estatales encaminadas a promover el empleo de la población trans e incentivar a las compañías privadas a contratar a estas personas. </w:t>
      </w:r>
    </w:p>
    <w:p w14:paraId="0E4362EE" w14:textId="77777777" w:rsidR="00071249" w:rsidRPr="00D810F0" w:rsidRDefault="00071249" w:rsidP="00D810F0">
      <w:pPr>
        <w:spacing w:after="0" w:line="259" w:lineRule="auto"/>
        <w:ind w:left="15" w:firstLine="0"/>
        <w:rPr>
          <w:bCs/>
        </w:rPr>
      </w:pPr>
    </w:p>
    <w:p w14:paraId="42C18F68" w14:textId="2598662F" w:rsidR="00071249" w:rsidRPr="00D810F0" w:rsidRDefault="00071249" w:rsidP="00D810F0">
      <w:pPr>
        <w:pStyle w:val="Prrafodelista"/>
        <w:numPr>
          <w:ilvl w:val="0"/>
          <w:numId w:val="9"/>
        </w:numPr>
        <w:spacing w:after="0" w:line="259" w:lineRule="auto"/>
        <w:rPr>
          <w:bCs/>
        </w:rPr>
      </w:pPr>
      <w:r w:rsidRPr="00D810F0">
        <w:rPr>
          <w:bCs/>
        </w:rPr>
        <w:t>Instar al Ministerio de Trabajo como máximo ente en materia laboral a realizar estudios rigurosos sobre denuncias, procesos administrativos y otros asuntos relativos en los centros de trabajo tanto a nivel público como privado sobre los actos de discriminación basados en orientación sexual y/o identidad de género, ya que en la actualidad estos datos o bien quedan en las contralorías de servicios o unidades de talento o recursos humanos los cuales son de carácter privado y/o confidencial, por lo cual no se cuantifican cuántas posibles formas de discriminación se generan en dichos sectores, los datos son inexistentes y en realidad son necesarios para establecer la real necesidad de educar en materia derechos humanos en los espacios laborales. A pesar de que existe la Reforma Procesal Laboral, y en sus artículos 405 en adelante se amplió la protección a los y las trabajadoras, hay un vacío legal en cuanto a las formas de monitoreo para que las personas trabajadoras acudan a las instancias laborales públicas, hay miedo y desinformación en muchas personas trabajadoras LGBTI para hacer respetar sus derechos en sus espacios laborales.</w:t>
      </w:r>
    </w:p>
    <w:p w14:paraId="1C5198B4" w14:textId="77777777" w:rsidR="00071249" w:rsidRPr="00D810F0" w:rsidRDefault="00071249" w:rsidP="00D810F0">
      <w:pPr>
        <w:spacing w:after="0" w:line="259" w:lineRule="auto"/>
        <w:ind w:left="15" w:firstLine="0"/>
        <w:rPr>
          <w:bCs/>
        </w:rPr>
      </w:pPr>
    </w:p>
    <w:p w14:paraId="16A755F6" w14:textId="2A08C1D3" w:rsidR="00071249" w:rsidRPr="00D810F0" w:rsidRDefault="00071249" w:rsidP="00D810F0">
      <w:pPr>
        <w:pStyle w:val="Prrafodelista"/>
        <w:numPr>
          <w:ilvl w:val="0"/>
          <w:numId w:val="9"/>
        </w:numPr>
        <w:spacing w:after="0" w:line="259" w:lineRule="auto"/>
        <w:rPr>
          <w:bCs/>
        </w:rPr>
      </w:pPr>
      <w:r w:rsidRPr="00D810F0">
        <w:rPr>
          <w:bCs/>
        </w:rPr>
        <w:t>La Dirección General de Servicio Civil ente encargado del reclutamiento para el personal que trabaja o trabajará para el Gobierno Central, debe sin duda incorporar la formación en derechos humanos como otro importante punto a valorar para la recomendación de las ternas en los perfiles vacantes, indiferentemente del puesto a ocupar, rango y escolaridad, todo funcionario y funcionaria pública debe estar consciente y debe tener conocimiento sobre los derechos humanos y el respeto por la dignidad, esto le ahorraría también al Estado posibles denuncias, trámites sobre estos temas, y sobre todo la población que acceda a los servicios públicos sabrá que hay personal calificado para poder atender a cualquier tipo de persona y población.</w:t>
      </w:r>
    </w:p>
    <w:p w14:paraId="139A3B16" w14:textId="77777777" w:rsidR="00071249" w:rsidRPr="00D810F0" w:rsidRDefault="00071249" w:rsidP="00ED1A32">
      <w:pPr>
        <w:spacing w:after="0" w:line="259" w:lineRule="auto"/>
        <w:ind w:left="0" w:firstLine="0"/>
        <w:rPr>
          <w:bCs/>
        </w:rPr>
      </w:pPr>
    </w:p>
    <w:p w14:paraId="548154CC" w14:textId="77777777" w:rsidR="005070AD" w:rsidRPr="00D810F0" w:rsidRDefault="00000000" w:rsidP="00D810F0">
      <w:pPr>
        <w:pStyle w:val="Ttulo1"/>
        <w:spacing w:after="265"/>
        <w:ind w:left="10"/>
        <w:jc w:val="both"/>
      </w:pPr>
      <w:r w:rsidRPr="00D810F0">
        <w:t xml:space="preserve">Derecho a la Salud </w:t>
      </w:r>
    </w:p>
    <w:p w14:paraId="009F0588" w14:textId="77777777" w:rsidR="005070AD" w:rsidRPr="00D810F0" w:rsidRDefault="00000000" w:rsidP="00D810F0">
      <w:pPr>
        <w:spacing w:after="272"/>
        <w:ind w:left="10" w:right="107"/>
      </w:pPr>
      <w:r w:rsidRPr="00D810F0">
        <w:rPr>
          <w:b/>
        </w:rPr>
        <w:t xml:space="preserve">Artículo 12: </w:t>
      </w:r>
      <w:r w:rsidRPr="00D810F0">
        <w:t xml:space="preserve">Atención médica justa, digna e igualitaria </w:t>
      </w:r>
    </w:p>
    <w:p w14:paraId="7E497A2D" w14:textId="77777777" w:rsidR="005070AD" w:rsidRPr="00D810F0" w:rsidRDefault="00000000" w:rsidP="00D810F0">
      <w:pPr>
        <w:spacing w:after="11" w:line="247" w:lineRule="auto"/>
        <w:ind w:left="10"/>
      </w:pPr>
      <w:r w:rsidRPr="00D810F0">
        <w:rPr>
          <w:b/>
        </w:rPr>
        <w:t>Personas Intersex</w:t>
      </w:r>
      <w:r w:rsidRPr="00D810F0">
        <w:rPr>
          <w:rFonts w:eastAsia="Times New Roman"/>
          <w:b/>
          <w:vertAlign w:val="superscript"/>
        </w:rPr>
        <w:footnoteReference w:id="4"/>
      </w:r>
      <w:r w:rsidRPr="00D810F0">
        <w:rPr>
          <w:b/>
        </w:rPr>
        <w:t xml:space="preserve"> y el Derecho a la Salud: </w:t>
      </w:r>
    </w:p>
    <w:p w14:paraId="63E1095B" w14:textId="77777777" w:rsidR="005070AD" w:rsidRPr="00D810F0" w:rsidRDefault="00000000" w:rsidP="00D810F0">
      <w:pPr>
        <w:spacing w:after="0" w:line="259" w:lineRule="auto"/>
        <w:ind w:left="15" w:firstLine="0"/>
      </w:pPr>
      <w:r w:rsidRPr="00D810F0">
        <w:t xml:space="preserve"> </w:t>
      </w:r>
    </w:p>
    <w:p w14:paraId="08DA67E5" w14:textId="77777777" w:rsidR="003F6036" w:rsidRPr="00D810F0" w:rsidRDefault="003F6036" w:rsidP="00D810F0">
      <w:pPr>
        <w:spacing w:before="280" w:after="280" w:line="240" w:lineRule="auto"/>
        <w:contextualSpacing/>
      </w:pPr>
      <w:r w:rsidRPr="00D810F0">
        <w:t>En Costa Rica, ninguna institución pública ha realizado estudios o posee información estadística concluyente sobre población ‘intersex’. La Caja Costarricense del Seguro Social carece de datos sobre personas tratadas por ‘</w:t>
      </w:r>
      <w:r w:rsidRPr="00D810F0">
        <w:rPr>
          <w:i/>
        </w:rPr>
        <w:t>desórdenes del desarrollo sexual</w:t>
      </w:r>
      <w:r w:rsidRPr="00D810F0">
        <w:t>’, e incluso, al ser consultada sobre ellos, brindó información sobre ‘Egresos hospitalarios debidos a trastornos psicológicos y del comportamiento asociados con el desarrollo y con la orientación sexual’.</w:t>
      </w:r>
    </w:p>
    <w:p w14:paraId="00EBC9C6" w14:textId="77777777" w:rsidR="003F6036" w:rsidRPr="00D810F0" w:rsidRDefault="003F6036" w:rsidP="00D810F0">
      <w:pPr>
        <w:spacing w:after="280" w:line="240" w:lineRule="auto"/>
        <w:contextualSpacing/>
      </w:pPr>
    </w:p>
    <w:p w14:paraId="3DD07344" w14:textId="6BA976C4" w:rsidR="003F6036" w:rsidRPr="00D810F0" w:rsidRDefault="003F6036" w:rsidP="00D810F0">
      <w:pPr>
        <w:spacing w:after="280" w:line="240" w:lineRule="auto"/>
        <w:contextualSpacing/>
      </w:pPr>
      <w:r w:rsidRPr="00D810F0">
        <w:lastRenderedPageBreak/>
        <w:t>Cifras del Programa Nacional de Tamizaje Neonatal del Hospital Nacional de Niños revelan datos parciales de la población intersex: De 2002 a 2016, esta prueba detectó 224 casos de Hiperplasia Suprarrenal Congénita (HSC), condición</w:t>
      </w:r>
      <w:r w:rsidR="00ED1A32">
        <w:t xml:space="preserve"> </w:t>
      </w:r>
      <w:r w:rsidRPr="00D810F0">
        <w:t>que, en el caso de las niñas, provoca, lo que para el sistema de salud es ‘genitalidad ambigua’. Tanto en niños como en niñas con HSC, los genitales externos se ‘</w:t>
      </w:r>
      <w:proofErr w:type="spellStart"/>
      <w:r w:rsidRPr="00D810F0">
        <w:t>hipervirilizan</w:t>
      </w:r>
      <w:proofErr w:type="spellEnd"/>
      <w:r w:rsidRPr="00D810F0">
        <w:t xml:space="preserve">’ durante la evolución fetal. Al nacer, ellos exhiben miembros precozmente desarrollados, y ellas, clítoris muy grandes y labios vaginales semejantes a escrotos. En algunas ocasiones, los cambios hormonales que atraviesan estas niñas y que ‘masculinizan’ sus genitales (en diferentes grados), hacen que a simple vista sea difícil negar que se trata de una estructura clásica masculina. </w:t>
      </w:r>
    </w:p>
    <w:p w14:paraId="090F2537" w14:textId="77777777" w:rsidR="003F6036" w:rsidRPr="00D810F0" w:rsidRDefault="003F6036" w:rsidP="00D810F0">
      <w:pPr>
        <w:spacing w:after="280" w:line="240" w:lineRule="auto"/>
        <w:contextualSpacing/>
      </w:pPr>
    </w:p>
    <w:p w14:paraId="00E2BE97" w14:textId="5C674949" w:rsidR="003F6036" w:rsidRPr="00D810F0" w:rsidRDefault="003F6036" w:rsidP="00D810F0">
      <w:pPr>
        <w:spacing w:after="280" w:line="240" w:lineRule="auto"/>
        <w:contextualSpacing/>
      </w:pPr>
      <w:r w:rsidRPr="00D810F0">
        <w:t>El sistema médico costarricense ‘normaliza’ los cuerpos de personas intersexuales con hormonas y cirugías irreversibles, pero no los llama por su nombre, sino que los denomina ‘genitalidad ambigua’ o ‘desórdenes del desarrollo sexual’. Si en muchos casos las personas intersexuales costarricenses no conservan sus características anatómicas originales es porque –cuando los descubre, generalmente en la infancia– el sistema interviene para ‘corregir’, ‘normalizar’ y ‘disciplinar’ lo que considera ‘deforme e ‘inconveniente’. En muchos casos estos procedimientos se realizan por oficio, sin consultar en algunos casos a los padres o tutores, apelando a una mala interpretación del Bien superior del menor del Código de la Niñez y la Adolescencia.</w:t>
      </w:r>
      <w:r w:rsidR="00ED1A32">
        <w:t xml:space="preserve"> </w:t>
      </w:r>
      <w:r w:rsidRPr="00D810F0">
        <w:t xml:space="preserve">La endocrinóloga </w:t>
      </w:r>
      <w:proofErr w:type="spellStart"/>
      <w:r w:rsidRPr="00D810F0">
        <w:t>Armina</w:t>
      </w:r>
      <w:proofErr w:type="spellEnd"/>
      <w:r w:rsidRPr="00D810F0">
        <w:t xml:space="preserve"> </w:t>
      </w:r>
      <w:proofErr w:type="spellStart"/>
      <w:r w:rsidRPr="00D810F0">
        <w:t>Fuscaldo</w:t>
      </w:r>
      <w:proofErr w:type="spellEnd"/>
      <w:r w:rsidRPr="00D810F0">
        <w:t xml:space="preserve"> explica que “nosotros siempre andamos con una reglita para medir”, narra la doctora </w:t>
      </w:r>
      <w:proofErr w:type="spellStart"/>
      <w:r w:rsidRPr="00D810F0">
        <w:t>Fuscaldo</w:t>
      </w:r>
      <w:proofErr w:type="spellEnd"/>
      <w:r w:rsidRPr="00D810F0">
        <w:t>. “Un clítoris normal es de menos de medio centímetro. Un clítoris grande es casi peniforme, mayor de medio centímetro, que sobresale sobre los labios, pero importantemente. El pene mínimo que se acepta son 2.5 centímetros, pero un pene de 4 centímetros en un recién nacido es una barbaridad”</w:t>
      </w:r>
      <w:r w:rsidRPr="00D810F0">
        <w:rPr>
          <w:vertAlign w:val="superscript"/>
        </w:rPr>
        <w:footnoteReference w:id="5"/>
      </w:r>
      <w:r w:rsidRPr="00D810F0">
        <w:t>.Fuera de esta condición, el sistema de salud costarricense no registra ni agrupa datos sobre otras causas de intersexualidad que, estadísticamente, permitirían tener un estimado de esa población en Costa Rica. La referencia global de la Organización Mundial de la Salud es que un 1% de la población mundial es intersex.</w:t>
      </w:r>
      <w:r w:rsidRPr="00D810F0">
        <w:rPr>
          <w:vertAlign w:val="superscript"/>
        </w:rPr>
        <w:footnoteReference w:id="6"/>
      </w:r>
    </w:p>
    <w:p w14:paraId="0E32D408" w14:textId="77777777" w:rsidR="005070AD" w:rsidRPr="00D810F0" w:rsidRDefault="00000000" w:rsidP="00D810F0">
      <w:pPr>
        <w:spacing w:after="0" w:line="259" w:lineRule="auto"/>
        <w:ind w:left="15" w:firstLine="0"/>
      </w:pPr>
      <w:r w:rsidRPr="00D810F0">
        <w:t xml:space="preserve"> </w:t>
      </w:r>
    </w:p>
    <w:p w14:paraId="4EFCEBF4" w14:textId="72A10097" w:rsidR="005070AD" w:rsidRPr="00D810F0" w:rsidRDefault="00000000" w:rsidP="00D810F0">
      <w:pPr>
        <w:ind w:left="10" w:right="107"/>
      </w:pPr>
      <w:r w:rsidRPr="00D810F0">
        <w:t xml:space="preserve">Este tipo de intervenciones con el único propósito de conformar los órganos de personas intersex a normas sociales de género binario y sus consecuencias para la integridad física, psicológica y reproductiva son una clara violación del artículo 12 de la Convención. </w:t>
      </w:r>
    </w:p>
    <w:p w14:paraId="25A0863C" w14:textId="1A4A7C7F" w:rsidR="003F6036" w:rsidRPr="00D810F0" w:rsidRDefault="003F6036" w:rsidP="00D810F0">
      <w:pPr>
        <w:ind w:left="10" w:right="107"/>
      </w:pPr>
    </w:p>
    <w:p w14:paraId="3696DFAA" w14:textId="051BA226" w:rsidR="003F6036" w:rsidRPr="00D810F0" w:rsidRDefault="003F6036" w:rsidP="00D810F0">
      <w:pPr>
        <w:ind w:left="10" w:right="107"/>
        <w:rPr>
          <w:b/>
          <w:bCs/>
        </w:rPr>
      </w:pPr>
      <w:r w:rsidRPr="00D810F0">
        <w:rPr>
          <w:b/>
          <w:bCs/>
        </w:rPr>
        <w:t>Recomendaciones:</w:t>
      </w:r>
    </w:p>
    <w:p w14:paraId="10283372" w14:textId="77777777" w:rsidR="003F6036" w:rsidRPr="00D810F0" w:rsidRDefault="003F6036" w:rsidP="00D810F0">
      <w:pPr>
        <w:ind w:left="10" w:right="107"/>
      </w:pPr>
    </w:p>
    <w:p w14:paraId="57F4E08E" w14:textId="03931272" w:rsidR="005070AD" w:rsidRPr="00D810F0" w:rsidRDefault="003F6036" w:rsidP="00ED1A32">
      <w:pPr>
        <w:pStyle w:val="Prrafodelista"/>
        <w:numPr>
          <w:ilvl w:val="0"/>
          <w:numId w:val="9"/>
        </w:numPr>
        <w:ind w:right="107"/>
      </w:pPr>
      <w:r w:rsidRPr="00D810F0">
        <w:t>Garantizar que las personas intersex no serán sometidas a cirugías sin su consentimiento previo, libre e informado y erradicar los protocolos actuales de atención a las corporalidades intersex en donde las cirugías no consentidas son la norma. Desarrollar un protocolo de acompañamiento con las familias por lo cual también debe generarse una intervención oportuna.</w:t>
      </w:r>
    </w:p>
    <w:p w14:paraId="53044146" w14:textId="66F5DA25" w:rsidR="005070AD" w:rsidRPr="00D810F0" w:rsidRDefault="005070AD" w:rsidP="00D810F0">
      <w:pPr>
        <w:spacing w:after="0" w:line="259" w:lineRule="auto"/>
        <w:ind w:left="15" w:firstLine="0"/>
      </w:pPr>
    </w:p>
    <w:p w14:paraId="6548FB3C" w14:textId="77777777" w:rsidR="005070AD" w:rsidRPr="00D810F0" w:rsidRDefault="00000000" w:rsidP="00D810F0">
      <w:pPr>
        <w:pStyle w:val="Ttulo1"/>
        <w:ind w:left="10"/>
        <w:jc w:val="both"/>
      </w:pPr>
      <w:r w:rsidRPr="00D810F0">
        <w:t xml:space="preserve">Sumario de recomendaciones </w:t>
      </w:r>
    </w:p>
    <w:p w14:paraId="3BDB20B6" w14:textId="77777777" w:rsidR="005070AD" w:rsidRPr="00D810F0" w:rsidRDefault="00000000" w:rsidP="00D810F0">
      <w:pPr>
        <w:spacing w:after="12" w:line="259" w:lineRule="auto"/>
        <w:ind w:left="721" w:firstLine="0"/>
      </w:pPr>
      <w:r w:rsidRPr="00D810F0">
        <w:rPr>
          <w:b/>
        </w:rPr>
        <w:t xml:space="preserve"> </w:t>
      </w:r>
    </w:p>
    <w:p w14:paraId="6082BFE1" w14:textId="77777777" w:rsidR="005070AD" w:rsidRPr="00D810F0" w:rsidRDefault="00000000" w:rsidP="00D810F0">
      <w:pPr>
        <w:numPr>
          <w:ilvl w:val="0"/>
          <w:numId w:val="5"/>
        </w:numPr>
        <w:ind w:right="107" w:hanging="360"/>
      </w:pPr>
      <w:r w:rsidRPr="00D810F0">
        <w:t xml:space="preserve">Modificar los patrones socioculturales de conducta de hombres y mujeres con el fin de lograr la eliminación de los prejuicios y las prácticas consuetudinarias y de cualquier otras que se basan en la idea de la inferioridad o superioridad de cualquiera de los sexos o en funciones de estereotipadas para hombres y </w:t>
      </w:r>
      <w:r w:rsidRPr="00D810F0">
        <w:lastRenderedPageBreak/>
        <w:t xml:space="preserve">mujeres, independientemente de su orientación sexual o identidad de género, como se indica en el artículo 5 de la Convención. </w:t>
      </w:r>
    </w:p>
    <w:p w14:paraId="13080BCF" w14:textId="77777777" w:rsidR="005070AD" w:rsidRPr="00D810F0" w:rsidRDefault="00000000" w:rsidP="00D810F0">
      <w:pPr>
        <w:spacing w:after="12" w:line="259" w:lineRule="auto"/>
        <w:ind w:left="736" w:firstLine="0"/>
      </w:pPr>
      <w:r w:rsidRPr="00D810F0">
        <w:t xml:space="preserve"> </w:t>
      </w:r>
    </w:p>
    <w:p w14:paraId="276A36CE" w14:textId="440AFC4E" w:rsidR="005070AD" w:rsidRPr="00D810F0" w:rsidRDefault="00000000" w:rsidP="00D810F0">
      <w:pPr>
        <w:numPr>
          <w:ilvl w:val="0"/>
          <w:numId w:val="5"/>
        </w:numPr>
        <w:ind w:right="107" w:hanging="360"/>
      </w:pPr>
      <w:r w:rsidRPr="00D810F0">
        <w:t xml:space="preserve">Que las cirugías correctivas o de asignación sexual no sean la </w:t>
      </w:r>
      <w:r w:rsidR="00006B67" w:rsidRPr="00D810F0">
        <w:t>primera tomada</w:t>
      </w:r>
      <w:r w:rsidRPr="00D810F0">
        <w:t xml:space="preserve"> como opción a la hora de tratar a niños y niñas intersex en el Hospital Nacional de Niños, y que se generen grupos </w:t>
      </w:r>
      <w:r w:rsidR="00006B67" w:rsidRPr="00D810F0">
        <w:t>específicos para</w:t>
      </w:r>
      <w:r w:rsidRPr="00D810F0">
        <w:t xml:space="preserve"> l*s padres de estos </w:t>
      </w:r>
      <w:proofErr w:type="spellStart"/>
      <w:r w:rsidRPr="00D810F0">
        <w:t>niñ</w:t>
      </w:r>
      <w:proofErr w:type="spellEnd"/>
      <w:r w:rsidRPr="00D810F0">
        <w:t xml:space="preserve">*s, donde se les asesore y oriente para que estas familias cuenten con las herramientas necesarias para manejar la situación de la mejor manera y donde lo que prime sea el beneficio </w:t>
      </w:r>
      <w:r w:rsidR="00006B67" w:rsidRPr="00D810F0">
        <w:t>de</w:t>
      </w:r>
      <w:r w:rsidRPr="00D810F0">
        <w:t xml:space="preserve"> la persona intersex. Una forma de lograr esto es implementando una política de atención a la población intersex, que les permita decidir por sí mismas en el futuro, cuál será el mejor camino a seguir ya que son sus vidas las que están siendo afectadas.</w:t>
      </w:r>
      <w:r w:rsidR="00ED1A32">
        <w:t xml:space="preserve"> </w:t>
      </w:r>
    </w:p>
    <w:p w14:paraId="52727D5D" w14:textId="77777777" w:rsidR="00006B67" w:rsidRPr="00D810F0" w:rsidRDefault="00006B67" w:rsidP="00D810F0">
      <w:pPr>
        <w:pStyle w:val="Prrafodelista"/>
      </w:pPr>
    </w:p>
    <w:p w14:paraId="11BB1DCA" w14:textId="74B6ACF1" w:rsidR="00006B67" w:rsidRPr="00D810F0" w:rsidRDefault="00006B67" w:rsidP="00D810F0">
      <w:pPr>
        <w:pStyle w:val="Prrafodelista"/>
        <w:numPr>
          <w:ilvl w:val="0"/>
          <w:numId w:val="10"/>
        </w:numPr>
        <w:ind w:right="107"/>
      </w:pPr>
      <w:r w:rsidRPr="00D810F0">
        <w:t>Generar políticas estatales encaminadas a promover el empleo de la población trans e incentivar a las compañías privadas a contratar a estas personas.</w:t>
      </w:r>
    </w:p>
    <w:p w14:paraId="1F159FD3" w14:textId="60B1A8AD" w:rsidR="00006B67" w:rsidRPr="00D810F0" w:rsidRDefault="00006B67" w:rsidP="00D810F0">
      <w:pPr>
        <w:ind w:right="107"/>
      </w:pPr>
    </w:p>
    <w:p w14:paraId="1AA0EFF5" w14:textId="3ED716E9" w:rsidR="00006B67" w:rsidRPr="00D810F0" w:rsidRDefault="00006B67" w:rsidP="00D810F0">
      <w:pPr>
        <w:pStyle w:val="Prrafodelista"/>
        <w:numPr>
          <w:ilvl w:val="0"/>
          <w:numId w:val="10"/>
        </w:numPr>
        <w:ind w:right="107"/>
      </w:pPr>
      <w:r w:rsidRPr="00D810F0">
        <w:t>Instar al Ministerio de Trabajo como máximo ente en materia laboral a realizar estudios rigurosos sobre denuncias, procesos administrativos y otros asuntos relativos en los centros de trabajo tanto a nivel público como privado sobre los actos de discriminación basados en orientación sexual y/o identidad de género, ya que en la actualidad estos datos o bien quedan en las contralorías de servicios o unidades de talento o recursos humanos los cuales son de carácter privado y/o confidencial, por lo cual no se cuantifican cuántas posibles formas de discriminación se generan en dichos sectores, los datos son inexistentes y en realidad son necesarios para establecer la real necesidad de educar en materia derechos humanos en los espacios laborales. A pesar de que existe la Reforma Procesal Laboral, y en sus artículos 405 en adelante se amplió la protección a los y las trabajadoras, hay un vacío legal en cuanto a las formas de monitoreo para que las personas trabajadoras acudan a las instancias laborales públicas, hay miedo y desinformación en muchas personas trabajadoras LGBTI para hacer respetar sus derechos en sus espacios laborales.</w:t>
      </w:r>
    </w:p>
    <w:p w14:paraId="5C96CDDF" w14:textId="2351BDC8" w:rsidR="00006B67" w:rsidRPr="00D810F0" w:rsidRDefault="00006B67" w:rsidP="00D810F0">
      <w:pPr>
        <w:ind w:right="107"/>
      </w:pPr>
    </w:p>
    <w:p w14:paraId="5E7FF0C0" w14:textId="3C84B540" w:rsidR="005070AD" w:rsidRPr="00D810F0" w:rsidRDefault="00006B67" w:rsidP="00ED1A32">
      <w:pPr>
        <w:pStyle w:val="Prrafodelista"/>
        <w:numPr>
          <w:ilvl w:val="0"/>
          <w:numId w:val="10"/>
        </w:numPr>
        <w:ind w:right="107"/>
      </w:pPr>
      <w:r w:rsidRPr="00D810F0">
        <w:t>La Dirección General de Servicio Civil ente encargado del reclutamiento para el personal que trabaja o trabajará para el Gobierno Central, debe sin duda incorporar la formación en derechos humanos como otro importante punto a valorar para la recomendación de las ternas en los perfiles vacantes, indiferentemente del puesto a ocupar, rango y escolaridad, todo funcionario y funcionaria pública debe estar consciente y debe tener conocimiento sobre los derechos humanos y el respeto por la dignidad, esto le ahorraría también al Estado posibles denuncias, trámites sobre estos temas, y sobre todo la población que acceda a los servicios públicos sabrá que hay personal calificado para poder atender a cualquier tipo de persona y población.</w:t>
      </w:r>
    </w:p>
    <w:p w14:paraId="6D43D462" w14:textId="77777777" w:rsidR="005070AD" w:rsidRPr="00D810F0" w:rsidRDefault="00000000" w:rsidP="00D810F0">
      <w:pPr>
        <w:spacing w:after="0" w:line="259" w:lineRule="auto"/>
        <w:ind w:left="721" w:firstLine="0"/>
      </w:pPr>
      <w:r w:rsidRPr="00D810F0">
        <w:rPr>
          <w:b/>
        </w:rPr>
        <w:t xml:space="preserve"> </w:t>
      </w:r>
    </w:p>
    <w:p w14:paraId="5E379D40" w14:textId="502F49C2" w:rsidR="005070AD" w:rsidRPr="00D810F0" w:rsidRDefault="00000000" w:rsidP="00D810F0">
      <w:pPr>
        <w:spacing w:after="222" w:line="247" w:lineRule="auto"/>
        <w:ind w:left="10"/>
      </w:pPr>
      <w:r w:rsidRPr="00D810F0">
        <w:rPr>
          <w:b/>
        </w:rPr>
        <w:t>Bibliografía</w:t>
      </w:r>
    </w:p>
    <w:p w14:paraId="16987E96" w14:textId="7A22371A" w:rsidR="005070AD" w:rsidRDefault="00ED1A32" w:rsidP="00D810F0">
      <w:pPr>
        <w:spacing w:after="249" w:line="259" w:lineRule="auto"/>
        <w:ind w:left="15" w:firstLine="0"/>
      </w:pPr>
      <w:r>
        <w:t xml:space="preserve">Amelia Rueda. Intersexualidad. </w:t>
      </w:r>
      <w:hyperlink r:id="rId9" w:history="1">
        <w:r w:rsidRPr="00C45BE3">
          <w:rPr>
            <w:rStyle w:val="Hipervnculo"/>
          </w:rPr>
          <w:t>https://www.ameliarueda.com/especiales/intersexualidad/2016</w:t>
        </w:r>
      </w:hyperlink>
    </w:p>
    <w:p w14:paraId="181FE7BD" w14:textId="201FAC50" w:rsidR="00ED1A32" w:rsidRPr="00D810F0" w:rsidRDefault="00ED1A32" w:rsidP="00ED1A32">
      <w:pPr>
        <w:spacing w:after="249" w:line="259" w:lineRule="auto"/>
        <w:ind w:left="15" w:firstLine="0"/>
      </w:pPr>
      <w:r>
        <w:t>Semanario Universidad. N</w:t>
      </w:r>
      <w:r w:rsidRPr="00ED1A32">
        <w:t>ueva</w:t>
      </w:r>
      <w:r>
        <w:t xml:space="preserve"> R</w:t>
      </w:r>
      <w:r w:rsidRPr="00ED1A32">
        <w:t>epublica</w:t>
      </w:r>
      <w:r>
        <w:t xml:space="preserve"> </w:t>
      </w:r>
      <w:r w:rsidRPr="00ED1A32">
        <w:t>bloquea</w:t>
      </w:r>
      <w:r>
        <w:t xml:space="preserve"> </w:t>
      </w:r>
      <w:r w:rsidRPr="00ED1A32">
        <w:t>proyecto</w:t>
      </w:r>
      <w:r>
        <w:t xml:space="preserve"> </w:t>
      </w:r>
      <w:r w:rsidRPr="00ED1A32">
        <w:t>para-prohibir</w:t>
      </w:r>
      <w:r>
        <w:t xml:space="preserve"> </w:t>
      </w:r>
      <w:r w:rsidRPr="00ED1A32">
        <w:t>terapias</w:t>
      </w:r>
      <w:r>
        <w:t xml:space="preserve"> </w:t>
      </w:r>
      <w:r w:rsidRPr="00ED1A32">
        <w:t>de</w:t>
      </w:r>
      <w:r>
        <w:t xml:space="preserve"> conversión </w:t>
      </w:r>
      <w:r w:rsidRPr="00ED1A32">
        <w:t>con</w:t>
      </w:r>
      <w:r>
        <w:t xml:space="preserve"> </w:t>
      </w:r>
      <w:r w:rsidRPr="00ED1A32">
        <w:t>mociones</w:t>
      </w:r>
      <w:r>
        <w:t xml:space="preserve"> </w:t>
      </w:r>
      <w:r w:rsidRPr="00ED1A32">
        <w:t>y</w:t>
      </w:r>
      <w:r>
        <w:t xml:space="preserve"> </w:t>
      </w:r>
      <w:r w:rsidRPr="00ED1A32">
        <w:t>argumentos</w:t>
      </w:r>
      <w:r>
        <w:t xml:space="preserve"> </w:t>
      </w:r>
      <w:r w:rsidRPr="00ED1A32">
        <w:t>sin</w:t>
      </w:r>
      <w:r>
        <w:t xml:space="preserve"> relación. </w:t>
      </w:r>
      <w:hyperlink r:id="rId10" w:history="1">
        <w:r w:rsidRPr="00C45BE3">
          <w:rPr>
            <w:rStyle w:val="Hipervnculo"/>
          </w:rPr>
          <w:t>https://semanariouniversidad.com/pais/nueva-republica-bloquea-proyecto-para-prohibir-terapias-de-conversion-con-mociones-y-argumentos-sin-relacion/</w:t>
        </w:r>
      </w:hyperlink>
      <w:r>
        <w:t xml:space="preserve"> </w:t>
      </w:r>
    </w:p>
    <w:sectPr w:rsidR="00ED1A32" w:rsidRPr="00D810F0">
      <w:footerReference w:type="even" r:id="rId11"/>
      <w:footerReference w:type="default" r:id="rId12"/>
      <w:footerReference w:type="first" r:id="rId13"/>
      <w:pgSz w:w="11909" w:h="16841"/>
      <w:pgMar w:top="1417" w:right="1587" w:bottom="1410" w:left="1685" w:header="720" w:footer="7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F0836" w14:textId="77777777" w:rsidR="00656046" w:rsidRDefault="00656046">
      <w:pPr>
        <w:spacing w:after="0" w:line="240" w:lineRule="auto"/>
      </w:pPr>
      <w:r>
        <w:separator/>
      </w:r>
    </w:p>
  </w:endnote>
  <w:endnote w:type="continuationSeparator" w:id="0">
    <w:p w14:paraId="12B3E9CE" w14:textId="77777777" w:rsidR="00656046" w:rsidRDefault="006560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924AA" w14:textId="77777777" w:rsidR="005070AD" w:rsidRDefault="00000000">
    <w:pPr>
      <w:spacing w:after="0" w:line="259" w:lineRule="auto"/>
      <w:ind w:left="0" w:right="108"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6AB07AED" w14:textId="77777777" w:rsidR="005070AD" w:rsidRDefault="00000000">
    <w:pPr>
      <w:spacing w:after="0" w:line="259" w:lineRule="auto"/>
      <w:ind w:left="15" w:firstLine="0"/>
      <w:jc w:val="left"/>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90CB" w14:textId="77777777" w:rsidR="005070AD" w:rsidRDefault="00000000">
    <w:pPr>
      <w:spacing w:after="0" w:line="259" w:lineRule="auto"/>
      <w:ind w:left="0" w:right="108"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1E929DE8" w14:textId="77777777" w:rsidR="005070AD" w:rsidRDefault="00000000">
    <w:pPr>
      <w:spacing w:after="0" w:line="259" w:lineRule="auto"/>
      <w:ind w:left="15" w:firstLine="0"/>
      <w:jc w:val="left"/>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CDA782" w14:textId="77777777" w:rsidR="005070AD" w:rsidRDefault="00000000">
    <w:pPr>
      <w:spacing w:after="0" w:line="259" w:lineRule="auto"/>
      <w:ind w:left="0" w:right="108" w:firstLine="0"/>
      <w:jc w:val="right"/>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p w14:paraId="34A01E0A" w14:textId="77777777" w:rsidR="005070AD" w:rsidRDefault="00000000">
    <w:pPr>
      <w:spacing w:after="0" w:line="259" w:lineRule="auto"/>
      <w:ind w:left="15" w:firstLine="0"/>
      <w:jc w:val="left"/>
    </w:pP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29073D" w14:textId="77777777" w:rsidR="00656046" w:rsidRDefault="00656046">
      <w:pPr>
        <w:spacing w:after="0" w:line="259" w:lineRule="auto"/>
        <w:ind w:left="15" w:firstLine="0"/>
        <w:jc w:val="left"/>
      </w:pPr>
      <w:r>
        <w:separator/>
      </w:r>
    </w:p>
  </w:footnote>
  <w:footnote w:type="continuationSeparator" w:id="0">
    <w:p w14:paraId="2DFCECB7" w14:textId="77777777" w:rsidR="00656046" w:rsidRDefault="00656046">
      <w:pPr>
        <w:spacing w:after="0" w:line="259" w:lineRule="auto"/>
        <w:ind w:left="15" w:firstLine="0"/>
        <w:jc w:val="left"/>
      </w:pPr>
      <w:r>
        <w:continuationSeparator/>
      </w:r>
    </w:p>
  </w:footnote>
  <w:footnote w:id="1">
    <w:p w14:paraId="1716393C" w14:textId="70DADB21" w:rsidR="00CF5C93" w:rsidRPr="00ED1A32" w:rsidRDefault="00CF5C93" w:rsidP="00CF5C93">
      <w:pPr>
        <w:spacing w:line="240" w:lineRule="auto"/>
        <w:ind w:firstLine="0"/>
        <w:rPr>
          <w:sz w:val="18"/>
          <w:szCs w:val="18"/>
        </w:rPr>
      </w:pPr>
      <w:r w:rsidRPr="00ED1A32">
        <w:rPr>
          <w:sz w:val="18"/>
          <w:szCs w:val="18"/>
          <w:vertAlign w:val="superscript"/>
        </w:rPr>
        <w:footnoteRef/>
      </w:r>
      <w:r w:rsidRPr="00ED1A32">
        <w:rPr>
          <w:sz w:val="18"/>
          <w:szCs w:val="18"/>
        </w:rPr>
        <w:t xml:space="preserve"> Mulabi es una organización no gubernamental sin fines de lucro, horizontal, fundada en 2006 por activistas de diferentes regiones de América Latina de diversas identidades (sexuales, de género, étnicas, nacionales y otras). La misión de Mulabi es trabajar en temas ligados a las sexualidades y los derechos desde puntos de vista críticos y celebratorios, promoviendo también el empoderamiento y la autonomía especialmente de las personas más excluidas, con la excusa de cualquier aspecto de su sexualidad, así como</w:t>
      </w:r>
      <w:r w:rsidR="00ED1A32">
        <w:rPr>
          <w:sz w:val="18"/>
          <w:szCs w:val="18"/>
        </w:rPr>
        <w:t xml:space="preserve"> </w:t>
      </w:r>
      <w:r w:rsidRPr="00ED1A32">
        <w:rPr>
          <w:sz w:val="18"/>
          <w:szCs w:val="18"/>
        </w:rPr>
        <w:t>difundir perspectivas latinoamericanas sobre esos temas, utilizando como estrategia principal la construcción en común del conocimiento transformador.</w:t>
      </w:r>
    </w:p>
  </w:footnote>
  <w:footnote w:id="2">
    <w:p w14:paraId="4AC47B65" w14:textId="56EA5BAD" w:rsidR="00D810F0" w:rsidRPr="00ED1A32" w:rsidRDefault="00D810F0">
      <w:pPr>
        <w:pStyle w:val="Textonotapie"/>
        <w:rPr>
          <w:sz w:val="18"/>
          <w:szCs w:val="18"/>
        </w:rPr>
      </w:pPr>
      <w:r w:rsidRPr="00ED1A32">
        <w:rPr>
          <w:rStyle w:val="Refdenotaalpie"/>
          <w:sz w:val="18"/>
          <w:szCs w:val="18"/>
        </w:rPr>
        <w:footnoteRef/>
      </w:r>
      <w:r w:rsidRPr="00ED1A32">
        <w:rPr>
          <w:sz w:val="18"/>
          <w:szCs w:val="18"/>
        </w:rPr>
        <w:t>https://semanariouniversidad.com/pais/nueva-republica-bloquea-proyecto-para-prohibir-terapias-de-conversion-con-mociones-y-argumentos-sin-relacion/</w:t>
      </w:r>
    </w:p>
  </w:footnote>
  <w:footnote w:id="3">
    <w:p w14:paraId="31F2D5DB" w14:textId="3735DC3C" w:rsidR="00D810F0" w:rsidRPr="00ED1A32" w:rsidRDefault="00D810F0">
      <w:pPr>
        <w:pStyle w:val="Textonotapie"/>
        <w:rPr>
          <w:sz w:val="18"/>
          <w:szCs w:val="18"/>
        </w:rPr>
      </w:pPr>
      <w:r w:rsidRPr="00ED1A32">
        <w:rPr>
          <w:rStyle w:val="Refdenotaalpie"/>
          <w:sz w:val="18"/>
          <w:szCs w:val="18"/>
        </w:rPr>
        <w:footnoteRef/>
      </w:r>
      <w:r w:rsidRPr="00ED1A32">
        <w:rPr>
          <w:sz w:val="18"/>
          <w:szCs w:val="18"/>
        </w:rPr>
        <w:t xml:space="preserve"> Art. 123 bis del Código Penal de Costa Rica, Ley No.</w:t>
      </w:r>
      <w:r w:rsidR="00ED1A32" w:rsidRPr="00ED1A32">
        <w:rPr>
          <w:sz w:val="18"/>
          <w:szCs w:val="18"/>
        </w:rPr>
        <w:t xml:space="preserve"> 4573.</w:t>
      </w:r>
      <w:r w:rsidRPr="00ED1A32">
        <w:rPr>
          <w:sz w:val="18"/>
          <w:szCs w:val="18"/>
        </w:rPr>
        <w:t xml:space="preserve"> </w:t>
      </w:r>
    </w:p>
  </w:footnote>
  <w:footnote w:id="4">
    <w:p w14:paraId="78DD685B" w14:textId="77777777" w:rsidR="005070AD" w:rsidRPr="00ED1A32" w:rsidRDefault="00000000">
      <w:pPr>
        <w:pStyle w:val="footnotedescription"/>
        <w:spacing w:line="276" w:lineRule="auto"/>
        <w:ind w:right="61"/>
        <w:rPr>
          <w:rFonts w:ascii="Tahoma" w:hAnsi="Tahoma" w:cs="Tahoma"/>
          <w:sz w:val="18"/>
          <w:szCs w:val="18"/>
        </w:rPr>
      </w:pPr>
      <w:r w:rsidRPr="00ED1A32">
        <w:rPr>
          <w:rStyle w:val="footnotemark"/>
          <w:rFonts w:ascii="Tahoma" w:eastAsia="Calibri" w:hAnsi="Tahoma" w:cs="Tahoma"/>
          <w:sz w:val="18"/>
          <w:szCs w:val="18"/>
        </w:rPr>
        <w:footnoteRef/>
      </w:r>
      <w:r w:rsidRPr="00ED1A32">
        <w:rPr>
          <w:rFonts w:ascii="Tahoma" w:hAnsi="Tahoma" w:cs="Tahoma"/>
          <w:sz w:val="18"/>
          <w:szCs w:val="18"/>
        </w:rPr>
        <w:t xml:space="preserve"> </w:t>
      </w:r>
      <w:r w:rsidRPr="00ED1A32">
        <w:rPr>
          <w:rFonts w:ascii="Tahoma" w:hAnsi="Tahoma" w:cs="Tahoma"/>
          <w:b/>
          <w:sz w:val="18"/>
          <w:szCs w:val="18"/>
        </w:rPr>
        <w:t>Personas Intersex:</w:t>
      </w:r>
      <w:r w:rsidRPr="00ED1A32">
        <w:rPr>
          <w:rFonts w:ascii="Tahoma" w:hAnsi="Tahoma" w:cs="Tahoma"/>
          <w:sz w:val="18"/>
          <w:szCs w:val="18"/>
        </w:rPr>
        <w:t xml:space="preserve"> Algunos bebés nacen con genitales y órganos reproductores que no encajan con los patrones culturalmente aceptada como la definición de la anatomía "femenina" o "macho".</w:t>
      </w:r>
      <w:r w:rsidRPr="00ED1A32">
        <w:rPr>
          <w:rFonts w:ascii="Tahoma" w:eastAsia="Verdana" w:hAnsi="Tahoma" w:cs="Tahoma"/>
          <w:color w:val="333333"/>
          <w:sz w:val="18"/>
          <w:szCs w:val="18"/>
        </w:rPr>
        <w:t xml:space="preserve"> </w:t>
      </w:r>
      <w:r w:rsidRPr="00ED1A32">
        <w:rPr>
          <w:rFonts w:ascii="Tahoma" w:hAnsi="Tahoma" w:cs="Tahoma"/>
          <w:sz w:val="18"/>
          <w:szCs w:val="18"/>
        </w:rPr>
        <w:t xml:space="preserve">El término antiguamente utilizado para referirse a las personas intersex era hermafrodita, que provino de juntar los nombres de un dios y una diosa griegos, Hermes y Afrodita. Hermes era el dios de la sexualidad masculina (entre otras cosas) y Afrodita la diosa de la sexualidad, el amor y la belleza femeninas. </w:t>
      </w:r>
    </w:p>
  </w:footnote>
  <w:footnote w:id="5">
    <w:p w14:paraId="15B653E4" w14:textId="77777777" w:rsidR="003F6036" w:rsidRPr="00ED1A32" w:rsidRDefault="003F6036" w:rsidP="00D810F0">
      <w:pPr>
        <w:spacing w:line="240" w:lineRule="auto"/>
        <w:ind w:left="0" w:firstLine="0"/>
        <w:rPr>
          <w:sz w:val="18"/>
          <w:szCs w:val="18"/>
        </w:rPr>
      </w:pPr>
      <w:r w:rsidRPr="00ED1A32">
        <w:rPr>
          <w:sz w:val="18"/>
          <w:szCs w:val="18"/>
          <w:vertAlign w:val="superscript"/>
        </w:rPr>
        <w:footnoteRef/>
      </w:r>
      <w:r w:rsidRPr="00ED1A32">
        <w:rPr>
          <w:sz w:val="18"/>
          <w:szCs w:val="18"/>
        </w:rPr>
        <w:t xml:space="preserve"> https://www.ameliarueda.com/especiales/intersexualidad/</w:t>
      </w:r>
    </w:p>
  </w:footnote>
  <w:footnote w:id="6">
    <w:p w14:paraId="0EBD0BAD" w14:textId="77777777" w:rsidR="003F6036" w:rsidRPr="00ED1A32" w:rsidRDefault="003F6036" w:rsidP="00D810F0">
      <w:pPr>
        <w:pBdr>
          <w:top w:val="nil"/>
          <w:left w:val="nil"/>
          <w:bottom w:val="nil"/>
          <w:right w:val="nil"/>
          <w:between w:val="nil"/>
        </w:pBdr>
        <w:spacing w:line="240" w:lineRule="auto"/>
        <w:ind w:left="0" w:firstLine="0"/>
        <w:rPr>
          <w:sz w:val="18"/>
          <w:szCs w:val="18"/>
        </w:rPr>
      </w:pPr>
      <w:r w:rsidRPr="00ED1A32">
        <w:rPr>
          <w:sz w:val="18"/>
          <w:szCs w:val="18"/>
          <w:vertAlign w:val="superscript"/>
        </w:rPr>
        <w:footnoteRef/>
      </w:r>
      <w:r w:rsidRPr="00ED1A32">
        <w:rPr>
          <w:sz w:val="18"/>
          <w:szCs w:val="18"/>
        </w:rPr>
        <w:t xml:space="preserve"> https://www.ameliarueda.com/especiales/intersexualidad/2016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4E7D6D"/>
    <w:multiLevelType w:val="multilevel"/>
    <w:tmpl w:val="5B4E2720"/>
    <w:lvl w:ilvl="0">
      <w:start w:val="1"/>
      <w:numFmt w:val="decimal"/>
      <w:lvlText w:val="%1."/>
      <w:lvlJc w:val="left"/>
      <w:pPr>
        <w:ind w:left="643"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 w15:restartNumberingAfterBreak="0">
    <w:nsid w:val="19C41FC4"/>
    <w:multiLevelType w:val="hybridMultilevel"/>
    <w:tmpl w:val="51963B44"/>
    <w:lvl w:ilvl="0" w:tplc="140A0001">
      <w:start w:val="1"/>
      <w:numFmt w:val="bullet"/>
      <w:lvlText w:val=""/>
      <w:lvlJc w:val="left"/>
      <w:pPr>
        <w:ind w:left="735" w:hanging="360"/>
      </w:pPr>
      <w:rPr>
        <w:rFonts w:ascii="Symbol" w:hAnsi="Symbol" w:hint="default"/>
      </w:rPr>
    </w:lvl>
    <w:lvl w:ilvl="1" w:tplc="140A0003" w:tentative="1">
      <w:start w:val="1"/>
      <w:numFmt w:val="bullet"/>
      <w:lvlText w:val="o"/>
      <w:lvlJc w:val="left"/>
      <w:pPr>
        <w:ind w:left="1455" w:hanging="360"/>
      </w:pPr>
      <w:rPr>
        <w:rFonts w:ascii="Courier New" w:hAnsi="Courier New" w:cs="Courier New" w:hint="default"/>
      </w:rPr>
    </w:lvl>
    <w:lvl w:ilvl="2" w:tplc="140A0005" w:tentative="1">
      <w:start w:val="1"/>
      <w:numFmt w:val="bullet"/>
      <w:lvlText w:val=""/>
      <w:lvlJc w:val="left"/>
      <w:pPr>
        <w:ind w:left="2175" w:hanging="360"/>
      </w:pPr>
      <w:rPr>
        <w:rFonts w:ascii="Wingdings" w:hAnsi="Wingdings" w:hint="default"/>
      </w:rPr>
    </w:lvl>
    <w:lvl w:ilvl="3" w:tplc="140A0001" w:tentative="1">
      <w:start w:val="1"/>
      <w:numFmt w:val="bullet"/>
      <w:lvlText w:val=""/>
      <w:lvlJc w:val="left"/>
      <w:pPr>
        <w:ind w:left="2895" w:hanging="360"/>
      </w:pPr>
      <w:rPr>
        <w:rFonts w:ascii="Symbol" w:hAnsi="Symbol" w:hint="default"/>
      </w:rPr>
    </w:lvl>
    <w:lvl w:ilvl="4" w:tplc="140A0003" w:tentative="1">
      <w:start w:val="1"/>
      <w:numFmt w:val="bullet"/>
      <w:lvlText w:val="o"/>
      <w:lvlJc w:val="left"/>
      <w:pPr>
        <w:ind w:left="3615" w:hanging="360"/>
      </w:pPr>
      <w:rPr>
        <w:rFonts w:ascii="Courier New" w:hAnsi="Courier New" w:cs="Courier New" w:hint="default"/>
      </w:rPr>
    </w:lvl>
    <w:lvl w:ilvl="5" w:tplc="140A0005" w:tentative="1">
      <w:start w:val="1"/>
      <w:numFmt w:val="bullet"/>
      <w:lvlText w:val=""/>
      <w:lvlJc w:val="left"/>
      <w:pPr>
        <w:ind w:left="4335" w:hanging="360"/>
      </w:pPr>
      <w:rPr>
        <w:rFonts w:ascii="Wingdings" w:hAnsi="Wingdings" w:hint="default"/>
      </w:rPr>
    </w:lvl>
    <w:lvl w:ilvl="6" w:tplc="140A0001" w:tentative="1">
      <w:start w:val="1"/>
      <w:numFmt w:val="bullet"/>
      <w:lvlText w:val=""/>
      <w:lvlJc w:val="left"/>
      <w:pPr>
        <w:ind w:left="5055" w:hanging="360"/>
      </w:pPr>
      <w:rPr>
        <w:rFonts w:ascii="Symbol" w:hAnsi="Symbol" w:hint="default"/>
      </w:rPr>
    </w:lvl>
    <w:lvl w:ilvl="7" w:tplc="140A0003" w:tentative="1">
      <w:start w:val="1"/>
      <w:numFmt w:val="bullet"/>
      <w:lvlText w:val="o"/>
      <w:lvlJc w:val="left"/>
      <w:pPr>
        <w:ind w:left="5775" w:hanging="360"/>
      </w:pPr>
      <w:rPr>
        <w:rFonts w:ascii="Courier New" w:hAnsi="Courier New" w:cs="Courier New" w:hint="default"/>
      </w:rPr>
    </w:lvl>
    <w:lvl w:ilvl="8" w:tplc="140A0005" w:tentative="1">
      <w:start w:val="1"/>
      <w:numFmt w:val="bullet"/>
      <w:lvlText w:val=""/>
      <w:lvlJc w:val="left"/>
      <w:pPr>
        <w:ind w:left="6495" w:hanging="360"/>
      </w:pPr>
      <w:rPr>
        <w:rFonts w:ascii="Wingdings" w:hAnsi="Wingdings" w:hint="default"/>
      </w:rPr>
    </w:lvl>
  </w:abstractNum>
  <w:abstractNum w:abstractNumId="2" w15:restartNumberingAfterBreak="0">
    <w:nsid w:val="26B7751D"/>
    <w:multiLevelType w:val="hybridMultilevel"/>
    <w:tmpl w:val="3E40A21E"/>
    <w:lvl w:ilvl="0" w:tplc="F8AC748C">
      <w:start w:val="1"/>
      <w:numFmt w:val="bullet"/>
      <w:lvlText w:val="•"/>
      <w:lvlJc w:val="left"/>
      <w:pPr>
        <w:ind w:left="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FC2930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A90FB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A8DDF6">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3CE042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8465B4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250B3A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883FF2">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C720EA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7A22F4C"/>
    <w:multiLevelType w:val="hybridMultilevel"/>
    <w:tmpl w:val="78C0F7C0"/>
    <w:lvl w:ilvl="0" w:tplc="15584ECE">
      <w:start w:val="1"/>
      <w:numFmt w:val="bullet"/>
      <w:lvlText w:val=""/>
      <w:lvlJc w:val="left"/>
      <w:pPr>
        <w:ind w:left="721"/>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1" w:tplc="8E48F484">
      <w:start w:val="1"/>
      <w:numFmt w:val="bullet"/>
      <w:lvlText w:val="o"/>
      <w:lvlJc w:val="left"/>
      <w:pPr>
        <w:ind w:left="144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2" w:tplc="FF3A077A">
      <w:start w:val="1"/>
      <w:numFmt w:val="bullet"/>
      <w:lvlText w:val="▪"/>
      <w:lvlJc w:val="left"/>
      <w:pPr>
        <w:ind w:left="216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3" w:tplc="2BDCFB02">
      <w:start w:val="1"/>
      <w:numFmt w:val="bullet"/>
      <w:lvlText w:val="•"/>
      <w:lvlJc w:val="left"/>
      <w:pPr>
        <w:ind w:left="288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4" w:tplc="42E6BC0E">
      <w:start w:val="1"/>
      <w:numFmt w:val="bullet"/>
      <w:lvlText w:val="o"/>
      <w:lvlJc w:val="left"/>
      <w:pPr>
        <w:ind w:left="360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5" w:tplc="0660E3F4">
      <w:start w:val="1"/>
      <w:numFmt w:val="bullet"/>
      <w:lvlText w:val="▪"/>
      <w:lvlJc w:val="left"/>
      <w:pPr>
        <w:ind w:left="432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6" w:tplc="BEA2F5C4">
      <w:start w:val="1"/>
      <w:numFmt w:val="bullet"/>
      <w:lvlText w:val="•"/>
      <w:lvlJc w:val="left"/>
      <w:pPr>
        <w:ind w:left="504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7" w:tplc="1E6EEA68">
      <w:start w:val="1"/>
      <w:numFmt w:val="bullet"/>
      <w:lvlText w:val="o"/>
      <w:lvlJc w:val="left"/>
      <w:pPr>
        <w:ind w:left="576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lvl w:ilvl="8" w:tplc="38C08AF2">
      <w:start w:val="1"/>
      <w:numFmt w:val="bullet"/>
      <w:lvlText w:val="▪"/>
      <w:lvlJc w:val="left"/>
      <w:pPr>
        <w:ind w:left="6480"/>
      </w:pPr>
      <w:rPr>
        <w:rFonts w:ascii="Wingdings" w:eastAsia="Wingdings" w:hAnsi="Wingdings" w:cs="Wingdings"/>
        <w:b w:val="0"/>
        <w:i w:val="0"/>
        <w:strike w:val="0"/>
        <w:dstrike w:val="0"/>
        <w:color w:val="888888"/>
        <w:sz w:val="20"/>
        <w:szCs w:val="20"/>
        <w:u w:val="none" w:color="000000"/>
        <w:bdr w:val="none" w:sz="0" w:space="0" w:color="auto"/>
        <w:shd w:val="clear" w:color="auto" w:fill="auto"/>
        <w:vertAlign w:val="baseline"/>
      </w:rPr>
    </w:lvl>
  </w:abstractNum>
  <w:abstractNum w:abstractNumId="4" w15:restartNumberingAfterBreak="0">
    <w:nsid w:val="3526397D"/>
    <w:multiLevelType w:val="hybridMultilevel"/>
    <w:tmpl w:val="B0706758"/>
    <w:lvl w:ilvl="0" w:tplc="F7D65E7E">
      <w:start w:val="13"/>
      <w:numFmt w:val="bullet"/>
      <w:lvlText w:val="-"/>
      <w:lvlJc w:val="left"/>
      <w:pPr>
        <w:ind w:left="375" w:hanging="360"/>
      </w:pPr>
      <w:rPr>
        <w:rFonts w:ascii="Tahoma" w:eastAsia="Tahoma" w:hAnsi="Tahoma" w:cs="Tahoma" w:hint="default"/>
      </w:rPr>
    </w:lvl>
    <w:lvl w:ilvl="1" w:tplc="140A0003" w:tentative="1">
      <w:start w:val="1"/>
      <w:numFmt w:val="bullet"/>
      <w:lvlText w:val="o"/>
      <w:lvlJc w:val="left"/>
      <w:pPr>
        <w:ind w:left="1095" w:hanging="360"/>
      </w:pPr>
      <w:rPr>
        <w:rFonts w:ascii="Courier New" w:hAnsi="Courier New" w:cs="Courier New" w:hint="default"/>
      </w:rPr>
    </w:lvl>
    <w:lvl w:ilvl="2" w:tplc="140A0005" w:tentative="1">
      <w:start w:val="1"/>
      <w:numFmt w:val="bullet"/>
      <w:lvlText w:val=""/>
      <w:lvlJc w:val="left"/>
      <w:pPr>
        <w:ind w:left="1815" w:hanging="360"/>
      </w:pPr>
      <w:rPr>
        <w:rFonts w:ascii="Wingdings" w:hAnsi="Wingdings" w:hint="default"/>
      </w:rPr>
    </w:lvl>
    <w:lvl w:ilvl="3" w:tplc="140A0001" w:tentative="1">
      <w:start w:val="1"/>
      <w:numFmt w:val="bullet"/>
      <w:lvlText w:val=""/>
      <w:lvlJc w:val="left"/>
      <w:pPr>
        <w:ind w:left="2535" w:hanging="360"/>
      </w:pPr>
      <w:rPr>
        <w:rFonts w:ascii="Symbol" w:hAnsi="Symbol" w:hint="default"/>
      </w:rPr>
    </w:lvl>
    <w:lvl w:ilvl="4" w:tplc="140A0003" w:tentative="1">
      <w:start w:val="1"/>
      <w:numFmt w:val="bullet"/>
      <w:lvlText w:val="o"/>
      <w:lvlJc w:val="left"/>
      <w:pPr>
        <w:ind w:left="3255" w:hanging="360"/>
      </w:pPr>
      <w:rPr>
        <w:rFonts w:ascii="Courier New" w:hAnsi="Courier New" w:cs="Courier New" w:hint="default"/>
      </w:rPr>
    </w:lvl>
    <w:lvl w:ilvl="5" w:tplc="140A0005" w:tentative="1">
      <w:start w:val="1"/>
      <w:numFmt w:val="bullet"/>
      <w:lvlText w:val=""/>
      <w:lvlJc w:val="left"/>
      <w:pPr>
        <w:ind w:left="3975" w:hanging="360"/>
      </w:pPr>
      <w:rPr>
        <w:rFonts w:ascii="Wingdings" w:hAnsi="Wingdings" w:hint="default"/>
      </w:rPr>
    </w:lvl>
    <w:lvl w:ilvl="6" w:tplc="140A0001" w:tentative="1">
      <w:start w:val="1"/>
      <w:numFmt w:val="bullet"/>
      <w:lvlText w:val=""/>
      <w:lvlJc w:val="left"/>
      <w:pPr>
        <w:ind w:left="4695" w:hanging="360"/>
      </w:pPr>
      <w:rPr>
        <w:rFonts w:ascii="Symbol" w:hAnsi="Symbol" w:hint="default"/>
      </w:rPr>
    </w:lvl>
    <w:lvl w:ilvl="7" w:tplc="140A0003" w:tentative="1">
      <w:start w:val="1"/>
      <w:numFmt w:val="bullet"/>
      <w:lvlText w:val="o"/>
      <w:lvlJc w:val="left"/>
      <w:pPr>
        <w:ind w:left="5415" w:hanging="360"/>
      </w:pPr>
      <w:rPr>
        <w:rFonts w:ascii="Courier New" w:hAnsi="Courier New" w:cs="Courier New" w:hint="default"/>
      </w:rPr>
    </w:lvl>
    <w:lvl w:ilvl="8" w:tplc="140A0005" w:tentative="1">
      <w:start w:val="1"/>
      <w:numFmt w:val="bullet"/>
      <w:lvlText w:val=""/>
      <w:lvlJc w:val="left"/>
      <w:pPr>
        <w:ind w:left="6135" w:hanging="360"/>
      </w:pPr>
      <w:rPr>
        <w:rFonts w:ascii="Wingdings" w:hAnsi="Wingdings" w:hint="default"/>
      </w:rPr>
    </w:lvl>
  </w:abstractNum>
  <w:abstractNum w:abstractNumId="5" w15:restartNumberingAfterBreak="0">
    <w:nsid w:val="3D714E65"/>
    <w:multiLevelType w:val="multilevel"/>
    <w:tmpl w:val="5B4E2720"/>
    <w:lvl w:ilvl="0">
      <w:start w:val="1"/>
      <w:numFmt w:val="decimal"/>
      <w:lvlText w:val="%1."/>
      <w:lvlJc w:val="left"/>
      <w:pPr>
        <w:ind w:left="643"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6" w15:restartNumberingAfterBreak="0">
    <w:nsid w:val="3EBE352D"/>
    <w:multiLevelType w:val="hybridMultilevel"/>
    <w:tmpl w:val="8188E24A"/>
    <w:lvl w:ilvl="0" w:tplc="DD4A0A3C">
      <w:start w:val="1"/>
      <w:numFmt w:val="bullet"/>
      <w:lvlText w:val="•"/>
      <w:lvlJc w:val="left"/>
      <w:pPr>
        <w:ind w:left="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DF881430">
      <w:start w:val="1"/>
      <w:numFmt w:val="bullet"/>
      <w:lvlText w:val="o"/>
      <w:lvlJc w:val="left"/>
      <w:pPr>
        <w:ind w:left="145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CAC9374">
      <w:start w:val="1"/>
      <w:numFmt w:val="bullet"/>
      <w:lvlText w:val="▪"/>
      <w:lvlJc w:val="left"/>
      <w:pPr>
        <w:ind w:left="21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E384F16">
      <w:start w:val="1"/>
      <w:numFmt w:val="bullet"/>
      <w:lvlText w:val="•"/>
      <w:lvlJc w:val="left"/>
      <w:pPr>
        <w:ind w:left="28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D2A5D4">
      <w:start w:val="1"/>
      <w:numFmt w:val="bullet"/>
      <w:lvlText w:val="o"/>
      <w:lvlJc w:val="left"/>
      <w:pPr>
        <w:ind w:left="361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501BD4">
      <w:start w:val="1"/>
      <w:numFmt w:val="bullet"/>
      <w:lvlText w:val="▪"/>
      <w:lvlJc w:val="left"/>
      <w:pPr>
        <w:ind w:left="433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A6A36AC">
      <w:start w:val="1"/>
      <w:numFmt w:val="bullet"/>
      <w:lvlText w:val="•"/>
      <w:lvlJc w:val="left"/>
      <w:pPr>
        <w:ind w:left="50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7DA74B8">
      <w:start w:val="1"/>
      <w:numFmt w:val="bullet"/>
      <w:lvlText w:val="o"/>
      <w:lvlJc w:val="left"/>
      <w:pPr>
        <w:ind w:left="577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50EC130">
      <w:start w:val="1"/>
      <w:numFmt w:val="bullet"/>
      <w:lvlText w:val="▪"/>
      <w:lvlJc w:val="left"/>
      <w:pPr>
        <w:ind w:left="6496"/>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ED15E35"/>
    <w:multiLevelType w:val="hybridMultilevel"/>
    <w:tmpl w:val="AC5E0854"/>
    <w:lvl w:ilvl="0" w:tplc="CA0CB27C">
      <w:start w:val="1"/>
      <w:numFmt w:val="bullet"/>
      <w:lvlText w:val="•"/>
      <w:lvlJc w:val="left"/>
      <w:pPr>
        <w:ind w:left="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E28275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307C729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52067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E5EE24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9D4B39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094710C">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CE0E6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7DC21AE">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4B5748C"/>
    <w:multiLevelType w:val="hybridMultilevel"/>
    <w:tmpl w:val="E4AE8CF6"/>
    <w:lvl w:ilvl="0" w:tplc="45A2C5A0">
      <w:start w:val="1"/>
      <w:numFmt w:val="bullet"/>
      <w:lvlText w:val="•"/>
      <w:lvlJc w:val="left"/>
      <w:pPr>
        <w:ind w:left="7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63C6274">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5F4EAC0">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8A4C2C38">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8C0EBBA">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93084F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AD2AD878">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E107FE0">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A0E3858">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79BB55B1"/>
    <w:multiLevelType w:val="hybridMultilevel"/>
    <w:tmpl w:val="3E56D3D6"/>
    <w:lvl w:ilvl="0" w:tplc="4FDAC1CA">
      <w:start w:val="1"/>
      <w:numFmt w:val="bullet"/>
      <w:lvlText w:val="-"/>
      <w:lvlJc w:val="left"/>
      <w:pPr>
        <w:ind w:left="736"/>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1" w:tplc="F12229EC">
      <w:start w:val="1"/>
      <w:numFmt w:val="bullet"/>
      <w:lvlText w:val="o"/>
      <w:lvlJc w:val="left"/>
      <w:pPr>
        <w:ind w:left="13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2" w:tplc="C3EA9CE0">
      <w:start w:val="1"/>
      <w:numFmt w:val="bullet"/>
      <w:lvlText w:val="▪"/>
      <w:lvlJc w:val="left"/>
      <w:pPr>
        <w:ind w:left="20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3" w:tplc="E26A91E8">
      <w:start w:val="1"/>
      <w:numFmt w:val="bullet"/>
      <w:lvlText w:val="•"/>
      <w:lvlJc w:val="left"/>
      <w:pPr>
        <w:ind w:left="28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4" w:tplc="D44C26C4">
      <w:start w:val="1"/>
      <w:numFmt w:val="bullet"/>
      <w:lvlText w:val="o"/>
      <w:lvlJc w:val="left"/>
      <w:pPr>
        <w:ind w:left="352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5" w:tplc="9F5862B6">
      <w:start w:val="1"/>
      <w:numFmt w:val="bullet"/>
      <w:lvlText w:val="▪"/>
      <w:lvlJc w:val="left"/>
      <w:pPr>
        <w:ind w:left="424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6" w:tplc="52FC21D0">
      <w:start w:val="1"/>
      <w:numFmt w:val="bullet"/>
      <w:lvlText w:val="•"/>
      <w:lvlJc w:val="left"/>
      <w:pPr>
        <w:ind w:left="496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7" w:tplc="6E3C7400">
      <w:start w:val="1"/>
      <w:numFmt w:val="bullet"/>
      <w:lvlText w:val="o"/>
      <w:lvlJc w:val="left"/>
      <w:pPr>
        <w:ind w:left="568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lvl w:ilvl="8" w:tplc="BCD83CB4">
      <w:start w:val="1"/>
      <w:numFmt w:val="bullet"/>
      <w:lvlText w:val="▪"/>
      <w:lvlJc w:val="left"/>
      <w:pPr>
        <w:ind w:left="6400"/>
      </w:pPr>
      <w:rPr>
        <w:rFonts w:ascii="Tahoma" w:eastAsia="Tahoma" w:hAnsi="Tahoma" w:cs="Tahoma"/>
        <w:b w:val="0"/>
        <w:i w:val="0"/>
        <w:strike w:val="0"/>
        <w:dstrike w:val="0"/>
        <w:color w:val="000000"/>
        <w:sz w:val="22"/>
        <w:szCs w:val="22"/>
        <w:u w:val="none" w:color="000000"/>
        <w:bdr w:val="none" w:sz="0" w:space="0" w:color="auto"/>
        <w:shd w:val="clear" w:color="auto" w:fill="auto"/>
        <w:vertAlign w:val="baseline"/>
      </w:rPr>
    </w:lvl>
  </w:abstractNum>
  <w:num w:numId="1" w16cid:durableId="940574044">
    <w:abstractNumId w:val="3"/>
  </w:num>
  <w:num w:numId="2" w16cid:durableId="955986486">
    <w:abstractNumId w:val="6"/>
  </w:num>
  <w:num w:numId="3" w16cid:durableId="807164069">
    <w:abstractNumId w:val="7"/>
  </w:num>
  <w:num w:numId="4" w16cid:durableId="616761873">
    <w:abstractNumId w:val="2"/>
  </w:num>
  <w:num w:numId="5" w16cid:durableId="918755788">
    <w:abstractNumId w:val="8"/>
  </w:num>
  <w:num w:numId="6" w16cid:durableId="1428694094">
    <w:abstractNumId w:val="9"/>
  </w:num>
  <w:num w:numId="7" w16cid:durableId="1420254144">
    <w:abstractNumId w:val="0"/>
  </w:num>
  <w:num w:numId="8" w16cid:durableId="859588557">
    <w:abstractNumId w:val="5"/>
  </w:num>
  <w:num w:numId="9" w16cid:durableId="84687461">
    <w:abstractNumId w:val="4"/>
  </w:num>
  <w:num w:numId="10" w16cid:durableId="1435911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70AD"/>
    <w:rsid w:val="00006B67"/>
    <w:rsid w:val="00071249"/>
    <w:rsid w:val="003614C0"/>
    <w:rsid w:val="003F6036"/>
    <w:rsid w:val="004D3FCC"/>
    <w:rsid w:val="005070AD"/>
    <w:rsid w:val="005C7997"/>
    <w:rsid w:val="00656046"/>
    <w:rsid w:val="00764026"/>
    <w:rsid w:val="008F0CB5"/>
    <w:rsid w:val="00965F22"/>
    <w:rsid w:val="00AA469C"/>
    <w:rsid w:val="00CF5C93"/>
    <w:rsid w:val="00D810F0"/>
    <w:rsid w:val="00ED1A32"/>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8A94D"/>
  <w15:docId w15:val="{3C3B7EDF-9911-4CA1-95C8-8A1A0D0B9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R" w:eastAsia="es-C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1" w:lineRule="auto"/>
      <w:ind w:left="386" w:hanging="10"/>
      <w:jc w:val="both"/>
    </w:pPr>
    <w:rPr>
      <w:rFonts w:ascii="Tahoma" w:eastAsia="Tahoma" w:hAnsi="Tahoma" w:cs="Tahoma"/>
      <w:color w:val="000000"/>
    </w:rPr>
  </w:style>
  <w:style w:type="paragraph" w:styleId="Ttulo1">
    <w:name w:val="heading 1"/>
    <w:next w:val="Normal"/>
    <w:link w:val="Ttulo1Car"/>
    <w:uiPriority w:val="9"/>
    <w:qFormat/>
    <w:pPr>
      <w:keepNext/>
      <w:keepLines/>
      <w:spacing w:after="11" w:line="247" w:lineRule="auto"/>
      <w:ind w:left="25" w:hanging="10"/>
      <w:outlineLvl w:val="0"/>
    </w:pPr>
    <w:rPr>
      <w:rFonts w:ascii="Tahoma" w:eastAsia="Tahoma" w:hAnsi="Tahoma" w:cs="Tahoma"/>
      <w:b/>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Tahoma" w:eastAsia="Tahoma" w:hAnsi="Tahoma" w:cs="Tahoma"/>
      <w:b/>
      <w:color w:val="000000"/>
      <w:sz w:val="22"/>
    </w:rPr>
  </w:style>
  <w:style w:type="paragraph" w:customStyle="1" w:styleId="footnotedescription">
    <w:name w:val="footnote description"/>
    <w:next w:val="Normal"/>
    <w:link w:val="footnotedescriptionChar"/>
    <w:hidden/>
    <w:pPr>
      <w:spacing w:after="0"/>
      <w:ind w:left="15"/>
    </w:pPr>
    <w:rPr>
      <w:rFonts w:ascii="Calibri" w:eastAsia="Calibri" w:hAnsi="Calibri" w:cs="Calibri"/>
      <w:color w:val="000000"/>
      <w:sz w:val="16"/>
    </w:rPr>
  </w:style>
  <w:style w:type="character" w:customStyle="1" w:styleId="footnotedescriptionChar">
    <w:name w:val="footnote description Char"/>
    <w:link w:val="footnotedescription"/>
    <w:rPr>
      <w:rFonts w:ascii="Calibri" w:eastAsia="Calibri" w:hAnsi="Calibri" w:cs="Calibri"/>
      <w:color w:val="000000"/>
      <w:sz w:val="16"/>
    </w:rPr>
  </w:style>
  <w:style w:type="character" w:customStyle="1" w:styleId="footnotemark">
    <w:name w:val="footnote mark"/>
    <w:hidden/>
    <w:rPr>
      <w:rFonts w:ascii="Times New Roman" w:eastAsia="Times New Roman" w:hAnsi="Times New Roman" w:cs="Times New Roman"/>
      <w:color w:val="000000"/>
      <w:sz w:val="16"/>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rrafodelista">
    <w:name w:val="List Paragraph"/>
    <w:basedOn w:val="Normal"/>
    <w:uiPriority w:val="34"/>
    <w:qFormat/>
    <w:rsid w:val="00071249"/>
    <w:pPr>
      <w:ind w:left="720"/>
      <w:contextualSpacing/>
    </w:pPr>
  </w:style>
  <w:style w:type="paragraph" w:styleId="Textonotapie">
    <w:name w:val="footnote text"/>
    <w:basedOn w:val="Normal"/>
    <w:link w:val="TextonotapieCar"/>
    <w:uiPriority w:val="99"/>
    <w:semiHidden/>
    <w:unhideWhenUsed/>
    <w:rsid w:val="00D810F0"/>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810F0"/>
    <w:rPr>
      <w:rFonts w:ascii="Tahoma" w:eastAsia="Tahoma" w:hAnsi="Tahoma" w:cs="Tahoma"/>
      <w:color w:val="000000"/>
      <w:sz w:val="20"/>
      <w:szCs w:val="20"/>
    </w:rPr>
  </w:style>
  <w:style w:type="character" w:styleId="Refdenotaalpie">
    <w:name w:val="footnote reference"/>
    <w:basedOn w:val="Fuentedeprrafopredeter"/>
    <w:uiPriority w:val="99"/>
    <w:semiHidden/>
    <w:unhideWhenUsed/>
    <w:rsid w:val="00D810F0"/>
    <w:rPr>
      <w:vertAlign w:val="superscript"/>
    </w:rPr>
  </w:style>
  <w:style w:type="character" w:styleId="Hipervnculo">
    <w:name w:val="Hyperlink"/>
    <w:basedOn w:val="Fuentedeprrafopredeter"/>
    <w:uiPriority w:val="99"/>
    <w:unhideWhenUsed/>
    <w:rsid w:val="00ED1A32"/>
    <w:rPr>
      <w:color w:val="0563C1" w:themeColor="hyperlink"/>
      <w:u w:val="single"/>
    </w:rPr>
  </w:style>
  <w:style w:type="character" w:styleId="Mencinsinresolver">
    <w:name w:val="Unresolved Mention"/>
    <w:basedOn w:val="Fuentedeprrafopredeter"/>
    <w:uiPriority w:val="99"/>
    <w:semiHidden/>
    <w:unhideWhenUsed/>
    <w:rsid w:val="00ED1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emanariouniversidad.com/pais/nueva-republica-bloquea-proyecto-para-prohibir-terapias-de-conversion-con-mociones-y-argumentos-sin-relacion/" TargetMode="External"/><Relationship Id="rId4" Type="http://schemas.openxmlformats.org/officeDocument/2006/relationships/settings" Target="settings.xml"/><Relationship Id="rId9" Type="http://schemas.openxmlformats.org/officeDocument/2006/relationships/hyperlink" Target="https://www.ameliarueda.com/especiales/intersexualidad/2016"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71846A-4ECD-E84D-8268-C3FF5988C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2951</Words>
  <Characters>16235</Characters>
  <Application>Microsoft Office Word</Application>
  <DocSecurity>0</DocSecurity>
  <Lines>135</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dc:creator>
  <cp:keywords/>
  <cp:lastModifiedBy>natasha jimenez mata</cp:lastModifiedBy>
  <cp:revision>2</cp:revision>
  <dcterms:created xsi:type="dcterms:W3CDTF">2023-01-10T20:21:00Z</dcterms:created>
  <dcterms:modified xsi:type="dcterms:W3CDTF">2023-01-10T20:21:00Z</dcterms:modified>
</cp:coreProperties>
</file>