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WithEffects.xml" ContentType="application/vnd.ms-word.stylesWithEffect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549" w:rsidRPr="00CC3549" w:rsidRDefault="00CC3549" w:rsidP="00CC3549">
      <w:pPr>
        <w:tabs>
          <w:tab w:val="left" w:pos="708"/>
          <w:tab w:val="center" w:pos="4536"/>
          <w:tab w:val="right" w:pos="9072"/>
        </w:tabs>
        <w:jc w:val="center"/>
        <w:rPr>
          <w:rFonts w:ascii="Arial Narrow" w:eastAsiaTheme="minorEastAsia" w:hAnsi="Arial Narrow" w:cs="Times New Roman"/>
          <w:b/>
          <w:sz w:val="24"/>
          <w:szCs w:val="24"/>
          <w:u w:val="single"/>
          <w:lang w:val="fr-FR" w:eastAsia="fr-FR"/>
        </w:rPr>
      </w:pPr>
      <w:r w:rsidRPr="00CC3549">
        <w:rPr>
          <w:rFonts w:eastAsiaTheme="minorEastAsia"/>
          <w:noProof/>
          <w:lang w:val="fr-FR" w:eastAsia="fr-FR"/>
        </w:rPr>
        <w:drawing>
          <wp:inline distT="0" distB="0" distL="0" distR="0">
            <wp:extent cx="742315" cy="709288"/>
            <wp:effectExtent l="0" t="0" r="635" b="0"/>
            <wp:docPr id="3" name="Image 3" descr="Image result for Armoiries de l'etat algeri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moiries de l'etat algeri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44" cy="726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549" w:rsidRPr="00CC3549" w:rsidRDefault="00CC3549" w:rsidP="00CC3549">
      <w:pPr>
        <w:tabs>
          <w:tab w:val="left" w:pos="708"/>
          <w:tab w:val="center" w:pos="4536"/>
          <w:tab w:val="right" w:pos="9072"/>
        </w:tabs>
        <w:spacing w:after="0" w:line="240" w:lineRule="atLeast"/>
        <w:jc w:val="center"/>
        <w:rPr>
          <w:rFonts w:asciiTheme="majorBidi" w:eastAsiaTheme="minorEastAsia" w:hAnsiTheme="majorBidi" w:cstheme="majorBidi"/>
          <w:bCs/>
          <w:sz w:val="40"/>
          <w:szCs w:val="40"/>
          <w:rtl/>
          <w:lang w:val="fr-FR" w:eastAsia="fr-FR" w:bidi="ar-DZ"/>
        </w:rPr>
      </w:pPr>
      <w:r w:rsidRPr="00CC3549">
        <w:rPr>
          <w:rFonts w:asciiTheme="majorBidi" w:eastAsiaTheme="minorEastAsia" w:hAnsiTheme="majorBidi" w:cstheme="majorBidi"/>
          <w:bCs/>
          <w:sz w:val="40"/>
          <w:szCs w:val="40"/>
          <w:rtl/>
          <w:lang w:val="fr-FR" w:eastAsia="fr-FR" w:bidi="ar-DZ"/>
        </w:rPr>
        <w:t>الجـمهــوريـــة الجـــزائريـــة الـــديمـقراطيــة الشــعبيـــة</w:t>
      </w:r>
    </w:p>
    <w:p w:rsidR="00BB040F" w:rsidRPr="0040453E" w:rsidRDefault="00CC3549" w:rsidP="00CC3549">
      <w:pPr>
        <w:jc w:val="center"/>
        <w:rPr>
          <w:rFonts w:ascii="Sylfaen" w:hAnsi="Sylfaen"/>
        </w:rPr>
      </w:pPr>
      <w:r w:rsidRPr="00CC3549">
        <w:rPr>
          <w:rFonts w:asciiTheme="majorBidi" w:eastAsiaTheme="minorEastAsia" w:hAnsiTheme="majorBidi" w:cstheme="majorBidi"/>
          <w:b/>
          <w:lang w:eastAsia="fr-FR" w:bidi="ar-DZ"/>
        </w:rPr>
        <w:t>REPUBLIQUE ALGERIENNE DEMOCRATIQUE ET POPULAIRE</w:t>
      </w:r>
    </w:p>
    <w:p w:rsidR="00BB040F" w:rsidRPr="0040453E" w:rsidRDefault="00BB040F" w:rsidP="00BB040F">
      <w:pPr>
        <w:tabs>
          <w:tab w:val="right" w:pos="9180"/>
        </w:tabs>
        <w:rPr>
          <w:rFonts w:ascii="Sylfaen" w:hAnsi="Sylfaen"/>
          <w:rtl/>
          <w:lang w:bidi="ar-DZ"/>
        </w:rPr>
      </w:pPr>
    </w:p>
    <w:p w:rsidR="00BB040F" w:rsidRPr="0040453E" w:rsidRDefault="00BB040F" w:rsidP="00BB040F">
      <w:pPr>
        <w:tabs>
          <w:tab w:val="right" w:pos="9180"/>
        </w:tabs>
        <w:rPr>
          <w:rFonts w:ascii="Sylfaen" w:hAnsi="Sylfaen"/>
        </w:rPr>
      </w:pPr>
      <w:r w:rsidRPr="0040453E">
        <w:rPr>
          <w:rFonts w:ascii="Sylfaen" w:hAnsi="Sylfaen"/>
          <w:rtl/>
          <w:lang w:bidi="ar-DZ"/>
        </w:rPr>
        <w:tab/>
      </w:r>
    </w:p>
    <w:p w:rsidR="00BB040F" w:rsidRDefault="00BB040F" w:rsidP="00BB040F">
      <w:pPr>
        <w:rPr>
          <w:rFonts w:ascii="Sylfaen" w:hAnsi="Sylfaen"/>
          <w:lang w:bidi="ar-DZ"/>
        </w:rPr>
      </w:pPr>
    </w:p>
    <w:p w:rsidR="00466A0A" w:rsidRDefault="00466A0A" w:rsidP="00BB040F">
      <w:pPr>
        <w:rPr>
          <w:rFonts w:ascii="Sylfaen" w:hAnsi="Sylfaen"/>
          <w:lang w:bidi="ar-DZ"/>
        </w:rPr>
      </w:pPr>
    </w:p>
    <w:p w:rsidR="00466A0A" w:rsidRPr="0040453E" w:rsidRDefault="00466A0A" w:rsidP="00BB040F">
      <w:pPr>
        <w:rPr>
          <w:rFonts w:ascii="Sylfaen" w:hAnsi="Sylfaen"/>
          <w:lang w:bidi="ar-DZ"/>
        </w:rPr>
      </w:pPr>
    </w:p>
    <w:p w:rsidR="00466A0A" w:rsidRPr="0040453E" w:rsidRDefault="00466A0A" w:rsidP="00466A0A">
      <w:pPr>
        <w:jc w:val="center"/>
        <w:rPr>
          <w:rFonts w:ascii="Sylfaen" w:hAnsi="Sylfaen"/>
          <w:b/>
          <w:bCs/>
          <w:sz w:val="28"/>
          <w:szCs w:val="28"/>
          <w:lang w:bidi="ar-DZ"/>
        </w:rPr>
      </w:pPr>
      <w:r>
        <w:rPr>
          <w:rFonts w:ascii="Sylfaen" w:hAnsi="Sylfaen"/>
          <w:b/>
          <w:bCs/>
          <w:sz w:val="28"/>
          <w:szCs w:val="28"/>
          <w:lang w:bidi="ar-DZ"/>
        </w:rPr>
        <w:t>L</w:t>
      </w:r>
      <w:r w:rsidRPr="0040453E">
        <w:rPr>
          <w:rFonts w:ascii="Sylfaen" w:hAnsi="Sylfaen"/>
          <w:b/>
          <w:bCs/>
          <w:sz w:val="28"/>
          <w:szCs w:val="28"/>
          <w:lang w:bidi="ar-DZ"/>
        </w:rPr>
        <w:t>a 94</w:t>
      </w:r>
      <w:r w:rsidRPr="0040453E">
        <w:rPr>
          <w:rFonts w:ascii="Sylfaen" w:hAnsi="Sylfaen"/>
          <w:b/>
          <w:bCs/>
          <w:sz w:val="28"/>
          <w:szCs w:val="28"/>
          <w:vertAlign w:val="superscript"/>
          <w:lang w:bidi="ar-DZ"/>
        </w:rPr>
        <w:t>ème</w:t>
      </w:r>
      <w:r w:rsidRPr="0040453E">
        <w:rPr>
          <w:rFonts w:ascii="Sylfaen" w:hAnsi="Sylfaen"/>
          <w:b/>
          <w:bCs/>
          <w:sz w:val="28"/>
          <w:szCs w:val="28"/>
          <w:lang w:bidi="ar-DZ"/>
        </w:rPr>
        <w:t xml:space="preserve"> session </w:t>
      </w:r>
      <w:r>
        <w:rPr>
          <w:rFonts w:ascii="Sylfaen" w:hAnsi="Sylfaen"/>
          <w:b/>
          <w:bCs/>
          <w:sz w:val="28"/>
          <w:szCs w:val="28"/>
          <w:lang w:bidi="ar-DZ"/>
        </w:rPr>
        <w:t>du Comité pour</w:t>
      </w:r>
      <w:r w:rsidRPr="0040453E">
        <w:rPr>
          <w:rFonts w:ascii="Sylfaen" w:hAnsi="Sylfaen"/>
          <w:b/>
          <w:bCs/>
          <w:sz w:val="28"/>
          <w:szCs w:val="28"/>
          <w:lang w:bidi="ar-DZ"/>
        </w:rPr>
        <w:t xml:space="preserve"> l’Elimination de la Discrimination Raciale</w:t>
      </w:r>
    </w:p>
    <w:p w:rsidR="00BB040F" w:rsidRPr="0040453E" w:rsidRDefault="00BB040F" w:rsidP="00CC3549">
      <w:pPr>
        <w:jc w:val="center"/>
        <w:rPr>
          <w:rFonts w:ascii="Sylfaen" w:hAnsi="Sylfaen"/>
          <w:lang w:bidi="ar-DZ"/>
        </w:rPr>
      </w:pPr>
    </w:p>
    <w:p w:rsidR="00466A0A" w:rsidRPr="00466A0A" w:rsidRDefault="00BB040F" w:rsidP="00466A0A">
      <w:pPr>
        <w:spacing w:before="120" w:after="120" w:line="288" w:lineRule="auto"/>
        <w:jc w:val="center"/>
        <w:rPr>
          <w:rFonts w:ascii="Book Antiqua" w:hAnsi="Book Antiqua"/>
          <w:b/>
          <w:bCs/>
        </w:rPr>
      </w:pPr>
      <w:r w:rsidRPr="00466A0A">
        <w:rPr>
          <w:rFonts w:ascii="Sylfaen" w:hAnsi="Sylfaen"/>
          <w:lang w:bidi="ar-DZ"/>
        </w:rPr>
        <w:br/>
      </w:r>
      <w:r w:rsidR="00466A0A" w:rsidRPr="00466A0A">
        <w:rPr>
          <w:rFonts w:ascii="Book Antiqua" w:hAnsi="Book Antiqua"/>
          <w:b/>
          <w:bCs/>
        </w:rPr>
        <w:t>Examen du Rapport consolidé (20ème et 21ème) de l’Algérie</w:t>
      </w:r>
    </w:p>
    <w:p w:rsidR="00466A0A" w:rsidRPr="00466A0A" w:rsidRDefault="00466A0A" w:rsidP="00466A0A">
      <w:pPr>
        <w:spacing w:before="120" w:after="120" w:line="360" w:lineRule="auto"/>
        <w:jc w:val="center"/>
        <w:rPr>
          <w:rFonts w:ascii="Book Antiqua" w:hAnsi="Book Antiqua"/>
          <w:b/>
          <w:bCs/>
        </w:rPr>
      </w:pPr>
      <w:r w:rsidRPr="00466A0A">
        <w:rPr>
          <w:rFonts w:ascii="Book Antiqua" w:hAnsi="Book Antiqua"/>
          <w:b/>
          <w:bCs/>
        </w:rPr>
        <w:t>Le 22 et 23 novembre 2017</w:t>
      </w:r>
    </w:p>
    <w:p w:rsidR="00BB040F" w:rsidRPr="00466A0A" w:rsidRDefault="00BB040F" w:rsidP="00CC3549">
      <w:pPr>
        <w:rPr>
          <w:rFonts w:ascii="Sylfaen" w:hAnsi="Sylfaen"/>
          <w:lang w:bidi="ar-DZ"/>
        </w:rPr>
      </w:pPr>
    </w:p>
    <w:p w:rsidR="00BB040F" w:rsidRPr="0040453E" w:rsidRDefault="00BB040F" w:rsidP="00BB040F">
      <w:pPr>
        <w:jc w:val="center"/>
        <w:rPr>
          <w:rFonts w:ascii="Sylfaen" w:hAnsi="Sylfaen"/>
          <w:lang w:bidi="ar-DZ"/>
        </w:rPr>
      </w:pPr>
    </w:p>
    <w:p w:rsidR="00BB040F" w:rsidRPr="0040453E" w:rsidRDefault="00466A0A" w:rsidP="00BB040F">
      <w:pPr>
        <w:jc w:val="center"/>
        <w:rPr>
          <w:rFonts w:ascii="Sylfaen" w:hAnsi="Sylfaen"/>
          <w:b/>
          <w:bCs/>
          <w:lang w:bidi="ar-DZ"/>
        </w:rPr>
      </w:pPr>
      <w:r>
        <w:rPr>
          <w:rFonts w:ascii="Sylfaen" w:hAnsi="Sylfaen"/>
          <w:b/>
          <w:bCs/>
          <w:lang w:bidi="ar-DZ"/>
        </w:rPr>
        <w:t>Informations complémentaires au Rapport</w:t>
      </w:r>
    </w:p>
    <w:p w:rsidR="00BB040F" w:rsidRPr="0040453E" w:rsidRDefault="00BB040F" w:rsidP="00BB040F">
      <w:pPr>
        <w:jc w:val="center"/>
        <w:rPr>
          <w:rFonts w:ascii="Sylfaen" w:hAnsi="Sylfaen"/>
          <w:b/>
          <w:bCs/>
          <w:lang w:bidi="ar-DZ"/>
        </w:rPr>
      </w:pPr>
    </w:p>
    <w:p w:rsidR="00BB040F" w:rsidRPr="0040453E" w:rsidRDefault="00BB040F" w:rsidP="00BB040F">
      <w:pPr>
        <w:jc w:val="center"/>
        <w:rPr>
          <w:rFonts w:ascii="Sylfaen" w:hAnsi="Sylfaen"/>
          <w:b/>
          <w:bCs/>
          <w:lang w:bidi="ar-DZ"/>
        </w:rPr>
      </w:pPr>
    </w:p>
    <w:p w:rsidR="00BB040F" w:rsidRPr="0040453E" w:rsidRDefault="00BB040F" w:rsidP="00BB040F">
      <w:pPr>
        <w:jc w:val="center"/>
        <w:rPr>
          <w:rFonts w:ascii="Sylfaen" w:hAnsi="Sylfaen"/>
          <w:b/>
          <w:bCs/>
          <w:lang w:bidi="ar-DZ"/>
        </w:rPr>
      </w:pPr>
    </w:p>
    <w:p w:rsidR="00BB040F" w:rsidRPr="0040453E" w:rsidRDefault="00BB040F" w:rsidP="00BB040F">
      <w:pPr>
        <w:jc w:val="center"/>
        <w:rPr>
          <w:rFonts w:ascii="Sylfaen" w:hAnsi="Sylfaen"/>
          <w:b/>
          <w:bCs/>
          <w:lang w:bidi="ar-DZ"/>
        </w:rPr>
      </w:pPr>
    </w:p>
    <w:p w:rsidR="00BB040F" w:rsidRPr="0040453E" w:rsidRDefault="00BB040F" w:rsidP="00BB040F">
      <w:pPr>
        <w:jc w:val="center"/>
        <w:rPr>
          <w:rFonts w:ascii="Sylfaen" w:hAnsi="Sylfaen"/>
          <w:b/>
          <w:bCs/>
          <w:lang w:bidi="ar-DZ"/>
        </w:rPr>
      </w:pPr>
    </w:p>
    <w:p w:rsidR="00BB040F" w:rsidRDefault="00BB040F" w:rsidP="00BB040F">
      <w:pPr>
        <w:jc w:val="center"/>
        <w:rPr>
          <w:rFonts w:ascii="Sylfaen" w:hAnsi="Sylfaen"/>
          <w:b/>
          <w:bCs/>
          <w:lang w:bidi="ar-DZ"/>
        </w:rPr>
      </w:pPr>
    </w:p>
    <w:p w:rsidR="00CC3549" w:rsidRDefault="00CC3549" w:rsidP="00BB040F">
      <w:pPr>
        <w:jc w:val="center"/>
        <w:rPr>
          <w:rFonts w:ascii="Sylfaen" w:hAnsi="Sylfaen"/>
          <w:b/>
          <w:bCs/>
          <w:lang w:bidi="ar-DZ"/>
        </w:rPr>
      </w:pPr>
    </w:p>
    <w:p w:rsidR="00CC3549" w:rsidRPr="0040453E" w:rsidRDefault="00CC3549" w:rsidP="00BB040F">
      <w:pPr>
        <w:jc w:val="center"/>
        <w:rPr>
          <w:rFonts w:ascii="Sylfaen" w:hAnsi="Sylfaen"/>
          <w:b/>
          <w:bCs/>
          <w:lang w:bidi="ar-DZ"/>
        </w:rPr>
      </w:pPr>
    </w:p>
    <w:p w:rsidR="00615513" w:rsidRPr="0073767A" w:rsidRDefault="00615513" w:rsidP="00615513">
      <w:pPr>
        <w:spacing w:after="120" w:line="240" w:lineRule="auto"/>
        <w:rPr>
          <w:rFonts w:ascii="Book Antiqua" w:hAnsi="Book Antiqua"/>
          <w:b/>
          <w:bCs/>
          <w:lang w:bidi="ar-DZ"/>
        </w:rPr>
      </w:pPr>
    </w:p>
    <w:p w:rsidR="003B297B" w:rsidRPr="0073767A" w:rsidRDefault="005939CC" w:rsidP="005939CC">
      <w:pPr>
        <w:spacing w:before="120" w:after="120" w:line="360" w:lineRule="auto"/>
        <w:jc w:val="both"/>
        <w:rPr>
          <w:rFonts w:ascii="Book Antiqua" w:hAnsi="Book Antiqua"/>
          <w:b/>
          <w:bCs/>
          <w:lang w:bidi="ar-DZ"/>
        </w:rPr>
      </w:pPr>
      <w:r w:rsidRPr="003530BD">
        <w:rPr>
          <w:rFonts w:ascii="Book Antiqua" w:hAnsi="Book Antiqua" w:cstheme="majorBidi"/>
          <w:b/>
          <w:bCs/>
        </w:rPr>
        <w:lastRenderedPageBreak/>
        <w:t xml:space="preserve">I- </w:t>
      </w:r>
      <w:r w:rsidR="003B297B" w:rsidRPr="0073767A">
        <w:rPr>
          <w:rFonts w:ascii="Book Antiqua" w:hAnsi="Book Antiqua" w:cstheme="majorBidi"/>
          <w:b/>
          <w:bCs/>
          <w:u w:val="single"/>
        </w:rPr>
        <w:t xml:space="preserve">Instruments juridiques internationaux et </w:t>
      </w:r>
      <w:r w:rsidR="0073767A" w:rsidRPr="0073767A">
        <w:rPr>
          <w:rFonts w:ascii="Book Antiqua" w:hAnsi="Book Antiqua" w:cstheme="majorBidi"/>
          <w:b/>
          <w:bCs/>
          <w:u w:val="single"/>
        </w:rPr>
        <w:t>régionaux ratifiés par l'Algérie relatifs à la question de la traite des personnes</w:t>
      </w:r>
    </w:p>
    <w:p w:rsidR="003B297B" w:rsidRPr="0073767A" w:rsidRDefault="003B297B" w:rsidP="005939CC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  <w:b/>
          <w:bCs/>
        </w:rPr>
      </w:pPr>
    </w:p>
    <w:p w:rsidR="003B297B" w:rsidRPr="0073767A" w:rsidRDefault="003B297B" w:rsidP="00C955CD">
      <w:pPr>
        <w:shd w:val="clear" w:color="auto" w:fill="FFFFFF"/>
        <w:spacing w:before="120" w:after="120" w:line="360" w:lineRule="auto"/>
        <w:ind w:left="29" w:hanging="29"/>
        <w:jc w:val="both"/>
        <w:rPr>
          <w:rFonts w:ascii="Book Antiqua" w:hAnsi="Book Antiqua" w:cstheme="majorBidi"/>
          <w:spacing w:val="-3"/>
        </w:rPr>
      </w:pPr>
      <w:r w:rsidRPr="0073767A">
        <w:rPr>
          <w:rFonts w:ascii="Book Antiqua" w:hAnsi="Book Antiqua" w:cstheme="majorBidi"/>
          <w:spacing w:val="-3"/>
        </w:rPr>
        <w:t xml:space="preserve">L'Algérie fait partie des États ayant adhéré à un très grand nombre </w:t>
      </w:r>
      <w:r w:rsidRPr="0073767A">
        <w:rPr>
          <w:rFonts w:ascii="Book Antiqua" w:hAnsi="Book Antiqua" w:cstheme="majorBidi"/>
          <w:spacing w:val="-2"/>
        </w:rPr>
        <w:t xml:space="preserve">d'instruments juridiques internationaux et régionaux incluant des dispositions relatives à la prévention et à la lutte contre la traite des </w:t>
      </w:r>
      <w:r w:rsidRPr="0073767A">
        <w:rPr>
          <w:rFonts w:ascii="Book Antiqua" w:hAnsi="Book Antiqua" w:cstheme="majorBidi"/>
          <w:spacing w:val="-7"/>
        </w:rPr>
        <w:t xml:space="preserve">personnes, en particulier des femmes et des enfants, qu'elle s'attèle à mettre en œuvre en vue de </w:t>
      </w:r>
      <w:r w:rsidRPr="0073767A">
        <w:rPr>
          <w:rFonts w:ascii="Book Antiqua" w:hAnsi="Book Antiqua" w:cstheme="majorBidi"/>
          <w:spacing w:val="-3"/>
        </w:rPr>
        <w:t>faire prospérer les droits de la personne humaine. Il s'agit des Conventions et Protocoles suivants :</w:t>
      </w:r>
    </w:p>
    <w:p w:rsidR="003B297B" w:rsidRDefault="003B297B" w:rsidP="005939CC">
      <w:pPr>
        <w:pStyle w:val="Paragraphedeliste"/>
        <w:widowControl w:val="0"/>
        <w:numPr>
          <w:ilvl w:val="0"/>
          <w:numId w:val="33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ind w:left="284" w:hanging="284"/>
        <w:jc w:val="both"/>
        <w:rPr>
          <w:rFonts w:ascii="Book Antiqua" w:hAnsi="Book Antiqua" w:cstheme="majorBidi"/>
          <w:b/>
          <w:bCs/>
        </w:rPr>
      </w:pPr>
      <w:r w:rsidRPr="0073767A">
        <w:rPr>
          <w:rFonts w:ascii="Book Antiqua" w:hAnsi="Book Antiqua" w:cstheme="majorBidi"/>
          <w:b/>
          <w:bCs/>
          <w:u w:val="single"/>
        </w:rPr>
        <w:t>La Convention de Palerme (CTO) et ses deux Protocoles</w:t>
      </w:r>
      <w:r w:rsidRPr="0073767A">
        <w:rPr>
          <w:rFonts w:ascii="Book Antiqua" w:hAnsi="Book Antiqua" w:cstheme="majorBidi"/>
          <w:b/>
          <w:bCs/>
        </w:rPr>
        <w:t xml:space="preserve"> : </w:t>
      </w:r>
    </w:p>
    <w:p w:rsidR="00C955CD" w:rsidRPr="005939CC" w:rsidRDefault="00C955CD" w:rsidP="00C955CD">
      <w:pPr>
        <w:pStyle w:val="Paragraphedeliste"/>
        <w:widowControl w:val="0"/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ind w:left="284"/>
        <w:jc w:val="both"/>
        <w:rPr>
          <w:rFonts w:ascii="Book Antiqua" w:hAnsi="Book Antiqua" w:cstheme="majorBidi"/>
          <w:b/>
          <w:bCs/>
        </w:rPr>
      </w:pPr>
    </w:p>
    <w:p w:rsidR="003B297B" w:rsidRPr="005939CC" w:rsidRDefault="003B297B" w:rsidP="005939CC">
      <w:pPr>
        <w:pStyle w:val="Paragraphedeliste"/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Convention des Nations Unies contre la criminalité transnationale</w:t>
      </w:r>
      <w:r w:rsidR="00615513" w:rsidRPr="0073767A">
        <w:rPr>
          <w:rFonts w:ascii="Book Antiqua" w:hAnsi="Book Antiqua" w:cstheme="majorBidi"/>
        </w:rPr>
        <w:t xml:space="preserve"> </w:t>
      </w:r>
      <w:r w:rsidRPr="0073767A">
        <w:rPr>
          <w:rFonts w:ascii="Book Antiqua" w:hAnsi="Book Antiqua" w:cstheme="majorBidi"/>
          <w:spacing w:val="-6"/>
        </w:rPr>
        <w:t>organisée, adoptée par l'Assemblée générale de l'Organisation des Nations Unies</w:t>
      </w:r>
      <w:r w:rsidR="00615513" w:rsidRPr="0073767A">
        <w:rPr>
          <w:rFonts w:ascii="Book Antiqua" w:hAnsi="Book Antiqua" w:cstheme="majorBidi"/>
          <w:spacing w:val="-6"/>
        </w:rPr>
        <w:t xml:space="preserve"> </w:t>
      </w:r>
      <w:r w:rsidRPr="0073767A">
        <w:rPr>
          <w:rFonts w:ascii="Book Antiqua" w:hAnsi="Book Antiqua" w:cstheme="majorBidi"/>
          <w:spacing w:val="-5"/>
        </w:rPr>
        <w:t>le 15 novembre 2000, ratifiée par décret présidentiel n° 02-55 du 5 février 2002</w:t>
      </w:r>
      <w:r w:rsidR="00615513" w:rsidRPr="0073767A">
        <w:rPr>
          <w:rFonts w:ascii="Book Antiqua" w:hAnsi="Book Antiqua" w:cstheme="majorBidi"/>
          <w:spacing w:val="-5"/>
        </w:rPr>
        <w:t xml:space="preserve"> </w:t>
      </w:r>
      <w:r w:rsidRPr="0073767A">
        <w:rPr>
          <w:rFonts w:ascii="Book Antiqua" w:hAnsi="Book Antiqua" w:cstheme="majorBidi"/>
          <w:spacing w:val="-5"/>
        </w:rPr>
        <w:t>;</w:t>
      </w:r>
    </w:p>
    <w:p w:rsidR="003B297B" w:rsidRPr="005939CC" w:rsidRDefault="003B297B" w:rsidP="005939CC">
      <w:pPr>
        <w:pStyle w:val="Paragraphedeliste"/>
        <w:widowControl w:val="0"/>
        <w:numPr>
          <w:ilvl w:val="0"/>
          <w:numId w:val="3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  <w:spacing w:val="5"/>
        </w:rPr>
        <w:t>Protocole additionnel à la Convention des Nations Unies contre</w:t>
      </w:r>
      <w:r w:rsidR="00615513" w:rsidRPr="0073767A">
        <w:rPr>
          <w:rFonts w:ascii="Book Antiqua" w:hAnsi="Book Antiqua" w:cstheme="majorBidi"/>
          <w:spacing w:val="5"/>
        </w:rPr>
        <w:t xml:space="preserve"> </w:t>
      </w:r>
      <w:r w:rsidRPr="0073767A">
        <w:rPr>
          <w:rFonts w:ascii="Book Antiqua" w:hAnsi="Book Antiqua" w:cstheme="majorBidi"/>
          <w:spacing w:val="6"/>
        </w:rPr>
        <w:t>la criminalité transnationale organisée, visant à prévenir, réprimer et punir</w:t>
      </w:r>
      <w:r w:rsidR="00615513" w:rsidRPr="0073767A">
        <w:rPr>
          <w:rFonts w:ascii="Book Antiqua" w:hAnsi="Book Antiqua" w:cstheme="majorBidi"/>
          <w:spacing w:val="6"/>
        </w:rPr>
        <w:t xml:space="preserve"> </w:t>
      </w:r>
      <w:r w:rsidRPr="0073767A">
        <w:rPr>
          <w:rFonts w:ascii="Book Antiqua" w:hAnsi="Book Antiqua" w:cstheme="majorBidi"/>
          <w:spacing w:val="1"/>
        </w:rPr>
        <w:t>la traite des personnes, en particulier des femmes et des enfants, adopté par</w:t>
      </w:r>
      <w:r w:rsidR="00615513" w:rsidRPr="0073767A">
        <w:rPr>
          <w:rFonts w:ascii="Book Antiqua" w:hAnsi="Book Antiqua" w:cstheme="majorBidi"/>
          <w:spacing w:val="1"/>
        </w:rPr>
        <w:t xml:space="preserve"> </w:t>
      </w:r>
      <w:r w:rsidRPr="0073767A">
        <w:rPr>
          <w:rFonts w:ascii="Book Antiqua" w:hAnsi="Book Antiqua" w:cstheme="majorBidi"/>
          <w:spacing w:val="-4"/>
        </w:rPr>
        <w:t>l'Assemblée générale de l'Organisation des Nations Unies le 15 novembre 2000,</w:t>
      </w:r>
      <w:r w:rsidR="00615513" w:rsidRPr="0073767A">
        <w:rPr>
          <w:rFonts w:ascii="Book Antiqua" w:hAnsi="Book Antiqua" w:cstheme="majorBidi"/>
          <w:spacing w:val="-4"/>
        </w:rPr>
        <w:t xml:space="preserve"> </w:t>
      </w:r>
      <w:r w:rsidRPr="0073767A">
        <w:rPr>
          <w:rFonts w:ascii="Book Antiqua" w:hAnsi="Book Antiqua" w:cstheme="majorBidi"/>
          <w:spacing w:val="-5"/>
        </w:rPr>
        <w:t>ratifié par décret présidentiel n° 03-417 du 9 novembre 2003</w:t>
      </w:r>
      <w:r w:rsidR="00615513" w:rsidRPr="0073767A">
        <w:rPr>
          <w:rFonts w:ascii="Book Antiqua" w:hAnsi="Book Antiqua" w:cstheme="majorBidi"/>
          <w:spacing w:val="-5"/>
        </w:rPr>
        <w:t xml:space="preserve"> </w:t>
      </w:r>
      <w:r w:rsidRPr="0073767A">
        <w:rPr>
          <w:rFonts w:ascii="Book Antiqua" w:hAnsi="Book Antiqua" w:cstheme="majorBidi"/>
          <w:spacing w:val="-5"/>
        </w:rPr>
        <w:t>;</w:t>
      </w:r>
    </w:p>
    <w:p w:rsidR="003B297B" w:rsidRPr="005939CC" w:rsidRDefault="003B297B" w:rsidP="005939CC">
      <w:pPr>
        <w:pStyle w:val="Paragraphedeliste"/>
        <w:widowControl w:val="0"/>
        <w:numPr>
          <w:ilvl w:val="0"/>
          <w:numId w:val="3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  <w:spacing w:val="5"/>
        </w:rPr>
        <w:t>Protocole contre le trafic illicite de migrants par terre, air et mer</w:t>
      </w:r>
      <w:r w:rsidR="00615513" w:rsidRPr="0073767A">
        <w:rPr>
          <w:rFonts w:ascii="Book Antiqua" w:hAnsi="Book Antiqua" w:cstheme="majorBidi"/>
          <w:spacing w:val="5"/>
        </w:rPr>
        <w:t xml:space="preserve"> </w:t>
      </w:r>
      <w:r w:rsidRPr="0073767A">
        <w:rPr>
          <w:rFonts w:ascii="Book Antiqua" w:hAnsi="Book Antiqua" w:cstheme="majorBidi"/>
          <w:spacing w:val="-4"/>
        </w:rPr>
        <w:t>additionnel à la convention contre la criminalité transnationale organisée, adopté</w:t>
      </w:r>
      <w:r w:rsidR="00615513" w:rsidRPr="0073767A">
        <w:rPr>
          <w:rFonts w:ascii="Book Antiqua" w:hAnsi="Book Antiqua" w:cstheme="majorBidi"/>
          <w:spacing w:val="-4"/>
        </w:rPr>
        <w:t xml:space="preserve"> </w:t>
      </w:r>
      <w:r w:rsidRPr="0073767A">
        <w:rPr>
          <w:rFonts w:ascii="Book Antiqua" w:hAnsi="Book Antiqua" w:cstheme="majorBidi"/>
        </w:rPr>
        <w:t>par l'Assemblée générale de l'Organisation des Nations Unies le 15 novembre</w:t>
      </w:r>
      <w:r w:rsidR="00615513" w:rsidRPr="0073767A">
        <w:rPr>
          <w:rFonts w:ascii="Book Antiqua" w:hAnsi="Book Antiqua" w:cstheme="majorBidi"/>
        </w:rPr>
        <w:t xml:space="preserve"> </w:t>
      </w:r>
      <w:r w:rsidRPr="0073767A">
        <w:rPr>
          <w:rFonts w:ascii="Book Antiqua" w:hAnsi="Book Antiqua" w:cstheme="majorBidi"/>
          <w:spacing w:val="-5"/>
        </w:rPr>
        <w:t>2000, ratifié par décret présidentiel n° 03-418 du 9 novembre 2003.</w:t>
      </w:r>
    </w:p>
    <w:p w:rsidR="005939CC" w:rsidRPr="005939CC" w:rsidRDefault="005939CC" w:rsidP="005939CC">
      <w:pPr>
        <w:pStyle w:val="Paragraphedeliste"/>
        <w:widowControl w:val="0"/>
        <w:shd w:val="clear" w:color="auto" w:fill="FFFFFF"/>
        <w:tabs>
          <w:tab w:val="left" w:pos="1075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</w:p>
    <w:p w:rsidR="003B297B" w:rsidRPr="0073767A" w:rsidRDefault="003B297B" w:rsidP="005939CC">
      <w:pPr>
        <w:pStyle w:val="Paragraphedeliste"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before="120" w:after="120" w:line="360" w:lineRule="auto"/>
        <w:ind w:left="284" w:hanging="284"/>
        <w:jc w:val="both"/>
        <w:rPr>
          <w:rFonts w:ascii="Book Antiqua" w:hAnsi="Book Antiqua" w:cstheme="majorBidi"/>
          <w:b/>
          <w:bCs/>
        </w:rPr>
      </w:pPr>
      <w:r w:rsidRPr="0073767A">
        <w:rPr>
          <w:rFonts w:ascii="Book Antiqua" w:hAnsi="Book Antiqua" w:cstheme="majorBidi"/>
          <w:b/>
          <w:bCs/>
          <w:u w:val="single"/>
        </w:rPr>
        <w:t>Les Conventions internationales majeures des droits de l’homme et leurs protocoles</w:t>
      </w:r>
      <w:r w:rsidRPr="0073767A">
        <w:rPr>
          <w:rFonts w:ascii="Book Antiqua" w:hAnsi="Book Antiqua" w:cstheme="majorBidi"/>
          <w:b/>
          <w:bCs/>
        </w:rPr>
        <w:t> :</w:t>
      </w:r>
    </w:p>
    <w:p w:rsidR="003B297B" w:rsidRPr="0073767A" w:rsidRDefault="003B297B" w:rsidP="005939CC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before="120" w:after="120" w:line="360" w:lineRule="auto"/>
        <w:ind w:left="284"/>
        <w:jc w:val="both"/>
        <w:rPr>
          <w:rFonts w:ascii="Book Antiqua" w:hAnsi="Book Antiqua" w:cstheme="majorBidi"/>
          <w:b/>
          <w:bCs/>
        </w:rPr>
      </w:pPr>
    </w:p>
    <w:p w:rsidR="003B297B" w:rsidRPr="005939CC" w:rsidRDefault="003B297B" w:rsidP="005939CC">
      <w:pPr>
        <w:pStyle w:val="Paragraphedeliste"/>
        <w:widowControl w:val="0"/>
        <w:numPr>
          <w:ilvl w:val="0"/>
          <w:numId w:val="3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Convention internationale sur l'élimination de toutes les formes de discrimination raciale, ratifiée par ordonnance n°66-348 du 15 décembre 1966</w:t>
      </w:r>
      <w:r w:rsidR="00615513" w:rsidRPr="0073767A">
        <w:rPr>
          <w:rFonts w:ascii="Book Antiqua" w:hAnsi="Book Antiqua" w:cstheme="majorBidi"/>
        </w:rPr>
        <w:t xml:space="preserve"> </w:t>
      </w:r>
      <w:r w:rsidRPr="0073767A">
        <w:rPr>
          <w:rFonts w:ascii="Book Antiqua" w:hAnsi="Book Antiqua" w:cstheme="majorBidi"/>
        </w:rPr>
        <w:t>;</w:t>
      </w:r>
    </w:p>
    <w:p w:rsidR="003B297B" w:rsidRPr="005939CC" w:rsidRDefault="003B297B" w:rsidP="005939CC">
      <w:pPr>
        <w:widowControl w:val="0"/>
        <w:numPr>
          <w:ilvl w:val="0"/>
          <w:numId w:val="31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Convention relative aux droits de l'</w:t>
      </w:r>
      <w:r w:rsidR="00615513" w:rsidRPr="0073767A">
        <w:rPr>
          <w:rFonts w:ascii="Book Antiqua" w:hAnsi="Book Antiqua" w:cstheme="majorBidi"/>
        </w:rPr>
        <w:t xml:space="preserve">enfant, adoptée par l'Assemblée </w:t>
      </w:r>
      <w:r w:rsidRPr="0073767A">
        <w:rPr>
          <w:rFonts w:ascii="Book Antiqua" w:hAnsi="Book Antiqua" w:cstheme="majorBidi"/>
        </w:rPr>
        <w:t>générale de l'Organisation des Nations Unies le 20 novembre 1989, ratifiée par</w:t>
      </w:r>
      <w:r w:rsidR="00615513" w:rsidRPr="0073767A">
        <w:rPr>
          <w:rFonts w:ascii="Book Antiqua" w:hAnsi="Book Antiqua" w:cstheme="majorBidi"/>
        </w:rPr>
        <w:t xml:space="preserve"> </w:t>
      </w:r>
      <w:r w:rsidRPr="0073767A">
        <w:rPr>
          <w:rFonts w:ascii="Book Antiqua" w:hAnsi="Book Antiqua" w:cstheme="majorBidi"/>
          <w:spacing w:val="-3"/>
        </w:rPr>
        <w:t>décret présidentiel n° 92-421 du 19 décembre 1992</w:t>
      </w:r>
      <w:r w:rsidR="00615513" w:rsidRPr="0073767A">
        <w:rPr>
          <w:rFonts w:ascii="Book Antiqua" w:hAnsi="Book Antiqua" w:cstheme="majorBidi"/>
          <w:spacing w:val="-3"/>
        </w:rPr>
        <w:t xml:space="preserve"> </w:t>
      </w:r>
      <w:r w:rsidRPr="0073767A">
        <w:rPr>
          <w:rFonts w:ascii="Book Antiqua" w:hAnsi="Book Antiqua" w:cstheme="majorBidi"/>
          <w:spacing w:val="-3"/>
        </w:rPr>
        <w:t>;</w:t>
      </w:r>
    </w:p>
    <w:p w:rsidR="003B297B" w:rsidRPr="005939CC" w:rsidRDefault="003B297B" w:rsidP="005939CC">
      <w:pPr>
        <w:widowControl w:val="0"/>
        <w:numPr>
          <w:ilvl w:val="0"/>
          <w:numId w:val="31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Convention sur l'élimination de tout</w:t>
      </w:r>
      <w:r w:rsidR="00615513" w:rsidRPr="0073767A">
        <w:rPr>
          <w:rFonts w:ascii="Book Antiqua" w:hAnsi="Book Antiqua" w:cstheme="majorBidi"/>
        </w:rPr>
        <w:t xml:space="preserve">es les formes de discrimination </w:t>
      </w:r>
      <w:r w:rsidRPr="0073767A">
        <w:rPr>
          <w:rFonts w:ascii="Book Antiqua" w:hAnsi="Book Antiqua" w:cstheme="majorBidi"/>
        </w:rPr>
        <w:t>à l'égard des femmes, ratifiée par décret présidentiel</w:t>
      </w:r>
      <w:r w:rsidRPr="0073767A">
        <w:rPr>
          <w:rFonts w:ascii="Book Antiqua" w:hAnsi="Book Antiqua" w:cstheme="majorBidi"/>
          <w:spacing w:val="-4"/>
        </w:rPr>
        <w:t xml:space="preserve"> n° 96-51 du 22 janvier 1996</w:t>
      </w:r>
      <w:r w:rsidR="00615513" w:rsidRPr="0073767A">
        <w:rPr>
          <w:rFonts w:ascii="Book Antiqua" w:hAnsi="Book Antiqua" w:cstheme="majorBidi"/>
          <w:spacing w:val="-4"/>
        </w:rPr>
        <w:t xml:space="preserve"> </w:t>
      </w:r>
      <w:r w:rsidRPr="0073767A">
        <w:rPr>
          <w:rFonts w:ascii="Book Antiqua" w:hAnsi="Book Antiqua" w:cstheme="majorBidi"/>
          <w:spacing w:val="-4"/>
        </w:rPr>
        <w:t>;</w:t>
      </w:r>
    </w:p>
    <w:p w:rsidR="003B297B" w:rsidRPr="005939CC" w:rsidRDefault="003B297B" w:rsidP="005939CC">
      <w:pPr>
        <w:pStyle w:val="Paragraphedeliste"/>
        <w:widowControl w:val="0"/>
        <w:numPr>
          <w:ilvl w:val="0"/>
          <w:numId w:val="32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  <w:spacing w:val="-3"/>
        </w:rPr>
        <w:lastRenderedPageBreak/>
        <w:t>Protocole facultatif à la Convention des droits de l'enfant concernant</w:t>
      </w:r>
      <w:r w:rsidR="00615513" w:rsidRPr="0073767A">
        <w:rPr>
          <w:rFonts w:ascii="Book Antiqua" w:hAnsi="Book Antiqua" w:cstheme="majorBidi"/>
          <w:spacing w:val="-3"/>
        </w:rPr>
        <w:t xml:space="preserve"> </w:t>
      </w:r>
      <w:r w:rsidRPr="0073767A">
        <w:rPr>
          <w:rFonts w:ascii="Book Antiqua" w:hAnsi="Book Antiqua" w:cstheme="majorBidi"/>
          <w:spacing w:val="-5"/>
        </w:rPr>
        <w:t>la vente d'enfants, la prostitution des enfants et la pornographie mettant en scène</w:t>
      </w:r>
      <w:r w:rsidR="00615513" w:rsidRPr="0073767A">
        <w:rPr>
          <w:rFonts w:ascii="Book Antiqua" w:hAnsi="Book Antiqua" w:cstheme="majorBidi"/>
          <w:spacing w:val="-5"/>
        </w:rPr>
        <w:t xml:space="preserve"> </w:t>
      </w:r>
      <w:r w:rsidRPr="0073767A">
        <w:rPr>
          <w:rFonts w:ascii="Book Antiqua" w:hAnsi="Book Antiqua" w:cstheme="majorBidi"/>
          <w:spacing w:val="3"/>
        </w:rPr>
        <w:t>des enfants, adopté à New York le 25 mai 2000, ratifié par décret présidentiel</w:t>
      </w:r>
      <w:r w:rsidR="00615513" w:rsidRPr="0073767A">
        <w:rPr>
          <w:rFonts w:ascii="Book Antiqua" w:hAnsi="Book Antiqua" w:cstheme="majorBidi"/>
          <w:spacing w:val="3"/>
        </w:rPr>
        <w:t xml:space="preserve"> </w:t>
      </w:r>
      <w:r w:rsidRPr="0073767A">
        <w:rPr>
          <w:rFonts w:ascii="Book Antiqua" w:hAnsi="Book Antiqua" w:cstheme="majorBidi"/>
          <w:spacing w:val="-2"/>
        </w:rPr>
        <w:t>n° 06-299 du 2 septembre 2006</w:t>
      </w:r>
      <w:r w:rsidR="00615513" w:rsidRPr="0073767A">
        <w:rPr>
          <w:rFonts w:ascii="Book Antiqua" w:hAnsi="Book Antiqua" w:cstheme="majorBidi"/>
          <w:spacing w:val="-2"/>
        </w:rPr>
        <w:t xml:space="preserve"> </w:t>
      </w:r>
      <w:r w:rsidRPr="0073767A">
        <w:rPr>
          <w:rFonts w:ascii="Book Antiqua" w:hAnsi="Book Antiqua" w:cstheme="majorBidi"/>
          <w:spacing w:val="-2"/>
        </w:rPr>
        <w:t>;</w:t>
      </w:r>
    </w:p>
    <w:p w:rsidR="003B297B" w:rsidRPr="005939CC" w:rsidRDefault="003B297B" w:rsidP="005939CC">
      <w:pPr>
        <w:pStyle w:val="Paragraphedeliste"/>
        <w:widowControl w:val="0"/>
        <w:numPr>
          <w:ilvl w:val="0"/>
          <w:numId w:val="32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  <w:spacing w:val="3"/>
        </w:rPr>
      </w:pPr>
      <w:r w:rsidRPr="0073767A">
        <w:rPr>
          <w:rFonts w:ascii="Book Antiqua" w:hAnsi="Book Antiqua" w:cstheme="majorBidi"/>
          <w:spacing w:val="3"/>
        </w:rPr>
        <w:t>Protocole facultatif à la Convention relative aux</w:t>
      </w:r>
      <w:r w:rsidR="00615513" w:rsidRPr="0073767A">
        <w:rPr>
          <w:rFonts w:ascii="Book Antiqua" w:hAnsi="Book Antiqua" w:cstheme="majorBidi"/>
          <w:spacing w:val="3"/>
        </w:rPr>
        <w:t xml:space="preserve"> droits de l'enfant, concernant </w:t>
      </w:r>
      <w:r w:rsidRPr="0073767A">
        <w:rPr>
          <w:rFonts w:ascii="Book Antiqua" w:hAnsi="Book Antiqua" w:cstheme="majorBidi"/>
          <w:spacing w:val="3"/>
        </w:rPr>
        <w:t>l'implication d'enfants dans les conflits armés, ratifié par décret Présidentiel</w:t>
      </w:r>
      <w:r w:rsidR="00615513" w:rsidRPr="0073767A">
        <w:rPr>
          <w:rFonts w:ascii="Book Antiqua" w:hAnsi="Book Antiqua" w:cstheme="majorBidi"/>
          <w:spacing w:val="3"/>
        </w:rPr>
        <w:t xml:space="preserve"> n° 06 </w:t>
      </w:r>
      <w:r w:rsidRPr="0073767A">
        <w:rPr>
          <w:rFonts w:ascii="Book Antiqua" w:hAnsi="Book Antiqua" w:cstheme="majorBidi"/>
          <w:spacing w:val="3"/>
        </w:rPr>
        <w:t xml:space="preserve">300 du 02-05-2009; </w:t>
      </w:r>
    </w:p>
    <w:p w:rsidR="003B297B" w:rsidRPr="0073767A" w:rsidRDefault="003B297B" w:rsidP="005939CC">
      <w:pPr>
        <w:widowControl w:val="0"/>
        <w:numPr>
          <w:ilvl w:val="0"/>
          <w:numId w:val="31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 xml:space="preserve">Convention internationale sur la protection des </w:t>
      </w:r>
      <w:r w:rsidR="00615513" w:rsidRPr="0073767A">
        <w:rPr>
          <w:rFonts w:ascii="Book Antiqua" w:hAnsi="Book Antiqua" w:cstheme="majorBidi"/>
        </w:rPr>
        <w:t xml:space="preserve">droits de tous les travailleurs </w:t>
      </w:r>
      <w:r w:rsidRPr="0073767A">
        <w:rPr>
          <w:rFonts w:ascii="Book Antiqua" w:hAnsi="Book Antiqua" w:cstheme="majorBidi"/>
        </w:rPr>
        <w:t>migrants et des membres de leur famille, ratifiée par d</w:t>
      </w:r>
      <w:r w:rsidR="00615513" w:rsidRPr="0073767A">
        <w:rPr>
          <w:rFonts w:ascii="Book Antiqua" w:hAnsi="Book Antiqua" w:cstheme="majorBidi"/>
        </w:rPr>
        <w:t xml:space="preserve">écret présidentiel n° 04-441 du </w:t>
      </w:r>
      <w:r w:rsidRPr="0073767A">
        <w:rPr>
          <w:rFonts w:ascii="Book Antiqua" w:hAnsi="Book Antiqua" w:cstheme="majorBidi"/>
        </w:rPr>
        <w:t>29 décembre 2004.</w:t>
      </w:r>
    </w:p>
    <w:p w:rsidR="003B297B" w:rsidRPr="0073767A" w:rsidRDefault="003B297B" w:rsidP="005939CC">
      <w:pPr>
        <w:widowControl w:val="0"/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ind w:left="720"/>
        <w:jc w:val="both"/>
        <w:rPr>
          <w:rFonts w:ascii="Book Antiqua" w:hAnsi="Book Antiqua" w:cstheme="majorBidi"/>
        </w:rPr>
      </w:pPr>
    </w:p>
    <w:p w:rsidR="003B297B" w:rsidRPr="0073767A" w:rsidRDefault="003B297B" w:rsidP="005939CC">
      <w:pPr>
        <w:pStyle w:val="Paragraphedeliste"/>
        <w:widowControl w:val="0"/>
        <w:numPr>
          <w:ilvl w:val="0"/>
          <w:numId w:val="33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ind w:left="284" w:hanging="284"/>
        <w:jc w:val="both"/>
        <w:rPr>
          <w:rFonts w:ascii="Book Antiqua" w:hAnsi="Book Antiqua" w:cstheme="majorBidi"/>
          <w:b/>
          <w:bCs/>
        </w:rPr>
      </w:pPr>
      <w:r w:rsidRPr="0073767A">
        <w:rPr>
          <w:rFonts w:ascii="Book Antiqua" w:hAnsi="Book Antiqua" w:cstheme="majorBidi"/>
          <w:b/>
          <w:bCs/>
          <w:u w:val="single"/>
        </w:rPr>
        <w:t>Les Conventions de l’Organisation Internationale du Travail (OIT)</w:t>
      </w:r>
      <w:r w:rsidRPr="0073767A">
        <w:rPr>
          <w:rFonts w:ascii="Book Antiqua" w:hAnsi="Book Antiqua" w:cstheme="majorBidi"/>
          <w:b/>
          <w:bCs/>
        </w:rPr>
        <w:t xml:space="preserve"> :</w:t>
      </w:r>
    </w:p>
    <w:p w:rsidR="003B297B" w:rsidRPr="0073767A" w:rsidRDefault="003B297B" w:rsidP="005939CC">
      <w:pPr>
        <w:pStyle w:val="Paragraphedeliste"/>
        <w:widowControl w:val="0"/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ind w:left="284"/>
        <w:jc w:val="both"/>
        <w:rPr>
          <w:rFonts w:ascii="Book Antiqua" w:hAnsi="Book Antiqua" w:cstheme="majorBidi"/>
          <w:b/>
          <w:bCs/>
        </w:rPr>
      </w:pPr>
    </w:p>
    <w:p w:rsidR="003B297B" w:rsidRPr="005939CC" w:rsidRDefault="003B297B" w:rsidP="005939CC">
      <w:pPr>
        <w:pStyle w:val="Paragraphedeliste"/>
        <w:widowControl w:val="0"/>
        <w:numPr>
          <w:ilvl w:val="0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  <w:spacing w:val="-2"/>
        </w:rPr>
      </w:pPr>
      <w:r w:rsidRPr="0073767A">
        <w:rPr>
          <w:rFonts w:ascii="Book Antiqua" w:hAnsi="Book Antiqua" w:cstheme="majorBidi"/>
          <w:spacing w:val="-2"/>
        </w:rPr>
        <w:t>Convention n° 105 de l’OIT concernant l'abolition du travail forcé, adoptée le 25 juin 1958 par la conférence internationale du travail à sa quarantième session, ratifiée par Ordonnance n° 69-30 du 22 mai 1969</w:t>
      </w:r>
      <w:r w:rsidR="00615513" w:rsidRPr="0073767A">
        <w:rPr>
          <w:rFonts w:ascii="Book Antiqua" w:hAnsi="Book Antiqua" w:cstheme="majorBidi"/>
          <w:spacing w:val="-2"/>
        </w:rPr>
        <w:t xml:space="preserve"> </w:t>
      </w:r>
      <w:r w:rsidRPr="0073767A">
        <w:rPr>
          <w:rFonts w:ascii="Book Antiqua" w:hAnsi="Book Antiqua" w:cstheme="majorBidi"/>
          <w:spacing w:val="-2"/>
        </w:rPr>
        <w:t>;</w:t>
      </w:r>
    </w:p>
    <w:p w:rsidR="003B297B" w:rsidRPr="005939CC" w:rsidRDefault="003B297B" w:rsidP="005939CC">
      <w:pPr>
        <w:pStyle w:val="Paragraphedeliste"/>
        <w:widowControl w:val="0"/>
        <w:numPr>
          <w:ilvl w:val="0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  <w:spacing w:val="-2"/>
        </w:rPr>
      </w:pPr>
      <w:r w:rsidRPr="0073767A">
        <w:rPr>
          <w:rFonts w:ascii="Book Antiqua" w:hAnsi="Book Antiqua" w:cstheme="majorBidi"/>
          <w:spacing w:val="-2"/>
        </w:rPr>
        <w:t>Convention n° 111 de l’OIT concernant la discrimination en matière d'emploi et de profession, adoptée le 25 juin 1958 par la conférence internationale du travail à sa quarante-deuxième session, ratifiée par Ordonnance n° 69-31 du 22 mai 1969</w:t>
      </w:r>
      <w:r w:rsidR="00615513" w:rsidRPr="0073767A">
        <w:rPr>
          <w:rFonts w:ascii="Book Antiqua" w:hAnsi="Book Antiqua" w:cstheme="majorBidi"/>
          <w:spacing w:val="-2"/>
        </w:rPr>
        <w:t xml:space="preserve"> </w:t>
      </w:r>
      <w:r w:rsidRPr="0073767A">
        <w:rPr>
          <w:rFonts w:ascii="Book Antiqua" w:hAnsi="Book Antiqua" w:cstheme="majorBidi"/>
          <w:spacing w:val="-2"/>
        </w:rPr>
        <w:t>;</w:t>
      </w:r>
    </w:p>
    <w:p w:rsidR="003B297B" w:rsidRPr="0073767A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  <w:spacing w:val="-2"/>
        </w:rPr>
        <w:t>Convention n° 182 de l’OIT concernant l'interdiction des pires formes de travail</w:t>
      </w:r>
      <w:r w:rsidRPr="0073767A">
        <w:rPr>
          <w:rFonts w:ascii="Book Antiqua" w:hAnsi="Book Antiqua" w:cstheme="majorBidi"/>
          <w:spacing w:val="-2"/>
        </w:rPr>
        <w:br/>
      </w:r>
      <w:r w:rsidRPr="0073767A">
        <w:rPr>
          <w:rFonts w:ascii="Book Antiqua" w:hAnsi="Book Antiqua" w:cstheme="majorBidi"/>
          <w:spacing w:val="6"/>
        </w:rPr>
        <w:t>des enfants et l'action immédiate en vue de leur élimination, complétée par</w:t>
      </w:r>
      <w:r w:rsidRPr="0073767A">
        <w:rPr>
          <w:rFonts w:ascii="Book Antiqua" w:hAnsi="Book Antiqua" w:cstheme="majorBidi"/>
          <w:spacing w:val="6"/>
        </w:rPr>
        <w:br/>
      </w:r>
      <w:r w:rsidRPr="0073767A">
        <w:rPr>
          <w:rFonts w:ascii="Book Antiqua" w:hAnsi="Book Antiqua" w:cstheme="majorBidi"/>
          <w:spacing w:val="-4"/>
        </w:rPr>
        <w:t>la recommandation n° 190, adoptées par la conférence internationale du travail à sa</w:t>
      </w:r>
      <w:r w:rsidRPr="0073767A">
        <w:rPr>
          <w:rFonts w:ascii="Book Antiqua" w:hAnsi="Book Antiqua" w:cstheme="majorBidi"/>
          <w:spacing w:val="-4"/>
        </w:rPr>
        <w:br/>
      </w:r>
      <w:r w:rsidRPr="0073767A">
        <w:rPr>
          <w:rFonts w:ascii="Book Antiqua" w:hAnsi="Book Antiqua" w:cstheme="majorBidi"/>
          <w:spacing w:val="-3"/>
        </w:rPr>
        <w:t>quatre-vingt-septième session tenue à Genève, le 17 juin 1999, ratifiée par décret</w:t>
      </w:r>
      <w:r w:rsidRPr="0073767A">
        <w:rPr>
          <w:rFonts w:ascii="Book Antiqua" w:hAnsi="Book Antiqua" w:cstheme="majorBidi"/>
          <w:spacing w:val="-3"/>
        </w:rPr>
        <w:br/>
        <w:t>présidentiel n° 2000-387 du 28 novembre 2000</w:t>
      </w:r>
      <w:r w:rsidRPr="0073767A">
        <w:rPr>
          <w:rFonts w:ascii="Book Antiqua" w:hAnsi="Book Antiqua" w:cstheme="majorBidi"/>
        </w:rPr>
        <w:t>.</w:t>
      </w:r>
    </w:p>
    <w:p w:rsidR="003B297B" w:rsidRPr="0073767A" w:rsidRDefault="003B297B" w:rsidP="005939CC">
      <w:pPr>
        <w:pStyle w:val="Paragraphedeliste"/>
        <w:spacing w:before="120" w:after="120" w:line="360" w:lineRule="auto"/>
        <w:jc w:val="both"/>
        <w:rPr>
          <w:rFonts w:ascii="Book Antiqua" w:hAnsi="Book Antiqua" w:cstheme="majorBidi"/>
        </w:rPr>
      </w:pPr>
    </w:p>
    <w:p w:rsidR="003B297B" w:rsidRPr="005939CC" w:rsidRDefault="003B297B" w:rsidP="005939CC">
      <w:pPr>
        <w:pStyle w:val="Paragraphedeliste"/>
        <w:widowControl w:val="0"/>
        <w:numPr>
          <w:ilvl w:val="0"/>
          <w:numId w:val="33"/>
        </w:numPr>
        <w:autoSpaceDE w:val="0"/>
        <w:autoSpaceDN w:val="0"/>
        <w:adjustRightInd w:val="0"/>
        <w:spacing w:before="120" w:after="120" w:line="360" w:lineRule="auto"/>
        <w:ind w:left="284" w:hanging="284"/>
        <w:jc w:val="both"/>
        <w:rPr>
          <w:rFonts w:ascii="Book Antiqua" w:hAnsi="Book Antiqua" w:cstheme="majorBidi"/>
          <w:b/>
          <w:bCs/>
        </w:rPr>
      </w:pPr>
      <w:r w:rsidRPr="0073767A">
        <w:rPr>
          <w:rFonts w:ascii="Book Antiqua" w:hAnsi="Book Antiqua" w:cstheme="majorBidi"/>
          <w:b/>
          <w:bCs/>
          <w:u w:val="single"/>
        </w:rPr>
        <w:t>Autres Conventions internationales</w:t>
      </w:r>
      <w:r w:rsidRPr="0073767A">
        <w:rPr>
          <w:rFonts w:ascii="Book Antiqua" w:hAnsi="Book Antiqua" w:cstheme="majorBidi"/>
          <w:b/>
          <w:bCs/>
        </w:rPr>
        <w:t xml:space="preserve"> : </w:t>
      </w:r>
    </w:p>
    <w:p w:rsidR="003B297B" w:rsidRPr="005939CC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  <w:spacing w:val="6"/>
        </w:rPr>
        <w:t>Convention relative à l'abolition de l'esclavage, de la traite des</w:t>
      </w:r>
      <w:r w:rsidR="00615513" w:rsidRPr="0073767A">
        <w:rPr>
          <w:rFonts w:ascii="Book Antiqua" w:hAnsi="Book Antiqua" w:cstheme="majorBidi"/>
          <w:spacing w:val="6"/>
        </w:rPr>
        <w:t xml:space="preserve"> </w:t>
      </w:r>
      <w:r w:rsidRPr="0073767A">
        <w:rPr>
          <w:rFonts w:ascii="Book Antiqua" w:hAnsi="Book Antiqua" w:cstheme="majorBidi"/>
          <w:spacing w:val="3"/>
        </w:rPr>
        <w:t>esclaves et des institutions et pratiques analogues à l'esclavage, ratifiée par</w:t>
      </w:r>
      <w:r w:rsidR="00615513" w:rsidRPr="0073767A">
        <w:rPr>
          <w:rFonts w:ascii="Book Antiqua" w:hAnsi="Book Antiqua" w:cstheme="majorBidi"/>
          <w:spacing w:val="3"/>
        </w:rPr>
        <w:t xml:space="preserve"> </w:t>
      </w:r>
      <w:r w:rsidRPr="0073767A">
        <w:rPr>
          <w:rFonts w:ascii="Book Antiqua" w:hAnsi="Book Antiqua" w:cstheme="majorBidi"/>
          <w:spacing w:val="-3"/>
        </w:rPr>
        <w:t>Décret n° 63-340 du 11 septembre 1963 ;</w:t>
      </w:r>
    </w:p>
    <w:p w:rsidR="003B297B" w:rsidRPr="005939CC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  <w:spacing w:val="5"/>
        </w:rPr>
        <w:t>Convention pour la répression de la traite des êtres humains et</w:t>
      </w:r>
      <w:r w:rsidR="00615513" w:rsidRPr="0073767A">
        <w:rPr>
          <w:rFonts w:ascii="Book Antiqua" w:hAnsi="Book Antiqua" w:cstheme="majorBidi"/>
          <w:spacing w:val="5"/>
        </w:rPr>
        <w:t xml:space="preserve"> </w:t>
      </w:r>
      <w:r w:rsidRPr="0073767A">
        <w:rPr>
          <w:rFonts w:ascii="Book Antiqua" w:hAnsi="Book Antiqua" w:cstheme="majorBidi"/>
          <w:spacing w:val="7"/>
        </w:rPr>
        <w:t>de l'exploitation de la prostitution d'autrui, ratifiée par décret n° 63-341 du</w:t>
      </w:r>
      <w:r w:rsidR="00615513" w:rsidRPr="0073767A">
        <w:rPr>
          <w:rFonts w:ascii="Book Antiqua" w:hAnsi="Book Antiqua" w:cstheme="majorBidi"/>
          <w:spacing w:val="7"/>
        </w:rPr>
        <w:t xml:space="preserve"> </w:t>
      </w:r>
      <w:r w:rsidRPr="0073767A">
        <w:rPr>
          <w:rFonts w:ascii="Book Antiqua" w:hAnsi="Book Antiqua" w:cstheme="majorBidi"/>
          <w:spacing w:val="-4"/>
        </w:rPr>
        <w:t>11 septembre 1963;</w:t>
      </w:r>
    </w:p>
    <w:p w:rsidR="003B297B" w:rsidRPr="005939CC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 xml:space="preserve">Convention relative à la répression de la traite des femmes majeures signée, à Genève </w:t>
      </w:r>
      <w:r w:rsidRPr="0073767A">
        <w:rPr>
          <w:rFonts w:ascii="Book Antiqua" w:hAnsi="Book Antiqua" w:cstheme="majorBidi"/>
        </w:rPr>
        <w:lastRenderedPageBreak/>
        <w:t>le 11 octobre 1933, ratifiée par décret n° 63-341 du 11 septembre 1963;</w:t>
      </w:r>
    </w:p>
    <w:p w:rsidR="003B297B" w:rsidRPr="005939CC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Convention internationale pour la répression de la traite des femmes et des enfants, sous sa forme amendée par le Protocole signé à Lake Success, New York, le 12 novembre 1947;</w:t>
      </w:r>
    </w:p>
    <w:p w:rsidR="003B297B" w:rsidRPr="005939CC" w:rsidRDefault="003B297B" w:rsidP="005939CC">
      <w:pPr>
        <w:pStyle w:val="Paragraphedeliste"/>
        <w:widowControl w:val="0"/>
        <w:numPr>
          <w:ilvl w:val="0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Convention internationale relative à la répression de la traite des blanches, signée à Paris le 4 mai 1910, et amendée par le Protocole signé à Lake Success (New York), le 4 mai 1949;</w:t>
      </w:r>
    </w:p>
    <w:p w:rsidR="003B297B" w:rsidRPr="0073767A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Arrangement international en vue d'assurer une protection efficace contre le trafic criminel connu sous le nom de "Traite des Blanches", signé à Paris le 18 mai 1904, et amendé par le Protocole signé à Lake Success (New York), le 4 mai 1949.</w:t>
      </w:r>
    </w:p>
    <w:p w:rsidR="003B297B" w:rsidRPr="0073767A" w:rsidRDefault="003B297B" w:rsidP="005939CC">
      <w:pPr>
        <w:widowControl w:val="0"/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 xml:space="preserve">  </w:t>
      </w:r>
    </w:p>
    <w:p w:rsidR="003B297B" w:rsidRPr="0073767A" w:rsidRDefault="003B297B" w:rsidP="005939CC">
      <w:pPr>
        <w:pStyle w:val="Paragraphedeliste"/>
        <w:widowControl w:val="0"/>
        <w:numPr>
          <w:ilvl w:val="0"/>
          <w:numId w:val="33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ind w:left="284" w:hanging="284"/>
        <w:jc w:val="both"/>
        <w:rPr>
          <w:rFonts w:ascii="Book Antiqua" w:hAnsi="Book Antiqua" w:cstheme="majorBidi"/>
          <w:b/>
          <w:bCs/>
        </w:rPr>
      </w:pPr>
      <w:r w:rsidRPr="0073767A">
        <w:rPr>
          <w:rFonts w:ascii="Book Antiqua" w:hAnsi="Book Antiqua" w:cstheme="majorBidi"/>
          <w:b/>
          <w:bCs/>
          <w:u w:val="single"/>
        </w:rPr>
        <w:t>Les instruments régionaux (Union Africaine)</w:t>
      </w:r>
      <w:r w:rsidRPr="0073767A">
        <w:rPr>
          <w:rFonts w:ascii="Book Antiqua" w:hAnsi="Book Antiqua" w:cstheme="majorBidi"/>
          <w:b/>
          <w:bCs/>
        </w:rPr>
        <w:t xml:space="preserve"> : </w:t>
      </w:r>
    </w:p>
    <w:p w:rsidR="003B297B" w:rsidRPr="0073767A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</w:rPr>
        <w:t>Charte africaine des droits de l’Homme et des peuples,  ratifiée par décret n° 87-37 du 3 février 1987;</w:t>
      </w:r>
    </w:p>
    <w:p w:rsidR="003B297B" w:rsidRPr="0073767A" w:rsidRDefault="003B297B" w:rsidP="005939CC">
      <w:pPr>
        <w:widowControl w:val="0"/>
        <w:numPr>
          <w:ilvl w:val="0"/>
          <w:numId w:val="27"/>
        </w:numPr>
        <w:shd w:val="clear" w:color="auto" w:fill="FFFFFF"/>
        <w:tabs>
          <w:tab w:val="left" w:pos="104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theme="majorBidi"/>
        </w:rPr>
      </w:pPr>
      <w:r w:rsidRPr="0073767A">
        <w:rPr>
          <w:rFonts w:ascii="Book Antiqua" w:hAnsi="Book Antiqua" w:cstheme="majorBidi"/>
          <w:spacing w:val="7"/>
        </w:rPr>
        <w:t>Charte africaine des Droits et du Bien-être de l'enfant, adoptée</w:t>
      </w:r>
      <w:r w:rsidRPr="0073767A">
        <w:rPr>
          <w:rFonts w:ascii="Book Antiqua" w:hAnsi="Book Antiqua" w:cstheme="majorBidi"/>
          <w:spacing w:val="7"/>
        </w:rPr>
        <w:br/>
      </w:r>
      <w:r w:rsidRPr="0073767A">
        <w:rPr>
          <w:rFonts w:ascii="Book Antiqua" w:hAnsi="Book Antiqua" w:cstheme="majorBidi"/>
          <w:spacing w:val="8"/>
        </w:rPr>
        <w:t>à Addis-Abeba en juillet 1990, ratifiée par décret présidentiel n° 03-242 du</w:t>
      </w:r>
      <w:r w:rsidRPr="0073767A">
        <w:rPr>
          <w:rFonts w:ascii="Book Antiqua" w:hAnsi="Book Antiqua" w:cstheme="majorBidi"/>
          <w:spacing w:val="8"/>
        </w:rPr>
        <w:br/>
      </w:r>
      <w:r w:rsidRPr="0073767A">
        <w:rPr>
          <w:rFonts w:ascii="Book Antiqua" w:hAnsi="Book Antiqua" w:cstheme="majorBidi"/>
          <w:spacing w:val="-3"/>
        </w:rPr>
        <w:t>8 juillet 2003.</w:t>
      </w:r>
    </w:p>
    <w:p w:rsidR="00466A0A" w:rsidRPr="0073767A" w:rsidRDefault="00466A0A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C955CD" w:rsidRPr="0073767A" w:rsidRDefault="00C955CD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5939CC" w:rsidP="005939CC">
      <w:pPr>
        <w:spacing w:before="120" w:after="120" w:line="360" w:lineRule="auto"/>
        <w:jc w:val="both"/>
        <w:rPr>
          <w:rFonts w:ascii="Book Antiqua" w:hAnsi="Book Antiqua" w:cs="Arabic Typesetting"/>
          <w:b/>
          <w:bCs/>
          <w:u w:val="single"/>
          <w:lang w:bidi="ar-DZ"/>
        </w:rPr>
      </w:pPr>
      <w:r w:rsidRPr="003530BD">
        <w:rPr>
          <w:rFonts w:ascii="Book Antiqua" w:hAnsi="Book Antiqua" w:cs="Arabic Typesetting"/>
          <w:b/>
          <w:bCs/>
          <w:lang w:bidi="ar-DZ"/>
        </w:rPr>
        <w:lastRenderedPageBreak/>
        <w:t xml:space="preserve">II- </w:t>
      </w:r>
      <w:r w:rsidR="003B297B" w:rsidRPr="0073767A">
        <w:rPr>
          <w:rFonts w:ascii="Book Antiqua" w:hAnsi="Book Antiqua" w:cs="Arabic Typesetting"/>
          <w:b/>
          <w:bCs/>
          <w:u w:val="single"/>
          <w:lang w:bidi="ar-DZ"/>
        </w:rPr>
        <w:t xml:space="preserve">Activités sur </w:t>
      </w:r>
      <w:r w:rsidR="0073767A" w:rsidRPr="0073767A">
        <w:rPr>
          <w:rFonts w:ascii="Book Antiqua" w:hAnsi="Book Antiqua" w:cs="Arabic Typesetting"/>
          <w:b/>
          <w:bCs/>
          <w:u w:val="single"/>
          <w:lang w:bidi="ar-DZ"/>
        </w:rPr>
        <w:t>le livre et la lecture publique</w:t>
      </w:r>
    </w:p>
    <w:p w:rsidR="003B297B" w:rsidRPr="0073767A" w:rsidRDefault="003B297B" w:rsidP="00C955CD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>L’</w:t>
      </w:r>
      <w:r w:rsidR="00C955CD">
        <w:rPr>
          <w:rFonts w:ascii="Book Antiqua" w:hAnsi="Book Antiqua" w:cs="Arabic Typesetting"/>
          <w:lang w:bidi="ar-DZ"/>
        </w:rPr>
        <w:t>Etat algérien promeut l’</w:t>
      </w:r>
      <w:r w:rsidRPr="0073767A">
        <w:rPr>
          <w:rFonts w:ascii="Book Antiqua" w:hAnsi="Book Antiqua" w:cs="Arabic Typesetting"/>
          <w:lang w:bidi="ar-DZ"/>
        </w:rPr>
        <w:t xml:space="preserve">organisation de manifestations culturelles en vue de la promotion de la culture amazighe à travers l’organisation d’activités autours du patrimoine culturel immatériel amazigh, tel que la célébration des occasions tout le long de l’année. </w:t>
      </w:r>
    </w:p>
    <w:p w:rsidR="003B297B" w:rsidRPr="0073767A" w:rsidRDefault="003B297B" w:rsidP="003530BD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 xml:space="preserve">Le secteur de la culture œuvre à la promotion </w:t>
      </w:r>
      <w:r w:rsidR="003530BD">
        <w:rPr>
          <w:rFonts w:ascii="Book Antiqua" w:hAnsi="Book Antiqua" w:cs="Arabic Typesetting"/>
          <w:lang w:bidi="ar-DZ"/>
        </w:rPr>
        <w:t>de l’édition en langue amazighe.</w:t>
      </w:r>
      <w:r w:rsidRPr="0073767A">
        <w:rPr>
          <w:rFonts w:ascii="Book Antiqua" w:hAnsi="Book Antiqua" w:cs="Arabic Typesetting"/>
          <w:lang w:bidi="ar-DZ"/>
        </w:rPr>
        <w:t xml:space="preserve"> </w:t>
      </w:r>
      <w:r w:rsidR="003530BD">
        <w:rPr>
          <w:rFonts w:ascii="Book Antiqua" w:hAnsi="Book Antiqua" w:cs="Arabic Typesetting"/>
          <w:lang w:bidi="ar-DZ"/>
        </w:rPr>
        <w:t>A</w:t>
      </w:r>
      <w:r w:rsidRPr="0073767A">
        <w:rPr>
          <w:rFonts w:ascii="Book Antiqua" w:hAnsi="Book Antiqua" w:cs="Arabic Typesetting"/>
          <w:lang w:bidi="ar-DZ"/>
        </w:rPr>
        <w:t xml:space="preserve"> cet égard le Ministère de la Culture à soutenu l’édition de </w:t>
      </w:r>
      <w:r w:rsidR="003530BD">
        <w:rPr>
          <w:rFonts w:ascii="Book Antiqua" w:hAnsi="Book Antiqua" w:cs="Arabic Typesetting"/>
          <w:lang w:bidi="ar-DZ"/>
        </w:rPr>
        <w:t>trois (</w:t>
      </w:r>
      <w:r w:rsidRPr="0073767A">
        <w:rPr>
          <w:rFonts w:ascii="Book Antiqua" w:hAnsi="Book Antiqua" w:cs="Arabic Typesetting"/>
          <w:lang w:bidi="ar-DZ"/>
        </w:rPr>
        <w:t>03</w:t>
      </w:r>
      <w:r w:rsidR="003530BD">
        <w:rPr>
          <w:rFonts w:ascii="Book Antiqua" w:hAnsi="Book Antiqua" w:cs="Arabic Typesetting"/>
          <w:lang w:bidi="ar-DZ"/>
        </w:rPr>
        <w:t>)</w:t>
      </w:r>
      <w:r w:rsidRPr="0073767A">
        <w:rPr>
          <w:rFonts w:ascii="Book Antiqua" w:hAnsi="Book Antiqua" w:cs="Arabic Typesetting"/>
          <w:lang w:bidi="ar-DZ"/>
        </w:rPr>
        <w:t xml:space="preserve"> romans de l’écrivain Mouloud Maameri à l’occasion de centenaire de sa naissance.</w:t>
      </w:r>
    </w:p>
    <w:p w:rsidR="003B297B" w:rsidRPr="0073767A" w:rsidRDefault="003B297B" w:rsidP="007A6EDB">
      <w:p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>Les publications en langue amazighe sont aussi présentes aux foires et expositions du livre telle que :</w:t>
      </w:r>
    </w:p>
    <w:p w:rsidR="003B297B" w:rsidRPr="0073767A" w:rsidRDefault="003B297B" w:rsidP="007A6EDB">
      <w:pPr>
        <w:pStyle w:val="Paragraphedeliste"/>
        <w:numPr>
          <w:ilvl w:val="0"/>
          <w:numId w:val="49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>Le dernier Salon International du Livre d’Alger 2017 « SILA » ;  </w:t>
      </w:r>
    </w:p>
    <w:p w:rsidR="003B297B" w:rsidRPr="0073767A" w:rsidRDefault="003530BD" w:rsidP="007A6EDB">
      <w:pPr>
        <w:pStyle w:val="Paragraphedeliste"/>
        <w:numPr>
          <w:ilvl w:val="0"/>
          <w:numId w:val="49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>
        <w:rPr>
          <w:rFonts w:ascii="Book Antiqua" w:hAnsi="Book Antiqua" w:cs="Arabic Typesetting"/>
          <w:lang w:bidi="ar-DZ"/>
        </w:rPr>
        <w:t>L’Organisation d’</w:t>
      </w:r>
      <w:r w:rsidR="003B297B" w:rsidRPr="0073767A">
        <w:rPr>
          <w:rFonts w:ascii="Book Antiqua" w:hAnsi="Book Antiqua" w:cs="Arabic Typesetting"/>
          <w:lang w:bidi="ar-DZ"/>
        </w:rPr>
        <w:t xml:space="preserve">une exposition Intitulée «  l’exposition Djurdjura »; </w:t>
      </w:r>
    </w:p>
    <w:p w:rsidR="003B297B" w:rsidRPr="0073767A" w:rsidRDefault="003B297B" w:rsidP="007A6EDB">
      <w:pPr>
        <w:pStyle w:val="Paragraphedeliste"/>
        <w:numPr>
          <w:ilvl w:val="0"/>
          <w:numId w:val="49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>Participation avec plusieurs activités culturelles Amazighes durant la manifestation culturelle « Alger capitale de la culture Arabe en 2007 » ;</w:t>
      </w:r>
    </w:p>
    <w:p w:rsidR="003B297B" w:rsidRPr="0073767A" w:rsidRDefault="003B297B" w:rsidP="007A6EDB">
      <w:pPr>
        <w:pStyle w:val="Paragraphedeliste"/>
        <w:numPr>
          <w:ilvl w:val="0"/>
          <w:numId w:val="49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>Organisation de la manifestation culturelle amazighe pendant la tenue du Festival Panafricain en Algérie en 2009 ;</w:t>
      </w:r>
    </w:p>
    <w:p w:rsidR="003B297B" w:rsidRPr="0073767A" w:rsidRDefault="003B297B" w:rsidP="007A6EDB">
      <w:pPr>
        <w:pStyle w:val="Paragraphedeliste"/>
        <w:numPr>
          <w:ilvl w:val="0"/>
          <w:numId w:val="49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>Participation amazighe, notamment, dans le domaine de l’édition et des activités théâtrales et cinématographiques durant la manifestation «  Tlemcen Capitale de la Culture Islamique 2011 » ;</w:t>
      </w:r>
    </w:p>
    <w:p w:rsidR="003B297B" w:rsidRPr="0073767A" w:rsidRDefault="003B297B" w:rsidP="007A6EDB">
      <w:pPr>
        <w:pStyle w:val="Paragraphedeliste"/>
        <w:numPr>
          <w:ilvl w:val="0"/>
          <w:numId w:val="49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 xml:space="preserve"> Programme d’aide octroyé par le Ministère de la Culture dans le domaine de l’édition Amazighe ;</w:t>
      </w:r>
    </w:p>
    <w:p w:rsidR="003B297B" w:rsidRPr="0073767A" w:rsidRDefault="003B297B" w:rsidP="007A6EDB">
      <w:pPr>
        <w:pStyle w:val="Paragraphedeliste"/>
        <w:numPr>
          <w:ilvl w:val="0"/>
          <w:numId w:val="49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73767A">
        <w:rPr>
          <w:rFonts w:ascii="Book Antiqua" w:hAnsi="Book Antiqua" w:cs="Arabic Typesetting"/>
          <w:lang w:bidi="ar-DZ"/>
        </w:rPr>
        <w:t>Participation Amazighe avec un programme varié durant la célébration du 50</w:t>
      </w:r>
      <w:r w:rsidRPr="0073767A">
        <w:rPr>
          <w:rFonts w:ascii="Book Antiqua" w:hAnsi="Book Antiqua" w:cs="Arabic Typesetting"/>
          <w:vertAlign w:val="superscript"/>
          <w:lang w:bidi="ar-DZ"/>
        </w:rPr>
        <w:t>ème</w:t>
      </w:r>
      <w:r w:rsidRPr="0073767A">
        <w:rPr>
          <w:rFonts w:ascii="Book Antiqua" w:hAnsi="Book Antiqua" w:cs="Arabic Typesetting"/>
          <w:lang w:bidi="ar-DZ"/>
        </w:rPr>
        <w:t xml:space="preserve"> anniversaire de l’Indépendance en 2013 ; </w:t>
      </w:r>
    </w:p>
    <w:p w:rsidR="003B297B" w:rsidRPr="00EA3AF2" w:rsidRDefault="003B297B" w:rsidP="00EA3AF2">
      <w:pPr>
        <w:pStyle w:val="Paragraphedeliste"/>
        <w:numPr>
          <w:ilvl w:val="0"/>
          <w:numId w:val="50"/>
        </w:numPr>
        <w:spacing w:before="240" w:after="120" w:line="360" w:lineRule="auto"/>
        <w:jc w:val="both"/>
        <w:rPr>
          <w:rFonts w:ascii="Book Antiqua" w:hAnsi="Book Antiqua" w:cs="Arabic Typesetting"/>
          <w:lang w:bidi="ar-DZ"/>
        </w:rPr>
      </w:pPr>
      <w:r w:rsidRPr="00EA3AF2">
        <w:rPr>
          <w:rFonts w:ascii="Book Antiqua" w:hAnsi="Book Antiqua" w:cs="Arabic Typesetting"/>
          <w:lang w:bidi="ar-DZ"/>
        </w:rPr>
        <w:t xml:space="preserve">Participation à la manifestation « Constantine Capitale de la Culture Arabe 2017 » de plusieurs maisons d’édition en langue amazighe.   </w:t>
      </w:r>
      <w:r w:rsidRPr="00EA3AF2">
        <w:rPr>
          <w:rFonts w:ascii="Book Antiqua" w:hAnsi="Book Antiqua" w:cs="Arabic Typesetting"/>
          <w:lang w:bidi="ar-DZ"/>
        </w:rPr>
        <w:tab/>
      </w:r>
      <w:r w:rsidRPr="00EA3AF2">
        <w:rPr>
          <w:rFonts w:ascii="Book Antiqua" w:hAnsi="Book Antiqua" w:cs="Arabic Typesetting"/>
          <w:lang w:bidi="ar-DZ"/>
        </w:rPr>
        <w:tab/>
      </w:r>
    </w:p>
    <w:p w:rsidR="003B297B" w:rsidRDefault="005939CC" w:rsidP="005939CC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  <w:r>
        <w:rPr>
          <w:rFonts w:ascii="Book Antiqua" w:hAnsi="Book Antiqua" w:cs="Arabic Typesetting"/>
          <w:lang w:bidi="ar-DZ"/>
        </w:rPr>
        <w:t xml:space="preserve"> </w:t>
      </w:r>
    </w:p>
    <w:p w:rsidR="003530BD" w:rsidRDefault="003530BD" w:rsidP="005939CC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530BD" w:rsidRDefault="003530BD" w:rsidP="005939CC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530BD" w:rsidRDefault="003530BD" w:rsidP="005939CC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530BD" w:rsidRDefault="003530BD" w:rsidP="005939CC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530BD" w:rsidRPr="0073767A" w:rsidRDefault="003530BD" w:rsidP="005939CC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B297B" w:rsidRPr="005939CC" w:rsidRDefault="005939CC" w:rsidP="005939CC">
      <w:pPr>
        <w:spacing w:before="120" w:after="120" w:line="360" w:lineRule="auto"/>
        <w:jc w:val="both"/>
        <w:rPr>
          <w:rFonts w:ascii="Book Antiqua" w:hAnsi="Book Antiqua" w:cs="Arabic Typesetting"/>
          <w:b/>
          <w:bCs/>
          <w:u w:val="single"/>
          <w:lang w:bidi="ar-DZ"/>
        </w:rPr>
      </w:pPr>
      <w:r w:rsidRPr="003530BD">
        <w:rPr>
          <w:rFonts w:ascii="Book Antiqua" w:hAnsi="Book Antiqua" w:cs="Arabic Typesetting"/>
          <w:lang w:bidi="ar-DZ"/>
        </w:rPr>
        <w:lastRenderedPageBreak/>
        <w:t xml:space="preserve">III- </w:t>
      </w:r>
      <w:r w:rsidR="003B297B" w:rsidRPr="005939CC">
        <w:rPr>
          <w:rFonts w:ascii="Book Antiqua" w:hAnsi="Book Antiqua" w:cs="Arabic Typesetting"/>
          <w:b/>
          <w:bCs/>
          <w:u w:val="single"/>
          <w:lang w:bidi="ar-DZ"/>
        </w:rPr>
        <w:t>Liste des festivals culturels officialisés (internationaux, Nationaux et régionaux) de la culture Amazighe.</w:t>
      </w:r>
    </w:p>
    <w:p w:rsidR="003B297B" w:rsidRPr="0073767A" w:rsidRDefault="003B297B" w:rsidP="005939CC">
      <w:pPr>
        <w:spacing w:before="120" w:after="120" w:line="360" w:lineRule="auto"/>
        <w:jc w:val="both"/>
        <w:rPr>
          <w:rFonts w:ascii="Book Antiqua" w:hAnsi="Book Antiqua" w:cs="Arabic Typesetting"/>
          <w:b/>
          <w:bCs/>
          <w:lang w:bidi="ar-DZ"/>
        </w:rPr>
      </w:pPr>
      <w:r w:rsidRPr="0073767A">
        <w:rPr>
          <w:rFonts w:ascii="Book Antiqua" w:hAnsi="Book Antiqua" w:cs="Arabic Typesetting"/>
          <w:b/>
          <w:bCs/>
          <w:lang w:bidi="ar-DZ"/>
        </w:rPr>
        <w:t>Liste des festivals Internationaux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18"/>
        <w:gridCol w:w="3282"/>
        <w:gridCol w:w="1458"/>
        <w:gridCol w:w="2528"/>
      </w:tblGrid>
      <w:tr w:rsidR="0073767A" w:rsidRPr="0073767A" w:rsidTr="003530BD">
        <w:tc>
          <w:tcPr>
            <w:tcW w:w="1087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 xml:space="preserve">Wilayas 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Intitulé du festival</w:t>
            </w:r>
          </w:p>
        </w:tc>
        <w:tc>
          <w:tcPr>
            <w:tcW w:w="785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Edition</w:t>
            </w:r>
          </w:p>
        </w:tc>
        <w:tc>
          <w:tcPr>
            <w:tcW w:w="1361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Date de création</w:t>
            </w:r>
          </w:p>
        </w:tc>
      </w:tr>
      <w:tr w:rsidR="0073767A" w:rsidRPr="0073767A" w:rsidTr="003530BD">
        <w:tc>
          <w:tcPr>
            <w:tcW w:w="1087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Tamanrasset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International des Arts de l’Ahagar  Abalissan Tin Hinan</w:t>
            </w:r>
          </w:p>
        </w:tc>
        <w:tc>
          <w:tcPr>
            <w:tcW w:w="785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06</w:t>
            </w:r>
          </w:p>
        </w:tc>
        <w:tc>
          <w:tcPr>
            <w:tcW w:w="1361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13/07/2007</w:t>
            </w:r>
          </w:p>
        </w:tc>
      </w:tr>
      <w:tr w:rsidR="0073767A" w:rsidRPr="0073767A" w:rsidTr="003530BD">
        <w:tc>
          <w:tcPr>
            <w:tcW w:w="1087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Tizi ouzou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international de la Danse Africaine</w:t>
            </w:r>
          </w:p>
        </w:tc>
        <w:tc>
          <w:tcPr>
            <w:tcW w:w="785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08</w:t>
            </w:r>
          </w:p>
        </w:tc>
        <w:tc>
          <w:tcPr>
            <w:tcW w:w="1361" w:type="pct"/>
            <w:shd w:val="clear" w:color="auto" w:fill="auto"/>
            <w:vAlign w:val="center"/>
          </w:tcPr>
          <w:p w:rsidR="0073767A" w:rsidRPr="0073767A" w:rsidRDefault="0073767A" w:rsidP="005939CC">
            <w:pPr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07/047/2009</w:t>
            </w:r>
          </w:p>
        </w:tc>
      </w:tr>
    </w:tbl>
    <w:p w:rsidR="003B297B" w:rsidRPr="0073767A" w:rsidRDefault="003B297B" w:rsidP="005939CC">
      <w:pPr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B297B" w:rsidRPr="0073767A" w:rsidRDefault="003B297B" w:rsidP="005939CC">
      <w:pPr>
        <w:spacing w:before="120" w:after="120" w:line="360" w:lineRule="auto"/>
        <w:jc w:val="both"/>
        <w:rPr>
          <w:rFonts w:ascii="Book Antiqua" w:hAnsi="Book Antiqua" w:cs="Arabic Typesetting"/>
          <w:b/>
          <w:bCs/>
          <w:lang w:bidi="ar-DZ"/>
        </w:rPr>
      </w:pPr>
      <w:r w:rsidRPr="0073767A">
        <w:rPr>
          <w:rFonts w:ascii="Book Antiqua" w:hAnsi="Book Antiqua" w:cs="Arabic Typesetting"/>
          <w:b/>
          <w:bCs/>
          <w:lang w:bidi="ar-DZ"/>
        </w:rPr>
        <w:t xml:space="preserve">Liste des festivals nationaux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42"/>
        <w:gridCol w:w="3261"/>
        <w:gridCol w:w="1478"/>
        <w:gridCol w:w="2505"/>
      </w:tblGrid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Wilaya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 xml:space="preserve"> Intitulé du Festival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Edition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Date de création</w:t>
            </w:r>
          </w:p>
        </w:tc>
      </w:tr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Adrar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National « Ahalil »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09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29/03/2006</w:t>
            </w:r>
          </w:p>
        </w:tc>
      </w:tr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Oum el Bouaghi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National de la musique de la Jeunesse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11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07/12/2005</w:t>
            </w:r>
          </w:p>
        </w:tc>
      </w:tr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Batna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National de Théâtre  Amazighe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07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06/06/2009</w:t>
            </w:r>
          </w:p>
        </w:tc>
      </w:tr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Bouira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National pour la littérature et la poésie Amazighes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01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10/12/2013</w:t>
            </w:r>
          </w:p>
        </w:tc>
      </w:tr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Tamanrasset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 culturel National de la musique et les chansons amazighes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07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26/03/2008</w:t>
            </w:r>
          </w:p>
        </w:tc>
      </w:tr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Tizi Ouzou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 culturel National du film amazighe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14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25/12/2005</w:t>
            </w:r>
          </w:p>
        </w:tc>
      </w:tr>
      <w:tr w:rsidR="0073767A" w:rsidRPr="0073767A" w:rsidTr="003530BD">
        <w:tc>
          <w:tcPr>
            <w:tcW w:w="109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lastRenderedPageBreak/>
              <w:t>Khenchela</w:t>
            </w:r>
          </w:p>
        </w:tc>
        <w:tc>
          <w:tcPr>
            <w:tcW w:w="175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national pour le théâtre d’enfants</w:t>
            </w:r>
          </w:p>
        </w:tc>
        <w:tc>
          <w:tcPr>
            <w:tcW w:w="796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08</w:t>
            </w:r>
          </w:p>
        </w:tc>
        <w:tc>
          <w:tcPr>
            <w:tcW w:w="1349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02/05/2007</w:t>
            </w:r>
          </w:p>
        </w:tc>
      </w:tr>
    </w:tbl>
    <w:p w:rsidR="003B297B" w:rsidRPr="0073767A" w:rsidRDefault="003B297B" w:rsidP="005939CC">
      <w:pPr>
        <w:tabs>
          <w:tab w:val="left" w:pos="5970"/>
        </w:tabs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B297B" w:rsidRPr="0073767A" w:rsidRDefault="003B297B" w:rsidP="005939CC">
      <w:pPr>
        <w:tabs>
          <w:tab w:val="left" w:pos="5970"/>
        </w:tabs>
        <w:spacing w:before="120" w:after="120" w:line="360" w:lineRule="auto"/>
        <w:jc w:val="both"/>
        <w:rPr>
          <w:rFonts w:ascii="Book Antiqua" w:hAnsi="Book Antiqua" w:cs="Arabic Typesetting"/>
          <w:b/>
          <w:bCs/>
          <w:lang w:bidi="ar-DZ"/>
        </w:rPr>
      </w:pPr>
      <w:r w:rsidRPr="0073767A">
        <w:rPr>
          <w:rFonts w:ascii="Book Antiqua" w:hAnsi="Book Antiqua" w:cs="Arabic Typesetting"/>
          <w:b/>
          <w:bCs/>
          <w:lang w:bidi="ar-DZ"/>
        </w:rPr>
        <w:t xml:space="preserve">Liste des festivals régionaux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7"/>
        <w:gridCol w:w="3493"/>
        <w:gridCol w:w="1517"/>
        <w:gridCol w:w="2589"/>
      </w:tblGrid>
      <w:tr w:rsidR="0073767A" w:rsidRPr="0073767A" w:rsidTr="003530BD">
        <w:tc>
          <w:tcPr>
            <w:tcW w:w="908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Wilayas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Intitulé du Festival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b/>
                <w:bCs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Edition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b/>
                <w:bCs/>
                <w:lang w:bidi="ar-DZ"/>
              </w:rPr>
              <w:t>Date de création</w:t>
            </w:r>
          </w:p>
        </w:tc>
      </w:tr>
      <w:tr w:rsidR="0073767A" w:rsidRPr="0073767A" w:rsidTr="003530BD">
        <w:tc>
          <w:tcPr>
            <w:tcW w:w="908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Bejaia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régional de la musique et la chanson Kabyle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09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19/03/2008</w:t>
            </w:r>
          </w:p>
        </w:tc>
      </w:tr>
      <w:tr w:rsidR="0073767A" w:rsidRPr="0073767A" w:rsidTr="003530BD">
        <w:tc>
          <w:tcPr>
            <w:tcW w:w="908" w:type="pct"/>
            <w:vMerge w:val="restar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Tizi ouzou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régional de la poterie de Maatkas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08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31/12/2009</w:t>
            </w:r>
          </w:p>
        </w:tc>
      </w:tr>
      <w:tr w:rsidR="0073767A" w:rsidRPr="0073767A" w:rsidTr="003530BD">
        <w:tc>
          <w:tcPr>
            <w:tcW w:w="908" w:type="pct"/>
            <w:vMerge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régional du Tapis Ait Hichem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08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31/12/2009</w:t>
            </w:r>
          </w:p>
        </w:tc>
      </w:tr>
      <w:tr w:rsidR="0073767A" w:rsidRPr="0073767A" w:rsidTr="003530BD">
        <w:tc>
          <w:tcPr>
            <w:tcW w:w="908" w:type="pct"/>
            <w:vMerge w:val="restar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Illizi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régional de la musique et la chanson Targuie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08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19/03/2008</w:t>
            </w:r>
          </w:p>
        </w:tc>
      </w:tr>
      <w:tr w:rsidR="0073767A" w:rsidRPr="0073767A" w:rsidTr="003530BD">
        <w:tc>
          <w:tcPr>
            <w:tcW w:w="908" w:type="pct"/>
            <w:vMerge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régional « Cbiba » Djanet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08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25/02/2009</w:t>
            </w:r>
          </w:p>
        </w:tc>
      </w:tr>
      <w:tr w:rsidR="0073767A" w:rsidRPr="0073767A" w:rsidTr="003530BD">
        <w:tc>
          <w:tcPr>
            <w:tcW w:w="908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 xml:space="preserve">Khenchela 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régional de la musique et la chanson chaouie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10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19/03/2008</w:t>
            </w:r>
          </w:p>
        </w:tc>
      </w:tr>
      <w:tr w:rsidR="0073767A" w:rsidRPr="0073767A" w:rsidTr="003530BD">
        <w:tc>
          <w:tcPr>
            <w:tcW w:w="908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Ghardaïa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Festival Culturel régional de la musique et la  chanson du M’zab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07</w:t>
            </w:r>
          </w:p>
        </w:tc>
        <w:tc>
          <w:tcPr>
            <w:tcW w:w="1394" w:type="pct"/>
            <w:shd w:val="clear" w:color="auto" w:fill="auto"/>
            <w:vAlign w:val="center"/>
          </w:tcPr>
          <w:p w:rsidR="0073767A" w:rsidRPr="0073767A" w:rsidRDefault="0073767A" w:rsidP="005939CC">
            <w:pPr>
              <w:tabs>
                <w:tab w:val="left" w:pos="5970"/>
              </w:tabs>
              <w:spacing w:before="120" w:after="120" w:line="360" w:lineRule="auto"/>
              <w:jc w:val="both"/>
              <w:rPr>
                <w:rFonts w:ascii="Book Antiqua" w:hAnsi="Book Antiqua" w:cs="Arabic Typesetting"/>
                <w:lang w:bidi="ar-DZ"/>
              </w:rPr>
            </w:pPr>
            <w:r w:rsidRPr="0073767A">
              <w:rPr>
                <w:rFonts w:ascii="Book Antiqua" w:hAnsi="Book Antiqua" w:cs="Arabic Typesetting"/>
                <w:lang w:bidi="ar-DZ"/>
              </w:rPr>
              <w:t>19/03/2008</w:t>
            </w:r>
          </w:p>
        </w:tc>
      </w:tr>
    </w:tbl>
    <w:p w:rsidR="003B297B" w:rsidRPr="0073767A" w:rsidRDefault="003B297B" w:rsidP="005939CC">
      <w:pPr>
        <w:tabs>
          <w:tab w:val="left" w:pos="1005"/>
        </w:tabs>
        <w:spacing w:before="120" w:after="120" w:line="360" w:lineRule="auto"/>
        <w:jc w:val="both"/>
        <w:rPr>
          <w:rFonts w:ascii="Book Antiqua" w:hAnsi="Book Antiqua" w:cs="Arabic Typesetting"/>
          <w:lang w:bidi="ar-DZ"/>
        </w:rPr>
      </w:pPr>
    </w:p>
    <w:p w:rsidR="003B297B" w:rsidRPr="0073767A" w:rsidRDefault="003B297B" w:rsidP="005939CC">
      <w:pPr>
        <w:tabs>
          <w:tab w:val="left" w:pos="1005"/>
        </w:tabs>
        <w:spacing w:before="120" w:after="120" w:line="360" w:lineRule="auto"/>
        <w:jc w:val="both"/>
        <w:rPr>
          <w:rFonts w:ascii="Book Antiqua" w:hAnsi="Book Antiqua"/>
        </w:rPr>
      </w:pPr>
      <w:r w:rsidRPr="0073767A">
        <w:rPr>
          <w:rFonts w:ascii="Book Antiqua" w:hAnsi="Book Antiqua" w:cs="Arabic Typesetting"/>
          <w:b/>
          <w:bCs/>
          <w:u w:val="single"/>
          <w:lang w:bidi="ar-DZ"/>
        </w:rPr>
        <w:t>Observation</w:t>
      </w:r>
      <w:r w:rsidRPr="0073767A">
        <w:rPr>
          <w:rFonts w:ascii="Book Antiqua" w:hAnsi="Book Antiqua" w:cs="Arabic Typesetting"/>
          <w:lang w:bidi="ar-DZ"/>
        </w:rPr>
        <w:t> : outre les festivals précités qui sont officialisés par le Ministère de la Culture, il existe d’autre</w:t>
      </w:r>
      <w:r w:rsidR="0073767A" w:rsidRPr="0073767A">
        <w:rPr>
          <w:rFonts w:ascii="Book Antiqua" w:hAnsi="Book Antiqua" w:cs="Arabic Typesetting"/>
          <w:lang w:bidi="ar-DZ"/>
        </w:rPr>
        <w:t>s</w:t>
      </w:r>
      <w:r w:rsidRPr="0073767A">
        <w:rPr>
          <w:rFonts w:ascii="Book Antiqua" w:hAnsi="Book Antiqua" w:cs="Arabic Typesetting"/>
          <w:lang w:bidi="ar-DZ"/>
        </w:rPr>
        <w:t xml:space="preserve"> activités culturelles sous-forme de semaines culturelles entre les différentes wilayas.</w:t>
      </w:r>
    </w:p>
    <w:p w:rsidR="003B297B" w:rsidRPr="0073767A" w:rsidRDefault="003B297B" w:rsidP="005939CC">
      <w:pPr>
        <w:spacing w:before="120" w:after="120" w:line="360" w:lineRule="auto"/>
        <w:jc w:val="both"/>
        <w:rPr>
          <w:rFonts w:ascii="Book Antiqua" w:hAnsi="Book Antiqua"/>
        </w:rPr>
      </w:pPr>
    </w:p>
    <w:p w:rsidR="003B297B" w:rsidRPr="0073767A" w:rsidRDefault="003B297B" w:rsidP="005939CC">
      <w:pPr>
        <w:spacing w:before="120" w:after="120" w:line="360" w:lineRule="auto"/>
        <w:jc w:val="both"/>
        <w:rPr>
          <w:rFonts w:ascii="Book Antiqua" w:hAnsi="Book Antiqua"/>
        </w:rPr>
      </w:pPr>
    </w:p>
    <w:p w:rsidR="003530BD" w:rsidRDefault="003530BD" w:rsidP="005939CC">
      <w:pPr>
        <w:tabs>
          <w:tab w:val="left" w:pos="674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/>
        </w:rPr>
      </w:pPr>
    </w:p>
    <w:p w:rsidR="0073767A" w:rsidRPr="003530BD" w:rsidRDefault="003530BD" w:rsidP="005939CC">
      <w:pPr>
        <w:tabs>
          <w:tab w:val="left" w:pos="674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="Calibri"/>
          <w:b/>
          <w:bCs/>
          <w:u w:val="single"/>
          <w:lang w:bidi="ar-DZ"/>
        </w:rPr>
      </w:pPr>
      <w:r>
        <w:rPr>
          <w:rFonts w:ascii="Book Antiqua" w:hAnsi="Book Antiqua"/>
        </w:rPr>
        <w:lastRenderedPageBreak/>
        <w:t xml:space="preserve">IV- </w:t>
      </w:r>
      <w:r w:rsidR="0073767A" w:rsidRPr="003530BD">
        <w:rPr>
          <w:rFonts w:ascii="Book Antiqua" w:hAnsi="Book Antiqua" w:cs="Times New Roman"/>
          <w:b/>
          <w:bCs/>
          <w:u w:val="single"/>
          <w:lang w:bidi="ar-DZ"/>
        </w:rPr>
        <w:t xml:space="preserve">Liste </w:t>
      </w:r>
      <w:r w:rsidR="0073767A" w:rsidRPr="003530BD">
        <w:rPr>
          <w:rFonts w:ascii="Book Antiqua" w:hAnsi="Book Antiqua" w:cs="Arabic Typesetting"/>
          <w:b/>
          <w:bCs/>
          <w:u w:val="single"/>
          <w:lang w:bidi="ar-DZ"/>
        </w:rPr>
        <w:t>des sites Archéologiques restaurés ou en cours de restauration</w:t>
      </w:r>
      <w:r w:rsidR="0073767A" w:rsidRPr="003530BD">
        <w:rPr>
          <w:rFonts w:ascii="Book Antiqua" w:hAnsi="Book Antiqua" w:cs="Calibri"/>
          <w:b/>
          <w:bCs/>
          <w:u w:val="single"/>
          <w:lang w:bidi="ar-DZ"/>
        </w:rPr>
        <w:t xml:space="preserve"> </w:t>
      </w:r>
    </w:p>
    <w:p w:rsidR="0073767A" w:rsidRPr="0073767A" w:rsidRDefault="0073767A" w:rsidP="005939CC">
      <w:pPr>
        <w:tabs>
          <w:tab w:val="left" w:pos="674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="Calibri"/>
          <w:lang w:bidi="ar-DZ"/>
        </w:rPr>
      </w:pPr>
    </w:p>
    <w:tbl>
      <w:tblPr>
        <w:tblStyle w:val="Grilledutableau"/>
        <w:tblW w:w="5000" w:type="pct"/>
        <w:tblLook w:val="0000"/>
      </w:tblPr>
      <w:tblGrid>
        <w:gridCol w:w="2321"/>
        <w:gridCol w:w="1189"/>
        <w:gridCol w:w="5776"/>
      </w:tblGrid>
      <w:tr w:rsidR="0073767A" w:rsidRPr="0073767A" w:rsidTr="003877C4">
        <w:trPr>
          <w:trHeight w:val="610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Wilaya</w:t>
            </w:r>
          </w:p>
        </w:tc>
        <w:tc>
          <w:tcPr>
            <w:tcW w:w="640" w:type="pct"/>
            <w:vAlign w:val="center"/>
          </w:tcPr>
          <w:p w:rsidR="0073767A" w:rsidRPr="0073767A" w:rsidRDefault="003877C4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Année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 xml:space="preserve"> Intitulé de l'opération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Laghouat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2007</w:t>
            </w:r>
          </w:p>
        </w:tc>
        <w:tc>
          <w:tcPr>
            <w:tcW w:w="3110" w:type="pct"/>
            <w:vAlign w:val="center"/>
          </w:tcPr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Protection et réalisation des panneaux de signa</w:t>
            </w:r>
            <w:r w:rsidR="003877C4">
              <w:rPr>
                <w:rFonts w:ascii="Book Antiqua" w:hAnsi="Book Antiqua" w:cs="Times New Roman"/>
                <w:color w:val="000000"/>
                <w:lang w:bidi="ar-DZ"/>
              </w:rPr>
              <w:t xml:space="preserve">lisation pour stations gravures </w:t>
            </w: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rupestres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NF.5.752.8.262.103.07.01</w:t>
            </w:r>
          </w:p>
        </w:tc>
      </w:tr>
      <w:tr w:rsidR="0073767A" w:rsidRPr="0073767A" w:rsidTr="003877C4">
        <w:trPr>
          <w:trHeight w:val="914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Bejaia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2010</w:t>
            </w:r>
          </w:p>
        </w:tc>
        <w:tc>
          <w:tcPr>
            <w:tcW w:w="3110" w:type="pct"/>
            <w:vAlign w:val="center"/>
          </w:tcPr>
          <w:p w:rsidR="0073767A" w:rsidRPr="003877C4" w:rsidRDefault="003877C4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>
              <w:rPr>
                <w:rFonts w:ascii="Book Antiqua" w:hAnsi="Book Antiqua" w:cs="Times New Roman"/>
                <w:color w:val="000000"/>
                <w:lang w:bidi="ar-DZ"/>
              </w:rPr>
              <w:t>Étude et suivi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>,</w:t>
            </w:r>
            <w:r>
              <w:rPr>
                <w:rFonts w:ascii="Book Antiqua" w:hAnsi="Book Antiqua" w:cs="Times New Roman"/>
                <w:color w:val="000000"/>
                <w:lang w:bidi="ar-DZ"/>
              </w:rPr>
              <w:t xml:space="preserve"> 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>consolidation des 4 sites historiques Por</w:t>
            </w:r>
            <w:r>
              <w:rPr>
                <w:rFonts w:ascii="Book Antiqua" w:hAnsi="Book Antiqua" w:cs="Times New Roman"/>
                <w:color w:val="000000"/>
                <w:lang w:bidi="ar-DZ"/>
              </w:rPr>
              <w:t>te Fouka, Porte Sarasine, Kouba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>,</w:t>
            </w:r>
            <w:r>
              <w:rPr>
                <w:rFonts w:ascii="Book Antiqua" w:hAnsi="Book Antiqua" w:cs="Times New Roman"/>
                <w:color w:val="000000"/>
                <w:lang w:bidi="ar-DZ"/>
              </w:rPr>
              <w:t xml:space="preserve"> 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Sidi Touatiet Mihrab de la mosquée Ibn Toumert  </w:t>
            </w:r>
            <w:r w:rsidR="0073767A"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NK.5.752.8.262.106.10.05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Tamenrasset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2006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Étude pour l’Aménagement  du site  de Tite (archéologique naturel, anthropologique, préhistorique)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SF.5.752.1.262.111.06.01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 w:val="restar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Tizi Ouzou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2009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Réhabilitation du site antique d’Azzefoun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NF.5.752.8.262.115.09.06</w:t>
            </w:r>
          </w:p>
        </w:tc>
      </w:tr>
      <w:tr w:rsidR="0073767A" w:rsidRPr="0073767A" w:rsidTr="003877C4">
        <w:trPr>
          <w:trHeight w:val="1219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2012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Étude et suivi pour la restauration des sites et monuments historiques à travers la wilaya  (Zaouia Sidi M'hamad Ben abd Arrrahman, Zaouia sidi Mansour, Maison natale d'Iguerbouchene, maison natale Krim Belkacem,)</w:t>
            </w:r>
            <w:r w:rsidR="003877C4">
              <w:rPr>
                <w:rFonts w:ascii="Book Antiqua" w:hAnsi="Book Antiqua" w:cs="Times New Roman"/>
                <w:color w:val="000000"/>
                <w:lang w:bidi="ar-DZ"/>
              </w:rPr>
              <w:t xml:space="preserve">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NK.5.752.1.262.115.12.04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Jijel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2008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Sauvegarde des sites archéologiques Rabta à Jijel et Choba à Ziama Mansouriah 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NF.5.752.8.262.118.08.02</w:t>
            </w: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   </w:t>
            </w:r>
          </w:p>
        </w:tc>
      </w:tr>
      <w:tr w:rsidR="0073767A" w:rsidRPr="0073767A" w:rsidTr="003877C4">
        <w:trPr>
          <w:trHeight w:val="305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Annaba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2012</w:t>
            </w:r>
          </w:p>
        </w:tc>
        <w:tc>
          <w:tcPr>
            <w:tcW w:w="3110" w:type="pct"/>
            <w:vAlign w:val="center"/>
          </w:tcPr>
          <w:p w:rsidR="003877C4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La mise en valeur du site archéologique Hippone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 w:val="restar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Guelma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2009</w:t>
            </w:r>
          </w:p>
        </w:tc>
        <w:tc>
          <w:tcPr>
            <w:tcW w:w="3110" w:type="pct"/>
            <w:vAlign w:val="center"/>
          </w:tcPr>
          <w:p w:rsidR="003877C4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Etude de  restauration et réhabilitation de la Ville Thebilis romaine</w:t>
            </w:r>
          </w:p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NF5.752.1.262.124.09.01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2007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Restauration et réhabilitation de la Ville Thebilis romaine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NF5.752.8.262.124.07.03</w:t>
            </w:r>
          </w:p>
        </w:tc>
      </w:tr>
      <w:tr w:rsidR="0073767A" w:rsidRPr="0073767A" w:rsidTr="003877C4">
        <w:trPr>
          <w:trHeight w:val="305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lastRenderedPageBreak/>
              <w:t>Oran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2010</w:t>
            </w:r>
          </w:p>
        </w:tc>
        <w:tc>
          <w:tcPr>
            <w:tcW w:w="3110" w:type="pct"/>
            <w:vAlign w:val="center"/>
          </w:tcPr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Étude pour l'élaboration du PPSMVSA du site Abris Alain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Bourdj Bou Arreridj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2006</w:t>
            </w:r>
          </w:p>
        </w:tc>
        <w:tc>
          <w:tcPr>
            <w:tcW w:w="3110" w:type="pct"/>
            <w:vAlign w:val="center"/>
          </w:tcPr>
          <w:p w:rsid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Étude, restauration et protection de 02 sites historiques au profit de 02 communes Belimour  et Elheche </w:t>
            </w:r>
          </w:p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SF.5.752.6.262.134.06.01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 w:val="restar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Souk Ahras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2006</w:t>
            </w:r>
          </w:p>
        </w:tc>
        <w:tc>
          <w:tcPr>
            <w:tcW w:w="3110" w:type="pct"/>
            <w:vAlign w:val="center"/>
          </w:tcPr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Réalisation des panneaux  de  signalisation dans les sites archéologiques et historiques 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SF.5.752.7.262.141.06.01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2012</w:t>
            </w:r>
          </w:p>
        </w:tc>
        <w:tc>
          <w:tcPr>
            <w:tcW w:w="3110" w:type="pct"/>
            <w:vAlign w:val="center"/>
          </w:tcPr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Étude, réhabilitation et équipement de la scène du théâtre antique du site archeologique à Khemissa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 xml:space="preserve"> NK.5.752.5.262.141.12.02</w:t>
            </w:r>
          </w:p>
        </w:tc>
      </w:tr>
      <w:tr w:rsidR="0073767A" w:rsidRPr="0073767A" w:rsidTr="003877C4">
        <w:trPr>
          <w:trHeight w:val="914"/>
        </w:trPr>
        <w:tc>
          <w:tcPr>
            <w:tcW w:w="125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Ain Defla</w:t>
            </w: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2012</w:t>
            </w:r>
          </w:p>
        </w:tc>
        <w:tc>
          <w:tcPr>
            <w:tcW w:w="3110" w:type="pct"/>
            <w:vAlign w:val="center"/>
          </w:tcPr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Étude, suivi et travaux de protection de quatre sites historique du periode romain (Gargara, HammamRigha, Abadia et Rouina)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NK.5.752.5.262.144.12.01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 w:val="restar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Ghardaia</w:t>
            </w:r>
          </w:p>
        </w:tc>
        <w:tc>
          <w:tcPr>
            <w:tcW w:w="640" w:type="pct"/>
            <w:vAlign w:val="center"/>
          </w:tcPr>
          <w:p w:rsidR="0073767A" w:rsidRPr="0073767A" w:rsidRDefault="003877C4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>
              <w:rPr>
                <w:rFonts w:ascii="Book Antiqua" w:hAnsi="Book Antiqua" w:cs="Calibri"/>
                <w:lang w:bidi="ar-DZ"/>
              </w:rPr>
              <w:t>2003</w:t>
            </w:r>
          </w:p>
        </w:tc>
        <w:tc>
          <w:tcPr>
            <w:tcW w:w="3110" w:type="pct"/>
            <w:vAlign w:val="center"/>
          </w:tcPr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Étude et restauration des puits historiques capteurs d’eaux à travers la wilaya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ND5.752.6.262.147.03.01</w:t>
            </w:r>
          </w:p>
        </w:tc>
      </w:tr>
      <w:tr w:rsidR="0073767A" w:rsidRPr="0073767A" w:rsidTr="003877C4">
        <w:trPr>
          <w:trHeight w:val="574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2008</w:t>
            </w:r>
          </w:p>
        </w:tc>
        <w:tc>
          <w:tcPr>
            <w:tcW w:w="3110" w:type="pct"/>
            <w:vAlign w:val="center"/>
          </w:tcPr>
          <w:p w:rsidR="003877C4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Étude et réhabilitation des ruelles et des passages couverts pavage et corrections architecturales</w:t>
            </w:r>
          </w:p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NF.5.752.8.262.147.08.02</w:t>
            </w:r>
          </w:p>
        </w:tc>
      </w:tr>
      <w:tr w:rsidR="0073767A" w:rsidRPr="0073767A" w:rsidTr="003877C4">
        <w:trPr>
          <w:trHeight w:val="914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2006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Restauration de la Vallée de M’zab à Bounoura, El Atf, Ghardaïa et Daya </w:t>
            </w:r>
          </w:p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 5.752.6.262.147.06.01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2007</w:t>
            </w:r>
          </w:p>
        </w:tc>
        <w:tc>
          <w:tcPr>
            <w:tcW w:w="311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Équipement des puits historiques capteurs des eaux </w:t>
            </w: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NF5.752.7.262.147.07.01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2012</w:t>
            </w:r>
          </w:p>
        </w:tc>
        <w:tc>
          <w:tcPr>
            <w:tcW w:w="3110" w:type="pct"/>
            <w:vAlign w:val="center"/>
          </w:tcPr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>Étude, suivi et travaux de restauration des Ksours et sites historiques à travers la wilaya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2014</w:t>
            </w:r>
          </w:p>
        </w:tc>
        <w:tc>
          <w:tcPr>
            <w:tcW w:w="3110" w:type="pct"/>
            <w:vAlign w:val="center"/>
          </w:tcPr>
          <w:p w:rsidR="003877C4" w:rsidRDefault="003877C4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>
              <w:rPr>
                <w:rFonts w:ascii="Book Antiqua" w:hAnsi="Book Antiqua" w:cs="Times New Roman"/>
                <w:color w:val="000000"/>
                <w:lang w:bidi="ar-DZ"/>
              </w:rPr>
              <w:t>Étude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, suivi et travaux de restauration des monuments 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lastRenderedPageBreak/>
              <w:t xml:space="preserve">et sites du cimetière Baba Ouled Djemaa </w:t>
            </w:r>
          </w:p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NK.5.752.8.262.147.14.03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2014</w:t>
            </w:r>
          </w:p>
        </w:tc>
        <w:tc>
          <w:tcPr>
            <w:tcW w:w="3110" w:type="pct"/>
            <w:vAlign w:val="center"/>
          </w:tcPr>
          <w:p w:rsidR="003877C4" w:rsidRDefault="003877C4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>
              <w:rPr>
                <w:rFonts w:ascii="Book Antiqua" w:hAnsi="Book Antiqua" w:cs="Times New Roman"/>
                <w:color w:val="000000"/>
                <w:lang w:bidi="ar-DZ"/>
              </w:rPr>
              <w:t>Étude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, suivi et travaux de restauration des monuments et sites du cimetière Baba Salah Ghardaia </w:t>
            </w:r>
          </w:p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NK.5.752.8.262.147.14.05</w:t>
            </w:r>
          </w:p>
        </w:tc>
      </w:tr>
      <w:tr w:rsidR="0073767A" w:rsidRPr="0073767A" w:rsidTr="003877C4">
        <w:trPr>
          <w:trHeight w:val="610"/>
        </w:trPr>
        <w:tc>
          <w:tcPr>
            <w:tcW w:w="1250" w:type="pct"/>
            <w:vMerge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</w:p>
        </w:tc>
        <w:tc>
          <w:tcPr>
            <w:tcW w:w="640" w:type="pct"/>
            <w:vAlign w:val="center"/>
          </w:tcPr>
          <w:p w:rsidR="0073767A" w:rsidRPr="0073767A" w:rsidRDefault="0073767A" w:rsidP="005939CC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Calibri"/>
                <w:lang w:bidi="ar-DZ"/>
              </w:rPr>
            </w:pPr>
            <w:r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                          2014</w:t>
            </w:r>
          </w:p>
        </w:tc>
        <w:tc>
          <w:tcPr>
            <w:tcW w:w="3110" w:type="pct"/>
            <w:vAlign w:val="center"/>
          </w:tcPr>
          <w:p w:rsidR="003877C4" w:rsidRDefault="003877C4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color w:val="000000"/>
                <w:lang w:bidi="ar-DZ"/>
              </w:rPr>
            </w:pPr>
            <w:r>
              <w:rPr>
                <w:rFonts w:ascii="Book Antiqua" w:hAnsi="Book Antiqua" w:cs="Times New Roman"/>
                <w:color w:val="000000"/>
                <w:lang w:bidi="ar-DZ"/>
              </w:rPr>
              <w:t>Etude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>, suivi et travaux de restauration des monuments et site</w:t>
            </w:r>
            <w:r>
              <w:rPr>
                <w:rFonts w:ascii="Book Antiqua" w:hAnsi="Book Antiqua" w:cs="Times New Roman"/>
                <w:color w:val="000000"/>
                <w:lang w:bidi="ar-DZ"/>
              </w:rPr>
              <w:t>s du cimetière Baissa Oualouane</w:t>
            </w:r>
            <w:r w:rsidR="0073767A" w:rsidRPr="0073767A">
              <w:rPr>
                <w:rFonts w:ascii="Book Antiqua" w:hAnsi="Book Antiqua" w:cs="Times New Roman"/>
                <w:color w:val="000000"/>
                <w:lang w:bidi="ar-DZ"/>
              </w:rPr>
              <w:t xml:space="preserve">, Ghardaia </w:t>
            </w:r>
          </w:p>
          <w:p w:rsidR="0073767A" w:rsidRPr="003877C4" w:rsidRDefault="0073767A" w:rsidP="003877C4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</w:pPr>
            <w:r w:rsidRPr="0073767A">
              <w:rPr>
                <w:rFonts w:ascii="Book Antiqua" w:hAnsi="Book Antiqua" w:cs="Times New Roman"/>
                <w:b/>
                <w:bCs/>
                <w:color w:val="000000"/>
                <w:lang w:bidi="ar-DZ"/>
              </w:rPr>
              <w:t>NK.5.752.8.262.147.14.04</w:t>
            </w:r>
          </w:p>
        </w:tc>
      </w:tr>
    </w:tbl>
    <w:p w:rsidR="0073767A" w:rsidRPr="0073767A" w:rsidRDefault="0073767A" w:rsidP="005939C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Book Antiqua" w:hAnsi="Book Antiqua" w:cs="Calibri"/>
          <w:lang w:bidi="ar-DZ"/>
        </w:rPr>
      </w:pPr>
    </w:p>
    <w:p w:rsidR="0073767A" w:rsidRPr="0073767A" w:rsidRDefault="0073767A" w:rsidP="005939CC">
      <w:pPr>
        <w:spacing w:before="120" w:after="120" w:line="360" w:lineRule="auto"/>
        <w:jc w:val="both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p w:rsidR="003B297B" w:rsidRPr="0073767A" w:rsidRDefault="003B297B" w:rsidP="005939CC">
      <w:pPr>
        <w:tabs>
          <w:tab w:val="left" w:pos="360"/>
          <w:tab w:val="left" w:pos="851"/>
        </w:tabs>
        <w:suppressAutoHyphens/>
        <w:autoSpaceDN w:val="0"/>
        <w:spacing w:before="120" w:after="120" w:line="360" w:lineRule="auto"/>
        <w:jc w:val="both"/>
        <w:textAlignment w:val="baseline"/>
        <w:rPr>
          <w:rFonts w:ascii="Book Antiqua" w:hAnsi="Book Antiqua"/>
        </w:rPr>
      </w:pPr>
    </w:p>
    <w:sectPr w:rsidR="003B297B" w:rsidRPr="0073767A" w:rsidSect="00C955CD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691" w:rsidRDefault="00B97691" w:rsidP="004559C9">
      <w:pPr>
        <w:spacing w:after="0" w:line="240" w:lineRule="auto"/>
      </w:pPr>
      <w:r>
        <w:separator/>
      </w:r>
    </w:p>
  </w:endnote>
  <w:endnote w:type="continuationSeparator" w:id="1">
    <w:p w:rsidR="00B97691" w:rsidRDefault="00B97691" w:rsidP="00455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 MT Lt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7C4" w:rsidRDefault="003877C4" w:rsidP="003877C4">
    <w:pPr>
      <w:pStyle w:val="Pieddepage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20</w:t>
    </w:r>
    <w:r w:rsidRPr="003877C4">
      <w:rPr>
        <w:rFonts w:asciiTheme="majorHAnsi" w:hAnsiTheme="majorHAnsi"/>
        <w:vertAlign w:val="superscript"/>
      </w:rPr>
      <w:t>ème</w:t>
    </w:r>
    <w:r>
      <w:rPr>
        <w:rFonts w:asciiTheme="majorHAnsi" w:hAnsiTheme="majorHAnsi"/>
      </w:rPr>
      <w:t xml:space="preserve"> et 21</w:t>
    </w:r>
    <w:r w:rsidRPr="003877C4">
      <w:rPr>
        <w:rFonts w:asciiTheme="majorHAnsi" w:hAnsiTheme="majorHAnsi"/>
        <w:vertAlign w:val="superscript"/>
      </w:rPr>
      <w:t>ème</w:t>
    </w:r>
    <w:r>
      <w:rPr>
        <w:rFonts w:asciiTheme="majorHAnsi" w:hAnsiTheme="majorHAnsi"/>
      </w:rPr>
      <w:t xml:space="preserve"> Rapports de l’Algérie devant le CERD (informations complémentaires</w:t>
    </w:r>
    <w:r w:rsidR="007A6EDB">
      <w:rPr>
        <w:rFonts w:asciiTheme="majorHAnsi" w:hAnsiTheme="majorHAnsi"/>
      </w:rPr>
      <w:t xml:space="preserve">)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EA3AF2" w:rsidRPr="00EA3AF2">
        <w:rPr>
          <w:rFonts w:asciiTheme="majorHAnsi" w:hAnsiTheme="majorHAnsi"/>
          <w:noProof/>
        </w:rPr>
        <w:t>9</w:t>
      </w:r>
    </w:fldSimple>
  </w:p>
  <w:p w:rsidR="003877C4" w:rsidRDefault="003877C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691" w:rsidRDefault="00B97691" w:rsidP="004559C9">
      <w:pPr>
        <w:spacing w:after="0" w:line="240" w:lineRule="auto"/>
      </w:pPr>
      <w:r>
        <w:separator/>
      </w:r>
    </w:p>
  </w:footnote>
  <w:footnote w:type="continuationSeparator" w:id="1">
    <w:p w:rsidR="00B97691" w:rsidRDefault="00B97691" w:rsidP="004559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25F7"/>
    <w:multiLevelType w:val="hybridMultilevel"/>
    <w:tmpl w:val="55CE38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603A0"/>
    <w:multiLevelType w:val="hybridMultilevel"/>
    <w:tmpl w:val="F1781B54"/>
    <w:lvl w:ilvl="0" w:tplc="EA94C32C">
      <w:numFmt w:val="bullet"/>
      <w:lvlText w:val="-"/>
      <w:lvlJc w:val="left"/>
      <w:pPr>
        <w:ind w:left="720" w:hanging="360"/>
      </w:pPr>
      <w:rPr>
        <w:rFonts w:ascii="Albertus MT Lt" w:eastAsia="Times New Roman" w:hAnsi="Albertus MT L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A360F2"/>
    <w:multiLevelType w:val="hybridMultilevel"/>
    <w:tmpl w:val="4CDE5370"/>
    <w:lvl w:ilvl="0" w:tplc="D07CAA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4574ED"/>
    <w:multiLevelType w:val="hybridMultilevel"/>
    <w:tmpl w:val="012C4F90"/>
    <w:lvl w:ilvl="0" w:tplc="B5B67EF6">
      <w:start w:val="65535"/>
      <w:numFmt w:val="bullet"/>
      <w:lvlText w:val="*"/>
      <w:lvlJc w:val="left"/>
      <w:pPr>
        <w:ind w:left="1853" w:hanging="360"/>
      </w:pPr>
      <w:rPr>
        <w:rFonts w:ascii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4">
    <w:nsid w:val="074B783C"/>
    <w:multiLevelType w:val="hybridMultilevel"/>
    <w:tmpl w:val="2BE0BE76"/>
    <w:lvl w:ilvl="0" w:tplc="6ECE753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545B95"/>
    <w:multiLevelType w:val="hybridMultilevel"/>
    <w:tmpl w:val="A82C5036"/>
    <w:lvl w:ilvl="0" w:tplc="C97C4DD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0F750E"/>
    <w:multiLevelType w:val="hybridMultilevel"/>
    <w:tmpl w:val="C34E143C"/>
    <w:lvl w:ilvl="0" w:tplc="0576DA52"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>
    <w:nsid w:val="0DCD1787"/>
    <w:multiLevelType w:val="hybridMultilevel"/>
    <w:tmpl w:val="6B36880C"/>
    <w:lvl w:ilvl="0" w:tplc="9BEAFED4">
      <w:start w:val="8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0F3A538A"/>
    <w:multiLevelType w:val="hybridMultilevel"/>
    <w:tmpl w:val="6BAC3F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C95745"/>
    <w:multiLevelType w:val="hybridMultilevel"/>
    <w:tmpl w:val="8AF2055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3346506"/>
    <w:multiLevelType w:val="hybridMultilevel"/>
    <w:tmpl w:val="CFA6B7E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0B6A91"/>
    <w:multiLevelType w:val="hybridMultilevel"/>
    <w:tmpl w:val="2C16B78A"/>
    <w:lvl w:ilvl="0" w:tplc="040C000F">
      <w:start w:val="1"/>
      <w:numFmt w:val="decimal"/>
      <w:lvlText w:val="%1."/>
      <w:lvlJc w:val="left"/>
      <w:pPr>
        <w:ind w:left="436" w:hanging="360"/>
      </w:pPr>
    </w:lvl>
    <w:lvl w:ilvl="1" w:tplc="040C0019" w:tentative="1">
      <w:start w:val="1"/>
      <w:numFmt w:val="lowerLetter"/>
      <w:lvlText w:val="%2."/>
      <w:lvlJc w:val="left"/>
      <w:pPr>
        <w:ind w:left="1156" w:hanging="360"/>
      </w:pPr>
    </w:lvl>
    <w:lvl w:ilvl="2" w:tplc="040C001B" w:tentative="1">
      <w:start w:val="1"/>
      <w:numFmt w:val="lowerRoman"/>
      <w:lvlText w:val="%3."/>
      <w:lvlJc w:val="right"/>
      <w:pPr>
        <w:ind w:left="1876" w:hanging="180"/>
      </w:pPr>
    </w:lvl>
    <w:lvl w:ilvl="3" w:tplc="040C000F" w:tentative="1">
      <w:start w:val="1"/>
      <w:numFmt w:val="decimal"/>
      <w:lvlText w:val="%4."/>
      <w:lvlJc w:val="left"/>
      <w:pPr>
        <w:ind w:left="2596" w:hanging="360"/>
      </w:pPr>
    </w:lvl>
    <w:lvl w:ilvl="4" w:tplc="040C0019" w:tentative="1">
      <w:start w:val="1"/>
      <w:numFmt w:val="lowerLetter"/>
      <w:lvlText w:val="%5."/>
      <w:lvlJc w:val="left"/>
      <w:pPr>
        <w:ind w:left="3316" w:hanging="360"/>
      </w:pPr>
    </w:lvl>
    <w:lvl w:ilvl="5" w:tplc="040C001B" w:tentative="1">
      <w:start w:val="1"/>
      <w:numFmt w:val="lowerRoman"/>
      <w:lvlText w:val="%6."/>
      <w:lvlJc w:val="right"/>
      <w:pPr>
        <w:ind w:left="4036" w:hanging="180"/>
      </w:pPr>
    </w:lvl>
    <w:lvl w:ilvl="6" w:tplc="040C000F" w:tentative="1">
      <w:start w:val="1"/>
      <w:numFmt w:val="decimal"/>
      <w:lvlText w:val="%7."/>
      <w:lvlJc w:val="left"/>
      <w:pPr>
        <w:ind w:left="4756" w:hanging="360"/>
      </w:pPr>
    </w:lvl>
    <w:lvl w:ilvl="7" w:tplc="040C0019" w:tentative="1">
      <w:start w:val="1"/>
      <w:numFmt w:val="lowerLetter"/>
      <w:lvlText w:val="%8."/>
      <w:lvlJc w:val="left"/>
      <w:pPr>
        <w:ind w:left="5476" w:hanging="360"/>
      </w:pPr>
    </w:lvl>
    <w:lvl w:ilvl="8" w:tplc="040C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19923AF5"/>
    <w:multiLevelType w:val="hybridMultilevel"/>
    <w:tmpl w:val="B8F28B40"/>
    <w:lvl w:ilvl="0" w:tplc="D3DAF2A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5C7F9A"/>
    <w:multiLevelType w:val="hybridMultilevel"/>
    <w:tmpl w:val="043CB256"/>
    <w:lvl w:ilvl="0" w:tplc="8BDA951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CB7742"/>
    <w:multiLevelType w:val="hybridMultilevel"/>
    <w:tmpl w:val="39E2143C"/>
    <w:lvl w:ilvl="0" w:tplc="ECBEC36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27703A9D"/>
    <w:multiLevelType w:val="hybridMultilevel"/>
    <w:tmpl w:val="D74406DA"/>
    <w:lvl w:ilvl="0" w:tplc="B5B67EF6">
      <w:start w:val="65535"/>
      <w:numFmt w:val="bullet"/>
      <w:lvlText w:val="-"/>
      <w:lvlJc w:val="left"/>
      <w:pPr>
        <w:ind w:left="2226" w:hanging="360"/>
      </w:pPr>
      <w:rPr>
        <w:rFonts w:ascii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16">
    <w:nsid w:val="27E23232"/>
    <w:multiLevelType w:val="hybridMultilevel"/>
    <w:tmpl w:val="314814E8"/>
    <w:lvl w:ilvl="0" w:tplc="600ABC4A">
      <w:start w:val="1"/>
      <w:numFmt w:val="bullet"/>
      <w:lvlText w:val=""/>
      <w:lvlJc w:val="left"/>
      <w:pPr>
        <w:ind w:left="513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>
    <w:nsid w:val="28590C23"/>
    <w:multiLevelType w:val="hybridMultilevel"/>
    <w:tmpl w:val="A922F48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B5609A"/>
    <w:multiLevelType w:val="hybridMultilevel"/>
    <w:tmpl w:val="668C82D4"/>
    <w:lvl w:ilvl="0" w:tplc="E7148F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BD2577"/>
    <w:multiLevelType w:val="hybridMultilevel"/>
    <w:tmpl w:val="1A8E136A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>
    <w:nsid w:val="29C94B08"/>
    <w:multiLevelType w:val="hybridMultilevel"/>
    <w:tmpl w:val="77CA06E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165115"/>
    <w:multiLevelType w:val="hybridMultilevel"/>
    <w:tmpl w:val="D5E67A62"/>
    <w:lvl w:ilvl="0" w:tplc="EE5829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CD5507"/>
    <w:multiLevelType w:val="hybridMultilevel"/>
    <w:tmpl w:val="678AB4DE"/>
    <w:lvl w:ilvl="0" w:tplc="10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>
    <w:nsid w:val="2FB331AE"/>
    <w:multiLevelType w:val="hybridMultilevel"/>
    <w:tmpl w:val="04800292"/>
    <w:lvl w:ilvl="0" w:tplc="D7661F52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32BD4C32"/>
    <w:multiLevelType w:val="hybridMultilevel"/>
    <w:tmpl w:val="C55A965E"/>
    <w:lvl w:ilvl="0" w:tplc="04AC841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F3243B"/>
    <w:multiLevelType w:val="hybridMultilevel"/>
    <w:tmpl w:val="5636E918"/>
    <w:lvl w:ilvl="0" w:tplc="FD6A72B0">
      <w:start w:val="2"/>
      <w:numFmt w:val="bullet"/>
      <w:lvlText w:val="-"/>
      <w:lvlJc w:val="left"/>
      <w:pPr>
        <w:ind w:left="86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3C7C3344"/>
    <w:multiLevelType w:val="hybridMultilevel"/>
    <w:tmpl w:val="D17E5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B76F4E"/>
    <w:multiLevelType w:val="hybridMultilevel"/>
    <w:tmpl w:val="A08C974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F40F29"/>
    <w:multiLevelType w:val="hybridMultilevel"/>
    <w:tmpl w:val="6AE436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B620F9"/>
    <w:multiLevelType w:val="hybridMultilevel"/>
    <w:tmpl w:val="D3948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607CF1"/>
    <w:multiLevelType w:val="hybridMultilevel"/>
    <w:tmpl w:val="7124D7F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8C1F5B"/>
    <w:multiLevelType w:val="hybridMultilevel"/>
    <w:tmpl w:val="3554317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C56B71"/>
    <w:multiLevelType w:val="hybridMultilevel"/>
    <w:tmpl w:val="E564BF12"/>
    <w:lvl w:ilvl="0" w:tplc="B5B67EF6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5C4E23"/>
    <w:multiLevelType w:val="hybridMultilevel"/>
    <w:tmpl w:val="C27A3D26"/>
    <w:lvl w:ilvl="0" w:tplc="2E6074E2">
      <w:start w:val="1"/>
      <w:numFmt w:val="upperRoman"/>
      <w:lvlText w:val="%1."/>
      <w:lvlJc w:val="left"/>
      <w:pPr>
        <w:ind w:left="390" w:hanging="360"/>
      </w:pPr>
      <w:rPr>
        <w:rFonts w:hint="default"/>
        <w:b/>
        <w:bCs/>
        <w:u w:val="none"/>
        <w:lang w:val="fr-FR"/>
      </w:rPr>
    </w:lvl>
    <w:lvl w:ilvl="1" w:tplc="040C0019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34">
    <w:nsid w:val="58C535F0"/>
    <w:multiLevelType w:val="hybridMultilevel"/>
    <w:tmpl w:val="255228FA"/>
    <w:lvl w:ilvl="0" w:tplc="A042A1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A36977"/>
    <w:multiLevelType w:val="hybridMultilevel"/>
    <w:tmpl w:val="A2726F8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2A788A"/>
    <w:multiLevelType w:val="hybridMultilevel"/>
    <w:tmpl w:val="874A81AE"/>
    <w:lvl w:ilvl="0" w:tplc="B5B67EF6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DF75A0"/>
    <w:multiLevelType w:val="hybridMultilevel"/>
    <w:tmpl w:val="9EACBA10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>
      <w:start w:val="1"/>
      <w:numFmt w:val="lowerLetter"/>
      <w:lvlText w:val="%2."/>
      <w:lvlJc w:val="left"/>
      <w:pPr>
        <w:ind w:left="1440" w:hanging="360"/>
      </w:pPr>
    </w:lvl>
    <w:lvl w:ilvl="2" w:tplc="100C001B">
      <w:start w:val="1"/>
      <w:numFmt w:val="lowerRoman"/>
      <w:lvlText w:val="%3."/>
      <w:lvlJc w:val="right"/>
      <w:pPr>
        <w:ind w:left="2160" w:hanging="180"/>
      </w:pPr>
    </w:lvl>
    <w:lvl w:ilvl="3" w:tplc="100C000F">
      <w:start w:val="1"/>
      <w:numFmt w:val="decimal"/>
      <w:lvlText w:val="%4."/>
      <w:lvlJc w:val="left"/>
      <w:pPr>
        <w:ind w:left="2880" w:hanging="360"/>
      </w:pPr>
    </w:lvl>
    <w:lvl w:ilvl="4" w:tplc="100C0019">
      <w:start w:val="1"/>
      <w:numFmt w:val="lowerLetter"/>
      <w:lvlText w:val="%5."/>
      <w:lvlJc w:val="left"/>
      <w:pPr>
        <w:ind w:left="3600" w:hanging="360"/>
      </w:pPr>
    </w:lvl>
    <w:lvl w:ilvl="5" w:tplc="100C001B">
      <w:start w:val="1"/>
      <w:numFmt w:val="lowerRoman"/>
      <w:lvlText w:val="%6."/>
      <w:lvlJc w:val="right"/>
      <w:pPr>
        <w:ind w:left="4320" w:hanging="180"/>
      </w:pPr>
    </w:lvl>
    <w:lvl w:ilvl="6" w:tplc="100C000F">
      <w:start w:val="1"/>
      <w:numFmt w:val="decimal"/>
      <w:lvlText w:val="%7."/>
      <w:lvlJc w:val="left"/>
      <w:pPr>
        <w:ind w:left="5040" w:hanging="360"/>
      </w:pPr>
    </w:lvl>
    <w:lvl w:ilvl="7" w:tplc="100C0019">
      <w:start w:val="1"/>
      <w:numFmt w:val="lowerLetter"/>
      <w:lvlText w:val="%8."/>
      <w:lvlJc w:val="left"/>
      <w:pPr>
        <w:ind w:left="5760" w:hanging="360"/>
      </w:pPr>
    </w:lvl>
    <w:lvl w:ilvl="8" w:tplc="100C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4D316B"/>
    <w:multiLevelType w:val="hybridMultilevel"/>
    <w:tmpl w:val="BDDE9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9C00D0"/>
    <w:multiLevelType w:val="hybridMultilevel"/>
    <w:tmpl w:val="D4CC278A"/>
    <w:lvl w:ilvl="0" w:tplc="B5B67EF6">
      <w:start w:val="65535"/>
      <w:numFmt w:val="bullet"/>
      <w:lvlText w:val="*"/>
      <w:lvlJc w:val="left"/>
      <w:pPr>
        <w:ind w:left="72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386944"/>
    <w:multiLevelType w:val="hybridMultilevel"/>
    <w:tmpl w:val="2D78AE52"/>
    <w:lvl w:ilvl="0" w:tplc="EC24A244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2273B3"/>
    <w:multiLevelType w:val="hybridMultilevel"/>
    <w:tmpl w:val="D0A8421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A13D44"/>
    <w:multiLevelType w:val="hybridMultilevel"/>
    <w:tmpl w:val="4B985F1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3567AA"/>
    <w:multiLevelType w:val="hybridMultilevel"/>
    <w:tmpl w:val="673CD60C"/>
    <w:lvl w:ilvl="0" w:tplc="6ECE753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662107"/>
    <w:multiLevelType w:val="hybridMultilevel"/>
    <w:tmpl w:val="E2427B0C"/>
    <w:lvl w:ilvl="0" w:tplc="9C1EC59E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4"/>
  </w:num>
  <w:num w:numId="6">
    <w:abstractNumId w:val="37"/>
  </w:num>
  <w:num w:numId="7">
    <w:abstractNumId w:val="31"/>
  </w:num>
  <w:num w:numId="8">
    <w:abstractNumId w:val="20"/>
  </w:num>
  <w:num w:numId="9">
    <w:abstractNumId w:val="22"/>
  </w:num>
  <w:num w:numId="10">
    <w:abstractNumId w:val="5"/>
  </w:num>
  <w:num w:numId="11">
    <w:abstractNumId w:val="11"/>
  </w:num>
  <w:num w:numId="12">
    <w:abstractNumId w:val="6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6"/>
  </w:num>
  <w:num w:numId="16">
    <w:abstractNumId w:val="17"/>
  </w:num>
  <w:num w:numId="17">
    <w:abstractNumId w:val="27"/>
  </w:num>
  <w:num w:numId="18">
    <w:abstractNumId w:val="35"/>
  </w:num>
  <w:num w:numId="19">
    <w:abstractNumId w:val="41"/>
  </w:num>
  <w:num w:numId="20">
    <w:abstractNumId w:val="1"/>
  </w:num>
  <w:num w:numId="21">
    <w:abstractNumId w:val="33"/>
  </w:num>
  <w:num w:numId="22">
    <w:abstractNumId w:val="4"/>
  </w:num>
  <w:num w:numId="23">
    <w:abstractNumId w:val="7"/>
  </w:num>
  <w:num w:numId="24">
    <w:abstractNumId w:val="43"/>
  </w:num>
  <w:num w:numId="25">
    <w:abstractNumId w:val="14"/>
  </w:num>
  <w:num w:numId="26">
    <w:abstractNumId w:val="26"/>
  </w:num>
  <w:num w:numId="27">
    <w:abstractNumId w:val="29"/>
  </w:num>
  <w:num w:numId="28">
    <w:abstractNumId w:val="36"/>
  </w:num>
  <w:num w:numId="29">
    <w:abstractNumId w:val="32"/>
  </w:num>
  <w:num w:numId="30">
    <w:abstractNumId w:val="24"/>
  </w:num>
  <w:num w:numId="31">
    <w:abstractNumId w:val="12"/>
  </w:num>
  <w:num w:numId="32">
    <w:abstractNumId w:val="13"/>
  </w:num>
  <w:num w:numId="33">
    <w:abstractNumId w:val="28"/>
  </w:num>
  <w:num w:numId="34">
    <w:abstractNumId w:val="18"/>
  </w:num>
  <w:num w:numId="35">
    <w:abstractNumId w:val="40"/>
  </w:num>
  <w:num w:numId="36">
    <w:abstractNumId w:val="15"/>
  </w:num>
  <w:num w:numId="37">
    <w:abstractNumId w:val="3"/>
  </w:num>
  <w:num w:numId="38">
    <w:abstractNumId w:val="19"/>
  </w:num>
  <w:num w:numId="39">
    <w:abstractNumId w:val="39"/>
  </w:num>
  <w:num w:numId="40">
    <w:abstractNumId w:val="0"/>
  </w:num>
  <w:num w:numId="41">
    <w:abstractNumId w:val="25"/>
  </w:num>
  <w:num w:numId="42">
    <w:abstractNumId w:val="21"/>
  </w:num>
  <w:num w:numId="43">
    <w:abstractNumId w:val="9"/>
  </w:num>
  <w:num w:numId="44">
    <w:abstractNumId w:val="42"/>
  </w:num>
  <w:num w:numId="4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0"/>
  </w:num>
  <w:num w:numId="49">
    <w:abstractNumId w:val="38"/>
  </w:num>
  <w:num w:numId="5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678F"/>
    <w:rsid w:val="00044F22"/>
    <w:rsid w:val="00050632"/>
    <w:rsid w:val="00053616"/>
    <w:rsid w:val="00071825"/>
    <w:rsid w:val="00077FA5"/>
    <w:rsid w:val="00095C24"/>
    <w:rsid w:val="000B37CF"/>
    <w:rsid w:val="000C3DA2"/>
    <w:rsid w:val="000C3EE4"/>
    <w:rsid w:val="000D5A3D"/>
    <w:rsid w:val="000E10D9"/>
    <w:rsid w:val="000F685C"/>
    <w:rsid w:val="0012021E"/>
    <w:rsid w:val="00140574"/>
    <w:rsid w:val="00150BB2"/>
    <w:rsid w:val="001560E0"/>
    <w:rsid w:val="00181072"/>
    <w:rsid w:val="00185610"/>
    <w:rsid w:val="00191331"/>
    <w:rsid w:val="001D2507"/>
    <w:rsid w:val="001D52AA"/>
    <w:rsid w:val="001E27B2"/>
    <w:rsid w:val="001E3168"/>
    <w:rsid w:val="001E4D5F"/>
    <w:rsid w:val="001F5118"/>
    <w:rsid w:val="001F6D91"/>
    <w:rsid w:val="00250F2C"/>
    <w:rsid w:val="002519F5"/>
    <w:rsid w:val="00282FBB"/>
    <w:rsid w:val="002939BE"/>
    <w:rsid w:val="002C30E1"/>
    <w:rsid w:val="002F43AD"/>
    <w:rsid w:val="00300558"/>
    <w:rsid w:val="003107EA"/>
    <w:rsid w:val="00326107"/>
    <w:rsid w:val="00340935"/>
    <w:rsid w:val="00352A6B"/>
    <w:rsid w:val="003530BD"/>
    <w:rsid w:val="00384F83"/>
    <w:rsid w:val="003877C4"/>
    <w:rsid w:val="00396D1B"/>
    <w:rsid w:val="00397992"/>
    <w:rsid w:val="003A5EDA"/>
    <w:rsid w:val="003A7B65"/>
    <w:rsid w:val="003B1107"/>
    <w:rsid w:val="003B297B"/>
    <w:rsid w:val="003B7DBF"/>
    <w:rsid w:val="003D1F15"/>
    <w:rsid w:val="003E7F75"/>
    <w:rsid w:val="003F140F"/>
    <w:rsid w:val="003F64E5"/>
    <w:rsid w:val="0040453E"/>
    <w:rsid w:val="00404A47"/>
    <w:rsid w:val="00430CED"/>
    <w:rsid w:val="004559C9"/>
    <w:rsid w:val="00460525"/>
    <w:rsid w:val="00466A0A"/>
    <w:rsid w:val="00467D8C"/>
    <w:rsid w:val="004720C8"/>
    <w:rsid w:val="004808E7"/>
    <w:rsid w:val="004878CF"/>
    <w:rsid w:val="00491D43"/>
    <w:rsid w:val="004B1FD8"/>
    <w:rsid w:val="004B3184"/>
    <w:rsid w:val="004C77AF"/>
    <w:rsid w:val="004E1CD6"/>
    <w:rsid w:val="004F1334"/>
    <w:rsid w:val="004F7FBF"/>
    <w:rsid w:val="00511D0D"/>
    <w:rsid w:val="005176A8"/>
    <w:rsid w:val="00530C41"/>
    <w:rsid w:val="00536F46"/>
    <w:rsid w:val="00552A7F"/>
    <w:rsid w:val="005563CC"/>
    <w:rsid w:val="00562455"/>
    <w:rsid w:val="005637AC"/>
    <w:rsid w:val="005656AA"/>
    <w:rsid w:val="0057589D"/>
    <w:rsid w:val="005939CC"/>
    <w:rsid w:val="005B56EC"/>
    <w:rsid w:val="005B6AB0"/>
    <w:rsid w:val="005C6604"/>
    <w:rsid w:val="005D266E"/>
    <w:rsid w:val="005D333D"/>
    <w:rsid w:val="005F7678"/>
    <w:rsid w:val="00615513"/>
    <w:rsid w:val="00637C32"/>
    <w:rsid w:val="00641509"/>
    <w:rsid w:val="00660731"/>
    <w:rsid w:val="00675C38"/>
    <w:rsid w:val="0068275E"/>
    <w:rsid w:val="006840E9"/>
    <w:rsid w:val="006A06FD"/>
    <w:rsid w:val="006A3D8D"/>
    <w:rsid w:val="006A4293"/>
    <w:rsid w:val="006E0119"/>
    <w:rsid w:val="006E176E"/>
    <w:rsid w:val="0071071A"/>
    <w:rsid w:val="00711CA0"/>
    <w:rsid w:val="00712580"/>
    <w:rsid w:val="00730EA2"/>
    <w:rsid w:val="0073767A"/>
    <w:rsid w:val="00740399"/>
    <w:rsid w:val="00750FC4"/>
    <w:rsid w:val="0076678F"/>
    <w:rsid w:val="007676AA"/>
    <w:rsid w:val="007925AC"/>
    <w:rsid w:val="007A07B4"/>
    <w:rsid w:val="007A4B20"/>
    <w:rsid w:val="007A6EDB"/>
    <w:rsid w:val="007A7979"/>
    <w:rsid w:val="007E20F1"/>
    <w:rsid w:val="007E3B15"/>
    <w:rsid w:val="0082444D"/>
    <w:rsid w:val="00832564"/>
    <w:rsid w:val="008342EB"/>
    <w:rsid w:val="008378A1"/>
    <w:rsid w:val="008426CA"/>
    <w:rsid w:val="00850817"/>
    <w:rsid w:val="008737DE"/>
    <w:rsid w:val="00891632"/>
    <w:rsid w:val="00897202"/>
    <w:rsid w:val="0089723F"/>
    <w:rsid w:val="008B401B"/>
    <w:rsid w:val="008B79FE"/>
    <w:rsid w:val="008D304C"/>
    <w:rsid w:val="008D3077"/>
    <w:rsid w:val="008E798B"/>
    <w:rsid w:val="008F4B17"/>
    <w:rsid w:val="00907020"/>
    <w:rsid w:val="00907689"/>
    <w:rsid w:val="0091460E"/>
    <w:rsid w:val="009310FB"/>
    <w:rsid w:val="009433A0"/>
    <w:rsid w:val="00982A50"/>
    <w:rsid w:val="009910B1"/>
    <w:rsid w:val="009C4071"/>
    <w:rsid w:val="009E18BB"/>
    <w:rsid w:val="009F0E41"/>
    <w:rsid w:val="009F368D"/>
    <w:rsid w:val="00A015C9"/>
    <w:rsid w:val="00A151C0"/>
    <w:rsid w:val="00A1736D"/>
    <w:rsid w:val="00A213EA"/>
    <w:rsid w:val="00A23C06"/>
    <w:rsid w:val="00A2670A"/>
    <w:rsid w:val="00A66F38"/>
    <w:rsid w:val="00A809E8"/>
    <w:rsid w:val="00A86292"/>
    <w:rsid w:val="00AA41B8"/>
    <w:rsid w:val="00AC19C9"/>
    <w:rsid w:val="00AC4287"/>
    <w:rsid w:val="00AD120F"/>
    <w:rsid w:val="00AD6483"/>
    <w:rsid w:val="00AE2699"/>
    <w:rsid w:val="00AE73AD"/>
    <w:rsid w:val="00B030D5"/>
    <w:rsid w:val="00B12E25"/>
    <w:rsid w:val="00B13C6A"/>
    <w:rsid w:val="00B13F35"/>
    <w:rsid w:val="00B154EA"/>
    <w:rsid w:val="00B55387"/>
    <w:rsid w:val="00B80C98"/>
    <w:rsid w:val="00B94C78"/>
    <w:rsid w:val="00B97691"/>
    <w:rsid w:val="00BA5EAA"/>
    <w:rsid w:val="00BB040F"/>
    <w:rsid w:val="00BB2477"/>
    <w:rsid w:val="00BD2EBE"/>
    <w:rsid w:val="00BD6FAA"/>
    <w:rsid w:val="00BF3240"/>
    <w:rsid w:val="00BF33AB"/>
    <w:rsid w:val="00C01E37"/>
    <w:rsid w:val="00C13D19"/>
    <w:rsid w:val="00C223BD"/>
    <w:rsid w:val="00C40A22"/>
    <w:rsid w:val="00C46A20"/>
    <w:rsid w:val="00C71478"/>
    <w:rsid w:val="00C73DA3"/>
    <w:rsid w:val="00C90C43"/>
    <w:rsid w:val="00C9301B"/>
    <w:rsid w:val="00C955CD"/>
    <w:rsid w:val="00C95644"/>
    <w:rsid w:val="00C95DD5"/>
    <w:rsid w:val="00CC3549"/>
    <w:rsid w:val="00CC3A3F"/>
    <w:rsid w:val="00CD1DFE"/>
    <w:rsid w:val="00CD2EA3"/>
    <w:rsid w:val="00CD3431"/>
    <w:rsid w:val="00CE7013"/>
    <w:rsid w:val="00CE7DE0"/>
    <w:rsid w:val="00CF046C"/>
    <w:rsid w:val="00CF329A"/>
    <w:rsid w:val="00D01DB1"/>
    <w:rsid w:val="00D06B2E"/>
    <w:rsid w:val="00D108B1"/>
    <w:rsid w:val="00D22A54"/>
    <w:rsid w:val="00D25CE9"/>
    <w:rsid w:val="00D30B47"/>
    <w:rsid w:val="00D6301E"/>
    <w:rsid w:val="00D70434"/>
    <w:rsid w:val="00D75FA9"/>
    <w:rsid w:val="00D80FAD"/>
    <w:rsid w:val="00D87E82"/>
    <w:rsid w:val="00D96633"/>
    <w:rsid w:val="00DB28E7"/>
    <w:rsid w:val="00DD470A"/>
    <w:rsid w:val="00DD73BD"/>
    <w:rsid w:val="00E02751"/>
    <w:rsid w:val="00E15665"/>
    <w:rsid w:val="00E26B8A"/>
    <w:rsid w:val="00E33F8E"/>
    <w:rsid w:val="00E624B3"/>
    <w:rsid w:val="00E839E6"/>
    <w:rsid w:val="00EA05FD"/>
    <w:rsid w:val="00EA3AF2"/>
    <w:rsid w:val="00EA6F0C"/>
    <w:rsid w:val="00EC28EF"/>
    <w:rsid w:val="00ED5250"/>
    <w:rsid w:val="00EF03C8"/>
    <w:rsid w:val="00EF7225"/>
    <w:rsid w:val="00F07487"/>
    <w:rsid w:val="00F21909"/>
    <w:rsid w:val="00F22A55"/>
    <w:rsid w:val="00F416E0"/>
    <w:rsid w:val="00F6029B"/>
    <w:rsid w:val="00F759F8"/>
    <w:rsid w:val="00F806FF"/>
    <w:rsid w:val="00FB7A1F"/>
    <w:rsid w:val="00FD2324"/>
    <w:rsid w:val="00FE7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33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link w:val="ParagraphedelisteCar"/>
    <w:uiPriority w:val="34"/>
    <w:qFormat/>
    <w:rsid w:val="00A151C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4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33A0"/>
    <w:rPr>
      <w:rFonts w:ascii="Tahoma" w:hAnsi="Tahoma" w:cs="Tahoma"/>
      <w:sz w:val="16"/>
      <w:szCs w:val="16"/>
    </w:rPr>
  </w:style>
  <w:style w:type="character" w:customStyle="1" w:styleId="ParagraphedelisteCar">
    <w:name w:val="Paragraphe de liste Car"/>
    <w:link w:val="Paragraphedeliste"/>
    <w:uiPriority w:val="34"/>
    <w:locked/>
    <w:rsid w:val="00BB040F"/>
  </w:style>
  <w:style w:type="paragraph" w:styleId="NormalWeb">
    <w:name w:val="Normal (Web)"/>
    <w:basedOn w:val="Normal"/>
    <w:uiPriority w:val="99"/>
    <w:unhideWhenUsed/>
    <w:rsid w:val="00BB0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ev">
    <w:name w:val="Strong"/>
    <w:basedOn w:val="Policepardfaut"/>
    <w:qFormat/>
    <w:rsid w:val="00BB040F"/>
    <w:rPr>
      <w:b/>
      <w:bCs/>
    </w:rPr>
  </w:style>
  <w:style w:type="paragraph" w:styleId="Notedebasdepage">
    <w:name w:val="footnote text"/>
    <w:basedOn w:val="Normal"/>
    <w:link w:val="NotedebasdepageCar"/>
    <w:uiPriority w:val="99"/>
    <w:semiHidden/>
    <w:rsid w:val="004559C9"/>
    <w:pPr>
      <w:spacing w:after="0" w:line="240" w:lineRule="auto"/>
    </w:pPr>
    <w:rPr>
      <w:rFonts w:ascii="Calibri" w:eastAsia="Calibri" w:hAnsi="Calibri" w:cs="Arial"/>
      <w:sz w:val="20"/>
      <w:szCs w:val="20"/>
      <w:lang w:val="fr-FR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4559C9"/>
    <w:rPr>
      <w:rFonts w:ascii="Calibri" w:eastAsia="Calibri" w:hAnsi="Calibri" w:cs="Arial"/>
      <w:sz w:val="20"/>
      <w:szCs w:val="20"/>
      <w:lang w:val="fr-FR"/>
    </w:rPr>
  </w:style>
  <w:style w:type="character" w:styleId="Appelnotedebasdep">
    <w:name w:val="footnote reference"/>
    <w:basedOn w:val="Policepardfaut"/>
    <w:uiPriority w:val="99"/>
    <w:semiHidden/>
    <w:rsid w:val="004559C9"/>
    <w:rPr>
      <w:rFonts w:cs="Times New Roman"/>
      <w:vertAlign w:val="superscript"/>
    </w:rPr>
  </w:style>
  <w:style w:type="paragraph" w:customStyle="1" w:styleId="H1G">
    <w:name w:val="_ H_1_G"/>
    <w:basedOn w:val="Normal"/>
    <w:next w:val="Normal"/>
    <w:uiPriority w:val="99"/>
    <w:rsid w:val="000B37C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1">
    <w:name w:val="c1"/>
    <w:basedOn w:val="Normal"/>
    <w:rsid w:val="00D87E8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customStyle="1" w:styleId="p2">
    <w:name w:val="p2"/>
    <w:basedOn w:val="Normal"/>
    <w:rsid w:val="00D87E82"/>
    <w:pPr>
      <w:widowControl w:val="0"/>
      <w:tabs>
        <w:tab w:val="left" w:pos="294"/>
      </w:tabs>
      <w:autoSpaceDE w:val="0"/>
      <w:autoSpaceDN w:val="0"/>
      <w:adjustRightInd w:val="0"/>
      <w:spacing w:after="0" w:line="240" w:lineRule="auto"/>
      <w:ind w:left="1146"/>
      <w:jc w:val="both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customStyle="1" w:styleId="p3">
    <w:name w:val="p3"/>
    <w:basedOn w:val="Normal"/>
    <w:rsid w:val="00D87E82"/>
    <w:pPr>
      <w:widowControl w:val="0"/>
      <w:tabs>
        <w:tab w:val="left" w:pos="204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customStyle="1" w:styleId="p4">
    <w:name w:val="p4"/>
    <w:basedOn w:val="Normal"/>
    <w:rsid w:val="00D87E82"/>
    <w:pPr>
      <w:widowControl w:val="0"/>
      <w:tabs>
        <w:tab w:val="left" w:pos="238"/>
      </w:tabs>
      <w:autoSpaceDE w:val="0"/>
      <w:autoSpaceDN w:val="0"/>
      <w:adjustRightInd w:val="0"/>
      <w:spacing w:after="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customStyle="1" w:styleId="p5">
    <w:name w:val="p5"/>
    <w:basedOn w:val="Normal"/>
    <w:rsid w:val="00D87E82"/>
    <w:pPr>
      <w:widowControl w:val="0"/>
      <w:tabs>
        <w:tab w:val="left" w:pos="204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customStyle="1" w:styleId="p1">
    <w:name w:val="p1"/>
    <w:basedOn w:val="Normal"/>
    <w:rsid w:val="00D87E82"/>
    <w:pPr>
      <w:widowControl w:val="0"/>
      <w:tabs>
        <w:tab w:val="left" w:pos="204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paragraph" w:customStyle="1" w:styleId="c3">
    <w:name w:val="c3"/>
    <w:basedOn w:val="Normal"/>
    <w:rsid w:val="00D87E8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fr-FR"/>
    </w:rPr>
  </w:style>
  <w:style w:type="table" w:styleId="Grilledutableau">
    <w:name w:val="Table Grid"/>
    <w:basedOn w:val="TableauNormal"/>
    <w:uiPriority w:val="59"/>
    <w:rsid w:val="003530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387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877C4"/>
  </w:style>
  <w:style w:type="paragraph" w:styleId="Pieddepage">
    <w:name w:val="footer"/>
    <w:basedOn w:val="Normal"/>
    <w:link w:val="PieddepageCar"/>
    <w:uiPriority w:val="99"/>
    <w:unhideWhenUsed/>
    <w:rsid w:val="00387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77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151C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4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33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1CA609-041F-4DAC-8A36-21050F9BE869}"/>
</file>

<file path=customXml/itemProps2.xml><?xml version="1.0" encoding="utf-8"?>
<ds:datastoreItem xmlns:ds="http://schemas.openxmlformats.org/officeDocument/2006/customXml" ds:itemID="{C48A93B3-0CC1-470D-9344-00BB67F0099F}"/>
</file>

<file path=customXml/itemProps3.xml><?xml version="1.0" encoding="utf-8"?>
<ds:datastoreItem xmlns:ds="http://schemas.openxmlformats.org/officeDocument/2006/customXml" ds:itemID="{CDA57B3C-1324-433A-9821-8F80DC0BB7B6}"/>
</file>

<file path=customXml/itemProps4.xml><?xml version="1.0" encoding="utf-8"?>
<ds:datastoreItem xmlns:ds="http://schemas.openxmlformats.org/officeDocument/2006/customXml" ds:itemID="{5DEFADD7-4704-46F6-A460-AFD84BDA9D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10</Pages>
  <Words>1811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ahlem</dc:creator>
  <cp:lastModifiedBy>Antar Hassani</cp:lastModifiedBy>
  <cp:revision>13</cp:revision>
  <cp:lastPrinted>2017-11-22T12:12:00Z</cp:lastPrinted>
  <dcterms:created xsi:type="dcterms:W3CDTF">2017-11-19T16:19:00Z</dcterms:created>
  <dcterms:modified xsi:type="dcterms:W3CDTF">2017-11-24T22:38:00Z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