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A17" w:rsidRPr="00A16B8B" w:rsidRDefault="00DB122A" w:rsidP="00DB122A">
      <w:pPr>
        <w:jc w:val="center"/>
        <w:rPr>
          <w:sz w:val="28"/>
          <w:szCs w:val="28"/>
        </w:rPr>
      </w:pPr>
      <w:r>
        <w:rPr>
          <w:rFonts w:asciiTheme="majorBidi" w:hAnsiTheme="majorBidi" w:cstheme="majorBidi"/>
          <w:b/>
          <w:bCs/>
          <w:noProof/>
          <w:sz w:val="32"/>
          <w:szCs w:val="32"/>
          <w:u w:val="single"/>
        </w:rPr>
        <w:drawing>
          <wp:inline distT="0" distB="0" distL="0" distR="0" wp14:anchorId="5BE88C5D" wp14:editId="035DC506">
            <wp:extent cx="49244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لوجو-انجليزي.jpg"/>
                    <pic:cNvPicPr/>
                  </pic:nvPicPr>
                  <pic:blipFill>
                    <a:blip r:embed="rId5">
                      <a:extLst>
                        <a:ext uri="{28A0092B-C50C-407E-A947-70E740481C1C}">
                          <a14:useLocalDpi xmlns:a14="http://schemas.microsoft.com/office/drawing/2010/main" val="0"/>
                        </a:ext>
                      </a:extLst>
                    </a:blip>
                    <a:stretch>
                      <a:fillRect/>
                    </a:stretch>
                  </pic:blipFill>
                  <pic:spPr>
                    <a:xfrm>
                      <a:off x="0" y="0"/>
                      <a:ext cx="4924425" cy="1209675"/>
                    </a:xfrm>
                    <a:prstGeom prst="rect">
                      <a:avLst/>
                    </a:prstGeom>
                  </pic:spPr>
                </pic:pic>
              </a:graphicData>
            </a:graphic>
          </wp:inline>
        </w:drawing>
      </w:r>
    </w:p>
    <w:p w:rsidR="00E01ADD" w:rsidRPr="00A16B8B" w:rsidRDefault="00E01ADD">
      <w:pPr>
        <w:rPr>
          <w:sz w:val="28"/>
          <w:szCs w:val="28"/>
        </w:rPr>
      </w:pPr>
    </w:p>
    <w:p w:rsidR="00E01ADD" w:rsidRPr="00A16B8B" w:rsidRDefault="00E01ADD" w:rsidP="00DB122A">
      <w:pPr>
        <w:jc w:val="center"/>
        <w:rPr>
          <w:rFonts w:asciiTheme="majorBidi" w:hAnsiTheme="majorBidi" w:cstheme="majorBidi"/>
          <w:b/>
          <w:bCs/>
          <w:sz w:val="32"/>
          <w:szCs w:val="32"/>
          <w:u w:val="single"/>
        </w:rPr>
      </w:pPr>
      <w:r w:rsidRPr="00A16B8B">
        <w:rPr>
          <w:rFonts w:asciiTheme="majorBidi" w:hAnsiTheme="majorBidi" w:cstheme="majorBidi"/>
          <w:b/>
          <w:bCs/>
          <w:sz w:val="32"/>
          <w:szCs w:val="32"/>
          <w:u w:val="single"/>
        </w:rPr>
        <w:t>An Analysis of the state of Civil &amp; Political Rights in Egypt</w:t>
      </w:r>
    </w:p>
    <w:p w:rsidR="00E01ADD" w:rsidRPr="00A16B8B" w:rsidRDefault="00E01ADD" w:rsidP="00E01ADD">
      <w:pPr>
        <w:jc w:val="center"/>
        <w:rPr>
          <w:rFonts w:asciiTheme="majorBidi" w:hAnsiTheme="majorBidi" w:cstheme="majorBidi"/>
          <w:sz w:val="28"/>
          <w:szCs w:val="28"/>
          <w:u w:val="single"/>
        </w:rPr>
      </w:pPr>
      <w:r w:rsidRPr="00A16B8B">
        <w:rPr>
          <w:rFonts w:asciiTheme="majorBidi" w:hAnsiTheme="majorBidi" w:cstheme="majorBidi"/>
          <w:sz w:val="28"/>
          <w:szCs w:val="28"/>
          <w:u w:val="single"/>
        </w:rPr>
        <w:t xml:space="preserve">A report presented by the Egyptian Organization for Human Rights to the United Nations Human Rights Committee </w:t>
      </w:r>
    </w:p>
    <w:p w:rsidR="00E01ADD" w:rsidRPr="00A16B8B" w:rsidRDefault="00E01ADD" w:rsidP="00DB122A">
      <w:pPr>
        <w:rPr>
          <w:rFonts w:asciiTheme="majorBidi" w:hAnsiTheme="majorBidi" w:cstheme="majorBidi"/>
          <w:sz w:val="28"/>
          <w:szCs w:val="28"/>
          <w:u w:val="single"/>
        </w:rPr>
      </w:pPr>
    </w:p>
    <w:p w:rsidR="00E01ADD" w:rsidRPr="00A16B8B" w:rsidRDefault="00E01ADD" w:rsidP="00E01ADD">
      <w:pPr>
        <w:rPr>
          <w:rFonts w:asciiTheme="majorBidi" w:hAnsiTheme="majorBidi" w:cstheme="majorBidi"/>
          <w:b/>
          <w:bCs/>
          <w:sz w:val="28"/>
          <w:szCs w:val="28"/>
          <w:u w:val="single"/>
        </w:rPr>
      </w:pPr>
      <w:r w:rsidRPr="00A16B8B">
        <w:rPr>
          <w:rFonts w:asciiTheme="majorBidi" w:hAnsiTheme="majorBidi" w:cstheme="majorBidi"/>
          <w:b/>
          <w:bCs/>
          <w:sz w:val="28"/>
          <w:szCs w:val="28"/>
          <w:u w:val="single"/>
        </w:rPr>
        <w:t>Who we are?</w:t>
      </w:r>
    </w:p>
    <w:p w:rsidR="00E01ADD" w:rsidRPr="00A16B8B" w:rsidRDefault="00E01ADD" w:rsidP="00E01ADD">
      <w:pPr>
        <w:rPr>
          <w:rFonts w:asciiTheme="majorBidi" w:hAnsiTheme="majorBidi" w:cstheme="majorBidi"/>
          <w:sz w:val="28"/>
          <w:szCs w:val="28"/>
        </w:rPr>
      </w:pPr>
      <w:r w:rsidRPr="00A16B8B">
        <w:rPr>
          <w:rFonts w:asciiTheme="majorBidi" w:hAnsiTheme="majorBidi" w:cstheme="majorBidi"/>
          <w:sz w:val="28"/>
          <w:szCs w:val="28"/>
        </w:rPr>
        <w:t>The Egyptian Organization for Human Rights (EOHR) is a Cairo based human rights association registered under number 5220 on June 24</w:t>
      </w:r>
      <w:r w:rsidRPr="00A16B8B">
        <w:rPr>
          <w:rFonts w:asciiTheme="majorBidi" w:hAnsiTheme="majorBidi" w:cstheme="majorBidi"/>
          <w:sz w:val="28"/>
          <w:szCs w:val="28"/>
          <w:vertAlign w:val="superscript"/>
        </w:rPr>
        <w:t>th</w:t>
      </w:r>
      <w:r w:rsidRPr="00A16B8B">
        <w:rPr>
          <w:rFonts w:asciiTheme="majorBidi" w:hAnsiTheme="majorBidi" w:cstheme="majorBidi"/>
          <w:sz w:val="28"/>
          <w:szCs w:val="28"/>
        </w:rPr>
        <w:t>, 2003; and its one of the oldest and most prominent human rights associations in Egypt.</w:t>
      </w:r>
    </w:p>
    <w:p w:rsidR="00E01ADD" w:rsidRPr="00A16B8B" w:rsidRDefault="00E01ADD" w:rsidP="00E01ADD">
      <w:pPr>
        <w:rPr>
          <w:rFonts w:asciiTheme="majorBidi" w:hAnsiTheme="majorBidi" w:cstheme="majorBidi"/>
          <w:sz w:val="28"/>
          <w:szCs w:val="28"/>
        </w:rPr>
      </w:pPr>
      <w:r w:rsidRPr="00A16B8B">
        <w:rPr>
          <w:rFonts w:asciiTheme="majorBidi" w:hAnsiTheme="majorBidi" w:cstheme="majorBidi"/>
          <w:sz w:val="28"/>
          <w:szCs w:val="28"/>
        </w:rPr>
        <w:t xml:space="preserve">EOHR was founded in 1985 and executes its functions in accordance with the provisions of the Universal Declaration for Human Rights </w:t>
      </w:r>
      <w:r w:rsidR="00B23A88" w:rsidRPr="00A16B8B">
        <w:rPr>
          <w:rFonts w:asciiTheme="majorBidi" w:hAnsiTheme="majorBidi" w:cstheme="majorBidi"/>
          <w:sz w:val="28"/>
          <w:szCs w:val="28"/>
        </w:rPr>
        <w:t>and international human rights treaties. EOHR has had a UNECOSOC consultative status since 2006 and enjoys an observer status with the African Commission on Human and People’s Rights.</w:t>
      </w:r>
    </w:p>
    <w:p w:rsidR="00B11A14" w:rsidRPr="00DB122A" w:rsidRDefault="00B23A88" w:rsidP="00DB122A">
      <w:pPr>
        <w:rPr>
          <w:rFonts w:asciiTheme="majorBidi" w:hAnsiTheme="majorBidi" w:cstheme="majorBidi"/>
          <w:sz w:val="28"/>
          <w:szCs w:val="28"/>
        </w:rPr>
      </w:pPr>
      <w:r w:rsidRPr="00A16B8B">
        <w:rPr>
          <w:rFonts w:asciiTheme="majorBidi" w:hAnsiTheme="majorBidi" w:cstheme="majorBidi"/>
          <w:sz w:val="28"/>
          <w:szCs w:val="28"/>
        </w:rPr>
        <w:t xml:space="preserve">EOHR is also a member of several international non-governmental human rights entities including the Geneva based World Organization Against Torture (OMCT) and Arab Organization for Human Rights (AOHR). </w:t>
      </w:r>
    </w:p>
    <w:p w:rsidR="00B11A14" w:rsidRPr="00A16B8B" w:rsidRDefault="00B11A14" w:rsidP="004C2D2E">
      <w:pPr>
        <w:rPr>
          <w:rFonts w:asciiTheme="majorBidi" w:hAnsiTheme="majorBidi" w:cstheme="majorBidi"/>
          <w:b/>
          <w:bCs/>
          <w:sz w:val="28"/>
          <w:szCs w:val="28"/>
        </w:rPr>
      </w:pPr>
      <w:r w:rsidRPr="00A16B8B">
        <w:rPr>
          <w:rFonts w:asciiTheme="majorBidi" w:hAnsiTheme="majorBidi" w:cstheme="majorBidi"/>
          <w:b/>
          <w:bCs/>
          <w:sz w:val="28"/>
          <w:szCs w:val="28"/>
        </w:rPr>
        <w:t xml:space="preserve">EOHR submits this report to the Human Rights Committee as an assessment of the state of civil and political rights in Egypt over the past 5 years. The structure of the report categorizes the information </w:t>
      </w:r>
      <w:r w:rsidR="004C2D2E" w:rsidRPr="00A16B8B">
        <w:rPr>
          <w:rFonts w:asciiTheme="majorBidi" w:hAnsiTheme="majorBidi" w:cstheme="majorBidi"/>
          <w:b/>
          <w:bCs/>
          <w:sz w:val="28"/>
          <w:szCs w:val="28"/>
        </w:rPr>
        <w:t>into</w:t>
      </w:r>
      <w:r w:rsidRPr="00A16B8B">
        <w:rPr>
          <w:rFonts w:asciiTheme="majorBidi" w:hAnsiTheme="majorBidi" w:cstheme="majorBidi"/>
          <w:b/>
          <w:bCs/>
          <w:sz w:val="28"/>
          <w:szCs w:val="28"/>
        </w:rPr>
        <w:t xml:space="preserve"> right</w:t>
      </w:r>
      <w:r w:rsidR="004C2D2E" w:rsidRPr="00A16B8B">
        <w:rPr>
          <w:rFonts w:asciiTheme="majorBidi" w:hAnsiTheme="majorBidi" w:cstheme="majorBidi"/>
          <w:b/>
          <w:bCs/>
          <w:sz w:val="28"/>
          <w:szCs w:val="28"/>
        </w:rPr>
        <w:t>s covered by ICCPR, it also evaluates the performance of th Egyptian government in this regard. The report will be concluded by a number of recommendations entailing the necessary measures to uphold and protect civil and political rights in Egypt in light of EOHR’s assessment based on the data it collected.</w:t>
      </w:r>
    </w:p>
    <w:p w:rsidR="00BA3D2B" w:rsidRPr="00A16B8B" w:rsidRDefault="00BA3D2B" w:rsidP="00BA3D2B">
      <w:pPr>
        <w:rPr>
          <w:rFonts w:asciiTheme="majorBidi" w:hAnsiTheme="majorBidi" w:cstheme="majorBidi"/>
          <w:b/>
          <w:bCs/>
          <w:sz w:val="28"/>
          <w:szCs w:val="28"/>
        </w:rPr>
      </w:pPr>
      <w:r w:rsidRPr="00A16B8B">
        <w:rPr>
          <w:rFonts w:asciiTheme="majorBidi" w:hAnsiTheme="majorBidi" w:cstheme="majorBidi"/>
          <w:b/>
          <w:bCs/>
          <w:sz w:val="28"/>
          <w:szCs w:val="28"/>
        </w:rPr>
        <w:t xml:space="preserve">The report relies primarily on what EOHR has documented during its field work in terms of measures and practices that positively or adversely affect </w:t>
      </w:r>
      <w:r w:rsidRPr="00A16B8B">
        <w:rPr>
          <w:rFonts w:asciiTheme="majorBidi" w:hAnsiTheme="majorBidi" w:cstheme="majorBidi"/>
          <w:b/>
          <w:bCs/>
          <w:sz w:val="28"/>
          <w:szCs w:val="28"/>
        </w:rPr>
        <w:lastRenderedPageBreak/>
        <w:t>civil and political rights as well as its monitoring of human rights developments in the country.</w:t>
      </w:r>
    </w:p>
    <w:p w:rsidR="00E01ADD" w:rsidRPr="00A16B8B" w:rsidRDefault="00E01ADD" w:rsidP="00E01ADD">
      <w:pPr>
        <w:rPr>
          <w:rFonts w:asciiTheme="majorBidi" w:hAnsiTheme="majorBidi" w:cstheme="majorBidi"/>
          <w:sz w:val="28"/>
          <w:szCs w:val="28"/>
          <w:u w:val="single"/>
        </w:rPr>
      </w:pPr>
    </w:p>
    <w:p w:rsidR="00D3108D" w:rsidRPr="00A16B8B" w:rsidRDefault="00D3108D" w:rsidP="00E01ADD">
      <w:pPr>
        <w:rPr>
          <w:rFonts w:asciiTheme="majorBidi" w:hAnsiTheme="majorBidi" w:cstheme="majorBidi"/>
          <w:b/>
          <w:bCs/>
          <w:sz w:val="28"/>
          <w:szCs w:val="28"/>
          <w:u w:val="single"/>
        </w:rPr>
      </w:pPr>
      <w:r w:rsidRPr="00A16B8B">
        <w:rPr>
          <w:rFonts w:asciiTheme="majorBidi" w:hAnsiTheme="majorBidi" w:cstheme="majorBidi"/>
          <w:b/>
          <w:bCs/>
          <w:sz w:val="28"/>
          <w:szCs w:val="28"/>
          <w:u w:val="single"/>
        </w:rPr>
        <w:t>1) The Right to life</w:t>
      </w:r>
    </w:p>
    <w:p w:rsidR="00D3108D" w:rsidRPr="00A16B8B" w:rsidRDefault="00D3108D" w:rsidP="00690824">
      <w:pPr>
        <w:rPr>
          <w:rFonts w:asciiTheme="majorBidi" w:hAnsiTheme="majorBidi" w:cstheme="majorBidi"/>
          <w:sz w:val="28"/>
          <w:szCs w:val="28"/>
        </w:rPr>
      </w:pPr>
      <w:r w:rsidRPr="00A16B8B">
        <w:rPr>
          <w:rFonts w:asciiTheme="majorBidi" w:hAnsiTheme="majorBidi" w:cstheme="majorBidi"/>
          <w:sz w:val="28"/>
          <w:szCs w:val="28"/>
        </w:rPr>
        <w:t>The Rights to life is the right from which all other human rights originate</w:t>
      </w:r>
      <w:r w:rsidR="00690824" w:rsidRPr="00A16B8B">
        <w:rPr>
          <w:rFonts w:asciiTheme="majorBidi" w:hAnsiTheme="majorBidi" w:cstheme="majorBidi"/>
          <w:sz w:val="28"/>
          <w:szCs w:val="28"/>
        </w:rPr>
        <w:t>. In this regards EOHR maintains its concerns regarding Egypt continuing its application of the death penalty in its penal system. Despite the fact that Egyptian law provides stern guarantees for issuing and applying the death penalty, yet EOHR stresses the necessity of reducing the number of crimes punishable by it and limiting it to serious crimes only, with the aim of gradually suspending it in line with the recommendations of the Human Rights Committee in 1993. EOHR also calls upon the Egyptian government to ratify ICCPR’s second optional protocol which aims to abolish the death penalty worldwide.</w:t>
      </w:r>
    </w:p>
    <w:p w:rsidR="00690824" w:rsidRPr="00A16B8B" w:rsidRDefault="00690824" w:rsidP="00690824">
      <w:pPr>
        <w:rPr>
          <w:rFonts w:asciiTheme="majorBidi" w:hAnsiTheme="majorBidi" w:cstheme="majorBidi"/>
          <w:sz w:val="28"/>
          <w:szCs w:val="28"/>
        </w:rPr>
      </w:pPr>
    </w:p>
    <w:p w:rsidR="00690824" w:rsidRPr="00A16B8B" w:rsidRDefault="00690824" w:rsidP="00690824">
      <w:pPr>
        <w:rPr>
          <w:rFonts w:asciiTheme="majorBidi" w:hAnsiTheme="majorBidi" w:cstheme="majorBidi"/>
          <w:b/>
          <w:bCs/>
          <w:sz w:val="28"/>
          <w:szCs w:val="28"/>
          <w:u w:val="single"/>
        </w:rPr>
      </w:pPr>
      <w:r w:rsidRPr="00A16B8B">
        <w:rPr>
          <w:rFonts w:asciiTheme="majorBidi" w:hAnsiTheme="majorBidi" w:cstheme="majorBidi"/>
          <w:b/>
          <w:bCs/>
          <w:sz w:val="28"/>
          <w:szCs w:val="28"/>
          <w:u w:val="single"/>
        </w:rPr>
        <w:t>2) The rights of inmates and other detainees</w:t>
      </w:r>
    </w:p>
    <w:p w:rsidR="00690824" w:rsidRPr="00A16B8B" w:rsidRDefault="00413EB3" w:rsidP="00690824">
      <w:pPr>
        <w:rPr>
          <w:rFonts w:asciiTheme="majorBidi" w:hAnsiTheme="majorBidi" w:cstheme="majorBidi"/>
          <w:sz w:val="28"/>
          <w:szCs w:val="28"/>
        </w:rPr>
      </w:pPr>
      <w:r w:rsidRPr="00A16B8B">
        <w:rPr>
          <w:rFonts w:asciiTheme="majorBidi" w:hAnsiTheme="majorBidi" w:cstheme="majorBidi"/>
          <w:sz w:val="28"/>
          <w:szCs w:val="28"/>
        </w:rPr>
        <w:t>Recently</w:t>
      </w:r>
      <w:r w:rsidR="00690824" w:rsidRPr="00A16B8B">
        <w:rPr>
          <w:rFonts w:asciiTheme="majorBidi" w:hAnsiTheme="majorBidi" w:cstheme="majorBidi"/>
          <w:sz w:val="28"/>
          <w:szCs w:val="28"/>
        </w:rPr>
        <w:t xml:space="preserve"> Egyptian prisons and detention</w:t>
      </w:r>
      <w:r w:rsidRPr="00A16B8B">
        <w:rPr>
          <w:rFonts w:asciiTheme="majorBidi" w:hAnsiTheme="majorBidi" w:cstheme="majorBidi"/>
          <w:sz w:val="28"/>
          <w:szCs w:val="28"/>
        </w:rPr>
        <w:t xml:space="preserve"> conditions have witnesses moderate improvement with the amendment of the prison regulation law. The amendments turned prisons into correctional and rehabilitation facilities, and the prison’s department at the ministry of interior was changed to the department of communal protection. The term prisoner has also been removed from the law and replaced with term inmates. The law also provided inmates with new rights like receiving personal letters and continuing education.</w:t>
      </w:r>
    </w:p>
    <w:p w:rsidR="00690824" w:rsidRPr="00A16B8B" w:rsidRDefault="00413EB3" w:rsidP="005B5F6B">
      <w:pPr>
        <w:rPr>
          <w:rFonts w:asciiTheme="majorBidi" w:hAnsiTheme="majorBidi" w:cstheme="majorBidi"/>
          <w:sz w:val="28"/>
          <w:szCs w:val="28"/>
        </w:rPr>
      </w:pPr>
      <w:r w:rsidRPr="00A16B8B">
        <w:rPr>
          <w:rFonts w:asciiTheme="majorBidi" w:hAnsiTheme="majorBidi" w:cstheme="majorBidi"/>
          <w:sz w:val="28"/>
          <w:szCs w:val="28"/>
        </w:rPr>
        <w:t xml:space="preserve">The government also opened 2 new correctional and rehabilitation facilities in the towns of Wadi al Natroun and Badr.  </w:t>
      </w:r>
      <w:r w:rsidR="005B5F6B" w:rsidRPr="00A16B8B">
        <w:rPr>
          <w:rFonts w:asciiTheme="majorBidi" w:hAnsiTheme="majorBidi" w:cstheme="majorBidi"/>
          <w:sz w:val="28"/>
          <w:szCs w:val="28"/>
        </w:rPr>
        <w:t>EOHR was invited to visit</w:t>
      </w:r>
      <w:r w:rsidRPr="00A16B8B">
        <w:rPr>
          <w:rFonts w:asciiTheme="majorBidi" w:hAnsiTheme="majorBidi" w:cstheme="majorBidi"/>
          <w:sz w:val="28"/>
          <w:szCs w:val="28"/>
        </w:rPr>
        <w:t xml:space="preserve"> those 2 </w:t>
      </w:r>
      <w:r w:rsidR="005B5F6B" w:rsidRPr="00A16B8B">
        <w:rPr>
          <w:rFonts w:asciiTheme="majorBidi" w:hAnsiTheme="majorBidi" w:cstheme="majorBidi"/>
          <w:sz w:val="28"/>
          <w:szCs w:val="28"/>
        </w:rPr>
        <w:t>centers, and based upon our inspection of</w:t>
      </w:r>
      <w:r w:rsidRPr="00A16B8B">
        <w:rPr>
          <w:rFonts w:asciiTheme="majorBidi" w:hAnsiTheme="majorBidi" w:cstheme="majorBidi"/>
          <w:sz w:val="28"/>
          <w:szCs w:val="28"/>
        </w:rPr>
        <w:t xml:space="preserve"> </w:t>
      </w:r>
      <w:r w:rsidR="005B5F6B" w:rsidRPr="00A16B8B">
        <w:rPr>
          <w:rFonts w:asciiTheme="majorBidi" w:hAnsiTheme="majorBidi" w:cstheme="majorBidi"/>
          <w:sz w:val="28"/>
          <w:szCs w:val="28"/>
        </w:rPr>
        <w:t xml:space="preserve">the health and service facilities and our conversations with prison officials and inmates we have assessed that the opening of these new prisons can be treated as positive as a positive development. Upon inspection we found the facilities and services much more advanced and humane than older prisons, also 15 of Egypt’s 44 old prisons will be closed down the inmate population will be moved to the new correctional facilities in Badr and Wadi El Natroun. </w:t>
      </w:r>
    </w:p>
    <w:p w:rsidR="005B5F6B" w:rsidRPr="00A16B8B" w:rsidRDefault="005B5F6B" w:rsidP="001A099F">
      <w:pPr>
        <w:rPr>
          <w:rFonts w:asciiTheme="majorBidi" w:hAnsiTheme="majorBidi" w:cstheme="majorBidi"/>
          <w:sz w:val="28"/>
          <w:szCs w:val="28"/>
        </w:rPr>
      </w:pPr>
      <w:r w:rsidRPr="00A16B8B">
        <w:rPr>
          <w:rFonts w:asciiTheme="majorBidi" w:hAnsiTheme="majorBidi" w:cstheme="majorBidi"/>
          <w:sz w:val="28"/>
          <w:szCs w:val="28"/>
        </w:rPr>
        <w:t xml:space="preserve">On the other </w:t>
      </w:r>
      <w:r w:rsidR="001A099F" w:rsidRPr="00A16B8B">
        <w:rPr>
          <w:rFonts w:asciiTheme="majorBidi" w:hAnsiTheme="majorBidi" w:cstheme="majorBidi"/>
          <w:sz w:val="28"/>
          <w:szCs w:val="28"/>
        </w:rPr>
        <w:t>hand,</w:t>
      </w:r>
      <w:r w:rsidRPr="00A16B8B">
        <w:rPr>
          <w:rFonts w:asciiTheme="majorBidi" w:hAnsiTheme="majorBidi" w:cstheme="majorBidi"/>
          <w:sz w:val="28"/>
          <w:szCs w:val="28"/>
        </w:rPr>
        <w:t xml:space="preserve"> the living conditions in many older Egyptian prisons are </w:t>
      </w:r>
      <w:r w:rsidR="001A099F" w:rsidRPr="00A16B8B">
        <w:rPr>
          <w:rFonts w:asciiTheme="majorBidi" w:hAnsiTheme="majorBidi" w:cstheme="majorBidi"/>
          <w:sz w:val="28"/>
          <w:szCs w:val="28"/>
        </w:rPr>
        <w:t xml:space="preserve">below the minimum standards to provide dignified living conditions for inmates. </w:t>
      </w:r>
      <w:r w:rsidR="001A099F" w:rsidRPr="00A16B8B">
        <w:rPr>
          <w:rFonts w:asciiTheme="majorBidi" w:hAnsiTheme="majorBidi" w:cstheme="majorBidi"/>
          <w:sz w:val="28"/>
          <w:szCs w:val="28"/>
        </w:rPr>
        <w:lastRenderedPageBreak/>
        <w:t xml:space="preserve">Therefore, EOHR stresses the need to expand the prison modernization project to include all Egyptian prisons in order to transform them into real correctional and rehabilitation facilities in which an inmate can spend his/her sentencing without having their dignity and wellbeing eroded. </w:t>
      </w:r>
    </w:p>
    <w:p w:rsidR="001A099F" w:rsidRPr="00A16B8B" w:rsidRDefault="001A099F" w:rsidP="001A099F">
      <w:pPr>
        <w:rPr>
          <w:rFonts w:asciiTheme="majorBidi" w:hAnsiTheme="majorBidi" w:cstheme="majorBidi"/>
          <w:sz w:val="28"/>
          <w:szCs w:val="28"/>
        </w:rPr>
      </w:pPr>
    </w:p>
    <w:p w:rsidR="00BE27F4" w:rsidRPr="00A16B8B" w:rsidRDefault="00BE27F4" w:rsidP="001A099F">
      <w:pPr>
        <w:rPr>
          <w:rFonts w:asciiTheme="majorBidi" w:hAnsiTheme="majorBidi" w:cstheme="majorBidi"/>
          <w:b/>
          <w:bCs/>
          <w:sz w:val="28"/>
          <w:szCs w:val="28"/>
          <w:u w:val="single"/>
        </w:rPr>
      </w:pPr>
      <w:r w:rsidRPr="00A16B8B">
        <w:rPr>
          <w:rFonts w:asciiTheme="majorBidi" w:hAnsiTheme="majorBidi" w:cstheme="majorBidi"/>
          <w:b/>
          <w:bCs/>
          <w:sz w:val="28"/>
          <w:szCs w:val="28"/>
          <w:u w:val="single"/>
        </w:rPr>
        <w:t xml:space="preserve">3) The Rights to Bodily Integrity </w:t>
      </w:r>
    </w:p>
    <w:p w:rsidR="00BE27F4" w:rsidRPr="00A16B8B" w:rsidRDefault="00BE27F4" w:rsidP="001A099F">
      <w:pPr>
        <w:rPr>
          <w:rFonts w:asciiTheme="majorBidi" w:hAnsiTheme="majorBidi" w:cstheme="majorBidi"/>
          <w:sz w:val="28"/>
          <w:szCs w:val="28"/>
        </w:rPr>
      </w:pPr>
      <w:r w:rsidRPr="00A16B8B">
        <w:rPr>
          <w:rFonts w:asciiTheme="majorBidi" w:hAnsiTheme="majorBidi" w:cstheme="majorBidi"/>
          <w:sz w:val="28"/>
          <w:szCs w:val="28"/>
        </w:rPr>
        <w:t>The Egyptian constitution states that torture, intimidation, coercion, or physical or moral harm may not be inflicted on any person detained, o</w:t>
      </w:r>
      <w:r w:rsidR="000B094B" w:rsidRPr="00A16B8B">
        <w:rPr>
          <w:rFonts w:asciiTheme="majorBidi" w:hAnsiTheme="majorBidi" w:cstheme="majorBidi"/>
          <w:sz w:val="28"/>
          <w:szCs w:val="28"/>
        </w:rPr>
        <w:t>r arrested by the authorities and t</w:t>
      </w:r>
      <w:r w:rsidRPr="00A16B8B">
        <w:rPr>
          <w:rFonts w:asciiTheme="majorBidi" w:hAnsiTheme="majorBidi" w:cstheme="majorBidi"/>
          <w:sz w:val="28"/>
          <w:szCs w:val="28"/>
        </w:rPr>
        <w:t>he Penal Code prohibits torture to extract a confess</w:t>
      </w:r>
      <w:r w:rsidR="000B094B" w:rsidRPr="00A16B8B">
        <w:rPr>
          <w:rFonts w:asciiTheme="majorBidi" w:hAnsiTheme="majorBidi" w:cstheme="majorBidi"/>
          <w:sz w:val="28"/>
          <w:szCs w:val="28"/>
        </w:rPr>
        <w:t xml:space="preserve">ion from </w:t>
      </w:r>
      <w:r w:rsidRPr="00A16B8B">
        <w:rPr>
          <w:rFonts w:asciiTheme="majorBidi" w:hAnsiTheme="majorBidi" w:cstheme="majorBidi"/>
          <w:sz w:val="28"/>
          <w:szCs w:val="28"/>
        </w:rPr>
        <w:t>suspect</w:t>
      </w:r>
      <w:r w:rsidR="000B094B" w:rsidRPr="00A16B8B">
        <w:rPr>
          <w:rFonts w:asciiTheme="majorBidi" w:hAnsiTheme="majorBidi" w:cstheme="majorBidi"/>
          <w:sz w:val="28"/>
          <w:szCs w:val="28"/>
        </w:rPr>
        <w:t>s</w:t>
      </w:r>
      <w:r w:rsidRPr="00A16B8B">
        <w:rPr>
          <w:rFonts w:asciiTheme="majorBidi" w:hAnsiTheme="majorBidi" w:cstheme="majorBidi"/>
          <w:sz w:val="28"/>
          <w:szCs w:val="28"/>
        </w:rPr>
        <w:t>.</w:t>
      </w:r>
    </w:p>
    <w:p w:rsidR="000B094B" w:rsidRPr="00A16B8B" w:rsidRDefault="00693F3C" w:rsidP="001A099F">
      <w:pPr>
        <w:rPr>
          <w:rFonts w:asciiTheme="majorBidi" w:hAnsiTheme="majorBidi" w:cstheme="majorBidi"/>
          <w:sz w:val="28"/>
          <w:szCs w:val="28"/>
        </w:rPr>
      </w:pPr>
      <w:r w:rsidRPr="00A16B8B">
        <w:rPr>
          <w:rFonts w:asciiTheme="majorBidi" w:hAnsiTheme="majorBidi" w:cstheme="majorBidi"/>
          <w:sz w:val="28"/>
          <w:szCs w:val="28"/>
        </w:rPr>
        <w:t xml:space="preserve">Despite the constitutional and legal provisions prohibiting torture and national efforts </w:t>
      </w:r>
      <w:r w:rsidRPr="00A16B8B">
        <w:rPr>
          <w:rFonts w:asciiTheme="majorBidi" w:hAnsiTheme="majorBidi" w:cstheme="majorBidi"/>
          <w:sz w:val="28"/>
          <w:szCs w:val="28"/>
          <w:lang w:val="en-GB" w:bidi="ar-EG"/>
        </w:rPr>
        <w:t>appreciated by EOHR</w:t>
      </w:r>
      <w:r w:rsidRPr="00A16B8B">
        <w:rPr>
          <w:rFonts w:asciiTheme="majorBidi" w:hAnsiTheme="majorBidi" w:cstheme="majorBidi"/>
          <w:sz w:val="28"/>
          <w:szCs w:val="28"/>
        </w:rPr>
        <w:t xml:space="preserve"> to hold those who commit this crime accountable, the legislative environment in Egypt fails to create the necessary deterrent to stop this vile practice. Article 126 of the penal code does not provide the necessary legal protection to the right to bodily integrity on both the physical and mental level, as it only classifies illegal utilization of violence and coercion by state officials against a detainee as torture if the intent was to forcibly extract confessions during interrogation. Meaning that if an act of torture is committed by a law enforcement agent for intentions other than extracting confessions, then articles pertaining to torture won’t apply and the crime will not be treated as a torture case which opens the door for much less severe penalties to offenders. </w:t>
      </w:r>
    </w:p>
    <w:p w:rsidR="00693F3C" w:rsidRPr="00A16B8B" w:rsidRDefault="00693F3C" w:rsidP="00E92F09">
      <w:pPr>
        <w:rPr>
          <w:rFonts w:asciiTheme="majorBidi" w:hAnsiTheme="majorBidi" w:cstheme="majorBidi"/>
          <w:sz w:val="28"/>
          <w:szCs w:val="28"/>
        </w:rPr>
      </w:pPr>
      <w:r w:rsidRPr="00A16B8B">
        <w:rPr>
          <w:rFonts w:asciiTheme="majorBidi" w:hAnsiTheme="majorBidi" w:cstheme="majorBidi"/>
          <w:sz w:val="28"/>
          <w:szCs w:val="28"/>
        </w:rPr>
        <w:t xml:space="preserve">Article 126 </w:t>
      </w:r>
      <w:r w:rsidR="00E92F09" w:rsidRPr="00A16B8B">
        <w:rPr>
          <w:rFonts w:asciiTheme="majorBidi" w:hAnsiTheme="majorBidi" w:cstheme="majorBidi"/>
          <w:sz w:val="28"/>
          <w:szCs w:val="28"/>
        </w:rPr>
        <w:t xml:space="preserve">of the penal code simply </w:t>
      </w:r>
      <w:r w:rsidRPr="00A16B8B">
        <w:rPr>
          <w:rFonts w:asciiTheme="majorBidi" w:hAnsiTheme="majorBidi" w:cstheme="majorBidi"/>
          <w:sz w:val="28"/>
          <w:szCs w:val="28"/>
        </w:rPr>
        <w:t>contradicts the</w:t>
      </w:r>
      <w:r w:rsidR="00E92F09" w:rsidRPr="00A16B8B">
        <w:rPr>
          <w:rFonts w:asciiTheme="majorBidi" w:hAnsiTheme="majorBidi" w:cstheme="majorBidi"/>
          <w:sz w:val="28"/>
          <w:szCs w:val="28"/>
        </w:rPr>
        <w:t xml:space="preserve"> provisions of the UN</w:t>
      </w:r>
      <w:r w:rsidRPr="00A16B8B">
        <w:rPr>
          <w:rFonts w:asciiTheme="majorBidi" w:hAnsiTheme="majorBidi" w:cstheme="majorBidi"/>
          <w:sz w:val="28"/>
          <w:szCs w:val="28"/>
        </w:rPr>
        <w:t xml:space="preserve"> Convention against Torture, which was ratified by the Egyptian government in 1986, and according to A</w:t>
      </w:r>
      <w:r w:rsidR="00E92F09" w:rsidRPr="00A16B8B">
        <w:rPr>
          <w:rFonts w:asciiTheme="majorBidi" w:hAnsiTheme="majorBidi" w:cstheme="majorBidi"/>
          <w:sz w:val="28"/>
          <w:szCs w:val="28"/>
        </w:rPr>
        <w:t>rticle 93 of the Constitution this convention and all other human rights treaties Egypt has ratified have become an integral part of</w:t>
      </w:r>
      <w:r w:rsidRPr="00A16B8B">
        <w:rPr>
          <w:rFonts w:asciiTheme="majorBidi" w:hAnsiTheme="majorBidi" w:cstheme="majorBidi"/>
          <w:sz w:val="28"/>
          <w:szCs w:val="28"/>
        </w:rPr>
        <w:t xml:space="preserve"> national legislation. There is a vast dif</w:t>
      </w:r>
      <w:r w:rsidR="00E92F09" w:rsidRPr="00A16B8B">
        <w:rPr>
          <w:rFonts w:asciiTheme="majorBidi" w:hAnsiTheme="majorBidi" w:cstheme="majorBidi"/>
          <w:sz w:val="28"/>
          <w:szCs w:val="28"/>
        </w:rPr>
        <w:t>ference between the definition of torture presented by Article 126 and the definition of the UNCAT</w:t>
      </w:r>
      <w:r w:rsidRPr="00A16B8B">
        <w:rPr>
          <w:rFonts w:asciiTheme="majorBidi" w:hAnsiTheme="majorBidi" w:cstheme="majorBidi"/>
          <w:sz w:val="28"/>
          <w:szCs w:val="28"/>
        </w:rPr>
        <w:t xml:space="preserve">. </w:t>
      </w:r>
      <w:r w:rsidR="00E92F09" w:rsidRPr="00A16B8B">
        <w:rPr>
          <w:rFonts w:asciiTheme="majorBidi" w:hAnsiTheme="majorBidi" w:cstheme="majorBidi"/>
          <w:sz w:val="28"/>
          <w:szCs w:val="28"/>
        </w:rPr>
        <w:t xml:space="preserve"> The Egyptian penal code narrows</w:t>
      </w:r>
      <w:r w:rsidRPr="00A16B8B">
        <w:rPr>
          <w:rFonts w:asciiTheme="majorBidi" w:hAnsiTheme="majorBidi" w:cstheme="majorBidi"/>
          <w:sz w:val="28"/>
          <w:szCs w:val="28"/>
        </w:rPr>
        <w:t xml:space="preserve"> the definition of the crime of torture</w:t>
      </w:r>
      <w:r w:rsidR="00E92F09" w:rsidRPr="00A16B8B">
        <w:rPr>
          <w:rFonts w:asciiTheme="majorBidi" w:hAnsiTheme="majorBidi" w:cstheme="majorBidi"/>
          <w:sz w:val="28"/>
          <w:szCs w:val="28"/>
        </w:rPr>
        <w:t>, while the UNCAT offers a much</w:t>
      </w:r>
      <w:r w:rsidRPr="00A16B8B">
        <w:rPr>
          <w:rFonts w:asciiTheme="majorBidi" w:hAnsiTheme="majorBidi" w:cstheme="majorBidi"/>
          <w:sz w:val="28"/>
          <w:szCs w:val="28"/>
        </w:rPr>
        <w:t xml:space="preserve"> broad</w:t>
      </w:r>
      <w:r w:rsidR="00E92F09" w:rsidRPr="00A16B8B">
        <w:rPr>
          <w:rFonts w:asciiTheme="majorBidi" w:hAnsiTheme="majorBidi" w:cstheme="majorBidi"/>
          <w:sz w:val="28"/>
          <w:szCs w:val="28"/>
        </w:rPr>
        <w:t>er</w:t>
      </w:r>
      <w:r w:rsidRPr="00A16B8B">
        <w:rPr>
          <w:rFonts w:asciiTheme="majorBidi" w:hAnsiTheme="majorBidi" w:cstheme="majorBidi"/>
          <w:sz w:val="28"/>
          <w:szCs w:val="28"/>
        </w:rPr>
        <w:t xml:space="preserve"> defini</w:t>
      </w:r>
      <w:r w:rsidR="00E92F09" w:rsidRPr="00A16B8B">
        <w:rPr>
          <w:rFonts w:asciiTheme="majorBidi" w:hAnsiTheme="majorBidi" w:cstheme="majorBidi"/>
          <w:sz w:val="28"/>
          <w:szCs w:val="28"/>
        </w:rPr>
        <w:t xml:space="preserve">tion that </w:t>
      </w:r>
      <w:r w:rsidRPr="00A16B8B">
        <w:rPr>
          <w:rFonts w:asciiTheme="majorBidi" w:hAnsiTheme="majorBidi" w:cstheme="majorBidi"/>
          <w:sz w:val="28"/>
          <w:szCs w:val="28"/>
        </w:rPr>
        <w:t>inclu</w:t>
      </w:r>
      <w:r w:rsidR="00E92F09" w:rsidRPr="00A16B8B">
        <w:rPr>
          <w:rFonts w:asciiTheme="majorBidi" w:hAnsiTheme="majorBidi" w:cstheme="majorBidi"/>
          <w:sz w:val="28"/>
          <w:szCs w:val="28"/>
        </w:rPr>
        <w:t>de all forms of practices that can be c</w:t>
      </w:r>
      <w:r w:rsidR="00E92F09" w:rsidRPr="00A16B8B">
        <w:rPr>
          <w:rFonts w:asciiTheme="majorBidi" w:hAnsiTheme="majorBidi" w:cstheme="majorBidi"/>
          <w:sz w:val="28"/>
          <w:szCs w:val="28"/>
          <w:lang w:val="en-GB"/>
        </w:rPr>
        <w:t>considered</w:t>
      </w:r>
      <w:r w:rsidR="00E92F09" w:rsidRPr="00A16B8B">
        <w:rPr>
          <w:rFonts w:asciiTheme="majorBidi" w:hAnsiTheme="majorBidi" w:cstheme="majorBidi"/>
          <w:sz w:val="28"/>
          <w:szCs w:val="28"/>
        </w:rPr>
        <w:t xml:space="preserve"> torture or cruel treatment. </w:t>
      </w:r>
    </w:p>
    <w:p w:rsidR="00E92F09" w:rsidRPr="00A16B8B" w:rsidRDefault="00E92F09" w:rsidP="00674B34">
      <w:pPr>
        <w:rPr>
          <w:rFonts w:asciiTheme="majorBidi" w:hAnsiTheme="majorBidi" w:cstheme="majorBidi"/>
          <w:sz w:val="28"/>
          <w:szCs w:val="28"/>
        </w:rPr>
      </w:pPr>
      <w:r w:rsidRPr="00A16B8B">
        <w:rPr>
          <w:rFonts w:asciiTheme="majorBidi" w:hAnsiTheme="majorBidi" w:cstheme="majorBidi"/>
          <w:sz w:val="28"/>
          <w:szCs w:val="28"/>
        </w:rPr>
        <w:t>Thus, according to Article 126, it does not fall under the crime of torture to abuse the accused with the intent to discipline or intimidate him/her. The article also only incriminates the perpetrator of</w:t>
      </w:r>
      <w:r w:rsidR="00674B34" w:rsidRPr="00A16B8B">
        <w:rPr>
          <w:rFonts w:asciiTheme="majorBidi" w:hAnsiTheme="majorBidi" w:cstheme="majorBidi"/>
          <w:sz w:val="28"/>
          <w:szCs w:val="28"/>
        </w:rPr>
        <w:t xml:space="preserve"> torture, and ignores penalizing officials involved in the crime through incitement or acquiescence</w:t>
      </w:r>
      <w:r w:rsidRPr="00A16B8B">
        <w:rPr>
          <w:rFonts w:asciiTheme="majorBidi" w:hAnsiTheme="majorBidi" w:cstheme="majorBidi"/>
          <w:sz w:val="28"/>
          <w:szCs w:val="28"/>
        </w:rPr>
        <w:t xml:space="preserve">, as described in Article 1 of </w:t>
      </w:r>
      <w:r w:rsidR="00674B34" w:rsidRPr="00A16B8B">
        <w:rPr>
          <w:rFonts w:asciiTheme="majorBidi" w:hAnsiTheme="majorBidi" w:cstheme="majorBidi"/>
          <w:sz w:val="28"/>
          <w:szCs w:val="28"/>
        </w:rPr>
        <w:lastRenderedPageBreak/>
        <w:t>UNCAT. In light of this</w:t>
      </w:r>
      <w:r w:rsidRPr="00A16B8B">
        <w:rPr>
          <w:rFonts w:asciiTheme="majorBidi" w:hAnsiTheme="majorBidi" w:cstheme="majorBidi"/>
          <w:sz w:val="28"/>
          <w:szCs w:val="28"/>
        </w:rPr>
        <w:t>, we find that Article 126 of the Penal Code came to deal with only one case, which is the responsibility of the public servant for torturing an accused in order to make him confess.</w:t>
      </w:r>
      <w:r w:rsidR="00674B34" w:rsidRPr="00A16B8B">
        <w:rPr>
          <w:rFonts w:asciiTheme="majorBidi" w:hAnsiTheme="majorBidi" w:cstheme="majorBidi"/>
          <w:sz w:val="28"/>
          <w:szCs w:val="28"/>
        </w:rPr>
        <w:t xml:space="preserve"> Therefore, EOHR calls for amending the Article 126 of the penal code, so that it may comply with the international legal definition of torture stipulated in the UNCAT.</w:t>
      </w:r>
    </w:p>
    <w:p w:rsidR="00E57E15" w:rsidRPr="00A16B8B" w:rsidRDefault="00E57E15" w:rsidP="00E57E15">
      <w:pPr>
        <w:rPr>
          <w:rFonts w:asciiTheme="majorBidi" w:hAnsiTheme="majorBidi" w:cstheme="majorBidi"/>
          <w:sz w:val="28"/>
          <w:szCs w:val="28"/>
        </w:rPr>
      </w:pPr>
      <w:r w:rsidRPr="00A16B8B">
        <w:rPr>
          <w:rFonts w:asciiTheme="majorBidi" w:hAnsiTheme="majorBidi" w:cstheme="majorBidi"/>
          <w:sz w:val="28"/>
          <w:szCs w:val="28"/>
        </w:rPr>
        <w:t xml:space="preserve">Over the past years, EOHR has received complaints from citizens related to violations of their right to bodily integrity or ill-treatment at the hands of law enforcement agents. EOHR referred all these complaints to the Ministry of Interior and the Public Prosecution, and some measures were taken against those who was proven to have committed abuses at the disciplinary administrative level as well the judicial level. </w:t>
      </w:r>
    </w:p>
    <w:p w:rsidR="00E57E15" w:rsidRPr="00A16B8B" w:rsidRDefault="00DB7713" w:rsidP="00DB7713">
      <w:pPr>
        <w:rPr>
          <w:rFonts w:asciiTheme="majorBidi" w:hAnsiTheme="majorBidi" w:cstheme="majorBidi"/>
          <w:sz w:val="28"/>
          <w:szCs w:val="28"/>
        </w:rPr>
      </w:pPr>
      <w:r w:rsidRPr="00A16B8B">
        <w:rPr>
          <w:rFonts w:asciiTheme="majorBidi" w:hAnsiTheme="majorBidi" w:cstheme="majorBidi"/>
          <w:sz w:val="28"/>
          <w:szCs w:val="28"/>
        </w:rPr>
        <w:t>EOHR was able to verify through its monitoring procedures that around 400 law enforcement officers were subjected to</w:t>
      </w:r>
      <w:r w:rsidR="00E57E15" w:rsidRPr="00A16B8B">
        <w:rPr>
          <w:rFonts w:asciiTheme="majorBidi" w:hAnsiTheme="majorBidi" w:cstheme="majorBidi"/>
          <w:sz w:val="28"/>
          <w:szCs w:val="28"/>
        </w:rPr>
        <w:t xml:space="preserve"> administr</w:t>
      </w:r>
      <w:r w:rsidRPr="00A16B8B">
        <w:rPr>
          <w:rFonts w:asciiTheme="majorBidi" w:hAnsiTheme="majorBidi" w:cstheme="majorBidi"/>
          <w:sz w:val="28"/>
          <w:szCs w:val="28"/>
        </w:rPr>
        <w:t>ative disciplinary measures</w:t>
      </w:r>
      <w:r w:rsidR="00E57E15" w:rsidRPr="00A16B8B">
        <w:rPr>
          <w:rFonts w:asciiTheme="majorBidi" w:hAnsiTheme="majorBidi" w:cstheme="majorBidi"/>
          <w:sz w:val="28"/>
          <w:szCs w:val="28"/>
        </w:rPr>
        <w:t xml:space="preserve"> or criminal trial on the grounds of committing physical or verba</w:t>
      </w:r>
      <w:r w:rsidRPr="00A16B8B">
        <w:rPr>
          <w:rFonts w:asciiTheme="majorBidi" w:hAnsiTheme="majorBidi" w:cstheme="majorBidi"/>
          <w:sz w:val="28"/>
          <w:szCs w:val="28"/>
        </w:rPr>
        <w:t xml:space="preserve">l abuse against citizens over </w:t>
      </w:r>
      <w:r w:rsidR="00E57E15" w:rsidRPr="00A16B8B">
        <w:rPr>
          <w:rFonts w:asciiTheme="majorBidi" w:hAnsiTheme="majorBidi" w:cstheme="majorBidi"/>
          <w:sz w:val="28"/>
          <w:szCs w:val="28"/>
        </w:rPr>
        <w:t>the past years.</w:t>
      </w:r>
    </w:p>
    <w:p w:rsidR="007A7B67" w:rsidRPr="00A16B8B" w:rsidRDefault="007A7B67" w:rsidP="007A7B67">
      <w:pPr>
        <w:rPr>
          <w:rFonts w:asciiTheme="majorBidi" w:hAnsiTheme="majorBidi" w:cstheme="majorBidi"/>
          <w:b/>
          <w:bCs/>
          <w:sz w:val="28"/>
          <w:szCs w:val="28"/>
          <w:u w:val="single"/>
        </w:rPr>
      </w:pPr>
      <w:r w:rsidRPr="00A16B8B">
        <w:rPr>
          <w:rFonts w:asciiTheme="majorBidi" w:hAnsiTheme="majorBidi" w:cstheme="majorBidi"/>
          <w:sz w:val="28"/>
          <w:szCs w:val="28"/>
        </w:rPr>
        <w:t>EOHR assesses that the rate of cases of torture and ill-treatment continue continues to be a cause for alarm and genuine concern. However, these cases do not bear an indication of the systematic practice of torture, as many of those who committed abuses were subjected to punitive measures, and therefore we cannot confirm the existence of a state of impunity that other sources inside and Egypt and beyond claim.</w:t>
      </w:r>
    </w:p>
    <w:p w:rsidR="002531D9" w:rsidRPr="00A16B8B" w:rsidRDefault="002531D9" w:rsidP="007A7B67">
      <w:pPr>
        <w:rPr>
          <w:rFonts w:asciiTheme="majorBidi" w:hAnsiTheme="majorBidi" w:cstheme="majorBidi"/>
          <w:b/>
          <w:bCs/>
          <w:sz w:val="28"/>
          <w:szCs w:val="28"/>
          <w:u w:val="single"/>
        </w:rPr>
      </w:pPr>
    </w:p>
    <w:p w:rsidR="002C06F9" w:rsidRPr="00A16B8B" w:rsidRDefault="002531D9" w:rsidP="007A7B67">
      <w:pPr>
        <w:rPr>
          <w:rFonts w:asciiTheme="majorBidi" w:hAnsiTheme="majorBidi" w:cstheme="majorBidi"/>
          <w:b/>
          <w:bCs/>
          <w:sz w:val="28"/>
          <w:szCs w:val="28"/>
          <w:u w:val="single"/>
        </w:rPr>
      </w:pPr>
      <w:r w:rsidRPr="00A16B8B">
        <w:rPr>
          <w:rFonts w:asciiTheme="majorBidi" w:hAnsiTheme="majorBidi" w:cstheme="majorBidi"/>
          <w:b/>
          <w:bCs/>
          <w:sz w:val="28"/>
          <w:szCs w:val="28"/>
          <w:u w:val="single"/>
        </w:rPr>
        <w:t>4) The Right to Liberty and Security of Person</w:t>
      </w:r>
    </w:p>
    <w:p w:rsidR="002531D9" w:rsidRPr="00A16B8B" w:rsidRDefault="002C06F9" w:rsidP="007A7B67">
      <w:pPr>
        <w:rPr>
          <w:rFonts w:asciiTheme="majorBidi" w:hAnsiTheme="majorBidi" w:cstheme="majorBidi"/>
          <w:sz w:val="28"/>
          <w:szCs w:val="28"/>
        </w:rPr>
      </w:pPr>
      <w:r w:rsidRPr="00A16B8B">
        <w:rPr>
          <w:rFonts w:asciiTheme="majorBidi" w:hAnsiTheme="majorBidi" w:cstheme="majorBidi"/>
          <w:sz w:val="28"/>
          <w:szCs w:val="28"/>
        </w:rPr>
        <w:t>EOHR has witnessed some positive improvements in relation to the right to liberty and security of person, chief among them was the President’s decision</w:t>
      </w:r>
      <w:r w:rsidR="005F6A54" w:rsidRPr="00A16B8B">
        <w:rPr>
          <w:rFonts w:asciiTheme="majorBidi" w:hAnsiTheme="majorBidi" w:cstheme="majorBidi"/>
          <w:sz w:val="28"/>
          <w:szCs w:val="28"/>
        </w:rPr>
        <w:t xml:space="preserve"> not to extend the state of emergency which has been in effect nationwide since the 25</w:t>
      </w:r>
      <w:r w:rsidR="005F6A54" w:rsidRPr="00A16B8B">
        <w:rPr>
          <w:rFonts w:asciiTheme="majorBidi" w:hAnsiTheme="majorBidi" w:cstheme="majorBidi"/>
          <w:sz w:val="28"/>
          <w:szCs w:val="28"/>
          <w:vertAlign w:val="superscript"/>
        </w:rPr>
        <w:t>th</w:t>
      </w:r>
      <w:r w:rsidR="005F6A54" w:rsidRPr="00A16B8B">
        <w:rPr>
          <w:rFonts w:asciiTheme="majorBidi" w:hAnsiTheme="majorBidi" w:cstheme="majorBidi"/>
          <w:sz w:val="28"/>
          <w:szCs w:val="28"/>
        </w:rPr>
        <w:t xml:space="preserve"> of October 2017. EOHR view this step in a positive light as the emergency law granted the authorities exceptional powers allowing them to impose measures that restricted basic rights and freedoms including the right to liberty and security of person.</w:t>
      </w:r>
      <w:r w:rsidR="00AC18DA" w:rsidRPr="00A16B8B">
        <w:rPr>
          <w:rFonts w:asciiTheme="majorBidi" w:hAnsiTheme="majorBidi" w:cstheme="majorBidi"/>
          <w:sz w:val="28"/>
          <w:szCs w:val="28"/>
        </w:rPr>
        <w:t xml:space="preserve"> However, despite the lifting of the state of emergency, some of its negative consequences remain untreated namely article 19 of the emergency law which states that the lifting of the state of emergency does not </w:t>
      </w:r>
      <w:r w:rsidR="00CC548E" w:rsidRPr="00A16B8B">
        <w:rPr>
          <w:rFonts w:asciiTheme="majorBidi" w:hAnsiTheme="majorBidi" w:cstheme="majorBidi"/>
          <w:sz w:val="28"/>
          <w:szCs w:val="28"/>
        </w:rPr>
        <w:t xml:space="preserve">end </w:t>
      </w:r>
      <w:r w:rsidR="00AC18DA" w:rsidRPr="00A16B8B">
        <w:rPr>
          <w:rFonts w:asciiTheme="majorBidi" w:hAnsiTheme="majorBidi" w:cstheme="majorBidi"/>
          <w:sz w:val="28"/>
          <w:szCs w:val="28"/>
        </w:rPr>
        <w:t>ongoing trials before State Security Courts</w:t>
      </w:r>
      <w:r w:rsidR="00CC548E" w:rsidRPr="00A16B8B">
        <w:rPr>
          <w:rFonts w:asciiTheme="majorBidi" w:hAnsiTheme="majorBidi" w:cstheme="majorBidi"/>
          <w:sz w:val="28"/>
          <w:szCs w:val="28"/>
        </w:rPr>
        <w:t xml:space="preserve"> as they are allowed in accordance with this article to continue their prosecution of ongoing cases bearing in mind the state security courts only </w:t>
      </w:r>
      <w:r w:rsidR="00CC548E" w:rsidRPr="00A16B8B">
        <w:rPr>
          <w:rFonts w:asciiTheme="majorBidi" w:hAnsiTheme="majorBidi" w:cstheme="majorBidi"/>
          <w:sz w:val="28"/>
          <w:szCs w:val="28"/>
        </w:rPr>
        <w:lastRenderedPageBreak/>
        <w:t>have one stage of litigation and their verdicts are final and cannot be appealed before another court.</w:t>
      </w:r>
    </w:p>
    <w:p w:rsidR="00CC548E" w:rsidRPr="00A16B8B" w:rsidRDefault="00CC548E" w:rsidP="00E353A4">
      <w:pPr>
        <w:rPr>
          <w:rFonts w:asciiTheme="majorBidi" w:hAnsiTheme="majorBidi" w:cstheme="majorBidi"/>
          <w:sz w:val="28"/>
          <w:szCs w:val="28"/>
        </w:rPr>
      </w:pPr>
      <w:r w:rsidRPr="00A16B8B">
        <w:rPr>
          <w:rFonts w:asciiTheme="majorBidi" w:hAnsiTheme="majorBidi" w:cstheme="majorBidi"/>
          <w:sz w:val="28"/>
          <w:szCs w:val="28"/>
        </w:rPr>
        <w:t>Another issue which constitutes a clear violation of the right to liberty and security of person is the excessive use of pretrial detention. This is manifested in the rotation of defendants between different cases</w:t>
      </w:r>
      <w:r w:rsidR="00D608B2" w:rsidRPr="00A16B8B">
        <w:rPr>
          <w:rFonts w:asciiTheme="majorBidi" w:hAnsiTheme="majorBidi" w:cstheme="majorBidi"/>
          <w:sz w:val="28"/>
          <w:szCs w:val="28"/>
        </w:rPr>
        <w:t xml:space="preserve"> evidently</w:t>
      </w:r>
      <w:r w:rsidRPr="00A16B8B">
        <w:rPr>
          <w:rFonts w:asciiTheme="majorBidi" w:hAnsiTheme="majorBidi" w:cstheme="majorBidi"/>
          <w:sz w:val="28"/>
          <w:szCs w:val="28"/>
        </w:rPr>
        <w:t xml:space="preserve"> to circumvent exceeding</w:t>
      </w:r>
      <w:r w:rsidR="00D608B2" w:rsidRPr="00A16B8B">
        <w:rPr>
          <w:rFonts w:asciiTheme="majorBidi" w:hAnsiTheme="majorBidi" w:cstheme="majorBidi"/>
          <w:sz w:val="28"/>
          <w:szCs w:val="28"/>
        </w:rPr>
        <w:t xml:space="preserve"> the maximum limit of pretrial detention stipulated by the law.</w:t>
      </w:r>
      <w:r w:rsidRPr="00A16B8B">
        <w:rPr>
          <w:rFonts w:asciiTheme="majorBidi" w:hAnsiTheme="majorBidi" w:cstheme="majorBidi"/>
          <w:sz w:val="28"/>
          <w:szCs w:val="28"/>
        </w:rPr>
        <w:t xml:space="preserve"> </w:t>
      </w:r>
      <w:r w:rsidR="00D608B2" w:rsidRPr="00A16B8B">
        <w:rPr>
          <w:rFonts w:asciiTheme="majorBidi" w:hAnsiTheme="majorBidi" w:cstheme="majorBidi"/>
          <w:sz w:val="28"/>
          <w:szCs w:val="28"/>
        </w:rPr>
        <w:t xml:space="preserve"> Such practices keep defendants in detention</w:t>
      </w:r>
      <w:r w:rsidRPr="00A16B8B">
        <w:rPr>
          <w:rFonts w:asciiTheme="majorBidi" w:hAnsiTheme="majorBidi" w:cstheme="majorBidi"/>
          <w:sz w:val="28"/>
          <w:szCs w:val="28"/>
        </w:rPr>
        <w:t xml:space="preserve"> f</w:t>
      </w:r>
      <w:r w:rsidR="00D608B2" w:rsidRPr="00A16B8B">
        <w:rPr>
          <w:rFonts w:asciiTheme="majorBidi" w:hAnsiTheme="majorBidi" w:cstheme="majorBidi"/>
          <w:sz w:val="28"/>
          <w:szCs w:val="28"/>
        </w:rPr>
        <w:t xml:space="preserve">or years </w:t>
      </w:r>
      <w:r w:rsidRPr="00A16B8B">
        <w:rPr>
          <w:rFonts w:asciiTheme="majorBidi" w:hAnsiTheme="majorBidi" w:cstheme="majorBidi"/>
          <w:sz w:val="28"/>
          <w:szCs w:val="28"/>
        </w:rPr>
        <w:t>without being convicted</w:t>
      </w:r>
      <w:r w:rsidR="00D608B2" w:rsidRPr="00A16B8B">
        <w:rPr>
          <w:rFonts w:asciiTheme="majorBidi" w:hAnsiTheme="majorBidi" w:cstheme="majorBidi"/>
          <w:sz w:val="28"/>
          <w:szCs w:val="28"/>
        </w:rPr>
        <w:t xml:space="preserve"> on account of any given crime</w:t>
      </w:r>
      <w:r w:rsidRPr="00A16B8B">
        <w:rPr>
          <w:rFonts w:asciiTheme="majorBidi" w:hAnsiTheme="majorBidi" w:cstheme="majorBidi"/>
          <w:sz w:val="28"/>
          <w:szCs w:val="28"/>
        </w:rPr>
        <w:t>.</w:t>
      </w:r>
      <w:r w:rsidR="00D608B2" w:rsidRPr="00A16B8B">
        <w:rPr>
          <w:rFonts w:asciiTheme="majorBidi" w:hAnsiTheme="majorBidi" w:cstheme="majorBidi"/>
          <w:sz w:val="28"/>
          <w:szCs w:val="28"/>
        </w:rPr>
        <w:t xml:space="preserve"> This constitutes a dangerous violation of the right to liberty and security of person</w:t>
      </w:r>
      <w:r w:rsidR="00B3089F" w:rsidRPr="00A16B8B">
        <w:rPr>
          <w:rFonts w:asciiTheme="majorBidi" w:hAnsiTheme="majorBidi" w:cstheme="majorBidi"/>
          <w:sz w:val="28"/>
          <w:szCs w:val="28"/>
        </w:rPr>
        <w:t xml:space="preserve"> guaranteed by the Egyptian constitution and International Human Rights law; Thus EOHR calls upon the government to implement the target results of the National Human Rights Strategy it launched in 2021 chief</w:t>
      </w:r>
      <w:r w:rsidR="00E353A4" w:rsidRPr="00A16B8B">
        <w:rPr>
          <w:rFonts w:asciiTheme="majorBidi" w:hAnsiTheme="majorBidi" w:cstheme="majorBidi"/>
          <w:sz w:val="28"/>
          <w:szCs w:val="28"/>
        </w:rPr>
        <w:t xml:space="preserve"> among them the one pledging to find alternatives to pretrial detention. The government's placement of this goal in the strategy it drafted in consultation with civil society organizations, including EOHR, can be considered as an indication of a genuine intention to address this issue, however implementation remains to be the only standard through which EOHR can assess the occurrence of a significant improvement in this regard.</w:t>
      </w:r>
    </w:p>
    <w:p w:rsidR="009620FB" w:rsidRPr="00A16B8B" w:rsidRDefault="009620FB" w:rsidP="00414E46">
      <w:pPr>
        <w:rPr>
          <w:rFonts w:asciiTheme="majorBidi" w:hAnsiTheme="majorBidi" w:cstheme="majorBidi"/>
          <w:sz w:val="28"/>
          <w:szCs w:val="28"/>
        </w:rPr>
      </w:pPr>
      <w:r w:rsidRPr="00A16B8B">
        <w:rPr>
          <w:rFonts w:asciiTheme="majorBidi" w:hAnsiTheme="majorBidi" w:cstheme="majorBidi"/>
          <w:sz w:val="28"/>
          <w:szCs w:val="28"/>
        </w:rPr>
        <w:t xml:space="preserve">In light of this, EOHR calls on the Egyptian authorities to make the necessary legislative amendments that guarantee the protection of the right to liberty and </w:t>
      </w:r>
      <w:r w:rsidR="00414E46" w:rsidRPr="00A16B8B">
        <w:rPr>
          <w:rFonts w:asciiTheme="majorBidi" w:hAnsiTheme="majorBidi" w:cstheme="majorBidi"/>
          <w:sz w:val="28"/>
          <w:szCs w:val="28"/>
        </w:rPr>
        <w:t>security of person</w:t>
      </w:r>
      <w:r w:rsidRPr="00A16B8B">
        <w:rPr>
          <w:rFonts w:asciiTheme="majorBidi" w:hAnsiTheme="majorBidi" w:cstheme="majorBidi"/>
          <w:sz w:val="28"/>
          <w:szCs w:val="28"/>
        </w:rPr>
        <w:t>, as well as the right to litigation.</w:t>
      </w:r>
    </w:p>
    <w:p w:rsidR="00125CC0" w:rsidRPr="00A16B8B" w:rsidRDefault="00125CC0" w:rsidP="00414E46">
      <w:pPr>
        <w:rPr>
          <w:rFonts w:asciiTheme="majorBidi" w:hAnsiTheme="majorBidi" w:cstheme="majorBidi"/>
          <w:sz w:val="28"/>
          <w:szCs w:val="28"/>
        </w:rPr>
      </w:pPr>
    </w:p>
    <w:p w:rsidR="00125CC0" w:rsidRPr="00A16B8B" w:rsidRDefault="00125CC0" w:rsidP="00414E46">
      <w:pPr>
        <w:rPr>
          <w:rFonts w:asciiTheme="majorBidi" w:hAnsiTheme="majorBidi" w:cstheme="majorBidi"/>
          <w:b/>
          <w:bCs/>
          <w:sz w:val="28"/>
          <w:szCs w:val="28"/>
          <w:u w:val="single"/>
        </w:rPr>
      </w:pPr>
      <w:r w:rsidRPr="00A16B8B">
        <w:rPr>
          <w:rFonts w:asciiTheme="majorBidi" w:hAnsiTheme="majorBidi" w:cstheme="majorBidi"/>
          <w:b/>
          <w:bCs/>
          <w:sz w:val="28"/>
          <w:szCs w:val="28"/>
          <w:u w:val="single"/>
        </w:rPr>
        <w:t>5) Freedom of Expression</w:t>
      </w:r>
    </w:p>
    <w:p w:rsidR="00125CC0" w:rsidRPr="00A16B8B" w:rsidRDefault="00125CC0" w:rsidP="00414E46">
      <w:pPr>
        <w:rPr>
          <w:rFonts w:asciiTheme="majorBidi" w:hAnsiTheme="majorBidi" w:cstheme="majorBidi"/>
          <w:sz w:val="28"/>
          <w:szCs w:val="28"/>
        </w:rPr>
      </w:pPr>
      <w:r w:rsidRPr="00A16B8B">
        <w:rPr>
          <w:rFonts w:asciiTheme="majorBidi" w:hAnsiTheme="majorBidi" w:cstheme="majorBidi"/>
          <w:sz w:val="28"/>
          <w:szCs w:val="28"/>
        </w:rPr>
        <w:t>Freedom of expression in Egypt is witnessing significant challenges, as the prevailing culture does not respect pluralism. Moreover, the government did not take the necessary measures to protect freedom expression, and its institutions sometimes commit acts that constitute a clear violation of this inherent right.</w:t>
      </w:r>
    </w:p>
    <w:p w:rsidR="00125CC0" w:rsidRPr="00A16B8B" w:rsidRDefault="00125CC0" w:rsidP="00125CC0">
      <w:pPr>
        <w:rPr>
          <w:rStyle w:val="Emphasis"/>
          <w:rFonts w:asciiTheme="majorBidi" w:hAnsiTheme="majorBidi" w:cstheme="majorBidi"/>
          <w:i w:val="0"/>
          <w:iCs w:val="0"/>
          <w:sz w:val="28"/>
          <w:szCs w:val="28"/>
        </w:rPr>
      </w:pPr>
      <w:r w:rsidRPr="00A16B8B">
        <w:rPr>
          <w:rFonts w:asciiTheme="majorBidi" w:hAnsiTheme="majorBidi" w:cstheme="majorBidi"/>
          <w:sz w:val="28"/>
          <w:szCs w:val="28"/>
        </w:rPr>
        <w:t>The Supreme Council for Media Regulation an independent State body</w:t>
      </w:r>
      <w:r w:rsidRPr="00A16B8B">
        <w:rPr>
          <w:rStyle w:val="Emphasis"/>
          <w:rFonts w:asciiTheme="majorBidi" w:hAnsiTheme="majorBidi" w:cstheme="majorBidi"/>
          <w:i w:val="0"/>
          <w:iCs w:val="0"/>
          <w:sz w:val="28"/>
          <w:szCs w:val="28"/>
        </w:rPr>
        <w:t xml:space="preserve"> that licenses the practice of media work for media outlets or the websites. This council unfortunately exercises its powers to restrict the freedom of media content providers on all Egyptian satellite stations, by taking punitive measures against media professionals and suspending television programs temporarily. The Council, in its capacity as the official body concerned with protecting press and media freedoms, did not act to address the government's blocking of some websites </w:t>
      </w:r>
      <w:r w:rsidRPr="00A16B8B">
        <w:rPr>
          <w:rStyle w:val="Emphasis"/>
          <w:rFonts w:asciiTheme="majorBidi" w:hAnsiTheme="majorBidi" w:cstheme="majorBidi"/>
          <w:i w:val="0"/>
          <w:iCs w:val="0"/>
          <w:sz w:val="28"/>
          <w:szCs w:val="28"/>
        </w:rPr>
        <w:lastRenderedPageBreak/>
        <w:t>owned foreign and local media outlets as well as international non-governmental human rights organizations.</w:t>
      </w:r>
    </w:p>
    <w:p w:rsidR="00125CC0" w:rsidRPr="00A16B8B" w:rsidRDefault="0061723D" w:rsidP="0061723D">
      <w:p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rPr>
        <w:t>EOHR considers such</w:t>
      </w:r>
      <w:r w:rsidR="00125CC0" w:rsidRPr="00A16B8B">
        <w:rPr>
          <w:rStyle w:val="Emphasis"/>
          <w:rFonts w:asciiTheme="majorBidi" w:hAnsiTheme="majorBidi" w:cstheme="majorBidi"/>
          <w:i w:val="0"/>
          <w:iCs w:val="0"/>
          <w:sz w:val="28"/>
          <w:szCs w:val="28"/>
        </w:rPr>
        <w:t xml:space="preserve"> policies</w:t>
      </w:r>
      <w:r w:rsidRPr="00A16B8B">
        <w:rPr>
          <w:rStyle w:val="Emphasis"/>
          <w:rFonts w:asciiTheme="majorBidi" w:hAnsiTheme="majorBidi" w:cstheme="majorBidi"/>
          <w:i w:val="0"/>
          <w:iCs w:val="0"/>
          <w:sz w:val="28"/>
          <w:szCs w:val="28"/>
        </w:rPr>
        <w:t xml:space="preserve"> as</w:t>
      </w:r>
      <w:r w:rsidR="00125CC0" w:rsidRPr="00A16B8B">
        <w:rPr>
          <w:rStyle w:val="Emphasis"/>
          <w:rFonts w:asciiTheme="majorBidi" w:hAnsiTheme="majorBidi" w:cstheme="majorBidi"/>
          <w:i w:val="0"/>
          <w:iCs w:val="0"/>
          <w:sz w:val="28"/>
          <w:szCs w:val="28"/>
        </w:rPr>
        <w:t xml:space="preserve"> restrict</w:t>
      </w:r>
      <w:r w:rsidRPr="00A16B8B">
        <w:rPr>
          <w:rStyle w:val="Emphasis"/>
          <w:rFonts w:asciiTheme="majorBidi" w:hAnsiTheme="majorBidi" w:cstheme="majorBidi"/>
          <w:i w:val="0"/>
          <w:iCs w:val="0"/>
          <w:sz w:val="28"/>
          <w:szCs w:val="28"/>
        </w:rPr>
        <w:t>ive to</w:t>
      </w:r>
      <w:r w:rsidR="00125CC0" w:rsidRPr="00A16B8B">
        <w:rPr>
          <w:rStyle w:val="Emphasis"/>
          <w:rFonts w:asciiTheme="majorBidi" w:hAnsiTheme="majorBidi" w:cstheme="majorBidi"/>
          <w:i w:val="0"/>
          <w:iCs w:val="0"/>
          <w:sz w:val="28"/>
          <w:szCs w:val="28"/>
        </w:rPr>
        <w:t xml:space="preserve"> the freedom of the press and the media, and by </w:t>
      </w:r>
      <w:r w:rsidRPr="00A16B8B">
        <w:rPr>
          <w:rStyle w:val="Emphasis"/>
          <w:rFonts w:asciiTheme="majorBidi" w:hAnsiTheme="majorBidi" w:cstheme="majorBidi"/>
          <w:i w:val="0"/>
          <w:iCs w:val="0"/>
          <w:sz w:val="28"/>
          <w:szCs w:val="28"/>
        </w:rPr>
        <w:t>association freedom of expression. The</w:t>
      </w:r>
      <w:r w:rsidR="00125CC0" w:rsidRPr="00A16B8B">
        <w:rPr>
          <w:rStyle w:val="Emphasis"/>
          <w:rFonts w:asciiTheme="majorBidi" w:hAnsiTheme="majorBidi" w:cstheme="majorBidi"/>
          <w:i w:val="0"/>
          <w:iCs w:val="0"/>
          <w:sz w:val="28"/>
          <w:szCs w:val="28"/>
        </w:rPr>
        <w:t xml:space="preserve"> Supreme Co</w:t>
      </w:r>
      <w:r w:rsidRPr="00A16B8B">
        <w:rPr>
          <w:rStyle w:val="Emphasis"/>
          <w:rFonts w:asciiTheme="majorBidi" w:hAnsiTheme="majorBidi" w:cstheme="majorBidi"/>
          <w:i w:val="0"/>
          <w:iCs w:val="0"/>
          <w:sz w:val="28"/>
          <w:szCs w:val="28"/>
        </w:rPr>
        <w:t>uncil must commit to its role of</w:t>
      </w:r>
      <w:r w:rsidR="00125CC0" w:rsidRPr="00A16B8B">
        <w:rPr>
          <w:rStyle w:val="Emphasis"/>
          <w:rFonts w:asciiTheme="majorBidi" w:hAnsiTheme="majorBidi" w:cstheme="majorBidi"/>
          <w:i w:val="0"/>
          <w:iCs w:val="0"/>
          <w:sz w:val="28"/>
          <w:szCs w:val="28"/>
        </w:rPr>
        <w:t xml:space="preserve"> protecting and promoting freedom of the press and the media, as stipulated in the constitution and the law, and not the other way around.</w:t>
      </w:r>
    </w:p>
    <w:p w:rsidR="0061723D" w:rsidRPr="00A16B8B" w:rsidRDefault="0061723D" w:rsidP="0061723D">
      <w:p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rPr>
        <w:t>The government has not yet issued a law guaranteeing access to information and official documents in line with Article 68 of the Constitution. The absence of such important legislation restricts the citizen's right to knowledge and consequently affects his/her ability to exercise their right to freedom of expression.</w:t>
      </w:r>
    </w:p>
    <w:p w:rsidR="006F5160" w:rsidRPr="00A16B8B" w:rsidRDefault="006F5160" w:rsidP="006F5160">
      <w:p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rPr>
        <w:t>EOHR welcomed the release of a number of imprisoned journalists on account of charges related to freedom expression. Yet there are still writers, bloggers and journalists behind bars on account of similar charges, and EOHR renews its call for their release.</w:t>
      </w:r>
    </w:p>
    <w:p w:rsidR="008035E7" w:rsidRPr="00A16B8B" w:rsidRDefault="002B1DB6" w:rsidP="008035E7">
      <w:p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rPr>
        <w:t>In the context of freedom expression, EOHR assesses that the government still restricts the right to peaceful assembly.</w:t>
      </w:r>
      <w:r w:rsidR="008035E7" w:rsidRPr="00A16B8B">
        <w:rPr>
          <w:rStyle w:val="Emphasis"/>
          <w:rFonts w:asciiTheme="majorBidi" w:hAnsiTheme="majorBidi" w:cstheme="majorBidi"/>
          <w:i w:val="0"/>
          <w:iCs w:val="0"/>
          <w:sz w:val="28"/>
          <w:szCs w:val="28"/>
        </w:rPr>
        <w:t xml:space="preserve"> On a related note EOHR welcomed the amendment of Article 10 of the law regulating demonstrations, which gave the executive authority the right to prevent demonstrations. This was due the Supreme Constitutional Court deeming this article unconstitutional as it in its previous form gave the Ministry of interior absolute powers to reject requests for peaceful assembly. The amendment transferred these powers to the Judiciary. However, EOHR still has reservations over the current law regulating demonstrations and other forms of peaceful assembly as it contains a number of articles containing freedom depriving penalties that must be disposed of as there are already articles in the Penal Code to hold accountable those who commit acts of rioting or vandalism during any peaceful assembly.</w:t>
      </w:r>
    </w:p>
    <w:p w:rsidR="00A745E6" w:rsidRPr="00A16B8B" w:rsidRDefault="00A745E6" w:rsidP="008035E7">
      <w:pPr>
        <w:rPr>
          <w:rStyle w:val="Emphasis"/>
          <w:rFonts w:asciiTheme="majorBidi" w:hAnsiTheme="majorBidi" w:cstheme="majorBidi"/>
          <w:i w:val="0"/>
          <w:iCs w:val="0"/>
          <w:sz w:val="28"/>
          <w:szCs w:val="28"/>
        </w:rPr>
      </w:pPr>
    </w:p>
    <w:p w:rsidR="00A745E6" w:rsidRPr="00A16B8B" w:rsidRDefault="004D6A20" w:rsidP="008035E7">
      <w:pPr>
        <w:rPr>
          <w:rStyle w:val="Emphasis"/>
          <w:rFonts w:asciiTheme="majorBidi" w:hAnsiTheme="majorBidi" w:cstheme="majorBidi"/>
          <w:b/>
          <w:bCs/>
          <w:i w:val="0"/>
          <w:iCs w:val="0"/>
          <w:sz w:val="28"/>
          <w:szCs w:val="28"/>
          <w:u w:val="single"/>
        </w:rPr>
      </w:pPr>
      <w:r w:rsidRPr="00A16B8B">
        <w:rPr>
          <w:rStyle w:val="Emphasis"/>
          <w:rFonts w:asciiTheme="majorBidi" w:hAnsiTheme="majorBidi" w:cstheme="majorBidi" w:hint="cs"/>
          <w:b/>
          <w:bCs/>
          <w:i w:val="0"/>
          <w:iCs w:val="0"/>
          <w:sz w:val="28"/>
          <w:szCs w:val="28"/>
          <w:u w:val="single"/>
          <w:rtl/>
        </w:rPr>
        <w:t>6</w:t>
      </w:r>
      <w:r w:rsidR="00A745E6" w:rsidRPr="00A16B8B">
        <w:rPr>
          <w:rStyle w:val="Emphasis"/>
          <w:rFonts w:asciiTheme="majorBidi" w:hAnsiTheme="majorBidi" w:cstheme="majorBidi"/>
          <w:b/>
          <w:bCs/>
          <w:i w:val="0"/>
          <w:iCs w:val="0"/>
          <w:sz w:val="28"/>
          <w:szCs w:val="28"/>
          <w:u w:val="single"/>
        </w:rPr>
        <w:t>) The Right to</w:t>
      </w:r>
      <w:r w:rsidR="00A02384" w:rsidRPr="00A16B8B">
        <w:rPr>
          <w:rStyle w:val="Emphasis"/>
          <w:rFonts w:asciiTheme="majorBidi" w:hAnsiTheme="majorBidi" w:cstheme="majorBidi"/>
          <w:b/>
          <w:bCs/>
          <w:i w:val="0"/>
          <w:iCs w:val="0"/>
          <w:sz w:val="28"/>
          <w:szCs w:val="28"/>
          <w:u w:val="single"/>
        </w:rPr>
        <w:t xml:space="preserve"> Freedom of</w:t>
      </w:r>
      <w:r w:rsidR="00A745E6" w:rsidRPr="00A16B8B">
        <w:rPr>
          <w:rStyle w:val="Emphasis"/>
          <w:rFonts w:asciiTheme="majorBidi" w:hAnsiTheme="majorBidi" w:cstheme="majorBidi"/>
          <w:b/>
          <w:bCs/>
          <w:i w:val="0"/>
          <w:iCs w:val="0"/>
          <w:sz w:val="28"/>
          <w:szCs w:val="28"/>
          <w:u w:val="single"/>
        </w:rPr>
        <w:t xml:space="preserve"> Association</w:t>
      </w:r>
    </w:p>
    <w:p w:rsidR="00A02384" w:rsidRDefault="00A02384" w:rsidP="008035E7">
      <w:p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rPr>
        <w:t>The Right to Freedom of association has witnessed several developments over the past 3 years some of which EOHR’s consider positive. The government responded</w:t>
      </w:r>
      <w:r w:rsidR="0035668C" w:rsidRPr="00A16B8B">
        <w:rPr>
          <w:rStyle w:val="Emphasis"/>
          <w:rFonts w:asciiTheme="majorBidi" w:hAnsiTheme="majorBidi" w:cstheme="majorBidi"/>
          <w:i w:val="0"/>
          <w:iCs w:val="0"/>
          <w:sz w:val="28"/>
          <w:szCs w:val="28"/>
        </w:rPr>
        <w:t xml:space="preserve"> to the desperate calls of Civil Society and replaced the repressive NGO law No. 70 for the year 2017 with law No.149 of the year 2019.</w:t>
      </w:r>
      <w:r w:rsidR="0035668C" w:rsidRPr="00A16B8B">
        <w:rPr>
          <w:rStyle w:val="Emphasis"/>
          <w:rFonts w:asciiTheme="majorBidi" w:hAnsiTheme="majorBidi" w:cstheme="majorBidi"/>
          <w:i w:val="0"/>
          <w:iCs w:val="0"/>
          <w:sz w:val="28"/>
          <w:szCs w:val="28"/>
          <w:lang w:val="en-GB"/>
        </w:rPr>
        <w:t xml:space="preserve"> Various</w:t>
      </w:r>
      <w:r w:rsidR="0035668C" w:rsidRPr="00A16B8B">
        <w:rPr>
          <w:rStyle w:val="Emphasis"/>
          <w:rFonts w:asciiTheme="majorBidi" w:hAnsiTheme="majorBidi" w:cstheme="majorBidi"/>
          <w:i w:val="0"/>
          <w:iCs w:val="0"/>
          <w:sz w:val="28"/>
          <w:szCs w:val="28"/>
        </w:rPr>
        <w:t xml:space="preserve"> civil society organizations including EOHR we consulted during the drafting process of law no. 149. The law was amended in 2022 to extend the deadline for NGO registration </w:t>
      </w:r>
      <w:r w:rsidR="0035668C" w:rsidRPr="00A16B8B">
        <w:rPr>
          <w:rStyle w:val="Emphasis"/>
          <w:rFonts w:asciiTheme="majorBidi" w:hAnsiTheme="majorBidi" w:cstheme="majorBidi"/>
          <w:i w:val="0"/>
          <w:iCs w:val="0"/>
          <w:sz w:val="28"/>
          <w:szCs w:val="28"/>
        </w:rPr>
        <w:lastRenderedPageBreak/>
        <w:t xml:space="preserve">under its executive regulation to allow all NGOs to register. More than 36,000 NGOs have registered so far. EOHR welcomes these positive developments, yet it stresses for the need for further measures to create a healthier environment that encourages and strengthens the work of civil society. </w:t>
      </w:r>
      <w:r w:rsidR="0077622A" w:rsidRPr="00A16B8B">
        <w:rPr>
          <w:rStyle w:val="Emphasis"/>
          <w:rFonts w:asciiTheme="majorBidi" w:hAnsiTheme="majorBidi" w:cstheme="majorBidi"/>
          <w:i w:val="0"/>
          <w:iCs w:val="0"/>
          <w:sz w:val="28"/>
          <w:szCs w:val="28"/>
        </w:rPr>
        <w:t>In this context EOHR reiterates its demand for the definitive closure of case 173 through which several workers and members of human rights groups are prosecuted.</w:t>
      </w:r>
      <w:r w:rsidR="0035668C" w:rsidRPr="00A16B8B">
        <w:rPr>
          <w:rStyle w:val="Emphasis"/>
          <w:rFonts w:asciiTheme="majorBidi" w:hAnsiTheme="majorBidi" w:cstheme="majorBidi"/>
          <w:i w:val="0"/>
          <w:iCs w:val="0"/>
          <w:sz w:val="28"/>
          <w:szCs w:val="28"/>
        </w:rPr>
        <w:t xml:space="preserve"> </w:t>
      </w:r>
    </w:p>
    <w:p w:rsidR="00DB122A" w:rsidRPr="00A16B8B" w:rsidRDefault="00DB122A" w:rsidP="008035E7">
      <w:pPr>
        <w:rPr>
          <w:rStyle w:val="Emphasis"/>
          <w:rFonts w:asciiTheme="majorBidi" w:hAnsiTheme="majorBidi" w:cstheme="majorBidi"/>
          <w:i w:val="0"/>
          <w:iCs w:val="0"/>
          <w:sz w:val="28"/>
          <w:szCs w:val="28"/>
          <w:rtl/>
        </w:rPr>
      </w:pPr>
      <w:bookmarkStart w:id="0" w:name="_GoBack"/>
      <w:bookmarkEnd w:id="0"/>
    </w:p>
    <w:p w:rsidR="004D6A20" w:rsidRPr="00A16B8B" w:rsidRDefault="004D6A20" w:rsidP="008035E7">
      <w:pPr>
        <w:rPr>
          <w:rStyle w:val="Emphasis"/>
          <w:rFonts w:asciiTheme="majorBidi" w:hAnsiTheme="majorBidi" w:cstheme="majorBidi"/>
          <w:b/>
          <w:bCs/>
          <w:i w:val="0"/>
          <w:iCs w:val="0"/>
          <w:sz w:val="28"/>
          <w:szCs w:val="28"/>
          <w:u w:val="single"/>
          <w:lang w:val="en-GB"/>
        </w:rPr>
      </w:pPr>
      <w:r w:rsidRPr="00A16B8B">
        <w:rPr>
          <w:rStyle w:val="Emphasis"/>
          <w:rFonts w:asciiTheme="majorBidi" w:hAnsiTheme="majorBidi" w:cstheme="majorBidi"/>
          <w:b/>
          <w:bCs/>
          <w:i w:val="0"/>
          <w:iCs w:val="0"/>
          <w:sz w:val="28"/>
          <w:szCs w:val="28"/>
          <w:u w:val="single"/>
          <w:lang w:val="en-GB"/>
        </w:rPr>
        <w:t>7) Freedom of Belief and Religion</w:t>
      </w:r>
    </w:p>
    <w:p w:rsidR="0077622A" w:rsidRPr="00A16B8B" w:rsidRDefault="0077622A" w:rsidP="0077622A">
      <w:pPr>
        <w:rPr>
          <w:rStyle w:val="Emphasis"/>
          <w:rFonts w:asciiTheme="majorBidi" w:hAnsiTheme="majorBidi" w:cstheme="majorBidi"/>
          <w:i w:val="0"/>
          <w:iCs w:val="0"/>
          <w:sz w:val="28"/>
          <w:szCs w:val="28"/>
          <w:lang w:val="en-GB"/>
        </w:rPr>
      </w:pPr>
      <w:r w:rsidRPr="00A16B8B">
        <w:rPr>
          <w:rStyle w:val="Emphasis"/>
          <w:rFonts w:asciiTheme="majorBidi" w:hAnsiTheme="majorBidi" w:cstheme="majorBidi"/>
          <w:i w:val="0"/>
          <w:iCs w:val="0"/>
          <w:sz w:val="28"/>
          <w:szCs w:val="28"/>
          <w:lang w:val="en-GB"/>
        </w:rPr>
        <w:t>In the field of freedom of religion and belief, Article 64 of the Constitution stipulates that freedom of belief is absolute. In this regard, the government took positive measures to enhance the right to freedom of belief for Christians through issuing the Church Building and Restoration Law in 2016. This law facilitated the procedures for building Christian houses of worship. It also created a permanent channel for the legalization of churches that were built without permits due to difficulty and complexity of previous legal procedures to obtain them. Since the promulgation of the law up until late 2022 around 2000 unlicensed churches and affiliated buildings</w:t>
      </w:r>
      <w:r w:rsidR="00231941" w:rsidRPr="00A16B8B">
        <w:rPr>
          <w:rStyle w:val="Emphasis"/>
          <w:rFonts w:asciiTheme="majorBidi" w:hAnsiTheme="majorBidi" w:cstheme="majorBidi"/>
          <w:i w:val="0"/>
          <w:iCs w:val="0"/>
          <w:sz w:val="28"/>
          <w:szCs w:val="28"/>
          <w:lang w:val="en-GB"/>
        </w:rPr>
        <w:t xml:space="preserve"> were legalized. The government repeatedly calls for the</w:t>
      </w:r>
      <w:r w:rsidRPr="00A16B8B">
        <w:rPr>
          <w:rStyle w:val="Emphasis"/>
          <w:rFonts w:asciiTheme="majorBidi" w:hAnsiTheme="majorBidi" w:cstheme="majorBidi"/>
          <w:i w:val="0"/>
          <w:iCs w:val="0"/>
          <w:sz w:val="28"/>
          <w:szCs w:val="28"/>
          <w:lang w:val="en-GB"/>
        </w:rPr>
        <w:t xml:space="preserve"> renew</w:t>
      </w:r>
      <w:r w:rsidR="00231941" w:rsidRPr="00A16B8B">
        <w:rPr>
          <w:rStyle w:val="Emphasis"/>
          <w:rFonts w:asciiTheme="majorBidi" w:hAnsiTheme="majorBidi" w:cstheme="majorBidi"/>
          <w:i w:val="0"/>
          <w:iCs w:val="0"/>
          <w:sz w:val="28"/>
          <w:szCs w:val="28"/>
          <w:lang w:val="en-GB"/>
        </w:rPr>
        <w:t>al religious discourse to</w:t>
      </w:r>
      <w:r w:rsidRPr="00A16B8B">
        <w:rPr>
          <w:rStyle w:val="Emphasis"/>
          <w:rFonts w:asciiTheme="majorBidi" w:hAnsiTheme="majorBidi" w:cstheme="majorBidi"/>
          <w:i w:val="0"/>
          <w:iCs w:val="0"/>
          <w:sz w:val="28"/>
          <w:szCs w:val="28"/>
          <w:lang w:val="en-GB"/>
        </w:rPr>
        <w:t xml:space="preserve"> confront hate speech</w:t>
      </w:r>
      <w:r w:rsidR="00231941" w:rsidRPr="00A16B8B">
        <w:rPr>
          <w:rStyle w:val="Emphasis"/>
          <w:rFonts w:asciiTheme="majorBidi" w:hAnsiTheme="majorBidi" w:cstheme="majorBidi"/>
          <w:i w:val="0"/>
          <w:iCs w:val="0"/>
          <w:sz w:val="28"/>
          <w:szCs w:val="28"/>
          <w:lang w:val="en-GB"/>
        </w:rPr>
        <w:t xml:space="preserve"> and extremism; however,</w:t>
      </w:r>
      <w:r w:rsidRPr="00A16B8B">
        <w:rPr>
          <w:rStyle w:val="Emphasis"/>
          <w:rFonts w:asciiTheme="majorBidi" w:hAnsiTheme="majorBidi" w:cstheme="majorBidi"/>
          <w:i w:val="0"/>
          <w:iCs w:val="0"/>
          <w:sz w:val="28"/>
          <w:szCs w:val="28"/>
          <w:lang w:val="en-GB"/>
        </w:rPr>
        <w:t xml:space="preserve"> on the ground there are still legislations that threaten the right to freedom of belief and the </w:t>
      </w:r>
      <w:r w:rsidR="00231941" w:rsidRPr="00A16B8B">
        <w:rPr>
          <w:rStyle w:val="Emphasis"/>
          <w:rFonts w:asciiTheme="majorBidi" w:hAnsiTheme="majorBidi" w:cstheme="majorBidi"/>
          <w:i w:val="0"/>
          <w:iCs w:val="0"/>
          <w:sz w:val="28"/>
          <w:szCs w:val="28"/>
          <w:lang w:val="en-GB"/>
        </w:rPr>
        <w:t xml:space="preserve">right to freedom of expression, chief among them is article 98 of the criminal code. Article 98 is nothing short of a blasphemy law as it is usually utilized to stifle freedom of expression on matters related to religion. As a </w:t>
      </w:r>
      <w:r w:rsidR="00AE671A" w:rsidRPr="00A16B8B">
        <w:rPr>
          <w:rStyle w:val="Emphasis"/>
          <w:rFonts w:asciiTheme="majorBidi" w:hAnsiTheme="majorBidi" w:cstheme="majorBidi"/>
          <w:i w:val="0"/>
          <w:iCs w:val="0"/>
          <w:sz w:val="28"/>
          <w:szCs w:val="28"/>
          <w:lang w:val="en-GB"/>
        </w:rPr>
        <w:t>result,</w:t>
      </w:r>
      <w:r w:rsidR="00231941" w:rsidRPr="00A16B8B">
        <w:rPr>
          <w:rStyle w:val="Emphasis"/>
          <w:rFonts w:asciiTheme="majorBidi" w:hAnsiTheme="majorBidi" w:cstheme="majorBidi"/>
          <w:i w:val="0"/>
          <w:iCs w:val="0"/>
          <w:sz w:val="28"/>
          <w:szCs w:val="28"/>
          <w:lang w:val="en-GB"/>
        </w:rPr>
        <w:t xml:space="preserve"> over the years several intellectuals, reformist members of the clergy and public figures were prosecuted and sometimes jailed due to their expression of religious views that may not necessarily agree with the perception of the conservative and extremist segments of society. EOHR demands the immediate abrogation of article 98 of the criminal code as it stands as a perpetual and clear violation of the right to freedom of </w:t>
      </w:r>
      <w:r w:rsidR="00AE671A" w:rsidRPr="00A16B8B">
        <w:rPr>
          <w:rStyle w:val="Emphasis"/>
          <w:rFonts w:asciiTheme="majorBidi" w:hAnsiTheme="majorBidi" w:cstheme="majorBidi"/>
          <w:i w:val="0"/>
          <w:iCs w:val="0"/>
          <w:sz w:val="28"/>
          <w:szCs w:val="28"/>
          <w:lang w:val="en-GB"/>
        </w:rPr>
        <w:t>religion and belief.</w:t>
      </w:r>
    </w:p>
    <w:p w:rsidR="00AE671A" w:rsidRDefault="00AE671A" w:rsidP="0077622A">
      <w:pPr>
        <w:rPr>
          <w:rStyle w:val="Emphasis"/>
          <w:rFonts w:asciiTheme="majorBidi" w:hAnsiTheme="majorBidi" w:cstheme="majorBidi"/>
          <w:i w:val="0"/>
          <w:iCs w:val="0"/>
          <w:sz w:val="28"/>
          <w:szCs w:val="28"/>
          <w:lang w:val="en-GB"/>
        </w:rPr>
      </w:pPr>
    </w:p>
    <w:p w:rsidR="00DB122A" w:rsidRDefault="00DB122A" w:rsidP="0077622A">
      <w:pPr>
        <w:rPr>
          <w:rStyle w:val="Emphasis"/>
          <w:rFonts w:asciiTheme="majorBidi" w:hAnsiTheme="majorBidi" w:cstheme="majorBidi"/>
          <w:i w:val="0"/>
          <w:iCs w:val="0"/>
          <w:sz w:val="28"/>
          <w:szCs w:val="28"/>
          <w:lang w:val="en-GB"/>
        </w:rPr>
      </w:pPr>
    </w:p>
    <w:p w:rsidR="00DB122A" w:rsidRDefault="00DB122A" w:rsidP="0077622A">
      <w:pPr>
        <w:rPr>
          <w:rStyle w:val="Emphasis"/>
          <w:rFonts w:asciiTheme="majorBidi" w:hAnsiTheme="majorBidi" w:cstheme="majorBidi"/>
          <w:i w:val="0"/>
          <w:iCs w:val="0"/>
          <w:sz w:val="28"/>
          <w:szCs w:val="28"/>
          <w:lang w:val="en-GB"/>
        </w:rPr>
      </w:pPr>
    </w:p>
    <w:p w:rsidR="00DB122A" w:rsidRDefault="00DB122A" w:rsidP="0077622A">
      <w:pPr>
        <w:rPr>
          <w:rStyle w:val="Emphasis"/>
          <w:rFonts w:asciiTheme="majorBidi" w:hAnsiTheme="majorBidi" w:cstheme="majorBidi"/>
          <w:i w:val="0"/>
          <w:iCs w:val="0"/>
          <w:sz w:val="28"/>
          <w:szCs w:val="28"/>
          <w:lang w:val="en-GB"/>
        </w:rPr>
      </w:pPr>
    </w:p>
    <w:p w:rsidR="00DB122A" w:rsidRDefault="00DB122A" w:rsidP="0077622A">
      <w:pPr>
        <w:rPr>
          <w:rStyle w:val="Emphasis"/>
          <w:rFonts w:asciiTheme="majorBidi" w:hAnsiTheme="majorBidi" w:cstheme="majorBidi"/>
          <w:i w:val="0"/>
          <w:iCs w:val="0"/>
          <w:sz w:val="28"/>
          <w:szCs w:val="28"/>
          <w:lang w:val="en-GB"/>
        </w:rPr>
      </w:pPr>
    </w:p>
    <w:p w:rsidR="00DB122A" w:rsidRPr="00A16B8B" w:rsidRDefault="00DB122A" w:rsidP="0077622A">
      <w:pPr>
        <w:rPr>
          <w:rStyle w:val="Emphasis"/>
          <w:rFonts w:asciiTheme="majorBidi" w:hAnsiTheme="majorBidi" w:cstheme="majorBidi"/>
          <w:i w:val="0"/>
          <w:iCs w:val="0"/>
          <w:sz w:val="28"/>
          <w:szCs w:val="28"/>
          <w:lang w:val="en-GB"/>
        </w:rPr>
      </w:pPr>
    </w:p>
    <w:p w:rsidR="004D6A20" w:rsidRPr="00A16B8B" w:rsidRDefault="004D6A20" w:rsidP="008035E7">
      <w:pPr>
        <w:rPr>
          <w:rStyle w:val="Emphasis"/>
          <w:rFonts w:asciiTheme="majorBidi" w:hAnsiTheme="majorBidi" w:cstheme="majorBidi"/>
          <w:b/>
          <w:bCs/>
          <w:i w:val="0"/>
          <w:iCs w:val="0"/>
          <w:sz w:val="28"/>
          <w:szCs w:val="28"/>
          <w:u w:val="single"/>
          <w:lang w:val="en-GB"/>
        </w:rPr>
      </w:pPr>
      <w:r w:rsidRPr="00A16B8B">
        <w:rPr>
          <w:rStyle w:val="Emphasis"/>
          <w:rFonts w:asciiTheme="majorBidi" w:hAnsiTheme="majorBidi" w:cstheme="majorBidi"/>
          <w:b/>
          <w:bCs/>
          <w:i w:val="0"/>
          <w:iCs w:val="0"/>
          <w:sz w:val="28"/>
          <w:szCs w:val="28"/>
          <w:u w:val="single"/>
          <w:lang w:val="en-GB"/>
        </w:rPr>
        <w:t>8) Recommendations</w:t>
      </w:r>
    </w:p>
    <w:p w:rsidR="00A745E6" w:rsidRPr="00A16B8B" w:rsidRDefault="00AE671A" w:rsidP="00AE671A">
      <w:p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rPr>
        <w:t>In light the assessment of Egypt’s human rights situation in this report, EOHR presents the following recommendations:</w:t>
      </w:r>
    </w:p>
    <w:p w:rsidR="00AE671A" w:rsidRPr="00A16B8B" w:rsidRDefault="00AE671A" w:rsidP="00AE671A">
      <w:pPr>
        <w:pStyle w:val="ListParagraph"/>
        <w:numPr>
          <w:ilvl w:val="0"/>
          <w:numId w:val="1"/>
        </w:num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rPr>
        <w:t>Egypt should ratify the Second Optional Protocol to the International Covenant on Civil and Political Rights, which aims to abolish the death penalty.</w:t>
      </w:r>
    </w:p>
    <w:p w:rsidR="00AE671A" w:rsidRPr="00A16B8B" w:rsidRDefault="00AE671A" w:rsidP="00AE671A">
      <w:pPr>
        <w:pStyle w:val="ListParagraph"/>
        <w:numPr>
          <w:ilvl w:val="0"/>
          <w:numId w:val="1"/>
        </w:num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rPr>
        <w:t xml:space="preserve">Article 126 of the Penal Code must be amended to comply with the definition of torture stipulated in the UNCAT. </w:t>
      </w:r>
    </w:p>
    <w:p w:rsidR="00AE671A" w:rsidRPr="00A16B8B" w:rsidRDefault="00AE671A" w:rsidP="00AE671A">
      <w:pPr>
        <w:pStyle w:val="ListParagraph"/>
        <w:numPr>
          <w:ilvl w:val="0"/>
          <w:numId w:val="1"/>
        </w:num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rPr>
        <w:t>Egypt needs to ratify the International Convention for the Protection of All Persons from Enforced Disappearance.</w:t>
      </w:r>
    </w:p>
    <w:p w:rsidR="00AE671A" w:rsidRPr="00A16B8B" w:rsidRDefault="006C539C" w:rsidP="006C539C">
      <w:pPr>
        <w:pStyle w:val="ListParagraph"/>
        <w:numPr>
          <w:ilvl w:val="0"/>
          <w:numId w:val="1"/>
        </w:num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lang w:val="en-GB"/>
        </w:rPr>
        <w:t>EOHR encourages the</w:t>
      </w:r>
      <w:r w:rsidR="00AE671A" w:rsidRPr="00A16B8B">
        <w:rPr>
          <w:rStyle w:val="Emphasis"/>
          <w:rFonts w:asciiTheme="majorBidi" w:hAnsiTheme="majorBidi" w:cstheme="majorBidi"/>
          <w:i w:val="0"/>
          <w:iCs w:val="0"/>
          <w:sz w:val="28"/>
          <w:szCs w:val="28"/>
        </w:rPr>
        <w:t xml:space="preserve"> Presidential Pardons Committee to</w:t>
      </w:r>
      <w:r w:rsidRPr="00A16B8B">
        <w:rPr>
          <w:rStyle w:val="Emphasis"/>
          <w:rFonts w:asciiTheme="majorBidi" w:hAnsiTheme="majorBidi" w:cstheme="majorBidi"/>
          <w:i w:val="0"/>
          <w:iCs w:val="0"/>
          <w:sz w:val="28"/>
          <w:szCs w:val="28"/>
        </w:rPr>
        <w:t xml:space="preserve"> continue its efforts to</w:t>
      </w:r>
      <w:r w:rsidR="00AE671A" w:rsidRPr="00A16B8B">
        <w:rPr>
          <w:rStyle w:val="Emphasis"/>
          <w:rFonts w:asciiTheme="majorBidi" w:hAnsiTheme="majorBidi" w:cstheme="majorBidi"/>
          <w:i w:val="0"/>
          <w:iCs w:val="0"/>
          <w:sz w:val="28"/>
          <w:szCs w:val="28"/>
        </w:rPr>
        <w:t xml:space="preserve"> release all those imprisoned on </w:t>
      </w:r>
      <w:r w:rsidRPr="00A16B8B">
        <w:rPr>
          <w:rStyle w:val="Emphasis"/>
          <w:rFonts w:asciiTheme="majorBidi" w:hAnsiTheme="majorBidi" w:cstheme="majorBidi"/>
          <w:i w:val="0"/>
          <w:iCs w:val="0"/>
          <w:sz w:val="28"/>
          <w:szCs w:val="28"/>
        </w:rPr>
        <w:t>account of cases related to freedom of expression or peaceful political activism.</w:t>
      </w:r>
    </w:p>
    <w:p w:rsidR="006C539C" w:rsidRPr="00A16B8B" w:rsidRDefault="006C539C" w:rsidP="006C539C">
      <w:pPr>
        <w:pStyle w:val="ListParagraph"/>
        <w:numPr>
          <w:ilvl w:val="0"/>
          <w:numId w:val="1"/>
        </w:num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rPr>
        <w:t xml:space="preserve">Legal amendments must be carried out to find alternatives </w:t>
      </w:r>
      <w:r w:rsidR="00A16B8B" w:rsidRPr="00A16B8B">
        <w:rPr>
          <w:rStyle w:val="Emphasis"/>
          <w:rFonts w:asciiTheme="majorBidi" w:hAnsiTheme="majorBidi" w:cstheme="majorBidi"/>
          <w:i w:val="0"/>
          <w:iCs w:val="0"/>
          <w:sz w:val="28"/>
          <w:szCs w:val="28"/>
        </w:rPr>
        <w:t>to pretrial detention.</w:t>
      </w:r>
    </w:p>
    <w:p w:rsidR="00A16B8B" w:rsidRPr="00A16B8B" w:rsidRDefault="00A16B8B" w:rsidP="00A16B8B">
      <w:pPr>
        <w:pStyle w:val="ListParagraph"/>
        <w:numPr>
          <w:ilvl w:val="0"/>
          <w:numId w:val="1"/>
        </w:num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rPr>
        <w:t>The Egyptian Parliament should issue a law facilitating access to information in line with International Human Rights law and the Egyptian Constitution.</w:t>
      </w:r>
    </w:p>
    <w:p w:rsidR="00A16B8B" w:rsidRPr="00A16B8B" w:rsidRDefault="00A16B8B" w:rsidP="00A16B8B">
      <w:pPr>
        <w:pStyle w:val="ListParagraph"/>
        <w:numPr>
          <w:ilvl w:val="0"/>
          <w:numId w:val="1"/>
        </w:numPr>
        <w:rPr>
          <w:rStyle w:val="Emphasis"/>
          <w:rFonts w:asciiTheme="majorBidi" w:hAnsiTheme="majorBidi" w:cstheme="majorBidi"/>
          <w:i w:val="0"/>
          <w:iCs w:val="0"/>
          <w:sz w:val="28"/>
          <w:szCs w:val="28"/>
        </w:rPr>
      </w:pPr>
      <w:r w:rsidRPr="00A16B8B">
        <w:rPr>
          <w:rStyle w:val="Emphasis"/>
          <w:rFonts w:asciiTheme="majorBidi" w:hAnsiTheme="majorBidi" w:cstheme="majorBidi"/>
          <w:i w:val="0"/>
          <w:iCs w:val="0"/>
          <w:sz w:val="28"/>
          <w:szCs w:val="28"/>
          <w:lang w:val="en-GB"/>
        </w:rPr>
        <w:t>The legislative authorities must repeal article 98 of the penal code due to threat it poses to freedom of religion and belief.</w:t>
      </w:r>
    </w:p>
    <w:p w:rsidR="00A16B8B" w:rsidRPr="00A16B8B" w:rsidRDefault="00A16B8B" w:rsidP="00A16B8B">
      <w:pPr>
        <w:rPr>
          <w:rStyle w:val="Emphasis"/>
          <w:rFonts w:asciiTheme="majorBidi" w:hAnsiTheme="majorBidi" w:cstheme="majorBidi"/>
          <w:i w:val="0"/>
          <w:iCs w:val="0"/>
          <w:sz w:val="28"/>
          <w:szCs w:val="28"/>
          <w:lang w:val="en-GB"/>
        </w:rPr>
      </w:pPr>
    </w:p>
    <w:p w:rsidR="002D730D" w:rsidRPr="00A16B8B" w:rsidRDefault="002D730D" w:rsidP="001A099F">
      <w:pPr>
        <w:rPr>
          <w:rFonts w:asciiTheme="majorBidi" w:hAnsiTheme="majorBidi" w:cstheme="majorBidi"/>
          <w:sz w:val="28"/>
          <w:szCs w:val="28"/>
          <w:lang w:val="en-GB"/>
        </w:rPr>
      </w:pPr>
    </w:p>
    <w:p w:rsidR="002C06F9" w:rsidRPr="00A16B8B" w:rsidRDefault="002C06F9" w:rsidP="001A099F">
      <w:pPr>
        <w:rPr>
          <w:rFonts w:asciiTheme="majorBidi" w:hAnsiTheme="majorBidi" w:cstheme="majorBidi"/>
          <w:sz w:val="28"/>
          <w:szCs w:val="28"/>
        </w:rPr>
      </w:pPr>
    </w:p>
    <w:p w:rsidR="002C06F9" w:rsidRPr="00A16B8B" w:rsidRDefault="002C06F9" w:rsidP="001A099F">
      <w:pPr>
        <w:rPr>
          <w:rFonts w:asciiTheme="majorBidi" w:hAnsiTheme="majorBidi" w:cstheme="majorBidi"/>
          <w:sz w:val="28"/>
          <w:szCs w:val="28"/>
        </w:rPr>
      </w:pPr>
    </w:p>
    <w:p w:rsidR="002D730D" w:rsidRPr="00A16B8B" w:rsidRDefault="002D730D" w:rsidP="002D730D">
      <w:pPr>
        <w:bidi/>
        <w:rPr>
          <w:rFonts w:ascii="Simplified Arabic" w:hAnsi="Simplified Arabic" w:cs="Simplified Arabic"/>
          <w:sz w:val="28"/>
          <w:szCs w:val="28"/>
          <w:lang w:bidi="ar-EG"/>
        </w:rPr>
      </w:pPr>
    </w:p>
    <w:p w:rsidR="002D730D" w:rsidRPr="00A16B8B" w:rsidRDefault="002D730D" w:rsidP="001A099F">
      <w:pPr>
        <w:rPr>
          <w:rFonts w:asciiTheme="majorBidi" w:hAnsiTheme="majorBidi" w:cstheme="majorBidi"/>
          <w:sz w:val="28"/>
          <w:szCs w:val="28"/>
        </w:rPr>
      </w:pPr>
    </w:p>
    <w:p w:rsidR="001A099F" w:rsidRPr="00A16B8B" w:rsidRDefault="001A099F" w:rsidP="001A099F">
      <w:pPr>
        <w:rPr>
          <w:rFonts w:asciiTheme="majorBidi" w:hAnsiTheme="majorBidi" w:cstheme="majorBidi"/>
          <w:sz w:val="28"/>
          <w:szCs w:val="28"/>
        </w:rPr>
      </w:pPr>
    </w:p>
    <w:p w:rsidR="00690824" w:rsidRPr="00A16B8B" w:rsidRDefault="00690824" w:rsidP="00690824">
      <w:pPr>
        <w:bidi/>
        <w:rPr>
          <w:rFonts w:ascii="Simplified Arabic" w:hAnsi="Simplified Arabic" w:cs="Simplified Arabic"/>
          <w:sz w:val="28"/>
          <w:szCs w:val="28"/>
          <w:rtl/>
          <w:lang w:bidi="ar-EG"/>
        </w:rPr>
      </w:pPr>
    </w:p>
    <w:p w:rsidR="00690824" w:rsidRPr="00A16B8B" w:rsidRDefault="00690824" w:rsidP="00690824">
      <w:pPr>
        <w:rPr>
          <w:rFonts w:asciiTheme="majorBidi" w:hAnsiTheme="majorBidi" w:cstheme="majorBidi"/>
          <w:b/>
          <w:bCs/>
          <w:sz w:val="28"/>
          <w:szCs w:val="28"/>
          <w:u w:val="single"/>
          <w:lang w:bidi="ar-EG"/>
        </w:rPr>
      </w:pPr>
    </w:p>
    <w:p w:rsidR="00E01ADD" w:rsidRPr="00A16B8B" w:rsidRDefault="00E01ADD" w:rsidP="00E01ADD">
      <w:pPr>
        <w:rPr>
          <w:rFonts w:asciiTheme="majorBidi" w:hAnsiTheme="majorBidi" w:cstheme="majorBidi"/>
          <w:sz w:val="28"/>
          <w:szCs w:val="28"/>
          <w:u w:val="single"/>
          <w:lang w:bidi="ar-EG"/>
        </w:rPr>
      </w:pPr>
    </w:p>
    <w:sectPr w:rsidR="00E01ADD" w:rsidRPr="00A16B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B0FEC"/>
    <w:multiLevelType w:val="hybridMultilevel"/>
    <w:tmpl w:val="097AF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377479"/>
    <w:multiLevelType w:val="hybridMultilevel"/>
    <w:tmpl w:val="332C9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ADD"/>
    <w:rsid w:val="000971A8"/>
    <w:rsid w:val="000B094B"/>
    <w:rsid w:val="00125CC0"/>
    <w:rsid w:val="001A099F"/>
    <w:rsid w:val="00231941"/>
    <w:rsid w:val="002531D9"/>
    <w:rsid w:val="002B1DB6"/>
    <w:rsid w:val="002C06F9"/>
    <w:rsid w:val="002D730D"/>
    <w:rsid w:val="0035668C"/>
    <w:rsid w:val="00413EB3"/>
    <w:rsid w:val="00414E46"/>
    <w:rsid w:val="004C2D2E"/>
    <w:rsid w:val="004D6A20"/>
    <w:rsid w:val="005B5F6B"/>
    <w:rsid w:val="005F6A54"/>
    <w:rsid w:val="0061723D"/>
    <w:rsid w:val="00674B34"/>
    <w:rsid w:val="00690824"/>
    <w:rsid w:val="00693F3C"/>
    <w:rsid w:val="006C539C"/>
    <w:rsid w:val="006F5160"/>
    <w:rsid w:val="0077622A"/>
    <w:rsid w:val="007A7B67"/>
    <w:rsid w:val="008035E7"/>
    <w:rsid w:val="0084173C"/>
    <w:rsid w:val="009620FB"/>
    <w:rsid w:val="00A02384"/>
    <w:rsid w:val="00A16B8B"/>
    <w:rsid w:val="00A745E6"/>
    <w:rsid w:val="00AC18DA"/>
    <w:rsid w:val="00AE671A"/>
    <w:rsid w:val="00B11A14"/>
    <w:rsid w:val="00B23A88"/>
    <w:rsid w:val="00B3089F"/>
    <w:rsid w:val="00BA3D2B"/>
    <w:rsid w:val="00BE27F4"/>
    <w:rsid w:val="00CC548E"/>
    <w:rsid w:val="00D130EA"/>
    <w:rsid w:val="00D3108D"/>
    <w:rsid w:val="00D608B2"/>
    <w:rsid w:val="00DB122A"/>
    <w:rsid w:val="00DB7713"/>
    <w:rsid w:val="00E01ADD"/>
    <w:rsid w:val="00E0290A"/>
    <w:rsid w:val="00E353A4"/>
    <w:rsid w:val="00E57E15"/>
    <w:rsid w:val="00E92F09"/>
    <w:rsid w:val="00F36E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CD00A"/>
  <w15:chartTrackingRefBased/>
  <w15:docId w15:val="{E6036E03-87A2-480B-8629-A72354F3E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A09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A099F"/>
    <w:rPr>
      <w:rFonts w:ascii="Courier New" w:eastAsia="Times New Roman" w:hAnsi="Courier New" w:cs="Courier New"/>
      <w:sz w:val="20"/>
      <w:szCs w:val="20"/>
    </w:rPr>
  </w:style>
  <w:style w:type="character" w:customStyle="1" w:styleId="y2iqfc">
    <w:name w:val="y2iqfc"/>
    <w:basedOn w:val="DefaultParagraphFont"/>
    <w:rsid w:val="001A099F"/>
  </w:style>
  <w:style w:type="character" w:styleId="Emphasis">
    <w:name w:val="Emphasis"/>
    <w:basedOn w:val="DefaultParagraphFont"/>
    <w:uiPriority w:val="20"/>
    <w:qFormat/>
    <w:rsid w:val="00125CC0"/>
    <w:rPr>
      <w:i/>
      <w:iCs/>
    </w:rPr>
  </w:style>
  <w:style w:type="character" w:styleId="CommentReference">
    <w:name w:val="annotation reference"/>
    <w:basedOn w:val="DefaultParagraphFont"/>
    <w:uiPriority w:val="99"/>
    <w:semiHidden/>
    <w:unhideWhenUsed/>
    <w:rsid w:val="00231941"/>
    <w:rPr>
      <w:sz w:val="16"/>
      <w:szCs w:val="16"/>
    </w:rPr>
  </w:style>
  <w:style w:type="paragraph" w:styleId="ListParagraph">
    <w:name w:val="List Paragraph"/>
    <w:basedOn w:val="Normal"/>
    <w:uiPriority w:val="34"/>
    <w:qFormat/>
    <w:rsid w:val="00AE67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60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1242</TotalTime>
  <Pages>9</Pages>
  <Words>2475</Words>
  <Characters>14109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dc:creator>
  <cp:keywords/>
  <dc:description/>
  <cp:lastModifiedBy>Mohamed</cp:lastModifiedBy>
  <cp:revision>24</cp:revision>
  <dcterms:created xsi:type="dcterms:W3CDTF">2023-01-19T18:47:00Z</dcterms:created>
  <dcterms:modified xsi:type="dcterms:W3CDTF">2023-01-28T12:37:00Z</dcterms:modified>
</cp:coreProperties>
</file>