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529870" w:displacedByCustomXml="next"/>
    <w:bookmarkEnd w:id="0" w:displacedByCustomXml="next"/>
    <w:sdt>
      <w:sdtPr>
        <w:rPr>
          <w:color w:val="000000" w:themeColor="text1"/>
        </w:rPr>
        <w:id w:val="2001303170"/>
        <w:docPartObj>
          <w:docPartGallery w:val="Cover Pages"/>
          <w:docPartUnique/>
        </w:docPartObj>
      </w:sdtPr>
      <w:sdtEndPr>
        <w:rPr>
          <w:rFonts w:cstheme="minorHAnsi"/>
          <w:b/>
          <w:bCs/>
        </w:rPr>
      </w:sdtEndPr>
      <w:sdtContent>
        <w:p w14:paraId="5549810C" w14:textId="339B4521" w:rsidR="000A3D74" w:rsidRPr="00761D56" w:rsidRDefault="000A3D74" w:rsidP="008F24DD">
          <w:pPr>
            <w:jc w:val="both"/>
            <w:rPr>
              <w:color w:val="000000" w:themeColor="text1"/>
            </w:rPr>
          </w:pPr>
          <w:r w:rsidRPr="00761D56">
            <w:rPr>
              <w:noProof/>
              <w:color w:val="000000" w:themeColor="text1"/>
            </w:rPr>
            <w:drawing>
              <wp:anchor distT="0" distB="0" distL="114300" distR="114300" simplePos="0" relativeHeight="251671552" behindDoc="1" locked="0" layoutInCell="1" allowOverlap="1" wp14:anchorId="694A6157" wp14:editId="57D5ED53">
                <wp:simplePos x="0" y="0"/>
                <wp:positionH relativeFrom="column">
                  <wp:posOffset>-691515</wp:posOffset>
                </wp:positionH>
                <wp:positionV relativeFrom="paragraph">
                  <wp:posOffset>-808990</wp:posOffset>
                </wp:positionV>
                <wp:extent cx="7772400" cy="10058400"/>
                <wp:effectExtent l="0" t="0" r="0" b="0"/>
                <wp:wrapNone/>
                <wp:docPr id="150995056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9950567" name="Picture 1509950567"/>
                        <pic:cNvPicPr/>
                      </pic:nvPicPr>
                      <pic:blipFill>
                        <a:blip r:embed="rId1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page">
                  <wp14:pctWidth>0</wp14:pctWidth>
                </wp14:sizeRelH>
                <wp14:sizeRelV relativeFrom="page">
                  <wp14:pctHeight>0</wp14:pctHeight>
                </wp14:sizeRelV>
              </wp:anchor>
            </w:drawing>
          </w:r>
        </w:p>
        <w:p w14:paraId="1956A6AA" w14:textId="76AC8731" w:rsidR="000A3D74" w:rsidRPr="00761D56" w:rsidRDefault="000A3D74" w:rsidP="008F24DD">
          <w:pPr>
            <w:jc w:val="both"/>
            <w:rPr>
              <w:color w:val="000000" w:themeColor="text1"/>
            </w:rPr>
          </w:pPr>
        </w:p>
        <w:p w14:paraId="5A160005" w14:textId="77777777" w:rsidR="000A3D74" w:rsidRPr="00761D56" w:rsidRDefault="000A3D74" w:rsidP="008F24DD">
          <w:pPr>
            <w:jc w:val="both"/>
            <w:rPr>
              <w:color w:val="000000" w:themeColor="text1"/>
            </w:rPr>
          </w:pPr>
        </w:p>
        <w:p w14:paraId="6EAAC156" w14:textId="296D2317" w:rsidR="000A3D74" w:rsidRPr="00761D56" w:rsidRDefault="000A3D74" w:rsidP="008F24DD">
          <w:pPr>
            <w:jc w:val="both"/>
            <w:rPr>
              <w:color w:val="000000" w:themeColor="text1"/>
            </w:rPr>
          </w:pPr>
        </w:p>
        <w:p w14:paraId="3D3EF8C0" w14:textId="39E0FCD8" w:rsidR="000A3D74" w:rsidRPr="00761D56" w:rsidRDefault="000A3D74" w:rsidP="008F24DD">
          <w:pPr>
            <w:jc w:val="both"/>
            <w:rPr>
              <w:color w:val="000000" w:themeColor="text1"/>
            </w:rPr>
          </w:pPr>
        </w:p>
        <w:p w14:paraId="41201C24" w14:textId="77777777" w:rsidR="000A3D74" w:rsidRPr="00761D56" w:rsidRDefault="000A3D74" w:rsidP="008F24DD">
          <w:pPr>
            <w:jc w:val="both"/>
            <w:rPr>
              <w:color w:val="000000" w:themeColor="text1"/>
            </w:rPr>
          </w:pPr>
        </w:p>
        <w:p w14:paraId="29D323A7" w14:textId="5B2D0798" w:rsidR="000A3D74" w:rsidRPr="00761D56" w:rsidRDefault="000A3D74" w:rsidP="008F24DD">
          <w:pPr>
            <w:jc w:val="both"/>
            <w:rPr>
              <w:rFonts w:asciiTheme="minorBidi" w:hAnsiTheme="minorBidi"/>
              <w:color w:val="000000" w:themeColor="text1"/>
              <w:sz w:val="72"/>
              <w:szCs w:val="72"/>
              <w:lang w:val="en-US"/>
            </w:rPr>
          </w:pPr>
          <w:r w:rsidRPr="00761D56">
            <w:rPr>
              <w:rFonts w:ascii="Arial Black" w:hAnsi="Arial Black" w:cs="Calibri"/>
              <w:b/>
              <w:bCs/>
              <w:color w:val="000000" w:themeColor="text1"/>
              <w:sz w:val="180"/>
              <w:szCs w:val="180"/>
              <w:lang w:val="en-US"/>
            </w:rPr>
            <w:t>C</w:t>
          </w:r>
          <w:r w:rsidRPr="00761D56">
            <w:rPr>
              <w:rFonts w:asciiTheme="minorBidi" w:hAnsiTheme="minorBidi"/>
              <w:color w:val="000000" w:themeColor="text1"/>
              <w:sz w:val="72"/>
              <w:szCs w:val="72"/>
              <w:lang w:val="en-US"/>
            </w:rPr>
            <w:t xml:space="preserve">onvention on the </w:t>
          </w:r>
        </w:p>
        <w:p w14:paraId="240B7890" w14:textId="7870F60B" w:rsidR="000A3D74" w:rsidRPr="00761D56" w:rsidRDefault="000A3D74" w:rsidP="008F24DD">
          <w:pPr>
            <w:jc w:val="both"/>
            <w:rPr>
              <w:rFonts w:asciiTheme="minorBidi" w:hAnsiTheme="minorBidi"/>
              <w:color w:val="000000" w:themeColor="text1"/>
              <w:sz w:val="72"/>
              <w:szCs w:val="72"/>
              <w:lang w:val="en-US"/>
            </w:rPr>
          </w:pPr>
          <w:r w:rsidRPr="00761D56">
            <w:rPr>
              <w:rFonts w:ascii="Arial Black" w:hAnsi="Arial Black" w:cs="Calibri"/>
              <w:b/>
              <w:bCs/>
              <w:color w:val="000000" w:themeColor="text1"/>
              <w:sz w:val="180"/>
              <w:szCs w:val="180"/>
              <w:lang w:val="en-US"/>
            </w:rPr>
            <w:t>R</w:t>
          </w:r>
          <w:r w:rsidRPr="00761D56">
            <w:rPr>
              <w:rFonts w:asciiTheme="minorBidi" w:hAnsiTheme="minorBidi"/>
              <w:color w:val="000000" w:themeColor="text1"/>
              <w:sz w:val="72"/>
              <w:szCs w:val="72"/>
              <w:lang w:val="en-US"/>
            </w:rPr>
            <w:t xml:space="preserve">ights of the </w:t>
          </w:r>
        </w:p>
        <w:p w14:paraId="671CFD4F" w14:textId="66B7C6F2" w:rsidR="000A3D74" w:rsidRPr="00761D56" w:rsidRDefault="00DB7EF8" w:rsidP="008F24DD">
          <w:pPr>
            <w:jc w:val="both"/>
            <w:rPr>
              <w:rFonts w:ascii="Arial Black" w:hAnsi="Arial Black" w:cs="Calibri"/>
              <w:b/>
              <w:bCs/>
              <w:color w:val="000000" w:themeColor="text1"/>
              <w:sz w:val="180"/>
              <w:szCs w:val="180"/>
              <w:lang w:val="en-US"/>
            </w:rPr>
          </w:pPr>
          <w:r w:rsidRPr="00DB7EF8">
            <w:rPr>
              <w:rFonts w:cstheme="minorHAnsi"/>
              <w:noProof/>
              <w:color w:val="000000" w:themeColor="text1"/>
              <w:sz w:val="24"/>
              <w:szCs w:val="24"/>
            </w:rPr>
            <mc:AlternateContent>
              <mc:Choice Requires="wps">
                <w:drawing>
                  <wp:anchor distT="45720" distB="45720" distL="114300" distR="114300" simplePos="0" relativeHeight="251675648" behindDoc="0" locked="0" layoutInCell="1" allowOverlap="1" wp14:anchorId="4FAFA5F0" wp14:editId="750631C2">
                    <wp:simplePos x="0" y="0"/>
                    <wp:positionH relativeFrom="margin">
                      <wp:posOffset>5005705</wp:posOffset>
                    </wp:positionH>
                    <wp:positionV relativeFrom="paragraph">
                      <wp:posOffset>1503163</wp:posOffset>
                    </wp:positionV>
                    <wp:extent cx="124396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1404620"/>
                            </a:xfrm>
                            <a:prstGeom prst="rect">
                              <a:avLst/>
                            </a:prstGeom>
                            <a:noFill/>
                            <a:ln w="9525">
                              <a:noFill/>
                              <a:miter lim="800000"/>
                              <a:headEnd/>
                              <a:tailEnd/>
                            </a:ln>
                          </wps:spPr>
                          <wps:txbx>
                            <w:txbxContent>
                              <w:p w14:paraId="781045FE" w14:textId="77777777" w:rsidR="00DB7EF8" w:rsidRPr="00DB7EF8" w:rsidRDefault="00DB7EF8" w:rsidP="00DB7EF8">
                                <w:pPr>
                                  <w:rPr>
                                    <w:sz w:val="56"/>
                                    <w:szCs w:val="56"/>
                                  </w:rPr>
                                </w:pPr>
                                <w:r w:rsidRPr="00DB7EF8">
                                  <w:rPr>
                                    <w:sz w:val="56"/>
                                    <w:szCs w:val="56"/>
                                  </w:rPr>
                                  <w:t>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FAFA5F0" id="_x0000_t202" coordsize="21600,21600" o:spt="202" path="m,l,21600r21600,l21600,xe">
                    <v:stroke joinstyle="miter"/>
                    <v:path gradientshapeok="t" o:connecttype="rect"/>
                  </v:shapetype>
                  <v:shape id="Text Box 2" o:spid="_x0000_s1026" type="#_x0000_t202" style="position:absolute;left:0;text-align:left;margin-left:394.15pt;margin-top:118.35pt;width:97.9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" filled="f" stroked="f">
                    <v:textbox style="mso-fit-shape-to-text:t">
                      <w:txbxContent>
                        <w:p w14:paraId="781045FE" w14:textId="77777777" w:rsidR="00DB7EF8" w:rsidRPr="00DB7EF8" w:rsidRDefault="00DB7EF8" w:rsidP="00DB7EF8">
                          <w:pPr>
                            <w:rPr>
                              <w:sz w:val="56"/>
                              <w:szCs w:val="56"/>
                            </w:rPr>
                          </w:pPr>
                          <w:r w:rsidRPr="00DB7EF8">
                            <w:rPr>
                              <w:sz w:val="56"/>
                              <w:szCs w:val="56"/>
                            </w:rPr>
                            <w:t>2025</w:t>
                          </w:r>
                        </w:p>
                      </w:txbxContent>
                    </v:textbox>
                    <w10:wrap anchorx="margin"/>
                  </v:shape>
                </w:pict>
              </mc:Fallback>
            </mc:AlternateContent>
          </w:r>
          <w:r w:rsidR="000A3D74" w:rsidRPr="00761D56">
            <w:rPr>
              <w:rFonts w:ascii="Arial Black" w:hAnsi="Arial Black" w:cs="Calibri"/>
              <w:b/>
              <w:bCs/>
              <w:color w:val="000000" w:themeColor="text1"/>
              <w:sz w:val="180"/>
              <w:szCs w:val="180"/>
              <w:lang w:val="en-US"/>
            </w:rPr>
            <w:t>C</w:t>
          </w:r>
          <w:r w:rsidR="000A3D74" w:rsidRPr="00761D56">
            <w:rPr>
              <w:rFonts w:asciiTheme="minorBidi" w:hAnsiTheme="minorBidi"/>
              <w:color w:val="000000" w:themeColor="text1"/>
              <w:sz w:val="72"/>
              <w:szCs w:val="72"/>
              <w:lang w:val="en-US"/>
            </w:rPr>
            <w:t>hild</w:t>
          </w:r>
          <w:r w:rsidR="000A3D74" w:rsidRPr="00761D56">
            <w:rPr>
              <w:rFonts w:ascii="Arial Black" w:hAnsi="Arial Black" w:cs="Calibri"/>
              <w:b/>
              <w:bCs/>
              <w:color w:val="000000" w:themeColor="text1"/>
              <w:sz w:val="180"/>
              <w:szCs w:val="180"/>
              <w:lang w:val="en-US"/>
            </w:rPr>
            <w:t xml:space="preserve"> </w:t>
          </w:r>
        </w:p>
        <w:p w14:paraId="4C8F6420" w14:textId="77A96129" w:rsidR="00D27038" w:rsidRPr="00761D56" w:rsidRDefault="00D27038" w:rsidP="008F24DD">
          <w:pPr>
            <w:jc w:val="both"/>
            <w:rPr>
              <w:rFonts w:cstheme="minorHAnsi"/>
              <w:b/>
              <w:bCs/>
              <w:color w:val="000000" w:themeColor="text1"/>
              <w:kern w:val="0"/>
              <w:sz w:val="24"/>
              <w:szCs w:val="24"/>
              <w:lang w:val="en-US"/>
            </w:rPr>
          </w:pPr>
          <w:r w:rsidRPr="00761D56">
            <w:rPr>
              <w:rFonts w:cstheme="minorHAnsi"/>
              <w:b/>
              <w:bCs/>
              <w:color w:val="000000" w:themeColor="text1"/>
            </w:rPr>
            <w:br w:type="page"/>
          </w:r>
        </w:p>
      </w:sdtContent>
    </w:sdt>
    <w:p w14:paraId="43BC7A91" w14:textId="5663C528" w:rsidR="007955AC" w:rsidRPr="00761D56" w:rsidRDefault="00FC414E" w:rsidP="008F24DD">
      <w:pPr>
        <w:pStyle w:val="Default"/>
        <w:tabs>
          <w:tab w:val="left" w:pos="720"/>
        </w:tabs>
        <w:spacing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lastRenderedPageBreak/>
        <w:t xml:space="preserve">                                                                                                                          </w:t>
      </w:r>
    </w:p>
    <w:p w14:paraId="762BAB4D"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2EEB7896"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1B677408" w14:textId="77777777" w:rsidR="008733D2" w:rsidRPr="00761D56" w:rsidRDefault="008733D2"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7468B3C1"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6E84011A"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6B7AAE1E"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44697F25"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083C0E3C"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1A6A8DA1" w14:textId="1E3F94CC" w:rsidR="007955AC" w:rsidRPr="00761D56" w:rsidRDefault="007955AC" w:rsidP="00007E7A">
      <w:pPr>
        <w:pStyle w:val="Default"/>
        <w:tabs>
          <w:tab w:val="left" w:pos="720"/>
        </w:tabs>
        <w:spacing w:line="276" w:lineRule="auto"/>
        <w:ind w:left="86" w:firstLine="0"/>
        <w:jc w:val="center"/>
        <w:rPr>
          <w:rFonts w:asciiTheme="minorHAnsi" w:hAnsiTheme="minorHAnsi" w:cstheme="minorHAnsi"/>
          <w:b/>
          <w:bCs/>
          <w:color w:val="000000" w:themeColor="text1"/>
        </w:rPr>
      </w:pPr>
      <w:r w:rsidRPr="00761D56">
        <w:rPr>
          <w:rFonts w:asciiTheme="minorHAnsi" w:hAnsiTheme="minorHAnsi" w:cstheme="minorHAnsi"/>
          <w:b/>
          <w:bCs/>
          <w:color w:val="000000" w:themeColor="text1"/>
        </w:rPr>
        <w:t>Submission from the Human Rights Commission of the Maldives for the combined sixth and seventh periodic report of the Republic of Maldives under the United Nations Convention on Rights of the Child (CRC)</w:t>
      </w:r>
    </w:p>
    <w:p w14:paraId="04C809E5" w14:textId="447C72FF"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093056B5" w14:textId="755478AD" w:rsidR="007955AC" w:rsidRPr="00761D56" w:rsidRDefault="00007E7A" w:rsidP="008F24DD">
      <w:pPr>
        <w:pStyle w:val="Default"/>
        <w:tabs>
          <w:tab w:val="left" w:pos="720"/>
        </w:tabs>
        <w:spacing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noProof/>
          <w:color w:val="000000" w:themeColor="text1"/>
        </w:rPr>
        <w:drawing>
          <wp:anchor distT="0" distB="0" distL="114300" distR="114300" simplePos="0" relativeHeight="251659264" behindDoc="0" locked="0" layoutInCell="1" allowOverlap="1" wp14:anchorId="702EE63E" wp14:editId="61088C18">
            <wp:simplePos x="0" y="0"/>
            <wp:positionH relativeFrom="margin">
              <wp:align>center</wp:align>
            </wp:positionH>
            <wp:positionV relativeFrom="paragraph">
              <wp:posOffset>105884</wp:posOffset>
            </wp:positionV>
            <wp:extent cx="831850" cy="1385570"/>
            <wp:effectExtent l="0" t="0" r="6350" b="5080"/>
            <wp:wrapNone/>
            <wp:docPr id="2" name="Picture 1" descr="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ission Logo"/>
                    <pic:cNvPicPr>
                      <a:picLocks noChangeAspect="1" noChangeArrowheads="1"/>
                    </pic:cNvPicPr>
                  </pic:nvPicPr>
                  <pic:blipFill>
                    <a:blip r:embed="rId12"/>
                    <a:srcRect/>
                    <a:stretch>
                      <a:fillRect/>
                    </a:stretch>
                  </pic:blipFill>
                  <pic:spPr bwMode="auto">
                    <a:xfrm>
                      <a:off x="0" y="0"/>
                      <a:ext cx="831850" cy="1385570"/>
                    </a:xfrm>
                    <a:prstGeom prst="rect">
                      <a:avLst/>
                    </a:prstGeom>
                    <a:noFill/>
                  </pic:spPr>
                </pic:pic>
              </a:graphicData>
            </a:graphic>
          </wp:anchor>
        </w:drawing>
      </w:r>
    </w:p>
    <w:p w14:paraId="1E7B204B"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74929C1C"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377BC739"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2296A2A9"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07EAF5C7"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5BE3989A"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45622675"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616A4087"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443A55B5" w14:textId="77777777" w:rsidR="007955AC" w:rsidRPr="00761D56" w:rsidRDefault="007955AC" w:rsidP="00007E7A">
      <w:pPr>
        <w:pStyle w:val="Default"/>
        <w:tabs>
          <w:tab w:val="left" w:pos="720"/>
        </w:tabs>
        <w:spacing w:line="276" w:lineRule="auto"/>
        <w:ind w:left="0" w:firstLine="0"/>
        <w:jc w:val="center"/>
        <w:rPr>
          <w:rFonts w:asciiTheme="minorHAnsi" w:hAnsiTheme="minorHAnsi" w:cstheme="minorHAnsi"/>
          <w:b/>
          <w:bCs/>
          <w:color w:val="000000" w:themeColor="text1"/>
        </w:rPr>
      </w:pPr>
      <w:r w:rsidRPr="00761D56">
        <w:rPr>
          <w:rFonts w:asciiTheme="minorHAnsi" w:hAnsiTheme="minorHAnsi" w:cstheme="minorHAnsi"/>
          <w:b/>
          <w:bCs/>
          <w:color w:val="000000" w:themeColor="text1"/>
        </w:rPr>
        <w:t>Human Rights Commission of the Maldives (HRCM)</w:t>
      </w:r>
    </w:p>
    <w:p w14:paraId="0CF6D25B" w14:textId="05F14C64" w:rsidR="007955AC" w:rsidRPr="00761D56" w:rsidRDefault="003D1F24" w:rsidP="00007E7A">
      <w:pPr>
        <w:pStyle w:val="Default"/>
        <w:tabs>
          <w:tab w:val="left" w:pos="720"/>
        </w:tabs>
        <w:spacing w:line="276" w:lineRule="auto"/>
        <w:ind w:left="0" w:firstLine="0"/>
        <w:jc w:val="center"/>
        <w:rPr>
          <w:rFonts w:asciiTheme="minorHAnsi" w:hAnsiTheme="minorHAnsi" w:cstheme="minorHAnsi"/>
          <w:b/>
          <w:bCs/>
          <w:color w:val="000000" w:themeColor="text1"/>
        </w:rPr>
      </w:pPr>
      <w:r w:rsidRPr="00761D56">
        <w:rPr>
          <w:rFonts w:asciiTheme="minorHAnsi" w:hAnsiTheme="minorHAnsi" w:cstheme="minorHAnsi"/>
          <w:b/>
          <w:bCs/>
          <w:color w:val="000000" w:themeColor="text1"/>
        </w:rPr>
        <w:t>December</w:t>
      </w:r>
      <w:r w:rsidR="007955AC" w:rsidRPr="00761D56">
        <w:rPr>
          <w:rFonts w:asciiTheme="minorHAnsi" w:hAnsiTheme="minorHAnsi" w:cstheme="minorHAnsi"/>
          <w:b/>
          <w:bCs/>
          <w:color w:val="000000" w:themeColor="text1"/>
        </w:rPr>
        <w:t xml:space="preserve"> </w:t>
      </w:r>
      <w:r w:rsidRPr="00761D56">
        <w:rPr>
          <w:rFonts w:asciiTheme="minorHAnsi" w:hAnsiTheme="minorHAnsi" w:cstheme="minorHAnsi"/>
          <w:b/>
          <w:bCs/>
          <w:color w:val="000000" w:themeColor="text1"/>
        </w:rPr>
        <w:t>2025</w:t>
      </w:r>
    </w:p>
    <w:p w14:paraId="73F0991D" w14:textId="77777777" w:rsidR="007955AC" w:rsidRPr="00761D56" w:rsidRDefault="007955AC" w:rsidP="008F24DD">
      <w:pPr>
        <w:pStyle w:val="Default"/>
        <w:tabs>
          <w:tab w:val="left" w:pos="720"/>
        </w:tabs>
        <w:spacing w:line="276" w:lineRule="auto"/>
        <w:ind w:left="990" w:hanging="270"/>
        <w:jc w:val="both"/>
        <w:rPr>
          <w:rFonts w:asciiTheme="minorHAnsi" w:hAnsiTheme="minorHAnsi" w:cstheme="minorHAnsi"/>
          <w:b/>
          <w:bCs/>
          <w:color w:val="000000" w:themeColor="text1"/>
        </w:rPr>
      </w:pPr>
    </w:p>
    <w:p w14:paraId="4C33B184" w14:textId="77777777" w:rsidR="004757AD" w:rsidRPr="00761D56" w:rsidRDefault="004757AD" w:rsidP="008F24DD">
      <w:pPr>
        <w:spacing w:line="276" w:lineRule="auto"/>
        <w:jc w:val="both"/>
        <w:rPr>
          <w:rFonts w:cstheme="minorHAnsi"/>
          <w:color w:val="000000" w:themeColor="text1"/>
        </w:rPr>
      </w:pPr>
    </w:p>
    <w:p w14:paraId="5FB56995" w14:textId="77777777" w:rsidR="007955AC" w:rsidRPr="00761D56" w:rsidRDefault="007955AC" w:rsidP="008F24DD">
      <w:pPr>
        <w:spacing w:line="276" w:lineRule="auto"/>
        <w:jc w:val="both"/>
        <w:rPr>
          <w:rFonts w:cstheme="minorHAnsi"/>
          <w:color w:val="000000" w:themeColor="text1"/>
        </w:rPr>
      </w:pPr>
    </w:p>
    <w:p w14:paraId="3EAC6935" w14:textId="77777777" w:rsidR="007955AC" w:rsidRPr="00761D56" w:rsidRDefault="007955AC" w:rsidP="008F24DD">
      <w:pPr>
        <w:spacing w:line="276" w:lineRule="auto"/>
        <w:ind w:left="0" w:firstLine="0"/>
        <w:jc w:val="both"/>
        <w:rPr>
          <w:rFonts w:cstheme="minorHAnsi"/>
          <w:color w:val="000000" w:themeColor="text1"/>
        </w:rPr>
      </w:pPr>
    </w:p>
    <w:p w14:paraId="54044FFF" w14:textId="77777777" w:rsidR="000F34E9" w:rsidRPr="00761D56" w:rsidRDefault="000F34E9" w:rsidP="008F24DD">
      <w:pPr>
        <w:spacing w:line="276" w:lineRule="auto"/>
        <w:ind w:left="0" w:firstLine="0"/>
        <w:jc w:val="both"/>
        <w:rPr>
          <w:rFonts w:cstheme="minorHAnsi"/>
          <w:color w:val="000000" w:themeColor="text1"/>
        </w:rPr>
      </w:pPr>
    </w:p>
    <w:p w14:paraId="74155623" w14:textId="77777777" w:rsidR="008733D2" w:rsidRPr="00761D56" w:rsidRDefault="008733D2" w:rsidP="008F24DD">
      <w:pPr>
        <w:spacing w:line="276" w:lineRule="auto"/>
        <w:ind w:left="0" w:firstLine="0"/>
        <w:jc w:val="both"/>
        <w:rPr>
          <w:rFonts w:cstheme="minorHAnsi"/>
          <w:color w:val="000000" w:themeColor="text1"/>
        </w:rPr>
      </w:pPr>
    </w:p>
    <w:p w14:paraId="71DE10C5" w14:textId="77777777" w:rsidR="004D241D" w:rsidRPr="00761D56" w:rsidRDefault="004D241D" w:rsidP="008F24DD">
      <w:pPr>
        <w:spacing w:line="276" w:lineRule="auto"/>
        <w:ind w:left="0" w:firstLine="0"/>
        <w:jc w:val="both"/>
        <w:rPr>
          <w:rFonts w:cstheme="minorHAnsi"/>
          <w:color w:val="000000" w:themeColor="text1"/>
        </w:rPr>
      </w:pPr>
    </w:p>
    <w:p w14:paraId="12209CC5" w14:textId="77777777" w:rsidR="004D241D" w:rsidRPr="00761D56" w:rsidRDefault="004D241D" w:rsidP="008F24DD">
      <w:pPr>
        <w:spacing w:line="276" w:lineRule="auto"/>
        <w:ind w:left="0" w:firstLine="0"/>
        <w:jc w:val="both"/>
        <w:rPr>
          <w:rFonts w:cstheme="minorHAnsi"/>
          <w:color w:val="000000" w:themeColor="text1"/>
        </w:rPr>
      </w:pPr>
    </w:p>
    <w:p w14:paraId="6F31B938" w14:textId="77777777" w:rsidR="004D241D" w:rsidRPr="00761D56" w:rsidRDefault="004D241D" w:rsidP="008F24DD">
      <w:pPr>
        <w:spacing w:line="276" w:lineRule="auto"/>
        <w:ind w:left="0" w:firstLine="0"/>
        <w:jc w:val="both"/>
        <w:rPr>
          <w:rFonts w:cstheme="minorHAnsi"/>
          <w:color w:val="000000" w:themeColor="text1"/>
        </w:rPr>
      </w:pPr>
    </w:p>
    <w:p w14:paraId="27DD32F0" w14:textId="7E8A3465" w:rsidR="004D241D" w:rsidRPr="00761D56" w:rsidRDefault="004D241D" w:rsidP="00A762E5">
      <w:pPr>
        <w:pStyle w:val="Heading1"/>
        <w:rPr>
          <w:rFonts w:asciiTheme="minorHAnsi" w:hAnsiTheme="minorHAnsi" w:cstheme="minorHAnsi"/>
          <w:color w:val="000000" w:themeColor="text1"/>
        </w:rPr>
      </w:pPr>
      <w:bookmarkStart w:id="1" w:name="_Toc216692785"/>
      <w:r w:rsidRPr="00761D56">
        <w:rPr>
          <w:rFonts w:asciiTheme="minorHAnsi" w:hAnsiTheme="minorHAnsi" w:cstheme="minorHAnsi"/>
          <w:color w:val="000000" w:themeColor="text1"/>
        </w:rPr>
        <w:lastRenderedPageBreak/>
        <w:t>Acronyms</w:t>
      </w:r>
      <w:bookmarkEnd w:id="1"/>
      <w:r w:rsidRPr="00761D56">
        <w:rPr>
          <w:rFonts w:asciiTheme="minorHAnsi" w:hAnsiTheme="minorHAnsi" w:cstheme="minorHAnsi"/>
          <w:color w:val="000000" w:themeColor="text1"/>
        </w:rPr>
        <w:t xml:space="preserve"> </w:t>
      </w:r>
    </w:p>
    <w:p w14:paraId="67862315" w14:textId="77777777" w:rsidR="00A762E5" w:rsidRPr="00761D56" w:rsidRDefault="00A762E5" w:rsidP="00A762E5">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825"/>
      </w:tblGrid>
      <w:tr w:rsidR="00761D56" w:rsidRPr="00761D56" w14:paraId="6DFE35F5" w14:textId="77777777" w:rsidTr="00C43F73">
        <w:tc>
          <w:tcPr>
            <w:tcW w:w="1525" w:type="dxa"/>
          </w:tcPr>
          <w:p w14:paraId="6A30535D" w14:textId="77777777" w:rsidR="00C43F73" w:rsidRPr="00761D56" w:rsidRDefault="00C43F73" w:rsidP="00AC2088">
            <w:pPr>
              <w:rPr>
                <w:rFonts w:cstheme="minorHAnsi"/>
                <w:color w:val="000000" w:themeColor="text1"/>
              </w:rPr>
            </w:pPr>
            <w:r w:rsidRPr="00761D56">
              <w:rPr>
                <w:rFonts w:cstheme="minorHAnsi"/>
                <w:b/>
                <w:bCs/>
                <w:color w:val="000000" w:themeColor="text1"/>
              </w:rPr>
              <w:t>APF</w:t>
            </w:r>
            <w:r w:rsidRPr="00761D56">
              <w:rPr>
                <w:rFonts w:cstheme="minorHAnsi"/>
                <w:color w:val="000000" w:themeColor="text1"/>
              </w:rPr>
              <w:t xml:space="preserve"> </w:t>
            </w:r>
          </w:p>
        </w:tc>
        <w:tc>
          <w:tcPr>
            <w:tcW w:w="7825" w:type="dxa"/>
          </w:tcPr>
          <w:p w14:paraId="5AFB1916" w14:textId="77777777" w:rsidR="00C43F73" w:rsidRPr="00761D56" w:rsidRDefault="00C43F73" w:rsidP="00AC2088">
            <w:pPr>
              <w:rPr>
                <w:rFonts w:cstheme="minorHAnsi"/>
                <w:color w:val="000000" w:themeColor="text1"/>
              </w:rPr>
            </w:pPr>
            <w:r w:rsidRPr="00761D56">
              <w:rPr>
                <w:rFonts w:cstheme="minorHAnsi"/>
                <w:color w:val="000000" w:themeColor="text1"/>
              </w:rPr>
              <w:t>Asia-Pacific Forum</w:t>
            </w:r>
          </w:p>
        </w:tc>
      </w:tr>
      <w:tr w:rsidR="00761D56" w:rsidRPr="00761D56" w14:paraId="3D4C4C74" w14:textId="77777777" w:rsidTr="00C43F73">
        <w:tc>
          <w:tcPr>
            <w:tcW w:w="1525" w:type="dxa"/>
          </w:tcPr>
          <w:p w14:paraId="4C68F775" w14:textId="77777777" w:rsidR="00C43F73" w:rsidRPr="00761D56" w:rsidRDefault="00C43F73" w:rsidP="00AC2088">
            <w:pPr>
              <w:rPr>
                <w:rFonts w:cstheme="minorHAnsi"/>
                <w:color w:val="000000" w:themeColor="text1"/>
              </w:rPr>
            </w:pPr>
            <w:r w:rsidRPr="00761D56">
              <w:rPr>
                <w:rFonts w:cstheme="minorHAnsi"/>
                <w:b/>
                <w:bCs/>
                <w:color w:val="000000" w:themeColor="text1"/>
              </w:rPr>
              <w:t>ATA</w:t>
            </w:r>
            <w:r w:rsidRPr="00761D56">
              <w:rPr>
                <w:rFonts w:cstheme="minorHAnsi"/>
                <w:color w:val="000000" w:themeColor="text1"/>
              </w:rPr>
              <w:t xml:space="preserve"> </w:t>
            </w:r>
          </w:p>
        </w:tc>
        <w:tc>
          <w:tcPr>
            <w:tcW w:w="7825" w:type="dxa"/>
          </w:tcPr>
          <w:p w14:paraId="71EA1C4B" w14:textId="77777777" w:rsidR="00C43F73" w:rsidRPr="00761D56" w:rsidRDefault="00C43F73" w:rsidP="00AC2088">
            <w:pPr>
              <w:rPr>
                <w:rFonts w:cstheme="minorHAnsi"/>
                <w:color w:val="000000" w:themeColor="text1"/>
              </w:rPr>
            </w:pPr>
            <w:r w:rsidRPr="00761D56">
              <w:rPr>
                <w:rFonts w:cstheme="minorHAnsi"/>
                <w:color w:val="000000" w:themeColor="text1"/>
              </w:rPr>
              <w:t>Anti-Torture Act</w:t>
            </w:r>
          </w:p>
        </w:tc>
      </w:tr>
      <w:tr w:rsidR="00761D56" w:rsidRPr="00761D56" w14:paraId="0C78E461" w14:textId="77777777" w:rsidTr="00C43F73">
        <w:tc>
          <w:tcPr>
            <w:tcW w:w="1525" w:type="dxa"/>
          </w:tcPr>
          <w:p w14:paraId="331DC480" w14:textId="77777777" w:rsidR="00C43F73" w:rsidRPr="00761D56" w:rsidRDefault="00C43F73" w:rsidP="00AC2088">
            <w:pPr>
              <w:rPr>
                <w:rFonts w:cstheme="minorHAnsi"/>
                <w:color w:val="000000" w:themeColor="text1"/>
              </w:rPr>
            </w:pPr>
            <w:r w:rsidRPr="00761D56">
              <w:rPr>
                <w:rFonts w:cstheme="minorHAnsi"/>
                <w:b/>
                <w:bCs/>
                <w:color w:val="000000" w:themeColor="text1"/>
              </w:rPr>
              <w:t xml:space="preserve">CCL </w:t>
            </w:r>
          </w:p>
        </w:tc>
        <w:tc>
          <w:tcPr>
            <w:tcW w:w="7825" w:type="dxa"/>
          </w:tcPr>
          <w:p w14:paraId="18082B7C" w14:textId="77777777" w:rsidR="00C43F73" w:rsidRPr="00761D56" w:rsidRDefault="00C43F73" w:rsidP="00AC2088">
            <w:pPr>
              <w:rPr>
                <w:rFonts w:cstheme="minorHAnsi"/>
                <w:color w:val="000000" w:themeColor="text1"/>
              </w:rPr>
            </w:pPr>
            <w:r w:rsidRPr="00761D56">
              <w:rPr>
                <w:rFonts w:cstheme="minorHAnsi"/>
                <w:color w:val="000000" w:themeColor="text1"/>
              </w:rPr>
              <w:t>Children in Conflict with the Law</w:t>
            </w:r>
          </w:p>
        </w:tc>
      </w:tr>
      <w:tr w:rsidR="00761D56" w:rsidRPr="00761D56" w14:paraId="1A5748B4" w14:textId="77777777" w:rsidTr="00C43F73">
        <w:tc>
          <w:tcPr>
            <w:tcW w:w="1525" w:type="dxa"/>
          </w:tcPr>
          <w:p w14:paraId="14DE16C9" w14:textId="77777777" w:rsidR="00C43F73" w:rsidRPr="00761D56" w:rsidRDefault="00C43F73" w:rsidP="00AC2088">
            <w:pPr>
              <w:rPr>
                <w:rFonts w:cstheme="minorHAnsi"/>
                <w:color w:val="000000" w:themeColor="text1"/>
              </w:rPr>
            </w:pPr>
            <w:r w:rsidRPr="00761D56">
              <w:rPr>
                <w:rFonts w:cstheme="minorHAnsi"/>
                <w:b/>
                <w:bCs/>
                <w:color w:val="000000" w:themeColor="text1"/>
              </w:rPr>
              <w:t>CFPS</w:t>
            </w:r>
          </w:p>
        </w:tc>
        <w:tc>
          <w:tcPr>
            <w:tcW w:w="7825" w:type="dxa"/>
          </w:tcPr>
          <w:p w14:paraId="271CE3AE" w14:textId="77777777" w:rsidR="00C43F73" w:rsidRPr="00761D56" w:rsidRDefault="00C43F73" w:rsidP="00AC2088">
            <w:pPr>
              <w:rPr>
                <w:rFonts w:cstheme="minorHAnsi"/>
                <w:color w:val="000000" w:themeColor="text1"/>
              </w:rPr>
            </w:pPr>
            <w:r w:rsidRPr="00761D56">
              <w:rPr>
                <w:rFonts w:cstheme="minorHAnsi"/>
                <w:color w:val="000000" w:themeColor="text1"/>
              </w:rPr>
              <w:t>Child and Family Protection Service</w:t>
            </w:r>
          </w:p>
        </w:tc>
      </w:tr>
      <w:tr w:rsidR="00761D56" w:rsidRPr="00761D56" w14:paraId="7EF4FDD7" w14:textId="77777777" w:rsidTr="00C43F73">
        <w:tc>
          <w:tcPr>
            <w:tcW w:w="1525" w:type="dxa"/>
          </w:tcPr>
          <w:p w14:paraId="218CE79A" w14:textId="77777777" w:rsidR="00C43F73" w:rsidRPr="00761D56" w:rsidRDefault="00C43F73" w:rsidP="00AC2088">
            <w:pPr>
              <w:rPr>
                <w:rFonts w:cstheme="minorHAnsi"/>
                <w:color w:val="000000" w:themeColor="text1"/>
              </w:rPr>
            </w:pPr>
            <w:r w:rsidRPr="00761D56">
              <w:rPr>
                <w:rFonts w:cstheme="minorHAnsi"/>
                <w:b/>
                <w:bCs/>
                <w:color w:val="000000" w:themeColor="text1"/>
              </w:rPr>
              <w:t>CICL</w:t>
            </w:r>
            <w:r w:rsidRPr="00761D56">
              <w:rPr>
                <w:rFonts w:cstheme="minorHAnsi"/>
                <w:color w:val="000000" w:themeColor="text1"/>
              </w:rPr>
              <w:t xml:space="preserve"> </w:t>
            </w:r>
          </w:p>
        </w:tc>
        <w:tc>
          <w:tcPr>
            <w:tcW w:w="7825" w:type="dxa"/>
          </w:tcPr>
          <w:p w14:paraId="359DB9FD" w14:textId="77777777" w:rsidR="00C43F73" w:rsidRPr="00761D56" w:rsidRDefault="00C43F73" w:rsidP="00AC2088">
            <w:pPr>
              <w:rPr>
                <w:rFonts w:cstheme="minorHAnsi"/>
                <w:color w:val="000000" w:themeColor="text1"/>
              </w:rPr>
            </w:pPr>
            <w:r w:rsidRPr="00761D56">
              <w:rPr>
                <w:rFonts w:cstheme="minorHAnsi"/>
                <w:color w:val="000000" w:themeColor="text1"/>
              </w:rPr>
              <w:t>Children in Conflict with the Law</w:t>
            </w:r>
          </w:p>
        </w:tc>
      </w:tr>
      <w:tr w:rsidR="00761D56" w:rsidRPr="00761D56" w14:paraId="19D724E2" w14:textId="77777777" w:rsidTr="00C43F73">
        <w:tc>
          <w:tcPr>
            <w:tcW w:w="1525" w:type="dxa"/>
          </w:tcPr>
          <w:p w14:paraId="17BB26A1" w14:textId="77777777" w:rsidR="00C43F73" w:rsidRPr="00761D56" w:rsidRDefault="00C43F73" w:rsidP="00AC2088">
            <w:pPr>
              <w:rPr>
                <w:rFonts w:cstheme="minorHAnsi"/>
                <w:color w:val="000000" w:themeColor="text1"/>
              </w:rPr>
            </w:pPr>
            <w:r w:rsidRPr="00761D56">
              <w:rPr>
                <w:rFonts w:cstheme="minorHAnsi"/>
                <w:b/>
                <w:bCs/>
                <w:color w:val="000000" w:themeColor="text1"/>
              </w:rPr>
              <w:t>CRC</w:t>
            </w:r>
          </w:p>
        </w:tc>
        <w:tc>
          <w:tcPr>
            <w:tcW w:w="7825" w:type="dxa"/>
          </w:tcPr>
          <w:p w14:paraId="01C5BC58" w14:textId="77777777" w:rsidR="00C43F73" w:rsidRPr="00761D56" w:rsidRDefault="00C43F73" w:rsidP="00AC2088">
            <w:pPr>
              <w:rPr>
                <w:rFonts w:cstheme="minorHAnsi"/>
                <w:color w:val="000000" w:themeColor="text1"/>
              </w:rPr>
            </w:pPr>
            <w:r w:rsidRPr="00761D56">
              <w:rPr>
                <w:rFonts w:cstheme="minorHAnsi"/>
                <w:color w:val="000000" w:themeColor="text1"/>
              </w:rPr>
              <w:t>Convention on the Rights of the Child</w:t>
            </w:r>
          </w:p>
        </w:tc>
      </w:tr>
      <w:tr w:rsidR="00761D56" w:rsidRPr="00761D56" w14:paraId="19D2849C" w14:textId="77777777" w:rsidTr="00C43F73">
        <w:tc>
          <w:tcPr>
            <w:tcW w:w="1525" w:type="dxa"/>
          </w:tcPr>
          <w:p w14:paraId="6DAEAC52" w14:textId="77777777" w:rsidR="00C43F73" w:rsidRPr="00761D56" w:rsidRDefault="00C43F73" w:rsidP="00AC2088">
            <w:pPr>
              <w:rPr>
                <w:rFonts w:cstheme="minorHAnsi"/>
                <w:color w:val="000000" w:themeColor="text1"/>
              </w:rPr>
            </w:pPr>
            <w:r w:rsidRPr="00761D56">
              <w:rPr>
                <w:rFonts w:cstheme="minorHAnsi"/>
                <w:b/>
                <w:bCs/>
                <w:color w:val="000000" w:themeColor="text1"/>
              </w:rPr>
              <w:t>CRPA</w:t>
            </w:r>
            <w:r w:rsidRPr="00761D56">
              <w:rPr>
                <w:rFonts w:cstheme="minorHAnsi"/>
                <w:color w:val="000000" w:themeColor="text1"/>
              </w:rPr>
              <w:t xml:space="preserve"> </w:t>
            </w:r>
          </w:p>
        </w:tc>
        <w:tc>
          <w:tcPr>
            <w:tcW w:w="7825" w:type="dxa"/>
          </w:tcPr>
          <w:p w14:paraId="6115BBCD" w14:textId="77777777" w:rsidR="00C43F73" w:rsidRPr="00761D56" w:rsidRDefault="00C43F73" w:rsidP="00AC2088">
            <w:pPr>
              <w:rPr>
                <w:rFonts w:cstheme="minorHAnsi"/>
                <w:color w:val="000000" w:themeColor="text1"/>
              </w:rPr>
            </w:pPr>
            <w:r w:rsidRPr="00761D56">
              <w:rPr>
                <w:rFonts w:cstheme="minorHAnsi"/>
                <w:color w:val="000000" w:themeColor="text1"/>
              </w:rPr>
              <w:t>Child Rights Protection Act</w:t>
            </w:r>
          </w:p>
        </w:tc>
      </w:tr>
      <w:tr w:rsidR="00761D56" w:rsidRPr="00761D56" w14:paraId="325E0B16" w14:textId="77777777" w:rsidTr="00C43F73">
        <w:tc>
          <w:tcPr>
            <w:tcW w:w="1525" w:type="dxa"/>
          </w:tcPr>
          <w:p w14:paraId="3C36260B" w14:textId="77777777" w:rsidR="00C43F73" w:rsidRPr="00761D56" w:rsidRDefault="00C43F73" w:rsidP="00AC2088">
            <w:pPr>
              <w:rPr>
                <w:rFonts w:cstheme="minorHAnsi"/>
                <w:color w:val="000000" w:themeColor="text1"/>
              </w:rPr>
            </w:pPr>
            <w:r w:rsidRPr="00761D56">
              <w:rPr>
                <w:rFonts w:cstheme="minorHAnsi"/>
                <w:b/>
                <w:bCs/>
                <w:color w:val="000000" w:themeColor="text1"/>
              </w:rPr>
              <w:t>CSO</w:t>
            </w:r>
          </w:p>
        </w:tc>
        <w:tc>
          <w:tcPr>
            <w:tcW w:w="7825" w:type="dxa"/>
          </w:tcPr>
          <w:p w14:paraId="045E57E1" w14:textId="77777777" w:rsidR="00C43F73" w:rsidRPr="00761D56" w:rsidRDefault="00C43F73" w:rsidP="00AC2088">
            <w:pPr>
              <w:rPr>
                <w:rFonts w:cstheme="minorHAnsi"/>
                <w:color w:val="000000" w:themeColor="text1"/>
              </w:rPr>
            </w:pPr>
            <w:r w:rsidRPr="00761D56">
              <w:rPr>
                <w:rFonts w:cstheme="minorHAnsi"/>
                <w:color w:val="000000" w:themeColor="text1"/>
              </w:rPr>
              <w:t>Civil Society Organizations</w:t>
            </w:r>
          </w:p>
        </w:tc>
      </w:tr>
      <w:tr w:rsidR="00761D56" w:rsidRPr="00761D56" w14:paraId="5093AFDA" w14:textId="77777777" w:rsidTr="00C43F73">
        <w:tc>
          <w:tcPr>
            <w:tcW w:w="1525" w:type="dxa"/>
          </w:tcPr>
          <w:p w14:paraId="5CDC153F" w14:textId="77777777" w:rsidR="00C43F73" w:rsidRPr="00761D56" w:rsidRDefault="00C43F73" w:rsidP="00AC2088">
            <w:pPr>
              <w:rPr>
                <w:rFonts w:cstheme="minorHAnsi"/>
                <w:color w:val="000000" w:themeColor="text1"/>
              </w:rPr>
            </w:pPr>
            <w:r w:rsidRPr="00761D56">
              <w:rPr>
                <w:rFonts w:cstheme="minorHAnsi"/>
                <w:b/>
                <w:bCs/>
                <w:color w:val="000000" w:themeColor="text1"/>
              </w:rPr>
              <w:t>CTA</w:t>
            </w:r>
            <w:r w:rsidRPr="00761D56">
              <w:rPr>
                <w:rFonts w:cstheme="minorHAnsi"/>
                <w:color w:val="000000" w:themeColor="text1"/>
              </w:rPr>
              <w:t xml:space="preserve"> </w:t>
            </w:r>
          </w:p>
        </w:tc>
        <w:tc>
          <w:tcPr>
            <w:tcW w:w="7825" w:type="dxa"/>
          </w:tcPr>
          <w:p w14:paraId="0227EBF4" w14:textId="77777777" w:rsidR="00C43F73" w:rsidRPr="00761D56" w:rsidRDefault="00C43F73" w:rsidP="00AC2088">
            <w:pPr>
              <w:rPr>
                <w:rFonts w:cstheme="minorHAnsi"/>
                <w:color w:val="000000" w:themeColor="text1"/>
              </w:rPr>
            </w:pPr>
            <w:r w:rsidRPr="00761D56">
              <w:rPr>
                <w:rFonts w:cstheme="minorHAnsi"/>
                <w:color w:val="000000" w:themeColor="text1"/>
              </w:rPr>
              <w:t>Counter Terrorism Act</w:t>
            </w:r>
          </w:p>
        </w:tc>
      </w:tr>
      <w:tr w:rsidR="00761D56" w:rsidRPr="00761D56" w14:paraId="4E5895F4" w14:textId="77777777" w:rsidTr="00C43F73">
        <w:tc>
          <w:tcPr>
            <w:tcW w:w="1525" w:type="dxa"/>
          </w:tcPr>
          <w:p w14:paraId="4CCE3196" w14:textId="77777777" w:rsidR="00C43F73" w:rsidRPr="00761D56" w:rsidRDefault="00C43F73" w:rsidP="00AC2088">
            <w:pPr>
              <w:rPr>
                <w:rFonts w:cstheme="minorHAnsi"/>
                <w:color w:val="000000" w:themeColor="text1"/>
              </w:rPr>
            </w:pPr>
            <w:r w:rsidRPr="00761D56">
              <w:rPr>
                <w:rFonts w:cstheme="minorHAnsi"/>
                <w:b/>
                <w:bCs/>
                <w:color w:val="000000" w:themeColor="text1"/>
              </w:rPr>
              <w:t>DC</w:t>
            </w:r>
            <w:r w:rsidRPr="00761D56">
              <w:rPr>
                <w:rFonts w:cstheme="minorHAnsi"/>
                <w:color w:val="000000" w:themeColor="text1"/>
              </w:rPr>
              <w:t xml:space="preserve"> </w:t>
            </w:r>
          </w:p>
        </w:tc>
        <w:tc>
          <w:tcPr>
            <w:tcW w:w="7825" w:type="dxa"/>
          </w:tcPr>
          <w:p w14:paraId="1D512DD9" w14:textId="77777777" w:rsidR="00C43F73" w:rsidRPr="00761D56" w:rsidRDefault="00C43F73" w:rsidP="00AC2088">
            <w:pPr>
              <w:rPr>
                <w:rFonts w:cstheme="minorHAnsi"/>
                <w:color w:val="000000" w:themeColor="text1"/>
              </w:rPr>
            </w:pPr>
            <w:r w:rsidRPr="00761D56">
              <w:rPr>
                <w:rFonts w:cstheme="minorHAnsi"/>
                <w:color w:val="000000" w:themeColor="text1"/>
              </w:rPr>
              <w:t>Drug Court</w:t>
            </w:r>
          </w:p>
        </w:tc>
      </w:tr>
      <w:tr w:rsidR="00761D56" w:rsidRPr="00761D56" w14:paraId="540636B7" w14:textId="77777777" w:rsidTr="00C43F73">
        <w:tc>
          <w:tcPr>
            <w:tcW w:w="1525" w:type="dxa"/>
          </w:tcPr>
          <w:p w14:paraId="377D8D5B" w14:textId="77777777" w:rsidR="00C43F73" w:rsidRPr="00761D56" w:rsidRDefault="00C43F73" w:rsidP="00AC2088">
            <w:pPr>
              <w:rPr>
                <w:rFonts w:cstheme="minorHAnsi"/>
                <w:color w:val="000000" w:themeColor="text1"/>
              </w:rPr>
            </w:pPr>
            <w:r w:rsidRPr="00761D56">
              <w:rPr>
                <w:rFonts w:cstheme="minorHAnsi"/>
                <w:b/>
                <w:bCs/>
                <w:color w:val="000000" w:themeColor="text1"/>
              </w:rPr>
              <w:t>DJA</w:t>
            </w:r>
            <w:r w:rsidRPr="00761D56">
              <w:rPr>
                <w:rFonts w:cstheme="minorHAnsi"/>
                <w:color w:val="000000" w:themeColor="text1"/>
              </w:rPr>
              <w:t xml:space="preserve"> </w:t>
            </w:r>
          </w:p>
        </w:tc>
        <w:tc>
          <w:tcPr>
            <w:tcW w:w="7825" w:type="dxa"/>
          </w:tcPr>
          <w:p w14:paraId="66A49C1F" w14:textId="77777777" w:rsidR="00C43F73" w:rsidRPr="00761D56" w:rsidRDefault="00C43F73" w:rsidP="00AC2088">
            <w:pPr>
              <w:rPr>
                <w:rFonts w:cstheme="minorHAnsi"/>
                <w:color w:val="000000" w:themeColor="text1"/>
              </w:rPr>
            </w:pPr>
            <w:r w:rsidRPr="00761D56">
              <w:rPr>
                <w:rFonts w:cstheme="minorHAnsi"/>
                <w:color w:val="000000" w:themeColor="text1"/>
              </w:rPr>
              <w:t>Department of Judicial Administration</w:t>
            </w:r>
          </w:p>
        </w:tc>
      </w:tr>
      <w:tr w:rsidR="00761D56" w:rsidRPr="00761D56" w14:paraId="099AF28A" w14:textId="77777777" w:rsidTr="00C43F73">
        <w:tc>
          <w:tcPr>
            <w:tcW w:w="1525" w:type="dxa"/>
          </w:tcPr>
          <w:p w14:paraId="0D6DE213" w14:textId="77777777" w:rsidR="00C43F73" w:rsidRPr="00761D56" w:rsidRDefault="00C43F73" w:rsidP="00AC2088">
            <w:pPr>
              <w:rPr>
                <w:rFonts w:cstheme="minorHAnsi"/>
                <w:color w:val="000000" w:themeColor="text1"/>
              </w:rPr>
            </w:pPr>
            <w:r w:rsidRPr="00761D56">
              <w:rPr>
                <w:rFonts w:cstheme="minorHAnsi"/>
                <w:b/>
                <w:bCs/>
                <w:color w:val="000000" w:themeColor="text1"/>
              </w:rPr>
              <w:t xml:space="preserve">DJJ </w:t>
            </w:r>
          </w:p>
        </w:tc>
        <w:tc>
          <w:tcPr>
            <w:tcW w:w="7825" w:type="dxa"/>
          </w:tcPr>
          <w:p w14:paraId="4B86B357" w14:textId="77777777" w:rsidR="00C43F73" w:rsidRPr="00761D56" w:rsidRDefault="00C43F73" w:rsidP="00AC2088">
            <w:pPr>
              <w:rPr>
                <w:rFonts w:cstheme="minorHAnsi"/>
                <w:color w:val="000000" w:themeColor="text1"/>
              </w:rPr>
            </w:pPr>
            <w:r w:rsidRPr="00761D56">
              <w:rPr>
                <w:rFonts w:cstheme="minorHAnsi"/>
                <w:color w:val="000000" w:themeColor="text1"/>
              </w:rPr>
              <w:t>Department of Juvenile Justice</w:t>
            </w:r>
          </w:p>
        </w:tc>
      </w:tr>
      <w:tr w:rsidR="00761D56" w:rsidRPr="00761D56" w14:paraId="0584B5BB" w14:textId="77777777" w:rsidTr="00C43F73">
        <w:tc>
          <w:tcPr>
            <w:tcW w:w="1525" w:type="dxa"/>
          </w:tcPr>
          <w:p w14:paraId="18575B1F" w14:textId="77777777" w:rsidR="00C43F73" w:rsidRPr="00761D56" w:rsidRDefault="00C43F73" w:rsidP="00AC2088">
            <w:pPr>
              <w:rPr>
                <w:rFonts w:cstheme="minorHAnsi"/>
                <w:color w:val="000000" w:themeColor="text1"/>
              </w:rPr>
            </w:pPr>
            <w:r w:rsidRPr="00761D56">
              <w:rPr>
                <w:rFonts w:cstheme="minorHAnsi"/>
                <w:b/>
                <w:bCs/>
                <w:color w:val="000000" w:themeColor="text1"/>
              </w:rPr>
              <w:t>DVPA</w:t>
            </w:r>
            <w:r w:rsidRPr="00761D56">
              <w:rPr>
                <w:rFonts w:cstheme="minorHAnsi"/>
                <w:color w:val="000000" w:themeColor="text1"/>
              </w:rPr>
              <w:t xml:space="preserve"> </w:t>
            </w:r>
          </w:p>
        </w:tc>
        <w:tc>
          <w:tcPr>
            <w:tcW w:w="7825" w:type="dxa"/>
          </w:tcPr>
          <w:p w14:paraId="6A4F7692" w14:textId="77777777" w:rsidR="00C43F73" w:rsidRPr="00761D56" w:rsidRDefault="00C43F73" w:rsidP="00AC2088">
            <w:pPr>
              <w:rPr>
                <w:rFonts w:cstheme="minorHAnsi"/>
                <w:color w:val="000000" w:themeColor="text1"/>
              </w:rPr>
            </w:pPr>
            <w:r w:rsidRPr="00761D56">
              <w:rPr>
                <w:rFonts w:cstheme="minorHAnsi"/>
                <w:color w:val="000000" w:themeColor="text1"/>
              </w:rPr>
              <w:t>Domestic Violence Prevention Act</w:t>
            </w:r>
          </w:p>
        </w:tc>
      </w:tr>
      <w:tr w:rsidR="00761D56" w:rsidRPr="00761D56" w14:paraId="0C6B9E10" w14:textId="77777777" w:rsidTr="00C43F73">
        <w:tc>
          <w:tcPr>
            <w:tcW w:w="1525" w:type="dxa"/>
          </w:tcPr>
          <w:p w14:paraId="4F3C6F9E" w14:textId="77777777" w:rsidR="00C43F73" w:rsidRPr="00761D56" w:rsidRDefault="00C43F73" w:rsidP="00AC2088">
            <w:pPr>
              <w:rPr>
                <w:rFonts w:cstheme="minorHAnsi"/>
                <w:color w:val="000000" w:themeColor="text1"/>
              </w:rPr>
            </w:pPr>
            <w:r w:rsidRPr="00761D56">
              <w:rPr>
                <w:rFonts w:cstheme="minorHAnsi"/>
                <w:b/>
                <w:bCs/>
                <w:color w:val="000000" w:themeColor="text1"/>
              </w:rPr>
              <w:t>DVPNS</w:t>
            </w:r>
          </w:p>
        </w:tc>
        <w:tc>
          <w:tcPr>
            <w:tcW w:w="7825" w:type="dxa"/>
          </w:tcPr>
          <w:p w14:paraId="5C92F270" w14:textId="77777777" w:rsidR="00C43F73" w:rsidRPr="00761D56" w:rsidRDefault="00C43F73" w:rsidP="00AC2088">
            <w:pPr>
              <w:rPr>
                <w:rFonts w:cstheme="minorHAnsi"/>
                <w:color w:val="000000" w:themeColor="text1"/>
              </w:rPr>
            </w:pPr>
            <w:r w:rsidRPr="00761D56">
              <w:rPr>
                <w:rFonts w:cstheme="minorHAnsi"/>
                <w:color w:val="000000" w:themeColor="text1"/>
              </w:rPr>
              <w:t>Domestic Violence Prevention National Strategy</w:t>
            </w:r>
          </w:p>
        </w:tc>
      </w:tr>
      <w:tr w:rsidR="00761D56" w:rsidRPr="00761D56" w14:paraId="4516C1AF" w14:textId="77777777" w:rsidTr="00C43F73">
        <w:tc>
          <w:tcPr>
            <w:tcW w:w="1525" w:type="dxa"/>
          </w:tcPr>
          <w:p w14:paraId="179B8A75" w14:textId="77777777" w:rsidR="00C43F73" w:rsidRPr="00761D56" w:rsidRDefault="00C43F73" w:rsidP="00AC2088">
            <w:pPr>
              <w:rPr>
                <w:rFonts w:cstheme="minorHAnsi"/>
                <w:color w:val="000000" w:themeColor="text1"/>
              </w:rPr>
            </w:pPr>
            <w:r w:rsidRPr="00761D56">
              <w:rPr>
                <w:rFonts w:cstheme="minorHAnsi"/>
                <w:b/>
                <w:bCs/>
                <w:color w:val="000000" w:themeColor="text1"/>
              </w:rPr>
              <w:t>FCSC</w:t>
            </w:r>
            <w:r w:rsidRPr="00761D56">
              <w:rPr>
                <w:rFonts w:cstheme="minorHAnsi"/>
                <w:color w:val="000000" w:themeColor="text1"/>
              </w:rPr>
              <w:t xml:space="preserve"> </w:t>
            </w:r>
          </w:p>
        </w:tc>
        <w:tc>
          <w:tcPr>
            <w:tcW w:w="7825" w:type="dxa"/>
          </w:tcPr>
          <w:p w14:paraId="451B5849" w14:textId="77777777" w:rsidR="00C43F73" w:rsidRPr="00761D56" w:rsidRDefault="00C43F73" w:rsidP="00AC2088">
            <w:pPr>
              <w:rPr>
                <w:rFonts w:cstheme="minorHAnsi"/>
                <w:color w:val="000000" w:themeColor="text1"/>
              </w:rPr>
            </w:pPr>
            <w:r w:rsidRPr="00761D56">
              <w:rPr>
                <w:rFonts w:cstheme="minorHAnsi"/>
                <w:color w:val="000000" w:themeColor="text1"/>
              </w:rPr>
              <w:t>Family and Children Service Centres</w:t>
            </w:r>
          </w:p>
        </w:tc>
      </w:tr>
      <w:tr w:rsidR="00761D56" w:rsidRPr="00761D56" w14:paraId="5B9C1592" w14:textId="77777777" w:rsidTr="00C43F73">
        <w:tc>
          <w:tcPr>
            <w:tcW w:w="1525" w:type="dxa"/>
          </w:tcPr>
          <w:p w14:paraId="15113643" w14:textId="77777777" w:rsidR="00C43F73" w:rsidRPr="00761D56" w:rsidRDefault="00C43F73" w:rsidP="00AC2088">
            <w:pPr>
              <w:rPr>
                <w:rFonts w:cstheme="minorHAnsi"/>
                <w:color w:val="000000" w:themeColor="text1"/>
              </w:rPr>
            </w:pPr>
            <w:r w:rsidRPr="00761D56">
              <w:rPr>
                <w:rFonts w:cstheme="minorHAnsi"/>
                <w:b/>
                <w:bCs/>
                <w:color w:val="000000" w:themeColor="text1"/>
              </w:rPr>
              <w:t>FPA</w:t>
            </w:r>
            <w:r w:rsidRPr="00761D56">
              <w:rPr>
                <w:rFonts w:cstheme="minorHAnsi"/>
                <w:color w:val="000000" w:themeColor="text1"/>
              </w:rPr>
              <w:t xml:space="preserve"> </w:t>
            </w:r>
          </w:p>
        </w:tc>
        <w:tc>
          <w:tcPr>
            <w:tcW w:w="7825" w:type="dxa"/>
          </w:tcPr>
          <w:p w14:paraId="505B5A17" w14:textId="77777777" w:rsidR="00C43F73" w:rsidRPr="00761D56" w:rsidRDefault="00C43F73" w:rsidP="00AC2088">
            <w:pPr>
              <w:rPr>
                <w:rFonts w:cstheme="minorHAnsi"/>
                <w:color w:val="000000" w:themeColor="text1"/>
              </w:rPr>
            </w:pPr>
            <w:r w:rsidRPr="00761D56">
              <w:rPr>
                <w:rFonts w:cstheme="minorHAnsi"/>
                <w:color w:val="000000" w:themeColor="text1"/>
              </w:rPr>
              <w:t>Family Protection Act</w:t>
            </w:r>
          </w:p>
        </w:tc>
      </w:tr>
      <w:tr w:rsidR="00761D56" w:rsidRPr="00761D56" w14:paraId="5F0801D7" w14:textId="77777777" w:rsidTr="00C43F73">
        <w:tc>
          <w:tcPr>
            <w:tcW w:w="1525" w:type="dxa"/>
          </w:tcPr>
          <w:p w14:paraId="0DF46D7D" w14:textId="77777777" w:rsidR="00C43F73" w:rsidRPr="00761D56" w:rsidRDefault="00C43F73" w:rsidP="00AC2088">
            <w:pPr>
              <w:rPr>
                <w:rFonts w:cstheme="minorHAnsi"/>
                <w:color w:val="000000" w:themeColor="text1"/>
              </w:rPr>
            </w:pPr>
            <w:r w:rsidRPr="00761D56">
              <w:rPr>
                <w:rFonts w:cstheme="minorHAnsi"/>
                <w:b/>
                <w:bCs/>
                <w:color w:val="000000" w:themeColor="text1"/>
              </w:rPr>
              <w:t>GANHRI</w:t>
            </w:r>
          </w:p>
        </w:tc>
        <w:tc>
          <w:tcPr>
            <w:tcW w:w="7825" w:type="dxa"/>
          </w:tcPr>
          <w:p w14:paraId="75191A04" w14:textId="77777777" w:rsidR="00C43F73" w:rsidRPr="00761D56" w:rsidRDefault="00C43F73" w:rsidP="00AC2088">
            <w:pPr>
              <w:rPr>
                <w:rFonts w:cstheme="minorHAnsi"/>
                <w:color w:val="000000" w:themeColor="text1"/>
              </w:rPr>
            </w:pPr>
            <w:r w:rsidRPr="00761D56">
              <w:rPr>
                <w:rFonts w:cstheme="minorHAnsi"/>
                <w:color w:val="000000" w:themeColor="text1"/>
              </w:rPr>
              <w:t>Global Alliance of National Human Rights Institutions</w:t>
            </w:r>
          </w:p>
        </w:tc>
      </w:tr>
      <w:tr w:rsidR="00761D56" w:rsidRPr="00761D56" w14:paraId="45DBAB52" w14:textId="77777777" w:rsidTr="00C43F73">
        <w:tc>
          <w:tcPr>
            <w:tcW w:w="1525" w:type="dxa"/>
          </w:tcPr>
          <w:p w14:paraId="513B6EA5" w14:textId="77777777" w:rsidR="00C43F73" w:rsidRPr="00761D56" w:rsidRDefault="00C43F73" w:rsidP="00AC2088">
            <w:pPr>
              <w:rPr>
                <w:rFonts w:cstheme="minorHAnsi"/>
                <w:color w:val="000000" w:themeColor="text1"/>
              </w:rPr>
            </w:pPr>
            <w:r w:rsidRPr="00761D56">
              <w:rPr>
                <w:rFonts w:cstheme="minorHAnsi"/>
                <w:b/>
                <w:bCs/>
                <w:color w:val="000000" w:themeColor="text1"/>
              </w:rPr>
              <w:t>GRPRC</w:t>
            </w:r>
            <w:r w:rsidRPr="00761D56">
              <w:rPr>
                <w:rFonts w:cstheme="minorHAnsi"/>
                <w:color w:val="000000" w:themeColor="text1"/>
              </w:rPr>
              <w:t xml:space="preserve"> </w:t>
            </w:r>
          </w:p>
        </w:tc>
        <w:tc>
          <w:tcPr>
            <w:tcW w:w="7825" w:type="dxa"/>
          </w:tcPr>
          <w:p w14:paraId="70108C1A" w14:textId="77777777" w:rsidR="00C43F73" w:rsidRPr="00761D56" w:rsidRDefault="00C43F73" w:rsidP="00AC2088">
            <w:pPr>
              <w:rPr>
                <w:rFonts w:cstheme="minorHAnsi"/>
                <w:color w:val="000000" w:themeColor="text1"/>
              </w:rPr>
            </w:pPr>
            <w:r w:rsidRPr="00761D56">
              <w:rPr>
                <w:rFonts w:cstheme="minorHAnsi"/>
                <w:color w:val="000000" w:themeColor="text1"/>
              </w:rPr>
              <w:t>General Regulations under the Child Rights Protection Act</w:t>
            </w:r>
          </w:p>
        </w:tc>
      </w:tr>
      <w:tr w:rsidR="00761D56" w:rsidRPr="00761D56" w14:paraId="5E04C14F" w14:textId="77777777" w:rsidTr="00C43F73">
        <w:tc>
          <w:tcPr>
            <w:tcW w:w="1525" w:type="dxa"/>
          </w:tcPr>
          <w:p w14:paraId="17483598" w14:textId="77777777" w:rsidR="00C43F73" w:rsidRPr="00761D56" w:rsidRDefault="00C43F73" w:rsidP="00AC2088">
            <w:pPr>
              <w:rPr>
                <w:rFonts w:cstheme="minorHAnsi"/>
                <w:color w:val="000000" w:themeColor="text1"/>
              </w:rPr>
            </w:pPr>
            <w:r w:rsidRPr="00761D56">
              <w:rPr>
                <w:rFonts w:cstheme="minorHAnsi"/>
                <w:b/>
                <w:bCs/>
                <w:color w:val="000000" w:themeColor="text1"/>
              </w:rPr>
              <w:t>HRCA</w:t>
            </w:r>
          </w:p>
        </w:tc>
        <w:tc>
          <w:tcPr>
            <w:tcW w:w="7825" w:type="dxa"/>
          </w:tcPr>
          <w:p w14:paraId="483CC2AA" w14:textId="77777777" w:rsidR="00C43F73" w:rsidRPr="00761D56" w:rsidRDefault="00C43F73" w:rsidP="00AC2088">
            <w:pPr>
              <w:rPr>
                <w:rFonts w:cstheme="minorHAnsi"/>
                <w:color w:val="000000" w:themeColor="text1"/>
              </w:rPr>
            </w:pPr>
            <w:r w:rsidRPr="00761D56">
              <w:rPr>
                <w:rFonts w:cstheme="minorHAnsi"/>
                <w:color w:val="000000" w:themeColor="text1"/>
              </w:rPr>
              <w:t>Human Rights Commission Act</w:t>
            </w:r>
          </w:p>
        </w:tc>
      </w:tr>
      <w:tr w:rsidR="00761D56" w:rsidRPr="00761D56" w14:paraId="711C6668" w14:textId="77777777" w:rsidTr="00C43F73">
        <w:tc>
          <w:tcPr>
            <w:tcW w:w="1525" w:type="dxa"/>
          </w:tcPr>
          <w:p w14:paraId="7778CD76" w14:textId="77777777" w:rsidR="00C43F73" w:rsidRPr="00761D56" w:rsidRDefault="00C43F73" w:rsidP="00AC2088">
            <w:pPr>
              <w:rPr>
                <w:rFonts w:cstheme="minorHAnsi"/>
                <w:b/>
                <w:bCs/>
                <w:color w:val="000000" w:themeColor="text1"/>
              </w:rPr>
            </w:pPr>
            <w:r w:rsidRPr="00761D56">
              <w:rPr>
                <w:rFonts w:cstheme="minorHAnsi"/>
                <w:b/>
                <w:bCs/>
                <w:color w:val="000000" w:themeColor="text1"/>
              </w:rPr>
              <w:t>HRCM</w:t>
            </w:r>
            <w:r w:rsidRPr="00761D56">
              <w:rPr>
                <w:rFonts w:cstheme="minorHAnsi"/>
                <w:color w:val="000000" w:themeColor="text1"/>
              </w:rPr>
              <w:t xml:space="preserve"> </w:t>
            </w:r>
          </w:p>
        </w:tc>
        <w:tc>
          <w:tcPr>
            <w:tcW w:w="7825" w:type="dxa"/>
          </w:tcPr>
          <w:p w14:paraId="706F18EE" w14:textId="77777777" w:rsidR="00C43F73" w:rsidRPr="00761D56" w:rsidRDefault="00C43F73" w:rsidP="00AC2088">
            <w:pPr>
              <w:rPr>
                <w:rFonts w:cstheme="minorHAnsi"/>
                <w:color w:val="000000" w:themeColor="text1"/>
              </w:rPr>
            </w:pPr>
            <w:r w:rsidRPr="00761D56">
              <w:rPr>
                <w:rFonts w:cstheme="minorHAnsi"/>
                <w:color w:val="000000" w:themeColor="text1"/>
              </w:rPr>
              <w:t>Human Rights Commission of the Maldives</w:t>
            </w:r>
          </w:p>
        </w:tc>
      </w:tr>
      <w:tr w:rsidR="00761D56" w:rsidRPr="00761D56" w14:paraId="161EECD3" w14:textId="77777777" w:rsidTr="00C43F73">
        <w:tc>
          <w:tcPr>
            <w:tcW w:w="1525" w:type="dxa"/>
          </w:tcPr>
          <w:p w14:paraId="69919F09" w14:textId="77777777" w:rsidR="00C43F73" w:rsidRPr="00761D56" w:rsidRDefault="00C43F73" w:rsidP="00AC2088">
            <w:pPr>
              <w:rPr>
                <w:rFonts w:cstheme="minorHAnsi"/>
                <w:color w:val="000000" w:themeColor="text1"/>
              </w:rPr>
            </w:pPr>
            <w:r w:rsidRPr="00761D56">
              <w:rPr>
                <w:rFonts w:cstheme="minorHAnsi"/>
                <w:b/>
                <w:bCs/>
                <w:color w:val="000000" w:themeColor="text1"/>
              </w:rPr>
              <w:t>IBAMA</w:t>
            </w:r>
          </w:p>
        </w:tc>
        <w:tc>
          <w:tcPr>
            <w:tcW w:w="7825" w:type="dxa"/>
          </w:tcPr>
          <w:p w14:paraId="128F14D5" w14:textId="77777777" w:rsidR="00C43F73" w:rsidRPr="00761D56" w:rsidRDefault="00C43F73" w:rsidP="00AC2088">
            <w:pPr>
              <w:rPr>
                <w:rFonts w:cstheme="minorHAnsi"/>
                <w:color w:val="000000" w:themeColor="text1"/>
              </w:rPr>
            </w:pPr>
            <w:r w:rsidRPr="00761D56">
              <w:rPr>
                <w:rFonts w:cstheme="minorHAnsi"/>
                <w:color w:val="000000" w:themeColor="text1"/>
              </w:rPr>
              <w:t>Ijthimaee Badhahi Madhadhuverin</w:t>
            </w:r>
          </w:p>
        </w:tc>
      </w:tr>
      <w:tr w:rsidR="00761D56" w:rsidRPr="00761D56" w14:paraId="5B296CD8" w14:textId="77777777" w:rsidTr="00C43F73">
        <w:tc>
          <w:tcPr>
            <w:tcW w:w="1525" w:type="dxa"/>
          </w:tcPr>
          <w:p w14:paraId="3B700C08" w14:textId="77777777" w:rsidR="00C43F73" w:rsidRPr="00761D56" w:rsidRDefault="00C43F73" w:rsidP="00AC2088">
            <w:pPr>
              <w:rPr>
                <w:rFonts w:cstheme="minorHAnsi"/>
                <w:color w:val="000000" w:themeColor="text1"/>
              </w:rPr>
            </w:pPr>
            <w:r w:rsidRPr="00761D56">
              <w:rPr>
                <w:rFonts w:cstheme="minorHAnsi"/>
                <w:b/>
                <w:bCs/>
                <w:color w:val="000000" w:themeColor="text1"/>
              </w:rPr>
              <w:t>ILO</w:t>
            </w:r>
            <w:r w:rsidRPr="00761D56">
              <w:rPr>
                <w:rFonts w:cstheme="minorHAnsi"/>
                <w:color w:val="000000" w:themeColor="text1"/>
              </w:rPr>
              <w:t xml:space="preserve"> </w:t>
            </w:r>
          </w:p>
        </w:tc>
        <w:tc>
          <w:tcPr>
            <w:tcW w:w="7825" w:type="dxa"/>
          </w:tcPr>
          <w:p w14:paraId="548A5D48" w14:textId="77777777" w:rsidR="00C43F73" w:rsidRPr="00761D56" w:rsidRDefault="00C43F73" w:rsidP="00AC2088">
            <w:pPr>
              <w:rPr>
                <w:rFonts w:cstheme="minorHAnsi"/>
                <w:color w:val="000000" w:themeColor="text1"/>
              </w:rPr>
            </w:pPr>
            <w:r w:rsidRPr="00761D56">
              <w:rPr>
                <w:rFonts w:cstheme="minorHAnsi"/>
                <w:color w:val="000000" w:themeColor="text1"/>
              </w:rPr>
              <w:t>International Labour Organization</w:t>
            </w:r>
          </w:p>
        </w:tc>
      </w:tr>
      <w:tr w:rsidR="00761D56" w:rsidRPr="00761D56" w14:paraId="3EB7F42D" w14:textId="77777777" w:rsidTr="00C43F73">
        <w:tc>
          <w:tcPr>
            <w:tcW w:w="1525" w:type="dxa"/>
          </w:tcPr>
          <w:p w14:paraId="5F418491" w14:textId="77777777" w:rsidR="00C43F73" w:rsidRPr="00761D56" w:rsidRDefault="00C43F73" w:rsidP="00AC2088">
            <w:pPr>
              <w:rPr>
                <w:rFonts w:cstheme="minorHAnsi"/>
                <w:color w:val="000000" w:themeColor="text1"/>
              </w:rPr>
            </w:pPr>
            <w:r w:rsidRPr="00761D56">
              <w:rPr>
                <w:rFonts w:cstheme="minorHAnsi"/>
                <w:b/>
                <w:bCs/>
                <w:color w:val="000000" w:themeColor="text1"/>
              </w:rPr>
              <w:t>JJA</w:t>
            </w:r>
            <w:r w:rsidRPr="00761D56">
              <w:rPr>
                <w:rFonts w:cstheme="minorHAnsi"/>
                <w:color w:val="000000" w:themeColor="text1"/>
              </w:rPr>
              <w:t xml:space="preserve"> </w:t>
            </w:r>
          </w:p>
        </w:tc>
        <w:tc>
          <w:tcPr>
            <w:tcW w:w="7825" w:type="dxa"/>
          </w:tcPr>
          <w:p w14:paraId="6F87904E" w14:textId="77777777" w:rsidR="00C43F73" w:rsidRPr="00761D56" w:rsidRDefault="00C43F73" w:rsidP="00AC2088">
            <w:pPr>
              <w:rPr>
                <w:rFonts w:cstheme="minorHAnsi"/>
                <w:color w:val="000000" w:themeColor="text1"/>
              </w:rPr>
            </w:pPr>
            <w:r w:rsidRPr="00761D56">
              <w:rPr>
                <w:rFonts w:cstheme="minorHAnsi"/>
                <w:color w:val="000000" w:themeColor="text1"/>
              </w:rPr>
              <w:t>Juvenile Justice Act</w:t>
            </w:r>
          </w:p>
        </w:tc>
      </w:tr>
      <w:tr w:rsidR="00761D56" w:rsidRPr="00761D56" w14:paraId="764C309E" w14:textId="77777777" w:rsidTr="00C43F73">
        <w:tc>
          <w:tcPr>
            <w:tcW w:w="1525" w:type="dxa"/>
          </w:tcPr>
          <w:p w14:paraId="321F354B" w14:textId="77777777" w:rsidR="00C43F73" w:rsidRPr="00761D56" w:rsidRDefault="00C43F73" w:rsidP="00AC2088">
            <w:pPr>
              <w:rPr>
                <w:rFonts w:cstheme="minorHAnsi"/>
                <w:color w:val="000000" w:themeColor="text1"/>
              </w:rPr>
            </w:pPr>
            <w:r w:rsidRPr="00761D56">
              <w:rPr>
                <w:rFonts w:cstheme="minorHAnsi"/>
                <w:b/>
                <w:bCs/>
                <w:color w:val="000000" w:themeColor="text1"/>
              </w:rPr>
              <w:t>JJS</w:t>
            </w:r>
            <w:r w:rsidRPr="00761D56">
              <w:rPr>
                <w:rFonts w:cstheme="minorHAnsi"/>
                <w:color w:val="000000" w:themeColor="text1"/>
              </w:rPr>
              <w:t xml:space="preserve"> </w:t>
            </w:r>
          </w:p>
        </w:tc>
        <w:tc>
          <w:tcPr>
            <w:tcW w:w="7825" w:type="dxa"/>
          </w:tcPr>
          <w:p w14:paraId="724C5B01" w14:textId="77777777" w:rsidR="00C43F73" w:rsidRPr="00761D56" w:rsidRDefault="00C43F73" w:rsidP="00AC2088">
            <w:pPr>
              <w:rPr>
                <w:rFonts w:cstheme="minorHAnsi"/>
                <w:color w:val="000000" w:themeColor="text1"/>
              </w:rPr>
            </w:pPr>
            <w:r w:rsidRPr="00761D56">
              <w:rPr>
                <w:rFonts w:cstheme="minorHAnsi"/>
                <w:color w:val="000000" w:themeColor="text1"/>
              </w:rPr>
              <w:t>Juvenile Justice System</w:t>
            </w:r>
          </w:p>
        </w:tc>
      </w:tr>
      <w:tr w:rsidR="00761D56" w:rsidRPr="00761D56" w14:paraId="36A32BD0" w14:textId="77777777" w:rsidTr="00C43F73">
        <w:tc>
          <w:tcPr>
            <w:tcW w:w="1525" w:type="dxa"/>
          </w:tcPr>
          <w:p w14:paraId="63F215F5" w14:textId="77777777" w:rsidR="00C43F73" w:rsidRPr="00761D56" w:rsidRDefault="00C43F73" w:rsidP="00AC2088">
            <w:pPr>
              <w:rPr>
                <w:rFonts w:cstheme="minorHAnsi"/>
                <w:color w:val="000000" w:themeColor="text1"/>
              </w:rPr>
            </w:pPr>
            <w:r w:rsidRPr="00761D56">
              <w:rPr>
                <w:rFonts w:cstheme="minorHAnsi"/>
                <w:b/>
                <w:bCs/>
                <w:color w:val="000000" w:themeColor="text1"/>
              </w:rPr>
              <w:t>LGA</w:t>
            </w:r>
          </w:p>
        </w:tc>
        <w:tc>
          <w:tcPr>
            <w:tcW w:w="7825" w:type="dxa"/>
          </w:tcPr>
          <w:p w14:paraId="59413BE2" w14:textId="77777777" w:rsidR="00C43F73" w:rsidRPr="00761D56" w:rsidRDefault="00C43F73" w:rsidP="00AC2088">
            <w:pPr>
              <w:rPr>
                <w:rFonts w:cstheme="minorHAnsi"/>
                <w:color w:val="000000" w:themeColor="text1"/>
              </w:rPr>
            </w:pPr>
            <w:r w:rsidRPr="00761D56">
              <w:rPr>
                <w:rFonts w:cstheme="minorHAnsi"/>
                <w:color w:val="000000" w:themeColor="text1"/>
              </w:rPr>
              <w:t>Local Government Authority</w:t>
            </w:r>
          </w:p>
        </w:tc>
      </w:tr>
      <w:tr w:rsidR="00761D56" w:rsidRPr="00761D56" w14:paraId="18CCA37D" w14:textId="77777777" w:rsidTr="00C43F73">
        <w:tc>
          <w:tcPr>
            <w:tcW w:w="1525" w:type="dxa"/>
          </w:tcPr>
          <w:p w14:paraId="2CD494D1" w14:textId="77777777" w:rsidR="00C43F73" w:rsidRPr="00761D56" w:rsidRDefault="00C43F73" w:rsidP="00AC2088">
            <w:pPr>
              <w:rPr>
                <w:rFonts w:cstheme="minorHAnsi"/>
                <w:color w:val="000000" w:themeColor="text1"/>
              </w:rPr>
            </w:pPr>
            <w:r w:rsidRPr="00761D56">
              <w:rPr>
                <w:rFonts w:cstheme="minorHAnsi"/>
                <w:b/>
                <w:bCs/>
                <w:color w:val="000000" w:themeColor="text1"/>
              </w:rPr>
              <w:t xml:space="preserve">LRA </w:t>
            </w:r>
          </w:p>
        </w:tc>
        <w:tc>
          <w:tcPr>
            <w:tcW w:w="7825" w:type="dxa"/>
          </w:tcPr>
          <w:p w14:paraId="725DEFFD" w14:textId="77777777" w:rsidR="00C43F73" w:rsidRPr="00761D56" w:rsidRDefault="00C43F73" w:rsidP="00AC2088">
            <w:pPr>
              <w:rPr>
                <w:rFonts w:cstheme="minorHAnsi"/>
                <w:color w:val="000000" w:themeColor="text1"/>
              </w:rPr>
            </w:pPr>
            <w:r w:rsidRPr="00761D56">
              <w:rPr>
                <w:rFonts w:cstheme="minorHAnsi"/>
                <w:color w:val="000000" w:themeColor="text1"/>
              </w:rPr>
              <w:t>Labour Relations Authority</w:t>
            </w:r>
          </w:p>
        </w:tc>
      </w:tr>
      <w:tr w:rsidR="00761D56" w:rsidRPr="00761D56" w14:paraId="0725D9B7" w14:textId="77777777" w:rsidTr="00C43F73">
        <w:tc>
          <w:tcPr>
            <w:tcW w:w="1525" w:type="dxa"/>
          </w:tcPr>
          <w:p w14:paraId="7DA8BF82" w14:textId="77777777" w:rsidR="00C43F73" w:rsidRPr="00761D56" w:rsidRDefault="00C43F73" w:rsidP="00AC2088">
            <w:pPr>
              <w:rPr>
                <w:rFonts w:cstheme="minorHAnsi"/>
                <w:color w:val="000000" w:themeColor="text1"/>
              </w:rPr>
            </w:pPr>
            <w:r w:rsidRPr="00761D56">
              <w:rPr>
                <w:rFonts w:cstheme="minorHAnsi"/>
                <w:b/>
                <w:bCs/>
                <w:color w:val="000000" w:themeColor="text1"/>
              </w:rPr>
              <w:t>MCS</w:t>
            </w:r>
            <w:r w:rsidRPr="00761D56">
              <w:rPr>
                <w:rFonts w:cstheme="minorHAnsi"/>
                <w:color w:val="000000" w:themeColor="text1"/>
              </w:rPr>
              <w:t xml:space="preserve"> </w:t>
            </w:r>
          </w:p>
        </w:tc>
        <w:tc>
          <w:tcPr>
            <w:tcW w:w="7825" w:type="dxa"/>
          </w:tcPr>
          <w:p w14:paraId="4DC7DAE8" w14:textId="77777777" w:rsidR="00C43F73" w:rsidRPr="00761D56" w:rsidRDefault="00C43F73" w:rsidP="00AC2088">
            <w:pPr>
              <w:rPr>
                <w:rFonts w:cstheme="minorHAnsi"/>
                <w:color w:val="000000" w:themeColor="text1"/>
              </w:rPr>
            </w:pPr>
            <w:r w:rsidRPr="00761D56">
              <w:rPr>
                <w:rFonts w:cstheme="minorHAnsi"/>
                <w:color w:val="000000" w:themeColor="text1"/>
              </w:rPr>
              <w:t>Maldives Correction Service</w:t>
            </w:r>
          </w:p>
        </w:tc>
      </w:tr>
      <w:tr w:rsidR="00761D56" w:rsidRPr="00761D56" w14:paraId="28379E29" w14:textId="77777777" w:rsidTr="00C43F73">
        <w:tc>
          <w:tcPr>
            <w:tcW w:w="1525" w:type="dxa"/>
          </w:tcPr>
          <w:p w14:paraId="521DF661" w14:textId="77777777" w:rsidR="00C43F73" w:rsidRPr="00761D56" w:rsidRDefault="00C43F73" w:rsidP="00AC2088">
            <w:pPr>
              <w:rPr>
                <w:rFonts w:cstheme="minorHAnsi"/>
                <w:color w:val="000000" w:themeColor="text1"/>
              </w:rPr>
            </w:pPr>
            <w:r w:rsidRPr="00761D56">
              <w:rPr>
                <w:rFonts w:cstheme="minorHAnsi"/>
                <w:b/>
                <w:bCs/>
                <w:color w:val="000000" w:themeColor="text1"/>
              </w:rPr>
              <w:t xml:space="preserve">MoCHI </w:t>
            </w:r>
          </w:p>
        </w:tc>
        <w:tc>
          <w:tcPr>
            <w:tcW w:w="7825" w:type="dxa"/>
          </w:tcPr>
          <w:p w14:paraId="6281CA37" w14:textId="77777777" w:rsidR="00C43F73" w:rsidRPr="00761D56" w:rsidRDefault="00C43F73" w:rsidP="00AC2088">
            <w:pPr>
              <w:rPr>
                <w:rFonts w:cstheme="minorHAnsi"/>
                <w:color w:val="000000" w:themeColor="text1"/>
              </w:rPr>
            </w:pPr>
            <w:r w:rsidRPr="00761D56">
              <w:rPr>
                <w:rFonts w:cstheme="minorHAnsi"/>
                <w:color w:val="000000" w:themeColor="text1"/>
              </w:rPr>
              <w:t xml:space="preserve">Ministry of Constructions Housing and Infrastructure </w:t>
            </w:r>
          </w:p>
        </w:tc>
      </w:tr>
      <w:tr w:rsidR="00761D56" w:rsidRPr="00761D56" w14:paraId="76189F31" w14:textId="77777777" w:rsidTr="00C43F73">
        <w:tc>
          <w:tcPr>
            <w:tcW w:w="1525" w:type="dxa"/>
          </w:tcPr>
          <w:p w14:paraId="78BB603C" w14:textId="77777777" w:rsidR="00C43F73" w:rsidRPr="00761D56" w:rsidRDefault="00C43F73" w:rsidP="00AC2088">
            <w:pPr>
              <w:rPr>
                <w:rFonts w:cstheme="minorHAnsi"/>
                <w:color w:val="000000" w:themeColor="text1"/>
              </w:rPr>
            </w:pPr>
            <w:r w:rsidRPr="00761D56">
              <w:rPr>
                <w:rFonts w:cstheme="minorHAnsi"/>
                <w:b/>
                <w:bCs/>
                <w:color w:val="000000" w:themeColor="text1"/>
              </w:rPr>
              <w:t>MoH</w:t>
            </w:r>
            <w:r w:rsidRPr="00761D56">
              <w:rPr>
                <w:rFonts w:cstheme="minorHAnsi"/>
                <w:color w:val="000000" w:themeColor="text1"/>
              </w:rPr>
              <w:t xml:space="preserve"> </w:t>
            </w:r>
          </w:p>
        </w:tc>
        <w:tc>
          <w:tcPr>
            <w:tcW w:w="7825" w:type="dxa"/>
          </w:tcPr>
          <w:p w14:paraId="4767D9BA" w14:textId="77777777" w:rsidR="00C43F73" w:rsidRPr="00761D56" w:rsidRDefault="00C43F73" w:rsidP="00AC2088">
            <w:pPr>
              <w:rPr>
                <w:rFonts w:cstheme="minorHAnsi"/>
                <w:color w:val="000000" w:themeColor="text1"/>
              </w:rPr>
            </w:pPr>
            <w:r w:rsidRPr="00761D56">
              <w:rPr>
                <w:rFonts w:cstheme="minorHAnsi"/>
                <w:color w:val="000000" w:themeColor="text1"/>
              </w:rPr>
              <w:t>Ministry of Health</w:t>
            </w:r>
          </w:p>
        </w:tc>
      </w:tr>
      <w:tr w:rsidR="00761D56" w:rsidRPr="00761D56" w14:paraId="0340F8D1" w14:textId="77777777" w:rsidTr="00C43F73">
        <w:tc>
          <w:tcPr>
            <w:tcW w:w="1525" w:type="dxa"/>
          </w:tcPr>
          <w:p w14:paraId="29A006D9" w14:textId="77777777" w:rsidR="00C43F73" w:rsidRPr="00761D56" w:rsidRDefault="00C43F73" w:rsidP="00AC2088">
            <w:pPr>
              <w:rPr>
                <w:rFonts w:cstheme="minorHAnsi"/>
                <w:color w:val="000000" w:themeColor="text1"/>
              </w:rPr>
            </w:pPr>
            <w:r w:rsidRPr="00761D56">
              <w:rPr>
                <w:rFonts w:cstheme="minorHAnsi"/>
                <w:b/>
                <w:bCs/>
                <w:color w:val="000000" w:themeColor="text1"/>
              </w:rPr>
              <w:t>MoSFD</w:t>
            </w:r>
            <w:r w:rsidRPr="00761D56">
              <w:rPr>
                <w:rFonts w:cstheme="minorHAnsi"/>
                <w:color w:val="000000" w:themeColor="text1"/>
              </w:rPr>
              <w:t xml:space="preserve"> </w:t>
            </w:r>
          </w:p>
        </w:tc>
        <w:tc>
          <w:tcPr>
            <w:tcW w:w="7825" w:type="dxa"/>
          </w:tcPr>
          <w:p w14:paraId="7B3389F8" w14:textId="77777777" w:rsidR="00C43F73" w:rsidRPr="00761D56" w:rsidRDefault="00C43F73" w:rsidP="00AC2088">
            <w:pPr>
              <w:rPr>
                <w:rFonts w:cstheme="minorHAnsi"/>
                <w:color w:val="000000" w:themeColor="text1"/>
              </w:rPr>
            </w:pPr>
            <w:r w:rsidRPr="00761D56">
              <w:rPr>
                <w:rFonts w:cstheme="minorHAnsi"/>
                <w:color w:val="000000" w:themeColor="text1"/>
              </w:rPr>
              <w:t>Ministry of Social and Family Development</w:t>
            </w:r>
          </w:p>
        </w:tc>
      </w:tr>
      <w:tr w:rsidR="00761D56" w:rsidRPr="00761D56" w14:paraId="6C71FCB1" w14:textId="77777777" w:rsidTr="00C43F73">
        <w:tc>
          <w:tcPr>
            <w:tcW w:w="1525" w:type="dxa"/>
          </w:tcPr>
          <w:p w14:paraId="6E961801" w14:textId="77777777" w:rsidR="00C43F73" w:rsidRPr="00761D56" w:rsidRDefault="00C43F73" w:rsidP="00AC2088">
            <w:pPr>
              <w:rPr>
                <w:rFonts w:cstheme="minorHAnsi"/>
                <w:color w:val="000000" w:themeColor="text1"/>
              </w:rPr>
            </w:pPr>
            <w:r w:rsidRPr="00761D56">
              <w:rPr>
                <w:rFonts w:cstheme="minorHAnsi"/>
                <w:b/>
                <w:bCs/>
                <w:color w:val="000000" w:themeColor="text1"/>
              </w:rPr>
              <w:t>MPS</w:t>
            </w:r>
          </w:p>
        </w:tc>
        <w:tc>
          <w:tcPr>
            <w:tcW w:w="7825" w:type="dxa"/>
          </w:tcPr>
          <w:p w14:paraId="0F23D368" w14:textId="77777777" w:rsidR="00C43F73" w:rsidRPr="00761D56" w:rsidRDefault="00C43F73" w:rsidP="00AC2088">
            <w:pPr>
              <w:rPr>
                <w:rFonts w:cstheme="minorHAnsi"/>
                <w:color w:val="000000" w:themeColor="text1"/>
              </w:rPr>
            </w:pPr>
            <w:r w:rsidRPr="00761D56">
              <w:rPr>
                <w:rFonts w:cstheme="minorHAnsi"/>
                <w:color w:val="000000" w:themeColor="text1"/>
              </w:rPr>
              <w:t>Maldives Police Service</w:t>
            </w:r>
          </w:p>
        </w:tc>
      </w:tr>
      <w:tr w:rsidR="00761D56" w:rsidRPr="00761D56" w14:paraId="39FC7EA0" w14:textId="77777777" w:rsidTr="00C43F73">
        <w:tc>
          <w:tcPr>
            <w:tcW w:w="1525" w:type="dxa"/>
          </w:tcPr>
          <w:p w14:paraId="6BF8102E" w14:textId="77777777" w:rsidR="00C43F73" w:rsidRPr="00761D56" w:rsidRDefault="00C43F73" w:rsidP="00AC2088">
            <w:pPr>
              <w:rPr>
                <w:rFonts w:cstheme="minorHAnsi"/>
                <w:color w:val="000000" w:themeColor="text1"/>
              </w:rPr>
            </w:pPr>
            <w:r w:rsidRPr="00761D56">
              <w:rPr>
                <w:rFonts w:cstheme="minorHAnsi"/>
                <w:b/>
                <w:bCs/>
                <w:color w:val="000000" w:themeColor="text1"/>
              </w:rPr>
              <w:t>NDA</w:t>
            </w:r>
            <w:r w:rsidRPr="00761D56">
              <w:rPr>
                <w:rFonts w:cstheme="minorHAnsi"/>
                <w:color w:val="000000" w:themeColor="text1"/>
              </w:rPr>
              <w:t xml:space="preserve"> </w:t>
            </w:r>
          </w:p>
        </w:tc>
        <w:tc>
          <w:tcPr>
            <w:tcW w:w="7825" w:type="dxa"/>
          </w:tcPr>
          <w:p w14:paraId="2691948C" w14:textId="77777777" w:rsidR="00C43F73" w:rsidRPr="00761D56" w:rsidRDefault="00C43F73" w:rsidP="00AC2088">
            <w:pPr>
              <w:rPr>
                <w:rFonts w:cstheme="minorHAnsi"/>
                <w:color w:val="000000" w:themeColor="text1"/>
              </w:rPr>
            </w:pPr>
            <w:r w:rsidRPr="00761D56">
              <w:rPr>
                <w:rFonts w:cstheme="minorHAnsi"/>
                <w:color w:val="000000" w:themeColor="text1"/>
              </w:rPr>
              <w:t>National Drug Agency</w:t>
            </w:r>
          </w:p>
        </w:tc>
      </w:tr>
      <w:tr w:rsidR="00761D56" w:rsidRPr="00761D56" w14:paraId="13340889" w14:textId="77777777" w:rsidTr="00C43F73">
        <w:tc>
          <w:tcPr>
            <w:tcW w:w="1525" w:type="dxa"/>
          </w:tcPr>
          <w:p w14:paraId="269289B5" w14:textId="77777777" w:rsidR="00C43F73" w:rsidRPr="00761D56" w:rsidRDefault="00C43F73" w:rsidP="00AC2088">
            <w:pPr>
              <w:rPr>
                <w:rFonts w:cstheme="minorHAnsi"/>
                <w:color w:val="000000" w:themeColor="text1"/>
              </w:rPr>
            </w:pPr>
            <w:r w:rsidRPr="00761D56">
              <w:rPr>
                <w:rFonts w:cstheme="minorHAnsi"/>
                <w:b/>
                <w:bCs/>
                <w:color w:val="000000" w:themeColor="text1"/>
              </w:rPr>
              <w:t>NHRI</w:t>
            </w:r>
            <w:r w:rsidRPr="00761D56">
              <w:rPr>
                <w:rFonts w:cstheme="minorHAnsi"/>
                <w:color w:val="000000" w:themeColor="text1"/>
              </w:rPr>
              <w:t xml:space="preserve"> </w:t>
            </w:r>
          </w:p>
        </w:tc>
        <w:tc>
          <w:tcPr>
            <w:tcW w:w="7825" w:type="dxa"/>
          </w:tcPr>
          <w:p w14:paraId="5EB9A677" w14:textId="77777777" w:rsidR="00C43F73" w:rsidRPr="00761D56" w:rsidRDefault="00C43F73" w:rsidP="00AC2088">
            <w:pPr>
              <w:rPr>
                <w:rFonts w:cstheme="minorHAnsi"/>
                <w:color w:val="000000" w:themeColor="text1"/>
              </w:rPr>
            </w:pPr>
            <w:r w:rsidRPr="00761D56">
              <w:rPr>
                <w:rFonts w:cstheme="minorHAnsi"/>
                <w:color w:val="000000" w:themeColor="text1"/>
              </w:rPr>
              <w:t>National Human Rights Institutions</w:t>
            </w:r>
          </w:p>
        </w:tc>
      </w:tr>
      <w:tr w:rsidR="00761D56" w:rsidRPr="00761D56" w14:paraId="3A592BFA" w14:textId="77777777" w:rsidTr="00C43F73">
        <w:tc>
          <w:tcPr>
            <w:tcW w:w="1525" w:type="dxa"/>
          </w:tcPr>
          <w:p w14:paraId="4E38396C" w14:textId="77777777" w:rsidR="00C43F73" w:rsidRPr="00761D56" w:rsidRDefault="00C43F73" w:rsidP="00AC2088">
            <w:pPr>
              <w:rPr>
                <w:rFonts w:cstheme="minorHAnsi"/>
                <w:color w:val="000000" w:themeColor="text1"/>
              </w:rPr>
            </w:pPr>
            <w:r w:rsidRPr="00761D56">
              <w:rPr>
                <w:rFonts w:cstheme="minorHAnsi"/>
                <w:b/>
                <w:bCs/>
                <w:color w:val="000000" w:themeColor="text1"/>
              </w:rPr>
              <w:t>NPM</w:t>
            </w:r>
            <w:r w:rsidRPr="00761D56">
              <w:rPr>
                <w:rFonts w:cstheme="minorHAnsi"/>
                <w:color w:val="000000" w:themeColor="text1"/>
              </w:rPr>
              <w:t xml:space="preserve"> </w:t>
            </w:r>
          </w:p>
        </w:tc>
        <w:tc>
          <w:tcPr>
            <w:tcW w:w="7825" w:type="dxa"/>
          </w:tcPr>
          <w:p w14:paraId="5DFFD347" w14:textId="77777777" w:rsidR="00C43F73" w:rsidRPr="00761D56" w:rsidRDefault="00C43F73" w:rsidP="00AC2088">
            <w:pPr>
              <w:rPr>
                <w:rFonts w:cstheme="minorHAnsi"/>
                <w:color w:val="000000" w:themeColor="text1"/>
              </w:rPr>
            </w:pPr>
            <w:r w:rsidRPr="00761D56">
              <w:rPr>
                <w:rFonts w:cstheme="minorHAnsi"/>
                <w:color w:val="000000" w:themeColor="text1"/>
              </w:rPr>
              <w:t>National Preventive Mechanism</w:t>
            </w:r>
          </w:p>
        </w:tc>
      </w:tr>
      <w:tr w:rsidR="00761D56" w:rsidRPr="00761D56" w14:paraId="2B4636A3" w14:textId="77777777" w:rsidTr="00C43F73">
        <w:tc>
          <w:tcPr>
            <w:tcW w:w="1525" w:type="dxa"/>
          </w:tcPr>
          <w:p w14:paraId="09F8DFDA" w14:textId="77777777" w:rsidR="00C43F73" w:rsidRPr="00761D56" w:rsidRDefault="00C43F73" w:rsidP="00AC2088">
            <w:pPr>
              <w:rPr>
                <w:rFonts w:cstheme="minorHAnsi"/>
                <w:color w:val="000000" w:themeColor="text1"/>
              </w:rPr>
            </w:pPr>
            <w:r w:rsidRPr="00761D56">
              <w:rPr>
                <w:rFonts w:cstheme="minorHAnsi"/>
                <w:b/>
                <w:bCs/>
                <w:color w:val="000000" w:themeColor="text1"/>
              </w:rPr>
              <w:t>NSPA</w:t>
            </w:r>
            <w:r w:rsidRPr="00761D56">
              <w:rPr>
                <w:rFonts w:cstheme="minorHAnsi"/>
                <w:color w:val="000000" w:themeColor="text1"/>
              </w:rPr>
              <w:t xml:space="preserve"> </w:t>
            </w:r>
          </w:p>
        </w:tc>
        <w:tc>
          <w:tcPr>
            <w:tcW w:w="7825" w:type="dxa"/>
          </w:tcPr>
          <w:p w14:paraId="2BB0735B" w14:textId="77777777" w:rsidR="00C43F73" w:rsidRPr="00761D56" w:rsidRDefault="00C43F73" w:rsidP="00AC2088">
            <w:pPr>
              <w:rPr>
                <w:rFonts w:cstheme="minorHAnsi"/>
                <w:color w:val="000000" w:themeColor="text1"/>
              </w:rPr>
            </w:pPr>
            <w:r w:rsidRPr="00761D56">
              <w:rPr>
                <w:rFonts w:cstheme="minorHAnsi"/>
                <w:color w:val="000000" w:themeColor="text1"/>
              </w:rPr>
              <w:t>National Social Protection Agency</w:t>
            </w:r>
          </w:p>
        </w:tc>
      </w:tr>
      <w:tr w:rsidR="00761D56" w:rsidRPr="00761D56" w14:paraId="0A66CB35" w14:textId="77777777" w:rsidTr="00C43F73">
        <w:tc>
          <w:tcPr>
            <w:tcW w:w="1525" w:type="dxa"/>
          </w:tcPr>
          <w:p w14:paraId="3FAAD71E" w14:textId="77777777" w:rsidR="00C43F73" w:rsidRPr="00761D56" w:rsidRDefault="00C43F73" w:rsidP="00AC2088">
            <w:pPr>
              <w:rPr>
                <w:rFonts w:cstheme="minorHAnsi"/>
                <w:color w:val="000000" w:themeColor="text1"/>
              </w:rPr>
            </w:pPr>
            <w:r w:rsidRPr="00761D56">
              <w:rPr>
                <w:rFonts w:cstheme="minorHAnsi"/>
                <w:b/>
                <w:bCs/>
                <w:color w:val="000000" w:themeColor="text1"/>
              </w:rPr>
              <w:t>OPCAT</w:t>
            </w:r>
            <w:r w:rsidRPr="00761D56">
              <w:rPr>
                <w:rFonts w:cstheme="minorHAnsi"/>
                <w:color w:val="000000" w:themeColor="text1"/>
              </w:rPr>
              <w:t xml:space="preserve"> </w:t>
            </w:r>
          </w:p>
        </w:tc>
        <w:tc>
          <w:tcPr>
            <w:tcW w:w="7825" w:type="dxa"/>
          </w:tcPr>
          <w:p w14:paraId="180B73D1" w14:textId="77777777" w:rsidR="00C43F73" w:rsidRPr="00761D56" w:rsidRDefault="00C43F73" w:rsidP="001743BF">
            <w:pPr>
              <w:ind w:left="75" w:firstLine="11"/>
              <w:rPr>
                <w:rFonts w:cstheme="minorHAnsi"/>
                <w:color w:val="000000" w:themeColor="text1"/>
              </w:rPr>
            </w:pPr>
            <w:r w:rsidRPr="00761D56">
              <w:rPr>
                <w:rFonts w:cstheme="minorHAnsi"/>
                <w:color w:val="000000" w:themeColor="text1"/>
              </w:rPr>
              <w:t>Optional Protocol to the Convention against Torture and Other Cruel, Inhuman or Degrading Treatment and Punishment</w:t>
            </w:r>
          </w:p>
        </w:tc>
      </w:tr>
      <w:tr w:rsidR="00761D56" w:rsidRPr="00761D56" w14:paraId="71FFAE5D" w14:textId="77777777" w:rsidTr="00C43F73">
        <w:tc>
          <w:tcPr>
            <w:tcW w:w="1525" w:type="dxa"/>
          </w:tcPr>
          <w:p w14:paraId="248E5F29" w14:textId="77777777" w:rsidR="00C43F73" w:rsidRPr="00761D56" w:rsidRDefault="00C43F73" w:rsidP="00AC2088">
            <w:pPr>
              <w:rPr>
                <w:rFonts w:cstheme="minorHAnsi"/>
                <w:color w:val="000000" w:themeColor="text1"/>
              </w:rPr>
            </w:pPr>
            <w:r w:rsidRPr="00761D56">
              <w:rPr>
                <w:rFonts w:cstheme="minorHAnsi"/>
                <w:b/>
                <w:bCs/>
                <w:color w:val="000000" w:themeColor="text1"/>
              </w:rPr>
              <w:t>PGO</w:t>
            </w:r>
            <w:r w:rsidRPr="00761D56">
              <w:rPr>
                <w:rFonts w:cstheme="minorHAnsi"/>
                <w:color w:val="000000" w:themeColor="text1"/>
              </w:rPr>
              <w:t xml:space="preserve"> </w:t>
            </w:r>
          </w:p>
        </w:tc>
        <w:tc>
          <w:tcPr>
            <w:tcW w:w="7825" w:type="dxa"/>
          </w:tcPr>
          <w:p w14:paraId="04E57680" w14:textId="77777777" w:rsidR="00C43F73" w:rsidRPr="00761D56" w:rsidRDefault="00C43F73" w:rsidP="00AC2088">
            <w:pPr>
              <w:rPr>
                <w:rFonts w:cstheme="minorHAnsi"/>
                <w:color w:val="000000" w:themeColor="text1"/>
              </w:rPr>
            </w:pPr>
            <w:r w:rsidRPr="00761D56">
              <w:rPr>
                <w:rFonts w:cstheme="minorHAnsi"/>
                <w:color w:val="000000" w:themeColor="text1"/>
              </w:rPr>
              <w:t>Prosecutor General's Office</w:t>
            </w:r>
          </w:p>
        </w:tc>
      </w:tr>
      <w:tr w:rsidR="00761D56" w:rsidRPr="00761D56" w14:paraId="4A2A8BC7" w14:textId="77777777" w:rsidTr="00C43F73">
        <w:tc>
          <w:tcPr>
            <w:tcW w:w="1525" w:type="dxa"/>
          </w:tcPr>
          <w:p w14:paraId="78D129E1" w14:textId="02E38C7D" w:rsidR="00C43F73" w:rsidRPr="00761D56" w:rsidRDefault="001743BF" w:rsidP="00AC2088">
            <w:pPr>
              <w:rPr>
                <w:rFonts w:cstheme="minorHAnsi"/>
                <w:color w:val="000000" w:themeColor="text1"/>
              </w:rPr>
            </w:pPr>
            <w:r w:rsidRPr="00761D56">
              <w:rPr>
                <w:rFonts w:cstheme="minorHAnsi"/>
                <w:b/>
                <w:bCs/>
                <w:color w:val="000000" w:themeColor="text1"/>
              </w:rPr>
              <w:t>SCLP</w:t>
            </w:r>
          </w:p>
        </w:tc>
        <w:tc>
          <w:tcPr>
            <w:tcW w:w="7825" w:type="dxa"/>
          </w:tcPr>
          <w:p w14:paraId="0B40A5EF" w14:textId="53B69C87" w:rsidR="00C43F73" w:rsidRPr="00761D56" w:rsidRDefault="001743BF" w:rsidP="00AC2088">
            <w:pPr>
              <w:rPr>
                <w:rFonts w:cstheme="minorHAnsi"/>
                <w:color w:val="000000" w:themeColor="text1"/>
              </w:rPr>
            </w:pPr>
            <w:r w:rsidRPr="00761D56">
              <w:rPr>
                <w:rFonts w:cstheme="minorHAnsi"/>
                <w:color w:val="000000" w:themeColor="text1"/>
              </w:rPr>
              <w:t>Students with Complex Learning Profiles</w:t>
            </w:r>
          </w:p>
        </w:tc>
      </w:tr>
      <w:tr w:rsidR="00C43F73" w:rsidRPr="00761D56" w14:paraId="1C8AAAF0" w14:textId="77777777" w:rsidTr="00C43F73">
        <w:tc>
          <w:tcPr>
            <w:tcW w:w="1525" w:type="dxa"/>
          </w:tcPr>
          <w:p w14:paraId="5D4135D8" w14:textId="77777777" w:rsidR="00C43F73" w:rsidRPr="00761D56" w:rsidRDefault="00C43F73" w:rsidP="00AC2088">
            <w:pPr>
              <w:rPr>
                <w:rFonts w:cstheme="minorHAnsi"/>
                <w:color w:val="000000" w:themeColor="text1"/>
              </w:rPr>
            </w:pPr>
            <w:r w:rsidRPr="00761D56">
              <w:rPr>
                <w:rFonts w:cstheme="minorHAnsi"/>
                <w:b/>
                <w:bCs/>
                <w:color w:val="000000" w:themeColor="text1"/>
              </w:rPr>
              <w:t>WDC</w:t>
            </w:r>
          </w:p>
        </w:tc>
        <w:tc>
          <w:tcPr>
            <w:tcW w:w="7825" w:type="dxa"/>
          </w:tcPr>
          <w:p w14:paraId="29BB9688" w14:textId="77777777" w:rsidR="00C43F73" w:rsidRPr="00761D56" w:rsidRDefault="00C43F73" w:rsidP="00AC2088">
            <w:pPr>
              <w:rPr>
                <w:rFonts w:cstheme="minorHAnsi"/>
                <w:color w:val="000000" w:themeColor="text1"/>
              </w:rPr>
            </w:pPr>
            <w:r w:rsidRPr="00761D56">
              <w:rPr>
                <w:rFonts w:cstheme="minorHAnsi"/>
                <w:color w:val="000000" w:themeColor="text1"/>
              </w:rPr>
              <w:t>Women's Development Committees</w:t>
            </w:r>
          </w:p>
        </w:tc>
      </w:tr>
    </w:tbl>
    <w:p w14:paraId="09709D65" w14:textId="77777777" w:rsidR="004D241D" w:rsidRPr="00761D56" w:rsidRDefault="004D241D" w:rsidP="008F24DD">
      <w:pPr>
        <w:spacing w:line="276" w:lineRule="auto"/>
        <w:ind w:left="0" w:firstLine="0"/>
        <w:jc w:val="both"/>
        <w:rPr>
          <w:rFonts w:cstheme="minorHAnsi"/>
          <w:color w:val="000000" w:themeColor="text1"/>
        </w:rPr>
      </w:pPr>
    </w:p>
    <w:sdt>
      <w:sdtPr>
        <w:rPr>
          <w:rFonts w:asciiTheme="minorHAnsi" w:eastAsiaTheme="minorHAnsi" w:hAnsiTheme="minorHAnsi" w:cstheme="minorBidi"/>
          <w:color w:val="000000" w:themeColor="text1"/>
          <w:kern w:val="2"/>
          <w:sz w:val="22"/>
          <w:szCs w:val="22"/>
          <w:lang w:val="en-GB"/>
          <w14:ligatures w14:val="standardContextual"/>
        </w:rPr>
        <w:id w:val="2065363080"/>
        <w:docPartObj>
          <w:docPartGallery w:val="Table of Contents"/>
          <w:docPartUnique/>
        </w:docPartObj>
      </w:sdtPr>
      <w:sdtEndPr>
        <w:rPr>
          <w:b/>
          <w:bCs/>
          <w:noProof/>
        </w:rPr>
      </w:sdtEndPr>
      <w:sdtContent>
        <w:p w14:paraId="1C33609E" w14:textId="2BB7F07E" w:rsidR="00BC7D45" w:rsidRPr="00761D56" w:rsidRDefault="00BC7D45" w:rsidP="008F24DD">
          <w:pPr>
            <w:pStyle w:val="TOCHeading"/>
            <w:jc w:val="both"/>
            <w:rPr>
              <w:color w:val="000000" w:themeColor="text1"/>
            </w:rPr>
          </w:pPr>
          <w:r w:rsidRPr="00761D56">
            <w:rPr>
              <w:color w:val="000000" w:themeColor="text1"/>
            </w:rPr>
            <w:t>Contents</w:t>
          </w:r>
        </w:p>
        <w:p w14:paraId="7F755C2A" w14:textId="08D6D5E5" w:rsidR="000D614F" w:rsidRDefault="00BC7D45">
          <w:pPr>
            <w:pStyle w:val="TOC1"/>
            <w:tabs>
              <w:tab w:val="right" w:leader="dot" w:pos="9350"/>
            </w:tabs>
            <w:rPr>
              <w:rFonts w:eastAsiaTheme="minorEastAsia"/>
              <w:noProof/>
              <w:sz w:val="24"/>
              <w:szCs w:val="24"/>
              <w:lang w:val="en-US"/>
            </w:rPr>
          </w:pPr>
          <w:r w:rsidRPr="00761D56">
            <w:rPr>
              <w:color w:val="000000" w:themeColor="text1"/>
            </w:rPr>
            <w:fldChar w:fldCharType="begin"/>
          </w:r>
          <w:r w:rsidRPr="00761D56">
            <w:rPr>
              <w:color w:val="000000" w:themeColor="text1"/>
            </w:rPr>
            <w:instrText xml:space="preserve"> TOC \o "1-3" \h \z \u </w:instrText>
          </w:r>
          <w:r w:rsidRPr="00761D56">
            <w:rPr>
              <w:color w:val="000000" w:themeColor="text1"/>
            </w:rPr>
            <w:fldChar w:fldCharType="separate"/>
          </w:r>
          <w:hyperlink w:anchor="_Toc216692785" w:history="1"/>
        </w:p>
        <w:p w14:paraId="545DA660" w14:textId="7EC86C83" w:rsidR="000D614F" w:rsidRDefault="000D614F">
          <w:pPr>
            <w:pStyle w:val="TOC1"/>
            <w:tabs>
              <w:tab w:val="right" w:leader="dot" w:pos="9350"/>
            </w:tabs>
            <w:rPr>
              <w:rFonts w:eastAsiaTheme="minorEastAsia"/>
              <w:noProof/>
              <w:sz w:val="24"/>
              <w:szCs w:val="24"/>
              <w:lang w:val="en-US"/>
            </w:rPr>
          </w:pPr>
          <w:hyperlink w:anchor="_Toc216692786" w:history="1">
            <w:r w:rsidRPr="00D27749">
              <w:rPr>
                <w:rStyle w:val="Hyperlink"/>
                <w:rFonts w:cstheme="minorHAnsi"/>
                <w:noProof/>
              </w:rPr>
              <w:t>Introduction</w:t>
            </w:r>
            <w:r>
              <w:rPr>
                <w:noProof/>
                <w:webHidden/>
              </w:rPr>
              <w:tab/>
            </w:r>
            <w:r>
              <w:rPr>
                <w:noProof/>
                <w:webHidden/>
              </w:rPr>
              <w:fldChar w:fldCharType="begin"/>
            </w:r>
            <w:r>
              <w:rPr>
                <w:noProof/>
                <w:webHidden/>
              </w:rPr>
              <w:instrText xml:space="preserve"> PAGEREF _Toc216692786 \h </w:instrText>
            </w:r>
            <w:r>
              <w:rPr>
                <w:noProof/>
                <w:webHidden/>
              </w:rPr>
            </w:r>
            <w:r>
              <w:rPr>
                <w:noProof/>
                <w:webHidden/>
              </w:rPr>
              <w:fldChar w:fldCharType="separate"/>
            </w:r>
            <w:r>
              <w:rPr>
                <w:noProof/>
                <w:webHidden/>
              </w:rPr>
              <w:t>1</w:t>
            </w:r>
            <w:r>
              <w:rPr>
                <w:noProof/>
                <w:webHidden/>
              </w:rPr>
              <w:fldChar w:fldCharType="end"/>
            </w:r>
          </w:hyperlink>
        </w:p>
        <w:p w14:paraId="27C4991A" w14:textId="62A321E8" w:rsidR="000D614F" w:rsidRDefault="000D614F">
          <w:pPr>
            <w:pStyle w:val="TOC1"/>
            <w:tabs>
              <w:tab w:val="right" w:leader="dot" w:pos="9350"/>
            </w:tabs>
            <w:rPr>
              <w:rFonts w:eastAsiaTheme="minorEastAsia"/>
              <w:noProof/>
              <w:sz w:val="24"/>
              <w:szCs w:val="24"/>
              <w:lang w:val="en-US"/>
            </w:rPr>
          </w:pPr>
          <w:hyperlink w:anchor="_Toc216692787" w:history="1">
            <w:r w:rsidRPr="00D27749">
              <w:rPr>
                <w:rStyle w:val="Hyperlink"/>
                <w:rFonts w:cstheme="minorHAnsi"/>
                <w:noProof/>
              </w:rPr>
              <w:t>Article 1 - Definition of the child</w:t>
            </w:r>
            <w:r>
              <w:rPr>
                <w:noProof/>
                <w:webHidden/>
              </w:rPr>
              <w:tab/>
            </w:r>
            <w:r>
              <w:rPr>
                <w:noProof/>
                <w:webHidden/>
              </w:rPr>
              <w:fldChar w:fldCharType="begin"/>
            </w:r>
            <w:r>
              <w:rPr>
                <w:noProof/>
                <w:webHidden/>
              </w:rPr>
              <w:instrText xml:space="preserve"> PAGEREF _Toc216692787 \h </w:instrText>
            </w:r>
            <w:r>
              <w:rPr>
                <w:noProof/>
                <w:webHidden/>
              </w:rPr>
            </w:r>
            <w:r>
              <w:rPr>
                <w:noProof/>
                <w:webHidden/>
              </w:rPr>
              <w:fldChar w:fldCharType="separate"/>
            </w:r>
            <w:r>
              <w:rPr>
                <w:noProof/>
                <w:webHidden/>
              </w:rPr>
              <w:t>2</w:t>
            </w:r>
            <w:r>
              <w:rPr>
                <w:noProof/>
                <w:webHidden/>
              </w:rPr>
              <w:fldChar w:fldCharType="end"/>
            </w:r>
          </w:hyperlink>
        </w:p>
        <w:p w14:paraId="3C324753" w14:textId="12B02779" w:rsidR="000D614F" w:rsidRDefault="000D614F">
          <w:pPr>
            <w:pStyle w:val="TOC1"/>
            <w:tabs>
              <w:tab w:val="right" w:leader="dot" w:pos="9350"/>
            </w:tabs>
            <w:rPr>
              <w:rFonts w:eastAsiaTheme="minorEastAsia"/>
              <w:noProof/>
              <w:sz w:val="24"/>
              <w:szCs w:val="24"/>
              <w:lang w:val="en-US"/>
            </w:rPr>
          </w:pPr>
          <w:hyperlink w:anchor="_Toc216692788" w:history="1">
            <w:r w:rsidRPr="00D27749">
              <w:rPr>
                <w:rStyle w:val="Hyperlink"/>
                <w:rFonts w:cstheme="minorHAnsi"/>
                <w:noProof/>
              </w:rPr>
              <w:t>Article 2 - Non-Discrimination</w:t>
            </w:r>
            <w:r>
              <w:rPr>
                <w:noProof/>
                <w:webHidden/>
              </w:rPr>
              <w:tab/>
            </w:r>
            <w:r>
              <w:rPr>
                <w:noProof/>
                <w:webHidden/>
              </w:rPr>
              <w:fldChar w:fldCharType="begin"/>
            </w:r>
            <w:r>
              <w:rPr>
                <w:noProof/>
                <w:webHidden/>
              </w:rPr>
              <w:instrText xml:space="preserve"> PAGEREF _Toc216692788 \h </w:instrText>
            </w:r>
            <w:r>
              <w:rPr>
                <w:noProof/>
                <w:webHidden/>
              </w:rPr>
            </w:r>
            <w:r>
              <w:rPr>
                <w:noProof/>
                <w:webHidden/>
              </w:rPr>
              <w:fldChar w:fldCharType="separate"/>
            </w:r>
            <w:r>
              <w:rPr>
                <w:noProof/>
                <w:webHidden/>
              </w:rPr>
              <w:t>2</w:t>
            </w:r>
            <w:r>
              <w:rPr>
                <w:noProof/>
                <w:webHidden/>
              </w:rPr>
              <w:fldChar w:fldCharType="end"/>
            </w:r>
          </w:hyperlink>
        </w:p>
        <w:p w14:paraId="6FE6FC90" w14:textId="5BA0CD24" w:rsidR="000D614F" w:rsidRDefault="000D614F">
          <w:pPr>
            <w:pStyle w:val="TOC1"/>
            <w:tabs>
              <w:tab w:val="right" w:leader="dot" w:pos="9350"/>
            </w:tabs>
            <w:rPr>
              <w:rFonts w:eastAsiaTheme="minorEastAsia"/>
              <w:noProof/>
              <w:sz w:val="24"/>
              <w:szCs w:val="24"/>
              <w:lang w:val="en-US"/>
            </w:rPr>
          </w:pPr>
          <w:hyperlink w:anchor="_Toc216692789" w:history="1">
            <w:r w:rsidRPr="00D27749">
              <w:rPr>
                <w:rStyle w:val="Hyperlink"/>
                <w:rFonts w:cstheme="minorHAnsi"/>
                <w:noProof/>
              </w:rPr>
              <w:t>Article 3 - Best interest of the child</w:t>
            </w:r>
            <w:r>
              <w:rPr>
                <w:noProof/>
                <w:webHidden/>
              </w:rPr>
              <w:tab/>
            </w:r>
            <w:r>
              <w:rPr>
                <w:noProof/>
                <w:webHidden/>
              </w:rPr>
              <w:fldChar w:fldCharType="begin"/>
            </w:r>
            <w:r>
              <w:rPr>
                <w:noProof/>
                <w:webHidden/>
              </w:rPr>
              <w:instrText xml:space="preserve"> PAGEREF _Toc216692789 \h </w:instrText>
            </w:r>
            <w:r>
              <w:rPr>
                <w:noProof/>
                <w:webHidden/>
              </w:rPr>
            </w:r>
            <w:r>
              <w:rPr>
                <w:noProof/>
                <w:webHidden/>
              </w:rPr>
              <w:fldChar w:fldCharType="separate"/>
            </w:r>
            <w:r>
              <w:rPr>
                <w:noProof/>
                <w:webHidden/>
              </w:rPr>
              <w:t>3</w:t>
            </w:r>
            <w:r>
              <w:rPr>
                <w:noProof/>
                <w:webHidden/>
              </w:rPr>
              <w:fldChar w:fldCharType="end"/>
            </w:r>
          </w:hyperlink>
        </w:p>
        <w:p w14:paraId="0B74101C" w14:textId="43509084" w:rsidR="000D614F" w:rsidRDefault="000D614F">
          <w:pPr>
            <w:pStyle w:val="TOC1"/>
            <w:tabs>
              <w:tab w:val="right" w:leader="dot" w:pos="9350"/>
            </w:tabs>
            <w:rPr>
              <w:rFonts w:eastAsiaTheme="minorEastAsia"/>
              <w:noProof/>
              <w:sz w:val="24"/>
              <w:szCs w:val="24"/>
              <w:lang w:val="en-US"/>
            </w:rPr>
          </w:pPr>
          <w:hyperlink w:anchor="_Toc216692790" w:history="1">
            <w:r w:rsidRPr="00D27749">
              <w:rPr>
                <w:rStyle w:val="Hyperlink"/>
                <w:rFonts w:cstheme="minorHAnsi"/>
                <w:noProof/>
              </w:rPr>
              <w:t>Article 5 &amp; 12 - Parental guideline and child’s evolving capacities, Respect for the views of the child</w:t>
            </w:r>
            <w:r>
              <w:rPr>
                <w:noProof/>
                <w:webHidden/>
              </w:rPr>
              <w:tab/>
            </w:r>
            <w:r>
              <w:rPr>
                <w:noProof/>
                <w:webHidden/>
              </w:rPr>
              <w:fldChar w:fldCharType="begin"/>
            </w:r>
            <w:r>
              <w:rPr>
                <w:noProof/>
                <w:webHidden/>
              </w:rPr>
              <w:instrText xml:space="preserve"> PAGEREF _Toc216692790 \h </w:instrText>
            </w:r>
            <w:r>
              <w:rPr>
                <w:noProof/>
                <w:webHidden/>
              </w:rPr>
            </w:r>
            <w:r>
              <w:rPr>
                <w:noProof/>
                <w:webHidden/>
              </w:rPr>
              <w:fldChar w:fldCharType="separate"/>
            </w:r>
            <w:r>
              <w:rPr>
                <w:noProof/>
                <w:webHidden/>
              </w:rPr>
              <w:t>4</w:t>
            </w:r>
            <w:r>
              <w:rPr>
                <w:noProof/>
                <w:webHidden/>
              </w:rPr>
              <w:fldChar w:fldCharType="end"/>
            </w:r>
          </w:hyperlink>
        </w:p>
        <w:p w14:paraId="7E9AB5F2" w14:textId="1126B9D0" w:rsidR="000D614F" w:rsidRDefault="000D614F">
          <w:pPr>
            <w:pStyle w:val="TOC1"/>
            <w:tabs>
              <w:tab w:val="right" w:leader="dot" w:pos="9350"/>
            </w:tabs>
            <w:rPr>
              <w:rFonts w:eastAsiaTheme="minorEastAsia"/>
              <w:noProof/>
              <w:sz w:val="24"/>
              <w:szCs w:val="24"/>
              <w:lang w:val="en-US"/>
            </w:rPr>
          </w:pPr>
          <w:hyperlink w:anchor="_Toc216692791" w:history="1">
            <w:r w:rsidRPr="00D27749">
              <w:rPr>
                <w:rStyle w:val="Hyperlink"/>
                <w:rFonts w:cstheme="minorHAnsi"/>
                <w:noProof/>
              </w:rPr>
              <w:t>Article 7 &amp; 8 - Registration, name, nationality, care and Preservation of Identity</w:t>
            </w:r>
            <w:r>
              <w:rPr>
                <w:noProof/>
                <w:webHidden/>
              </w:rPr>
              <w:tab/>
            </w:r>
            <w:r>
              <w:rPr>
                <w:noProof/>
                <w:webHidden/>
              </w:rPr>
              <w:fldChar w:fldCharType="begin"/>
            </w:r>
            <w:r>
              <w:rPr>
                <w:noProof/>
                <w:webHidden/>
              </w:rPr>
              <w:instrText xml:space="preserve"> PAGEREF _Toc216692791 \h </w:instrText>
            </w:r>
            <w:r>
              <w:rPr>
                <w:noProof/>
                <w:webHidden/>
              </w:rPr>
            </w:r>
            <w:r>
              <w:rPr>
                <w:noProof/>
                <w:webHidden/>
              </w:rPr>
              <w:fldChar w:fldCharType="separate"/>
            </w:r>
            <w:r>
              <w:rPr>
                <w:noProof/>
                <w:webHidden/>
              </w:rPr>
              <w:t>6</w:t>
            </w:r>
            <w:r>
              <w:rPr>
                <w:noProof/>
                <w:webHidden/>
              </w:rPr>
              <w:fldChar w:fldCharType="end"/>
            </w:r>
          </w:hyperlink>
        </w:p>
        <w:p w14:paraId="1042F276" w14:textId="10C44470" w:rsidR="000D614F" w:rsidRDefault="000D614F">
          <w:pPr>
            <w:pStyle w:val="TOC1"/>
            <w:tabs>
              <w:tab w:val="right" w:leader="dot" w:pos="9350"/>
            </w:tabs>
            <w:rPr>
              <w:rFonts w:eastAsiaTheme="minorEastAsia"/>
              <w:noProof/>
              <w:sz w:val="24"/>
              <w:szCs w:val="24"/>
              <w:lang w:val="en-US"/>
            </w:rPr>
          </w:pPr>
          <w:hyperlink w:anchor="_Toc216692792" w:history="1">
            <w:r w:rsidRPr="00D27749">
              <w:rPr>
                <w:rStyle w:val="Hyperlink"/>
                <w:rFonts w:cstheme="minorHAnsi"/>
                <w:noProof/>
              </w:rPr>
              <w:t>Article 9 - Separation from parents</w:t>
            </w:r>
            <w:r>
              <w:rPr>
                <w:noProof/>
                <w:webHidden/>
              </w:rPr>
              <w:tab/>
            </w:r>
            <w:r>
              <w:rPr>
                <w:noProof/>
                <w:webHidden/>
              </w:rPr>
              <w:fldChar w:fldCharType="begin"/>
            </w:r>
            <w:r>
              <w:rPr>
                <w:noProof/>
                <w:webHidden/>
              </w:rPr>
              <w:instrText xml:space="preserve"> PAGEREF _Toc216692792 \h </w:instrText>
            </w:r>
            <w:r>
              <w:rPr>
                <w:noProof/>
                <w:webHidden/>
              </w:rPr>
            </w:r>
            <w:r>
              <w:rPr>
                <w:noProof/>
                <w:webHidden/>
              </w:rPr>
              <w:fldChar w:fldCharType="separate"/>
            </w:r>
            <w:r>
              <w:rPr>
                <w:noProof/>
                <w:webHidden/>
              </w:rPr>
              <w:t>8</w:t>
            </w:r>
            <w:r>
              <w:rPr>
                <w:noProof/>
                <w:webHidden/>
              </w:rPr>
              <w:fldChar w:fldCharType="end"/>
            </w:r>
          </w:hyperlink>
        </w:p>
        <w:p w14:paraId="735C61EB" w14:textId="24B1C813" w:rsidR="000D614F" w:rsidRDefault="000D614F">
          <w:pPr>
            <w:pStyle w:val="TOC1"/>
            <w:tabs>
              <w:tab w:val="right" w:leader="dot" w:pos="9350"/>
            </w:tabs>
            <w:rPr>
              <w:rFonts w:eastAsiaTheme="minorEastAsia"/>
              <w:noProof/>
              <w:sz w:val="24"/>
              <w:szCs w:val="24"/>
              <w:lang w:val="en-US"/>
            </w:rPr>
          </w:pPr>
          <w:hyperlink w:anchor="_Toc216692793" w:history="1">
            <w:r w:rsidRPr="00D27749">
              <w:rPr>
                <w:rStyle w:val="Hyperlink"/>
                <w:rFonts w:eastAsia="Times New Roman" w:cstheme="minorHAnsi"/>
                <w:noProof/>
              </w:rPr>
              <w:t xml:space="preserve">Article 16 </w:t>
            </w:r>
            <w:r w:rsidRPr="00D27749">
              <w:rPr>
                <w:rStyle w:val="Hyperlink"/>
                <w:rFonts w:cstheme="minorHAnsi"/>
                <w:noProof/>
              </w:rPr>
              <w:t xml:space="preserve">- </w:t>
            </w:r>
            <w:r w:rsidRPr="00D27749">
              <w:rPr>
                <w:rStyle w:val="Hyperlink"/>
                <w:rFonts w:eastAsia="Times New Roman" w:cstheme="minorHAnsi"/>
                <w:noProof/>
              </w:rPr>
              <w:t>Right to privacy</w:t>
            </w:r>
            <w:r>
              <w:rPr>
                <w:noProof/>
                <w:webHidden/>
              </w:rPr>
              <w:tab/>
            </w:r>
            <w:r>
              <w:rPr>
                <w:noProof/>
                <w:webHidden/>
              </w:rPr>
              <w:fldChar w:fldCharType="begin"/>
            </w:r>
            <w:r>
              <w:rPr>
                <w:noProof/>
                <w:webHidden/>
              </w:rPr>
              <w:instrText xml:space="preserve"> PAGEREF _Toc216692793 \h </w:instrText>
            </w:r>
            <w:r>
              <w:rPr>
                <w:noProof/>
                <w:webHidden/>
              </w:rPr>
            </w:r>
            <w:r>
              <w:rPr>
                <w:noProof/>
                <w:webHidden/>
              </w:rPr>
              <w:fldChar w:fldCharType="separate"/>
            </w:r>
            <w:r>
              <w:rPr>
                <w:noProof/>
                <w:webHidden/>
              </w:rPr>
              <w:t>11</w:t>
            </w:r>
            <w:r>
              <w:rPr>
                <w:noProof/>
                <w:webHidden/>
              </w:rPr>
              <w:fldChar w:fldCharType="end"/>
            </w:r>
          </w:hyperlink>
        </w:p>
        <w:p w14:paraId="3A257865" w14:textId="08EC4636" w:rsidR="000D614F" w:rsidRDefault="000D614F">
          <w:pPr>
            <w:pStyle w:val="TOC1"/>
            <w:tabs>
              <w:tab w:val="right" w:leader="dot" w:pos="9350"/>
            </w:tabs>
            <w:rPr>
              <w:rFonts w:eastAsiaTheme="minorEastAsia"/>
              <w:noProof/>
              <w:sz w:val="24"/>
              <w:szCs w:val="24"/>
              <w:lang w:val="en-US"/>
            </w:rPr>
          </w:pPr>
          <w:hyperlink w:anchor="_Toc216692794" w:history="1">
            <w:r w:rsidRPr="00D27749">
              <w:rPr>
                <w:rStyle w:val="Hyperlink"/>
                <w:rFonts w:cstheme="minorHAnsi"/>
                <w:noProof/>
                <w:lang w:bidi="dv-MV"/>
              </w:rPr>
              <w:t>Article 18 -Parental responsibilities, State assistance</w:t>
            </w:r>
            <w:r>
              <w:rPr>
                <w:noProof/>
                <w:webHidden/>
              </w:rPr>
              <w:tab/>
            </w:r>
            <w:r>
              <w:rPr>
                <w:noProof/>
                <w:webHidden/>
              </w:rPr>
              <w:fldChar w:fldCharType="begin"/>
            </w:r>
            <w:r>
              <w:rPr>
                <w:noProof/>
                <w:webHidden/>
              </w:rPr>
              <w:instrText xml:space="preserve"> PAGEREF _Toc216692794 \h </w:instrText>
            </w:r>
            <w:r>
              <w:rPr>
                <w:noProof/>
                <w:webHidden/>
              </w:rPr>
            </w:r>
            <w:r>
              <w:rPr>
                <w:noProof/>
                <w:webHidden/>
              </w:rPr>
              <w:fldChar w:fldCharType="separate"/>
            </w:r>
            <w:r>
              <w:rPr>
                <w:noProof/>
                <w:webHidden/>
              </w:rPr>
              <w:t>12</w:t>
            </w:r>
            <w:r>
              <w:rPr>
                <w:noProof/>
                <w:webHidden/>
              </w:rPr>
              <w:fldChar w:fldCharType="end"/>
            </w:r>
          </w:hyperlink>
        </w:p>
        <w:p w14:paraId="4A8896A1" w14:textId="35A5E039" w:rsidR="000D614F" w:rsidRDefault="000D614F">
          <w:pPr>
            <w:pStyle w:val="TOC1"/>
            <w:tabs>
              <w:tab w:val="right" w:leader="dot" w:pos="9350"/>
            </w:tabs>
            <w:rPr>
              <w:rFonts w:eastAsiaTheme="minorEastAsia"/>
              <w:noProof/>
              <w:sz w:val="24"/>
              <w:szCs w:val="24"/>
              <w:lang w:val="en-US"/>
            </w:rPr>
          </w:pPr>
          <w:hyperlink w:anchor="_Toc216692795" w:history="1">
            <w:r w:rsidRPr="00D27749">
              <w:rPr>
                <w:rStyle w:val="Hyperlink"/>
                <w:rFonts w:cstheme="minorHAnsi"/>
                <w:noProof/>
              </w:rPr>
              <w:t>Article 4 &amp; 19 - Protection of rights &amp; protection from all forms of violence</w:t>
            </w:r>
            <w:r>
              <w:rPr>
                <w:noProof/>
                <w:webHidden/>
              </w:rPr>
              <w:tab/>
            </w:r>
            <w:r>
              <w:rPr>
                <w:noProof/>
                <w:webHidden/>
              </w:rPr>
              <w:fldChar w:fldCharType="begin"/>
            </w:r>
            <w:r>
              <w:rPr>
                <w:noProof/>
                <w:webHidden/>
              </w:rPr>
              <w:instrText xml:space="preserve"> PAGEREF _Toc216692795 \h </w:instrText>
            </w:r>
            <w:r>
              <w:rPr>
                <w:noProof/>
                <w:webHidden/>
              </w:rPr>
            </w:r>
            <w:r>
              <w:rPr>
                <w:noProof/>
                <w:webHidden/>
              </w:rPr>
              <w:fldChar w:fldCharType="separate"/>
            </w:r>
            <w:r>
              <w:rPr>
                <w:noProof/>
                <w:webHidden/>
              </w:rPr>
              <w:t>19</w:t>
            </w:r>
            <w:r>
              <w:rPr>
                <w:noProof/>
                <w:webHidden/>
              </w:rPr>
              <w:fldChar w:fldCharType="end"/>
            </w:r>
          </w:hyperlink>
        </w:p>
        <w:p w14:paraId="75077374" w14:textId="54F179CE" w:rsidR="000D614F" w:rsidRDefault="000D614F">
          <w:pPr>
            <w:pStyle w:val="TOC1"/>
            <w:tabs>
              <w:tab w:val="right" w:leader="dot" w:pos="9350"/>
            </w:tabs>
            <w:rPr>
              <w:rFonts w:eastAsiaTheme="minorEastAsia"/>
              <w:noProof/>
              <w:sz w:val="24"/>
              <w:szCs w:val="24"/>
              <w:lang w:val="en-US"/>
            </w:rPr>
          </w:pPr>
          <w:hyperlink w:anchor="_Toc216692796" w:history="1">
            <w:r w:rsidRPr="00D27749">
              <w:rPr>
                <w:rStyle w:val="Hyperlink"/>
                <w:rFonts w:cstheme="minorHAnsi"/>
                <w:noProof/>
              </w:rPr>
              <w:t>Article 20 &amp; 25 - Children deprived of their family environment &amp; Review of treatment in care</w:t>
            </w:r>
            <w:r>
              <w:rPr>
                <w:noProof/>
                <w:webHidden/>
              </w:rPr>
              <w:tab/>
            </w:r>
            <w:r>
              <w:rPr>
                <w:noProof/>
                <w:webHidden/>
              </w:rPr>
              <w:fldChar w:fldCharType="begin"/>
            </w:r>
            <w:r>
              <w:rPr>
                <w:noProof/>
                <w:webHidden/>
              </w:rPr>
              <w:instrText xml:space="preserve"> PAGEREF _Toc216692796 \h </w:instrText>
            </w:r>
            <w:r>
              <w:rPr>
                <w:noProof/>
                <w:webHidden/>
              </w:rPr>
            </w:r>
            <w:r>
              <w:rPr>
                <w:noProof/>
                <w:webHidden/>
              </w:rPr>
              <w:fldChar w:fldCharType="separate"/>
            </w:r>
            <w:r>
              <w:rPr>
                <w:noProof/>
                <w:webHidden/>
              </w:rPr>
              <w:t>20</w:t>
            </w:r>
            <w:r>
              <w:rPr>
                <w:noProof/>
                <w:webHidden/>
              </w:rPr>
              <w:fldChar w:fldCharType="end"/>
            </w:r>
          </w:hyperlink>
        </w:p>
        <w:p w14:paraId="39E52898" w14:textId="3895BCE1" w:rsidR="000D614F" w:rsidRDefault="000D614F">
          <w:pPr>
            <w:pStyle w:val="TOC1"/>
            <w:tabs>
              <w:tab w:val="right" w:leader="dot" w:pos="9350"/>
            </w:tabs>
            <w:rPr>
              <w:rFonts w:eastAsiaTheme="minorEastAsia"/>
              <w:noProof/>
              <w:sz w:val="24"/>
              <w:szCs w:val="24"/>
              <w:lang w:val="en-US"/>
            </w:rPr>
          </w:pPr>
          <w:hyperlink w:anchor="_Toc216692797" w:history="1">
            <w:r w:rsidRPr="00D27749">
              <w:rPr>
                <w:rStyle w:val="Hyperlink"/>
                <w:rFonts w:cstheme="minorHAnsi"/>
                <w:noProof/>
              </w:rPr>
              <w:t>Article 23 – Children with Disabilities</w:t>
            </w:r>
            <w:r>
              <w:rPr>
                <w:noProof/>
                <w:webHidden/>
              </w:rPr>
              <w:tab/>
            </w:r>
            <w:r>
              <w:rPr>
                <w:noProof/>
                <w:webHidden/>
              </w:rPr>
              <w:fldChar w:fldCharType="begin"/>
            </w:r>
            <w:r>
              <w:rPr>
                <w:noProof/>
                <w:webHidden/>
              </w:rPr>
              <w:instrText xml:space="preserve"> PAGEREF _Toc216692797 \h </w:instrText>
            </w:r>
            <w:r>
              <w:rPr>
                <w:noProof/>
                <w:webHidden/>
              </w:rPr>
            </w:r>
            <w:r>
              <w:rPr>
                <w:noProof/>
                <w:webHidden/>
              </w:rPr>
              <w:fldChar w:fldCharType="separate"/>
            </w:r>
            <w:r>
              <w:rPr>
                <w:noProof/>
                <w:webHidden/>
              </w:rPr>
              <w:t>21</w:t>
            </w:r>
            <w:r>
              <w:rPr>
                <w:noProof/>
                <w:webHidden/>
              </w:rPr>
              <w:fldChar w:fldCharType="end"/>
            </w:r>
          </w:hyperlink>
        </w:p>
        <w:p w14:paraId="27532803" w14:textId="212151C0" w:rsidR="000D614F" w:rsidRDefault="000D614F">
          <w:pPr>
            <w:pStyle w:val="TOC1"/>
            <w:tabs>
              <w:tab w:val="right" w:leader="dot" w:pos="9350"/>
            </w:tabs>
            <w:rPr>
              <w:rFonts w:eastAsiaTheme="minorEastAsia"/>
              <w:noProof/>
              <w:sz w:val="24"/>
              <w:szCs w:val="24"/>
              <w:lang w:val="en-US"/>
            </w:rPr>
          </w:pPr>
          <w:hyperlink w:anchor="_Toc216692798" w:history="1">
            <w:r w:rsidRPr="00D27749">
              <w:rPr>
                <w:rStyle w:val="Hyperlink"/>
                <w:rFonts w:cstheme="minorHAnsi"/>
                <w:noProof/>
              </w:rPr>
              <w:t>Article 24 Health and health service</w:t>
            </w:r>
            <w:r>
              <w:rPr>
                <w:noProof/>
                <w:webHidden/>
              </w:rPr>
              <w:tab/>
            </w:r>
            <w:r>
              <w:rPr>
                <w:noProof/>
                <w:webHidden/>
              </w:rPr>
              <w:fldChar w:fldCharType="begin"/>
            </w:r>
            <w:r>
              <w:rPr>
                <w:noProof/>
                <w:webHidden/>
              </w:rPr>
              <w:instrText xml:space="preserve"> PAGEREF _Toc216692798 \h </w:instrText>
            </w:r>
            <w:r>
              <w:rPr>
                <w:noProof/>
                <w:webHidden/>
              </w:rPr>
            </w:r>
            <w:r>
              <w:rPr>
                <w:noProof/>
                <w:webHidden/>
              </w:rPr>
              <w:fldChar w:fldCharType="separate"/>
            </w:r>
            <w:r>
              <w:rPr>
                <w:noProof/>
                <w:webHidden/>
              </w:rPr>
              <w:t>23</w:t>
            </w:r>
            <w:r>
              <w:rPr>
                <w:noProof/>
                <w:webHidden/>
              </w:rPr>
              <w:fldChar w:fldCharType="end"/>
            </w:r>
          </w:hyperlink>
        </w:p>
        <w:p w14:paraId="3C32B7EF" w14:textId="3039A0E5" w:rsidR="000D614F" w:rsidRDefault="000D614F">
          <w:pPr>
            <w:pStyle w:val="TOC1"/>
            <w:tabs>
              <w:tab w:val="right" w:leader="dot" w:pos="9350"/>
            </w:tabs>
            <w:rPr>
              <w:rFonts w:eastAsiaTheme="minorEastAsia"/>
              <w:noProof/>
              <w:sz w:val="24"/>
              <w:szCs w:val="24"/>
              <w:lang w:val="en-US"/>
            </w:rPr>
          </w:pPr>
          <w:hyperlink w:anchor="_Toc216692799" w:history="1">
            <w:r w:rsidRPr="00D27749">
              <w:rPr>
                <w:rStyle w:val="Hyperlink"/>
                <w:rFonts w:cstheme="minorHAnsi"/>
                <w:noProof/>
              </w:rPr>
              <w:t>Article 26 &amp; 27 - Social Security, Adequate standard of living</w:t>
            </w:r>
            <w:r>
              <w:rPr>
                <w:noProof/>
                <w:webHidden/>
              </w:rPr>
              <w:tab/>
            </w:r>
            <w:r>
              <w:rPr>
                <w:noProof/>
                <w:webHidden/>
              </w:rPr>
              <w:fldChar w:fldCharType="begin"/>
            </w:r>
            <w:r>
              <w:rPr>
                <w:noProof/>
                <w:webHidden/>
              </w:rPr>
              <w:instrText xml:space="preserve"> PAGEREF _Toc216692799 \h </w:instrText>
            </w:r>
            <w:r>
              <w:rPr>
                <w:noProof/>
                <w:webHidden/>
              </w:rPr>
            </w:r>
            <w:r>
              <w:rPr>
                <w:noProof/>
                <w:webHidden/>
              </w:rPr>
              <w:fldChar w:fldCharType="separate"/>
            </w:r>
            <w:r>
              <w:rPr>
                <w:noProof/>
                <w:webHidden/>
              </w:rPr>
              <w:t>25</w:t>
            </w:r>
            <w:r>
              <w:rPr>
                <w:noProof/>
                <w:webHidden/>
              </w:rPr>
              <w:fldChar w:fldCharType="end"/>
            </w:r>
          </w:hyperlink>
        </w:p>
        <w:p w14:paraId="00C71230" w14:textId="3F95F5C2" w:rsidR="000D614F" w:rsidRDefault="000D614F">
          <w:pPr>
            <w:pStyle w:val="TOC1"/>
            <w:tabs>
              <w:tab w:val="right" w:leader="dot" w:pos="9350"/>
            </w:tabs>
            <w:rPr>
              <w:rFonts w:eastAsiaTheme="minorEastAsia"/>
              <w:noProof/>
              <w:sz w:val="24"/>
              <w:szCs w:val="24"/>
              <w:lang w:val="en-US"/>
            </w:rPr>
          </w:pPr>
          <w:hyperlink w:anchor="_Toc216692800" w:history="1">
            <w:r w:rsidRPr="00D27749">
              <w:rPr>
                <w:rStyle w:val="Hyperlink"/>
                <w:rFonts w:cstheme="minorHAnsi"/>
                <w:noProof/>
              </w:rPr>
              <w:t>Article 28 &amp; 29 - Right to Education, Goals of Education</w:t>
            </w:r>
            <w:r>
              <w:rPr>
                <w:noProof/>
                <w:webHidden/>
              </w:rPr>
              <w:tab/>
            </w:r>
            <w:r>
              <w:rPr>
                <w:noProof/>
                <w:webHidden/>
              </w:rPr>
              <w:fldChar w:fldCharType="begin"/>
            </w:r>
            <w:r>
              <w:rPr>
                <w:noProof/>
                <w:webHidden/>
              </w:rPr>
              <w:instrText xml:space="preserve"> PAGEREF _Toc216692800 \h </w:instrText>
            </w:r>
            <w:r>
              <w:rPr>
                <w:noProof/>
                <w:webHidden/>
              </w:rPr>
            </w:r>
            <w:r>
              <w:rPr>
                <w:noProof/>
                <w:webHidden/>
              </w:rPr>
              <w:fldChar w:fldCharType="separate"/>
            </w:r>
            <w:r>
              <w:rPr>
                <w:noProof/>
                <w:webHidden/>
              </w:rPr>
              <w:t>25</w:t>
            </w:r>
            <w:r>
              <w:rPr>
                <w:noProof/>
                <w:webHidden/>
              </w:rPr>
              <w:fldChar w:fldCharType="end"/>
            </w:r>
          </w:hyperlink>
        </w:p>
        <w:p w14:paraId="70115E0D" w14:textId="1E116416" w:rsidR="000D614F" w:rsidRDefault="000D614F">
          <w:pPr>
            <w:pStyle w:val="TOC1"/>
            <w:tabs>
              <w:tab w:val="right" w:leader="dot" w:pos="9350"/>
            </w:tabs>
            <w:rPr>
              <w:rFonts w:eastAsiaTheme="minorEastAsia"/>
              <w:noProof/>
              <w:sz w:val="24"/>
              <w:szCs w:val="24"/>
              <w:lang w:val="en-US"/>
            </w:rPr>
          </w:pPr>
          <w:hyperlink w:anchor="_Toc216692801" w:history="1">
            <w:r w:rsidRPr="00D27749">
              <w:rPr>
                <w:rStyle w:val="Hyperlink"/>
                <w:rFonts w:cstheme="minorHAnsi"/>
                <w:noProof/>
              </w:rPr>
              <w:t>Article 32 - Child Labour</w:t>
            </w:r>
            <w:r>
              <w:rPr>
                <w:noProof/>
                <w:webHidden/>
              </w:rPr>
              <w:tab/>
            </w:r>
            <w:r>
              <w:rPr>
                <w:noProof/>
                <w:webHidden/>
              </w:rPr>
              <w:fldChar w:fldCharType="begin"/>
            </w:r>
            <w:r>
              <w:rPr>
                <w:noProof/>
                <w:webHidden/>
              </w:rPr>
              <w:instrText xml:space="preserve"> PAGEREF _Toc216692801 \h </w:instrText>
            </w:r>
            <w:r>
              <w:rPr>
                <w:noProof/>
                <w:webHidden/>
              </w:rPr>
            </w:r>
            <w:r>
              <w:rPr>
                <w:noProof/>
                <w:webHidden/>
              </w:rPr>
              <w:fldChar w:fldCharType="separate"/>
            </w:r>
            <w:r>
              <w:rPr>
                <w:noProof/>
                <w:webHidden/>
              </w:rPr>
              <w:t>26</w:t>
            </w:r>
            <w:r>
              <w:rPr>
                <w:noProof/>
                <w:webHidden/>
              </w:rPr>
              <w:fldChar w:fldCharType="end"/>
            </w:r>
          </w:hyperlink>
        </w:p>
        <w:p w14:paraId="655215C7" w14:textId="5FB3E3B6" w:rsidR="000D614F" w:rsidRDefault="000D614F">
          <w:pPr>
            <w:pStyle w:val="TOC1"/>
            <w:tabs>
              <w:tab w:val="right" w:leader="dot" w:pos="9350"/>
            </w:tabs>
            <w:rPr>
              <w:rFonts w:eastAsiaTheme="minorEastAsia"/>
              <w:noProof/>
              <w:sz w:val="24"/>
              <w:szCs w:val="24"/>
              <w:lang w:val="en-US"/>
            </w:rPr>
          </w:pPr>
          <w:hyperlink w:anchor="_Toc216692802" w:history="1">
            <w:r w:rsidRPr="00D27749">
              <w:rPr>
                <w:rStyle w:val="Hyperlink"/>
                <w:rFonts w:cstheme="minorHAnsi"/>
                <w:noProof/>
              </w:rPr>
              <w:t>Article 33 - Drug Abuse</w:t>
            </w:r>
            <w:r>
              <w:rPr>
                <w:noProof/>
                <w:webHidden/>
              </w:rPr>
              <w:tab/>
            </w:r>
            <w:r>
              <w:rPr>
                <w:noProof/>
                <w:webHidden/>
              </w:rPr>
              <w:fldChar w:fldCharType="begin"/>
            </w:r>
            <w:r>
              <w:rPr>
                <w:noProof/>
                <w:webHidden/>
              </w:rPr>
              <w:instrText xml:space="preserve"> PAGEREF _Toc216692802 \h </w:instrText>
            </w:r>
            <w:r>
              <w:rPr>
                <w:noProof/>
                <w:webHidden/>
              </w:rPr>
            </w:r>
            <w:r>
              <w:rPr>
                <w:noProof/>
                <w:webHidden/>
              </w:rPr>
              <w:fldChar w:fldCharType="separate"/>
            </w:r>
            <w:r>
              <w:rPr>
                <w:noProof/>
                <w:webHidden/>
              </w:rPr>
              <w:t>27</w:t>
            </w:r>
            <w:r>
              <w:rPr>
                <w:noProof/>
                <w:webHidden/>
              </w:rPr>
              <w:fldChar w:fldCharType="end"/>
            </w:r>
          </w:hyperlink>
        </w:p>
        <w:p w14:paraId="191A5ED1" w14:textId="3E91B6E6" w:rsidR="000D614F" w:rsidRDefault="000D614F">
          <w:pPr>
            <w:pStyle w:val="TOC1"/>
            <w:tabs>
              <w:tab w:val="right" w:leader="dot" w:pos="9350"/>
            </w:tabs>
            <w:rPr>
              <w:rFonts w:eastAsiaTheme="minorEastAsia"/>
              <w:noProof/>
              <w:sz w:val="24"/>
              <w:szCs w:val="24"/>
              <w:lang w:val="en-US"/>
            </w:rPr>
          </w:pPr>
          <w:hyperlink w:anchor="_Toc216692803" w:history="1">
            <w:r w:rsidRPr="00D27749">
              <w:rPr>
                <w:rStyle w:val="Hyperlink"/>
                <w:rFonts w:cstheme="minorHAnsi"/>
                <w:noProof/>
              </w:rPr>
              <w:t>Article 34 &amp; 36 - Sexual Exploitation and other forms of exploitation</w:t>
            </w:r>
            <w:r>
              <w:rPr>
                <w:noProof/>
                <w:webHidden/>
              </w:rPr>
              <w:tab/>
            </w:r>
            <w:r>
              <w:rPr>
                <w:noProof/>
                <w:webHidden/>
              </w:rPr>
              <w:fldChar w:fldCharType="begin"/>
            </w:r>
            <w:r>
              <w:rPr>
                <w:noProof/>
                <w:webHidden/>
              </w:rPr>
              <w:instrText xml:space="preserve"> PAGEREF _Toc216692803 \h </w:instrText>
            </w:r>
            <w:r>
              <w:rPr>
                <w:noProof/>
                <w:webHidden/>
              </w:rPr>
            </w:r>
            <w:r>
              <w:rPr>
                <w:noProof/>
                <w:webHidden/>
              </w:rPr>
              <w:fldChar w:fldCharType="separate"/>
            </w:r>
            <w:r>
              <w:rPr>
                <w:noProof/>
                <w:webHidden/>
              </w:rPr>
              <w:t>30</w:t>
            </w:r>
            <w:r>
              <w:rPr>
                <w:noProof/>
                <w:webHidden/>
              </w:rPr>
              <w:fldChar w:fldCharType="end"/>
            </w:r>
          </w:hyperlink>
        </w:p>
        <w:p w14:paraId="23B44481" w14:textId="7E6BCF1F" w:rsidR="000D614F" w:rsidRDefault="000D614F">
          <w:pPr>
            <w:pStyle w:val="TOC1"/>
            <w:tabs>
              <w:tab w:val="right" w:leader="dot" w:pos="9350"/>
            </w:tabs>
            <w:rPr>
              <w:rFonts w:eastAsiaTheme="minorEastAsia"/>
              <w:noProof/>
              <w:sz w:val="24"/>
              <w:szCs w:val="24"/>
              <w:lang w:val="en-US"/>
            </w:rPr>
          </w:pPr>
          <w:hyperlink w:anchor="_Toc216692804" w:history="1">
            <w:r w:rsidRPr="00D27749">
              <w:rPr>
                <w:rStyle w:val="Hyperlink"/>
                <w:rFonts w:cstheme="minorHAnsi"/>
                <w:noProof/>
              </w:rPr>
              <w:t>Article 11 &amp; 35 - kidnapping and Abduction, Sale and Trafficking</w:t>
            </w:r>
            <w:r>
              <w:rPr>
                <w:noProof/>
                <w:webHidden/>
              </w:rPr>
              <w:tab/>
            </w:r>
            <w:r>
              <w:rPr>
                <w:noProof/>
                <w:webHidden/>
              </w:rPr>
              <w:fldChar w:fldCharType="begin"/>
            </w:r>
            <w:r>
              <w:rPr>
                <w:noProof/>
                <w:webHidden/>
              </w:rPr>
              <w:instrText xml:space="preserve"> PAGEREF _Toc216692804 \h </w:instrText>
            </w:r>
            <w:r>
              <w:rPr>
                <w:noProof/>
                <w:webHidden/>
              </w:rPr>
            </w:r>
            <w:r>
              <w:rPr>
                <w:noProof/>
                <w:webHidden/>
              </w:rPr>
              <w:fldChar w:fldCharType="separate"/>
            </w:r>
            <w:r>
              <w:rPr>
                <w:noProof/>
                <w:webHidden/>
              </w:rPr>
              <w:t>32</w:t>
            </w:r>
            <w:r>
              <w:rPr>
                <w:noProof/>
                <w:webHidden/>
              </w:rPr>
              <w:fldChar w:fldCharType="end"/>
            </w:r>
          </w:hyperlink>
        </w:p>
        <w:p w14:paraId="55B4D4C4" w14:textId="57424439" w:rsidR="000D614F" w:rsidRDefault="000D614F">
          <w:pPr>
            <w:pStyle w:val="TOC1"/>
            <w:tabs>
              <w:tab w:val="right" w:leader="dot" w:pos="9350"/>
            </w:tabs>
            <w:rPr>
              <w:rFonts w:eastAsiaTheme="minorEastAsia"/>
              <w:noProof/>
              <w:sz w:val="24"/>
              <w:szCs w:val="24"/>
              <w:lang w:val="en-US"/>
            </w:rPr>
          </w:pPr>
          <w:hyperlink w:anchor="_Toc216692805" w:history="1">
            <w:r w:rsidRPr="00D27749">
              <w:rPr>
                <w:rStyle w:val="Hyperlink"/>
                <w:rFonts w:eastAsia="Times New Roman" w:cstheme="minorHAnsi"/>
                <w:noProof/>
              </w:rPr>
              <w:t>Article 37 - Torture, inhumane and degrading treatment</w:t>
            </w:r>
            <w:r>
              <w:rPr>
                <w:noProof/>
                <w:webHidden/>
              </w:rPr>
              <w:tab/>
            </w:r>
            <w:r>
              <w:rPr>
                <w:noProof/>
                <w:webHidden/>
              </w:rPr>
              <w:fldChar w:fldCharType="begin"/>
            </w:r>
            <w:r>
              <w:rPr>
                <w:noProof/>
                <w:webHidden/>
              </w:rPr>
              <w:instrText xml:space="preserve"> PAGEREF _Toc216692805 \h </w:instrText>
            </w:r>
            <w:r>
              <w:rPr>
                <w:noProof/>
                <w:webHidden/>
              </w:rPr>
            </w:r>
            <w:r>
              <w:rPr>
                <w:noProof/>
                <w:webHidden/>
              </w:rPr>
              <w:fldChar w:fldCharType="separate"/>
            </w:r>
            <w:r>
              <w:rPr>
                <w:noProof/>
                <w:webHidden/>
              </w:rPr>
              <w:t>33</w:t>
            </w:r>
            <w:r>
              <w:rPr>
                <w:noProof/>
                <w:webHidden/>
              </w:rPr>
              <w:fldChar w:fldCharType="end"/>
            </w:r>
          </w:hyperlink>
        </w:p>
        <w:p w14:paraId="15533D1F" w14:textId="4A989D6B" w:rsidR="000D614F" w:rsidRDefault="000D614F">
          <w:pPr>
            <w:pStyle w:val="TOC1"/>
            <w:tabs>
              <w:tab w:val="right" w:leader="dot" w:pos="9350"/>
            </w:tabs>
            <w:rPr>
              <w:rFonts w:eastAsiaTheme="minorEastAsia"/>
              <w:noProof/>
              <w:sz w:val="24"/>
              <w:szCs w:val="24"/>
              <w:lang w:val="en-US"/>
            </w:rPr>
          </w:pPr>
          <w:hyperlink w:anchor="_Toc216692806" w:history="1">
            <w:r w:rsidRPr="00D27749">
              <w:rPr>
                <w:rStyle w:val="Hyperlink"/>
                <w:rFonts w:cstheme="minorHAnsi"/>
                <w:noProof/>
              </w:rPr>
              <w:t>Article 40 - Juvenile Justice</w:t>
            </w:r>
            <w:r>
              <w:rPr>
                <w:noProof/>
                <w:webHidden/>
              </w:rPr>
              <w:tab/>
            </w:r>
            <w:r>
              <w:rPr>
                <w:noProof/>
                <w:webHidden/>
              </w:rPr>
              <w:fldChar w:fldCharType="begin"/>
            </w:r>
            <w:r>
              <w:rPr>
                <w:noProof/>
                <w:webHidden/>
              </w:rPr>
              <w:instrText xml:space="preserve"> PAGEREF _Toc216692806 \h </w:instrText>
            </w:r>
            <w:r>
              <w:rPr>
                <w:noProof/>
                <w:webHidden/>
              </w:rPr>
            </w:r>
            <w:r>
              <w:rPr>
                <w:noProof/>
                <w:webHidden/>
              </w:rPr>
              <w:fldChar w:fldCharType="separate"/>
            </w:r>
            <w:r>
              <w:rPr>
                <w:noProof/>
                <w:webHidden/>
              </w:rPr>
              <w:t>35</w:t>
            </w:r>
            <w:r>
              <w:rPr>
                <w:noProof/>
                <w:webHidden/>
              </w:rPr>
              <w:fldChar w:fldCharType="end"/>
            </w:r>
          </w:hyperlink>
        </w:p>
        <w:p w14:paraId="355C808A" w14:textId="1F64517D" w:rsidR="000D614F" w:rsidRDefault="000D614F">
          <w:pPr>
            <w:pStyle w:val="TOC1"/>
            <w:tabs>
              <w:tab w:val="right" w:leader="dot" w:pos="9350"/>
            </w:tabs>
            <w:rPr>
              <w:rFonts w:eastAsiaTheme="minorEastAsia"/>
              <w:noProof/>
              <w:sz w:val="24"/>
              <w:szCs w:val="24"/>
              <w:lang w:val="en-US"/>
            </w:rPr>
          </w:pPr>
          <w:hyperlink w:anchor="_Toc216692807" w:history="1">
            <w:r w:rsidRPr="00D27749">
              <w:rPr>
                <w:rStyle w:val="Hyperlink"/>
                <w:rFonts w:cstheme="minorHAnsi"/>
                <w:noProof/>
              </w:rPr>
              <w:t>Article 42 – Knowledge of Rights</w:t>
            </w:r>
            <w:r>
              <w:rPr>
                <w:noProof/>
                <w:webHidden/>
              </w:rPr>
              <w:tab/>
            </w:r>
            <w:r>
              <w:rPr>
                <w:noProof/>
                <w:webHidden/>
              </w:rPr>
              <w:fldChar w:fldCharType="begin"/>
            </w:r>
            <w:r>
              <w:rPr>
                <w:noProof/>
                <w:webHidden/>
              </w:rPr>
              <w:instrText xml:space="preserve"> PAGEREF _Toc216692807 \h </w:instrText>
            </w:r>
            <w:r>
              <w:rPr>
                <w:noProof/>
                <w:webHidden/>
              </w:rPr>
            </w:r>
            <w:r>
              <w:rPr>
                <w:noProof/>
                <w:webHidden/>
              </w:rPr>
              <w:fldChar w:fldCharType="separate"/>
            </w:r>
            <w:r>
              <w:rPr>
                <w:noProof/>
                <w:webHidden/>
              </w:rPr>
              <w:t>38</w:t>
            </w:r>
            <w:r>
              <w:rPr>
                <w:noProof/>
                <w:webHidden/>
              </w:rPr>
              <w:fldChar w:fldCharType="end"/>
            </w:r>
          </w:hyperlink>
        </w:p>
        <w:p w14:paraId="7A0E4DC2" w14:textId="38BC0367" w:rsidR="00BC7D45" w:rsidRPr="00761D56" w:rsidRDefault="00BC7D45" w:rsidP="008F24DD">
          <w:pPr>
            <w:jc w:val="both"/>
            <w:rPr>
              <w:color w:val="000000" w:themeColor="text1"/>
            </w:rPr>
          </w:pPr>
          <w:r w:rsidRPr="00761D56">
            <w:rPr>
              <w:b/>
              <w:bCs/>
              <w:noProof/>
              <w:color w:val="000000" w:themeColor="text1"/>
            </w:rPr>
            <w:fldChar w:fldCharType="end"/>
          </w:r>
        </w:p>
      </w:sdtContent>
    </w:sdt>
    <w:p w14:paraId="316F889D" w14:textId="77777777" w:rsidR="00A3450D" w:rsidRPr="00761D56" w:rsidRDefault="00A3450D" w:rsidP="008F24DD">
      <w:pPr>
        <w:spacing w:line="276" w:lineRule="auto"/>
        <w:jc w:val="both"/>
        <w:rPr>
          <w:rFonts w:cstheme="minorHAnsi"/>
          <w:color w:val="000000" w:themeColor="text1"/>
        </w:rPr>
      </w:pPr>
    </w:p>
    <w:p w14:paraId="247790CF" w14:textId="6B73D3E7" w:rsidR="004956FF" w:rsidRPr="004956FF" w:rsidRDefault="004956FF" w:rsidP="004956FF">
      <w:pPr>
        <w:pStyle w:val="Heading1"/>
        <w:spacing w:line="276" w:lineRule="auto"/>
        <w:ind w:left="0" w:firstLine="0"/>
        <w:jc w:val="both"/>
        <w:rPr>
          <w:rFonts w:asciiTheme="minorHAnsi" w:hAnsiTheme="minorHAnsi" w:cstheme="minorHAnsi"/>
          <w:color w:val="000000" w:themeColor="text1"/>
        </w:rPr>
        <w:sectPr w:rsidR="004956FF" w:rsidRPr="004956FF" w:rsidSect="004956FF">
          <w:footerReference w:type="default" r:id="rId13"/>
          <w:endnotePr>
            <w:numFmt w:val="decimal"/>
          </w:endnotePr>
          <w:pgSz w:w="12240" w:h="15840"/>
          <w:pgMar w:top="1440" w:right="1440" w:bottom="1440" w:left="1440" w:header="720" w:footer="720" w:gutter="0"/>
          <w:pgNumType w:fmt="lowerRoman" w:start="0"/>
          <w:cols w:space="720"/>
          <w:titlePg/>
          <w:docGrid w:linePitch="360"/>
        </w:sectPr>
      </w:pPr>
    </w:p>
    <w:p w14:paraId="73F7133E" w14:textId="59F2C278" w:rsidR="007955AC" w:rsidRPr="00761D56" w:rsidRDefault="004956FF" w:rsidP="008F24DD">
      <w:pPr>
        <w:pStyle w:val="Heading1"/>
        <w:spacing w:line="276" w:lineRule="auto"/>
        <w:jc w:val="both"/>
        <w:rPr>
          <w:rFonts w:asciiTheme="minorHAnsi" w:hAnsiTheme="minorHAnsi" w:cstheme="minorHAnsi"/>
          <w:color w:val="000000" w:themeColor="text1"/>
        </w:rPr>
      </w:pPr>
      <w:bookmarkStart w:id="2" w:name="_Toc216692786"/>
      <w:r>
        <w:rPr>
          <w:rFonts w:asciiTheme="minorHAnsi" w:hAnsiTheme="minorHAnsi" w:cstheme="minorHAnsi"/>
          <w:color w:val="000000" w:themeColor="text1"/>
        </w:rPr>
        <w:lastRenderedPageBreak/>
        <w:t>I</w:t>
      </w:r>
      <w:r w:rsidR="007955AC" w:rsidRPr="00761D56">
        <w:rPr>
          <w:rFonts w:asciiTheme="minorHAnsi" w:hAnsiTheme="minorHAnsi" w:cstheme="minorHAnsi"/>
          <w:color w:val="000000" w:themeColor="text1"/>
        </w:rPr>
        <w:t>ntroduction</w:t>
      </w:r>
      <w:bookmarkEnd w:id="2"/>
    </w:p>
    <w:p w14:paraId="68AA25E3" w14:textId="39512A77" w:rsidR="007955AC" w:rsidRPr="00761D56" w:rsidRDefault="007955AC" w:rsidP="008F24DD">
      <w:pPr>
        <w:pStyle w:val="ListParagraph"/>
        <w:numPr>
          <w:ilvl w:val="0"/>
          <w:numId w:val="1"/>
        </w:numPr>
        <w:tabs>
          <w:tab w:val="left" w:pos="1702"/>
        </w:tabs>
        <w:spacing w:line="276" w:lineRule="auto"/>
        <w:ind w:left="360" w:hanging="270"/>
        <w:jc w:val="both"/>
        <w:rPr>
          <w:rFonts w:cstheme="minorHAnsi"/>
          <w:color w:val="000000" w:themeColor="text1"/>
        </w:rPr>
      </w:pPr>
      <w:r w:rsidRPr="00761D56">
        <w:rPr>
          <w:rFonts w:cstheme="minorHAnsi"/>
          <w:color w:val="000000" w:themeColor="text1"/>
        </w:rPr>
        <w:t>The Human Rights Commission of the Maldives (HRCM) was established under Presidential Decree on December 10, 2003. On August 18, 2005, the Human Rights Commission’s Act (6/2006) (HRCA) was ratified, thereby making HRCM the first independent and autonomous statutory body in the Maldives. The amendments brought to the Human Rights Commission Act in August 2006 broadened the mandate and powers of HRCM, making it compliant with the Paris Principles. With the ratification of the Constitution of the Republic of the Maldives (</w:t>
      </w:r>
      <w:r w:rsidR="00EC52D3" w:rsidRPr="00761D56">
        <w:rPr>
          <w:rFonts w:cstheme="minorHAnsi"/>
          <w:color w:val="000000" w:themeColor="text1"/>
        </w:rPr>
        <w:t>hereinafter referred to as the Constitution</w:t>
      </w:r>
      <w:r w:rsidRPr="00761D56">
        <w:rPr>
          <w:rFonts w:cstheme="minorHAnsi"/>
          <w:color w:val="000000" w:themeColor="text1"/>
        </w:rPr>
        <w:t>) in August 2008, the HRCM was made an independent and autonomous constitutional body.</w:t>
      </w:r>
    </w:p>
    <w:p w14:paraId="627C52C0" w14:textId="322F8F90" w:rsidR="007955AC" w:rsidRPr="00761D56" w:rsidRDefault="007955AC" w:rsidP="008F24DD">
      <w:pPr>
        <w:pStyle w:val="ListParagraph"/>
        <w:numPr>
          <w:ilvl w:val="0"/>
          <w:numId w:val="1"/>
        </w:numPr>
        <w:tabs>
          <w:tab w:val="left" w:pos="1702"/>
        </w:tabs>
        <w:spacing w:line="276" w:lineRule="auto"/>
        <w:ind w:left="360" w:hanging="270"/>
        <w:jc w:val="both"/>
        <w:rPr>
          <w:rFonts w:cstheme="minorHAnsi"/>
          <w:color w:val="000000" w:themeColor="text1"/>
        </w:rPr>
      </w:pPr>
      <w:r w:rsidRPr="00761D56">
        <w:rPr>
          <w:rFonts w:cstheme="minorHAnsi"/>
          <w:color w:val="000000" w:themeColor="text1"/>
        </w:rPr>
        <w:t>HRCM currently holds ‘B’ status under the Global Alliance of National Human Rights Institutions (GANHRI) and is an Associate Member of the Asia-Pacific Forum (APF)</w:t>
      </w:r>
      <w:r w:rsidR="00802B3F">
        <w:rPr>
          <w:rFonts w:cstheme="minorHAnsi"/>
          <w:color w:val="000000" w:themeColor="text1"/>
        </w:rPr>
        <w:t xml:space="preserve"> </w:t>
      </w:r>
      <w:r w:rsidRPr="00761D56">
        <w:rPr>
          <w:rFonts w:cstheme="minorHAnsi"/>
          <w:color w:val="000000" w:themeColor="text1"/>
        </w:rPr>
        <w:t>of National Human Rights Institutions (NHRI).</w:t>
      </w:r>
    </w:p>
    <w:p w14:paraId="567F6F0F" w14:textId="5DAD78D0" w:rsidR="007955AC" w:rsidRPr="00761D56" w:rsidRDefault="007955AC" w:rsidP="008F24DD">
      <w:pPr>
        <w:pStyle w:val="ListParagraph"/>
        <w:numPr>
          <w:ilvl w:val="0"/>
          <w:numId w:val="1"/>
        </w:numPr>
        <w:tabs>
          <w:tab w:val="left" w:pos="1702"/>
        </w:tabs>
        <w:spacing w:line="276" w:lineRule="auto"/>
        <w:ind w:left="360" w:hanging="270"/>
        <w:jc w:val="both"/>
        <w:rPr>
          <w:rFonts w:cstheme="minorHAnsi"/>
          <w:color w:val="000000" w:themeColor="text1"/>
        </w:rPr>
      </w:pPr>
      <w:r w:rsidRPr="00761D56">
        <w:rPr>
          <w:rFonts w:cstheme="minorHAnsi"/>
          <w:color w:val="000000" w:themeColor="text1"/>
        </w:rPr>
        <w:t>In December 2007, HRCM was designated by a Presidential Decree as the National Preventive Mechanism (NPM) Optional Protocol to the Convention against Torture and Other Cruel, Inhuman or Degrading Treatment and Punishment (OPCAT). As prescribed under the OPCAT, HRCM was designated as the NPM through legislation with the ratification of the Anti-Torture Act (13/2013) (ATA) in December 2013.</w:t>
      </w:r>
    </w:p>
    <w:p w14:paraId="71D46E15" w14:textId="65A34966" w:rsidR="007955AC" w:rsidRPr="00761D56" w:rsidRDefault="007955AC" w:rsidP="008F24DD">
      <w:pPr>
        <w:pStyle w:val="ListParagraph"/>
        <w:numPr>
          <w:ilvl w:val="0"/>
          <w:numId w:val="1"/>
        </w:numPr>
        <w:tabs>
          <w:tab w:val="left" w:pos="270"/>
          <w:tab w:val="left" w:pos="450"/>
          <w:tab w:val="left" w:pos="1702"/>
        </w:tabs>
        <w:spacing w:line="276" w:lineRule="auto"/>
        <w:ind w:left="360" w:hanging="270"/>
        <w:jc w:val="both"/>
        <w:rPr>
          <w:rFonts w:cstheme="minorHAnsi"/>
          <w:color w:val="000000" w:themeColor="text1"/>
        </w:rPr>
      </w:pPr>
      <w:r w:rsidRPr="00761D56">
        <w:rPr>
          <w:rFonts w:cstheme="minorHAnsi"/>
          <w:color w:val="000000" w:themeColor="text1"/>
        </w:rPr>
        <w:t>This report underlines priority concerns for the UN Committee on Rights of the Child in relation to the combined sixth and seventh periodic report submitted by Maldives under Article 44 of the convention, due in 2021</w:t>
      </w:r>
      <w:r w:rsidR="00802B3F">
        <w:rPr>
          <w:rFonts w:cstheme="minorHAnsi"/>
          <w:color w:val="000000" w:themeColor="text1"/>
        </w:rPr>
        <w:t>.</w:t>
      </w:r>
    </w:p>
    <w:p w14:paraId="7D902173" w14:textId="29A06A39" w:rsidR="007955AC" w:rsidRPr="00761D56" w:rsidRDefault="007955AC" w:rsidP="008F24DD">
      <w:pPr>
        <w:pStyle w:val="ListParagraph"/>
        <w:numPr>
          <w:ilvl w:val="0"/>
          <w:numId w:val="1"/>
        </w:numPr>
        <w:tabs>
          <w:tab w:val="left" w:pos="1702"/>
        </w:tabs>
        <w:spacing w:line="276" w:lineRule="auto"/>
        <w:ind w:left="360" w:hanging="270"/>
        <w:jc w:val="both"/>
        <w:rPr>
          <w:rFonts w:cstheme="minorHAnsi"/>
          <w:color w:val="000000" w:themeColor="text1"/>
        </w:rPr>
      </w:pPr>
      <w:r w:rsidRPr="00761D56">
        <w:rPr>
          <w:rFonts w:cstheme="minorHAnsi"/>
          <w:color w:val="000000" w:themeColor="text1"/>
        </w:rPr>
        <w:t xml:space="preserve">In 2025, HRCM conducted field monitoring visits to the outer islands to assess the implementation status of this convention. During these visits, HRCM engaged with state authorities, including island councils, Women’s Development Committees (WDC), schools, health facilities, Family and Children Service Centres (FCSC), police stations, Civil Society Organizations (CSO), and parents, to gather comprehensive insights. </w:t>
      </w:r>
    </w:p>
    <w:p w14:paraId="1D602281" w14:textId="4443AFD6" w:rsidR="007955AC" w:rsidRPr="00761D56" w:rsidRDefault="007955AC" w:rsidP="008F24DD">
      <w:pPr>
        <w:pStyle w:val="ListParagraph"/>
        <w:numPr>
          <w:ilvl w:val="0"/>
          <w:numId w:val="1"/>
        </w:numPr>
        <w:tabs>
          <w:tab w:val="left" w:pos="1702"/>
        </w:tabs>
        <w:spacing w:line="276" w:lineRule="auto"/>
        <w:ind w:left="360" w:hanging="270"/>
        <w:jc w:val="both"/>
        <w:rPr>
          <w:rFonts w:cstheme="minorHAnsi"/>
          <w:color w:val="000000" w:themeColor="text1"/>
        </w:rPr>
      </w:pPr>
      <w:r w:rsidRPr="00761D56">
        <w:rPr>
          <w:rFonts w:cstheme="minorHAnsi"/>
          <w:color w:val="000000" w:themeColor="text1"/>
        </w:rPr>
        <w:t xml:space="preserve">To prepare this report, HRCM acquired information from relevant stakeholders, including the government authorities, institutions and civil society organizations in addition to the review of in-house monitoring data and complaints received concerning children’s rights. This report reflects information received by state institutions on efforts to implement this Convention, in-house monitoring data and findings from NPM’s visits to places where persons are deprived of their liberty. </w:t>
      </w:r>
    </w:p>
    <w:p w14:paraId="3FA56F26" w14:textId="77777777" w:rsidR="007955AC" w:rsidRPr="00761D56" w:rsidRDefault="007955AC" w:rsidP="008F24DD">
      <w:pPr>
        <w:tabs>
          <w:tab w:val="left" w:pos="1702"/>
        </w:tabs>
        <w:spacing w:line="276" w:lineRule="auto"/>
        <w:jc w:val="both"/>
        <w:rPr>
          <w:rFonts w:cstheme="minorHAnsi"/>
          <w:color w:val="000000" w:themeColor="text1"/>
        </w:rPr>
      </w:pPr>
    </w:p>
    <w:p w14:paraId="4FCDEDAB" w14:textId="77777777" w:rsidR="007955AC" w:rsidRPr="00761D56" w:rsidRDefault="007955AC" w:rsidP="008F24DD">
      <w:pPr>
        <w:tabs>
          <w:tab w:val="left" w:pos="1702"/>
        </w:tabs>
        <w:spacing w:line="276" w:lineRule="auto"/>
        <w:jc w:val="both"/>
        <w:rPr>
          <w:rFonts w:cstheme="minorHAnsi"/>
          <w:color w:val="000000" w:themeColor="text1"/>
        </w:rPr>
      </w:pPr>
    </w:p>
    <w:p w14:paraId="347E79DF" w14:textId="77777777" w:rsidR="007955AC" w:rsidRPr="00761D56" w:rsidRDefault="007955AC" w:rsidP="008F24DD">
      <w:pPr>
        <w:tabs>
          <w:tab w:val="left" w:pos="1702"/>
        </w:tabs>
        <w:spacing w:line="276" w:lineRule="auto"/>
        <w:jc w:val="both"/>
        <w:rPr>
          <w:rFonts w:cstheme="minorHAnsi"/>
          <w:color w:val="000000" w:themeColor="text1"/>
        </w:rPr>
      </w:pPr>
    </w:p>
    <w:p w14:paraId="3748CB46" w14:textId="77777777" w:rsidR="007955AC" w:rsidRPr="00761D56" w:rsidRDefault="007955AC" w:rsidP="008F24DD">
      <w:pPr>
        <w:tabs>
          <w:tab w:val="left" w:pos="1702"/>
        </w:tabs>
        <w:spacing w:line="276" w:lineRule="auto"/>
        <w:jc w:val="both"/>
        <w:rPr>
          <w:rFonts w:cstheme="minorHAnsi"/>
          <w:color w:val="000000" w:themeColor="text1"/>
        </w:rPr>
      </w:pPr>
    </w:p>
    <w:p w14:paraId="01B38713" w14:textId="77777777" w:rsidR="007955AC" w:rsidRPr="00761D56" w:rsidRDefault="007955AC" w:rsidP="008F24DD">
      <w:pPr>
        <w:tabs>
          <w:tab w:val="left" w:pos="1702"/>
        </w:tabs>
        <w:spacing w:line="276" w:lineRule="auto"/>
        <w:jc w:val="both"/>
        <w:rPr>
          <w:rFonts w:cstheme="minorHAnsi"/>
          <w:color w:val="000000" w:themeColor="text1"/>
        </w:rPr>
      </w:pPr>
    </w:p>
    <w:p w14:paraId="57434042" w14:textId="77777777" w:rsidR="007955AC" w:rsidRPr="00761D56" w:rsidRDefault="007955AC" w:rsidP="008F24DD">
      <w:pPr>
        <w:tabs>
          <w:tab w:val="left" w:pos="1702"/>
        </w:tabs>
        <w:spacing w:line="276" w:lineRule="auto"/>
        <w:jc w:val="both"/>
        <w:rPr>
          <w:rFonts w:cstheme="minorHAnsi"/>
          <w:color w:val="000000" w:themeColor="text1"/>
        </w:rPr>
      </w:pPr>
    </w:p>
    <w:p w14:paraId="3D956092" w14:textId="77777777" w:rsidR="007955AC" w:rsidRPr="00761D56" w:rsidRDefault="007955AC" w:rsidP="008F24DD">
      <w:pPr>
        <w:tabs>
          <w:tab w:val="left" w:pos="1702"/>
        </w:tabs>
        <w:spacing w:line="276" w:lineRule="auto"/>
        <w:jc w:val="both"/>
        <w:rPr>
          <w:rFonts w:cstheme="minorHAnsi"/>
          <w:color w:val="000000" w:themeColor="text1"/>
        </w:rPr>
      </w:pPr>
    </w:p>
    <w:p w14:paraId="71595D42" w14:textId="1A3FF45B"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3" w:name="_Toc216692787"/>
      <w:r w:rsidRPr="00761D56">
        <w:rPr>
          <w:rFonts w:asciiTheme="minorHAnsi" w:hAnsiTheme="minorHAnsi" w:cstheme="minorHAnsi"/>
          <w:color w:val="000000" w:themeColor="text1"/>
        </w:rPr>
        <w:lastRenderedPageBreak/>
        <w:t>Article 1</w:t>
      </w:r>
      <w:r w:rsidR="00165912" w:rsidRPr="00761D56">
        <w:rPr>
          <w:rFonts w:asciiTheme="minorHAnsi" w:hAnsiTheme="minorHAnsi" w:cstheme="minorHAnsi"/>
          <w:color w:val="000000" w:themeColor="text1"/>
        </w:rPr>
        <w:t xml:space="preserve"> - </w:t>
      </w:r>
      <w:r w:rsidRPr="00761D56">
        <w:rPr>
          <w:rFonts w:asciiTheme="minorHAnsi" w:hAnsiTheme="minorHAnsi" w:cstheme="minorHAnsi"/>
          <w:color w:val="000000" w:themeColor="text1"/>
        </w:rPr>
        <w:t>Definition of the child</w:t>
      </w:r>
      <w:bookmarkEnd w:id="3"/>
      <w:r w:rsidR="00165912" w:rsidRPr="00761D56">
        <w:rPr>
          <w:rFonts w:asciiTheme="minorHAnsi" w:hAnsiTheme="minorHAnsi" w:cstheme="minorHAnsi"/>
          <w:color w:val="000000" w:themeColor="text1"/>
        </w:rPr>
        <w:t xml:space="preserve"> </w:t>
      </w:r>
    </w:p>
    <w:p w14:paraId="0C5BA431" w14:textId="1A632271"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Article 1 of the Convention on the Rights of the Child (CRC) stipulates that a child is every human being below the age of 18 years, unless majority is attained earlier under applicable law</w:t>
      </w:r>
      <w:r w:rsidRPr="00761D56">
        <w:rPr>
          <w:rStyle w:val="EndnoteReference"/>
          <w:rFonts w:cstheme="minorHAnsi"/>
          <w:color w:val="000000" w:themeColor="text1"/>
          <w:sz w:val="24"/>
          <w:szCs w:val="24"/>
        </w:rPr>
        <w:endnoteReference w:id="1"/>
      </w:r>
      <w:r w:rsidRPr="00761D56">
        <w:rPr>
          <w:rFonts w:cstheme="minorHAnsi"/>
          <w:color w:val="000000" w:themeColor="text1"/>
          <w:sz w:val="24"/>
          <w:szCs w:val="24"/>
        </w:rPr>
        <w:t>.  Within the Maldivian legal framework, the Constitution and the Child Rights Protection Act (Law No. 19/2019) align with this international standard, recognizing all persons under 18 as children.</w:t>
      </w:r>
      <w:r w:rsidRPr="00761D56">
        <w:rPr>
          <w:rStyle w:val="EndnoteReference"/>
          <w:rFonts w:cstheme="minorHAnsi"/>
          <w:color w:val="000000" w:themeColor="text1"/>
          <w:sz w:val="24"/>
          <w:szCs w:val="24"/>
        </w:rPr>
        <w:endnoteReference w:id="2"/>
      </w:r>
    </w:p>
    <w:p w14:paraId="32B69EFA" w14:textId="2FE387CC"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Despite this, inconsistencies persist across various sectoral laws where the definition of "child" diverges depending on the specific legal context. These variations are particularly evident in the juvenile justice and labour regulations.</w:t>
      </w:r>
      <w:r w:rsidRPr="00761D56">
        <w:rPr>
          <w:rStyle w:val="EndnoteReference"/>
          <w:rFonts w:cstheme="minorHAnsi"/>
          <w:color w:val="000000" w:themeColor="text1"/>
          <w:sz w:val="24"/>
          <w:szCs w:val="24"/>
        </w:rPr>
        <w:endnoteReference w:id="3"/>
      </w:r>
    </w:p>
    <w:p w14:paraId="7AECC30B" w14:textId="64D03230" w:rsidR="005F383F" w:rsidRPr="00761D56" w:rsidRDefault="005F383F" w:rsidP="008F24DD">
      <w:pPr>
        <w:pStyle w:val="ListParagraph"/>
        <w:numPr>
          <w:ilvl w:val="0"/>
          <w:numId w:val="1"/>
        </w:numPr>
        <w:tabs>
          <w:tab w:val="left" w:pos="90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CRC </w:t>
      </w:r>
      <w:r w:rsidR="00802B3F" w:rsidRPr="00761D56">
        <w:rPr>
          <w:rFonts w:cstheme="minorHAnsi"/>
          <w:color w:val="000000" w:themeColor="text1"/>
          <w:sz w:val="24"/>
          <w:szCs w:val="24"/>
        </w:rPr>
        <w:t>emphasize</w:t>
      </w:r>
      <w:r w:rsidR="00802B3F">
        <w:rPr>
          <w:rFonts w:cstheme="minorHAnsi"/>
          <w:color w:val="000000" w:themeColor="text1"/>
          <w:sz w:val="24"/>
          <w:szCs w:val="24"/>
        </w:rPr>
        <w:t>s</w:t>
      </w:r>
      <w:r w:rsidRPr="00761D56">
        <w:rPr>
          <w:rFonts w:cstheme="minorHAnsi"/>
          <w:color w:val="000000" w:themeColor="text1"/>
          <w:sz w:val="24"/>
          <w:szCs w:val="24"/>
        </w:rPr>
        <w:t xml:space="preserve"> restorative juvenile justice principles that focus on diversion, rehabilitation, and detention as a last resort. While Maldives has taken important steps to establish a child-</w:t>
      </w:r>
      <w:r w:rsidR="004D241D" w:rsidRPr="00761D56">
        <w:rPr>
          <w:rFonts w:cstheme="minorHAnsi"/>
          <w:color w:val="000000" w:themeColor="text1"/>
          <w:sz w:val="24"/>
          <w:szCs w:val="24"/>
        </w:rPr>
        <w:t>centred</w:t>
      </w:r>
      <w:r w:rsidRPr="00761D56">
        <w:rPr>
          <w:rFonts w:cstheme="minorHAnsi"/>
          <w:color w:val="000000" w:themeColor="text1"/>
          <w:sz w:val="24"/>
          <w:szCs w:val="24"/>
        </w:rPr>
        <w:t xml:space="preserve"> justice framework through the Juvenile Justice Act, significant gaps remain in its implementation</w:t>
      </w:r>
      <w:r w:rsidRPr="00761D56">
        <w:rPr>
          <w:rStyle w:val="EndnoteReference"/>
          <w:rFonts w:cstheme="minorHAnsi"/>
          <w:color w:val="000000" w:themeColor="text1"/>
          <w:sz w:val="24"/>
          <w:szCs w:val="24"/>
        </w:rPr>
        <w:endnoteReference w:id="4"/>
      </w:r>
      <w:r w:rsidRPr="00761D56">
        <w:rPr>
          <w:rFonts w:cstheme="minorHAnsi"/>
          <w:color w:val="000000" w:themeColor="text1"/>
          <w:sz w:val="24"/>
          <w:szCs w:val="24"/>
        </w:rPr>
        <w:t xml:space="preserve">. Children under the age of 15 remain in a protection vacuum, as unclear institutional mandates leave them vulnerable to exploitation by gangs who deliberately recruit them knowing they cannot be held criminally liable. </w:t>
      </w:r>
      <w:r w:rsidRPr="00761D56">
        <w:rPr>
          <w:rStyle w:val="EndnoteReference"/>
          <w:rFonts w:cstheme="minorHAnsi"/>
          <w:color w:val="000000" w:themeColor="text1"/>
          <w:sz w:val="24"/>
          <w:szCs w:val="24"/>
        </w:rPr>
        <w:endnoteReference w:id="5"/>
      </w:r>
      <w:r w:rsidRPr="00761D56">
        <w:rPr>
          <w:rFonts w:cstheme="minorHAnsi"/>
          <w:color w:val="000000" w:themeColor="text1"/>
          <w:sz w:val="24"/>
          <w:szCs w:val="24"/>
        </w:rPr>
        <w:t xml:space="preserve"> </w:t>
      </w:r>
    </w:p>
    <w:p w14:paraId="7AAE5F0E" w14:textId="2C15CCC8" w:rsidR="007955AC" w:rsidRPr="00761D56" w:rsidRDefault="00D15EDB"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While t</w:t>
      </w:r>
      <w:r w:rsidR="007955AC" w:rsidRPr="00761D56">
        <w:rPr>
          <w:rFonts w:cstheme="minorHAnsi"/>
          <w:color w:val="000000" w:themeColor="text1"/>
          <w:sz w:val="24"/>
          <w:szCs w:val="24"/>
        </w:rPr>
        <w:t xml:space="preserve">he Employment Act (2008) </w:t>
      </w:r>
      <w:r w:rsidRPr="00761D56">
        <w:rPr>
          <w:rFonts w:cstheme="minorHAnsi"/>
          <w:color w:val="000000" w:themeColor="text1"/>
          <w:sz w:val="24"/>
          <w:szCs w:val="24"/>
        </w:rPr>
        <w:t>permits children under the age of 16 to engage in light work with parental permission, weak monitoring mechanisms expose adolescents to heightened risks of exploitation, particularly within informal and unregulated sectors</w:t>
      </w:r>
      <w:r w:rsidR="007955AC" w:rsidRPr="00761D56">
        <w:rPr>
          <w:rFonts w:cstheme="minorHAnsi"/>
          <w:color w:val="000000" w:themeColor="text1"/>
          <w:sz w:val="24"/>
          <w:szCs w:val="24"/>
        </w:rPr>
        <w:t>.</w:t>
      </w:r>
      <w:r w:rsidR="007955AC" w:rsidRPr="00761D56">
        <w:rPr>
          <w:rStyle w:val="EndnoteReference"/>
          <w:rFonts w:cstheme="minorHAnsi"/>
          <w:color w:val="000000" w:themeColor="text1"/>
          <w:sz w:val="24"/>
          <w:szCs w:val="24"/>
        </w:rPr>
        <w:endnoteReference w:id="6"/>
      </w:r>
      <w:r w:rsidR="007955AC" w:rsidRPr="00761D56">
        <w:rPr>
          <w:rFonts w:cstheme="minorHAnsi"/>
          <w:color w:val="000000" w:themeColor="text1"/>
          <w:sz w:val="24"/>
          <w:szCs w:val="24"/>
        </w:rPr>
        <w:t xml:space="preserve"> </w:t>
      </w:r>
    </w:p>
    <w:p w14:paraId="4881CE66" w14:textId="77777777" w:rsidR="00D63D67" w:rsidRPr="00761D56" w:rsidRDefault="00D63D67" w:rsidP="008F24DD">
      <w:pPr>
        <w:pStyle w:val="ListParagraph"/>
        <w:tabs>
          <w:tab w:val="left" w:pos="720"/>
          <w:tab w:val="left" w:pos="1702"/>
        </w:tabs>
        <w:spacing w:before="240" w:after="0" w:line="276" w:lineRule="auto"/>
        <w:ind w:firstLine="0"/>
        <w:jc w:val="both"/>
        <w:rPr>
          <w:rFonts w:cstheme="minorHAnsi"/>
          <w:color w:val="000000" w:themeColor="text1"/>
          <w:highlight w:val="yellow"/>
        </w:rPr>
      </w:pPr>
    </w:p>
    <w:p w14:paraId="32234DE8" w14:textId="3A0E2EC8"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4" w:name="_Toc216692788"/>
      <w:r w:rsidRPr="00761D56">
        <w:rPr>
          <w:rFonts w:asciiTheme="minorHAnsi" w:hAnsiTheme="minorHAnsi" w:cstheme="minorHAnsi"/>
          <w:color w:val="000000" w:themeColor="text1"/>
        </w:rPr>
        <w:t xml:space="preserve">Article 2 </w:t>
      </w:r>
      <w:r w:rsidR="00165912" w:rsidRPr="00761D56">
        <w:rPr>
          <w:rFonts w:asciiTheme="minorHAnsi" w:hAnsiTheme="minorHAnsi" w:cstheme="minorHAnsi"/>
          <w:color w:val="000000" w:themeColor="text1"/>
        </w:rPr>
        <w:t xml:space="preserve">- </w:t>
      </w:r>
      <w:r w:rsidR="004D241D" w:rsidRPr="00761D56">
        <w:rPr>
          <w:rFonts w:asciiTheme="minorHAnsi" w:hAnsiTheme="minorHAnsi" w:cstheme="minorHAnsi"/>
          <w:color w:val="000000" w:themeColor="text1"/>
        </w:rPr>
        <w:t>Non-Discrimination</w:t>
      </w:r>
      <w:bookmarkEnd w:id="4"/>
    </w:p>
    <w:p w14:paraId="0F708AC3" w14:textId="2FAC4849" w:rsidR="007955AC" w:rsidRPr="00761D56" w:rsidRDefault="00A72704"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Article 2 of the CRC, which guarantees non-discrimination, is reflected in the Constitution</w:t>
      </w:r>
      <w:r w:rsidR="00EC52D3" w:rsidRPr="00761D56">
        <w:rPr>
          <w:rFonts w:cstheme="minorHAnsi"/>
          <w:color w:val="000000" w:themeColor="text1"/>
          <w:sz w:val="24"/>
          <w:szCs w:val="24"/>
        </w:rPr>
        <w:t xml:space="preserve">, </w:t>
      </w:r>
      <w:r w:rsidRPr="00761D56">
        <w:rPr>
          <w:rFonts w:cstheme="minorHAnsi"/>
          <w:color w:val="000000" w:themeColor="text1"/>
          <w:sz w:val="24"/>
          <w:szCs w:val="24"/>
        </w:rPr>
        <w:t xml:space="preserve">ensuring equality before the law and prohibiting discrimination based on race, nationality, disability, and more. The Child Rights Protection Act (Law No. 19/2019) further strengthens children’s rights to non-discrimination and equal protection. </w:t>
      </w:r>
      <w:r w:rsidR="007955AC" w:rsidRPr="00761D56">
        <w:rPr>
          <w:rFonts w:cstheme="minorHAnsi"/>
          <w:color w:val="000000" w:themeColor="text1"/>
          <w:sz w:val="24"/>
          <w:szCs w:val="24"/>
        </w:rPr>
        <w:t>While these provisions represent notable progress towards compliance with CRC obligations, significant gaps persist in practice, particularly in addressing systemic discrimination faced by marginalized groups of children.</w:t>
      </w:r>
      <w:r w:rsidR="007955AC" w:rsidRPr="00761D56">
        <w:rPr>
          <w:rStyle w:val="EndnoteReference"/>
          <w:rFonts w:cstheme="minorHAnsi"/>
          <w:color w:val="000000" w:themeColor="text1"/>
          <w:sz w:val="24"/>
          <w:szCs w:val="24"/>
        </w:rPr>
        <w:endnoteReference w:id="7"/>
      </w:r>
    </w:p>
    <w:p w14:paraId="6B880745" w14:textId="058B27DA"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Children in state care frequently experience discrimination from members of the community.</w:t>
      </w:r>
      <w:r w:rsidR="00DA10C2" w:rsidRPr="00761D56">
        <w:rPr>
          <w:rStyle w:val="EndnoteReference"/>
          <w:rFonts w:cstheme="minorHAnsi"/>
          <w:color w:val="000000" w:themeColor="text1"/>
          <w:sz w:val="24"/>
          <w:szCs w:val="24"/>
        </w:rPr>
        <w:endnoteReference w:id="8"/>
      </w:r>
      <w:r w:rsidRPr="00761D56">
        <w:rPr>
          <w:rFonts w:cstheme="minorHAnsi"/>
          <w:color w:val="000000" w:themeColor="text1"/>
          <w:sz w:val="24"/>
          <w:szCs w:val="24"/>
        </w:rPr>
        <w:t xml:space="preserve"> Limited staffing and human resource capacity within these institutions further hinder the provision of individualized care and support.</w:t>
      </w:r>
      <w:r w:rsidRPr="00761D56">
        <w:rPr>
          <w:rStyle w:val="EndnoteReference"/>
          <w:rFonts w:cstheme="minorHAnsi"/>
          <w:color w:val="000000" w:themeColor="text1"/>
          <w:sz w:val="24"/>
          <w:szCs w:val="24"/>
        </w:rPr>
        <w:endnoteReference w:id="9"/>
      </w:r>
      <w:r w:rsidRPr="00761D56">
        <w:rPr>
          <w:rFonts w:cstheme="minorHAnsi"/>
          <w:color w:val="000000" w:themeColor="text1"/>
          <w:sz w:val="24"/>
          <w:szCs w:val="24"/>
        </w:rPr>
        <w:t xml:space="preserve"> Additionally, children face significant challenges during and after reintegration into their families or </w:t>
      </w:r>
      <w:r w:rsidRPr="00761D56">
        <w:rPr>
          <w:rFonts w:cstheme="minorHAnsi"/>
          <w:color w:val="000000" w:themeColor="text1"/>
          <w:sz w:val="24"/>
          <w:szCs w:val="24"/>
        </w:rPr>
        <w:lastRenderedPageBreak/>
        <w:t xml:space="preserve">communities, as neither the children nor the receiving families and communities are adequately prepared for the transition. </w:t>
      </w:r>
      <w:r w:rsidRPr="00761D56">
        <w:rPr>
          <w:rStyle w:val="EndnoteReference"/>
          <w:rFonts w:cstheme="minorHAnsi"/>
          <w:color w:val="000000" w:themeColor="text1"/>
          <w:sz w:val="24"/>
          <w:szCs w:val="24"/>
        </w:rPr>
        <w:endnoteReference w:id="10"/>
      </w:r>
    </w:p>
    <w:p w14:paraId="19A2EC44" w14:textId="3DDE0AC3" w:rsidR="00DA10C2" w:rsidRPr="00761D56" w:rsidRDefault="00DA10C2"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Information campaigns and awareness sessions targeting children often lack </w:t>
      </w:r>
      <w:r w:rsidR="000469FD" w:rsidRPr="00761D56">
        <w:rPr>
          <w:rFonts w:cstheme="minorHAnsi"/>
          <w:color w:val="000000" w:themeColor="text1"/>
          <w:sz w:val="24"/>
          <w:szCs w:val="24"/>
        </w:rPr>
        <w:t>accessible formats</w:t>
      </w:r>
      <w:r w:rsidR="00802B3F">
        <w:rPr>
          <w:rFonts w:cstheme="minorHAnsi"/>
          <w:color w:val="000000" w:themeColor="text1"/>
          <w:sz w:val="24"/>
          <w:szCs w:val="24"/>
        </w:rPr>
        <w:t>,</w:t>
      </w:r>
      <w:r w:rsidR="000469FD" w:rsidRPr="00761D56">
        <w:rPr>
          <w:rFonts w:cstheme="minorHAnsi"/>
          <w:color w:val="000000" w:themeColor="text1"/>
          <w:sz w:val="24"/>
          <w:szCs w:val="24"/>
        </w:rPr>
        <w:t xml:space="preserve"> limiting its reach </w:t>
      </w:r>
      <w:r w:rsidR="005A11BE" w:rsidRPr="00761D56">
        <w:rPr>
          <w:rFonts w:cstheme="minorHAnsi"/>
          <w:color w:val="000000" w:themeColor="text1"/>
          <w:sz w:val="24"/>
          <w:szCs w:val="24"/>
        </w:rPr>
        <w:t>to children with disabilities. Further, facilitators of such campaigns and programs are not always trained to work with children with disabilities.</w:t>
      </w:r>
      <w:r w:rsidR="005A11BE" w:rsidRPr="00761D56">
        <w:rPr>
          <w:rStyle w:val="EndnoteReference"/>
          <w:rFonts w:cstheme="minorHAnsi"/>
          <w:color w:val="000000" w:themeColor="text1"/>
          <w:sz w:val="24"/>
          <w:szCs w:val="24"/>
        </w:rPr>
        <w:endnoteReference w:id="11"/>
      </w:r>
    </w:p>
    <w:p w14:paraId="1DC25820" w14:textId="77777777" w:rsidR="007955AC" w:rsidRPr="00761D56" w:rsidRDefault="007955AC"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43BB814B" w14:textId="0A4FB56F" w:rsidR="007955AC" w:rsidRPr="00761D56" w:rsidRDefault="007955AC"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Ensure that children in state care are protected from discrimination by the community and receive equal treatment and support</w:t>
      </w:r>
      <w:r w:rsidR="00802B3F">
        <w:rPr>
          <w:rFonts w:cstheme="minorHAnsi"/>
          <w:b/>
          <w:bCs/>
          <w:color w:val="000000" w:themeColor="text1"/>
          <w:sz w:val="24"/>
          <w:szCs w:val="24"/>
        </w:rPr>
        <w:t>,</w:t>
      </w:r>
      <w:r w:rsidR="002E0C7D" w:rsidRPr="00761D56">
        <w:rPr>
          <w:rFonts w:cstheme="minorHAnsi"/>
          <w:b/>
          <w:bCs/>
          <w:color w:val="000000" w:themeColor="text1"/>
          <w:sz w:val="24"/>
          <w:szCs w:val="24"/>
        </w:rPr>
        <w:t xml:space="preserve"> and strengthen reporting procedures</w:t>
      </w:r>
    </w:p>
    <w:p w14:paraId="0B5BE088" w14:textId="77777777" w:rsidR="007955AC" w:rsidRPr="00761D56" w:rsidRDefault="007955AC"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Strengthen staffing and resources in state care institutions to provide individualized care and psychosocial support</w:t>
      </w:r>
    </w:p>
    <w:p w14:paraId="0980C970" w14:textId="5082B09F" w:rsidR="007955AC" w:rsidRPr="00761D56" w:rsidRDefault="007955AC"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Provide mandatory training for facilitators and </w:t>
      </w:r>
      <w:r w:rsidR="00904A72" w:rsidRPr="00761D56">
        <w:rPr>
          <w:rFonts w:cstheme="minorHAnsi"/>
          <w:b/>
          <w:bCs/>
          <w:color w:val="000000" w:themeColor="text1"/>
          <w:sz w:val="24"/>
          <w:szCs w:val="24"/>
        </w:rPr>
        <w:t>all</w:t>
      </w:r>
      <w:r w:rsidRPr="00761D56">
        <w:rPr>
          <w:rFonts w:cstheme="minorHAnsi"/>
          <w:b/>
          <w:bCs/>
          <w:color w:val="000000" w:themeColor="text1"/>
          <w:sz w:val="24"/>
          <w:szCs w:val="24"/>
        </w:rPr>
        <w:t xml:space="preserve"> staff on working effectively and sensitively with children with disabilities.</w:t>
      </w:r>
    </w:p>
    <w:p w14:paraId="4C567D84" w14:textId="1A2AFB39" w:rsidR="003679FC" w:rsidRPr="00761D56" w:rsidRDefault="005A11BE"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Strengthen awareness raising activities by making </w:t>
      </w:r>
      <w:r w:rsidR="00761D56">
        <w:rPr>
          <w:rFonts w:cstheme="minorHAnsi"/>
          <w:b/>
          <w:bCs/>
          <w:color w:val="000000" w:themeColor="text1"/>
          <w:sz w:val="24"/>
          <w:szCs w:val="24"/>
        </w:rPr>
        <w:t>these programs</w:t>
      </w:r>
      <w:r w:rsidRPr="00761D56">
        <w:rPr>
          <w:rFonts w:cstheme="minorHAnsi"/>
          <w:b/>
          <w:bCs/>
          <w:color w:val="000000" w:themeColor="text1"/>
          <w:sz w:val="24"/>
          <w:szCs w:val="24"/>
        </w:rPr>
        <w:t xml:space="preserve"> inclusive of children with disabilities</w:t>
      </w:r>
    </w:p>
    <w:p w14:paraId="0ADDA6B4" w14:textId="58B46231"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5" w:name="_Toc216692789"/>
      <w:r w:rsidRPr="00761D56">
        <w:rPr>
          <w:rFonts w:asciiTheme="minorHAnsi" w:hAnsiTheme="minorHAnsi" w:cstheme="minorHAnsi"/>
          <w:color w:val="000000" w:themeColor="text1"/>
        </w:rPr>
        <w:t>Article 3 - Best interest of the child</w:t>
      </w:r>
      <w:bookmarkEnd w:id="5"/>
    </w:p>
    <w:p w14:paraId="7450F4F2" w14:textId="4DC1341F" w:rsidR="007955AC" w:rsidRPr="00761D56" w:rsidRDefault="007955AC" w:rsidP="008B106F">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The principle of the best interests of the child is formally embedded in the Maldivian legal framework through the </w:t>
      </w:r>
      <w:bookmarkStart w:id="6" w:name="_Hlk207799761"/>
      <w:r w:rsidRPr="00761D56">
        <w:rPr>
          <w:rFonts w:cstheme="minorHAnsi"/>
          <w:color w:val="000000" w:themeColor="text1"/>
          <w:sz w:val="24"/>
          <w:szCs w:val="24"/>
        </w:rPr>
        <w:t>Child Rights Protection Act (Law No. 19/2019)</w:t>
      </w:r>
      <w:bookmarkEnd w:id="6"/>
      <w:r w:rsidRPr="00761D56">
        <w:rPr>
          <w:rFonts w:cstheme="minorHAnsi"/>
          <w:color w:val="000000" w:themeColor="text1"/>
          <w:sz w:val="24"/>
          <w:szCs w:val="24"/>
        </w:rPr>
        <w:t xml:space="preserve"> and the Juvenile Justice Act (Law No. 18/2019), representing a significant step toward aligning domestic legislation with CRC.</w:t>
      </w:r>
      <w:r w:rsidRPr="00761D56">
        <w:rPr>
          <w:rStyle w:val="EndnoteReference"/>
          <w:rFonts w:cstheme="minorHAnsi"/>
          <w:color w:val="000000" w:themeColor="text1"/>
          <w:sz w:val="24"/>
          <w:szCs w:val="24"/>
        </w:rPr>
        <w:endnoteReference w:id="12"/>
      </w:r>
      <w:r w:rsidR="006340B5" w:rsidRPr="00761D56">
        <w:rPr>
          <w:rFonts w:cstheme="minorHAnsi"/>
          <w:color w:val="000000" w:themeColor="text1"/>
          <w:sz w:val="24"/>
          <w:szCs w:val="24"/>
        </w:rPr>
        <w:t xml:space="preserve"> </w:t>
      </w:r>
      <w:r w:rsidR="008B106F" w:rsidRPr="00761D56">
        <w:rPr>
          <w:rFonts w:cstheme="minorHAnsi"/>
          <w:color w:val="000000" w:themeColor="text1"/>
          <w:sz w:val="24"/>
          <w:szCs w:val="24"/>
        </w:rPr>
        <w:t>However, the consistent operationalization of this principle remains limited.</w:t>
      </w:r>
      <w:r w:rsidR="007C7EB2" w:rsidRPr="00761D56">
        <w:rPr>
          <w:rFonts w:cstheme="minorHAnsi"/>
          <w:color w:val="000000" w:themeColor="text1"/>
          <w:sz w:val="24"/>
          <w:szCs w:val="24"/>
        </w:rPr>
        <w:t xml:space="preserve"> </w:t>
      </w:r>
      <w:r w:rsidR="008B106F" w:rsidRPr="00761D56">
        <w:rPr>
          <w:rFonts w:cstheme="minorHAnsi"/>
          <w:color w:val="000000" w:themeColor="text1"/>
          <w:sz w:val="24"/>
          <w:szCs w:val="24"/>
        </w:rPr>
        <w:t xml:space="preserve"> </w:t>
      </w:r>
    </w:p>
    <w:p w14:paraId="6C86BDE3" w14:textId="67677C75" w:rsidR="007955AC" w:rsidRPr="00761D56" w:rsidRDefault="008B106F"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In</w:t>
      </w:r>
      <w:r w:rsidR="007955AC" w:rsidRPr="00761D56">
        <w:rPr>
          <w:rFonts w:cstheme="minorHAnsi"/>
          <w:color w:val="000000" w:themeColor="text1"/>
          <w:sz w:val="24"/>
          <w:szCs w:val="24"/>
        </w:rPr>
        <w:t xml:space="preserve"> practice, the child protection system continues to exhibit structural and operational deficiencies. Case reviews of children in state care reveal insufficient protective measures, limited access to psychosocial support, and a scarcity of rehabilitative services.</w:t>
      </w:r>
      <w:r w:rsidR="007955AC" w:rsidRPr="00761D56">
        <w:rPr>
          <w:rStyle w:val="EndnoteReference"/>
          <w:rFonts w:cstheme="minorHAnsi"/>
          <w:color w:val="000000" w:themeColor="text1"/>
          <w:sz w:val="24"/>
          <w:szCs w:val="24"/>
        </w:rPr>
        <w:endnoteReference w:id="13"/>
      </w:r>
      <w:r w:rsidR="007955AC" w:rsidRPr="00761D56">
        <w:rPr>
          <w:rFonts w:cstheme="minorHAnsi"/>
          <w:color w:val="000000" w:themeColor="text1"/>
          <w:sz w:val="24"/>
          <w:szCs w:val="24"/>
        </w:rPr>
        <w:t xml:space="preserve"> The absence of structured foster care programs and community-based alternatives often results in institutional placements being used as the default solution rather than interventions tailored to the individual needs of the child. </w:t>
      </w:r>
    </w:p>
    <w:p w14:paraId="082FB1CB" w14:textId="374FEF51"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Geographical disparities in access to services exacerbate these challenges. Data from the 2021 Situation Analysis of Children in the Maldives indicate that children residing outside Malé face restricted access to social services, specialized healthcare, and </w:t>
      </w:r>
      <w:r w:rsidR="001C4D4E" w:rsidRPr="00761D56">
        <w:rPr>
          <w:rFonts w:cstheme="minorHAnsi"/>
          <w:color w:val="000000" w:themeColor="text1"/>
          <w:sz w:val="24"/>
          <w:szCs w:val="24"/>
        </w:rPr>
        <w:t xml:space="preserve">judicial </w:t>
      </w:r>
      <w:r w:rsidRPr="00761D56">
        <w:rPr>
          <w:rFonts w:cstheme="minorHAnsi"/>
          <w:color w:val="000000" w:themeColor="text1"/>
          <w:sz w:val="24"/>
          <w:szCs w:val="24"/>
        </w:rPr>
        <w:t xml:space="preserve">mechanisms. </w:t>
      </w:r>
      <w:r w:rsidRPr="00761D56">
        <w:rPr>
          <w:rStyle w:val="EndnoteReference"/>
          <w:rFonts w:cstheme="minorHAnsi"/>
          <w:color w:val="000000" w:themeColor="text1"/>
          <w:sz w:val="24"/>
          <w:szCs w:val="24"/>
        </w:rPr>
        <w:endnoteReference w:id="14"/>
      </w:r>
    </w:p>
    <w:p w14:paraId="6F7CCC11" w14:textId="3B1F0F26" w:rsidR="00256426" w:rsidRPr="00761D56" w:rsidRDefault="00256426"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Courts face additional challenges in ensuring that children can meaningfully participate in judicial proceedings.</w:t>
      </w:r>
      <w:r w:rsidRPr="00761D56">
        <w:rPr>
          <w:rStyle w:val="EndnoteReference"/>
          <w:rFonts w:cstheme="minorHAnsi"/>
          <w:color w:val="000000" w:themeColor="text1"/>
          <w:sz w:val="24"/>
          <w:szCs w:val="24"/>
        </w:rPr>
        <w:endnoteReference w:id="15"/>
      </w:r>
      <w:r w:rsidR="000E09D6" w:rsidRPr="00761D56">
        <w:rPr>
          <w:rFonts w:cstheme="minorHAnsi"/>
          <w:color w:val="000000" w:themeColor="text1"/>
          <w:sz w:val="24"/>
          <w:szCs w:val="24"/>
        </w:rPr>
        <w:t xml:space="preserve"> </w:t>
      </w:r>
      <w:r w:rsidRPr="00761D56">
        <w:rPr>
          <w:rFonts w:cstheme="minorHAnsi"/>
          <w:color w:val="000000" w:themeColor="text1"/>
          <w:sz w:val="24"/>
          <w:szCs w:val="24"/>
        </w:rPr>
        <w:t xml:space="preserve">The inherently intimidating nature of court environments </w:t>
      </w:r>
      <w:r w:rsidR="00A801E3" w:rsidRPr="00761D56">
        <w:rPr>
          <w:rFonts w:cs="MV Boli"/>
          <w:color w:val="000000" w:themeColor="text1"/>
          <w:sz w:val="24"/>
          <w:szCs w:val="24"/>
          <w:lang w:val="en-US" w:bidi="dv-MV"/>
        </w:rPr>
        <w:t>and lack of child</w:t>
      </w:r>
      <w:r w:rsidR="00802B3F">
        <w:rPr>
          <w:rFonts w:cs="MV Boli"/>
          <w:color w:val="000000" w:themeColor="text1"/>
          <w:sz w:val="24"/>
          <w:szCs w:val="24"/>
          <w:lang w:val="en-US" w:bidi="dv-MV"/>
        </w:rPr>
        <w:t>-</w:t>
      </w:r>
      <w:r w:rsidR="00A801E3" w:rsidRPr="00761D56">
        <w:rPr>
          <w:rFonts w:cs="MV Boli"/>
          <w:color w:val="000000" w:themeColor="text1"/>
          <w:sz w:val="24"/>
          <w:szCs w:val="24"/>
          <w:lang w:val="en-US" w:bidi="dv-MV"/>
        </w:rPr>
        <w:t xml:space="preserve">friendly court rooms </w:t>
      </w:r>
      <w:r w:rsidRPr="00761D56">
        <w:rPr>
          <w:rFonts w:cstheme="minorHAnsi"/>
          <w:color w:val="000000" w:themeColor="text1"/>
          <w:sz w:val="24"/>
          <w:szCs w:val="24"/>
        </w:rPr>
        <w:t xml:space="preserve">may inhibit a child’s ability to articulate their views </w:t>
      </w:r>
      <w:r w:rsidRPr="00761D56">
        <w:rPr>
          <w:rFonts w:cstheme="minorHAnsi"/>
          <w:color w:val="000000" w:themeColor="text1"/>
          <w:sz w:val="24"/>
          <w:szCs w:val="24"/>
        </w:rPr>
        <w:lastRenderedPageBreak/>
        <w:t>and preferences fully.</w:t>
      </w:r>
      <w:r w:rsidRPr="00761D56">
        <w:rPr>
          <w:rStyle w:val="EndnoteReference"/>
          <w:rFonts w:cstheme="minorHAnsi"/>
          <w:color w:val="000000" w:themeColor="text1"/>
          <w:sz w:val="24"/>
          <w:szCs w:val="24"/>
        </w:rPr>
        <w:endnoteReference w:id="16"/>
      </w:r>
      <w:r w:rsidR="001215E1" w:rsidRPr="00761D56">
        <w:rPr>
          <w:rFonts w:cstheme="minorHAnsi"/>
          <w:color w:val="000000" w:themeColor="text1"/>
          <w:sz w:val="24"/>
          <w:szCs w:val="24"/>
        </w:rPr>
        <w:t xml:space="preserve"> </w:t>
      </w:r>
      <w:r w:rsidRPr="00761D56">
        <w:rPr>
          <w:rFonts w:cstheme="minorHAnsi"/>
          <w:color w:val="000000" w:themeColor="text1"/>
          <w:sz w:val="24"/>
          <w:szCs w:val="24"/>
        </w:rPr>
        <w:t xml:space="preserve">Furthermore, children often struggle to comprehend explanations or decisions provided by the court, which may be conveyed in language or through procedures that are not developmentally appropriate. </w:t>
      </w:r>
      <w:r w:rsidRPr="00761D56">
        <w:rPr>
          <w:rStyle w:val="EndnoteReference"/>
          <w:rFonts w:cstheme="minorHAnsi"/>
          <w:color w:val="000000" w:themeColor="text1"/>
          <w:sz w:val="24"/>
          <w:szCs w:val="24"/>
        </w:rPr>
        <w:endnoteReference w:id="17"/>
      </w:r>
    </w:p>
    <w:p w14:paraId="48362CE2" w14:textId="77D5017A" w:rsidR="00101446" w:rsidRPr="00761D56" w:rsidRDefault="00D15EDB" w:rsidP="008F24DD">
      <w:pPr>
        <w:pStyle w:val="ListParagraph"/>
        <w:numPr>
          <w:ilvl w:val="0"/>
          <w:numId w:val="1"/>
        </w:numPr>
        <w:spacing w:after="0" w:line="276" w:lineRule="auto"/>
        <w:ind w:right="144"/>
        <w:jc w:val="both"/>
        <w:rPr>
          <w:rFonts w:cstheme="minorHAnsi"/>
          <w:color w:val="000000" w:themeColor="text1"/>
          <w:sz w:val="24"/>
          <w:szCs w:val="24"/>
        </w:rPr>
      </w:pPr>
      <w:r w:rsidRPr="00761D56">
        <w:rPr>
          <w:rFonts w:cstheme="minorHAnsi"/>
          <w:color w:val="000000" w:themeColor="text1"/>
          <w:sz w:val="24"/>
          <w:szCs w:val="24"/>
        </w:rPr>
        <w:t xml:space="preserve">HRCM has reviewed the CTA and its regulations on repatriation and reintegration, recommending procedural improvements, including alternatives to administrative detention for minors returning from conflict zones, clearer legal guidelines, and a more child-centric approach. Despite HRCM recommendations </w:t>
      </w:r>
      <w:r w:rsidR="001215E1" w:rsidRPr="00761D56">
        <w:rPr>
          <w:rFonts w:cstheme="minorHAnsi"/>
          <w:color w:val="000000" w:themeColor="text1"/>
          <w:sz w:val="24"/>
          <w:szCs w:val="24"/>
        </w:rPr>
        <w:t>t</w:t>
      </w:r>
      <w:r w:rsidRPr="00761D56">
        <w:rPr>
          <w:rFonts w:cstheme="minorHAnsi"/>
          <w:color w:val="000000" w:themeColor="text1"/>
          <w:sz w:val="24"/>
          <w:szCs w:val="24"/>
        </w:rPr>
        <w:t>o exempt minors under 15 from court appearances, children in this age group have been presented at court during initial hearing</w:t>
      </w:r>
      <w:r w:rsidR="00802B3F">
        <w:rPr>
          <w:rFonts w:cstheme="minorHAnsi"/>
          <w:color w:val="000000" w:themeColor="text1"/>
          <w:sz w:val="24"/>
          <w:szCs w:val="24"/>
        </w:rPr>
        <w:t>s</w:t>
      </w:r>
      <w:r w:rsidRPr="00761D56">
        <w:rPr>
          <w:rFonts w:cstheme="minorHAnsi"/>
          <w:color w:val="000000" w:themeColor="text1"/>
          <w:sz w:val="24"/>
          <w:szCs w:val="24"/>
        </w:rPr>
        <w:t>.</w:t>
      </w:r>
      <w:r w:rsidRPr="00761D56">
        <w:rPr>
          <w:rFonts w:cstheme="minorHAnsi"/>
          <w:color w:val="000000" w:themeColor="text1"/>
          <w:sz w:val="24"/>
          <w:szCs w:val="24"/>
          <w:vertAlign w:val="superscript"/>
        </w:rPr>
        <w:endnoteReference w:id="18"/>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rPr>
        <w:t>Additionally, CTA lacks clear specifications on which court should be consulted regarding the administrative detention of minors under 15 and currently hearings are carried out by</w:t>
      </w:r>
      <w:r w:rsidR="00802B3F">
        <w:rPr>
          <w:rFonts w:cstheme="minorHAnsi"/>
          <w:color w:val="000000" w:themeColor="text1"/>
          <w:sz w:val="24"/>
          <w:szCs w:val="24"/>
        </w:rPr>
        <w:t xml:space="preserve"> the</w:t>
      </w:r>
      <w:r w:rsidRPr="00761D56">
        <w:rPr>
          <w:rFonts w:cstheme="minorHAnsi"/>
          <w:color w:val="000000" w:themeColor="text1"/>
          <w:sz w:val="24"/>
          <w:szCs w:val="24"/>
        </w:rPr>
        <w:t xml:space="preserve"> criminal court as per the regulatory framework.</w:t>
      </w:r>
      <w:r w:rsidRPr="00761D56">
        <w:rPr>
          <w:rFonts w:cstheme="minorHAnsi"/>
          <w:color w:val="000000" w:themeColor="text1"/>
          <w:sz w:val="24"/>
          <w:szCs w:val="24"/>
          <w:vertAlign w:val="superscript"/>
        </w:rPr>
        <w:endnoteReference w:id="19"/>
      </w:r>
    </w:p>
    <w:p w14:paraId="1136A6DE" w14:textId="77777777" w:rsidR="007955AC" w:rsidRPr="00761D56" w:rsidRDefault="007955AC"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78AC46DF" w14:textId="495CE4CF" w:rsidR="007955AC" w:rsidRPr="00761D56" w:rsidRDefault="007955AC"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Ensure consistent application of the best interest principle across all judicial, administrative, and child protection processes</w:t>
      </w:r>
      <w:r w:rsidR="001215E1" w:rsidRPr="00761D56">
        <w:rPr>
          <w:rFonts w:cstheme="minorHAnsi"/>
          <w:b/>
          <w:bCs/>
          <w:color w:val="000000" w:themeColor="text1"/>
          <w:sz w:val="24"/>
          <w:szCs w:val="24"/>
        </w:rPr>
        <w:t>.</w:t>
      </w:r>
    </w:p>
    <w:p w14:paraId="0427CA02" w14:textId="77777777" w:rsidR="007955AC" w:rsidRPr="00761D56" w:rsidRDefault="007955AC"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Ensure effective implementation of the Juvenile Justice Act with timely judicial proceedings and access to rehabilitative services for children in conflict with the law.</w:t>
      </w:r>
    </w:p>
    <w:p w14:paraId="46D68C76" w14:textId="52C55C26" w:rsidR="007955AC" w:rsidRPr="00761D56" w:rsidRDefault="007955AC" w:rsidP="008F24DD">
      <w:pPr>
        <w:pStyle w:val="ListParagraph"/>
        <w:numPr>
          <w:ilvl w:val="0"/>
          <w:numId w:val="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Address geographical disparities by expanding access to social services, specialized healthcare, and justice mechanisms in the atolls.</w:t>
      </w:r>
    </w:p>
    <w:p w14:paraId="19830AA9" w14:textId="3CD5F062" w:rsidR="007955AC" w:rsidRPr="00761D56" w:rsidRDefault="007955AC" w:rsidP="008F24DD">
      <w:pPr>
        <w:pStyle w:val="Heading1"/>
        <w:tabs>
          <w:tab w:val="left" w:pos="720"/>
        </w:tabs>
        <w:spacing w:line="276" w:lineRule="auto"/>
        <w:ind w:left="990" w:hanging="90"/>
        <w:jc w:val="both"/>
        <w:rPr>
          <w:rFonts w:asciiTheme="minorHAnsi" w:hAnsiTheme="minorHAnsi" w:cstheme="minorHAnsi"/>
          <w:color w:val="000000" w:themeColor="text1"/>
        </w:rPr>
      </w:pPr>
      <w:bookmarkStart w:id="8" w:name="_Toc216692790"/>
      <w:r w:rsidRPr="00761D56">
        <w:rPr>
          <w:rFonts w:asciiTheme="minorHAnsi" w:hAnsiTheme="minorHAnsi" w:cstheme="minorHAnsi"/>
          <w:color w:val="000000" w:themeColor="text1"/>
        </w:rPr>
        <w:t xml:space="preserve">Article 5 &amp; 12 - </w:t>
      </w:r>
      <w:r w:rsidR="00F210EC" w:rsidRPr="00761D56">
        <w:rPr>
          <w:rFonts w:asciiTheme="minorHAnsi" w:hAnsiTheme="minorHAnsi" w:cstheme="minorHAnsi"/>
          <w:color w:val="000000" w:themeColor="text1"/>
        </w:rPr>
        <w:t>P</w:t>
      </w:r>
      <w:r w:rsidRPr="00761D56">
        <w:rPr>
          <w:rFonts w:asciiTheme="minorHAnsi" w:hAnsiTheme="minorHAnsi" w:cstheme="minorHAnsi"/>
          <w:color w:val="000000" w:themeColor="text1"/>
        </w:rPr>
        <w:t>arental guideline and child’s evolving capacities, Respect for the views of the child</w:t>
      </w:r>
      <w:bookmarkEnd w:id="8"/>
    </w:p>
    <w:p w14:paraId="533CBEE6" w14:textId="688DD96A" w:rsidR="007955AC" w:rsidRPr="00761D56" w:rsidRDefault="007955AC" w:rsidP="008F24DD">
      <w:pPr>
        <w:pStyle w:val="Default"/>
        <w:numPr>
          <w:ilvl w:val="0"/>
          <w:numId w:val="1"/>
        </w:numPr>
        <w:tabs>
          <w:tab w:val="left" w:pos="720"/>
        </w:tabs>
        <w:spacing w:before="240" w:line="276" w:lineRule="auto"/>
        <w:jc w:val="both"/>
        <w:rPr>
          <w:rFonts w:asciiTheme="minorHAnsi" w:hAnsiTheme="minorHAnsi" w:cstheme="minorHAnsi"/>
          <w:color w:val="000000" w:themeColor="text1"/>
          <w:shd w:val="clear" w:color="auto" w:fill="FFF2CC" w:themeFill="accent4" w:themeFillTint="33"/>
          <w:lang w:val="en-GB"/>
        </w:rPr>
      </w:pPr>
      <w:r w:rsidRPr="00761D56">
        <w:rPr>
          <w:rFonts w:asciiTheme="minorHAnsi" w:hAnsiTheme="minorHAnsi" w:cstheme="minorHAnsi"/>
          <w:color w:val="000000" w:themeColor="text1"/>
          <w:shd w:val="clear" w:color="auto" w:fill="FFFFFF" w:themeFill="background1"/>
          <w:lang w:val="en-GB"/>
        </w:rPr>
        <w:t>The Child Rights Protection Act (CRPA) defines family in terms of parents, guardians, and legal heirs,</w:t>
      </w:r>
      <w:r w:rsidRPr="00761D56">
        <w:rPr>
          <w:rFonts w:asciiTheme="minorHAnsi" w:hAnsiTheme="minorHAnsi" w:cstheme="minorHAnsi"/>
          <w:color w:val="000000" w:themeColor="text1"/>
          <w:shd w:val="clear" w:color="auto" w:fill="FFFFFF" w:themeFill="background1"/>
          <w:vertAlign w:val="superscript"/>
          <w:lang w:val="en-GB"/>
        </w:rPr>
        <w:endnoteReference w:id="20"/>
      </w:r>
      <w:r w:rsidRPr="00761D56">
        <w:rPr>
          <w:rFonts w:asciiTheme="minorHAnsi" w:hAnsiTheme="minorHAnsi" w:cstheme="minorHAnsi"/>
          <w:color w:val="000000" w:themeColor="text1"/>
          <w:shd w:val="clear" w:color="auto" w:fill="FFFFFF" w:themeFill="background1"/>
          <w:lang w:val="en-GB"/>
        </w:rPr>
        <w:t xml:space="preserve"> emphasising parents’ primary role in ensuring children’s care, protection, and essential needs.</w:t>
      </w:r>
      <w:r w:rsidRPr="00761D56">
        <w:rPr>
          <w:rFonts w:asciiTheme="minorHAnsi" w:hAnsiTheme="minorHAnsi" w:cstheme="minorHAnsi"/>
          <w:color w:val="000000" w:themeColor="text1"/>
          <w:shd w:val="clear" w:color="auto" w:fill="FFFFFF" w:themeFill="background1"/>
          <w:vertAlign w:val="superscript"/>
          <w:lang w:val="en-GB"/>
        </w:rPr>
        <w:endnoteReference w:id="21"/>
      </w:r>
      <w:r w:rsidRPr="00761D56">
        <w:rPr>
          <w:rFonts w:asciiTheme="minorHAnsi" w:hAnsiTheme="minorHAnsi" w:cstheme="minorHAnsi"/>
          <w:color w:val="000000" w:themeColor="text1"/>
          <w:shd w:val="clear" w:color="auto" w:fill="FFFFFF" w:themeFill="background1"/>
          <w:lang w:val="en-GB"/>
        </w:rPr>
        <w:t xml:space="preserve"> Parental rights include custody, guardianship, preservation of family relationships, and the right to seek redress.</w:t>
      </w:r>
      <w:r w:rsidRPr="00761D56">
        <w:rPr>
          <w:rFonts w:asciiTheme="minorHAnsi" w:hAnsiTheme="minorHAnsi" w:cstheme="minorHAnsi"/>
          <w:color w:val="000000" w:themeColor="text1"/>
          <w:shd w:val="clear" w:color="auto" w:fill="FFFFFF" w:themeFill="background1"/>
          <w:vertAlign w:val="superscript"/>
          <w:lang w:val="en-GB"/>
        </w:rPr>
        <w:endnoteReference w:id="22"/>
      </w:r>
      <w:r w:rsidR="00747E9C">
        <w:rPr>
          <w:rFonts w:asciiTheme="minorHAnsi" w:hAnsiTheme="minorHAnsi" w:cstheme="minorHAnsi"/>
          <w:color w:val="000000" w:themeColor="text1"/>
          <w:shd w:val="clear" w:color="auto" w:fill="FFFFFF" w:themeFill="background1"/>
          <w:lang w:val="en-GB"/>
        </w:rPr>
        <w:t xml:space="preserve"> </w:t>
      </w:r>
      <w:r w:rsidRPr="00761D56">
        <w:rPr>
          <w:rFonts w:asciiTheme="minorHAnsi" w:hAnsiTheme="minorHAnsi" w:cstheme="minorHAnsi"/>
          <w:color w:val="000000" w:themeColor="text1"/>
          <w:shd w:val="clear" w:color="auto" w:fill="FFFFFF" w:themeFill="background1"/>
          <w:lang w:val="en-GB"/>
        </w:rPr>
        <w:t>Families and communities are responsible for safeguarding children’s rights, ensuring their care, providing necessary assistance, and reporting cases of neglect or abuse.</w:t>
      </w:r>
      <w:r w:rsidRPr="00761D56">
        <w:rPr>
          <w:rFonts w:asciiTheme="minorHAnsi" w:hAnsiTheme="minorHAnsi" w:cstheme="minorHAnsi"/>
          <w:color w:val="000000" w:themeColor="text1"/>
          <w:shd w:val="clear" w:color="auto" w:fill="FFFFFF" w:themeFill="background1"/>
          <w:vertAlign w:val="superscript"/>
          <w:lang w:val="en-GB"/>
        </w:rPr>
        <w:endnoteReference w:id="23"/>
      </w:r>
    </w:p>
    <w:p w14:paraId="5C745EA9" w14:textId="77777777" w:rsidR="007955AC" w:rsidRPr="00761D56" w:rsidRDefault="007955AC" w:rsidP="008F24DD">
      <w:pPr>
        <w:pStyle w:val="Default"/>
        <w:numPr>
          <w:ilvl w:val="0"/>
          <w:numId w:val="1"/>
        </w:numPr>
        <w:tabs>
          <w:tab w:val="left" w:pos="720"/>
        </w:tabs>
        <w:spacing w:before="240" w:line="276" w:lineRule="auto"/>
        <w:jc w:val="both"/>
        <w:rPr>
          <w:rFonts w:asciiTheme="minorHAnsi" w:hAnsiTheme="minorHAnsi" w:cstheme="minorHAnsi"/>
          <w:color w:val="000000" w:themeColor="text1"/>
          <w:shd w:val="clear" w:color="auto" w:fill="FFF2CC" w:themeFill="accent4" w:themeFillTint="33"/>
          <w:lang w:val="en-GB"/>
        </w:rPr>
      </w:pPr>
      <w:r w:rsidRPr="00761D56">
        <w:rPr>
          <w:rFonts w:asciiTheme="minorHAnsi" w:hAnsiTheme="minorHAnsi" w:cstheme="minorHAnsi"/>
          <w:color w:val="000000" w:themeColor="text1"/>
          <w:shd w:val="clear" w:color="auto" w:fill="FFFFFF" w:themeFill="background1"/>
        </w:rPr>
        <w:t>The CRPA allows children to express their views on matters affecting them, giving due weight according to age and maturity.</w:t>
      </w:r>
      <w:r w:rsidRPr="00761D56">
        <w:rPr>
          <w:rFonts w:asciiTheme="minorHAnsi" w:hAnsiTheme="minorHAnsi" w:cstheme="minorHAnsi"/>
          <w:color w:val="000000" w:themeColor="text1"/>
          <w:shd w:val="clear" w:color="auto" w:fill="FFFFFF" w:themeFill="background1"/>
          <w:vertAlign w:val="superscript"/>
        </w:rPr>
        <w:endnoteReference w:id="24"/>
      </w:r>
      <w:r w:rsidRPr="00761D56">
        <w:rPr>
          <w:rFonts w:asciiTheme="minorHAnsi" w:hAnsiTheme="minorHAnsi" w:cstheme="minorHAnsi"/>
          <w:color w:val="000000" w:themeColor="text1"/>
          <w:shd w:val="clear" w:color="auto" w:fill="FFFFFF" w:themeFill="background1"/>
        </w:rPr>
        <w:t xml:space="preserve"> The child’s best interests must be determined case by case, considering individuality, views, circumstances,</w:t>
      </w:r>
      <w:r w:rsidRPr="00761D56">
        <w:rPr>
          <w:rFonts w:asciiTheme="minorHAnsi" w:hAnsiTheme="minorHAnsi" w:cstheme="minorHAnsi"/>
          <w:color w:val="000000" w:themeColor="text1"/>
          <w:shd w:val="clear" w:color="auto" w:fill="FFFFFF" w:themeFill="background1"/>
          <w:vertAlign w:val="superscript"/>
        </w:rPr>
        <w:endnoteReference w:id="25"/>
      </w:r>
      <w:r w:rsidRPr="00761D56">
        <w:rPr>
          <w:rFonts w:asciiTheme="minorHAnsi" w:hAnsiTheme="minorHAnsi" w:cstheme="minorHAnsi"/>
          <w:color w:val="000000" w:themeColor="text1"/>
          <w:shd w:val="clear" w:color="auto" w:fill="FFFFFF" w:themeFill="background1"/>
        </w:rPr>
        <w:t xml:space="preserve"> and evolving capacities, while recognizing the central role of parental authority.</w:t>
      </w:r>
      <w:r w:rsidRPr="00761D56">
        <w:rPr>
          <w:rFonts w:asciiTheme="minorHAnsi" w:hAnsiTheme="minorHAnsi" w:cstheme="minorHAnsi"/>
          <w:color w:val="000000" w:themeColor="text1"/>
          <w:shd w:val="clear" w:color="auto" w:fill="FFFFFF" w:themeFill="background1"/>
          <w:vertAlign w:val="superscript"/>
        </w:rPr>
        <w:endnoteReference w:id="26"/>
      </w:r>
      <w:r w:rsidRPr="00761D56">
        <w:rPr>
          <w:rFonts w:asciiTheme="minorHAnsi" w:hAnsiTheme="minorHAnsi" w:cstheme="minorHAnsi"/>
          <w:color w:val="000000" w:themeColor="text1"/>
          <w:shd w:val="clear" w:color="auto" w:fill="FFFFFF" w:themeFill="background1"/>
        </w:rPr>
        <w:t xml:space="preserve"> </w:t>
      </w:r>
    </w:p>
    <w:p w14:paraId="776062D1" w14:textId="2D69BFE9" w:rsidR="007955AC" w:rsidRPr="00761D56" w:rsidRDefault="007955AC" w:rsidP="008F24DD">
      <w:pPr>
        <w:pStyle w:val="Default"/>
        <w:numPr>
          <w:ilvl w:val="0"/>
          <w:numId w:val="1"/>
        </w:numPr>
        <w:tabs>
          <w:tab w:val="left" w:pos="720"/>
        </w:tabs>
        <w:spacing w:before="240" w:line="276" w:lineRule="auto"/>
        <w:jc w:val="both"/>
        <w:rPr>
          <w:rFonts w:asciiTheme="minorHAnsi" w:hAnsiTheme="minorHAnsi" w:cstheme="minorHAnsi"/>
          <w:color w:val="000000" w:themeColor="text1"/>
          <w:shd w:val="clear" w:color="auto" w:fill="FFF2CC" w:themeFill="accent4" w:themeFillTint="33"/>
          <w:lang w:val="en-GB"/>
        </w:rPr>
      </w:pPr>
      <w:r w:rsidRPr="00761D56">
        <w:rPr>
          <w:rFonts w:asciiTheme="minorHAnsi" w:hAnsiTheme="minorHAnsi" w:cstheme="minorHAnsi"/>
          <w:color w:val="000000" w:themeColor="text1"/>
          <w:shd w:val="clear" w:color="auto" w:fill="FFFFFF" w:themeFill="background1"/>
          <w:lang w:val="en-GB"/>
        </w:rPr>
        <w:lastRenderedPageBreak/>
        <w:t xml:space="preserve">However, the CRPA does not explicitly incorporate the concept of "sufficient understanding" as a threshold for granting children’s autonomy in decision-making, as outlined in General Comment No. 12, nor does it explicitly state that a child's decision should override parental authority when the child possesses sufficient understanding. Additionally, the CRPA lacks clear guidelines or criteria for assessing a child's evolving capacity in relation to decision-making independence over parental authority. </w:t>
      </w:r>
    </w:p>
    <w:p w14:paraId="47BBDB92" w14:textId="24DAA2BB" w:rsidR="007955AC" w:rsidRPr="00761D56" w:rsidRDefault="00DA5F99" w:rsidP="008F24DD">
      <w:pPr>
        <w:pStyle w:val="Default"/>
        <w:numPr>
          <w:ilvl w:val="0"/>
          <w:numId w:val="1"/>
        </w:numPr>
        <w:tabs>
          <w:tab w:val="left" w:pos="720"/>
        </w:tabs>
        <w:spacing w:before="240" w:line="276" w:lineRule="auto"/>
        <w:jc w:val="both"/>
        <w:rPr>
          <w:rFonts w:asciiTheme="minorHAnsi" w:hAnsiTheme="minorHAnsi" w:cstheme="minorHAnsi"/>
          <w:color w:val="000000" w:themeColor="text1"/>
          <w:shd w:val="clear" w:color="auto" w:fill="FFF2CC" w:themeFill="accent4" w:themeFillTint="33"/>
          <w:lang w:val="en-GB"/>
        </w:rPr>
      </w:pPr>
      <w:r w:rsidRPr="00761D56">
        <w:rPr>
          <w:rFonts w:asciiTheme="minorHAnsi" w:hAnsiTheme="minorHAnsi" w:cstheme="minorHAnsi"/>
          <w:color w:val="000000" w:themeColor="text1"/>
          <w:lang w:val="en-GB"/>
        </w:rPr>
        <w:t>Although not widespread, children’s participation in decisions affecting them remains limited, with parental influence at times overriding their interests</w:t>
      </w:r>
      <w:r w:rsidR="00747E9C">
        <w:rPr>
          <w:rFonts w:asciiTheme="minorHAnsi" w:hAnsiTheme="minorHAnsi" w:cstheme="minorHAnsi"/>
          <w:color w:val="000000" w:themeColor="text1"/>
          <w:lang w:val="en-GB"/>
        </w:rPr>
        <w:t>,</w:t>
      </w:r>
      <w:r w:rsidRPr="00761D56">
        <w:rPr>
          <w:rFonts w:asciiTheme="minorHAnsi" w:hAnsiTheme="minorHAnsi" w:cstheme="minorHAnsi"/>
          <w:color w:val="000000" w:themeColor="text1"/>
          <w:lang w:val="en-GB"/>
        </w:rPr>
        <w:t xml:space="preserve"> particularly in education, where parents may pressure children to pursue higher-level exams or specific academic streams over preferred alternatives such as technical or BTEC programs.</w:t>
      </w:r>
      <w:r w:rsidR="007955AC" w:rsidRPr="00761D56">
        <w:rPr>
          <w:rStyle w:val="EndnoteReference"/>
          <w:rFonts w:asciiTheme="minorHAnsi" w:hAnsiTheme="minorHAnsi" w:cstheme="minorHAnsi"/>
          <w:color w:val="000000" w:themeColor="text1"/>
        </w:rPr>
        <w:endnoteReference w:id="27"/>
      </w:r>
      <w:r w:rsidR="007955AC" w:rsidRPr="00761D56">
        <w:rPr>
          <w:rFonts w:asciiTheme="minorHAnsi" w:hAnsiTheme="minorHAnsi" w:cstheme="minorHAnsi"/>
          <w:color w:val="000000" w:themeColor="text1"/>
        </w:rPr>
        <w:t xml:space="preserve"> </w:t>
      </w:r>
    </w:p>
    <w:p w14:paraId="3EDC15B4" w14:textId="58A5D4D6" w:rsidR="007955AC" w:rsidRPr="00761D56" w:rsidRDefault="007955AC" w:rsidP="008F24DD">
      <w:pPr>
        <w:pStyle w:val="ListParagraph"/>
        <w:numPr>
          <w:ilvl w:val="0"/>
          <w:numId w:val="1"/>
        </w:numPr>
        <w:tabs>
          <w:tab w:val="left" w:pos="720"/>
        </w:tabs>
        <w:spacing w:before="240" w:after="0" w:line="276" w:lineRule="auto"/>
        <w:contextualSpacing w:val="0"/>
        <w:jc w:val="both"/>
        <w:rPr>
          <w:rFonts w:cstheme="minorHAnsi"/>
          <w:color w:val="000000" w:themeColor="text1"/>
          <w:sz w:val="24"/>
          <w:szCs w:val="24"/>
        </w:rPr>
      </w:pPr>
      <w:r w:rsidRPr="00761D56">
        <w:rPr>
          <w:rFonts w:cstheme="minorHAnsi"/>
          <w:color w:val="000000" w:themeColor="text1"/>
          <w:sz w:val="24"/>
          <w:szCs w:val="24"/>
        </w:rPr>
        <w:t xml:space="preserve">Right Side of </w:t>
      </w:r>
      <w:r w:rsidR="00747E9C">
        <w:rPr>
          <w:rFonts w:cstheme="minorHAnsi"/>
          <w:color w:val="000000" w:themeColor="text1"/>
          <w:sz w:val="24"/>
          <w:szCs w:val="24"/>
        </w:rPr>
        <w:t>L</w:t>
      </w:r>
      <w:r w:rsidRPr="00761D56">
        <w:rPr>
          <w:rFonts w:cstheme="minorHAnsi"/>
          <w:color w:val="000000" w:themeColor="text1"/>
          <w:sz w:val="24"/>
          <w:szCs w:val="24"/>
        </w:rPr>
        <w:t xml:space="preserve">ife </w:t>
      </w:r>
      <w:r w:rsidR="00747E9C">
        <w:rPr>
          <w:rFonts w:cstheme="minorHAnsi"/>
          <w:color w:val="000000" w:themeColor="text1"/>
          <w:sz w:val="24"/>
          <w:szCs w:val="24"/>
        </w:rPr>
        <w:t>S</w:t>
      </w:r>
      <w:r w:rsidRPr="00761D56">
        <w:rPr>
          <w:rFonts w:cstheme="minorHAnsi"/>
          <w:color w:val="000000" w:themeColor="text1"/>
          <w:sz w:val="24"/>
          <w:szCs w:val="24"/>
        </w:rPr>
        <w:t xml:space="preserve">urvey conducted by HRCM in 2024 to assess public awareness of human rights revealed various reasons cited for physically punishing children, as illustrated in Chart </w:t>
      </w:r>
      <w:r w:rsidR="00A3450D" w:rsidRPr="00761D56">
        <w:rPr>
          <w:rFonts w:cstheme="minorHAnsi"/>
          <w:color w:val="000000" w:themeColor="text1"/>
          <w:sz w:val="24"/>
          <w:szCs w:val="24"/>
        </w:rPr>
        <w:t>1</w:t>
      </w:r>
      <w:r w:rsidRPr="00761D56">
        <w:rPr>
          <w:rFonts w:cstheme="minorHAnsi"/>
          <w:color w:val="000000" w:themeColor="text1"/>
          <w:sz w:val="24"/>
          <w:szCs w:val="24"/>
        </w:rPr>
        <w:t xml:space="preserve">. </w:t>
      </w:r>
      <w:r w:rsidRPr="00761D56">
        <w:rPr>
          <w:rStyle w:val="Strong"/>
          <w:rFonts w:eastAsiaTheme="majorEastAsia" w:cstheme="minorHAnsi"/>
          <w:b w:val="0"/>
          <w:bCs w:val="0"/>
          <w:color w:val="000000" w:themeColor="text1"/>
          <w:sz w:val="24"/>
          <w:szCs w:val="24"/>
        </w:rPr>
        <w:t>This highlights</w:t>
      </w:r>
      <w:r w:rsidRPr="00761D56">
        <w:rPr>
          <w:rFonts w:cstheme="minorHAnsi"/>
          <w:b/>
          <w:bCs/>
          <w:color w:val="000000" w:themeColor="text1"/>
          <w:sz w:val="24"/>
          <w:szCs w:val="24"/>
        </w:rPr>
        <w:t xml:space="preserve"> </w:t>
      </w:r>
      <w:r w:rsidRPr="00761D56">
        <w:rPr>
          <w:rFonts w:cstheme="minorHAnsi"/>
          <w:color w:val="000000" w:themeColor="text1"/>
          <w:sz w:val="24"/>
          <w:szCs w:val="24"/>
        </w:rPr>
        <w:t>a disconnect between legal prohibitions on corporal punishment and prevailing cultural and societal attitudes, underscoring the need to align caregiving practices with non-violent, rights-based approaches to parenting.</w:t>
      </w:r>
      <w:r w:rsidRPr="00761D56">
        <w:rPr>
          <w:rStyle w:val="EndnoteReference"/>
          <w:rFonts w:cstheme="minorHAnsi"/>
          <w:color w:val="000000" w:themeColor="text1"/>
          <w:sz w:val="24"/>
          <w:szCs w:val="24"/>
        </w:rPr>
        <w:endnoteReference w:id="28"/>
      </w:r>
    </w:p>
    <w:p w14:paraId="7B41B82A" w14:textId="5A08914D" w:rsidR="003278CB" w:rsidRPr="00761D56" w:rsidRDefault="00867ED1" w:rsidP="008F24DD">
      <w:pPr>
        <w:pStyle w:val="Default"/>
        <w:tabs>
          <w:tab w:val="left" w:pos="720"/>
        </w:tabs>
        <w:spacing w:before="240" w:line="276" w:lineRule="auto"/>
        <w:ind w:left="990" w:hanging="270"/>
        <w:jc w:val="center"/>
        <w:rPr>
          <w:rFonts w:asciiTheme="minorHAnsi" w:hAnsiTheme="minorHAnsi" w:cstheme="minorHAnsi"/>
          <w:i/>
          <w:iCs/>
          <w:color w:val="000000" w:themeColor="text1"/>
          <w:sz w:val="20"/>
          <w:szCs w:val="20"/>
          <w:shd w:val="clear" w:color="auto" w:fill="E2EFD9" w:themeFill="accent6" w:themeFillTint="33"/>
          <w:lang w:val="en-GB"/>
        </w:rPr>
      </w:pPr>
      <w:r w:rsidRPr="00761D56">
        <w:rPr>
          <w:noProof/>
          <w:color w:val="000000" w:themeColor="text1"/>
        </w:rPr>
        <w:drawing>
          <wp:inline distT="0" distB="0" distL="0" distR="0" wp14:anchorId="15BB19A8" wp14:editId="6F751FCC">
            <wp:extent cx="3527946" cy="2579039"/>
            <wp:effectExtent l="0" t="0" r="15875" b="12065"/>
            <wp:docPr id="67878623" name="Chart 1">
              <a:extLst xmlns:a="http://schemas.openxmlformats.org/drawingml/2006/main">
                <a:ext uri="{FF2B5EF4-FFF2-40B4-BE49-F238E27FC236}">
                  <a16:creationId xmlns:a16="http://schemas.microsoft.com/office/drawing/2014/main" id="{D48EEE2F-E96F-CE92-E02A-88FDD6C6A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7A9605" w14:textId="1F4A2AB8" w:rsidR="007955AC" w:rsidRPr="00761D56" w:rsidRDefault="007955AC" w:rsidP="008F24DD">
      <w:pPr>
        <w:pStyle w:val="Default"/>
        <w:tabs>
          <w:tab w:val="left" w:pos="720"/>
        </w:tabs>
        <w:spacing w:before="240" w:line="276" w:lineRule="auto"/>
        <w:ind w:left="990" w:hanging="270"/>
        <w:jc w:val="center"/>
        <w:rPr>
          <w:rFonts w:asciiTheme="minorHAnsi" w:hAnsiTheme="minorHAnsi" w:cstheme="minorHAnsi"/>
          <w:color w:val="000000" w:themeColor="text1"/>
          <w:vertAlign w:val="superscript"/>
          <w:lang w:val="en-GB"/>
        </w:rPr>
      </w:pPr>
      <w:r w:rsidRPr="00761D56">
        <w:rPr>
          <w:rFonts w:asciiTheme="minorHAnsi" w:hAnsiTheme="minorHAnsi" w:cstheme="minorHAnsi"/>
          <w:i/>
          <w:iCs/>
          <w:color w:val="000000" w:themeColor="text1"/>
          <w:sz w:val="20"/>
          <w:szCs w:val="20"/>
          <w:lang w:val="en-GB"/>
        </w:rPr>
        <w:t xml:space="preserve">Chart </w:t>
      </w:r>
      <w:r w:rsidR="00A3450D" w:rsidRPr="00761D56">
        <w:rPr>
          <w:rFonts w:asciiTheme="minorHAnsi" w:hAnsiTheme="minorHAnsi" w:cstheme="minorHAnsi"/>
          <w:i/>
          <w:iCs/>
          <w:color w:val="000000" w:themeColor="text1"/>
          <w:sz w:val="20"/>
          <w:szCs w:val="20"/>
          <w:lang w:val="en-GB"/>
        </w:rPr>
        <w:t>1</w:t>
      </w:r>
      <w:r w:rsidRPr="00761D56">
        <w:rPr>
          <w:rFonts w:asciiTheme="minorHAnsi" w:hAnsiTheme="minorHAnsi" w:cstheme="minorHAnsi"/>
          <w:i/>
          <w:iCs/>
          <w:color w:val="000000" w:themeColor="text1"/>
          <w:sz w:val="20"/>
          <w:szCs w:val="20"/>
          <w:lang w:val="en-GB"/>
        </w:rPr>
        <w:t>: HRCM’s survey “Beyond two decades: 20 years of the ‘Rights’ Side of Life”</w:t>
      </w:r>
    </w:p>
    <w:p w14:paraId="3ED9F6C3" w14:textId="77777777" w:rsidR="007955AC" w:rsidRPr="00761D56" w:rsidRDefault="007955AC" w:rsidP="008F24DD">
      <w:pPr>
        <w:pStyle w:val="Default"/>
        <w:tabs>
          <w:tab w:val="left" w:pos="720"/>
        </w:tabs>
        <w:spacing w:before="240" w:line="276" w:lineRule="auto"/>
        <w:ind w:left="990" w:hanging="270"/>
        <w:jc w:val="both"/>
        <w:rPr>
          <w:rFonts w:asciiTheme="minorHAnsi" w:hAnsiTheme="minorHAnsi" w:cstheme="minorHAnsi"/>
          <w:b/>
          <w:bCs/>
          <w:color w:val="000000" w:themeColor="text1"/>
          <w:lang w:val="en-GB"/>
        </w:rPr>
      </w:pPr>
      <w:r w:rsidRPr="00761D56">
        <w:rPr>
          <w:rFonts w:asciiTheme="minorHAnsi" w:hAnsiTheme="minorHAnsi" w:cstheme="minorHAnsi"/>
          <w:b/>
          <w:bCs/>
          <w:color w:val="000000" w:themeColor="text1"/>
          <w:lang w:val="en-GB"/>
        </w:rPr>
        <w:t xml:space="preserve">Recommendations </w:t>
      </w:r>
    </w:p>
    <w:p w14:paraId="062091C8" w14:textId="7C088F79" w:rsidR="007955AC" w:rsidRPr="00761D56" w:rsidRDefault="007955AC" w:rsidP="008F24DD">
      <w:pPr>
        <w:pStyle w:val="ListParagraph"/>
        <w:numPr>
          <w:ilvl w:val="0"/>
          <w:numId w:val="4"/>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Strengthen mechanisms to ensure that children’s views are given due weight in accordance with their age and maturity in all matters affecting them. </w:t>
      </w:r>
    </w:p>
    <w:p w14:paraId="2A8568DE" w14:textId="77777777" w:rsidR="007955AC" w:rsidRPr="00761D56" w:rsidRDefault="007955AC" w:rsidP="008F24DD">
      <w:pPr>
        <w:pStyle w:val="ListParagraph"/>
        <w:numPr>
          <w:ilvl w:val="0"/>
          <w:numId w:val="4"/>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Expand accessible and culturally sensitive parenting education programs that promote positive, non-violent, and rights-based caregiving, incorporating a clear </w:t>
      </w:r>
      <w:r w:rsidRPr="00761D56">
        <w:rPr>
          <w:rFonts w:cstheme="minorHAnsi"/>
          <w:b/>
          <w:bCs/>
          <w:color w:val="000000" w:themeColor="text1"/>
          <w:sz w:val="24"/>
          <w:szCs w:val="24"/>
        </w:rPr>
        <w:lastRenderedPageBreak/>
        <w:t>understanding of children’s evolving capacities and the need to respect their autonomy.</w:t>
      </w:r>
    </w:p>
    <w:p w14:paraId="4B767F9C" w14:textId="512DEDC2" w:rsidR="007955AC" w:rsidRPr="00761D56" w:rsidRDefault="007955AC" w:rsidP="008F24DD">
      <w:pPr>
        <w:pStyle w:val="ListParagraph"/>
        <w:numPr>
          <w:ilvl w:val="0"/>
          <w:numId w:val="4"/>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Implement nationwide public education campaigns to raise awareness of children’s rights, particularly the importance of positive, non-violent discipline, targeting caregivers, educators, and community leaders to promote attitudinal change in line with the CRC.</w:t>
      </w:r>
    </w:p>
    <w:p w14:paraId="338D2765" w14:textId="6F9C1A53" w:rsidR="007955AC" w:rsidRPr="00761D56" w:rsidRDefault="007955AC" w:rsidP="008F24DD">
      <w:pPr>
        <w:tabs>
          <w:tab w:val="left" w:pos="720"/>
        </w:tabs>
        <w:spacing w:before="240" w:after="0" w:line="276" w:lineRule="auto"/>
        <w:jc w:val="both"/>
        <w:rPr>
          <w:rFonts w:cstheme="minorHAnsi"/>
          <w:b/>
          <w:bCs/>
          <w:color w:val="000000" w:themeColor="text1"/>
          <w:sz w:val="24"/>
          <w:szCs w:val="24"/>
        </w:rPr>
      </w:pPr>
    </w:p>
    <w:p w14:paraId="67256C24" w14:textId="2209D421"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9" w:name="_Toc216692791"/>
      <w:r w:rsidRPr="00761D56">
        <w:rPr>
          <w:rFonts w:asciiTheme="minorHAnsi" w:hAnsiTheme="minorHAnsi" w:cstheme="minorHAnsi"/>
          <w:color w:val="000000" w:themeColor="text1"/>
        </w:rPr>
        <w:t xml:space="preserve">Article 7 &amp; 8 </w:t>
      </w:r>
      <w:r w:rsidR="00165912" w:rsidRPr="00761D56">
        <w:rPr>
          <w:rFonts w:asciiTheme="minorHAnsi" w:hAnsiTheme="minorHAnsi" w:cstheme="minorHAnsi"/>
          <w:color w:val="000000" w:themeColor="text1"/>
        </w:rPr>
        <w:t xml:space="preserve">- </w:t>
      </w:r>
      <w:r w:rsidRPr="00761D56">
        <w:rPr>
          <w:rFonts w:asciiTheme="minorHAnsi" w:hAnsiTheme="minorHAnsi" w:cstheme="minorHAnsi"/>
          <w:color w:val="000000" w:themeColor="text1"/>
        </w:rPr>
        <w:t>Registration, name, nationality, care and Preservation of Identity</w:t>
      </w:r>
      <w:bookmarkEnd w:id="9"/>
    </w:p>
    <w:p w14:paraId="58D74762" w14:textId="1AE3C053"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Parents are required to register a child’s birth immediately after delivery;</w:t>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vertAlign w:val="superscript"/>
        </w:rPr>
        <w:endnoteReference w:id="29"/>
      </w:r>
      <w:r w:rsidRPr="00761D56">
        <w:rPr>
          <w:rFonts w:cstheme="minorHAnsi"/>
          <w:color w:val="000000" w:themeColor="text1"/>
          <w:sz w:val="24"/>
          <w:szCs w:val="24"/>
        </w:rPr>
        <w:t xml:space="preserve"> if they neglect this duty, the State can register the child’s birth directly or through another party.</w:t>
      </w:r>
      <w:r w:rsidRPr="00761D56">
        <w:rPr>
          <w:rFonts w:cstheme="minorHAnsi"/>
          <w:color w:val="000000" w:themeColor="text1"/>
          <w:sz w:val="24"/>
          <w:szCs w:val="24"/>
          <w:vertAlign w:val="superscript"/>
        </w:rPr>
        <w:endnoteReference w:id="30"/>
      </w:r>
      <w:r w:rsidRPr="00761D56">
        <w:rPr>
          <w:rFonts w:cstheme="minorHAnsi"/>
          <w:color w:val="000000" w:themeColor="text1"/>
          <w:sz w:val="24"/>
          <w:szCs w:val="24"/>
        </w:rPr>
        <w:t xml:space="preserve"> All births occurring in the country must be reported within seven days,</w:t>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vertAlign w:val="superscript"/>
        </w:rPr>
        <w:endnoteReference w:id="31"/>
      </w:r>
      <w:r w:rsidRPr="00761D56">
        <w:rPr>
          <w:rFonts w:cstheme="minorHAnsi"/>
          <w:color w:val="000000" w:themeColor="text1"/>
          <w:sz w:val="24"/>
          <w:szCs w:val="24"/>
        </w:rPr>
        <w:t xml:space="preserve"> with non-compliance by parents or other designated individuals subject to penalties of up to MVR 10,000.</w:t>
      </w:r>
      <w:r w:rsidRPr="00761D56">
        <w:rPr>
          <w:rFonts w:cstheme="minorHAnsi"/>
          <w:color w:val="000000" w:themeColor="text1"/>
          <w:sz w:val="24"/>
          <w:szCs w:val="24"/>
          <w:vertAlign w:val="superscript"/>
        </w:rPr>
        <w:endnoteReference w:id="32"/>
      </w:r>
      <w:r w:rsidRPr="00761D56">
        <w:rPr>
          <w:rFonts w:cstheme="minorHAnsi"/>
          <w:color w:val="000000" w:themeColor="text1"/>
          <w:sz w:val="24"/>
          <w:szCs w:val="24"/>
        </w:rPr>
        <w:t xml:space="preserve">  However, no fines have been issued to date, indicating that while the regulation prescribes sanctions, it has not been enforced in practice.</w:t>
      </w:r>
      <w:r w:rsidRPr="00761D56">
        <w:rPr>
          <w:rStyle w:val="EndnoteReference"/>
          <w:rFonts w:cstheme="minorHAnsi"/>
          <w:color w:val="000000" w:themeColor="text1"/>
          <w:sz w:val="24"/>
          <w:szCs w:val="24"/>
        </w:rPr>
        <w:endnoteReference w:id="33"/>
      </w:r>
      <w:r w:rsidRPr="00761D56">
        <w:rPr>
          <w:rFonts w:cstheme="minorHAnsi"/>
          <w:color w:val="000000" w:themeColor="text1"/>
          <w:sz w:val="24"/>
          <w:szCs w:val="24"/>
        </w:rPr>
        <w:t xml:space="preserve"> While birth registration rates in the Maldives remain high, less than 1% of children under five remain unregistered.</w:t>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vertAlign w:val="superscript"/>
        </w:rPr>
        <w:endnoteReference w:id="34"/>
      </w:r>
    </w:p>
    <w:p w14:paraId="37B1D903" w14:textId="70696629"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Family and marriage matters are governed by </w:t>
      </w:r>
      <w:r w:rsidR="00120D79" w:rsidRPr="00761D56">
        <w:rPr>
          <w:rFonts w:cstheme="minorHAnsi"/>
          <w:color w:val="000000" w:themeColor="text1"/>
          <w:sz w:val="24"/>
          <w:szCs w:val="24"/>
        </w:rPr>
        <w:t>Family Act (Act No 4/2000)</w:t>
      </w:r>
      <w:r w:rsidRPr="00761D56">
        <w:rPr>
          <w:rFonts w:cstheme="minorHAnsi"/>
          <w:color w:val="000000" w:themeColor="text1"/>
          <w:sz w:val="24"/>
          <w:szCs w:val="24"/>
        </w:rPr>
        <w:t xml:space="preserve"> under which a marriage is legally recognized only if it is registered and solemnized.</w:t>
      </w:r>
      <w:r w:rsidRPr="00761D56">
        <w:rPr>
          <w:rFonts w:cstheme="minorHAnsi"/>
          <w:color w:val="000000" w:themeColor="text1"/>
          <w:sz w:val="24"/>
          <w:szCs w:val="24"/>
          <w:vertAlign w:val="superscript"/>
        </w:rPr>
        <w:endnoteReference w:id="35"/>
      </w:r>
      <w:r w:rsidRPr="00761D56">
        <w:rPr>
          <w:rFonts w:cstheme="minorHAnsi"/>
          <w:color w:val="000000" w:themeColor="text1"/>
          <w:sz w:val="24"/>
          <w:szCs w:val="24"/>
        </w:rPr>
        <w:t xml:space="preserve">  For children born abroad to Maldivian citizens, birth registration must be completed within six months of the child’s return to the country.</w:t>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vertAlign w:val="superscript"/>
        </w:rPr>
        <w:endnoteReference w:id="36"/>
      </w:r>
      <w:r w:rsidRPr="00761D56">
        <w:rPr>
          <w:rFonts w:cstheme="minorHAnsi"/>
          <w:color w:val="000000" w:themeColor="text1"/>
          <w:sz w:val="24"/>
          <w:szCs w:val="24"/>
        </w:rPr>
        <w:t xml:space="preserve"> However, this process is often delayed due to the difficulties in obtaining essential documents, such as foreign birth certificates.</w:t>
      </w:r>
      <w:r w:rsidRPr="00761D56">
        <w:rPr>
          <w:rFonts w:cstheme="minorHAnsi"/>
          <w:color w:val="000000" w:themeColor="text1"/>
          <w:sz w:val="24"/>
          <w:szCs w:val="24"/>
          <w:vertAlign w:val="superscript"/>
        </w:rPr>
        <w:endnoteReference w:id="37"/>
      </w:r>
    </w:p>
    <w:p w14:paraId="554E0E57" w14:textId="1CFC50B6"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Although cases documented by MoSFD regarding birth registration and the acquiring of national ID cards are relatively few (see chart </w:t>
      </w:r>
      <w:r w:rsidR="00A3450D" w:rsidRPr="00761D56">
        <w:rPr>
          <w:rFonts w:cstheme="minorHAnsi"/>
          <w:color w:val="000000" w:themeColor="text1"/>
          <w:sz w:val="24"/>
          <w:szCs w:val="24"/>
        </w:rPr>
        <w:t>2</w:t>
      </w:r>
      <w:r w:rsidRPr="00761D56">
        <w:rPr>
          <w:rFonts w:cstheme="minorHAnsi"/>
          <w:color w:val="000000" w:themeColor="text1"/>
          <w:sz w:val="24"/>
          <w:szCs w:val="24"/>
        </w:rPr>
        <w:t>), they highlight structural barriers that hinder timely registration and limit access to legal identity documents. Such challenges disproportionately affect children in vulnerable situations, potentially limiting their access to social benefits and other essential services.</w:t>
      </w:r>
      <w:r w:rsidRPr="00761D56">
        <w:rPr>
          <w:rStyle w:val="EndnoteReference"/>
          <w:rFonts w:cstheme="minorHAnsi"/>
          <w:color w:val="000000" w:themeColor="text1"/>
          <w:sz w:val="24"/>
          <w:szCs w:val="24"/>
        </w:rPr>
        <w:endnoteReference w:id="38"/>
      </w:r>
      <w:r w:rsidRPr="00761D56">
        <w:rPr>
          <w:rFonts w:cstheme="minorHAnsi"/>
          <w:color w:val="000000" w:themeColor="text1"/>
          <w:sz w:val="24"/>
          <w:szCs w:val="24"/>
        </w:rPr>
        <w:t xml:space="preserve">  </w:t>
      </w:r>
    </w:p>
    <w:p w14:paraId="2E8910AC" w14:textId="77777777" w:rsidR="007955AC" w:rsidRPr="00761D56" w:rsidRDefault="007955AC" w:rsidP="008F24DD">
      <w:pPr>
        <w:pStyle w:val="ListParagraph"/>
        <w:tabs>
          <w:tab w:val="left" w:pos="720"/>
        </w:tabs>
        <w:spacing w:before="240" w:after="0" w:line="276" w:lineRule="auto"/>
        <w:ind w:left="990" w:hanging="270"/>
        <w:jc w:val="center"/>
        <w:rPr>
          <w:rFonts w:cstheme="minorHAnsi"/>
          <w:color w:val="000000" w:themeColor="text1"/>
          <w:sz w:val="24"/>
          <w:szCs w:val="24"/>
        </w:rPr>
      </w:pPr>
      <w:r w:rsidRPr="00761D56">
        <w:rPr>
          <w:rFonts w:cstheme="minorHAnsi"/>
          <w:noProof/>
          <w:color w:val="000000" w:themeColor="text1"/>
          <w:sz w:val="24"/>
          <w:szCs w:val="24"/>
        </w:rPr>
        <w:lastRenderedPageBreak/>
        <w:drawing>
          <wp:inline distT="0" distB="0" distL="0" distR="0" wp14:anchorId="502237EB" wp14:editId="4BC81A99">
            <wp:extent cx="4514850" cy="2857500"/>
            <wp:effectExtent l="0" t="0" r="0" b="0"/>
            <wp:docPr id="1462515971" name="Chart 1">
              <a:extLst xmlns:a="http://schemas.openxmlformats.org/drawingml/2006/main">
                <a:ext uri="{FF2B5EF4-FFF2-40B4-BE49-F238E27FC236}">
                  <a16:creationId xmlns:a16="http://schemas.microsoft.com/office/drawing/2014/main" id="{E631F549-49AC-FEFB-D6F4-4FA3BC4AA4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DBCB7C" w14:textId="4B41CA56" w:rsidR="007955AC" w:rsidRPr="00761D56" w:rsidRDefault="007955AC"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2</w:t>
      </w:r>
      <w:r w:rsidRPr="00761D56">
        <w:rPr>
          <w:rFonts w:cstheme="minorHAnsi"/>
          <w:i/>
          <w:iCs/>
          <w:color w:val="000000" w:themeColor="text1"/>
          <w:sz w:val="24"/>
          <w:szCs w:val="24"/>
        </w:rPr>
        <w:t>: cases documented by Ministry of Social Family Development relating to birth registration and acquiring national ID cards</w:t>
      </w:r>
    </w:p>
    <w:p w14:paraId="290FC218" w14:textId="77777777" w:rsidR="003278CB" w:rsidRPr="00761D56" w:rsidRDefault="003278CB" w:rsidP="008F24DD">
      <w:pPr>
        <w:pStyle w:val="ListParagraph"/>
        <w:tabs>
          <w:tab w:val="left" w:pos="720"/>
        </w:tabs>
        <w:spacing w:before="240" w:after="0" w:line="276" w:lineRule="auto"/>
        <w:ind w:left="990" w:hanging="270"/>
        <w:jc w:val="both"/>
        <w:rPr>
          <w:rFonts w:cstheme="minorHAnsi"/>
          <w:i/>
          <w:iCs/>
          <w:color w:val="000000" w:themeColor="text1"/>
          <w:sz w:val="24"/>
          <w:szCs w:val="24"/>
        </w:rPr>
      </w:pPr>
    </w:p>
    <w:p w14:paraId="38ED1897" w14:textId="7FB312AF" w:rsidR="00F32787"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Between 2016 and 2024, HRCM investigated 5 cases concerning birth registration and acquisition of nationality. Three cases involved delayed child registration linked to unregistered marriages and family law proceedings, which were resolved once administrative or legal barriers were addressed. The fourth case revealed systemic gaps in marriage and divorce registration, where a </w:t>
      </w:r>
      <w:r w:rsidRPr="00761D56">
        <w:rPr>
          <w:rFonts w:cstheme="minorHAnsi"/>
          <w:color w:val="000000" w:themeColor="text1"/>
          <w:sz w:val="24"/>
          <w:szCs w:val="24"/>
          <w:lang w:val="en-US"/>
        </w:rPr>
        <w:t xml:space="preserve">temporary birth registration document and ID card were issued, </w:t>
      </w:r>
      <w:r w:rsidRPr="00761D56">
        <w:rPr>
          <w:rFonts w:cstheme="minorHAnsi"/>
          <w:color w:val="000000" w:themeColor="text1"/>
          <w:sz w:val="24"/>
          <w:szCs w:val="24"/>
        </w:rPr>
        <w:t>leading to temporary remedies and recommendations for regulatory reform. The fifth case involved a Stateless child in long-term State care, highlighting the serious mental health impacts of Statelessness, before the child was re-integrated and registered in 2022.</w:t>
      </w:r>
      <w:bookmarkStart w:id="10" w:name="_Hlk207616408"/>
      <w:r w:rsidR="00F32787" w:rsidRPr="00761D56">
        <w:rPr>
          <w:rFonts w:cstheme="minorHAnsi"/>
          <w:color w:val="000000" w:themeColor="text1"/>
          <w:sz w:val="24"/>
          <w:szCs w:val="24"/>
        </w:rPr>
        <w:t xml:space="preserve"> </w:t>
      </w:r>
    </w:p>
    <w:p w14:paraId="5C71B197" w14:textId="0B647CA5" w:rsidR="00F32787" w:rsidRPr="00761D56" w:rsidRDefault="00F32787" w:rsidP="008F24DD">
      <w:pPr>
        <w:pStyle w:val="ListParagraph"/>
        <w:numPr>
          <w:ilvl w:val="0"/>
          <w:numId w:val="1"/>
        </w:numPr>
        <w:rPr>
          <w:rFonts w:cstheme="minorHAnsi"/>
          <w:color w:val="000000" w:themeColor="text1"/>
          <w:sz w:val="24"/>
          <w:szCs w:val="24"/>
        </w:rPr>
      </w:pPr>
      <w:r w:rsidRPr="00761D56">
        <w:rPr>
          <w:rFonts w:cstheme="minorHAnsi"/>
          <w:color w:val="000000" w:themeColor="text1"/>
          <w:sz w:val="24"/>
          <w:szCs w:val="24"/>
        </w:rPr>
        <w:t>In 2025, the Commission investigated a birth registration case concerning the issuance of an ID card for a child. The matter was raised after it came to light that the child’s parents were married abroad, and their marriage had not been registered with the Maldivian court. Although the marriage registration case was appealed to the High Court, which subsequently ordered the Family Court to register the marriage on the grounds that it complied with Shari</w:t>
      </w:r>
      <w:r w:rsidR="00747E9C">
        <w:rPr>
          <w:rFonts w:cstheme="minorHAnsi"/>
          <w:color w:val="000000" w:themeColor="text1"/>
          <w:sz w:val="24"/>
          <w:szCs w:val="24"/>
        </w:rPr>
        <w:t>’</w:t>
      </w:r>
      <w:r w:rsidRPr="00761D56">
        <w:rPr>
          <w:rFonts w:cstheme="minorHAnsi"/>
          <w:color w:val="000000" w:themeColor="text1"/>
          <w:sz w:val="24"/>
          <w:szCs w:val="24"/>
        </w:rPr>
        <w:t>a principles, complications under domestic law have continued to delay the process and the child still remains without an ID card.</w:t>
      </w:r>
    </w:p>
    <w:p w14:paraId="58899F28" w14:textId="77777777" w:rsidR="007955AC" w:rsidRPr="00761D56" w:rsidRDefault="007955AC"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Recommendations</w:t>
      </w:r>
    </w:p>
    <w:bookmarkEnd w:id="10"/>
    <w:p w14:paraId="32ABA08B" w14:textId="77777777" w:rsidR="007955AC" w:rsidRPr="00761D56" w:rsidRDefault="007955AC" w:rsidP="008F24DD">
      <w:pPr>
        <w:pStyle w:val="ListParagraph"/>
        <w:numPr>
          <w:ilvl w:val="0"/>
          <w:numId w:val="5"/>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Enforce accessible, child-rights-compliant procedures for birth registration, including for children born abroad, by recognising foreign marriage certificates and accepting alternative documentation. </w:t>
      </w:r>
    </w:p>
    <w:p w14:paraId="7D3AB442" w14:textId="77777777" w:rsidR="007955AC" w:rsidRPr="00761D56" w:rsidRDefault="007955AC" w:rsidP="008F24DD">
      <w:pPr>
        <w:pStyle w:val="ListParagraph"/>
        <w:numPr>
          <w:ilvl w:val="0"/>
          <w:numId w:val="5"/>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lastRenderedPageBreak/>
        <w:t xml:space="preserve">Eliminate all structural and administrative barriers that hinder the timely registration and issuance of national identity documents, particularly for children in vulnerable situations, to ensure that no child is denied their right to legal identity, nationality, and family relations due to documentation challenges or the marital status of their parents. </w:t>
      </w:r>
    </w:p>
    <w:p w14:paraId="624B6E6B" w14:textId="77777777" w:rsidR="007955AC" w:rsidRPr="00761D56" w:rsidRDefault="007955AC" w:rsidP="008F24DD">
      <w:pPr>
        <w:tabs>
          <w:tab w:val="left" w:pos="1702"/>
        </w:tabs>
        <w:spacing w:line="276" w:lineRule="auto"/>
        <w:jc w:val="both"/>
        <w:rPr>
          <w:rFonts w:cstheme="minorHAnsi"/>
          <w:color w:val="000000" w:themeColor="text1"/>
        </w:rPr>
      </w:pPr>
    </w:p>
    <w:p w14:paraId="7E5C1271" w14:textId="77777777"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11" w:name="_Toc216692792"/>
      <w:r w:rsidRPr="00761D56">
        <w:rPr>
          <w:rFonts w:asciiTheme="minorHAnsi" w:hAnsiTheme="minorHAnsi" w:cstheme="minorHAnsi"/>
          <w:color w:val="000000" w:themeColor="text1"/>
        </w:rPr>
        <w:t>Article 9 - Separation from parents</w:t>
      </w:r>
      <w:bookmarkEnd w:id="11"/>
    </w:p>
    <w:p w14:paraId="04BF5BE2" w14:textId="45FFB09B" w:rsidR="007955AC" w:rsidRPr="00761D56" w:rsidRDefault="00E12302" w:rsidP="008F24DD">
      <w:pPr>
        <w:pStyle w:val="ListParagraph"/>
        <w:numPr>
          <w:ilvl w:val="0"/>
          <w:numId w:val="1"/>
        </w:numPr>
        <w:tabs>
          <w:tab w:val="left" w:pos="720"/>
        </w:tabs>
        <w:spacing w:before="240" w:after="0" w:line="276" w:lineRule="auto"/>
        <w:jc w:val="both"/>
        <w:rPr>
          <w:rFonts w:cstheme="minorHAnsi"/>
          <w:color w:val="000000" w:themeColor="text1"/>
          <w:sz w:val="24"/>
          <w:szCs w:val="24"/>
          <w:lang w:val="en-US"/>
        </w:rPr>
      </w:pPr>
      <w:r w:rsidRPr="00761D56">
        <w:rPr>
          <w:rFonts w:cstheme="minorHAnsi"/>
          <w:color w:val="000000" w:themeColor="text1"/>
          <w:sz w:val="24"/>
          <w:szCs w:val="24"/>
        </w:rPr>
        <w:t>L</w:t>
      </w:r>
      <w:r w:rsidR="007955AC" w:rsidRPr="00761D56">
        <w:rPr>
          <w:rFonts w:cstheme="minorHAnsi"/>
          <w:color w:val="000000" w:themeColor="text1"/>
          <w:sz w:val="24"/>
          <w:szCs w:val="24"/>
        </w:rPr>
        <w:t>egislative framework emphasises family-based care and prioritises reunification,</w:t>
      </w:r>
      <w:r w:rsidR="007955AC" w:rsidRPr="00761D56">
        <w:rPr>
          <w:rStyle w:val="EndnoteReference"/>
          <w:rFonts w:cstheme="minorHAnsi"/>
          <w:color w:val="000000" w:themeColor="text1"/>
          <w:sz w:val="24"/>
          <w:szCs w:val="24"/>
        </w:rPr>
        <w:endnoteReference w:id="39"/>
      </w:r>
      <w:r w:rsidR="007955AC" w:rsidRPr="00761D56">
        <w:rPr>
          <w:rFonts w:cstheme="minorHAnsi"/>
          <w:color w:val="000000" w:themeColor="text1"/>
          <w:sz w:val="24"/>
          <w:szCs w:val="24"/>
        </w:rPr>
        <w:t xml:space="preserve"> with alternative care intended as a last resort,</w:t>
      </w:r>
      <w:r w:rsidR="007955AC" w:rsidRPr="00761D56">
        <w:rPr>
          <w:rStyle w:val="EndnoteReference"/>
          <w:rFonts w:cstheme="minorHAnsi"/>
          <w:color w:val="000000" w:themeColor="text1"/>
          <w:sz w:val="24"/>
          <w:szCs w:val="24"/>
        </w:rPr>
        <w:endnoteReference w:id="40"/>
      </w:r>
      <w:r w:rsidR="007955AC" w:rsidRPr="00761D56">
        <w:rPr>
          <w:rFonts w:cstheme="minorHAnsi"/>
          <w:color w:val="000000" w:themeColor="text1"/>
          <w:sz w:val="24"/>
          <w:szCs w:val="24"/>
        </w:rPr>
        <w:t xml:space="preserve"> existing safeguards, such as interim court orders,</w:t>
      </w:r>
      <w:r w:rsidR="007955AC" w:rsidRPr="00761D56">
        <w:rPr>
          <w:rStyle w:val="EndnoteReference"/>
          <w:rFonts w:cstheme="minorHAnsi"/>
          <w:color w:val="000000" w:themeColor="text1"/>
          <w:sz w:val="24"/>
          <w:szCs w:val="24"/>
        </w:rPr>
        <w:endnoteReference w:id="41"/>
      </w:r>
      <w:r w:rsidR="007955AC" w:rsidRPr="00761D56">
        <w:rPr>
          <w:rFonts w:cstheme="minorHAnsi"/>
          <w:color w:val="000000" w:themeColor="text1"/>
          <w:sz w:val="24"/>
          <w:szCs w:val="24"/>
        </w:rPr>
        <w:t xml:space="preserve"> parental contact restrictions,</w:t>
      </w:r>
      <w:r w:rsidR="007955AC" w:rsidRPr="00761D56">
        <w:rPr>
          <w:rStyle w:val="EndnoteReference"/>
          <w:rFonts w:cstheme="minorHAnsi"/>
          <w:color w:val="000000" w:themeColor="text1"/>
          <w:sz w:val="24"/>
          <w:szCs w:val="24"/>
        </w:rPr>
        <w:endnoteReference w:id="42"/>
      </w:r>
      <w:r w:rsidR="007955AC" w:rsidRPr="00761D56">
        <w:rPr>
          <w:rFonts w:cstheme="minorHAnsi"/>
          <w:color w:val="000000" w:themeColor="text1"/>
          <w:sz w:val="24"/>
          <w:szCs w:val="24"/>
        </w:rPr>
        <w:t xml:space="preserve">  and emergency removal to State care,</w:t>
      </w:r>
      <w:r w:rsidR="007955AC" w:rsidRPr="00761D56">
        <w:rPr>
          <w:rStyle w:val="EndnoteReference"/>
          <w:rFonts w:cstheme="minorHAnsi"/>
          <w:color w:val="000000" w:themeColor="text1"/>
          <w:sz w:val="24"/>
          <w:szCs w:val="24"/>
        </w:rPr>
        <w:endnoteReference w:id="43"/>
      </w:r>
      <w:r w:rsidR="007955AC" w:rsidRPr="00761D56">
        <w:rPr>
          <w:rFonts w:cstheme="minorHAnsi"/>
          <w:color w:val="000000" w:themeColor="text1"/>
          <w:sz w:val="24"/>
          <w:szCs w:val="24"/>
        </w:rPr>
        <w:t xml:space="preserve"> primarily function as reactive responses rather than proactive efforts to strengthen families</w:t>
      </w:r>
      <w:r w:rsidR="007955AC" w:rsidRPr="00761D56">
        <w:rPr>
          <w:rStyle w:val="EndnoteReference"/>
          <w:rFonts w:cstheme="minorHAnsi"/>
          <w:color w:val="000000" w:themeColor="text1"/>
          <w:sz w:val="24"/>
          <w:szCs w:val="24"/>
        </w:rPr>
        <w:endnoteReference w:id="44"/>
      </w:r>
    </w:p>
    <w:p w14:paraId="3C34A0CD" w14:textId="77777777"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lang w:val="en-US"/>
        </w:rPr>
      </w:pPr>
      <w:r w:rsidRPr="00761D56">
        <w:rPr>
          <w:rFonts w:cstheme="minorHAnsi"/>
          <w:color w:val="000000" w:themeColor="text1"/>
          <w:sz w:val="24"/>
          <w:szCs w:val="24"/>
        </w:rPr>
        <w:t>Authorities are under no binding obligation to develop, fund, or provide family preservation services before deciding to separate a child from their family,</w:t>
      </w:r>
      <w:r w:rsidRPr="00761D56">
        <w:rPr>
          <w:rStyle w:val="EndnoteReference"/>
          <w:rFonts w:cstheme="minorHAnsi"/>
          <w:color w:val="000000" w:themeColor="text1"/>
          <w:sz w:val="24"/>
          <w:szCs w:val="24"/>
        </w:rPr>
        <w:endnoteReference w:id="45"/>
      </w:r>
      <w:r w:rsidRPr="00761D56">
        <w:rPr>
          <w:rFonts w:cstheme="minorHAnsi"/>
          <w:color w:val="000000" w:themeColor="text1"/>
          <w:sz w:val="24"/>
          <w:szCs w:val="24"/>
        </w:rPr>
        <w:t xml:space="preserve"> nor is there any statutory requirement to deliver essential support such as counselling, financial aid, housing assistance, or community-based interventions prior to separation.</w:t>
      </w:r>
      <w:r w:rsidRPr="00761D56">
        <w:rPr>
          <w:rFonts w:cstheme="minorHAnsi"/>
          <w:color w:val="000000" w:themeColor="text1"/>
          <w:sz w:val="24"/>
          <w:szCs w:val="24"/>
          <w:lang w:val="en-US"/>
        </w:rPr>
        <w:t xml:space="preserve"> </w:t>
      </w:r>
      <w:r w:rsidRPr="00761D56">
        <w:rPr>
          <w:rFonts w:cstheme="minorHAnsi"/>
          <w:color w:val="000000" w:themeColor="text1"/>
          <w:sz w:val="24"/>
          <w:szCs w:val="24"/>
        </w:rPr>
        <w:t>Although assessments are required,</w:t>
      </w:r>
      <w:r w:rsidRPr="00761D56">
        <w:rPr>
          <w:rStyle w:val="EndnoteReference"/>
          <w:rFonts w:cstheme="minorHAnsi"/>
          <w:color w:val="000000" w:themeColor="text1"/>
          <w:sz w:val="24"/>
          <w:szCs w:val="24"/>
        </w:rPr>
        <w:endnoteReference w:id="46"/>
      </w:r>
      <w:r w:rsidRPr="00761D56">
        <w:rPr>
          <w:rFonts w:cstheme="minorHAnsi"/>
          <w:color w:val="000000" w:themeColor="text1"/>
          <w:sz w:val="24"/>
          <w:szCs w:val="24"/>
        </w:rPr>
        <w:t xml:space="preserve"> they do not mandate prior preventive interventions, limiting compliance with CRC Article 9 standards. </w:t>
      </w:r>
    </w:p>
    <w:p w14:paraId="72F322BF" w14:textId="5A9B968E" w:rsidR="007955AC" w:rsidRPr="00761D56" w:rsidRDefault="00F32E12"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Despite the legal emphasis on family-based care and reunification,</w:t>
      </w:r>
      <w:r w:rsidRPr="00761D56">
        <w:rPr>
          <w:rStyle w:val="EndnoteReference"/>
          <w:rFonts w:cstheme="minorHAnsi"/>
          <w:color w:val="000000" w:themeColor="text1"/>
          <w:sz w:val="24"/>
          <w:szCs w:val="24"/>
        </w:rPr>
        <w:endnoteReference w:id="47"/>
      </w:r>
      <w:r w:rsidRPr="00761D56">
        <w:rPr>
          <w:rFonts w:cstheme="minorHAnsi"/>
          <w:color w:val="000000" w:themeColor="text1"/>
          <w:sz w:val="24"/>
          <w:szCs w:val="24"/>
        </w:rPr>
        <w:t xml:space="preserve"> a substantial number of children remain under State care for extended periods, with many spending over five years and in some cases more than a decade in State care without ever being reunited with their families or placed in a stable family environment. </w:t>
      </w:r>
      <w:bookmarkStart w:id="13" w:name="_Hlk205455346"/>
      <w:r w:rsidRPr="00761D56">
        <w:rPr>
          <w:rFonts w:cstheme="minorHAnsi"/>
          <w:color w:val="000000" w:themeColor="text1"/>
          <w:sz w:val="24"/>
          <w:szCs w:val="24"/>
        </w:rPr>
        <w:t xml:space="preserve">While reunification data reflects some progress (see chart </w:t>
      </w:r>
      <w:r w:rsidR="00A3450D" w:rsidRPr="00761D56">
        <w:rPr>
          <w:rFonts w:cstheme="minorHAnsi"/>
          <w:color w:val="000000" w:themeColor="text1"/>
          <w:sz w:val="24"/>
          <w:szCs w:val="24"/>
        </w:rPr>
        <w:t>3</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48"/>
      </w:r>
      <w:r w:rsidRPr="00761D56">
        <w:rPr>
          <w:rFonts w:cstheme="minorHAnsi"/>
          <w:color w:val="000000" w:themeColor="text1"/>
          <w:sz w:val="24"/>
          <w:szCs w:val="24"/>
        </w:rPr>
        <w:t xml:space="preserve"> the concentration of long-term cases in Fiyavathi and regional Amaanveshi facilities highlights the State’s continued reliance on institutional care. </w:t>
      </w:r>
      <w:bookmarkEnd w:id="13"/>
      <w:r w:rsidRPr="00761D56">
        <w:rPr>
          <w:rFonts w:cstheme="minorHAnsi"/>
          <w:color w:val="000000" w:themeColor="text1"/>
          <w:sz w:val="24"/>
          <w:szCs w:val="24"/>
        </w:rPr>
        <w:t>The majority of these long-term cases are concentrated in Fiyavathi and regional Amaanveshi facilities, underscoring the persistent dependence on institutional care despite the legal framework’s emphasis on family-based alternatives.</w:t>
      </w:r>
    </w:p>
    <w:p w14:paraId="444979B5" w14:textId="77777777" w:rsidR="007955AC" w:rsidRPr="00761D56" w:rsidRDefault="007955AC" w:rsidP="008F24DD">
      <w:pPr>
        <w:tabs>
          <w:tab w:val="left" w:pos="720"/>
        </w:tabs>
        <w:spacing w:before="240" w:after="0" w:line="276" w:lineRule="auto"/>
        <w:ind w:left="990" w:hanging="270"/>
        <w:jc w:val="both"/>
        <w:rPr>
          <w:rFonts w:cstheme="minorHAnsi"/>
          <w:color w:val="000000" w:themeColor="text1"/>
          <w:sz w:val="24"/>
          <w:szCs w:val="24"/>
        </w:rPr>
      </w:pPr>
    </w:p>
    <w:p w14:paraId="0BDA80ED" w14:textId="35FC32F0" w:rsidR="007955AC" w:rsidRPr="00761D56" w:rsidRDefault="007955AC" w:rsidP="008F24DD">
      <w:pPr>
        <w:pStyle w:val="ListParagraph"/>
        <w:tabs>
          <w:tab w:val="left" w:pos="720"/>
        </w:tabs>
        <w:spacing w:before="240" w:after="0" w:line="276" w:lineRule="auto"/>
        <w:ind w:left="990" w:hanging="270"/>
        <w:jc w:val="both"/>
        <w:rPr>
          <w:rFonts w:cstheme="minorHAnsi"/>
          <w:color w:val="000000" w:themeColor="text1"/>
          <w:sz w:val="24"/>
          <w:szCs w:val="24"/>
        </w:rPr>
      </w:pPr>
      <w:r w:rsidRPr="00761D56">
        <w:rPr>
          <w:rFonts w:cstheme="minorHAnsi"/>
          <w:noProof/>
          <w:color w:val="000000" w:themeColor="text1"/>
          <w:sz w:val="24"/>
          <w:szCs w:val="24"/>
        </w:rPr>
        <w:lastRenderedPageBreak/>
        <w:drawing>
          <wp:inline distT="0" distB="0" distL="0" distR="0" wp14:anchorId="72C2F9CC" wp14:editId="3CF60956">
            <wp:extent cx="5416550" cy="2451100"/>
            <wp:effectExtent l="0" t="0" r="12700" b="6350"/>
            <wp:docPr id="1076923690" name="Chart 1">
              <a:extLst xmlns:a="http://schemas.openxmlformats.org/drawingml/2006/main">
                <a:ext uri="{FF2B5EF4-FFF2-40B4-BE49-F238E27FC236}">
                  <a16:creationId xmlns:a16="http://schemas.microsoft.com/office/drawing/2014/main" id="{61F0223A-CEC5-1BBC-B290-835FAE163E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1F1CA4" w14:textId="273AF808" w:rsidR="007955AC" w:rsidRPr="00761D56" w:rsidRDefault="007955AC"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3</w:t>
      </w:r>
      <w:r w:rsidRPr="00761D56">
        <w:rPr>
          <w:rFonts w:cstheme="minorHAnsi"/>
          <w:i/>
          <w:iCs/>
          <w:color w:val="000000" w:themeColor="text1"/>
          <w:sz w:val="24"/>
          <w:szCs w:val="24"/>
        </w:rPr>
        <w:t>: Reunification of children with biological families by Ministry of Social Family and Development</w:t>
      </w:r>
    </w:p>
    <w:p w14:paraId="150A46E2" w14:textId="77777777" w:rsidR="00165912" w:rsidRPr="00761D56" w:rsidRDefault="00165912"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p>
    <w:p w14:paraId="5F9AB19E" w14:textId="74160292" w:rsidR="007955AC" w:rsidRPr="00761D56" w:rsidRDefault="007955AC" w:rsidP="008F24DD">
      <w:pPr>
        <w:pStyle w:val="ListParagraph"/>
        <w:numPr>
          <w:ilvl w:val="0"/>
          <w:numId w:val="1"/>
        </w:numPr>
        <w:tabs>
          <w:tab w:val="left" w:pos="720"/>
        </w:tabs>
        <w:spacing w:before="240" w:after="0" w:line="276" w:lineRule="auto"/>
        <w:jc w:val="both"/>
        <w:rPr>
          <w:rFonts w:eastAsia="Calibri" w:cstheme="minorHAnsi"/>
          <w:color w:val="000000" w:themeColor="text1"/>
          <w:sz w:val="24"/>
          <w:szCs w:val="24"/>
        </w:rPr>
      </w:pPr>
      <w:r w:rsidRPr="00761D56">
        <w:rPr>
          <w:rFonts w:cstheme="minorHAnsi"/>
          <w:color w:val="000000" w:themeColor="text1"/>
          <w:sz w:val="24"/>
          <w:szCs w:val="24"/>
        </w:rPr>
        <w:t>The CRPA requires the establishment of a mechanism to provide family-based care for children who, for various reasons, cannot remain with their biological families.</w:t>
      </w:r>
      <w:r w:rsidRPr="00761D56">
        <w:rPr>
          <w:rFonts w:cstheme="minorHAnsi"/>
          <w:color w:val="000000" w:themeColor="text1"/>
          <w:sz w:val="24"/>
          <w:szCs w:val="24"/>
          <w:vertAlign w:val="superscript"/>
        </w:rPr>
        <w:endnoteReference w:id="49"/>
      </w:r>
      <w:r w:rsidRPr="00761D56">
        <w:rPr>
          <w:rFonts w:cstheme="minorHAnsi"/>
          <w:color w:val="000000" w:themeColor="text1"/>
          <w:sz w:val="24"/>
          <w:szCs w:val="24"/>
        </w:rPr>
        <w:t xml:space="preserve"> However, between 2020 and 2024, the number of children placed in foster care remained consistently low (see chart </w:t>
      </w:r>
      <w:r w:rsidR="00A3450D" w:rsidRPr="00761D56">
        <w:rPr>
          <w:rFonts w:cstheme="minorHAnsi"/>
          <w:color w:val="000000" w:themeColor="text1"/>
          <w:sz w:val="24"/>
          <w:szCs w:val="24"/>
        </w:rPr>
        <w:t>4</w:t>
      </w:r>
      <w:r w:rsidRPr="00761D56">
        <w:rPr>
          <w:rFonts w:cstheme="minorHAnsi"/>
          <w:color w:val="000000" w:themeColor="text1"/>
          <w:sz w:val="24"/>
          <w:szCs w:val="24"/>
        </w:rPr>
        <w:t xml:space="preserve">), with most applications focused on infants, reflecting challenges in recruiting and supporting foster families. Interest in fostering older children has only recently increased, and no applications have been received for children with disabilities, reflecting a lack of inclusive and non-discriminatory foster care options. </w:t>
      </w:r>
      <w:r w:rsidRPr="00761D56">
        <w:rPr>
          <w:rFonts w:cstheme="minorHAnsi"/>
          <w:color w:val="000000" w:themeColor="text1"/>
          <w:sz w:val="24"/>
          <w:szCs w:val="24"/>
          <w:vertAlign w:val="superscript"/>
        </w:rPr>
        <w:endnoteReference w:id="50"/>
      </w:r>
    </w:p>
    <w:p w14:paraId="4C9CE5C5" w14:textId="53710F9D" w:rsidR="007955AC" w:rsidRPr="00761D56" w:rsidRDefault="00165912" w:rsidP="008F24DD">
      <w:pPr>
        <w:pStyle w:val="ListParagraph"/>
        <w:tabs>
          <w:tab w:val="left" w:pos="720"/>
        </w:tabs>
        <w:spacing w:before="240" w:after="0" w:line="276" w:lineRule="auto"/>
        <w:ind w:left="990" w:hanging="270"/>
        <w:jc w:val="center"/>
        <w:rPr>
          <w:rFonts w:eastAsia="Calibri" w:cstheme="minorHAnsi"/>
          <w:color w:val="000000" w:themeColor="text1"/>
          <w:sz w:val="24"/>
          <w:szCs w:val="24"/>
        </w:rPr>
      </w:pPr>
      <w:r w:rsidRPr="00761D56">
        <w:rPr>
          <w:rFonts w:eastAsia="Calibri" w:cstheme="minorHAnsi"/>
          <w:noProof/>
          <w:color w:val="000000" w:themeColor="text1"/>
          <w:sz w:val="24"/>
          <w:szCs w:val="24"/>
        </w:rPr>
        <w:drawing>
          <wp:inline distT="0" distB="0" distL="0" distR="0" wp14:anchorId="3370E914" wp14:editId="0DAA8573">
            <wp:extent cx="3686817" cy="1781092"/>
            <wp:effectExtent l="0" t="0" r="0" b="0"/>
            <wp:docPr id="1201581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92445" cy="1783811"/>
                    </a:xfrm>
                    <a:prstGeom prst="rect">
                      <a:avLst/>
                    </a:prstGeom>
                    <a:noFill/>
                  </pic:spPr>
                </pic:pic>
              </a:graphicData>
            </a:graphic>
          </wp:inline>
        </w:drawing>
      </w:r>
    </w:p>
    <w:p w14:paraId="3A279B92" w14:textId="5C010F9E" w:rsidR="007955AC" w:rsidRPr="00761D56" w:rsidRDefault="007955AC" w:rsidP="008F24DD">
      <w:pPr>
        <w:pStyle w:val="ListParagraph"/>
        <w:tabs>
          <w:tab w:val="left" w:pos="720"/>
        </w:tabs>
        <w:spacing w:before="240" w:after="0" w:line="276" w:lineRule="auto"/>
        <w:ind w:left="990" w:hanging="270"/>
        <w:jc w:val="center"/>
        <w:rPr>
          <w:rFonts w:eastAsia="Calibri" w:cstheme="minorHAnsi"/>
          <w:color w:val="000000" w:themeColor="text1"/>
          <w:sz w:val="24"/>
          <w:szCs w:val="24"/>
        </w:rPr>
      </w:pPr>
    </w:p>
    <w:p w14:paraId="2915583E" w14:textId="1236CD7E" w:rsidR="007955AC" w:rsidRPr="00761D56" w:rsidRDefault="007955AC"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4</w:t>
      </w:r>
      <w:r w:rsidRPr="00761D56">
        <w:rPr>
          <w:rFonts w:cstheme="minorHAnsi"/>
          <w:i/>
          <w:iCs/>
          <w:color w:val="000000" w:themeColor="text1"/>
          <w:sz w:val="24"/>
          <w:szCs w:val="24"/>
        </w:rPr>
        <w:t xml:space="preserve">: </w:t>
      </w:r>
      <w:r w:rsidR="009A7E3F">
        <w:rPr>
          <w:rFonts w:cstheme="minorHAnsi"/>
          <w:i/>
          <w:iCs/>
          <w:color w:val="000000" w:themeColor="text1"/>
          <w:sz w:val="24"/>
          <w:szCs w:val="24"/>
        </w:rPr>
        <w:t>C</w:t>
      </w:r>
      <w:r w:rsidRPr="00761D56">
        <w:rPr>
          <w:rFonts w:cstheme="minorHAnsi"/>
          <w:i/>
          <w:iCs/>
          <w:color w:val="000000" w:themeColor="text1"/>
          <w:sz w:val="24"/>
          <w:szCs w:val="24"/>
        </w:rPr>
        <w:t>hildren placed in foster care from 2019 to 2024</w:t>
      </w:r>
    </w:p>
    <w:p w14:paraId="32E6FBD8" w14:textId="5B761CEF" w:rsidR="007955AC" w:rsidRPr="00761D56" w:rsidRDefault="007955AC" w:rsidP="008F24DD">
      <w:pPr>
        <w:pStyle w:val="ListParagraph"/>
        <w:numPr>
          <w:ilvl w:val="0"/>
          <w:numId w:val="1"/>
        </w:numPr>
        <w:tabs>
          <w:tab w:val="left" w:pos="720"/>
        </w:tabs>
        <w:spacing w:before="240" w:after="0" w:line="276" w:lineRule="auto"/>
        <w:jc w:val="both"/>
        <w:rPr>
          <w:rFonts w:cstheme="minorHAnsi"/>
          <w:i/>
          <w:iCs/>
          <w:color w:val="000000" w:themeColor="text1"/>
          <w:sz w:val="24"/>
          <w:szCs w:val="24"/>
          <w:u w:val="single"/>
          <w:lang w:val="en-US"/>
        </w:rPr>
      </w:pPr>
      <w:r w:rsidRPr="00761D56">
        <w:rPr>
          <w:rFonts w:cstheme="minorHAnsi"/>
          <w:color w:val="000000" w:themeColor="text1"/>
          <w:sz w:val="24"/>
          <w:szCs w:val="24"/>
        </w:rPr>
        <w:t>Monitoring</w:t>
      </w:r>
      <w:r w:rsidRPr="00761D56">
        <w:rPr>
          <w:rFonts w:eastAsia="Calibri" w:cstheme="minorHAnsi"/>
          <w:color w:val="000000" w:themeColor="text1"/>
          <w:sz w:val="24"/>
          <w:szCs w:val="24"/>
        </w:rPr>
        <w:t xml:space="preserve"> foster placements, particularly in remote and under-resourced areas</w:t>
      </w:r>
      <w:r w:rsidR="009A7E3F">
        <w:rPr>
          <w:rFonts w:eastAsia="Calibri" w:cstheme="minorHAnsi"/>
          <w:color w:val="000000" w:themeColor="text1"/>
          <w:sz w:val="24"/>
          <w:szCs w:val="24"/>
        </w:rPr>
        <w:t>,</w:t>
      </w:r>
      <w:r w:rsidRPr="00761D56">
        <w:rPr>
          <w:rFonts w:eastAsia="Calibri" w:cstheme="minorHAnsi"/>
          <w:color w:val="000000" w:themeColor="text1"/>
          <w:sz w:val="24"/>
          <w:szCs w:val="24"/>
        </w:rPr>
        <w:t xml:space="preserve"> remains constrained by staff shortages, which limit regular and comprehensive oversight.</w:t>
      </w:r>
      <w:r w:rsidRPr="00761D56">
        <w:rPr>
          <w:rStyle w:val="EndnoteReference"/>
          <w:rFonts w:eastAsia="Calibri" w:cstheme="minorHAnsi"/>
          <w:color w:val="000000" w:themeColor="text1"/>
          <w:sz w:val="24"/>
          <w:szCs w:val="24"/>
        </w:rPr>
        <w:endnoteReference w:id="51"/>
      </w:r>
      <w:r w:rsidRPr="00761D56">
        <w:rPr>
          <w:rFonts w:eastAsia="Calibri" w:cstheme="minorHAnsi"/>
          <w:color w:val="000000" w:themeColor="text1"/>
          <w:sz w:val="24"/>
          <w:szCs w:val="24"/>
        </w:rPr>
        <w:t xml:space="preserve"> </w:t>
      </w:r>
    </w:p>
    <w:p w14:paraId="62586595" w14:textId="77777777"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Informal fostering commonly occurs within families or close circles, where relatives or friends agree to raise a child temporarily or permanently, often perceiving formalisation </w:t>
      </w:r>
      <w:r w:rsidRPr="00761D56">
        <w:rPr>
          <w:rFonts w:cstheme="minorHAnsi"/>
          <w:color w:val="000000" w:themeColor="text1"/>
          <w:sz w:val="24"/>
          <w:szCs w:val="24"/>
        </w:rPr>
        <w:lastRenderedPageBreak/>
        <w:t>as unnecessary or avoiding the lengthy and complex court process for legal guardianship.</w:t>
      </w:r>
      <w:r w:rsidRPr="00761D56">
        <w:rPr>
          <w:rFonts w:cstheme="minorHAnsi"/>
          <w:color w:val="000000" w:themeColor="text1"/>
          <w:sz w:val="24"/>
          <w:szCs w:val="24"/>
          <w:vertAlign w:val="superscript"/>
        </w:rPr>
        <w:endnoteReference w:id="52"/>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rPr>
        <w:t>The guardianship process itself can take one to two years, requiring extensive paperwork and parental signatures, which becomes challenging when parents are unreachable or live on other islands.</w:t>
      </w:r>
      <w:r w:rsidRPr="00761D56">
        <w:rPr>
          <w:rFonts w:cstheme="minorHAnsi"/>
          <w:color w:val="000000" w:themeColor="text1"/>
          <w:sz w:val="24"/>
          <w:szCs w:val="24"/>
          <w:vertAlign w:val="superscript"/>
        </w:rPr>
        <w:endnoteReference w:id="53"/>
      </w:r>
      <w:r w:rsidRPr="00761D56">
        <w:rPr>
          <w:rFonts w:cstheme="minorHAnsi"/>
          <w:color w:val="000000" w:themeColor="text1"/>
          <w:sz w:val="24"/>
          <w:szCs w:val="24"/>
        </w:rPr>
        <w:t xml:space="preserve"> </w:t>
      </w:r>
    </w:p>
    <w:p w14:paraId="743DF658" w14:textId="77777777"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Caregivers in informal setups lack enforceable rights, and children risk abrupt disruptions if biological parents reclaim custody without due process.  Moreover, informal and private fostering arrangements operate without oversight, leaving children vulnerable to neglect, abuse, or exploitation. These children remain outside official records, limiting access to social services. Additionally, many caregivers are unaware of the formal foster care scheme or their eligibility for financial support.</w:t>
      </w:r>
      <w:r w:rsidRPr="00761D56">
        <w:rPr>
          <w:rStyle w:val="EndnoteReference"/>
          <w:rFonts w:cstheme="minorHAnsi"/>
          <w:color w:val="000000" w:themeColor="text1"/>
          <w:sz w:val="24"/>
          <w:szCs w:val="24"/>
        </w:rPr>
        <w:endnoteReference w:id="54"/>
      </w:r>
    </w:p>
    <w:p w14:paraId="5D03D572" w14:textId="1DB40FB2" w:rsidR="007955AC" w:rsidRPr="00761D56" w:rsidRDefault="007955AC" w:rsidP="008F24DD">
      <w:pPr>
        <w:pStyle w:val="ListParagraph"/>
        <w:numPr>
          <w:ilvl w:val="0"/>
          <w:numId w:val="1"/>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The persons covered under foster parent allowance program</w:t>
      </w:r>
      <w:r w:rsidR="009A7E3F">
        <w:rPr>
          <w:rFonts w:cstheme="minorHAnsi"/>
          <w:color w:val="000000" w:themeColor="text1"/>
          <w:sz w:val="24"/>
          <w:szCs w:val="24"/>
        </w:rPr>
        <w:t>me</w:t>
      </w:r>
      <w:r w:rsidRPr="00761D56">
        <w:rPr>
          <w:rFonts w:cstheme="minorHAnsi"/>
          <w:color w:val="000000" w:themeColor="text1"/>
          <w:sz w:val="24"/>
          <w:szCs w:val="24"/>
        </w:rPr>
        <w:t xml:space="preserve"> are illustrated in </w:t>
      </w:r>
      <w:r w:rsidRPr="002F22C7">
        <w:rPr>
          <w:sz w:val="24"/>
          <w:szCs w:val="24"/>
        </w:rPr>
        <w:t xml:space="preserve">Chart </w:t>
      </w:r>
      <w:r w:rsidR="00A3450D" w:rsidRPr="002F22C7">
        <w:rPr>
          <w:sz w:val="24"/>
          <w:szCs w:val="24"/>
        </w:rPr>
        <w:t>5</w:t>
      </w:r>
      <w:r w:rsidRPr="002F22C7">
        <w:rPr>
          <w:sz w:val="24"/>
          <w:szCs w:val="24"/>
        </w:rPr>
        <w:t>.</w:t>
      </w:r>
      <w:r w:rsidRPr="00761D56">
        <w:rPr>
          <w:rFonts w:cstheme="minorHAnsi"/>
          <w:color w:val="000000" w:themeColor="text1"/>
          <w:sz w:val="24"/>
          <w:szCs w:val="24"/>
          <w:lang w:val="en-US"/>
        </w:rPr>
        <w:t xml:space="preserve"> Eligible foster families receive MVR 1,000 per child under 18 and an additional MVR 500 for the guardian or foster parent. </w:t>
      </w:r>
      <w:r w:rsidRPr="00761D56">
        <w:rPr>
          <w:rFonts w:cstheme="minorHAnsi"/>
          <w:color w:val="000000" w:themeColor="text1"/>
          <w:sz w:val="24"/>
          <w:szCs w:val="24"/>
        </w:rPr>
        <w:t>However, most foster families remain ineligible due to poverty-based targeting, as assessments factor household financial capacity.</w:t>
      </w:r>
      <w:r w:rsidRPr="00761D56">
        <w:rPr>
          <w:rStyle w:val="EndnoteReference"/>
          <w:rFonts w:cstheme="minorHAnsi"/>
          <w:color w:val="000000" w:themeColor="text1"/>
          <w:sz w:val="24"/>
          <w:szCs w:val="24"/>
        </w:rPr>
        <w:endnoteReference w:id="55"/>
      </w:r>
      <w:r w:rsidRPr="00761D56">
        <w:rPr>
          <w:rFonts w:cstheme="minorHAnsi"/>
          <w:color w:val="000000" w:themeColor="text1"/>
          <w:sz w:val="24"/>
          <w:szCs w:val="24"/>
        </w:rPr>
        <w:t xml:space="preserve"> Consecutively, few cases demonstrate that the allowance effectively prevents institutional care, and the benefit is not regarded as an incentive for kinship fostering.</w:t>
      </w:r>
      <w:r w:rsidRPr="00761D56">
        <w:rPr>
          <w:rStyle w:val="EndnoteReference"/>
          <w:rFonts w:cstheme="minorHAnsi"/>
          <w:color w:val="000000" w:themeColor="text1"/>
          <w:sz w:val="24"/>
          <w:szCs w:val="24"/>
        </w:rPr>
        <w:endnoteReference w:id="56"/>
      </w:r>
      <w:r w:rsidR="00FD63A7" w:rsidRPr="00761D56">
        <w:rPr>
          <w:rFonts w:cstheme="minorHAnsi"/>
          <w:color w:val="000000" w:themeColor="text1"/>
          <w:sz w:val="24"/>
          <w:szCs w:val="24"/>
        </w:rPr>
        <w:t xml:space="preserve"> </w:t>
      </w:r>
    </w:p>
    <w:p w14:paraId="77206E12" w14:textId="77777777" w:rsidR="007955AC" w:rsidRPr="00761D56" w:rsidRDefault="007955AC" w:rsidP="008F24DD">
      <w:pPr>
        <w:pStyle w:val="ListParagraph"/>
        <w:tabs>
          <w:tab w:val="left" w:pos="720"/>
        </w:tabs>
        <w:spacing w:before="240" w:after="0" w:line="276" w:lineRule="auto"/>
        <w:ind w:left="990" w:hanging="270"/>
        <w:jc w:val="both"/>
        <w:rPr>
          <w:rFonts w:eastAsia="Calibri" w:cstheme="minorHAnsi"/>
          <w:color w:val="000000" w:themeColor="text1"/>
          <w:sz w:val="24"/>
          <w:szCs w:val="24"/>
        </w:rPr>
      </w:pPr>
    </w:p>
    <w:p w14:paraId="322BABD1" w14:textId="77777777" w:rsidR="007955AC" w:rsidRPr="00761D56" w:rsidRDefault="007955AC" w:rsidP="008F24DD">
      <w:pPr>
        <w:pStyle w:val="ListParagraph"/>
        <w:tabs>
          <w:tab w:val="left" w:pos="720"/>
        </w:tabs>
        <w:spacing w:before="240" w:after="0" w:line="276" w:lineRule="auto"/>
        <w:ind w:left="990" w:hanging="270"/>
        <w:jc w:val="center"/>
        <w:rPr>
          <w:rFonts w:eastAsia="Calibri" w:cstheme="minorHAnsi"/>
          <w:color w:val="000000" w:themeColor="text1"/>
          <w:sz w:val="24"/>
          <w:szCs w:val="24"/>
        </w:rPr>
      </w:pPr>
      <w:r w:rsidRPr="00761D56">
        <w:rPr>
          <w:rFonts w:cstheme="minorHAnsi"/>
          <w:noProof/>
          <w:color w:val="000000" w:themeColor="text1"/>
          <w:sz w:val="24"/>
          <w:szCs w:val="24"/>
        </w:rPr>
        <w:drawing>
          <wp:inline distT="0" distB="0" distL="0" distR="0" wp14:anchorId="393B296B" wp14:editId="2DB0CE75">
            <wp:extent cx="4121150" cy="2508250"/>
            <wp:effectExtent l="0" t="0" r="12700" b="6350"/>
            <wp:docPr id="1251984942" name="Chart 1">
              <a:extLst xmlns:a="http://schemas.openxmlformats.org/drawingml/2006/main">
                <a:ext uri="{FF2B5EF4-FFF2-40B4-BE49-F238E27FC236}">
                  <a16:creationId xmlns:a16="http://schemas.microsoft.com/office/drawing/2014/main" id="{82D297D0-7C35-66A2-1AA6-8013E92E5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06B2D64" w14:textId="30BF1919" w:rsidR="007955AC" w:rsidRPr="00761D56" w:rsidRDefault="007955AC"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5</w:t>
      </w:r>
      <w:r w:rsidRPr="00761D56">
        <w:rPr>
          <w:rFonts w:cstheme="minorHAnsi"/>
          <w:i/>
          <w:iCs/>
          <w:color w:val="000000" w:themeColor="text1"/>
          <w:sz w:val="24"/>
          <w:szCs w:val="24"/>
        </w:rPr>
        <w:t>: foster parents and children covered by National Social Protection Agency</w:t>
      </w:r>
    </w:p>
    <w:p w14:paraId="3AB94592" w14:textId="77777777" w:rsidR="007955AC" w:rsidRPr="00761D56" w:rsidRDefault="007955AC"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70AECF9F" w14:textId="77777777" w:rsidR="007955AC" w:rsidRPr="00761D56" w:rsidRDefault="007955AC"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Recommendations</w:t>
      </w:r>
    </w:p>
    <w:p w14:paraId="67376C11" w14:textId="77777777" w:rsidR="007955AC" w:rsidRPr="00761D56" w:rsidRDefault="007955AC" w:rsidP="008F24DD">
      <w:pPr>
        <w:pStyle w:val="ListParagraph"/>
        <w:numPr>
          <w:ilvl w:val="0"/>
          <w:numId w:val="6"/>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Allocate adequate resources to strengthen social work capacity, particularly in remote areas, and establish digital monitoring systems to ensure regular oversight and uphold children’s right to be heard in all decisions affecting them</w:t>
      </w:r>
    </w:p>
    <w:p w14:paraId="431D38B6" w14:textId="77777777" w:rsidR="007955AC" w:rsidRPr="00761D56" w:rsidRDefault="007955AC" w:rsidP="008F24DD">
      <w:pPr>
        <w:pStyle w:val="ListParagraph"/>
        <w:numPr>
          <w:ilvl w:val="0"/>
          <w:numId w:val="6"/>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lastRenderedPageBreak/>
        <w:t>Expand foster care and kinship care options, coupled with comprehensive reunification programs, to reduce institutionalisation and promote family-based alternatives in line with international standards</w:t>
      </w:r>
    </w:p>
    <w:p w14:paraId="53156B84" w14:textId="28B7A0FB" w:rsidR="007955AC" w:rsidRPr="00761D56" w:rsidRDefault="007955AC" w:rsidP="008F24DD">
      <w:pPr>
        <w:pStyle w:val="ListParagraph"/>
        <w:numPr>
          <w:ilvl w:val="0"/>
          <w:numId w:val="6"/>
        </w:numPr>
        <w:tabs>
          <w:tab w:val="left" w:pos="720"/>
        </w:tabs>
        <w:spacing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Simplify and </w:t>
      </w:r>
      <w:r w:rsidR="00904A72" w:rsidRPr="00761D56">
        <w:rPr>
          <w:rFonts w:cstheme="minorHAnsi"/>
          <w:b/>
          <w:bCs/>
          <w:color w:val="000000" w:themeColor="text1"/>
          <w:sz w:val="24"/>
          <w:szCs w:val="24"/>
        </w:rPr>
        <w:t xml:space="preserve">expedite </w:t>
      </w:r>
      <w:r w:rsidRPr="00761D56">
        <w:rPr>
          <w:rFonts w:cstheme="minorHAnsi"/>
          <w:b/>
          <w:bCs/>
          <w:color w:val="000000" w:themeColor="text1"/>
          <w:sz w:val="24"/>
          <w:szCs w:val="24"/>
        </w:rPr>
        <w:t>guardianship processes while strengthening the State’s monitoring mechanism of informal caregivers to ensure oversight, legal protection, and access to support services</w:t>
      </w:r>
      <w:r w:rsidR="00CB5D7C" w:rsidRPr="00761D56">
        <w:rPr>
          <w:rFonts w:cstheme="minorHAnsi"/>
          <w:b/>
          <w:bCs/>
          <w:color w:val="000000" w:themeColor="text1"/>
          <w:sz w:val="24"/>
          <w:szCs w:val="24"/>
        </w:rPr>
        <w:t xml:space="preserve"> for the children and foster families</w:t>
      </w:r>
      <w:r w:rsidRPr="00761D56">
        <w:rPr>
          <w:rFonts w:cstheme="minorHAnsi"/>
          <w:b/>
          <w:bCs/>
          <w:color w:val="000000" w:themeColor="text1"/>
          <w:sz w:val="24"/>
          <w:szCs w:val="24"/>
        </w:rPr>
        <w:t xml:space="preserve">, in line with CRC. </w:t>
      </w:r>
    </w:p>
    <w:p w14:paraId="77CA9924" w14:textId="3874EBBB" w:rsidR="007955AC" w:rsidRPr="00761D56" w:rsidRDefault="007955AC" w:rsidP="008F24DD">
      <w:pPr>
        <w:numPr>
          <w:ilvl w:val="0"/>
          <w:numId w:val="6"/>
        </w:numPr>
        <w:tabs>
          <w:tab w:val="left" w:pos="720"/>
        </w:tabs>
        <w:spacing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Revise eligibility criteria to include all foster families, increase financial assistance, and implement awareness programs to make fostering a viable and supported alternative to institutional care.</w:t>
      </w:r>
    </w:p>
    <w:p w14:paraId="34464ADF" w14:textId="29118AC5" w:rsidR="007955AC" w:rsidRPr="00761D56" w:rsidRDefault="007955AC" w:rsidP="008F24DD">
      <w:pPr>
        <w:pStyle w:val="Heading1"/>
        <w:tabs>
          <w:tab w:val="left" w:pos="720"/>
        </w:tabs>
        <w:spacing w:line="276" w:lineRule="auto"/>
        <w:ind w:left="990" w:hanging="270"/>
        <w:jc w:val="both"/>
        <w:rPr>
          <w:rFonts w:asciiTheme="minorHAnsi" w:eastAsia="Times New Roman" w:hAnsiTheme="minorHAnsi" w:cstheme="minorHAnsi"/>
          <w:color w:val="000000" w:themeColor="text1"/>
        </w:rPr>
      </w:pPr>
      <w:bookmarkStart w:id="14" w:name="_Toc216692793"/>
      <w:r w:rsidRPr="00761D56">
        <w:rPr>
          <w:rFonts w:asciiTheme="minorHAnsi" w:eastAsia="Times New Roman" w:hAnsiTheme="minorHAnsi" w:cstheme="minorHAnsi"/>
          <w:color w:val="000000" w:themeColor="text1"/>
        </w:rPr>
        <w:t>Article 16</w:t>
      </w:r>
      <w:r w:rsidR="009A7E3F">
        <w:rPr>
          <w:rFonts w:asciiTheme="minorHAnsi" w:eastAsia="Times New Roman" w:hAnsiTheme="minorHAnsi" w:cstheme="minorHAnsi"/>
          <w:color w:val="000000" w:themeColor="text1"/>
        </w:rPr>
        <w:t xml:space="preserve"> </w:t>
      </w:r>
      <w:r w:rsidR="00165912" w:rsidRPr="00761D56">
        <w:rPr>
          <w:rFonts w:asciiTheme="minorHAnsi" w:hAnsiTheme="minorHAnsi" w:cstheme="minorHAnsi"/>
          <w:color w:val="000000" w:themeColor="text1"/>
        </w:rPr>
        <w:t>-</w:t>
      </w:r>
      <w:r w:rsidR="009A7E3F">
        <w:rPr>
          <w:rFonts w:asciiTheme="minorHAnsi" w:hAnsiTheme="minorHAnsi" w:cstheme="minorHAnsi"/>
          <w:color w:val="000000" w:themeColor="text1"/>
        </w:rPr>
        <w:t xml:space="preserve"> </w:t>
      </w:r>
      <w:r w:rsidRPr="00761D56">
        <w:rPr>
          <w:rFonts w:asciiTheme="minorHAnsi" w:eastAsia="Times New Roman" w:hAnsiTheme="minorHAnsi" w:cstheme="minorHAnsi"/>
          <w:color w:val="000000" w:themeColor="text1"/>
        </w:rPr>
        <w:t>Right to privacy</w:t>
      </w:r>
      <w:bookmarkEnd w:id="14"/>
    </w:p>
    <w:p w14:paraId="7F1448CB" w14:textId="6C2D015C" w:rsidR="007955AC" w:rsidRPr="00761D56" w:rsidRDefault="007955AC" w:rsidP="008F24DD">
      <w:pPr>
        <w:pStyle w:val="ListParagraph"/>
        <w:numPr>
          <w:ilvl w:val="0"/>
          <w:numId w:val="1"/>
        </w:numPr>
        <w:tabs>
          <w:tab w:val="left" w:pos="720"/>
        </w:tabs>
        <w:autoSpaceDE w:val="0"/>
        <w:autoSpaceDN w:val="0"/>
        <w:adjustRightInd w:val="0"/>
        <w:spacing w:before="240" w:after="0" w:line="276" w:lineRule="auto"/>
        <w:jc w:val="both"/>
        <w:rPr>
          <w:rFonts w:eastAsia="Times New Roman" w:cstheme="minorHAnsi"/>
          <w:color w:val="000000" w:themeColor="text1"/>
          <w:sz w:val="24"/>
          <w:szCs w:val="24"/>
        </w:rPr>
      </w:pPr>
      <w:r w:rsidRPr="00761D56">
        <w:rPr>
          <w:rFonts w:eastAsia="Times New Roman" w:cstheme="minorHAnsi"/>
          <w:color w:val="000000" w:themeColor="text1"/>
          <w:sz w:val="24"/>
          <w:szCs w:val="24"/>
        </w:rPr>
        <w:t>The Child Rights Protection Act prohibits unlawful and arbitrary interference with the privacy of children. Article 53 restricts the disclosure of personal information to the media or other authorities, while Article 79 provides that, in the absence of parental consent, a court order must be obtained before undertaking medical examinations or treatment during investigations, thereby safeguarding children’s privacy in such situations.</w:t>
      </w:r>
      <w:r w:rsidRPr="00761D56">
        <w:rPr>
          <w:rStyle w:val="EndnoteReference"/>
          <w:rFonts w:eastAsia="Times New Roman" w:cstheme="minorHAnsi"/>
          <w:color w:val="000000" w:themeColor="text1"/>
          <w:sz w:val="24"/>
          <w:szCs w:val="24"/>
        </w:rPr>
        <w:endnoteReference w:id="57"/>
      </w:r>
    </w:p>
    <w:p w14:paraId="48399E4A" w14:textId="21057D96" w:rsidR="007955AC" w:rsidRPr="00761D56" w:rsidRDefault="007955AC" w:rsidP="008F24DD">
      <w:pPr>
        <w:pStyle w:val="ListParagraph"/>
        <w:numPr>
          <w:ilvl w:val="0"/>
          <w:numId w:val="1"/>
        </w:numPr>
        <w:tabs>
          <w:tab w:val="left" w:pos="720"/>
        </w:tabs>
        <w:autoSpaceDE w:val="0"/>
        <w:autoSpaceDN w:val="0"/>
        <w:adjustRightInd w:val="0"/>
        <w:spacing w:before="240" w:after="0" w:line="276" w:lineRule="auto"/>
        <w:jc w:val="both"/>
        <w:rPr>
          <w:rFonts w:eastAsia="Times New Roman" w:cstheme="minorHAnsi"/>
          <w:color w:val="000000" w:themeColor="text1"/>
          <w:sz w:val="24"/>
          <w:szCs w:val="24"/>
        </w:rPr>
      </w:pPr>
      <w:r w:rsidRPr="00761D56">
        <w:rPr>
          <w:rFonts w:eastAsia="Times New Roman" w:cstheme="minorHAnsi"/>
          <w:color w:val="000000" w:themeColor="text1"/>
          <w:sz w:val="24"/>
          <w:szCs w:val="24"/>
        </w:rPr>
        <w:t xml:space="preserve">The Alternative Care Provision </w:t>
      </w:r>
      <w:r w:rsidR="00EB13E3" w:rsidRPr="00761D56">
        <w:rPr>
          <w:rFonts w:eastAsia="Times New Roman" w:cstheme="minorHAnsi"/>
          <w:color w:val="000000" w:themeColor="text1"/>
          <w:sz w:val="24"/>
          <w:szCs w:val="24"/>
        </w:rPr>
        <w:t>Guideline</w:t>
      </w:r>
      <w:r w:rsidRPr="00761D56">
        <w:rPr>
          <w:rFonts w:eastAsia="Times New Roman" w:cstheme="minorHAnsi"/>
          <w:color w:val="000000" w:themeColor="text1"/>
          <w:sz w:val="24"/>
          <w:szCs w:val="24"/>
        </w:rPr>
        <w:t xml:space="preserve"> (2020/R-69) under </w:t>
      </w:r>
      <w:bookmarkStart w:id="15" w:name="_Hlk208406013"/>
      <w:r w:rsidRPr="00761D56">
        <w:rPr>
          <w:rFonts w:eastAsia="Times New Roman" w:cstheme="minorHAnsi"/>
          <w:color w:val="000000" w:themeColor="text1"/>
          <w:sz w:val="24"/>
          <w:szCs w:val="24"/>
        </w:rPr>
        <w:t>Article 7</w:t>
      </w:r>
      <w:bookmarkEnd w:id="15"/>
      <w:r w:rsidRPr="00761D56">
        <w:rPr>
          <w:rFonts w:eastAsia="Times New Roman" w:cstheme="minorHAnsi"/>
          <w:color w:val="000000" w:themeColor="text1"/>
          <w:sz w:val="24"/>
          <w:szCs w:val="24"/>
        </w:rPr>
        <w:t xml:space="preserve"> - further protects children’s privacy in state care by regulating parental and family access, ensuring that visits do not compromise the child’s best interests or expose them to risk.</w:t>
      </w:r>
      <w:r w:rsidRPr="00761D56">
        <w:rPr>
          <w:rStyle w:val="EndnoteReference"/>
          <w:rFonts w:eastAsia="Times New Roman" w:cstheme="minorHAnsi"/>
          <w:color w:val="000000" w:themeColor="text1"/>
          <w:sz w:val="24"/>
          <w:szCs w:val="24"/>
        </w:rPr>
        <w:endnoteReference w:id="58"/>
      </w:r>
      <w:r w:rsidRPr="00761D56">
        <w:rPr>
          <w:rFonts w:cstheme="minorHAnsi"/>
          <w:color w:val="000000" w:themeColor="text1"/>
          <w:sz w:val="24"/>
          <w:szCs w:val="24"/>
        </w:rPr>
        <w:t xml:space="preserve"> </w:t>
      </w:r>
      <w:r w:rsidRPr="00761D56">
        <w:rPr>
          <w:rFonts w:eastAsia="Times New Roman" w:cstheme="minorHAnsi"/>
          <w:color w:val="000000" w:themeColor="text1"/>
          <w:sz w:val="24"/>
          <w:szCs w:val="24"/>
        </w:rPr>
        <w:t>Article 30 requires all care workers to maintain strict confidentiality regarding children’s information, ensuring privacy and protection at all times</w:t>
      </w:r>
      <w:r w:rsidR="009A7E3F">
        <w:rPr>
          <w:rFonts w:eastAsia="Times New Roman" w:cstheme="minorHAnsi"/>
          <w:color w:val="000000" w:themeColor="text1"/>
          <w:sz w:val="24"/>
          <w:szCs w:val="24"/>
        </w:rPr>
        <w:t>.</w:t>
      </w:r>
      <w:r w:rsidRPr="00761D56">
        <w:rPr>
          <w:rStyle w:val="EndnoteReference"/>
          <w:rFonts w:eastAsia="Times New Roman" w:cstheme="minorHAnsi"/>
          <w:color w:val="000000" w:themeColor="text1"/>
          <w:sz w:val="24"/>
          <w:szCs w:val="24"/>
        </w:rPr>
        <w:endnoteReference w:id="59"/>
      </w:r>
    </w:p>
    <w:p w14:paraId="657A512D" w14:textId="7041D71B" w:rsidR="007955AC" w:rsidRPr="00761D56" w:rsidRDefault="007955AC" w:rsidP="008F24DD">
      <w:pPr>
        <w:pStyle w:val="ListParagraph"/>
        <w:numPr>
          <w:ilvl w:val="0"/>
          <w:numId w:val="1"/>
        </w:numPr>
        <w:tabs>
          <w:tab w:val="left" w:pos="720"/>
        </w:tabs>
        <w:autoSpaceDE w:val="0"/>
        <w:autoSpaceDN w:val="0"/>
        <w:adjustRightInd w:val="0"/>
        <w:spacing w:before="240" w:after="0" w:line="276" w:lineRule="auto"/>
        <w:jc w:val="both"/>
        <w:rPr>
          <w:rFonts w:eastAsia="Times New Roman" w:cstheme="minorHAnsi"/>
          <w:color w:val="000000" w:themeColor="text1"/>
          <w:sz w:val="24"/>
          <w:szCs w:val="24"/>
        </w:rPr>
      </w:pPr>
      <w:r w:rsidRPr="00761D56">
        <w:rPr>
          <w:rFonts w:eastAsia="Times New Roman" w:cstheme="minorHAnsi"/>
          <w:color w:val="000000" w:themeColor="text1"/>
          <w:sz w:val="24"/>
          <w:szCs w:val="24"/>
        </w:rPr>
        <w:t>In the health sector, children’s privacy is safeguarded under several laws, including Article 40 of the Health Services Act (29/2015)</w:t>
      </w:r>
      <w:r w:rsidRPr="00761D56">
        <w:rPr>
          <w:rStyle w:val="EndnoteReference"/>
          <w:rFonts w:eastAsia="Times New Roman" w:cstheme="minorHAnsi"/>
          <w:color w:val="000000" w:themeColor="text1"/>
          <w:sz w:val="24"/>
          <w:szCs w:val="24"/>
        </w:rPr>
        <w:endnoteReference w:id="60"/>
      </w:r>
      <w:r w:rsidRPr="00761D56">
        <w:rPr>
          <w:rFonts w:eastAsia="Times New Roman" w:cstheme="minorHAnsi"/>
          <w:color w:val="000000" w:themeColor="text1"/>
          <w:sz w:val="24"/>
          <w:szCs w:val="24"/>
        </w:rPr>
        <w:t>, Article 88 of the Health Professionals Act (13/2015)</w:t>
      </w:r>
      <w:r w:rsidRPr="00761D56">
        <w:rPr>
          <w:rStyle w:val="EndnoteReference"/>
          <w:rFonts w:eastAsia="Times New Roman" w:cstheme="minorHAnsi"/>
          <w:color w:val="000000" w:themeColor="text1"/>
          <w:sz w:val="24"/>
          <w:szCs w:val="24"/>
        </w:rPr>
        <w:endnoteReference w:id="61"/>
      </w:r>
      <w:r w:rsidRPr="00761D56">
        <w:rPr>
          <w:rFonts w:eastAsia="Times New Roman" w:cstheme="minorHAnsi"/>
          <w:color w:val="000000" w:themeColor="text1"/>
          <w:sz w:val="24"/>
          <w:szCs w:val="24"/>
        </w:rPr>
        <w:t>, Article 83(b) and (e) of the Health Services Regulation (R-28/2021). The effectiveness of these safeguards, however, depends largely on staff awareness, institutional enforcement, and consistent monitoring</w:t>
      </w:r>
      <w:r w:rsidRPr="00761D56">
        <w:rPr>
          <w:rStyle w:val="EndnoteReference"/>
          <w:rFonts w:eastAsia="Times New Roman" w:cstheme="minorHAnsi"/>
          <w:color w:val="000000" w:themeColor="text1"/>
          <w:sz w:val="24"/>
          <w:szCs w:val="24"/>
        </w:rPr>
        <w:endnoteReference w:id="62"/>
      </w:r>
      <w:r w:rsidRPr="00761D56">
        <w:rPr>
          <w:rFonts w:eastAsia="Times New Roman" w:cstheme="minorHAnsi"/>
          <w:color w:val="000000" w:themeColor="text1"/>
          <w:sz w:val="24"/>
          <w:szCs w:val="24"/>
        </w:rPr>
        <w:t>.</w:t>
      </w:r>
    </w:p>
    <w:p w14:paraId="45959D38" w14:textId="1BD8E4DD" w:rsidR="007955AC" w:rsidRPr="00761D56" w:rsidRDefault="007955AC" w:rsidP="008F24DD">
      <w:pPr>
        <w:pStyle w:val="ListParagraph"/>
        <w:numPr>
          <w:ilvl w:val="0"/>
          <w:numId w:val="1"/>
        </w:numPr>
        <w:tabs>
          <w:tab w:val="left" w:pos="720"/>
        </w:tabs>
        <w:autoSpaceDE w:val="0"/>
        <w:autoSpaceDN w:val="0"/>
        <w:adjustRightInd w:val="0"/>
        <w:spacing w:before="240" w:after="0" w:line="276" w:lineRule="auto"/>
        <w:jc w:val="both"/>
        <w:rPr>
          <w:rFonts w:eastAsia="Times New Roman" w:cstheme="minorHAnsi"/>
          <w:color w:val="000000" w:themeColor="text1"/>
          <w:sz w:val="24"/>
          <w:szCs w:val="24"/>
        </w:rPr>
      </w:pPr>
      <w:r w:rsidRPr="00761D56">
        <w:rPr>
          <w:rFonts w:eastAsia="Times New Roman" w:cstheme="minorHAnsi"/>
          <w:color w:val="000000" w:themeColor="text1"/>
          <w:sz w:val="24"/>
          <w:szCs w:val="24"/>
        </w:rPr>
        <w:t>Despite legislation, infrastructural and procedural limitations in some hospitals mean children’s privacy is not always maintained. Children brought in for treatment, including victims of assault, may be visible to bystanders, and the lack of private rooms in some facilities risks confidentiality.</w:t>
      </w:r>
      <w:r w:rsidRPr="00761D56">
        <w:rPr>
          <w:rStyle w:val="EndnoteReference"/>
          <w:rFonts w:eastAsia="Times New Roman" w:cstheme="minorHAnsi"/>
          <w:color w:val="000000" w:themeColor="text1"/>
          <w:sz w:val="24"/>
          <w:szCs w:val="24"/>
        </w:rPr>
        <w:endnoteReference w:id="63"/>
      </w:r>
      <w:r w:rsidR="009A7E3F">
        <w:rPr>
          <w:rFonts w:eastAsia="Times New Roman" w:cstheme="minorHAnsi"/>
          <w:color w:val="000000" w:themeColor="text1"/>
          <w:sz w:val="24"/>
          <w:szCs w:val="24"/>
        </w:rPr>
        <w:t xml:space="preserve"> </w:t>
      </w:r>
      <w:r w:rsidRPr="00761D56">
        <w:rPr>
          <w:rFonts w:eastAsia="Times New Roman" w:cstheme="minorHAnsi"/>
          <w:color w:val="000000" w:themeColor="text1"/>
          <w:sz w:val="24"/>
          <w:szCs w:val="24"/>
        </w:rPr>
        <w:t xml:space="preserve">The arrival of police vehicles and escorting of children into hospitals, even when discreet, can also draw public attention and lead to </w:t>
      </w:r>
      <w:r w:rsidR="00D05532" w:rsidRPr="00761D56">
        <w:rPr>
          <w:rFonts w:eastAsia="Times New Roman" w:cstheme="minorHAnsi"/>
          <w:color w:val="000000" w:themeColor="text1"/>
          <w:sz w:val="24"/>
          <w:szCs w:val="24"/>
        </w:rPr>
        <w:t>rumours</w:t>
      </w:r>
      <w:r w:rsidRPr="00761D56">
        <w:rPr>
          <w:rFonts w:eastAsia="Times New Roman" w:cstheme="minorHAnsi"/>
          <w:color w:val="000000" w:themeColor="text1"/>
          <w:sz w:val="24"/>
          <w:szCs w:val="24"/>
        </w:rPr>
        <w:t>.</w:t>
      </w:r>
      <w:r w:rsidRPr="00761D56">
        <w:rPr>
          <w:rStyle w:val="EndnoteReference"/>
          <w:rFonts w:eastAsia="Times New Roman" w:cstheme="minorHAnsi"/>
          <w:color w:val="000000" w:themeColor="text1"/>
          <w:sz w:val="24"/>
          <w:szCs w:val="24"/>
        </w:rPr>
        <w:endnoteReference w:id="64"/>
      </w:r>
    </w:p>
    <w:p w14:paraId="17BD4636" w14:textId="77777777" w:rsidR="007955AC" w:rsidRPr="00761D56" w:rsidRDefault="007955AC" w:rsidP="008F24DD">
      <w:pPr>
        <w:pStyle w:val="ListParagraph"/>
        <w:numPr>
          <w:ilvl w:val="0"/>
          <w:numId w:val="1"/>
        </w:numPr>
        <w:tabs>
          <w:tab w:val="left" w:pos="720"/>
        </w:tabs>
        <w:autoSpaceDE w:val="0"/>
        <w:autoSpaceDN w:val="0"/>
        <w:adjustRightInd w:val="0"/>
        <w:spacing w:before="240" w:after="0" w:line="276" w:lineRule="auto"/>
        <w:jc w:val="both"/>
        <w:rPr>
          <w:rFonts w:eastAsia="Times New Roman" w:cstheme="minorHAnsi"/>
          <w:color w:val="000000" w:themeColor="text1"/>
          <w:sz w:val="24"/>
          <w:szCs w:val="24"/>
        </w:rPr>
      </w:pPr>
      <w:r w:rsidRPr="00761D56">
        <w:rPr>
          <w:rFonts w:eastAsia="Times New Roman" w:cstheme="minorHAnsi"/>
          <w:color w:val="000000" w:themeColor="text1"/>
          <w:sz w:val="24"/>
          <w:szCs w:val="24"/>
        </w:rPr>
        <w:t>MPS reported that the identities of child victims and children brought in for questioning are kept confidential, with names and faces withheld from the public.</w:t>
      </w:r>
      <w:r w:rsidRPr="00761D56">
        <w:rPr>
          <w:rStyle w:val="EndnoteReference"/>
          <w:rFonts w:eastAsia="Times New Roman" w:cstheme="minorHAnsi"/>
          <w:color w:val="000000" w:themeColor="text1"/>
          <w:sz w:val="24"/>
          <w:szCs w:val="24"/>
        </w:rPr>
        <w:endnoteReference w:id="65"/>
      </w:r>
      <w:r w:rsidRPr="00761D56">
        <w:rPr>
          <w:rFonts w:eastAsia="Times New Roman" w:cstheme="minorHAnsi"/>
          <w:color w:val="000000" w:themeColor="text1"/>
          <w:sz w:val="24"/>
          <w:szCs w:val="24"/>
        </w:rPr>
        <w:t xml:space="preserve"> However, in small island communities, the proximity of police stations to residential areas makes it difficult to maintain anonymity, as residents frequently gather outside stations.</w:t>
      </w:r>
    </w:p>
    <w:p w14:paraId="533B496D" w14:textId="6AAFAB0C" w:rsidR="007955AC" w:rsidRPr="00761D56" w:rsidRDefault="007955AC" w:rsidP="008F24DD">
      <w:pPr>
        <w:pStyle w:val="ListParagraph"/>
        <w:numPr>
          <w:ilvl w:val="0"/>
          <w:numId w:val="1"/>
        </w:numPr>
        <w:tabs>
          <w:tab w:val="left" w:pos="720"/>
        </w:tabs>
        <w:autoSpaceDE w:val="0"/>
        <w:autoSpaceDN w:val="0"/>
        <w:adjustRightInd w:val="0"/>
        <w:spacing w:before="240" w:after="0" w:line="276" w:lineRule="auto"/>
        <w:jc w:val="both"/>
        <w:rPr>
          <w:rFonts w:eastAsia="Times New Roman" w:cstheme="minorHAnsi"/>
          <w:color w:val="000000" w:themeColor="text1"/>
          <w:sz w:val="24"/>
          <w:szCs w:val="24"/>
        </w:rPr>
      </w:pPr>
      <w:r w:rsidRPr="00761D56">
        <w:rPr>
          <w:rFonts w:eastAsia="Times New Roman" w:cstheme="minorHAnsi"/>
          <w:color w:val="000000" w:themeColor="text1"/>
          <w:sz w:val="24"/>
          <w:szCs w:val="24"/>
        </w:rPr>
        <w:lastRenderedPageBreak/>
        <w:t>The Family and Child Service Centre (FCSC) has adopted measures to minimize breaches of privacy during home visits and child protection interventions. Staff deliberately conduct visits during less busy times, and enter hospitals through back entrances to avoid public scrutiny. Despite these precautions, information about children being removed from their homes or receiving protective services often circulates within small communities, making full confidentiality difficult to achieve</w:t>
      </w:r>
      <w:r w:rsidR="009A7E3F">
        <w:rPr>
          <w:rFonts w:eastAsia="Times New Roman" w:cstheme="minorHAnsi"/>
          <w:color w:val="000000" w:themeColor="text1"/>
          <w:sz w:val="24"/>
          <w:szCs w:val="24"/>
        </w:rPr>
        <w:t>.</w:t>
      </w:r>
      <w:r w:rsidRPr="00761D56">
        <w:rPr>
          <w:rStyle w:val="EndnoteReference"/>
          <w:rFonts w:eastAsia="Times New Roman" w:cstheme="minorHAnsi"/>
          <w:color w:val="000000" w:themeColor="text1"/>
          <w:sz w:val="24"/>
          <w:szCs w:val="24"/>
        </w:rPr>
        <w:endnoteReference w:id="66"/>
      </w:r>
    </w:p>
    <w:p w14:paraId="247CC333" w14:textId="6B093E53" w:rsidR="007955AC" w:rsidRPr="00761D56" w:rsidRDefault="007955AC" w:rsidP="008F24DD">
      <w:pPr>
        <w:pStyle w:val="ListParagraph"/>
        <w:tabs>
          <w:tab w:val="left" w:pos="720"/>
        </w:tabs>
        <w:autoSpaceDE w:val="0"/>
        <w:autoSpaceDN w:val="0"/>
        <w:adjustRightInd w:val="0"/>
        <w:spacing w:before="240" w:after="0" w:line="276" w:lineRule="auto"/>
        <w:ind w:left="990" w:hanging="270"/>
        <w:jc w:val="both"/>
        <w:rPr>
          <w:rFonts w:eastAsia="Times New Roman" w:cstheme="minorHAnsi"/>
          <w:color w:val="000000" w:themeColor="text1"/>
          <w:sz w:val="24"/>
          <w:szCs w:val="24"/>
        </w:rPr>
      </w:pPr>
    </w:p>
    <w:p w14:paraId="615944E1" w14:textId="3F27612F" w:rsidR="007955AC" w:rsidRPr="00761D56" w:rsidRDefault="007955AC" w:rsidP="008F24DD">
      <w:pPr>
        <w:tabs>
          <w:tab w:val="left" w:pos="720"/>
        </w:tabs>
        <w:autoSpaceDE w:val="0"/>
        <w:autoSpaceDN w:val="0"/>
        <w:adjustRightInd w:val="0"/>
        <w:spacing w:before="240" w:after="0" w:line="276" w:lineRule="auto"/>
        <w:ind w:left="990" w:hanging="270"/>
        <w:jc w:val="both"/>
        <w:rPr>
          <w:rFonts w:eastAsia="Times New Roman" w:cstheme="minorHAnsi"/>
          <w:b/>
          <w:bCs/>
          <w:color w:val="000000" w:themeColor="text1"/>
          <w:sz w:val="24"/>
          <w:szCs w:val="24"/>
        </w:rPr>
      </w:pPr>
      <w:r w:rsidRPr="00761D56">
        <w:rPr>
          <w:rFonts w:eastAsia="Times New Roman" w:cstheme="minorHAnsi"/>
          <w:b/>
          <w:bCs/>
          <w:color w:val="000000" w:themeColor="text1"/>
          <w:sz w:val="24"/>
          <w:szCs w:val="24"/>
        </w:rPr>
        <w:t xml:space="preserve">Recommendations </w:t>
      </w:r>
    </w:p>
    <w:p w14:paraId="5DC23D24" w14:textId="15038D0E" w:rsidR="000F34E9" w:rsidRPr="00761D56" w:rsidRDefault="000F34E9" w:rsidP="008F24DD">
      <w:pPr>
        <w:pStyle w:val="ListParagraph"/>
        <w:numPr>
          <w:ilvl w:val="0"/>
          <w:numId w:val="8"/>
        </w:numPr>
        <w:tabs>
          <w:tab w:val="left" w:pos="720"/>
        </w:tabs>
        <w:autoSpaceDE w:val="0"/>
        <w:autoSpaceDN w:val="0"/>
        <w:adjustRightInd w:val="0"/>
        <w:spacing w:before="240" w:after="0" w:line="276" w:lineRule="auto"/>
        <w:ind w:left="990" w:hanging="270"/>
        <w:jc w:val="both"/>
        <w:rPr>
          <w:rFonts w:eastAsia="Times New Roman" w:cstheme="minorHAnsi"/>
          <w:b/>
          <w:bCs/>
          <w:color w:val="000000" w:themeColor="text1"/>
          <w:sz w:val="24"/>
          <w:szCs w:val="24"/>
        </w:rPr>
      </w:pPr>
      <w:r w:rsidRPr="00761D56">
        <w:rPr>
          <w:rFonts w:eastAsia="Times New Roman" w:cstheme="minorHAnsi"/>
          <w:b/>
          <w:bCs/>
          <w:color w:val="000000" w:themeColor="text1"/>
          <w:sz w:val="24"/>
          <w:szCs w:val="24"/>
        </w:rPr>
        <w:t>Implement a Multi-Channel Public Awareness Campaign Focused on Community Responsibility</w:t>
      </w:r>
    </w:p>
    <w:p w14:paraId="735F3B05" w14:textId="4D3C78F7" w:rsidR="007955AC" w:rsidRPr="00761D56" w:rsidRDefault="007955AC" w:rsidP="008F24DD">
      <w:pPr>
        <w:pStyle w:val="ListParagraph"/>
        <w:numPr>
          <w:ilvl w:val="0"/>
          <w:numId w:val="8"/>
        </w:numPr>
        <w:tabs>
          <w:tab w:val="left" w:pos="720"/>
        </w:tabs>
        <w:autoSpaceDE w:val="0"/>
        <w:autoSpaceDN w:val="0"/>
        <w:adjustRightInd w:val="0"/>
        <w:spacing w:before="240" w:after="0" w:line="276" w:lineRule="auto"/>
        <w:ind w:left="990" w:hanging="270"/>
        <w:jc w:val="both"/>
        <w:rPr>
          <w:rFonts w:eastAsia="Times New Roman" w:cstheme="minorHAnsi"/>
          <w:b/>
          <w:bCs/>
          <w:color w:val="000000" w:themeColor="text1"/>
          <w:sz w:val="24"/>
          <w:szCs w:val="24"/>
        </w:rPr>
      </w:pPr>
      <w:r w:rsidRPr="00761D56">
        <w:rPr>
          <w:rFonts w:eastAsia="Times New Roman" w:cstheme="minorHAnsi"/>
          <w:b/>
          <w:bCs/>
          <w:color w:val="000000" w:themeColor="text1"/>
          <w:sz w:val="24"/>
          <w:szCs w:val="24"/>
        </w:rPr>
        <w:t>Upgrade infrastructure in hospitals and care facilities to minimize unintended public exposure of children, such as improving private entrances, secure waiting areas, and discreet transport arrangements.</w:t>
      </w:r>
    </w:p>
    <w:p w14:paraId="339EB8E8" w14:textId="309B0F9B"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lang w:bidi="dv-MV"/>
        </w:rPr>
      </w:pPr>
      <w:bookmarkStart w:id="16" w:name="_Toc216692794"/>
      <w:r w:rsidRPr="00761D56">
        <w:rPr>
          <w:rFonts w:asciiTheme="minorHAnsi" w:hAnsiTheme="minorHAnsi" w:cstheme="minorHAnsi"/>
          <w:color w:val="000000" w:themeColor="text1"/>
          <w:lang w:bidi="dv-MV"/>
        </w:rPr>
        <w:t>Article 18 -Parental responsibilities, State assistance</w:t>
      </w:r>
      <w:bookmarkEnd w:id="16"/>
    </w:p>
    <w:p w14:paraId="0A2E761A" w14:textId="7AE4446A" w:rsidR="007955AC" w:rsidRPr="00761D56" w:rsidRDefault="007955AC" w:rsidP="008F24DD">
      <w:pPr>
        <w:pStyle w:val="ListParagraph"/>
        <w:numPr>
          <w:ilvl w:val="0"/>
          <w:numId w:val="10"/>
        </w:numPr>
        <w:tabs>
          <w:tab w:val="left" w:pos="720"/>
        </w:tabs>
        <w:spacing w:before="240" w:after="0" w:line="276" w:lineRule="auto"/>
        <w:jc w:val="both"/>
        <w:rPr>
          <w:rStyle w:val="EndnoteReference"/>
          <w:rFonts w:cstheme="minorHAnsi"/>
          <w:color w:val="000000" w:themeColor="text1"/>
          <w:sz w:val="24"/>
          <w:szCs w:val="24"/>
          <w:vertAlign w:val="baseline"/>
        </w:rPr>
      </w:pPr>
      <w:r w:rsidRPr="00761D56">
        <w:rPr>
          <w:rFonts w:cstheme="minorHAnsi"/>
          <w:color w:val="000000" w:themeColor="text1"/>
          <w:sz w:val="24"/>
          <w:szCs w:val="24"/>
        </w:rPr>
        <w:t>Pre-marital</w:t>
      </w:r>
      <w:r w:rsidR="009C237E" w:rsidRPr="00761D56">
        <w:rPr>
          <w:rFonts w:cstheme="minorHAnsi"/>
          <w:color w:val="000000" w:themeColor="text1"/>
          <w:sz w:val="24"/>
          <w:szCs w:val="24"/>
        </w:rPr>
        <w:t xml:space="preserve"> awareness</w:t>
      </w:r>
      <w:r w:rsidRPr="00761D56">
        <w:rPr>
          <w:rFonts w:cstheme="minorHAnsi"/>
          <w:color w:val="000000" w:themeColor="text1"/>
          <w:sz w:val="24"/>
          <w:szCs w:val="24"/>
        </w:rPr>
        <w:t xml:space="preserve"> program</w:t>
      </w:r>
      <w:r w:rsidR="009C237E" w:rsidRPr="00761D56">
        <w:rPr>
          <w:rFonts w:cstheme="minorHAnsi"/>
          <w:color w:val="000000" w:themeColor="text1"/>
          <w:sz w:val="24"/>
          <w:szCs w:val="24"/>
        </w:rPr>
        <w:t xml:space="preserve">s </w:t>
      </w:r>
      <w:r w:rsidRPr="00761D56">
        <w:rPr>
          <w:rFonts w:cstheme="minorHAnsi"/>
          <w:color w:val="000000" w:themeColor="text1"/>
          <w:sz w:val="24"/>
          <w:szCs w:val="24"/>
        </w:rPr>
        <w:t>are largely unavailable outside Malé, leaving couples in outer islands without access, while weak enforcement of mandatory health screenings, such as thalassemia testing required as part of marriage registration in Greater Malé, further compounds the issue.</w:t>
      </w:r>
      <w:r w:rsidRPr="00761D56">
        <w:rPr>
          <w:rStyle w:val="EndnoteReference"/>
          <w:rFonts w:cstheme="minorHAnsi"/>
          <w:color w:val="000000" w:themeColor="text1"/>
          <w:sz w:val="24"/>
          <w:szCs w:val="24"/>
        </w:rPr>
        <w:endnoteReference w:id="67"/>
      </w:r>
    </w:p>
    <w:p w14:paraId="33757546" w14:textId="5D4D67A5" w:rsidR="007955AC" w:rsidRPr="00761D56" w:rsidRDefault="007955AC" w:rsidP="008F24DD">
      <w:pPr>
        <w:pStyle w:val="ListParagraph"/>
        <w:numPr>
          <w:ilvl w:val="0"/>
          <w:numId w:val="10"/>
        </w:numPr>
        <w:tabs>
          <w:tab w:val="left" w:pos="720"/>
          <w:tab w:val="left" w:pos="1080"/>
          <w:tab w:val="left" w:pos="2520"/>
        </w:tabs>
        <w:spacing w:before="240" w:after="0" w:line="276" w:lineRule="auto"/>
        <w:ind w:left="990" w:hanging="270"/>
        <w:jc w:val="both"/>
        <w:rPr>
          <w:rFonts w:cstheme="minorHAnsi"/>
          <w:color w:val="000000" w:themeColor="text1"/>
          <w:sz w:val="24"/>
          <w:szCs w:val="24"/>
        </w:rPr>
      </w:pPr>
      <w:r w:rsidRPr="00761D56">
        <w:rPr>
          <w:rFonts w:cstheme="minorHAnsi"/>
          <w:color w:val="000000" w:themeColor="text1"/>
          <w:sz w:val="24"/>
          <w:szCs w:val="24"/>
        </w:rPr>
        <w:t xml:space="preserve">The persistently high divorce rates (See chart </w:t>
      </w:r>
      <w:r w:rsidR="00A3450D" w:rsidRPr="00761D56">
        <w:rPr>
          <w:rFonts w:cstheme="minorHAnsi"/>
          <w:color w:val="000000" w:themeColor="text1"/>
          <w:sz w:val="24"/>
          <w:szCs w:val="24"/>
        </w:rPr>
        <w:t>6</w:t>
      </w:r>
      <w:r w:rsidRPr="00761D56">
        <w:rPr>
          <w:rFonts w:cstheme="minorHAnsi"/>
          <w:color w:val="000000" w:themeColor="text1"/>
          <w:sz w:val="24"/>
          <w:szCs w:val="24"/>
        </w:rPr>
        <w:t>) indicate enduring challenges in marital stability driven by multiple factors, including early marriages without emotional or economic readiness, and later realisations of incompatibility.</w:t>
      </w:r>
      <w:r w:rsidRPr="00761D56">
        <w:rPr>
          <w:rFonts w:cstheme="minorHAnsi"/>
          <w:color w:val="000000" w:themeColor="text1"/>
          <w:vertAlign w:val="superscript"/>
        </w:rPr>
        <w:endnoteReference w:id="68"/>
      </w:r>
      <w:r w:rsidRPr="00761D56">
        <w:rPr>
          <w:rFonts w:cstheme="minorHAnsi"/>
          <w:color w:val="000000" w:themeColor="text1"/>
          <w:sz w:val="24"/>
          <w:szCs w:val="24"/>
        </w:rPr>
        <w:t xml:space="preserve"> Extended family interference, especially in shared households, often undermines marital autonomy</w:t>
      </w:r>
      <w:r w:rsidR="009A7E3F">
        <w:rPr>
          <w:rFonts w:cstheme="minorHAnsi"/>
          <w:color w:val="000000" w:themeColor="text1"/>
          <w:sz w:val="24"/>
          <w:szCs w:val="24"/>
        </w:rPr>
        <w:t>,</w:t>
      </w:r>
      <w:r w:rsidRPr="00761D56">
        <w:rPr>
          <w:rFonts w:cstheme="minorHAnsi"/>
          <w:color w:val="000000" w:themeColor="text1"/>
          <w:sz w:val="24"/>
          <w:szCs w:val="24"/>
        </w:rPr>
        <w:t xml:space="preserve"> while socioeconomic hardships, such as inadequate housing, resort-based employment, and financial strain, further hinder relationships.</w:t>
      </w:r>
      <w:r w:rsidRPr="00761D56">
        <w:rPr>
          <w:rFonts w:cstheme="minorHAnsi"/>
          <w:color w:val="000000" w:themeColor="text1"/>
          <w:vertAlign w:val="superscript"/>
        </w:rPr>
        <w:endnoteReference w:id="69"/>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rPr>
        <w:t>Post-childbirth, unequal caregiving responsibilities, combined with the absence of counselling and psychosocial support, often leave couples without the means to resolve conflicts constructively.</w:t>
      </w:r>
      <w:r w:rsidRPr="00761D56">
        <w:rPr>
          <w:rFonts w:cstheme="minorHAnsi"/>
          <w:color w:val="000000" w:themeColor="text1"/>
          <w:vertAlign w:val="superscript"/>
        </w:rPr>
        <w:endnoteReference w:id="70"/>
      </w:r>
    </w:p>
    <w:p w14:paraId="38726AF0" w14:textId="77777777" w:rsidR="00165912" w:rsidRPr="00761D56" w:rsidRDefault="00165912" w:rsidP="008F24DD">
      <w:pPr>
        <w:tabs>
          <w:tab w:val="left" w:pos="720"/>
          <w:tab w:val="left" w:pos="1080"/>
          <w:tab w:val="left" w:pos="2520"/>
        </w:tabs>
        <w:spacing w:before="240" w:after="0" w:line="276" w:lineRule="auto"/>
        <w:jc w:val="both"/>
        <w:rPr>
          <w:rFonts w:cstheme="minorHAnsi"/>
          <w:color w:val="000000" w:themeColor="text1"/>
          <w:sz w:val="24"/>
          <w:szCs w:val="24"/>
        </w:rPr>
      </w:pPr>
    </w:p>
    <w:p w14:paraId="7B3A78B5" w14:textId="77777777" w:rsidR="00165912" w:rsidRPr="00761D56" w:rsidRDefault="00165912" w:rsidP="008F24DD">
      <w:pPr>
        <w:tabs>
          <w:tab w:val="left" w:pos="720"/>
          <w:tab w:val="left" w:pos="1080"/>
          <w:tab w:val="left" w:pos="2520"/>
        </w:tabs>
        <w:spacing w:before="240" w:after="0" w:line="276" w:lineRule="auto"/>
        <w:jc w:val="both"/>
        <w:rPr>
          <w:rFonts w:cstheme="minorHAnsi"/>
          <w:color w:val="000000" w:themeColor="text1"/>
          <w:sz w:val="24"/>
          <w:szCs w:val="24"/>
        </w:rPr>
      </w:pPr>
    </w:p>
    <w:p w14:paraId="5FB41133" w14:textId="77777777" w:rsidR="00165912" w:rsidRPr="00761D56" w:rsidRDefault="00165912" w:rsidP="008F24DD">
      <w:pPr>
        <w:tabs>
          <w:tab w:val="left" w:pos="720"/>
          <w:tab w:val="left" w:pos="1080"/>
          <w:tab w:val="left" w:pos="2520"/>
        </w:tabs>
        <w:spacing w:before="240" w:after="0" w:line="276" w:lineRule="auto"/>
        <w:jc w:val="both"/>
        <w:rPr>
          <w:rFonts w:cstheme="minorHAnsi"/>
          <w:color w:val="000000" w:themeColor="text1"/>
          <w:sz w:val="24"/>
          <w:szCs w:val="24"/>
        </w:rPr>
      </w:pPr>
    </w:p>
    <w:p w14:paraId="42261030" w14:textId="77777777" w:rsidR="00165912" w:rsidRPr="00761D56" w:rsidRDefault="00165912" w:rsidP="008F24DD">
      <w:pPr>
        <w:tabs>
          <w:tab w:val="left" w:pos="720"/>
          <w:tab w:val="left" w:pos="1080"/>
          <w:tab w:val="left" w:pos="2520"/>
        </w:tabs>
        <w:spacing w:before="240" w:after="0" w:line="276" w:lineRule="auto"/>
        <w:jc w:val="both"/>
        <w:rPr>
          <w:rFonts w:cstheme="minorHAnsi"/>
          <w:color w:val="000000" w:themeColor="text1"/>
          <w:sz w:val="24"/>
          <w:szCs w:val="24"/>
        </w:rPr>
      </w:pPr>
    </w:p>
    <w:p w14:paraId="3C20D040" w14:textId="15B0D416" w:rsidR="007955AC"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r w:rsidRPr="00761D56">
        <w:rPr>
          <w:rFonts w:cstheme="minorHAnsi"/>
          <w:noProof/>
          <w:color w:val="000000" w:themeColor="text1"/>
          <w:sz w:val="24"/>
          <w:szCs w:val="24"/>
        </w:rPr>
        <w:lastRenderedPageBreak/>
        <w:drawing>
          <wp:anchor distT="0" distB="0" distL="114300" distR="114300" simplePos="0" relativeHeight="251672576" behindDoc="1" locked="0" layoutInCell="1" allowOverlap="1" wp14:anchorId="5A696491" wp14:editId="7860C17F">
            <wp:simplePos x="0" y="0"/>
            <wp:positionH relativeFrom="margin">
              <wp:posOffset>1072286</wp:posOffset>
            </wp:positionH>
            <wp:positionV relativeFrom="paragraph">
              <wp:posOffset>12308</wp:posOffset>
            </wp:positionV>
            <wp:extent cx="4337050" cy="2438400"/>
            <wp:effectExtent l="0" t="0" r="6350" b="0"/>
            <wp:wrapNone/>
            <wp:docPr id="1859069882" name="Chart 1">
              <a:extLst xmlns:a="http://schemas.openxmlformats.org/drawingml/2006/main">
                <a:ext uri="{FF2B5EF4-FFF2-40B4-BE49-F238E27FC236}">
                  <a16:creationId xmlns:a16="http://schemas.microsoft.com/office/drawing/2014/main" id="{04B703A0-6687-6126-5987-66779943A3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51E20E93" w14:textId="2FEC2A18" w:rsidR="007955AC" w:rsidRPr="00761D56" w:rsidRDefault="007955AC"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4BA5356F" w14:textId="77777777" w:rsidR="002E6692"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3F280D7D" w14:textId="77777777" w:rsidR="002E6692"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7EE9F3BD" w14:textId="77777777" w:rsidR="002E6692"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48173226" w14:textId="77777777" w:rsidR="002E6692"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3C72EC48" w14:textId="77777777" w:rsidR="002E6692"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6BFBA15E" w14:textId="77777777" w:rsidR="002E6692" w:rsidRPr="00761D56" w:rsidRDefault="002E6692" w:rsidP="008F24DD">
      <w:pPr>
        <w:pStyle w:val="ListParagraph"/>
        <w:tabs>
          <w:tab w:val="left" w:pos="720"/>
        </w:tabs>
        <w:spacing w:before="240" w:after="0" w:line="276" w:lineRule="auto"/>
        <w:ind w:left="990" w:hanging="270"/>
        <w:jc w:val="both"/>
        <w:rPr>
          <w:rFonts w:cstheme="minorHAnsi"/>
          <w:color w:val="000000" w:themeColor="text1"/>
          <w:sz w:val="24"/>
          <w:szCs w:val="24"/>
        </w:rPr>
      </w:pPr>
    </w:p>
    <w:p w14:paraId="685609BF" w14:textId="2C04A310" w:rsidR="007955AC" w:rsidRPr="00761D56" w:rsidRDefault="007955AC" w:rsidP="008F24DD">
      <w:pPr>
        <w:pStyle w:val="ListParagraph"/>
        <w:tabs>
          <w:tab w:val="left" w:pos="720"/>
        </w:tabs>
        <w:spacing w:before="240" w:after="0" w:line="276" w:lineRule="auto"/>
        <w:ind w:left="990" w:hanging="270"/>
        <w:jc w:val="center"/>
        <w:rPr>
          <w:rFonts w:cstheme="minorHAnsi"/>
          <w:color w:val="000000" w:themeColor="text1"/>
          <w:sz w:val="24"/>
          <w:szCs w:val="24"/>
        </w:rPr>
      </w:pPr>
    </w:p>
    <w:p w14:paraId="31A27750" w14:textId="77777777" w:rsidR="002E6692" w:rsidRPr="00761D56" w:rsidRDefault="002E6692"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p>
    <w:p w14:paraId="65CAD7EB" w14:textId="77777777" w:rsidR="00165912" w:rsidRPr="00761D56" w:rsidRDefault="00165912"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p>
    <w:p w14:paraId="37535FA8" w14:textId="77777777" w:rsidR="00165912" w:rsidRPr="00761D56" w:rsidRDefault="00165912"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p>
    <w:p w14:paraId="47C0D740" w14:textId="7EE4FBF2" w:rsidR="007955AC" w:rsidRPr="00761D56" w:rsidRDefault="007955AC" w:rsidP="008F24DD">
      <w:pPr>
        <w:pStyle w:val="ListParagraph"/>
        <w:tabs>
          <w:tab w:val="left" w:pos="720"/>
        </w:tabs>
        <w:spacing w:before="240" w:after="0" w:line="276" w:lineRule="auto"/>
        <w:ind w:left="990" w:hanging="27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6</w:t>
      </w:r>
      <w:r w:rsidRPr="00761D56">
        <w:rPr>
          <w:rFonts w:cstheme="minorHAnsi"/>
          <w:i/>
          <w:iCs/>
          <w:color w:val="000000" w:themeColor="text1"/>
          <w:sz w:val="24"/>
          <w:szCs w:val="24"/>
        </w:rPr>
        <w:t>: compilation of statistics on marriage and divorce cases using data from Department of Judicial Administration</w:t>
      </w:r>
    </w:p>
    <w:p w14:paraId="4C0E9D8C" w14:textId="77777777" w:rsidR="007955AC" w:rsidRPr="00761D56" w:rsidRDefault="007955AC" w:rsidP="008F24DD">
      <w:pPr>
        <w:pStyle w:val="ListParagraph"/>
        <w:tabs>
          <w:tab w:val="left" w:pos="720"/>
        </w:tabs>
        <w:spacing w:before="240" w:after="0" w:line="276" w:lineRule="auto"/>
        <w:ind w:left="990" w:hanging="270"/>
        <w:jc w:val="both"/>
        <w:rPr>
          <w:rFonts w:cstheme="minorHAnsi"/>
          <w:i/>
          <w:iCs/>
          <w:color w:val="000000" w:themeColor="text1"/>
          <w:sz w:val="24"/>
          <w:szCs w:val="24"/>
        </w:rPr>
      </w:pPr>
    </w:p>
    <w:p w14:paraId="20ECE676" w14:textId="7D8E0E97"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Parents hold the primary responsibility for the care and upbringing of the child, which includes protecting the child’s rights, ensuring adequate food, shelter, and healthcare, and appointing a capable caretaker in their absence.</w:t>
      </w:r>
      <w:r w:rsidRPr="00761D56">
        <w:rPr>
          <w:rStyle w:val="EndnoteReference"/>
          <w:rFonts w:cstheme="minorHAnsi"/>
          <w:color w:val="000000" w:themeColor="text1"/>
          <w:sz w:val="24"/>
          <w:szCs w:val="24"/>
        </w:rPr>
        <w:endnoteReference w:id="71"/>
      </w:r>
      <w:r w:rsidRPr="00761D56">
        <w:rPr>
          <w:rFonts w:cstheme="minorHAnsi"/>
          <w:color w:val="000000" w:themeColor="text1"/>
          <w:sz w:val="24"/>
          <w:szCs w:val="24"/>
        </w:rPr>
        <w:t xml:space="preserve"> While there have been progressive developments in maternity and paternity policies (paid maternity leave for public sector workers has been extended to six months, and paternity leave to one month), these provisions have yet to be integrated into the Employment Act</w:t>
      </w:r>
      <w:r w:rsidR="009A7E3F">
        <w:rPr>
          <w:rFonts w:cstheme="minorHAnsi"/>
          <w:color w:val="000000" w:themeColor="text1"/>
          <w:sz w:val="24"/>
          <w:szCs w:val="24"/>
        </w:rPr>
        <w:t xml:space="preserve"> </w:t>
      </w:r>
      <w:r w:rsidRPr="00761D56">
        <w:rPr>
          <w:rFonts w:cstheme="minorHAnsi"/>
          <w:color w:val="000000" w:themeColor="text1"/>
          <w:sz w:val="24"/>
          <w:szCs w:val="24"/>
          <w:vertAlign w:val="superscript"/>
        </w:rPr>
        <w:endnoteReference w:id="72"/>
      </w:r>
      <w:r w:rsidRPr="00761D56">
        <w:rPr>
          <w:rFonts w:cstheme="minorHAnsi"/>
          <w:color w:val="000000" w:themeColor="text1"/>
          <w:kern w:val="0"/>
          <w:sz w:val="24"/>
          <w:szCs w:val="24"/>
          <w:vertAlign w:val="superscript"/>
        </w:rPr>
        <w:t xml:space="preserve"> </w:t>
      </w:r>
      <w:r w:rsidRPr="00761D56">
        <w:rPr>
          <w:rFonts w:cstheme="minorHAnsi"/>
          <w:color w:val="000000" w:themeColor="text1"/>
          <w:sz w:val="24"/>
          <w:szCs w:val="24"/>
        </w:rPr>
        <w:t>resulting in inconsistencies between public and private sector policies on parental leave, as well as practical barriers within the public sector.</w:t>
      </w:r>
      <w:r w:rsidRPr="00761D56">
        <w:rPr>
          <w:rStyle w:val="EndnoteReference"/>
          <w:rFonts w:cstheme="minorHAnsi"/>
          <w:color w:val="000000" w:themeColor="text1"/>
          <w:sz w:val="24"/>
          <w:szCs w:val="24"/>
        </w:rPr>
        <w:endnoteReference w:id="73"/>
      </w:r>
      <w:r w:rsidRPr="00761D56">
        <w:rPr>
          <w:rFonts w:cstheme="minorHAnsi"/>
          <w:color w:val="000000" w:themeColor="text1"/>
          <w:sz w:val="24"/>
          <w:szCs w:val="24"/>
        </w:rPr>
        <w:t xml:space="preserve"> Even within the public sector,  severe understaffing and concerns over service disruptions in some sectors often prevent staff from fully utilizing their paid leave entitlements.</w:t>
      </w:r>
      <w:r w:rsidRPr="00761D56">
        <w:rPr>
          <w:rStyle w:val="EndnoteReference"/>
          <w:rFonts w:cstheme="minorHAnsi"/>
          <w:color w:val="000000" w:themeColor="text1"/>
          <w:sz w:val="24"/>
          <w:szCs w:val="24"/>
        </w:rPr>
        <w:t xml:space="preserve"> </w:t>
      </w:r>
      <w:r w:rsidRPr="00761D56">
        <w:rPr>
          <w:rStyle w:val="EndnoteReference"/>
          <w:rFonts w:cstheme="minorHAnsi"/>
          <w:color w:val="000000" w:themeColor="text1"/>
          <w:sz w:val="24"/>
          <w:szCs w:val="24"/>
        </w:rPr>
        <w:endnoteReference w:id="74"/>
      </w:r>
    </w:p>
    <w:p w14:paraId="62374D44" w14:textId="58D8EDC7"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Parents are legally obligated to provide maintenance for their child,</w:t>
      </w:r>
      <w:r w:rsidRPr="00761D56">
        <w:rPr>
          <w:rStyle w:val="EndnoteReference"/>
          <w:rFonts w:cstheme="minorHAnsi"/>
          <w:color w:val="000000" w:themeColor="text1"/>
          <w:sz w:val="24"/>
          <w:szCs w:val="24"/>
        </w:rPr>
        <w:endnoteReference w:id="75"/>
      </w:r>
      <w:r w:rsidRPr="00761D56">
        <w:rPr>
          <w:rFonts w:cstheme="minorHAnsi"/>
          <w:color w:val="000000" w:themeColor="text1"/>
          <w:sz w:val="24"/>
          <w:szCs w:val="24"/>
        </w:rPr>
        <w:t xml:space="preserve"> including when another party or the State provides care.</w:t>
      </w:r>
      <w:r w:rsidRPr="00761D56">
        <w:rPr>
          <w:rStyle w:val="EndnoteReference"/>
          <w:rFonts w:cstheme="minorHAnsi"/>
          <w:color w:val="000000" w:themeColor="text1"/>
          <w:sz w:val="24"/>
          <w:szCs w:val="24"/>
        </w:rPr>
        <w:endnoteReference w:id="76"/>
      </w:r>
      <w:r w:rsidRPr="00761D56">
        <w:rPr>
          <w:rFonts w:cstheme="minorHAnsi"/>
          <w:color w:val="000000" w:themeColor="text1"/>
          <w:sz w:val="24"/>
          <w:szCs w:val="24"/>
        </w:rPr>
        <w:t xml:space="preserve"> The State, in turn, is required to hold parents accountable for neglect and ensure support when parents are unable to meet this obligation.</w:t>
      </w:r>
      <w:r w:rsidRPr="00761D56">
        <w:rPr>
          <w:rStyle w:val="EndnoteReference"/>
          <w:rFonts w:cstheme="minorHAnsi"/>
          <w:color w:val="000000" w:themeColor="text1"/>
          <w:sz w:val="24"/>
          <w:szCs w:val="24"/>
        </w:rPr>
        <w:endnoteReference w:id="77"/>
      </w:r>
      <w:r w:rsidRPr="00761D56">
        <w:rPr>
          <w:rFonts w:cstheme="minorHAnsi"/>
          <w:color w:val="000000" w:themeColor="text1"/>
          <w:sz w:val="24"/>
          <w:szCs w:val="24"/>
        </w:rPr>
        <w:t xml:space="preserve"> </w:t>
      </w:r>
      <w:r w:rsidR="00374B2E" w:rsidRPr="00761D56">
        <w:rPr>
          <w:rFonts w:cstheme="minorHAnsi"/>
          <w:color w:val="000000" w:themeColor="text1"/>
          <w:sz w:val="24"/>
          <w:szCs w:val="24"/>
        </w:rPr>
        <w:t>Section 35 and 36 of the Family Act (Act No 04/2000) stipulates that in cases</w:t>
      </w:r>
      <w:r w:rsidR="00374B2E" w:rsidRPr="00761D56">
        <w:rPr>
          <w:rFonts w:cstheme="minorHAnsi"/>
          <w:color w:val="000000" w:themeColor="text1"/>
          <w:sz w:val="24"/>
          <w:szCs w:val="24"/>
          <w:lang w:bidi="dv-MV"/>
        </w:rPr>
        <w:t xml:space="preserve"> where spouses cannot agree on the maintenance of the wife and children, the child support allowance must be determine</w:t>
      </w:r>
      <w:r w:rsidR="00EE6726" w:rsidRPr="00761D56">
        <w:rPr>
          <w:rFonts w:cstheme="minorHAnsi"/>
          <w:color w:val="000000" w:themeColor="text1"/>
          <w:sz w:val="24"/>
          <w:szCs w:val="24"/>
          <w:lang w:bidi="dv-MV"/>
        </w:rPr>
        <w:t>d</w:t>
      </w:r>
      <w:r w:rsidR="00374B2E" w:rsidRPr="00761D56">
        <w:rPr>
          <w:rFonts w:cstheme="minorHAnsi"/>
          <w:color w:val="000000" w:themeColor="text1"/>
          <w:sz w:val="24"/>
          <w:szCs w:val="24"/>
          <w:lang w:bidi="dv-MV"/>
        </w:rPr>
        <w:t xml:space="preserve"> in accordance with the regulations formulated under the act</w:t>
      </w:r>
      <w:r w:rsidRPr="00761D56">
        <w:rPr>
          <w:rFonts w:cstheme="minorHAnsi"/>
          <w:color w:val="000000" w:themeColor="text1"/>
          <w:sz w:val="24"/>
          <w:szCs w:val="24"/>
          <w:lang w:bidi="dv-MV"/>
        </w:rPr>
        <w:t>.</w:t>
      </w:r>
      <w:r w:rsidRPr="00761D56">
        <w:rPr>
          <w:rStyle w:val="EndnoteReference"/>
          <w:rFonts w:cstheme="minorHAnsi"/>
          <w:color w:val="000000" w:themeColor="text1"/>
          <w:sz w:val="24"/>
          <w:szCs w:val="24"/>
          <w:lang w:bidi="dv-MV"/>
        </w:rPr>
        <w:endnoteReference w:id="78"/>
      </w:r>
      <w:r w:rsidRPr="00761D56">
        <w:rPr>
          <w:rFonts w:cstheme="minorHAnsi"/>
          <w:color w:val="000000" w:themeColor="text1"/>
          <w:sz w:val="24"/>
          <w:szCs w:val="24"/>
          <w:lang w:bidi="dv-MV"/>
        </w:rPr>
        <w:t xml:space="preserve"> </w:t>
      </w:r>
      <w:r w:rsidRPr="00761D56">
        <w:rPr>
          <w:rFonts w:cstheme="minorHAnsi"/>
          <w:color w:val="000000" w:themeColor="text1"/>
          <w:sz w:val="24"/>
          <w:szCs w:val="24"/>
        </w:rPr>
        <w:t>Child support expenses are determined based on the number of children and their specific needs</w:t>
      </w:r>
      <w:r w:rsidRPr="00761D56">
        <w:rPr>
          <w:rStyle w:val="EndnoteReference"/>
          <w:rFonts w:cstheme="minorHAnsi"/>
          <w:color w:val="000000" w:themeColor="text1"/>
          <w:sz w:val="24"/>
          <w:szCs w:val="24"/>
        </w:rPr>
        <w:endnoteReference w:id="79"/>
      </w:r>
      <w:r w:rsidRPr="00761D56">
        <w:rPr>
          <w:rFonts w:cstheme="minorHAnsi"/>
          <w:color w:val="000000" w:themeColor="text1"/>
          <w:sz w:val="24"/>
          <w:szCs w:val="24"/>
        </w:rPr>
        <w:t xml:space="preserve"> with minimum monthly support </w:t>
      </w:r>
      <w:r w:rsidR="00EE6726" w:rsidRPr="00761D56">
        <w:rPr>
          <w:rFonts w:cstheme="minorHAnsi"/>
          <w:color w:val="000000" w:themeColor="text1"/>
          <w:sz w:val="24"/>
          <w:szCs w:val="24"/>
        </w:rPr>
        <w:t>of</w:t>
      </w:r>
      <w:r w:rsidRPr="00761D56">
        <w:rPr>
          <w:rFonts w:cstheme="minorHAnsi"/>
          <w:color w:val="000000" w:themeColor="text1"/>
          <w:sz w:val="24"/>
          <w:szCs w:val="24"/>
        </w:rPr>
        <w:t xml:space="preserve"> MVR 2,000 and at least MVR 1,000 for each additional child.</w:t>
      </w:r>
      <w:r w:rsidRPr="00761D56">
        <w:rPr>
          <w:rStyle w:val="EndnoteReference"/>
          <w:rFonts w:cstheme="minorHAnsi"/>
          <w:color w:val="000000" w:themeColor="text1"/>
          <w:sz w:val="24"/>
          <w:szCs w:val="24"/>
        </w:rPr>
        <w:endnoteReference w:id="80"/>
      </w:r>
      <w:r w:rsidRPr="00761D56">
        <w:rPr>
          <w:rFonts w:cstheme="minorHAnsi"/>
          <w:color w:val="000000" w:themeColor="text1"/>
          <w:sz w:val="24"/>
          <w:szCs w:val="24"/>
        </w:rPr>
        <w:t xml:space="preserve"> </w:t>
      </w:r>
    </w:p>
    <w:p w14:paraId="20212761" w14:textId="0BD01566"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In addition to basic maintenance, reasonable costs must cover three sets of clothes annually, education needs such as uniforms, footwear, books, and materials, as well as medical treatment at government rates.</w:t>
      </w:r>
      <w:r w:rsidRPr="00761D56">
        <w:rPr>
          <w:rStyle w:val="EndnoteReference"/>
          <w:rFonts w:cstheme="minorHAnsi"/>
          <w:color w:val="000000" w:themeColor="text1"/>
          <w:sz w:val="24"/>
          <w:szCs w:val="24"/>
        </w:rPr>
        <w:endnoteReference w:id="81"/>
      </w:r>
      <w:r w:rsidRPr="00761D56">
        <w:rPr>
          <w:rFonts w:cstheme="minorHAnsi"/>
          <w:color w:val="000000" w:themeColor="text1"/>
          <w:sz w:val="24"/>
          <w:szCs w:val="24"/>
        </w:rPr>
        <w:t xml:space="preserve"> Additional expenses may be provided based on the child’s circumstances and the guardian’s financial capacity.</w:t>
      </w:r>
      <w:r w:rsidRPr="00761D56">
        <w:rPr>
          <w:rStyle w:val="EndnoteReference"/>
          <w:rFonts w:cstheme="minorHAnsi"/>
          <w:color w:val="000000" w:themeColor="text1"/>
          <w:sz w:val="24"/>
          <w:szCs w:val="24"/>
        </w:rPr>
        <w:endnoteReference w:id="82"/>
      </w:r>
      <w:r w:rsidRPr="00761D56">
        <w:rPr>
          <w:rFonts w:cstheme="minorHAnsi"/>
          <w:color w:val="000000" w:themeColor="text1"/>
          <w:sz w:val="24"/>
          <w:szCs w:val="24"/>
        </w:rPr>
        <w:t xml:space="preserve"> </w:t>
      </w:r>
    </w:p>
    <w:p w14:paraId="473A23E0" w14:textId="261EFF22"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lastRenderedPageBreak/>
        <w:t>These</w:t>
      </w:r>
      <w:r w:rsidRPr="00761D56">
        <w:rPr>
          <w:rFonts w:eastAsia="Times New Roman" w:cstheme="minorHAnsi"/>
          <w:color w:val="000000" w:themeColor="text1"/>
          <w:kern w:val="0"/>
          <w:sz w:val="24"/>
          <w:szCs w:val="24"/>
          <w14:ligatures w14:val="none"/>
        </w:rPr>
        <w:t xml:space="preserve"> fixed minimum maintenance amounts remain inadequate in the context of inflation and rising costs, thereby undermining a child’s right to an adequate standard of living</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83"/>
      </w:r>
    </w:p>
    <w:p w14:paraId="3F5A511B" w14:textId="77777777" w:rsidR="00EE6726" w:rsidRPr="00761D56" w:rsidRDefault="008F24DD"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eastAsia="Times New Roman" w:cstheme="minorHAnsi"/>
          <w:color w:val="000000" w:themeColor="text1"/>
          <w:kern w:val="0"/>
          <w:sz w:val="24"/>
          <w:szCs w:val="24"/>
          <w14:ligatures w14:val="none"/>
        </w:rPr>
        <w:t>The custody of the child primarily rests with the mother (See Chart 7) unless, this is refuted through the manifestation of circumstances in Section 42 of the Family Act</w:t>
      </w:r>
      <w:r w:rsidR="00EE6726" w:rsidRPr="00761D56">
        <w:rPr>
          <w:rFonts w:eastAsia="Times New Roman" w:cstheme="minorHAnsi"/>
          <w:color w:val="000000" w:themeColor="text1"/>
          <w:kern w:val="0"/>
          <w:sz w:val="24"/>
          <w:szCs w:val="24"/>
          <w14:ligatures w14:val="none"/>
        </w:rPr>
        <w:t xml:space="preserve">. </w:t>
      </w:r>
    </w:p>
    <w:p w14:paraId="4CB07EAD" w14:textId="2EDE7565" w:rsidR="007955AC" w:rsidRPr="00761D56" w:rsidRDefault="008F24DD"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eastAsia="Times New Roman" w:cstheme="minorHAnsi"/>
          <w:color w:val="000000" w:themeColor="text1"/>
          <w:kern w:val="0"/>
          <w:sz w:val="24"/>
          <w:szCs w:val="24"/>
          <w14:ligatures w14:val="none"/>
        </w:rPr>
        <w:t xml:space="preserve">  </w:t>
      </w:r>
      <w:r w:rsidR="00EE6726" w:rsidRPr="00761D56">
        <w:rPr>
          <w:rFonts w:eastAsia="Times New Roman" w:cstheme="minorHAnsi"/>
          <w:color w:val="000000" w:themeColor="text1"/>
          <w:kern w:val="0"/>
          <w:sz w:val="24"/>
          <w:szCs w:val="24"/>
          <w14:ligatures w14:val="none"/>
        </w:rPr>
        <w:t xml:space="preserve">As a </w:t>
      </w:r>
      <w:r w:rsidR="002F22C7" w:rsidRPr="00761D56">
        <w:rPr>
          <w:rFonts w:eastAsia="Times New Roman" w:cstheme="minorHAnsi"/>
          <w:color w:val="000000" w:themeColor="text1"/>
          <w:kern w:val="0"/>
          <w:sz w:val="24"/>
          <w:szCs w:val="24"/>
          <w14:ligatures w14:val="none"/>
        </w:rPr>
        <w:t>result,</w:t>
      </w:r>
      <w:r w:rsidR="00EE6726" w:rsidRPr="00761D56">
        <w:rPr>
          <w:rFonts w:eastAsia="Times New Roman" w:cstheme="minorHAnsi"/>
          <w:color w:val="000000" w:themeColor="text1"/>
          <w:kern w:val="0"/>
          <w:sz w:val="24"/>
          <w:szCs w:val="24"/>
          <w14:ligatures w14:val="none"/>
        </w:rPr>
        <w:t xml:space="preserve"> mothers</w:t>
      </w:r>
      <w:r w:rsidRPr="00761D56">
        <w:rPr>
          <w:rFonts w:eastAsia="Times New Roman" w:cstheme="minorHAnsi"/>
          <w:color w:val="000000" w:themeColor="text1"/>
          <w:kern w:val="0"/>
          <w:sz w:val="24"/>
          <w:szCs w:val="24"/>
          <w14:ligatures w14:val="none"/>
        </w:rPr>
        <w:t xml:space="preserve"> bear a disproportionate financial and legal burden, as enforcement depends entirely on the courts, and requires repeated applications for missed payments or additional costs (See Chart 8), a process that is time-consuming and emotionally exhausting, perpetuating gender-based economic discrimination.</w:t>
      </w:r>
      <w:r w:rsidR="007955AC" w:rsidRPr="00761D56">
        <w:rPr>
          <w:rFonts w:eastAsia="Times New Roman" w:cstheme="minorHAnsi"/>
          <w:color w:val="000000" w:themeColor="text1"/>
          <w:kern w:val="0"/>
          <w:sz w:val="24"/>
          <w:szCs w:val="24"/>
          <w14:ligatures w14:val="none"/>
        </w:rPr>
        <w:t xml:space="preserve"> This challenge is compounded by persistent non-payment of court-ordered child maintenance,</w:t>
      </w:r>
      <w:r w:rsidR="007955AC" w:rsidRPr="00761D56">
        <w:rPr>
          <w:rFonts w:cstheme="minorHAnsi"/>
          <w:color w:val="000000" w:themeColor="text1"/>
          <w:sz w:val="24"/>
          <w:szCs w:val="24"/>
        </w:rPr>
        <w:t xml:space="preserve"> </w:t>
      </w:r>
      <w:r w:rsidR="007955AC" w:rsidRPr="00761D56">
        <w:rPr>
          <w:rFonts w:eastAsia="Times New Roman" w:cstheme="minorHAnsi"/>
          <w:color w:val="000000" w:themeColor="text1"/>
          <w:kern w:val="0"/>
          <w:sz w:val="24"/>
          <w:szCs w:val="24"/>
          <w14:ligatures w14:val="none"/>
        </w:rPr>
        <w:t>with cases before Family Court steadily declining while those in Magistrate Court cases have remained relatively stable.</w:t>
      </w:r>
      <w:r w:rsidR="007955AC" w:rsidRPr="00761D56">
        <w:rPr>
          <w:rStyle w:val="EndnoteReference"/>
          <w:rFonts w:eastAsia="Times New Roman" w:cstheme="minorHAnsi"/>
          <w:color w:val="000000" w:themeColor="text1"/>
          <w:kern w:val="0"/>
          <w:sz w:val="24"/>
          <w:szCs w:val="24"/>
          <w14:ligatures w14:val="none"/>
        </w:rPr>
        <w:endnoteReference w:id="84"/>
      </w:r>
    </w:p>
    <w:p w14:paraId="29F897B4" w14:textId="77777777" w:rsidR="007955AC" w:rsidRPr="00761D56" w:rsidRDefault="007955AC" w:rsidP="008F24DD">
      <w:pPr>
        <w:pStyle w:val="ListParagraph"/>
        <w:tabs>
          <w:tab w:val="left" w:pos="720"/>
        </w:tabs>
        <w:spacing w:before="240" w:after="0" w:line="276" w:lineRule="auto"/>
        <w:ind w:left="1080" w:hanging="360"/>
        <w:jc w:val="both"/>
        <w:rPr>
          <w:rFonts w:eastAsia="Times New Roman" w:cstheme="minorHAnsi"/>
          <w:color w:val="000000" w:themeColor="text1"/>
          <w:kern w:val="0"/>
          <w:sz w:val="24"/>
          <w:szCs w:val="24"/>
          <w14:ligatures w14:val="none"/>
        </w:rPr>
      </w:pPr>
    </w:p>
    <w:p w14:paraId="40E09A99" w14:textId="77777777" w:rsidR="007955AC" w:rsidRPr="00761D56" w:rsidRDefault="007955AC" w:rsidP="008F24DD">
      <w:pPr>
        <w:pStyle w:val="ListParagraph"/>
        <w:tabs>
          <w:tab w:val="left" w:pos="720"/>
        </w:tabs>
        <w:spacing w:before="240" w:after="0" w:line="276" w:lineRule="auto"/>
        <w:ind w:left="1080" w:hanging="360"/>
        <w:jc w:val="center"/>
        <w:rPr>
          <w:rFonts w:eastAsia="Times New Roman" w:cstheme="minorHAnsi"/>
          <w:color w:val="000000" w:themeColor="text1"/>
          <w:kern w:val="0"/>
          <w:sz w:val="24"/>
          <w:szCs w:val="24"/>
          <w14:ligatures w14:val="none"/>
        </w:rPr>
      </w:pPr>
      <w:r w:rsidRPr="00761D56">
        <w:rPr>
          <w:rFonts w:cstheme="minorHAnsi"/>
          <w:noProof/>
          <w:color w:val="000000" w:themeColor="text1"/>
          <w:sz w:val="24"/>
          <w:szCs w:val="24"/>
        </w:rPr>
        <w:drawing>
          <wp:inline distT="0" distB="0" distL="0" distR="0" wp14:anchorId="58BC297F" wp14:editId="4590C5DA">
            <wp:extent cx="5073650" cy="2647950"/>
            <wp:effectExtent l="0" t="0" r="12700" b="0"/>
            <wp:docPr id="415391781" name="Chart 1">
              <a:extLst xmlns:a="http://schemas.openxmlformats.org/drawingml/2006/main">
                <a:ext uri="{FF2B5EF4-FFF2-40B4-BE49-F238E27FC236}">
                  <a16:creationId xmlns:a16="http://schemas.microsoft.com/office/drawing/2014/main" id="{4EC02EEE-B733-FA48-EAC3-3F2CF0994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397C0FE" w14:textId="77777777" w:rsidR="007955AC" w:rsidRPr="00761D56" w:rsidRDefault="007955AC" w:rsidP="008F24DD">
      <w:pPr>
        <w:pStyle w:val="ListParagraph"/>
        <w:tabs>
          <w:tab w:val="left" w:pos="720"/>
        </w:tabs>
        <w:spacing w:before="240" w:after="0" w:line="276" w:lineRule="auto"/>
        <w:ind w:left="1080" w:hanging="360"/>
        <w:jc w:val="both"/>
        <w:rPr>
          <w:rFonts w:cstheme="minorHAnsi"/>
          <w:i/>
          <w:iCs/>
          <w:color w:val="000000" w:themeColor="text1"/>
          <w:sz w:val="24"/>
          <w:szCs w:val="24"/>
          <w:shd w:val="clear" w:color="auto" w:fill="E2EFD9" w:themeFill="accent6" w:themeFillTint="33"/>
        </w:rPr>
      </w:pPr>
    </w:p>
    <w:p w14:paraId="6FD388D7" w14:textId="571017C3" w:rsidR="007955AC" w:rsidRPr="00761D56" w:rsidRDefault="007955AC" w:rsidP="008F24DD">
      <w:pPr>
        <w:pStyle w:val="ListParagraph"/>
        <w:tabs>
          <w:tab w:val="left" w:pos="720"/>
        </w:tabs>
        <w:spacing w:before="240" w:after="0" w:line="276" w:lineRule="auto"/>
        <w:ind w:left="1080" w:hanging="360"/>
        <w:jc w:val="center"/>
        <w:rPr>
          <w:rFonts w:eastAsia="Times New Roman" w:cstheme="minorHAnsi"/>
          <w:i/>
          <w:iCs/>
          <w:color w:val="000000" w:themeColor="text1"/>
          <w:kern w:val="0"/>
          <w:sz w:val="24"/>
          <w:szCs w:val="24"/>
          <w14:ligatures w14:val="none"/>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7</w:t>
      </w:r>
      <w:r w:rsidRPr="00761D56">
        <w:rPr>
          <w:rFonts w:eastAsia="Times New Roman" w:cstheme="minorHAnsi"/>
          <w:i/>
          <w:iCs/>
          <w:color w:val="000000" w:themeColor="text1"/>
          <w:kern w:val="0"/>
          <w:sz w:val="24"/>
          <w:szCs w:val="24"/>
          <w14:ligatures w14:val="none"/>
        </w:rPr>
        <w:t>: Custody cases, Judicial statistics from 2015 to 2021</w:t>
      </w:r>
    </w:p>
    <w:p w14:paraId="2135A5A1" w14:textId="77777777" w:rsidR="007955AC" w:rsidRPr="00761D56" w:rsidRDefault="007955AC" w:rsidP="008733D2">
      <w:pPr>
        <w:pStyle w:val="ListParagraph"/>
        <w:tabs>
          <w:tab w:val="left" w:pos="720"/>
        </w:tabs>
        <w:spacing w:before="240" w:after="0" w:line="276" w:lineRule="auto"/>
        <w:ind w:left="1080" w:hanging="360"/>
        <w:jc w:val="center"/>
        <w:rPr>
          <w:rFonts w:eastAsia="Times New Roman" w:cstheme="minorHAnsi"/>
          <w:color w:val="000000" w:themeColor="text1"/>
          <w:kern w:val="0"/>
          <w:sz w:val="24"/>
          <w:szCs w:val="24"/>
          <w14:ligatures w14:val="none"/>
        </w:rPr>
      </w:pPr>
      <w:r w:rsidRPr="00761D56">
        <w:rPr>
          <w:rFonts w:cstheme="minorHAnsi"/>
          <w:noProof/>
          <w:color w:val="000000" w:themeColor="text1"/>
          <w:sz w:val="24"/>
          <w:szCs w:val="24"/>
        </w:rPr>
        <w:drawing>
          <wp:inline distT="0" distB="0" distL="0" distR="0" wp14:anchorId="5E03186E" wp14:editId="37CD24CE">
            <wp:extent cx="4946650" cy="2279650"/>
            <wp:effectExtent l="0" t="0" r="6350" b="6350"/>
            <wp:docPr id="1427054885" name="Chart 1">
              <a:extLst xmlns:a="http://schemas.openxmlformats.org/drawingml/2006/main">
                <a:ext uri="{FF2B5EF4-FFF2-40B4-BE49-F238E27FC236}">
                  <a16:creationId xmlns:a16="http://schemas.microsoft.com/office/drawing/2014/main" id="{BADE187E-10DA-1F92-4A91-82AF263304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21FDF57" w14:textId="77777777" w:rsidR="007955AC" w:rsidRPr="00761D56" w:rsidRDefault="007955AC" w:rsidP="008F24DD">
      <w:pPr>
        <w:pStyle w:val="ListParagraph"/>
        <w:tabs>
          <w:tab w:val="left" w:pos="720"/>
        </w:tabs>
        <w:spacing w:before="240" w:after="0" w:line="276" w:lineRule="auto"/>
        <w:ind w:left="1080" w:hanging="360"/>
        <w:jc w:val="both"/>
        <w:rPr>
          <w:rFonts w:eastAsia="Times New Roman" w:cstheme="minorHAnsi"/>
          <w:color w:val="000000" w:themeColor="text1"/>
          <w:kern w:val="0"/>
          <w:sz w:val="24"/>
          <w:szCs w:val="24"/>
          <w14:ligatures w14:val="none"/>
        </w:rPr>
      </w:pPr>
    </w:p>
    <w:p w14:paraId="3BC7DBE1" w14:textId="4D8CD98C" w:rsidR="007955AC" w:rsidRPr="00761D56" w:rsidRDefault="007955AC" w:rsidP="008F24DD">
      <w:pPr>
        <w:pStyle w:val="ListParagraph"/>
        <w:tabs>
          <w:tab w:val="left" w:pos="720"/>
        </w:tabs>
        <w:spacing w:before="240" w:after="0" w:line="276" w:lineRule="auto"/>
        <w:ind w:left="1080" w:hanging="36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8</w:t>
      </w:r>
      <w:r w:rsidRPr="00761D56">
        <w:rPr>
          <w:rFonts w:cstheme="minorHAnsi"/>
          <w:i/>
          <w:iCs/>
          <w:color w:val="000000" w:themeColor="text1"/>
          <w:sz w:val="24"/>
          <w:szCs w:val="24"/>
        </w:rPr>
        <w:t xml:space="preserve">: </w:t>
      </w:r>
      <w:r w:rsidR="00B521C1" w:rsidRPr="00761D56">
        <w:rPr>
          <w:rFonts w:cstheme="minorHAnsi"/>
          <w:i/>
          <w:iCs/>
          <w:color w:val="000000" w:themeColor="text1"/>
          <w:sz w:val="24"/>
          <w:szCs w:val="24"/>
        </w:rPr>
        <w:t>T</w:t>
      </w:r>
      <w:r w:rsidRPr="00761D56">
        <w:rPr>
          <w:rFonts w:cstheme="minorHAnsi"/>
          <w:i/>
          <w:iCs/>
          <w:color w:val="000000" w:themeColor="text1"/>
          <w:sz w:val="24"/>
          <w:szCs w:val="24"/>
        </w:rPr>
        <w:t>otal number of cases of non-payment of court-ordered child maintenance, Department of Judicial Administration statistics</w:t>
      </w:r>
    </w:p>
    <w:p w14:paraId="7D4B2751" w14:textId="77777777" w:rsidR="007955AC" w:rsidRPr="00761D56" w:rsidRDefault="007955AC" w:rsidP="008F24DD">
      <w:pPr>
        <w:tabs>
          <w:tab w:val="left" w:pos="720"/>
        </w:tabs>
        <w:spacing w:before="240" w:after="0" w:line="276" w:lineRule="auto"/>
        <w:ind w:left="1080" w:hanging="360"/>
        <w:jc w:val="both"/>
        <w:rPr>
          <w:rFonts w:cstheme="minorHAnsi"/>
          <w:color w:val="000000" w:themeColor="text1"/>
          <w:sz w:val="24"/>
          <w:szCs w:val="24"/>
        </w:rPr>
      </w:pPr>
    </w:p>
    <w:p w14:paraId="240B9F3D" w14:textId="274A7E95" w:rsidR="007955AC" w:rsidRPr="00761D56" w:rsidRDefault="007955AC" w:rsidP="008F24DD">
      <w:pPr>
        <w:pStyle w:val="ListParagraph"/>
        <w:numPr>
          <w:ilvl w:val="0"/>
          <w:numId w:val="10"/>
        </w:numPr>
        <w:tabs>
          <w:tab w:val="left" w:pos="720"/>
        </w:tabs>
        <w:spacing w:before="240" w:after="0" w:line="276" w:lineRule="auto"/>
        <w:jc w:val="both"/>
        <w:rPr>
          <w:rFonts w:eastAsiaTheme="majorEastAsia" w:cstheme="minorHAnsi"/>
          <w:color w:val="000000" w:themeColor="text1"/>
          <w:sz w:val="24"/>
          <w:szCs w:val="24"/>
        </w:rPr>
      </w:pPr>
      <w:r w:rsidRPr="00761D56">
        <w:rPr>
          <w:rFonts w:cstheme="minorHAnsi"/>
          <w:color w:val="000000" w:themeColor="text1"/>
          <w:sz w:val="24"/>
          <w:szCs w:val="24"/>
        </w:rPr>
        <w:t>When</w:t>
      </w:r>
      <w:r w:rsidRPr="00761D56">
        <w:rPr>
          <w:rFonts w:cstheme="minorHAnsi"/>
          <w:color w:val="000000" w:themeColor="text1"/>
          <w:sz w:val="24"/>
          <w:szCs w:val="24"/>
          <w:shd w:val="clear" w:color="auto" w:fill="FFFFFF"/>
        </w:rPr>
        <w:t xml:space="preserve"> court-ordered maintenance payments are not made, specific enforcement procedures aim to ensure compliance.</w:t>
      </w:r>
      <w:r w:rsidRPr="00761D56">
        <w:rPr>
          <w:rFonts w:cstheme="minorHAnsi"/>
          <w:color w:val="000000" w:themeColor="text1"/>
          <w:sz w:val="24"/>
          <w:szCs w:val="24"/>
          <w:vertAlign w:val="superscript"/>
        </w:rPr>
        <w:endnoteReference w:id="85"/>
      </w:r>
      <w:r w:rsidRPr="00761D56">
        <w:rPr>
          <w:rFonts w:cstheme="minorHAnsi"/>
          <w:color w:val="000000" w:themeColor="text1"/>
          <w:sz w:val="24"/>
          <w:szCs w:val="24"/>
          <w:shd w:val="clear" w:color="auto" w:fill="FFFFFF"/>
        </w:rPr>
        <w:t xml:space="preserve"> </w:t>
      </w:r>
      <w:r w:rsidRPr="00761D56">
        <w:rPr>
          <w:rFonts w:eastAsiaTheme="majorEastAsia" w:cstheme="minorHAnsi"/>
          <w:color w:val="000000" w:themeColor="text1"/>
          <w:sz w:val="24"/>
          <w:szCs w:val="24"/>
        </w:rPr>
        <w:t>Initially, the court may direct the employer to deduct maintenance payments from the salary of the non-compliant parent (father), and deposit them with the court;</w:t>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vertAlign w:val="superscript"/>
        </w:rPr>
        <w:endnoteReference w:id="86"/>
      </w:r>
      <w:r w:rsidRPr="00761D56">
        <w:rPr>
          <w:rFonts w:eastAsiaTheme="majorEastAsia" w:cstheme="minorHAnsi"/>
          <w:color w:val="000000" w:themeColor="text1"/>
          <w:sz w:val="24"/>
          <w:szCs w:val="24"/>
        </w:rPr>
        <w:t xml:space="preserve">  (</w:t>
      </w:r>
      <w:r w:rsidR="002E6692" w:rsidRPr="00761D56">
        <w:rPr>
          <w:rFonts w:eastAsiaTheme="majorEastAsia" w:cstheme="minorHAnsi"/>
          <w:color w:val="000000" w:themeColor="text1"/>
          <w:sz w:val="24"/>
          <w:szCs w:val="24"/>
        </w:rPr>
        <w:t>S</w:t>
      </w:r>
      <w:r w:rsidRPr="00761D56">
        <w:rPr>
          <w:rFonts w:eastAsiaTheme="majorEastAsia" w:cstheme="minorHAnsi"/>
          <w:color w:val="000000" w:themeColor="text1"/>
          <w:sz w:val="24"/>
          <w:szCs w:val="24"/>
        </w:rPr>
        <w:t xml:space="preserve">ee Chart </w:t>
      </w:r>
      <w:r w:rsidR="00A3450D" w:rsidRPr="00761D56">
        <w:rPr>
          <w:rFonts w:eastAsiaTheme="majorEastAsia" w:cstheme="minorHAnsi"/>
          <w:color w:val="000000" w:themeColor="text1"/>
          <w:sz w:val="24"/>
          <w:szCs w:val="24"/>
        </w:rPr>
        <w:t>9</w:t>
      </w:r>
      <w:r w:rsidRPr="00761D56">
        <w:rPr>
          <w:rFonts w:eastAsiaTheme="majorEastAsia" w:cstheme="minorHAnsi"/>
          <w:color w:val="000000" w:themeColor="text1"/>
          <w:sz w:val="24"/>
          <w:szCs w:val="24"/>
        </w:rPr>
        <w:t xml:space="preserve">). While salary deduction is one of the most effective enforcement measures, its implementation is challenging because nearly 80% of </w:t>
      </w:r>
      <w:r w:rsidRPr="00761D56">
        <w:rPr>
          <w:rFonts w:cstheme="minorHAnsi"/>
          <w:color w:val="000000" w:themeColor="text1"/>
          <w:sz w:val="24"/>
          <w:szCs w:val="24"/>
        </w:rPr>
        <w:t>those failing to comply with court-ordered child support</w:t>
      </w:r>
      <w:r w:rsidRPr="00761D56">
        <w:rPr>
          <w:rFonts w:eastAsiaTheme="majorEastAsia" w:cstheme="minorHAnsi"/>
          <w:color w:val="000000" w:themeColor="text1"/>
          <w:sz w:val="24"/>
          <w:szCs w:val="24"/>
        </w:rPr>
        <w:t xml:space="preserve"> are not employed in government or formal private sector jobs.</w:t>
      </w:r>
      <w:r w:rsidRPr="00761D56">
        <w:rPr>
          <w:rStyle w:val="EndnoteReference"/>
          <w:rFonts w:cstheme="minorHAnsi"/>
          <w:color w:val="000000" w:themeColor="text1"/>
          <w:sz w:val="24"/>
          <w:szCs w:val="24"/>
        </w:rPr>
        <w:endnoteReference w:id="87"/>
      </w:r>
      <w:r w:rsidR="00DF6EAD">
        <w:rPr>
          <w:rFonts w:eastAsiaTheme="majorEastAsia" w:cstheme="minorHAnsi"/>
          <w:color w:val="000000" w:themeColor="text1"/>
          <w:sz w:val="24"/>
          <w:szCs w:val="24"/>
        </w:rPr>
        <w:t xml:space="preserve"> </w:t>
      </w:r>
      <w:r w:rsidRPr="00761D56">
        <w:rPr>
          <w:rFonts w:eastAsiaTheme="majorEastAsia" w:cstheme="minorHAnsi"/>
          <w:color w:val="000000" w:themeColor="text1"/>
          <w:sz w:val="24"/>
          <w:szCs w:val="24"/>
        </w:rPr>
        <w:t>Additionally, and the lack of reliable information on income from permanent or self-employment makes such deductions impractical, leaving many children without essential resources for their well-being</w:t>
      </w:r>
      <w:r w:rsidRPr="00761D56">
        <w:rPr>
          <w:rStyle w:val="EndnoteReference"/>
          <w:rFonts w:cstheme="minorHAnsi"/>
          <w:color w:val="000000" w:themeColor="text1"/>
          <w:sz w:val="24"/>
          <w:szCs w:val="24"/>
          <w:lang w:bidi="dv-MV"/>
        </w:rPr>
        <w:endnoteReference w:id="88"/>
      </w:r>
    </w:p>
    <w:p w14:paraId="6CE8B0BD" w14:textId="77777777" w:rsidR="007955AC" w:rsidRPr="00761D56" w:rsidRDefault="007955AC" w:rsidP="008F24DD">
      <w:pPr>
        <w:pStyle w:val="ListParagraph"/>
        <w:tabs>
          <w:tab w:val="left" w:pos="720"/>
        </w:tabs>
        <w:spacing w:before="240" w:after="0" w:line="276" w:lineRule="auto"/>
        <w:ind w:left="1080" w:hanging="360"/>
        <w:jc w:val="center"/>
        <w:rPr>
          <w:rFonts w:cstheme="minorHAnsi"/>
          <w:color w:val="000000" w:themeColor="text1"/>
          <w:sz w:val="24"/>
          <w:szCs w:val="24"/>
        </w:rPr>
      </w:pPr>
      <w:r w:rsidRPr="00761D56">
        <w:rPr>
          <w:rFonts w:cstheme="minorHAnsi"/>
          <w:noProof/>
          <w:color w:val="000000" w:themeColor="text1"/>
          <w:sz w:val="24"/>
          <w:szCs w:val="24"/>
        </w:rPr>
        <w:drawing>
          <wp:inline distT="0" distB="0" distL="0" distR="0" wp14:anchorId="5409BB71" wp14:editId="1468B844">
            <wp:extent cx="4959350" cy="2012950"/>
            <wp:effectExtent l="0" t="0" r="12700" b="6350"/>
            <wp:docPr id="53478708" name="Chart 1">
              <a:extLst xmlns:a="http://schemas.openxmlformats.org/drawingml/2006/main">
                <a:ext uri="{FF2B5EF4-FFF2-40B4-BE49-F238E27FC236}">
                  <a16:creationId xmlns:a16="http://schemas.microsoft.com/office/drawing/2014/main" id="{95598BF2-1380-68A6-C883-9FAC9BFD5E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5D12ABD" w14:textId="6DDE0C7E" w:rsidR="007955AC" w:rsidRPr="00761D56" w:rsidRDefault="007955AC" w:rsidP="008F24DD">
      <w:pPr>
        <w:pStyle w:val="ListParagraph"/>
        <w:tabs>
          <w:tab w:val="left" w:pos="720"/>
        </w:tabs>
        <w:spacing w:before="240" w:after="0" w:line="276" w:lineRule="auto"/>
        <w:ind w:left="1080" w:hanging="360"/>
        <w:jc w:val="center"/>
        <w:rPr>
          <w:rFonts w:cstheme="minorHAnsi"/>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9</w:t>
      </w:r>
      <w:r w:rsidRPr="00761D56">
        <w:rPr>
          <w:rFonts w:cstheme="minorHAnsi"/>
          <w:i/>
          <w:iCs/>
          <w:color w:val="000000" w:themeColor="text1"/>
          <w:sz w:val="24"/>
          <w:szCs w:val="24"/>
        </w:rPr>
        <w:t>: Number of cases in which courts ordered employers to deduct maintenance payments from salaries and deposit them to court</w:t>
      </w:r>
    </w:p>
    <w:p w14:paraId="346153AD" w14:textId="77777777" w:rsidR="007955AC" w:rsidRPr="00761D56" w:rsidRDefault="007955AC" w:rsidP="008F24DD">
      <w:pPr>
        <w:pStyle w:val="ListParagraph"/>
        <w:tabs>
          <w:tab w:val="left" w:pos="720"/>
        </w:tabs>
        <w:spacing w:before="240" w:after="0" w:line="276" w:lineRule="auto"/>
        <w:ind w:left="1080" w:hanging="360"/>
        <w:jc w:val="both"/>
        <w:rPr>
          <w:rFonts w:cstheme="minorHAnsi"/>
          <w:color w:val="000000" w:themeColor="text1"/>
          <w:sz w:val="24"/>
          <w:szCs w:val="24"/>
        </w:rPr>
      </w:pPr>
    </w:p>
    <w:p w14:paraId="2841C62E" w14:textId="135FCD58" w:rsidR="00B521C1"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For repeated non-payment, the court may impose up to one month of imprisonment,</w:t>
      </w:r>
      <w:r w:rsidRPr="00761D56">
        <w:rPr>
          <w:rStyle w:val="Heading3Char"/>
          <w:rFonts w:cstheme="minorHAnsi"/>
          <w:color w:val="000000" w:themeColor="text1"/>
          <w:sz w:val="24"/>
          <w:szCs w:val="24"/>
          <w:shd w:val="clear" w:color="auto" w:fill="FFFFFF"/>
        </w:rPr>
        <w:t xml:space="preserve"> </w:t>
      </w:r>
      <w:r w:rsidRPr="00761D56">
        <w:rPr>
          <w:rStyle w:val="EndnoteReference"/>
          <w:rFonts w:cstheme="minorHAnsi"/>
          <w:color w:val="000000" w:themeColor="text1"/>
          <w:sz w:val="24"/>
          <w:szCs w:val="24"/>
          <w:shd w:val="clear" w:color="auto" w:fill="FFFFFF"/>
        </w:rPr>
        <w:endnoteReference w:id="89"/>
      </w:r>
      <w:r w:rsidRPr="00761D56">
        <w:rPr>
          <w:rFonts w:cstheme="minorHAnsi"/>
          <w:color w:val="000000" w:themeColor="text1"/>
          <w:sz w:val="24"/>
          <w:szCs w:val="24"/>
          <w:shd w:val="clear" w:color="auto" w:fill="FFFFFF"/>
        </w:rPr>
        <w:t xml:space="preserve"> </w:t>
      </w:r>
      <w:r w:rsidRPr="00761D56">
        <w:rPr>
          <w:rFonts w:cstheme="minorHAnsi"/>
          <w:color w:val="000000" w:themeColor="text1"/>
          <w:sz w:val="24"/>
          <w:szCs w:val="24"/>
        </w:rPr>
        <w:t>while unemployed individuals may face up to one month of house arrest for the first instance of non-compliance, with their circumstances taken into account.</w:t>
      </w:r>
      <w:r w:rsidRPr="00761D56">
        <w:rPr>
          <w:rStyle w:val="EndnoteReference"/>
          <w:rFonts w:cstheme="minorHAnsi"/>
          <w:color w:val="000000" w:themeColor="text1"/>
          <w:sz w:val="24"/>
          <w:szCs w:val="24"/>
          <w:shd w:val="clear" w:color="auto" w:fill="FFFFFF"/>
        </w:rPr>
        <w:endnoteReference w:id="90"/>
      </w:r>
      <w:r w:rsidRPr="00761D56">
        <w:rPr>
          <w:rFonts w:cstheme="minorHAnsi"/>
          <w:color w:val="000000" w:themeColor="text1"/>
          <w:sz w:val="24"/>
          <w:szCs w:val="24"/>
        </w:rPr>
        <w:t xml:space="preserve"> Continued non-compliance can result in house arrest, banishment, or imprisonment</w:t>
      </w:r>
      <w:r w:rsidR="002E6692" w:rsidRPr="00761D56">
        <w:rPr>
          <w:rFonts w:cstheme="minorHAnsi"/>
          <w:color w:val="000000" w:themeColor="text1"/>
          <w:sz w:val="24"/>
          <w:szCs w:val="24"/>
        </w:rPr>
        <w:t xml:space="preserve"> </w:t>
      </w:r>
      <w:r w:rsidRPr="00761D56">
        <w:rPr>
          <w:rFonts w:cstheme="minorHAnsi"/>
          <w:color w:val="000000" w:themeColor="text1"/>
          <w:sz w:val="24"/>
          <w:szCs w:val="24"/>
        </w:rPr>
        <w:t xml:space="preserve"> (</w:t>
      </w:r>
      <w:r w:rsidR="002E6692" w:rsidRPr="00761D56">
        <w:rPr>
          <w:rFonts w:cstheme="minorHAnsi"/>
          <w:color w:val="000000" w:themeColor="text1"/>
          <w:sz w:val="24"/>
          <w:szCs w:val="24"/>
        </w:rPr>
        <w:t>S</w:t>
      </w:r>
      <w:r w:rsidRPr="00761D56">
        <w:rPr>
          <w:rFonts w:cstheme="minorHAnsi"/>
          <w:color w:val="000000" w:themeColor="text1"/>
          <w:sz w:val="24"/>
          <w:szCs w:val="24"/>
        </w:rPr>
        <w:t xml:space="preserve">ee Chart </w:t>
      </w:r>
      <w:r w:rsidR="00A3450D" w:rsidRPr="00761D56">
        <w:rPr>
          <w:rFonts w:cstheme="minorHAnsi"/>
          <w:color w:val="000000" w:themeColor="text1"/>
          <w:sz w:val="24"/>
          <w:szCs w:val="24"/>
        </w:rPr>
        <w:t>10</w:t>
      </w:r>
      <w:r w:rsidRPr="00761D56">
        <w:rPr>
          <w:rFonts w:cstheme="minorHAnsi"/>
          <w:color w:val="000000" w:themeColor="text1"/>
          <w:sz w:val="24"/>
          <w:szCs w:val="24"/>
        </w:rPr>
        <w:t>) for up to two months,</w:t>
      </w:r>
      <w:r w:rsidRPr="00761D56">
        <w:rPr>
          <w:rStyle w:val="EndnoteReference"/>
          <w:rFonts w:cstheme="minorHAnsi"/>
          <w:color w:val="000000" w:themeColor="text1"/>
          <w:sz w:val="24"/>
          <w:szCs w:val="24"/>
          <w:shd w:val="clear" w:color="auto" w:fill="FFFFFF"/>
        </w:rPr>
        <w:endnoteReference w:id="91"/>
      </w:r>
      <w:r w:rsidRPr="00761D56">
        <w:rPr>
          <w:rFonts w:cstheme="minorHAnsi"/>
          <w:color w:val="000000" w:themeColor="text1"/>
          <w:sz w:val="24"/>
          <w:szCs w:val="24"/>
          <w:shd w:val="clear" w:color="auto" w:fill="FFFFFF"/>
        </w:rPr>
        <w:t xml:space="preserve"> </w:t>
      </w:r>
      <w:r w:rsidRPr="00761D56">
        <w:rPr>
          <w:rFonts w:cstheme="minorHAnsi"/>
          <w:color w:val="000000" w:themeColor="text1"/>
          <w:sz w:val="24"/>
          <w:szCs w:val="24"/>
        </w:rPr>
        <w:t>with a renewed enforcement request allowed after one month for the first violation and two months for subsequent cases.</w:t>
      </w:r>
      <w:r w:rsidRPr="00761D56">
        <w:rPr>
          <w:rStyle w:val="EndnoteReference"/>
          <w:rFonts w:cstheme="minorHAnsi"/>
          <w:color w:val="000000" w:themeColor="text1"/>
          <w:sz w:val="24"/>
          <w:szCs w:val="24"/>
        </w:rPr>
        <w:endnoteReference w:id="92"/>
      </w:r>
    </w:p>
    <w:p w14:paraId="4C19A2C8" w14:textId="77777777" w:rsidR="00B521C1" w:rsidRPr="00761D56" w:rsidRDefault="00B521C1" w:rsidP="008F24DD">
      <w:pPr>
        <w:pStyle w:val="ListParagraph"/>
        <w:tabs>
          <w:tab w:val="left" w:pos="720"/>
        </w:tabs>
        <w:spacing w:before="240" w:after="0" w:line="276" w:lineRule="auto"/>
        <w:ind w:left="1080" w:hanging="360"/>
        <w:jc w:val="center"/>
        <w:rPr>
          <w:rFonts w:cstheme="minorHAnsi"/>
          <w:i/>
          <w:iCs/>
          <w:color w:val="000000" w:themeColor="text1"/>
          <w:sz w:val="24"/>
          <w:szCs w:val="24"/>
          <w:shd w:val="clear" w:color="auto" w:fill="E2EFD9" w:themeFill="accent6" w:themeFillTint="33"/>
        </w:rPr>
      </w:pPr>
      <w:r w:rsidRPr="00761D56">
        <w:rPr>
          <w:rFonts w:cstheme="minorHAnsi"/>
          <w:noProof/>
          <w:color w:val="000000" w:themeColor="text1"/>
          <w:sz w:val="24"/>
          <w:szCs w:val="24"/>
          <w:shd w:val="clear" w:color="auto" w:fill="D0CECE" w:themeFill="background2" w:themeFillShade="E6"/>
        </w:rPr>
        <w:lastRenderedPageBreak/>
        <w:drawing>
          <wp:inline distT="0" distB="0" distL="0" distR="0" wp14:anchorId="621016CD" wp14:editId="1E4793C3">
            <wp:extent cx="3061335" cy="2552873"/>
            <wp:effectExtent l="0" t="0" r="5715" b="0"/>
            <wp:docPr id="757018748" name="Chart 1">
              <a:extLst xmlns:a="http://schemas.openxmlformats.org/drawingml/2006/main">
                <a:ext uri="{FF2B5EF4-FFF2-40B4-BE49-F238E27FC236}">
                  <a16:creationId xmlns:a16="http://schemas.microsoft.com/office/drawing/2014/main" id="{9F80864F-93F0-5022-9611-AF8039D619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E86BEDB" w14:textId="77777777" w:rsidR="00B521C1" w:rsidRPr="00761D56" w:rsidRDefault="00B521C1" w:rsidP="008F24DD">
      <w:pPr>
        <w:pStyle w:val="ListParagraph"/>
        <w:tabs>
          <w:tab w:val="left" w:pos="720"/>
        </w:tabs>
        <w:spacing w:before="240" w:after="0" w:line="276" w:lineRule="auto"/>
        <w:ind w:left="1080" w:hanging="360"/>
        <w:jc w:val="both"/>
        <w:rPr>
          <w:rFonts w:cstheme="minorHAnsi"/>
          <w:i/>
          <w:iCs/>
          <w:color w:val="000000" w:themeColor="text1"/>
          <w:sz w:val="24"/>
          <w:szCs w:val="24"/>
          <w:shd w:val="clear" w:color="auto" w:fill="E2EFD9" w:themeFill="accent6" w:themeFillTint="33"/>
        </w:rPr>
      </w:pPr>
    </w:p>
    <w:p w14:paraId="5984861B" w14:textId="1FF7F67E" w:rsidR="00B521C1" w:rsidRPr="00761D56" w:rsidRDefault="00B521C1" w:rsidP="008F24DD">
      <w:pPr>
        <w:tabs>
          <w:tab w:val="left" w:pos="720"/>
        </w:tabs>
        <w:spacing w:before="240" w:after="0" w:line="276" w:lineRule="auto"/>
        <w:jc w:val="center"/>
        <w:rPr>
          <w:rFonts w:cstheme="minorHAnsi"/>
          <w:color w:val="000000" w:themeColor="text1"/>
          <w:sz w:val="24"/>
          <w:szCs w:val="24"/>
        </w:rPr>
      </w:pPr>
      <w:r w:rsidRPr="00761D56">
        <w:rPr>
          <w:rFonts w:cstheme="minorHAnsi"/>
          <w:i/>
          <w:iCs/>
          <w:color w:val="000000" w:themeColor="text1"/>
          <w:sz w:val="24"/>
          <w:szCs w:val="24"/>
        </w:rPr>
        <w:t xml:space="preserve">Chart 10:  Number of cases where house arrest and imprisonment were ordered due to non-payment of maintenance 2019 to </w:t>
      </w:r>
      <w:r w:rsidRPr="00761D56">
        <w:rPr>
          <w:rFonts w:cs="MV Boli" w:hint="cs"/>
          <w:i/>
          <w:iCs/>
          <w:color w:val="000000" w:themeColor="text1"/>
          <w:sz w:val="24"/>
          <w:szCs w:val="24"/>
          <w:rtl/>
          <w:lang w:bidi="dv-MV"/>
        </w:rPr>
        <w:t>2024</w:t>
      </w:r>
      <w:r w:rsidRPr="00761D56">
        <w:rPr>
          <w:rFonts w:cstheme="minorHAnsi"/>
          <w:i/>
          <w:iCs/>
          <w:color w:val="000000" w:themeColor="text1"/>
          <w:sz w:val="24"/>
          <w:szCs w:val="24"/>
        </w:rPr>
        <w:t>, Department of Judicial Administration</w:t>
      </w:r>
    </w:p>
    <w:p w14:paraId="70703780" w14:textId="4AD1E364"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However, imprisoning fathers who fail to comply with child maintenance obligations often exacerbates their financial vulnerability, further delaying payments. Thus, courts prioritise safeguarding the child’s maintenance over punitive measures that could further undermine the child’s well-being.</w:t>
      </w:r>
      <w:r w:rsidRPr="00761D56">
        <w:rPr>
          <w:rStyle w:val="EndnoteReference"/>
          <w:rFonts w:cstheme="minorHAnsi"/>
          <w:color w:val="000000" w:themeColor="text1"/>
          <w:sz w:val="24"/>
          <w:szCs w:val="24"/>
          <w:lang w:bidi="dv-MV"/>
        </w:rPr>
        <w:endnoteReference w:id="93"/>
      </w:r>
      <w:r w:rsidRPr="00761D56">
        <w:rPr>
          <w:rFonts w:cstheme="minorHAnsi"/>
          <w:color w:val="000000" w:themeColor="text1"/>
          <w:sz w:val="24"/>
          <w:szCs w:val="24"/>
        </w:rPr>
        <w:t xml:space="preserve"> In some cases, enforcement measures such as house arrest or imprisonment have resulted in payment of overdue maintenance, leading to revocation of such sentences.</w:t>
      </w:r>
      <w:r w:rsidRPr="00761D56">
        <w:rPr>
          <w:rStyle w:val="EndnoteReference"/>
          <w:rFonts w:cstheme="minorHAnsi"/>
          <w:color w:val="000000" w:themeColor="text1"/>
          <w:sz w:val="24"/>
          <w:szCs w:val="24"/>
        </w:rPr>
        <w:endnoteReference w:id="94"/>
      </w:r>
      <w:r w:rsidRPr="00761D56">
        <w:rPr>
          <w:rFonts w:cstheme="minorHAnsi"/>
          <w:color w:val="000000" w:themeColor="text1"/>
          <w:sz w:val="24"/>
          <w:szCs w:val="24"/>
        </w:rPr>
        <w:t xml:space="preserve"> </w:t>
      </w:r>
    </w:p>
    <w:p w14:paraId="671AA7DC" w14:textId="3275F341" w:rsidR="007955AC" w:rsidRPr="00761D56" w:rsidRDefault="007955AC" w:rsidP="008F24DD">
      <w:pPr>
        <w:pStyle w:val="ListParagraph"/>
        <w:numPr>
          <w:ilvl w:val="0"/>
          <w:numId w:val="10"/>
        </w:numPr>
        <w:tabs>
          <w:tab w:val="left" w:pos="720"/>
        </w:tabs>
        <w:spacing w:before="240" w:after="0" w:line="276" w:lineRule="auto"/>
        <w:jc w:val="both"/>
        <w:rPr>
          <w:rFonts w:eastAsiaTheme="majorEastAsia" w:cstheme="minorHAnsi"/>
          <w:color w:val="000000" w:themeColor="text1"/>
          <w:sz w:val="24"/>
          <w:szCs w:val="24"/>
          <w:lang w:bidi="dv-MV"/>
        </w:rPr>
      </w:pPr>
      <w:r w:rsidRPr="00761D56">
        <w:rPr>
          <w:rFonts w:cstheme="minorHAnsi"/>
          <w:color w:val="000000" w:themeColor="text1"/>
          <w:sz w:val="24"/>
          <w:szCs w:val="24"/>
        </w:rPr>
        <w:t>If</w:t>
      </w:r>
      <w:r w:rsidRPr="00761D56">
        <w:rPr>
          <w:rFonts w:eastAsiaTheme="majorEastAsia" w:cstheme="minorHAnsi"/>
          <w:color w:val="000000" w:themeColor="text1"/>
          <w:sz w:val="24"/>
          <w:szCs w:val="24"/>
          <w:lang w:bidi="dv-MV"/>
        </w:rPr>
        <w:t xml:space="preserve"> maintenance payments remain unpaid despite prior enforcement measures, the court may order the sale of the non-compliant parent’s (father’s) possessions or recover the amount from income generated by property they own.</w:t>
      </w:r>
      <w:r w:rsidRPr="00761D56">
        <w:rPr>
          <w:rStyle w:val="EndnoteReference"/>
          <w:rFonts w:cstheme="minorHAnsi"/>
          <w:color w:val="000000" w:themeColor="text1"/>
          <w:sz w:val="24"/>
          <w:szCs w:val="24"/>
          <w:shd w:val="clear" w:color="auto" w:fill="FFFFFF"/>
        </w:rPr>
        <w:endnoteReference w:id="95"/>
      </w:r>
      <w:r w:rsidRPr="00761D56">
        <w:rPr>
          <w:rFonts w:eastAsiaTheme="majorEastAsia" w:cstheme="minorHAnsi"/>
          <w:color w:val="000000" w:themeColor="text1"/>
          <w:sz w:val="24"/>
          <w:szCs w:val="24"/>
          <w:lang w:bidi="dv-MV"/>
        </w:rPr>
        <w:t xml:space="preserve"> In 2020, Magistrate Courts issued such orders in two cases, while no similar cases were recorded in other years or by the Family Court.</w:t>
      </w:r>
    </w:p>
    <w:p w14:paraId="26216872" w14:textId="6FE6DA44" w:rsidR="007955AC" w:rsidRPr="00761D56" w:rsidRDefault="007955AC" w:rsidP="008F24DD">
      <w:pPr>
        <w:pStyle w:val="ListParagraph"/>
        <w:numPr>
          <w:ilvl w:val="0"/>
          <w:numId w:val="10"/>
        </w:numPr>
        <w:tabs>
          <w:tab w:val="left" w:pos="720"/>
        </w:tabs>
        <w:spacing w:before="240" w:after="0" w:line="276" w:lineRule="auto"/>
        <w:jc w:val="both"/>
        <w:rPr>
          <w:rFonts w:eastAsiaTheme="majorEastAsia" w:cstheme="minorHAnsi"/>
          <w:color w:val="000000" w:themeColor="text1"/>
          <w:sz w:val="24"/>
          <w:szCs w:val="24"/>
          <w:lang w:bidi="dv-MV"/>
        </w:rPr>
      </w:pPr>
      <w:r w:rsidRPr="00761D56">
        <w:rPr>
          <w:rFonts w:cstheme="minorHAnsi"/>
          <w:color w:val="000000" w:themeColor="text1"/>
          <w:sz w:val="24"/>
          <w:szCs w:val="24"/>
          <w:shd w:val="clear" w:color="auto" w:fill="FFFFFF"/>
        </w:rPr>
        <w:t>In addition to the aforementioned steps, the court retains discretion to adopt further measures to secure compliance.</w:t>
      </w:r>
      <w:r w:rsidR="00DF6EAD">
        <w:rPr>
          <w:rFonts w:cstheme="minorHAnsi"/>
          <w:color w:val="000000" w:themeColor="text1"/>
          <w:sz w:val="24"/>
          <w:szCs w:val="24"/>
          <w:shd w:val="clear" w:color="auto" w:fill="FFFFFF"/>
        </w:rPr>
        <w:t xml:space="preserve"> </w:t>
      </w:r>
      <w:r w:rsidRPr="00761D56">
        <w:rPr>
          <w:rStyle w:val="EndnoteReference"/>
          <w:rFonts w:cstheme="minorHAnsi"/>
          <w:color w:val="000000" w:themeColor="text1"/>
          <w:sz w:val="24"/>
          <w:szCs w:val="24"/>
          <w:shd w:val="clear" w:color="auto" w:fill="FFFFFF"/>
        </w:rPr>
        <w:endnoteReference w:id="96"/>
      </w:r>
      <w:r w:rsidRPr="00761D56">
        <w:rPr>
          <w:rFonts w:cstheme="minorHAnsi"/>
          <w:color w:val="000000" w:themeColor="text1"/>
          <w:sz w:val="24"/>
          <w:szCs w:val="24"/>
          <w:shd w:val="clear" w:color="auto" w:fill="FFFFFF"/>
        </w:rPr>
        <w:t xml:space="preserve">These include withholding the parent’s (father’s) passport to prevent travel without court </w:t>
      </w:r>
      <w:r w:rsidRPr="00761D56">
        <w:rPr>
          <w:rFonts w:cstheme="minorHAnsi"/>
          <w:color w:val="000000" w:themeColor="text1"/>
          <w:sz w:val="24"/>
          <w:szCs w:val="24"/>
        </w:rPr>
        <w:t xml:space="preserve">approval (see Chart </w:t>
      </w:r>
      <w:r w:rsidR="00A3450D" w:rsidRPr="00761D56">
        <w:rPr>
          <w:rFonts w:cstheme="minorHAnsi"/>
          <w:color w:val="000000" w:themeColor="text1"/>
          <w:sz w:val="24"/>
          <w:szCs w:val="24"/>
        </w:rPr>
        <w:t>11</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97"/>
      </w:r>
      <w:r w:rsidRPr="00761D56">
        <w:rPr>
          <w:rFonts w:cstheme="minorHAnsi"/>
          <w:color w:val="000000" w:themeColor="text1"/>
          <w:sz w:val="24"/>
          <w:szCs w:val="24"/>
          <w:shd w:val="clear" w:color="auto" w:fill="FFFFFF"/>
        </w:rPr>
        <w:t xml:space="preserve"> inspecting </w:t>
      </w:r>
      <w:r w:rsidRPr="00761D56">
        <w:rPr>
          <w:rFonts w:cstheme="minorHAnsi"/>
          <w:color w:val="000000" w:themeColor="text1"/>
          <w:sz w:val="24"/>
          <w:szCs w:val="24"/>
        </w:rPr>
        <w:t>and freezing their bank accounts,</w:t>
      </w:r>
      <w:r w:rsidRPr="00761D56">
        <w:rPr>
          <w:rStyle w:val="EndnoteReference"/>
          <w:rFonts w:cstheme="minorHAnsi"/>
          <w:color w:val="000000" w:themeColor="text1"/>
          <w:sz w:val="24"/>
          <w:szCs w:val="24"/>
        </w:rPr>
        <w:endnoteReference w:id="98"/>
      </w:r>
      <w:r w:rsidRPr="00761D56">
        <w:rPr>
          <w:rFonts w:cstheme="minorHAnsi"/>
          <w:color w:val="000000" w:themeColor="text1"/>
          <w:sz w:val="24"/>
          <w:szCs w:val="24"/>
        </w:rPr>
        <w:t xml:space="preserve"> seizing leased property or collecting rental income from it,</w:t>
      </w:r>
      <w:r w:rsidRPr="00761D56">
        <w:rPr>
          <w:rStyle w:val="EndnoteReference"/>
          <w:rFonts w:cstheme="minorHAnsi"/>
          <w:color w:val="000000" w:themeColor="text1"/>
          <w:sz w:val="24"/>
          <w:szCs w:val="24"/>
        </w:rPr>
        <w:endnoteReference w:id="99"/>
      </w:r>
      <w:r w:rsidRPr="00761D56">
        <w:rPr>
          <w:rFonts w:cstheme="minorHAnsi"/>
          <w:color w:val="000000" w:themeColor="text1"/>
          <w:sz w:val="24"/>
          <w:szCs w:val="24"/>
        </w:rPr>
        <w:t xml:space="preserve"> nullifying any transactions made during or after the maintenance case,</w:t>
      </w:r>
      <w:r w:rsidRPr="00761D56">
        <w:rPr>
          <w:rStyle w:val="EndnoteReference"/>
          <w:rFonts w:cstheme="minorHAnsi"/>
          <w:color w:val="000000" w:themeColor="text1"/>
          <w:sz w:val="24"/>
          <w:szCs w:val="24"/>
        </w:rPr>
        <w:endnoteReference w:id="100"/>
      </w:r>
      <w:r w:rsidRPr="00761D56">
        <w:rPr>
          <w:rFonts w:cstheme="minorHAnsi"/>
          <w:color w:val="000000" w:themeColor="text1"/>
          <w:sz w:val="24"/>
          <w:szCs w:val="24"/>
        </w:rPr>
        <w:t xml:space="preserve"> and publicly disclosing the identities</w:t>
      </w:r>
      <w:r w:rsidRPr="00761D56">
        <w:rPr>
          <w:rFonts w:cstheme="minorHAnsi"/>
          <w:color w:val="000000" w:themeColor="text1"/>
          <w:sz w:val="24"/>
          <w:szCs w:val="24"/>
          <w:shd w:val="clear" w:color="auto" w:fill="FFFFFF"/>
        </w:rPr>
        <w:t xml:space="preserve"> of those who fail to comply with court-ordered maintenance.</w:t>
      </w:r>
      <w:r w:rsidRPr="00761D56">
        <w:rPr>
          <w:rStyle w:val="EndnoteReference"/>
          <w:rFonts w:cstheme="minorHAnsi"/>
          <w:color w:val="000000" w:themeColor="text1"/>
          <w:sz w:val="24"/>
          <w:szCs w:val="24"/>
          <w:shd w:val="clear" w:color="auto" w:fill="FFFFFF"/>
        </w:rPr>
        <w:endnoteReference w:id="101"/>
      </w:r>
    </w:p>
    <w:p w14:paraId="16DADCA7" w14:textId="06504F21" w:rsidR="007955AC" w:rsidRPr="00761D56" w:rsidRDefault="007955AC" w:rsidP="008F24DD">
      <w:pPr>
        <w:pStyle w:val="ListParagraph"/>
        <w:numPr>
          <w:ilvl w:val="0"/>
          <w:numId w:val="10"/>
        </w:numPr>
        <w:tabs>
          <w:tab w:val="left" w:pos="720"/>
        </w:tabs>
        <w:spacing w:before="240" w:after="0" w:line="276" w:lineRule="auto"/>
        <w:jc w:val="both"/>
        <w:rPr>
          <w:rFonts w:eastAsiaTheme="majorEastAsia" w:cstheme="minorHAnsi"/>
          <w:color w:val="000000" w:themeColor="text1"/>
          <w:sz w:val="24"/>
          <w:szCs w:val="24"/>
          <w:lang w:bidi="dv-MV"/>
        </w:rPr>
      </w:pPr>
      <w:r w:rsidRPr="00761D56">
        <w:rPr>
          <w:rFonts w:cstheme="minorHAnsi"/>
          <w:color w:val="000000" w:themeColor="text1"/>
          <w:sz w:val="24"/>
          <w:szCs w:val="24"/>
          <w:shd w:val="clear" w:color="auto" w:fill="FFFFFF"/>
        </w:rPr>
        <w:t xml:space="preserve">According to Family Court in the past six </w:t>
      </w:r>
      <w:r w:rsidRPr="00761D56">
        <w:rPr>
          <w:rFonts w:cstheme="minorHAnsi"/>
          <w:color w:val="000000" w:themeColor="text1"/>
          <w:sz w:val="24"/>
          <w:szCs w:val="24"/>
        </w:rPr>
        <w:t>years, bank account freezes have</w:t>
      </w:r>
      <w:r w:rsidRPr="00761D56">
        <w:rPr>
          <w:rFonts w:cstheme="minorHAnsi"/>
          <w:color w:val="000000" w:themeColor="text1"/>
          <w:sz w:val="24"/>
          <w:szCs w:val="24"/>
          <w:shd w:val="clear" w:color="auto" w:fill="FFFFFF"/>
        </w:rPr>
        <w:t xml:space="preserve"> been successfully enforced in only </w:t>
      </w:r>
      <w:r w:rsidR="00904A72" w:rsidRPr="00761D56">
        <w:rPr>
          <w:rFonts w:cstheme="minorHAnsi"/>
          <w:color w:val="000000" w:themeColor="text1"/>
          <w:sz w:val="24"/>
          <w:szCs w:val="24"/>
          <w:shd w:val="clear" w:color="auto" w:fill="FFFFFF"/>
        </w:rPr>
        <w:t>4</w:t>
      </w:r>
      <w:r w:rsidRPr="00761D56">
        <w:rPr>
          <w:rFonts w:cstheme="minorHAnsi"/>
          <w:color w:val="000000" w:themeColor="text1"/>
          <w:sz w:val="24"/>
          <w:szCs w:val="24"/>
          <w:shd w:val="clear" w:color="auto" w:fill="FFFFFF"/>
        </w:rPr>
        <w:t xml:space="preserve"> cases, as most accounts lack sufficient funds.</w:t>
      </w:r>
      <w:r w:rsidRPr="00761D56">
        <w:rPr>
          <w:rFonts w:cstheme="minorHAnsi"/>
          <w:color w:val="000000" w:themeColor="text1"/>
          <w:sz w:val="24"/>
          <w:szCs w:val="24"/>
          <w:shd w:val="clear" w:color="auto" w:fill="FFFFFF"/>
          <w:vertAlign w:val="superscript"/>
        </w:rPr>
        <w:endnoteReference w:id="102"/>
      </w:r>
      <w:r w:rsidR="00DF6EAD">
        <w:rPr>
          <w:rFonts w:cstheme="minorHAnsi"/>
          <w:color w:val="000000" w:themeColor="text1"/>
          <w:sz w:val="24"/>
          <w:szCs w:val="24"/>
          <w:shd w:val="clear" w:color="auto" w:fill="FFFFFF"/>
        </w:rPr>
        <w:t xml:space="preserve"> </w:t>
      </w:r>
      <w:r w:rsidRPr="00761D56">
        <w:rPr>
          <w:rFonts w:cstheme="minorHAnsi"/>
          <w:color w:val="000000" w:themeColor="text1"/>
          <w:sz w:val="24"/>
          <w:szCs w:val="24"/>
          <w:shd w:val="clear" w:color="auto" w:fill="FFFFFF"/>
        </w:rPr>
        <w:t xml:space="preserve">Similarly, court orders to sell property of those failing to pay maintenance have been </w:t>
      </w:r>
      <w:r w:rsidRPr="00761D56">
        <w:rPr>
          <w:rFonts w:cstheme="minorHAnsi"/>
          <w:color w:val="000000" w:themeColor="text1"/>
          <w:sz w:val="24"/>
          <w:szCs w:val="24"/>
          <w:shd w:val="clear" w:color="auto" w:fill="FFFFFF"/>
        </w:rPr>
        <w:lastRenderedPageBreak/>
        <w:t>largely ineffective, as many individuals in these cases do not own any registered assets, and when assets exist, they are often of negligible value.</w:t>
      </w:r>
      <w:r w:rsidRPr="00761D56">
        <w:rPr>
          <w:rFonts w:cstheme="minorHAnsi"/>
          <w:color w:val="000000" w:themeColor="text1"/>
          <w:sz w:val="24"/>
          <w:szCs w:val="24"/>
          <w:shd w:val="clear" w:color="auto" w:fill="FFFFFF"/>
          <w:vertAlign w:val="superscript"/>
        </w:rPr>
        <w:endnoteReference w:id="103"/>
      </w:r>
    </w:p>
    <w:p w14:paraId="69A25206" w14:textId="77777777" w:rsidR="007955AC" w:rsidRPr="00761D56" w:rsidRDefault="007955AC" w:rsidP="008F24DD">
      <w:pPr>
        <w:pStyle w:val="ListParagraph"/>
        <w:tabs>
          <w:tab w:val="left" w:pos="720"/>
        </w:tabs>
        <w:spacing w:before="240" w:after="0" w:line="276" w:lineRule="auto"/>
        <w:ind w:left="1080" w:hanging="360"/>
        <w:jc w:val="both"/>
        <w:rPr>
          <w:rFonts w:eastAsiaTheme="majorEastAsia" w:cstheme="minorHAnsi"/>
          <w:color w:val="000000" w:themeColor="text1"/>
          <w:sz w:val="24"/>
          <w:szCs w:val="24"/>
          <w:lang w:bidi="dv-MV"/>
        </w:rPr>
      </w:pPr>
    </w:p>
    <w:p w14:paraId="1331A79E" w14:textId="77777777" w:rsidR="007955AC" w:rsidRPr="00761D56" w:rsidRDefault="007955AC" w:rsidP="008F24DD">
      <w:pPr>
        <w:pStyle w:val="ListParagraph"/>
        <w:tabs>
          <w:tab w:val="left" w:pos="720"/>
        </w:tabs>
        <w:spacing w:before="240" w:after="0" w:line="276" w:lineRule="auto"/>
        <w:ind w:left="1080" w:hanging="360"/>
        <w:jc w:val="center"/>
        <w:rPr>
          <w:rFonts w:eastAsiaTheme="majorEastAsia" w:cstheme="minorHAnsi"/>
          <w:color w:val="000000" w:themeColor="text1"/>
          <w:sz w:val="24"/>
          <w:szCs w:val="24"/>
          <w:lang w:bidi="dv-MV"/>
        </w:rPr>
      </w:pPr>
      <w:r w:rsidRPr="00761D56">
        <w:rPr>
          <w:rFonts w:cstheme="minorHAnsi"/>
          <w:noProof/>
          <w:color w:val="000000" w:themeColor="text1"/>
          <w:sz w:val="24"/>
          <w:szCs w:val="24"/>
        </w:rPr>
        <w:drawing>
          <wp:inline distT="0" distB="0" distL="0" distR="0" wp14:anchorId="47E15001" wp14:editId="4679B8C8">
            <wp:extent cx="3939702" cy="2256547"/>
            <wp:effectExtent l="0" t="0" r="3810" b="10795"/>
            <wp:docPr id="1078787133" name="Chart 1">
              <a:extLst xmlns:a="http://schemas.openxmlformats.org/drawingml/2006/main">
                <a:ext uri="{FF2B5EF4-FFF2-40B4-BE49-F238E27FC236}">
                  <a16:creationId xmlns:a16="http://schemas.microsoft.com/office/drawing/2014/main" id="{3B8C0654-B8A8-7D37-7993-4F36F4DD7F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2F82067" w14:textId="208CCE8C" w:rsidR="007955AC" w:rsidRPr="00761D56" w:rsidRDefault="007955AC" w:rsidP="008F24DD">
      <w:pPr>
        <w:pStyle w:val="ListParagraph"/>
        <w:tabs>
          <w:tab w:val="left" w:pos="720"/>
        </w:tabs>
        <w:spacing w:before="240" w:after="0" w:line="276" w:lineRule="auto"/>
        <w:ind w:left="1080" w:hanging="360"/>
        <w:jc w:val="center"/>
        <w:rPr>
          <w:rFonts w:eastAsiaTheme="majorEastAsia" w:cstheme="minorHAnsi"/>
          <w:color w:val="000000" w:themeColor="text1"/>
          <w:sz w:val="24"/>
          <w:szCs w:val="24"/>
          <w:lang w:bidi="dv-MV"/>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11</w:t>
      </w:r>
      <w:r w:rsidRPr="00761D56">
        <w:rPr>
          <w:rFonts w:cstheme="minorHAnsi"/>
          <w:i/>
          <w:iCs/>
          <w:color w:val="000000" w:themeColor="text1"/>
          <w:sz w:val="24"/>
          <w:szCs w:val="24"/>
        </w:rPr>
        <w:t>:</w:t>
      </w:r>
      <w:r w:rsidRPr="00761D56">
        <w:rPr>
          <w:rFonts w:cstheme="minorHAnsi"/>
          <w:i/>
          <w:iCs/>
          <w:color w:val="000000" w:themeColor="text1"/>
          <w:sz w:val="24"/>
          <w:szCs w:val="24"/>
          <w:shd w:val="clear" w:color="auto" w:fill="E2EFD9" w:themeFill="accent6" w:themeFillTint="33"/>
        </w:rPr>
        <w:t xml:space="preserve"> </w:t>
      </w:r>
      <w:r w:rsidRPr="00761D56">
        <w:rPr>
          <w:rFonts w:cstheme="minorHAnsi"/>
          <w:i/>
          <w:iCs/>
          <w:color w:val="000000" w:themeColor="text1"/>
          <w:sz w:val="24"/>
          <w:szCs w:val="24"/>
        </w:rPr>
        <w:t>number of cases where passport was withheld due to non-payment of maintenance</w:t>
      </w:r>
    </w:p>
    <w:p w14:paraId="33FFFE9D" w14:textId="77777777" w:rsidR="007955AC" w:rsidRPr="00761D56" w:rsidRDefault="007955AC" w:rsidP="008F24DD">
      <w:pPr>
        <w:pStyle w:val="ListParagraph"/>
        <w:tabs>
          <w:tab w:val="left" w:pos="720"/>
        </w:tabs>
        <w:spacing w:before="240" w:after="0" w:line="276" w:lineRule="auto"/>
        <w:ind w:left="1080" w:hanging="360"/>
        <w:jc w:val="both"/>
        <w:rPr>
          <w:rFonts w:eastAsiaTheme="majorEastAsia" w:cstheme="minorHAnsi"/>
          <w:color w:val="000000" w:themeColor="text1"/>
          <w:sz w:val="24"/>
          <w:szCs w:val="24"/>
          <w:lang w:bidi="dv-MV"/>
        </w:rPr>
      </w:pPr>
    </w:p>
    <w:p w14:paraId="7ED795C9" w14:textId="57BF9098" w:rsidR="007955AC" w:rsidRPr="00761D56" w:rsidRDefault="007955AC" w:rsidP="008F24DD">
      <w:pPr>
        <w:pStyle w:val="ListParagraph"/>
        <w:numPr>
          <w:ilvl w:val="0"/>
          <w:numId w:val="10"/>
        </w:numPr>
        <w:tabs>
          <w:tab w:val="left" w:pos="720"/>
        </w:tabs>
        <w:spacing w:before="240" w:after="0" w:line="276" w:lineRule="auto"/>
        <w:jc w:val="both"/>
        <w:rPr>
          <w:rFonts w:eastAsiaTheme="majorEastAsia" w:cstheme="minorHAnsi"/>
          <w:color w:val="000000" w:themeColor="text1"/>
          <w:sz w:val="24"/>
          <w:szCs w:val="24"/>
          <w:lang w:bidi="dv-MV"/>
        </w:rPr>
      </w:pPr>
      <w:r w:rsidRPr="00761D56">
        <w:rPr>
          <w:rFonts w:eastAsiaTheme="majorEastAsia" w:cstheme="minorHAnsi"/>
          <w:color w:val="000000" w:themeColor="text1"/>
          <w:sz w:val="24"/>
          <w:szCs w:val="24"/>
          <w:lang w:bidi="dv-MV"/>
        </w:rPr>
        <w:t xml:space="preserve">As part of its enforcement measures, the Courts (see Chart </w:t>
      </w:r>
      <w:r w:rsidR="00A3450D" w:rsidRPr="00761D56">
        <w:rPr>
          <w:rFonts w:eastAsiaTheme="majorEastAsia" w:cstheme="minorHAnsi"/>
          <w:color w:val="000000" w:themeColor="text1"/>
          <w:sz w:val="24"/>
          <w:szCs w:val="24"/>
          <w:lang w:bidi="dv-MV"/>
        </w:rPr>
        <w:t>12</w:t>
      </w:r>
      <w:r w:rsidRPr="00761D56">
        <w:rPr>
          <w:rFonts w:eastAsiaTheme="majorEastAsia" w:cstheme="minorHAnsi"/>
          <w:color w:val="000000" w:themeColor="text1"/>
          <w:sz w:val="24"/>
          <w:szCs w:val="24"/>
          <w:lang w:bidi="dv-MV"/>
        </w:rPr>
        <w:t>) have been publishing the identities of fathers who fail to comply with court-ordered child support payments.</w:t>
      </w:r>
      <w:r w:rsidRPr="00761D56">
        <w:rPr>
          <w:rStyle w:val="EndnoteReference"/>
          <w:rFonts w:eastAsiaTheme="majorEastAsia" w:cstheme="minorHAnsi"/>
          <w:color w:val="000000" w:themeColor="text1"/>
          <w:sz w:val="24"/>
          <w:szCs w:val="24"/>
          <w:lang w:bidi="dv-MV"/>
        </w:rPr>
        <w:endnoteReference w:id="104"/>
      </w:r>
    </w:p>
    <w:p w14:paraId="301E63B3" w14:textId="77777777" w:rsidR="002E6692" w:rsidRPr="00761D56" w:rsidRDefault="002E6692" w:rsidP="008F24DD">
      <w:pPr>
        <w:pStyle w:val="ListParagraph"/>
        <w:tabs>
          <w:tab w:val="left" w:pos="720"/>
        </w:tabs>
        <w:spacing w:before="240" w:after="0" w:line="276" w:lineRule="auto"/>
        <w:ind w:left="1080" w:hanging="360"/>
        <w:jc w:val="center"/>
        <w:rPr>
          <w:rFonts w:eastAsiaTheme="majorEastAsia" w:cstheme="minorHAnsi"/>
          <w:color w:val="000000" w:themeColor="text1"/>
          <w:sz w:val="24"/>
          <w:szCs w:val="24"/>
          <w:lang w:bidi="dv-MV"/>
        </w:rPr>
      </w:pPr>
    </w:p>
    <w:p w14:paraId="2F9A4E89" w14:textId="5D55655C" w:rsidR="007955AC" w:rsidRPr="00761D56" w:rsidRDefault="007955AC" w:rsidP="008F24DD">
      <w:pPr>
        <w:pStyle w:val="ListParagraph"/>
        <w:tabs>
          <w:tab w:val="left" w:pos="720"/>
        </w:tabs>
        <w:spacing w:before="240" w:after="0" w:line="276" w:lineRule="auto"/>
        <w:ind w:left="1080" w:hanging="360"/>
        <w:jc w:val="center"/>
        <w:rPr>
          <w:rFonts w:eastAsiaTheme="majorEastAsia" w:cstheme="minorHAnsi"/>
          <w:color w:val="000000" w:themeColor="text1"/>
          <w:sz w:val="24"/>
          <w:szCs w:val="24"/>
          <w:lang w:bidi="dv-MV"/>
        </w:rPr>
      </w:pPr>
      <w:r w:rsidRPr="00761D56">
        <w:rPr>
          <w:rFonts w:cstheme="minorHAnsi"/>
          <w:noProof/>
          <w:color w:val="000000" w:themeColor="text1"/>
          <w:sz w:val="24"/>
          <w:szCs w:val="24"/>
        </w:rPr>
        <w:drawing>
          <wp:inline distT="0" distB="0" distL="0" distR="0" wp14:anchorId="52332A2D" wp14:editId="3C0659F7">
            <wp:extent cx="3394953" cy="2659299"/>
            <wp:effectExtent l="0" t="0" r="15240" b="8255"/>
            <wp:docPr id="409130860" name="Chart 1">
              <a:extLst xmlns:a="http://schemas.openxmlformats.org/drawingml/2006/main">
                <a:ext uri="{FF2B5EF4-FFF2-40B4-BE49-F238E27FC236}">
                  <a16:creationId xmlns:a16="http://schemas.microsoft.com/office/drawing/2014/main" id="{42C3476D-0444-BC01-C635-20F0D5F62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570CF7C" w14:textId="656B4E9D" w:rsidR="007955AC" w:rsidRPr="00761D56" w:rsidRDefault="007955AC" w:rsidP="008F24DD">
      <w:pPr>
        <w:pStyle w:val="ListParagraph"/>
        <w:tabs>
          <w:tab w:val="left" w:pos="720"/>
        </w:tabs>
        <w:spacing w:before="240" w:after="0" w:line="276" w:lineRule="auto"/>
        <w:ind w:left="1080" w:hanging="360"/>
        <w:jc w:val="both"/>
        <w:rPr>
          <w:rFonts w:cstheme="minorHAnsi"/>
          <w:i/>
          <w:iCs/>
          <w:color w:val="000000" w:themeColor="text1"/>
          <w:sz w:val="24"/>
          <w:szCs w:val="24"/>
        </w:rPr>
      </w:pPr>
      <w:r w:rsidRPr="00761D56">
        <w:rPr>
          <w:rFonts w:cstheme="minorHAnsi"/>
          <w:i/>
          <w:iCs/>
          <w:color w:val="000000" w:themeColor="text1"/>
          <w:sz w:val="24"/>
          <w:szCs w:val="24"/>
        </w:rPr>
        <w:t xml:space="preserve">Chart </w:t>
      </w:r>
      <w:r w:rsidR="00A3450D" w:rsidRPr="00761D56">
        <w:rPr>
          <w:rFonts w:cstheme="minorHAnsi"/>
          <w:i/>
          <w:iCs/>
          <w:color w:val="000000" w:themeColor="text1"/>
          <w:sz w:val="24"/>
          <w:szCs w:val="24"/>
        </w:rPr>
        <w:t>12</w:t>
      </w:r>
      <w:r w:rsidRPr="00761D56">
        <w:rPr>
          <w:rFonts w:cstheme="minorHAnsi"/>
          <w:i/>
          <w:iCs/>
          <w:color w:val="000000" w:themeColor="text1"/>
          <w:sz w:val="24"/>
          <w:szCs w:val="24"/>
        </w:rPr>
        <w:t>: Cases where information about parties who failed to pay court-ordered maintenance was publicly disclosed, Department of Judicial Administration</w:t>
      </w:r>
    </w:p>
    <w:p w14:paraId="6E976633" w14:textId="77777777" w:rsidR="00A3450D" w:rsidRPr="00761D56" w:rsidRDefault="00A3450D" w:rsidP="008F24DD">
      <w:pPr>
        <w:pStyle w:val="ListParagraph"/>
        <w:tabs>
          <w:tab w:val="left" w:pos="720"/>
        </w:tabs>
        <w:spacing w:before="240" w:after="0" w:line="276" w:lineRule="auto"/>
        <w:ind w:left="1080" w:hanging="360"/>
        <w:jc w:val="both"/>
        <w:rPr>
          <w:rFonts w:cstheme="minorHAnsi"/>
          <w:color w:val="000000" w:themeColor="text1"/>
          <w:sz w:val="24"/>
          <w:szCs w:val="24"/>
        </w:rPr>
      </w:pPr>
    </w:p>
    <w:p w14:paraId="3D0A1B14" w14:textId="24402463"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The lengthy and inefficient process for enforcing child maintenance places additional burdens on single mothers and their children in terms of time and emotional strain</w:t>
      </w:r>
      <w:r w:rsidR="00456FC3"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05"/>
      </w:r>
      <w:r w:rsidR="00456FC3" w:rsidRPr="00761D56">
        <w:rPr>
          <w:rFonts w:cstheme="minorHAnsi"/>
          <w:color w:val="000000" w:themeColor="text1"/>
          <w:sz w:val="24"/>
          <w:szCs w:val="24"/>
        </w:rPr>
        <w:t xml:space="preserve"> </w:t>
      </w:r>
      <w:r w:rsidRPr="00761D56">
        <w:rPr>
          <w:rFonts w:cstheme="minorHAnsi"/>
          <w:color w:val="000000" w:themeColor="text1"/>
          <w:sz w:val="24"/>
          <w:szCs w:val="24"/>
        </w:rPr>
        <w:lastRenderedPageBreak/>
        <w:t>These challenges are compounded by the limited availability of legal aid, which is primarily restricted to serious criminal cases.</w:t>
      </w:r>
      <w:r w:rsidRPr="00761D56">
        <w:rPr>
          <w:rStyle w:val="EndnoteReference"/>
          <w:rFonts w:cstheme="minorHAnsi"/>
          <w:color w:val="000000" w:themeColor="text1"/>
          <w:sz w:val="24"/>
          <w:szCs w:val="24"/>
        </w:rPr>
        <w:endnoteReference w:id="106"/>
      </w:r>
      <w:r w:rsidR="008F24DD" w:rsidRPr="00761D56">
        <w:rPr>
          <w:color w:val="000000" w:themeColor="text1"/>
        </w:rPr>
        <w:t xml:space="preserve"> </w:t>
      </w:r>
      <w:r w:rsidR="008F24DD" w:rsidRPr="00761D56">
        <w:rPr>
          <w:rFonts w:cstheme="minorHAnsi"/>
          <w:color w:val="000000" w:themeColor="text1"/>
          <w:sz w:val="24"/>
          <w:szCs w:val="24"/>
        </w:rPr>
        <w:t>While the DVPA mandates the provision of legal assistance to financially vulnerable victims of domestic violence including domestic child carers,</w:t>
      </w:r>
      <w:r w:rsidRPr="00761D56">
        <w:rPr>
          <w:rStyle w:val="EndnoteReference"/>
          <w:rFonts w:cstheme="minorHAnsi"/>
          <w:color w:val="000000" w:themeColor="text1"/>
          <w:sz w:val="24"/>
          <w:szCs w:val="24"/>
        </w:rPr>
        <w:endnoteReference w:id="107"/>
      </w:r>
      <w:r w:rsidRPr="00761D56">
        <w:rPr>
          <w:rFonts w:cstheme="minorHAnsi"/>
          <w:color w:val="000000" w:themeColor="text1"/>
          <w:sz w:val="24"/>
          <w:szCs w:val="24"/>
        </w:rPr>
        <w:t xml:space="preserve"> </w:t>
      </w:r>
      <w:r w:rsidR="008F24DD" w:rsidRPr="00761D56">
        <w:rPr>
          <w:rFonts w:cstheme="minorHAnsi"/>
          <w:color w:val="000000" w:themeColor="text1"/>
          <w:sz w:val="24"/>
          <w:szCs w:val="24"/>
        </w:rPr>
        <w:t>such assistance is limited to matters related to protection orders, including temporary custody arrangements and measures to address financial hardship.</w:t>
      </w:r>
      <w:r w:rsidR="008F24DD" w:rsidRPr="00761D56">
        <w:rPr>
          <w:rStyle w:val="EndnoteReference"/>
          <w:rFonts w:cstheme="minorHAnsi"/>
          <w:color w:val="000000" w:themeColor="text1"/>
          <w:sz w:val="24"/>
          <w:szCs w:val="24"/>
        </w:rPr>
        <w:endnoteReference w:id="108"/>
      </w:r>
      <w:r w:rsidR="008F24DD" w:rsidRPr="00761D56">
        <w:rPr>
          <w:color w:val="000000" w:themeColor="text1"/>
        </w:rPr>
        <w:t xml:space="preserve"> </w:t>
      </w:r>
      <w:r w:rsidR="008F24DD" w:rsidRPr="00761D56">
        <w:rPr>
          <w:rFonts w:cstheme="minorHAnsi"/>
          <w:color w:val="000000" w:themeColor="text1"/>
          <w:sz w:val="24"/>
          <w:szCs w:val="24"/>
        </w:rPr>
        <w:t>However, there is no provision for free legal assistance in divorce, custody battles, or child maintenance proceedings</w:t>
      </w:r>
      <w:r w:rsidR="00DF6EAD">
        <w:rPr>
          <w:rFonts w:cstheme="minorHAnsi"/>
          <w:color w:val="000000" w:themeColor="text1"/>
          <w:sz w:val="24"/>
          <w:szCs w:val="24"/>
        </w:rPr>
        <w:t>.</w:t>
      </w:r>
      <w:r w:rsidR="00463572">
        <w:rPr>
          <w:rFonts w:cstheme="minorHAnsi"/>
          <w:color w:val="000000" w:themeColor="text1"/>
          <w:sz w:val="24"/>
          <w:szCs w:val="24"/>
        </w:rPr>
        <w:tab/>
      </w:r>
      <w:r w:rsidRPr="00761D56">
        <w:rPr>
          <w:rFonts w:cstheme="minorHAnsi"/>
          <w:color w:val="000000" w:themeColor="text1"/>
          <w:sz w:val="24"/>
          <w:szCs w:val="24"/>
        </w:rPr>
        <w:t xml:space="preserve"> </w:t>
      </w:r>
      <w:r w:rsidRPr="00761D56">
        <w:rPr>
          <w:rStyle w:val="EndnoteReference"/>
          <w:rFonts w:cstheme="minorHAnsi"/>
          <w:color w:val="000000" w:themeColor="text1"/>
          <w:sz w:val="24"/>
          <w:szCs w:val="24"/>
        </w:rPr>
        <w:endnoteReference w:id="109"/>
      </w:r>
    </w:p>
    <w:p w14:paraId="4FFE3B77" w14:textId="163A6C86"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Between 2016 and 2024, the HRCM received two complaints relating to child maintenance and child support disputes. The HRCM’s investigation of these cases revealed that the personal interests of parents were often prioritized over the best interests of the child, resulting in adverse consequences for the child’s psychological and mental well-being.</w:t>
      </w:r>
    </w:p>
    <w:p w14:paraId="0434D9B8" w14:textId="202E5546" w:rsidR="007955AC" w:rsidRPr="00761D56" w:rsidRDefault="007955AC" w:rsidP="008F24DD">
      <w:pPr>
        <w:pStyle w:val="ListParagraph"/>
        <w:numPr>
          <w:ilvl w:val="0"/>
          <w:numId w:val="10"/>
        </w:numPr>
        <w:tabs>
          <w:tab w:val="left" w:pos="720"/>
        </w:tabs>
        <w:spacing w:after="0" w:line="276" w:lineRule="auto"/>
        <w:jc w:val="both"/>
        <w:rPr>
          <w:rFonts w:cstheme="minorHAnsi"/>
          <w:i/>
          <w:iCs/>
          <w:color w:val="000000" w:themeColor="text1"/>
          <w:sz w:val="24"/>
          <w:szCs w:val="24"/>
        </w:rPr>
      </w:pPr>
      <w:r w:rsidRPr="00761D56">
        <w:rPr>
          <w:rFonts w:cstheme="minorHAnsi"/>
          <w:color w:val="000000" w:themeColor="text1"/>
          <w:sz w:val="24"/>
          <w:szCs w:val="24"/>
          <w:lang w:val="en-US"/>
        </w:rPr>
        <w:t xml:space="preserve">Between 2016 and 2024, HRCM investigated five cases concerning the custody of children. Two cases in 2016 involved delays and disputes in enforcing court-ordered custody as well as allegations of custodial parents withholding access, both of which were addressed through advice to seek judicial remedies and to uphold the best interests of the child. A third case concerned a baby born to a 16-year-old mother who was placed in State custody, raising concerns regarding the mother’s mental health and resulting in a custody request by the maternal grandmother. The fourth case involved a 13-year-old placed in State custody, during which the family was unable to meet the child until the matter was subsequently resolved. The fifth case was initiated following a public allegation of sexual abuse by a custodial parent, but investigations determined that no violations had occurred, and the case was closed. These custody cases demonstrate that delays in enforcing judicial decisions, parental disputes, and the reliance on State custody can undermine the child’s right to family life and adversely affect their psychological and emotional well-being. </w:t>
      </w:r>
    </w:p>
    <w:p w14:paraId="7A912C2D" w14:textId="4BC0B3D8" w:rsidR="007955AC" w:rsidRPr="00761D56" w:rsidRDefault="007955AC"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Recommendation</w:t>
      </w:r>
      <w:r w:rsidR="00463572">
        <w:rPr>
          <w:rFonts w:cstheme="minorHAnsi"/>
          <w:b/>
          <w:bCs/>
          <w:color w:val="000000" w:themeColor="text1"/>
          <w:sz w:val="24"/>
          <w:szCs w:val="24"/>
        </w:rPr>
        <w:t>s</w:t>
      </w:r>
    </w:p>
    <w:p w14:paraId="354F3785" w14:textId="555A315F" w:rsidR="00541E6F" w:rsidRPr="00761D56" w:rsidRDefault="00541E6F" w:rsidP="008F24DD">
      <w:pPr>
        <w:pStyle w:val="ListParagraph"/>
        <w:numPr>
          <w:ilvl w:val="0"/>
          <w:numId w:val="31"/>
        </w:numPr>
        <w:tabs>
          <w:tab w:val="left" w:pos="720"/>
        </w:tabs>
        <w:spacing w:before="240" w:after="0" w:line="276" w:lineRule="auto"/>
        <w:ind w:left="990" w:hanging="180"/>
        <w:jc w:val="both"/>
        <w:rPr>
          <w:rFonts w:cstheme="minorHAnsi"/>
          <w:b/>
          <w:bCs/>
          <w:color w:val="000000" w:themeColor="text1"/>
          <w:sz w:val="24"/>
          <w:szCs w:val="24"/>
        </w:rPr>
      </w:pPr>
      <w:r w:rsidRPr="00761D56">
        <w:rPr>
          <w:rFonts w:cstheme="minorHAnsi"/>
          <w:b/>
          <w:bCs/>
          <w:color w:val="000000" w:themeColor="text1"/>
          <w:sz w:val="24"/>
          <w:szCs w:val="24"/>
        </w:rPr>
        <w:t>Expand pre-marital awareness programmes across all atolls and ensure that mandatory health screenings including thalassemia testing are conducted prior to marriage, to safeguard the right to health and prevent hereditary health risks</w:t>
      </w:r>
      <w:r w:rsidR="0008585E" w:rsidRPr="00761D56">
        <w:rPr>
          <w:rFonts w:cstheme="minorHAnsi"/>
          <w:b/>
          <w:bCs/>
          <w:color w:val="000000" w:themeColor="text1"/>
          <w:sz w:val="24"/>
          <w:szCs w:val="24"/>
        </w:rPr>
        <w:t>.</w:t>
      </w:r>
      <w:r w:rsidRPr="00761D56">
        <w:rPr>
          <w:rFonts w:cstheme="minorHAnsi"/>
          <w:b/>
          <w:bCs/>
          <w:color w:val="000000" w:themeColor="text1"/>
          <w:sz w:val="24"/>
          <w:szCs w:val="24"/>
        </w:rPr>
        <w:t xml:space="preserve"> </w:t>
      </w:r>
    </w:p>
    <w:p w14:paraId="1AFF9BBC" w14:textId="77777777" w:rsidR="007955AC" w:rsidRPr="00761D56" w:rsidRDefault="007955AC" w:rsidP="008F24DD">
      <w:pPr>
        <w:pStyle w:val="ListParagraph"/>
        <w:numPr>
          <w:ilvl w:val="0"/>
          <w:numId w:val="9"/>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Harmonise parental leave policies across the public and private sectors through legislative amendments.</w:t>
      </w:r>
    </w:p>
    <w:p w14:paraId="5B0631B2" w14:textId="77777777" w:rsidR="007955AC" w:rsidRPr="00761D56" w:rsidRDefault="007955AC" w:rsidP="008F24DD">
      <w:pPr>
        <w:pStyle w:val="ListParagraph"/>
        <w:numPr>
          <w:ilvl w:val="0"/>
          <w:numId w:val="9"/>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Establish affordable, state-funded childcare services and strengthen oversight of existing daycare facilities to support parents in fulfilling shared responsibilities.</w:t>
      </w:r>
    </w:p>
    <w:p w14:paraId="741B59A1" w14:textId="77777777" w:rsidR="00172BF2" w:rsidRPr="00761D56" w:rsidRDefault="007955AC" w:rsidP="008F24DD">
      <w:pPr>
        <w:pStyle w:val="ListParagraph"/>
        <w:numPr>
          <w:ilvl w:val="0"/>
          <w:numId w:val="9"/>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Review minimum child maintenance amounts to reflect current living costs and introduce simplified, accessible enforcement mechanisms</w:t>
      </w:r>
      <w:r w:rsidR="00172BF2" w:rsidRPr="00761D56">
        <w:rPr>
          <w:rFonts w:cstheme="minorHAnsi"/>
          <w:b/>
          <w:bCs/>
          <w:color w:val="000000" w:themeColor="text1"/>
          <w:sz w:val="24"/>
          <w:szCs w:val="24"/>
        </w:rPr>
        <w:t xml:space="preserve">. </w:t>
      </w:r>
    </w:p>
    <w:p w14:paraId="17AD4E90" w14:textId="584A5AF1" w:rsidR="007955AC" w:rsidRPr="00761D56" w:rsidRDefault="007955AC" w:rsidP="008F24DD">
      <w:pPr>
        <w:pStyle w:val="ListParagraph"/>
        <w:numPr>
          <w:ilvl w:val="0"/>
          <w:numId w:val="9"/>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lastRenderedPageBreak/>
        <w:t>Adopt alternative enforcement measures to ensure children’s access to financial support, including compulsory payment plans based on verified income, community service as a non-custodial sanction for parents who do not comply with child maintenance obligations, and strengthened monitoring systems to guarantee timely intervention and accountability.</w:t>
      </w:r>
    </w:p>
    <w:p w14:paraId="6EAB9611" w14:textId="1C2FFD2C" w:rsidR="007955AC" w:rsidRPr="00761D56" w:rsidRDefault="007955AC" w:rsidP="008F24DD">
      <w:pPr>
        <w:pStyle w:val="ListParagraph"/>
        <w:numPr>
          <w:ilvl w:val="0"/>
          <w:numId w:val="9"/>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Establish free legal aid for divorce, custody, and child maintenance cases to guarantee access to justice for parents and protect the best interests of the child.</w:t>
      </w:r>
    </w:p>
    <w:p w14:paraId="72D8369F" w14:textId="79C7925F" w:rsidR="007955AC" w:rsidRPr="00761D56" w:rsidRDefault="007955AC"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18" w:name="_Toc216692795"/>
      <w:r w:rsidRPr="00761D56">
        <w:rPr>
          <w:rFonts w:asciiTheme="minorHAnsi" w:hAnsiTheme="minorHAnsi" w:cstheme="minorHAnsi"/>
          <w:color w:val="000000" w:themeColor="text1"/>
        </w:rPr>
        <w:t xml:space="preserve">Article 4 &amp; 19 </w:t>
      </w:r>
      <w:r w:rsidR="00165912" w:rsidRPr="00761D56">
        <w:rPr>
          <w:rFonts w:asciiTheme="minorHAnsi" w:hAnsiTheme="minorHAnsi" w:cstheme="minorHAnsi"/>
          <w:color w:val="000000" w:themeColor="text1"/>
        </w:rPr>
        <w:t xml:space="preserve">- </w:t>
      </w:r>
      <w:r w:rsidRPr="00761D56">
        <w:rPr>
          <w:rFonts w:asciiTheme="minorHAnsi" w:hAnsiTheme="minorHAnsi" w:cstheme="minorHAnsi"/>
          <w:color w:val="000000" w:themeColor="text1"/>
        </w:rPr>
        <w:t>Protection of rights &amp; protection from all forms of violence</w:t>
      </w:r>
      <w:bookmarkEnd w:id="18"/>
    </w:p>
    <w:p w14:paraId="6BB47735" w14:textId="7F397BB4"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The protection of children from abuse continues to face profound systemic and operational challenges across multiple institutions.</w:t>
      </w:r>
      <w:r w:rsidRPr="00761D56">
        <w:rPr>
          <w:rStyle w:val="EndnoteReference"/>
          <w:rFonts w:cstheme="minorHAnsi"/>
          <w:color w:val="000000" w:themeColor="text1"/>
          <w:sz w:val="24"/>
          <w:szCs w:val="24"/>
        </w:rPr>
        <w:endnoteReference w:id="110"/>
      </w:r>
      <w:r w:rsidR="00845E7E" w:rsidRPr="00761D56">
        <w:rPr>
          <w:rFonts w:cstheme="minorHAnsi"/>
          <w:color w:val="000000" w:themeColor="text1"/>
          <w:sz w:val="24"/>
          <w:szCs w:val="24"/>
        </w:rPr>
        <w:t xml:space="preserve"> </w:t>
      </w:r>
      <w:r w:rsidR="00601D68" w:rsidRPr="00761D56">
        <w:rPr>
          <w:rFonts w:cstheme="minorHAnsi"/>
          <w:color w:val="000000" w:themeColor="text1"/>
          <w:sz w:val="24"/>
          <w:szCs w:val="24"/>
        </w:rPr>
        <w:t>Investigation officers,</w:t>
      </w:r>
      <w:r w:rsidR="00541E6F" w:rsidRPr="00761D56">
        <w:rPr>
          <w:rFonts w:cstheme="minorHAnsi"/>
          <w:color w:val="000000" w:themeColor="text1"/>
          <w:sz w:val="24"/>
          <w:szCs w:val="24"/>
        </w:rPr>
        <w:t xml:space="preserve"> p</w:t>
      </w:r>
      <w:r w:rsidRPr="00761D56">
        <w:rPr>
          <w:rFonts w:cstheme="minorHAnsi"/>
          <w:color w:val="000000" w:themeColor="text1"/>
          <w:sz w:val="24"/>
          <w:szCs w:val="24"/>
        </w:rPr>
        <w:t>rosecutors</w:t>
      </w:r>
      <w:r w:rsidR="00C15A2F">
        <w:rPr>
          <w:rFonts w:cstheme="minorHAnsi"/>
          <w:color w:val="000000" w:themeColor="text1"/>
          <w:sz w:val="24"/>
          <w:szCs w:val="24"/>
        </w:rPr>
        <w:t>,</w:t>
      </w:r>
      <w:r w:rsidRPr="00761D56">
        <w:rPr>
          <w:rFonts w:cstheme="minorHAnsi"/>
          <w:color w:val="000000" w:themeColor="text1"/>
          <w:sz w:val="24"/>
          <w:szCs w:val="24"/>
        </w:rPr>
        <w:t xml:space="preserve"> and </w:t>
      </w:r>
      <w:r w:rsidR="00601D68" w:rsidRPr="00761D56">
        <w:rPr>
          <w:rFonts w:cstheme="minorHAnsi"/>
          <w:color w:val="000000" w:themeColor="text1"/>
          <w:sz w:val="24"/>
          <w:szCs w:val="24"/>
        </w:rPr>
        <w:t xml:space="preserve">judges </w:t>
      </w:r>
      <w:r w:rsidRPr="00761D56">
        <w:rPr>
          <w:rFonts w:cstheme="minorHAnsi"/>
          <w:color w:val="000000" w:themeColor="text1"/>
          <w:sz w:val="24"/>
          <w:szCs w:val="24"/>
        </w:rPr>
        <w:t xml:space="preserve">often lack specialized training in child abuse cases and victim-sensitive procedures. </w:t>
      </w:r>
      <w:r w:rsidRPr="00761D56">
        <w:rPr>
          <w:rStyle w:val="EndnoteReference"/>
          <w:rFonts w:cstheme="minorHAnsi"/>
          <w:color w:val="000000" w:themeColor="text1"/>
          <w:sz w:val="24"/>
          <w:szCs w:val="24"/>
        </w:rPr>
        <w:endnoteReference w:id="111"/>
      </w:r>
    </w:p>
    <w:p w14:paraId="054E196E" w14:textId="5E49750C" w:rsidR="007955AC"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Health services for child abuse victims, particularly in islands without Family and Child Support </w:t>
      </w:r>
      <w:r w:rsidR="00D05532" w:rsidRPr="00761D56">
        <w:rPr>
          <w:rFonts w:cstheme="minorHAnsi"/>
          <w:color w:val="000000" w:themeColor="text1"/>
          <w:sz w:val="24"/>
          <w:szCs w:val="24"/>
        </w:rPr>
        <w:t>Centres</w:t>
      </w:r>
      <w:r w:rsidRPr="00761D56">
        <w:rPr>
          <w:rFonts w:cstheme="minorHAnsi"/>
          <w:color w:val="000000" w:themeColor="text1"/>
          <w:sz w:val="24"/>
          <w:szCs w:val="24"/>
        </w:rPr>
        <w:t>, are severely constrained by high staff turnover, limited availability of psychologists and psychiatrists, and the geographic isolation of atoll communities, which complicates timely access to specialized care.</w:t>
      </w:r>
      <w:r w:rsidRPr="00761D56">
        <w:rPr>
          <w:rStyle w:val="EndnoteReference"/>
          <w:rFonts w:cstheme="minorHAnsi"/>
          <w:color w:val="000000" w:themeColor="text1"/>
          <w:sz w:val="24"/>
          <w:szCs w:val="24"/>
        </w:rPr>
        <w:endnoteReference w:id="112"/>
      </w:r>
      <w:r w:rsidRPr="00761D56">
        <w:rPr>
          <w:rFonts w:cstheme="minorHAnsi"/>
          <w:color w:val="000000" w:themeColor="text1"/>
          <w:sz w:val="24"/>
          <w:szCs w:val="24"/>
        </w:rPr>
        <w:t xml:space="preserve">  </w:t>
      </w:r>
    </w:p>
    <w:p w14:paraId="085909FB" w14:textId="175EF798" w:rsidR="00541E6F" w:rsidRPr="00761D56" w:rsidRDefault="007955AC"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Investigations on child abuse cases are frequently delayed due to late reporting, victims’ reluctance or inability to cooperate, and insufficient family support.</w:t>
      </w:r>
      <w:r w:rsidRPr="00761D56">
        <w:rPr>
          <w:rStyle w:val="EndnoteReference"/>
          <w:rFonts w:cstheme="minorHAnsi"/>
          <w:color w:val="000000" w:themeColor="text1"/>
          <w:sz w:val="24"/>
          <w:szCs w:val="24"/>
        </w:rPr>
        <w:endnoteReference w:id="113"/>
      </w:r>
      <w:r w:rsidRPr="00761D56">
        <w:rPr>
          <w:rFonts w:cstheme="minorHAnsi"/>
          <w:color w:val="000000" w:themeColor="text1"/>
          <w:sz w:val="24"/>
          <w:szCs w:val="24"/>
        </w:rPr>
        <w:t xml:space="preserve"> </w:t>
      </w:r>
      <w:r w:rsidR="00541E6F" w:rsidRPr="00761D56">
        <w:rPr>
          <w:rFonts w:cstheme="minorHAnsi"/>
          <w:color w:val="000000" w:themeColor="text1"/>
          <w:sz w:val="24"/>
          <w:szCs w:val="24"/>
        </w:rPr>
        <w:t>The</w:t>
      </w:r>
      <w:r w:rsidRPr="00761D56">
        <w:rPr>
          <w:rFonts w:cstheme="minorHAnsi"/>
          <w:color w:val="000000" w:themeColor="text1"/>
          <w:sz w:val="24"/>
          <w:szCs w:val="24"/>
        </w:rPr>
        <w:t xml:space="preserve"> shortage of officers trained in child-focused investigations further hampers effective case management. Additional delays arise from the slow processing of forensic evidence, such as DNA reports, and social inquiry reports.</w:t>
      </w:r>
      <w:r w:rsidR="00541E6F" w:rsidRPr="00761D56">
        <w:rPr>
          <w:rStyle w:val="EndnoteReference"/>
          <w:rFonts w:cstheme="minorHAnsi"/>
          <w:color w:val="000000" w:themeColor="text1"/>
          <w:sz w:val="24"/>
          <w:szCs w:val="24"/>
        </w:rPr>
        <w:endnoteReference w:id="114"/>
      </w:r>
      <w:r w:rsidRPr="00761D56">
        <w:rPr>
          <w:rFonts w:cstheme="minorHAnsi"/>
          <w:color w:val="000000" w:themeColor="text1"/>
          <w:sz w:val="24"/>
          <w:szCs w:val="24"/>
        </w:rPr>
        <w:t xml:space="preserve"> </w:t>
      </w:r>
    </w:p>
    <w:p w14:paraId="2032371A" w14:textId="0DF70618" w:rsidR="007955AC" w:rsidRPr="00761D56" w:rsidRDefault="00541E6F"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Further, p</w:t>
      </w:r>
      <w:r w:rsidR="007955AC" w:rsidRPr="00761D56">
        <w:rPr>
          <w:rFonts w:cstheme="minorHAnsi"/>
          <w:color w:val="000000" w:themeColor="text1"/>
          <w:sz w:val="24"/>
          <w:szCs w:val="24"/>
        </w:rPr>
        <w:t>ressure from families or relatives on victims to discontinue cases contributes to an increasing backlog, and a lack of awareness and sensitivity among some police officers when handling these cases can compromise both the timeliness and quality of investigations.</w:t>
      </w:r>
      <w:r w:rsidR="007955AC" w:rsidRPr="00761D56">
        <w:rPr>
          <w:rStyle w:val="EndnoteReference"/>
          <w:rFonts w:cstheme="minorHAnsi"/>
          <w:color w:val="000000" w:themeColor="text1"/>
          <w:sz w:val="24"/>
          <w:szCs w:val="24"/>
        </w:rPr>
        <w:endnoteReference w:id="115"/>
      </w:r>
    </w:p>
    <w:p w14:paraId="4178A561" w14:textId="77777777" w:rsidR="007955AC" w:rsidRPr="00761D56" w:rsidRDefault="007955AC"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4C6D5846" w14:textId="355AAF8D" w:rsidR="007955AC" w:rsidRPr="00761D56" w:rsidRDefault="007955AC" w:rsidP="008F24DD">
      <w:pPr>
        <w:pStyle w:val="ListParagraph"/>
        <w:numPr>
          <w:ilvl w:val="0"/>
          <w:numId w:val="11"/>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Ensure that </w:t>
      </w:r>
      <w:r w:rsidR="00601D68" w:rsidRPr="00761D56">
        <w:rPr>
          <w:rFonts w:cstheme="minorHAnsi"/>
          <w:b/>
          <w:bCs/>
          <w:color w:val="000000" w:themeColor="text1"/>
          <w:sz w:val="24"/>
          <w:szCs w:val="24"/>
        </w:rPr>
        <w:t>investigation officers</w:t>
      </w:r>
      <w:r w:rsidR="00C15A2F">
        <w:rPr>
          <w:rFonts w:cstheme="minorHAnsi"/>
          <w:b/>
          <w:bCs/>
          <w:color w:val="000000" w:themeColor="text1"/>
          <w:sz w:val="24"/>
          <w:szCs w:val="24"/>
        </w:rPr>
        <w:t>,</w:t>
      </w:r>
      <w:r w:rsidR="00601D68" w:rsidRPr="00761D56">
        <w:rPr>
          <w:rFonts w:cstheme="minorHAnsi"/>
          <w:b/>
          <w:bCs/>
          <w:color w:val="000000" w:themeColor="text1"/>
          <w:sz w:val="24"/>
          <w:szCs w:val="24"/>
        </w:rPr>
        <w:t xml:space="preserve"> </w:t>
      </w:r>
      <w:r w:rsidRPr="00761D56">
        <w:rPr>
          <w:rFonts w:cstheme="minorHAnsi"/>
          <w:b/>
          <w:bCs/>
          <w:color w:val="000000" w:themeColor="text1"/>
          <w:sz w:val="24"/>
          <w:szCs w:val="24"/>
        </w:rPr>
        <w:t xml:space="preserve">prosecutors and </w:t>
      </w:r>
      <w:r w:rsidR="00601D68" w:rsidRPr="00761D56">
        <w:rPr>
          <w:rFonts w:cstheme="minorHAnsi"/>
          <w:b/>
          <w:bCs/>
          <w:color w:val="000000" w:themeColor="text1"/>
          <w:sz w:val="24"/>
          <w:szCs w:val="24"/>
        </w:rPr>
        <w:t xml:space="preserve">judges </w:t>
      </w:r>
      <w:r w:rsidRPr="00761D56">
        <w:rPr>
          <w:rFonts w:cstheme="minorHAnsi"/>
          <w:b/>
          <w:bCs/>
          <w:color w:val="000000" w:themeColor="text1"/>
          <w:sz w:val="24"/>
          <w:szCs w:val="24"/>
        </w:rPr>
        <w:t xml:space="preserve">handling child abuse cases receive mandatory, specialized training on child-sensitive procedures, trauma-informed approaches. </w:t>
      </w:r>
    </w:p>
    <w:p w14:paraId="19E04DB3" w14:textId="77F354BC" w:rsidR="007955AC" w:rsidRPr="00761D56" w:rsidRDefault="007955AC" w:rsidP="008F24DD">
      <w:pPr>
        <w:pStyle w:val="ListParagraph"/>
        <w:numPr>
          <w:ilvl w:val="0"/>
          <w:numId w:val="11"/>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Develop standardized procedures for timely collection, preservation, and processing of forensic and medical evidence.</w:t>
      </w:r>
    </w:p>
    <w:p w14:paraId="332D0B59" w14:textId="77777777" w:rsidR="007955AC" w:rsidRPr="00761D56" w:rsidRDefault="007955AC" w:rsidP="008F24DD">
      <w:pPr>
        <w:pStyle w:val="ListParagraph"/>
        <w:numPr>
          <w:ilvl w:val="0"/>
          <w:numId w:val="11"/>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lastRenderedPageBreak/>
        <w:t>Increase legal, psychosocial, support to victims and families to minimize external pressures that lead to case withdrawal.</w:t>
      </w:r>
    </w:p>
    <w:p w14:paraId="057A446C" w14:textId="77777777" w:rsidR="007955AC" w:rsidRPr="00761D56" w:rsidRDefault="007955AC" w:rsidP="008F24DD">
      <w:pPr>
        <w:tabs>
          <w:tab w:val="left" w:pos="1702"/>
        </w:tabs>
        <w:spacing w:line="276" w:lineRule="auto"/>
        <w:jc w:val="both"/>
        <w:rPr>
          <w:rFonts w:cstheme="minorHAnsi"/>
          <w:color w:val="000000" w:themeColor="text1"/>
        </w:rPr>
      </w:pPr>
    </w:p>
    <w:p w14:paraId="0DD0EAEE" w14:textId="09BF9633" w:rsidR="00AD0664" w:rsidRPr="00761D56" w:rsidRDefault="00AD0664"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19" w:name="_Toc216692796"/>
      <w:r w:rsidRPr="00761D56">
        <w:rPr>
          <w:rFonts w:asciiTheme="minorHAnsi" w:hAnsiTheme="minorHAnsi" w:cstheme="minorHAnsi"/>
          <w:color w:val="000000" w:themeColor="text1"/>
        </w:rPr>
        <w:t>Article 20 &amp; 25</w:t>
      </w:r>
      <w:r w:rsidR="00165912" w:rsidRPr="00761D56">
        <w:rPr>
          <w:rFonts w:asciiTheme="minorHAnsi" w:hAnsiTheme="minorHAnsi" w:cstheme="minorHAnsi"/>
          <w:color w:val="000000" w:themeColor="text1"/>
        </w:rPr>
        <w:t xml:space="preserve"> -</w:t>
      </w:r>
      <w:r w:rsidRPr="00761D56">
        <w:rPr>
          <w:rFonts w:asciiTheme="minorHAnsi" w:hAnsiTheme="minorHAnsi" w:cstheme="minorHAnsi"/>
          <w:color w:val="000000" w:themeColor="text1"/>
        </w:rPr>
        <w:t xml:space="preserve"> </w:t>
      </w:r>
      <w:r w:rsidR="00CC6D90" w:rsidRPr="00761D56">
        <w:rPr>
          <w:rFonts w:asciiTheme="minorHAnsi" w:hAnsiTheme="minorHAnsi" w:cstheme="minorHAnsi"/>
          <w:color w:val="000000" w:themeColor="text1"/>
        </w:rPr>
        <w:t>C</w:t>
      </w:r>
      <w:r w:rsidRPr="00761D56">
        <w:rPr>
          <w:rFonts w:asciiTheme="minorHAnsi" w:hAnsiTheme="minorHAnsi" w:cstheme="minorHAnsi"/>
          <w:color w:val="000000" w:themeColor="text1"/>
        </w:rPr>
        <w:t>hildren deprived of their family environment &amp; Review of treatment in care</w:t>
      </w:r>
      <w:bookmarkEnd w:id="19"/>
    </w:p>
    <w:p w14:paraId="54B6733B" w14:textId="389D47F3" w:rsidR="00AD0664" w:rsidRPr="00761D56" w:rsidRDefault="00AD0664" w:rsidP="008F24DD">
      <w:pPr>
        <w:pStyle w:val="ListParagraph"/>
        <w:numPr>
          <w:ilvl w:val="0"/>
          <w:numId w:val="10"/>
        </w:numPr>
        <w:tabs>
          <w:tab w:val="left" w:pos="720"/>
        </w:tabs>
        <w:spacing w:before="240" w:after="0" w:line="276" w:lineRule="auto"/>
        <w:jc w:val="both"/>
        <w:rPr>
          <w:rFonts w:eastAsiaTheme="minorEastAsia" w:cstheme="minorHAnsi"/>
          <w:color w:val="000000" w:themeColor="text1"/>
          <w:sz w:val="24"/>
          <w:szCs w:val="24"/>
        </w:rPr>
      </w:pPr>
      <w:r w:rsidRPr="00761D56">
        <w:rPr>
          <w:rFonts w:eastAsiaTheme="minorEastAsia" w:cstheme="minorHAnsi"/>
          <w:color w:val="000000" w:themeColor="text1"/>
          <w:sz w:val="24"/>
          <w:szCs w:val="24"/>
        </w:rPr>
        <w:t>When parental care is not feasible, the State prioritizes family-based alternatives, such as placement with extended family members. However, this process is constrained by delays in obtaining criminal records and insufficient financial support for caregivers, undermining timely decisions and the stability of alternative care arrangements.</w:t>
      </w:r>
      <w:r w:rsidRPr="00761D56">
        <w:rPr>
          <w:rStyle w:val="EndnoteReference"/>
          <w:rFonts w:cstheme="minorHAnsi"/>
          <w:color w:val="000000" w:themeColor="text1"/>
          <w:sz w:val="24"/>
          <w:szCs w:val="24"/>
        </w:rPr>
        <w:endnoteReference w:id="116"/>
      </w:r>
      <w:r w:rsidRPr="00761D56">
        <w:rPr>
          <w:rFonts w:eastAsiaTheme="minorEastAsia" w:cstheme="minorHAnsi"/>
          <w:color w:val="000000" w:themeColor="text1"/>
          <w:sz w:val="24"/>
          <w:szCs w:val="24"/>
        </w:rPr>
        <w:t xml:space="preserve"> </w:t>
      </w:r>
    </w:p>
    <w:p w14:paraId="2E09BFBB" w14:textId="67215C89" w:rsidR="00AD0664" w:rsidRPr="00761D56" w:rsidRDefault="00AD0664" w:rsidP="008F24DD">
      <w:pPr>
        <w:pStyle w:val="ListParagraph"/>
        <w:numPr>
          <w:ilvl w:val="0"/>
          <w:numId w:val="10"/>
        </w:numPr>
        <w:tabs>
          <w:tab w:val="left" w:pos="720"/>
        </w:tabs>
        <w:spacing w:before="240" w:after="0" w:line="276" w:lineRule="auto"/>
        <w:jc w:val="both"/>
        <w:rPr>
          <w:rFonts w:eastAsiaTheme="minorEastAsia" w:cstheme="minorHAnsi"/>
          <w:color w:val="000000" w:themeColor="text1"/>
          <w:sz w:val="24"/>
          <w:szCs w:val="24"/>
        </w:rPr>
      </w:pPr>
      <w:r w:rsidRPr="00761D56">
        <w:rPr>
          <w:rFonts w:cstheme="minorHAnsi"/>
          <w:color w:val="000000" w:themeColor="text1"/>
          <w:sz w:val="24"/>
          <w:szCs w:val="24"/>
        </w:rPr>
        <w:t>Children identified as in need receive targeted interventions to safeguard their right to special protection and assistance. While priority is given to family-based care, when a safe family environment cannot be ensured, the State provides alternative care for children aged 0–18 years, with efforts to maintain siblings together. In certain cases, such as for children with special needs, care may continue beyond the age of 18. These facilities are located across the Maldives to meet these obligations.</w:t>
      </w:r>
      <w:r w:rsidR="00C41CB3" w:rsidRPr="00761D56">
        <w:rPr>
          <w:rStyle w:val="EndnoteReference"/>
          <w:rFonts w:cstheme="minorHAnsi"/>
          <w:color w:val="000000" w:themeColor="text1"/>
          <w:sz w:val="24"/>
          <w:szCs w:val="24"/>
        </w:rPr>
        <w:endnoteReference w:id="117"/>
      </w:r>
    </w:p>
    <w:p w14:paraId="62040065" w14:textId="03FE6035" w:rsidR="00AD0664" w:rsidRPr="00761D56" w:rsidRDefault="00AD0664" w:rsidP="008F24DD">
      <w:pPr>
        <w:pStyle w:val="ListParagraph"/>
        <w:numPr>
          <w:ilvl w:val="0"/>
          <w:numId w:val="10"/>
        </w:numPr>
        <w:tabs>
          <w:tab w:val="left" w:pos="720"/>
        </w:tabs>
        <w:spacing w:before="240" w:after="0" w:line="276" w:lineRule="auto"/>
        <w:jc w:val="both"/>
        <w:rPr>
          <w:rFonts w:eastAsiaTheme="minorEastAsia" w:cstheme="minorHAnsi"/>
          <w:color w:val="000000" w:themeColor="text1"/>
          <w:sz w:val="24"/>
          <w:szCs w:val="24"/>
        </w:rPr>
      </w:pPr>
      <w:r w:rsidRPr="00761D56">
        <w:rPr>
          <w:rFonts w:cstheme="minorHAnsi"/>
          <w:color w:val="000000" w:themeColor="text1"/>
          <w:sz w:val="24"/>
          <w:szCs w:val="24"/>
        </w:rPr>
        <w:t>State care facilities are generally maintained in a clean condition; however, some buildings require renovation. Delays in accessing routine medical care have been observed, and psychological assessments are not conducted promptly. Even when assessments recommend specific therapies, these interventions frequently remain incomplete, with no clear plan for follow-up or continuity of care, thereby compromising the child’s right to health and well-being.</w:t>
      </w:r>
      <w:r w:rsidR="00C41CB3" w:rsidRPr="00761D56">
        <w:rPr>
          <w:rStyle w:val="EndnoteReference"/>
          <w:rFonts w:cstheme="minorHAnsi"/>
          <w:color w:val="000000" w:themeColor="text1"/>
          <w:sz w:val="24"/>
          <w:szCs w:val="24"/>
        </w:rPr>
        <w:endnoteReference w:id="118"/>
      </w:r>
    </w:p>
    <w:p w14:paraId="0686EBAF" w14:textId="04024428" w:rsidR="00AD0664" w:rsidRPr="00761D56" w:rsidRDefault="00AD0664" w:rsidP="008F24DD">
      <w:pPr>
        <w:pStyle w:val="ListParagraph"/>
        <w:numPr>
          <w:ilvl w:val="0"/>
          <w:numId w:val="10"/>
        </w:numPr>
        <w:tabs>
          <w:tab w:val="left" w:pos="720"/>
        </w:tabs>
        <w:spacing w:before="240" w:after="0" w:line="276" w:lineRule="auto"/>
        <w:jc w:val="both"/>
        <w:rPr>
          <w:rFonts w:eastAsiaTheme="minorEastAsia" w:cstheme="minorHAnsi"/>
          <w:color w:val="000000" w:themeColor="text1"/>
          <w:sz w:val="24"/>
          <w:szCs w:val="24"/>
        </w:rPr>
      </w:pPr>
      <w:r w:rsidRPr="00761D56">
        <w:rPr>
          <w:rFonts w:cstheme="minorHAnsi"/>
          <w:color w:val="000000" w:themeColor="text1"/>
          <w:sz w:val="24"/>
          <w:szCs w:val="24"/>
        </w:rPr>
        <w:t>Alternative care standards require every facility employ</w:t>
      </w:r>
      <w:r w:rsidR="00DB7EF8">
        <w:rPr>
          <w:rFonts w:cstheme="minorHAnsi"/>
          <w:color w:val="000000" w:themeColor="text1"/>
          <w:sz w:val="24"/>
          <w:szCs w:val="24"/>
        </w:rPr>
        <w:t>s</w:t>
      </w:r>
      <w:r w:rsidRPr="00761D56">
        <w:rPr>
          <w:rFonts w:cstheme="minorHAnsi"/>
          <w:color w:val="000000" w:themeColor="text1"/>
          <w:sz w:val="24"/>
          <w:szCs w:val="24"/>
        </w:rPr>
        <w:t xml:space="preserve"> a counsellor or psychologist;</w:t>
      </w:r>
      <w:r w:rsidRPr="00761D56">
        <w:rPr>
          <w:rStyle w:val="EndnoteReference"/>
          <w:rFonts w:cstheme="minorHAnsi"/>
          <w:color w:val="000000" w:themeColor="text1"/>
          <w:sz w:val="24"/>
          <w:szCs w:val="24"/>
        </w:rPr>
        <w:endnoteReference w:id="119"/>
      </w:r>
      <w:r w:rsidRPr="00761D56">
        <w:rPr>
          <w:rFonts w:cstheme="minorHAnsi"/>
          <w:color w:val="000000" w:themeColor="text1"/>
          <w:sz w:val="24"/>
          <w:szCs w:val="24"/>
        </w:rPr>
        <w:t xml:space="preserve"> however, these positions remain vacant in almost all facilities. Consequently, children face delays or denial of therapeutic interventions. This challenge is compounded by shortage of psychiatrists and psychologists in most hospitals on the islands where these facilities are located, forcing children to travel to other islands for specialist care. This further delays consultations, treatment, and therapy, undermining children’s right to timely and adequate health and psychosocial support. These gaps reflect broader systemic issues, including limited intersectoral coordination and inadequate access to essential services, particularly in the atolls, which impede the effective fulfilment of the State’s obligations.</w:t>
      </w:r>
      <w:r w:rsidRPr="00761D56">
        <w:rPr>
          <w:rStyle w:val="EndnoteReference"/>
          <w:rFonts w:cstheme="minorHAnsi"/>
          <w:color w:val="000000" w:themeColor="text1"/>
          <w:sz w:val="24"/>
          <w:szCs w:val="24"/>
        </w:rPr>
        <w:endnoteReference w:id="120"/>
      </w:r>
    </w:p>
    <w:p w14:paraId="4F1668AC" w14:textId="5A8D3704" w:rsidR="00AD0664" w:rsidRPr="00761D56" w:rsidRDefault="00AD0664" w:rsidP="008F24DD">
      <w:pPr>
        <w:pStyle w:val="ListParagraph"/>
        <w:numPr>
          <w:ilvl w:val="0"/>
          <w:numId w:val="10"/>
        </w:numPr>
        <w:tabs>
          <w:tab w:val="left" w:pos="720"/>
        </w:tabs>
        <w:spacing w:before="240" w:after="0" w:line="276" w:lineRule="auto"/>
        <w:jc w:val="both"/>
        <w:rPr>
          <w:rFonts w:eastAsiaTheme="minorEastAsia" w:cstheme="minorHAnsi"/>
          <w:color w:val="000000" w:themeColor="text1"/>
          <w:sz w:val="24"/>
          <w:szCs w:val="24"/>
        </w:rPr>
      </w:pPr>
      <w:r w:rsidRPr="00761D56">
        <w:rPr>
          <w:rFonts w:cstheme="minorHAnsi"/>
          <w:color w:val="000000" w:themeColor="text1"/>
          <w:sz w:val="24"/>
          <w:szCs w:val="24"/>
        </w:rPr>
        <w:t xml:space="preserve">Most care </w:t>
      </w:r>
      <w:r w:rsidR="00C41CB3" w:rsidRPr="00761D56">
        <w:rPr>
          <w:rFonts w:cstheme="minorHAnsi"/>
          <w:color w:val="000000" w:themeColor="text1"/>
          <w:sz w:val="24"/>
          <w:szCs w:val="24"/>
        </w:rPr>
        <w:t>centres</w:t>
      </w:r>
      <w:r w:rsidRPr="00761D56">
        <w:rPr>
          <w:rFonts w:cstheme="minorHAnsi"/>
          <w:color w:val="000000" w:themeColor="text1"/>
          <w:sz w:val="24"/>
          <w:szCs w:val="24"/>
        </w:rPr>
        <w:t xml:space="preserve"> lack an on-site healthcare provider, resulting in poorly maintained medical records. Furthermore, staff do not receive regular first aid training and lack adequate training in essential areas, compromising the quality of care and the fulfilment of children’s right to health and safety. </w:t>
      </w:r>
      <w:r w:rsidRPr="00761D56">
        <w:rPr>
          <w:rFonts w:eastAsia="Calibri" w:cstheme="minorHAnsi"/>
          <w:color w:val="000000" w:themeColor="text1"/>
          <w:sz w:val="24"/>
          <w:szCs w:val="24"/>
        </w:rPr>
        <w:t xml:space="preserve">Ensuring adequate training and </w:t>
      </w:r>
      <w:r w:rsidRPr="00761D56">
        <w:rPr>
          <w:rFonts w:eastAsia="Calibri" w:cstheme="minorHAnsi"/>
          <w:color w:val="000000" w:themeColor="text1"/>
          <w:sz w:val="24"/>
          <w:szCs w:val="24"/>
        </w:rPr>
        <w:lastRenderedPageBreak/>
        <w:t>support for personnel involved in child placement and care, particularly for children with disabilities, remains a significant challenge.</w:t>
      </w:r>
      <w:r w:rsidR="00BC2B9C" w:rsidRPr="00761D56">
        <w:rPr>
          <w:rStyle w:val="EndnoteReference"/>
          <w:rFonts w:eastAsia="Calibri" w:cstheme="minorHAnsi"/>
          <w:color w:val="000000" w:themeColor="text1"/>
          <w:sz w:val="24"/>
          <w:szCs w:val="24"/>
        </w:rPr>
        <w:endnoteReference w:id="121"/>
      </w:r>
      <w:r w:rsidRPr="00761D56">
        <w:rPr>
          <w:rFonts w:eastAsia="Calibri" w:cstheme="minorHAnsi"/>
          <w:color w:val="000000" w:themeColor="text1"/>
          <w:sz w:val="24"/>
          <w:szCs w:val="24"/>
        </w:rPr>
        <w:t xml:space="preserve"> </w:t>
      </w:r>
    </w:p>
    <w:p w14:paraId="29F2784D" w14:textId="022EDE85" w:rsidR="00AD0664" w:rsidRPr="00761D56" w:rsidRDefault="00AD0664" w:rsidP="008F24DD">
      <w:pPr>
        <w:pStyle w:val="ListParagraph"/>
        <w:numPr>
          <w:ilvl w:val="0"/>
          <w:numId w:val="10"/>
        </w:numPr>
        <w:tabs>
          <w:tab w:val="left" w:pos="720"/>
        </w:tabs>
        <w:spacing w:before="240" w:after="0" w:line="276" w:lineRule="auto"/>
        <w:jc w:val="both"/>
        <w:rPr>
          <w:rFonts w:eastAsiaTheme="minorEastAsia" w:cstheme="minorHAnsi"/>
          <w:color w:val="000000" w:themeColor="text1"/>
          <w:sz w:val="24"/>
          <w:szCs w:val="24"/>
        </w:rPr>
      </w:pPr>
      <w:r w:rsidRPr="00761D56">
        <w:rPr>
          <w:rFonts w:cstheme="minorHAnsi"/>
          <w:color w:val="000000" w:themeColor="text1"/>
          <w:sz w:val="24"/>
          <w:szCs w:val="24"/>
        </w:rPr>
        <w:t>No overcrowding issues were observed during NPM’s recent visit to Fiyavathi. However, the facility which was designed for children under 13 years of age</w:t>
      </w:r>
      <w:r w:rsidR="00BC2B9C" w:rsidRPr="00761D56">
        <w:rPr>
          <w:rFonts w:cstheme="minorHAnsi"/>
          <w:color w:val="000000" w:themeColor="text1"/>
          <w:sz w:val="24"/>
          <w:szCs w:val="24"/>
        </w:rPr>
        <w:t xml:space="preserve"> </w:t>
      </w:r>
      <w:r w:rsidRPr="00761D56">
        <w:rPr>
          <w:rFonts w:cstheme="minorHAnsi"/>
          <w:color w:val="000000" w:themeColor="text1"/>
          <w:sz w:val="24"/>
          <w:szCs w:val="24"/>
        </w:rPr>
        <w:t>housed children above this age, raising concerns about age-appropriate care and living arrangements.</w:t>
      </w:r>
    </w:p>
    <w:p w14:paraId="53AF2380" w14:textId="4CAB68CE" w:rsidR="004D241D" w:rsidRPr="00761D56" w:rsidRDefault="002021C3" w:rsidP="00007E7A">
      <w:pPr>
        <w:pStyle w:val="ListParagraph"/>
        <w:numPr>
          <w:ilvl w:val="0"/>
          <w:numId w:val="10"/>
        </w:numPr>
        <w:tabs>
          <w:tab w:val="left" w:pos="1080"/>
        </w:tabs>
        <w:spacing w:before="240" w:after="0" w:line="276" w:lineRule="auto"/>
        <w:ind w:left="1134" w:hanging="425"/>
        <w:jc w:val="both"/>
        <w:rPr>
          <w:rFonts w:eastAsia="Times New Roman" w:cstheme="minorHAnsi"/>
          <w:b/>
          <w:bCs/>
          <w:color w:val="000000" w:themeColor="text1"/>
          <w:sz w:val="24"/>
          <w:szCs w:val="24"/>
          <w:lang w:bidi="dv-MV"/>
        </w:rPr>
      </w:pPr>
      <w:r w:rsidRPr="00761D56">
        <w:rPr>
          <w:rFonts w:eastAsiaTheme="minorEastAsia" w:cstheme="minorHAnsi"/>
          <w:color w:val="000000" w:themeColor="text1"/>
          <w:sz w:val="24"/>
          <w:szCs w:val="24"/>
        </w:rPr>
        <w:t>The nature of cases investigated by HRCM between 2016 to 2021 revealed recurring issues including delays in intervention, failure to conduct timely risk assessments or home visits, inadequate case management and follow-up by social services, and failure to place children in safe environments promptly. In response, authorities introduced corrective measures, including minimum care standards, stricter staff recruitment and training</w:t>
      </w:r>
      <w:r w:rsidR="004D241D" w:rsidRPr="00761D56">
        <w:rPr>
          <w:rFonts w:eastAsiaTheme="minorEastAsia" w:cstheme="minorHAnsi"/>
          <w:color w:val="000000" w:themeColor="text1"/>
          <w:sz w:val="24"/>
          <w:szCs w:val="24"/>
        </w:rPr>
        <w:t xml:space="preserve"> and </w:t>
      </w:r>
      <w:r w:rsidRPr="00761D56">
        <w:rPr>
          <w:rFonts w:eastAsiaTheme="minorEastAsia" w:cstheme="minorHAnsi"/>
          <w:color w:val="000000" w:themeColor="text1"/>
          <w:sz w:val="24"/>
          <w:szCs w:val="24"/>
        </w:rPr>
        <w:t>CCTV monitoring</w:t>
      </w:r>
      <w:r w:rsidR="006A4DAA" w:rsidRPr="00761D56">
        <w:rPr>
          <w:rFonts w:eastAsiaTheme="minorEastAsia" w:cstheme="minorHAnsi"/>
          <w:color w:val="000000" w:themeColor="text1"/>
          <w:sz w:val="24"/>
          <w:szCs w:val="24"/>
        </w:rPr>
        <w:t xml:space="preserve"> </w:t>
      </w:r>
    </w:p>
    <w:p w14:paraId="593730E2" w14:textId="7D770EF1" w:rsidR="004D241D" w:rsidRPr="00761D56" w:rsidRDefault="004D241D" w:rsidP="004D241D">
      <w:pPr>
        <w:tabs>
          <w:tab w:val="left" w:pos="720"/>
        </w:tabs>
        <w:spacing w:before="240" w:after="0" w:line="276" w:lineRule="auto"/>
        <w:ind w:left="720" w:firstLine="0"/>
        <w:jc w:val="both"/>
        <w:rPr>
          <w:rFonts w:eastAsia="Times New Roman" w:cstheme="minorHAnsi"/>
          <w:b/>
          <w:bCs/>
          <w:color w:val="000000" w:themeColor="text1"/>
          <w:sz w:val="24"/>
          <w:szCs w:val="24"/>
          <w:lang w:bidi="dv-MV"/>
        </w:rPr>
      </w:pPr>
    </w:p>
    <w:p w14:paraId="091FE9DB" w14:textId="7EA6FB89" w:rsidR="00AD0664" w:rsidRPr="00761D56" w:rsidRDefault="00AD0664" w:rsidP="004D241D">
      <w:pPr>
        <w:tabs>
          <w:tab w:val="left" w:pos="720"/>
        </w:tabs>
        <w:spacing w:before="240" w:after="0" w:line="276" w:lineRule="auto"/>
        <w:ind w:left="720" w:firstLine="0"/>
        <w:jc w:val="both"/>
        <w:rPr>
          <w:rFonts w:eastAsia="Times New Roman" w:cstheme="minorHAnsi"/>
          <w:b/>
          <w:bCs/>
          <w:color w:val="000000" w:themeColor="text1"/>
          <w:sz w:val="24"/>
          <w:szCs w:val="24"/>
          <w:lang w:bidi="dv-MV"/>
        </w:rPr>
      </w:pPr>
      <w:r w:rsidRPr="00761D56">
        <w:rPr>
          <w:rFonts w:eastAsia="Times New Roman" w:cstheme="minorHAnsi"/>
          <w:b/>
          <w:bCs/>
          <w:color w:val="000000" w:themeColor="text1"/>
          <w:sz w:val="24"/>
          <w:szCs w:val="24"/>
          <w:lang w:bidi="dv-MV"/>
        </w:rPr>
        <w:t>Recommendations</w:t>
      </w:r>
    </w:p>
    <w:p w14:paraId="285B1A3A" w14:textId="77777777" w:rsidR="00AD0664" w:rsidRPr="00761D56" w:rsidRDefault="00AD0664" w:rsidP="008F24DD">
      <w:pPr>
        <w:pStyle w:val="ListParagraph"/>
        <w:numPr>
          <w:ilvl w:val="0"/>
          <w:numId w:val="12"/>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Establish financial support programs and expedited administrative procedures to strengthen family preservation and facilitate timely family-based care placements in line with CRC Article 20</w:t>
      </w:r>
    </w:p>
    <w:p w14:paraId="4A09E83B" w14:textId="4E25D8EB" w:rsidR="00AD0664" w:rsidRPr="00761D56" w:rsidRDefault="00AD0664" w:rsidP="008F24DD">
      <w:pPr>
        <w:pStyle w:val="ListParagraph"/>
        <w:numPr>
          <w:ilvl w:val="0"/>
          <w:numId w:val="12"/>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Ensure timely medical and psychological assessments, implement structured care plans, and guarantee continuity of recommended therapies for all children in alternative care.</w:t>
      </w:r>
    </w:p>
    <w:p w14:paraId="791EEC02" w14:textId="77777777" w:rsidR="00AD0664" w:rsidRPr="00761D56" w:rsidRDefault="00AD0664" w:rsidP="008F24DD">
      <w:pPr>
        <w:pStyle w:val="ListParagraph"/>
        <w:numPr>
          <w:ilvl w:val="0"/>
          <w:numId w:val="12"/>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Establish counsellors and mental health professionals in care facilities and enhance intersectoral coordination to ensure timely and equitable access to specialised services.</w:t>
      </w:r>
    </w:p>
    <w:p w14:paraId="3250FAFE" w14:textId="1B89E1BF" w:rsidR="00AD0664" w:rsidRPr="00761D56" w:rsidRDefault="00AD0664" w:rsidP="008F24DD">
      <w:pPr>
        <w:pStyle w:val="ListParagraph"/>
        <w:numPr>
          <w:ilvl w:val="0"/>
          <w:numId w:val="12"/>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Strengthen the capacity of care facility staff through mandatory first aid training, continuous professional development, and specialised training on disability-inclusive care. </w:t>
      </w:r>
    </w:p>
    <w:p w14:paraId="0A18304B" w14:textId="35A3848E" w:rsidR="007955AC" w:rsidRPr="00761D56" w:rsidRDefault="00AD0664" w:rsidP="008F24DD">
      <w:pPr>
        <w:pStyle w:val="ListParagraph"/>
        <w:numPr>
          <w:ilvl w:val="0"/>
          <w:numId w:val="12"/>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Establish separate facilities or dedicated sections for minors in psychiatric institutions to ensure age-appropriate care and protection from harm, and implement comprehensive rehabilitation and reintegration programs, including vocational and educational training, to support their development.</w:t>
      </w:r>
    </w:p>
    <w:p w14:paraId="1E5AD16E" w14:textId="77777777" w:rsidR="00AD0664" w:rsidRPr="00761D56" w:rsidRDefault="00AD0664"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20" w:name="_Toc216692797"/>
      <w:r w:rsidRPr="00761D56">
        <w:rPr>
          <w:rFonts w:asciiTheme="minorHAnsi" w:hAnsiTheme="minorHAnsi" w:cstheme="minorHAnsi"/>
          <w:color w:val="000000" w:themeColor="text1"/>
        </w:rPr>
        <w:t>Article 23 – Children with Disabilities</w:t>
      </w:r>
      <w:bookmarkEnd w:id="20"/>
    </w:p>
    <w:p w14:paraId="1D212BB9" w14:textId="7AE51F81" w:rsidR="00AD0664" w:rsidRPr="00761D56" w:rsidRDefault="00AD0664"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The disability registry process is lengthy and complex, often requiring repeated applications and updated medical documents. Some families choose not to register </w:t>
      </w:r>
      <w:r w:rsidRPr="00761D56">
        <w:rPr>
          <w:rFonts w:cstheme="minorHAnsi"/>
          <w:color w:val="000000" w:themeColor="text1"/>
          <w:sz w:val="24"/>
          <w:szCs w:val="24"/>
        </w:rPr>
        <w:lastRenderedPageBreak/>
        <w:t>due to low financial allowances, reluctance to label their children, or not recognizing conditions as disabilities. Island councils encourage and support families in registering children with disabilities in their communities, as well as assisting them with applications for disability allowances and other social protection benefits through the National Social Protection Agency (NSPA).</w:t>
      </w:r>
      <w:r w:rsidRPr="00761D56">
        <w:rPr>
          <w:rStyle w:val="EndnoteReference"/>
          <w:rFonts w:cstheme="minorHAnsi"/>
          <w:color w:val="000000" w:themeColor="text1"/>
          <w:sz w:val="24"/>
          <w:szCs w:val="24"/>
        </w:rPr>
        <w:endnoteReference w:id="122"/>
      </w:r>
    </w:p>
    <w:p w14:paraId="6E7EF281" w14:textId="5C50243C" w:rsidR="00AD0664" w:rsidRPr="00761D56" w:rsidRDefault="00476070"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Telemedicine services </w:t>
      </w:r>
      <w:r w:rsidR="004F4001" w:rsidRPr="00761D56">
        <w:rPr>
          <w:rFonts w:cstheme="minorHAnsi"/>
          <w:color w:val="000000" w:themeColor="text1"/>
          <w:sz w:val="24"/>
          <w:szCs w:val="24"/>
        </w:rPr>
        <w:t xml:space="preserve">remain </w:t>
      </w:r>
      <w:r w:rsidRPr="00761D56">
        <w:rPr>
          <w:rFonts w:cstheme="minorHAnsi"/>
          <w:color w:val="000000" w:themeColor="text1"/>
          <w:sz w:val="24"/>
          <w:szCs w:val="24"/>
        </w:rPr>
        <w:t>non-functional despite the availability of equipment in some hospitals, due to inadequate digital infrastructure, limited technical personnel, and insufficient training for healthcare providers.</w:t>
      </w:r>
      <w:r w:rsidR="00AD0664" w:rsidRPr="00761D56">
        <w:rPr>
          <w:rStyle w:val="EndnoteReference"/>
          <w:rFonts w:cstheme="minorHAnsi"/>
          <w:color w:val="000000" w:themeColor="text1"/>
          <w:sz w:val="24"/>
          <w:szCs w:val="24"/>
        </w:rPr>
        <w:t xml:space="preserve"> </w:t>
      </w:r>
      <w:r w:rsidR="00AD0664" w:rsidRPr="00761D56">
        <w:rPr>
          <w:rStyle w:val="EndnoteReference"/>
          <w:rFonts w:cstheme="minorHAnsi"/>
          <w:color w:val="000000" w:themeColor="text1"/>
          <w:sz w:val="24"/>
          <w:szCs w:val="24"/>
        </w:rPr>
        <w:endnoteReference w:id="123"/>
      </w:r>
      <w:r w:rsidR="00AD0664" w:rsidRPr="00761D56">
        <w:rPr>
          <w:rFonts w:cstheme="minorHAnsi"/>
          <w:color w:val="000000" w:themeColor="text1"/>
          <w:sz w:val="24"/>
          <w:szCs w:val="24"/>
        </w:rPr>
        <w:t xml:space="preserve"> </w:t>
      </w:r>
    </w:p>
    <w:p w14:paraId="172A3328" w14:textId="00494CE5" w:rsidR="00AD0664" w:rsidRPr="00761D56" w:rsidRDefault="00AD0664"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 xml:space="preserve">Special education in outer islands is </w:t>
      </w:r>
      <w:r w:rsidR="00DB7EF8">
        <w:rPr>
          <w:rFonts w:cstheme="minorHAnsi"/>
          <w:color w:val="000000" w:themeColor="text1"/>
          <w:sz w:val="24"/>
          <w:szCs w:val="24"/>
        </w:rPr>
        <w:t xml:space="preserve">more </w:t>
      </w:r>
      <w:r w:rsidRPr="00761D56">
        <w:rPr>
          <w:rFonts w:cstheme="minorHAnsi"/>
          <w:color w:val="000000" w:themeColor="text1"/>
          <w:sz w:val="24"/>
          <w:szCs w:val="24"/>
        </w:rPr>
        <w:t>limited than in Malé, with classrooms lacking equipment, trained teachers, and funding. These gaps contribute to dropouts and poor academic outcomes, often worsened by limited parental support. Some parents refuse hearing aids or sign language instruction, severely restricting communication and learning.</w:t>
      </w:r>
      <w:r w:rsidRPr="00761D56">
        <w:rPr>
          <w:rStyle w:val="EndnoteReference"/>
          <w:rFonts w:cstheme="minorHAnsi"/>
          <w:color w:val="000000" w:themeColor="text1"/>
          <w:sz w:val="24"/>
          <w:szCs w:val="24"/>
        </w:rPr>
        <w:endnoteReference w:id="124"/>
      </w:r>
    </w:p>
    <w:p w14:paraId="1B82D99C" w14:textId="54E70150" w:rsidR="00AD0664" w:rsidRPr="00761D56" w:rsidRDefault="004F4001" w:rsidP="008F24DD">
      <w:pPr>
        <w:pStyle w:val="ListParagraph"/>
        <w:numPr>
          <w:ilvl w:val="0"/>
          <w:numId w:val="10"/>
        </w:numPr>
        <w:tabs>
          <w:tab w:val="left" w:pos="720"/>
        </w:tabs>
        <w:spacing w:before="240" w:after="0" w:line="276" w:lineRule="auto"/>
        <w:jc w:val="both"/>
        <w:rPr>
          <w:rFonts w:cstheme="minorHAnsi"/>
          <w:color w:val="000000" w:themeColor="text1"/>
          <w:sz w:val="24"/>
          <w:szCs w:val="24"/>
          <w:lang w:val="en-US"/>
        </w:rPr>
      </w:pPr>
      <w:r w:rsidRPr="00761D56">
        <w:rPr>
          <w:rFonts w:cstheme="minorHAnsi"/>
          <w:color w:val="000000" w:themeColor="text1"/>
          <w:sz w:val="24"/>
          <w:szCs w:val="24"/>
        </w:rPr>
        <w:t>S</w:t>
      </w:r>
      <w:r w:rsidR="00AD0664" w:rsidRPr="00761D56">
        <w:rPr>
          <w:rFonts w:cstheme="minorHAnsi"/>
          <w:color w:val="000000" w:themeColor="text1"/>
          <w:sz w:val="24"/>
          <w:szCs w:val="24"/>
        </w:rPr>
        <w:t>ection 19 of the Construction Administrative Regulation (R-1004/2019)</w:t>
      </w:r>
      <w:r w:rsidR="00AD0664" w:rsidRPr="00761D56">
        <w:rPr>
          <w:rStyle w:val="EndnoteReference"/>
          <w:rFonts w:cstheme="minorHAnsi"/>
          <w:color w:val="000000" w:themeColor="text1"/>
          <w:sz w:val="24"/>
          <w:szCs w:val="24"/>
        </w:rPr>
        <w:endnoteReference w:id="125"/>
      </w:r>
      <w:r w:rsidR="00AD0664" w:rsidRPr="00761D56">
        <w:rPr>
          <w:rFonts w:cstheme="minorHAnsi"/>
          <w:color w:val="000000" w:themeColor="text1"/>
          <w:sz w:val="24"/>
          <w:szCs w:val="24"/>
        </w:rPr>
        <w:t xml:space="preserve"> now require accessible features in public buildings, roads, and parks, with detailed guidelines under development.</w:t>
      </w:r>
      <w:r w:rsidR="00AD0664" w:rsidRPr="00761D56">
        <w:rPr>
          <w:rStyle w:val="EndnoteReference"/>
          <w:rFonts w:cstheme="minorHAnsi"/>
          <w:color w:val="000000" w:themeColor="text1"/>
          <w:sz w:val="24"/>
          <w:szCs w:val="24"/>
        </w:rPr>
        <w:endnoteReference w:id="126"/>
      </w:r>
      <w:r w:rsidRPr="00761D56">
        <w:rPr>
          <w:rFonts w:cstheme="minorHAnsi"/>
          <w:color w:val="000000" w:themeColor="text1"/>
          <w:sz w:val="24"/>
          <w:szCs w:val="24"/>
        </w:rPr>
        <w:t xml:space="preserve"> </w:t>
      </w:r>
      <w:r w:rsidRPr="00761D56">
        <w:rPr>
          <w:rFonts w:cstheme="minorHAnsi"/>
          <w:color w:val="000000" w:themeColor="text1"/>
          <w:sz w:val="24"/>
          <w:szCs w:val="24"/>
          <w:lang w:val="en-US"/>
        </w:rPr>
        <w:t>Despite these efforts, most infrastructure remains inaccessible, with some ramps either unusable or merely symbolic.</w:t>
      </w:r>
      <w:r w:rsidRPr="00761D56">
        <w:rPr>
          <w:rStyle w:val="EndnoteReference"/>
          <w:rFonts w:cstheme="minorHAnsi"/>
          <w:color w:val="000000" w:themeColor="text1"/>
          <w:sz w:val="24"/>
          <w:szCs w:val="24"/>
        </w:rPr>
        <w:endnoteReference w:id="127"/>
      </w:r>
    </w:p>
    <w:p w14:paraId="6DEBDEE7" w14:textId="328AB460" w:rsidR="00AD0664" w:rsidRPr="00761D56" w:rsidRDefault="00674AFD"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MTCC ferries</w:t>
      </w:r>
      <w:r w:rsidR="00477097" w:rsidRPr="00761D56">
        <w:rPr>
          <w:rFonts w:cstheme="minorHAnsi"/>
          <w:color w:val="000000" w:themeColor="text1"/>
          <w:sz w:val="24"/>
          <w:szCs w:val="24"/>
        </w:rPr>
        <w:t xml:space="preserve"> (State owned transportation company)</w:t>
      </w:r>
      <w:r w:rsidRPr="00761D56">
        <w:rPr>
          <w:rFonts w:cstheme="minorHAnsi"/>
          <w:color w:val="000000" w:themeColor="text1"/>
          <w:sz w:val="24"/>
          <w:szCs w:val="24"/>
        </w:rPr>
        <w:t xml:space="preserve"> are not fully accessible to wheelchair users, with boarding and disembarking posing significant challenges due to poorly designed or improperly located ramps</w:t>
      </w:r>
      <w:r w:rsidR="00AD0664" w:rsidRPr="00761D56">
        <w:rPr>
          <w:rFonts w:cstheme="minorHAnsi"/>
          <w:color w:val="000000" w:themeColor="text1"/>
          <w:sz w:val="24"/>
          <w:szCs w:val="24"/>
        </w:rPr>
        <w:t>.</w:t>
      </w:r>
      <w:r w:rsidR="00AD0664" w:rsidRPr="00761D56">
        <w:rPr>
          <w:rStyle w:val="EndnoteReference"/>
          <w:rFonts w:cstheme="minorHAnsi"/>
          <w:color w:val="000000" w:themeColor="text1"/>
          <w:sz w:val="24"/>
          <w:szCs w:val="24"/>
        </w:rPr>
        <w:endnoteReference w:id="128"/>
      </w:r>
    </w:p>
    <w:p w14:paraId="0CE51E21" w14:textId="17E864E9" w:rsidR="006338DF" w:rsidRPr="00761D56" w:rsidRDefault="006338DF"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The MOSFD established Ijthimaee Badhahi Madhadhuverin (IBAMA)﻿, a community-based, multi-sectoral mechanism aimed at preventing and responding to violence against children and vulnerable groups, promoting human rights, and ensuring a safe society in accordance with the Constitution and international conventions. However, this mechanism has not been implemented across all islands.</w:t>
      </w:r>
      <w:r w:rsidRPr="00761D56">
        <w:rPr>
          <w:rStyle w:val="EndnoteReference"/>
          <w:rFonts w:cstheme="minorHAnsi"/>
          <w:color w:val="000000" w:themeColor="text1"/>
          <w:sz w:val="24"/>
          <w:szCs w:val="24"/>
        </w:rPr>
        <w:endnoteReference w:id="129"/>
      </w:r>
      <w:r w:rsidRPr="00761D56">
        <w:rPr>
          <w:rFonts w:cstheme="minorHAnsi"/>
          <w:color w:val="000000" w:themeColor="text1"/>
          <w:sz w:val="24"/>
          <w:szCs w:val="24"/>
        </w:rPr>
        <w:t xml:space="preserve"> </w:t>
      </w:r>
    </w:p>
    <w:p w14:paraId="2022A86D" w14:textId="164AC98F" w:rsidR="00AD0664" w:rsidRPr="00761D56" w:rsidRDefault="00AD0664" w:rsidP="008F24DD">
      <w:pPr>
        <w:pStyle w:val="ListParagraph"/>
        <w:numPr>
          <w:ilvl w:val="0"/>
          <w:numId w:val="10"/>
        </w:numPr>
        <w:tabs>
          <w:tab w:val="left" w:pos="720"/>
        </w:tabs>
        <w:spacing w:before="240" w:after="0" w:line="276" w:lineRule="auto"/>
        <w:jc w:val="both"/>
        <w:rPr>
          <w:rFonts w:cstheme="minorHAnsi"/>
          <w:color w:val="000000" w:themeColor="text1"/>
          <w:sz w:val="24"/>
          <w:szCs w:val="24"/>
        </w:rPr>
      </w:pPr>
      <w:r w:rsidRPr="00761D56">
        <w:rPr>
          <w:rFonts w:cstheme="minorHAnsi"/>
          <w:color w:val="000000" w:themeColor="text1"/>
          <w:sz w:val="24"/>
          <w:szCs w:val="24"/>
        </w:rPr>
        <w:t>There is a notable lack of sign language training for authority figures.</w:t>
      </w:r>
      <w:r w:rsidRPr="00761D56">
        <w:rPr>
          <w:rStyle w:val="EndnoteReference"/>
          <w:rFonts w:cstheme="minorHAnsi"/>
          <w:color w:val="000000" w:themeColor="text1"/>
          <w:sz w:val="24"/>
          <w:szCs w:val="24"/>
        </w:rPr>
        <w:endnoteReference w:id="130"/>
      </w:r>
      <w:r w:rsidRPr="00761D56">
        <w:rPr>
          <w:rFonts w:cstheme="minorHAnsi"/>
          <w:color w:val="000000" w:themeColor="text1"/>
          <w:sz w:val="24"/>
          <w:szCs w:val="24"/>
        </w:rPr>
        <w:t xml:space="preserve"> The Ministry of Health reported that no officials have received training specifically focused on communicating with persons with disabilities, and no measures have been taken to make professional interpreters accessible in hospitals or health </w:t>
      </w:r>
      <w:r w:rsidR="00D72FA5" w:rsidRPr="00761D56">
        <w:rPr>
          <w:rFonts w:cstheme="minorHAnsi"/>
          <w:color w:val="000000" w:themeColor="text1"/>
          <w:sz w:val="24"/>
          <w:szCs w:val="24"/>
        </w:rPr>
        <w:t>centres</w:t>
      </w:r>
      <w:r w:rsidRPr="00761D56">
        <w:rPr>
          <w:rFonts w:cstheme="minorHAnsi"/>
          <w:color w:val="000000" w:themeColor="text1"/>
          <w:sz w:val="24"/>
          <w:szCs w:val="24"/>
        </w:rPr>
        <w:t>, nor has healthcare staff received sign language training.</w:t>
      </w:r>
      <w:r w:rsidRPr="00761D56">
        <w:rPr>
          <w:rStyle w:val="EndnoteReference"/>
          <w:rFonts w:cstheme="minorHAnsi"/>
          <w:color w:val="000000" w:themeColor="text1"/>
          <w:sz w:val="24"/>
          <w:szCs w:val="24"/>
        </w:rPr>
        <w:t xml:space="preserve"> </w:t>
      </w:r>
      <w:r w:rsidRPr="00761D56">
        <w:rPr>
          <w:rStyle w:val="EndnoteReference"/>
          <w:rFonts w:cstheme="minorHAnsi"/>
          <w:color w:val="000000" w:themeColor="text1"/>
          <w:sz w:val="24"/>
          <w:szCs w:val="24"/>
        </w:rPr>
        <w:endnoteReference w:id="131"/>
      </w:r>
      <w:r w:rsidRPr="00761D56">
        <w:rPr>
          <w:rFonts w:cstheme="minorHAnsi"/>
          <w:color w:val="000000" w:themeColor="text1"/>
          <w:sz w:val="24"/>
          <w:szCs w:val="24"/>
        </w:rPr>
        <w:t xml:space="preserve">  </w:t>
      </w:r>
    </w:p>
    <w:p w14:paraId="76BF01B4" w14:textId="77777777" w:rsidR="00D6206C" w:rsidRPr="00761D56" w:rsidRDefault="00D6206C" w:rsidP="008F24DD">
      <w:pPr>
        <w:pStyle w:val="ListParagraph"/>
        <w:numPr>
          <w:ilvl w:val="0"/>
          <w:numId w:val="10"/>
        </w:numPr>
        <w:spacing w:after="0" w:line="276" w:lineRule="auto"/>
        <w:ind w:right="144"/>
        <w:jc w:val="both"/>
        <w:rPr>
          <w:rFonts w:cstheme="minorHAnsi"/>
          <w:color w:val="000000" w:themeColor="text1"/>
          <w:sz w:val="24"/>
          <w:szCs w:val="24"/>
        </w:rPr>
      </w:pPr>
      <w:r w:rsidRPr="00761D56">
        <w:rPr>
          <w:rFonts w:cstheme="minorHAnsi"/>
          <w:color w:val="000000" w:themeColor="text1"/>
          <w:sz w:val="24"/>
          <w:szCs w:val="24"/>
        </w:rPr>
        <w:t>Early identification and diagnosis of children with disabilities were hindered by the absence of multidisciplinary therapeutic services in outer islands.</w:t>
      </w:r>
      <w:r w:rsidRPr="00761D56">
        <w:rPr>
          <w:color w:val="000000" w:themeColor="text1"/>
          <w:vertAlign w:val="superscript"/>
        </w:rPr>
        <w:endnoteReference w:id="132"/>
      </w:r>
      <w:r w:rsidRPr="00761D56">
        <w:rPr>
          <w:rFonts w:cstheme="minorHAnsi"/>
          <w:color w:val="000000" w:themeColor="text1"/>
          <w:sz w:val="24"/>
          <w:szCs w:val="24"/>
        </w:rPr>
        <w:t xml:space="preserve"> </w:t>
      </w:r>
    </w:p>
    <w:p w14:paraId="18B15EFD" w14:textId="042A4A3F" w:rsidR="00D6206C" w:rsidRPr="00761D56" w:rsidRDefault="00D6206C" w:rsidP="008F24DD">
      <w:pPr>
        <w:pStyle w:val="ListParagraph"/>
        <w:numPr>
          <w:ilvl w:val="0"/>
          <w:numId w:val="10"/>
        </w:numPr>
        <w:spacing w:after="0" w:line="276" w:lineRule="auto"/>
        <w:ind w:right="144"/>
        <w:jc w:val="both"/>
        <w:rPr>
          <w:rFonts w:cstheme="minorHAnsi"/>
          <w:color w:val="000000" w:themeColor="text1"/>
          <w:sz w:val="24"/>
          <w:szCs w:val="24"/>
        </w:rPr>
      </w:pPr>
      <w:r w:rsidRPr="00761D56">
        <w:rPr>
          <w:rFonts w:cstheme="minorHAnsi"/>
          <w:color w:val="000000" w:themeColor="text1"/>
          <w:sz w:val="24"/>
          <w:szCs w:val="24"/>
        </w:rPr>
        <w:t xml:space="preserve">Shortage of para-teachers and specialized support for both </w:t>
      </w:r>
      <w:r w:rsidR="00D72FA5">
        <w:rPr>
          <w:rFonts w:cstheme="minorHAnsi"/>
          <w:color w:val="000000" w:themeColor="text1"/>
          <w:sz w:val="24"/>
          <w:szCs w:val="24"/>
        </w:rPr>
        <w:t>SCLP</w:t>
      </w:r>
      <w:r w:rsidRPr="00761D56">
        <w:rPr>
          <w:rFonts w:cstheme="minorHAnsi"/>
          <w:color w:val="000000" w:themeColor="text1"/>
          <w:sz w:val="24"/>
          <w:szCs w:val="24"/>
        </w:rPr>
        <w:t xml:space="preserve"> </w:t>
      </w:r>
      <w:r w:rsidR="00D72FA5">
        <w:rPr>
          <w:rFonts w:cstheme="minorHAnsi"/>
          <w:color w:val="000000" w:themeColor="text1"/>
          <w:sz w:val="24"/>
          <w:szCs w:val="24"/>
        </w:rPr>
        <w:t xml:space="preserve">(Student’s with complex learning profiles) </w:t>
      </w:r>
      <w:r w:rsidRPr="00761D56">
        <w:rPr>
          <w:rFonts w:cstheme="minorHAnsi"/>
          <w:color w:val="000000" w:themeColor="text1"/>
          <w:sz w:val="24"/>
          <w:szCs w:val="24"/>
        </w:rPr>
        <w:t>and mainstream teachers hinders quality education for children with complex profiles in mainstream classes.</w:t>
      </w:r>
      <w:r w:rsidRPr="00761D56">
        <w:rPr>
          <w:color w:val="000000" w:themeColor="text1"/>
          <w:vertAlign w:val="superscript"/>
        </w:rPr>
        <w:endnoteReference w:id="133"/>
      </w:r>
      <w:r w:rsidRPr="00761D56">
        <w:rPr>
          <w:rFonts w:cstheme="minorHAnsi"/>
          <w:color w:val="000000" w:themeColor="text1"/>
          <w:sz w:val="24"/>
          <w:szCs w:val="24"/>
          <w:vertAlign w:val="superscript"/>
        </w:rPr>
        <w:t xml:space="preserve"> </w:t>
      </w:r>
    </w:p>
    <w:p w14:paraId="011F154C" w14:textId="77777777" w:rsidR="008F24DD" w:rsidRPr="00761D56" w:rsidRDefault="008F24DD" w:rsidP="008F24DD">
      <w:pPr>
        <w:tabs>
          <w:tab w:val="left" w:pos="720"/>
        </w:tabs>
        <w:spacing w:before="240" w:after="0" w:line="276" w:lineRule="auto"/>
        <w:ind w:left="990" w:hanging="270"/>
        <w:jc w:val="both"/>
        <w:rPr>
          <w:rFonts w:cstheme="minorHAnsi"/>
          <w:b/>
          <w:bCs/>
          <w:color w:val="000000" w:themeColor="text1"/>
          <w:sz w:val="24"/>
          <w:szCs w:val="24"/>
        </w:rPr>
      </w:pPr>
    </w:p>
    <w:p w14:paraId="06FA6076" w14:textId="2E371B0C" w:rsidR="008F24DD" w:rsidRPr="00761D56" w:rsidRDefault="008F24DD" w:rsidP="008F24DD">
      <w:pPr>
        <w:tabs>
          <w:tab w:val="left" w:pos="720"/>
        </w:tabs>
        <w:spacing w:before="240" w:after="0" w:line="276" w:lineRule="auto"/>
        <w:ind w:left="990" w:hanging="270"/>
        <w:jc w:val="both"/>
        <w:rPr>
          <w:rFonts w:cstheme="minorHAnsi"/>
          <w:b/>
          <w:bCs/>
          <w:color w:val="000000" w:themeColor="text1"/>
          <w:sz w:val="24"/>
          <w:szCs w:val="24"/>
        </w:rPr>
      </w:pPr>
    </w:p>
    <w:p w14:paraId="6CA411E5" w14:textId="2080C460" w:rsidR="00AD0664" w:rsidRPr="00761D56" w:rsidRDefault="00AD0664" w:rsidP="008F24DD">
      <w:p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lastRenderedPageBreak/>
        <w:t xml:space="preserve">Recommendations </w:t>
      </w:r>
    </w:p>
    <w:p w14:paraId="6D4F7626" w14:textId="3E192FC4" w:rsidR="00AD0664" w:rsidRPr="00761D56" w:rsidRDefault="00AD0664" w:rsidP="008F24DD">
      <w:pPr>
        <w:pStyle w:val="ListParagraph"/>
        <w:numPr>
          <w:ilvl w:val="0"/>
          <w:numId w:val="1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Expand specialist healthcare services by </w:t>
      </w:r>
      <w:r w:rsidR="00456AE4" w:rsidRPr="00761D56">
        <w:rPr>
          <w:rFonts w:cstheme="minorHAnsi"/>
          <w:b/>
          <w:bCs/>
          <w:color w:val="000000" w:themeColor="text1"/>
          <w:sz w:val="24"/>
          <w:szCs w:val="24"/>
        </w:rPr>
        <w:t>incorporating trained</w:t>
      </w:r>
      <w:r w:rsidRPr="00761D56">
        <w:rPr>
          <w:rFonts w:cstheme="minorHAnsi"/>
          <w:b/>
          <w:bCs/>
          <w:color w:val="000000" w:themeColor="text1"/>
          <w:sz w:val="24"/>
          <w:szCs w:val="24"/>
        </w:rPr>
        <w:t xml:space="preserve"> child psychologists, psychiatrists, occupational therapists, speech therapists, and physiotherapists,</w:t>
      </w:r>
      <w:r w:rsidR="00456AE4" w:rsidRPr="00761D56">
        <w:rPr>
          <w:rFonts w:cstheme="minorHAnsi"/>
          <w:b/>
          <w:bCs/>
          <w:color w:val="000000" w:themeColor="text1"/>
          <w:sz w:val="24"/>
          <w:szCs w:val="24"/>
        </w:rPr>
        <w:t xml:space="preserve"> at</w:t>
      </w:r>
      <w:r w:rsidRPr="00761D56">
        <w:rPr>
          <w:rFonts w:cstheme="minorHAnsi"/>
          <w:b/>
          <w:bCs/>
          <w:color w:val="000000" w:themeColor="text1"/>
          <w:sz w:val="24"/>
          <w:szCs w:val="24"/>
        </w:rPr>
        <w:t xml:space="preserve"> regional hospitals</w:t>
      </w:r>
      <w:r w:rsidR="00456AE4" w:rsidRPr="00761D56">
        <w:rPr>
          <w:rFonts w:cstheme="minorHAnsi"/>
          <w:b/>
          <w:bCs/>
          <w:color w:val="000000" w:themeColor="text1"/>
          <w:sz w:val="24"/>
          <w:szCs w:val="24"/>
        </w:rPr>
        <w:t xml:space="preserve">. </w:t>
      </w:r>
    </w:p>
    <w:p w14:paraId="3DABBB26" w14:textId="77777777" w:rsidR="00AD0664" w:rsidRPr="00761D56" w:rsidRDefault="00AD0664" w:rsidP="008F24DD">
      <w:pPr>
        <w:pStyle w:val="ListParagraph"/>
        <w:numPr>
          <w:ilvl w:val="0"/>
          <w:numId w:val="13"/>
        </w:numPr>
        <w:tabs>
          <w:tab w:val="left" w:pos="720"/>
        </w:tabs>
        <w:spacing w:before="240"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Expand sign language training across all frontline services, including health professionals, teachers, and law enforcement, and establish a national pool of professional interpreters to be available in hospitals, schools, and courts.</w:t>
      </w:r>
    </w:p>
    <w:p w14:paraId="1BF02CB0" w14:textId="77777777" w:rsidR="00AD0664" w:rsidRPr="00761D56" w:rsidRDefault="00AD0664" w:rsidP="008F24DD">
      <w:pPr>
        <w:pStyle w:val="Heading1"/>
        <w:tabs>
          <w:tab w:val="left" w:pos="720"/>
        </w:tabs>
        <w:spacing w:line="276" w:lineRule="auto"/>
        <w:ind w:left="990" w:hanging="270"/>
        <w:jc w:val="both"/>
        <w:rPr>
          <w:rFonts w:asciiTheme="minorHAnsi" w:hAnsiTheme="minorHAnsi" w:cstheme="minorHAnsi"/>
          <w:color w:val="000000" w:themeColor="text1"/>
        </w:rPr>
      </w:pPr>
      <w:bookmarkStart w:id="22" w:name="_Toc216692798"/>
      <w:r w:rsidRPr="00761D56">
        <w:rPr>
          <w:rFonts w:asciiTheme="minorHAnsi" w:hAnsiTheme="minorHAnsi" w:cstheme="minorHAnsi"/>
          <w:color w:val="000000" w:themeColor="text1"/>
        </w:rPr>
        <w:t>Article 24 Health and health service</w:t>
      </w:r>
      <w:bookmarkEnd w:id="22"/>
    </w:p>
    <w:p w14:paraId="5A45FAA2" w14:textId="15A071B5" w:rsidR="00AD0664" w:rsidRPr="00761D56" w:rsidRDefault="00AD0664" w:rsidP="008F24DD">
      <w:pPr>
        <w:pStyle w:val="ListParagraph"/>
        <w:numPr>
          <w:ilvl w:val="0"/>
          <w:numId w:val="10"/>
        </w:numPr>
        <w:tabs>
          <w:tab w:val="left" w:pos="720"/>
        </w:tabs>
        <w:spacing w:before="240" w:after="0" w:line="276" w:lineRule="auto"/>
        <w:ind w:left="900" w:hanging="450"/>
        <w:jc w:val="both"/>
        <w:rPr>
          <w:rFonts w:cstheme="minorHAnsi"/>
          <w:color w:val="000000" w:themeColor="text1"/>
          <w:sz w:val="24"/>
          <w:szCs w:val="24"/>
        </w:rPr>
      </w:pPr>
      <w:r w:rsidRPr="00761D56">
        <w:rPr>
          <w:rFonts w:cstheme="minorHAnsi"/>
          <w:color w:val="000000" w:themeColor="text1"/>
          <w:sz w:val="24"/>
          <w:szCs w:val="24"/>
        </w:rPr>
        <w:t>Thalassemia patients, particularly children in outer islands, continue to face significant barriers in accessing essential healthcare services. A major concern is the availability and safety of blood supply.</w:t>
      </w:r>
      <w:r w:rsidRPr="00761D56">
        <w:rPr>
          <w:rStyle w:val="EndnoteReference"/>
          <w:rFonts w:cstheme="minorHAnsi"/>
          <w:color w:val="000000" w:themeColor="text1"/>
          <w:sz w:val="24"/>
          <w:szCs w:val="24"/>
        </w:rPr>
        <w:endnoteReference w:id="134"/>
      </w:r>
      <w:r w:rsidRPr="00761D56">
        <w:rPr>
          <w:rFonts w:cstheme="minorHAnsi"/>
          <w:color w:val="000000" w:themeColor="text1"/>
          <w:sz w:val="24"/>
          <w:szCs w:val="24"/>
        </w:rPr>
        <w:t xml:space="preserve"> Voluntary blood donation remains limited in these regions, with a continued reliance on direct donors.  Many island health facilities also lack appropriate infrastructure, including safe donor collection areas, reliable refrigeration systems, and centrifuges for component separation.</w:t>
      </w:r>
      <w:r w:rsidRPr="00761D56">
        <w:rPr>
          <w:rStyle w:val="EndnoteReference"/>
          <w:rFonts w:cstheme="minorHAnsi"/>
          <w:color w:val="000000" w:themeColor="text1"/>
          <w:sz w:val="24"/>
          <w:szCs w:val="24"/>
        </w:rPr>
        <w:endnoteReference w:id="135"/>
      </w:r>
    </w:p>
    <w:p w14:paraId="49AD087F" w14:textId="6A16D2A8" w:rsidR="00AD0664" w:rsidRPr="00761D56" w:rsidRDefault="00AD0664" w:rsidP="008F24DD">
      <w:pPr>
        <w:pStyle w:val="ListParagraph"/>
        <w:numPr>
          <w:ilvl w:val="0"/>
          <w:numId w:val="10"/>
        </w:numPr>
        <w:tabs>
          <w:tab w:val="left" w:pos="720"/>
        </w:tabs>
        <w:spacing w:before="240" w:after="0" w:line="276" w:lineRule="auto"/>
        <w:ind w:left="900" w:hanging="450"/>
        <w:jc w:val="both"/>
        <w:rPr>
          <w:rFonts w:cstheme="minorHAnsi"/>
          <w:color w:val="000000" w:themeColor="text1"/>
          <w:sz w:val="24"/>
          <w:szCs w:val="24"/>
        </w:rPr>
      </w:pPr>
      <w:r w:rsidRPr="00761D56">
        <w:rPr>
          <w:rFonts w:cstheme="minorHAnsi"/>
          <w:color w:val="000000" w:themeColor="text1"/>
          <w:sz w:val="24"/>
          <w:szCs w:val="24"/>
        </w:rPr>
        <w:t>The shortage of trained healthcare personnel is another persistent challenge. Frequent staff turnover, coupled with insufficient training on standardized thalassemia protocols, undermines the continuity and quality of care.</w:t>
      </w:r>
      <w:r w:rsidRPr="00761D56">
        <w:rPr>
          <w:rStyle w:val="EndnoteReference"/>
          <w:rFonts w:cstheme="minorHAnsi"/>
          <w:color w:val="000000" w:themeColor="text1"/>
          <w:sz w:val="24"/>
          <w:szCs w:val="24"/>
        </w:rPr>
        <w:endnoteReference w:id="136"/>
      </w:r>
      <w:r w:rsidRPr="00761D56">
        <w:rPr>
          <w:rFonts w:cstheme="minorHAnsi"/>
          <w:color w:val="000000" w:themeColor="text1"/>
          <w:sz w:val="24"/>
          <w:szCs w:val="24"/>
        </w:rPr>
        <w:t xml:space="preserve"> </w:t>
      </w:r>
    </w:p>
    <w:p w14:paraId="0E2BBC58" w14:textId="000029B9" w:rsidR="00AD0664" w:rsidRPr="00761D56" w:rsidRDefault="00AD0664" w:rsidP="008F24DD">
      <w:pPr>
        <w:pStyle w:val="ListParagraph"/>
        <w:numPr>
          <w:ilvl w:val="0"/>
          <w:numId w:val="10"/>
        </w:numPr>
        <w:tabs>
          <w:tab w:val="left" w:pos="720"/>
          <w:tab w:val="left" w:pos="990"/>
        </w:tabs>
        <w:spacing w:before="240" w:after="0" w:line="276" w:lineRule="auto"/>
        <w:ind w:left="900" w:hanging="450"/>
        <w:jc w:val="both"/>
        <w:rPr>
          <w:rFonts w:cstheme="minorHAnsi"/>
          <w:color w:val="000000" w:themeColor="text1"/>
          <w:sz w:val="24"/>
          <w:szCs w:val="24"/>
        </w:rPr>
      </w:pPr>
      <w:r w:rsidRPr="00761D56">
        <w:rPr>
          <w:rFonts w:cstheme="minorHAnsi"/>
          <w:color w:val="000000" w:themeColor="text1"/>
          <w:sz w:val="24"/>
          <w:szCs w:val="24"/>
        </w:rPr>
        <w:t xml:space="preserve">Vaccine hesitancy is an increasing concern, </w:t>
      </w:r>
      <w:r w:rsidR="00E67E88" w:rsidRPr="00761D56">
        <w:rPr>
          <w:rFonts w:cstheme="minorHAnsi"/>
          <w:color w:val="000000" w:themeColor="text1"/>
          <w:sz w:val="24"/>
          <w:szCs w:val="24"/>
        </w:rPr>
        <w:t>fuelled</w:t>
      </w:r>
      <w:r w:rsidRPr="00761D56">
        <w:rPr>
          <w:rFonts w:cstheme="minorHAnsi"/>
          <w:color w:val="000000" w:themeColor="text1"/>
          <w:sz w:val="24"/>
          <w:szCs w:val="24"/>
        </w:rPr>
        <w:t xml:space="preserve"> by misinformation on social media and a declining perception of risk due to past immunization success. This has led some caregivers to undervalue the importance of vaccines.</w:t>
      </w:r>
      <w:r w:rsidRPr="00761D56">
        <w:rPr>
          <w:rStyle w:val="EndnoteReference"/>
          <w:rFonts w:cstheme="minorHAnsi"/>
          <w:color w:val="000000" w:themeColor="text1"/>
          <w:sz w:val="24"/>
          <w:szCs w:val="24"/>
        </w:rPr>
        <w:endnoteReference w:id="137"/>
      </w:r>
    </w:p>
    <w:p w14:paraId="2BA07895" w14:textId="5C19EE0F" w:rsidR="00AD0664" w:rsidRPr="00761D56" w:rsidRDefault="00AD0664" w:rsidP="008F24DD">
      <w:pPr>
        <w:pStyle w:val="ListParagraph"/>
        <w:numPr>
          <w:ilvl w:val="0"/>
          <w:numId w:val="10"/>
        </w:numPr>
        <w:tabs>
          <w:tab w:val="left" w:pos="720"/>
        </w:tabs>
        <w:spacing w:before="240" w:after="0" w:line="276" w:lineRule="auto"/>
        <w:ind w:left="900" w:hanging="450"/>
        <w:jc w:val="both"/>
        <w:rPr>
          <w:rFonts w:cstheme="minorHAnsi"/>
          <w:color w:val="000000" w:themeColor="text1"/>
          <w:sz w:val="24"/>
          <w:szCs w:val="24"/>
        </w:rPr>
      </w:pPr>
      <w:r w:rsidRPr="00761D56">
        <w:rPr>
          <w:rFonts w:cstheme="minorHAnsi"/>
          <w:color w:val="000000" w:themeColor="text1"/>
          <w:sz w:val="24"/>
          <w:szCs w:val="24"/>
        </w:rPr>
        <w:t xml:space="preserve">The Penal Code exclusively proscribes </w:t>
      </w:r>
      <w:bookmarkStart w:id="23" w:name="_Hlk216073750"/>
      <w:r w:rsidR="00AD010D" w:rsidRPr="00761D56">
        <w:rPr>
          <w:rFonts w:cstheme="minorHAnsi"/>
          <w:color w:val="000000" w:themeColor="text1"/>
          <w:sz w:val="24"/>
          <w:szCs w:val="24"/>
        </w:rPr>
        <w:t>medical termination</w:t>
      </w:r>
      <w:bookmarkEnd w:id="23"/>
      <w:r w:rsidRPr="00761D56">
        <w:rPr>
          <w:rFonts w:cstheme="minorHAnsi"/>
          <w:color w:val="000000" w:themeColor="text1"/>
          <w:sz w:val="24"/>
          <w:szCs w:val="24"/>
        </w:rPr>
        <w:t xml:space="preserve"> occurring subsequent to the initial 120 days of conception.</w:t>
      </w:r>
      <w:r w:rsidRPr="00761D56">
        <w:rPr>
          <w:rFonts w:cstheme="minorHAnsi"/>
          <w:color w:val="000000" w:themeColor="text1"/>
          <w:sz w:val="24"/>
          <w:szCs w:val="24"/>
          <w:vertAlign w:val="superscript"/>
        </w:rPr>
        <w:endnoteReference w:id="138"/>
      </w:r>
      <w:r w:rsidRPr="00761D56">
        <w:rPr>
          <w:rFonts w:cstheme="minorHAnsi"/>
          <w:color w:val="000000" w:themeColor="text1"/>
          <w:sz w:val="24"/>
          <w:szCs w:val="24"/>
        </w:rPr>
        <w:t xml:space="preserve"> Moreover, even in such instances, the law establishes an exception for</w:t>
      </w:r>
      <w:r w:rsidR="00AD010D" w:rsidRPr="00761D56">
        <w:rPr>
          <w:rFonts w:cstheme="minorHAnsi"/>
          <w:color w:val="000000" w:themeColor="text1"/>
          <w:sz w:val="24"/>
          <w:szCs w:val="24"/>
        </w:rPr>
        <w:t xml:space="preserve"> medical termination</w:t>
      </w:r>
      <w:r w:rsidRPr="00761D56">
        <w:rPr>
          <w:rFonts w:cstheme="minorHAnsi"/>
          <w:color w:val="000000" w:themeColor="text1"/>
          <w:sz w:val="24"/>
          <w:szCs w:val="24"/>
        </w:rPr>
        <w:t xml:space="preserve"> when the mother faces risk or when the pregnancy arises from sexual abuse and/or incest.</w:t>
      </w:r>
      <w:r w:rsidRPr="00761D56">
        <w:rPr>
          <w:rFonts w:cstheme="minorHAnsi"/>
          <w:color w:val="000000" w:themeColor="text1"/>
          <w:sz w:val="24"/>
          <w:szCs w:val="24"/>
          <w:vertAlign w:val="superscript"/>
        </w:rPr>
        <w:endnoteReference w:id="139"/>
      </w:r>
      <w:r w:rsidRPr="00761D56">
        <w:rPr>
          <w:rFonts w:cstheme="minorHAnsi"/>
          <w:color w:val="000000" w:themeColor="text1"/>
          <w:sz w:val="24"/>
          <w:szCs w:val="24"/>
        </w:rPr>
        <w:t xml:space="preserve"> In addition a fatwa  on guidance on the grounds on which </w:t>
      </w:r>
      <w:r w:rsidR="00AD010D" w:rsidRPr="00761D56">
        <w:rPr>
          <w:rFonts w:cstheme="minorHAnsi"/>
          <w:color w:val="000000" w:themeColor="text1"/>
          <w:sz w:val="24"/>
          <w:szCs w:val="24"/>
        </w:rPr>
        <w:t>medical termination</w:t>
      </w:r>
      <w:r w:rsidRPr="00761D56">
        <w:rPr>
          <w:rFonts w:cstheme="minorHAnsi"/>
          <w:color w:val="000000" w:themeColor="text1"/>
          <w:sz w:val="24"/>
          <w:szCs w:val="24"/>
        </w:rPr>
        <w:t xml:space="preserve"> can be legal within an Islamic context was issued by  Islamic Fiqh Academy </w:t>
      </w:r>
      <w:r w:rsidR="00904A72" w:rsidRPr="00761D56">
        <w:rPr>
          <w:rFonts w:cstheme="minorHAnsi"/>
          <w:color w:val="000000" w:themeColor="text1"/>
          <w:sz w:val="24"/>
          <w:szCs w:val="24"/>
        </w:rPr>
        <w:t xml:space="preserve"> of Maldives </w:t>
      </w:r>
      <w:r w:rsidRPr="00761D56">
        <w:rPr>
          <w:rFonts w:cstheme="minorHAnsi"/>
          <w:color w:val="000000" w:themeColor="text1"/>
          <w:sz w:val="24"/>
          <w:szCs w:val="24"/>
        </w:rPr>
        <w:t>in December 2013.</w:t>
      </w:r>
      <w:r w:rsidRPr="00761D56">
        <w:rPr>
          <w:rStyle w:val="EndnoteReference"/>
          <w:rFonts w:cstheme="minorHAnsi"/>
          <w:color w:val="000000" w:themeColor="text1"/>
          <w:sz w:val="24"/>
          <w:szCs w:val="24"/>
        </w:rPr>
        <w:endnoteReference w:id="140"/>
      </w:r>
    </w:p>
    <w:p w14:paraId="07A5FC57" w14:textId="757F8477" w:rsidR="00B313D4" w:rsidRPr="00761D56" w:rsidRDefault="00AD0664" w:rsidP="008F24DD">
      <w:pPr>
        <w:pStyle w:val="ListParagraph"/>
        <w:numPr>
          <w:ilvl w:val="0"/>
          <w:numId w:val="10"/>
        </w:numPr>
        <w:tabs>
          <w:tab w:val="left" w:pos="720"/>
        </w:tabs>
        <w:spacing w:before="240" w:after="0" w:line="276" w:lineRule="auto"/>
        <w:ind w:left="900" w:hanging="450"/>
        <w:jc w:val="both"/>
        <w:rPr>
          <w:rFonts w:cstheme="minorHAnsi"/>
          <w:color w:val="000000" w:themeColor="text1"/>
          <w:sz w:val="24"/>
          <w:szCs w:val="24"/>
        </w:rPr>
      </w:pPr>
      <w:r w:rsidRPr="00761D56">
        <w:rPr>
          <w:rFonts w:cstheme="minorHAnsi"/>
          <w:color w:val="000000" w:themeColor="text1"/>
          <w:sz w:val="24"/>
          <w:szCs w:val="24"/>
        </w:rPr>
        <w:t xml:space="preserve">Between 2015 and 2024, 72 pregnancies were reported among girls under 18, resulting in 64 live births and eight medical terminations </w:t>
      </w:r>
      <w:r w:rsidRPr="002F22C7">
        <w:rPr>
          <w:sz w:val="24"/>
          <w:szCs w:val="24"/>
        </w:rPr>
        <w:t xml:space="preserve">(See chart </w:t>
      </w:r>
      <w:r w:rsidR="00A3450D" w:rsidRPr="002F22C7">
        <w:rPr>
          <w:sz w:val="24"/>
          <w:szCs w:val="24"/>
        </w:rPr>
        <w:t>13</w:t>
      </w:r>
      <w:r w:rsidRPr="002F22C7">
        <w:rPr>
          <w:rFonts w:cstheme="minorHAnsi"/>
          <w:color w:val="000000" w:themeColor="text1"/>
          <w:sz w:val="24"/>
          <w:szCs w:val="24"/>
        </w:rPr>
        <w:t>)</w:t>
      </w:r>
      <w:r w:rsidRPr="00761D56">
        <w:rPr>
          <w:rStyle w:val="EndnoteReference"/>
          <w:rFonts w:cstheme="minorHAnsi"/>
          <w:color w:val="000000" w:themeColor="text1"/>
          <w:sz w:val="24"/>
          <w:szCs w:val="24"/>
        </w:rPr>
        <w:endnoteReference w:id="141"/>
      </w:r>
      <w:r w:rsidRPr="00761D56">
        <w:rPr>
          <w:rFonts w:cstheme="minorHAnsi"/>
          <w:color w:val="000000" w:themeColor="text1"/>
          <w:sz w:val="24"/>
          <w:szCs w:val="24"/>
        </w:rPr>
        <w:t xml:space="preserve"> .</w:t>
      </w:r>
    </w:p>
    <w:p w14:paraId="24E31955" w14:textId="46A37730" w:rsidR="00AD0664" w:rsidRPr="00761D56" w:rsidRDefault="00AD0664" w:rsidP="008F24DD">
      <w:pPr>
        <w:tabs>
          <w:tab w:val="left" w:pos="720"/>
        </w:tabs>
        <w:spacing w:before="240" w:after="0" w:line="276" w:lineRule="auto"/>
        <w:ind w:left="990" w:hanging="270"/>
        <w:jc w:val="both"/>
        <w:rPr>
          <w:rFonts w:cstheme="minorHAnsi"/>
          <w:color w:val="000000" w:themeColor="text1"/>
          <w:sz w:val="24"/>
          <w:szCs w:val="24"/>
        </w:rPr>
      </w:pPr>
      <w:r w:rsidRPr="00761D56">
        <w:rPr>
          <w:rFonts w:cstheme="minorHAnsi"/>
          <w:noProof/>
          <w:color w:val="000000" w:themeColor="text1"/>
          <w:sz w:val="24"/>
          <w:szCs w:val="24"/>
        </w:rPr>
        <w:lastRenderedPageBreak/>
        <w:drawing>
          <wp:inline distT="0" distB="0" distL="0" distR="0" wp14:anchorId="52F770DE" wp14:editId="79B1DDB2">
            <wp:extent cx="5943600" cy="2495550"/>
            <wp:effectExtent l="0" t="0" r="0" b="0"/>
            <wp:docPr id="25582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21558" name=""/>
                    <pic:cNvPicPr/>
                  </pic:nvPicPr>
                  <pic:blipFill>
                    <a:blip r:embed="rId26"/>
                    <a:stretch>
                      <a:fillRect/>
                    </a:stretch>
                  </pic:blipFill>
                  <pic:spPr>
                    <a:xfrm>
                      <a:off x="0" y="0"/>
                      <a:ext cx="5943600" cy="2495550"/>
                    </a:xfrm>
                    <a:prstGeom prst="rect">
                      <a:avLst/>
                    </a:prstGeom>
                  </pic:spPr>
                </pic:pic>
              </a:graphicData>
            </a:graphic>
          </wp:inline>
        </w:drawing>
      </w:r>
    </w:p>
    <w:p w14:paraId="0322EA0F" w14:textId="2760AB9C" w:rsidR="00AD0664" w:rsidRPr="00761D56" w:rsidRDefault="00AD0664" w:rsidP="008F24DD">
      <w:pPr>
        <w:tabs>
          <w:tab w:val="left" w:pos="720"/>
        </w:tabs>
        <w:spacing w:before="240" w:after="0" w:line="276" w:lineRule="auto"/>
        <w:ind w:left="990" w:hanging="270"/>
        <w:jc w:val="center"/>
        <w:rPr>
          <w:rFonts w:cstheme="minorHAnsi"/>
          <w:i/>
          <w:iCs/>
          <w:color w:val="000000" w:themeColor="text1"/>
          <w:sz w:val="24"/>
          <w:szCs w:val="24"/>
        </w:rPr>
      </w:pPr>
      <w:r w:rsidRPr="002F22C7">
        <w:rPr>
          <w:i/>
          <w:iCs/>
          <w:sz w:val="24"/>
          <w:szCs w:val="24"/>
        </w:rPr>
        <w:t>Cha</w:t>
      </w:r>
      <w:r w:rsidR="00DB7EF8">
        <w:rPr>
          <w:i/>
          <w:iCs/>
          <w:sz w:val="24"/>
          <w:szCs w:val="24"/>
        </w:rPr>
        <w:t>r</w:t>
      </w:r>
      <w:r w:rsidRPr="002F22C7">
        <w:rPr>
          <w:i/>
          <w:iCs/>
          <w:sz w:val="24"/>
          <w:szCs w:val="24"/>
        </w:rPr>
        <w:t xml:space="preserve">t </w:t>
      </w:r>
      <w:r w:rsidR="00CF2B4C" w:rsidRPr="002F22C7">
        <w:rPr>
          <w:i/>
          <w:iCs/>
          <w:sz w:val="24"/>
          <w:szCs w:val="24"/>
        </w:rPr>
        <w:t>13</w:t>
      </w:r>
      <w:r w:rsidRPr="002F22C7">
        <w:rPr>
          <w:i/>
          <w:iCs/>
          <w:sz w:val="24"/>
          <w:szCs w:val="24"/>
        </w:rPr>
        <w:t>:</w:t>
      </w:r>
      <w:r w:rsidRPr="002F22C7">
        <w:t xml:space="preserve"> </w:t>
      </w:r>
      <w:r w:rsidRPr="00761D56">
        <w:rPr>
          <w:rFonts w:cstheme="minorHAnsi"/>
          <w:i/>
          <w:iCs/>
          <w:color w:val="000000" w:themeColor="text1"/>
          <w:sz w:val="24"/>
          <w:szCs w:val="24"/>
        </w:rPr>
        <w:t>Number of cases documented by ministry of Health on Child pregnancies from 2015 to 2024</w:t>
      </w:r>
    </w:p>
    <w:p w14:paraId="2D1AA383" w14:textId="20A6B168" w:rsidR="00AD0664" w:rsidRPr="00761D56" w:rsidRDefault="00AD0664" w:rsidP="008F24DD">
      <w:pPr>
        <w:pStyle w:val="ListParagraph"/>
        <w:numPr>
          <w:ilvl w:val="0"/>
          <w:numId w:val="10"/>
        </w:numPr>
        <w:tabs>
          <w:tab w:val="left" w:pos="720"/>
        </w:tabs>
        <w:spacing w:before="240" w:after="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Although the importance of providing reproductive health information to youth and adolescent children has been recognized, there is no established system to provide age-appropriate sexual wellness and reproductive health information. </w:t>
      </w:r>
      <w:r w:rsidRPr="00761D56">
        <w:rPr>
          <w:rStyle w:val="EndnoteReference"/>
          <w:rFonts w:cstheme="minorHAnsi"/>
          <w:color w:val="000000" w:themeColor="text1"/>
          <w:sz w:val="24"/>
          <w:szCs w:val="24"/>
        </w:rPr>
        <w:endnoteReference w:id="142"/>
      </w:r>
    </w:p>
    <w:p w14:paraId="0BFFAD3C" w14:textId="77777777" w:rsidR="00007E7A" w:rsidRDefault="00007E7A" w:rsidP="008F24DD">
      <w:pPr>
        <w:tabs>
          <w:tab w:val="left" w:pos="720"/>
        </w:tabs>
        <w:spacing w:after="0" w:line="276" w:lineRule="auto"/>
        <w:ind w:left="990" w:hanging="270"/>
        <w:jc w:val="both"/>
        <w:rPr>
          <w:rFonts w:cstheme="minorHAnsi"/>
          <w:b/>
          <w:bCs/>
          <w:color w:val="000000" w:themeColor="text1"/>
          <w:sz w:val="24"/>
          <w:szCs w:val="24"/>
        </w:rPr>
      </w:pPr>
    </w:p>
    <w:p w14:paraId="7AB5F9C5" w14:textId="7B1266D3" w:rsidR="00AD0664" w:rsidRPr="00761D56" w:rsidRDefault="00AD0664" w:rsidP="008F24DD">
      <w:pPr>
        <w:tabs>
          <w:tab w:val="left" w:pos="720"/>
        </w:tabs>
        <w:spacing w:after="0" w:line="276" w:lineRule="auto"/>
        <w:ind w:left="990" w:hanging="27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3FB48479" w14:textId="77777777" w:rsidR="00AD0664" w:rsidRPr="00761D56" w:rsidRDefault="00AD0664" w:rsidP="008F24DD">
      <w:pPr>
        <w:pStyle w:val="NormalWeb"/>
        <w:numPr>
          <w:ilvl w:val="0"/>
          <w:numId w:val="14"/>
        </w:numPr>
        <w:tabs>
          <w:tab w:val="left" w:pos="720"/>
        </w:tabs>
        <w:spacing w:before="0" w:beforeAutospacing="0" w:after="0" w:afterAutospacing="0"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 xml:space="preserve">Expand availability of safe blood supply, including infrastructure for collection, storage, and processing in outer islands. </w:t>
      </w:r>
    </w:p>
    <w:p w14:paraId="0B4AE562" w14:textId="51B41BEB" w:rsidR="00AD0664" w:rsidRPr="00761D56" w:rsidRDefault="00AD0664" w:rsidP="008F24DD">
      <w:pPr>
        <w:pStyle w:val="NormalWeb"/>
        <w:numPr>
          <w:ilvl w:val="0"/>
          <w:numId w:val="14"/>
        </w:numPr>
        <w:tabs>
          <w:tab w:val="left" w:pos="720"/>
        </w:tabs>
        <w:spacing w:before="0" w:beforeAutospacing="0" w:after="0" w:afterAutospacing="0"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 xml:space="preserve">Increase the number of trained health </w:t>
      </w:r>
      <w:r w:rsidR="00385C4D" w:rsidRPr="00761D56">
        <w:rPr>
          <w:rFonts w:asciiTheme="minorHAnsi" w:hAnsiTheme="minorHAnsi" w:cstheme="minorHAnsi"/>
          <w:b/>
          <w:bCs/>
          <w:color w:val="000000" w:themeColor="text1"/>
        </w:rPr>
        <w:t>workers and</w:t>
      </w:r>
      <w:r w:rsidRPr="00761D56">
        <w:rPr>
          <w:rFonts w:asciiTheme="minorHAnsi" w:hAnsiTheme="minorHAnsi" w:cstheme="minorHAnsi"/>
          <w:b/>
          <w:bCs/>
          <w:color w:val="000000" w:themeColor="text1"/>
        </w:rPr>
        <w:t xml:space="preserve"> implement targeted community awareness campaigns to counter vaccine hesitancy and misinformation.</w:t>
      </w:r>
    </w:p>
    <w:p w14:paraId="534EA8C2" w14:textId="77777777" w:rsidR="00AD0664" w:rsidRPr="00761D56" w:rsidRDefault="00AD0664" w:rsidP="008F24DD">
      <w:pPr>
        <w:pStyle w:val="NormalWeb"/>
        <w:numPr>
          <w:ilvl w:val="0"/>
          <w:numId w:val="14"/>
        </w:numPr>
        <w:tabs>
          <w:tab w:val="left" w:pos="720"/>
        </w:tabs>
        <w:spacing w:before="0" w:beforeAutospacing="0" w:after="0" w:afterAutospacing="0"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 xml:space="preserve">Improve infrastructure and emergency obstetric care capacity at atoll-level health facilities. </w:t>
      </w:r>
    </w:p>
    <w:p w14:paraId="04AFBE67" w14:textId="77777777" w:rsidR="00AD0664" w:rsidRPr="00761D56" w:rsidRDefault="00AD0664" w:rsidP="008F24DD">
      <w:pPr>
        <w:pStyle w:val="NormalWeb"/>
        <w:numPr>
          <w:ilvl w:val="0"/>
          <w:numId w:val="14"/>
        </w:numPr>
        <w:tabs>
          <w:tab w:val="left" w:pos="720"/>
        </w:tabs>
        <w:spacing w:before="0" w:beforeAutospacing="0" w:after="0" w:afterAutospacing="0"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Introduce age-appropriate sexual and reproductive health education programs in schools nationwide, ensuring accessibility for adolescents and youth, with standardized curricula approved by the Ministry of Education and Health.</w:t>
      </w:r>
    </w:p>
    <w:p w14:paraId="652837F4" w14:textId="31C87B80" w:rsidR="00AD0664" w:rsidRPr="00761D56" w:rsidRDefault="00AD0664" w:rsidP="008F24DD">
      <w:pPr>
        <w:pStyle w:val="NormalWeb"/>
        <w:numPr>
          <w:ilvl w:val="0"/>
          <w:numId w:val="14"/>
        </w:numPr>
        <w:tabs>
          <w:tab w:val="left" w:pos="720"/>
        </w:tabs>
        <w:spacing w:before="0" w:beforeAutospacing="0" w:after="0" w:afterAutospacing="0" w:line="276" w:lineRule="auto"/>
        <w:ind w:left="990" w:hanging="27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Develop clear guidelines and access pathways for adolescents facing pregnancy due to abuse, in line with existing legal exceptions. And ensure timely medical and psychosocial support for minors, including safe and confidential services.</w:t>
      </w:r>
    </w:p>
    <w:p w14:paraId="69AB51A8" w14:textId="77777777" w:rsidR="00AD0664" w:rsidRPr="00761D56" w:rsidRDefault="00AD0664" w:rsidP="008F24DD">
      <w:pPr>
        <w:tabs>
          <w:tab w:val="left" w:pos="720"/>
        </w:tabs>
        <w:spacing w:before="240" w:after="0" w:line="276" w:lineRule="auto"/>
        <w:ind w:left="990" w:hanging="270"/>
        <w:jc w:val="both"/>
        <w:rPr>
          <w:rFonts w:cstheme="minorHAnsi"/>
          <w:b/>
          <w:bCs/>
          <w:color w:val="000000" w:themeColor="text1"/>
          <w:sz w:val="24"/>
          <w:szCs w:val="24"/>
        </w:rPr>
      </w:pPr>
    </w:p>
    <w:p w14:paraId="0AB9F2ED" w14:textId="6F7DE95A" w:rsidR="00E67E88" w:rsidRPr="00761D56" w:rsidRDefault="00E67E88" w:rsidP="008F24DD">
      <w:pPr>
        <w:pStyle w:val="Heading1"/>
        <w:spacing w:line="276" w:lineRule="auto"/>
        <w:jc w:val="both"/>
        <w:rPr>
          <w:rFonts w:asciiTheme="minorHAnsi" w:hAnsiTheme="minorHAnsi" w:cstheme="minorHAnsi"/>
          <w:color w:val="000000" w:themeColor="text1"/>
        </w:rPr>
      </w:pPr>
      <w:bookmarkStart w:id="24" w:name="_Toc216692799"/>
      <w:r w:rsidRPr="00761D56">
        <w:rPr>
          <w:rFonts w:asciiTheme="minorHAnsi" w:hAnsiTheme="minorHAnsi" w:cstheme="minorHAnsi"/>
          <w:color w:val="000000" w:themeColor="text1"/>
        </w:rPr>
        <w:lastRenderedPageBreak/>
        <w:t xml:space="preserve">Article 26 &amp; 27 </w:t>
      </w:r>
      <w:r w:rsidR="008F24DD" w:rsidRPr="00761D56">
        <w:rPr>
          <w:rFonts w:asciiTheme="minorHAnsi" w:hAnsiTheme="minorHAnsi" w:cstheme="minorHAnsi"/>
          <w:color w:val="000000" w:themeColor="text1"/>
        </w:rPr>
        <w:t xml:space="preserve">- </w:t>
      </w:r>
      <w:r w:rsidRPr="00761D56">
        <w:rPr>
          <w:rFonts w:asciiTheme="minorHAnsi" w:hAnsiTheme="minorHAnsi" w:cstheme="minorHAnsi"/>
          <w:color w:val="000000" w:themeColor="text1"/>
        </w:rPr>
        <w:t>Social Security, Adequate standard of living</w:t>
      </w:r>
      <w:bookmarkEnd w:id="24"/>
    </w:p>
    <w:p w14:paraId="6DF8D098" w14:textId="4DBD765B" w:rsidR="00E67E88" w:rsidRPr="00761D56" w:rsidRDefault="00E67E88"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Accessing therapy services</w:t>
      </w:r>
      <w:r w:rsidR="0032146D" w:rsidRPr="00761D56">
        <w:rPr>
          <w:rFonts w:cstheme="minorHAnsi"/>
          <w:color w:val="000000" w:themeColor="text1"/>
          <w:sz w:val="24"/>
          <w:szCs w:val="24"/>
        </w:rPr>
        <w:t xml:space="preserve"> remain difficult as</w:t>
      </w:r>
      <w:r w:rsidRPr="00761D56">
        <w:rPr>
          <w:rFonts w:cstheme="minorHAnsi"/>
          <w:color w:val="000000" w:themeColor="text1"/>
          <w:sz w:val="24"/>
          <w:szCs w:val="24"/>
        </w:rPr>
        <w:t xml:space="preserve"> financial aid provided by NSPA does not cover the cost of recommended therapeutic services</w:t>
      </w:r>
      <w:r w:rsidR="00B96917" w:rsidRPr="00761D56">
        <w:rPr>
          <w:rFonts w:cstheme="minorHAnsi"/>
          <w:color w:val="000000" w:themeColor="text1"/>
          <w:sz w:val="24"/>
          <w:szCs w:val="24"/>
        </w:rPr>
        <w:t>,</w:t>
      </w:r>
      <w:r w:rsidRPr="00761D56">
        <w:rPr>
          <w:rFonts w:cstheme="minorHAnsi"/>
          <w:color w:val="000000" w:themeColor="text1"/>
          <w:sz w:val="24"/>
          <w:szCs w:val="24"/>
        </w:rPr>
        <w:t xml:space="preserve"> resulting in patients having to cut down the number of sessions</w:t>
      </w:r>
      <w:r w:rsidR="00B96917" w:rsidRPr="00761D56">
        <w:rPr>
          <w:rFonts w:cstheme="minorHAnsi"/>
          <w:color w:val="000000" w:themeColor="text1"/>
          <w:sz w:val="24"/>
          <w:szCs w:val="24"/>
        </w:rPr>
        <w:t>. D</w:t>
      </w:r>
      <w:r w:rsidRPr="00761D56">
        <w:rPr>
          <w:rFonts w:cstheme="minorHAnsi"/>
          <w:color w:val="000000" w:themeColor="text1"/>
          <w:sz w:val="24"/>
          <w:szCs w:val="24"/>
        </w:rPr>
        <w:t>elays in receiving allowances add further strain for families reliant on these payments for medical needs.</w:t>
      </w:r>
      <w:r w:rsidRPr="00761D56">
        <w:rPr>
          <w:rStyle w:val="EndnoteReference"/>
          <w:rFonts w:cstheme="minorHAnsi"/>
          <w:color w:val="000000" w:themeColor="text1"/>
          <w:sz w:val="24"/>
          <w:szCs w:val="24"/>
        </w:rPr>
        <w:endnoteReference w:id="143"/>
      </w:r>
    </w:p>
    <w:p w14:paraId="4C6F6232" w14:textId="77777777" w:rsidR="004D241D" w:rsidRPr="00761D56" w:rsidRDefault="0032146D"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F</w:t>
      </w:r>
      <w:r w:rsidR="00E67E88" w:rsidRPr="00761D56">
        <w:rPr>
          <w:rFonts w:cstheme="minorHAnsi"/>
          <w:color w:val="000000" w:themeColor="text1"/>
          <w:sz w:val="24"/>
          <w:szCs w:val="24"/>
        </w:rPr>
        <w:t>inancial assistance from NSPA programs is limited, intended to help families meet some needs and access social services.</w:t>
      </w:r>
      <w:r w:rsidR="00E67E88" w:rsidRPr="00761D56">
        <w:rPr>
          <w:rStyle w:val="EndnoteReference"/>
          <w:rFonts w:cstheme="minorHAnsi"/>
          <w:color w:val="000000" w:themeColor="text1"/>
          <w:sz w:val="24"/>
          <w:szCs w:val="24"/>
        </w:rPr>
        <w:endnoteReference w:id="144"/>
      </w:r>
      <w:r w:rsidR="00E67E88" w:rsidRPr="00761D56">
        <w:rPr>
          <w:rFonts w:cstheme="minorHAnsi"/>
          <w:color w:val="000000" w:themeColor="text1"/>
          <w:sz w:val="24"/>
          <w:szCs w:val="24"/>
        </w:rPr>
        <w:t xml:space="preserve"> Challenges include program sustainability and limited fiscal space. </w:t>
      </w:r>
    </w:p>
    <w:p w14:paraId="3E3D4804" w14:textId="0459381B" w:rsidR="00E67E88" w:rsidRPr="00761D56" w:rsidRDefault="004D241D"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However, </w:t>
      </w:r>
      <w:r w:rsidR="00E67E88" w:rsidRPr="00761D56">
        <w:rPr>
          <w:rFonts w:cstheme="minorHAnsi"/>
          <w:color w:val="000000" w:themeColor="text1"/>
          <w:sz w:val="24"/>
          <w:szCs w:val="24"/>
        </w:rPr>
        <w:t>In June 2023, the disability allowance was increased to MVR 3000 monthly, and three new allowances were introduced: Carer allowance (MVR 2000), Self-Care Allowance (MVR 1000), and Household Allowance for more than two persons with disabilities (MVR 1000).</w:t>
      </w:r>
      <w:r w:rsidR="00477097" w:rsidRPr="00761D56">
        <w:rPr>
          <w:rFonts w:cstheme="minorHAnsi"/>
          <w:color w:val="000000" w:themeColor="text1"/>
          <w:sz w:val="24"/>
          <w:szCs w:val="24"/>
        </w:rPr>
        <w:t xml:space="preserve"> </w:t>
      </w:r>
      <w:r w:rsidRPr="00761D56">
        <w:rPr>
          <w:rFonts w:cstheme="minorHAnsi"/>
          <w:color w:val="000000" w:themeColor="text1"/>
          <w:sz w:val="24"/>
          <w:szCs w:val="24"/>
        </w:rPr>
        <w:t>Further</w:t>
      </w:r>
      <w:r w:rsidR="00477097" w:rsidRPr="00761D56">
        <w:rPr>
          <w:rFonts w:cstheme="minorHAnsi"/>
          <w:color w:val="000000" w:themeColor="text1"/>
          <w:sz w:val="24"/>
          <w:szCs w:val="24"/>
        </w:rPr>
        <w:t xml:space="preserve">, </w:t>
      </w:r>
      <w:r w:rsidR="000B6441" w:rsidRPr="00761D56">
        <w:rPr>
          <w:rFonts w:cstheme="minorHAnsi"/>
          <w:color w:val="000000" w:themeColor="text1"/>
          <w:sz w:val="24"/>
          <w:szCs w:val="24"/>
        </w:rPr>
        <w:t>The Government has announced that, effective from 2026, the Single Parent Allowance will be raised to MVR 3,000 per child, with a maximum cap of MVR 12,000.</w:t>
      </w:r>
      <w:r w:rsidR="00E67E88" w:rsidRPr="00761D56">
        <w:rPr>
          <w:rStyle w:val="EndnoteReference"/>
          <w:rFonts w:cstheme="minorHAnsi"/>
          <w:color w:val="000000" w:themeColor="text1"/>
          <w:sz w:val="24"/>
          <w:szCs w:val="24"/>
        </w:rPr>
        <w:endnoteReference w:id="145"/>
      </w:r>
    </w:p>
    <w:p w14:paraId="4C091B37" w14:textId="77777777" w:rsidR="00E67E88" w:rsidRPr="00761D56" w:rsidRDefault="00E67E88"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1465FA27" w14:textId="4E4F0236" w:rsidR="00E67E88" w:rsidRPr="00761D56" w:rsidRDefault="00E67E88" w:rsidP="008F24DD">
      <w:pPr>
        <w:pStyle w:val="ListParagraph"/>
        <w:numPr>
          <w:ilvl w:val="0"/>
          <w:numId w:val="15"/>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Improve outreach and monitoring of NSPA programs by providing councils with resources for awareness sessions, enhancing monitoring and evaluation mechanisms, and ensuring consistent program delivery nationwide.</w:t>
      </w:r>
    </w:p>
    <w:p w14:paraId="4E69B0A7" w14:textId="6DCA0C7E" w:rsidR="00E67E88" w:rsidRPr="00761D56" w:rsidRDefault="00E67E88" w:rsidP="008F24DD">
      <w:pPr>
        <w:pStyle w:val="ListParagraph"/>
        <w:numPr>
          <w:ilvl w:val="0"/>
          <w:numId w:val="15"/>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Increase adequacy and coverage of NSPA allowances by broadening eligibility, and ensuring long-term program sustainability.</w:t>
      </w:r>
    </w:p>
    <w:p w14:paraId="5FB5A574" w14:textId="0665EFA5" w:rsidR="00E67E88" w:rsidRPr="00761D56" w:rsidRDefault="00E67E88" w:rsidP="008F24DD">
      <w:pPr>
        <w:pStyle w:val="Heading1"/>
        <w:spacing w:line="276" w:lineRule="auto"/>
        <w:jc w:val="both"/>
        <w:rPr>
          <w:rFonts w:asciiTheme="minorHAnsi" w:hAnsiTheme="minorHAnsi" w:cstheme="minorHAnsi"/>
          <w:color w:val="000000" w:themeColor="text1"/>
        </w:rPr>
      </w:pPr>
      <w:bookmarkStart w:id="25" w:name="_Toc216692800"/>
      <w:r w:rsidRPr="00761D56">
        <w:rPr>
          <w:rFonts w:asciiTheme="minorHAnsi" w:hAnsiTheme="minorHAnsi" w:cstheme="minorHAnsi"/>
          <w:color w:val="000000" w:themeColor="text1"/>
        </w:rPr>
        <w:t>Article 28 &amp; 29 - Right to Education, Goals of Education</w:t>
      </w:r>
      <w:bookmarkEnd w:id="25"/>
    </w:p>
    <w:p w14:paraId="528C8F3C" w14:textId="0FA73E2C" w:rsidR="00E67E88" w:rsidRPr="00761D56" w:rsidRDefault="00E67E88"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 School</w:t>
      </w:r>
      <w:r w:rsidR="00E47B07" w:rsidRPr="00761D56">
        <w:rPr>
          <w:rFonts w:cstheme="minorHAnsi"/>
          <w:color w:val="000000" w:themeColor="text1"/>
          <w:sz w:val="24"/>
          <w:szCs w:val="24"/>
        </w:rPr>
        <w:t>s</w:t>
      </w:r>
      <w:r w:rsidRPr="00761D56">
        <w:rPr>
          <w:rFonts w:cstheme="minorHAnsi"/>
          <w:color w:val="000000" w:themeColor="text1"/>
          <w:sz w:val="24"/>
          <w:szCs w:val="24"/>
        </w:rPr>
        <w:t xml:space="preserve"> across the country face significant issues such as poor infrastructure, inadequate funding for activities, and shortages of qualified teachers. Library facilities are often insufficient, with some consisting of only two small shelves and doubling as meeting rooms, limiting access to learning resources.</w:t>
      </w:r>
      <w:r w:rsidRPr="00761D56">
        <w:rPr>
          <w:rStyle w:val="EndnoteReference"/>
          <w:rFonts w:cstheme="minorHAnsi"/>
          <w:color w:val="000000" w:themeColor="text1"/>
          <w:sz w:val="24"/>
          <w:szCs w:val="24"/>
        </w:rPr>
        <w:endnoteReference w:id="146"/>
      </w:r>
    </w:p>
    <w:p w14:paraId="799CA1FA" w14:textId="5549B72A" w:rsidR="00E67E88" w:rsidRPr="00761D56" w:rsidRDefault="00E67E88"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Bullying remains a serious concern, with reports of repeated physical assaults, including incidents occurring in front of teachers, and cases where ongoing harassment led to hospitalisation for mental health issues. Bullying also extends to online spaces. Teachers reported addressing incidents through discussions, referrals to senior staff, and parental engagement, while emphasizing that physical punishment is not used.</w:t>
      </w:r>
      <w:r w:rsidRPr="00761D56">
        <w:rPr>
          <w:rStyle w:val="EndnoteReference"/>
          <w:rFonts w:cstheme="minorHAnsi"/>
          <w:color w:val="000000" w:themeColor="text1"/>
          <w:sz w:val="24"/>
          <w:szCs w:val="24"/>
        </w:rPr>
        <w:endnoteReference w:id="147"/>
      </w:r>
    </w:p>
    <w:p w14:paraId="08FED9CD" w14:textId="6DE3FAD5" w:rsidR="00E67E88" w:rsidRPr="00761D56" w:rsidRDefault="00E67E88"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lastRenderedPageBreak/>
        <w:t xml:space="preserve">The absence of school counsellors remains a major gap, despite recognition by both parents and teachers. </w:t>
      </w:r>
      <w:r w:rsidR="00BD0689" w:rsidRPr="00761D56">
        <w:rPr>
          <w:rFonts w:cstheme="minorHAnsi"/>
          <w:color w:val="000000" w:themeColor="text1"/>
          <w:sz w:val="24"/>
          <w:szCs w:val="24"/>
        </w:rPr>
        <w:t>Educational services for SCLP</w:t>
      </w:r>
      <w:r w:rsidRPr="00761D56">
        <w:rPr>
          <w:rFonts w:cstheme="minorHAnsi"/>
          <w:color w:val="000000" w:themeColor="text1"/>
          <w:sz w:val="24"/>
          <w:szCs w:val="24"/>
        </w:rPr>
        <w:t xml:space="preserve"> also inadequate, often limited to one under-resourced teacher.  </w:t>
      </w:r>
      <w:r w:rsidRPr="00761D56">
        <w:rPr>
          <w:rStyle w:val="EndnoteReference"/>
          <w:rFonts w:cstheme="minorHAnsi"/>
          <w:color w:val="000000" w:themeColor="text1"/>
          <w:sz w:val="24"/>
          <w:szCs w:val="24"/>
        </w:rPr>
        <w:endnoteReference w:id="148"/>
      </w:r>
    </w:p>
    <w:p w14:paraId="00D44AB0" w14:textId="1201B433" w:rsidR="0095736C" w:rsidRPr="00761D56" w:rsidRDefault="00E67E88"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Skill development opportunities in schools remain limited. A key barrier is the lack of experts for specialized classes, restricting both the range and depth of programs. </w:t>
      </w:r>
      <w:r w:rsidR="00BD0689" w:rsidRPr="00761D56">
        <w:rPr>
          <w:rFonts w:cstheme="minorHAnsi"/>
          <w:color w:val="000000" w:themeColor="text1"/>
          <w:sz w:val="24"/>
          <w:szCs w:val="24"/>
        </w:rPr>
        <w:t>Co-</w:t>
      </w:r>
      <w:r w:rsidRPr="00761D56">
        <w:rPr>
          <w:rFonts w:cstheme="minorHAnsi"/>
          <w:color w:val="000000" w:themeColor="text1"/>
          <w:sz w:val="24"/>
          <w:szCs w:val="24"/>
        </w:rPr>
        <w:t>curricular activities are mostly confined to clubs and popular sports like football, netball, and handball, leaving broader skill-building needs unmet.</w:t>
      </w:r>
      <w:r w:rsidRPr="00761D56">
        <w:rPr>
          <w:rStyle w:val="EndnoteReference"/>
          <w:rFonts w:cstheme="minorHAnsi"/>
          <w:color w:val="000000" w:themeColor="text1"/>
          <w:sz w:val="24"/>
          <w:szCs w:val="24"/>
        </w:rPr>
        <w:endnoteReference w:id="149"/>
      </w:r>
    </w:p>
    <w:p w14:paraId="597DA4AC" w14:textId="77777777" w:rsidR="00E67E88" w:rsidRPr="00761D56" w:rsidRDefault="00E67E88"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46FF805F" w14:textId="27D2AFFB" w:rsidR="00E67E88" w:rsidRPr="00761D56" w:rsidRDefault="00E67E88" w:rsidP="008F24DD">
      <w:pPr>
        <w:pStyle w:val="ListParagraph"/>
        <w:numPr>
          <w:ilvl w:val="0"/>
          <w:numId w:val="16"/>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Combat bullying by mandating effective reporting mechanisms,</w:t>
      </w:r>
      <w:r w:rsidR="000770A7" w:rsidRPr="00761D56">
        <w:rPr>
          <w:rFonts w:cstheme="minorHAnsi"/>
          <w:b/>
          <w:bCs/>
          <w:color w:val="000000" w:themeColor="text1"/>
          <w:sz w:val="24"/>
          <w:szCs w:val="24"/>
        </w:rPr>
        <w:t xml:space="preserve"> </w:t>
      </w:r>
      <w:r w:rsidRPr="00761D56">
        <w:rPr>
          <w:rFonts w:cstheme="minorHAnsi"/>
          <w:b/>
          <w:bCs/>
          <w:color w:val="000000" w:themeColor="text1"/>
          <w:sz w:val="24"/>
          <w:szCs w:val="24"/>
        </w:rPr>
        <w:t>strengthening teacher accountability,</w:t>
      </w:r>
      <w:r w:rsidR="000770A7" w:rsidRPr="00761D56">
        <w:rPr>
          <w:rFonts w:cstheme="minorHAnsi"/>
          <w:b/>
          <w:bCs/>
          <w:color w:val="000000" w:themeColor="text1"/>
          <w:sz w:val="24"/>
          <w:szCs w:val="24"/>
        </w:rPr>
        <w:t xml:space="preserve"> as well as i</w:t>
      </w:r>
      <w:r w:rsidRPr="00761D56">
        <w:rPr>
          <w:rFonts w:cstheme="minorHAnsi"/>
          <w:b/>
          <w:bCs/>
          <w:color w:val="000000" w:themeColor="text1"/>
          <w:sz w:val="24"/>
          <w:szCs w:val="24"/>
        </w:rPr>
        <w:t>ntroducing structured anti-bullying and online safety programs at school and community levels.</w:t>
      </w:r>
    </w:p>
    <w:p w14:paraId="52EC984C" w14:textId="353D3E70" w:rsidR="00E67E88" w:rsidRPr="00761D56" w:rsidRDefault="00E67E88" w:rsidP="008F24DD">
      <w:pPr>
        <w:pStyle w:val="ListParagraph"/>
        <w:numPr>
          <w:ilvl w:val="0"/>
          <w:numId w:val="16"/>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 xml:space="preserve">Expand counselling and </w:t>
      </w:r>
      <w:r w:rsidR="000770A7" w:rsidRPr="00761D56">
        <w:rPr>
          <w:rFonts w:cstheme="minorHAnsi"/>
          <w:b/>
          <w:bCs/>
          <w:color w:val="000000" w:themeColor="text1"/>
          <w:sz w:val="24"/>
          <w:szCs w:val="24"/>
        </w:rPr>
        <w:t>support for SCLP</w:t>
      </w:r>
      <w:r w:rsidRPr="00761D56">
        <w:rPr>
          <w:rFonts w:cstheme="minorHAnsi"/>
          <w:b/>
          <w:bCs/>
          <w:color w:val="000000" w:themeColor="text1"/>
          <w:sz w:val="24"/>
          <w:szCs w:val="24"/>
        </w:rPr>
        <w:t xml:space="preserve"> by appointing trained school counsellors nationwide, strengthening teacher training, and providing adequate resources for inclusive education</w:t>
      </w:r>
      <w:r w:rsidR="000770A7" w:rsidRPr="00761D56">
        <w:rPr>
          <w:rFonts w:cstheme="minorHAnsi"/>
          <w:b/>
          <w:bCs/>
          <w:color w:val="000000" w:themeColor="text1"/>
          <w:sz w:val="24"/>
          <w:szCs w:val="24"/>
        </w:rPr>
        <w:t xml:space="preserve"> through relevant inter agency coordination</w:t>
      </w:r>
      <w:r w:rsidRPr="00761D56">
        <w:rPr>
          <w:rFonts w:cstheme="minorHAnsi"/>
          <w:b/>
          <w:bCs/>
          <w:color w:val="000000" w:themeColor="text1"/>
          <w:sz w:val="24"/>
          <w:szCs w:val="24"/>
        </w:rPr>
        <w:t>.</w:t>
      </w:r>
    </w:p>
    <w:p w14:paraId="48638796" w14:textId="77777777" w:rsidR="00FF3D1E" w:rsidRPr="00761D56" w:rsidRDefault="00FF3D1E" w:rsidP="008F24DD">
      <w:pPr>
        <w:pStyle w:val="ListParagraph"/>
        <w:numPr>
          <w:ilvl w:val="0"/>
          <w:numId w:val="16"/>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Strengthen debate, public speaking, and civic participation programs by establishing structured extracurricular event and competitions.</w:t>
      </w:r>
    </w:p>
    <w:p w14:paraId="3ED27614" w14:textId="77777777" w:rsidR="00FF3D1E" w:rsidRPr="00761D56" w:rsidRDefault="00FF3D1E" w:rsidP="008F24DD">
      <w:pPr>
        <w:pStyle w:val="ListParagraph"/>
        <w:numPr>
          <w:ilvl w:val="0"/>
          <w:numId w:val="16"/>
        </w:numPr>
        <w:spacing w:before="240" w:line="276" w:lineRule="auto"/>
        <w:jc w:val="both"/>
        <w:rPr>
          <w:rFonts w:cstheme="minorHAnsi"/>
          <w:b/>
          <w:bCs/>
          <w:color w:val="000000" w:themeColor="text1"/>
          <w:sz w:val="24"/>
          <w:szCs w:val="24"/>
        </w:rPr>
      </w:pPr>
      <w:r w:rsidRPr="00761D56">
        <w:rPr>
          <w:rFonts w:cstheme="minorHAnsi"/>
          <w:b/>
          <w:bCs/>
          <w:color w:val="000000" w:themeColor="text1"/>
          <w:sz w:val="24"/>
          <w:szCs w:val="24"/>
        </w:rPr>
        <w:t>Expand skill development opportunities by engaging local professionals, civil society, and online platforms to deliver specialized classes, ensuring students gain exposure beyond sports.</w:t>
      </w:r>
    </w:p>
    <w:p w14:paraId="68BD4B58" w14:textId="77777777" w:rsidR="00E67E88" w:rsidRPr="00761D56" w:rsidRDefault="00E67E88" w:rsidP="008F24DD">
      <w:pPr>
        <w:spacing w:before="240" w:line="276" w:lineRule="auto"/>
        <w:ind w:left="0" w:firstLine="0"/>
        <w:jc w:val="both"/>
        <w:rPr>
          <w:rFonts w:cstheme="minorHAnsi"/>
          <w:b/>
          <w:bCs/>
          <w:color w:val="000000" w:themeColor="text1"/>
          <w:sz w:val="24"/>
          <w:szCs w:val="24"/>
        </w:rPr>
      </w:pPr>
    </w:p>
    <w:p w14:paraId="4C0273B5" w14:textId="0999B9D0" w:rsidR="003D1F24" w:rsidRPr="00761D56" w:rsidRDefault="003D1F24" w:rsidP="008F24DD">
      <w:pPr>
        <w:pStyle w:val="Heading1"/>
        <w:spacing w:line="276" w:lineRule="auto"/>
        <w:jc w:val="both"/>
        <w:rPr>
          <w:rFonts w:asciiTheme="minorHAnsi" w:hAnsiTheme="minorHAnsi" w:cstheme="minorHAnsi"/>
          <w:color w:val="000000" w:themeColor="text1"/>
        </w:rPr>
      </w:pPr>
      <w:bookmarkStart w:id="26" w:name="_Toc216692801"/>
      <w:r w:rsidRPr="00761D56">
        <w:rPr>
          <w:rFonts w:asciiTheme="minorHAnsi" w:hAnsiTheme="minorHAnsi" w:cstheme="minorHAnsi"/>
          <w:color w:val="000000" w:themeColor="text1"/>
        </w:rPr>
        <w:t xml:space="preserve">Article 32 </w:t>
      </w:r>
      <w:r w:rsidR="00165912" w:rsidRPr="00761D56">
        <w:rPr>
          <w:rFonts w:asciiTheme="minorHAnsi" w:hAnsiTheme="minorHAnsi" w:cstheme="minorHAnsi"/>
          <w:color w:val="000000" w:themeColor="text1"/>
        </w:rPr>
        <w:t>-</w:t>
      </w:r>
      <w:r w:rsidRPr="00761D56">
        <w:rPr>
          <w:rFonts w:asciiTheme="minorHAnsi" w:hAnsiTheme="minorHAnsi" w:cstheme="minorHAnsi"/>
          <w:color w:val="000000" w:themeColor="text1"/>
        </w:rPr>
        <w:t xml:space="preserve"> Child Labour</w:t>
      </w:r>
      <w:bookmarkEnd w:id="26"/>
    </w:p>
    <w:p w14:paraId="24C6E62D" w14:textId="0491F46A" w:rsidR="004B12C6" w:rsidRPr="00761D56" w:rsidRDefault="004B12C6"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 xml:space="preserve">The Employment Act </w:t>
      </w:r>
      <w:r w:rsidRPr="00761D56">
        <w:rPr>
          <w:color w:val="000000" w:themeColor="text1"/>
          <w:vertAlign w:val="superscript"/>
        </w:rPr>
        <w:endnoteReference w:id="150"/>
      </w:r>
      <w:r w:rsidR="008F24DD" w:rsidRPr="00761D56">
        <w:rPr>
          <w:rFonts w:cstheme="minorHAnsi"/>
          <w:color w:val="000000" w:themeColor="text1"/>
          <w:sz w:val="24"/>
          <w:szCs w:val="24"/>
        </w:rPr>
        <w:t xml:space="preserve"> </w:t>
      </w:r>
      <w:r w:rsidRPr="00761D56">
        <w:rPr>
          <w:rFonts w:cstheme="minorHAnsi"/>
          <w:color w:val="000000" w:themeColor="text1"/>
          <w:sz w:val="24"/>
          <w:szCs w:val="24"/>
        </w:rPr>
        <w:t xml:space="preserve">prohibits hiring children under 16, except for limited educational or family work. Similarly, the General Regulations under the Child Rights Protection Act </w:t>
      </w:r>
      <w:r w:rsidRPr="00761D56">
        <w:rPr>
          <w:color w:val="000000" w:themeColor="text1"/>
          <w:vertAlign w:val="superscript"/>
        </w:rPr>
        <w:endnoteReference w:id="151"/>
      </w:r>
      <w:r w:rsidR="008F24DD" w:rsidRPr="00761D56">
        <w:rPr>
          <w:rFonts w:cstheme="minorHAnsi"/>
          <w:color w:val="000000" w:themeColor="text1"/>
          <w:sz w:val="24"/>
          <w:szCs w:val="24"/>
        </w:rPr>
        <w:t xml:space="preserve"> prohibits</w:t>
      </w:r>
      <w:r w:rsidRPr="00761D56">
        <w:rPr>
          <w:rFonts w:cstheme="minorHAnsi"/>
          <w:color w:val="000000" w:themeColor="text1"/>
          <w:sz w:val="24"/>
          <w:szCs w:val="24"/>
        </w:rPr>
        <w:t xml:space="preserve"> child </w:t>
      </w:r>
      <w:r w:rsidR="005A4DC9" w:rsidRPr="00761D56">
        <w:rPr>
          <w:rFonts w:cstheme="minorHAnsi"/>
          <w:color w:val="000000" w:themeColor="text1"/>
          <w:sz w:val="24"/>
          <w:szCs w:val="24"/>
        </w:rPr>
        <w:t>labour</w:t>
      </w:r>
      <w:r w:rsidRPr="00761D56">
        <w:rPr>
          <w:rFonts w:cstheme="minorHAnsi"/>
          <w:color w:val="000000" w:themeColor="text1"/>
          <w:sz w:val="24"/>
          <w:szCs w:val="24"/>
        </w:rPr>
        <w:t xml:space="preserve"> that harms education or health, allowing only safe, supervised training or light family tasks. However, these laws fall short of fully meeting Article 32 standards and ILO Convention No. 138 requirements.</w:t>
      </w:r>
    </w:p>
    <w:p w14:paraId="2FAC2D53" w14:textId="051B1AB8" w:rsidR="003D1F24" w:rsidRPr="00761D56" w:rsidRDefault="003D1F24" w:rsidP="008F24DD">
      <w:pPr>
        <w:pStyle w:val="ListParagraph"/>
        <w:numPr>
          <w:ilvl w:val="0"/>
          <w:numId w:val="10"/>
        </w:numPr>
        <w:spacing w:before="240" w:line="276" w:lineRule="auto"/>
        <w:ind w:hanging="540"/>
        <w:jc w:val="both"/>
        <w:rPr>
          <w:rFonts w:cstheme="minorHAnsi"/>
          <w:color w:val="000000" w:themeColor="text1"/>
          <w:sz w:val="24"/>
          <w:szCs w:val="24"/>
          <w:shd w:val="clear" w:color="auto" w:fill="FFF2CC" w:themeFill="accent4" w:themeFillTint="33"/>
        </w:rPr>
      </w:pPr>
      <w:r w:rsidRPr="00761D56">
        <w:rPr>
          <w:rFonts w:cstheme="minorHAnsi"/>
          <w:color w:val="000000" w:themeColor="text1"/>
          <w:sz w:val="24"/>
          <w:szCs w:val="24"/>
        </w:rPr>
        <w:t>While the GRPRC introduces important safeguards</w:t>
      </w:r>
      <w:r w:rsidRPr="00761D56">
        <w:rPr>
          <w:rStyle w:val="EndnoteReference"/>
          <w:rFonts w:cstheme="minorHAnsi"/>
          <w:color w:val="000000" w:themeColor="text1"/>
          <w:sz w:val="24"/>
          <w:szCs w:val="24"/>
        </w:rPr>
        <w:endnoteReference w:id="152"/>
      </w:r>
      <w:r w:rsidRPr="00761D56">
        <w:rPr>
          <w:rFonts w:cstheme="minorHAnsi"/>
          <w:color w:val="000000" w:themeColor="text1"/>
          <w:sz w:val="24"/>
          <w:szCs w:val="24"/>
        </w:rPr>
        <w:t xml:space="preserve"> by requiring employers to notify both the CFPS and LRA when engaging children in training</w:t>
      </w:r>
      <w:r w:rsidR="005A4DC9" w:rsidRPr="00761D56">
        <w:rPr>
          <w:rFonts w:cstheme="minorHAnsi"/>
          <w:color w:val="000000" w:themeColor="text1"/>
          <w:sz w:val="24"/>
          <w:szCs w:val="24"/>
        </w:rPr>
        <w:t xml:space="preserve"> </w:t>
      </w:r>
      <w:r w:rsidR="00721215" w:rsidRPr="00761D56">
        <w:rPr>
          <w:rFonts w:cstheme="minorHAnsi"/>
          <w:color w:val="000000" w:themeColor="text1"/>
          <w:sz w:val="24"/>
          <w:szCs w:val="24"/>
        </w:rPr>
        <w:t>relation to their education</w:t>
      </w:r>
      <w:r w:rsidRPr="00761D56">
        <w:rPr>
          <w:rFonts w:cstheme="minorHAnsi"/>
          <w:color w:val="000000" w:themeColor="text1"/>
          <w:sz w:val="24"/>
          <w:szCs w:val="24"/>
        </w:rPr>
        <w:t xml:space="preserve"> or family work, this requirement remains unenforced.  Although the Regulation mandated the CFPS to issue guidelines on employers’ conduct regarding training and children’s involvement in family work within three months of enactment, no such guidelines have been published as of mid-2025, creating a significant legislative vacuum. </w:t>
      </w:r>
      <w:r w:rsidRPr="00761D56">
        <w:rPr>
          <w:rStyle w:val="EndnoteReference"/>
          <w:rFonts w:cstheme="minorHAnsi"/>
          <w:color w:val="000000" w:themeColor="text1"/>
          <w:sz w:val="24"/>
          <w:szCs w:val="24"/>
        </w:rPr>
        <w:endnoteReference w:id="153"/>
      </w:r>
    </w:p>
    <w:p w14:paraId="3A4DD7B2" w14:textId="7C630D9F" w:rsidR="00122636" w:rsidRPr="00761D56" w:rsidRDefault="003D1F24" w:rsidP="008F24DD">
      <w:pPr>
        <w:pStyle w:val="ListParagraph"/>
        <w:numPr>
          <w:ilvl w:val="0"/>
          <w:numId w:val="10"/>
        </w:numPr>
        <w:spacing w:before="240" w:line="276" w:lineRule="auto"/>
        <w:ind w:left="1170" w:hanging="540"/>
        <w:jc w:val="both"/>
        <w:rPr>
          <w:rFonts w:eastAsia="Calibri" w:cstheme="minorHAnsi"/>
          <w:color w:val="000000" w:themeColor="text1"/>
          <w:sz w:val="24"/>
          <w:szCs w:val="24"/>
        </w:rPr>
      </w:pPr>
      <w:r w:rsidRPr="00761D56">
        <w:rPr>
          <w:rFonts w:eastAsia="Calibri" w:cstheme="minorHAnsi"/>
          <w:color w:val="000000" w:themeColor="text1"/>
          <w:sz w:val="24"/>
          <w:szCs w:val="24"/>
        </w:rPr>
        <w:lastRenderedPageBreak/>
        <w:t>GRPRC differentiates between work that is prohibited and work permitted for children aged 16 and above under strict supervision with guardian consent. Regulation</w:t>
      </w:r>
      <w:r w:rsidRPr="00761D56">
        <w:rPr>
          <w:rFonts w:eastAsia="Calibri" w:cstheme="minorHAnsi"/>
          <w:color w:val="000000" w:themeColor="text1"/>
          <w:sz w:val="24"/>
          <w:szCs w:val="24"/>
          <w:vertAlign w:val="superscript"/>
        </w:rPr>
        <w:endnoteReference w:id="154"/>
      </w:r>
      <w:r w:rsidRPr="00761D56">
        <w:rPr>
          <w:rFonts w:eastAsia="Calibri" w:cstheme="minorHAnsi"/>
          <w:color w:val="000000" w:themeColor="text1"/>
          <w:sz w:val="24"/>
          <w:szCs w:val="24"/>
        </w:rPr>
        <w:t xml:space="preserve"> prohibits hazardous work for children</w:t>
      </w:r>
      <w:r w:rsidR="00596B98" w:rsidRPr="00761D56">
        <w:rPr>
          <w:rFonts w:eastAsia="Calibri" w:cstheme="minorHAnsi"/>
          <w:color w:val="000000" w:themeColor="text1"/>
          <w:sz w:val="24"/>
          <w:szCs w:val="24"/>
        </w:rPr>
        <w:t>.</w:t>
      </w:r>
      <w:r w:rsidRPr="00761D56">
        <w:rPr>
          <w:rFonts w:eastAsia="Calibri" w:cstheme="minorHAnsi"/>
          <w:color w:val="000000" w:themeColor="text1"/>
          <w:sz w:val="24"/>
          <w:szCs w:val="24"/>
        </w:rPr>
        <w:t xml:space="preserve"> </w:t>
      </w:r>
      <w:r w:rsidR="00596B98" w:rsidRPr="00761D56">
        <w:rPr>
          <w:rFonts w:eastAsia="Calibri" w:cstheme="minorHAnsi"/>
          <w:color w:val="000000" w:themeColor="text1"/>
          <w:sz w:val="24"/>
          <w:szCs w:val="24"/>
        </w:rPr>
        <w:t xml:space="preserve">However, </w:t>
      </w:r>
      <w:r w:rsidRPr="00761D56">
        <w:rPr>
          <w:rFonts w:eastAsia="Calibri" w:cstheme="minorHAnsi"/>
          <w:color w:val="000000" w:themeColor="text1"/>
          <w:sz w:val="24"/>
          <w:szCs w:val="24"/>
        </w:rPr>
        <w:t>the regulation lacks a comprehensive legal definition of hazardous work and the categories listed are static with no mechanism for periodic review to account for evolving occupational risk factors.</w:t>
      </w:r>
      <w:r w:rsidRPr="00761D56">
        <w:rPr>
          <w:rFonts w:eastAsia="Calibri" w:cstheme="minorHAnsi"/>
          <w:color w:val="000000" w:themeColor="text1"/>
          <w:sz w:val="24"/>
          <w:szCs w:val="24"/>
          <w:vertAlign w:val="superscript"/>
        </w:rPr>
        <w:endnoteReference w:id="155"/>
      </w:r>
      <w:r w:rsidRPr="00761D56">
        <w:rPr>
          <w:rFonts w:eastAsia="Calibri" w:cstheme="minorHAnsi"/>
          <w:color w:val="000000" w:themeColor="text1"/>
          <w:sz w:val="24"/>
          <w:szCs w:val="24"/>
        </w:rPr>
        <w:t xml:space="preserve"> </w:t>
      </w:r>
    </w:p>
    <w:p w14:paraId="2B8BBDB0" w14:textId="77777777" w:rsidR="00596B98" w:rsidRPr="00761D56" w:rsidRDefault="00596B98" w:rsidP="008F24DD">
      <w:pPr>
        <w:pStyle w:val="ListParagraph"/>
        <w:spacing w:before="240" w:line="276" w:lineRule="auto"/>
        <w:ind w:firstLine="0"/>
        <w:jc w:val="both"/>
        <w:rPr>
          <w:rFonts w:eastAsia="Calibri" w:cstheme="minorHAnsi"/>
          <w:color w:val="000000" w:themeColor="text1"/>
          <w:sz w:val="24"/>
          <w:szCs w:val="24"/>
        </w:rPr>
      </w:pPr>
    </w:p>
    <w:p w14:paraId="25191B0A" w14:textId="1A834DD6" w:rsidR="003D1F24" w:rsidRPr="00761D56" w:rsidRDefault="003D1F24" w:rsidP="008F24DD">
      <w:pPr>
        <w:pStyle w:val="ListParagraph"/>
        <w:spacing w:before="240" w:line="276" w:lineRule="auto"/>
        <w:ind w:firstLine="0"/>
        <w:jc w:val="both"/>
        <w:rPr>
          <w:rFonts w:eastAsia="Calibri" w:cstheme="minorHAnsi"/>
          <w:color w:val="000000" w:themeColor="text1"/>
          <w:sz w:val="24"/>
          <w:szCs w:val="24"/>
        </w:rPr>
      </w:pPr>
      <w:r w:rsidRPr="00761D56">
        <w:rPr>
          <w:rFonts w:cstheme="minorHAnsi"/>
          <w:b/>
          <w:bCs/>
          <w:color w:val="000000" w:themeColor="text1"/>
          <w:sz w:val="24"/>
          <w:szCs w:val="24"/>
        </w:rPr>
        <w:t>Recommendations</w:t>
      </w:r>
    </w:p>
    <w:p w14:paraId="4F2F167D" w14:textId="77777777" w:rsidR="003D1F24" w:rsidRPr="00761D56" w:rsidRDefault="003D1F24" w:rsidP="008F24DD">
      <w:pPr>
        <w:pStyle w:val="ListParagraph"/>
        <w:numPr>
          <w:ilvl w:val="0"/>
          <w:numId w:val="19"/>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Publish the mandated guidelines on employer conduct and maximum work duration to operationalise protections against child labour and strengthen oversight mechanisms to ensure accountability.</w:t>
      </w:r>
    </w:p>
    <w:p w14:paraId="5C7E9AAA" w14:textId="77777777" w:rsidR="003D1F24" w:rsidRPr="00761D56" w:rsidRDefault="003D1F24" w:rsidP="008F24DD">
      <w:pPr>
        <w:pStyle w:val="ListParagraph"/>
        <w:numPr>
          <w:ilvl w:val="0"/>
          <w:numId w:val="19"/>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Amend the regulatory framework to set 18 years as the absolute minimum age for all hazardous work and align the legal framework with international labour standards.</w:t>
      </w:r>
    </w:p>
    <w:p w14:paraId="291C9D44" w14:textId="77777777" w:rsidR="003D1F24" w:rsidRPr="00761D56" w:rsidRDefault="003D1F24" w:rsidP="008F24DD">
      <w:pPr>
        <w:pStyle w:val="ListParagraph"/>
        <w:numPr>
          <w:ilvl w:val="0"/>
          <w:numId w:val="19"/>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Adopt a comprehensive and rights-based definition of hazardous work, consistent with ILO Convention No. 182, and strengthen the labour inspection system to ensure effective monitoring, accountability, and protection of children from all forms of economic exploitation.</w:t>
      </w:r>
    </w:p>
    <w:p w14:paraId="5BF7C9B8" w14:textId="77777777" w:rsidR="003D1F24" w:rsidRPr="00761D56" w:rsidRDefault="003D1F24" w:rsidP="008F24DD">
      <w:pPr>
        <w:pStyle w:val="ListParagraph"/>
        <w:spacing w:before="240" w:line="276" w:lineRule="auto"/>
        <w:jc w:val="both"/>
        <w:rPr>
          <w:rFonts w:cstheme="minorHAnsi"/>
          <w:b/>
          <w:bCs/>
          <w:color w:val="000000" w:themeColor="text1"/>
          <w:sz w:val="24"/>
          <w:szCs w:val="24"/>
        </w:rPr>
      </w:pPr>
    </w:p>
    <w:p w14:paraId="7BF18F0B" w14:textId="0B56F5B2" w:rsidR="003D1F24" w:rsidRPr="00761D56" w:rsidRDefault="003D1F24" w:rsidP="008F24DD">
      <w:pPr>
        <w:pStyle w:val="Heading1"/>
        <w:spacing w:line="276" w:lineRule="auto"/>
        <w:jc w:val="both"/>
        <w:rPr>
          <w:rFonts w:asciiTheme="minorHAnsi" w:hAnsiTheme="minorHAnsi" w:cstheme="minorHAnsi"/>
          <w:color w:val="000000" w:themeColor="text1"/>
        </w:rPr>
      </w:pPr>
      <w:bookmarkStart w:id="27" w:name="_Toc216692802"/>
      <w:r w:rsidRPr="00761D56">
        <w:rPr>
          <w:rFonts w:asciiTheme="minorHAnsi" w:hAnsiTheme="minorHAnsi" w:cstheme="minorHAnsi"/>
          <w:color w:val="000000" w:themeColor="text1"/>
        </w:rPr>
        <w:t xml:space="preserve">Article 33 </w:t>
      </w:r>
      <w:r w:rsidR="00165912" w:rsidRPr="00761D56">
        <w:rPr>
          <w:rFonts w:asciiTheme="minorHAnsi" w:hAnsiTheme="minorHAnsi" w:cstheme="minorHAnsi"/>
          <w:color w:val="000000" w:themeColor="text1"/>
        </w:rPr>
        <w:t>-</w:t>
      </w:r>
      <w:r w:rsidRPr="00761D56">
        <w:rPr>
          <w:rFonts w:asciiTheme="minorHAnsi" w:hAnsiTheme="minorHAnsi" w:cstheme="minorHAnsi"/>
          <w:color w:val="000000" w:themeColor="text1"/>
        </w:rPr>
        <w:t xml:space="preserve"> Drug Abuse</w:t>
      </w:r>
      <w:bookmarkEnd w:id="27"/>
    </w:p>
    <w:p w14:paraId="709B157C" w14:textId="13922A92" w:rsidR="003D1F24"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The protection of children from illicit drug use is addressed in both the CRPA</w:t>
      </w:r>
      <w:r w:rsidRPr="00761D56">
        <w:rPr>
          <w:rFonts w:cstheme="minorHAnsi"/>
          <w:color w:val="000000" w:themeColor="text1"/>
          <w:sz w:val="24"/>
          <w:szCs w:val="24"/>
          <w:vertAlign w:val="superscript"/>
        </w:rPr>
        <w:endnoteReference w:id="156"/>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rPr>
        <w:t>and the Drugs Act</w:t>
      </w:r>
      <w:r w:rsidRPr="00761D56">
        <w:rPr>
          <w:rFonts w:cstheme="minorHAnsi"/>
          <w:color w:val="000000" w:themeColor="text1"/>
          <w:sz w:val="24"/>
          <w:szCs w:val="24"/>
          <w:vertAlign w:val="superscript"/>
        </w:rPr>
        <w:endnoteReference w:id="157"/>
      </w:r>
      <w:r w:rsidRPr="00761D56">
        <w:rPr>
          <w:rFonts w:cstheme="minorHAnsi"/>
          <w:color w:val="000000" w:themeColor="text1"/>
          <w:sz w:val="24"/>
          <w:szCs w:val="24"/>
          <w:vertAlign w:val="superscript"/>
        </w:rPr>
        <w:t xml:space="preserve"> </w:t>
      </w:r>
      <w:r w:rsidRPr="00761D56">
        <w:rPr>
          <w:rFonts w:cstheme="minorHAnsi"/>
          <w:color w:val="000000" w:themeColor="text1"/>
          <w:sz w:val="24"/>
          <w:szCs w:val="24"/>
        </w:rPr>
        <w:t xml:space="preserve">which collectively recognize this issue and provide a framework of legal and administrative measures encompassing prevention, treatment, and protection mechanisms. </w:t>
      </w:r>
    </w:p>
    <w:p w14:paraId="10841670" w14:textId="201FD0B0" w:rsidR="003D1F24" w:rsidRPr="00761D56" w:rsidRDefault="004B12C6"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Common community-level factors that compromise children’s rights and increase their involvement in drug-related activities include inadequate parental care and greater vulnerability among children from broken or disorganized families, particularly in single-parent households</w:t>
      </w:r>
      <w:r w:rsidR="003D1F24" w:rsidRPr="00761D56">
        <w:rPr>
          <w:rFonts w:cstheme="minorHAnsi"/>
          <w:color w:val="000000" w:themeColor="text1"/>
          <w:sz w:val="24"/>
          <w:szCs w:val="24"/>
        </w:rPr>
        <w:t>.</w:t>
      </w:r>
      <w:r w:rsidR="003D1F24" w:rsidRPr="00761D56">
        <w:rPr>
          <w:rStyle w:val="EndnoteReference"/>
          <w:rFonts w:cstheme="minorHAnsi"/>
          <w:color w:val="000000" w:themeColor="text1"/>
          <w:sz w:val="24"/>
          <w:szCs w:val="24"/>
        </w:rPr>
        <w:endnoteReference w:id="158"/>
      </w:r>
      <w:r w:rsidR="003D1F24" w:rsidRPr="00761D56">
        <w:rPr>
          <w:rFonts w:cstheme="minorHAnsi"/>
          <w:color w:val="000000" w:themeColor="text1"/>
          <w:sz w:val="24"/>
          <w:szCs w:val="24"/>
        </w:rPr>
        <w:t xml:space="preserve"> Peer pressure and school dropout further compound these risks, while children from low socio-economic backgrounds are </w:t>
      </w:r>
      <w:r w:rsidR="001A22A1" w:rsidRPr="00761D56">
        <w:rPr>
          <w:rFonts w:cstheme="minorHAnsi"/>
          <w:color w:val="000000" w:themeColor="text1"/>
          <w:sz w:val="24"/>
          <w:szCs w:val="24"/>
        </w:rPr>
        <w:t xml:space="preserve">disproportionately </w:t>
      </w:r>
      <w:r w:rsidR="003D1F24" w:rsidRPr="00761D56">
        <w:rPr>
          <w:rFonts w:cstheme="minorHAnsi"/>
          <w:color w:val="000000" w:themeColor="text1"/>
          <w:sz w:val="24"/>
          <w:szCs w:val="24"/>
        </w:rPr>
        <w:t>affected.</w:t>
      </w:r>
      <w:r w:rsidR="003D1F24" w:rsidRPr="00761D56">
        <w:rPr>
          <w:rStyle w:val="EndnoteReference"/>
          <w:rFonts w:cstheme="minorHAnsi"/>
          <w:color w:val="000000" w:themeColor="text1"/>
          <w:sz w:val="24"/>
          <w:szCs w:val="24"/>
        </w:rPr>
        <w:endnoteReference w:id="159"/>
      </w:r>
      <w:r w:rsidR="00596B98" w:rsidRPr="00761D56">
        <w:rPr>
          <w:rFonts w:cstheme="minorHAnsi"/>
          <w:color w:val="000000" w:themeColor="text1"/>
          <w:sz w:val="24"/>
          <w:szCs w:val="24"/>
        </w:rPr>
        <w:t xml:space="preserve"> </w:t>
      </w:r>
    </w:p>
    <w:p w14:paraId="365D80E8" w14:textId="57EBBF93" w:rsidR="003D1F24"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Children above the minimum age of criminal responsibility (15 years) who confess to drug use are referred to the DC (see </w:t>
      </w:r>
      <w:r w:rsidRPr="00C92571">
        <w:rPr>
          <w:sz w:val="24"/>
          <w:szCs w:val="24"/>
        </w:rPr>
        <w:t xml:space="preserve">Chart </w:t>
      </w:r>
      <w:r w:rsidR="00CF2B4C" w:rsidRPr="00C92571">
        <w:rPr>
          <w:sz w:val="24"/>
          <w:szCs w:val="24"/>
        </w:rPr>
        <w:t>14</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60"/>
      </w:r>
      <w:r w:rsidRPr="00761D56">
        <w:rPr>
          <w:rFonts w:cstheme="minorHAnsi"/>
          <w:color w:val="000000" w:themeColor="text1"/>
          <w:sz w:val="24"/>
          <w:szCs w:val="24"/>
        </w:rPr>
        <w:t xml:space="preserve"> which is mandated to refer them to treatment programs and issue rehabilitation orders in cases where they are found to be addicted.</w:t>
      </w:r>
      <w:r w:rsidRPr="00761D56">
        <w:rPr>
          <w:rStyle w:val="EndnoteReference"/>
          <w:rFonts w:cstheme="minorHAnsi"/>
          <w:color w:val="000000" w:themeColor="text1"/>
          <w:sz w:val="24"/>
          <w:szCs w:val="24"/>
        </w:rPr>
        <w:endnoteReference w:id="161"/>
      </w:r>
    </w:p>
    <w:p w14:paraId="3C27234A" w14:textId="77777777" w:rsidR="003D1F24" w:rsidRPr="00761D56" w:rsidRDefault="003D1F24" w:rsidP="008F24DD">
      <w:pPr>
        <w:pStyle w:val="ListParagraph"/>
        <w:spacing w:before="240" w:line="276" w:lineRule="auto"/>
        <w:jc w:val="both"/>
        <w:rPr>
          <w:rFonts w:cstheme="minorHAnsi"/>
          <w:color w:val="000000" w:themeColor="text1"/>
          <w:sz w:val="24"/>
          <w:szCs w:val="24"/>
        </w:rPr>
      </w:pPr>
    </w:p>
    <w:p w14:paraId="4481B403" w14:textId="0C9CA783" w:rsidR="003D1F24" w:rsidRPr="00761D56" w:rsidRDefault="003D1F24" w:rsidP="008F24DD">
      <w:pPr>
        <w:pStyle w:val="ListParagraph"/>
        <w:spacing w:before="240" w:line="276" w:lineRule="auto"/>
        <w:jc w:val="both"/>
        <w:rPr>
          <w:rFonts w:cstheme="minorHAnsi"/>
          <w:color w:val="000000" w:themeColor="text1"/>
          <w:sz w:val="24"/>
          <w:szCs w:val="24"/>
        </w:rPr>
      </w:pPr>
    </w:p>
    <w:p w14:paraId="3EE3A0AB" w14:textId="7F38CB40" w:rsidR="003D1F24" w:rsidRPr="00761D56" w:rsidRDefault="003D1F24" w:rsidP="008F24DD">
      <w:pPr>
        <w:pStyle w:val="ListParagraph"/>
        <w:spacing w:before="240" w:line="276" w:lineRule="auto"/>
        <w:jc w:val="center"/>
        <w:rPr>
          <w:rFonts w:cstheme="minorHAnsi"/>
          <w:color w:val="000000" w:themeColor="text1"/>
          <w:sz w:val="24"/>
          <w:szCs w:val="24"/>
        </w:rPr>
      </w:pPr>
      <w:r w:rsidRPr="00761D56">
        <w:rPr>
          <w:rFonts w:cstheme="minorHAnsi"/>
          <w:noProof/>
          <w:color w:val="000000" w:themeColor="text1"/>
          <w:sz w:val="24"/>
          <w:szCs w:val="24"/>
        </w:rPr>
        <w:lastRenderedPageBreak/>
        <w:drawing>
          <wp:inline distT="0" distB="0" distL="0" distR="0" wp14:anchorId="39034ADB" wp14:editId="53A075AF">
            <wp:extent cx="3445934" cy="2904067"/>
            <wp:effectExtent l="0" t="0" r="2540" b="10795"/>
            <wp:docPr id="115055376" name="Chart 1">
              <a:extLst xmlns:a="http://schemas.openxmlformats.org/drawingml/2006/main">
                <a:ext uri="{FF2B5EF4-FFF2-40B4-BE49-F238E27FC236}">
                  <a16:creationId xmlns:a16="http://schemas.microsoft.com/office/drawing/2014/main" id="{AB8E43D2-4FD5-59CF-21CA-75852F58E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D97A832" w14:textId="6B2EA524" w:rsidR="003D1F24" w:rsidRPr="00761D56" w:rsidRDefault="003D1F24" w:rsidP="008F24DD">
      <w:pPr>
        <w:pStyle w:val="ListParagraph"/>
        <w:spacing w:before="240" w:line="276" w:lineRule="auto"/>
        <w:jc w:val="center"/>
        <w:rPr>
          <w:rFonts w:cstheme="minorHAnsi"/>
          <w:i/>
          <w:iCs/>
          <w:color w:val="000000" w:themeColor="text1"/>
          <w:sz w:val="24"/>
          <w:szCs w:val="24"/>
        </w:rPr>
      </w:pPr>
      <w:r w:rsidRPr="00C92571">
        <w:rPr>
          <w:i/>
          <w:iCs/>
          <w:sz w:val="24"/>
          <w:szCs w:val="24"/>
        </w:rPr>
        <w:t xml:space="preserve">Chart </w:t>
      </w:r>
      <w:r w:rsidR="00CF2B4C" w:rsidRPr="00C92571">
        <w:rPr>
          <w:i/>
          <w:iCs/>
          <w:sz w:val="24"/>
          <w:szCs w:val="24"/>
        </w:rPr>
        <w:t>14</w:t>
      </w:r>
      <w:r w:rsidRPr="00C92571">
        <w:rPr>
          <w:i/>
          <w:iCs/>
          <w:sz w:val="24"/>
          <w:szCs w:val="24"/>
        </w:rPr>
        <w:t>:</w:t>
      </w:r>
      <w:r w:rsidRPr="00761D56">
        <w:rPr>
          <w:rFonts w:cstheme="minorHAnsi"/>
          <w:i/>
          <w:iCs/>
          <w:color w:val="000000" w:themeColor="text1"/>
          <w:sz w:val="24"/>
          <w:szCs w:val="24"/>
        </w:rPr>
        <w:t xml:space="preserve"> Drug Court cases involving Children</w:t>
      </w:r>
    </w:p>
    <w:p w14:paraId="7E1C6B77" w14:textId="4BD91D4D" w:rsidR="003D1F24" w:rsidRPr="00761D56" w:rsidRDefault="003D1F24" w:rsidP="008F24DD">
      <w:pPr>
        <w:pStyle w:val="ListParagraph"/>
        <w:spacing w:before="240" w:line="276" w:lineRule="auto"/>
        <w:jc w:val="both"/>
        <w:rPr>
          <w:rFonts w:cstheme="minorHAnsi"/>
          <w:color w:val="000000" w:themeColor="text1"/>
          <w:sz w:val="24"/>
          <w:szCs w:val="24"/>
        </w:rPr>
      </w:pPr>
    </w:p>
    <w:p w14:paraId="0C7E4C27" w14:textId="75BD81FE" w:rsidR="00AD010D"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Between 2018 to 2023, drug-related offences constituted 30% of all juvenile cases reported to the DJJ, with a significant portion of these cases involve drug use, possession, and trafficking (see </w:t>
      </w:r>
      <w:r w:rsidRPr="00C92571">
        <w:rPr>
          <w:sz w:val="24"/>
          <w:szCs w:val="24"/>
        </w:rPr>
        <w:t xml:space="preserve">Chart </w:t>
      </w:r>
      <w:r w:rsidR="00CF2B4C" w:rsidRPr="00C92571">
        <w:rPr>
          <w:sz w:val="24"/>
          <w:szCs w:val="24"/>
        </w:rPr>
        <w:t>15</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62"/>
      </w:r>
      <w:r w:rsidRPr="00761D56">
        <w:rPr>
          <w:rFonts w:cstheme="minorHAnsi"/>
          <w:color w:val="000000" w:themeColor="text1"/>
          <w:sz w:val="24"/>
          <w:szCs w:val="24"/>
        </w:rPr>
        <w:t xml:space="preserve"> This </w:t>
      </w:r>
      <w:r w:rsidR="0016719B" w:rsidRPr="00761D56">
        <w:rPr>
          <w:rFonts w:cstheme="minorHAnsi"/>
          <w:color w:val="000000" w:themeColor="text1"/>
          <w:sz w:val="24"/>
          <w:szCs w:val="24"/>
        </w:rPr>
        <w:t>demonstrates</w:t>
      </w:r>
      <w:r w:rsidRPr="00761D56">
        <w:rPr>
          <w:rFonts w:cstheme="minorHAnsi"/>
          <w:color w:val="000000" w:themeColor="text1"/>
          <w:sz w:val="24"/>
          <w:szCs w:val="24"/>
        </w:rPr>
        <w:t xml:space="preserve"> a persistent concern with substance abuse and related behaviours among C</w:t>
      </w:r>
      <w:r w:rsidR="00D2196B" w:rsidRPr="00761D56">
        <w:rPr>
          <w:rFonts w:cstheme="minorHAnsi"/>
          <w:color w:val="000000" w:themeColor="text1"/>
          <w:sz w:val="24"/>
          <w:szCs w:val="24"/>
        </w:rPr>
        <w:t>I</w:t>
      </w:r>
      <w:r w:rsidRPr="00761D56">
        <w:rPr>
          <w:rFonts w:cstheme="minorHAnsi"/>
          <w:color w:val="000000" w:themeColor="text1"/>
          <w:sz w:val="24"/>
          <w:szCs w:val="24"/>
        </w:rPr>
        <w:t>CL.</w:t>
      </w:r>
    </w:p>
    <w:p w14:paraId="0EDEF089" w14:textId="77777777" w:rsidR="00721215" w:rsidRPr="00761D56" w:rsidRDefault="00721215" w:rsidP="008F24DD">
      <w:pPr>
        <w:spacing w:before="240" w:line="276" w:lineRule="auto"/>
        <w:jc w:val="both"/>
        <w:rPr>
          <w:rFonts w:cstheme="minorHAnsi"/>
          <w:color w:val="000000" w:themeColor="text1"/>
          <w:sz w:val="24"/>
          <w:szCs w:val="24"/>
        </w:rPr>
      </w:pPr>
    </w:p>
    <w:p w14:paraId="5471552E" w14:textId="77777777" w:rsidR="00721215" w:rsidRPr="00761D56" w:rsidRDefault="00721215" w:rsidP="008F24DD">
      <w:pPr>
        <w:spacing w:before="240" w:line="276" w:lineRule="auto"/>
        <w:jc w:val="both"/>
        <w:rPr>
          <w:rFonts w:cstheme="minorHAnsi"/>
          <w:color w:val="000000" w:themeColor="text1"/>
          <w:sz w:val="24"/>
          <w:szCs w:val="24"/>
        </w:rPr>
      </w:pPr>
    </w:p>
    <w:p w14:paraId="61FF3721" w14:textId="5EE82FCA" w:rsidR="00596B98" w:rsidRPr="00761D56" w:rsidRDefault="0016719B" w:rsidP="008F24DD">
      <w:pPr>
        <w:pStyle w:val="ListParagraph"/>
        <w:spacing w:before="240" w:line="276" w:lineRule="auto"/>
        <w:ind w:left="1080" w:firstLine="0"/>
        <w:jc w:val="both"/>
        <w:rPr>
          <w:rFonts w:cstheme="minorHAnsi"/>
          <w:color w:val="000000" w:themeColor="text1"/>
          <w:sz w:val="24"/>
          <w:szCs w:val="24"/>
        </w:rPr>
      </w:pPr>
      <w:r w:rsidRPr="00761D56">
        <w:rPr>
          <w:noProof/>
          <w:color w:val="000000" w:themeColor="text1"/>
        </w:rPr>
        <w:drawing>
          <wp:anchor distT="0" distB="0" distL="114300" distR="114300" simplePos="0" relativeHeight="251665408" behindDoc="1" locked="0" layoutInCell="1" allowOverlap="1" wp14:anchorId="27E7E3C4" wp14:editId="2B56C53F">
            <wp:simplePos x="0" y="0"/>
            <wp:positionH relativeFrom="margin">
              <wp:posOffset>1323975</wp:posOffset>
            </wp:positionH>
            <wp:positionV relativeFrom="paragraph">
              <wp:posOffset>0</wp:posOffset>
            </wp:positionV>
            <wp:extent cx="4076700" cy="2790825"/>
            <wp:effectExtent l="0" t="0" r="0" b="9525"/>
            <wp:wrapNone/>
            <wp:docPr id="1636866903" name="Chart 1">
              <a:extLst xmlns:a="http://schemas.openxmlformats.org/drawingml/2006/main">
                <a:ext uri="{FF2B5EF4-FFF2-40B4-BE49-F238E27FC236}">
                  <a16:creationId xmlns:a16="http://schemas.microsoft.com/office/drawing/2014/main" id="{4495B7F3-BC89-95CF-71C3-0E40413A2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14:paraId="5327CE91" w14:textId="4C140997" w:rsidR="00596B98" w:rsidRPr="00761D56" w:rsidRDefault="00596B98" w:rsidP="008F24DD">
      <w:pPr>
        <w:spacing w:before="240" w:line="276" w:lineRule="auto"/>
        <w:jc w:val="both"/>
        <w:rPr>
          <w:rFonts w:cstheme="minorHAnsi"/>
          <w:color w:val="000000" w:themeColor="text1"/>
          <w:sz w:val="24"/>
          <w:szCs w:val="24"/>
        </w:rPr>
      </w:pPr>
    </w:p>
    <w:p w14:paraId="3A525DFE" w14:textId="129B8A5A" w:rsidR="00596B98" w:rsidRPr="00761D56" w:rsidRDefault="00596B98" w:rsidP="008F24DD">
      <w:pPr>
        <w:spacing w:before="240" w:line="276" w:lineRule="auto"/>
        <w:jc w:val="both"/>
        <w:rPr>
          <w:rFonts w:cstheme="minorHAnsi"/>
          <w:color w:val="000000" w:themeColor="text1"/>
          <w:sz w:val="24"/>
          <w:szCs w:val="24"/>
        </w:rPr>
      </w:pPr>
    </w:p>
    <w:p w14:paraId="5AD0F401" w14:textId="727C6A7A" w:rsidR="003D1F24" w:rsidRPr="00761D56" w:rsidRDefault="003D1F24" w:rsidP="008F24DD">
      <w:pPr>
        <w:spacing w:before="240" w:line="276" w:lineRule="auto"/>
        <w:ind w:left="720"/>
        <w:jc w:val="both"/>
        <w:rPr>
          <w:rFonts w:cstheme="minorHAnsi"/>
          <w:color w:val="000000" w:themeColor="text1"/>
          <w:sz w:val="24"/>
          <w:szCs w:val="24"/>
        </w:rPr>
      </w:pPr>
    </w:p>
    <w:p w14:paraId="1D2DB284" w14:textId="19490D00" w:rsidR="003D1F24" w:rsidRPr="00761D56" w:rsidRDefault="003D1F24" w:rsidP="008F24DD">
      <w:pPr>
        <w:pStyle w:val="ListParagraph"/>
        <w:spacing w:before="240" w:line="276" w:lineRule="auto"/>
        <w:jc w:val="both"/>
        <w:rPr>
          <w:rFonts w:cstheme="minorHAnsi"/>
          <w:color w:val="000000" w:themeColor="text1"/>
          <w:sz w:val="24"/>
          <w:szCs w:val="24"/>
        </w:rPr>
      </w:pPr>
    </w:p>
    <w:p w14:paraId="2D0F2ABD" w14:textId="2B30C6F6" w:rsidR="00BF1578" w:rsidRPr="00761D56" w:rsidRDefault="00BF1578" w:rsidP="008F24DD">
      <w:pPr>
        <w:pStyle w:val="ListParagraph"/>
        <w:spacing w:before="240" w:line="276" w:lineRule="auto"/>
        <w:jc w:val="both"/>
        <w:rPr>
          <w:rFonts w:cstheme="minorHAnsi"/>
          <w:color w:val="000000" w:themeColor="text1"/>
          <w:sz w:val="24"/>
          <w:szCs w:val="24"/>
        </w:rPr>
      </w:pPr>
    </w:p>
    <w:p w14:paraId="53C87789" w14:textId="49DAE658" w:rsidR="00BF1578" w:rsidRPr="00761D56" w:rsidRDefault="00BF1578" w:rsidP="008F24DD">
      <w:pPr>
        <w:pStyle w:val="ListParagraph"/>
        <w:spacing w:before="240" w:line="276" w:lineRule="auto"/>
        <w:jc w:val="both"/>
        <w:rPr>
          <w:rFonts w:cstheme="minorHAnsi"/>
          <w:color w:val="000000" w:themeColor="text1"/>
          <w:sz w:val="24"/>
          <w:szCs w:val="24"/>
        </w:rPr>
      </w:pPr>
    </w:p>
    <w:p w14:paraId="7E6901A1" w14:textId="5E4D60CA" w:rsidR="00BF1578" w:rsidRPr="00761D56" w:rsidRDefault="00BF1578" w:rsidP="008F24DD">
      <w:pPr>
        <w:pStyle w:val="ListParagraph"/>
        <w:spacing w:before="240" w:line="276" w:lineRule="auto"/>
        <w:jc w:val="both"/>
        <w:rPr>
          <w:rFonts w:cstheme="minorHAnsi"/>
          <w:color w:val="000000" w:themeColor="text1"/>
          <w:sz w:val="24"/>
          <w:szCs w:val="24"/>
        </w:rPr>
      </w:pPr>
    </w:p>
    <w:p w14:paraId="0061B7BE" w14:textId="513CD820" w:rsidR="00BF1578" w:rsidRPr="00761D56" w:rsidRDefault="00BF1578" w:rsidP="008F24DD">
      <w:pPr>
        <w:pStyle w:val="ListParagraph"/>
        <w:spacing w:before="240" w:line="276" w:lineRule="auto"/>
        <w:jc w:val="both"/>
        <w:rPr>
          <w:rFonts w:cstheme="minorHAnsi"/>
          <w:color w:val="000000" w:themeColor="text1"/>
          <w:sz w:val="24"/>
          <w:szCs w:val="24"/>
        </w:rPr>
      </w:pPr>
    </w:p>
    <w:p w14:paraId="4D20CAA2" w14:textId="4D6F4615" w:rsidR="00BF1578" w:rsidRPr="00761D56" w:rsidRDefault="00BF1578" w:rsidP="008F24DD">
      <w:pPr>
        <w:spacing w:before="240" w:line="276" w:lineRule="auto"/>
        <w:ind w:left="0" w:firstLine="0"/>
        <w:jc w:val="both"/>
        <w:rPr>
          <w:rFonts w:cstheme="minorHAnsi"/>
          <w:color w:val="000000" w:themeColor="text1"/>
          <w:sz w:val="24"/>
          <w:szCs w:val="24"/>
        </w:rPr>
      </w:pPr>
    </w:p>
    <w:p w14:paraId="4D25E758" w14:textId="54DD11AA" w:rsidR="003D1F24" w:rsidRPr="00761D56" w:rsidRDefault="003D1F24" w:rsidP="008F24DD">
      <w:pPr>
        <w:pStyle w:val="ListParagraph"/>
        <w:spacing w:before="240" w:line="276" w:lineRule="auto"/>
        <w:jc w:val="center"/>
        <w:rPr>
          <w:rFonts w:cstheme="minorHAnsi"/>
          <w:i/>
          <w:iCs/>
          <w:color w:val="000000" w:themeColor="text1"/>
          <w:sz w:val="24"/>
          <w:szCs w:val="24"/>
        </w:rPr>
      </w:pPr>
      <w:r w:rsidRPr="00C92571">
        <w:rPr>
          <w:sz w:val="24"/>
          <w:szCs w:val="24"/>
        </w:rPr>
        <w:lastRenderedPageBreak/>
        <w:t xml:space="preserve">Chart </w:t>
      </w:r>
      <w:r w:rsidR="00CF2B4C" w:rsidRPr="00C92571">
        <w:rPr>
          <w:sz w:val="24"/>
          <w:szCs w:val="24"/>
        </w:rPr>
        <w:t>15</w:t>
      </w:r>
      <w:r w:rsidRPr="00C92571">
        <w:rPr>
          <w:sz w:val="24"/>
          <w:szCs w:val="24"/>
        </w:rPr>
        <w:t>:</w:t>
      </w:r>
      <w:r w:rsidRPr="00761D56">
        <w:rPr>
          <w:rFonts w:cstheme="minorHAnsi"/>
          <w:i/>
          <w:iCs/>
          <w:color w:val="000000" w:themeColor="text1"/>
          <w:sz w:val="24"/>
          <w:szCs w:val="24"/>
        </w:rPr>
        <w:t xml:space="preserve"> cases reported to DJJ from 2018 to 2023</w:t>
      </w:r>
    </w:p>
    <w:p w14:paraId="4228F8A1" w14:textId="45B22959" w:rsidR="003D1F24" w:rsidRPr="00761D56" w:rsidRDefault="003D1F24" w:rsidP="008F24DD">
      <w:pPr>
        <w:pStyle w:val="ListParagraph"/>
        <w:spacing w:before="240" w:line="276" w:lineRule="auto"/>
        <w:jc w:val="both"/>
        <w:rPr>
          <w:rFonts w:cstheme="minorHAnsi"/>
          <w:color w:val="000000" w:themeColor="text1"/>
          <w:sz w:val="24"/>
          <w:szCs w:val="24"/>
        </w:rPr>
      </w:pPr>
    </w:p>
    <w:p w14:paraId="2E31AED4" w14:textId="33F41102" w:rsidR="003D1F24"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NDA is mandated to establish and operate treatment </w:t>
      </w:r>
      <w:r w:rsidR="007E6F50" w:rsidRPr="00761D56">
        <w:rPr>
          <w:rFonts w:cstheme="minorHAnsi"/>
          <w:color w:val="000000" w:themeColor="text1"/>
          <w:sz w:val="24"/>
          <w:szCs w:val="24"/>
        </w:rPr>
        <w:t>centres</w:t>
      </w:r>
      <w:r w:rsidRPr="00761D56">
        <w:rPr>
          <w:rFonts w:cstheme="minorHAnsi"/>
          <w:color w:val="000000" w:themeColor="text1"/>
          <w:sz w:val="24"/>
          <w:szCs w:val="24"/>
        </w:rPr>
        <w:t xml:space="preserve">, including detoxification </w:t>
      </w:r>
      <w:r w:rsidR="007E6F50" w:rsidRPr="00761D56">
        <w:rPr>
          <w:rFonts w:cstheme="minorHAnsi"/>
          <w:color w:val="000000" w:themeColor="text1"/>
          <w:sz w:val="24"/>
          <w:szCs w:val="24"/>
        </w:rPr>
        <w:t>centres</w:t>
      </w:r>
      <w:r w:rsidRPr="00761D56">
        <w:rPr>
          <w:rFonts w:cstheme="minorHAnsi"/>
          <w:color w:val="000000" w:themeColor="text1"/>
          <w:sz w:val="24"/>
          <w:szCs w:val="24"/>
        </w:rPr>
        <w:t xml:space="preserve"> and drug rehabilitation </w:t>
      </w:r>
      <w:r w:rsidR="007E6F50" w:rsidRPr="00761D56">
        <w:rPr>
          <w:rFonts w:cstheme="minorHAnsi"/>
          <w:color w:val="000000" w:themeColor="text1"/>
          <w:sz w:val="24"/>
          <w:szCs w:val="24"/>
        </w:rPr>
        <w:t>centres</w:t>
      </w:r>
      <w:r w:rsidRPr="00761D56">
        <w:rPr>
          <w:rFonts w:cstheme="minorHAnsi"/>
          <w:color w:val="000000" w:themeColor="text1"/>
          <w:sz w:val="24"/>
          <w:szCs w:val="24"/>
        </w:rPr>
        <w:t xml:space="preserve"> for children.</w:t>
      </w:r>
      <w:r w:rsidRPr="00761D56">
        <w:rPr>
          <w:rStyle w:val="EndnoteReference"/>
          <w:rFonts w:cstheme="minorHAnsi"/>
          <w:color w:val="000000" w:themeColor="text1"/>
          <w:sz w:val="24"/>
          <w:szCs w:val="24"/>
        </w:rPr>
        <w:endnoteReference w:id="163"/>
      </w:r>
      <w:r w:rsidRPr="00761D56">
        <w:rPr>
          <w:rFonts w:cstheme="minorHAnsi"/>
          <w:color w:val="000000" w:themeColor="text1"/>
          <w:sz w:val="24"/>
          <w:szCs w:val="24"/>
        </w:rPr>
        <w:t xml:space="preserve"> It is also responsible  to conduct indicative assessments,</w:t>
      </w:r>
      <w:r w:rsidRPr="00761D56">
        <w:rPr>
          <w:rStyle w:val="EndnoteReference"/>
          <w:rFonts w:cstheme="minorHAnsi"/>
          <w:color w:val="000000" w:themeColor="text1"/>
          <w:sz w:val="24"/>
          <w:szCs w:val="24"/>
        </w:rPr>
        <w:endnoteReference w:id="164"/>
      </w:r>
      <w:r w:rsidRPr="00761D56">
        <w:rPr>
          <w:rFonts w:cstheme="minorHAnsi"/>
          <w:color w:val="000000" w:themeColor="text1"/>
          <w:sz w:val="24"/>
          <w:szCs w:val="24"/>
        </w:rPr>
        <w:t xml:space="preserve"> license and regulate treatment </w:t>
      </w:r>
      <w:r w:rsidR="007E6F50" w:rsidRPr="00761D56">
        <w:rPr>
          <w:rFonts w:cstheme="minorHAnsi"/>
          <w:color w:val="000000" w:themeColor="text1"/>
          <w:sz w:val="24"/>
          <w:szCs w:val="24"/>
        </w:rPr>
        <w:t>centres</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65"/>
      </w:r>
      <w:r w:rsidRPr="00761D56">
        <w:rPr>
          <w:rFonts w:cstheme="minorHAnsi"/>
          <w:color w:val="000000" w:themeColor="text1"/>
          <w:sz w:val="24"/>
          <w:szCs w:val="24"/>
        </w:rPr>
        <w:t xml:space="preserve"> and monitor their operations.</w:t>
      </w:r>
      <w:r w:rsidRPr="00761D56">
        <w:rPr>
          <w:rStyle w:val="EndnoteReference"/>
          <w:rFonts w:cstheme="minorHAnsi"/>
          <w:color w:val="000000" w:themeColor="text1"/>
          <w:sz w:val="24"/>
          <w:szCs w:val="24"/>
        </w:rPr>
        <w:endnoteReference w:id="166"/>
      </w:r>
      <w:r w:rsidRPr="00761D56">
        <w:rPr>
          <w:rFonts w:cstheme="minorHAnsi"/>
          <w:color w:val="000000" w:themeColor="text1"/>
          <w:sz w:val="24"/>
          <w:szCs w:val="24"/>
        </w:rPr>
        <w:t xml:space="preserve"> Moreover, NDA is to coordinate treatment for children upon request by a parent or guardian</w:t>
      </w:r>
      <w:r w:rsidRPr="00761D56">
        <w:rPr>
          <w:rStyle w:val="EndnoteReference"/>
          <w:rFonts w:cstheme="minorHAnsi"/>
          <w:color w:val="000000" w:themeColor="text1"/>
          <w:sz w:val="24"/>
          <w:szCs w:val="24"/>
        </w:rPr>
        <w:endnoteReference w:id="167"/>
      </w:r>
      <w:r w:rsidRPr="00761D56">
        <w:rPr>
          <w:rFonts w:cstheme="minorHAnsi"/>
          <w:color w:val="000000" w:themeColor="text1"/>
          <w:sz w:val="24"/>
          <w:szCs w:val="24"/>
        </w:rPr>
        <w:t xml:space="preserve">  and to maintain a register of individuals receiving treatment, including children.</w:t>
      </w:r>
      <w:r w:rsidRPr="00761D56">
        <w:rPr>
          <w:rStyle w:val="EndnoteReference"/>
          <w:rFonts w:cstheme="minorHAnsi"/>
          <w:color w:val="000000" w:themeColor="text1"/>
          <w:sz w:val="24"/>
          <w:szCs w:val="24"/>
        </w:rPr>
        <w:endnoteReference w:id="168"/>
      </w:r>
    </w:p>
    <w:p w14:paraId="59AE5C83" w14:textId="53F562D8" w:rsidR="003D1F24"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The absence of dedicated drug rehabilitation centres for minors, not only restricts access to age-appropriate drug treatment programs for substance use disorders and undermines the effectiveness of early intervention and long-term rehabilitation, particularly for children and adolescents. </w:t>
      </w:r>
      <w:r w:rsidRPr="00761D56">
        <w:rPr>
          <w:rStyle w:val="EndnoteReference"/>
          <w:rFonts w:cstheme="minorHAnsi"/>
          <w:color w:val="000000" w:themeColor="text1"/>
          <w:sz w:val="24"/>
          <w:szCs w:val="24"/>
        </w:rPr>
        <w:endnoteReference w:id="169"/>
      </w:r>
      <w:r w:rsidRPr="00761D56">
        <w:rPr>
          <w:rFonts w:cstheme="minorHAnsi"/>
          <w:color w:val="000000" w:themeColor="text1"/>
          <w:sz w:val="24"/>
          <w:szCs w:val="24"/>
        </w:rPr>
        <w:t>.</w:t>
      </w:r>
    </w:p>
    <w:p w14:paraId="02F8ABCC" w14:textId="435236CB" w:rsidR="003D1F24"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The NDA lacks a national policy and strategic action plan, leading to inconsistent implementation of drug prevention and rehabilitation measures due to shifting priorities with changes in administration and leadership.</w:t>
      </w:r>
      <w:r w:rsidRPr="00761D56">
        <w:rPr>
          <w:rStyle w:val="EndnoteReference"/>
          <w:rFonts w:cstheme="minorHAnsi"/>
          <w:color w:val="000000" w:themeColor="text1"/>
          <w:sz w:val="24"/>
          <w:szCs w:val="24"/>
        </w:rPr>
        <w:endnoteReference w:id="170"/>
      </w:r>
      <w:r w:rsidRPr="00761D56">
        <w:rPr>
          <w:rFonts w:cstheme="minorHAnsi"/>
          <w:color w:val="000000" w:themeColor="text1"/>
          <w:sz w:val="24"/>
          <w:szCs w:val="24"/>
        </w:rPr>
        <w:t xml:space="preserve"> Existing policies do not adequately prioritize the specific needs of children and lack specialized frameworks to address the complex challenges they face in accessing treatment and support.</w:t>
      </w:r>
      <w:r w:rsidRPr="00761D56">
        <w:rPr>
          <w:rStyle w:val="EndnoteReference"/>
          <w:rFonts w:cstheme="minorHAnsi"/>
          <w:color w:val="000000" w:themeColor="text1"/>
          <w:sz w:val="24"/>
          <w:szCs w:val="24"/>
        </w:rPr>
        <w:endnoteReference w:id="171"/>
      </w:r>
      <w:r w:rsidRPr="00761D56">
        <w:rPr>
          <w:rFonts w:cstheme="minorHAnsi"/>
          <w:color w:val="000000" w:themeColor="text1"/>
          <w:sz w:val="24"/>
          <w:szCs w:val="24"/>
        </w:rPr>
        <w:t xml:space="preserve"> </w:t>
      </w:r>
    </w:p>
    <w:p w14:paraId="18E3693C" w14:textId="6344A4D4" w:rsidR="003D1F24" w:rsidRPr="00761D56" w:rsidRDefault="009055B9"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R</w:t>
      </w:r>
      <w:r w:rsidR="003D1F24" w:rsidRPr="00761D56">
        <w:rPr>
          <w:rFonts w:cstheme="minorHAnsi"/>
          <w:color w:val="000000" w:themeColor="text1"/>
          <w:sz w:val="24"/>
          <w:szCs w:val="24"/>
        </w:rPr>
        <w:t>esources constraints limit the development of follow-up and aftercare services, making it challenging to monitor children’s progress after treatment.</w:t>
      </w:r>
      <w:r w:rsidR="003D1F24" w:rsidRPr="00761D56">
        <w:rPr>
          <w:rStyle w:val="EndnoteReference"/>
          <w:rFonts w:cstheme="minorHAnsi"/>
          <w:color w:val="000000" w:themeColor="text1"/>
          <w:sz w:val="24"/>
          <w:szCs w:val="24"/>
        </w:rPr>
        <w:endnoteReference w:id="172"/>
      </w:r>
      <w:r w:rsidR="003D1F24" w:rsidRPr="00761D56">
        <w:rPr>
          <w:rFonts w:cstheme="minorHAnsi"/>
          <w:color w:val="000000" w:themeColor="text1"/>
          <w:sz w:val="24"/>
          <w:szCs w:val="24"/>
        </w:rPr>
        <w:t xml:space="preserve"> </w:t>
      </w:r>
    </w:p>
    <w:p w14:paraId="3696EC8C" w14:textId="07A72F07" w:rsidR="003D1F24"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The NDA’s ability to design and implement targeted drug prevention interventions for vulnerable youth remains significantly constrained. The absence of youth-focused programs, limited availability of trained professionals, and insufficient technical capacity undermine efforts to develop culturally appropriate prevention strategies.</w:t>
      </w:r>
      <w:r w:rsidRPr="00761D56">
        <w:rPr>
          <w:rStyle w:val="EndnoteReference"/>
          <w:rFonts w:cstheme="minorHAnsi"/>
          <w:color w:val="000000" w:themeColor="text1"/>
          <w:sz w:val="24"/>
          <w:szCs w:val="24"/>
        </w:rPr>
        <w:endnoteReference w:id="173"/>
      </w:r>
      <w:r w:rsidRPr="00761D56">
        <w:rPr>
          <w:rStyle w:val="EndnoteReference"/>
          <w:rFonts w:cstheme="minorHAnsi"/>
          <w:color w:val="000000" w:themeColor="text1"/>
          <w:sz w:val="24"/>
          <w:szCs w:val="24"/>
        </w:rPr>
        <w:t xml:space="preserve"> </w:t>
      </w:r>
    </w:p>
    <w:p w14:paraId="330AF445" w14:textId="77777777" w:rsidR="002021C3" w:rsidRPr="00761D56" w:rsidRDefault="002021C3" w:rsidP="008F24DD">
      <w:pPr>
        <w:pStyle w:val="ListParagraph"/>
        <w:spacing w:before="240" w:line="276" w:lineRule="auto"/>
        <w:ind w:left="1080" w:firstLine="0"/>
        <w:jc w:val="both"/>
        <w:rPr>
          <w:rFonts w:cstheme="minorHAnsi"/>
          <w:color w:val="000000" w:themeColor="text1"/>
          <w:sz w:val="24"/>
          <w:szCs w:val="24"/>
        </w:rPr>
      </w:pPr>
    </w:p>
    <w:p w14:paraId="56FD7E31" w14:textId="77777777" w:rsidR="003D1F24" w:rsidRPr="00761D56" w:rsidRDefault="003D1F24"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Recommendations</w:t>
      </w:r>
    </w:p>
    <w:p w14:paraId="55DEF4A4" w14:textId="77777777" w:rsidR="003D1F24" w:rsidRPr="00761D56" w:rsidRDefault="003D1F24" w:rsidP="008F24DD">
      <w:pPr>
        <w:pStyle w:val="ListParagraph"/>
        <w:numPr>
          <w:ilvl w:val="0"/>
          <w:numId w:val="20"/>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Adopt a national legal and policy framework that mandates age-appropriate, evidence-based drug prevention programmes in schools, integrates comprehensive health education into the curriculum, and establishes clear guidelines for implementation.</w:t>
      </w:r>
    </w:p>
    <w:p w14:paraId="1B148504" w14:textId="77777777" w:rsidR="003D1F24" w:rsidRPr="00761D56" w:rsidRDefault="003D1F24" w:rsidP="008F24DD">
      <w:pPr>
        <w:pStyle w:val="ListParagraph"/>
        <w:numPr>
          <w:ilvl w:val="0"/>
          <w:numId w:val="20"/>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Develop tailored rehabilitation and reintegration programmes for CICL, ensuring access to alternative education, vocational training, and psychosocial support, while addressing stigma and discrimination.</w:t>
      </w:r>
    </w:p>
    <w:p w14:paraId="7D3FA9B0" w14:textId="77777777" w:rsidR="003D1F24" w:rsidRPr="00761D56" w:rsidRDefault="003D1F24" w:rsidP="008F24DD">
      <w:pPr>
        <w:pStyle w:val="ListParagraph"/>
        <w:numPr>
          <w:ilvl w:val="0"/>
          <w:numId w:val="20"/>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Establish dedicated child-friendly rehabilitation centres and invest in training multidisciplinary teams to deliver trauma-informed, gender-sensitive, and community-based interventions. Integrate family counselling, aftercare services, and interagency coordination into rehabilitation strategies.</w:t>
      </w:r>
    </w:p>
    <w:p w14:paraId="0E5DD0D5" w14:textId="77777777" w:rsidR="003D1F24" w:rsidRPr="00761D56" w:rsidRDefault="003D1F24" w:rsidP="008F24DD">
      <w:pPr>
        <w:pStyle w:val="ListParagraph"/>
        <w:numPr>
          <w:ilvl w:val="0"/>
          <w:numId w:val="20"/>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lastRenderedPageBreak/>
        <w:t>Implement public awareness campaigns to reduce stigma, promote access to treatment, and develop child-sensitive reporting mechanisms that protect confidentiality and rights.</w:t>
      </w:r>
    </w:p>
    <w:p w14:paraId="54C750F4" w14:textId="77777777" w:rsidR="003D1F24" w:rsidRPr="00761D56" w:rsidRDefault="003D1F24" w:rsidP="008F24DD">
      <w:pPr>
        <w:pStyle w:val="ListParagraph"/>
        <w:numPr>
          <w:ilvl w:val="0"/>
          <w:numId w:val="20"/>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Adopt a comprehensive national strategy on drug prevention and rehabilitation for children, allocate sufficient resources, and strengthen interagency coordination through a formal mechanism that includes civil society and community stakeholders.</w:t>
      </w:r>
    </w:p>
    <w:p w14:paraId="7D797ED2" w14:textId="77777777" w:rsidR="003D1F24" w:rsidRPr="00761D56" w:rsidRDefault="003D1F24" w:rsidP="008F24DD">
      <w:pPr>
        <w:spacing w:before="240" w:line="276" w:lineRule="auto"/>
        <w:ind w:left="720"/>
        <w:jc w:val="both"/>
        <w:rPr>
          <w:rFonts w:cstheme="minorHAnsi"/>
          <w:b/>
          <w:bCs/>
          <w:color w:val="000000" w:themeColor="text1"/>
          <w:sz w:val="24"/>
          <w:szCs w:val="24"/>
        </w:rPr>
      </w:pPr>
    </w:p>
    <w:p w14:paraId="3B0E9CF0" w14:textId="2E94A8BA" w:rsidR="003D1F24" w:rsidRPr="00761D56" w:rsidRDefault="003D1F24" w:rsidP="008F24DD">
      <w:pPr>
        <w:pStyle w:val="Heading1"/>
        <w:spacing w:line="276" w:lineRule="auto"/>
        <w:jc w:val="both"/>
        <w:rPr>
          <w:rFonts w:asciiTheme="minorHAnsi" w:hAnsiTheme="minorHAnsi" w:cstheme="minorHAnsi"/>
          <w:color w:val="000000" w:themeColor="text1"/>
        </w:rPr>
      </w:pPr>
      <w:bookmarkStart w:id="28" w:name="_Toc216692803"/>
      <w:r w:rsidRPr="00761D56">
        <w:rPr>
          <w:rFonts w:asciiTheme="minorHAnsi" w:hAnsiTheme="minorHAnsi" w:cstheme="minorHAnsi"/>
          <w:color w:val="000000" w:themeColor="text1"/>
        </w:rPr>
        <w:t xml:space="preserve">Article 34 &amp; 36 </w:t>
      </w:r>
      <w:r w:rsidR="001A22A1" w:rsidRPr="00761D56">
        <w:rPr>
          <w:rFonts w:asciiTheme="minorHAnsi" w:hAnsiTheme="minorHAnsi" w:cstheme="minorHAnsi"/>
          <w:color w:val="000000" w:themeColor="text1"/>
        </w:rPr>
        <w:t xml:space="preserve">- </w:t>
      </w:r>
      <w:r w:rsidRPr="00761D56">
        <w:rPr>
          <w:rFonts w:asciiTheme="minorHAnsi" w:hAnsiTheme="minorHAnsi" w:cstheme="minorHAnsi"/>
          <w:color w:val="000000" w:themeColor="text1"/>
        </w:rPr>
        <w:t>Sexual Exploitation and other forms of exploitation</w:t>
      </w:r>
      <w:bookmarkEnd w:id="28"/>
    </w:p>
    <w:p w14:paraId="33538C58" w14:textId="6A85A55C" w:rsidR="00AD010D" w:rsidRPr="00761D56" w:rsidRDefault="003D1F24"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Analysis of child sexual offence data in the Maldives from 2016 to 2024 underscores an ongoing and significant challenge in safeguarding children from sexual abuse and exploitation</w:t>
      </w:r>
      <w:r w:rsidR="00CF2B4C" w:rsidRPr="00761D56">
        <w:rPr>
          <w:rFonts w:cstheme="minorHAnsi"/>
          <w:color w:val="000000" w:themeColor="text1"/>
          <w:sz w:val="24"/>
          <w:szCs w:val="24"/>
        </w:rPr>
        <w:t xml:space="preserve"> (</w:t>
      </w:r>
      <w:r w:rsidR="00CF2B4C" w:rsidRPr="00C92571">
        <w:t>see Chart 16</w:t>
      </w:r>
      <w:r w:rsidR="00CF2B4C" w:rsidRPr="00761D56">
        <w:rPr>
          <w:rFonts w:cstheme="minorHAnsi"/>
          <w:color w:val="000000" w:themeColor="text1"/>
          <w:sz w:val="24"/>
          <w:szCs w:val="24"/>
        </w:rPr>
        <w:t>)</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74"/>
      </w:r>
      <w:r w:rsidRPr="00761D56">
        <w:rPr>
          <w:rFonts w:cstheme="minorHAnsi"/>
          <w:color w:val="000000" w:themeColor="text1"/>
          <w:sz w:val="24"/>
          <w:szCs w:val="24"/>
        </w:rPr>
        <w:t xml:space="preserve"> During this period, a total of 1,943 cases of child sexual abuse were reported, with 1,919 of these cases undergoing investigation. While the high rate of investigation reflects the authorities’ prompt response to reported incidents, only 531 cases were subsequently referred to the Prosecutor General’s Office for potential prosecution. </w:t>
      </w:r>
      <w:r w:rsidRPr="00761D56">
        <w:rPr>
          <w:rStyle w:val="EndnoteReference"/>
          <w:rFonts w:cstheme="minorHAnsi"/>
          <w:color w:val="000000" w:themeColor="text1"/>
          <w:sz w:val="24"/>
          <w:szCs w:val="24"/>
        </w:rPr>
        <w:endnoteReference w:id="175"/>
      </w:r>
    </w:p>
    <w:p w14:paraId="43B9C6A4" w14:textId="77777777" w:rsidR="003D1F24" w:rsidRPr="00761D56" w:rsidRDefault="003D1F24" w:rsidP="008F24DD">
      <w:pPr>
        <w:spacing w:before="240" w:line="276" w:lineRule="auto"/>
        <w:ind w:left="720"/>
        <w:jc w:val="both"/>
        <w:rPr>
          <w:rFonts w:cstheme="minorHAnsi"/>
          <w:color w:val="000000" w:themeColor="text1"/>
          <w:sz w:val="24"/>
          <w:szCs w:val="24"/>
        </w:rPr>
      </w:pPr>
      <w:r w:rsidRPr="00761D56">
        <w:rPr>
          <w:rFonts w:cstheme="minorHAnsi"/>
          <w:noProof/>
          <w:color w:val="000000" w:themeColor="text1"/>
          <w:sz w:val="24"/>
          <w:szCs w:val="24"/>
        </w:rPr>
        <w:drawing>
          <wp:anchor distT="0" distB="0" distL="114300" distR="114300" simplePos="0" relativeHeight="251661312" behindDoc="0" locked="0" layoutInCell="1" allowOverlap="1" wp14:anchorId="500071D4" wp14:editId="341FE49C">
            <wp:simplePos x="0" y="0"/>
            <wp:positionH relativeFrom="margin">
              <wp:posOffset>1088442</wp:posOffset>
            </wp:positionH>
            <wp:positionV relativeFrom="paragraph">
              <wp:posOffset>54953</wp:posOffset>
            </wp:positionV>
            <wp:extent cx="4053254" cy="2708031"/>
            <wp:effectExtent l="0" t="0" r="4445" b="16510"/>
            <wp:wrapNone/>
            <wp:docPr id="2017454605" name="Chart 1">
              <a:extLst xmlns:a="http://schemas.openxmlformats.org/drawingml/2006/main">
                <a:ext uri="{FF2B5EF4-FFF2-40B4-BE49-F238E27FC236}">
                  <a16:creationId xmlns:a16="http://schemas.microsoft.com/office/drawing/2014/main" id="{D50D13C4-B85A-31B1-15A4-D40F5835F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49065EF0" w14:textId="77777777" w:rsidR="003D1F24" w:rsidRPr="00761D56" w:rsidRDefault="003D1F24" w:rsidP="008F24DD">
      <w:pPr>
        <w:spacing w:before="240" w:line="276" w:lineRule="auto"/>
        <w:ind w:left="720"/>
        <w:jc w:val="both"/>
        <w:rPr>
          <w:rFonts w:cstheme="minorHAnsi"/>
          <w:color w:val="000000" w:themeColor="text1"/>
          <w:sz w:val="24"/>
          <w:szCs w:val="24"/>
        </w:rPr>
      </w:pPr>
    </w:p>
    <w:p w14:paraId="14750378" w14:textId="77777777" w:rsidR="003D1F24" w:rsidRPr="00761D56" w:rsidRDefault="003D1F24" w:rsidP="008F24DD">
      <w:pPr>
        <w:spacing w:before="240" w:line="276" w:lineRule="auto"/>
        <w:ind w:left="720"/>
        <w:jc w:val="both"/>
        <w:rPr>
          <w:rFonts w:cstheme="minorHAnsi"/>
          <w:color w:val="000000" w:themeColor="text1"/>
          <w:sz w:val="24"/>
          <w:szCs w:val="24"/>
        </w:rPr>
      </w:pPr>
    </w:p>
    <w:p w14:paraId="6812C3BF" w14:textId="77777777" w:rsidR="003D1F24" w:rsidRPr="00761D56" w:rsidRDefault="003D1F24" w:rsidP="008F24DD">
      <w:pPr>
        <w:spacing w:before="240" w:line="276" w:lineRule="auto"/>
        <w:ind w:left="720"/>
        <w:jc w:val="both"/>
        <w:rPr>
          <w:rFonts w:cstheme="minorHAnsi"/>
          <w:color w:val="000000" w:themeColor="text1"/>
          <w:sz w:val="24"/>
          <w:szCs w:val="24"/>
        </w:rPr>
      </w:pPr>
    </w:p>
    <w:p w14:paraId="32EC5639" w14:textId="77777777" w:rsidR="003D1F24" w:rsidRPr="00761D56" w:rsidRDefault="003D1F24" w:rsidP="008F24DD">
      <w:pPr>
        <w:spacing w:before="240" w:line="276" w:lineRule="auto"/>
        <w:ind w:left="720"/>
        <w:jc w:val="both"/>
        <w:rPr>
          <w:rFonts w:cstheme="minorHAnsi"/>
          <w:color w:val="000000" w:themeColor="text1"/>
          <w:sz w:val="24"/>
          <w:szCs w:val="24"/>
        </w:rPr>
      </w:pPr>
    </w:p>
    <w:p w14:paraId="2FB48866" w14:textId="77777777" w:rsidR="003D1F24" w:rsidRPr="00761D56" w:rsidRDefault="003D1F24" w:rsidP="008F24DD">
      <w:pPr>
        <w:spacing w:before="240" w:line="276" w:lineRule="auto"/>
        <w:ind w:left="720"/>
        <w:jc w:val="both"/>
        <w:rPr>
          <w:rFonts w:cstheme="minorHAnsi"/>
          <w:color w:val="000000" w:themeColor="text1"/>
          <w:sz w:val="24"/>
          <w:szCs w:val="24"/>
        </w:rPr>
      </w:pPr>
    </w:p>
    <w:p w14:paraId="3BE173AB" w14:textId="77777777" w:rsidR="003D1F24" w:rsidRPr="00761D56" w:rsidRDefault="003D1F24" w:rsidP="008F24DD">
      <w:pPr>
        <w:spacing w:before="240" w:line="276" w:lineRule="auto"/>
        <w:ind w:left="720"/>
        <w:jc w:val="both"/>
        <w:rPr>
          <w:rFonts w:cstheme="minorHAnsi"/>
          <w:color w:val="000000" w:themeColor="text1"/>
          <w:sz w:val="24"/>
          <w:szCs w:val="24"/>
        </w:rPr>
      </w:pPr>
    </w:p>
    <w:p w14:paraId="531F2CF4" w14:textId="77777777" w:rsidR="003D1F24" w:rsidRPr="00761D56" w:rsidRDefault="003D1F24" w:rsidP="008F24DD">
      <w:pPr>
        <w:spacing w:before="240" w:line="276" w:lineRule="auto"/>
        <w:ind w:left="720"/>
        <w:jc w:val="both"/>
        <w:rPr>
          <w:rFonts w:cstheme="minorHAnsi"/>
          <w:color w:val="000000" w:themeColor="text1"/>
          <w:sz w:val="24"/>
          <w:szCs w:val="24"/>
        </w:rPr>
      </w:pPr>
    </w:p>
    <w:p w14:paraId="02B40A6C" w14:textId="6AFD077C" w:rsidR="003D1F24" w:rsidRPr="00761D56" w:rsidRDefault="003D1F24" w:rsidP="008F24DD">
      <w:pPr>
        <w:spacing w:before="240" w:line="276" w:lineRule="auto"/>
        <w:ind w:left="0" w:firstLine="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CF2B4C" w:rsidRPr="00761D56">
        <w:rPr>
          <w:rFonts w:cstheme="minorHAnsi"/>
          <w:i/>
          <w:iCs/>
          <w:color w:val="000000" w:themeColor="text1"/>
          <w:sz w:val="24"/>
          <w:szCs w:val="24"/>
        </w:rPr>
        <w:t>16</w:t>
      </w:r>
      <w:r w:rsidRPr="00761D56">
        <w:rPr>
          <w:rFonts w:cstheme="minorHAnsi"/>
          <w:i/>
          <w:iCs/>
          <w:color w:val="000000" w:themeColor="text1"/>
          <w:sz w:val="24"/>
          <w:szCs w:val="24"/>
        </w:rPr>
        <w:t>: Child Sexual Abuse Cases</w:t>
      </w:r>
      <w:r w:rsidR="00EA6CDB" w:rsidRPr="00761D56">
        <w:rPr>
          <w:rFonts w:cstheme="minorHAnsi"/>
          <w:i/>
          <w:iCs/>
          <w:color w:val="000000" w:themeColor="text1"/>
          <w:sz w:val="24"/>
          <w:szCs w:val="24"/>
        </w:rPr>
        <w:t xml:space="preserve"> reported to MPS</w:t>
      </w:r>
      <w:r w:rsidR="00CF2B4C" w:rsidRPr="00761D56">
        <w:rPr>
          <w:rFonts w:cstheme="minorHAnsi"/>
          <w:i/>
          <w:iCs/>
          <w:color w:val="000000" w:themeColor="text1"/>
          <w:sz w:val="24"/>
          <w:szCs w:val="24"/>
        </w:rPr>
        <w:t xml:space="preserve"> from</w:t>
      </w:r>
      <w:r w:rsidRPr="00761D56">
        <w:rPr>
          <w:rFonts w:cstheme="minorHAnsi"/>
          <w:i/>
          <w:iCs/>
          <w:color w:val="000000" w:themeColor="text1"/>
          <w:sz w:val="24"/>
          <w:szCs w:val="24"/>
        </w:rPr>
        <w:t xml:space="preserve"> 2016 </w:t>
      </w:r>
      <w:r w:rsidR="00CF2B4C" w:rsidRPr="00761D56">
        <w:rPr>
          <w:rFonts w:cstheme="minorHAnsi"/>
          <w:i/>
          <w:iCs/>
          <w:color w:val="000000" w:themeColor="text1"/>
          <w:sz w:val="24"/>
          <w:szCs w:val="24"/>
        </w:rPr>
        <w:t>to</w:t>
      </w:r>
      <w:r w:rsidRPr="00761D56">
        <w:rPr>
          <w:rFonts w:cstheme="minorHAnsi"/>
          <w:i/>
          <w:iCs/>
          <w:color w:val="000000" w:themeColor="text1"/>
          <w:sz w:val="24"/>
          <w:szCs w:val="24"/>
        </w:rPr>
        <w:t xml:space="preserve"> 2024</w:t>
      </w:r>
    </w:p>
    <w:p w14:paraId="6EC3BF84" w14:textId="77777777" w:rsidR="00E254F2" w:rsidRPr="00761D56" w:rsidRDefault="00E254F2"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 xml:space="preserve">Although the Maldives has implemented several awareness initiatives on the sexual exploitation of children, including refresher programs for police officers, awareness </w:t>
      </w:r>
      <w:r w:rsidRPr="00761D56">
        <w:rPr>
          <w:rFonts w:cstheme="minorHAnsi"/>
          <w:color w:val="000000" w:themeColor="text1"/>
          <w:sz w:val="24"/>
          <w:szCs w:val="24"/>
        </w:rPr>
        <w:lastRenderedPageBreak/>
        <w:t>sessions for children, teachers, and parents, and information dissemination through mass media, these measures remain largely insufficient.</w:t>
      </w:r>
      <w:r w:rsidRPr="00761D56">
        <w:rPr>
          <w:rStyle w:val="EndnoteReference"/>
          <w:rFonts w:cstheme="minorHAnsi"/>
          <w:color w:val="000000" w:themeColor="text1"/>
          <w:sz w:val="24"/>
          <w:szCs w:val="24"/>
        </w:rPr>
        <w:endnoteReference w:id="176"/>
      </w:r>
      <w:r w:rsidRPr="00761D56">
        <w:rPr>
          <w:rFonts w:cstheme="minorHAnsi"/>
          <w:color w:val="000000" w:themeColor="text1"/>
          <w:sz w:val="24"/>
          <w:szCs w:val="24"/>
        </w:rPr>
        <w:t xml:space="preserve"> Persistent financial constraints severely limit the reach and continuity of such programs, while the lack of specialized expertise in child protection diminishes their effectiveness and quality. </w:t>
      </w:r>
      <w:r w:rsidRPr="00761D56">
        <w:rPr>
          <w:rStyle w:val="EndnoteReference"/>
          <w:rFonts w:cstheme="minorHAnsi"/>
          <w:color w:val="000000" w:themeColor="text1"/>
          <w:sz w:val="24"/>
          <w:szCs w:val="24"/>
        </w:rPr>
        <w:endnoteReference w:id="177"/>
      </w:r>
    </w:p>
    <w:p w14:paraId="6697254F" w14:textId="33144D18" w:rsidR="00E254F2" w:rsidRPr="00761D56" w:rsidRDefault="00E254F2"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It is of grave concern that the Clemency Act</w:t>
      </w:r>
      <w:r w:rsidR="00395CE5" w:rsidRPr="00761D56">
        <w:rPr>
          <w:rFonts w:cstheme="minorHAnsi"/>
          <w:color w:val="000000" w:themeColor="text1"/>
          <w:sz w:val="24"/>
          <w:szCs w:val="24"/>
        </w:rPr>
        <w:t xml:space="preserve"> (Act no 02/2010)</w:t>
      </w:r>
      <w:r w:rsidRPr="00761D56">
        <w:rPr>
          <w:rFonts w:cstheme="minorHAnsi"/>
          <w:color w:val="000000" w:themeColor="text1"/>
          <w:sz w:val="24"/>
          <w:szCs w:val="24"/>
        </w:rPr>
        <w:t xml:space="preserve"> allows the President to remit the remaining sentence of any convict, potentially reducing a sentence from several years to just a few days, with no minimum period set for the remission.</w:t>
      </w:r>
      <w:r w:rsidRPr="00761D56">
        <w:rPr>
          <w:rStyle w:val="EndnoteReference"/>
          <w:rFonts w:cstheme="minorHAnsi"/>
          <w:color w:val="000000" w:themeColor="text1"/>
          <w:sz w:val="24"/>
          <w:szCs w:val="24"/>
        </w:rPr>
        <w:endnoteReference w:id="178"/>
      </w:r>
      <w:r w:rsidR="00622DC2" w:rsidRPr="00761D56">
        <w:rPr>
          <w:rFonts w:cstheme="minorHAnsi"/>
          <w:color w:val="000000" w:themeColor="text1"/>
          <w:sz w:val="24"/>
          <w:szCs w:val="24"/>
        </w:rPr>
        <w:t xml:space="preserve"> </w:t>
      </w:r>
      <w:r w:rsidRPr="00761D56">
        <w:rPr>
          <w:rFonts w:cstheme="minorHAnsi"/>
          <w:color w:val="000000" w:themeColor="text1"/>
          <w:sz w:val="24"/>
          <w:szCs w:val="24"/>
        </w:rPr>
        <w:t>While the Act prohibits pardoning child sexual abuse offenders, it still allows the President to significantly reduce their sentence to a few days, under certain conditions such as if the person has completed 1/4th of their sentence</w:t>
      </w:r>
      <w:r w:rsidR="006308E8" w:rsidRPr="00761D56">
        <w:rPr>
          <w:rFonts w:cstheme="minorHAnsi"/>
          <w:color w:val="000000" w:themeColor="text1"/>
          <w:sz w:val="24"/>
          <w:szCs w:val="24"/>
        </w:rPr>
        <w:t xml:space="preserve"> </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79"/>
      </w:r>
    </w:p>
    <w:p w14:paraId="4F7F395D" w14:textId="37CF1FD4" w:rsidR="00E254F2" w:rsidRPr="00761D56" w:rsidRDefault="00E254F2"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Data on other forms of exploitation indicates a consistent pattern of substantial reporting and thorough investigation, yet a strikingly low rate of legal accountability.</w:t>
      </w:r>
      <w:r w:rsidRPr="00761D56">
        <w:rPr>
          <w:rStyle w:val="EndnoteReference"/>
          <w:rFonts w:cstheme="minorHAnsi"/>
          <w:color w:val="000000" w:themeColor="text1"/>
          <w:sz w:val="24"/>
          <w:szCs w:val="24"/>
        </w:rPr>
        <w:endnoteReference w:id="180"/>
      </w:r>
      <w:r w:rsidRPr="00761D56">
        <w:rPr>
          <w:rFonts w:cstheme="minorHAnsi"/>
          <w:color w:val="000000" w:themeColor="text1"/>
          <w:sz w:val="24"/>
          <w:szCs w:val="24"/>
        </w:rPr>
        <w:t xml:space="preserve"> In 2024, threatening (31 cases) and blackmail (26 cases) were the most commonly reported incidents, with investigations conducted in nearly all instances; however, referrals for prosecution were virtually </w:t>
      </w:r>
      <w:r w:rsidR="007E6F50" w:rsidRPr="00761D56">
        <w:rPr>
          <w:rFonts w:cstheme="minorHAnsi"/>
          <w:color w:val="000000" w:themeColor="text1"/>
          <w:sz w:val="24"/>
          <w:szCs w:val="24"/>
        </w:rPr>
        <w:t>non-existent</w:t>
      </w:r>
      <w:r w:rsidRPr="00761D56">
        <w:rPr>
          <w:rFonts w:cstheme="minorHAnsi"/>
          <w:color w:val="000000" w:themeColor="text1"/>
          <w:sz w:val="24"/>
          <w:szCs w:val="24"/>
        </w:rPr>
        <w:t xml:space="preserve"> </w:t>
      </w:r>
      <w:r w:rsidRPr="00761D56">
        <w:rPr>
          <w:rFonts w:cstheme="minorHAnsi"/>
          <w:color w:val="000000" w:themeColor="text1"/>
          <w:sz w:val="24"/>
          <w:szCs w:val="24"/>
          <w:shd w:val="clear" w:color="auto" w:fill="E2EFD9" w:themeFill="accent6" w:themeFillTint="33"/>
        </w:rPr>
        <w:t>(</w:t>
      </w:r>
      <w:r w:rsidRPr="00925D2C">
        <w:rPr>
          <w:sz w:val="24"/>
          <w:szCs w:val="24"/>
        </w:rPr>
        <w:t xml:space="preserve">See Chart </w:t>
      </w:r>
      <w:r w:rsidR="00CF2B4C" w:rsidRPr="00925D2C">
        <w:rPr>
          <w:sz w:val="24"/>
          <w:szCs w:val="24"/>
        </w:rPr>
        <w:t>17</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81"/>
      </w:r>
    </w:p>
    <w:p w14:paraId="5EC893AD" w14:textId="77777777" w:rsidR="00E254F2" w:rsidRPr="00761D56" w:rsidRDefault="00E254F2" w:rsidP="008F24DD">
      <w:pPr>
        <w:pStyle w:val="ListParagraph"/>
        <w:spacing w:before="240" w:line="276" w:lineRule="auto"/>
        <w:jc w:val="both"/>
        <w:rPr>
          <w:rFonts w:cstheme="minorHAnsi"/>
          <w:color w:val="000000" w:themeColor="text1"/>
          <w:sz w:val="24"/>
          <w:szCs w:val="24"/>
        </w:rPr>
      </w:pPr>
    </w:p>
    <w:p w14:paraId="4FD64D75" w14:textId="77777777" w:rsidR="00E254F2" w:rsidRPr="00761D56" w:rsidRDefault="00E254F2" w:rsidP="008F24DD">
      <w:pPr>
        <w:pStyle w:val="ListParagraph"/>
        <w:spacing w:before="240" w:line="276" w:lineRule="auto"/>
        <w:jc w:val="both"/>
        <w:rPr>
          <w:rFonts w:cstheme="minorHAnsi"/>
          <w:b/>
          <w:bCs/>
          <w:color w:val="000000" w:themeColor="text1"/>
          <w:sz w:val="24"/>
          <w:szCs w:val="24"/>
        </w:rPr>
      </w:pPr>
      <w:r w:rsidRPr="00761D56">
        <w:rPr>
          <w:rFonts w:cstheme="minorHAnsi"/>
          <w:noProof/>
          <w:color w:val="000000" w:themeColor="text1"/>
          <w:sz w:val="24"/>
          <w:szCs w:val="24"/>
        </w:rPr>
        <w:drawing>
          <wp:inline distT="0" distB="0" distL="0" distR="0" wp14:anchorId="322F5599" wp14:editId="4BE4E70B">
            <wp:extent cx="5572125" cy="3148013"/>
            <wp:effectExtent l="0" t="0" r="9525" b="14605"/>
            <wp:docPr id="2073082746" name="Chart 1">
              <a:extLst xmlns:a="http://schemas.openxmlformats.org/drawingml/2006/main">
                <a:ext uri="{FF2B5EF4-FFF2-40B4-BE49-F238E27FC236}">
                  <a16:creationId xmlns:a16="http://schemas.microsoft.com/office/drawing/2014/main" id="{6B19CD96-AE27-57E8-FE98-1AD82F5832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B6653C6" w14:textId="57F9C786" w:rsidR="00E254F2" w:rsidRPr="00761D56" w:rsidRDefault="00E254F2" w:rsidP="008F24DD">
      <w:pPr>
        <w:spacing w:before="240" w:line="276" w:lineRule="auto"/>
        <w:ind w:left="1080"/>
        <w:jc w:val="both"/>
        <w:rPr>
          <w:rFonts w:cstheme="minorHAnsi"/>
          <w:i/>
          <w:iCs/>
          <w:color w:val="000000" w:themeColor="text1"/>
          <w:sz w:val="24"/>
          <w:szCs w:val="24"/>
        </w:rPr>
      </w:pPr>
      <w:r w:rsidRPr="00761D56">
        <w:rPr>
          <w:rFonts w:cstheme="minorHAnsi"/>
          <w:i/>
          <w:iCs/>
          <w:color w:val="000000" w:themeColor="text1"/>
          <w:sz w:val="24"/>
          <w:szCs w:val="24"/>
        </w:rPr>
        <w:t xml:space="preserve">Chart </w:t>
      </w:r>
      <w:r w:rsidR="00CF2B4C" w:rsidRPr="00761D56">
        <w:rPr>
          <w:rFonts w:cstheme="minorHAnsi"/>
          <w:i/>
          <w:iCs/>
          <w:color w:val="000000" w:themeColor="text1"/>
          <w:sz w:val="24"/>
          <w:szCs w:val="24"/>
        </w:rPr>
        <w:t>17</w:t>
      </w:r>
      <w:r w:rsidRPr="00761D56">
        <w:rPr>
          <w:rFonts w:cstheme="minorHAnsi"/>
          <w:i/>
          <w:iCs/>
          <w:color w:val="000000" w:themeColor="text1"/>
          <w:sz w:val="24"/>
          <w:szCs w:val="24"/>
        </w:rPr>
        <w:t>: Cases Reported to Maldives Police Service regarding other forms of exploitation</w:t>
      </w:r>
    </w:p>
    <w:p w14:paraId="4FA8BDB4" w14:textId="77777777" w:rsidR="00E254F2" w:rsidRPr="00761D56" w:rsidRDefault="00E254F2" w:rsidP="008F24DD">
      <w:pPr>
        <w:spacing w:before="240" w:line="276" w:lineRule="auto"/>
        <w:ind w:left="720"/>
        <w:jc w:val="both"/>
        <w:rPr>
          <w:rFonts w:cstheme="minorHAnsi"/>
          <w:b/>
          <w:bCs/>
          <w:color w:val="000000" w:themeColor="text1"/>
          <w:sz w:val="24"/>
          <w:szCs w:val="24"/>
        </w:rPr>
      </w:pPr>
    </w:p>
    <w:p w14:paraId="56C8BA0C" w14:textId="77777777" w:rsidR="00165912" w:rsidRPr="00761D56" w:rsidRDefault="00165912" w:rsidP="008F24DD">
      <w:pPr>
        <w:spacing w:before="240" w:line="276" w:lineRule="auto"/>
        <w:ind w:left="720"/>
        <w:jc w:val="both"/>
        <w:rPr>
          <w:rFonts w:cstheme="minorHAnsi"/>
          <w:b/>
          <w:bCs/>
          <w:color w:val="000000" w:themeColor="text1"/>
          <w:sz w:val="24"/>
          <w:szCs w:val="24"/>
        </w:rPr>
      </w:pPr>
    </w:p>
    <w:p w14:paraId="363BF69B" w14:textId="77777777" w:rsidR="00165912" w:rsidRPr="00761D56" w:rsidRDefault="00165912" w:rsidP="008F24DD">
      <w:pPr>
        <w:spacing w:before="240" w:line="276" w:lineRule="auto"/>
        <w:ind w:left="720"/>
        <w:jc w:val="both"/>
        <w:rPr>
          <w:rFonts w:cstheme="minorHAnsi"/>
          <w:b/>
          <w:bCs/>
          <w:color w:val="000000" w:themeColor="text1"/>
          <w:sz w:val="24"/>
          <w:szCs w:val="24"/>
        </w:rPr>
      </w:pPr>
    </w:p>
    <w:p w14:paraId="17827617" w14:textId="77777777" w:rsidR="00E254F2" w:rsidRPr="00761D56" w:rsidRDefault="00E254F2"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lastRenderedPageBreak/>
        <w:t>Recommendations</w:t>
      </w:r>
    </w:p>
    <w:p w14:paraId="02F8FFB7" w14:textId="77777777" w:rsidR="00E254F2" w:rsidRPr="00761D56" w:rsidRDefault="00E254F2" w:rsidP="008F24DD">
      <w:pPr>
        <w:pStyle w:val="ListParagraph"/>
        <w:numPr>
          <w:ilvl w:val="0"/>
          <w:numId w:val="22"/>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Ensure all reported cases of child sexual abuse are referred for prosecution without undue delay.</w:t>
      </w:r>
    </w:p>
    <w:p w14:paraId="2576BB2A" w14:textId="77777777" w:rsidR="00E254F2" w:rsidRPr="00761D56" w:rsidRDefault="00E254F2" w:rsidP="008F24DD">
      <w:pPr>
        <w:pStyle w:val="ListParagraph"/>
        <w:numPr>
          <w:ilvl w:val="0"/>
          <w:numId w:val="22"/>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Strengthen the capacity of prosecutors and investigation officers through mandatory, specialized training in child protection and victim-sensitive procedures.</w:t>
      </w:r>
    </w:p>
    <w:p w14:paraId="5BE7990E" w14:textId="7419F87E" w:rsidR="007E6F50" w:rsidRPr="00761D56" w:rsidRDefault="00E254F2" w:rsidP="008F24DD">
      <w:pPr>
        <w:pStyle w:val="ListParagraph"/>
        <w:numPr>
          <w:ilvl w:val="0"/>
          <w:numId w:val="23"/>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Amend the Clemency Act to exclude child sexual offenders from all categories of clemency</w:t>
      </w:r>
      <w:r w:rsidR="00622DC2" w:rsidRPr="00761D56">
        <w:rPr>
          <w:rFonts w:cstheme="minorHAnsi"/>
          <w:b/>
          <w:bCs/>
          <w:color w:val="000000" w:themeColor="text1"/>
          <w:sz w:val="24"/>
          <w:szCs w:val="24"/>
        </w:rPr>
        <w:t xml:space="preserve"> </w:t>
      </w:r>
    </w:p>
    <w:p w14:paraId="30D7EC68" w14:textId="70AD5A69" w:rsidR="00E254F2" w:rsidRPr="00761D56" w:rsidRDefault="00E254F2" w:rsidP="008F24DD">
      <w:pPr>
        <w:pStyle w:val="Heading1"/>
        <w:spacing w:line="276" w:lineRule="auto"/>
        <w:jc w:val="both"/>
        <w:rPr>
          <w:rFonts w:asciiTheme="minorHAnsi" w:hAnsiTheme="minorHAnsi" w:cstheme="minorHAnsi"/>
          <w:color w:val="000000" w:themeColor="text1"/>
        </w:rPr>
      </w:pPr>
      <w:bookmarkStart w:id="29" w:name="_Toc216692804"/>
      <w:r w:rsidRPr="00761D56">
        <w:rPr>
          <w:rFonts w:asciiTheme="minorHAnsi" w:hAnsiTheme="minorHAnsi" w:cstheme="minorHAnsi"/>
          <w:color w:val="000000" w:themeColor="text1"/>
        </w:rPr>
        <w:t>Article 11</w:t>
      </w:r>
      <w:r w:rsidR="00165912" w:rsidRPr="00761D56">
        <w:rPr>
          <w:rFonts w:asciiTheme="minorHAnsi" w:hAnsiTheme="minorHAnsi" w:cstheme="minorHAnsi"/>
          <w:color w:val="000000" w:themeColor="text1"/>
        </w:rPr>
        <w:t xml:space="preserve"> &amp; 35</w:t>
      </w:r>
      <w:r w:rsidRPr="00761D56">
        <w:rPr>
          <w:rFonts w:asciiTheme="minorHAnsi" w:hAnsiTheme="minorHAnsi" w:cstheme="minorHAnsi"/>
          <w:color w:val="000000" w:themeColor="text1"/>
        </w:rPr>
        <w:t xml:space="preserve"> </w:t>
      </w:r>
      <w:r w:rsidR="00165912" w:rsidRPr="00761D56">
        <w:rPr>
          <w:rFonts w:asciiTheme="minorHAnsi" w:hAnsiTheme="minorHAnsi" w:cstheme="minorHAnsi"/>
          <w:color w:val="000000" w:themeColor="text1"/>
        </w:rPr>
        <w:t xml:space="preserve">- </w:t>
      </w:r>
      <w:r w:rsidRPr="00761D56">
        <w:rPr>
          <w:rFonts w:asciiTheme="minorHAnsi" w:hAnsiTheme="minorHAnsi" w:cstheme="minorHAnsi"/>
          <w:color w:val="000000" w:themeColor="text1"/>
        </w:rPr>
        <w:t>kidnapping and Abduction, Sale and Trafficking</w:t>
      </w:r>
      <w:bookmarkEnd w:id="29"/>
    </w:p>
    <w:p w14:paraId="251AEECE" w14:textId="2F8CC6ED" w:rsidR="00E254F2" w:rsidRPr="00761D56" w:rsidRDefault="00E254F2"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While the Penal Code</w:t>
      </w:r>
      <w:r w:rsidRPr="00761D56">
        <w:rPr>
          <w:rStyle w:val="EndnoteReference"/>
          <w:rFonts w:cstheme="minorHAnsi"/>
          <w:color w:val="000000" w:themeColor="text1"/>
          <w:sz w:val="24"/>
          <w:szCs w:val="24"/>
        </w:rPr>
        <w:endnoteReference w:id="182"/>
      </w:r>
      <w:r w:rsidRPr="00761D56">
        <w:rPr>
          <w:rFonts w:cstheme="minorHAnsi"/>
          <w:color w:val="000000" w:themeColor="text1"/>
          <w:sz w:val="24"/>
          <w:szCs w:val="24"/>
        </w:rPr>
        <w:t xml:space="preserve"> addresses the unlawful holding of a person, it does not cover </w:t>
      </w:r>
      <w:r w:rsidR="00DA0283" w:rsidRPr="00761D56">
        <w:rPr>
          <w:rFonts w:cstheme="minorHAnsi"/>
          <w:color w:val="000000" w:themeColor="text1"/>
          <w:sz w:val="24"/>
          <w:szCs w:val="24"/>
        </w:rPr>
        <w:t xml:space="preserve">criminal provisions for parental abduction, leaving children vulnerable when a parent unlawfully takes or retains a child in custody disputes without clear legal recourse. Additionally, there is no legal framework addressing international or regional cross-border child abduction, hindering the Maldives’ ability to respond effectively or ensure the safe return of abducted children. </w:t>
      </w:r>
    </w:p>
    <w:p w14:paraId="154813DB" w14:textId="18B9C798" w:rsidR="00E254F2" w:rsidRPr="00761D56" w:rsidRDefault="00E254F2"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 xml:space="preserve">Significant challenges persist in effectively identification and </w:t>
      </w:r>
      <w:r w:rsidRPr="00925D2C">
        <w:rPr>
          <w:sz w:val="24"/>
          <w:szCs w:val="24"/>
        </w:rPr>
        <w:t xml:space="preserve">protection of children subjected to commercial sexual exploitation and trafficking. (See Chart </w:t>
      </w:r>
      <w:r w:rsidR="00CF2B4C" w:rsidRPr="00925D2C">
        <w:rPr>
          <w:sz w:val="24"/>
          <w:szCs w:val="24"/>
        </w:rPr>
        <w:t>18</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83"/>
      </w:r>
      <w:r w:rsidRPr="00761D56">
        <w:rPr>
          <w:rFonts w:cstheme="minorHAnsi"/>
          <w:color w:val="000000" w:themeColor="text1"/>
          <w:sz w:val="24"/>
          <w:szCs w:val="24"/>
        </w:rPr>
        <w:t xml:space="preserve"> One major issue is the lack of adequate </w:t>
      </w:r>
      <w:r w:rsidR="007E6F50" w:rsidRPr="00761D56">
        <w:rPr>
          <w:rFonts w:cstheme="minorHAnsi"/>
          <w:color w:val="000000" w:themeColor="text1"/>
          <w:sz w:val="24"/>
          <w:szCs w:val="24"/>
        </w:rPr>
        <w:t>training for</w:t>
      </w:r>
      <w:r w:rsidRPr="00761D56">
        <w:rPr>
          <w:rFonts w:cstheme="minorHAnsi"/>
          <w:color w:val="000000" w:themeColor="text1"/>
          <w:sz w:val="24"/>
          <w:szCs w:val="24"/>
        </w:rPr>
        <w:t xml:space="preserve"> investigators to comprehend the complexities of the legal and procedural aspects of child labour exploitation.</w:t>
      </w:r>
      <w:r w:rsidRPr="00761D56">
        <w:rPr>
          <w:rStyle w:val="EndnoteReference"/>
          <w:rFonts w:cstheme="minorHAnsi"/>
          <w:color w:val="000000" w:themeColor="text1"/>
          <w:sz w:val="24"/>
          <w:szCs w:val="24"/>
        </w:rPr>
        <w:endnoteReference w:id="184"/>
      </w:r>
      <w:r w:rsidRPr="00761D56">
        <w:rPr>
          <w:rFonts w:cstheme="minorHAnsi"/>
          <w:color w:val="000000" w:themeColor="text1"/>
          <w:sz w:val="24"/>
          <w:szCs w:val="24"/>
        </w:rPr>
        <w:t xml:space="preserve"> This gap hampers their ability to distinguish between different forms of exploitation, such as sex trafficking and sexual abuse.</w:t>
      </w:r>
      <w:r w:rsidRPr="00761D56">
        <w:rPr>
          <w:rStyle w:val="EndnoteReference"/>
          <w:rFonts w:cstheme="minorHAnsi"/>
          <w:color w:val="000000" w:themeColor="text1"/>
          <w:sz w:val="24"/>
          <w:szCs w:val="24"/>
        </w:rPr>
        <w:endnoteReference w:id="185"/>
      </w:r>
      <w:r w:rsidRPr="00761D56">
        <w:rPr>
          <w:rFonts w:cstheme="minorHAnsi"/>
          <w:color w:val="000000" w:themeColor="text1"/>
          <w:sz w:val="24"/>
          <w:szCs w:val="24"/>
        </w:rPr>
        <w:t xml:space="preserve"> Misclassification of cases not only complicates investigations but also risks retraumatizing survivors.</w:t>
      </w:r>
      <w:r w:rsidRPr="00761D56">
        <w:rPr>
          <w:rStyle w:val="Heading3Char"/>
          <w:rFonts w:cstheme="minorHAnsi"/>
          <w:color w:val="000000" w:themeColor="text1"/>
          <w:sz w:val="24"/>
          <w:szCs w:val="24"/>
        </w:rPr>
        <w:t xml:space="preserve"> </w:t>
      </w:r>
      <w:r w:rsidRPr="00761D56">
        <w:rPr>
          <w:rStyle w:val="EndnoteReference"/>
          <w:rFonts w:cstheme="minorHAnsi"/>
          <w:color w:val="000000" w:themeColor="text1"/>
          <w:sz w:val="24"/>
          <w:szCs w:val="24"/>
        </w:rPr>
        <w:endnoteReference w:id="186"/>
      </w:r>
      <w:r w:rsidRPr="00761D56">
        <w:rPr>
          <w:rFonts w:cstheme="minorHAnsi"/>
          <w:color w:val="000000" w:themeColor="text1"/>
          <w:sz w:val="24"/>
          <w:szCs w:val="24"/>
        </w:rPr>
        <w:t xml:space="preserve"> </w:t>
      </w:r>
    </w:p>
    <w:p w14:paraId="1CEC2464" w14:textId="11A7764E" w:rsidR="00E254F2" w:rsidRPr="00761D56" w:rsidRDefault="00E254F2" w:rsidP="008F24DD">
      <w:pPr>
        <w:pStyle w:val="ListParagraph"/>
        <w:spacing w:before="240" w:line="276" w:lineRule="auto"/>
        <w:jc w:val="both"/>
        <w:rPr>
          <w:rFonts w:cstheme="minorHAnsi"/>
          <w:color w:val="000000" w:themeColor="text1"/>
          <w:sz w:val="24"/>
          <w:szCs w:val="24"/>
        </w:rPr>
      </w:pPr>
    </w:p>
    <w:p w14:paraId="172019F0" w14:textId="60723B5E" w:rsidR="008B45DB" w:rsidRPr="00761D56" w:rsidRDefault="008B45DB" w:rsidP="008F24DD">
      <w:pPr>
        <w:pStyle w:val="ListParagraph"/>
        <w:spacing w:before="240" w:line="276" w:lineRule="auto"/>
        <w:jc w:val="center"/>
        <w:rPr>
          <w:rFonts w:cs="MV Boli"/>
          <w:color w:val="000000" w:themeColor="text1"/>
          <w:sz w:val="24"/>
          <w:szCs w:val="24"/>
          <w:rtl/>
          <w:lang w:bidi="dv-MV"/>
        </w:rPr>
      </w:pPr>
      <w:r w:rsidRPr="00761D56">
        <w:rPr>
          <w:rFonts w:cstheme="minorHAnsi"/>
          <w:noProof/>
          <w:color w:val="000000" w:themeColor="text1"/>
          <w:sz w:val="24"/>
          <w:szCs w:val="24"/>
        </w:rPr>
        <w:drawing>
          <wp:anchor distT="0" distB="0" distL="114300" distR="114300" simplePos="0" relativeHeight="251673600" behindDoc="1" locked="0" layoutInCell="1" allowOverlap="1" wp14:anchorId="075D3367" wp14:editId="3A62262A">
            <wp:simplePos x="0" y="0"/>
            <wp:positionH relativeFrom="margin">
              <wp:posOffset>1218841</wp:posOffset>
            </wp:positionH>
            <wp:positionV relativeFrom="paragraph">
              <wp:posOffset>105446</wp:posOffset>
            </wp:positionV>
            <wp:extent cx="3679190" cy="2661285"/>
            <wp:effectExtent l="0" t="0" r="16510" b="5715"/>
            <wp:wrapNone/>
            <wp:docPr id="1218849795" name="Chart 1">
              <a:extLst xmlns:a="http://schemas.openxmlformats.org/drawingml/2006/main">
                <a:ext uri="{FF2B5EF4-FFF2-40B4-BE49-F238E27FC236}">
                  <a16:creationId xmlns:a16="http://schemas.microsoft.com/office/drawing/2014/main" id="{2028BA43-425B-0ED1-7D89-9F0B9F6613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14:paraId="365F9271" w14:textId="77777777" w:rsidR="008B45DB" w:rsidRPr="00761D56" w:rsidRDefault="008B45DB" w:rsidP="008F24DD">
      <w:pPr>
        <w:pStyle w:val="ListParagraph"/>
        <w:spacing w:before="240" w:line="276" w:lineRule="auto"/>
        <w:jc w:val="center"/>
        <w:rPr>
          <w:rFonts w:cs="MV Boli"/>
          <w:color w:val="000000" w:themeColor="text1"/>
          <w:sz w:val="24"/>
          <w:szCs w:val="24"/>
          <w:rtl/>
          <w:lang w:bidi="dv-MV"/>
        </w:rPr>
      </w:pPr>
    </w:p>
    <w:p w14:paraId="0A9913A3" w14:textId="77777777" w:rsidR="008B45DB" w:rsidRPr="00761D56" w:rsidRDefault="008B45DB" w:rsidP="008F24DD">
      <w:pPr>
        <w:pStyle w:val="ListParagraph"/>
        <w:spacing w:before="240" w:line="276" w:lineRule="auto"/>
        <w:jc w:val="center"/>
        <w:rPr>
          <w:rFonts w:cs="MV Boli"/>
          <w:color w:val="000000" w:themeColor="text1"/>
          <w:sz w:val="24"/>
          <w:szCs w:val="24"/>
          <w:rtl/>
          <w:lang w:bidi="dv-MV"/>
        </w:rPr>
      </w:pPr>
    </w:p>
    <w:p w14:paraId="7F5B2349" w14:textId="77777777" w:rsidR="008B45DB" w:rsidRPr="00761D56" w:rsidRDefault="008B45DB" w:rsidP="008F24DD">
      <w:pPr>
        <w:pStyle w:val="ListParagraph"/>
        <w:spacing w:before="240" w:line="276" w:lineRule="auto"/>
        <w:jc w:val="center"/>
        <w:rPr>
          <w:rFonts w:cs="MV Boli"/>
          <w:color w:val="000000" w:themeColor="text1"/>
          <w:sz w:val="24"/>
          <w:szCs w:val="24"/>
          <w:rtl/>
          <w:lang w:bidi="dv-MV"/>
        </w:rPr>
      </w:pPr>
    </w:p>
    <w:p w14:paraId="62FA6BE2" w14:textId="77777777" w:rsidR="008B45DB" w:rsidRPr="00761D56" w:rsidRDefault="008B45DB" w:rsidP="008F24DD">
      <w:pPr>
        <w:pStyle w:val="ListParagraph"/>
        <w:spacing w:before="240" w:line="276" w:lineRule="auto"/>
        <w:jc w:val="center"/>
        <w:rPr>
          <w:rFonts w:cs="MV Boli"/>
          <w:color w:val="000000" w:themeColor="text1"/>
          <w:sz w:val="24"/>
          <w:szCs w:val="24"/>
          <w:rtl/>
          <w:lang w:bidi="dv-MV"/>
        </w:rPr>
      </w:pPr>
    </w:p>
    <w:p w14:paraId="59D8EBBA" w14:textId="77777777" w:rsidR="008B45DB" w:rsidRPr="00761D56" w:rsidRDefault="008B45DB" w:rsidP="008F24DD">
      <w:pPr>
        <w:pStyle w:val="ListParagraph"/>
        <w:spacing w:before="240" w:line="276" w:lineRule="auto"/>
        <w:jc w:val="center"/>
        <w:rPr>
          <w:rFonts w:cs="MV Boli"/>
          <w:color w:val="000000" w:themeColor="text1"/>
          <w:sz w:val="24"/>
          <w:szCs w:val="24"/>
          <w:rtl/>
          <w:lang w:bidi="dv-MV"/>
        </w:rPr>
      </w:pPr>
    </w:p>
    <w:p w14:paraId="2A3CD6D6" w14:textId="154B836A" w:rsidR="00E254F2" w:rsidRPr="00761D56" w:rsidRDefault="00E254F2" w:rsidP="008F24DD">
      <w:pPr>
        <w:pStyle w:val="ListParagraph"/>
        <w:spacing w:before="240" w:line="276" w:lineRule="auto"/>
        <w:jc w:val="center"/>
        <w:rPr>
          <w:rFonts w:cstheme="minorHAnsi"/>
          <w:color w:val="000000" w:themeColor="text1"/>
          <w:sz w:val="24"/>
          <w:szCs w:val="24"/>
        </w:rPr>
      </w:pPr>
    </w:p>
    <w:p w14:paraId="6E390443" w14:textId="77777777" w:rsidR="008B45DB" w:rsidRPr="00761D56" w:rsidRDefault="008B45DB" w:rsidP="008F24DD">
      <w:pPr>
        <w:pStyle w:val="ListParagraph"/>
        <w:autoSpaceDE w:val="0"/>
        <w:autoSpaceDN w:val="0"/>
        <w:adjustRightInd w:val="0"/>
        <w:spacing w:before="240" w:after="0" w:line="276" w:lineRule="auto"/>
        <w:jc w:val="both"/>
        <w:rPr>
          <w:rFonts w:cs="MV Boli"/>
          <w:i/>
          <w:iCs/>
          <w:color w:val="000000" w:themeColor="text1"/>
          <w:sz w:val="24"/>
          <w:szCs w:val="24"/>
          <w:shd w:val="clear" w:color="auto" w:fill="C5E0B3" w:themeFill="accent6" w:themeFillTint="66"/>
          <w:rtl/>
          <w:lang w:bidi="dv-MV"/>
        </w:rPr>
      </w:pPr>
    </w:p>
    <w:p w14:paraId="783C5FB6" w14:textId="77777777" w:rsidR="008B45DB" w:rsidRPr="00761D56" w:rsidRDefault="008B45DB" w:rsidP="008F24DD">
      <w:pPr>
        <w:pStyle w:val="ListParagraph"/>
        <w:autoSpaceDE w:val="0"/>
        <w:autoSpaceDN w:val="0"/>
        <w:adjustRightInd w:val="0"/>
        <w:spacing w:before="240" w:after="0" w:line="276" w:lineRule="auto"/>
        <w:jc w:val="both"/>
        <w:rPr>
          <w:rFonts w:cs="MV Boli"/>
          <w:i/>
          <w:iCs/>
          <w:color w:val="000000" w:themeColor="text1"/>
          <w:sz w:val="24"/>
          <w:szCs w:val="24"/>
          <w:shd w:val="clear" w:color="auto" w:fill="C5E0B3" w:themeFill="accent6" w:themeFillTint="66"/>
          <w:rtl/>
          <w:lang w:bidi="dv-MV"/>
        </w:rPr>
      </w:pPr>
    </w:p>
    <w:p w14:paraId="7B0AA6A8" w14:textId="1C6560B9" w:rsidR="00E254F2" w:rsidRPr="00761D56" w:rsidRDefault="00E254F2" w:rsidP="008F24DD">
      <w:pPr>
        <w:pStyle w:val="ListParagraph"/>
        <w:autoSpaceDE w:val="0"/>
        <w:autoSpaceDN w:val="0"/>
        <w:adjustRightInd w:val="0"/>
        <w:spacing w:before="240" w:after="0" w:line="276" w:lineRule="auto"/>
        <w:jc w:val="center"/>
        <w:rPr>
          <w:rFonts w:cstheme="minorHAnsi"/>
          <w:i/>
          <w:iCs/>
          <w:color w:val="000000" w:themeColor="text1"/>
          <w:sz w:val="24"/>
          <w:szCs w:val="24"/>
        </w:rPr>
      </w:pPr>
      <w:r w:rsidRPr="00925D2C">
        <w:rPr>
          <w:i/>
          <w:iCs/>
          <w:sz w:val="24"/>
          <w:szCs w:val="24"/>
        </w:rPr>
        <w:lastRenderedPageBreak/>
        <w:t xml:space="preserve">Chart </w:t>
      </w:r>
      <w:r w:rsidR="00CF2B4C" w:rsidRPr="00925D2C">
        <w:rPr>
          <w:i/>
          <w:iCs/>
          <w:sz w:val="24"/>
          <w:szCs w:val="24"/>
        </w:rPr>
        <w:t>18</w:t>
      </w:r>
      <w:r w:rsidRPr="00925D2C">
        <w:rPr>
          <w:i/>
          <w:iCs/>
          <w:sz w:val="24"/>
          <w:szCs w:val="24"/>
        </w:rPr>
        <w:t>:</w:t>
      </w:r>
      <w:r w:rsidRPr="00761D56">
        <w:rPr>
          <w:rFonts w:cstheme="minorHAnsi"/>
          <w:i/>
          <w:iCs/>
          <w:color w:val="000000" w:themeColor="text1"/>
          <w:sz w:val="24"/>
          <w:szCs w:val="24"/>
        </w:rPr>
        <w:t xml:space="preserve"> commercial sexual exploitation cases documented by Ministry of Social and Family Development and Maldives Police Service</w:t>
      </w:r>
    </w:p>
    <w:p w14:paraId="62A86FD8" w14:textId="77777777" w:rsidR="00E254F2" w:rsidRPr="00761D56" w:rsidRDefault="00E254F2" w:rsidP="008F24DD">
      <w:pPr>
        <w:pStyle w:val="ListParagraph"/>
        <w:autoSpaceDE w:val="0"/>
        <w:autoSpaceDN w:val="0"/>
        <w:adjustRightInd w:val="0"/>
        <w:spacing w:before="240" w:after="0" w:line="276" w:lineRule="auto"/>
        <w:jc w:val="both"/>
        <w:rPr>
          <w:rFonts w:cstheme="minorHAnsi"/>
          <w:color w:val="000000" w:themeColor="text1"/>
          <w:sz w:val="24"/>
          <w:szCs w:val="24"/>
        </w:rPr>
      </w:pPr>
    </w:p>
    <w:p w14:paraId="53109B79" w14:textId="27824468" w:rsidR="00E254F2" w:rsidRPr="00761D56" w:rsidRDefault="00E254F2"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Many victims remain unidentified due to systemic and social factors, often being misperceived as engaging in consensual relationships or wrongfully labelled as “problematic” children or juvenile offenders.</w:t>
      </w:r>
      <w:r w:rsidRPr="00761D56">
        <w:rPr>
          <w:rStyle w:val="EndnoteReference"/>
          <w:rFonts w:cstheme="minorHAnsi"/>
          <w:color w:val="000000" w:themeColor="text1"/>
          <w:sz w:val="24"/>
          <w:szCs w:val="24"/>
        </w:rPr>
        <w:endnoteReference w:id="187"/>
      </w:r>
      <w:r w:rsidRPr="00761D56">
        <w:rPr>
          <w:rFonts w:cstheme="minorHAnsi"/>
          <w:color w:val="000000" w:themeColor="text1"/>
          <w:sz w:val="24"/>
          <w:szCs w:val="24"/>
        </w:rPr>
        <w:t xml:space="preserve"> The absence of a standardized national protocol for identification and referral further exacerbates this issue, leading to missed indicators within child-focused services.</w:t>
      </w:r>
      <w:r w:rsidRPr="00761D56">
        <w:rPr>
          <w:rStyle w:val="EndnoteReference"/>
          <w:rFonts w:cstheme="minorHAnsi"/>
          <w:color w:val="000000" w:themeColor="text1"/>
          <w:sz w:val="24"/>
          <w:szCs w:val="24"/>
        </w:rPr>
        <w:endnoteReference w:id="188"/>
      </w:r>
      <w:r w:rsidRPr="00761D56">
        <w:rPr>
          <w:rFonts w:cstheme="minorHAnsi"/>
          <w:color w:val="000000" w:themeColor="text1"/>
          <w:sz w:val="24"/>
          <w:szCs w:val="24"/>
        </w:rPr>
        <w:t xml:space="preserve"> These risks are heightened by offender-related challenges as perpetrators often exploit positions of trust, including as teachers, religious figures, or relatives, manipulate community narratives to evade accountability.</w:t>
      </w:r>
      <w:r w:rsidRPr="00761D56">
        <w:rPr>
          <w:rStyle w:val="EndnoteReference"/>
          <w:rFonts w:cstheme="minorHAnsi"/>
          <w:color w:val="000000" w:themeColor="text1"/>
          <w:sz w:val="24"/>
          <w:szCs w:val="24"/>
        </w:rPr>
        <w:endnoteReference w:id="189"/>
      </w:r>
      <w:r w:rsidRPr="00761D56">
        <w:rPr>
          <w:rFonts w:cstheme="minorHAnsi"/>
          <w:color w:val="000000" w:themeColor="text1"/>
          <w:sz w:val="24"/>
          <w:szCs w:val="24"/>
        </w:rPr>
        <w:t xml:space="preserve"> </w:t>
      </w:r>
    </w:p>
    <w:p w14:paraId="2EC83E8A" w14:textId="1B721207" w:rsidR="00E254F2" w:rsidRPr="00761D56" w:rsidRDefault="00E254F2"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Although organized trafficking networks have not been formally documented, concerns persist about informal networks enabling exploitation through guesthouses or online platforms.</w:t>
      </w:r>
      <w:r w:rsidRPr="00761D56">
        <w:rPr>
          <w:rStyle w:val="EndnoteReference"/>
          <w:rFonts w:cstheme="minorHAnsi"/>
          <w:color w:val="000000" w:themeColor="text1"/>
          <w:sz w:val="24"/>
          <w:szCs w:val="24"/>
        </w:rPr>
        <w:endnoteReference w:id="190"/>
      </w:r>
      <w:r w:rsidRPr="00761D56">
        <w:rPr>
          <w:rFonts w:cstheme="minorHAnsi"/>
          <w:color w:val="000000" w:themeColor="text1"/>
          <w:sz w:val="24"/>
          <w:szCs w:val="24"/>
        </w:rPr>
        <w:t xml:space="preserve"> Additionally, the rise of online grooming via social media and messaging apps reflects a shift toward digital exploitation.</w:t>
      </w:r>
    </w:p>
    <w:p w14:paraId="1B00308A" w14:textId="77777777" w:rsidR="004B12C6" w:rsidRPr="00761D56" w:rsidRDefault="004B12C6" w:rsidP="008F24DD">
      <w:pPr>
        <w:spacing w:before="240" w:line="276" w:lineRule="auto"/>
        <w:ind w:left="720"/>
        <w:jc w:val="both"/>
        <w:rPr>
          <w:rFonts w:cstheme="minorHAnsi"/>
          <w:b/>
          <w:bCs/>
          <w:color w:val="000000" w:themeColor="text1"/>
          <w:sz w:val="24"/>
          <w:szCs w:val="24"/>
        </w:rPr>
      </w:pPr>
    </w:p>
    <w:p w14:paraId="53140CEC" w14:textId="21DF9FBF" w:rsidR="00E254F2" w:rsidRPr="00761D56" w:rsidRDefault="00E254F2"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Recommendations</w:t>
      </w:r>
    </w:p>
    <w:p w14:paraId="20D18FE9" w14:textId="77777777" w:rsidR="00E254F2" w:rsidRPr="00761D56" w:rsidRDefault="00E254F2" w:rsidP="008F24DD">
      <w:pPr>
        <w:numPr>
          <w:ilvl w:val="0"/>
          <w:numId w:val="24"/>
        </w:numPr>
        <w:spacing w:after="100" w:afterAutospacing="1" w:line="276" w:lineRule="auto"/>
        <w:ind w:left="720"/>
        <w:jc w:val="both"/>
        <w:rPr>
          <w:rFonts w:eastAsia="Times New Roman" w:cstheme="minorHAnsi"/>
          <w:color w:val="000000" w:themeColor="text1"/>
          <w:kern w:val="0"/>
          <w:sz w:val="24"/>
          <w:szCs w:val="24"/>
          <w14:ligatures w14:val="none"/>
        </w:rPr>
      </w:pPr>
      <w:r w:rsidRPr="00761D56">
        <w:rPr>
          <w:rFonts w:eastAsia="Times New Roman" w:cstheme="minorHAnsi"/>
          <w:b/>
          <w:bCs/>
          <w:color w:val="000000" w:themeColor="text1"/>
          <w:kern w:val="0"/>
          <w:sz w:val="24"/>
          <w:szCs w:val="24"/>
          <w14:ligatures w14:val="none"/>
        </w:rPr>
        <w:t>Consider accession to the Hague Convention on the Civil Aspects of International Child Abduction to ensure effective cross-border cooperation and the prompt return of children.</w:t>
      </w:r>
    </w:p>
    <w:p w14:paraId="228AA6A0" w14:textId="77777777" w:rsidR="00E254F2" w:rsidRPr="00761D56" w:rsidRDefault="00E254F2" w:rsidP="008F24DD">
      <w:pPr>
        <w:numPr>
          <w:ilvl w:val="0"/>
          <w:numId w:val="24"/>
        </w:numPr>
        <w:tabs>
          <w:tab w:val="left" w:pos="4950"/>
        </w:tabs>
        <w:spacing w:after="100" w:afterAutospacing="1" w:line="276" w:lineRule="auto"/>
        <w:ind w:left="720"/>
        <w:jc w:val="both"/>
        <w:rPr>
          <w:rFonts w:eastAsia="Times New Roman" w:cstheme="minorHAnsi"/>
          <w:color w:val="000000" w:themeColor="text1"/>
          <w:kern w:val="0"/>
          <w:sz w:val="24"/>
          <w:szCs w:val="24"/>
          <w14:ligatures w14:val="none"/>
        </w:rPr>
      </w:pPr>
      <w:r w:rsidRPr="00761D56">
        <w:rPr>
          <w:rFonts w:eastAsia="Times New Roman" w:cstheme="minorHAnsi"/>
          <w:b/>
          <w:bCs/>
          <w:color w:val="000000" w:themeColor="text1"/>
          <w:kern w:val="0"/>
          <w:sz w:val="24"/>
          <w:szCs w:val="24"/>
          <w14:ligatures w14:val="none"/>
        </w:rPr>
        <w:t>Amend national protocol for victim identification, referral, and protection</w:t>
      </w:r>
    </w:p>
    <w:p w14:paraId="43D617D6" w14:textId="77777777" w:rsidR="00E254F2" w:rsidRPr="00761D56" w:rsidRDefault="00E254F2" w:rsidP="008F24DD">
      <w:pPr>
        <w:numPr>
          <w:ilvl w:val="0"/>
          <w:numId w:val="24"/>
        </w:numPr>
        <w:spacing w:after="100" w:afterAutospacing="1" w:line="276" w:lineRule="auto"/>
        <w:ind w:left="720"/>
        <w:jc w:val="both"/>
        <w:rPr>
          <w:rFonts w:eastAsia="Times New Roman" w:cstheme="minorHAnsi"/>
          <w:color w:val="000000" w:themeColor="text1"/>
          <w:kern w:val="0"/>
          <w:sz w:val="24"/>
          <w:szCs w:val="24"/>
          <w14:ligatures w14:val="none"/>
        </w:rPr>
      </w:pPr>
      <w:r w:rsidRPr="00761D56">
        <w:rPr>
          <w:rFonts w:eastAsia="Times New Roman" w:cstheme="minorHAnsi"/>
          <w:b/>
          <w:bCs/>
          <w:color w:val="000000" w:themeColor="text1"/>
          <w:kern w:val="0"/>
          <w:sz w:val="24"/>
          <w:szCs w:val="24"/>
          <w14:ligatures w14:val="none"/>
        </w:rPr>
        <w:t>Establish a unified, transparent national data collection and reporting mechanism on child exploitation, sale, and trafficking, disaggregated by age, gender, and type of exploitation, in line with CRC General Comment No. 25 and international best practices on data governance.</w:t>
      </w:r>
    </w:p>
    <w:p w14:paraId="63203885" w14:textId="3F74CAD5" w:rsidR="00E254F2" w:rsidRPr="00761D56" w:rsidRDefault="00E254F2" w:rsidP="008F24DD">
      <w:pPr>
        <w:pStyle w:val="Heading1"/>
        <w:spacing w:line="276" w:lineRule="auto"/>
        <w:jc w:val="both"/>
        <w:rPr>
          <w:rFonts w:asciiTheme="minorHAnsi" w:eastAsia="Times New Roman" w:hAnsiTheme="minorHAnsi" w:cstheme="minorHAnsi"/>
          <w:color w:val="000000" w:themeColor="text1"/>
        </w:rPr>
      </w:pPr>
      <w:bookmarkStart w:id="30" w:name="_Toc216692805"/>
      <w:r w:rsidRPr="00761D56">
        <w:rPr>
          <w:rFonts w:asciiTheme="minorHAnsi" w:eastAsia="Times New Roman" w:hAnsiTheme="minorHAnsi" w:cstheme="minorHAnsi"/>
          <w:color w:val="000000" w:themeColor="text1"/>
        </w:rPr>
        <w:t xml:space="preserve">Article 37 </w:t>
      </w:r>
      <w:r w:rsidR="00165912" w:rsidRPr="00761D56">
        <w:rPr>
          <w:rFonts w:asciiTheme="minorHAnsi" w:eastAsia="Times New Roman" w:hAnsiTheme="minorHAnsi" w:cstheme="minorHAnsi"/>
          <w:color w:val="000000" w:themeColor="text1"/>
        </w:rPr>
        <w:t xml:space="preserve">- </w:t>
      </w:r>
      <w:r w:rsidRPr="00761D56">
        <w:rPr>
          <w:rFonts w:asciiTheme="minorHAnsi" w:eastAsia="Times New Roman" w:hAnsiTheme="minorHAnsi" w:cstheme="minorHAnsi"/>
          <w:color w:val="000000" w:themeColor="text1"/>
        </w:rPr>
        <w:t>Torture, inhumane and degrading treatment</w:t>
      </w:r>
      <w:bookmarkEnd w:id="30"/>
    </w:p>
    <w:p w14:paraId="74458D20" w14:textId="54A92711" w:rsidR="00E254F2" w:rsidRPr="00761D56" w:rsidRDefault="00E254F2" w:rsidP="008F24DD">
      <w:pPr>
        <w:pStyle w:val="ListParagraph"/>
        <w:numPr>
          <w:ilvl w:val="0"/>
          <w:numId w:val="10"/>
        </w:numPr>
        <w:spacing w:line="276" w:lineRule="auto"/>
        <w:ind w:hanging="450"/>
        <w:jc w:val="both"/>
        <w:rPr>
          <w:rFonts w:eastAsia="Calibri" w:cstheme="minorHAnsi"/>
          <w:color w:val="000000" w:themeColor="text1"/>
          <w:sz w:val="24"/>
          <w:szCs w:val="24"/>
        </w:rPr>
      </w:pPr>
      <w:r w:rsidRPr="00761D56">
        <w:rPr>
          <w:rFonts w:eastAsia="Calibri" w:cstheme="minorHAnsi"/>
          <w:color w:val="000000" w:themeColor="text1"/>
          <w:sz w:val="24"/>
          <w:szCs w:val="24"/>
          <w:lang w:bidi="dv-MV"/>
        </w:rPr>
        <w:t xml:space="preserve">During the NPM’s visit in 2024, it was observed that although rehabilitation orders issued by the Juvenile Court for those serving sentences at the Juvenile Detention </w:t>
      </w:r>
      <w:r w:rsidR="007E6F50" w:rsidRPr="00761D56">
        <w:rPr>
          <w:rFonts w:eastAsia="Calibri" w:cstheme="minorHAnsi"/>
          <w:color w:val="000000" w:themeColor="text1"/>
          <w:sz w:val="24"/>
          <w:szCs w:val="24"/>
          <w:lang w:bidi="dv-MV"/>
        </w:rPr>
        <w:t>Centre</w:t>
      </w:r>
      <w:r w:rsidRPr="00761D56">
        <w:rPr>
          <w:rFonts w:eastAsia="Calibri" w:cstheme="minorHAnsi"/>
          <w:color w:val="000000" w:themeColor="text1"/>
          <w:sz w:val="24"/>
          <w:szCs w:val="24"/>
          <w:lang w:bidi="dv-MV"/>
        </w:rPr>
        <w:t xml:space="preserve"> require MCS to provide educational, vocational, and psychological support programs, these services are not being delivered effectively</w:t>
      </w:r>
      <w:r w:rsidR="007E5655" w:rsidRPr="00761D56">
        <w:rPr>
          <w:rFonts w:eastAsia="Calibri" w:cstheme="minorHAnsi"/>
          <w:color w:val="000000" w:themeColor="text1"/>
          <w:sz w:val="24"/>
          <w:szCs w:val="24"/>
          <w:lang w:bidi="dv-MV"/>
        </w:rPr>
        <w:t xml:space="preserve">. </w:t>
      </w:r>
    </w:p>
    <w:p w14:paraId="0412799B" w14:textId="6C80AC9B" w:rsidR="004C466C" w:rsidRPr="00761D56" w:rsidRDefault="004C466C" w:rsidP="008F24DD">
      <w:pPr>
        <w:pStyle w:val="ListParagraph"/>
        <w:numPr>
          <w:ilvl w:val="0"/>
          <w:numId w:val="10"/>
        </w:numPr>
        <w:spacing w:line="276" w:lineRule="auto"/>
        <w:ind w:hanging="450"/>
        <w:jc w:val="both"/>
        <w:rPr>
          <w:rFonts w:eastAsia="Times New Roman" w:cstheme="minorHAnsi"/>
          <w:color w:val="000000" w:themeColor="text1"/>
          <w:sz w:val="24"/>
          <w:szCs w:val="24"/>
          <w:lang w:bidi="dv-MV"/>
        </w:rPr>
      </w:pPr>
      <w:r w:rsidRPr="00761D56">
        <w:rPr>
          <w:rFonts w:eastAsia="Calibri" w:cstheme="minorHAnsi"/>
          <w:color w:val="000000" w:themeColor="text1"/>
          <w:sz w:val="24"/>
          <w:szCs w:val="24"/>
          <w:lang w:bidi="dv-MV"/>
        </w:rPr>
        <w:t>The</w:t>
      </w:r>
      <w:r w:rsidRPr="00761D56">
        <w:rPr>
          <w:rFonts w:eastAsia="Times New Roman" w:cstheme="minorHAnsi"/>
          <w:color w:val="000000" w:themeColor="text1"/>
          <w:sz w:val="24"/>
          <w:szCs w:val="24"/>
          <w:lang w:bidi="dv-MV"/>
        </w:rPr>
        <w:t xml:space="preserve"> </w:t>
      </w:r>
      <w:r w:rsidRPr="00925D2C">
        <w:rPr>
          <w:sz w:val="24"/>
          <w:szCs w:val="24"/>
        </w:rPr>
        <w:t xml:space="preserve">Chart </w:t>
      </w:r>
      <w:r w:rsidR="00CF2B4C" w:rsidRPr="00925D2C">
        <w:rPr>
          <w:sz w:val="24"/>
          <w:szCs w:val="24"/>
        </w:rPr>
        <w:t>19</w:t>
      </w:r>
      <w:r w:rsidRPr="00761D56">
        <w:rPr>
          <w:rFonts w:eastAsia="Times New Roman" w:cstheme="minorHAnsi"/>
          <w:color w:val="000000" w:themeColor="text1"/>
          <w:sz w:val="24"/>
          <w:szCs w:val="24"/>
          <w:lang w:bidi="dv-MV"/>
        </w:rPr>
        <w:t xml:space="preserve"> shows types of torture cases investigated by HRCM. </w:t>
      </w:r>
      <w:r w:rsidRPr="00761D56">
        <w:rPr>
          <w:rFonts w:cstheme="minorHAnsi"/>
          <w:color w:val="000000" w:themeColor="text1"/>
          <w:sz w:val="24"/>
          <w:szCs w:val="24"/>
        </w:rPr>
        <w:t>While the upward trend may partly reflect improved reporting mechanisms and investigative capacity, it may also indicate a persistent or worsening incidence of ill-treatment.</w:t>
      </w:r>
    </w:p>
    <w:p w14:paraId="45E8031E" w14:textId="57CC80AB" w:rsidR="004C466C" w:rsidRPr="00761D56" w:rsidRDefault="00165912" w:rsidP="008F24DD">
      <w:pPr>
        <w:spacing w:line="276" w:lineRule="auto"/>
        <w:jc w:val="center"/>
        <w:rPr>
          <w:rFonts w:eastAsia="Times New Roman" w:cstheme="minorHAnsi"/>
          <w:color w:val="000000" w:themeColor="text1"/>
          <w:sz w:val="24"/>
          <w:szCs w:val="24"/>
          <w:lang w:bidi="dv-MV"/>
        </w:rPr>
      </w:pPr>
      <w:r w:rsidRPr="00761D56">
        <w:rPr>
          <w:noProof/>
          <w:color w:val="000000" w:themeColor="text1"/>
        </w:rPr>
        <w:lastRenderedPageBreak/>
        <w:drawing>
          <wp:inline distT="0" distB="0" distL="0" distR="0" wp14:anchorId="407C8EB7" wp14:editId="057BE132">
            <wp:extent cx="5077284" cy="3550596"/>
            <wp:effectExtent l="0" t="0" r="9525" b="12065"/>
            <wp:docPr id="1850179356" name="Chart 1">
              <a:extLst xmlns:a="http://schemas.openxmlformats.org/drawingml/2006/main">
                <a:ext uri="{FF2B5EF4-FFF2-40B4-BE49-F238E27FC236}">
                  <a16:creationId xmlns:a16="http://schemas.microsoft.com/office/drawing/2014/main" id="{46B52BA6-E5C8-8D67-B74B-4FA3C2C2A8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7FFD818" w14:textId="363F6FC1" w:rsidR="004C466C" w:rsidRPr="00761D56" w:rsidRDefault="004C466C" w:rsidP="008F24DD">
      <w:pPr>
        <w:spacing w:line="276" w:lineRule="auto"/>
        <w:ind w:hanging="45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CF2B4C" w:rsidRPr="00925D2C">
        <w:rPr>
          <w:i/>
          <w:iCs/>
          <w:sz w:val="24"/>
          <w:szCs w:val="24"/>
        </w:rPr>
        <w:t>19</w:t>
      </w:r>
      <w:r w:rsidRPr="00761D56">
        <w:rPr>
          <w:rFonts w:cstheme="minorHAnsi"/>
          <w:i/>
          <w:iCs/>
          <w:color w:val="000000" w:themeColor="text1"/>
          <w:sz w:val="24"/>
          <w:szCs w:val="24"/>
        </w:rPr>
        <w:t>: HRCM, alleged torture cases investigated and types of torture 2016-2024</w:t>
      </w:r>
    </w:p>
    <w:p w14:paraId="1CE50E15" w14:textId="6A05ADEA" w:rsidR="00C12BA4" w:rsidRPr="00761D56" w:rsidRDefault="00E254F2" w:rsidP="008F24DD">
      <w:pPr>
        <w:pStyle w:val="ListParagraph"/>
        <w:numPr>
          <w:ilvl w:val="0"/>
          <w:numId w:val="10"/>
        </w:numPr>
        <w:spacing w:line="276" w:lineRule="auto"/>
        <w:ind w:hanging="450"/>
        <w:jc w:val="both"/>
        <w:rPr>
          <w:rFonts w:eastAsia="Times New Roman" w:cstheme="minorHAnsi"/>
          <w:color w:val="000000" w:themeColor="text1"/>
          <w:sz w:val="24"/>
          <w:szCs w:val="24"/>
          <w:lang w:bidi="dv-MV"/>
        </w:rPr>
      </w:pPr>
      <w:r w:rsidRPr="00761D56">
        <w:rPr>
          <w:rFonts w:eastAsia="Times New Roman" w:cstheme="minorHAnsi"/>
          <w:color w:val="000000" w:themeColor="text1"/>
          <w:sz w:val="24"/>
          <w:szCs w:val="24"/>
          <w:lang w:bidi="dv-MV"/>
        </w:rPr>
        <w:t>HRCM faced significant challenges when investigating torture cases due to the high evidentiary burden required to prove allegations of torture under the ATA. Without clear and direct evidence, it was often challenging to demonstrate the intention of the accused as stipulated under section 10 of the ATA. As a result from 2021 to 2023, only a small number of cases</w:t>
      </w:r>
      <w:r w:rsidR="006308E8" w:rsidRPr="00761D56">
        <w:rPr>
          <w:rFonts w:eastAsia="Times New Roman" w:cstheme="minorHAnsi"/>
          <w:color w:val="000000" w:themeColor="text1"/>
          <w:sz w:val="24"/>
          <w:szCs w:val="24"/>
          <w:lang w:bidi="dv-MV"/>
        </w:rPr>
        <w:t xml:space="preserve"> (3 cases in 2021, 2 case</w:t>
      </w:r>
      <w:r w:rsidR="00D1650D" w:rsidRPr="00761D56">
        <w:rPr>
          <w:rFonts w:eastAsia="Times New Roman" w:cstheme="minorHAnsi"/>
          <w:color w:val="000000" w:themeColor="text1"/>
          <w:sz w:val="24"/>
          <w:szCs w:val="24"/>
          <w:lang w:bidi="dv-MV"/>
        </w:rPr>
        <w:t>s</w:t>
      </w:r>
      <w:r w:rsidR="006308E8" w:rsidRPr="00761D56">
        <w:rPr>
          <w:rFonts w:eastAsia="Times New Roman" w:cstheme="minorHAnsi"/>
          <w:color w:val="000000" w:themeColor="text1"/>
          <w:sz w:val="24"/>
          <w:szCs w:val="24"/>
          <w:lang w:bidi="dv-MV"/>
        </w:rPr>
        <w:t xml:space="preserve"> in 2022 and 2 case in 2023)</w:t>
      </w:r>
      <w:r w:rsidRPr="00761D56">
        <w:rPr>
          <w:rFonts w:eastAsia="Times New Roman" w:cstheme="minorHAnsi"/>
          <w:color w:val="000000" w:themeColor="text1"/>
          <w:sz w:val="24"/>
          <w:szCs w:val="24"/>
          <w:lang w:bidi="dv-MV"/>
        </w:rPr>
        <w:t xml:space="preserve"> forwarded by HRCM for prosecutorial decision resulted in prosecution, with several declined by the PGO, one rejected by court (see </w:t>
      </w:r>
      <w:r w:rsidRPr="00925D2C">
        <w:rPr>
          <w:sz w:val="24"/>
          <w:szCs w:val="24"/>
        </w:rPr>
        <w:t xml:space="preserve">chart </w:t>
      </w:r>
      <w:r w:rsidR="00CF2B4C" w:rsidRPr="00925D2C">
        <w:rPr>
          <w:sz w:val="24"/>
          <w:szCs w:val="24"/>
        </w:rPr>
        <w:t>20</w:t>
      </w:r>
      <w:r w:rsidRPr="00761D56">
        <w:rPr>
          <w:rFonts w:eastAsia="Times New Roman" w:cstheme="minorHAnsi"/>
          <w:color w:val="000000" w:themeColor="text1"/>
          <w:sz w:val="24"/>
          <w:szCs w:val="24"/>
          <w:lang w:bidi="dv-MV"/>
        </w:rPr>
        <w:t>), and most years showing no pending or actively prosecuted cases, indicating limited progression from investigation to trial.</w:t>
      </w:r>
    </w:p>
    <w:p w14:paraId="32B6A665" w14:textId="1355EAD8" w:rsidR="00E254F2" w:rsidRPr="00761D56" w:rsidRDefault="006308E8" w:rsidP="008F24DD">
      <w:pPr>
        <w:spacing w:line="276" w:lineRule="auto"/>
        <w:jc w:val="center"/>
        <w:rPr>
          <w:rFonts w:eastAsia="Times New Roman" w:cstheme="minorHAnsi"/>
          <w:color w:val="000000" w:themeColor="text1"/>
          <w:sz w:val="24"/>
          <w:szCs w:val="24"/>
          <w:lang w:bidi="dv-MV"/>
        </w:rPr>
      </w:pPr>
      <w:r w:rsidRPr="00761D56">
        <w:rPr>
          <w:noProof/>
          <w:color w:val="000000" w:themeColor="text1"/>
        </w:rPr>
        <w:lastRenderedPageBreak/>
        <w:drawing>
          <wp:inline distT="0" distB="0" distL="0" distR="0" wp14:anchorId="621F1B49" wp14:editId="4DF837E2">
            <wp:extent cx="4572000" cy="2743200"/>
            <wp:effectExtent l="0" t="0" r="0" b="0"/>
            <wp:docPr id="409598733" name="Chart 1">
              <a:extLst xmlns:a="http://schemas.openxmlformats.org/drawingml/2006/main">
                <a:ext uri="{FF2B5EF4-FFF2-40B4-BE49-F238E27FC236}">
                  <a16:creationId xmlns:a16="http://schemas.microsoft.com/office/drawing/2014/main" id="{CC236D29-2EA4-0197-776C-BCF6EB5E3F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41A40CB" w14:textId="33573DDA" w:rsidR="00E254F2" w:rsidRPr="00761D56" w:rsidRDefault="00E254F2" w:rsidP="008F24DD">
      <w:pPr>
        <w:spacing w:line="276" w:lineRule="auto"/>
        <w:ind w:hanging="450"/>
        <w:jc w:val="center"/>
        <w:rPr>
          <w:rFonts w:cstheme="minorHAnsi"/>
          <w:i/>
          <w:iCs/>
          <w:color w:val="000000" w:themeColor="text1"/>
          <w:sz w:val="24"/>
          <w:szCs w:val="24"/>
        </w:rPr>
      </w:pPr>
      <w:r w:rsidRPr="00925D2C">
        <w:rPr>
          <w:i/>
          <w:iCs/>
          <w:sz w:val="24"/>
          <w:szCs w:val="24"/>
        </w:rPr>
        <w:t xml:space="preserve">Chart </w:t>
      </w:r>
      <w:r w:rsidR="00CF2B4C" w:rsidRPr="00925D2C">
        <w:rPr>
          <w:i/>
          <w:iCs/>
          <w:sz w:val="24"/>
          <w:szCs w:val="24"/>
        </w:rPr>
        <w:t>20</w:t>
      </w:r>
      <w:r w:rsidRPr="00761D56">
        <w:rPr>
          <w:rFonts w:cstheme="minorHAnsi"/>
          <w:i/>
          <w:iCs/>
          <w:color w:val="000000" w:themeColor="text1"/>
          <w:sz w:val="24"/>
          <w:szCs w:val="24"/>
        </w:rPr>
        <w:t>: cases sent for prosecution</w:t>
      </w:r>
    </w:p>
    <w:p w14:paraId="1E3465E5" w14:textId="77777777" w:rsidR="00E254F2" w:rsidRPr="00761D56" w:rsidRDefault="00E254F2" w:rsidP="008F24DD">
      <w:pPr>
        <w:pStyle w:val="ListParagraph"/>
        <w:spacing w:after="0" w:line="276" w:lineRule="auto"/>
        <w:ind w:hanging="450"/>
        <w:jc w:val="both"/>
        <w:rPr>
          <w:rFonts w:eastAsia="Times New Roman" w:cstheme="minorHAnsi"/>
          <w:color w:val="000000" w:themeColor="text1"/>
          <w:sz w:val="24"/>
          <w:szCs w:val="24"/>
          <w:lang w:bidi="dv-MV"/>
        </w:rPr>
      </w:pPr>
    </w:p>
    <w:p w14:paraId="364235E6" w14:textId="68E6CF9B" w:rsidR="00E254F2" w:rsidRPr="00761D56" w:rsidRDefault="00E254F2" w:rsidP="008F24DD">
      <w:pPr>
        <w:pStyle w:val="ListParagraph"/>
        <w:numPr>
          <w:ilvl w:val="0"/>
          <w:numId w:val="10"/>
        </w:numPr>
        <w:spacing w:line="276" w:lineRule="auto"/>
        <w:ind w:hanging="450"/>
        <w:jc w:val="both"/>
        <w:rPr>
          <w:rFonts w:eastAsia="Times New Roman" w:cstheme="minorHAnsi"/>
          <w:color w:val="000000" w:themeColor="text1"/>
          <w:sz w:val="24"/>
          <w:szCs w:val="24"/>
          <w:lang w:bidi="dv-MV"/>
        </w:rPr>
      </w:pPr>
      <w:r w:rsidRPr="00761D56">
        <w:rPr>
          <w:rFonts w:eastAsia="Times New Roman" w:cstheme="minorHAnsi"/>
          <w:color w:val="000000" w:themeColor="text1"/>
          <w:sz w:val="24"/>
          <w:szCs w:val="24"/>
          <w:lang w:bidi="dv-MV"/>
        </w:rPr>
        <w:t xml:space="preserve">HRCM has limited financial, technical, and human resources to fulfil the criminal investigation mandate efficiently. HRCM has to depend on MPS forensic expertise and there is a potential for biased reports due to the conflict of interest. </w:t>
      </w:r>
    </w:p>
    <w:p w14:paraId="2ED3C6D4" w14:textId="77777777" w:rsidR="00E254F2" w:rsidRPr="00761D56" w:rsidRDefault="00E254F2"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Recommendations</w:t>
      </w:r>
    </w:p>
    <w:p w14:paraId="6DF005E5" w14:textId="77777777" w:rsidR="00E254F2" w:rsidRPr="00761D56" w:rsidRDefault="00E254F2" w:rsidP="008F24DD">
      <w:pPr>
        <w:pStyle w:val="ListParagraph"/>
        <w:numPr>
          <w:ilvl w:val="0"/>
          <w:numId w:val="25"/>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Take concrete measures to guarantee implementation of rights-based rehabilitation programs for all juveniles, ensuring access to quality education, vocational training, and psychosocial support, in compliance with international standards.</w:t>
      </w:r>
    </w:p>
    <w:p w14:paraId="2C1F2684" w14:textId="77777777" w:rsidR="00E254F2" w:rsidRPr="00761D56" w:rsidRDefault="00E254F2" w:rsidP="008F24DD">
      <w:pPr>
        <w:pStyle w:val="ListParagraph"/>
        <w:numPr>
          <w:ilvl w:val="0"/>
          <w:numId w:val="25"/>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Develop alternative education and skills programs tailored for juvenile offenders, including bridging programs and mental health services, in collaboration with the Ministry of Education and community-based partners.</w:t>
      </w:r>
    </w:p>
    <w:p w14:paraId="063921F0" w14:textId="70865A22" w:rsidR="00B87FAE" w:rsidRPr="00761D56" w:rsidRDefault="00E254F2" w:rsidP="008F24DD">
      <w:pPr>
        <w:pStyle w:val="ListParagraph"/>
        <w:numPr>
          <w:ilvl w:val="0"/>
          <w:numId w:val="25"/>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Establish an independent forensic laboratory and strengthen HRCM’s capacity through adequate funding, staffing, and specialised training on torture investigation, forensic documentation, and interviewing techniques</w:t>
      </w:r>
      <w:r w:rsidR="00841194" w:rsidRPr="00761D56">
        <w:rPr>
          <w:rFonts w:cstheme="minorHAnsi"/>
          <w:b/>
          <w:bCs/>
          <w:color w:val="000000" w:themeColor="text1"/>
          <w:sz w:val="24"/>
          <w:szCs w:val="24"/>
        </w:rPr>
        <w:t>.</w:t>
      </w:r>
    </w:p>
    <w:p w14:paraId="0054449A" w14:textId="77777777" w:rsidR="00BC7D45" w:rsidRPr="00761D56" w:rsidRDefault="00BC7D45" w:rsidP="008F24DD">
      <w:pPr>
        <w:pStyle w:val="Heading1"/>
        <w:spacing w:line="276" w:lineRule="auto"/>
        <w:jc w:val="both"/>
        <w:rPr>
          <w:rFonts w:asciiTheme="minorHAnsi" w:hAnsiTheme="minorHAnsi" w:cstheme="minorHAnsi"/>
          <w:color w:val="000000" w:themeColor="text1"/>
        </w:rPr>
      </w:pPr>
      <w:bookmarkStart w:id="31" w:name="_Toc216692806"/>
      <w:r w:rsidRPr="00761D56">
        <w:rPr>
          <w:rFonts w:asciiTheme="minorHAnsi" w:hAnsiTheme="minorHAnsi" w:cstheme="minorHAnsi"/>
          <w:color w:val="000000" w:themeColor="text1"/>
        </w:rPr>
        <w:t>Article 40 - Juvenile Justice</w:t>
      </w:r>
      <w:bookmarkEnd w:id="31"/>
    </w:p>
    <w:p w14:paraId="3BD86CF6" w14:textId="01DF6316" w:rsidR="00BC7D45" w:rsidRPr="00761D56" w:rsidRDefault="00BC7D45" w:rsidP="008F24DD">
      <w:pPr>
        <w:pStyle w:val="ListParagraph"/>
        <w:numPr>
          <w:ilvl w:val="0"/>
          <w:numId w:val="10"/>
        </w:numPr>
        <w:spacing w:before="240" w:line="276" w:lineRule="auto"/>
        <w:ind w:hanging="540"/>
        <w:jc w:val="both"/>
        <w:rPr>
          <w:rFonts w:cstheme="minorHAnsi"/>
          <w:color w:val="000000" w:themeColor="text1"/>
          <w:sz w:val="24"/>
          <w:szCs w:val="24"/>
        </w:rPr>
      </w:pPr>
      <w:bookmarkStart w:id="32" w:name="_Hlk165470303"/>
      <w:r w:rsidRPr="00761D56">
        <w:rPr>
          <w:rFonts w:cstheme="minorHAnsi"/>
          <w:color w:val="000000" w:themeColor="text1"/>
          <w:sz w:val="24"/>
          <w:szCs w:val="24"/>
        </w:rPr>
        <w:t xml:space="preserve">The </w:t>
      </w:r>
      <w:bookmarkEnd w:id="32"/>
      <w:r w:rsidRPr="00761D56">
        <w:rPr>
          <w:rFonts w:cstheme="minorHAnsi"/>
          <w:color w:val="000000" w:themeColor="text1"/>
          <w:sz w:val="24"/>
          <w:szCs w:val="24"/>
        </w:rPr>
        <w:t>JJA outlines the rights of CICL, aims to prevent juvenile delinquency, and prescribes swift reform through rehabilitation</w:t>
      </w:r>
      <w:r w:rsidR="00D25236"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91"/>
      </w:r>
      <w:r w:rsidRPr="00761D56">
        <w:rPr>
          <w:rFonts w:cstheme="minorHAnsi"/>
          <w:color w:val="000000" w:themeColor="text1"/>
          <w:sz w:val="24"/>
          <w:szCs w:val="24"/>
        </w:rPr>
        <w:t xml:space="preserve"> However, there are still gaps in the effective implementation of these provisions. </w:t>
      </w:r>
      <w:r w:rsidR="00EE2275" w:rsidRPr="00761D56">
        <w:rPr>
          <w:rFonts w:cstheme="minorHAnsi"/>
          <w:color w:val="000000" w:themeColor="text1"/>
          <w:sz w:val="24"/>
          <w:szCs w:val="24"/>
        </w:rPr>
        <w:t xml:space="preserve">The Department of Juvenile Justice (DJJ) serves as a central authority in managing cases, overseeing children’s rehabilitation, </w:t>
      </w:r>
      <w:r w:rsidR="00EE2275" w:rsidRPr="00761D56">
        <w:rPr>
          <w:rFonts w:cstheme="minorHAnsi"/>
          <w:color w:val="000000" w:themeColor="text1"/>
          <w:sz w:val="24"/>
          <w:szCs w:val="24"/>
        </w:rPr>
        <w:lastRenderedPageBreak/>
        <w:t>and coordinating diversion mechanisms in collaboration with police, prosecutors, and the courts.</w:t>
      </w:r>
      <w:r w:rsidR="00A67FA4" w:rsidRPr="00761D56">
        <w:rPr>
          <w:rStyle w:val="EndnoteReference"/>
          <w:rFonts w:cstheme="minorHAnsi"/>
          <w:color w:val="000000" w:themeColor="text1"/>
          <w:sz w:val="24"/>
          <w:szCs w:val="24"/>
        </w:rPr>
        <w:endnoteReference w:id="192"/>
      </w:r>
      <w:r w:rsidR="00A67FA4" w:rsidRPr="00761D56">
        <w:rPr>
          <w:rFonts w:cstheme="minorHAnsi"/>
          <w:color w:val="000000" w:themeColor="text1"/>
          <w:sz w:val="24"/>
          <w:szCs w:val="24"/>
        </w:rPr>
        <w:t xml:space="preserve"> </w:t>
      </w:r>
      <w:r w:rsidR="00EE2275" w:rsidRPr="00761D56">
        <w:rPr>
          <w:rFonts w:cstheme="minorHAnsi"/>
          <w:color w:val="000000" w:themeColor="text1"/>
          <w:sz w:val="24"/>
          <w:szCs w:val="24"/>
        </w:rPr>
        <w:t xml:space="preserve"> Despite its pivotal role, the functions and responsibilities of the DJJ are not consistently recognized or fully understood by other agencies in practice.</w:t>
      </w:r>
      <w:r w:rsidRPr="00761D56">
        <w:rPr>
          <w:rStyle w:val="EndnoteReference"/>
          <w:rFonts w:cstheme="minorHAnsi"/>
          <w:color w:val="000000" w:themeColor="text1"/>
          <w:sz w:val="24"/>
          <w:szCs w:val="24"/>
        </w:rPr>
        <w:endnoteReference w:id="193"/>
      </w:r>
      <w:r w:rsidR="00EE2275" w:rsidRPr="00761D56">
        <w:rPr>
          <w:rFonts w:cstheme="minorHAnsi"/>
          <w:color w:val="000000" w:themeColor="text1"/>
          <w:sz w:val="24"/>
          <w:szCs w:val="24"/>
        </w:rPr>
        <w:t xml:space="preserve"> </w:t>
      </w:r>
      <w:r w:rsidRPr="00761D56">
        <w:rPr>
          <w:rFonts w:cstheme="minorHAnsi"/>
          <w:color w:val="000000" w:themeColor="text1"/>
          <w:sz w:val="24"/>
          <w:szCs w:val="24"/>
        </w:rPr>
        <w:t xml:space="preserve">The lack of consistent inter-agency coordination and communication severely undermines the delivery of justice outcomes and often leads to delays. </w:t>
      </w:r>
      <w:r w:rsidRPr="00761D56">
        <w:rPr>
          <w:rStyle w:val="EndnoteReference"/>
          <w:rFonts w:cstheme="minorHAnsi"/>
          <w:color w:val="000000" w:themeColor="text1"/>
          <w:sz w:val="24"/>
          <w:szCs w:val="24"/>
        </w:rPr>
        <w:endnoteReference w:id="194"/>
      </w:r>
    </w:p>
    <w:p w14:paraId="78D8E8DD" w14:textId="47608EED" w:rsidR="00BC7D45" w:rsidRPr="00761D56" w:rsidRDefault="00EE2275"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A</w:t>
      </w:r>
      <w:r w:rsidR="00BC7D45" w:rsidRPr="00761D56">
        <w:rPr>
          <w:rFonts w:cstheme="minorHAnsi"/>
          <w:color w:val="000000" w:themeColor="text1"/>
          <w:sz w:val="24"/>
          <w:szCs w:val="24"/>
        </w:rPr>
        <w:t xml:space="preserve"> special facility is designated in capital city to take testimony of minors in child-friendly setting</w:t>
      </w:r>
      <w:r w:rsidRPr="00761D56">
        <w:rPr>
          <w:rFonts w:cstheme="minorHAnsi"/>
          <w:color w:val="000000" w:themeColor="text1"/>
          <w:sz w:val="24"/>
          <w:szCs w:val="24"/>
        </w:rPr>
        <w:t xml:space="preserve">. However, </w:t>
      </w:r>
      <w:r w:rsidR="00BC7D45" w:rsidRPr="00761D56">
        <w:rPr>
          <w:rFonts w:cstheme="minorHAnsi"/>
          <w:color w:val="000000" w:themeColor="text1"/>
          <w:sz w:val="24"/>
          <w:szCs w:val="24"/>
        </w:rPr>
        <w:t>in islands where there are no such facilities, children are either brought to the nearest school or any other child friendly environment to take their testimony.</w:t>
      </w:r>
      <w:r w:rsidR="00BC7D45" w:rsidRPr="00761D56">
        <w:rPr>
          <w:rStyle w:val="EndnoteReference"/>
          <w:rFonts w:cstheme="minorHAnsi"/>
          <w:color w:val="000000" w:themeColor="text1"/>
          <w:sz w:val="24"/>
          <w:szCs w:val="24"/>
        </w:rPr>
        <w:endnoteReference w:id="195"/>
      </w:r>
    </w:p>
    <w:p w14:paraId="346A6A29" w14:textId="78B27B3B" w:rsidR="00BC7D45" w:rsidRPr="00761D56" w:rsidRDefault="002634D6" w:rsidP="008F24DD">
      <w:pPr>
        <w:pStyle w:val="ListParagraph"/>
        <w:numPr>
          <w:ilvl w:val="0"/>
          <w:numId w:val="10"/>
        </w:numPr>
        <w:spacing w:before="240" w:line="276" w:lineRule="auto"/>
        <w:ind w:hanging="450"/>
        <w:jc w:val="both"/>
        <w:rPr>
          <w:rFonts w:cstheme="minorHAnsi"/>
          <w:color w:val="000000" w:themeColor="text1"/>
          <w:lang w:val="en-US"/>
        </w:rPr>
      </w:pPr>
      <w:r w:rsidRPr="00761D56">
        <w:rPr>
          <w:rFonts w:cstheme="minorHAnsi"/>
          <w:color w:val="000000" w:themeColor="text1"/>
          <w:sz w:val="24"/>
          <w:szCs w:val="24"/>
        </w:rPr>
        <w:t>Relevant agencies encounter significant delays in obtaining essential psychological reports, gender assessments, and risk evaluations, primarily due to a shortage of qualified professionals; particularly in cases involving multiple juveniles. These delays intensify for juveniles residing outside the capital region, where no certified professionals are stationed in the atolls to conduct such assessments. Consequently, prosecutions cannot proceed until all required reports and documents are received, resulting in prolonged delays throughout the judicial process.</w:t>
      </w:r>
      <w:r w:rsidR="00BC7D45" w:rsidRPr="00761D56">
        <w:rPr>
          <w:rFonts w:cstheme="minorHAnsi"/>
          <w:color w:val="000000" w:themeColor="text1"/>
          <w:sz w:val="24"/>
          <w:szCs w:val="24"/>
        </w:rPr>
        <w:t xml:space="preserve"> </w:t>
      </w:r>
      <w:r w:rsidR="00BC7D45" w:rsidRPr="00761D56">
        <w:rPr>
          <w:rStyle w:val="EndnoteReference"/>
          <w:rFonts w:cstheme="minorHAnsi"/>
          <w:color w:val="000000" w:themeColor="text1"/>
          <w:sz w:val="24"/>
          <w:szCs w:val="24"/>
        </w:rPr>
        <w:endnoteReference w:id="196"/>
      </w:r>
    </w:p>
    <w:p w14:paraId="5A91CC54" w14:textId="183130C6" w:rsidR="00BC7D45" w:rsidRPr="00761D56" w:rsidRDefault="00BC7D45"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Legal proceedings involve technical language and concepts that can be confusing for children.  In circumstances where law enforcement officials fail to comprehend the information they require from the child and the purpose it will serve in terms of the administration of justice; the child is not properly informed of the consequences of the information being disclosed, which makes it difficult to later admit that information as evidence.</w:t>
      </w:r>
      <w:r w:rsidRPr="00761D56">
        <w:rPr>
          <w:rStyle w:val="EndnoteReference"/>
          <w:rFonts w:cstheme="minorHAnsi"/>
          <w:color w:val="000000" w:themeColor="text1"/>
          <w:sz w:val="24"/>
          <w:szCs w:val="24"/>
        </w:rPr>
        <w:endnoteReference w:id="197"/>
      </w:r>
      <w:r w:rsidRPr="00761D56">
        <w:rPr>
          <w:rFonts w:cstheme="minorHAnsi"/>
          <w:color w:val="000000" w:themeColor="text1"/>
          <w:sz w:val="24"/>
          <w:szCs w:val="24"/>
        </w:rPr>
        <w:t xml:space="preserve"> Additionally, not all defence attorneys working with children have received specialized training, making it challenging for them to become familiar with </w:t>
      </w:r>
      <w:bookmarkStart w:id="33" w:name="_Hlk166764732"/>
      <w:r w:rsidRPr="00761D56">
        <w:rPr>
          <w:rFonts w:cstheme="minorHAnsi"/>
          <w:color w:val="000000" w:themeColor="text1"/>
          <w:sz w:val="24"/>
          <w:szCs w:val="24"/>
        </w:rPr>
        <w:t xml:space="preserve">juvenile justice systems (JJS) </w:t>
      </w:r>
      <w:bookmarkEnd w:id="33"/>
      <w:r w:rsidRPr="00761D56">
        <w:rPr>
          <w:rFonts w:cstheme="minorHAnsi"/>
          <w:color w:val="000000" w:themeColor="text1"/>
          <w:sz w:val="24"/>
          <w:szCs w:val="24"/>
        </w:rPr>
        <w:t>and ensure proper participation of juveniles in the justice system.</w:t>
      </w:r>
      <w:r w:rsidRPr="00761D56">
        <w:rPr>
          <w:rStyle w:val="EndnoteReference"/>
          <w:rFonts w:cstheme="minorHAnsi"/>
          <w:color w:val="000000" w:themeColor="text1"/>
          <w:sz w:val="24"/>
          <w:szCs w:val="24"/>
        </w:rPr>
        <w:endnoteReference w:id="198"/>
      </w:r>
      <w:r w:rsidRPr="00761D56">
        <w:rPr>
          <w:rFonts w:cstheme="minorHAnsi"/>
          <w:color w:val="000000" w:themeColor="text1"/>
          <w:sz w:val="24"/>
          <w:szCs w:val="24"/>
        </w:rPr>
        <w:t xml:space="preserve"> </w:t>
      </w:r>
    </w:p>
    <w:p w14:paraId="265890B4" w14:textId="776468A4" w:rsidR="00BC7D45" w:rsidRPr="00761D56" w:rsidRDefault="00BC7D45" w:rsidP="008F24DD">
      <w:pPr>
        <w:pStyle w:val="ListParagraph"/>
        <w:numPr>
          <w:ilvl w:val="0"/>
          <w:numId w:val="10"/>
        </w:numPr>
        <w:spacing w:before="240" w:line="276" w:lineRule="auto"/>
        <w:ind w:hanging="540"/>
        <w:jc w:val="both"/>
        <w:rPr>
          <w:rFonts w:cstheme="minorHAnsi"/>
          <w:color w:val="000000" w:themeColor="text1"/>
          <w:sz w:val="24"/>
          <w:szCs w:val="24"/>
        </w:rPr>
      </w:pPr>
      <w:r w:rsidRPr="00761D56">
        <w:rPr>
          <w:rFonts w:cstheme="minorHAnsi"/>
          <w:color w:val="000000" w:themeColor="text1"/>
          <w:sz w:val="24"/>
          <w:szCs w:val="24"/>
        </w:rPr>
        <w:t xml:space="preserve"> Reintegrating </w:t>
      </w:r>
      <w:r w:rsidR="00D413DD" w:rsidRPr="00761D56">
        <w:rPr>
          <w:rFonts w:cstheme="minorHAnsi"/>
          <w:color w:val="000000" w:themeColor="text1"/>
          <w:sz w:val="24"/>
          <w:szCs w:val="24"/>
        </w:rPr>
        <w:t>CICL</w:t>
      </w:r>
      <w:r w:rsidRPr="00761D56">
        <w:rPr>
          <w:rFonts w:cstheme="minorHAnsi"/>
          <w:color w:val="000000" w:themeColor="text1"/>
          <w:sz w:val="24"/>
          <w:szCs w:val="24"/>
        </w:rPr>
        <w:t xml:space="preserve"> continues to face major challenges, as successful rehabilitation depends not only on the child but also on the support and attitudes of the community</w:t>
      </w:r>
      <w:r w:rsidR="0062454B" w:rsidRPr="00761D56">
        <w:rPr>
          <w:rFonts w:cstheme="minorHAnsi"/>
          <w:color w:val="000000" w:themeColor="text1"/>
          <w:sz w:val="24"/>
          <w:szCs w:val="24"/>
        </w:rPr>
        <w:t xml:space="preserve"> </w:t>
      </w:r>
      <w:r w:rsidR="0062454B" w:rsidRPr="00925D2C">
        <w:rPr>
          <w:sz w:val="24"/>
          <w:szCs w:val="24"/>
        </w:rPr>
        <w:t xml:space="preserve">(See chart </w:t>
      </w:r>
      <w:r w:rsidR="00CF2B4C" w:rsidRPr="00925D2C">
        <w:rPr>
          <w:sz w:val="24"/>
          <w:szCs w:val="24"/>
        </w:rPr>
        <w:t>21</w:t>
      </w:r>
      <w:r w:rsidR="0062454B" w:rsidRPr="00925D2C">
        <w:rPr>
          <w:sz w:val="24"/>
          <w:szCs w:val="24"/>
        </w:rPr>
        <w:t>)</w:t>
      </w:r>
      <w:r w:rsidRPr="00761D56">
        <w:rPr>
          <w:rFonts w:cstheme="minorHAnsi"/>
          <w:color w:val="000000" w:themeColor="text1"/>
          <w:sz w:val="24"/>
          <w:szCs w:val="24"/>
        </w:rPr>
        <w:t>.</w:t>
      </w:r>
      <w:r w:rsidRPr="00761D56">
        <w:rPr>
          <w:rStyle w:val="EndnoteReference"/>
          <w:rFonts w:cstheme="minorHAnsi"/>
          <w:color w:val="000000" w:themeColor="text1"/>
          <w:sz w:val="24"/>
          <w:szCs w:val="24"/>
        </w:rPr>
        <w:endnoteReference w:id="199"/>
      </w:r>
      <w:r w:rsidRPr="00761D56">
        <w:rPr>
          <w:rFonts w:cstheme="minorHAnsi"/>
          <w:color w:val="000000" w:themeColor="text1"/>
          <w:sz w:val="24"/>
          <w:szCs w:val="24"/>
        </w:rPr>
        <w:t xml:space="preserve"> School dropouts remained </w:t>
      </w:r>
      <w:r w:rsidR="007E6F50" w:rsidRPr="00761D56">
        <w:rPr>
          <w:rFonts w:cstheme="minorHAnsi"/>
          <w:color w:val="000000" w:themeColor="text1"/>
          <w:sz w:val="24"/>
          <w:szCs w:val="24"/>
        </w:rPr>
        <w:t>overrepresented</w:t>
      </w:r>
      <w:r w:rsidRPr="00761D56">
        <w:rPr>
          <w:rFonts w:cstheme="minorHAnsi"/>
          <w:color w:val="000000" w:themeColor="text1"/>
          <w:sz w:val="24"/>
          <w:szCs w:val="24"/>
        </w:rPr>
        <w:t xml:space="preserve"> among </w:t>
      </w:r>
      <w:r w:rsidR="00D413DD" w:rsidRPr="00761D56">
        <w:rPr>
          <w:rFonts w:cstheme="minorHAnsi"/>
          <w:color w:val="000000" w:themeColor="text1"/>
          <w:sz w:val="24"/>
          <w:szCs w:val="24"/>
        </w:rPr>
        <w:t>CICL</w:t>
      </w:r>
      <w:r w:rsidRPr="00761D56">
        <w:rPr>
          <w:rFonts w:cstheme="minorHAnsi"/>
          <w:color w:val="000000" w:themeColor="text1"/>
          <w:sz w:val="24"/>
          <w:szCs w:val="24"/>
        </w:rPr>
        <w:t>. While being overaged makes it difficult for children to return to school, low literacy levels make it challenging for them to enrol in vocational training programs.</w:t>
      </w:r>
      <w:r w:rsidRPr="00761D56">
        <w:rPr>
          <w:rStyle w:val="EndnoteReference"/>
          <w:rFonts w:cstheme="minorHAnsi"/>
          <w:color w:val="000000" w:themeColor="text1"/>
          <w:sz w:val="24"/>
          <w:szCs w:val="24"/>
        </w:rPr>
        <w:endnoteReference w:id="200"/>
      </w:r>
    </w:p>
    <w:p w14:paraId="2EB4093B" w14:textId="77777777" w:rsidR="00BC7D45" w:rsidRPr="00761D56" w:rsidRDefault="00BC7D45" w:rsidP="008F24DD">
      <w:pPr>
        <w:spacing w:before="240" w:line="276" w:lineRule="auto"/>
        <w:ind w:left="720"/>
        <w:jc w:val="both"/>
        <w:rPr>
          <w:rFonts w:cstheme="minorHAnsi"/>
          <w:color w:val="000000" w:themeColor="text1"/>
          <w:sz w:val="24"/>
          <w:szCs w:val="24"/>
        </w:rPr>
      </w:pPr>
      <w:r w:rsidRPr="00761D56">
        <w:rPr>
          <w:rFonts w:cstheme="minorHAnsi"/>
          <w:noProof/>
          <w:color w:val="000000" w:themeColor="text1"/>
          <w:sz w:val="24"/>
          <w:szCs w:val="24"/>
        </w:rPr>
        <w:lastRenderedPageBreak/>
        <w:drawing>
          <wp:anchor distT="0" distB="0" distL="114300" distR="114300" simplePos="0" relativeHeight="251664384" behindDoc="0" locked="0" layoutInCell="1" allowOverlap="1" wp14:anchorId="06AED2F5" wp14:editId="60DA8227">
            <wp:simplePos x="0" y="0"/>
            <wp:positionH relativeFrom="margin">
              <wp:posOffset>838200</wp:posOffset>
            </wp:positionH>
            <wp:positionV relativeFrom="paragraph">
              <wp:posOffset>60960</wp:posOffset>
            </wp:positionV>
            <wp:extent cx="4686300" cy="2705100"/>
            <wp:effectExtent l="0" t="0" r="0" b="0"/>
            <wp:wrapSquare wrapText="bothSides"/>
            <wp:docPr id="1516030836" name="Chart 1">
              <a:extLst xmlns:a="http://schemas.openxmlformats.org/drawingml/2006/main">
                <a:ext uri="{FF2B5EF4-FFF2-40B4-BE49-F238E27FC236}">
                  <a16:creationId xmlns:a16="http://schemas.microsoft.com/office/drawing/2014/main" id="{CDD179FD-92B7-8B74-C64E-CE91D118C6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4BD2ECFB" w14:textId="77777777" w:rsidR="00BC7D45" w:rsidRPr="00761D56" w:rsidRDefault="00BC7D45" w:rsidP="008F24DD">
      <w:pPr>
        <w:spacing w:before="240" w:line="276" w:lineRule="auto"/>
        <w:ind w:left="720"/>
        <w:jc w:val="both"/>
        <w:rPr>
          <w:rFonts w:cstheme="minorHAnsi"/>
          <w:color w:val="000000" w:themeColor="text1"/>
          <w:sz w:val="24"/>
          <w:szCs w:val="24"/>
        </w:rPr>
      </w:pPr>
    </w:p>
    <w:p w14:paraId="75DA3D23" w14:textId="77777777" w:rsidR="00BC7D45" w:rsidRPr="00761D56" w:rsidRDefault="00BC7D45" w:rsidP="008F24DD">
      <w:pPr>
        <w:spacing w:before="240" w:line="276" w:lineRule="auto"/>
        <w:ind w:left="720"/>
        <w:jc w:val="both"/>
        <w:rPr>
          <w:rFonts w:cstheme="minorHAnsi"/>
          <w:color w:val="000000" w:themeColor="text1"/>
          <w:sz w:val="24"/>
          <w:szCs w:val="24"/>
        </w:rPr>
      </w:pPr>
    </w:p>
    <w:p w14:paraId="50684D64" w14:textId="77777777" w:rsidR="00BC7D45" w:rsidRPr="00761D56" w:rsidRDefault="00BC7D45" w:rsidP="008F24DD">
      <w:pPr>
        <w:spacing w:before="240" w:line="276" w:lineRule="auto"/>
        <w:ind w:left="720"/>
        <w:jc w:val="both"/>
        <w:rPr>
          <w:rFonts w:cstheme="minorHAnsi"/>
          <w:color w:val="000000" w:themeColor="text1"/>
          <w:sz w:val="24"/>
          <w:szCs w:val="24"/>
        </w:rPr>
      </w:pPr>
    </w:p>
    <w:p w14:paraId="4C6DE1E6" w14:textId="77777777" w:rsidR="00BC7D45" w:rsidRPr="00761D56" w:rsidRDefault="00BC7D45" w:rsidP="008F24DD">
      <w:pPr>
        <w:spacing w:before="240" w:line="276" w:lineRule="auto"/>
        <w:ind w:left="720"/>
        <w:jc w:val="both"/>
        <w:rPr>
          <w:rFonts w:cstheme="minorHAnsi"/>
          <w:color w:val="000000" w:themeColor="text1"/>
          <w:sz w:val="24"/>
          <w:szCs w:val="24"/>
        </w:rPr>
      </w:pPr>
    </w:p>
    <w:p w14:paraId="2E8015F6" w14:textId="77777777" w:rsidR="00BC7D45" w:rsidRPr="00761D56" w:rsidRDefault="00BC7D45" w:rsidP="008F24DD">
      <w:pPr>
        <w:spacing w:before="240" w:line="276" w:lineRule="auto"/>
        <w:ind w:left="720"/>
        <w:jc w:val="both"/>
        <w:rPr>
          <w:rFonts w:cstheme="minorHAnsi"/>
          <w:color w:val="000000" w:themeColor="text1"/>
          <w:sz w:val="24"/>
          <w:szCs w:val="24"/>
        </w:rPr>
      </w:pPr>
    </w:p>
    <w:p w14:paraId="02D75D4E" w14:textId="77777777" w:rsidR="00BC7D45" w:rsidRPr="00761D56" w:rsidRDefault="00BC7D45" w:rsidP="008F24DD">
      <w:pPr>
        <w:spacing w:before="240" w:line="276" w:lineRule="auto"/>
        <w:ind w:left="720"/>
        <w:jc w:val="both"/>
        <w:rPr>
          <w:rFonts w:cstheme="minorHAnsi"/>
          <w:color w:val="000000" w:themeColor="text1"/>
          <w:sz w:val="24"/>
          <w:szCs w:val="24"/>
        </w:rPr>
      </w:pPr>
    </w:p>
    <w:p w14:paraId="1B233222" w14:textId="77777777" w:rsidR="00BC7D45" w:rsidRPr="00761D56" w:rsidRDefault="00BC7D45" w:rsidP="008F24DD">
      <w:pPr>
        <w:spacing w:before="240" w:line="276" w:lineRule="auto"/>
        <w:ind w:left="720"/>
        <w:jc w:val="both"/>
        <w:rPr>
          <w:rFonts w:cstheme="minorHAnsi"/>
          <w:color w:val="000000" w:themeColor="text1"/>
          <w:sz w:val="24"/>
          <w:szCs w:val="24"/>
        </w:rPr>
      </w:pPr>
    </w:p>
    <w:p w14:paraId="3047100E" w14:textId="329BC584" w:rsidR="00BC7D45" w:rsidRPr="00761D56" w:rsidRDefault="00BC7D45" w:rsidP="008F24DD">
      <w:pPr>
        <w:spacing w:before="240" w:line="276" w:lineRule="auto"/>
        <w:ind w:left="720"/>
        <w:jc w:val="center"/>
        <w:rPr>
          <w:rFonts w:cstheme="minorHAnsi"/>
          <w:i/>
          <w:iCs/>
          <w:color w:val="000000" w:themeColor="text1"/>
          <w:sz w:val="24"/>
          <w:szCs w:val="24"/>
        </w:rPr>
      </w:pPr>
      <w:r w:rsidRPr="00761D56">
        <w:rPr>
          <w:rFonts w:cstheme="minorHAnsi"/>
          <w:i/>
          <w:iCs/>
          <w:color w:val="000000" w:themeColor="text1"/>
          <w:sz w:val="24"/>
          <w:szCs w:val="24"/>
        </w:rPr>
        <w:t xml:space="preserve">Chart </w:t>
      </w:r>
      <w:r w:rsidR="00CF2B4C" w:rsidRPr="00761D56">
        <w:rPr>
          <w:rFonts w:cstheme="minorHAnsi"/>
          <w:i/>
          <w:iCs/>
          <w:color w:val="000000" w:themeColor="text1"/>
          <w:sz w:val="24"/>
          <w:szCs w:val="24"/>
        </w:rPr>
        <w:t>21</w:t>
      </w:r>
      <w:r w:rsidRPr="00761D56">
        <w:rPr>
          <w:rFonts w:cstheme="minorHAnsi"/>
          <w:i/>
          <w:iCs/>
          <w:color w:val="000000" w:themeColor="text1"/>
          <w:sz w:val="24"/>
          <w:szCs w:val="24"/>
        </w:rPr>
        <w:t>: Children in conflict with the law rehabilitated and returned to society</w:t>
      </w:r>
      <w:r w:rsidR="00CF2B4C" w:rsidRPr="00761D56">
        <w:rPr>
          <w:rFonts w:cstheme="minorHAnsi"/>
          <w:i/>
          <w:iCs/>
          <w:color w:val="000000" w:themeColor="text1"/>
          <w:sz w:val="24"/>
          <w:szCs w:val="24"/>
        </w:rPr>
        <w:t xml:space="preserve"> documented by DJJ</w:t>
      </w:r>
    </w:p>
    <w:p w14:paraId="313FC16D" w14:textId="77777777" w:rsidR="00BC7D45" w:rsidRPr="00761D56" w:rsidRDefault="00BC7D45" w:rsidP="008F24DD">
      <w:pPr>
        <w:pStyle w:val="ListParagraph"/>
        <w:spacing w:before="240" w:line="276" w:lineRule="auto"/>
        <w:jc w:val="both"/>
        <w:rPr>
          <w:rFonts w:cstheme="minorHAnsi"/>
          <w:color w:val="000000" w:themeColor="text1"/>
          <w:sz w:val="24"/>
          <w:szCs w:val="24"/>
        </w:rPr>
      </w:pPr>
    </w:p>
    <w:p w14:paraId="2B42D35A" w14:textId="67DAFDA8" w:rsidR="006B1C4A" w:rsidRPr="00761D56" w:rsidRDefault="00DA0283" w:rsidP="008F24DD">
      <w:pPr>
        <w:pStyle w:val="ListParagraph"/>
        <w:numPr>
          <w:ilvl w:val="0"/>
          <w:numId w:val="10"/>
        </w:numPr>
        <w:spacing w:before="240" w:line="276" w:lineRule="auto"/>
        <w:ind w:hanging="450"/>
        <w:jc w:val="both"/>
        <w:rPr>
          <w:rFonts w:cstheme="minorHAnsi"/>
          <w:color w:val="000000" w:themeColor="text1"/>
          <w:sz w:val="24"/>
          <w:szCs w:val="24"/>
        </w:rPr>
      </w:pPr>
      <w:r w:rsidRPr="00761D56">
        <w:rPr>
          <w:rFonts w:cstheme="minorHAnsi"/>
          <w:color w:val="000000" w:themeColor="text1"/>
          <w:sz w:val="24"/>
          <w:szCs w:val="24"/>
        </w:rPr>
        <w:t xml:space="preserve">Although </w:t>
      </w:r>
      <w:r w:rsidR="00D413DD" w:rsidRPr="00761D56">
        <w:rPr>
          <w:rFonts w:cstheme="minorHAnsi"/>
          <w:color w:val="000000" w:themeColor="text1"/>
          <w:sz w:val="24"/>
          <w:szCs w:val="24"/>
        </w:rPr>
        <w:t>CICL</w:t>
      </w:r>
      <w:r w:rsidRPr="00761D56">
        <w:rPr>
          <w:rFonts w:cstheme="minorHAnsi"/>
          <w:color w:val="000000" w:themeColor="text1"/>
          <w:sz w:val="24"/>
          <w:szCs w:val="24"/>
        </w:rPr>
        <w:t xml:space="preserve"> held in the Juvenile Detention Center at Asseyri Prison are formally separated from the general prison population, they are still able to communicate with adult inmates because of the close proximity of their cells and their interaction in shared areas.</w:t>
      </w:r>
      <w:r w:rsidR="00BC7D45" w:rsidRPr="00761D56">
        <w:rPr>
          <w:rStyle w:val="EndnoteReference"/>
          <w:rFonts w:cstheme="minorHAnsi"/>
          <w:color w:val="000000" w:themeColor="text1"/>
          <w:sz w:val="24"/>
          <w:szCs w:val="24"/>
        </w:rPr>
        <w:endnoteReference w:id="201"/>
      </w:r>
      <w:r w:rsidR="00BC7D45" w:rsidRPr="00761D56">
        <w:rPr>
          <w:rFonts w:cstheme="minorHAnsi"/>
          <w:color w:val="000000" w:themeColor="text1"/>
          <w:sz w:val="24"/>
          <w:szCs w:val="24"/>
        </w:rPr>
        <w:t xml:space="preserve"> </w:t>
      </w:r>
      <w:r w:rsidRPr="00761D56">
        <w:rPr>
          <w:rFonts w:cstheme="minorHAnsi"/>
          <w:color w:val="000000" w:themeColor="text1"/>
          <w:sz w:val="24"/>
          <w:szCs w:val="24"/>
        </w:rPr>
        <w:t>The Juvenile Justice Act provides no explicit guidance on the detention of juveniles who are on remand during trial proceedings; as a result, juveniles awaiting trial are held together with those who have already been convicted.</w:t>
      </w:r>
      <w:r w:rsidR="00BC7D45" w:rsidRPr="00761D56">
        <w:rPr>
          <w:rStyle w:val="EndnoteReference"/>
          <w:rFonts w:cstheme="minorHAnsi"/>
          <w:color w:val="000000" w:themeColor="text1"/>
          <w:sz w:val="24"/>
          <w:szCs w:val="24"/>
        </w:rPr>
        <w:endnoteReference w:id="202"/>
      </w:r>
    </w:p>
    <w:p w14:paraId="0D5DEBD6" w14:textId="35562F80" w:rsidR="006B1C4A" w:rsidRPr="00761D56" w:rsidRDefault="00BC7D45" w:rsidP="008F24DD">
      <w:pPr>
        <w:pStyle w:val="ListParagraph"/>
        <w:numPr>
          <w:ilvl w:val="0"/>
          <w:numId w:val="10"/>
        </w:numPr>
        <w:tabs>
          <w:tab w:val="left" w:pos="720"/>
        </w:tabs>
        <w:spacing w:before="240" w:after="0" w:line="276" w:lineRule="auto"/>
        <w:ind w:hanging="450"/>
        <w:jc w:val="both"/>
        <w:rPr>
          <w:rFonts w:cstheme="minorHAnsi"/>
          <w:color w:val="000000" w:themeColor="text1"/>
          <w:sz w:val="24"/>
          <w:szCs w:val="24"/>
        </w:rPr>
      </w:pPr>
      <w:r w:rsidRPr="00761D56">
        <w:rPr>
          <w:rFonts w:cstheme="minorHAnsi"/>
          <w:color w:val="000000" w:themeColor="text1"/>
          <w:sz w:val="24"/>
          <w:szCs w:val="24"/>
        </w:rPr>
        <w:t>CRPA and the JJA raise the age of criminal responsibility to 15 years. However, it is of concern that in April 2024, government announced</w:t>
      </w:r>
      <w:r w:rsidR="000E469E" w:rsidRPr="00761D56">
        <w:rPr>
          <w:rFonts w:cstheme="minorHAnsi"/>
          <w:color w:val="000000" w:themeColor="text1"/>
          <w:sz w:val="24"/>
          <w:szCs w:val="24"/>
        </w:rPr>
        <w:t xml:space="preserve"> its intention</w:t>
      </w:r>
      <w:r w:rsidRPr="00761D56">
        <w:rPr>
          <w:rFonts w:cstheme="minorHAnsi"/>
          <w:color w:val="000000" w:themeColor="text1"/>
          <w:sz w:val="24"/>
          <w:szCs w:val="24"/>
        </w:rPr>
        <w:t xml:space="preserve"> to lower the age of criminal responsibility to 12 years.</w:t>
      </w:r>
      <w:r w:rsidRPr="00761D56">
        <w:rPr>
          <w:rStyle w:val="EndnoteReference"/>
          <w:rFonts w:cstheme="minorHAnsi"/>
          <w:color w:val="000000" w:themeColor="text1"/>
          <w:sz w:val="24"/>
          <w:szCs w:val="24"/>
        </w:rPr>
        <w:endnoteReference w:id="203"/>
      </w:r>
      <w:r w:rsidRPr="00761D56">
        <w:rPr>
          <w:rFonts w:cstheme="minorHAnsi"/>
          <w:color w:val="000000" w:themeColor="text1"/>
          <w:sz w:val="24"/>
          <w:szCs w:val="24"/>
        </w:rPr>
        <w:t xml:space="preserve"> HRCM considers lowering the age of criminal responsibility as an issue of concern as punitive measures in juvenile justice has unfavourable consequences to juveniles. </w:t>
      </w:r>
    </w:p>
    <w:p w14:paraId="64474F15" w14:textId="44588F02" w:rsidR="006B1C4A" w:rsidRPr="00761D56" w:rsidRDefault="006B1C4A" w:rsidP="008F24DD">
      <w:pPr>
        <w:pStyle w:val="ListParagraph"/>
        <w:numPr>
          <w:ilvl w:val="0"/>
          <w:numId w:val="10"/>
        </w:numPr>
        <w:autoSpaceDE w:val="0"/>
        <w:autoSpaceDN w:val="0"/>
        <w:adjustRightInd w:val="0"/>
        <w:spacing w:before="240" w:after="0" w:line="276" w:lineRule="auto"/>
        <w:ind w:left="990" w:hanging="450"/>
        <w:jc w:val="both"/>
        <w:rPr>
          <w:rFonts w:cstheme="minorHAnsi"/>
          <w:color w:val="000000" w:themeColor="text1"/>
          <w:sz w:val="24"/>
          <w:szCs w:val="24"/>
        </w:rPr>
      </w:pPr>
      <w:r w:rsidRPr="00761D56">
        <w:rPr>
          <w:rFonts w:cstheme="minorHAnsi"/>
          <w:color w:val="000000" w:themeColor="text1"/>
          <w:sz w:val="24"/>
          <w:szCs w:val="24"/>
        </w:rPr>
        <w:t>Children under the age of 15 remain in a protection vacuum, as unclear institutional mandates leave them vulnerable to exploitation by gangs who deliberately recruit them knowing they cannot be held criminally liable.</w:t>
      </w:r>
      <w:r w:rsidRPr="00761D56">
        <w:rPr>
          <w:rStyle w:val="EndnoteReference"/>
          <w:rFonts w:cstheme="minorHAnsi"/>
          <w:color w:val="000000" w:themeColor="text1"/>
          <w:sz w:val="24"/>
          <w:szCs w:val="24"/>
        </w:rPr>
        <w:endnoteReference w:id="204"/>
      </w:r>
      <w:r w:rsidRPr="00761D56">
        <w:rPr>
          <w:rFonts w:cstheme="minorHAnsi"/>
          <w:color w:val="000000" w:themeColor="text1"/>
          <w:sz w:val="24"/>
          <w:szCs w:val="24"/>
        </w:rPr>
        <w:t xml:space="preserve"> Establishment of mechanisms to rehabilitate at risk youth without the requirement of having to take criminal responsibility should be the way forward, rather than lowering the age of criminal responsibility to 12 years. In addition, addressing the root cause of child recruitment in criminal activities and penalizing the recruiters should be prioritized. </w:t>
      </w:r>
      <w:r w:rsidRPr="00761D56">
        <w:rPr>
          <w:rStyle w:val="EndnoteReference"/>
          <w:rFonts w:cstheme="minorHAnsi"/>
          <w:color w:val="000000" w:themeColor="text1"/>
          <w:sz w:val="24"/>
          <w:szCs w:val="24"/>
        </w:rPr>
        <w:endnoteReference w:id="205"/>
      </w:r>
    </w:p>
    <w:p w14:paraId="00823DA3" w14:textId="1EB1D10B" w:rsidR="006B1C4A" w:rsidRPr="00761D56" w:rsidRDefault="006B1C4A" w:rsidP="008F24DD">
      <w:pPr>
        <w:pStyle w:val="ListParagraph"/>
        <w:tabs>
          <w:tab w:val="left" w:pos="720"/>
        </w:tabs>
        <w:spacing w:before="240" w:after="0" w:line="276" w:lineRule="auto"/>
        <w:ind w:left="1080" w:firstLine="0"/>
        <w:jc w:val="both"/>
        <w:rPr>
          <w:rFonts w:cstheme="minorHAnsi"/>
          <w:color w:val="000000" w:themeColor="text1"/>
          <w:sz w:val="24"/>
          <w:szCs w:val="24"/>
        </w:rPr>
      </w:pPr>
    </w:p>
    <w:p w14:paraId="2015EE40" w14:textId="77777777" w:rsidR="00BC7D45" w:rsidRPr="00761D56" w:rsidRDefault="00BC7D45" w:rsidP="008F24DD">
      <w:p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lastRenderedPageBreak/>
        <w:t xml:space="preserve">Recommendations </w:t>
      </w:r>
    </w:p>
    <w:p w14:paraId="0461D9AE" w14:textId="77777777" w:rsidR="00BC7D45" w:rsidRPr="00761D56" w:rsidRDefault="00BC7D45" w:rsidP="008F24DD">
      <w:pPr>
        <w:pStyle w:val="ListParagraph"/>
        <w:numPr>
          <w:ilvl w:val="0"/>
          <w:numId w:val="27"/>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Ensure that investigators are provided with continuous capacity building programs to enhance the comprehension of the complexities of legal and procedural aspects of child exploitation</w:t>
      </w:r>
    </w:p>
    <w:p w14:paraId="38E8A62D" w14:textId="77777777" w:rsidR="00BC7D45" w:rsidRPr="00761D56" w:rsidRDefault="00BC7D45" w:rsidP="008F24DD">
      <w:pPr>
        <w:pStyle w:val="ListParagraph"/>
        <w:numPr>
          <w:ilvl w:val="0"/>
          <w:numId w:val="27"/>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 xml:space="preserve">Enhance sensitization of judiciary, law enforcement, legal professionals and case/social workers to ensure juvenile participation and to facilitate informed decision making. </w:t>
      </w:r>
    </w:p>
    <w:p w14:paraId="503BEE81" w14:textId="77777777" w:rsidR="00BC7D45" w:rsidRPr="00761D56" w:rsidRDefault="00BC7D45" w:rsidP="008F24DD">
      <w:pPr>
        <w:pStyle w:val="ListParagraph"/>
        <w:numPr>
          <w:ilvl w:val="0"/>
          <w:numId w:val="27"/>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 xml:space="preserve"> Increase access to realize the right to education to juvenile offenders. </w:t>
      </w:r>
    </w:p>
    <w:p w14:paraId="0C25A26E" w14:textId="77777777" w:rsidR="00BC7D45" w:rsidRPr="00761D56" w:rsidRDefault="00BC7D45" w:rsidP="008F24DD">
      <w:pPr>
        <w:pStyle w:val="ListParagraph"/>
        <w:numPr>
          <w:ilvl w:val="0"/>
          <w:numId w:val="27"/>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Amend the Juvenile Justice Act (18/2019) to explicitly include a provision to segregate juvenile offenders who attained adulthood to a detention centre under a separate system.</w:t>
      </w:r>
    </w:p>
    <w:p w14:paraId="1AD5010C" w14:textId="234DAC74" w:rsidR="00BC7D45" w:rsidRPr="00761D56" w:rsidRDefault="00BC7D45" w:rsidP="008F24DD">
      <w:pPr>
        <w:pStyle w:val="ListParagraph"/>
        <w:numPr>
          <w:ilvl w:val="0"/>
          <w:numId w:val="27"/>
        </w:numPr>
        <w:spacing w:before="240" w:line="276" w:lineRule="auto"/>
        <w:ind w:left="720"/>
        <w:jc w:val="both"/>
        <w:rPr>
          <w:rFonts w:cstheme="minorHAnsi"/>
          <w:b/>
          <w:bCs/>
          <w:color w:val="000000" w:themeColor="text1"/>
          <w:sz w:val="24"/>
          <w:szCs w:val="24"/>
        </w:rPr>
      </w:pPr>
      <w:r w:rsidRPr="00761D56">
        <w:rPr>
          <w:rFonts w:cstheme="minorHAnsi"/>
          <w:b/>
          <w:bCs/>
          <w:color w:val="000000" w:themeColor="text1"/>
          <w:sz w:val="24"/>
          <w:szCs w:val="24"/>
        </w:rPr>
        <w:t>Strengthen the social protection mechanism to address</w:t>
      </w:r>
      <w:r w:rsidR="000E469E" w:rsidRPr="00761D56">
        <w:rPr>
          <w:rFonts w:cstheme="minorHAnsi"/>
          <w:b/>
          <w:bCs/>
          <w:color w:val="000000" w:themeColor="text1"/>
          <w:sz w:val="24"/>
          <w:szCs w:val="24"/>
        </w:rPr>
        <w:t xml:space="preserve"> youth at risk.</w:t>
      </w:r>
      <w:r w:rsidRPr="00761D56">
        <w:rPr>
          <w:rFonts w:cstheme="minorHAnsi"/>
          <w:b/>
          <w:bCs/>
          <w:color w:val="000000" w:themeColor="text1"/>
          <w:sz w:val="24"/>
          <w:szCs w:val="24"/>
        </w:rPr>
        <w:t xml:space="preserve"> </w:t>
      </w:r>
    </w:p>
    <w:p w14:paraId="7895EDD7" w14:textId="77777777" w:rsidR="00BC7D45" w:rsidRPr="00761D56" w:rsidRDefault="00BC7D45" w:rsidP="008F24DD">
      <w:pPr>
        <w:spacing w:before="240" w:line="276" w:lineRule="auto"/>
        <w:ind w:left="720"/>
        <w:jc w:val="both"/>
        <w:rPr>
          <w:rFonts w:cstheme="minorHAnsi"/>
          <w:color w:val="000000" w:themeColor="text1"/>
          <w:sz w:val="24"/>
          <w:szCs w:val="24"/>
        </w:rPr>
      </w:pPr>
    </w:p>
    <w:p w14:paraId="61A2D427" w14:textId="1118AE45" w:rsidR="00BC7D45" w:rsidRPr="00761D56" w:rsidRDefault="00BC7D45" w:rsidP="008F24DD">
      <w:pPr>
        <w:pStyle w:val="Heading1"/>
        <w:spacing w:line="276" w:lineRule="auto"/>
        <w:jc w:val="both"/>
        <w:rPr>
          <w:rFonts w:asciiTheme="minorHAnsi" w:hAnsiTheme="minorHAnsi" w:cstheme="minorHAnsi"/>
          <w:color w:val="000000" w:themeColor="text1"/>
        </w:rPr>
      </w:pPr>
      <w:bookmarkStart w:id="34" w:name="_Toc216692807"/>
      <w:r w:rsidRPr="00761D56">
        <w:rPr>
          <w:rFonts w:asciiTheme="minorHAnsi" w:hAnsiTheme="minorHAnsi" w:cstheme="minorHAnsi"/>
          <w:color w:val="000000" w:themeColor="text1"/>
        </w:rPr>
        <w:t>Article 42 – Knowledge of Rights</w:t>
      </w:r>
      <w:bookmarkEnd w:id="34"/>
    </w:p>
    <w:p w14:paraId="3EB1B9AE" w14:textId="44148EAB" w:rsidR="00BC7D45" w:rsidRPr="00761D56" w:rsidRDefault="007C577A" w:rsidP="008F24DD">
      <w:pPr>
        <w:pStyle w:val="ListParagraph"/>
        <w:numPr>
          <w:ilvl w:val="0"/>
          <w:numId w:val="10"/>
        </w:numPr>
        <w:spacing w:before="240" w:line="276" w:lineRule="auto"/>
        <w:ind w:left="720" w:hanging="540"/>
        <w:jc w:val="both"/>
        <w:rPr>
          <w:rFonts w:cstheme="minorHAnsi"/>
          <w:color w:val="000000" w:themeColor="text1"/>
          <w:sz w:val="24"/>
          <w:szCs w:val="24"/>
        </w:rPr>
      </w:pPr>
      <w:r w:rsidRPr="00761D56">
        <w:rPr>
          <w:rFonts w:cstheme="minorHAnsi"/>
          <w:color w:val="000000" w:themeColor="text1"/>
          <w:sz w:val="24"/>
          <w:szCs w:val="24"/>
        </w:rPr>
        <w:t>State agencies such as MoSFD, MPS, and FPA conduct sessions on rights and responsibilities, laws and regulations, human rights, cybersecurity, online safety, and domestic violence, targeting adolescent children.</w:t>
      </w:r>
      <w:r w:rsidRPr="00761D56">
        <w:rPr>
          <w:rStyle w:val="EndnoteReference"/>
          <w:rFonts w:cstheme="minorHAnsi"/>
          <w:color w:val="000000" w:themeColor="text1"/>
          <w:sz w:val="24"/>
          <w:szCs w:val="24"/>
        </w:rPr>
        <w:endnoteReference w:id="206"/>
      </w:r>
      <w:r w:rsidRPr="00761D56">
        <w:rPr>
          <w:rFonts w:cstheme="minorHAnsi"/>
          <w:color w:val="000000" w:themeColor="text1"/>
          <w:sz w:val="24"/>
          <w:szCs w:val="24"/>
        </w:rPr>
        <w:t xml:space="preserve"> However, t</w:t>
      </w:r>
      <w:r w:rsidR="00BC7D45" w:rsidRPr="00761D56">
        <w:rPr>
          <w:rFonts w:cstheme="minorHAnsi"/>
          <w:color w:val="000000" w:themeColor="text1"/>
          <w:sz w:val="24"/>
          <w:szCs w:val="24"/>
        </w:rPr>
        <w:t>hese sessions are not regular or systematically integrated into the school curriculum.</w:t>
      </w:r>
      <w:r w:rsidR="00BC7D45" w:rsidRPr="00761D56">
        <w:rPr>
          <w:rStyle w:val="EndnoteReference"/>
          <w:rFonts w:cstheme="minorHAnsi"/>
          <w:color w:val="000000" w:themeColor="text1"/>
          <w:sz w:val="24"/>
          <w:szCs w:val="24"/>
        </w:rPr>
        <w:endnoteReference w:id="207"/>
      </w:r>
    </w:p>
    <w:p w14:paraId="44039E85" w14:textId="29DC5752" w:rsidR="007C577A" w:rsidRPr="00761D56" w:rsidRDefault="00BC7D45" w:rsidP="008F24DD">
      <w:pPr>
        <w:pStyle w:val="ListParagraph"/>
        <w:numPr>
          <w:ilvl w:val="0"/>
          <w:numId w:val="10"/>
        </w:numPr>
        <w:spacing w:before="240" w:line="276" w:lineRule="auto"/>
        <w:ind w:left="720" w:hanging="540"/>
        <w:jc w:val="both"/>
        <w:rPr>
          <w:rFonts w:cstheme="minorHAnsi"/>
          <w:b/>
          <w:bCs/>
          <w:color w:val="000000" w:themeColor="text1"/>
          <w:sz w:val="24"/>
          <w:szCs w:val="24"/>
        </w:rPr>
      </w:pPr>
      <w:r w:rsidRPr="00761D56">
        <w:rPr>
          <w:rFonts w:cstheme="minorHAnsi"/>
          <w:color w:val="000000" w:themeColor="text1"/>
          <w:sz w:val="24"/>
          <w:szCs w:val="24"/>
        </w:rPr>
        <w:t xml:space="preserve">A limited introduction to human rights and governance concepts, including democracy, is available in social studies textbooks. </w:t>
      </w:r>
      <w:r w:rsidR="007C577A" w:rsidRPr="00761D56">
        <w:rPr>
          <w:rFonts w:cstheme="minorHAnsi"/>
          <w:color w:val="000000" w:themeColor="text1"/>
          <w:sz w:val="24"/>
          <w:szCs w:val="24"/>
        </w:rPr>
        <w:t>DVPNS (Domestic Violence Prevention National Strategy) mandates integration of human rights components</w:t>
      </w:r>
      <w:r w:rsidR="00F86CBC" w:rsidRPr="00761D56">
        <w:rPr>
          <w:rFonts w:cstheme="minorHAnsi"/>
          <w:color w:val="000000" w:themeColor="text1"/>
          <w:sz w:val="24"/>
          <w:szCs w:val="24"/>
        </w:rPr>
        <w:t xml:space="preserve"> including human dignity, gender equality, and domestic violence prevention</w:t>
      </w:r>
      <w:r w:rsidR="007C577A" w:rsidRPr="00761D56">
        <w:rPr>
          <w:rFonts w:cstheme="minorHAnsi"/>
          <w:color w:val="000000" w:themeColor="text1"/>
          <w:sz w:val="24"/>
          <w:szCs w:val="24"/>
        </w:rPr>
        <w:t xml:space="preserve"> into school textbooks and curricula. </w:t>
      </w:r>
      <w:r w:rsidR="00F86CBC" w:rsidRPr="00761D56">
        <w:rPr>
          <w:rStyle w:val="EndnoteReference"/>
          <w:rFonts w:cstheme="minorHAnsi"/>
          <w:color w:val="000000" w:themeColor="text1"/>
          <w:sz w:val="24"/>
          <w:szCs w:val="24"/>
        </w:rPr>
        <w:endnoteReference w:id="208"/>
      </w:r>
    </w:p>
    <w:p w14:paraId="33B43316" w14:textId="51F35886" w:rsidR="00BC7D45" w:rsidRPr="00761D56" w:rsidRDefault="00BC7D45" w:rsidP="008F24DD">
      <w:pPr>
        <w:spacing w:before="240" w:line="276" w:lineRule="auto"/>
        <w:ind w:left="180" w:firstLine="0"/>
        <w:jc w:val="both"/>
        <w:rPr>
          <w:rFonts w:cstheme="minorHAnsi"/>
          <w:b/>
          <w:bCs/>
          <w:color w:val="000000" w:themeColor="text1"/>
          <w:sz w:val="24"/>
          <w:szCs w:val="24"/>
        </w:rPr>
      </w:pPr>
      <w:r w:rsidRPr="00761D56">
        <w:rPr>
          <w:rFonts w:cstheme="minorHAnsi"/>
          <w:b/>
          <w:bCs/>
          <w:color w:val="000000" w:themeColor="text1"/>
          <w:sz w:val="24"/>
          <w:szCs w:val="24"/>
        </w:rPr>
        <w:t xml:space="preserve">Recommendations </w:t>
      </w:r>
    </w:p>
    <w:p w14:paraId="2318B394" w14:textId="77777777" w:rsidR="00BC7D45" w:rsidRPr="00761D56" w:rsidRDefault="00BC7D45" w:rsidP="008F24DD">
      <w:pPr>
        <w:pStyle w:val="NormalWeb"/>
        <w:numPr>
          <w:ilvl w:val="0"/>
          <w:numId w:val="28"/>
        </w:numPr>
        <w:spacing w:before="0" w:beforeAutospacing="0" w:line="276" w:lineRule="auto"/>
        <w:ind w:left="72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Integrate systematic rights education into the school curriculum at all levels, ensuring that children gain age-appropriate, comprehensive knowledge of the Convention on the Rights of the Child (CRC), human rights, and responsibilities.</w:t>
      </w:r>
    </w:p>
    <w:p w14:paraId="3334C118" w14:textId="7039ED00" w:rsidR="007955AC" w:rsidRPr="00761D56" w:rsidRDefault="00BC7D45" w:rsidP="008F24DD">
      <w:pPr>
        <w:pStyle w:val="NormalWeb"/>
        <w:numPr>
          <w:ilvl w:val="0"/>
          <w:numId w:val="28"/>
        </w:numPr>
        <w:spacing w:before="0" w:beforeAutospacing="0" w:line="276" w:lineRule="auto"/>
        <w:ind w:left="720"/>
        <w:jc w:val="both"/>
        <w:rPr>
          <w:rFonts w:asciiTheme="minorHAnsi" w:hAnsiTheme="minorHAnsi" w:cstheme="minorHAnsi"/>
          <w:b/>
          <w:bCs/>
          <w:color w:val="000000" w:themeColor="text1"/>
        </w:rPr>
      </w:pPr>
      <w:r w:rsidRPr="00761D56">
        <w:rPr>
          <w:rFonts w:asciiTheme="minorHAnsi" w:hAnsiTheme="minorHAnsi" w:cstheme="minorHAnsi"/>
          <w:b/>
          <w:bCs/>
          <w:color w:val="000000" w:themeColor="text1"/>
        </w:rPr>
        <w:t>Promote interactive and practical learning methods, such as debates, role-plays, and school clubs, to help children internalize rights and responsibilities in a constructive manner.</w:t>
      </w:r>
    </w:p>
    <w:p w14:paraId="120528D9" w14:textId="77777777" w:rsidR="00174358" w:rsidRPr="00761D56" w:rsidRDefault="00174358" w:rsidP="008F24DD">
      <w:pPr>
        <w:pStyle w:val="NormalWeb"/>
        <w:spacing w:before="0" w:beforeAutospacing="0" w:line="276" w:lineRule="auto"/>
        <w:ind w:left="720"/>
        <w:jc w:val="both"/>
        <w:rPr>
          <w:rFonts w:asciiTheme="minorHAnsi" w:hAnsiTheme="minorHAnsi" w:cstheme="minorHAnsi"/>
          <w:b/>
          <w:bCs/>
          <w:color w:val="000000" w:themeColor="text1"/>
        </w:rPr>
      </w:pPr>
    </w:p>
    <w:p w14:paraId="6DABE001" w14:textId="77777777" w:rsidR="00D2196B" w:rsidRPr="00761D56" w:rsidRDefault="00D2196B" w:rsidP="008F24DD">
      <w:pPr>
        <w:pStyle w:val="NormalWeb"/>
        <w:spacing w:before="0" w:beforeAutospacing="0" w:line="276" w:lineRule="auto"/>
        <w:ind w:left="720"/>
        <w:jc w:val="both"/>
        <w:rPr>
          <w:rFonts w:asciiTheme="minorHAnsi" w:hAnsiTheme="minorHAnsi" w:cstheme="minorHAnsi"/>
          <w:b/>
          <w:bCs/>
          <w:color w:val="000000" w:themeColor="text1"/>
        </w:rPr>
      </w:pPr>
    </w:p>
    <w:sectPr w:rsidR="00D2196B" w:rsidRPr="00761D56" w:rsidSect="004956FF">
      <w:endnotePr>
        <w:numFmt w:val="decimal"/>
      </w:endnotePr>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5CE38" w14:textId="77777777" w:rsidR="00604B2F" w:rsidRDefault="00604B2F" w:rsidP="007955AC">
      <w:pPr>
        <w:spacing w:after="0" w:line="240" w:lineRule="auto"/>
      </w:pPr>
      <w:r>
        <w:separator/>
      </w:r>
    </w:p>
  </w:endnote>
  <w:endnote w:type="continuationSeparator" w:id="0">
    <w:p w14:paraId="00F22915" w14:textId="77777777" w:rsidR="00604B2F" w:rsidRDefault="00604B2F" w:rsidP="007955AC">
      <w:pPr>
        <w:spacing w:after="0" w:line="240" w:lineRule="auto"/>
      </w:pPr>
      <w:r>
        <w:continuationSeparator/>
      </w:r>
    </w:p>
  </w:endnote>
  <w:endnote w:id="1">
    <w:p w14:paraId="1B5E8B30"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United Nations. (1989). Convention on the Rights of the Child. Office of the United Nations High Commissioner for Human Rights.</w:t>
      </w:r>
    </w:p>
  </w:endnote>
  <w:endnote w:id="2">
    <w:p w14:paraId="150E821D"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Child Rights Protection Act (Law No. 19/2019)</w:t>
      </w:r>
    </w:p>
  </w:endnote>
  <w:endnote w:id="3">
    <w:p w14:paraId="68A2458F"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Employment Act (Law No. 2/2008)</w:t>
      </w:r>
    </w:p>
    <w:p w14:paraId="3453738A" w14:textId="69F60546" w:rsidR="007955AC" w:rsidRPr="00D363EF" w:rsidRDefault="007955AC" w:rsidP="00D363EF">
      <w:pPr>
        <w:pStyle w:val="EndnoteText"/>
        <w:ind w:left="90" w:hanging="360"/>
        <w:rPr>
          <w:rFonts w:cstheme="minorHAnsi"/>
          <w:sz w:val="18"/>
          <w:szCs w:val="18"/>
          <w:lang w:val="en-US"/>
        </w:rPr>
      </w:pPr>
      <w:r w:rsidRPr="00D363EF">
        <w:rPr>
          <w:rFonts w:cstheme="minorHAnsi"/>
          <w:sz w:val="18"/>
          <w:szCs w:val="18"/>
        </w:rPr>
        <w:t xml:space="preserve">  </w:t>
      </w:r>
      <w:r w:rsidR="00007E7A">
        <w:rPr>
          <w:rFonts w:cstheme="minorHAnsi"/>
          <w:sz w:val="18"/>
          <w:szCs w:val="18"/>
        </w:rPr>
        <w:tab/>
      </w:r>
      <w:r w:rsidRPr="00D363EF">
        <w:rPr>
          <w:rFonts w:cstheme="minorHAnsi"/>
          <w:sz w:val="18"/>
          <w:szCs w:val="18"/>
        </w:rPr>
        <w:t>Juvenile Justice Act (Law No. 18/2019)</w:t>
      </w:r>
    </w:p>
  </w:endnote>
  <w:endnote w:id="4">
    <w:p w14:paraId="52C8994C" w14:textId="77777777" w:rsidR="005F383F" w:rsidRPr="00D363EF" w:rsidRDefault="005F383F"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Transparency Maldives. (2022). Situational analysis of the pathways to social reintegration for offenders and drug-dependent persons in the Maldives 2022. https://transparency.mv/wp-content/uploads/2022/08/Social-Reintergration.pdf</w:t>
      </w:r>
    </w:p>
  </w:endnote>
  <w:endnote w:id="5">
    <w:p w14:paraId="6AC9C98C" w14:textId="77777777" w:rsidR="005F383F" w:rsidRPr="00D363EF" w:rsidRDefault="005F383F"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Hussain, F. A. (2019, August 19). Maldives to criminalize recruitment of minors to gangs. SunOnline International. </w:t>
      </w:r>
      <w:hyperlink r:id="rId1" w:tgtFrame="_blank" w:history="1">
        <w:r w:rsidRPr="00D363EF">
          <w:rPr>
            <w:rStyle w:val="Hyperlink"/>
            <w:rFonts w:cstheme="minorHAnsi"/>
            <w:sz w:val="18"/>
            <w:szCs w:val="18"/>
          </w:rPr>
          <w:t>https://en.sun.mv/54943</w:t>
        </w:r>
      </w:hyperlink>
    </w:p>
  </w:endnote>
  <w:endnote w:id="6">
    <w:p w14:paraId="39159FEF"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Employment Act (Law No. 2/2008)</w:t>
      </w:r>
    </w:p>
    <w:p w14:paraId="0DA573F6" w14:textId="77777777" w:rsidR="007955AC" w:rsidRPr="00D363EF" w:rsidRDefault="007955AC" w:rsidP="00007E7A">
      <w:pPr>
        <w:pStyle w:val="EndnoteText"/>
        <w:ind w:left="90" w:firstLine="0"/>
        <w:rPr>
          <w:rFonts w:cstheme="minorHAnsi"/>
          <w:sz w:val="18"/>
          <w:szCs w:val="18"/>
          <w:lang w:val="en-US"/>
        </w:rPr>
      </w:pPr>
      <w:r w:rsidRPr="00D363EF">
        <w:rPr>
          <w:rFonts w:cstheme="minorHAnsi"/>
          <w:sz w:val="18"/>
          <w:szCs w:val="18"/>
        </w:rPr>
        <w:t xml:space="preserve">U.S. Department of Labor. (n.d.). Child labor in Maldives. Bureau of International Labor Affairs. Retrieved September 3, 2025, from </w:t>
      </w:r>
      <w:hyperlink r:id="rId2" w:tgtFrame="_blank" w:history="1">
        <w:r w:rsidRPr="00D363EF">
          <w:rPr>
            <w:rStyle w:val="Hyperlink"/>
            <w:rFonts w:cstheme="minorHAnsi"/>
            <w:sz w:val="18"/>
            <w:szCs w:val="18"/>
          </w:rPr>
          <w:t>https://www.dol.gov/agencies/ilab/resources/reports/child-labor/maldives</w:t>
        </w:r>
      </w:hyperlink>
    </w:p>
  </w:endnote>
  <w:endnote w:id="7">
    <w:p w14:paraId="3EFE6B1C"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U.S. Department of Labor. (n.d.). Child labor in Maldives. Bureau of International Labor Affairs. Retrieved September 3, 2025, from https://www.dol.gov/agencies/ilab/resources/reports/child-labor/maldives</w:t>
      </w:r>
    </w:p>
  </w:endnote>
  <w:endnote w:id="8">
    <w:p w14:paraId="46847A16" w14:textId="66FB5CB3" w:rsidR="00DA10C2" w:rsidRPr="00D363EF" w:rsidRDefault="00DA10C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UNICEF. (2021). Situation analysis of children and youth in the Maldives</w:t>
      </w:r>
    </w:p>
  </w:endnote>
  <w:endnote w:id="9">
    <w:p w14:paraId="415FDB5A" w14:textId="23618ADA"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00DA10C2" w:rsidRPr="00D363EF">
        <w:rPr>
          <w:rFonts w:cstheme="minorHAnsi"/>
          <w:sz w:val="18"/>
          <w:szCs w:val="18"/>
        </w:rPr>
        <w:t>Ibid</w:t>
      </w:r>
    </w:p>
  </w:endnote>
  <w:endnote w:id="10">
    <w:p w14:paraId="156EDECB"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UNICEF. (2021). Situation analysis of children and youth in the Maldives. https://www.unicef.org/maldives/media/2736/file/Situation%20Analysis%20of%20Children%20and%20Youth%20in%20the%20Maldives.pdf</w:t>
      </w:r>
    </w:p>
  </w:endnote>
  <w:endnote w:id="11">
    <w:p w14:paraId="14FFF221" w14:textId="77777777" w:rsidR="005A11BE" w:rsidRPr="00D363EF" w:rsidRDefault="005A11BE"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HRCM. (2024). Convention on Rights of Persons with Disabilities shadow report. In Human Rights Commission of the Maldives. https://hrcm.org.mv/storage/uploads/79qg2JYD/d4vj4okd.pdf</w:t>
      </w:r>
    </w:p>
  </w:endnote>
  <w:endnote w:id="12">
    <w:p w14:paraId="3616FDB2" w14:textId="77777777" w:rsidR="007955AC" w:rsidRPr="00D363EF" w:rsidRDefault="007955AC" w:rsidP="00D363EF">
      <w:pPr>
        <w:pStyle w:val="EndnoteText"/>
        <w:ind w:left="90" w:hanging="360"/>
        <w:rPr>
          <w:rFonts w:cstheme="minorHAnsi"/>
          <w:color w:val="000000" w:themeColor="text1"/>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color w:val="000000" w:themeColor="text1"/>
          <w:sz w:val="18"/>
          <w:szCs w:val="18"/>
        </w:rPr>
        <w:t xml:space="preserve">Child Rights Protection Act (Law No. 19/2019) </w:t>
      </w:r>
    </w:p>
    <w:p w14:paraId="2B0F62EB" w14:textId="77777777" w:rsidR="007955AC" w:rsidRPr="00D363EF" w:rsidRDefault="007955AC" w:rsidP="00007E7A">
      <w:pPr>
        <w:pStyle w:val="EndnoteText"/>
        <w:ind w:left="90" w:firstLine="0"/>
        <w:rPr>
          <w:rFonts w:cstheme="minorHAnsi"/>
          <w:color w:val="000000" w:themeColor="text1"/>
          <w:sz w:val="18"/>
          <w:szCs w:val="18"/>
        </w:rPr>
      </w:pPr>
      <w:r w:rsidRPr="00D363EF">
        <w:rPr>
          <w:rFonts w:cstheme="minorHAnsi"/>
          <w:color w:val="7030A0"/>
          <w:sz w:val="18"/>
          <w:szCs w:val="18"/>
        </w:rPr>
        <w:t>J</w:t>
      </w:r>
      <w:r w:rsidRPr="00D363EF">
        <w:rPr>
          <w:rFonts w:cstheme="minorHAnsi"/>
          <w:color w:val="000000" w:themeColor="text1"/>
          <w:sz w:val="18"/>
          <w:szCs w:val="18"/>
        </w:rPr>
        <w:t>uvenile Justice Act (Law No. 18/2019)</w:t>
      </w:r>
    </w:p>
  </w:endnote>
  <w:endnote w:id="13">
    <w:p w14:paraId="08528F44"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Atoll Monitoring Report (2025). Unpublished </w:t>
      </w:r>
    </w:p>
    <w:p w14:paraId="624ED887" w14:textId="77777777" w:rsidR="007955AC" w:rsidRPr="00D363EF" w:rsidRDefault="007955AC" w:rsidP="00007E7A">
      <w:pPr>
        <w:pStyle w:val="EndnoteText"/>
        <w:ind w:left="90" w:firstLine="0"/>
        <w:rPr>
          <w:rFonts w:cstheme="minorHAnsi"/>
          <w:sz w:val="18"/>
          <w:szCs w:val="18"/>
          <w:lang w:val="en-US"/>
        </w:rPr>
      </w:pPr>
      <w:r w:rsidRPr="00D363EF">
        <w:rPr>
          <w:rFonts w:cstheme="minorHAnsi"/>
          <w:sz w:val="18"/>
          <w:szCs w:val="18"/>
        </w:rPr>
        <w:t xml:space="preserve">Human Rights Commission of the Maldives. (2021, October 12). Government of the Republic of Maldives combined 6th and 7th periodic report submitted under the Convention on the Rights of the Child. In Human Rights Commission of the Maldives. </w:t>
      </w:r>
      <w:hyperlink r:id="rId3" w:tgtFrame="_blank" w:history="1">
        <w:r w:rsidRPr="00D363EF">
          <w:rPr>
            <w:rStyle w:val="Hyperlink"/>
            <w:rFonts w:cstheme="minorHAnsi"/>
            <w:sz w:val="18"/>
            <w:szCs w:val="18"/>
          </w:rPr>
          <w:t>https://hrcm.org.mv/storage/uploads/M9qaR4oy/rslw3d36.pdf</w:t>
        </w:r>
      </w:hyperlink>
    </w:p>
  </w:endnote>
  <w:endnote w:id="14">
    <w:p w14:paraId="05D58F0F"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bookmarkStart w:id="7" w:name="_Hlk207801117"/>
      <w:r w:rsidRPr="00D363EF">
        <w:rPr>
          <w:rFonts w:cstheme="minorHAnsi"/>
          <w:sz w:val="18"/>
          <w:szCs w:val="18"/>
        </w:rPr>
        <w:t xml:space="preserve">United Nations Children's Fund (UNICEF). (2021, October). Situation analysis of children and youth in the Maldives. UNICEF Maldives Country Office. </w:t>
      </w:r>
      <w:hyperlink r:id="rId4" w:tgtFrame="_blank" w:history="1">
        <w:r w:rsidRPr="00D363EF">
          <w:rPr>
            <w:rFonts w:cstheme="minorHAnsi"/>
            <w:color w:val="0000FF"/>
            <w:sz w:val="18"/>
            <w:szCs w:val="18"/>
            <w:u w:val="single"/>
          </w:rPr>
          <w:t>https://www.unicef.org/maldives/media/2736/file/Situation%20Analysis%20of%20Children%20and%20Youth%20in%20the%20Maldives.pdf</w:t>
        </w:r>
      </w:hyperlink>
      <w:bookmarkEnd w:id="7"/>
    </w:p>
  </w:endnote>
  <w:endnote w:id="15">
    <w:p w14:paraId="1C4CD7FE" w14:textId="77777777" w:rsidR="00256426" w:rsidRPr="00D363EF" w:rsidRDefault="00256426"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Information received from from DJA</w:t>
      </w:r>
    </w:p>
  </w:endnote>
  <w:endnote w:id="16">
    <w:p w14:paraId="64793C71" w14:textId="65BA583D" w:rsidR="00256426" w:rsidRPr="00D363EF" w:rsidRDefault="00256426"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00A801E3">
        <w:rPr>
          <w:rFonts w:cstheme="minorHAnsi"/>
          <w:sz w:val="18"/>
          <w:szCs w:val="18"/>
          <w:lang w:val="en-US"/>
        </w:rPr>
        <w:t xml:space="preserve">Information received from DJA </w:t>
      </w:r>
    </w:p>
  </w:endnote>
  <w:endnote w:id="17">
    <w:p w14:paraId="1A10ABBF" w14:textId="77777777" w:rsidR="00256426" w:rsidRPr="00D363EF" w:rsidRDefault="00256426"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Information received from DJA</w:t>
      </w:r>
    </w:p>
  </w:endnote>
  <w:endnote w:id="18">
    <w:p w14:paraId="6C1FFB36" w14:textId="77777777" w:rsidR="00D15EDB" w:rsidRPr="00D363EF" w:rsidRDefault="00D15EDB"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Style w:val="EndnoteReference"/>
          <w:rFonts w:cstheme="minorHAnsi"/>
          <w:sz w:val="18"/>
          <w:szCs w:val="18"/>
        </w:rPr>
        <w:t xml:space="preserve"> </w:t>
      </w:r>
      <w:r w:rsidRPr="00D363EF">
        <w:rPr>
          <w:rFonts w:cstheme="minorHAnsi"/>
          <w:sz w:val="18"/>
          <w:szCs w:val="18"/>
        </w:rPr>
        <w:t>HRCM. Observations from HRCM monitoring visits</w:t>
      </w:r>
    </w:p>
  </w:endnote>
  <w:endnote w:id="19">
    <w:p w14:paraId="21F54613" w14:textId="77777777" w:rsidR="00D15EDB" w:rsidRPr="00D363EF" w:rsidRDefault="00D15EDB"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HRCM. Observations from HRCM monitoring visits</w:t>
      </w:r>
    </w:p>
    <w:p w14:paraId="598DF954" w14:textId="77777777" w:rsidR="00D15EDB" w:rsidRPr="00D363EF" w:rsidRDefault="00D15EDB" w:rsidP="00007E7A">
      <w:pPr>
        <w:pStyle w:val="EndnoteText"/>
        <w:ind w:left="90" w:right="144" w:firstLine="0"/>
        <w:rPr>
          <w:rFonts w:cstheme="minorHAnsi"/>
          <w:sz w:val="18"/>
          <w:szCs w:val="18"/>
        </w:rPr>
      </w:pPr>
      <w:r w:rsidRPr="00D363EF">
        <w:rPr>
          <w:rFonts w:cstheme="minorHAnsi"/>
          <w:sz w:val="18"/>
          <w:szCs w:val="18"/>
        </w:rPr>
        <w:t xml:space="preserve">HRCM (2024). International Covenant on Civil and Political Rights Shadow report, paragraph 154. </w:t>
      </w:r>
      <w:r w:rsidRPr="00D363EF">
        <w:rPr>
          <w:rFonts w:cstheme="minorHAnsi"/>
          <w:color w:val="000000" w:themeColor="text1"/>
          <w:sz w:val="18"/>
          <w:szCs w:val="18"/>
        </w:rPr>
        <w:t>Retrieved February 13</w:t>
      </w:r>
      <w:r w:rsidRPr="00D363EF">
        <w:rPr>
          <w:rFonts w:cstheme="minorHAnsi"/>
          <w:color w:val="000000" w:themeColor="text1"/>
          <w:sz w:val="18"/>
          <w:szCs w:val="18"/>
          <w:vertAlign w:val="superscript"/>
        </w:rPr>
        <w:t>th</w:t>
      </w:r>
      <w:r w:rsidRPr="00D363EF">
        <w:rPr>
          <w:rFonts w:cstheme="minorHAnsi"/>
          <w:color w:val="000000" w:themeColor="text1"/>
          <w:sz w:val="18"/>
          <w:szCs w:val="18"/>
        </w:rPr>
        <w:t xml:space="preserve">, 2025  from </w:t>
      </w:r>
      <w:hyperlink r:id="rId5" w:history="1">
        <w:r w:rsidRPr="00D363EF">
          <w:rPr>
            <w:rStyle w:val="Hyperlink"/>
            <w:rFonts w:cstheme="minorHAnsi"/>
            <w:sz w:val="18"/>
            <w:szCs w:val="18"/>
          </w:rPr>
          <w:t>https://hrcm.org.mv/storage/uploads/xRwXMRYW/3dsiak3i.pdf</w:t>
        </w:r>
      </w:hyperlink>
      <w:r w:rsidRPr="00D363EF">
        <w:rPr>
          <w:rFonts w:cstheme="minorHAnsi"/>
          <w:sz w:val="18"/>
          <w:szCs w:val="18"/>
        </w:rPr>
        <w:t xml:space="preserve"> </w:t>
      </w:r>
    </w:p>
  </w:endnote>
  <w:endnote w:id="20">
    <w:p w14:paraId="133DD50D" w14:textId="77777777" w:rsidR="007955AC" w:rsidRPr="00D363EF" w:rsidRDefault="007955AC" w:rsidP="00007E7A">
      <w:pPr>
        <w:pStyle w:val="EndnoteText"/>
        <w:ind w:left="90" w:firstLine="0"/>
        <w:rPr>
          <w:rFonts w:cstheme="minorHAnsi"/>
          <w:color w:val="0D0D0D" w:themeColor="text1" w:themeTint="F2"/>
          <w:sz w:val="18"/>
          <w:szCs w:val="18"/>
        </w:rPr>
      </w:pPr>
      <w:r w:rsidRPr="00D363EF">
        <w:rPr>
          <w:rFonts w:cstheme="minorHAnsi"/>
          <w:color w:val="0D0D0D" w:themeColor="text1" w:themeTint="F2"/>
          <w:sz w:val="18"/>
          <w:szCs w:val="18"/>
        </w:rPr>
        <w:endnoteRef/>
      </w:r>
      <w:r w:rsidRPr="00D363EF">
        <w:rPr>
          <w:rFonts w:cstheme="minorHAnsi"/>
          <w:color w:val="0D0D0D" w:themeColor="text1" w:themeTint="F2"/>
          <w:sz w:val="18"/>
          <w:szCs w:val="18"/>
        </w:rPr>
        <w:t xml:space="preserve"> </w:t>
      </w:r>
      <w:r w:rsidRPr="00D363EF">
        <w:rPr>
          <w:rFonts w:eastAsiaTheme="majorEastAsia" w:cstheme="minorHAnsi"/>
          <w:color w:val="0D0D0D" w:themeColor="text1" w:themeTint="F2"/>
          <w:sz w:val="18"/>
          <w:szCs w:val="18"/>
        </w:rPr>
        <w:t>Protection Of the Rights of Children Act [Law number: 19/2019]</w:t>
      </w:r>
      <w:r w:rsidRPr="00D363EF">
        <w:rPr>
          <w:rFonts w:eastAsiaTheme="majorEastAsia" w:cstheme="minorHAnsi"/>
          <w:b/>
          <w:bCs/>
          <w:color w:val="0D0D0D" w:themeColor="text1" w:themeTint="F2"/>
          <w:sz w:val="18"/>
          <w:szCs w:val="18"/>
        </w:rPr>
        <w:t>,</w:t>
      </w:r>
      <w:r w:rsidRPr="00D363EF">
        <w:rPr>
          <w:rStyle w:val="Strong"/>
          <w:rFonts w:eastAsiaTheme="majorEastAsia" w:cstheme="minorHAnsi"/>
          <w:color w:val="0D0D0D" w:themeColor="text1" w:themeTint="F2"/>
          <w:sz w:val="18"/>
          <w:szCs w:val="18"/>
        </w:rPr>
        <w:t xml:space="preserve"> </w:t>
      </w:r>
      <w:r w:rsidRPr="00D363EF">
        <w:rPr>
          <w:rFonts w:cstheme="minorHAnsi"/>
          <w:color w:val="0D0D0D" w:themeColor="text1" w:themeTint="F2"/>
          <w:sz w:val="18"/>
          <w:szCs w:val="18"/>
        </w:rPr>
        <w:t xml:space="preserve">Section 33 </w:t>
      </w:r>
    </w:p>
  </w:endnote>
  <w:endnote w:id="21">
    <w:p w14:paraId="4623045A" w14:textId="77777777" w:rsidR="007955AC" w:rsidRPr="00D363EF" w:rsidRDefault="007955AC" w:rsidP="00D363EF">
      <w:pPr>
        <w:spacing w:after="0" w:line="240" w:lineRule="auto"/>
        <w:ind w:left="90" w:hanging="360"/>
        <w:rPr>
          <w:rFonts w:cstheme="minorHAnsi"/>
          <w:color w:val="0D0D0D" w:themeColor="text1" w:themeTint="F2"/>
          <w:sz w:val="18"/>
          <w:szCs w:val="18"/>
        </w:rPr>
      </w:pPr>
      <w:r w:rsidRPr="00D363EF">
        <w:rPr>
          <w:rStyle w:val="EndnoteReference"/>
          <w:rFonts w:cstheme="minorHAnsi"/>
          <w:color w:val="0D0D0D" w:themeColor="text1" w:themeTint="F2"/>
          <w:sz w:val="18"/>
          <w:szCs w:val="18"/>
        </w:rPr>
        <w:endnoteRef/>
      </w:r>
      <w:r w:rsidRPr="00D363EF">
        <w:rPr>
          <w:rFonts w:cstheme="minorHAnsi"/>
          <w:color w:val="0D0D0D" w:themeColor="text1" w:themeTint="F2"/>
          <w:sz w:val="18"/>
          <w:szCs w:val="18"/>
        </w:rPr>
        <w:t xml:space="preserve"> </w:t>
      </w:r>
      <w:r w:rsidRPr="00D363EF">
        <w:rPr>
          <w:rFonts w:eastAsiaTheme="majorEastAsia" w:cstheme="minorHAnsi"/>
          <w:color w:val="0D0D0D" w:themeColor="text1" w:themeTint="F2"/>
          <w:sz w:val="18"/>
          <w:szCs w:val="18"/>
        </w:rPr>
        <w:t>Protection Of the Rights of Children Act [Law number: 19/2019]</w:t>
      </w:r>
      <w:r w:rsidRPr="00D363EF">
        <w:rPr>
          <w:rFonts w:eastAsiaTheme="majorEastAsia" w:cstheme="minorHAnsi"/>
          <w:b/>
          <w:bCs/>
          <w:color w:val="0D0D0D" w:themeColor="text1" w:themeTint="F2"/>
          <w:sz w:val="18"/>
          <w:szCs w:val="18"/>
        </w:rPr>
        <w:t>,</w:t>
      </w:r>
      <w:r w:rsidRPr="00D363EF">
        <w:rPr>
          <w:rStyle w:val="Strong"/>
          <w:rFonts w:eastAsiaTheme="majorEastAsia" w:cstheme="minorHAnsi"/>
          <w:color w:val="0D0D0D" w:themeColor="text1" w:themeTint="F2"/>
          <w:sz w:val="18"/>
          <w:szCs w:val="18"/>
        </w:rPr>
        <w:t xml:space="preserve"> </w:t>
      </w:r>
      <w:r w:rsidRPr="00D363EF">
        <w:rPr>
          <w:rFonts w:cstheme="minorHAnsi"/>
          <w:color w:val="0D0D0D" w:themeColor="text1" w:themeTint="F2"/>
          <w:sz w:val="18"/>
          <w:szCs w:val="18"/>
        </w:rPr>
        <w:t>Section 19 (d), Section 40, Section 41, Section 39, Section 43, Section 42, Section 45</w:t>
      </w:r>
    </w:p>
  </w:endnote>
  <w:endnote w:id="22">
    <w:p w14:paraId="486AC61D" w14:textId="77777777" w:rsidR="007955AC" w:rsidRPr="00D363EF" w:rsidRDefault="007955AC" w:rsidP="00D363EF">
      <w:pPr>
        <w:spacing w:after="0" w:line="240" w:lineRule="auto"/>
        <w:ind w:left="90" w:hanging="360"/>
        <w:rPr>
          <w:rFonts w:cstheme="minorHAnsi"/>
          <w:color w:val="0D0D0D" w:themeColor="text1" w:themeTint="F2"/>
          <w:sz w:val="18"/>
          <w:szCs w:val="18"/>
        </w:rPr>
      </w:pPr>
      <w:r w:rsidRPr="00D363EF">
        <w:rPr>
          <w:rStyle w:val="EndnoteReference"/>
          <w:rFonts w:cstheme="minorHAnsi"/>
          <w:color w:val="0D0D0D" w:themeColor="text1" w:themeTint="F2"/>
          <w:sz w:val="18"/>
          <w:szCs w:val="18"/>
        </w:rPr>
        <w:endnoteRef/>
      </w:r>
      <w:r w:rsidRPr="00D363EF">
        <w:rPr>
          <w:rFonts w:cstheme="minorHAnsi"/>
          <w:color w:val="0D0D0D" w:themeColor="text1" w:themeTint="F2"/>
          <w:sz w:val="18"/>
          <w:szCs w:val="18"/>
        </w:rPr>
        <w:t xml:space="preserve"> </w:t>
      </w:r>
      <w:r w:rsidRPr="00D363EF">
        <w:rPr>
          <w:rFonts w:eastAsiaTheme="majorEastAsia" w:cstheme="minorHAnsi"/>
          <w:color w:val="0D0D0D" w:themeColor="text1" w:themeTint="F2"/>
          <w:sz w:val="18"/>
          <w:szCs w:val="18"/>
        </w:rPr>
        <w:t>Protection Of the Rights of Children Act [Law number: 19/2019]</w:t>
      </w:r>
      <w:r w:rsidRPr="00D363EF">
        <w:rPr>
          <w:rFonts w:eastAsiaTheme="majorEastAsia" w:cstheme="minorHAnsi"/>
          <w:b/>
          <w:bCs/>
          <w:color w:val="0D0D0D" w:themeColor="text1" w:themeTint="F2"/>
          <w:sz w:val="18"/>
          <w:szCs w:val="18"/>
        </w:rPr>
        <w:t>,</w:t>
      </w:r>
      <w:r w:rsidRPr="00D363EF">
        <w:rPr>
          <w:rStyle w:val="Strong"/>
          <w:rFonts w:eastAsiaTheme="majorEastAsia" w:cstheme="minorHAnsi"/>
          <w:color w:val="0D0D0D" w:themeColor="text1" w:themeTint="F2"/>
          <w:sz w:val="18"/>
          <w:szCs w:val="18"/>
        </w:rPr>
        <w:t xml:space="preserve"> </w:t>
      </w:r>
      <w:r w:rsidRPr="00D363EF">
        <w:rPr>
          <w:rFonts w:cstheme="minorHAnsi"/>
          <w:color w:val="0D0D0D" w:themeColor="text1" w:themeTint="F2"/>
          <w:sz w:val="18"/>
          <w:szCs w:val="18"/>
        </w:rPr>
        <w:t>section 16,-section 16( c), section 94</w:t>
      </w:r>
    </w:p>
  </w:endnote>
  <w:endnote w:id="23">
    <w:p w14:paraId="433F2312"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color w:val="0D0D0D" w:themeColor="text1" w:themeTint="F2"/>
          <w:sz w:val="18"/>
          <w:szCs w:val="18"/>
        </w:rPr>
        <w:endnoteRef/>
      </w:r>
      <w:r w:rsidRPr="00D363EF">
        <w:rPr>
          <w:rFonts w:cstheme="minorHAnsi"/>
          <w:color w:val="0D0D0D" w:themeColor="text1" w:themeTint="F2"/>
          <w:sz w:val="18"/>
          <w:szCs w:val="18"/>
        </w:rPr>
        <w:t xml:space="preserve"> </w:t>
      </w:r>
      <w:r w:rsidRPr="00D363EF">
        <w:rPr>
          <w:rFonts w:eastAsiaTheme="majorEastAsia" w:cstheme="minorHAnsi"/>
          <w:color w:val="0D0D0D" w:themeColor="text1" w:themeTint="F2"/>
          <w:sz w:val="18"/>
          <w:szCs w:val="18"/>
        </w:rPr>
        <w:t>Protection of the Rights of Children Act [Law number: 19/2019]</w:t>
      </w:r>
      <w:r w:rsidRPr="00D363EF">
        <w:rPr>
          <w:rFonts w:eastAsiaTheme="majorEastAsia" w:cstheme="minorHAnsi"/>
          <w:b/>
          <w:bCs/>
          <w:color w:val="0D0D0D" w:themeColor="text1" w:themeTint="F2"/>
          <w:sz w:val="18"/>
          <w:szCs w:val="18"/>
        </w:rPr>
        <w:t>,</w:t>
      </w:r>
      <w:r w:rsidRPr="00D363EF">
        <w:rPr>
          <w:rStyle w:val="Strong"/>
          <w:rFonts w:eastAsiaTheme="majorEastAsia" w:cstheme="minorHAnsi"/>
          <w:color w:val="0D0D0D" w:themeColor="text1" w:themeTint="F2"/>
          <w:sz w:val="18"/>
          <w:szCs w:val="18"/>
        </w:rPr>
        <w:t xml:space="preserve"> </w:t>
      </w:r>
      <w:r w:rsidRPr="00D363EF">
        <w:rPr>
          <w:rFonts w:cstheme="minorHAnsi"/>
          <w:color w:val="0D0D0D" w:themeColor="text1" w:themeTint="F2"/>
          <w:sz w:val="18"/>
          <w:szCs w:val="18"/>
          <w:lang w:bidi="dv-MV"/>
        </w:rPr>
        <w:t xml:space="preserve">Section </w:t>
      </w:r>
      <w:r w:rsidRPr="00D363EF">
        <w:rPr>
          <w:rFonts w:cstheme="minorHAnsi"/>
          <w:color w:val="0D0D0D" w:themeColor="text1" w:themeTint="F2"/>
          <w:sz w:val="18"/>
          <w:szCs w:val="18"/>
        </w:rPr>
        <w:t>51</w:t>
      </w:r>
    </w:p>
  </w:endnote>
  <w:endnote w:id="24">
    <w:p w14:paraId="68314FE4"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Section 9</w:t>
      </w:r>
    </w:p>
  </w:endnote>
  <w:endnote w:id="25">
    <w:p w14:paraId="46D2BC5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 xml:space="preserve">Section 8 </w:t>
      </w:r>
    </w:p>
  </w:endnote>
  <w:endnote w:id="26">
    <w:p w14:paraId="1D8F24C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lang w:bidi="dv-MV"/>
        </w:rPr>
        <w:t xml:space="preserve">Section </w:t>
      </w:r>
      <w:r w:rsidRPr="00D363EF">
        <w:rPr>
          <w:rFonts w:cstheme="minorHAnsi"/>
          <w:sz w:val="18"/>
          <w:szCs w:val="18"/>
        </w:rPr>
        <w:t>38</w:t>
      </w:r>
    </w:p>
  </w:endnote>
  <w:endnote w:id="27">
    <w:p w14:paraId="1782A65C"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28">
    <w:p w14:paraId="774FC682"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Human Rights Commission of the Maldives (HRCM). Beyond 20 years of the “Rights” side of life, page 107.  Retrieved January 5, 2025, from </w:t>
      </w:r>
      <w:hyperlink r:id="rId6" w:history="1">
        <w:r w:rsidRPr="00D363EF">
          <w:rPr>
            <w:rStyle w:val="Hyperlink"/>
            <w:rFonts w:cstheme="minorHAnsi"/>
            <w:sz w:val="18"/>
            <w:szCs w:val="18"/>
          </w:rPr>
          <w:t>https://hrcm.org.mv/storage/uploads/ywDe8LYN/sdjcaf3u.pdf</w:t>
        </w:r>
      </w:hyperlink>
    </w:p>
  </w:endnote>
  <w:endnote w:id="29">
    <w:p w14:paraId="56B12C75" w14:textId="77777777" w:rsidR="007955AC" w:rsidRPr="00D363EF" w:rsidRDefault="007955AC" w:rsidP="00D363EF">
      <w:pPr>
        <w:pStyle w:val="EndnoteText"/>
        <w:ind w:left="90" w:hanging="360"/>
        <w:rPr>
          <w:rFonts w:cstheme="minorHAnsi"/>
          <w:sz w:val="18"/>
          <w:szCs w:val="18"/>
          <w:lang w:bidi="dv-MV"/>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lang w:bidi="dv-MV"/>
        </w:rPr>
        <w:t xml:space="preserve">Section 40 (a) </w:t>
      </w:r>
    </w:p>
  </w:endnote>
  <w:endnote w:id="30">
    <w:p w14:paraId="66036C4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Section 40 (b)</w:t>
      </w:r>
    </w:p>
  </w:endnote>
  <w:endnote w:id="31">
    <w:p w14:paraId="2C5DCF96"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Birth and Death registration and the issuance of Birth Certificates and Maldivian National Identity Cards [Law no. 23/2022], Article 4 </w:t>
      </w:r>
    </w:p>
  </w:endnote>
  <w:endnote w:id="32">
    <w:p w14:paraId="25F187A2"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Registration of Births and Deaths, Issuance of Birth Certificates and Citizenship Cards (Law No. 23/2022), Article 38 </w:t>
      </w:r>
    </w:p>
  </w:endnote>
  <w:endnote w:id="33">
    <w:p w14:paraId="3DED1909"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Maldives Bureau Of Statistics (MBS) Ministry Of Housing, Land &amp; Urban Development. Vital Statistics Report of Maldives 2019-2021, page 14. Retrieved on August 7</w:t>
      </w:r>
      <w:r w:rsidRPr="00D363EF">
        <w:rPr>
          <w:rFonts w:cstheme="minorHAnsi"/>
          <w:sz w:val="18"/>
          <w:szCs w:val="18"/>
          <w:vertAlign w:val="superscript"/>
        </w:rPr>
        <w:t>th</w:t>
      </w:r>
      <w:r w:rsidRPr="00D363EF">
        <w:rPr>
          <w:rFonts w:cstheme="minorHAnsi"/>
          <w:sz w:val="18"/>
          <w:szCs w:val="18"/>
        </w:rPr>
        <w:t xml:space="preserve">, 2025 from </w:t>
      </w:r>
      <w:hyperlink r:id="rId7" w:history="1">
        <w:r w:rsidRPr="00D363EF">
          <w:rPr>
            <w:rStyle w:val="Hyperlink"/>
            <w:rFonts w:cstheme="minorHAnsi"/>
            <w:sz w:val="18"/>
            <w:szCs w:val="18"/>
          </w:rPr>
          <w:t>https://statisticsmaldives.gov.mv/mbs/wp-content/uploads/2024/11/Vital-Statistics-Report-of-Maldives-2024.pdf</w:t>
        </w:r>
      </w:hyperlink>
      <w:r w:rsidRPr="00D363EF">
        <w:rPr>
          <w:rFonts w:cstheme="minorHAnsi"/>
          <w:sz w:val="18"/>
          <w:szCs w:val="18"/>
        </w:rPr>
        <w:t xml:space="preserve"> </w:t>
      </w:r>
    </w:p>
  </w:endnote>
  <w:endnote w:id="34">
    <w:p w14:paraId="4BE6372D" w14:textId="77777777" w:rsidR="007955AC" w:rsidRPr="00D363EF" w:rsidRDefault="007955AC" w:rsidP="00747E9C">
      <w:pPr>
        <w:pStyle w:val="EndnoteText"/>
        <w:ind w:left="90" w:firstLine="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National Bureau of Statistics (2019). Population Distribution and Migration Household Income &amp; Expenditure Survey 2019, Page 10 retrieved on May 2</w:t>
      </w:r>
      <w:r w:rsidRPr="00D363EF">
        <w:rPr>
          <w:rFonts w:cstheme="minorHAnsi"/>
          <w:sz w:val="18"/>
          <w:szCs w:val="18"/>
          <w:vertAlign w:val="superscript"/>
        </w:rPr>
        <w:t>nd</w:t>
      </w:r>
      <w:r w:rsidRPr="00D363EF">
        <w:rPr>
          <w:rFonts w:cstheme="minorHAnsi"/>
          <w:sz w:val="18"/>
          <w:szCs w:val="18"/>
        </w:rPr>
        <w:t xml:space="preserve"> 2024 </w:t>
      </w:r>
      <w:hyperlink r:id="rId8" w:history="1">
        <w:r w:rsidRPr="00D363EF">
          <w:rPr>
            <w:rStyle w:val="Hyperlink"/>
            <w:rFonts w:cstheme="minorHAnsi"/>
            <w:sz w:val="18"/>
            <w:szCs w:val="18"/>
          </w:rPr>
          <w:t>https://statisticsmaldives.gov.mv/nbs/wp-content/uploads/2021/03/HIES2019-PopulationDistributionMigration.pdf</w:t>
        </w:r>
      </w:hyperlink>
      <w:r w:rsidRPr="00D363EF">
        <w:rPr>
          <w:rFonts w:cstheme="minorHAnsi"/>
          <w:sz w:val="18"/>
          <w:szCs w:val="18"/>
        </w:rPr>
        <w:t xml:space="preserve"> </w:t>
      </w:r>
    </w:p>
  </w:endnote>
  <w:endnote w:id="35">
    <w:p w14:paraId="59DF8912"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Department of Judicial Administration (2019). Marriage and divorce procedures and challenges, Page 4. </w:t>
      </w:r>
      <w:r w:rsidRPr="00D363EF">
        <w:rPr>
          <w:rFonts w:cstheme="minorHAnsi"/>
          <w:kern w:val="0"/>
          <w:sz w:val="18"/>
          <w:szCs w:val="18"/>
        </w:rPr>
        <w:t>Retrieved April 2</w:t>
      </w:r>
      <w:r w:rsidRPr="00D363EF">
        <w:rPr>
          <w:rFonts w:cstheme="minorHAnsi"/>
          <w:kern w:val="0"/>
          <w:sz w:val="18"/>
          <w:szCs w:val="18"/>
          <w:vertAlign w:val="superscript"/>
        </w:rPr>
        <w:t>nd</w:t>
      </w:r>
      <w:r w:rsidRPr="00D363EF">
        <w:rPr>
          <w:rFonts w:cstheme="minorHAnsi"/>
          <w:kern w:val="0"/>
          <w:sz w:val="18"/>
          <w:szCs w:val="18"/>
        </w:rPr>
        <w:t xml:space="preserve">, 2024 from </w:t>
      </w:r>
      <w:hyperlink r:id="rId9" w:history="1">
        <w:r w:rsidRPr="00D363EF">
          <w:rPr>
            <w:rStyle w:val="Hyperlink"/>
            <w:rFonts w:cstheme="minorHAnsi"/>
            <w:sz w:val="18"/>
            <w:szCs w:val="18"/>
          </w:rPr>
          <w:t>https://getinthepicture.org/sites/default/files/resources/b%20-%20Marriage%20and%20Divorce%20in%20the%20Maldives%20-%20Procedures%20and%20Challenges.pdf</w:t>
        </w:r>
      </w:hyperlink>
    </w:p>
    <w:p w14:paraId="6F9A5B91"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Birth and Death registration and the issuance of Birth Certificates and Maldivian National Identity Cards (Law no. 23/2022), Article 8(c)</w:t>
      </w:r>
    </w:p>
  </w:endnote>
  <w:endnote w:id="36">
    <w:p w14:paraId="0FB7B653"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Birth and Death registration and the issuance of Birth Certificates and Maldivian National Identity Cards [Law no. 23/2022], Article 13</w:t>
      </w:r>
    </w:p>
  </w:endnote>
  <w:endnote w:id="37">
    <w:p w14:paraId="15DA5051"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Male’ City Council  </w:t>
      </w:r>
    </w:p>
  </w:endnote>
  <w:endnote w:id="38">
    <w:p w14:paraId="7347F5CF"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Maldives Bureau Of Statistics (Mbs) Ministry Of Housing, Land &amp; Urban Development. Vital Statistics Report of Maldives 2019-2021, page 45. Retrieved on August 7</w:t>
      </w:r>
      <w:r w:rsidRPr="00D363EF">
        <w:rPr>
          <w:rFonts w:cstheme="minorHAnsi"/>
          <w:sz w:val="18"/>
          <w:szCs w:val="18"/>
          <w:vertAlign w:val="superscript"/>
        </w:rPr>
        <w:t>th</w:t>
      </w:r>
      <w:r w:rsidRPr="00D363EF">
        <w:rPr>
          <w:rFonts w:cstheme="minorHAnsi"/>
          <w:sz w:val="18"/>
          <w:szCs w:val="18"/>
        </w:rPr>
        <w:t xml:space="preserve">, 2025 from </w:t>
      </w:r>
      <w:hyperlink r:id="rId10" w:history="1">
        <w:r w:rsidRPr="00D363EF">
          <w:rPr>
            <w:rStyle w:val="Hyperlink"/>
            <w:rFonts w:cstheme="minorHAnsi"/>
            <w:sz w:val="18"/>
            <w:szCs w:val="18"/>
          </w:rPr>
          <w:t>https://statisticsmaldives.gov.mv/mbs/wp-content/uploads/2024/11/Vital-Statistics-Report-of-Maldives-2024.pdf</w:t>
        </w:r>
      </w:hyperlink>
      <w:r w:rsidRPr="00D363EF">
        <w:rPr>
          <w:rFonts w:cstheme="minorHAnsi"/>
          <w:sz w:val="18"/>
          <w:szCs w:val="18"/>
        </w:rPr>
        <w:t xml:space="preserve"> </w:t>
      </w:r>
    </w:p>
  </w:endnote>
  <w:endnote w:id="39">
    <w:p w14:paraId="529C6FF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Protection and Children in Need of Care [Regulation No. 103/2021], Section 97 and Foster Care Regulation (Regulation No. 17/2024)</w:t>
      </w:r>
    </w:p>
  </w:endnote>
  <w:endnote w:id="40">
    <w:p w14:paraId="5680471F"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Protection and Children in Need of Care [Regulation No. 103/2021], Section 99 (a)</w:t>
      </w:r>
    </w:p>
  </w:endnote>
  <w:endnote w:id="41">
    <w:p w14:paraId="12355BC9"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 xml:space="preserve">Section 79 </w:t>
      </w:r>
    </w:p>
  </w:endnote>
  <w:endnote w:id="42">
    <w:p w14:paraId="240EFA99"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 xml:space="preserve">Section 82 </w:t>
      </w:r>
    </w:p>
  </w:endnote>
  <w:endnote w:id="43">
    <w:p w14:paraId="6DB08B7B"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Section 89</w:t>
      </w:r>
    </w:p>
  </w:endnote>
  <w:endnote w:id="44">
    <w:p w14:paraId="28E3EDF6"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Regulation on the Return of Children in State Custody to Their Families [Regulation No. 2021-103], section 40</w:t>
      </w:r>
    </w:p>
  </w:endnote>
  <w:endnote w:id="45">
    <w:p w14:paraId="4B2CCF02"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bookmarkStart w:id="12" w:name="_Hlk205438666"/>
      <w:r w:rsidRPr="00D363EF">
        <w:rPr>
          <w:rFonts w:cstheme="minorHAnsi"/>
          <w:sz w:val="18"/>
          <w:szCs w:val="18"/>
        </w:rPr>
        <w:t>Protection of the Rights of the Child Act (Law No. 19/2019), Regulation 17/2024 on Fostering Children in State Care, and Regulation on the Return of Children in State Custody</w:t>
      </w:r>
      <w:bookmarkEnd w:id="12"/>
      <w:r w:rsidRPr="00D363EF">
        <w:rPr>
          <w:rFonts w:cstheme="minorHAnsi"/>
          <w:sz w:val="18"/>
          <w:szCs w:val="18"/>
        </w:rPr>
        <w:t xml:space="preserve"> [Regulation 103/2021]</w:t>
      </w:r>
    </w:p>
  </w:endnote>
  <w:endnote w:id="46">
    <w:p w14:paraId="110E550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Regulation on Fostering Children in State Care [Regulation 17/2024], Articles 26–28</w:t>
      </w:r>
    </w:p>
  </w:endnote>
  <w:endnote w:id="47">
    <w:p w14:paraId="20C49B57" w14:textId="77777777" w:rsidR="00F32E12" w:rsidRPr="00D363EF" w:rsidRDefault="00F32E1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Protection of the Rights of the Child Act [Law No. 19/2019], Regulation on Fostering Children in State Care [Regulation 17/2024], and Regulation on the Return of Children in State Custody [Regulation 103/2021]</w:t>
      </w:r>
    </w:p>
  </w:endnote>
  <w:endnote w:id="48">
    <w:p w14:paraId="31881F44" w14:textId="467501B4" w:rsidR="00F32E12" w:rsidRPr="00D363EF" w:rsidRDefault="00F32E1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MoSFD</w:t>
      </w:r>
    </w:p>
  </w:endnote>
  <w:endnote w:id="49">
    <w:p w14:paraId="27E9AEF3" w14:textId="77777777" w:rsidR="007955AC" w:rsidRPr="00D363EF" w:rsidRDefault="007955AC" w:rsidP="00D363EF">
      <w:pPr>
        <w:pStyle w:val="EndnoteText"/>
        <w:ind w:left="90" w:hanging="360"/>
        <w:rPr>
          <w:rStyle w:val="EndnoteReference"/>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Protection Of The Rights of Children Act</w:t>
      </w:r>
      <w:r w:rsidRPr="00D363EF">
        <w:rPr>
          <w:rFonts w:cstheme="minorHAnsi"/>
          <w:sz w:val="18"/>
          <w:szCs w:val="18"/>
          <w:shd w:val="clear" w:color="auto" w:fill="FFFFFF"/>
        </w:rPr>
        <w:t xml:space="preserve"> [Law number: 19/2019]</w:t>
      </w:r>
      <w:r w:rsidRPr="00D363EF">
        <w:rPr>
          <w:rFonts w:cstheme="minorHAnsi"/>
          <w:sz w:val="18"/>
          <w:szCs w:val="18"/>
        </w:rPr>
        <w:t xml:space="preserve">, </w:t>
      </w:r>
      <w:r w:rsidRPr="00D363EF">
        <w:rPr>
          <w:rFonts w:cstheme="minorHAnsi"/>
          <w:color w:val="000000" w:themeColor="text1"/>
          <w:sz w:val="18"/>
          <w:szCs w:val="18"/>
        </w:rPr>
        <w:t>Section 98</w:t>
      </w:r>
      <w:r w:rsidRPr="00D363EF">
        <w:rPr>
          <w:rStyle w:val="EndnoteReference"/>
          <w:rFonts w:cstheme="minorHAnsi"/>
          <w:sz w:val="18"/>
          <w:szCs w:val="18"/>
        </w:rPr>
        <w:t xml:space="preserve"> </w:t>
      </w:r>
    </w:p>
  </w:endnote>
  <w:endnote w:id="50">
    <w:p w14:paraId="4AE96F7A" w14:textId="17AF3EE5"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MoSFD</w:t>
      </w:r>
    </w:p>
  </w:endnote>
  <w:endnote w:id="51">
    <w:p w14:paraId="786674EE" w14:textId="1BB5F38D"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MoSFD</w:t>
      </w:r>
    </w:p>
  </w:endnote>
  <w:endnote w:id="52">
    <w:p w14:paraId="6E89917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Kristie Drucza, Anh Tran (July 2021). Evaluation of the Single Parent and Foster Care Social Protection Schemes</w:t>
      </w:r>
    </w:p>
    <w:p w14:paraId="2E9E7CAA"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in the Maldives. UNICEF.  Page 65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11" w:history="1">
        <w:r w:rsidRPr="00D363EF">
          <w:rPr>
            <w:rStyle w:val="Hyperlink"/>
            <w:rFonts w:cstheme="minorHAnsi"/>
            <w:sz w:val="18"/>
            <w:szCs w:val="18"/>
          </w:rPr>
          <w:t>https://www.unicef.org/maldives/media/2421/file/Evaluation%20of%20the%20Single%20Parent%20and%20Foster%20Care%20Social%20Protection%20Schemes%20in%20the%20Maldives.pdf</w:t>
        </w:r>
      </w:hyperlink>
      <w:r w:rsidRPr="00D363EF">
        <w:rPr>
          <w:rFonts w:cstheme="minorHAnsi"/>
          <w:sz w:val="18"/>
          <w:szCs w:val="18"/>
        </w:rPr>
        <w:t xml:space="preserve"> </w:t>
      </w:r>
    </w:p>
  </w:endnote>
  <w:endnote w:id="53">
    <w:p w14:paraId="1121581B"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Kristie Drucza, Anh Tran (July 2021). Evaluation of the Single Parent and Foster Care Social Protection Schemes</w:t>
      </w:r>
    </w:p>
    <w:p w14:paraId="473DCF30"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in the Maldives. UNICEF.  Page 65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12" w:history="1">
        <w:r w:rsidRPr="00D363EF">
          <w:rPr>
            <w:rStyle w:val="Hyperlink"/>
            <w:rFonts w:cstheme="minorHAnsi"/>
            <w:sz w:val="18"/>
            <w:szCs w:val="18"/>
          </w:rPr>
          <w:t>https://www.unicef.org/maldives/media/2421/file/Evaluation%20of%20the%20Single%20Parent%20and%20Foster%20Care%20Social%20Protection%20Schemes%20in%20the%20Maldives.pdf</w:t>
        </w:r>
      </w:hyperlink>
    </w:p>
  </w:endnote>
  <w:endnote w:id="54">
    <w:p w14:paraId="294233F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Kristie Drucza, Anh Tran (July 2021). Evaluation of the Single Parent and Foster Care Social Protection Schemes</w:t>
      </w:r>
    </w:p>
    <w:p w14:paraId="6BCF4D4F"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in the Maldives. UNICEF.  Page 65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13" w:history="1">
        <w:r w:rsidRPr="00D363EF">
          <w:rPr>
            <w:rStyle w:val="Hyperlink"/>
            <w:rFonts w:cstheme="minorHAnsi"/>
            <w:sz w:val="18"/>
            <w:szCs w:val="18"/>
          </w:rPr>
          <w:t>https://www.unicef.org/maldives/media/2421/file/Evaluation%20of%20the%20Single%20Parent%20and%20Foster%20Care%20Social%20Protection%20Schemes%20in%20the%20Maldives.pdf</w:t>
        </w:r>
      </w:hyperlink>
    </w:p>
  </w:endnote>
  <w:endnote w:id="55">
    <w:p w14:paraId="78267E9C"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Kristie Drucza, Anh Tran (July 2021). Evaluation of the Single Parent and Foster Care Social Protection Schemes</w:t>
      </w:r>
    </w:p>
    <w:p w14:paraId="77D41989"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in the Maldives. UNICEF.  Page 65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14" w:history="1">
        <w:r w:rsidRPr="00D363EF">
          <w:rPr>
            <w:rStyle w:val="Hyperlink"/>
            <w:rFonts w:cstheme="minorHAnsi"/>
            <w:sz w:val="18"/>
            <w:szCs w:val="18"/>
          </w:rPr>
          <w:t>https://www.unicef.org/maldives/media/2421/file/Evaluation%20of%20the%20Single%20Parent%20and%20Foster%20Care%20Social%20Protection%20Schemes%20in%20the%20Maldives.pdf</w:t>
        </w:r>
      </w:hyperlink>
    </w:p>
  </w:endnote>
  <w:endnote w:id="56">
    <w:p w14:paraId="1EE48825"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Kristie Drucza, Anh Tran (July 2021). Evaluation of the Single Parent and Foster Care Social Protection Schemes</w:t>
      </w:r>
    </w:p>
    <w:p w14:paraId="4047B228"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in the Maldives. UNICEF.  Page 65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15" w:history="1">
        <w:r w:rsidRPr="00D363EF">
          <w:rPr>
            <w:rStyle w:val="Hyperlink"/>
            <w:rFonts w:cstheme="minorHAnsi"/>
            <w:sz w:val="18"/>
            <w:szCs w:val="18"/>
          </w:rPr>
          <w:t>https://www.unicef.org/maldives/media/2421/file/Evaluation%20of%20the%20Single%20Parent%20and%20Foster%20Care%20Social%20Protection%20Schemes%20in%20the%20Maldives.pdf</w:t>
        </w:r>
      </w:hyperlink>
    </w:p>
  </w:endnote>
  <w:endnote w:id="57">
    <w:p w14:paraId="7B9DF9BB"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Childs right Protection Act (19/2019), Section 53 -, Section 79</w:t>
      </w:r>
    </w:p>
  </w:endnote>
  <w:endnote w:id="58">
    <w:p w14:paraId="768269D3" w14:textId="77777777" w:rsidR="007955AC" w:rsidRPr="00D363EF" w:rsidRDefault="007955AC" w:rsidP="00D363EF">
      <w:pPr>
        <w:pStyle w:val="EndnoteText"/>
        <w:ind w:left="90" w:hanging="360"/>
        <w:rPr>
          <w:rFonts w:cstheme="minorHAnsi"/>
          <w:sz w:val="18"/>
          <w:szCs w:val="18"/>
          <w:lang w:val="en-US"/>
        </w:rPr>
      </w:pPr>
      <w:r w:rsidRPr="00D363EF">
        <w:rPr>
          <w:rFonts w:cstheme="minorHAnsi"/>
          <w:sz w:val="18"/>
          <w:szCs w:val="18"/>
          <w:lang w:val="en-US"/>
        </w:rPr>
        <w:endnoteRef/>
      </w:r>
      <w:r w:rsidRPr="00D363EF">
        <w:rPr>
          <w:rFonts w:cstheme="minorHAnsi"/>
          <w:sz w:val="18"/>
          <w:szCs w:val="18"/>
          <w:lang w:val="en-US"/>
        </w:rPr>
        <w:t xml:space="preserve"> Alternative Care Provision Guideline (2020/R-69) Article 7</w:t>
      </w:r>
    </w:p>
  </w:endnote>
  <w:endnote w:id="59">
    <w:p w14:paraId="0422BD44"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Alternative Care</w:t>
      </w:r>
      <w:r w:rsidRPr="00D363EF">
        <w:rPr>
          <w:rFonts w:cstheme="minorHAnsi"/>
          <w:sz w:val="18"/>
          <w:szCs w:val="18"/>
        </w:rPr>
        <w:t xml:space="preserve"> </w:t>
      </w:r>
      <w:r w:rsidRPr="00D363EF">
        <w:rPr>
          <w:rFonts w:cstheme="minorHAnsi"/>
          <w:sz w:val="18"/>
          <w:szCs w:val="18"/>
          <w:lang w:val="en-US"/>
        </w:rPr>
        <w:t>Provision Guideline (2020 /R-69) Article 7,- Article 30 (c)</w:t>
      </w:r>
    </w:p>
  </w:endnote>
  <w:endnote w:id="60">
    <w:p w14:paraId="43C385B0"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 xml:space="preserve">Health Services Act </w:t>
      </w:r>
      <w:r w:rsidRPr="00D363EF">
        <w:rPr>
          <w:rFonts w:eastAsia="Times New Roman" w:cstheme="minorHAnsi"/>
          <w:color w:val="000000" w:themeColor="text1"/>
          <w:sz w:val="18"/>
          <w:szCs w:val="18"/>
        </w:rPr>
        <w:t>(29/2015), Article 40</w:t>
      </w:r>
    </w:p>
  </w:endnote>
  <w:endnote w:id="61">
    <w:p w14:paraId="3EEC7C51"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Health Professionals Act (13/2025), Article 88</w:t>
      </w:r>
    </w:p>
  </w:endnote>
  <w:endnote w:id="62">
    <w:p w14:paraId="1169FEEE" w14:textId="71BCF19B"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009F186C">
        <w:rPr>
          <w:rFonts w:cstheme="minorHAnsi"/>
          <w:sz w:val="18"/>
          <w:szCs w:val="18"/>
          <w:lang w:val="en-US"/>
        </w:rPr>
        <w:t xml:space="preserve">Information received </w:t>
      </w:r>
      <w:r w:rsidRPr="00D363EF">
        <w:rPr>
          <w:rFonts w:cstheme="minorHAnsi"/>
          <w:sz w:val="18"/>
          <w:szCs w:val="18"/>
          <w:lang w:val="en-US"/>
        </w:rPr>
        <w:t xml:space="preserve">from </w:t>
      </w:r>
      <w:r w:rsidR="007B0C9A">
        <w:rPr>
          <w:rFonts w:cstheme="minorHAnsi"/>
          <w:sz w:val="18"/>
          <w:szCs w:val="18"/>
          <w:lang w:val="en-US"/>
        </w:rPr>
        <w:t>MOH</w:t>
      </w:r>
    </w:p>
  </w:endnote>
  <w:endnote w:id="63">
    <w:p w14:paraId="2A659939"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64">
    <w:p w14:paraId="16B3F25B" w14:textId="4A394098" w:rsidR="007955AC" w:rsidRPr="00D363EF" w:rsidRDefault="007955AC" w:rsidP="00D363EF">
      <w:pPr>
        <w:pStyle w:val="EndnoteText"/>
        <w:ind w:left="90" w:hanging="360"/>
        <w:rPr>
          <w:rFonts w:cstheme="minorHAnsi"/>
          <w:sz w:val="18"/>
          <w:szCs w:val="18"/>
        </w:rPr>
      </w:pPr>
      <w:r w:rsidRPr="00D363EF">
        <w:rPr>
          <w:rFonts w:cstheme="minorHAnsi"/>
          <w:sz w:val="18"/>
          <w:szCs w:val="18"/>
          <w:vertAlign w:val="superscript"/>
        </w:rPr>
        <w:endnoteRef/>
      </w:r>
      <w:r w:rsidRPr="00D363EF">
        <w:rPr>
          <w:rFonts w:cstheme="minorHAnsi"/>
          <w:sz w:val="18"/>
          <w:szCs w:val="18"/>
        </w:rPr>
        <w:t xml:space="preserve"> Atoll Monitoring Report (2025). Unpublished</w:t>
      </w:r>
    </w:p>
  </w:endnote>
  <w:endnote w:id="65">
    <w:p w14:paraId="10654DF3"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66">
    <w:p w14:paraId="196C224B"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67">
    <w:p w14:paraId="03516E3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68">
    <w:p w14:paraId="65FCCDA6"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69">
    <w:p w14:paraId="2E6A4B93"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70">
    <w:p w14:paraId="3EE210F5"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71">
    <w:p w14:paraId="01B15695"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Fonts w:eastAsiaTheme="majorEastAsia" w:cstheme="minorHAnsi"/>
          <w:b/>
          <w:bCs/>
          <w:sz w:val="18"/>
          <w:szCs w:val="18"/>
        </w:rPr>
        <w:t>,</w:t>
      </w:r>
      <w:r w:rsidRPr="00D363EF">
        <w:rPr>
          <w:rStyle w:val="Strong"/>
          <w:rFonts w:eastAsiaTheme="majorEastAsia" w:cstheme="minorHAnsi"/>
          <w:sz w:val="18"/>
          <w:szCs w:val="18"/>
        </w:rPr>
        <w:t xml:space="preserve"> </w:t>
      </w:r>
      <w:r w:rsidRPr="00D363EF">
        <w:rPr>
          <w:rFonts w:cstheme="minorHAnsi"/>
          <w:sz w:val="18"/>
          <w:szCs w:val="18"/>
        </w:rPr>
        <w:t xml:space="preserve">Article 39 </w:t>
      </w:r>
    </w:p>
  </w:endnote>
  <w:endnote w:id="72">
    <w:p w14:paraId="0B5341DD"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The President’s Office (2019). President Solih announces the implementation of 6 months paid maternity leave. Retrieved October 27, 2019 from </w:t>
      </w:r>
      <w:hyperlink r:id="rId16" w:history="1">
        <w:r w:rsidRPr="00D363EF">
          <w:rPr>
            <w:rStyle w:val="Hyperlink"/>
            <w:rFonts w:cstheme="minorHAnsi"/>
            <w:sz w:val="18"/>
            <w:szCs w:val="18"/>
          </w:rPr>
          <w:t>https://presidency.gov.mv/Press/Article/20794</w:t>
        </w:r>
      </w:hyperlink>
      <w:r w:rsidRPr="00D363EF">
        <w:rPr>
          <w:rFonts w:cstheme="minorHAnsi"/>
          <w:sz w:val="18"/>
          <w:szCs w:val="18"/>
        </w:rPr>
        <w:t xml:space="preserve"> </w:t>
      </w:r>
    </w:p>
  </w:endnote>
  <w:endnote w:id="73">
    <w:p w14:paraId="14126374"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Ministry of Social and Family Development (2024). Comprehensive national-level review on the implementation of the Beijing Declaration and Platform for Action (Beijing +30 Review), Page 23. Retrieved August 5</w:t>
      </w:r>
      <w:r w:rsidRPr="00D363EF">
        <w:rPr>
          <w:rFonts w:cstheme="minorHAnsi"/>
          <w:sz w:val="18"/>
          <w:szCs w:val="18"/>
          <w:vertAlign w:val="superscript"/>
        </w:rPr>
        <w:t>th</w:t>
      </w:r>
      <w:r w:rsidRPr="00D363EF">
        <w:rPr>
          <w:rFonts w:cstheme="minorHAnsi"/>
          <w:sz w:val="18"/>
          <w:szCs w:val="18"/>
        </w:rPr>
        <w:t xml:space="preserve">, 2025 </w:t>
      </w:r>
    </w:p>
    <w:p w14:paraId="207E0B09"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 xml:space="preserve"> From </w:t>
      </w:r>
      <w:hyperlink r:id="rId17" w:history="1">
        <w:r w:rsidRPr="00D363EF">
          <w:rPr>
            <w:rStyle w:val="Hyperlink"/>
            <w:rFonts w:cstheme="minorHAnsi"/>
            <w:sz w:val="18"/>
            <w:szCs w:val="18"/>
          </w:rPr>
          <w:t>https://www.unwomen.org/sites/default/files/2024-09/b30_report_maldives_en.pdf</w:t>
        </w:r>
      </w:hyperlink>
      <w:r w:rsidRPr="00D363EF">
        <w:rPr>
          <w:rFonts w:cstheme="minorHAnsi"/>
          <w:sz w:val="18"/>
          <w:szCs w:val="18"/>
        </w:rPr>
        <w:t xml:space="preserve"> </w:t>
      </w:r>
    </w:p>
  </w:endnote>
  <w:endnote w:id="74">
    <w:p w14:paraId="1E7A21D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Ministry of Social and Family Development (2024). Comprehensive national-level review on the implementation of the Beijing Declaration and Platform for Action (Beijing +30 Review), Page 23. Retrieved August 5</w:t>
      </w:r>
      <w:r w:rsidRPr="00D363EF">
        <w:rPr>
          <w:rFonts w:cstheme="minorHAnsi"/>
          <w:sz w:val="18"/>
          <w:szCs w:val="18"/>
          <w:vertAlign w:val="superscript"/>
        </w:rPr>
        <w:t>th</w:t>
      </w:r>
      <w:r w:rsidRPr="00D363EF">
        <w:rPr>
          <w:rFonts w:cstheme="minorHAnsi"/>
          <w:sz w:val="18"/>
          <w:szCs w:val="18"/>
        </w:rPr>
        <w:t xml:space="preserve">, 2025 </w:t>
      </w:r>
    </w:p>
    <w:p w14:paraId="4E6FF9F9" w14:textId="6AA57E95" w:rsidR="007955AC" w:rsidRPr="00D363EF" w:rsidRDefault="007955AC" w:rsidP="00D363EF">
      <w:pPr>
        <w:pStyle w:val="EndnoteText"/>
        <w:ind w:left="90" w:hanging="360"/>
        <w:rPr>
          <w:rFonts w:cstheme="minorHAnsi"/>
          <w:sz w:val="18"/>
          <w:szCs w:val="18"/>
        </w:rPr>
      </w:pPr>
      <w:r w:rsidRPr="00D363EF">
        <w:rPr>
          <w:rFonts w:cstheme="minorHAnsi"/>
          <w:sz w:val="18"/>
          <w:szCs w:val="18"/>
        </w:rPr>
        <w:t xml:space="preserve"> </w:t>
      </w:r>
      <w:r w:rsidR="00007E7A">
        <w:rPr>
          <w:rFonts w:cstheme="minorHAnsi"/>
          <w:sz w:val="18"/>
          <w:szCs w:val="18"/>
        </w:rPr>
        <w:tab/>
      </w:r>
      <w:r w:rsidRPr="00D363EF">
        <w:rPr>
          <w:rFonts w:cstheme="minorHAnsi"/>
          <w:sz w:val="18"/>
          <w:szCs w:val="18"/>
        </w:rPr>
        <w:t xml:space="preserve">From </w:t>
      </w:r>
      <w:hyperlink r:id="rId18" w:history="1">
        <w:r w:rsidRPr="00D363EF">
          <w:rPr>
            <w:rStyle w:val="Hyperlink"/>
            <w:rFonts w:cstheme="minorHAnsi"/>
            <w:sz w:val="18"/>
            <w:szCs w:val="18"/>
          </w:rPr>
          <w:t>https://www.unwomen.org/sites/default/files/2024-09/b30_report_maldives_en.pdf</w:t>
        </w:r>
      </w:hyperlink>
      <w:r w:rsidRPr="00D363EF">
        <w:rPr>
          <w:rFonts w:cstheme="minorHAnsi"/>
          <w:sz w:val="18"/>
          <w:szCs w:val="18"/>
        </w:rPr>
        <w:t xml:space="preserve"> </w:t>
      </w:r>
    </w:p>
  </w:endnote>
  <w:endnote w:id="75">
    <w:p w14:paraId="7340233A"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Style w:val="Strong"/>
          <w:rFonts w:eastAsiaTheme="majorEastAsia" w:cstheme="minorHAnsi"/>
          <w:sz w:val="18"/>
          <w:szCs w:val="18"/>
        </w:rPr>
        <w:t xml:space="preserve"> A</w:t>
      </w:r>
      <w:r w:rsidRPr="00D363EF">
        <w:rPr>
          <w:rFonts w:cstheme="minorHAnsi"/>
          <w:sz w:val="18"/>
          <w:szCs w:val="18"/>
        </w:rPr>
        <w:t>rticle 43 (a)</w:t>
      </w:r>
    </w:p>
  </w:endnote>
  <w:endnote w:id="76">
    <w:p w14:paraId="7E94610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r w:rsidRPr="00D363EF">
        <w:rPr>
          <w:rFonts w:eastAsiaTheme="majorEastAsia" w:cstheme="minorHAnsi"/>
          <w:sz w:val="18"/>
          <w:szCs w:val="18"/>
        </w:rPr>
        <w:t>Protection Of the Rights of Children Act [Law number: 19/2019],</w:t>
      </w:r>
      <w:r w:rsidRPr="00D363EF">
        <w:rPr>
          <w:rStyle w:val="Strong"/>
          <w:rFonts w:eastAsiaTheme="majorEastAsia" w:cstheme="minorHAnsi"/>
          <w:sz w:val="18"/>
          <w:szCs w:val="18"/>
        </w:rPr>
        <w:t xml:space="preserve"> </w:t>
      </w:r>
      <w:r w:rsidRPr="00D363EF">
        <w:rPr>
          <w:rFonts w:cstheme="minorHAnsi"/>
          <w:sz w:val="18"/>
          <w:szCs w:val="18"/>
        </w:rPr>
        <w:t xml:space="preserve"> Article 43 (b)</w:t>
      </w:r>
    </w:p>
  </w:endnote>
  <w:endnote w:id="77">
    <w:p w14:paraId="1D5A43CC"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w:t>
      </w:r>
      <w:bookmarkStart w:id="17" w:name="_Hlk205309694"/>
      <w:r w:rsidRPr="00D363EF">
        <w:rPr>
          <w:rFonts w:eastAsiaTheme="majorEastAsia" w:cstheme="minorHAnsi"/>
          <w:sz w:val="18"/>
          <w:szCs w:val="18"/>
        </w:rPr>
        <w:t>Protection Of the Rights of Children Act [Law number: 19/2019],</w:t>
      </w:r>
      <w:r w:rsidRPr="00D363EF">
        <w:rPr>
          <w:rStyle w:val="Strong"/>
          <w:rFonts w:eastAsiaTheme="majorEastAsia" w:cstheme="minorHAnsi"/>
          <w:sz w:val="18"/>
          <w:szCs w:val="18"/>
        </w:rPr>
        <w:t xml:space="preserve"> </w:t>
      </w:r>
      <w:bookmarkEnd w:id="17"/>
      <w:r w:rsidRPr="00D363EF">
        <w:rPr>
          <w:rStyle w:val="Strong"/>
          <w:rFonts w:eastAsiaTheme="majorEastAsia" w:cstheme="minorHAnsi"/>
          <w:sz w:val="18"/>
          <w:szCs w:val="18"/>
        </w:rPr>
        <w:t>A</w:t>
      </w:r>
      <w:r w:rsidRPr="00D363EF">
        <w:rPr>
          <w:rFonts w:cstheme="minorHAnsi"/>
          <w:sz w:val="18"/>
          <w:szCs w:val="18"/>
        </w:rPr>
        <w:t xml:space="preserve">rticle 43 (c) </w:t>
      </w:r>
    </w:p>
  </w:endnote>
  <w:endnote w:id="78">
    <w:p w14:paraId="2AE7BA42" w14:textId="77777777" w:rsidR="007955AC"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Act (4/2000), Article 35 </w:t>
      </w:r>
    </w:p>
    <w:p w14:paraId="3D656236" w14:textId="599BB8BC" w:rsidR="00374B2E" w:rsidRPr="00D363EF" w:rsidRDefault="00374B2E" w:rsidP="00007E7A">
      <w:pPr>
        <w:pStyle w:val="EndnoteText"/>
        <w:ind w:left="90" w:firstLine="0"/>
        <w:rPr>
          <w:rFonts w:cstheme="minorHAnsi"/>
          <w:sz w:val="18"/>
          <w:szCs w:val="18"/>
          <w:rtl/>
        </w:rPr>
      </w:pPr>
      <w:r w:rsidRPr="00D363EF">
        <w:rPr>
          <w:rFonts w:cstheme="minorHAnsi"/>
          <w:sz w:val="18"/>
          <w:szCs w:val="18"/>
        </w:rPr>
        <w:t>Family Act (4/2000), Article 3</w:t>
      </w:r>
      <w:r>
        <w:rPr>
          <w:rFonts w:cstheme="minorHAnsi"/>
          <w:sz w:val="18"/>
          <w:szCs w:val="18"/>
        </w:rPr>
        <w:t>6</w:t>
      </w:r>
      <w:r w:rsidRPr="00D363EF">
        <w:rPr>
          <w:rFonts w:cstheme="minorHAnsi"/>
          <w:sz w:val="18"/>
          <w:szCs w:val="18"/>
        </w:rPr>
        <w:t xml:space="preserve"> </w:t>
      </w:r>
    </w:p>
  </w:endnote>
  <w:endnote w:id="79">
    <w:p w14:paraId="16E144F4"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w:t>
      </w:r>
      <w:r w:rsidRPr="00D363EF">
        <w:rPr>
          <w:rFonts w:cstheme="minorHAnsi"/>
          <w:sz w:val="18"/>
          <w:szCs w:val="18"/>
          <w:lang w:val="en-US" w:bidi="dv-MV"/>
        </w:rPr>
        <w:t xml:space="preserve"> [2022/R-99]</w:t>
      </w:r>
      <w:r w:rsidRPr="00D363EF">
        <w:rPr>
          <w:rFonts w:cstheme="minorHAnsi"/>
          <w:sz w:val="18"/>
          <w:szCs w:val="18"/>
          <w:lang w:bidi="dv-MV"/>
        </w:rPr>
        <w:t>,</w:t>
      </w:r>
      <w:r w:rsidRPr="00D363EF">
        <w:rPr>
          <w:rFonts w:cstheme="minorHAnsi"/>
          <w:sz w:val="18"/>
          <w:szCs w:val="18"/>
          <w:rtl/>
          <w:lang w:bidi="dv-MV"/>
        </w:rPr>
        <w:t xml:space="preserve"> </w:t>
      </w:r>
      <w:r w:rsidRPr="00D363EF">
        <w:rPr>
          <w:rFonts w:cstheme="minorHAnsi"/>
          <w:sz w:val="18"/>
          <w:szCs w:val="18"/>
        </w:rPr>
        <w:t xml:space="preserve">Section 53 </w:t>
      </w:r>
    </w:p>
  </w:endnote>
  <w:endnote w:id="80">
    <w:p w14:paraId="5B1F0959"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 </w:t>
      </w:r>
      <w:r w:rsidRPr="00D363EF">
        <w:rPr>
          <w:rFonts w:cstheme="minorHAnsi"/>
          <w:sz w:val="18"/>
          <w:szCs w:val="18"/>
          <w:lang w:val="en-US" w:bidi="dv-MV"/>
        </w:rPr>
        <w:t>[2022/R-99]</w:t>
      </w:r>
      <w:r w:rsidRPr="00D363EF">
        <w:rPr>
          <w:rFonts w:cstheme="minorHAnsi"/>
          <w:sz w:val="18"/>
          <w:szCs w:val="18"/>
        </w:rPr>
        <w:t xml:space="preserve">Section 53 (a) </w:t>
      </w:r>
    </w:p>
  </w:endnote>
  <w:endnote w:id="81">
    <w:p w14:paraId="50B68AD3"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Section 53 Section 54 </w:t>
      </w:r>
    </w:p>
  </w:endnote>
  <w:endnote w:id="82">
    <w:p w14:paraId="05F8A549" w14:textId="77777777" w:rsidR="007955AC" w:rsidRPr="00D363EF" w:rsidRDefault="007955AC" w:rsidP="00D363EF">
      <w:pPr>
        <w:pStyle w:val="EndnoteText"/>
        <w:ind w:left="90" w:hanging="360"/>
        <w:rPr>
          <w:rFonts w:cstheme="minorHAnsi"/>
          <w:sz w:val="18"/>
          <w:szCs w:val="18"/>
          <w:rtl/>
          <w:lang w:bidi="dv-MV"/>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Section 54 </w:t>
      </w:r>
    </w:p>
    <w:p w14:paraId="12781C5B" w14:textId="094DC901" w:rsidR="00722508" w:rsidRPr="00D363EF" w:rsidRDefault="00722508" w:rsidP="00007E7A">
      <w:pPr>
        <w:pStyle w:val="EndnoteText"/>
        <w:ind w:left="90" w:firstLine="0"/>
        <w:rPr>
          <w:rFonts w:cstheme="minorHAnsi"/>
          <w:sz w:val="18"/>
          <w:szCs w:val="18"/>
          <w:lang w:bidi="dv-MV"/>
        </w:rPr>
      </w:pPr>
      <w:r w:rsidRPr="00D363EF">
        <w:rPr>
          <w:rFonts w:cstheme="minorHAnsi"/>
          <w:sz w:val="18"/>
          <w:szCs w:val="18"/>
          <w:lang w:bidi="dv-MV"/>
        </w:rPr>
        <w:t>Family Regulations [2022/R-99]Section 53 (c )</w:t>
      </w:r>
    </w:p>
  </w:endnote>
  <w:endnote w:id="83">
    <w:p w14:paraId="51B2700F" w14:textId="6F774BCC"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Family Regulations </w:t>
      </w:r>
      <w:r w:rsidRPr="00D363EF">
        <w:rPr>
          <w:rFonts w:cstheme="minorHAnsi"/>
          <w:sz w:val="18"/>
          <w:szCs w:val="18"/>
          <w:lang w:val="en-US" w:bidi="dv-MV"/>
        </w:rPr>
        <w:t>[2022/R-99]</w:t>
      </w:r>
      <w:r w:rsidRPr="00D363EF">
        <w:rPr>
          <w:rFonts w:cstheme="minorHAnsi"/>
          <w:sz w:val="18"/>
          <w:szCs w:val="18"/>
        </w:rPr>
        <w:t>Section 53 (b)</w:t>
      </w:r>
    </w:p>
  </w:endnote>
  <w:endnote w:id="84">
    <w:p w14:paraId="4581CD42" w14:textId="75045DBF"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endnote>
  <w:endnote w:id="85">
    <w:p w14:paraId="1FAC46B4"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 xml:space="preserve">[2022/R-99], </w:t>
      </w:r>
      <w:r w:rsidRPr="00D363EF">
        <w:rPr>
          <w:rFonts w:cstheme="minorHAnsi"/>
          <w:sz w:val="18"/>
          <w:szCs w:val="18"/>
        </w:rPr>
        <w:t xml:space="preserve">Section 55 </w:t>
      </w:r>
    </w:p>
  </w:endnote>
  <w:endnote w:id="86">
    <w:p w14:paraId="2F21262F"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w:t>
      </w:r>
      <w:r w:rsidRPr="00D363EF">
        <w:rPr>
          <w:rFonts w:cstheme="minorHAnsi"/>
          <w:sz w:val="18"/>
          <w:szCs w:val="18"/>
          <w:lang w:val="en-US" w:bidi="dv-MV"/>
        </w:rPr>
        <w:t>[2022/R-99],</w:t>
      </w:r>
      <w:r w:rsidRPr="00D363EF">
        <w:rPr>
          <w:rFonts w:cstheme="minorHAnsi"/>
          <w:sz w:val="18"/>
          <w:szCs w:val="18"/>
        </w:rPr>
        <w:t xml:space="preserve"> Section 55 (a) </w:t>
      </w:r>
    </w:p>
  </w:endnote>
  <w:endnote w:id="87">
    <w:p w14:paraId="25C294CB" w14:textId="543FD37A"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endnote>
  <w:endnote w:id="88">
    <w:p w14:paraId="34D300AB" w14:textId="1F5EC24B"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endnote>
  <w:endnote w:id="89">
    <w:p w14:paraId="6FC998A8"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Section 55 (b)</w:t>
      </w:r>
    </w:p>
  </w:endnote>
  <w:endnote w:id="90">
    <w:p w14:paraId="23F2536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(c ) </w:t>
      </w:r>
    </w:p>
  </w:endnote>
  <w:endnote w:id="91">
    <w:p w14:paraId="22765F53"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w:t>
      </w:r>
      <w:r w:rsidRPr="00D363EF">
        <w:rPr>
          <w:rFonts w:cstheme="minorHAnsi"/>
          <w:sz w:val="18"/>
          <w:szCs w:val="18"/>
          <w:lang w:val="en-US" w:bidi="dv-MV"/>
        </w:rPr>
        <w:t>[2022/R-99]</w:t>
      </w:r>
      <w:r w:rsidRPr="00D363EF">
        <w:rPr>
          <w:rFonts w:cstheme="minorHAnsi"/>
          <w:sz w:val="18"/>
          <w:szCs w:val="18"/>
        </w:rPr>
        <w:t xml:space="preserve">, Section 55 (e ) </w:t>
      </w:r>
    </w:p>
  </w:endnote>
  <w:endnote w:id="92">
    <w:p w14:paraId="3233C2E1"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(d) </w:t>
      </w:r>
    </w:p>
  </w:endnote>
  <w:endnote w:id="93">
    <w:p w14:paraId="06C7EF68" w14:textId="5B85304E"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p w14:paraId="3F382F10" w14:textId="77777777" w:rsidR="007955AC" w:rsidRPr="00D363EF" w:rsidRDefault="007955AC" w:rsidP="00007E7A">
      <w:pPr>
        <w:pStyle w:val="EndnoteText"/>
        <w:ind w:left="90" w:firstLine="0"/>
        <w:rPr>
          <w:rFonts w:cstheme="minorHAnsi"/>
          <w:sz w:val="18"/>
          <w:szCs w:val="18"/>
        </w:rPr>
      </w:pPr>
      <w:r w:rsidRPr="00D363EF">
        <w:rPr>
          <w:rFonts w:cstheme="minorHAnsi"/>
          <w:sz w:val="18"/>
          <w:szCs w:val="18"/>
        </w:rPr>
        <w:t>Atoll Monitoring Report (2025). Unpublished</w:t>
      </w:r>
    </w:p>
  </w:endnote>
  <w:endnote w:id="94">
    <w:p w14:paraId="6972612F" w14:textId="0549236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endnote>
  <w:endnote w:id="95">
    <w:p w14:paraId="6407494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(e ) </w:t>
      </w:r>
    </w:p>
  </w:endnote>
  <w:endnote w:id="96">
    <w:p w14:paraId="0691FBCA"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(g) </w:t>
      </w:r>
    </w:p>
  </w:endnote>
  <w:endnote w:id="97">
    <w:p w14:paraId="29751833"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(g)1 </w:t>
      </w:r>
    </w:p>
  </w:endnote>
  <w:endnote w:id="98">
    <w:p w14:paraId="0C2E2FA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(g)2 </w:t>
      </w:r>
    </w:p>
  </w:endnote>
  <w:endnote w:id="99">
    <w:p w14:paraId="62E5D175"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Section 55 (g)3</w:t>
      </w:r>
    </w:p>
  </w:endnote>
  <w:endnote w:id="100">
    <w:p w14:paraId="25A16885"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(g)4 </w:t>
      </w:r>
    </w:p>
  </w:endnote>
  <w:endnote w:id="101">
    <w:p w14:paraId="3C33893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Family Regulations </w:t>
      </w:r>
      <w:r w:rsidRPr="00D363EF">
        <w:rPr>
          <w:rFonts w:cstheme="minorHAnsi"/>
          <w:sz w:val="18"/>
          <w:szCs w:val="18"/>
          <w:lang w:val="en-US" w:bidi="dv-MV"/>
        </w:rPr>
        <w:t>[2022/R-99]</w:t>
      </w:r>
      <w:r w:rsidRPr="00D363EF">
        <w:rPr>
          <w:rFonts w:cstheme="minorHAnsi"/>
          <w:sz w:val="18"/>
          <w:szCs w:val="18"/>
        </w:rPr>
        <w:t xml:space="preserve">, Section 55 (g)5 </w:t>
      </w:r>
    </w:p>
  </w:endnote>
  <w:endnote w:id="102">
    <w:p w14:paraId="2022CC3C" w14:textId="25638F36"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endnote>
  <w:endnote w:id="103">
    <w:p w14:paraId="7201CC72" w14:textId="60C28932"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w:t>
      </w:r>
      <w:r w:rsidR="000077AC" w:rsidRPr="00D363EF">
        <w:rPr>
          <w:rFonts w:cstheme="minorHAnsi"/>
          <w:sz w:val="18"/>
          <w:szCs w:val="18"/>
        </w:rPr>
        <w:t>from DJA</w:t>
      </w:r>
    </w:p>
  </w:endnote>
  <w:endnote w:id="104">
    <w:p w14:paraId="75FEDA1C"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SunOnline (2025, July 16). Family Court begins publicizing identities of those who fail to pay child support.. International. </w:t>
      </w:r>
      <w:hyperlink r:id="rId19" w:history="1">
        <w:r w:rsidRPr="00D363EF">
          <w:rPr>
            <w:rStyle w:val="Hyperlink"/>
            <w:rFonts w:cstheme="minorHAnsi"/>
            <w:sz w:val="18"/>
            <w:szCs w:val="18"/>
          </w:rPr>
          <w:t>https://en.sun.mv/97502</w:t>
        </w:r>
      </w:hyperlink>
      <w:r w:rsidRPr="00D363EF">
        <w:rPr>
          <w:rFonts w:cstheme="minorHAnsi"/>
          <w:sz w:val="18"/>
          <w:szCs w:val="18"/>
        </w:rPr>
        <w:t xml:space="preserve"> </w:t>
      </w:r>
    </w:p>
  </w:endnote>
  <w:endnote w:id="105">
    <w:p w14:paraId="30C6D320"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Kristie Drucza, Anh Tran (July 2021). Evaluation of the Single Parent and Foster Care Social Protection Schemes</w:t>
      </w:r>
    </w:p>
    <w:p w14:paraId="569E3037" w14:textId="77777777" w:rsidR="007955AC" w:rsidRPr="00D363EF" w:rsidRDefault="007955AC" w:rsidP="00D363EF">
      <w:pPr>
        <w:pBdr>
          <w:top w:val="nil"/>
          <w:left w:val="nil"/>
          <w:bottom w:val="nil"/>
          <w:right w:val="nil"/>
          <w:between w:val="nil"/>
        </w:pBdr>
        <w:spacing w:after="0" w:line="240" w:lineRule="auto"/>
        <w:ind w:left="90" w:right="144" w:hanging="360"/>
        <w:rPr>
          <w:rFonts w:cstheme="minorHAnsi"/>
          <w:sz w:val="18"/>
          <w:szCs w:val="18"/>
        </w:rPr>
      </w:pPr>
      <w:r w:rsidRPr="00D363EF">
        <w:rPr>
          <w:rFonts w:cstheme="minorHAnsi"/>
          <w:sz w:val="18"/>
          <w:szCs w:val="18"/>
        </w:rPr>
        <w:t>in the Maldives. UNICEF.  Page 95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20" w:history="1">
        <w:r w:rsidRPr="00D363EF">
          <w:rPr>
            <w:rStyle w:val="Hyperlink"/>
            <w:rFonts w:cstheme="minorHAnsi"/>
            <w:sz w:val="18"/>
            <w:szCs w:val="18"/>
          </w:rPr>
          <w:t>https://www.unicef.org/maldives/media/2421/file/Evaluation%20of%20the%20Single%20Parent%20and%20Foster%20Care%20Social%20Protection%20Schemes%20in%20the%20Maldives.pdf</w:t>
        </w:r>
      </w:hyperlink>
    </w:p>
  </w:endnote>
  <w:endnote w:id="106">
    <w:p w14:paraId="0DAC93A9"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Constitution of the Republic of Maldives (2008), (Article 53 (b)) and Criminal Procedure Act (12/2016), Article 22</w:t>
      </w:r>
    </w:p>
  </w:endnote>
  <w:endnote w:id="107">
    <w:p w14:paraId="30A9808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Domestic Violence Act (Act No. 3/2012), Article 64</w:t>
      </w:r>
    </w:p>
  </w:endnote>
  <w:endnote w:id="108">
    <w:p w14:paraId="66F26000" w14:textId="2FE8DF31" w:rsidR="008F24DD" w:rsidRPr="008F24DD" w:rsidRDefault="008F24DD" w:rsidP="008F24DD">
      <w:pPr>
        <w:pStyle w:val="EndnoteText"/>
        <w:ind w:hanging="630"/>
        <w:rPr>
          <w:lang w:val="en-US"/>
        </w:rPr>
      </w:pPr>
      <w:r>
        <w:rPr>
          <w:rStyle w:val="EndnoteReference"/>
        </w:rPr>
        <w:endnoteRef/>
      </w:r>
      <w:r>
        <w:t xml:space="preserve"> </w:t>
      </w:r>
      <w:r>
        <w:rPr>
          <w:lang w:val="en-US"/>
        </w:rPr>
        <w:t>Information received from FPA</w:t>
      </w:r>
    </w:p>
  </w:endnote>
  <w:endnote w:id="109">
    <w:p w14:paraId="2C5B9187" w14:textId="254C6588" w:rsidR="008F24DD"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008F24DD">
        <w:rPr>
          <w:rFonts w:cstheme="minorHAnsi"/>
          <w:sz w:val="18"/>
          <w:szCs w:val="18"/>
        </w:rPr>
        <w:t xml:space="preserve"> Information received from FPA </w:t>
      </w:r>
      <w:r w:rsidRPr="00D363EF">
        <w:rPr>
          <w:rFonts w:cstheme="minorHAnsi"/>
          <w:sz w:val="18"/>
          <w:szCs w:val="18"/>
        </w:rPr>
        <w:t xml:space="preserve"> </w:t>
      </w:r>
    </w:p>
    <w:p w14:paraId="71B4957B" w14:textId="00E6ABDB" w:rsidR="007955AC" w:rsidRPr="00D363EF" w:rsidRDefault="007955AC" w:rsidP="00007E7A">
      <w:pPr>
        <w:pStyle w:val="EndnoteText"/>
        <w:ind w:left="90" w:firstLine="0"/>
        <w:rPr>
          <w:rFonts w:cstheme="minorHAnsi"/>
          <w:sz w:val="18"/>
          <w:szCs w:val="18"/>
        </w:rPr>
      </w:pPr>
      <w:r w:rsidRPr="00D363EF">
        <w:rPr>
          <w:rFonts w:cstheme="minorHAnsi"/>
          <w:sz w:val="18"/>
          <w:szCs w:val="18"/>
        </w:rPr>
        <w:t>United Nations Development Programme Maldives. Options For Legal Aid Programming In The Maldives. Page 6. Retrieved on August 5</w:t>
      </w:r>
      <w:r w:rsidRPr="00D363EF">
        <w:rPr>
          <w:rFonts w:cstheme="minorHAnsi"/>
          <w:sz w:val="18"/>
          <w:szCs w:val="18"/>
          <w:vertAlign w:val="superscript"/>
        </w:rPr>
        <w:t>th</w:t>
      </w:r>
      <w:r w:rsidRPr="00D363EF">
        <w:rPr>
          <w:rFonts w:cstheme="minorHAnsi"/>
          <w:sz w:val="18"/>
          <w:szCs w:val="18"/>
        </w:rPr>
        <w:t xml:space="preserve">, 2025 from </w:t>
      </w:r>
      <w:hyperlink r:id="rId21" w:history="1">
        <w:r w:rsidRPr="00D363EF">
          <w:rPr>
            <w:rStyle w:val="Hyperlink"/>
            <w:rFonts w:cstheme="minorHAnsi"/>
            <w:sz w:val="18"/>
            <w:szCs w:val="18"/>
          </w:rPr>
          <w:t>https://www.undp.org/sites/g/files/zskgke326/files/migration/mv/Final_word_doc---Legal-Aid-Options-in-the-Maldives.pdf</w:t>
        </w:r>
      </w:hyperlink>
      <w:r w:rsidRPr="00D363EF">
        <w:rPr>
          <w:rFonts w:cstheme="minorHAnsi"/>
          <w:sz w:val="18"/>
          <w:szCs w:val="18"/>
        </w:rPr>
        <w:t xml:space="preserve"> </w:t>
      </w:r>
    </w:p>
  </w:endnote>
  <w:endnote w:id="110">
    <w:p w14:paraId="62191BB0"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PGO</w:t>
      </w:r>
    </w:p>
  </w:endnote>
  <w:endnote w:id="111">
    <w:p w14:paraId="78481E47" w14:textId="77777777" w:rsidR="007955AC" w:rsidRPr="00D363EF" w:rsidRDefault="007955AC"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PGO</w:t>
      </w:r>
    </w:p>
    <w:p w14:paraId="01BE86DA" w14:textId="77777777" w:rsidR="007955AC" w:rsidRPr="00D363EF" w:rsidRDefault="007955AC" w:rsidP="00D363EF">
      <w:pPr>
        <w:pStyle w:val="EndnoteText"/>
        <w:ind w:left="90" w:hanging="360"/>
        <w:rPr>
          <w:rFonts w:cstheme="minorHAnsi"/>
          <w:sz w:val="18"/>
          <w:szCs w:val="18"/>
          <w:lang w:val="en-US"/>
        </w:rPr>
      </w:pPr>
      <w:r w:rsidRPr="00D363EF">
        <w:rPr>
          <w:rFonts w:cstheme="minorHAnsi"/>
          <w:sz w:val="18"/>
          <w:szCs w:val="18"/>
        </w:rPr>
        <w:t>Information received from MPS</w:t>
      </w:r>
    </w:p>
  </w:endnote>
  <w:endnote w:id="112">
    <w:p w14:paraId="054812D2" w14:textId="3BB02B66"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D363EF" w:rsidRPr="00D363EF">
        <w:rPr>
          <w:rFonts w:cstheme="minorHAnsi"/>
          <w:sz w:val="18"/>
          <w:szCs w:val="18"/>
        </w:rPr>
        <w:t>MoH</w:t>
      </w:r>
    </w:p>
  </w:endnote>
  <w:endnote w:id="113">
    <w:p w14:paraId="3906A98E"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14">
    <w:p w14:paraId="74B207E0" w14:textId="711D4DEA" w:rsidR="00541E6F" w:rsidRPr="00D363EF" w:rsidRDefault="00541E6F"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15">
    <w:p w14:paraId="4FA37DF3" w14:textId="77777777" w:rsidR="007955AC" w:rsidRPr="00D363EF" w:rsidRDefault="007955A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16">
    <w:p w14:paraId="5B7835F2" w14:textId="02F98440" w:rsidR="00AD0664" w:rsidRPr="00D363EF" w:rsidRDefault="00AD066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M</w:t>
      </w:r>
      <w:r w:rsidR="007B0C9A">
        <w:rPr>
          <w:rFonts w:cstheme="minorHAnsi"/>
          <w:sz w:val="18"/>
          <w:szCs w:val="18"/>
        </w:rPr>
        <w:t>oSFD</w:t>
      </w:r>
    </w:p>
  </w:endnote>
  <w:endnote w:id="117">
    <w:p w14:paraId="05E7D7E1" w14:textId="0356B177" w:rsidR="00C41CB3" w:rsidRPr="00D363EF" w:rsidRDefault="00C41CB3"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NPM</w:t>
      </w:r>
    </w:p>
  </w:endnote>
  <w:endnote w:id="118">
    <w:p w14:paraId="50BD8075" w14:textId="0F744522" w:rsidR="00C41CB3" w:rsidRPr="00D363EF" w:rsidRDefault="00C41CB3"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NPM</w:t>
      </w:r>
    </w:p>
  </w:endnote>
  <w:endnote w:id="119">
    <w:p w14:paraId="66443092" w14:textId="77777777" w:rsidR="00AD0664" w:rsidRPr="00D363EF" w:rsidRDefault="00AD066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Regulation on Alternative Care Provision (2020/R-69) Article 62 </w:t>
      </w:r>
    </w:p>
  </w:endnote>
  <w:endnote w:id="120">
    <w:p w14:paraId="61083C1C" w14:textId="282E9904" w:rsidR="00AD0664" w:rsidRPr="00D363EF" w:rsidRDefault="00AD066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MoSFD</w:t>
      </w:r>
    </w:p>
  </w:endnote>
  <w:endnote w:id="121">
    <w:p w14:paraId="6BACE762" w14:textId="5FEF676A" w:rsidR="00BC2B9C" w:rsidRPr="00D363EF" w:rsidRDefault="00BC2B9C"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NPM</w:t>
      </w:r>
    </w:p>
  </w:endnote>
  <w:endnote w:id="122">
    <w:p w14:paraId="01DE07C9"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Information Received from Local Government Authority</w:t>
      </w:r>
    </w:p>
  </w:endnote>
  <w:endnote w:id="123">
    <w:p w14:paraId="5A8F623E"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Information Received from Ministry of Health</w:t>
      </w:r>
    </w:p>
  </w:endnote>
  <w:endnote w:id="124">
    <w:p w14:paraId="6AD0C425"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25">
    <w:p w14:paraId="72563BAE"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Construction Administrative Regulation (R-2004/2019), section 19</w:t>
      </w:r>
    </w:p>
  </w:endnote>
  <w:endnote w:id="126">
    <w:p w14:paraId="713C87E1" w14:textId="27590DA9"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Information Received from the M</w:t>
      </w:r>
      <w:r w:rsidR="007B0C9A">
        <w:rPr>
          <w:rFonts w:cstheme="minorHAnsi"/>
          <w:sz w:val="18"/>
          <w:szCs w:val="18"/>
          <w:lang w:val="en-US"/>
        </w:rPr>
        <w:t>oCHI</w:t>
      </w:r>
    </w:p>
  </w:endnote>
  <w:endnote w:id="127">
    <w:p w14:paraId="50F800C8" w14:textId="77777777" w:rsidR="004F4001" w:rsidRPr="00D363EF" w:rsidRDefault="004F4001"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28">
    <w:p w14:paraId="3A35C4BD"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29">
    <w:p w14:paraId="641EE6BF" w14:textId="5420CD29" w:rsidR="006338DF" w:rsidRPr="00D363EF" w:rsidRDefault="006338DF"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 xml:space="preserve">Information received from MoSFD </w:t>
      </w:r>
    </w:p>
  </w:endnote>
  <w:endnote w:id="130">
    <w:p w14:paraId="58A7ED82"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31">
    <w:p w14:paraId="3D4F873E" w14:textId="3F92A14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 xml:space="preserve">Information Received from </w:t>
      </w:r>
      <w:r w:rsidR="007B0C9A">
        <w:rPr>
          <w:rFonts w:cstheme="minorHAnsi"/>
          <w:sz w:val="18"/>
          <w:szCs w:val="18"/>
          <w:lang w:val="en-US"/>
        </w:rPr>
        <w:t>MOH</w:t>
      </w:r>
    </w:p>
  </w:endnote>
  <w:endnote w:id="132">
    <w:p w14:paraId="6795C87B" w14:textId="77777777" w:rsidR="00D6206C" w:rsidRPr="00D363EF" w:rsidRDefault="00D6206C" w:rsidP="00D363EF">
      <w:pPr>
        <w:pStyle w:val="EndnoteText"/>
        <w:ind w:left="90" w:right="144"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Ministry of Education (2019). Education Sector Analysis Maldives, page 189.</w:t>
      </w:r>
      <w:r w:rsidRPr="00D363EF">
        <w:rPr>
          <w:rFonts w:cstheme="minorHAnsi"/>
          <w:color w:val="000000" w:themeColor="text1"/>
          <w:sz w:val="18"/>
          <w:szCs w:val="18"/>
        </w:rPr>
        <w:t xml:space="preserve"> Retrieved August 21, 2021 from</w:t>
      </w:r>
      <w:r w:rsidRPr="00D363EF">
        <w:rPr>
          <w:rFonts w:cstheme="minorHAnsi"/>
          <w:sz w:val="18"/>
          <w:szCs w:val="18"/>
        </w:rPr>
        <w:t xml:space="preserve"> </w:t>
      </w:r>
      <w:hyperlink r:id="rId22" w:history="1">
        <w:r w:rsidRPr="00D363EF">
          <w:rPr>
            <w:rStyle w:val="Hyperlink"/>
            <w:rFonts w:cstheme="minorHAnsi"/>
            <w:sz w:val="18"/>
            <w:szCs w:val="18"/>
          </w:rPr>
          <w:t>https://www.globalpartnership.org/sites/default/files/2019-05-maldives-education-sector-analysis.pdf</w:t>
        </w:r>
      </w:hyperlink>
      <w:r w:rsidRPr="00D363EF">
        <w:rPr>
          <w:rFonts w:cstheme="minorHAnsi"/>
          <w:sz w:val="18"/>
          <w:szCs w:val="18"/>
        </w:rPr>
        <w:t xml:space="preserve"> </w:t>
      </w:r>
    </w:p>
    <w:p w14:paraId="7838F5D7" w14:textId="77777777" w:rsidR="00D6206C" w:rsidRPr="00D363EF" w:rsidRDefault="00D6206C" w:rsidP="00007E7A">
      <w:pPr>
        <w:pStyle w:val="EndnoteText"/>
        <w:ind w:left="90" w:right="144" w:firstLine="0"/>
        <w:rPr>
          <w:rStyle w:val="Hyperlink"/>
          <w:rFonts w:cstheme="minorHAnsi"/>
          <w:sz w:val="18"/>
          <w:szCs w:val="18"/>
          <w:lang w:bidi="dv-MV"/>
        </w:rPr>
      </w:pPr>
      <w:r w:rsidRPr="00D363EF">
        <w:rPr>
          <w:rFonts w:cstheme="minorHAnsi"/>
          <w:sz w:val="18"/>
          <w:szCs w:val="18"/>
        </w:rPr>
        <w:t xml:space="preserve">Avas (2019). In-school therapy services to be established for special-needs students. </w:t>
      </w:r>
      <w:r w:rsidRPr="00D363EF">
        <w:rPr>
          <w:rFonts w:cstheme="minorHAnsi"/>
          <w:color w:val="000000" w:themeColor="text1"/>
          <w:sz w:val="18"/>
          <w:szCs w:val="18"/>
        </w:rPr>
        <w:t xml:space="preserve">Retrieved August 19, 2021 from </w:t>
      </w:r>
      <w:hyperlink r:id="rId23" w:history="1">
        <w:r w:rsidRPr="00D363EF">
          <w:rPr>
            <w:rStyle w:val="Hyperlink"/>
            <w:rFonts w:cstheme="minorHAnsi"/>
            <w:sz w:val="18"/>
            <w:szCs w:val="18"/>
            <w:lang w:bidi="dv-MV"/>
          </w:rPr>
          <w:t>https://avas.mv/en/61233</w:t>
        </w:r>
      </w:hyperlink>
      <w:r w:rsidRPr="00D363EF">
        <w:rPr>
          <w:rFonts w:cstheme="minorHAnsi"/>
          <w:sz w:val="18"/>
          <w:szCs w:val="18"/>
          <w:lang w:bidi="dv-MV"/>
        </w:rPr>
        <w:t xml:space="preserve"> </w:t>
      </w:r>
      <w:r w:rsidRPr="00D363EF">
        <w:rPr>
          <w:rStyle w:val="Hyperlink"/>
          <w:rFonts w:cstheme="minorHAnsi"/>
          <w:sz w:val="18"/>
          <w:szCs w:val="18"/>
          <w:lang w:bidi="dv-MV"/>
        </w:rPr>
        <w:t xml:space="preserve">  </w:t>
      </w:r>
    </w:p>
    <w:p w14:paraId="3C3C2D2C" w14:textId="77777777" w:rsidR="00D6206C" w:rsidRPr="00D363EF" w:rsidRDefault="00D6206C" w:rsidP="00007E7A">
      <w:pPr>
        <w:pStyle w:val="EndnoteText"/>
        <w:ind w:left="90" w:right="144" w:firstLine="0"/>
        <w:rPr>
          <w:rFonts w:cstheme="minorHAnsi"/>
          <w:sz w:val="18"/>
          <w:szCs w:val="18"/>
        </w:rPr>
      </w:pPr>
      <w:r w:rsidRPr="00D363EF">
        <w:rPr>
          <w:rFonts w:cstheme="minorHAnsi"/>
          <w:sz w:val="18"/>
          <w:szCs w:val="18"/>
        </w:rPr>
        <w:t>Avas (2019). VP discusses expanding therapy services across Maldives.</w:t>
      </w:r>
      <w:r w:rsidRPr="00D363EF">
        <w:rPr>
          <w:rFonts w:cstheme="minorHAnsi"/>
          <w:color w:val="000000" w:themeColor="text1"/>
          <w:sz w:val="18"/>
          <w:szCs w:val="18"/>
        </w:rPr>
        <w:t xml:space="preserve"> Retrieved August 19, 2021 from </w:t>
      </w:r>
      <w:hyperlink r:id="rId24" w:history="1">
        <w:r w:rsidRPr="00D363EF">
          <w:rPr>
            <w:rStyle w:val="Hyperlink"/>
            <w:rFonts w:cstheme="minorHAnsi"/>
            <w:sz w:val="18"/>
            <w:szCs w:val="18"/>
          </w:rPr>
          <w:t>https://avas.mv/en/68603</w:t>
        </w:r>
      </w:hyperlink>
      <w:r w:rsidRPr="00D363EF">
        <w:rPr>
          <w:rFonts w:cstheme="minorHAnsi"/>
          <w:sz w:val="18"/>
          <w:szCs w:val="18"/>
        </w:rPr>
        <w:t xml:space="preserve"> </w:t>
      </w:r>
    </w:p>
    <w:p w14:paraId="6B9DB265" w14:textId="77777777" w:rsidR="00D6206C" w:rsidRPr="00D363EF" w:rsidRDefault="00D6206C" w:rsidP="00007E7A">
      <w:pPr>
        <w:pStyle w:val="xxxmsonormal"/>
        <w:shd w:val="clear" w:color="auto" w:fill="FFFFFF"/>
        <w:spacing w:before="0" w:beforeAutospacing="0" w:after="0" w:afterAutospacing="0"/>
        <w:ind w:left="90" w:right="144"/>
        <w:rPr>
          <w:rFonts w:asciiTheme="minorHAnsi" w:hAnsiTheme="minorHAnsi" w:cstheme="minorHAnsi"/>
          <w:sz w:val="18"/>
          <w:szCs w:val="18"/>
        </w:rPr>
      </w:pPr>
      <w:r w:rsidRPr="00D363EF">
        <w:rPr>
          <w:rFonts w:asciiTheme="minorHAnsi" w:hAnsiTheme="minorHAnsi" w:cstheme="minorHAnsi"/>
          <w:color w:val="000000"/>
          <w:sz w:val="18"/>
          <w:szCs w:val="18"/>
          <w:shd w:val="clear" w:color="auto" w:fill="FFFFFF"/>
        </w:rPr>
        <w:t>Ministry of Education (2022).</w:t>
      </w:r>
      <w:r w:rsidRPr="00D363EF">
        <w:rPr>
          <w:rStyle w:val="xcontentpasted0"/>
          <w:rFonts w:asciiTheme="minorHAnsi" w:eastAsiaTheme="majorEastAsia" w:hAnsiTheme="minorHAnsi" w:cstheme="minorHAnsi"/>
          <w:color w:val="000000"/>
          <w:sz w:val="18"/>
          <w:szCs w:val="18"/>
          <w:bdr w:val="none" w:sz="0" w:space="0" w:color="auto" w:frame="1"/>
          <w:shd w:val="clear" w:color="auto" w:fill="FFFFFF"/>
        </w:rPr>
        <w:t> </w:t>
      </w:r>
      <w:r w:rsidRPr="00D363EF">
        <w:rPr>
          <w:rFonts w:asciiTheme="minorHAnsi" w:hAnsiTheme="minorHAnsi" w:cstheme="minorHAnsi"/>
          <w:color w:val="000000"/>
          <w:sz w:val="18"/>
          <w:szCs w:val="18"/>
          <w:shd w:val="clear" w:color="auto" w:fill="FFFFFF"/>
        </w:rPr>
        <w:t>Information provided by Ministry of Education for HRCM’s shadow report to UNCRPD 2022.</w:t>
      </w:r>
    </w:p>
    <w:p w14:paraId="1BD1BC7D" w14:textId="77777777" w:rsidR="00D6206C" w:rsidRPr="00D363EF" w:rsidRDefault="00D6206C" w:rsidP="00007E7A">
      <w:pPr>
        <w:pStyle w:val="xxxmsonormal"/>
        <w:shd w:val="clear" w:color="auto" w:fill="FFFFFF"/>
        <w:spacing w:before="0" w:beforeAutospacing="0" w:after="0" w:afterAutospacing="0"/>
        <w:ind w:left="90" w:right="144"/>
        <w:rPr>
          <w:rFonts w:asciiTheme="minorHAnsi" w:hAnsiTheme="minorHAnsi" w:cstheme="minorHAnsi"/>
          <w:sz w:val="18"/>
          <w:szCs w:val="18"/>
        </w:rPr>
      </w:pPr>
      <w:r w:rsidRPr="00D363EF">
        <w:rPr>
          <w:rStyle w:val="xxxcontentpasted0"/>
          <w:rFonts w:asciiTheme="minorHAnsi" w:hAnsiTheme="minorHAnsi" w:cstheme="minorHAnsi"/>
          <w:color w:val="000000"/>
          <w:sz w:val="18"/>
          <w:szCs w:val="18"/>
          <w:bdr w:val="none" w:sz="0" w:space="0" w:color="auto" w:frame="1"/>
          <w:lang w:val="en-GB"/>
        </w:rPr>
        <w:t>Human Rights Commission of the Maldives (2022).</w:t>
      </w:r>
      <w:r w:rsidRPr="00D363EF">
        <w:rPr>
          <w:rStyle w:val="xcontentpasted0"/>
          <w:rFonts w:asciiTheme="minorHAnsi" w:eastAsiaTheme="majorEastAsia" w:hAnsiTheme="minorHAnsi" w:cstheme="minorHAnsi"/>
          <w:color w:val="000000"/>
          <w:sz w:val="18"/>
          <w:szCs w:val="18"/>
          <w:bdr w:val="none" w:sz="0" w:space="0" w:color="auto" w:frame="1"/>
          <w:lang w:val="en-GB"/>
        </w:rPr>
        <w:t> </w:t>
      </w:r>
      <w:r w:rsidRPr="00D363EF">
        <w:rPr>
          <w:rStyle w:val="xxxcontentpasted0"/>
          <w:rFonts w:asciiTheme="minorHAnsi" w:hAnsiTheme="minorHAnsi" w:cstheme="minorHAnsi"/>
          <w:color w:val="000000"/>
          <w:sz w:val="18"/>
          <w:szCs w:val="18"/>
          <w:bdr w:val="none" w:sz="0" w:space="0" w:color="auto" w:frame="1"/>
          <w:lang w:val="en-GB"/>
        </w:rPr>
        <w:t>Atoll monitoring report 2022 [unpublished]</w:t>
      </w:r>
      <w:r w:rsidRPr="00D363EF">
        <w:rPr>
          <w:rStyle w:val="xxxcontentpasted0"/>
          <w:rFonts w:asciiTheme="minorHAnsi" w:hAnsiTheme="minorHAnsi" w:cstheme="minorHAnsi"/>
          <w:color w:val="000000"/>
          <w:sz w:val="18"/>
          <w:szCs w:val="18"/>
          <w:bdr w:val="none" w:sz="0" w:space="0" w:color="auto" w:frame="1"/>
          <w:lang w:bidi="dv-MV"/>
        </w:rPr>
        <w:t>.</w:t>
      </w:r>
    </w:p>
  </w:endnote>
  <w:endnote w:id="133">
    <w:p w14:paraId="5838BB2F" w14:textId="77777777" w:rsidR="00D6206C" w:rsidRPr="00D363EF" w:rsidRDefault="00D6206C" w:rsidP="00D363EF">
      <w:pPr>
        <w:pStyle w:val="xxxmsonormal"/>
        <w:shd w:val="clear" w:color="auto" w:fill="FFFFFF"/>
        <w:spacing w:before="0" w:beforeAutospacing="0" w:after="0" w:afterAutospacing="0"/>
        <w:ind w:left="90" w:right="144" w:hanging="360"/>
        <w:rPr>
          <w:rStyle w:val="xxxcontentpasted0"/>
          <w:rFonts w:asciiTheme="minorHAnsi" w:hAnsiTheme="minorHAnsi" w:cstheme="minorHAnsi"/>
          <w:color w:val="000000"/>
          <w:sz w:val="18"/>
          <w:szCs w:val="18"/>
          <w:bdr w:val="none" w:sz="0" w:space="0" w:color="auto" w:frame="1"/>
          <w:lang w:bidi="dv-MV"/>
        </w:rPr>
      </w:pPr>
      <w:r w:rsidRPr="00D363EF">
        <w:rPr>
          <w:rStyle w:val="EndnoteReference"/>
          <w:rFonts w:asciiTheme="minorHAnsi" w:eastAsiaTheme="majorEastAsia" w:hAnsiTheme="minorHAnsi" w:cstheme="minorHAnsi"/>
          <w:sz w:val="18"/>
          <w:szCs w:val="18"/>
        </w:rPr>
        <w:endnoteRef/>
      </w:r>
      <w:r w:rsidRPr="00D363EF">
        <w:rPr>
          <w:rFonts w:asciiTheme="minorHAnsi" w:hAnsiTheme="minorHAnsi" w:cstheme="minorHAnsi"/>
          <w:sz w:val="18"/>
          <w:szCs w:val="18"/>
        </w:rPr>
        <w:t xml:space="preserve"> </w:t>
      </w:r>
      <w:r w:rsidRPr="00D363EF">
        <w:rPr>
          <w:rStyle w:val="xxxcontentpasted0"/>
          <w:rFonts w:asciiTheme="minorHAnsi" w:hAnsiTheme="minorHAnsi" w:cstheme="minorHAnsi"/>
          <w:color w:val="000000"/>
          <w:sz w:val="18"/>
          <w:szCs w:val="18"/>
          <w:bdr w:val="none" w:sz="0" w:space="0" w:color="auto" w:frame="1"/>
          <w:lang w:val="en-GB"/>
        </w:rPr>
        <w:t>Human Rights Commission of the Maldives (2022).</w:t>
      </w:r>
      <w:r w:rsidRPr="00D363EF">
        <w:rPr>
          <w:rStyle w:val="xcontentpasted0"/>
          <w:rFonts w:asciiTheme="minorHAnsi" w:eastAsiaTheme="majorEastAsia" w:hAnsiTheme="minorHAnsi" w:cstheme="minorHAnsi"/>
          <w:color w:val="000000"/>
          <w:sz w:val="18"/>
          <w:szCs w:val="18"/>
          <w:bdr w:val="none" w:sz="0" w:space="0" w:color="auto" w:frame="1"/>
          <w:lang w:val="en-GB"/>
        </w:rPr>
        <w:t> </w:t>
      </w:r>
      <w:r w:rsidRPr="00D363EF">
        <w:rPr>
          <w:rStyle w:val="xxxcontentpasted0"/>
          <w:rFonts w:asciiTheme="minorHAnsi" w:hAnsiTheme="minorHAnsi" w:cstheme="minorHAnsi"/>
          <w:color w:val="000000"/>
          <w:sz w:val="18"/>
          <w:szCs w:val="18"/>
          <w:bdr w:val="none" w:sz="0" w:space="0" w:color="auto" w:frame="1"/>
          <w:lang w:val="en-GB"/>
        </w:rPr>
        <w:t>Atoll monitoring report 2022 [unpublished]</w:t>
      </w:r>
      <w:r w:rsidRPr="00D363EF">
        <w:rPr>
          <w:rStyle w:val="xxxcontentpasted0"/>
          <w:rFonts w:asciiTheme="minorHAnsi" w:hAnsiTheme="minorHAnsi" w:cstheme="minorHAnsi"/>
          <w:color w:val="000000"/>
          <w:sz w:val="18"/>
          <w:szCs w:val="18"/>
          <w:bdr w:val="none" w:sz="0" w:space="0" w:color="auto" w:frame="1"/>
          <w:lang w:bidi="dv-MV"/>
        </w:rPr>
        <w:t>.</w:t>
      </w:r>
    </w:p>
    <w:p w14:paraId="1371E79F" w14:textId="77777777" w:rsidR="00D6206C" w:rsidRPr="00D363EF" w:rsidRDefault="00D6206C" w:rsidP="00007E7A">
      <w:pPr>
        <w:pStyle w:val="xxxmsonormal"/>
        <w:shd w:val="clear" w:color="auto" w:fill="FFFFFF"/>
        <w:spacing w:before="0" w:beforeAutospacing="0" w:after="0" w:afterAutospacing="0"/>
        <w:ind w:left="90" w:right="144"/>
        <w:rPr>
          <w:rFonts w:asciiTheme="minorHAnsi" w:hAnsiTheme="minorHAnsi" w:cstheme="minorHAnsi"/>
          <w:sz w:val="18"/>
          <w:szCs w:val="18"/>
        </w:rPr>
      </w:pPr>
      <w:r w:rsidRPr="00D363EF">
        <w:rPr>
          <w:rFonts w:asciiTheme="minorHAnsi" w:hAnsiTheme="minorHAnsi" w:cstheme="minorHAnsi"/>
          <w:color w:val="000000"/>
          <w:sz w:val="18"/>
          <w:szCs w:val="18"/>
          <w:shd w:val="clear" w:color="auto" w:fill="FFFFFF"/>
        </w:rPr>
        <w:t>Ministry of Education (2022).</w:t>
      </w:r>
      <w:r w:rsidRPr="00D363EF">
        <w:rPr>
          <w:rStyle w:val="xcontentpasted0"/>
          <w:rFonts w:asciiTheme="minorHAnsi" w:eastAsiaTheme="majorEastAsia" w:hAnsiTheme="minorHAnsi" w:cstheme="minorHAnsi"/>
          <w:color w:val="000000"/>
          <w:sz w:val="18"/>
          <w:szCs w:val="18"/>
          <w:bdr w:val="none" w:sz="0" w:space="0" w:color="auto" w:frame="1"/>
          <w:shd w:val="clear" w:color="auto" w:fill="FFFFFF"/>
        </w:rPr>
        <w:t> </w:t>
      </w:r>
      <w:r w:rsidRPr="00D363EF">
        <w:rPr>
          <w:rFonts w:asciiTheme="minorHAnsi" w:hAnsiTheme="minorHAnsi" w:cstheme="minorHAnsi"/>
          <w:color w:val="000000"/>
          <w:sz w:val="18"/>
          <w:szCs w:val="18"/>
          <w:shd w:val="clear" w:color="auto" w:fill="FFFFFF"/>
        </w:rPr>
        <w:t>Information provided by Ministry of Education for HRCM’s shadow report to UNCRPD 2022</w:t>
      </w:r>
    </w:p>
    <w:p w14:paraId="13CF87AC" w14:textId="77777777" w:rsidR="00D6206C" w:rsidRPr="00D363EF" w:rsidRDefault="00D6206C" w:rsidP="00007E7A">
      <w:pPr>
        <w:pStyle w:val="EndnoteText"/>
        <w:ind w:left="90" w:right="144" w:firstLine="0"/>
        <w:rPr>
          <w:rFonts w:cstheme="minorHAnsi"/>
          <w:sz w:val="18"/>
          <w:szCs w:val="18"/>
        </w:rPr>
      </w:pPr>
      <w:r w:rsidRPr="00D363EF">
        <w:rPr>
          <w:rFonts w:cstheme="minorHAnsi"/>
          <w:sz w:val="18"/>
          <w:szCs w:val="18"/>
        </w:rPr>
        <w:t>Ministry of Education (2019). Education Sector Analysis Maldives, page 189.</w:t>
      </w:r>
      <w:r w:rsidRPr="00D363EF">
        <w:rPr>
          <w:rFonts w:cstheme="minorHAnsi"/>
          <w:color w:val="000000" w:themeColor="text1"/>
          <w:sz w:val="18"/>
          <w:szCs w:val="18"/>
        </w:rPr>
        <w:t xml:space="preserve"> Retrieved August 21, 2021 from </w:t>
      </w:r>
      <w:hyperlink r:id="rId25" w:history="1">
        <w:r w:rsidRPr="00D363EF">
          <w:rPr>
            <w:rStyle w:val="Hyperlink"/>
            <w:rFonts w:cstheme="minorHAnsi"/>
            <w:sz w:val="18"/>
            <w:szCs w:val="18"/>
          </w:rPr>
          <w:t>https://www.globalpartnership.org/sites/default/files/2019-05-maldives-education-sector-analysis.pdf</w:t>
        </w:r>
      </w:hyperlink>
      <w:r w:rsidRPr="00D363EF">
        <w:rPr>
          <w:rFonts w:cstheme="minorHAnsi"/>
          <w:sz w:val="18"/>
          <w:szCs w:val="18"/>
        </w:rPr>
        <w:t xml:space="preserve"> </w:t>
      </w:r>
    </w:p>
    <w:p w14:paraId="1B947AD9" w14:textId="77777777" w:rsidR="00D6206C" w:rsidRPr="00D363EF" w:rsidRDefault="00D6206C" w:rsidP="00007E7A">
      <w:pPr>
        <w:spacing w:after="0" w:line="240" w:lineRule="auto"/>
        <w:ind w:left="90" w:right="144" w:firstLine="0"/>
        <w:rPr>
          <w:rFonts w:cstheme="minorHAnsi"/>
          <w:sz w:val="18"/>
          <w:szCs w:val="18"/>
        </w:rPr>
      </w:pPr>
      <w:r w:rsidRPr="00D363EF">
        <w:rPr>
          <w:rFonts w:cstheme="minorHAnsi"/>
          <w:sz w:val="18"/>
          <w:szCs w:val="18"/>
        </w:rPr>
        <w:t>Ministry of Education (2019). Education Sector Analysis Maldives, page 191.</w:t>
      </w:r>
      <w:r w:rsidRPr="00D363EF">
        <w:rPr>
          <w:rFonts w:cstheme="minorHAnsi"/>
          <w:color w:val="000000" w:themeColor="text1"/>
          <w:sz w:val="18"/>
          <w:szCs w:val="18"/>
        </w:rPr>
        <w:t xml:space="preserve"> Retrieved August 21, 2021 from</w:t>
      </w:r>
      <w:r w:rsidRPr="00D363EF">
        <w:rPr>
          <w:rFonts w:cstheme="minorHAnsi"/>
          <w:sz w:val="18"/>
          <w:szCs w:val="18"/>
        </w:rPr>
        <w:t xml:space="preserve"> </w:t>
      </w:r>
      <w:hyperlink r:id="rId26" w:history="1">
        <w:r w:rsidRPr="00D363EF">
          <w:rPr>
            <w:rStyle w:val="Hyperlink"/>
            <w:rFonts w:cstheme="minorHAnsi"/>
            <w:sz w:val="18"/>
            <w:szCs w:val="18"/>
          </w:rPr>
          <w:t>https://www.globalpartnership.org/sites/default/files/2019-05-maldives-education-sector-analysis.pdf</w:t>
        </w:r>
      </w:hyperlink>
      <w:r w:rsidRPr="00D363EF">
        <w:rPr>
          <w:rFonts w:cstheme="minorHAnsi"/>
          <w:sz w:val="18"/>
          <w:szCs w:val="18"/>
        </w:rPr>
        <w:t xml:space="preserve"> </w:t>
      </w:r>
    </w:p>
    <w:p w14:paraId="2A399480" w14:textId="77777777" w:rsidR="00D6206C" w:rsidRPr="00D363EF" w:rsidRDefault="00D6206C" w:rsidP="00007E7A">
      <w:pPr>
        <w:spacing w:after="0" w:line="240" w:lineRule="auto"/>
        <w:ind w:left="90" w:right="144" w:firstLine="0"/>
        <w:rPr>
          <w:rFonts w:cstheme="minorHAnsi"/>
          <w:sz w:val="18"/>
          <w:szCs w:val="18"/>
        </w:rPr>
      </w:pPr>
      <w:r w:rsidRPr="00D363EF">
        <w:rPr>
          <w:rFonts w:cstheme="minorHAnsi"/>
          <w:sz w:val="18"/>
          <w:szCs w:val="18"/>
        </w:rPr>
        <w:t>Department of Inclusive Education (2020). Students With Complex Profiles Statistics 2020, Page 2, 3.</w:t>
      </w:r>
      <w:r w:rsidRPr="00D363EF">
        <w:rPr>
          <w:rFonts w:cstheme="minorHAnsi"/>
          <w:color w:val="000000" w:themeColor="text1"/>
          <w:sz w:val="18"/>
          <w:szCs w:val="18"/>
        </w:rPr>
        <w:t xml:space="preserve"> Retrieved August 27, 2021 from</w:t>
      </w:r>
      <w:r w:rsidRPr="00D363EF">
        <w:rPr>
          <w:rFonts w:cstheme="minorHAnsi"/>
          <w:sz w:val="18"/>
          <w:szCs w:val="18"/>
        </w:rPr>
        <w:t xml:space="preserve"> </w:t>
      </w:r>
      <w:hyperlink r:id="rId27" w:history="1">
        <w:r w:rsidRPr="00D363EF">
          <w:rPr>
            <w:rStyle w:val="Hyperlink"/>
            <w:rFonts w:cstheme="minorHAnsi"/>
            <w:sz w:val="18"/>
            <w:szCs w:val="18"/>
            <w:lang w:bidi="dv-MV"/>
          </w:rPr>
          <w:t>https://ied.gov.mv/storage/uploads/4EongGwM/n9vslct6.pdf</w:t>
        </w:r>
      </w:hyperlink>
      <w:r w:rsidRPr="00D363EF">
        <w:rPr>
          <w:rFonts w:cstheme="minorHAnsi"/>
          <w:sz w:val="18"/>
          <w:szCs w:val="18"/>
          <w:lang w:bidi="dv-MV"/>
        </w:rPr>
        <w:t xml:space="preserve"> </w:t>
      </w:r>
    </w:p>
    <w:p w14:paraId="7E02B8C7" w14:textId="77777777" w:rsidR="00D6206C" w:rsidRPr="00D363EF" w:rsidRDefault="00D6206C" w:rsidP="00007E7A">
      <w:pPr>
        <w:spacing w:after="0" w:line="240" w:lineRule="auto"/>
        <w:ind w:left="90" w:right="144" w:firstLine="0"/>
        <w:rPr>
          <w:rFonts w:cstheme="minorHAnsi"/>
          <w:color w:val="538135" w:themeColor="accent6" w:themeShade="BF"/>
          <w:sz w:val="18"/>
          <w:szCs w:val="18"/>
        </w:rPr>
      </w:pPr>
      <w:r w:rsidRPr="00D363EF">
        <w:rPr>
          <w:rFonts w:cstheme="minorHAnsi"/>
          <w:sz w:val="18"/>
          <w:szCs w:val="18"/>
        </w:rPr>
        <w:t xml:space="preserve">Ministry of Education, Ministry of Higher Education, Global Partnership for Education (2019). Maldives Education Sector Plan 2019-2023, page134, 137. </w:t>
      </w:r>
      <w:r w:rsidRPr="00D363EF">
        <w:rPr>
          <w:rFonts w:cstheme="minorHAnsi"/>
          <w:color w:val="000000" w:themeColor="text1"/>
          <w:sz w:val="18"/>
          <w:szCs w:val="18"/>
        </w:rPr>
        <w:t xml:space="preserve">Retrieved August 21, 2021 from </w:t>
      </w:r>
      <w:hyperlink r:id="rId28" w:history="1">
        <w:r w:rsidRPr="00D363EF">
          <w:rPr>
            <w:rStyle w:val="Hyperlink"/>
            <w:rFonts w:cstheme="minorHAnsi"/>
            <w:sz w:val="18"/>
            <w:szCs w:val="18"/>
          </w:rPr>
          <w:t>https://planipolis.iiep.unesco.org/sites/default/files/ressources/maldives_education_sector_plan_2019-2023.pdf</w:t>
        </w:r>
      </w:hyperlink>
      <w:r w:rsidRPr="00D363EF">
        <w:rPr>
          <w:rFonts w:cstheme="minorHAnsi"/>
          <w:sz w:val="18"/>
          <w:szCs w:val="18"/>
        </w:rPr>
        <w:t xml:space="preserve"> </w:t>
      </w:r>
    </w:p>
    <w:p w14:paraId="4977B908" w14:textId="77777777" w:rsidR="00D6206C" w:rsidRPr="00D363EF" w:rsidRDefault="00D6206C" w:rsidP="00007E7A">
      <w:pPr>
        <w:spacing w:after="0" w:line="240" w:lineRule="auto"/>
        <w:ind w:left="90" w:right="144" w:firstLine="0"/>
        <w:rPr>
          <w:rFonts w:cstheme="minorHAnsi"/>
          <w:color w:val="538135" w:themeColor="accent6" w:themeShade="BF"/>
          <w:sz w:val="18"/>
          <w:szCs w:val="18"/>
        </w:rPr>
      </w:pPr>
      <w:r w:rsidRPr="00D363EF">
        <w:rPr>
          <w:rFonts w:cstheme="minorHAnsi"/>
          <w:sz w:val="18"/>
          <w:szCs w:val="18"/>
        </w:rPr>
        <w:t>Grimes, P., et al. United Nations Children’s Fund Regional Office for South Asia,(2021). Disability-Inclusive Education Practices in Maldives, page 33.</w:t>
      </w:r>
      <w:r w:rsidRPr="00D363EF">
        <w:rPr>
          <w:rFonts w:cstheme="minorHAnsi"/>
          <w:color w:val="000000" w:themeColor="text1"/>
          <w:sz w:val="18"/>
          <w:szCs w:val="18"/>
        </w:rPr>
        <w:t xml:space="preserve"> Retrieved August 21, 2021 from </w:t>
      </w:r>
      <w:hyperlink r:id="rId29" w:history="1">
        <w:r w:rsidRPr="00D363EF">
          <w:rPr>
            <w:rStyle w:val="Hyperlink"/>
            <w:rFonts w:cstheme="minorHAnsi"/>
            <w:sz w:val="18"/>
            <w:szCs w:val="18"/>
          </w:rPr>
          <w:t>https://www.unicef.org/maldives/media/2936/file/Disability-Inclusive%20Education%20Practices%20in%20Maldives.pdf</w:t>
        </w:r>
      </w:hyperlink>
      <w:r w:rsidRPr="00D363EF">
        <w:rPr>
          <w:rFonts w:cstheme="minorHAnsi"/>
          <w:sz w:val="18"/>
          <w:szCs w:val="18"/>
        </w:rPr>
        <w:t xml:space="preserve"> </w:t>
      </w:r>
    </w:p>
    <w:p w14:paraId="110242CC" w14:textId="77777777" w:rsidR="00D6206C" w:rsidRPr="00D363EF" w:rsidRDefault="00D6206C" w:rsidP="00007E7A">
      <w:pPr>
        <w:spacing w:after="0" w:line="240" w:lineRule="auto"/>
        <w:ind w:left="90" w:right="144" w:firstLine="0"/>
        <w:rPr>
          <w:rFonts w:cstheme="minorHAnsi"/>
          <w:sz w:val="18"/>
          <w:szCs w:val="18"/>
        </w:rPr>
      </w:pPr>
      <w:bookmarkStart w:id="21" w:name="_Hlk112073641"/>
      <w:r w:rsidRPr="00D363EF">
        <w:rPr>
          <w:rFonts w:cstheme="minorHAnsi"/>
          <w:sz w:val="18"/>
          <w:szCs w:val="18"/>
        </w:rPr>
        <w:t>United Nations Maldives (2020). Common Country Analysis, page 14 and 63.</w:t>
      </w:r>
      <w:r w:rsidRPr="00D363EF">
        <w:rPr>
          <w:rFonts w:cstheme="minorHAnsi"/>
          <w:color w:val="000000" w:themeColor="text1"/>
          <w:sz w:val="18"/>
          <w:szCs w:val="18"/>
        </w:rPr>
        <w:t xml:space="preserve"> Retrieved August 22, 2021 from</w:t>
      </w:r>
      <w:r w:rsidRPr="00D363EF">
        <w:rPr>
          <w:rFonts w:cstheme="minorHAnsi"/>
          <w:sz w:val="18"/>
          <w:szCs w:val="18"/>
        </w:rPr>
        <w:t xml:space="preserve"> </w:t>
      </w:r>
      <w:bookmarkEnd w:id="21"/>
      <w:r w:rsidRPr="00D363EF">
        <w:rPr>
          <w:rFonts w:cstheme="minorHAnsi"/>
          <w:sz w:val="18"/>
          <w:szCs w:val="18"/>
        </w:rPr>
        <w:fldChar w:fldCharType="begin"/>
      </w:r>
      <w:r w:rsidRPr="00D363EF">
        <w:rPr>
          <w:rFonts w:cstheme="minorHAnsi"/>
          <w:sz w:val="18"/>
          <w:szCs w:val="18"/>
        </w:rPr>
        <w:instrText xml:space="preserve"> HYPERLINK "https://maldives.un.org/sites/default/files/2021-03/CCA%20Maldives%20January%202021.pdf" </w:instrText>
      </w:r>
      <w:r w:rsidRPr="00D363EF">
        <w:rPr>
          <w:rFonts w:cstheme="minorHAnsi"/>
          <w:sz w:val="18"/>
          <w:szCs w:val="18"/>
        </w:rPr>
      </w:r>
      <w:r w:rsidRPr="00D363EF">
        <w:rPr>
          <w:rFonts w:cstheme="minorHAnsi"/>
          <w:sz w:val="18"/>
          <w:szCs w:val="18"/>
        </w:rPr>
        <w:fldChar w:fldCharType="separate"/>
      </w:r>
      <w:r w:rsidRPr="00D363EF">
        <w:rPr>
          <w:rStyle w:val="Hyperlink"/>
          <w:rFonts w:cstheme="minorHAnsi"/>
          <w:sz w:val="18"/>
          <w:szCs w:val="18"/>
        </w:rPr>
        <w:t>https://maldives.un.org/sites/default/files/2021-03/CCA%20Maldives%20January%202021.pdf</w:t>
      </w:r>
      <w:r w:rsidRPr="00D363EF">
        <w:rPr>
          <w:rFonts w:cstheme="minorHAnsi"/>
          <w:sz w:val="18"/>
          <w:szCs w:val="18"/>
        </w:rPr>
        <w:fldChar w:fldCharType="end"/>
      </w:r>
      <w:r w:rsidRPr="00D363EF">
        <w:rPr>
          <w:rFonts w:cstheme="minorHAnsi"/>
          <w:sz w:val="18"/>
          <w:szCs w:val="18"/>
        </w:rPr>
        <w:t xml:space="preserve"> </w:t>
      </w:r>
    </w:p>
  </w:endnote>
  <w:endnote w:id="134">
    <w:p w14:paraId="19FAEDE7" w14:textId="246A3585"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 xml:space="preserve">Information received from </w:t>
      </w:r>
      <w:r w:rsidR="00D363EF" w:rsidRPr="00D363EF">
        <w:rPr>
          <w:rFonts w:cstheme="minorHAnsi"/>
          <w:sz w:val="18"/>
          <w:szCs w:val="18"/>
          <w:lang w:val="en-US"/>
        </w:rPr>
        <w:t>MOH</w:t>
      </w:r>
    </w:p>
  </w:endnote>
  <w:endnote w:id="135">
    <w:p w14:paraId="4A856513" w14:textId="5BBABD09" w:rsidR="00AD0664" w:rsidRPr="00D363EF" w:rsidRDefault="00AD0664" w:rsidP="00D363EF">
      <w:pPr>
        <w:pStyle w:val="EndnoteText"/>
        <w:ind w:left="90" w:hanging="360"/>
        <w:rPr>
          <w:rFonts w:cstheme="minorHAnsi"/>
          <w:sz w:val="18"/>
          <w:szCs w:val="18"/>
          <w:lang w:val="en-US"/>
        </w:rPr>
      </w:pPr>
      <w:r w:rsidRPr="007B0C9A">
        <w:rPr>
          <w:rFonts w:cstheme="minorHAnsi"/>
          <w:sz w:val="18"/>
          <w:szCs w:val="18"/>
          <w:vertAlign w:val="superscript"/>
          <w:lang w:val="en-US"/>
        </w:rPr>
        <w:endnoteRef/>
      </w:r>
      <w:r w:rsidRPr="00D363EF">
        <w:rPr>
          <w:rFonts w:cstheme="minorHAnsi"/>
          <w:sz w:val="18"/>
          <w:szCs w:val="18"/>
          <w:lang w:val="en-US"/>
        </w:rPr>
        <w:t xml:space="preserve"> Information received from </w:t>
      </w:r>
      <w:r w:rsidR="00D363EF" w:rsidRPr="00D363EF">
        <w:rPr>
          <w:rFonts w:cstheme="minorHAnsi"/>
          <w:sz w:val="18"/>
          <w:szCs w:val="18"/>
          <w:lang w:val="en-US"/>
        </w:rPr>
        <w:t>MOH</w:t>
      </w:r>
    </w:p>
  </w:endnote>
  <w:endnote w:id="136">
    <w:p w14:paraId="1CF548F1" w14:textId="71602AED" w:rsidR="00AD0664" w:rsidRPr="00D363EF" w:rsidRDefault="00AD0664" w:rsidP="00D363EF">
      <w:pPr>
        <w:pStyle w:val="EndnoteText"/>
        <w:ind w:left="90" w:hanging="360"/>
        <w:rPr>
          <w:rFonts w:cstheme="minorHAnsi"/>
          <w:sz w:val="18"/>
          <w:szCs w:val="18"/>
          <w:lang w:val="en-US"/>
        </w:rPr>
      </w:pPr>
      <w:r w:rsidRPr="007B0C9A">
        <w:rPr>
          <w:rFonts w:cstheme="minorHAnsi"/>
          <w:sz w:val="18"/>
          <w:szCs w:val="18"/>
          <w:vertAlign w:val="superscript"/>
          <w:lang w:val="en-US"/>
        </w:rPr>
        <w:endnoteRef/>
      </w:r>
      <w:r w:rsidRPr="007B0C9A">
        <w:rPr>
          <w:rFonts w:cstheme="minorHAnsi"/>
          <w:sz w:val="18"/>
          <w:szCs w:val="18"/>
          <w:vertAlign w:val="superscript"/>
          <w:lang w:val="en-US"/>
        </w:rPr>
        <w:t xml:space="preserve"> </w:t>
      </w:r>
      <w:r w:rsidRPr="00D363EF">
        <w:rPr>
          <w:rFonts w:cstheme="minorHAnsi"/>
          <w:sz w:val="18"/>
          <w:szCs w:val="18"/>
          <w:lang w:val="en-US"/>
        </w:rPr>
        <w:t xml:space="preserve">Information received from </w:t>
      </w:r>
      <w:r w:rsidR="00D363EF" w:rsidRPr="00D363EF">
        <w:rPr>
          <w:rFonts w:cstheme="minorHAnsi"/>
          <w:sz w:val="18"/>
          <w:szCs w:val="18"/>
          <w:lang w:val="en-US"/>
        </w:rPr>
        <w:t>MOH</w:t>
      </w:r>
    </w:p>
  </w:endnote>
  <w:endnote w:id="137">
    <w:p w14:paraId="12D7E5F0" w14:textId="08494FEE" w:rsidR="00AD0664" w:rsidRPr="00D363EF" w:rsidRDefault="00AD0664" w:rsidP="00D363EF">
      <w:pPr>
        <w:pStyle w:val="EndnoteText"/>
        <w:ind w:left="90" w:hanging="360"/>
        <w:rPr>
          <w:rFonts w:cstheme="minorHAnsi"/>
          <w:sz w:val="18"/>
          <w:szCs w:val="18"/>
          <w:lang w:val="en-US"/>
        </w:rPr>
      </w:pPr>
      <w:r w:rsidRPr="007B0C9A">
        <w:rPr>
          <w:rFonts w:cstheme="minorHAnsi"/>
          <w:sz w:val="18"/>
          <w:szCs w:val="18"/>
          <w:vertAlign w:val="superscript"/>
          <w:lang w:val="en-US"/>
        </w:rPr>
        <w:endnoteRef/>
      </w:r>
      <w:r w:rsidRPr="00D363EF">
        <w:rPr>
          <w:rFonts w:cstheme="minorHAnsi"/>
          <w:sz w:val="18"/>
          <w:szCs w:val="18"/>
          <w:lang w:val="en-US"/>
        </w:rPr>
        <w:t xml:space="preserve"> Information received from </w:t>
      </w:r>
      <w:r w:rsidR="00D363EF" w:rsidRPr="00D363EF">
        <w:rPr>
          <w:rFonts w:cstheme="minorHAnsi"/>
          <w:sz w:val="18"/>
          <w:szCs w:val="18"/>
          <w:lang w:val="en-US"/>
        </w:rPr>
        <w:t>MOH</w:t>
      </w:r>
    </w:p>
  </w:endnote>
  <w:endnote w:id="138">
    <w:p w14:paraId="7FCF3138" w14:textId="77777777" w:rsidR="00AD0664" w:rsidRPr="00D363EF" w:rsidRDefault="00AD066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Penal code, section 416 (a)</w:t>
      </w:r>
    </w:p>
  </w:endnote>
  <w:endnote w:id="139">
    <w:p w14:paraId="4AA01E5D" w14:textId="77777777" w:rsidR="00AD0664" w:rsidRPr="00D363EF" w:rsidRDefault="00AD066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Penal code, section 416 (b),(d)</w:t>
      </w:r>
    </w:p>
  </w:endnote>
  <w:endnote w:id="140">
    <w:p w14:paraId="7BB9BAB6" w14:textId="77777777" w:rsidR="00AD0664" w:rsidRPr="00D363EF" w:rsidRDefault="00AD066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Islamic Figh Academy, Ministry of Islamic Affairs. (2013). FATWA Islamic Ruling no.6 – on the termination of the fetus, causing miscarriages and induced abortions (IFA/2013/06).</w:t>
      </w:r>
    </w:p>
  </w:endnote>
  <w:endnote w:id="141">
    <w:p w14:paraId="1F3CCBA9" w14:textId="028DAC16"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 xml:space="preserve">Information received from </w:t>
      </w:r>
      <w:r w:rsidR="00D363EF" w:rsidRPr="00D363EF">
        <w:rPr>
          <w:rFonts w:cstheme="minorHAnsi"/>
          <w:sz w:val="18"/>
          <w:szCs w:val="18"/>
          <w:lang w:val="en-US"/>
        </w:rPr>
        <w:t>MoH</w:t>
      </w:r>
    </w:p>
  </w:endnote>
  <w:endnote w:id="142">
    <w:p w14:paraId="7A5DC977" w14:textId="77777777" w:rsidR="00AD0664" w:rsidRPr="00D363EF" w:rsidRDefault="00AD066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UNFPA Maldives. (2020). Qualitative assessment on challenges to access SRH information and services among young people in the Maldives with a focus on unplanned teenage pregnancy. Page </w:t>
      </w:r>
      <w:hyperlink r:id="rId30" w:history="1">
        <w:r w:rsidRPr="00D363EF">
          <w:rPr>
            <w:rStyle w:val="Hyperlink"/>
            <w:rFonts w:cstheme="minorHAnsi"/>
            <w:sz w:val="18"/>
            <w:szCs w:val="18"/>
          </w:rPr>
          <w:t>https://maldives.unfpa.org/sites/default/files/pub-pdf/qa_on_challenges_to_srh_info_and_services_among_young_people_in_maldives.pdf</w:t>
        </w:r>
      </w:hyperlink>
    </w:p>
  </w:endnote>
  <w:endnote w:id="143">
    <w:p w14:paraId="4354DA9A" w14:textId="77777777"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44">
    <w:p w14:paraId="7783B655" w14:textId="77777777"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45">
    <w:p w14:paraId="12F6CBE0" w14:textId="194844EE"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Information Received</w:t>
      </w:r>
      <w:r w:rsidR="00477097">
        <w:rPr>
          <w:rFonts w:cstheme="minorHAnsi"/>
          <w:sz w:val="18"/>
          <w:szCs w:val="18"/>
          <w:lang w:val="en-US"/>
        </w:rPr>
        <w:t xml:space="preserve"> from MoSFD</w:t>
      </w:r>
    </w:p>
  </w:endnote>
  <w:endnote w:id="146">
    <w:p w14:paraId="599B8901" w14:textId="77777777"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47">
    <w:p w14:paraId="3EE3CCB2" w14:textId="77777777"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48">
    <w:p w14:paraId="4430A0A1" w14:textId="77777777"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49">
    <w:p w14:paraId="465C09E4" w14:textId="77777777" w:rsidR="00E67E88" w:rsidRPr="00D363EF" w:rsidRDefault="00E67E88"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Atoll Monitoring Report (2025). Unpublished</w:t>
      </w:r>
    </w:p>
  </w:endnote>
  <w:endnote w:id="150">
    <w:p w14:paraId="32AFA332" w14:textId="7C7191E1" w:rsidR="004B12C6" w:rsidRPr="00D363EF" w:rsidRDefault="004B12C6"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Employment Act (Law No. 2/2008 ), Section 6</w:t>
      </w:r>
    </w:p>
  </w:endnote>
  <w:endnote w:id="151">
    <w:p w14:paraId="779F36F6" w14:textId="604C685B" w:rsidR="004B12C6" w:rsidRPr="00D363EF" w:rsidRDefault="004B12C6"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General Regulations under the Child Rights Protection Act, Chapter 4</w:t>
      </w:r>
    </w:p>
  </w:endnote>
  <w:endnote w:id="152">
    <w:p w14:paraId="6A9A64C6" w14:textId="70AE6395"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General Regulations under the Child Rights Protection Act</w:t>
      </w:r>
      <w:r w:rsidR="00721215" w:rsidRPr="00D363EF">
        <w:rPr>
          <w:rFonts w:cstheme="minorHAnsi"/>
          <w:sz w:val="18"/>
          <w:szCs w:val="18"/>
        </w:rPr>
        <w:t xml:space="preserve"> (Act No 71/2020)</w:t>
      </w:r>
      <w:r w:rsidRPr="00D363EF">
        <w:rPr>
          <w:rFonts w:cstheme="minorHAnsi"/>
          <w:sz w:val="18"/>
          <w:szCs w:val="18"/>
        </w:rPr>
        <w:t>, Section 12</w:t>
      </w:r>
    </w:p>
  </w:endnote>
  <w:endnote w:id="153">
    <w:p w14:paraId="4018F81D" w14:textId="44FD6AEB"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General Regulations under the Child Rights Protection Act</w:t>
      </w:r>
      <w:r w:rsidR="00721215" w:rsidRPr="00D363EF">
        <w:rPr>
          <w:rFonts w:cstheme="minorHAnsi"/>
          <w:sz w:val="18"/>
          <w:szCs w:val="18"/>
        </w:rPr>
        <w:t xml:space="preserve"> (Act No 71/2020)</w:t>
      </w:r>
      <w:r w:rsidRPr="00D363EF">
        <w:rPr>
          <w:rFonts w:cstheme="minorHAnsi"/>
          <w:sz w:val="18"/>
          <w:szCs w:val="18"/>
        </w:rPr>
        <w:t>, Section 10(a)</w:t>
      </w:r>
    </w:p>
    <w:p w14:paraId="0ECB0F0F" w14:textId="6D03A73E" w:rsidR="00392558" w:rsidRPr="00D363EF" w:rsidRDefault="00392558" w:rsidP="00D363EF">
      <w:pPr>
        <w:pStyle w:val="EndnoteText"/>
        <w:ind w:left="90" w:hanging="360"/>
        <w:rPr>
          <w:rFonts w:cstheme="minorHAnsi"/>
          <w:sz w:val="18"/>
          <w:szCs w:val="18"/>
        </w:rPr>
      </w:pPr>
      <w:r w:rsidRPr="00D363EF">
        <w:rPr>
          <w:rFonts w:cstheme="minorHAnsi"/>
          <w:sz w:val="18"/>
          <w:szCs w:val="18"/>
        </w:rPr>
        <w:t>General Regulations under the Child Rights Protection Act, Section 12</w:t>
      </w:r>
    </w:p>
  </w:endnote>
  <w:endnote w:id="154">
    <w:p w14:paraId="767A676B"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General Regulations under the Child Rights Protection Act, Section 10</w:t>
      </w:r>
    </w:p>
  </w:endnote>
  <w:endnote w:id="155">
    <w:p w14:paraId="50DE7D83"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General Regulations under the Child Rights Protection Act, Section 10(d)</w:t>
      </w:r>
    </w:p>
  </w:endnote>
  <w:endnote w:id="156">
    <w:p w14:paraId="1E89D574" w14:textId="77777777" w:rsidR="003D1F24" w:rsidRPr="00D363EF" w:rsidRDefault="003D1F24" w:rsidP="00D363EF">
      <w:pPr>
        <w:pStyle w:val="NormalWeb"/>
        <w:spacing w:before="0" w:beforeAutospacing="0" w:after="0" w:afterAutospacing="0"/>
        <w:ind w:left="90" w:hanging="360"/>
        <w:rPr>
          <w:rFonts w:asciiTheme="minorHAnsi" w:hAnsiTheme="minorHAnsi" w:cstheme="minorHAnsi"/>
          <w:sz w:val="18"/>
          <w:szCs w:val="18"/>
          <w:lang w:val="en-GB"/>
        </w:rPr>
      </w:pPr>
      <w:r w:rsidRPr="00D363EF">
        <w:rPr>
          <w:rStyle w:val="EndnoteReference"/>
          <w:rFonts w:asciiTheme="minorHAnsi" w:hAnsiTheme="minorHAnsi" w:cstheme="minorHAnsi"/>
          <w:sz w:val="18"/>
          <w:szCs w:val="18"/>
        </w:rPr>
        <w:endnoteRef/>
      </w:r>
      <w:r w:rsidRPr="00D363EF">
        <w:rPr>
          <w:rFonts w:asciiTheme="minorHAnsi" w:hAnsiTheme="minorHAnsi" w:cstheme="minorHAnsi"/>
          <w:sz w:val="18"/>
          <w:szCs w:val="18"/>
          <w:lang w:val="en-GB"/>
        </w:rPr>
        <w:t xml:space="preserve"> </w:t>
      </w:r>
      <w:r w:rsidRPr="00D363EF">
        <w:rPr>
          <w:rFonts w:asciiTheme="minorHAnsi" w:eastAsiaTheme="majorEastAsia" w:hAnsiTheme="minorHAnsi" w:cstheme="minorHAnsi"/>
          <w:sz w:val="18"/>
          <w:szCs w:val="18"/>
          <w:lang w:val="en-GB"/>
        </w:rPr>
        <w:t>Protection Of the Rights of Children Act [Law number: 19/2019],</w:t>
      </w:r>
      <w:r w:rsidRPr="00D363EF">
        <w:rPr>
          <w:rStyle w:val="Strong"/>
          <w:rFonts w:asciiTheme="minorHAnsi" w:eastAsiaTheme="majorEastAsia" w:hAnsiTheme="minorHAnsi" w:cstheme="minorHAnsi"/>
          <w:sz w:val="18"/>
          <w:szCs w:val="18"/>
        </w:rPr>
        <w:t xml:space="preserve"> </w:t>
      </w:r>
      <w:r w:rsidRPr="00D363EF">
        <w:rPr>
          <w:rStyle w:val="Strong"/>
          <w:rFonts w:asciiTheme="minorHAnsi" w:eastAsiaTheme="majorEastAsia" w:hAnsiTheme="minorHAnsi" w:cstheme="minorHAnsi"/>
          <w:b w:val="0"/>
          <w:bCs w:val="0"/>
          <w:sz w:val="18"/>
          <w:szCs w:val="18"/>
        </w:rPr>
        <w:t>Article 27(a)</w:t>
      </w:r>
    </w:p>
  </w:endnote>
  <w:endnote w:id="157">
    <w:p w14:paraId="28CE7738" w14:textId="77777777" w:rsidR="003D1F24" w:rsidRPr="00D363EF" w:rsidRDefault="003D1F24" w:rsidP="00D363EF">
      <w:pPr>
        <w:spacing w:after="0" w:line="240" w:lineRule="auto"/>
        <w:ind w:left="90" w:hanging="360"/>
        <w:rPr>
          <w:rFonts w:cstheme="minorHAnsi"/>
          <w:sz w:val="18"/>
          <w:szCs w:val="18"/>
        </w:rPr>
      </w:pPr>
      <w:r w:rsidRPr="00D363EF">
        <w:rPr>
          <w:rStyle w:val="EndnoteReference"/>
          <w:rFonts w:cstheme="minorHAnsi"/>
          <w:sz w:val="18"/>
          <w:szCs w:val="18"/>
        </w:rPr>
        <w:endnoteRef/>
      </w:r>
      <w:r w:rsidRPr="00D363EF">
        <w:rPr>
          <w:rStyle w:val="Strong"/>
          <w:rFonts w:eastAsiaTheme="majorEastAsia" w:cstheme="minorHAnsi"/>
          <w:b w:val="0"/>
          <w:bCs w:val="0"/>
          <w:sz w:val="18"/>
          <w:szCs w:val="18"/>
        </w:rPr>
        <w:t xml:space="preserve"> </w:t>
      </w:r>
      <w:r w:rsidRPr="00D363EF">
        <w:rPr>
          <w:rFonts w:cstheme="minorHAnsi"/>
          <w:sz w:val="18"/>
          <w:szCs w:val="18"/>
        </w:rPr>
        <w:t xml:space="preserve">Drug Act (17/2011) , </w:t>
      </w:r>
      <w:r w:rsidRPr="00D363EF">
        <w:rPr>
          <w:rStyle w:val="Strong"/>
          <w:rFonts w:eastAsiaTheme="majorEastAsia" w:cstheme="minorHAnsi"/>
          <w:b w:val="0"/>
          <w:bCs w:val="0"/>
          <w:sz w:val="18"/>
          <w:szCs w:val="18"/>
        </w:rPr>
        <w:t>Article 2,Article 27(k).47(a)(3</w:t>
      </w:r>
    </w:p>
  </w:endnote>
  <w:endnote w:id="158">
    <w:p w14:paraId="13C05C0A" w14:textId="151A1D92"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0077AC">
        <w:rPr>
          <w:rFonts w:cstheme="minorHAnsi"/>
          <w:sz w:val="18"/>
          <w:szCs w:val="18"/>
        </w:rPr>
        <w:t>MPS</w:t>
      </w:r>
    </w:p>
  </w:endnote>
  <w:endnote w:id="159">
    <w:p w14:paraId="5597A40E" w14:textId="1A2FDBAE"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0077AC">
        <w:rPr>
          <w:rFonts w:cstheme="minorHAnsi"/>
          <w:sz w:val="18"/>
          <w:szCs w:val="18"/>
        </w:rPr>
        <w:t>MPS</w:t>
      </w:r>
    </w:p>
  </w:endnote>
  <w:endnote w:id="160">
    <w:p w14:paraId="4918FEE9" w14:textId="77777777" w:rsidR="003D1F24" w:rsidRPr="00D363EF" w:rsidRDefault="003D1F24" w:rsidP="00D363EF">
      <w:pPr>
        <w:pStyle w:val="EndnoteText"/>
        <w:ind w:left="90" w:hanging="360"/>
        <w:rPr>
          <w:rFonts w:cstheme="minorHAnsi"/>
          <w:b/>
          <w:bCs/>
          <w:sz w:val="18"/>
          <w:szCs w:val="18"/>
        </w:rPr>
      </w:pPr>
      <w:r w:rsidRPr="00D363EF">
        <w:rPr>
          <w:rStyle w:val="EndnoteReference"/>
          <w:rFonts w:cstheme="minorHAnsi"/>
          <w:sz w:val="18"/>
          <w:szCs w:val="18"/>
        </w:rPr>
        <w:endnoteRef/>
      </w:r>
      <w:r w:rsidRPr="00D363EF">
        <w:rPr>
          <w:rFonts w:cstheme="minorHAnsi"/>
          <w:sz w:val="18"/>
          <w:szCs w:val="18"/>
        </w:rPr>
        <w:t xml:space="preserve"> Juvenile Justice Act, 2019 (Act No. 18/2019), Section 54, and Drug Act (17/2011) section 55</w:t>
      </w:r>
    </w:p>
  </w:endnote>
  <w:endnote w:id="161">
    <w:p w14:paraId="5EF811C0"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Articles 62–70.</w:t>
      </w:r>
    </w:p>
  </w:endnote>
  <w:endnote w:id="162">
    <w:p w14:paraId="6DCDDC2C"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Department of Juvenile Justice, statistics shared</w:t>
      </w:r>
    </w:p>
    <w:p w14:paraId="0D8473A2" w14:textId="77777777" w:rsidR="003D1F24" w:rsidRPr="00D363EF" w:rsidRDefault="003D1F24" w:rsidP="00007E7A">
      <w:pPr>
        <w:pStyle w:val="EndnoteText"/>
        <w:ind w:left="90" w:firstLine="0"/>
        <w:rPr>
          <w:rFonts w:cstheme="minorHAnsi"/>
          <w:sz w:val="18"/>
          <w:szCs w:val="18"/>
        </w:rPr>
      </w:pPr>
      <w:r w:rsidRPr="00D363EF">
        <w:rPr>
          <w:rFonts w:cstheme="minorHAnsi"/>
          <w:sz w:val="18"/>
          <w:szCs w:val="18"/>
        </w:rPr>
        <w:t>Transparency Maldives (2022). Situa</w:t>
      </w:r>
      <w:r w:rsidRPr="00D363EF">
        <w:rPr>
          <w:rFonts w:ascii="Calibri" w:hAnsi="Calibri" w:cs="Calibri"/>
          <w:sz w:val="18"/>
          <w:szCs w:val="18"/>
        </w:rPr>
        <w:t>�</w:t>
      </w:r>
      <w:r w:rsidRPr="00D363EF">
        <w:rPr>
          <w:rFonts w:cstheme="minorHAnsi"/>
          <w:sz w:val="18"/>
          <w:szCs w:val="18"/>
        </w:rPr>
        <w:t>onal analysis of the pathways to social reintegra</w:t>
      </w:r>
      <w:r w:rsidRPr="00D363EF">
        <w:rPr>
          <w:rFonts w:ascii="Calibri" w:hAnsi="Calibri" w:cs="Calibri"/>
          <w:sz w:val="18"/>
          <w:szCs w:val="18"/>
        </w:rPr>
        <w:t>�</w:t>
      </w:r>
      <w:r w:rsidRPr="00D363EF">
        <w:rPr>
          <w:rFonts w:cstheme="minorHAnsi"/>
          <w:sz w:val="18"/>
          <w:szCs w:val="18"/>
        </w:rPr>
        <w:t xml:space="preserve">on for offenders and drugdependent persons in the Maldives 2022 , page 16,21 and 35 retrieved on May 2nd 2025 from </w:t>
      </w:r>
      <w:hyperlink r:id="rId31" w:history="1">
        <w:r w:rsidRPr="00D363EF">
          <w:rPr>
            <w:rStyle w:val="Hyperlink"/>
            <w:rFonts w:cstheme="minorHAnsi"/>
            <w:sz w:val="18"/>
            <w:szCs w:val="18"/>
          </w:rPr>
          <w:t>https://transparency.mv/wp-content/uploads/2022/08/Social-Reintergration.pdf</w:t>
        </w:r>
      </w:hyperlink>
      <w:r w:rsidRPr="00D363EF">
        <w:rPr>
          <w:rFonts w:cstheme="minorHAnsi"/>
          <w:sz w:val="18"/>
          <w:szCs w:val="18"/>
        </w:rPr>
        <w:t xml:space="preserve"> </w:t>
      </w:r>
    </w:p>
  </w:endnote>
  <w:endnote w:id="163">
    <w:p w14:paraId="2D54B3D7"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 Article 47(h)(3)</w:t>
      </w:r>
    </w:p>
  </w:endnote>
  <w:endnote w:id="164">
    <w:p w14:paraId="25841C78"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(Article 64)</w:t>
      </w:r>
    </w:p>
  </w:endnote>
  <w:endnote w:id="165">
    <w:p w14:paraId="5844E782"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(Articles 50–52) drug act</w:t>
      </w:r>
    </w:p>
  </w:endnote>
  <w:endnote w:id="166">
    <w:p w14:paraId="66723DBE"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(Article 53(n)) drug act</w:t>
      </w:r>
    </w:p>
  </w:endnote>
  <w:endnote w:id="167">
    <w:p w14:paraId="47B781DB"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(Article 90) drug act</w:t>
      </w:r>
    </w:p>
  </w:endnote>
  <w:endnote w:id="168">
    <w:p w14:paraId="65FD949C" w14:textId="7777777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Drug Act (17/2011) (Article 104). drug act</w:t>
      </w:r>
    </w:p>
  </w:endnote>
  <w:endnote w:id="169">
    <w:p w14:paraId="4C3B0DA5" w14:textId="31B50013"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NDA</w:t>
      </w:r>
    </w:p>
  </w:endnote>
  <w:endnote w:id="170">
    <w:p w14:paraId="48D1D21C" w14:textId="24300338"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NDA</w:t>
      </w:r>
    </w:p>
  </w:endnote>
  <w:endnote w:id="171">
    <w:p w14:paraId="34765783" w14:textId="548AC3DE"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NDA</w:t>
      </w:r>
    </w:p>
  </w:endnote>
  <w:endnote w:id="172">
    <w:p w14:paraId="3B08002D" w14:textId="47084663"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NDA</w:t>
      </w:r>
    </w:p>
  </w:endnote>
  <w:endnote w:id="173">
    <w:p w14:paraId="1FFC8F87" w14:textId="35466467" w:rsidR="003D1F24" w:rsidRPr="00D363EF" w:rsidRDefault="003D1F24"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NDA</w:t>
      </w:r>
    </w:p>
  </w:endnote>
  <w:endnote w:id="174">
    <w:p w14:paraId="0CB0F855" w14:textId="77777777" w:rsidR="003D1F24" w:rsidRPr="00D363EF" w:rsidRDefault="003D1F2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75">
    <w:p w14:paraId="7C33885A" w14:textId="77777777" w:rsidR="003D1F24" w:rsidRPr="00D363EF" w:rsidRDefault="003D1F2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76">
    <w:p w14:paraId="05F95DCE" w14:textId="77777777" w:rsidR="00E254F2" w:rsidRPr="00D363EF" w:rsidRDefault="00E254F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77">
    <w:p w14:paraId="4A905864" w14:textId="77777777" w:rsidR="00E254F2" w:rsidRPr="00D363EF" w:rsidRDefault="00E254F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78">
    <w:p w14:paraId="1E9BC2C8" w14:textId="77777777" w:rsidR="00E254F2" w:rsidRPr="00D363EF" w:rsidRDefault="00E254F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HRCM. (2024). International Covenant on Civil and Political Rights- shadow report. In Human Rights Commission of the Maldives. Retrieved September 3, 2025, from https://hrcm.org.mv/storage/uploads/xRwXMRYW/3dsiak3i.pdf</w:t>
      </w:r>
    </w:p>
    <w:p w14:paraId="588C2CF3" w14:textId="77777777" w:rsidR="00E254F2" w:rsidRPr="00D363EF" w:rsidRDefault="00E254F2" w:rsidP="00007E7A">
      <w:pPr>
        <w:pStyle w:val="EndnoteText"/>
        <w:ind w:left="90" w:firstLine="0"/>
        <w:rPr>
          <w:rFonts w:cstheme="minorHAnsi"/>
          <w:sz w:val="18"/>
          <w:szCs w:val="18"/>
        </w:rPr>
      </w:pPr>
      <w:r w:rsidRPr="00D363EF">
        <w:rPr>
          <w:rFonts w:cstheme="minorHAnsi"/>
          <w:sz w:val="18"/>
          <w:szCs w:val="18"/>
        </w:rPr>
        <w:t>Aamahi. Child Sex Offender’s Registry. Retrieved June 3rd, 2024 from htps://aamahi.pgo.mv/child-offenders</w:t>
      </w:r>
    </w:p>
  </w:endnote>
  <w:endnote w:id="179">
    <w:p w14:paraId="14A54C42" w14:textId="77777777" w:rsidR="00E254F2" w:rsidRPr="00D363EF" w:rsidRDefault="00E254F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w:t>
      </w:r>
      <w:r w:rsidRPr="00D363EF">
        <w:rPr>
          <w:rFonts w:cstheme="minorHAnsi"/>
          <w:sz w:val="18"/>
          <w:szCs w:val="18"/>
          <w:lang w:val="en-US"/>
        </w:rPr>
        <w:t>HRCM. (2024). International Covenant on Civil and Political Rights- shadow report. In Human Rights Commission of the Maldives. Retrieved September 3, 2025, from https://hrcm.org.mv/storage/uploads/xRwXMRYW/3dsiak3i.pdf</w:t>
      </w:r>
    </w:p>
  </w:endnote>
  <w:endnote w:id="180">
    <w:p w14:paraId="246B3B9F" w14:textId="77777777" w:rsidR="00E254F2" w:rsidRPr="00D363EF" w:rsidRDefault="00E254F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81">
    <w:p w14:paraId="40DB0CB7" w14:textId="77777777" w:rsidR="00E254F2" w:rsidRPr="00D363EF" w:rsidRDefault="00E254F2"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MPS</w:t>
      </w:r>
    </w:p>
  </w:endnote>
  <w:endnote w:id="182">
    <w:p w14:paraId="7B2913E2" w14:textId="77777777"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The Penal Code, Section 140</w:t>
      </w:r>
    </w:p>
  </w:endnote>
  <w:endnote w:id="183">
    <w:p w14:paraId="2403AB88" w14:textId="514E8003"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sidRPr="00D363EF">
        <w:rPr>
          <w:rFonts w:cstheme="minorHAnsi"/>
          <w:sz w:val="18"/>
          <w:szCs w:val="18"/>
        </w:rPr>
        <w:t>MPS</w:t>
      </w:r>
    </w:p>
  </w:endnote>
  <w:endnote w:id="184">
    <w:p w14:paraId="3BD8347B" w14:textId="77777777"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US Department of State. 2022 Trafficking in Persons Report: Maldives. retrieved on May 2</w:t>
      </w:r>
      <w:r w:rsidRPr="00D363EF">
        <w:rPr>
          <w:rFonts w:cstheme="minorHAnsi"/>
          <w:sz w:val="18"/>
          <w:szCs w:val="18"/>
          <w:vertAlign w:val="superscript"/>
        </w:rPr>
        <w:t>nd</w:t>
      </w:r>
      <w:r w:rsidRPr="00D363EF">
        <w:rPr>
          <w:rFonts w:cstheme="minorHAnsi"/>
          <w:sz w:val="18"/>
          <w:szCs w:val="18"/>
        </w:rPr>
        <w:t xml:space="preserve"> 2024 </w:t>
      </w:r>
      <w:hyperlink r:id="rId32" w:anchor=":~:text=The%20government%20investigated%20one%20trafficking,traffickers%20during%20the%20reporting%20period" w:history="1">
        <w:r w:rsidRPr="00D363EF">
          <w:rPr>
            <w:rStyle w:val="Hyperlink"/>
            <w:rFonts w:cstheme="minorHAnsi"/>
            <w:sz w:val="18"/>
            <w:szCs w:val="18"/>
          </w:rPr>
          <w:t>https://www.state.gov/reports/2022-trafficking-in-persons-report/maldives#:~:text=The%20government%20investigated%20one%20trafficking,traffickers%20during%20the%20reporting%20period</w:t>
        </w:r>
      </w:hyperlink>
      <w:r w:rsidRPr="00D363EF">
        <w:rPr>
          <w:rFonts w:cstheme="minorHAnsi"/>
          <w:sz w:val="18"/>
          <w:szCs w:val="18"/>
        </w:rPr>
        <w:t>.</w:t>
      </w:r>
    </w:p>
    <w:p w14:paraId="706235BC" w14:textId="77777777" w:rsidR="00E254F2" w:rsidRPr="00D363EF" w:rsidRDefault="00E254F2" w:rsidP="00007E7A">
      <w:pPr>
        <w:pStyle w:val="EndnoteText"/>
        <w:ind w:left="90" w:firstLine="0"/>
        <w:rPr>
          <w:rFonts w:cstheme="minorHAnsi"/>
          <w:sz w:val="18"/>
          <w:szCs w:val="18"/>
        </w:rPr>
      </w:pPr>
      <w:r w:rsidRPr="00D363EF">
        <w:rPr>
          <w:rFonts w:cstheme="minorHAnsi"/>
          <w:sz w:val="18"/>
          <w:szCs w:val="18"/>
        </w:rPr>
        <w:t xml:space="preserve">Information received from Maldives Police Service in 2024, </w:t>
      </w:r>
    </w:p>
  </w:endnote>
  <w:endnote w:id="185">
    <w:p w14:paraId="02B47273" w14:textId="77777777"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US Department of State. 2022 Trafficking in Persons Report: Maldives.retrieved on May 2</w:t>
      </w:r>
      <w:r w:rsidRPr="00D363EF">
        <w:rPr>
          <w:rFonts w:cstheme="minorHAnsi"/>
          <w:sz w:val="18"/>
          <w:szCs w:val="18"/>
          <w:vertAlign w:val="superscript"/>
        </w:rPr>
        <w:t>nd</w:t>
      </w:r>
      <w:r w:rsidRPr="00D363EF">
        <w:rPr>
          <w:rFonts w:cstheme="minorHAnsi"/>
          <w:sz w:val="18"/>
          <w:szCs w:val="18"/>
        </w:rPr>
        <w:t xml:space="preserve"> 2024 </w:t>
      </w:r>
      <w:hyperlink r:id="rId33" w:anchor=":~:text=The%20government%20investigated%20one%20trafficking,traffickers%20during%20the%20reporting%20period" w:history="1">
        <w:r w:rsidRPr="00D363EF">
          <w:rPr>
            <w:rStyle w:val="Hyperlink"/>
            <w:rFonts w:cstheme="minorHAnsi"/>
            <w:sz w:val="18"/>
            <w:szCs w:val="18"/>
          </w:rPr>
          <w:t>https://www.state.gov/reports/2022-trafficking-in-persons-report/maldives#:~:text=The%20government%20investigated%20one%20trafficking,traffickers%20during%20the%20reporting%20period</w:t>
        </w:r>
      </w:hyperlink>
      <w:r w:rsidRPr="00D363EF">
        <w:rPr>
          <w:rFonts w:cstheme="minorHAnsi"/>
          <w:sz w:val="18"/>
          <w:szCs w:val="18"/>
        </w:rPr>
        <w:t>.</w:t>
      </w:r>
    </w:p>
    <w:p w14:paraId="5F9750B6" w14:textId="34E1AD5C" w:rsidR="00E254F2" w:rsidRPr="00D363EF" w:rsidRDefault="00E254F2" w:rsidP="00007E7A">
      <w:pPr>
        <w:pStyle w:val="EndnoteText"/>
        <w:ind w:left="90" w:firstLine="0"/>
        <w:rPr>
          <w:rFonts w:cstheme="minorHAnsi"/>
          <w:sz w:val="18"/>
          <w:szCs w:val="18"/>
        </w:rPr>
      </w:pPr>
      <w:r w:rsidRPr="00D363EF">
        <w:rPr>
          <w:rFonts w:cstheme="minorHAnsi"/>
          <w:sz w:val="18"/>
          <w:szCs w:val="18"/>
        </w:rPr>
        <w:t xml:space="preserve">Information received from </w:t>
      </w:r>
      <w:r w:rsidR="007B0C9A">
        <w:rPr>
          <w:rFonts w:cstheme="minorHAnsi"/>
          <w:sz w:val="18"/>
          <w:szCs w:val="18"/>
        </w:rPr>
        <w:t>MPS</w:t>
      </w:r>
      <w:r w:rsidRPr="00D363EF">
        <w:rPr>
          <w:rFonts w:cstheme="minorHAnsi"/>
          <w:sz w:val="18"/>
          <w:szCs w:val="18"/>
        </w:rPr>
        <w:t xml:space="preserve"> in 2024, </w:t>
      </w:r>
    </w:p>
  </w:endnote>
  <w:endnote w:id="186">
    <w:p w14:paraId="4B003308" w14:textId="65A56166"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MPS</w:t>
      </w:r>
    </w:p>
  </w:endnote>
  <w:endnote w:id="187">
    <w:p w14:paraId="19E6830E" w14:textId="5F1F4923"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7B0C9A">
        <w:rPr>
          <w:rFonts w:cstheme="minorHAnsi"/>
          <w:sz w:val="18"/>
          <w:szCs w:val="18"/>
        </w:rPr>
        <w:t>MPS</w:t>
      </w:r>
    </w:p>
  </w:endnote>
  <w:endnote w:id="188">
    <w:p w14:paraId="3B3E6822" w14:textId="49E7A968"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D363EF">
        <w:rPr>
          <w:rFonts w:cstheme="minorHAnsi"/>
          <w:sz w:val="18"/>
          <w:szCs w:val="18"/>
        </w:rPr>
        <w:t>MPS</w:t>
      </w:r>
    </w:p>
  </w:endnote>
  <w:endnote w:id="189">
    <w:p w14:paraId="642DB518" w14:textId="7C5E1D1E"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D363EF">
        <w:rPr>
          <w:rFonts w:cstheme="minorHAnsi"/>
          <w:sz w:val="18"/>
          <w:szCs w:val="18"/>
        </w:rPr>
        <w:t>MPS</w:t>
      </w:r>
    </w:p>
  </w:endnote>
  <w:endnote w:id="190">
    <w:p w14:paraId="48894444" w14:textId="30479093" w:rsidR="00E254F2" w:rsidRPr="00D363EF" w:rsidRDefault="00E254F2" w:rsidP="00D363EF">
      <w:pPr>
        <w:pStyle w:val="EndnoteText"/>
        <w:ind w:left="90" w:hanging="360"/>
        <w:rPr>
          <w:rFonts w:cstheme="minorHAnsi"/>
          <w:sz w:val="18"/>
          <w:szCs w:val="18"/>
        </w:rPr>
      </w:pPr>
      <w:r w:rsidRPr="00D363EF">
        <w:rPr>
          <w:rStyle w:val="EndnoteReference"/>
          <w:rFonts w:cstheme="minorHAnsi"/>
          <w:sz w:val="18"/>
          <w:szCs w:val="18"/>
        </w:rPr>
        <w:endnoteRef/>
      </w:r>
      <w:r w:rsidRPr="00D363EF">
        <w:rPr>
          <w:rFonts w:cstheme="minorHAnsi"/>
          <w:sz w:val="18"/>
          <w:szCs w:val="18"/>
        </w:rPr>
        <w:t xml:space="preserve"> Information received from </w:t>
      </w:r>
      <w:r w:rsidR="00D363EF">
        <w:rPr>
          <w:rFonts w:cstheme="minorHAnsi"/>
          <w:sz w:val="18"/>
          <w:szCs w:val="18"/>
        </w:rPr>
        <w:t>MPS</w:t>
      </w:r>
    </w:p>
  </w:endnote>
  <w:endnote w:id="191">
    <w:p w14:paraId="50CB7843" w14:textId="77777777" w:rsidR="00BC7D45" w:rsidRPr="00D363EF" w:rsidRDefault="00BC7D45"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Juvenile Justice Act (Law no: 18/2019)</w:t>
      </w:r>
    </w:p>
  </w:endnote>
  <w:endnote w:id="192">
    <w:p w14:paraId="71E90740" w14:textId="1F23A7A6" w:rsidR="00A67FA4" w:rsidRPr="00D363EF" w:rsidRDefault="00A67FA4" w:rsidP="00D363EF">
      <w:pPr>
        <w:pStyle w:val="EndnoteText"/>
        <w:ind w:left="90" w:hanging="360"/>
        <w:rPr>
          <w:rFonts w:cstheme="minorHAnsi"/>
          <w:sz w:val="18"/>
          <w:szCs w:val="18"/>
          <w:lang w:val="en-US"/>
        </w:rPr>
      </w:pPr>
      <w:r w:rsidRPr="00D363EF">
        <w:rPr>
          <w:rStyle w:val="EndnoteReference"/>
          <w:rFonts w:cstheme="minorHAnsi"/>
          <w:sz w:val="18"/>
          <w:szCs w:val="18"/>
        </w:rPr>
        <w:endnoteRef/>
      </w:r>
      <w:r w:rsidRPr="00D363EF">
        <w:rPr>
          <w:rFonts w:cstheme="minorHAnsi"/>
          <w:sz w:val="18"/>
          <w:szCs w:val="18"/>
        </w:rPr>
        <w:t xml:space="preserve"> Information received from PGO</w:t>
      </w:r>
    </w:p>
  </w:endnote>
  <w:endnote w:id="193">
    <w:p w14:paraId="28D194E8"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sz w:val="18"/>
          <w:szCs w:val="18"/>
        </w:rPr>
        <w:endnoteRef/>
      </w:r>
      <w:r w:rsidRPr="00D363EF">
        <w:rPr>
          <w:rFonts w:cstheme="minorHAnsi"/>
          <w:sz w:val="18"/>
          <w:szCs w:val="18"/>
        </w:rPr>
        <w:t xml:space="preserve"> Information received from PGO</w:t>
      </w:r>
    </w:p>
  </w:endnote>
  <w:endnote w:id="194">
    <w:p w14:paraId="0B4A57B5"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Information received from PGO</w:t>
      </w:r>
    </w:p>
  </w:endnote>
  <w:endnote w:id="195">
    <w:p w14:paraId="3E1382E9"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w:t>
      </w:r>
      <w:r w:rsidRPr="00D363EF">
        <w:rPr>
          <w:rFonts w:cstheme="minorHAnsi"/>
          <w:lang w:val="en-US"/>
        </w:rPr>
        <w:t xml:space="preserve">HRCM. (2024). International Covenant on Civil and Political Rights- shadow report. In Human Rights Commission of the Maldives. Retrieved September 3, 2025, from </w:t>
      </w:r>
    </w:p>
    <w:p w14:paraId="0D91FB6A" w14:textId="77777777" w:rsidR="00BC7D45" w:rsidRPr="00D363EF" w:rsidRDefault="00BC7D45" w:rsidP="00007E7A">
      <w:pPr>
        <w:pStyle w:val="EndnoteText"/>
        <w:ind w:left="90" w:firstLine="0"/>
        <w:rPr>
          <w:rFonts w:cstheme="minorHAnsi"/>
          <w:lang w:val="en-US"/>
        </w:rPr>
      </w:pPr>
      <w:r w:rsidRPr="00D363EF">
        <w:rPr>
          <w:rFonts w:cstheme="minorHAnsi"/>
          <w:lang w:val="en-US"/>
        </w:rPr>
        <w:t>https://hrcm.org.mv/storage/uploads/xRwXMRYW/3dsiak3i.pdf</w:t>
      </w:r>
    </w:p>
  </w:endnote>
  <w:endnote w:id="196">
    <w:p w14:paraId="3466D206"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Information received from PGO</w:t>
      </w:r>
    </w:p>
  </w:endnote>
  <w:endnote w:id="197">
    <w:p w14:paraId="6793F2B7"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w:t>
      </w:r>
      <w:r w:rsidRPr="00D363EF">
        <w:rPr>
          <w:rFonts w:cstheme="minorHAnsi"/>
          <w:lang w:val="en-US"/>
        </w:rPr>
        <w:t xml:space="preserve">HRCM. (2024). International Covenant on Civil and Political Rights- shadow report. In Human Rights Commission of the Maldives. Retrieved September 3, 2025, from </w:t>
      </w:r>
    </w:p>
    <w:p w14:paraId="31D33BB6" w14:textId="77777777" w:rsidR="00BC7D45" w:rsidRPr="00D363EF" w:rsidRDefault="00BC7D45" w:rsidP="00D363EF">
      <w:pPr>
        <w:pStyle w:val="EndnoteText"/>
        <w:ind w:left="90" w:hanging="360"/>
        <w:rPr>
          <w:rFonts w:cstheme="minorHAnsi"/>
          <w:lang w:val="en-US"/>
        </w:rPr>
      </w:pPr>
      <w:r w:rsidRPr="00D363EF">
        <w:rPr>
          <w:rFonts w:cstheme="minorHAnsi"/>
          <w:lang w:val="en-US"/>
        </w:rPr>
        <w:t>https://hrcm.org.mv/storage/uploads/xRwXMRYW/3dsiak3i.pdf</w:t>
      </w:r>
    </w:p>
  </w:endnote>
  <w:endnote w:id="198">
    <w:p w14:paraId="0FA677CF"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Information received from PGO</w:t>
      </w:r>
    </w:p>
  </w:endnote>
  <w:endnote w:id="199">
    <w:p w14:paraId="3BCFB129"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Information received from DJJ</w:t>
      </w:r>
    </w:p>
  </w:endnote>
  <w:endnote w:id="200">
    <w:p w14:paraId="29CC3EC6"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w:t>
      </w:r>
      <w:r w:rsidRPr="00D363EF">
        <w:rPr>
          <w:rFonts w:cstheme="minorHAnsi"/>
          <w:lang w:val="en-US"/>
        </w:rPr>
        <w:t xml:space="preserve">HRCM. (2024). International Covenant on Civil and Political Rights- shadow report. In Human Rights Commission of the Maldives. Retrieved September 3, 2025, from </w:t>
      </w:r>
    </w:p>
    <w:p w14:paraId="1B90F358" w14:textId="77777777" w:rsidR="00BC7D45" w:rsidRPr="00D363EF" w:rsidRDefault="00BC7D45" w:rsidP="00D363EF">
      <w:pPr>
        <w:pStyle w:val="EndnoteText"/>
        <w:ind w:left="90" w:hanging="360"/>
        <w:rPr>
          <w:rFonts w:cstheme="minorHAnsi"/>
          <w:lang w:val="en-US"/>
        </w:rPr>
      </w:pPr>
      <w:r w:rsidRPr="00D363EF">
        <w:rPr>
          <w:rFonts w:cstheme="minorHAnsi"/>
          <w:lang w:val="en-US"/>
        </w:rPr>
        <w:t>https://hrcm.org.mv/storage/uploads/xRwXMRYW/3dsiak3i.pdf</w:t>
      </w:r>
    </w:p>
  </w:endnote>
  <w:endnote w:id="201">
    <w:p w14:paraId="22D44067"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w:t>
      </w:r>
      <w:r w:rsidRPr="00D363EF">
        <w:rPr>
          <w:rFonts w:cstheme="minorHAnsi"/>
          <w:lang w:val="en-US"/>
        </w:rPr>
        <w:t xml:space="preserve">HRCM. (2024). International Covenant on Civil and Political Rights- shadow report. In Human Rights Commission of the Maldives. Retrieved September 3, 2025, from </w:t>
      </w:r>
    </w:p>
    <w:p w14:paraId="43B76332" w14:textId="77777777" w:rsidR="00BC7D45" w:rsidRPr="00D363EF" w:rsidRDefault="00BC7D45" w:rsidP="00D363EF">
      <w:pPr>
        <w:pStyle w:val="EndnoteText"/>
        <w:ind w:left="90" w:hanging="360"/>
        <w:rPr>
          <w:rFonts w:cstheme="minorHAnsi"/>
          <w:lang w:val="en-US"/>
        </w:rPr>
      </w:pPr>
      <w:r w:rsidRPr="00D363EF">
        <w:rPr>
          <w:rFonts w:cstheme="minorHAnsi"/>
          <w:lang w:val="en-US"/>
        </w:rPr>
        <w:t>https://hrcm.org.mv/storage/uploads/xRwXMRYW/3dsiak3i.pdf</w:t>
      </w:r>
    </w:p>
  </w:endnote>
  <w:endnote w:id="202">
    <w:p w14:paraId="6D653C58"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w:t>
      </w:r>
      <w:r w:rsidRPr="00D363EF">
        <w:rPr>
          <w:rFonts w:cstheme="minorHAnsi"/>
          <w:lang w:val="en-US"/>
        </w:rPr>
        <w:t xml:space="preserve">HRCM. (2024). International Covenant on Civil and Political Rights- shadow report. In Human Rights Commission of the Maldives. Retrieved September 3, 2025, from </w:t>
      </w:r>
    </w:p>
    <w:p w14:paraId="5FC8EB3C" w14:textId="77777777" w:rsidR="00BC7D45" w:rsidRPr="00D363EF" w:rsidRDefault="00BC7D45" w:rsidP="00D363EF">
      <w:pPr>
        <w:pStyle w:val="EndnoteText"/>
        <w:ind w:left="90" w:hanging="360"/>
        <w:rPr>
          <w:rFonts w:cstheme="minorHAnsi"/>
          <w:lang w:val="en-US"/>
        </w:rPr>
      </w:pPr>
      <w:r w:rsidRPr="00D363EF">
        <w:rPr>
          <w:rFonts w:cstheme="minorHAnsi"/>
          <w:lang w:val="en-US"/>
        </w:rPr>
        <w:t>https://hrcm.org.mv/storage/uploads/xRwXMRYW/3dsiak3i.pdf</w:t>
      </w:r>
    </w:p>
  </w:endnote>
  <w:endnote w:id="203">
    <w:p w14:paraId="27482487" w14:textId="77777777" w:rsidR="00BC7D45" w:rsidRPr="00D363EF" w:rsidRDefault="00BC7D45" w:rsidP="00D363EF">
      <w:pPr>
        <w:pStyle w:val="EndnoteText"/>
        <w:ind w:left="90" w:hanging="360"/>
        <w:rPr>
          <w:rFonts w:cstheme="minorHAnsi"/>
        </w:rPr>
      </w:pPr>
      <w:r w:rsidRPr="00D363EF">
        <w:rPr>
          <w:rStyle w:val="EndnoteReference"/>
          <w:rFonts w:cstheme="minorHAnsi"/>
        </w:rPr>
        <w:endnoteRef/>
      </w:r>
      <w:r w:rsidRPr="00D363EF">
        <w:rPr>
          <w:rFonts w:cstheme="minorHAnsi"/>
        </w:rPr>
        <w:t xml:space="preserve"> PSM news (2024). </w:t>
      </w:r>
      <w:r w:rsidRPr="00D363EF">
        <w:rPr>
          <w:rFonts w:cstheme="minorHAnsi"/>
          <w:i/>
          <w:iCs/>
        </w:rPr>
        <w:t>Gov't to lower the criminal responsibility age to 12 years</w:t>
      </w:r>
      <w:r w:rsidRPr="00D363EF">
        <w:rPr>
          <w:rFonts w:cstheme="minorHAnsi"/>
        </w:rPr>
        <w:t xml:space="preserve">. retrieved on September 3, 2025  from  </w:t>
      </w:r>
      <w:hyperlink r:id="rId34" w:history="1">
        <w:r w:rsidRPr="00D363EF">
          <w:rPr>
            <w:rStyle w:val="Hyperlink"/>
            <w:rFonts w:cstheme="minorHAnsi"/>
          </w:rPr>
          <w:t>https://psmnews.mv/en/135756</w:t>
        </w:r>
      </w:hyperlink>
    </w:p>
  </w:endnote>
  <w:endnote w:id="204">
    <w:p w14:paraId="0EB09732" w14:textId="0BA5C08A" w:rsidR="00D25236" w:rsidRPr="00D363EF" w:rsidRDefault="006B1C4A" w:rsidP="00D363EF">
      <w:pPr>
        <w:pStyle w:val="EndnoteText"/>
        <w:ind w:left="90" w:hanging="360"/>
        <w:rPr>
          <w:rFonts w:cstheme="minorHAnsi"/>
        </w:rPr>
      </w:pPr>
      <w:r w:rsidRPr="00D363EF">
        <w:rPr>
          <w:rStyle w:val="EndnoteReference"/>
          <w:rFonts w:cstheme="minorHAnsi"/>
        </w:rPr>
        <w:endnoteRef/>
      </w:r>
      <w:r w:rsidRPr="00D363EF">
        <w:rPr>
          <w:rFonts w:cstheme="minorHAnsi"/>
        </w:rPr>
        <w:t xml:space="preserve"> </w:t>
      </w:r>
      <w:r w:rsidR="00D25236" w:rsidRPr="00D363EF">
        <w:rPr>
          <w:rFonts w:cstheme="minorHAnsi"/>
        </w:rPr>
        <w:t xml:space="preserve">Information received from PGO </w:t>
      </w:r>
    </w:p>
    <w:p w14:paraId="076D427B" w14:textId="7D1AF832" w:rsidR="006B1C4A" w:rsidRPr="00D363EF" w:rsidRDefault="006B1C4A" w:rsidP="00007E7A">
      <w:pPr>
        <w:pStyle w:val="EndnoteText"/>
        <w:ind w:left="90" w:firstLine="0"/>
        <w:rPr>
          <w:rFonts w:cstheme="minorHAnsi"/>
          <w:lang w:val="en-US"/>
        </w:rPr>
      </w:pPr>
      <w:r w:rsidRPr="00D363EF">
        <w:rPr>
          <w:rFonts w:cstheme="minorHAnsi"/>
        </w:rPr>
        <w:t xml:space="preserve">Hussain, F. A. (2019, August 19). </w:t>
      </w:r>
      <w:r w:rsidRPr="00D363EF">
        <w:rPr>
          <w:rFonts w:cstheme="minorHAnsi"/>
          <w:i/>
          <w:iCs/>
        </w:rPr>
        <w:t>Maldives to criminalize recruitment of minors to gangs</w:t>
      </w:r>
      <w:r w:rsidRPr="00D363EF">
        <w:rPr>
          <w:rFonts w:cstheme="minorHAnsi"/>
        </w:rPr>
        <w:t xml:space="preserve">. SunOnline International. </w:t>
      </w:r>
      <w:hyperlink r:id="rId35" w:tgtFrame="_blank" w:history="1">
        <w:r w:rsidRPr="00D363EF">
          <w:rPr>
            <w:rStyle w:val="Hyperlink"/>
            <w:rFonts w:cstheme="minorHAnsi"/>
          </w:rPr>
          <w:t>https://en.sun.mv/54943</w:t>
        </w:r>
      </w:hyperlink>
    </w:p>
  </w:endnote>
  <w:endnote w:id="205">
    <w:p w14:paraId="6A3102B5" w14:textId="77777777" w:rsidR="00D25236" w:rsidRPr="00D363EF" w:rsidRDefault="006B1C4A" w:rsidP="00D363EF">
      <w:pPr>
        <w:pStyle w:val="EndnoteText"/>
        <w:ind w:left="90" w:hanging="360"/>
        <w:rPr>
          <w:rFonts w:cstheme="minorHAnsi"/>
          <w:lang w:val="en-US"/>
        </w:rPr>
      </w:pPr>
      <w:r w:rsidRPr="00DB7EF8">
        <w:rPr>
          <w:rStyle w:val="EndnoteReference"/>
          <w:rFonts w:cstheme="minorHAnsi"/>
        </w:rPr>
        <w:endnoteRef/>
      </w:r>
      <w:r w:rsidRPr="00D363EF">
        <w:rPr>
          <w:rFonts w:cstheme="minorHAnsi"/>
        </w:rPr>
        <w:t xml:space="preserve"> </w:t>
      </w:r>
      <w:r w:rsidR="00D25236" w:rsidRPr="00D363EF">
        <w:rPr>
          <w:rFonts w:cstheme="minorHAnsi"/>
          <w:lang w:val="en-US"/>
        </w:rPr>
        <w:t xml:space="preserve">HRCM. (2024). International Covenant on Civil and Political Rights- shadow report. In Human Rights Commission of the Maldives. Retrieved September 3, 2025, from </w:t>
      </w:r>
    </w:p>
    <w:p w14:paraId="26AD4281" w14:textId="014161FB" w:rsidR="006B1C4A" w:rsidRPr="00D363EF" w:rsidRDefault="00D25236" w:rsidP="00007E7A">
      <w:pPr>
        <w:pStyle w:val="EndnoteText"/>
        <w:ind w:left="90" w:firstLine="0"/>
        <w:rPr>
          <w:rFonts w:cstheme="minorHAnsi"/>
          <w:lang w:val="en-US"/>
        </w:rPr>
      </w:pPr>
      <w:r w:rsidRPr="00D363EF">
        <w:rPr>
          <w:rFonts w:cstheme="minorHAnsi"/>
          <w:lang w:val="en-US"/>
        </w:rPr>
        <w:t>https://hrcm.org.mv/storage/uploads/xRwXMRYW/3dsiak3i.pdf</w:t>
      </w:r>
    </w:p>
  </w:endnote>
  <w:endnote w:id="206">
    <w:p w14:paraId="5A0DB510" w14:textId="0CD5AF06" w:rsidR="007C577A" w:rsidRDefault="007C577A" w:rsidP="007C577A">
      <w:pPr>
        <w:pStyle w:val="EndnoteText"/>
        <w:ind w:hanging="630"/>
        <w:rPr>
          <w:lang w:val="en-US"/>
        </w:rPr>
      </w:pPr>
      <w:r>
        <w:rPr>
          <w:rStyle w:val="EndnoteReference"/>
        </w:rPr>
        <w:endnoteRef/>
      </w:r>
      <w:r>
        <w:t xml:space="preserve"> </w:t>
      </w:r>
      <w:r>
        <w:rPr>
          <w:lang w:val="en-US"/>
        </w:rPr>
        <w:t xml:space="preserve">Information Received from MoSFD </w:t>
      </w:r>
    </w:p>
    <w:p w14:paraId="66144A6D" w14:textId="144BD9FB" w:rsidR="007C577A" w:rsidRDefault="007C577A">
      <w:pPr>
        <w:pStyle w:val="EndnoteText"/>
        <w:rPr>
          <w:lang w:val="en-US"/>
        </w:rPr>
      </w:pPr>
      <w:r>
        <w:rPr>
          <w:lang w:val="en-US"/>
        </w:rPr>
        <w:t>Information</w:t>
      </w:r>
      <w:r w:rsidRPr="007C577A">
        <w:rPr>
          <w:lang w:val="en-US"/>
        </w:rPr>
        <w:t xml:space="preserve"> </w:t>
      </w:r>
      <w:r>
        <w:rPr>
          <w:lang w:val="en-US"/>
        </w:rPr>
        <w:t xml:space="preserve">Received from MPS </w:t>
      </w:r>
    </w:p>
    <w:p w14:paraId="4B574753" w14:textId="4E2FE556" w:rsidR="007C577A" w:rsidRPr="007C577A" w:rsidRDefault="007C577A">
      <w:pPr>
        <w:pStyle w:val="EndnoteText"/>
        <w:rPr>
          <w:lang w:val="en-US"/>
        </w:rPr>
      </w:pPr>
      <w:r>
        <w:rPr>
          <w:lang w:val="en-US"/>
        </w:rPr>
        <w:t>Information Received from FPA</w:t>
      </w:r>
    </w:p>
  </w:endnote>
  <w:endnote w:id="207">
    <w:p w14:paraId="147C888D" w14:textId="77777777" w:rsidR="00BC7D45" w:rsidRPr="00D363EF" w:rsidRDefault="00BC7D45" w:rsidP="00D363EF">
      <w:pPr>
        <w:pStyle w:val="EndnoteText"/>
        <w:ind w:left="90" w:hanging="360"/>
        <w:rPr>
          <w:rFonts w:cstheme="minorHAnsi"/>
          <w:lang w:val="en-US"/>
        </w:rPr>
      </w:pPr>
      <w:r w:rsidRPr="00D363EF">
        <w:rPr>
          <w:rStyle w:val="EndnoteReference"/>
          <w:rFonts w:cstheme="minorHAnsi"/>
        </w:rPr>
        <w:endnoteRef/>
      </w:r>
      <w:r w:rsidRPr="00D363EF">
        <w:rPr>
          <w:rFonts w:cstheme="minorHAnsi"/>
        </w:rPr>
        <w:t xml:space="preserve"> </w:t>
      </w:r>
      <w:r w:rsidRPr="00D363EF">
        <w:rPr>
          <w:rFonts w:cstheme="minorHAnsi"/>
          <w:i/>
          <w:iCs/>
        </w:rPr>
        <w:t>Atoll Monitoring Report (2025). Unpublished</w:t>
      </w:r>
    </w:p>
  </w:endnote>
  <w:endnote w:id="208">
    <w:p w14:paraId="050EB950" w14:textId="319A644C" w:rsidR="00F86CBC" w:rsidRPr="00F86CBC" w:rsidRDefault="00F86CBC" w:rsidP="00F86CBC">
      <w:pPr>
        <w:pStyle w:val="EndnoteText"/>
        <w:ind w:hanging="630"/>
        <w:rPr>
          <w:lang w:val="en-US"/>
        </w:rPr>
      </w:pPr>
      <w:r>
        <w:rPr>
          <w:rStyle w:val="EndnoteReference"/>
        </w:rPr>
        <w:endnoteRef/>
      </w:r>
      <w:r>
        <w:t xml:space="preserve"> </w:t>
      </w:r>
      <w:r>
        <w:rPr>
          <w:lang w:val="en-US"/>
        </w:rPr>
        <w:t>Information</w:t>
      </w:r>
      <w:r w:rsidRPr="007C577A">
        <w:rPr>
          <w:lang w:val="en-US"/>
        </w:rPr>
        <w:t xml:space="preserve"> </w:t>
      </w:r>
      <w:r>
        <w:rPr>
          <w:lang w:val="en-US"/>
        </w:rPr>
        <w:t>Received from FPA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703423"/>
      <w:docPartObj>
        <w:docPartGallery w:val="Page Numbers (Bottom of Page)"/>
        <w:docPartUnique/>
      </w:docPartObj>
    </w:sdtPr>
    <w:sdtEndPr>
      <w:rPr>
        <w:noProof/>
      </w:rPr>
    </w:sdtEndPr>
    <w:sdtContent>
      <w:p w14:paraId="38E602BB" w14:textId="5B9187EE" w:rsidR="00BC7D45" w:rsidRDefault="00BC7D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B67BF5" w14:textId="77777777" w:rsidR="00BC7D45" w:rsidRDefault="00BC7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54DC2" w14:textId="77777777" w:rsidR="00604B2F" w:rsidRDefault="00604B2F" w:rsidP="007955AC">
      <w:pPr>
        <w:spacing w:after="0" w:line="240" w:lineRule="auto"/>
      </w:pPr>
      <w:r>
        <w:separator/>
      </w:r>
    </w:p>
  </w:footnote>
  <w:footnote w:type="continuationSeparator" w:id="0">
    <w:p w14:paraId="6A25C8B3" w14:textId="77777777" w:rsidR="00604B2F" w:rsidRDefault="00604B2F" w:rsidP="0079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29F"/>
    <w:multiLevelType w:val="hybridMultilevel"/>
    <w:tmpl w:val="D8AE272C"/>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5D2A65"/>
    <w:multiLevelType w:val="hybridMultilevel"/>
    <w:tmpl w:val="A1B66486"/>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CA6D33"/>
    <w:multiLevelType w:val="hybridMultilevel"/>
    <w:tmpl w:val="30A6D128"/>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6908D9"/>
    <w:multiLevelType w:val="hybridMultilevel"/>
    <w:tmpl w:val="E8E64BF8"/>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D677FF"/>
    <w:multiLevelType w:val="hybridMultilevel"/>
    <w:tmpl w:val="9B64D158"/>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287144"/>
    <w:multiLevelType w:val="hybridMultilevel"/>
    <w:tmpl w:val="8028FCC8"/>
    <w:lvl w:ilvl="0" w:tplc="AFA4B246">
      <w:start w:val="56"/>
      <w:numFmt w:val="decimal"/>
      <w:lvlText w:val="%1."/>
      <w:lvlJc w:val="left"/>
      <w:pPr>
        <w:ind w:left="1080" w:hanging="360"/>
      </w:pPr>
      <w:rPr>
        <w:rFonts w:hint="default"/>
      </w:rPr>
    </w:lvl>
    <w:lvl w:ilvl="1" w:tplc="04090019">
      <w:start w:val="1"/>
      <w:numFmt w:val="lowerLetter"/>
      <w:lvlText w:val="%2."/>
      <w:lvlJc w:val="left"/>
      <w:pPr>
        <w:ind w:left="1440" w:hanging="360"/>
      </w:pPr>
    </w:lvl>
    <w:lvl w:ilvl="2" w:tplc="E36E7EDE">
      <w:start w:val="5"/>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4747FE"/>
    <w:multiLevelType w:val="hybridMultilevel"/>
    <w:tmpl w:val="1302BB14"/>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F57A43"/>
    <w:multiLevelType w:val="hybridMultilevel"/>
    <w:tmpl w:val="5A468B36"/>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956612"/>
    <w:multiLevelType w:val="hybridMultilevel"/>
    <w:tmpl w:val="F23EF97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560F3C"/>
    <w:multiLevelType w:val="hybridMultilevel"/>
    <w:tmpl w:val="2F2C1AE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E917A4"/>
    <w:multiLevelType w:val="hybridMultilevel"/>
    <w:tmpl w:val="0F90737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FF4812"/>
    <w:multiLevelType w:val="hybridMultilevel"/>
    <w:tmpl w:val="5A828A1C"/>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C91F6C"/>
    <w:multiLevelType w:val="hybridMultilevel"/>
    <w:tmpl w:val="45263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2896D79"/>
    <w:multiLevelType w:val="hybridMultilevel"/>
    <w:tmpl w:val="66FADDB2"/>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7003D20"/>
    <w:multiLevelType w:val="hybridMultilevel"/>
    <w:tmpl w:val="00EE107A"/>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BE570AF"/>
    <w:multiLevelType w:val="hybridMultilevel"/>
    <w:tmpl w:val="ABC29D58"/>
    <w:lvl w:ilvl="0" w:tplc="9F8098A4">
      <w:start w:val="58"/>
      <w:numFmt w:val="decimal"/>
      <w:lvlText w:val="%1."/>
      <w:lvlJc w:val="left"/>
      <w:pPr>
        <w:ind w:left="1080" w:hanging="360"/>
      </w:pPr>
      <w:rPr>
        <w:rFonts w:hint="default"/>
        <w:b w:val="0"/>
        <w:bCs w:val="0"/>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5517E2"/>
    <w:multiLevelType w:val="hybridMultilevel"/>
    <w:tmpl w:val="C0D8A334"/>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D76463"/>
    <w:multiLevelType w:val="hybridMultilevel"/>
    <w:tmpl w:val="EE02858A"/>
    <w:lvl w:ilvl="0" w:tplc="79483EC4">
      <w:start w:val="58"/>
      <w:numFmt w:val="decimal"/>
      <w:lvlText w:val="%1."/>
      <w:lvlJc w:val="left"/>
      <w:pPr>
        <w:ind w:left="1526" w:hanging="360"/>
      </w:pPr>
      <w:rPr>
        <w:rFonts w:hint="default"/>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8" w15:restartNumberingAfterBreak="0">
    <w:nsid w:val="49075720"/>
    <w:multiLevelType w:val="hybridMultilevel"/>
    <w:tmpl w:val="B87E321A"/>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3203633"/>
    <w:multiLevelType w:val="hybridMultilevel"/>
    <w:tmpl w:val="B7ACE6A6"/>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06756E"/>
    <w:multiLevelType w:val="hybridMultilevel"/>
    <w:tmpl w:val="3974A048"/>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CCF3E6A"/>
    <w:multiLevelType w:val="hybridMultilevel"/>
    <w:tmpl w:val="4588E1EE"/>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0530DD"/>
    <w:multiLevelType w:val="hybridMultilevel"/>
    <w:tmpl w:val="B6100C32"/>
    <w:lvl w:ilvl="0" w:tplc="79483EC4">
      <w:start w:val="58"/>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FFD380F"/>
    <w:multiLevelType w:val="hybridMultilevel"/>
    <w:tmpl w:val="CC94C1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0557096"/>
    <w:multiLevelType w:val="hybridMultilevel"/>
    <w:tmpl w:val="3C46CB22"/>
    <w:lvl w:ilvl="0" w:tplc="402A1FDA">
      <w:start w:val="1"/>
      <w:numFmt w:val="decimal"/>
      <w:lvlText w:val="%1."/>
      <w:lvlJc w:val="left"/>
      <w:pPr>
        <w:ind w:left="216" w:hanging="360"/>
      </w:pPr>
      <w:rPr>
        <w:b w:val="0"/>
        <w:bCs w:val="0"/>
        <w:strike w:val="0"/>
      </w:rPr>
    </w:lvl>
    <w:lvl w:ilvl="1" w:tplc="04090019">
      <w:start w:val="1"/>
      <w:numFmt w:val="lowerLetter"/>
      <w:lvlText w:val="%2."/>
      <w:lvlJc w:val="left"/>
      <w:pPr>
        <w:ind w:left="936" w:hanging="360"/>
      </w:pPr>
    </w:lvl>
    <w:lvl w:ilvl="2" w:tplc="0409001B" w:tentative="1">
      <w:start w:val="1"/>
      <w:numFmt w:val="lowerRoman"/>
      <w:lvlText w:val="%3."/>
      <w:lvlJc w:val="right"/>
      <w:pPr>
        <w:ind w:left="1656" w:hanging="180"/>
      </w:pPr>
    </w:lvl>
    <w:lvl w:ilvl="3" w:tplc="0409000F" w:tentative="1">
      <w:start w:val="1"/>
      <w:numFmt w:val="decimal"/>
      <w:lvlText w:val="%4."/>
      <w:lvlJc w:val="left"/>
      <w:pPr>
        <w:ind w:left="2376" w:hanging="360"/>
      </w:pPr>
    </w:lvl>
    <w:lvl w:ilvl="4" w:tplc="04090019" w:tentative="1">
      <w:start w:val="1"/>
      <w:numFmt w:val="lowerLetter"/>
      <w:lvlText w:val="%5."/>
      <w:lvlJc w:val="left"/>
      <w:pPr>
        <w:ind w:left="3096" w:hanging="360"/>
      </w:pPr>
    </w:lvl>
    <w:lvl w:ilvl="5" w:tplc="0409001B" w:tentative="1">
      <w:start w:val="1"/>
      <w:numFmt w:val="lowerRoman"/>
      <w:lvlText w:val="%6."/>
      <w:lvlJc w:val="right"/>
      <w:pPr>
        <w:ind w:left="3816" w:hanging="180"/>
      </w:pPr>
    </w:lvl>
    <w:lvl w:ilvl="6" w:tplc="0409000F" w:tentative="1">
      <w:start w:val="1"/>
      <w:numFmt w:val="decimal"/>
      <w:lvlText w:val="%7."/>
      <w:lvlJc w:val="left"/>
      <w:pPr>
        <w:ind w:left="4536" w:hanging="360"/>
      </w:pPr>
    </w:lvl>
    <w:lvl w:ilvl="7" w:tplc="04090019" w:tentative="1">
      <w:start w:val="1"/>
      <w:numFmt w:val="lowerLetter"/>
      <w:lvlText w:val="%8."/>
      <w:lvlJc w:val="left"/>
      <w:pPr>
        <w:ind w:left="5256" w:hanging="360"/>
      </w:pPr>
    </w:lvl>
    <w:lvl w:ilvl="8" w:tplc="0409001B" w:tentative="1">
      <w:start w:val="1"/>
      <w:numFmt w:val="lowerRoman"/>
      <w:lvlText w:val="%9."/>
      <w:lvlJc w:val="right"/>
      <w:pPr>
        <w:ind w:left="5976" w:hanging="180"/>
      </w:pPr>
    </w:lvl>
  </w:abstractNum>
  <w:abstractNum w:abstractNumId="25" w15:restartNumberingAfterBreak="0">
    <w:nsid w:val="606B3A03"/>
    <w:multiLevelType w:val="hybridMultilevel"/>
    <w:tmpl w:val="8BEAFF7E"/>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3D02A1"/>
    <w:multiLevelType w:val="hybridMultilevel"/>
    <w:tmpl w:val="F06C09CC"/>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2404217"/>
    <w:multiLevelType w:val="hybridMultilevel"/>
    <w:tmpl w:val="312A9B9A"/>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99C2A46"/>
    <w:multiLevelType w:val="hybridMultilevel"/>
    <w:tmpl w:val="579E9A7C"/>
    <w:lvl w:ilvl="0" w:tplc="04090001">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F1C2E87"/>
    <w:multiLevelType w:val="hybridMultilevel"/>
    <w:tmpl w:val="E6444ED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F831196"/>
    <w:multiLevelType w:val="hybridMultilevel"/>
    <w:tmpl w:val="89F2A0D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5"/>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87664871">
    <w:abstractNumId w:val="19"/>
  </w:num>
  <w:num w:numId="2" w16cid:durableId="1705059283">
    <w:abstractNumId w:val="5"/>
  </w:num>
  <w:num w:numId="3" w16cid:durableId="998071471">
    <w:abstractNumId w:val="29"/>
  </w:num>
  <w:num w:numId="4" w16cid:durableId="579339914">
    <w:abstractNumId w:val="9"/>
  </w:num>
  <w:num w:numId="5" w16cid:durableId="2105150150">
    <w:abstractNumId w:val="8"/>
  </w:num>
  <w:num w:numId="6" w16cid:durableId="505942917">
    <w:abstractNumId w:val="10"/>
  </w:num>
  <w:num w:numId="7" w16cid:durableId="1816027901">
    <w:abstractNumId w:val="16"/>
  </w:num>
  <w:num w:numId="8" w16cid:durableId="1246455776">
    <w:abstractNumId w:val="30"/>
  </w:num>
  <w:num w:numId="9" w16cid:durableId="390007343">
    <w:abstractNumId w:val="0"/>
  </w:num>
  <w:num w:numId="10" w16cid:durableId="1118446895">
    <w:abstractNumId w:val="15"/>
  </w:num>
  <w:num w:numId="11" w16cid:durableId="1342052064">
    <w:abstractNumId w:val="4"/>
  </w:num>
  <w:num w:numId="12" w16cid:durableId="747076069">
    <w:abstractNumId w:val="21"/>
  </w:num>
  <w:num w:numId="13" w16cid:durableId="2134515851">
    <w:abstractNumId w:val="13"/>
  </w:num>
  <w:num w:numId="14" w16cid:durableId="127942165">
    <w:abstractNumId w:val="23"/>
  </w:num>
  <w:num w:numId="15" w16cid:durableId="762804512">
    <w:abstractNumId w:val="27"/>
  </w:num>
  <w:num w:numId="16" w16cid:durableId="20136714">
    <w:abstractNumId w:val="2"/>
  </w:num>
  <w:num w:numId="17" w16cid:durableId="426997040">
    <w:abstractNumId w:val="3"/>
  </w:num>
  <w:num w:numId="18" w16cid:durableId="797456300">
    <w:abstractNumId w:val="14"/>
  </w:num>
  <w:num w:numId="19" w16cid:durableId="300771819">
    <w:abstractNumId w:val="11"/>
  </w:num>
  <w:num w:numId="20" w16cid:durableId="634992139">
    <w:abstractNumId w:val="6"/>
  </w:num>
  <w:num w:numId="21" w16cid:durableId="1448500158">
    <w:abstractNumId w:val="17"/>
  </w:num>
  <w:num w:numId="22" w16cid:durableId="2096046603">
    <w:abstractNumId w:val="28"/>
  </w:num>
  <w:num w:numId="23" w16cid:durableId="603074023">
    <w:abstractNumId w:val="7"/>
  </w:num>
  <w:num w:numId="24" w16cid:durableId="1081802859">
    <w:abstractNumId w:val="25"/>
  </w:num>
  <w:num w:numId="25" w16cid:durableId="617034309">
    <w:abstractNumId w:val="1"/>
  </w:num>
  <w:num w:numId="26" w16cid:durableId="1005589335">
    <w:abstractNumId w:val="20"/>
  </w:num>
  <w:num w:numId="27" w16cid:durableId="679702263">
    <w:abstractNumId w:val="18"/>
  </w:num>
  <w:num w:numId="28" w16cid:durableId="2145996564">
    <w:abstractNumId w:val="26"/>
  </w:num>
  <w:num w:numId="29" w16cid:durableId="1347706287">
    <w:abstractNumId w:val="22"/>
  </w:num>
  <w:num w:numId="30" w16cid:durableId="639651089">
    <w:abstractNumId w:val="24"/>
  </w:num>
  <w:num w:numId="31" w16cid:durableId="21053032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AD"/>
    <w:rsid w:val="00003E9F"/>
    <w:rsid w:val="00005E04"/>
    <w:rsid w:val="000077AC"/>
    <w:rsid w:val="00007E7A"/>
    <w:rsid w:val="00015747"/>
    <w:rsid w:val="00022DC1"/>
    <w:rsid w:val="00025032"/>
    <w:rsid w:val="0004254A"/>
    <w:rsid w:val="000469FD"/>
    <w:rsid w:val="00064652"/>
    <w:rsid w:val="00074019"/>
    <w:rsid w:val="000770A7"/>
    <w:rsid w:val="0008585E"/>
    <w:rsid w:val="000A2D8A"/>
    <w:rsid w:val="000A3D74"/>
    <w:rsid w:val="000B441B"/>
    <w:rsid w:val="000B6441"/>
    <w:rsid w:val="000D614F"/>
    <w:rsid w:val="000E09D6"/>
    <w:rsid w:val="000E469E"/>
    <w:rsid w:val="000F34E9"/>
    <w:rsid w:val="00101446"/>
    <w:rsid w:val="00101B2B"/>
    <w:rsid w:val="0012037E"/>
    <w:rsid w:val="00120D79"/>
    <w:rsid w:val="001215E1"/>
    <w:rsid w:val="00122636"/>
    <w:rsid w:val="00141ED5"/>
    <w:rsid w:val="00165912"/>
    <w:rsid w:val="0016719B"/>
    <w:rsid w:val="00172BF2"/>
    <w:rsid w:val="00174358"/>
    <w:rsid w:val="001743BF"/>
    <w:rsid w:val="001A1857"/>
    <w:rsid w:val="001A22A1"/>
    <w:rsid w:val="001B000F"/>
    <w:rsid w:val="001C4D4E"/>
    <w:rsid w:val="001F59E5"/>
    <w:rsid w:val="002021C3"/>
    <w:rsid w:val="0022767B"/>
    <w:rsid w:val="00235C59"/>
    <w:rsid w:val="00242713"/>
    <w:rsid w:val="00245DA6"/>
    <w:rsid w:val="00256426"/>
    <w:rsid w:val="002634D6"/>
    <w:rsid w:val="00266182"/>
    <w:rsid w:val="00270564"/>
    <w:rsid w:val="00273886"/>
    <w:rsid w:val="002B27BF"/>
    <w:rsid w:val="002D5649"/>
    <w:rsid w:val="002D79A7"/>
    <w:rsid w:val="002E0C7D"/>
    <w:rsid w:val="002E1AE0"/>
    <w:rsid w:val="002E6692"/>
    <w:rsid w:val="002F22C7"/>
    <w:rsid w:val="0031165C"/>
    <w:rsid w:val="0032146D"/>
    <w:rsid w:val="0032221C"/>
    <w:rsid w:val="003278CB"/>
    <w:rsid w:val="00337414"/>
    <w:rsid w:val="00350751"/>
    <w:rsid w:val="00362C72"/>
    <w:rsid w:val="00363CDE"/>
    <w:rsid w:val="003679FC"/>
    <w:rsid w:val="00374B2E"/>
    <w:rsid w:val="00385C4D"/>
    <w:rsid w:val="00392558"/>
    <w:rsid w:val="003940F5"/>
    <w:rsid w:val="003950C7"/>
    <w:rsid w:val="00395CE5"/>
    <w:rsid w:val="00396F89"/>
    <w:rsid w:val="003B1630"/>
    <w:rsid w:val="003B1FE7"/>
    <w:rsid w:val="003C3272"/>
    <w:rsid w:val="003C598D"/>
    <w:rsid w:val="003D1F24"/>
    <w:rsid w:val="003E4596"/>
    <w:rsid w:val="003E65E1"/>
    <w:rsid w:val="00400958"/>
    <w:rsid w:val="00423A38"/>
    <w:rsid w:val="00436A1D"/>
    <w:rsid w:val="00456AE4"/>
    <w:rsid w:val="00456FC3"/>
    <w:rsid w:val="004574A5"/>
    <w:rsid w:val="0046236C"/>
    <w:rsid w:val="00463572"/>
    <w:rsid w:val="004757AD"/>
    <w:rsid w:val="00476070"/>
    <w:rsid w:val="00477097"/>
    <w:rsid w:val="00485C32"/>
    <w:rsid w:val="004956FF"/>
    <w:rsid w:val="004A7819"/>
    <w:rsid w:val="004B12C6"/>
    <w:rsid w:val="004B1BCB"/>
    <w:rsid w:val="004B4503"/>
    <w:rsid w:val="004B6D92"/>
    <w:rsid w:val="004C466C"/>
    <w:rsid w:val="004D241D"/>
    <w:rsid w:val="004D4E9F"/>
    <w:rsid w:val="004F4001"/>
    <w:rsid w:val="00541E6F"/>
    <w:rsid w:val="005709C7"/>
    <w:rsid w:val="00596B98"/>
    <w:rsid w:val="005A11BE"/>
    <w:rsid w:val="005A201C"/>
    <w:rsid w:val="005A4DC9"/>
    <w:rsid w:val="005A6A9F"/>
    <w:rsid w:val="005E4457"/>
    <w:rsid w:val="005F383F"/>
    <w:rsid w:val="00601D68"/>
    <w:rsid w:val="00604B2F"/>
    <w:rsid w:val="00621C97"/>
    <w:rsid w:val="00622DC2"/>
    <w:rsid w:val="0062454B"/>
    <w:rsid w:val="00626726"/>
    <w:rsid w:val="006308E8"/>
    <w:rsid w:val="006338DF"/>
    <w:rsid w:val="006340B5"/>
    <w:rsid w:val="0064284B"/>
    <w:rsid w:val="00644102"/>
    <w:rsid w:val="00647EBE"/>
    <w:rsid w:val="00661122"/>
    <w:rsid w:val="00661D18"/>
    <w:rsid w:val="006728AF"/>
    <w:rsid w:val="00674AFD"/>
    <w:rsid w:val="006A4DAA"/>
    <w:rsid w:val="006B1C4A"/>
    <w:rsid w:val="006C5FF2"/>
    <w:rsid w:val="00705ABB"/>
    <w:rsid w:val="00721215"/>
    <w:rsid w:val="00722508"/>
    <w:rsid w:val="007321A9"/>
    <w:rsid w:val="007374C0"/>
    <w:rsid w:val="007430BB"/>
    <w:rsid w:val="00747E9C"/>
    <w:rsid w:val="00755A22"/>
    <w:rsid w:val="00761D56"/>
    <w:rsid w:val="00767CDE"/>
    <w:rsid w:val="00776B14"/>
    <w:rsid w:val="007876B8"/>
    <w:rsid w:val="007955AC"/>
    <w:rsid w:val="007A4DA3"/>
    <w:rsid w:val="007B0C9A"/>
    <w:rsid w:val="007C2BEA"/>
    <w:rsid w:val="007C577A"/>
    <w:rsid w:val="007C7EB2"/>
    <w:rsid w:val="007D1281"/>
    <w:rsid w:val="007E082C"/>
    <w:rsid w:val="007E5655"/>
    <w:rsid w:val="007E5C18"/>
    <w:rsid w:val="007E6F50"/>
    <w:rsid w:val="00802B3F"/>
    <w:rsid w:val="0081133B"/>
    <w:rsid w:val="00841194"/>
    <w:rsid w:val="00845E7E"/>
    <w:rsid w:val="0085090D"/>
    <w:rsid w:val="00851798"/>
    <w:rsid w:val="008561D7"/>
    <w:rsid w:val="00857101"/>
    <w:rsid w:val="008603CC"/>
    <w:rsid w:val="00862ADB"/>
    <w:rsid w:val="00867ED1"/>
    <w:rsid w:val="008712EB"/>
    <w:rsid w:val="008733D2"/>
    <w:rsid w:val="00884C6D"/>
    <w:rsid w:val="008B106F"/>
    <w:rsid w:val="008B371E"/>
    <w:rsid w:val="008B45DB"/>
    <w:rsid w:val="008B73F9"/>
    <w:rsid w:val="008F01F1"/>
    <w:rsid w:val="008F24DD"/>
    <w:rsid w:val="008F6191"/>
    <w:rsid w:val="00904A72"/>
    <w:rsid w:val="009055B9"/>
    <w:rsid w:val="00925D2C"/>
    <w:rsid w:val="0095736C"/>
    <w:rsid w:val="009A66FB"/>
    <w:rsid w:val="009A7293"/>
    <w:rsid w:val="009A7E3F"/>
    <w:rsid w:val="009C237E"/>
    <w:rsid w:val="009E2D69"/>
    <w:rsid w:val="009F186C"/>
    <w:rsid w:val="00A20D30"/>
    <w:rsid w:val="00A214C5"/>
    <w:rsid w:val="00A23E55"/>
    <w:rsid w:val="00A3450D"/>
    <w:rsid w:val="00A45C02"/>
    <w:rsid w:val="00A5398C"/>
    <w:rsid w:val="00A541FF"/>
    <w:rsid w:val="00A6296B"/>
    <w:rsid w:val="00A63A90"/>
    <w:rsid w:val="00A67FA4"/>
    <w:rsid w:val="00A72704"/>
    <w:rsid w:val="00A762E5"/>
    <w:rsid w:val="00A801E3"/>
    <w:rsid w:val="00A930DE"/>
    <w:rsid w:val="00AB43A5"/>
    <w:rsid w:val="00AB75C3"/>
    <w:rsid w:val="00AB7953"/>
    <w:rsid w:val="00AD010D"/>
    <w:rsid w:val="00AD0664"/>
    <w:rsid w:val="00B109F7"/>
    <w:rsid w:val="00B2617E"/>
    <w:rsid w:val="00B313D4"/>
    <w:rsid w:val="00B40959"/>
    <w:rsid w:val="00B521C1"/>
    <w:rsid w:val="00B87FAE"/>
    <w:rsid w:val="00B96917"/>
    <w:rsid w:val="00BC2B9C"/>
    <w:rsid w:val="00BC558B"/>
    <w:rsid w:val="00BC7D45"/>
    <w:rsid w:val="00BD0689"/>
    <w:rsid w:val="00BF1578"/>
    <w:rsid w:val="00BF4C54"/>
    <w:rsid w:val="00C12BA4"/>
    <w:rsid w:val="00C15A2F"/>
    <w:rsid w:val="00C233B0"/>
    <w:rsid w:val="00C40F82"/>
    <w:rsid w:val="00C41CB3"/>
    <w:rsid w:val="00C43F73"/>
    <w:rsid w:val="00C4488A"/>
    <w:rsid w:val="00C46D23"/>
    <w:rsid w:val="00C648C4"/>
    <w:rsid w:val="00C910A2"/>
    <w:rsid w:val="00C92571"/>
    <w:rsid w:val="00CA5422"/>
    <w:rsid w:val="00CB5D7C"/>
    <w:rsid w:val="00CC6D90"/>
    <w:rsid w:val="00CD059E"/>
    <w:rsid w:val="00CF2B4C"/>
    <w:rsid w:val="00D05532"/>
    <w:rsid w:val="00D15EDB"/>
    <w:rsid w:val="00D1650D"/>
    <w:rsid w:val="00D2196B"/>
    <w:rsid w:val="00D25236"/>
    <w:rsid w:val="00D27038"/>
    <w:rsid w:val="00D363EF"/>
    <w:rsid w:val="00D413DD"/>
    <w:rsid w:val="00D605EA"/>
    <w:rsid w:val="00D6206C"/>
    <w:rsid w:val="00D63D67"/>
    <w:rsid w:val="00D72FA5"/>
    <w:rsid w:val="00DA0283"/>
    <w:rsid w:val="00DA10C2"/>
    <w:rsid w:val="00DA5F99"/>
    <w:rsid w:val="00DB7EF8"/>
    <w:rsid w:val="00DD1AC0"/>
    <w:rsid w:val="00DD2637"/>
    <w:rsid w:val="00DF6EAD"/>
    <w:rsid w:val="00E12302"/>
    <w:rsid w:val="00E200BB"/>
    <w:rsid w:val="00E254F2"/>
    <w:rsid w:val="00E42081"/>
    <w:rsid w:val="00E47B07"/>
    <w:rsid w:val="00E5008A"/>
    <w:rsid w:val="00E64882"/>
    <w:rsid w:val="00E6525C"/>
    <w:rsid w:val="00E67E88"/>
    <w:rsid w:val="00E77A4A"/>
    <w:rsid w:val="00E911DD"/>
    <w:rsid w:val="00EA4618"/>
    <w:rsid w:val="00EA6CDB"/>
    <w:rsid w:val="00EB06AA"/>
    <w:rsid w:val="00EB13E3"/>
    <w:rsid w:val="00EC52D3"/>
    <w:rsid w:val="00EC561D"/>
    <w:rsid w:val="00EE2275"/>
    <w:rsid w:val="00EE6726"/>
    <w:rsid w:val="00F210EC"/>
    <w:rsid w:val="00F219E2"/>
    <w:rsid w:val="00F32787"/>
    <w:rsid w:val="00F32E12"/>
    <w:rsid w:val="00F70B2A"/>
    <w:rsid w:val="00F86CBC"/>
    <w:rsid w:val="00FC414E"/>
    <w:rsid w:val="00FD1079"/>
    <w:rsid w:val="00FD63A7"/>
    <w:rsid w:val="00FF3D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AEDA89"/>
  <w15:chartTrackingRefBased/>
  <w15:docId w15:val="{3CED212A-57B2-4840-BC9C-1C4324F1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ind w:left="360" w:hanging="27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5AC"/>
    <w:rPr>
      <w:sz w:val="22"/>
      <w:szCs w:val="22"/>
      <w:lang w:val="en-GB"/>
    </w:rPr>
  </w:style>
  <w:style w:type="paragraph" w:styleId="Heading1">
    <w:name w:val="heading 1"/>
    <w:basedOn w:val="Normal"/>
    <w:next w:val="Normal"/>
    <w:link w:val="Heading1Char"/>
    <w:uiPriority w:val="9"/>
    <w:qFormat/>
    <w:rsid w:val="004757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57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57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57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57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5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7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57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757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57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57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5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7AD"/>
    <w:rPr>
      <w:rFonts w:eastAsiaTheme="majorEastAsia" w:cstheme="majorBidi"/>
      <w:color w:val="272727" w:themeColor="text1" w:themeTint="D8"/>
    </w:rPr>
  </w:style>
  <w:style w:type="paragraph" w:styleId="Title">
    <w:name w:val="Title"/>
    <w:basedOn w:val="Normal"/>
    <w:next w:val="Normal"/>
    <w:link w:val="TitleChar"/>
    <w:uiPriority w:val="10"/>
    <w:qFormat/>
    <w:rsid w:val="00475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7AD"/>
    <w:pPr>
      <w:numPr>
        <w:ilvl w:val="1"/>
      </w:numPr>
      <w:ind w:left="360" w:hanging="27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7AD"/>
    <w:pPr>
      <w:spacing w:before="160"/>
      <w:jc w:val="center"/>
    </w:pPr>
    <w:rPr>
      <w:i/>
      <w:iCs/>
      <w:color w:val="404040" w:themeColor="text1" w:themeTint="BF"/>
    </w:rPr>
  </w:style>
  <w:style w:type="character" w:customStyle="1" w:styleId="QuoteChar">
    <w:name w:val="Quote Char"/>
    <w:basedOn w:val="DefaultParagraphFont"/>
    <w:link w:val="Quote"/>
    <w:uiPriority w:val="29"/>
    <w:rsid w:val="004757AD"/>
    <w:rPr>
      <w:i/>
      <w:iCs/>
      <w:color w:val="404040" w:themeColor="text1" w:themeTint="BF"/>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3"/>
    <w:basedOn w:val="Normal"/>
    <w:link w:val="ListParagraphChar"/>
    <w:uiPriority w:val="34"/>
    <w:qFormat/>
    <w:rsid w:val="004757AD"/>
    <w:pPr>
      <w:ind w:left="720"/>
      <w:contextualSpacing/>
    </w:pPr>
  </w:style>
  <w:style w:type="character" w:styleId="IntenseEmphasis">
    <w:name w:val="Intense Emphasis"/>
    <w:basedOn w:val="DefaultParagraphFont"/>
    <w:uiPriority w:val="21"/>
    <w:qFormat/>
    <w:rsid w:val="004757AD"/>
    <w:rPr>
      <w:i/>
      <w:iCs/>
      <w:color w:val="2F5496" w:themeColor="accent1" w:themeShade="BF"/>
    </w:rPr>
  </w:style>
  <w:style w:type="paragraph" w:styleId="IntenseQuote">
    <w:name w:val="Intense Quote"/>
    <w:basedOn w:val="Normal"/>
    <w:next w:val="Normal"/>
    <w:link w:val="IntenseQuoteChar"/>
    <w:uiPriority w:val="30"/>
    <w:qFormat/>
    <w:rsid w:val="004757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57AD"/>
    <w:rPr>
      <w:i/>
      <w:iCs/>
      <w:color w:val="2F5496" w:themeColor="accent1" w:themeShade="BF"/>
    </w:rPr>
  </w:style>
  <w:style w:type="character" w:styleId="IntenseReference">
    <w:name w:val="Intense Reference"/>
    <w:basedOn w:val="DefaultParagraphFont"/>
    <w:uiPriority w:val="32"/>
    <w:qFormat/>
    <w:rsid w:val="004757AD"/>
    <w:rPr>
      <w:b/>
      <w:bCs/>
      <w:smallCaps/>
      <w:color w:val="2F5496" w:themeColor="accent1" w:themeShade="BF"/>
      <w:spacing w:val="5"/>
    </w:rPr>
  </w:style>
  <w:style w:type="paragraph" w:customStyle="1" w:styleId="Default">
    <w:name w:val="Default"/>
    <w:rsid w:val="007955AC"/>
    <w:pPr>
      <w:autoSpaceDE w:val="0"/>
      <w:autoSpaceDN w:val="0"/>
      <w:adjustRightInd w:val="0"/>
      <w:spacing w:after="0" w:line="240" w:lineRule="auto"/>
    </w:pPr>
    <w:rPr>
      <w:rFonts w:ascii="Calibri" w:hAnsi="Calibri" w:cs="Calibri"/>
      <w:color w:val="000000"/>
      <w:kern w:val="0"/>
    </w:rPr>
  </w:style>
  <w:style w:type="paragraph" w:styleId="Header">
    <w:name w:val="header"/>
    <w:basedOn w:val="Normal"/>
    <w:link w:val="HeaderChar"/>
    <w:uiPriority w:val="99"/>
    <w:unhideWhenUsed/>
    <w:rsid w:val="007955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55AC"/>
    <w:rPr>
      <w:sz w:val="22"/>
      <w:szCs w:val="22"/>
      <w:lang w:val="en-GB"/>
    </w:rPr>
  </w:style>
  <w:style w:type="paragraph" w:styleId="Footer">
    <w:name w:val="footer"/>
    <w:basedOn w:val="Normal"/>
    <w:link w:val="FooterChar"/>
    <w:uiPriority w:val="99"/>
    <w:unhideWhenUsed/>
    <w:rsid w:val="007955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5AC"/>
    <w:rPr>
      <w:sz w:val="22"/>
      <w:szCs w:val="22"/>
      <w:lang w:val="en-GB"/>
    </w:rPr>
  </w:style>
  <w:style w:type="paragraph" w:styleId="EndnoteText">
    <w:name w:val="endnote text"/>
    <w:basedOn w:val="Normal"/>
    <w:link w:val="EndnoteTextChar"/>
    <w:uiPriority w:val="99"/>
    <w:unhideWhenUsed/>
    <w:rsid w:val="007955AC"/>
    <w:pPr>
      <w:spacing w:after="0" w:line="240" w:lineRule="auto"/>
    </w:pPr>
    <w:rPr>
      <w:sz w:val="20"/>
      <w:szCs w:val="20"/>
    </w:rPr>
  </w:style>
  <w:style w:type="character" w:customStyle="1" w:styleId="EndnoteTextChar">
    <w:name w:val="Endnote Text Char"/>
    <w:basedOn w:val="DefaultParagraphFont"/>
    <w:link w:val="EndnoteText"/>
    <w:uiPriority w:val="99"/>
    <w:rsid w:val="007955AC"/>
    <w:rPr>
      <w:sz w:val="20"/>
      <w:szCs w:val="20"/>
      <w:lang w:val="en-GB"/>
    </w:rPr>
  </w:style>
  <w:style w:type="character" w:styleId="EndnoteReference">
    <w:name w:val="endnote reference"/>
    <w:basedOn w:val="DefaultParagraphFont"/>
    <w:uiPriority w:val="99"/>
    <w:unhideWhenUsed/>
    <w:rsid w:val="007955AC"/>
    <w:rPr>
      <w:vertAlign w:val="superscript"/>
    </w:rPr>
  </w:style>
  <w:style w:type="character" w:styleId="Hyperlink">
    <w:name w:val="Hyperlink"/>
    <w:basedOn w:val="DefaultParagraphFont"/>
    <w:uiPriority w:val="99"/>
    <w:unhideWhenUsed/>
    <w:rsid w:val="007955AC"/>
    <w:rPr>
      <w:color w:val="0563C1" w:themeColor="hyperlink"/>
      <w:u w:val="single"/>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3 Char"/>
    <w:basedOn w:val="DefaultParagraphFont"/>
    <w:link w:val="ListParagraph"/>
    <w:uiPriority w:val="34"/>
    <w:qFormat/>
    <w:rsid w:val="007955AC"/>
  </w:style>
  <w:style w:type="character" w:styleId="Strong">
    <w:name w:val="Strong"/>
    <w:basedOn w:val="DefaultParagraphFont"/>
    <w:uiPriority w:val="22"/>
    <w:qFormat/>
    <w:rsid w:val="007955AC"/>
    <w:rPr>
      <w:b/>
      <w:bCs/>
    </w:rPr>
  </w:style>
  <w:style w:type="paragraph" w:styleId="NormalWeb">
    <w:name w:val="Normal (Web)"/>
    <w:basedOn w:val="Normal"/>
    <w:uiPriority w:val="99"/>
    <w:unhideWhenUsed/>
    <w:rsid w:val="00AD0664"/>
    <w:pPr>
      <w:spacing w:before="100" w:beforeAutospacing="1" w:after="100" w:afterAutospacing="1" w:line="240" w:lineRule="auto"/>
      <w:ind w:left="0" w:firstLine="0"/>
    </w:pPr>
    <w:rPr>
      <w:rFonts w:ascii="Times New Roman" w:eastAsia="Times New Roman" w:hAnsi="Times New Roman" w:cs="Times New Roman"/>
      <w:kern w:val="0"/>
      <w:sz w:val="24"/>
      <w:szCs w:val="24"/>
      <w:lang w:val="en-US"/>
      <w14:ligatures w14:val="none"/>
    </w:rPr>
  </w:style>
  <w:style w:type="character" w:customStyle="1" w:styleId="Hyperlink1">
    <w:name w:val="Hyperlink1"/>
    <w:basedOn w:val="DefaultParagraphFont"/>
    <w:uiPriority w:val="99"/>
    <w:semiHidden/>
    <w:rsid w:val="00E254F2"/>
    <w:rPr>
      <w:color w:val="0563C1"/>
      <w:u w:val="single"/>
    </w:rPr>
  </w:style>
  <w:style w:type="paragraph" w:styleId="TOCHeading">
    <w:name w:val="TOC Heading"/>
    <w:basedOn w:val="Heading1"/>
    <w:next w:val="Normal"/>
    <w:uiPriority w:val="39"/>
    <w:unhideWhenUsed/>
    <w:qFormat/>
    <w:rsid w:val="00BC7D45"/>
    <w:pPr>
      <w:spacing w:before="240" w:after="0"/>
      <w:ind w:left="0" w:firstLine="0"/>
      <w:outlineLvl w:val="9"/>
    </w:pPr>
    <w:rPr>
      <w:kern w:val="0"/>
      <w:sz w:val="32"/>
      <w:szCs w:val="32"/>
      <w:lang w:val="en-US"/>
      <w14:ligatures w14:val="none"/>
    </w:rPr>
  </w:style>
  <w:style w:type="paragraph" w:styleId="TOC1">
    <w:name w:val="toc 1"/>
    <w:basedOn w:val="Normal"/>
    <w:next w:val="Normal"/>
    <w:autoRedefine/>
    <w:uiPriority w:val="39"/>
    <w:unhideWhenUsed/>
    <w:rsid w:val="00BC7D45"/>
    <w:pPr>
      <w:spacing w:after="100"/>
      <w:ind w:left="0"/>
    </w:pPr>
  </w:style>
  <w:style w:type="paragraph" w:styleId="Revision">
    <w:name w:val="Revision"/>
    <w:hidden/>
    <w:uiPriority w:val="99"/>
    <w:semiHidden/>
    <w:rsid w:val="00705ABB"/>
    <w:pPr>
      <w:spacing w:after="0" w:line="240" w:lineRule="auto"/>
      <w:ind w:left="0" w:firstLine="0"/>
    </w:pPr>
    <w:rPr>
      <w:sz w:val="22"/>
      <w:szCs w:val="22"/>
      <w:lang w:val="en-GB"/>
    </w:rPr>
  </w:style>
  <w:style w:type="character" w:styleId="CommentReference">
    <w:name w:val="annotation reference"/>
    <w:basedOn w:val="DefaultParagraphFont"/>
    <w:uiPriority w:val="99"/>
    <w:semiHidden/>
    <w:unhideWhenUsed/>
    <w:rsid w:val="00C40F82"/>
    <w:rPr>
      <w:sz w:val="16"/>
      <w:szCs w:val="16"/>
    </w:rPr>
  </w:style>
  <w:style w:type="paragraph" w:styleId="CommentText">
    <w:name w:val="annotation text"/>
    <w:basedOn w:val="Normal"/>
    <w:link w:val="CommentTextChar"/>
    <w:uiPriority w:val="99"/>
    <w:unhideWhenUsed/>
    <w:rsid w:val="00C40F82"/>
    <w:pPr>
      <w:spacing w:line="240" w:lineRule="auto"/>
    </w:pPr>
    <w:rPr>
      <w:sz w:val="20"/>
      <w:szCs w:val="20"/>
    </w:rPr>
  </w:style>
  <w:style w:type="character" w:customStyle="1" w:styleId="CommentTextChar">
    <w:name w:val="Comment Text Char"/>
    <w:basedOn w:val="DefaultParagraphFont"/>
    <w:link w:val="CommentText"/>
    <w:uiPriority w:val="99"/>
    <w:rsid w:val="00C40F82"/>
    <w:rPr>
      <w:sz w:val="20"/>
      <w:szCs w:val="20"/>
      <w:lang w:val="en-GB"/>
    </w:rPr>
  </w:style>
  <w:style w:type="paragraph" w:styleId="CommentSubject">
    <w:name w:val="annotation subject"/>
    <w:basedOn w:val="CommentText"/>
    <w:next w:val="CommentText"/>
    <w:link w:val="CommentSubjectChar"/>
    <w:uiPriority w:val="99"/>
    <w:semiHidden/>
    <w:unhideWhenUsed/>
    <w:rsid w:val="00C40F82"/>
    <w:rPr>
      <w:b/>
      <w:bCs/>
    </w:rPr>
  </w:style>
  <w:style w:type="character" w:customStyle="1" w:styleId="CommentSubjectChar">
    <w:name w:val="Comment Subject Char"/>
    <w:basedOn w:val="CommentTextChar"/>
    <w:link w:val="CommentSubject"/>
    <w:uiPriority w:val="99"/>
    <w:semiHidden/>
    <w:rsid w:val="00C40F82"/>
    <w:rPr>
      <w:b/>
      <w:bCs/>
      <w:sz w:val="20"/>
      <w:szCs w:val="20"/>
      <w:lang w:val="en-GB"/>
    </w:rPr>
  </w:style>
  <w:style w:type="character" w:styleId="UnresolvedMention">
    <w:name w:val="Unresolved Mention"/>
    <w:basedOn w:val="DefaultParagraphFont"/>
    <w:uiPriority w:val="99"/>
    <w:semiHidden/>
    <w:unhideWhenUsed/>
    <w:rsid w:val="00385C4D"/>
    <w:rPr>
      <w:color w:val="605E5C"/>
      <w:shd w:val="clear" w:color="auto" w:fill="E1DFDD"/>
    </w:rPr>
  </w:style>
  <w:style w:type="character" w:styleId="FollowedHyperlink">
    <w:name w:val="FollowedHyperlink"/>
    <w:basedOn w:val="DefaultParagraphFont"/>
    <w:uiPriority w:val="99"/>
    <w:semiHidden/>
    <w:unhideWhenUsed/>
    <w:rsid w:val="00B2617E"/>
    <w:rPr>
      <w:color w:val="954F72" w:themeColor="followedHyperlink"/>
      <w:u w:val="single"/>
    </w:rPr>
  </w:style>
  <w:style w:type="paragraph" w:styleId="NoSpacing">
    <w:name w:val="No Spacing"/>
    <w:link w:val="NoSpacingChar"/>
    <w:uiPriority w:val="1"/>
    <w:qFormat/>
    <w:rsid w:val="00D27038"/>
    <w:pPr>
      <w:spacing w:after="0" w:line="240" w:lineRule="auto"/>
      <w:ind w:left="0" w:firstLine="0"/>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27038"/>
    <w:rPr>
      <w:rFonts w:eastAsiaTheme="minorEastAsia"/>
      <w:kern w:val="0"/>
      <w:sz w:val="22"/>
      <w:szCs w:val="22"/>
      <w14:ligatures w14:val="none"/>
    </w:rPr>
  </w:style>
  <w:style w:type="character" w:customStyle="1" w:styleId="xcontentpasted0">
    <w:name w:val="x_contentpasted0"/>
    <w:basedOn w:val="DefaultParagraphFont"/>
    <w:rsid w:val="00D6206C"/>
  </w:style>
  <w:style w:type="character" w:customStyle="1" w:styleId="xxxcontentpasted0">
    <w:name w:val="x_x_x_contentpasted0"/>
    <w:basedOn w:val="DefaultParagraphFont"/>
    <w:rsid w:val="00D6206C"/>
  </w:style>
  <w:style w:type="paragraph" w:customStyle="1" w:styleId="xxxmsonormal">
    <w:name w:val="x_x_x_msonormal"/>
    <w:basedOn w:val="Normal"/>
    <w:rsid w:val="00D6206C"/>
    <w:pPr>
      <w:spacing w:before="100" w:beforeAutospacing="1" w:after="100" w:afterAutospacing="1" w:line="240" w:lineRule="auto"/>
      <w:ind w:left="0" w:firstLine="0"/>
    </w:pPr>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39"/>
    <w:rsid w:val="00D60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4.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chart" Target="charts/chart7.xml"/><Relationship Id="rId34" Type="http://schemas.openxmlformats.org/officeDocument/2006/relationships/chart" Target="charts/chart19.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chart" Target="charts/chart11.xml"/><Relationship Id="rId33" Type="http://schemas.openxmlformats.org/officeDocument/2006/relationships/chart" Target="charts/chart18.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6.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chart" Target="charts/chart10.xml"/><Relationship Id="rId32" Type="http://schemas.openxmlformats.org/officeDocument/2006/relationships/chart" Target="charts/chart17.xm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3.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5.xml"/><Relationship Id="rId31" Type="http://schemas.openxmlformats.org/officeDocument/2006/relationships/chart" Target="charts/chart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fontTable" Target="fontTable.xml"/><Relationship Id="rId8" Type="http://schemas.openxmlformats.org/officeDocument/2006/relationships/webSettings" Target="webSettings.xml"/></Relationships>
</file>

<file path=word/_rels/endnotes.xml.rels><?xml version="1.0" encoding="UTF-8" standalone="yes"?>
<Relationships xmlns="http://schemas.openxmlformats.org/package/2006/relationships"><Relationship Id="rId13" Type="http://schemas.openxmlformats.org/officeDocument/2006/relationships/hyperlink" Target="https://www.unicef.org/maldives/media/2421/file/Evaluation%20of%20the%20Single%20Parent%20and%20Foster%20Care%20Social%20Protection%20Schemes%20in%20the%20Maldives.pdf" TargetMode="External"/><Relationship Id="rId18" Type="http://schemas.openxmlformats.org/officeDocument/2006/relationships/hyperlink" Target="https://www.unwomen.org/sites/default/files/2024-09/b30_report_maldives_en.pdf" TargetMode="External"/><Relationship Id="rId26" Type="http://schemas.openxmlformats.org/officeDocument/2006/relationships/hyperlink" Target="https://www.globalpartnership.org/sites/default/files/2019-05-maldives-education-sector-analysis.pdf" TargetMode="External"/><Relationship Id="rId3" Type="http://schemas.openxmlformats.org/officeDocument/2006/relationships/hyperlink" Target="https://hrcm.org.mv/storage/uploads/M9qaR4oy/rslw3d36.pdf" TargetMode="External"/><Relationship Id="rId21" Type="http://schemas.openxmlformats.org/officeDocument/2006/relationships/hyperlink" Target="https://www.undp.org/sites/g/files/zskgke326/files/migration/mv/Final_word_doc---Legal-Aid-Options-in-the-Maldives.pdf" TargetMode="External"/><Relationship Id="rId34" Type="http://schemas.openxmlformats.org/officeDocument/2006/relationships/hyperlink" Target="https://psmnews.mv/en/135756" TargetMode="External"/><Relationship Id="rId7" Type="http://schemas.openxmlformats.org/officeDocument/2006/relationships/hyperlink" Target="https://statisticsmaldives.gov.mv/mbs/wp-content/uploads/2024/11/Vital-Statistics-Report-of-Maldives-2024.pdf" TargetMode="External"/><Relationship Id="rId12" Type="http://schemas.openxmlformats.org/officeDocument/2006/relationships/hyperlink" Target="https://www.unicef.org/maldives/media/2421/file/Evaluation%20of%20the%20Single%20Parent%20and%20Foster%20Care%20Social%20Protection%20Schemes%20in%20the%20Maldives.pdf" TargetMode="External"/><Relationship Id="rId17" Type="http://schemas.openxmlformats.org/officeDocument/2006/relationships/hyperlink" Target="https://www.unwomen.org/sites/default/files/2024-09/b30_report_maldives_en.pdf" TargetMode="External"/><Relationship Id="rId25" Type="http://schemas.openxmlformats.org/officeDocument/2006/relationships/hyperlink" Target="https://www.globalpartnership.org/sites/default/files/2019-05-maldives-education-sector-analysis.pdf" TargetMode="External"/><Relationship Id="rId33" Type="http://schemas.openxmlformats.org/officeDocument/2006/relationships/hyperlink" Target="https://www.state.gov/reports/2022-trafficking-in-persons-report/maldives" TargetMode="External"/><Relationship Id="rId2" Type="http://schemas.openxmlformats.org/officeDocument/2006/relationships/hyperlink" Target="https://www.dol.gov/agencies/ilab/resources/reports/child-labor/maldives" TargetMode="External"/><Relationship Id="rId16" Type="http://schemas.openxmlformats.org/officeDocument/2006/relationships/hyperlink" Target="https://presidency.gov.mv/Press/Article/20794" TargetMode="External"/><Relationship Id="rId20" Type="http://schemas.openxmlformats.org/officeDocument/2006/relationships/hyperlink" Target="https://www.unicef.org/maldives/media/2421/file/Evaluation%20of%20the%20Single%20Parent%20and%20Foster%20Care%20Social%20Protection%20Schemes%20in%20the%20Maldives.pdf" TargetMode="External"/><Relationship Id="rId29" Type="http://schemas.openxmlformats.org/officeDocument/2006/relationships/hyperlink" Target="https://www.unicef.org/maldives/media/2936/file/Disability-Inclusive%20Education%20Practices%20in%20Maldives.pdf" TargetMode="External"/><Relationship Id="rId1" Type="http://schemas.openxmlformats.org/officeDocument/2006/relationships/hyperlink" Target="https://en.sun.mv/54943" TargetMode="External"/><Relationship Id="rId6" Type="http://schemas.openxmlformats.org/officeDocument/2006/relationships/hyperlink" Target="https://hrcm.org.mv/storage/uploads/ywDe8LYN/sdjcaf3u.pdf" TargetMode="External"/><Relationship Id="rId11" Type="http://schemas.openxmlformats.org/officeDocument/2006/relationships/hyperlink" Target="https://www.unicef.org/maldives/media/2421/file/Evaluation%20of%20the%20Single%20Parent%20and%20Foster%20Care%20Social%20Protection%20Schemes%20in%20the%20Maldives.pdf" TargetMode="External"/><Relationship Id="rId24" Type="http://schemas.openxmlformats.org/officeDocument/2006/relationships/hyperlink" Target="https://avas.mv/en/68603" TargetMode="External"/><Relationship Id="rId32" Type="http://schemas.openxmlformats.org/officeDocument/2006/relationships/hyperlink" Target="https://www.state.gov/reports/2022-trafficking-in-persons-report/maldives" TargetMode="External"/><Relationship Id="rId5" Type="http://schemas.openxmlformats.org/officeDocument/2006/relationships/hyperlink" Target="https://hrcm.org.mv/storage/uploads/xRwXMRYW/3dsiak3i.pdf" TargetMode="External"/><Relationship Id="rId15" Type="http://schemas.openxmlformats.org/officeDocument/2006/relationships/hyperlink" Target="https://www.unicef.org/maldives/media/2421/file/Evaluation%20of%20the%20Single%20Parent%20and%20Foster%20Care%20Social%20Protection%20Schemes%20in%20the%20Maldives.pdf" TargetMode="External"/><Relationship Id="rId23" Type="http://schemas.openxmlformats.org/officeDocument/2006/relationships/hyperlink" Target="https://avas.mv/en/61233" TargetMode="External"/><Relationship Id="rId28" Type="http://schemas.openxmlformats.org/officeDocument/2006/relationships/hyperlink" Target="https://planipolis.iiep.unesco.org/sites/default/files/ressources/maldives_education_sector_plan_2019-2023.pdf" TargetMode="External"/><Relationship Id="rId10" Type="http://schemas.openxmlformats.org/officeDocument/2006/relationships/hyperlink" Target="https://statisticsmaldives.gov.mv/mbs/wp-content/uploads/2024/11/Vital-Statistics-Report-of-Maldives-2024.pdf" TargetMode="External"/><Relationship Id="rId19" Type="http://schemas.openxmlformats.org/officeDocument/2006/relationships/hyperlink" Target="https://en.sun.mv/97502" TargetMode="External"/><Relationship Id="rId31" Type="http://schemas.openxmlformats.org/officeDocument/2006/relationships/hyperlink" Target="https://transparency.mv/wp-content/uploads/2022/08/Social-Reintergration.pdf" TargetMode="External"/><Relationship Id="rId4" Type="http://schemas.openxmlformats.org/officeDocument/2006/relationships/hyperlink" Target="https://www.unicef.org/maldives/media/2736/file/Situation%20Analysis%20of%20Children%20and%20Youth%20in%20the%20Maldives.pdf" TargetMode="External"/><Relationship Id="rId9" Type="http://schemas.openxmlformats.org/officeDocument/2006/relationships/hyperlink" Target="https://getinthepicture.org/sites/default/files/resources/b%20-%20Marriage%20and%20Divorce%20in%20the%20Maldives%20-%20Procedures%20and%20Challenges.pdf" TargetMode="External"/><Relationship Id="rId14" Type="http://schemas.openxmlformats.org/officeDocument/2006/relationships/hyperlink" Target="https://www.unicef.org/maldives/media/2421/file/Evaluation%20of%20the%20Single%20Parent%20and%20Foster%20Care%20Social%20Protection%20Schemes%20in%20the%20Maldives.pdf" TargetMode="External"/><Relationship Id="rId22" Type="http://schemas.openxmlformats.org/officeDocument/2006/relationships/hyperlink" Target="https://www.globalpartnership.org/sites/default/files/2019-05-maldives-education-sector-analysis.pdf" TargetMode="External"/><Relationship Id="rId27" Type="http://schemas.openxmlformats.org/officeDocument/2006/relationships/hyperlink" Target="https://ied.gov.mv/storage/uploads/4EongGwM/n9vslct6.pdf" TargetMode="External"/><Relationship Id="rId30" Type="http://schemas.openxmlformats.org/officeDocument/2006/relationships/hyperlink" Target="https://maldives.unfpa.org/sites/default/files/pub-pdf/qa_on_challenges_to_srh_info_and_services_among_young_people_in_maldives.pdf" TargetMode="External"/><Relationship Id="rId35" Type="http://schemas.openxmlformats.org/officeDocument/2006/relationships/hyperlink" Target="https://en.sun.mv/54943" TargetMode="External"/><Relationship Id="rId8" Type="http://schemas.openxmlformats.org/officeDocument/2006/relationships/hyperlink" Target="https://statisticsmaldives.gov.mv/nbs/wp-content/uploads/2021/03/HIES2019-PopulationDistributionMigration.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mass\Research%20and%20Monitoring\2_MONITORING\1.%20Shadow%20Reports\1..CRC\CRC\2025\1.%20CRC%20Report%202025\WIP\Zytho\final%20Sta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zeenath.HRCM0\Dropbox\2025\CRC\stat\final%20Stat%20(168-RMD03's%20conflicted%20copy%202025-07-3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novo\Dropbox\2025\CRC\stat\final%20Sta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zeenath.HRCM0\Dropbox\2025\CRC\stat\Sta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zeenath.HRCM0\Dropbox\2025\CRC\statekholder%20questionnaire\article%2033\Sta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zeenath.HRCM0\Dropbox\2025\CRC\stat\final%20Stat.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mass\Research%20and%20Monitoring\2_MONITORING\1.%20Shadow%20Reports\1..CRC\CRC\2025\1.%20CRC%20Report%202025\For%20CM%20endorsement%20-%20before%20velidation\graphs%20.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Justification for hitting a child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'HRCMRSL Art5'!$P$9</c:f>
              <c:strCache>
                <c:ptCount val="1"/>
                <c:pt idx="0">
                  <c:v>Justification for hiting a child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'HRCMRSL Art5'!$O$10:$O$20</c:f>
              <c:strCache>
                <c:ptCount val="11"/>
                <c:pt idx="0">
                  <c:v>theft</c:v>
                </c:pt>
                <c:pt idx="1">
                  <c:v>lying</c:v>
                </c:pt>
                <c:pt idx="2">
                  <c:v>Disobedience</c:v>
                </c:pt>
                <c:pt idx="3">
                  <c:v>Hits another child</c:v>
                </c:pt>
                <c:pt idx="4">
                  <c:v>Disrepecting elders</c:v>
                </c:pt>
                <c:pt idx="5">
                  <c:v>Refusing to fo school</c:v>
                </c:pt>
                <c:pt idx="6">
                  <c:v>Not doing school work</c:v>
                </c:pt>
                <c:pt idx="7">
                  <c:v>Throwing tantrums</c:v>
                </c:pt>
                <c:pt idx="8">
                  <c:v>Too much goofing around</c:v>
                </c:pt>
                <c:pt idx="9">
                  <c:v>Parents are stressed</c:v>
                </c:pt>
                <c:pt idx="10">
                  <c:v>Others </c:v>
                </c:pt>
              </c:strCache>
            </c:strRef>
          </c:cat>
          <c:val>
            <c:numRef>
              <c:f>'HRCMRSL Art5'!$P$10:$P$20</c:f>
              <c:numCache>
                <c:formatCode>0.0%</c:formatCode>
                <c:ptCount val="11"/>
                <c:pt idx="0">
                  <c:v>0.21299999999999999</c:v>
                </c:pt>
                <c:pt idx="1">
                  <c:v>0.115</c:v>
                </c:pt>
                <c:pt idx="2">
                  <c:v>9.5000000000000001E-2</c:v>
                </c:pt>
                <c:pt idx="3">
                  <c:v>7.1999999999999995E-2</c:v>
                </c:pt>
                <c:pt idx="4">
                  <c:v>7.5999999999999998E-2</c:v>
                </c:pt>
                <c:pt idx="5">
                  <c:v>4.8000000000000001E-2</c:v>
                </c:pt>
                <c:pt idx="6">
                  <c:v>4.1000000000000002E-2</c:v>
                </c:pt>
                <c:pt idx="7">
                  <c:v>0.03</c:v>
                </c:pt>
                <c:pt idx="8">
                  <c:v>2.5999999999999999E-2</c:v>
                </c:pt>
                <c:pt idx="9">
                  <c:v>2.4E-2</c:v>
                </c:pt>
                <c:pt idx="10">
                  <c:v>6.0000000000000001E-3</c:v>
                </c:pt>
              </c:numCache>
            </c:numRef>
          </c:val>
          <c:extLst>
            <c:ext xmlns:c16="http://schemas.microsoft.com/office/drawing/2014/chart" uri="{C3380CC4-5D6E-409C-BE32-E72D297353CC}">
              <c16:uniqueId val="{00000000-1021-4487-883A-B724732AF128}"/>
            </c:ext>
          </c:extLst>
        </c:ser>
        <c:dLbls>
          <c:showLegendKey val="0"/>
          <c:showVal val="0"/>
          <c:showCatName val="0"/>
          <c:showSerName val="0"/>
          <c:showPercent val="0"/>
          <c:showBubbleSize val="0"/>
        </c:dLbls>
        <c:gapWidth val="182"/>
        <c:axId val="55115072"/>
        <c:axId val="55113632"/>
      </c:barChart>
      <c:catAx>
        <c:axId val="551150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13632"/>
        <c:crosses val="autoZero"/>
        <c:auto val="1"/>
        <c:lblAlgn val="ctr"/>
        <c:lblOffset val="100"/>
        <c:noMultiLvlLbl val="0"/>
      </c:catAx>
      <c:valAx>
        <c:axId val="55113632"/>
        <c:scaling>
          <c:orientation val="minMax"/>
        </c:scaling>
        <c:delete val="0"/>
        <c:axPos val="b"/>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15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lgn="ctr">
              <a:defRPr sz="1000" b="1" i="0" u="none" strike="noStrike" kern="1200" spc="0" baseline="0">
                <a:solidFill>
                  <a:schemeClr val="tx1">
                    <a:lumMod val="65000"/>
                    <a:lumOff val="35000"/>
                  </a:schemeClr>
                </a:solidFill>
                <a:latin typeface="+mn-lt"/>
                <a:ea typeface="+mn-ea"/>
                <a:cs typeface="+mn-cs"/>
              </a:defRPr>
            </a:pPr>
            <a:r>
              <a:rPr lang="en-US" sz="1000" b="1"/>
              <a:t>Cases documented</a:t>
            </a:r>
            <a:r>
              <a:rPr lang="en-US" sz="1000" b="1" baseline="0"/>
              <a:t> by MoSFD relating to birth registration and accquiring national ID cards</a:t>
            </a:r>
            <a:endParaRPr lang="en-US" sz="1000" b="1"/>
          </a:p>
        </c:rich>
      </c:tx>
      <c:overlay val="0"/>
      <c:spPr>
        <a:noFill/>
        <a:ln>
          <a:noFill/>
        </a:ln>
        <a:effectLst/>
      </c:spPr>
      <c:txPr>
        <a:bodyPr rot="0" spcFirstLastPara="1" vertOverflow="ellipsis" vert="horz" wrap="square" anchor="ctr" anchorCtr="1"/>
        <a:lstStyle/>
        <a:p>
          <a:pPr algn="ct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'gender birth registration'!$D$6</c:f>
              <c:strCache>
                <c:ptCount val="1"/>
                <c:pt idx="0">
                  <c:v>Birth registration  </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'gender birth registration'!$C$7:$C$14</c:f>
              <c:numCache>
                <c:formatCode>General</c:formatCode>
                <c:ptCount val="8"/>
                <c:pt idx="0">
                  <c:v>2017</c:v>
                </c:pt>
                <c:pt idx="1">
                  <c:v>2018</c:v>
                </c:pt>
                <c:pt idx="2">
                  <c:v>2019</c:v>
                </c:pt>
                <c:pt idx="3">
                  <c:v>2020</c:v>
                </c:pt>
                <c:pt idx="4">
                  <c:v>2021</c:v>
                </c:pt>
                <c:pt idx="5">
                  <c:v>2022</c:v>
                </c:pt>
                <c:pt idx="6">
                  <c:v>2023</c:v>
                </c:pt>
                <c:pt idx="7">
                  <c:v>2024</c:v>
                </c:pt>
              </c:numCache>
            </c:numRef>
          </c:cat>
          <c:val>
            <c:numRef>
              <c:f>'gender birth registration'!$D$7:$D$14</c:f>
              <c:numCache>
                <c:formatCode>General</c:formatCode>
                <c:ptCount val="8"/>
                <c:pt idx="0">
                  <c:v>7</c:v>
                </c:pt>
                <c:pt idx="1">
                  <c:v>7</c:v>
                </c:pt>
                <c:pt idx="2">
                  <c:v>9</c:v>
                </c:pt>
                <c:pt idx="3">
                  <c:v>8</c:v>
                </c:pt>
                <c:pt idx="4">
                  <c:v>8</c:v>
                </c:pt>
                <c:pt idx="5">
                  <c:v>5</c:v>
                </c:pt>
                <c:pt idx="6">
                  <c:v>7</c:v>
                </c:pt>
                <c:pt idx="7">
                  <c:v>4</c:v>
                </c:pt>
              </c:numCache>
            </c:numRef>
          </c:val>
          <c:extLst>
            <c:ext xmlns:c16="http://schemas.microsoft.com/office/drawing/2014/chart" uri="{C3380CC4-5D6E-409C-BE32-E72D297353CC}">
              <c16:uniqueId val="{00000000-3DDA-44A9-B4BC-505730637F8F}"/>
            </c:ext>
          </c:extLst>
        </c:ser>
        <c:ser>
          <c:idx val="1"/>
          <c:order val="1"/>
          <c:tx>
            <c:strRef>
              <c:f>'gender birth registration'!$E$6</c:f>
              <c:strCache>
                <c:ptCount val="1"/>
                <c:pt idx="0">
                  <c:v>Acquiring National ID/Passport/Birth Certificate</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'gender birth registration'!$C$7:$C$14</c:f>
              <c:numCache>
                <c:formatCode>General</c:formatCode>
                <c:ptCount val="8"/>
                <c:pt idx="0">
                  <c:v>2017</c:v>
                </c:pt>
                <c:pt idx="1">
                  <c:v>2018</c:v>
                </c:pt>
                <c:pt idx="2">
                  <c:v>2019</c:v>
                </c:pt>
                <c:pt idx="3">
                  <c:v>2020</c:v>
                </c:pt>
                <c:pt idx="4">
                  <c:v>2021</c:v>
                </c:pt>
                <c:pt idx="5">
                  <c:v>2022</c:v>
                </c:pt>
                <c:pt idx="6">
                  <c:v>2023</c:v>
                </c:pt>
                <c:pt idx="7">
                  <c:v>2024</c:v>
                </c:pt>
              </c:numCache>
            </c:numRef>
          </c:cat>
          <c:val>
            <c:numRef>
              <c:f>'gender birth registration'!$E$7:$E$14</c:f>
              <c:numCache>
                <c:formatCode>General</c:formatCode>
                <c:ptCount val="8"/>
                <c:pt idx="0">
                  <c:v>8</c:v>
                </c:pt>
                <c:pt idx="1">
                  <c:v>4</c:v>
                </c:pt>
                <c:pt idx="2">
                  <c:v>5</c:v>
                </c:pt>
                <c:pt idx="3">
                  <c:v>5</c:v>
                </c:pt>
                <c:pt idx="4">
                  <c:v>4</c:v>
                </c:pt>
                <c:pt idx="5">
                  <c:v>11</c:v>
                </c:pt>
                <c:pt idx="6">
                  <c:v>2</c:v>
                </c:pt>
                <c:pt idx="7">
                  <c:v>8</c:v>
                </c:pt>
              </c:numCache>
            </c:numRef>
          </c:val>
          <c:extLst>
            <c:ext xmlns:c16="http://schemas.microsoft.com/office/drawing/2014/chart" uri="{C3380CC4-5D6E-409C-BE32-E72D297353CC}">
              <c16:uniqueId val="{00000001-3DDA-44A9-B4BC-505730637F8F}"/>
            </c:ext>
          </c:extLst>
        </c:ser>
        <c:dLbls>
          <c:showLegendKey val="0"/>
          <c:showVal val="0"/>
          <c:showCatName val="0"/>
          <c:showSerName val="0"/>
          <c:showPercent val="0"/>
          <c:showBubbleSize val="0"/>
        </c:dLbls>
        <c:gapWidth val="219"/>
        <c:overlap val="-27"/>
        <c:axId val="1170279792"/>
        <c:axId val="1333917808"/>
      </c:barChart>
      <c:catAx>
        <c:axId val="1170279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333917808"/>
        <c:crosses val="autoZero"/>
        <c:auto val="1"/>
        <c:lblAlgn val="ctr"/>
        <c:lblOffset val="100"/>
        <c:noMultiLvlLbl val="0"/>
      </c:catAx>
      <c:valAx>
        <c:axId val="13339178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0279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Reunification of children with biological families</a:t>
            </a:r>
          </a:p>
        </c:rich>
      </c:tx>
      <c:layout>
        <c:manualLayout>
          <c:xMode val="edge"/>
          <c:yMode val="edge"/>
          <c:x val="0.23755120879526637"/>
          <c:y val="6.757700624209538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6353294707102373E-2"/>
          <c:y val="0.1450090581409651"/>
          <c:w val="0.94211263384464483"/>
          <c:h val="0.50930705117224184"/>
        </c:manualLayout>
      </c:layout>
      <c:barChart>
        <c:barDir val="col"/>
        <c:grouping val="clustered"/>
        <c:varyColors val="0"/>
        <c:ser>
          <c:idx val="0"/>
          <c:order val="0"/>
          <c:tx>
            <c:strRef>
              <c:f>'article 9 gender'!$H$22</c:f>
              <c:strCache>
                <c:ptCount val="1"/>
                <c:pt idx="0">
                  <c:v>Number of cases of reunification of children with biological families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'article 9 gender'!$G$23:$G$26</c:f>
              <c:numCache>
                <c:formatCode>General</c:formatCode>
                <c:ptCount val="4"/>
                <c:pt idx="0">
                  <c:v>2021</c:v>
                </c:pt>
                <c:pt idx="1">
                  <c:v>2022</c:v>
                </c:pt>
                <c:pt idx="2">
                  <c:v>2023</c:v>
                </c:pt>
                <c:pt idx="3">
                  <c:v>2024</c:v>
                </c:pt>
              </c:numCache>
            </c:numRef>
          </c:cat>
          <c:val>
            <c:numRef>
              <c:f>'article 9 gender'!$H$23:$H$26</c:f>
              <c:numCache>
                <c:formatCode>General</c:formatCode>
                <c:ptCount val="4"/>
                <c:pt idx="0">
                  <c:v>21</c:v>
                </c:pt>
                <c:pt idx="1">
                  <c:v>41</c:v>
                </c:pt>
                <c:pt idx="2">
                  <c:v>34</c:v>
                </c:pt>
                <c:pt idx="3">
                  <c:v>36</c:v>
                </c:pt>
              </c:numCache>
            </c:numRef>
          </c:val>
          <c:extLst>
            <c:ext xmlns:c16="http://schemas.microsoft.com/office/drawing/2014/chart" uri="{C3380CC4-5D6E-409C-BE32-E72D297353CC}">
              <c16:uniqueId val="{00000000-01F3-44EB-AEB3-E54B66EB0FB7}"/>
            </c:ext>
          </c:extLst>
        </c:ser>
        <c:ser>
          <c:idx val="1"/>
          <c:order val="1"/>
          <c:tx>
            <c:strRef>
              <c:f>'article 9 gender'!$I$22</c:f>
              <c:strCache>
                <c:ptCount val="1"/>
                <c:pt idx="0">
                  <c:v>Number of Family reunification plans under Regulation 103/2021 were rejected</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'article 9 gender'!$G$23:$G$26</c:f>
              <c:numCache>
                <c:formatCode>General</c:formatCode>
                <c:ptCount val="4"/>
                <c:pt idx="0">
                  <c:v>2021</c:v>
                </c:pt>
                <c:pt idx="1">
                  <c:v>2022</c:v>
                </c:pt>
                <c:pt idx="2">
                  <c:v>2023</c:v>
                </c:pt>
                <c:pt idx="3">
                  <c:v>2024</c:v>
                </c:pt>
              </c:numCache>
            </c:numRef>
          </c:cat>
          <c:val>
            <c:numRef>
              <c:f>'article 9 gender'!$I$23:$I$26</c:f>
              <c:numCache>
                <c:formatCode>General</c:formatCode>
                <c:ptCount val="4"/>
                <c:pt idx="2">
                  <c:v>6</c:v>
                </c:pt>
                <c:pt idx="3">
                  <c:v>5</c:v>
                </c:pt>
              </c:numCache>
            </c:numRef>
          </c:val>
          <c:extLst>
            <c:ext xmlns:c16="http://schemas.microsoft.com/office/drawing/2014/chart" uri="{C3380CC4-5D6E-409C-BE32-E72D297353CC}">
              <c16:uniqueId val="{00000001-01F3-44EB-AEB3-E54B66EB0FB7}"/>
            </c:ext>
          </c:extLst>
        </c:ser>
        <c:ser>
          <c:idx val="2"/>
          <c:order val="2"/>
          <c:tx>
            <c:strRef>
              <c:f>'article 9 gender'!$J$22</c:f>
              <c:strCache>
                <c:ptCount val="1"/>
                <c:pt idx="0">
                  <c:v>Number of family separation decisions that were overturned upon judicial review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'article 9 gender'!$G$23:$G$26</c:f>
              <c:numCache>
                <c:formatCode>General</c:formatCode>
                <c:ptCount val="4"/>
                <c:pt idx="0">
                  <c:v>2021</c:v>
                </c:pt>
                <c:pt idx="1">
                  <c:v>2022</c:v>
                </c:pt>
                <c:pt idx="2">
                  <c:v>2023</c:v>
                </c:pt>
                <c:pt idx="3">
                  <c:v>2024</c:v>
                </c:pt>
              </c:numCache>
            </c:numRef>
          </c:cat>
          <c:val>
            <c:numRef>
              <c:f>'article 9 gender'!$J$23:$J$26</c:f>
              <c:numCache>
                <c:formatCode>General</c:formatCode>
                <c:ptCount val="4"/>
                <c:pt idx="1">
                  <c:v>1</c:v>
                </c:pt>
                <c:pt idx="2">
                  <c:v>1</c:v>
                </c:pt>
                <c:pt idx="3">
                  <c:v>1</c:v>
                </c:pt>
              </c:numCache>
            </c:numRef>
          </c:val>
          <c:extLst>
            <c:ext xmlns:c16="http://schemas.microsoft.com/office/drawing/2014/chart" uri="{C3380CC4-5D6E-409C-BE32-E72D297353CC}">
              <c16:uniqueId val="{00000002-01F3-44EB-AEB3-E54B66EB0FB7}"/>
            </c:ext>
          </c:extLst>
        </c:ser>
        <c:dLbls>
          <c:showLegendKey val="0"/>
          <c:showVal val="0"/>
          <c:showCatName val="0"/>
          <c:showSerName val="0"/>
          <c:showPercent val="0"/>
          <c:showBubbleSize val="0"/>
        </c:dLbls>
        <c:gapWidth val="219"/>
        <c:overlap val="-27"/>
        <c:axId val="765621423"/>
        <c:axId val="765615183"/>
      </c:barChart>
      <c:catAx>
        <c:axId val="765621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n-US"/>
          </a:p>
        </c:txPr>
        <c:crossAx val="765615183"/>
        <c:crosses val="autoZero"/>
        <c:auto val="1"/>
        <c:lblAlgn val="ctr"/>
        <c:lblOffset val="100"/>
        <c:noMultiLvlLbl val="0"/>
      </c:catAx>
      <c:valAx>
        <c:axId val="76561518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765621423"/>
        <c:crosses val="autoZero"/>
        <c:crossBetween val="between"/>
      </c:valAx>
      <c:spPr>
        <a:noFill/>
        <a:ln>
          <a:noFill/>
        </a:ln>
        <a:effectLst/>
      </c:spPr>
    </c:plotArea>
    <c:legend>
      <c:legendPos val="b"/>
      <c:layout>
        <c:manualLayout>
          <c:xMode val="edge"/>
          <c:yMode val="edge"/>
          <c:x val="0.10325320645511771"/>
          <c:y val="0.79811832496315249"/>
          <c:w val="0.79349338514014289"/>
          <c:h val="0.1701104280154019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Persons</a:t>
            </a:r>
            <a:r>
              <a:rPr lang="en-US" sz="1000" b="1" baseline="0"/>
              <a:t> covered under foster parents allowance - NSPA</a:t>
            </a:r>
            <a:endParaRPr lang="en-US" sz="1000" b="1"/>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'NSPA NBA art 9'!$Q$8</c:f>
              <c:strCache>
                <c:ptCount val="1"/>
                <c:pt idx="0">
                  <c:v>parent</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accent2">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'NSPA NBA art 9'!$P$9:$P$16</c:f>
              <c:numCache>
                <c:formatCode>General</c:formatCode>
                <c:ptCount val="8"/>
                <c:pt idx="0">
                  <c:v>2016</c:v>
                </c:pt>
                <c:pt idx="1">
                  <c:v>2017</c:v>
                </c:pt>
                <c:pt idx="2">
                  <c:v>2018</c:v>
                </c:pt>
                <c:pt idx="3">
                  <c:v>2019</c:v>
                </c:pt>
                <c:pt idx="4">
                  <c:v>2020</c:v>
                </c:pt>
                <c:pt idx="5">
                  <c:v>2021</c:v>
                </c:pt>
                <c:pt idx="6">
                  <c:v>2022</c:v>
                </c:pt>
                <c:pt idx="7">
                  <c:v>2023</c:v>
                </c:pt>
              </c:numCache>
            </c:numRef>
          </c:cat>
          <c:val>
            <c:numRef>
              <c:f>'NSPA NBA art 9'!$Q$9:$Q$16</c:f>
              <c:numCache>
                <c:formatCode>#,##0_);\(#,##0\)</c:formatCode>
                <c:ptCount val="8"/>
                <c:pt idx="0">
                  <c:v>107</c:v>
                </c:pt>
                <c:pt idx="1">
                  <c:v>104</c:v>
                </c:pt>
                <c:pt idx="2">
                  <c:v>107</c:v>
                </c:pt>
                <c:pt idx="3">
                  <c:v>105</c:v>
                </c:pt>
                <c:pt idx="4">
                  <c:v>111</c:v>
                </c:pt>
                <c:pt idx="5">
                  <c:v>109</c:v>
                </c:pt>
                <c:pt idx="6">
                  <c:v>109</c:v>
                </c:pt>
                <c:pt idx="7">
                  <c:v>121</c:v>
                </c:pt>
              </c:numCache>
            </c:numRef>
          </c:val>
          <c:smooth val="0"/>
          <c:extLst>
            <c:ext xmlns:c16="http://schemas.microsoft.com/office/drawing/2014/chart" uri="{C3380CC4-5D6E-409C-BE32-E72D297353CC}">
              <c16:uniqueId val="{00000000-C13B-42F6-BB3B-38D02454402D}"/>
            </c:ext>
          </c:extLst>
        </c:ser>
        <c:ser>
          <c:idx val="1"/>
          <c:order val="1"/>
          <c:tx>
            <c:strRef>
              <c:f>'NSPA NBA art 9'!$R$8</c:f>
              <c:strCache>
                <c:ptCount val="1"/>
                <c:pt idx="0">
                  <c:v>children</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accent4">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'NSPA NBA art 9'!$P$9:$P$16</c:f>
              <c:numCache>
                <c:formatCode>General</c:formatCode>
                <c:ptCount val="8"/>
                <c:pt idx="0">
                  <c:v>2016</c:v>
                </c:pt>
                <c:pt idx="1">
                  <c:v>2017</c:v>
                </c:pt>
                <c:pt idx="2">
                  <c:v>2018</c:v>
                </c:pt>
                <c:pt idx="3">
                  <c:v>2019</c:v>
                </c:pt>
                <c:pt idx="4">
                  <c:v>2020</c:v>
                </c:pt>
                <c:pt idx="5">
                  <c:v>2021</c:v>
                </c:pt>
                <c:pt idx="6">
                  <c:v>2022</c:v>
                </c:pt>
                <c:pt idx="7">
                  <c:v>2023</c:v>
                </c:pt>
              </c:numCache>
            </c:numRef>
          </c:cat>
          <c:val>
            <c:numRef>
              <c:f>'NSPA NBA art 9'!$R$9:$R$16</c:f>
              <c:numCache>
                <c:formatCode>#,##0_);\(#,##0\)</c:formatCode>
                <c:ptCount val="8"/>
                <c:pt idx="0">
                  <c:v>147</c:v>
                </c:pt>
                <c:pt idx="1">
                  <c:v>147</c:v>
                </c:pt>
                <c:pt idx="2">
                  <c:v>147</c:v>
                </c:pt>
                <c:pt idx="3">
                  <c:v>142</c:v>
                </c:pt>
                <c:pt idx="4">
                  <c:v>149</c:v>
                </c:pt>
                <c:pt idx="5">
                  <c:v>144</c:v>
                </c:pt>
                <c:pt idx="6">
                  <c:v>148</c:v>
                </c:pt>
                <c:pt idx="7">
                  <c:v>159</c:v>
                </c:pt>
              </c:numCache>
            </c:numRef>
          </c:val>
          <c:smooth val="0"/>
          <c:extLst>
            <c:ext xmlns:c16="http://schemas.microsoft.com/office/drawing/2014/chart" uri="{C3380CC4-5D6E-409C-BE32-E72D297353CC}">
              <c16:uniqueId val="{00000001-C13B-42F6-BB3B-38D02454402D}"/>
            </c:ext>
          </c:extLst>
        </c:ser>
        <c:dLbls>
          <c:showLegendKey val="0"/>
          <c:showVal val="0"/>
          <c:showCatName val="0"/>
          <c:showSerName val="0"/>
          <c:showPercent val="0"/>
          <c:showBubbleSize val="0"/>
        </c:dLbls>
        <c:smooth val="0"/>
        <c:axId val="733215439"/>
        <c:axId val="733210159"/>
      </c:lineChart>
      <c:catAx>
        <c:axId val="733215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733210159"/>
        <c:crosses val="autoZero"/>
        <c:auto val="1"/>
        <c:lblAlgn val="ctr"/>
        <c:lblOffset val="100"/>
        <c:noMultiLvlLbl val="0"/>
      </c:catAx>
      <c:valAx>
        <c:axId val="733210159"/>
        <c:scaling>
          <c:orientation val="minMax"/>
        </c:scaling>
        <c:delete val="0"/>
        <c:axPos val="l"/>
        <c:numFmt formatCode="#,##0_);\(#,##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3215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Marriage and divorce cases </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'DJA_published data'!$E$36</c:f>
              <c:strCache>
                <c:ptCount val="1"/>
                <c:pt idx="0">
                  <c:v>Marriage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'DJA_published data'!$D$37:$D$43</c:f>
              <c:numCache>
                <c:formatCode>General</c:formatCode>
                <c:ptCount val="7"/>
                <c:pt idx="0">
                  <c:v>2015</c:v>
                </c:pt>
                <c:pt idx="1">
                  <c:v>2016</c:v>
                </c:pt>
                <c:pt idx="2">
                  <c:v>2017</c:v>
                </c:pt>
                <c:pt idx="3">
                  <c:v>2018</c:v>
                </c:pt>
                <c:pt idx="4">
                  <c:v>2019</c:v>
                </c:pt>
                <c:pt idx="5">
                  <c:v>2020</c:v>
                </c:pt>
                <c:pt idx="6">
                  <c:v>2021</c:v>
                </c:pt>
              </c:numCache>
            </c:numRef>
          </c:cat>
          <c:val>
            <c:numRef>
              <c:f>'DJA_published data'!$E$37:$E$43</c:f>
              <c:numCache>
                <c:formatCode>General</c:formatCode>
                <c:ptCount val="7"/>
                <c:pt idx="0">
                  <c:v>5763</c:v>
                </c:pt>
                <c:pt idx="1">
                  <c:v>5488</c:v>
                </c:pt>
                <c:pt idx="2">
                  <c:v>5237</c:v>
                </c:pt>
                <c:pt idx="3">
                  <c:v>5290</c:v>
                </c:pt>
                <c:pt idx="4">
                  <c:v>5069</c:v>
                </c:pt>
                <c:pt idx="5">
                  <c:v>4997</c:v>
                </c:pt>
                <c:pt idx="6">
                  <c:v>5414</c:v>
                </c:pt>
              </c:numCache>
            </c:numRef>
          </c:val>
          <c:extLst>
            <c:ext xmlns:c16="http://schemas.microsoft.com/office/drawing/2014/chart" uri="{C3380CC4-5D6E-409C-BE32-E72D297353CC}">
              <c16:uniqueId val="{00000000-C685-4D2A-9F9E-46E49C79DDA4}"/>
            </c:ext>
          </c:extLst>
        </c:ser>
        <c:ser>
          <c:idx val="1"/>
          <c:order val="1"/>
          <c:tx>
            <c:strRef>
              <c:f>'DJA_published data'!$F$36</c:f>
              <c:strCache>
                <c:ptCount val="1"/>
                <c:pt idx="0">
                  <c:v>Divorce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'DJA_published data'!$D$37:$D$43</c:f>
              <c:numCache>
                <c:formatCode>General</c:formatCode>
                <c:ptCount val="7"/>
                <c:pt idx="0">
                  <c:v>2015</c:v>
                </c:pt>
                <c:pt idx="1">
                  <c:v>2016</c:v>
                </c:pt>
                <c:pt idx="2">
                  <c:v>2017</c:v>
                </c:pt>
                <c:pt idx="3">
                  <c:v>2018</c:v>
                </c:pt>
                <c:pt idx="4">
                  <c:v>2019</c:v>
                </c:pt>
                <c:pt idx="5">
                  <c:v>2020</c:v>
                </c:pt>
                <c:pt idx="6">
                  <c:v>2021</c:v>
                </c:pt>
              </c:numCache>
            </c:numRef>
          </c:cat>
          <c:val>
            <c:numRef>
              <c:f>'DJA_published data'!$F$37:$F$43</c:f>
              <c:numCache>
                <c:formatCode>General</c:formatCode>
                <c:ptCount val="7"/>
                <c:pt idx="0">
                  <c:v>3358</c:v>
                </c:pt>
                <c:pt idx="1">
                  <c:v>3417</c:v>
                </c:pt>
                <c:pt idx="2">
                  <c:v>3211</c:v>
                </c:pt>
                <c:pt idx="3">
                  <c:v>3166</c:v>
                </c:pt>
                <c:pt idx="4">
                  <c:v>3550</c:v>
                </c:pt>
                <c:pt idx="5">
                  <c:v>2984</c:v>
                </c:pt>
                <c:pt idx="6">
                  <c:v>3242</c:v>
                </c:pt>
              </c:numCache>
            </c:numRef>
          </c:val>
          <c:extLst>
            <c:ext xmlns:c16="http://schemas.microsoft.com/office/drawing/2014/chart" uri="{C3380CC4-5D6E-409C-BE32-E72D297353CC}">
              <c16:uniqueId val="{00000001-C685-4D2A-9F9E-46E49C79DDA4}"/>
            </c:ext>
          </c:extLst>
        </c:ser>
        <c:dLbls>
          <c:showLegendKey val="0"/>
          <c:showVal val="0"/>
          <c:showCatName val="0"/>
          <c:showSerName val="0"/>
          <c:showPercent val="0"/>
          <c:showBubbleSize val="0"/>
        </c:dLbls>
        <c:gapWidth val="150"/>
        <c:overlap val="100"/>
        <c:axId val="1395850096"/>
        <c:axId val="1395857776"/>
      </c:barChart>
      <c:catAx>
        <c:axId val="1395850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395857776"/>
        <c:crosses val="autoZero"/>
        <c:auto val="1"/>
        <c:lblAlgn val="ctr"/>
        <c:lblOffset val="100"/>
        <c:noMultiLvlLbl val="0"/>
      </c:catAx>
      <c:valAx>
        <c:axId val="139585777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395850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000" b="0" i="0" u="none" strike="noStrike" kern="1200" spc="0" baseline="0">
                <a:solidFill>
                  <a:schemeClr val="tx1">
                    <a:lumMod val="65000"/>
                    <a:lumOff val="35000"/>
                  </a:schemeClr>
                </a:solidFill>
                <a:latin typeface="+mn-lt"/>
                <a:ea typeface="+mn-ea"/>
                <a:cs typeface="+mn-cs"/>
              </a:defRPr>
            </a:pPr>
            <a:r>
              <a:rPr lang="en-US" sz="1000"/>
              <a:t>Custody cases </a:t>
            </a:r>
          </a:p>
        </c:rich>
      </c:tx>
      <c:overlay val="0"/>
      <c:spPr>
        <a:noFill/>
        <a:ln>
          <a:noFill/>
        </a:ln>
        <a:effectLst/>
      </c:spPr>
      <c:txPr>
        <a:bodyPr rot="0" spcFirstLastPara="1" vertOverflow="ellipsis" vert="horz" wrap="square" anchor="ctr" anchorCtr="1"/>
        <a:lstStyle/>
        <a:p>
          <a:pPr algn="l">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'DJA_published data'!$D$5</c:f>
              <c:strCache>
                <c:ptCount val="1"/>
                <c:pt idx="0">
                  <c:v>Custody cases decided in father’s favour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'DJA_published data'!$C$6:$C$12</c:f>
              <c:numCache>
                <c:formatCode>General</c:formatCode>
                <c:ptCount val="7"/>
                <c:pt idx="0">
                  <c:v>2015</c:v>
                </c:pt>
                <c:pt idx="1">
                  <c:v>2016</c:v>
                </c:pt>
                <c:pt idx="2">
                  <c:v>2017</c:v>
                </c:pt>
                <c:pt idx="3">
                  <c:v>2018</c:v>
                </c:pt>
                <c:pt idx="4">
                  <c:v>2019</c:v>
                </c:pt>
                <c:pt idx="5">
                  <c:v>2020</c:v>
                </c:pt>
                <c:pt idx="6">
                  <c:v>2021</c:v>
                </c:pt>
              </c:numCache>
            </c:numRef>
          </c:cat>
          <c:val>
            <c:numRef>
              <c:f>'DJA_published data'!$D$6:$D$12</c:f>
              <c:numCache>
                <c:formatCode>General</c:formatCode>
                <c:ptCount val="7"/>
                <c:pt idx="0">
                  <c:v>23</c:v>
                </c:pt>
                <c:pt idx="1">
                  <c:v>23</c:v>
                </c:pt>
                <c:pt idx="2">
                  <c:v>12</c:v>
                </c:pt>
                <c:pt idx="3">
                  <c:v>14</c:v>
                </c:pt>
                <c:pt idx="4">
                  <c:v>16</c:v>
                </c:pt>
                <c:pt idx="5">
                  <c:v>15</c:v>
                </c:pt>
                <c:pt idx="6">
                  <c:v>13</c:v>
                </c:pt>
              </c:numCache>
            </c:numRef>
          </c:val>
          <c:extLst>
            <c:ext xmlns:c16="http://schemas.microsoft.com/office/drawing/2014/chart" uri="{C3380CC4-5D6E-409C-BE32-E72D297353CC}">
              <c16:uniqueId val="{00000000-FECC-40CF-8379-A85DB2801145}"/>
            </c:ext>
          </c:extLst>
        </c:ser>
        <c:ser>
          <c:idx val="1"/>
          <c:order val="1"/>
          <c:tx>
            <c:strRef>
              <c:f>'DJA_published data'!$E$5</c:f>
              <c:strCache>
                <c:ptCount val="1"/>
                <c:pt idx="0">
                  <c:v>Custody cases decided in mother’s favour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'DJA_published data'!$C$6:$C$12</c:f>
              <c:numCache>
                <c:formatCode>General</c:formatCode>
                <c:ptCount val="7"/>
                <c:pt idx="0">
                  <c:v>2015</c:v>
                </c:pt>
                <c:pt idx="1">
                  <c:v>2016</c:v>
                </c:pt>
                <c:pt idx="2">
                  <c:v>2017</c:v>
                </c:pt>
                <c:pt idx="3">
                  <c:v>2018</c:v>
                </c:pt>
                <c:pt idx="4">
                  <c:v>2019</c:v>
                </c:pt>
                <c:pt idx="5">
                  <c:v>2020</c:v>
                </c:pt>
                <c:pt idx="6">
                  <c:v>2021</c:v>
                </c:pt>
              </c:numCache>
            </c:numRef>
          </c:cat>
          <c:val>
            <c:numRef>
              <c:f>'DJA_published data'!$E$6:$E$12</c:f>
              <c:numCache>
                <c:formatCode>General</c:formatCode>
                <c:ptCount val="7"/>
                <c:pt idx="0">
                  <c:v>40</c:v>
                </c:pt>
                <c:pt idx="1">
                  <c:v>45</c:v>
                </c:pt>
                <c:pt idx="2">
                  <c:v>32</c:v>
                </c:pt>
                <c:pt idx="3">
                  <c:v>26</c:v>
                </c:pt>
                <c:pt idx="4">
                  <c:v>25</c:v>
                </c:pt>
                <c:pt idx="5">
                  <c:v>22</c:v>
                </c:pt>
                <c:pt idx="6">
                  <c:v>24</c:v>
                </c:pt>
              </c:numCache>
            </c:numRef>
          </c:val>
          <c:extLst>
            <c:ext xmlns:c16="http://schemas.microsoft.com/office/drawing/2014/chart" uri="{C3380CC4-5D6E-409C-BE32-E72D297353CC}">
              <c16:uniqueId val="{00000001-FECC-40CF-8379-A85DB2801145}"/>
            </c:ext>
          </c:extLst>
        </c:ser>
        <c:dLbls>
          <c:showLegendKey val="0"/>
          <c:showVal val="0"/>
          <c:showCatName val="0"/>
          <c:showSerName val="0"/>
          <c:showPercent val="0"/>
          <c:showBubbleSize val="0"/>
        </c:dLbls>
        <c:gapWidth val="219"/>
        <c:overlap val="-27"/>
        <c:axId val="1830638144"/>
        <c:axId val="1830646784"/>
      </c:barChart>
      <c:catAx>
        <c:axId val="183063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830646784"/>
        <c:crosses val="autoZero"/>
        <c:auto val="1"/>
        <c:lblAlgn val="ctr"/>
        <c:lblOffset val="100"/>
        <c:noMultiLvlLbl val="0"/>
      </c:catAx>
      <c:valAx>
        <c:axId val="18306467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3063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Total number of cases of non-payment of court-ordered child maintenance</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'FC n MC art 18'!$B$26</c:f>
              <c:strCache>
                <c:ptCount val="1"/>
                <c:pt idx="0">
                  <c:v>Family Court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18'!$A$27:$A$32</c:f>
              <c:numCache>
                <c:formatCode>General</c:formatCode>
                <c:ptCount val="6"/>
                <c:pt idx="0">
                  <c:v>2019</c:v>
                </c:pt>
                <c:pt idx="1">
                  <c:v>2020</c:v>
                </c:pt>
                <c:pt idx="2">
                  <c:v>2021</c:v>
                </c:pt>
                <c:pt idx="3">
                  <c:v>2022</c:v>
                </c:pt>
                <c:pt idx="4">
                  <c:v>2023</c:v>
                </c:pt>
                <c:pt idx="5">
                  <c:v>2024</c:v>
                </c:pt>
              </c:numCache>
            </c:numRef>
          </c:cat>
          <c:val>
            <c:numRef>
              <c:f>'FC n MC art 18'!$B$27:$B$32</c:f>
              <c:numCache>
                <c:formatCode>General</c:formatCode>
                <c:ptCount val="6"/>
                <c:pt idx="0">
                  <c:v>466</c:v>
                </c:pt>
                <c:pt idx="1">
                  <c:v>221</c:v>
                </c:pt>
                <c:pt idx="2">
                  <c:v>255</c:v>
                </c:pt>
                <c:pt idx="3">
                  <c:v>210</c:v>
                </c:pt>
                <c:pt idx="4">
                  <c:v>102</c:v>
                </c:pt>
                <c:pt idx="5">
                  <c:v>94</c:v>
                </c:pt>
              </c:numCache>
            </c:numRef>
          </c:val>
          <c:extLst>
            <c:ext xmlns:c16="http://schemas.microsoft.com/office/drawing/2014/chart" uri="{C3380CC4-5D6E-409C-BE32-E72D297353CC}">
              <c16:uniqueId val="{00000000-35AD-4342-B22A-06321FBFA873}"/>
            </c:ext>
          </c:extLst>
        </c:ser>
        <c:ser>
          <c:idx val="1"/>
          <c:order val="1"/>
          <c:tx>
            <c:strRef>
              <c:f>'FC n MC art 18'!$C$26</c:f>
              <c:strCache>
                <c:ptCount val="1"/>
                <c:pt idx="0">
                  <c:v>Magistrate Courts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18'!$A$27:$A$32</c:f>
              <c:numCache>
                <c:formatCode>General</c:formatCode>
                <c:ptCount val="6"/>
                <c:pt idx="0">
                  <c:v>2019</c:v>
                </c:pt>
                <c:pt idx="1">
                  <c:v>2020</c:v>
                </c:pt>
                <c:pt idx="2">
                  <c:v>2021</c:v>
                </c:pt>
                <c:pt idx="3">
                  <c:v>2022</c:v>
                </c:pt>
                <c:pt idx="4">
                  <c:v>2023</c:v>
                </c:pt>
                <c:pt idx="5">
                  <c:v>2024</c:v>
                </c:pt>
              </c:numCache>
            </c:numRef>
          </c:cat>
          <c:val>
            <c:numRef>
              <c:f>'FC n MC art 18'!$C$27:$C$32</c:f>
              <c:numCache>
                <c:formatCode>General</c:formatCode>
                <c:ptCount val="6"/>
                <c:pt idx="0">
                  <c:v>185</c:v>
                </c:pt>
                <c:pt idx="1">
                  <c:v>174</c:v>
                </c:pt>
                <c:pt idx="2">
                  <c:v>145</c:v>
                </c:pt>
                <c:pt idx="3">
                  <c:v>114</c:v>
                </c:pt>
                <c:pt idx="4">
                  <c:v>100</c:v>
                </c:pt>
                <c:pt idx="5">
                  <c:v>116</c:v>
                </c:pt>
              </c:numCache>
            </c:numRef>
          </c:val>
          <c:extLst>
            <c:ext xmlns:c16="http://schemas.microsoft.com/office/drawing/2014/chart" uri="{C3380CC4-5D6E-409C-BE32-E72D297353CC}">
              <c16:uniqueId val="{00000001-35AD-4342-B22A-06321FBFA873}"/>
            </c:ext>
          </c:extLst>
        </c:ser>
        <c:dLbls>
          <c:showLegendKey val="0"/>
          <c:showVal val="0"/>
          <c:showCatName val="0"/>
          <c:showSerName val="0"/>
          <c:showPercent val="0"/>
          <c:showBubbleSize val="0"/>
        </c:dLbls>
        <c:gapWidth val="219"/>
        <c:overlap val="-27"/>
        <c:axId val="1421391823"/>
        <c:axId val="1421402383"/>
      </c:barChart>
      <c:catAx>
        <c:axId val="1421391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421402383"/>
        <c:crosses val="autoZero"/>
        <c:auto val="1"/>
        <c:lblAlgn val="ctr"/>
        <c:lblOffset val="100"/>
        <c:noMultiLvlLbl val="0"/>
      </c:catAx>
      <c:valAx>
        <c:axId val="142140238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42139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Total number of cases in which the courts ordered employers to deduct maintenance payments from salaries and deposit them to the court</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776163719391879E-2"/>
          <c:y val="0.32905408319031315"/>
          <c:w val="0.88891256856366008"/>
          <c:h val="0.39249701662871228"/>
        </c:manualLayout>
      </c:layout>
      <c:barChart>
        <c:barDir val="col"/>
        <c:grouping val="clustered"/>
        <c:varyColors val="0"/>
        <c:ser>
          <c:idx val="0"/>
          <c:order val="0"/>
          <c:tx>
            <c:strRef>
              <c:f>'FC n MC art 18'!$B$36</c:f>
              <c:strCache>
                <c:ptCount val="1"/>
                <c:pt idx="0">
                  <c:v>Family Court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18'!$A$37:$A$42</c:f>
              <c:numCache>
                <c:formatCode>General</c:formatCode>
                <c:ptCount val="6"/>
                <c:pt idx="0">
                  <c:v>2019</c:v>
                </c:pt>
                <c:pt idx="1">
                  <c:v>2020</c:v>
                </c:pt>
                <c:pt idx="2">
                  <c:v>2021</c:v>
                </c:pt>
                <c:pt idx="3">
                  <c:v>2022</c:v>
                </c:pt>
                <c:pt idx="4">
                  <c:v>2023</c:v>
                </c:pt>
                <c:pt idx="5">
                  <c:v>2024</c:v>
                </c:pt>
              </c:numCache>
            </c:numRef>
          </c:cat>
          <c:val>
            <c:numRef>
              <c:f>'FC n MC art 18'!$B$37:$B$42</c:f>
              <c:numCache>
                <c:formatCode>General</c:formatCode>
                <c:ptCount val="6"/>
                <c:pt idx="0">
                  <c:v>12</c:v>
                </c:pt>
                <c:pt idx="1">
                  <c:v>8</c:v>
                </c:pt>
                <c:pt idx="2">
                  <c:v>14</c:v>
                </c:pt>
                <c:pt idx="3">
                  <c:v>19</c:v>
                </c:pt>
                <c:pt idx="4">
                  <c:v>11</c:v>
                </c:pt>
                <c:pt idx="5">
                  <c:v>17</c:v>
                </c:pt>
              </c:numCache>
            </c:numRef>
          </c:val>
          <c:extLst>
            <c:ext xmlns:c16="http://schemas.microsoft.com/office/drawing/2014/chart" uri="{C3380CC4-5D6E-409C-BE32-E72D297353CC}">
              <c16:uniqueId val="{00000000-4EA3-4D7F-BE53-3E9582151188}"/>
            </c:ext>
          </c:extLst>
        </c:ser>
        <c:ser>
          <c:idx val="1"/>
          <c:order val="1"/>
          <c:tx>
            <c:strRef>
              <c:f>'FC n MC art 18'!$C$36</c:f>
              <c:strCache>
                <c:ptCount val="1"/>
                <c:pt idx="0">
                  <c:v>Magistrate Courts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18'!$A$37:$A$42</c:f>
              <c:numCache>
                <c:formatCode>General</c:formatCode>
                <c:ptCount val="6"/>
                <c:pt idx="0">
                  <c:v>2019</c:v>
                </c:pt>
                <c:pt idx="1">
                  <c:v>2020</c:v>
                </c:pt>
                <c:pt idx="2">
                  <c:v>2021</c:v>
                </c:pt>
                <c:pt idx="3">
                  <c:v>2022</c:v>
                </c:pt>
                <c:pt idx="4">
                  <c:v>2023</c:v>
                </c:pt>
                <c:pt idx="5">
                  <c:v>2024</c:v>
                </c:pt>
              </c:numCache>
            </c:numRef>
          </c:cat>
          <c:val>
            <c:numRef>
              <c:f>'FC n MC art 18'!$C$37:$C$42</c:f>
              <c:numCache>
                <c:formatCode>General</c:formatCode>
                <c:ptCount val="6"/>
                <c:pt idx="0">
                  <c:v>11</c:v>
                </c:pt>
                <c:pt idx="1">
                  <c:v>9</c:v>
                </c:pt>
                <c:pt idx="2">
                  <c:v>18</c:v>
                </c:pt>
                <c:pt idx="3">
                  <c:v>15</c:v>
                </c:pt>
                <c:pt idx="4">
                  <c:v>14</c:v>
                </c:pt>
                <c:pt idx="5">
                  <c:v>19</c:v>
                </c:pt>
              </c:numCache>
            </c:numRef>
          </c:val>
          <c:extLst>
            <c:ext xmlns:c16="http://schemas.microsoft.com/office/drawing/2014/chart" uri="{C3380CC4-5D6E-409C-BE32-E72D297353CC}">
              <c16:uniqueId val="{00000001-4EA3-4D7F-BE53-3E9582151188}"/>
            </c:ext>
          </c:extLst>
        </c:ser>
        <c:dLbls>
          <c:showLegendKey val="0"/>
          <c:showVal val="0"/>
          <c:showCatName val="0"/>
          <c:showSerName val="0"/>
          <c:showPercent val="0"/>
          <c:showBubbleSize val="0"/>
        </c:dLbls>
        <c:gapWidth val="219"/>
        <c:overlap val="-27"/>
        <c:axId val="1614705583"/>
        <c:axId val="1614712303"/>
      </c:barChart>
      <c:catAx>
        <c:axId val="16147055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14712303"/>
        <c:crosses val="autoZero"/>
        <c:auto val="1"/>
        <c:lblAlgn val="ctr"/>
        <c:lblOffset val="100"/>
        <c:noMultiLvlLbl val="0"/>
      </c:catAx>
      <c:valAx>
        <c:axId val="16147123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14705583"/>
        <c:crosses val="autoZero"/>
        <c:crossBetween val="between"/>
      </c:valAx>
      <c:spPr>
        <a:noFill/>
        <a:ln>
          <a:noFill/>
        </a:ln>
        <a:effectLst/>
      </c:spPr>
    </c:plotArea>
    <c:legend>
      <c:legendPos val="b"/>
      <c:layout>
        <c:manualLayout>
          <c:xMode val="edge"/>
          <c:yMode val="edge"/>
          <c:x val="0.10428253747517839"/>
          <c:y val="0.86047046071590494"/>
          <c:w val="0.84432074868923013"/>
          <c:h val="0.11967513822519373"/>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Total number of cases where house arrest and impirsonment were</a:t>
            </a:r>
            <a:r>
              <a:rPr lang="en-US" sz="1000" baseline="0"/>
              <a:t> ordered due to non-payment of maintenance</a:t>
            </a:r>
            <a:endParaRPr lang="en-US" sz="1000"/>
          </a:p>
        </c:rich>
      </c:tx>
      <c:layout>
        <c:manualLayout>
          <c:xMode val="edge"/>
          <c:yMode val="edge"/>
          <c:x val="0.11627443582620001"/>
          <c:y val="2.2824460375288909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865595754032667E-2"/>
          <c:y val="0.2445629629629629"/>
          <c:w val="0.91849636672120327"/>
          <c:h val="0.41368276726603198"/>
        </c:manualLayout>
      </c:layout>
      <c:barChart>
        <c:barDir val="col"/>
        <c:grouping val="clustered"/>
        <c:varyColors val="0"/>
        <c:ser>
          <c:idx val="0"/>
          <c:order val="0"/>
          <c:tx>
            <c:strRef>
              <c:f>'FC n MC art 18'!$G$50</c:f>
              <c:strCache>
                <c:ptCount val="1"/>
                <c:pt idx="0">
                  <c:v>Total number of cases where house arrest was ordered due to non-payment of maintenance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18'!$F$51:$F$56</c:f>
              <c:numCache>
                <c:formatCode>General</c:formatCode>
                <c:ptCount val="6"/>
                <c:pt idx="0">
                  <c:v>2019</c:v>
                </c:pt>
                <c:pt idx="1">
                  <c:v>2020</c:v>
                </c:pt>
                <c:pt idx="2">
                  <c:v>2021</c:v>
                </c:pt>
                <c:pt idx="3">
                  <c:v>2022</c:v>
                </c:pt>
                <c:pt idx="4">
                  <c:v>2023</c:v>
                </c:pt>
                <c:pt idx="5">
                  <c:v>2024</c:v>
                </c:pt>
              </c:numCache>
            </c:numRef>
          </c:cat>
          <c:val>
            <c:numRef>
              <c:f>'FC n MC art 18'!$G$51:$G$56</c:f>
              <c:numCache>
                <c:formatCode>General</c:formatCode>
                <c:ptCount val="6"/>
                <c:pt idx="0">
                  <c:v>19</c:v>
                </c:pt>
                <c:pt idx="1">
                  <c:v>21</c:v>
                </c:pt>
                <c:pt idx="2">
                  <c:v>19</c:v>
                </c:pt>
                <c:pt idx="3">
                  <c:v>20</c:v>
                </c:pt>
                <c:pt idx="4">
                  <c:v>10</c:v>
                </c:pt>
                <c:pt idx="5">
                  <c:v>13</c:v>
                </c:pt>
              </c:numCache>
            </c:numRef>
          </c:val>
          <c:extLst>
            <c:ext xmlns:c16="http://schemas.microsoft.com/office/drawing/2014/chart" uri="{C3380CC4-5D6E-409C-BE32-E72D297353CC}">
              <c16:uniqueId val="{00000000-5A1F-46E7-A943-743F4CE145FD}"/>
            </c:ext>
          </c:extLst>
        </c:ser>
        <c:ser>
          <c:idx val="1"/>
          <c:order val="1"/>
          <c:tx>
            <c:strRef>
              <c:f>'FC n MC art 18'!$H$50</c:f>
              <c:strCache>
                <c:ptCount val="1"/>
                <c:pt idx="0">
                  <c:v>Total number of cases where imprisonment was ordered due to non-payment of maintenance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18'!$F$51:$F$56</c:f>
              <c:numCache>
                <c:formatCode>General</c:formatCode>
                <c:ptCount val="6"/>
                <c:pt idx="0">
                  <c:v>2019</c:v>
                </c:pt>
                <c:pt idx="1">
                  <c:v>2020</c:v>
                </c:pt>
                <c:pt idx="2">
                  <c:v>2021</c:v>
                </c:pt>
                <c:pt idx="3">
                  <c:v>2022</c:v>
                </c:pt>
                <c:pt idx="4">
                  <c:v>2023</c:v>
                </c:pt>
                <c:pt idx="5">
                  <c:v>2024</c:v>
                </c:pt>
              </c:numCache>
            </c:numRef>
          </c:cat>
          <c:val>
            <c:numRef>
              <c:f>'FC n MC art 18'!$H$51:$H$56</c:f>
              <c:numCache>
                <c:formatCode>General</c:formatCode>
                <c:ptCount val="6"/>
                <c:pt idx="0">
                  <c:v>5</c:v>
                </c:pt>
                <c:pt idx="1">
                  <c:v>6</c:v>
                </c:pt>
                <c:pt idx="2">
                  <c:v>9</c:v>
                </c:pt>
                <c:pt idx="3">
                  <c:v>5</c:v>
                </c:pt>
                <c:pt idx="4">
                  <c:v>7</c:v>
                </c:pt>
                <c:pt idx="5">
                  <c:v>7</c:v>
                </c:pt>
              </c:numCache>
            </c:numRef>
          </c:val>
          <c:extLst>
            <c:ext xmlns:c16="http://schemas.microsoft.com/office/drawing/2014/chart" uri="{C3380CC4-5D6E-409C-BE32-E72D297353CC}">
              <c16:uniqueId val="{00000001-5A1F-46E7-A943-743F4CE145FD}"/>
            </c:ext>
          </c:extLst>
        </c:ser>
        <c:dLbls>
          <c:showLegendKey val="0"/>
          <c:showVal val="0"/>
          <c:showCatName val="0"/>
          <c:showSerName val="0"/>
          <c:showPercent val="0"/>
          <c:showBubbleSize val="0"/>
        </c:dLbls>
        <c:gapWidth val="219"/>
        <c:overlap val="-27"/>
        <c:axId val="1666991424"/>
        <c:axId val="1666991904"/>
      </c:barChart>
      <c:catAx>
        <c:axId val="1666991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666991904"/>
        <c:crosses val="autoZero"/>
        <c:auto val="1"/>
        <c:lblAlgn val="ctr"/>
        <c:lblOffset val="100"/>
        <c:noMultiLvlLbl val="0"/>
      </c:catAx>
      <c:valAx>
        <c:axId val="16669919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66991424"/>
        <c:crosses val="autoZero"/>
        <c:crossBetween val="between"/>
      </c:valAx>
      <c:spPr>
        <a:noFill/>
        <a:ln>
          <a:noFill/>
        </a:ln>
        <a:effectLst/>
      </c:spPr>
    </c:plotArea>
    <c:legend>
      <c:legendPos val="b"/>
      <c:layout>
        <c:manualLayout>
          <c:xMode val="edge"/>
          <c:yMode val="edge"/>
          <c:x val="0.13323692928974307"/>
          <c:y val="0.80994672307752591"/>
          <c:w val="0.7777792653058232"/>
          <c:h val="0.15284404747913974"/>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Total number of cases to withhold the passport due to non-payment of maintenance</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'FC n MC art 18'!$B$82</c:f>
              <c:strCache>
                <c:ptCount val="1"/>
                <c:pt idx="0">
                  <c:v>Family Court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18'!$A$83:$A$88</c:f>
              <c:numCache>
                <c:formatCode>General</c:formatCode>
                <c:ptCount val="6"/>
                <c:pt idx="0">
                  <c:v>2019</c:v>
                </c:pt>
                <c:pt idx="1">
                  <c:v>2020</c:v>
                </c:pt>
                <c:pt idx="2">
                  <c:v>2021</c:v>
                </c:pt>
                <c:pt idx="3">
                  <c:v>2022</c:v>
                </c:pt>
                <c:pt idx="4">
                  <c:v>2023</c:v>
                </c:pt>
                <c:pt idx="5">
                  <c:v>2024</c:v>
                </c:pt>
              </c:numCache>
            </c:numRef>
          </c:cat>
          <c:val>
            <c:numRef>
              <c:f>'FC n MC art 18'!$B$83:$B$88</c:f>
              <c:numCache>
                <c:formatCode>General</c:formatCode>
                <c:ptCount val="6"/>
                <c:pt idx="0">
                  <c:v>4</c:v>
                </c:pt>
                <c:pt idx="1">
                  <c:v>0</c:v>
                </c:pt>
                <c:pt idx="2">
                  <c:v>0</c:v>
                </c:pt>
                <c:pt idx="3">
                  <c:v>0</c:v>
                </c:pt>
                <c:pt idx="4">
                  <c:v>0</c:v>
                </c:pt>
                <c:pt idx="5">
                  <c:v>2</c:v>
                </c:pt>
              </c:numCache>
            </c:numRef>
          </c:val>
          <c:extLst>
            <c:ext xmlns:c16="http://schemas.microsoft.com/office/drawing/2014/chart" uri="{C3380CC4-5D6E-409C-BE32-E72D297353CC}">
              <c16:uniqueId val="{00000000-D431-412A-99D6-110234A63103}"/>
            </c:ext>
          </c:extLst>
        </c:ser>
        <c:ser>
          <c:idx val="1"/>
          <c:order val="1"/>
          <c:tx>
            <c:strRef>
              <c:f>'FC n MC art 18'!$C$82</c:f>
              <c:strCache>
                <c:ptCount val="1"/>
                <c:pt idx="0">
                  <c:v>Magistrate Courts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18'!$A$83:$A$88</c:f>
              <c:numCache>
                <c:formatCode>General</c:formatCode>
                <c:ptCount val="6"/>
                <c:pt idx="0">
                  <c:v>2019</c:v>
                </c:pt>
                <c:pt idx="1">
                  <c:v>2020</c:v>
                </c:pt>
                <c:pt idx="2">
                  <c:v>2021</c:v>
                </c:pt>
                <c:pt idx="3">
                  <c:v>2022</c:v>
                </c:pt>
                <c:pt idx="4">
                  <c:v>2023</c:v>
                </c:pt>
                <c:pt idx="5">
                  <c:v>2024</c:v>
                </c:pt>
              </c:numCache>
            </c:numRef>
          </c:cat>
          <c:val>
            <c:numRef>
              <c:f>'FC n MC art 18'!$C$83:$C$88</c:f>
              <c:numCache>
                <c:formatCode>General</c:formatCode>
                <c:ptCount val="6"/>
                <c:pt idx="0">
                  <c:v>16</c:v>
                </c:pt>
                <c:pt idx="1">
                  <c:v>8</c:v>
                </c:pt>
                <c:pt idx="2">
                  <c:v>4</c:v>
                </c:pt>
                <c:pt idx="3">
                  <c:v>4</c:v>
                </c:pt>
                <c:pt idx="4">
                  <c:v>2</c:v>
                </c:pt>
                <c:pt idx="5">
                  <c:v>7</c:v>
                </c:pt>
              </c:numCache>
            </c:numRef>
          </c:val>
          <c:extLst>
            <c:ext xmlns:c16="http://schemas.microsoft.com/office/drawing/2014/chart" uri="{C3380CC4-5D6E-409C-BE32-E72D297353CC}">
              <c16:uniqueId val="{00000001-D431-412A-99D6-110234A63103}"/>
            </c:ext>
          </c:extLst>
        </c:ser>
        <c:dLbls>
          <c:showLegendKey val="0"/>
          <c:showVal val="0"/>
          <c:showCatName val="0"/>
          <c:showSerName val="0"/>
          <c:showPercent val="0"/>
          <c:showBubbleSize val="0"/>
        </c:dLbls>
        <c:gapWidth val="219"/>
        <c:overlap val="-27"/>
        <c:axId val="1817186527"/>
        <c:axId val="1817187007"/>
      </c:barChart>
      <c:catAx>
        <c:axId val="181718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17187007"/>
        <c:crosses val="autoZero"/>
        <c:auto val="1"/>
        <c:lblAlgn val="ctr"/>
        <c:lblOffset val="100"/>
        <c:noMultiLvlLbl val="0"/>
      </c:catAx>
      <c:valAx>
        <c:axId val="181718700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17186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lgn="ctr">
              <a:defRPr sz="1000" b="0" i="0" u="none" strike="noStrike" kern="1200" spc="0" baseline="0">
                <a:solidFill>
                  <a:schemeClr val="tx1">
                    <a:lumMod val="65000"/>
                    <a:lumOff val="35000"/>
                  </a:schemeClr>
                </a:solidFill>
                <a:latin typeface="+mn-lt"/>
                <a:ea typeface="+mn-ea"/>
                <a:cs typeface="+mn-cs"/>
              </a:defRPr>
            </a:pPr>
            <a:r>
              <a:rPr lang="en-US" sz="1000"/>
              <a:t>Total number of cases where information about parties who fail to pay court-ordered maintenance was publicly disclosed</a:t>
            </a:r>
          </a:p>
        </c:rich>
      </c:tx>
      <c:overlay val="0"/>
      <c:spPr>
        <a:noFill/>
        <a:ln>
          <a:noFill/>
        </a:ln>
        <a:effectLst/>
      </c:spPr>
      <c:txPr>
        <a:bodyPr rot="0" spcFirstLastPara="1" vertOverflow="ellipsis" vert="horz" wrap="square" anchor="ctr" anchorCtr="1"/>
        <a:lstStyle/>
        <a:p>
          <a:pPr algn="ct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'FC n MC art 18'!$B$106</c:f>
              <c:strCache>
                <c:ptCount val="1"/>
                <c:pt idx="0">
                  <c:v>Magistrate Courts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'FC n MC art 18'!$A$107:$A$112</c:f>
              <c:numCache>
                <c:formatCode>General</c:formatCode>
                <c:ptCount val="6"/>
                <c:pt idx="0">
                  <c:v>2019</c:v>
                </c:pt>
                <c:pt idx="1">
                  <c:v>2020</c:v>
                </c:pt>
                <c:pt idx="2">
                  <c:v>2021</c:v>
                </c:pt>
                <c:pt idx="3">
                  <c:v>2022</c:v>
                </c:pt>
                <c:pt idx="4">
                  <c:v>2023</c:v>
                </c:pt>
                <c:pt idx="5">
                  <c:v>2024</c:v>
                </c:pt>
              </c:numCache>
            </c:numRef>
          </c:cat>
          <c:val>
            <c:numRef>
              <c:f>'FC n MC art 18'!$B$107:$B$112</c:f>
              <c:numCache>
                <c:formatCode>General</c:formatCode>
                <c:ptCount val="6"/>
                <c:pt idx="0">
                  <c:v>3</c:v>
                </c:pt>
                <c:pt idx="1">
                  <c:v>4</c:v>
                </c:pt>
                <c:pt idx="2">
                  <c:v>6</c:v>
                </c:pt>
                <c:pt idx="3">
                  <c:v>3</c:v>
                </c:pt>
                <c:pt idx="4">
                  <c:v>3</c:v>
                </c:pt>
                <c:pt idx="5">
                  <c:v>3</c:v>
                </c:pt>
              </c:numCache>
            </c:numRef>
          </c:val>
          <c:extLst>
            <c:ext xmlns:c16="http://schemas.microsoft.com/office/drawing/2014/chart" uri="{C3380CC4-5D6E-409C-BE32-E72D297353CC}">
              <c16:uniqueId val="{00000000-FCC4-4955-BE03-AC80E87EB93F}"/>
            </c:ext>
          </c:extLst>
        </c:ser>
        <c:dLbls>
          <c:showLegendKey val="0"/>
          <c:showVal val="0"/>
          <c:showCatName val="0"/>
          <c:showSerName val="0"/>
          <c:showPercent val="0"/>
          <c:showBubbleSize val="0"/>
        </c:dLbls>
        <c:gapWidth val="219"/>
        <c:overlap val="-27"/>
        <c:axId val="1842941023"/>
        <c:axId val="1842945343"/>
      </c:barChart>
      <c:catAx>
        <c:axId val="1842941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42945343"/>
        <c:crosses val="autoZero"/>
        <c:auto val="1"/>
        <c:lblAlgn val="ctr"/>
        <c:lblOffset val="100"/>
        <c:noMultiLvlLbl val="0"/>
      </c:catAx>
      <c:valAx>
        <c:axId val="184294534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42941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Drug Court cases involving</a:t>
            </a:r>
            <a:r>
              <a:rPr lang="en-US" sz="1000" b="1" baseline="0"/>
              <a:t> minors</a:t>
            </a:r>
          </a:p>
          <a:p>
            <a:pPr>
              <a:defRPr sz="1000" b="1"/>
            </a:pPr>
            <a:endParaRPr lang="en-US" sz="1000" b="1"/>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768316298663799E-2"/>
          <c:y val="7.5327135312905177E-2"/>
          <c:w val="0.93009880043459547"/>
          <c:h val="0.80917943659809088"/>
        </c:manualLayout>
      </c:layout>
      <c:barChart>
        <c:barDir val="col"/>
        <c:grouping val="clustered"/>
        <c:varyColors val="0"/>
        <c:ser>
          <c:idx val="0"/>
          <c:order val="0"/>
          <c:tx>
            <c:strRef>
              <c:f>'Drug Court'!$Z$9</c:f>
              <c:strCache>
                <c:ptCount val="1"/>
                <c:pt idx="0">
                  <c:v>Adjudicated cases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'Drug Court'!$Y$10:$Y$18</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'Drug Court'!$Z$10:$Z$18</c:f>
              <c:numCache>
                <c:formatCode>General</c:formatCode>
                <c:ptCount val="9"/>
                <c:pt idx="0">
                  <c:v>52</c:v>
                </c:pt>
                <c:pt idx="1">
                  <c:v>26</c:v>
                </c:pt>
                <c:pt idx="2">
                  <c:v>14</c:v>
                </c:pt>
                <c:pt idx="3">
                  <c:v>29</c:v>
                </c:pt>
                <c:pt idx="4">
                  <c:v>11</c:v>
                </c:pt>
                <c:pt idx="5">
                  <c:v>11</c:v>
                </c:pt>
                <c:pt idx="6">
                  <c:v>3</c:v>
                </c:pt>
                <c:pt idx="7">
                  <c:v>0</c:v>
                </c:pt>
                <c:pt idx="8">
                  <c:v>1</c:v>
                </c:pt>
              </c:numCache>
            </c:numRef>
          </c:val>
          <c:extLst>
            <c:ext xmlns:c16="http://schemas.microsoft.com/office/drawing/2014/chart" uri="{C3380CC4-5D6E-409C-BE32-E72D297353CC}">
              <c16:uniqueId val="{00000000-5450-4262-A821-DF656B8CF106}"/>
            </c:ext>
          </c:extLst>
        </c:ser>
        <c:ser>
          <c:idx val="1"/>
          <c:order val="1"/>
          <c:tx>
            <c:strRef>
              <c:f>'Drug Court'!$AA$9</c:f>
              <c:strCache>
                <c:ptCount val="1"/>
                <c:pt idx="0">
                  <c:v>Rehabilitation ordered</c:v>
                </c:pt>
              </c:strCache>
            </c:strRef>
          </c:tx>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'Drug Court'!$Y$10:$Y$18</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'Drug Court'!$AA$10:$AA$18</c:f>
              <c:numCache>
                <c:formatCode>General</c:formatCode>
                <c:ptCount val="9"/>
                <c:pt idx="0">
                  <c:v>25</c:v>
                </c:pt>
                <c:pt idx="1">
                  <c:v>29</c:v>
                </c:pt>
                <c:pt idx="2">
                  <c:v>18</c:v>
                </c:pt>
                <c:pt idx="3">
                  <c:v>17</c:v>
                </c:pt>
                <c:pt idx="4">
                  <c:v>14</c:v>
                </c:pt>
                <c:pt idx="5">
                  <c:v>16</c:v>
                </c:pt>
                <c:pt idx="6">
                  <c:v>5</c:v>
                </c:pt>
                <c:pt idx="7">
                  <c:v>0</c:v>
                </c:pt>
                <c:pt idx="8">
                  <c:v>1</c:v>
                </c:pt>
              </c:numCache>
            </c:numRef>
          </c:val>
          <c:extLst>
            <c:ext xmlns:c16="http://schemas.microsoft.com/office/drawing/2014/chart" uri="{C3380CC4-5D6E-409C-BE32-E72D297353CC}">
              <c16:uniqueId val="{00000001-5450-4262-A821-DF656B8CF106}"/>
            </c:ext>
          </c:extLst>
        </c:ser>
        <c:ser>
          <c:idx val="2"/>
          <c:order val="2"/>
          <c:tx>
            <c:strRef>
              <c:f>'Drug Court'!$AB$9</c:f>
              <c:strCache>
                <c:ptCount val="1"/>
                <c:pt idx="0">
                  <c:v>Completed treatment programs</c:v>
                </c:pt>
              </c:strCache>
            </c:strRef>
          </c:tx>
          <c:spPr>
            <a:solidFill>
              <a:schemeClr val="accent6">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'Drug Court'!$Y$10:$Y$18</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'Drug Court'!$AB$10:$AB$18</c:f>
              <c:numCache>
                <c:formatCode>General</c:formatCode>
                <c:ptCount val="9"/>
                <c:pt idx="0">
                  <c:v>15</c:v>
                </c:pt>
                <c:pt idx="1">
                  <c:v>16</c:v>
                </c:pt>
                <c:pt idx="2">
                  <c:v>12</c:v>
                </c:pt>
                <c:pt idx="3">
                  <c:v>20</c:v>
                </c:pt>
                <c:pt idx="4">
                  <c:v>11</c:v>
                </c:pt>
                <c:pt idx="5">
                  <c:v>9</c:v>
                </c:pt>
                <c:pt idx="6">
                  <c:v>8</c:v>
                </c:pt>
                <c:pt idx="7">
                  <c:v>8</c:v>
                </c:pt>
                <c:pt idx="8">
                  <c:v>0</c:v>
                </c:pt>
              </c:numCache>
            </c:numRef>
          </c:val>
          <c:extLst>
            <c:ext xmlns:c16="http://schemas.microsoft.com/office/drawing/2014/chart" uri="{C3380CC4-5D6E-409C-BE32-E72D297353CC}">
              <c16:uniqueId val="{00000002-5450-4262-A821-DF656B8CF106}"/>
            </c:ext>
          </c:extLst>
        </c:ser>
        <c:ser>
          <c:idx val="3"/>
          <c:order val="3"/>
          <c:tx>
            <c:strRef>
              <c:f>'Drug Court'!$AC$9</c:f>
              <c:strCache>
                <c:ptCount val="1"/>
                <c:pt idx="0">
                  <c:v>Recidivism among children </c:v>
                </c:pt>
              </c:strCache>
            </c:strRef>
          </c:tx>
          <c:spPr>
            <a:solidFill>
              <a:schemeClr val="accent2">
                <a:lumMod val="40000"/>
                <a:lumOff val="60000"/>
              </a:schemeClr>
            </a:solidFill>
            <a:ln>
              <a:noFill/>
            </a:ln>
            <a:effectLst/>
          </c:spPr>
          <c:invertIfNegative val="0"/>
          <c:dLbls>
            <c:dLbl>
              <c:idx val="8"/>
              <c:layout>
                <c:manualLayout>
                  <c:x val="0"/>
                  <c:y val="-8.032128514056371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381-4D59-856A-8F20B540843F}"/>
                </c:ext>
              </c:extLst>
            </c:dLbl>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'Drug Court'!$Y$10:$Y$18</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'Drug Court'!$AC$10:$AC$18</c:f>
              <c:numCache>
                <c:formatCode>General</c:formatCode>
                <c:ptCount val="9"/>
                <c:pt idx="0">
                  <c:v>15</c:v>
                </c:pt>
                <c:pt idx="1">
                  <c:v>14</c:v>
                </c:pt>
                <c:pt idx="2">
                  <c:v>8</c:v>
                </c:pt>
                <c:pt idx="3">
                  <c:v>6</c:v>
                </c:pt>
                <c:pt idx="4">
                  <c:v>2</c:v>
                </c:pt>
                <c:pt idx="5">
                  <c:v>4</c:v>
                </c:pt>
                <c:pt idx="6">
                  <c:v>2</c:v>
                </c:pt>
                <c:pt idx="7">
                  <c:v>0</c:v>
                </c:pt>
                <c:pt idx="8">
                  <c:v>0</c:v>
                </c:pt>
              </c:numCache>
            </c:numRef>
          </c:val>
          <c:extLst>
            <c:ext xmlns:c16="http://schemas.microsoft.com/office/drawing/2014/chart" uri="{C3380CC4-5D6E-409C-BE32-E72D297353CC}">
              <c16:uniqueId val="{00000003-5450-4262-A821-DF656B8CF106}"/>
            </c:ext>
          </c:extLst>
        </c:ser>
        <c:dLbls>
          <c:showLegendKey val="0"/>
          <c:showVal val="0"/>
          <c:showCatName val="0"/>
          <c:showSerName val="0"/>
          <c:showPercent val="0"/>
          <c:showBubbleSize val="0"/>
        </c:dLbls>
        <c:gapWidth val="150"/>
        <c:axId val="1251033888"/>
        <c:axId val="1251042528"/>
      </c:barChart>
      <c:catAx>
        <c:axId val="125103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251042528"/>
        <c:crosses val="autoZero"/>
        <c:auto val="1"/>
        <c:lblAlgn val="ctr"/>
        <c:lblOffset val="100"/>
        <c:noMultiLvlLbl val="0"/>
      </c:catAx>
      <c:valAx>
        <c:axId val="12510425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1251033888"/>
        <c:crosses val="autoZero"/>
        <c:crossBetween val="between"/>
      </c:valAx>
      <c:spPr>
        <a:noFill/>
        <a:ln>
          <a:noFill/>
        </a:ln>
        <a:effectLst/>
      </c:spPr>
    </c:plotArea>
    <c:legend>
      <c:legendPos val="b"/>
      <c:layout>
        <c:manualLayout>
          <c:xMode val="edge"/>
          <c:yMode val="edge"/>
          <c:x val="0.24937444410757167"/>
          <c:y val="0.14414381329905779"/>
          <c:w val="0.7257723820276244"/>
          <c:h val="0.11991645588364433"/>
        </c:manualLayout>
      </c:layout>
      <c:overlay val="0"/>
      <c:spPr>
        <a:noFill/>
        <a:ln>
          <a:noFill/>
        </a:ln>
        <a:effectLst/>
      </c:spPr>
      <c:txPr>
        <a:bodyPr rot="0" spcFirstLastPara="1" vertOverflow="ellipsis" vert="horz" wrap="square" anchor="t" anchorCtr="0"/>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US" sz="800"/>
              <a:t>Cases</a:t>
            </a:r>
            <a:r>
              <a:rPr lang="en-US" sz="800" baseline="0"/>
              <a:t> reported to Department of Juvenile Justice from 2018 to 2023</a:t>
            </a:r>
            <a:endParaRPr lang="en-US" sz="800"/>
          </a:p>
        </c:rich>
      </c:tx>
      <c:layout>
        <c:manualLayout>
          <c:xMode val="edge"/>
          <c:yMode val="edge"/>
          <c:x val="0.11893655534437506"/>
          <c:y val="3.6316472114137487E-2"/>
        </c:manualLayout>
      </c:layout>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764295926423831"/>
          <c:y val="0.19341362743521734"/>
          <c:w val="0.47605829759085"/>
          <c:h val="0.72377239860264875"/>
        </c:manualLayout>
      </c:layout>
      <c:barChart>
        <c:barDir val="bar"/>
        <c:grouping val="clustered"/>
        <c:varyColors val="0"/>
        <c:ser>
          <c:idx val="0"/>
          <c:order val="0"/>
          <c:tx>
            <c:strRef>
              <c:f>Sheet1!$O$4</c:f>
              <c:strCache>
                <c:ptCount val="1"/>
                <c:pt idx="0">
                  <c:v>Total</c:v>
                </c:pt>
              </c:strCache>
            </c:strRef>
          </c:tx>
          <c:spPr>
            <a:solidFill>
              <a:schemeClr val="accent1"/>
            </a:solidFill>
            <a:ln>
              <a:noFill/>
            </a:ln>
            <a:effectLst/>
          </c:spPr>
          <c:invertIfNegative val="0"/>
          <c:dPt>
            <c:idx val="11"/>
            <c:invertIfNegative val="0"/>
            <c:bubble3D val="0"/>
            <c:spPr>
              <a:solidFill>
                <a:schemeClr val="accent1"/>
              </a:solidFill>
              <a:ln>
                <a:noFill/>
              </a:ln>
              <a:effectLst/>
            </c:spPr>
            <c:extLst>
              <c:ext xmlns:c16="http://schemas.microsoft.com/office/drawing/2014/chart" uri="{C3380CC4-5D6E-409C-BE32-E72D297353CC}">
                <c16:uniqueId val="{00000001-9F35-4980-8DA1-313680099142}"/>
              </c:ext>
            </c:extLst>
          </c:dPt>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Sheet1!$N$5:$N$16</c:f>
              <c:strCache>
                <c:ptCount val="12"/>
                <c:pt idx="0">
                  <c:v>Handling drugs</c:v>
                </c:pt>
                <c:pt idx="1">
                  <c:v>Using drugs</c:v>
                </c:pt>
                <c:pt idx="2">
                  <c:v>Drug use and possession</c:v>
                </c:pt>
                <c:pt idx="3">
                  <c:v>Drug trafficking</c:v>
                </c:pt>
                <c:pt idx="4">
                  <c:v>Possession of drugs</c:v>
                </c:pt>
                <c:pt idx="5">
                  <c:v>Using drugs / fighting</c:v>
                </c:pt>
                <c:pt idx="6">
                  <c:v>Handling and selling drugs</c:v>
                </c:pt>
                <c:pt idx="7">
                  <c:v>Handling, using and selling drugs</c:v>
                </c:pt>
                <c:pt idx="8">
                  <c:v>Using and handling drugs</c:v>
                </c:pt>
                <c:pt idx="9">
                  <c:v>Importing drugs</c:v>
                </c:pt>
                <c:pt idx="10">
                  <c:v>Selling drugs</c:v>
                </c:pt>
                <c:pt idx="11">
                  <c:v>other cases </c:v>
                </c:pt>
              </c:strCache>
            </c:strRef>
          </c:cat>
          <c:val>
            <c:numRef>
              <c:f>Sheet1!$O$5:$O$16</c:f>
              <c:numCache>
                <c:formatCode>General</c:formatCode>
                <c:ptCount val="12"/>
                <c:pt idx="0">
                  <c:v>19</c:v>
                </c:pt>
                <c:pt idx="1">
                  <c:v>52</c:v>
                </c:pt>
                <c:pt idx="2">
                  <c:v>65</c:v>
                </c:pt>
                <c:pt idx="3">
                  <c:v>29</c:v>
                </c:pt>
                <c:pt idx="4">
                  <c:v>65</c:v>
                </c:pt>
                <c:pt idx="5">
                  <c:v>1</c:v>
                </c:pt>
                <c:pt idx="6">
                  <c:v>3</c:v>
                </c:pt>
                <c:pt idx="7">
                  <c:v>10</c:v>
                </c:pt>
                <c:pt idx="8">
                  <c:v>105</c:v>
                </c:pt>
                <c:pt idx="9">
                  <c:v>5</c:v>
                </c:pt>
                <c:pt idx="10">
                  <c:v>10</c:v>
                </c:pt>
                <c:pt idx="11">
                  <c:v>853</c:v>
                </c:pt>
              </c:numCache>
            </c:numRef>
          </c:val>
          <c:extLst>
            <c:ext xmlns:c16="http://schemas.microsoft.com/office/drawing/2014/chart" uri="{C3380CC4-5D6E-409C-BE32-E72D297353CC}">
              <c16:uniqueId val="{00000002-9F35-4980-8DA1-313680099142}"/>
            </c:ext>
          </c:extLst>
        </c:ser>
        <c:dLbls>
          <c:showLegendKey val="0"/>
          <c:showVal val="0"/>
          <c:showCatName val="0"/>
          <c:showSerName val="0"/>
          <c:showPercent val="0"/>
          <c:showBubbleSize val="0"/>
        </c:dLbls>
        <c:gapWidth val="182"/>
        <c:axId val="2076987487"/>
        <c:axId val="2076985567"/>
      </c:barChart>
      <c:catAx>
        <c:axId val="20769874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076985567"/>
        <c:crosses val="autoZero"/>
        <c:auto val="1"/>
        <c:lblAlgn val="ctr"/>
        <c:lblOffset val="100"/>
        <c:noMultiLvlLbl val="0"/>
      </c:catAx>
      <c:valAx>
        <c:axId val="20769855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0769874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Child Sexual abuse offences from 2016 -2024</a:t>
            </a:r>
          </a:p>
        </c:rich>
      </c:tx>
      <c:layout>
        <c:manualLayout>
          <c:xMode val="edge"/>
          <c:yMode val="edge"/>
          <c:x val="0.19260963376019277"/>
          <c:y val="2.519117237846038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'MPS art 34'!$V$5</c:f>
              <c:strCache>
                <c:ptCount val="1"/>
                <c:pt idx="0">
                  <c:v>Total reported Incident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'MPS art 34'!$U$6:$U$10</c:f>
              <c:strCache>
                <c:ptCount val="5"/>
                <c:pt idx="0">
                  <c:v>Child Sexual Abuse</c:v>
                </c:pt>
                <c:pt idx="1">
                  <c:v>Child Pornography</c:v>
                </c:pt>
                <c:pt idx="2">
                  <c:v>Child Sexual Harassment</c:v>
                </c:pt>
                <c:pt idx="3">
                  <c:v>Child Prostitution</c:v>
                </c:pt>
                <c:pt idx="4">
                  <c:v>Rape</c:v>
                </c:pt>
              </c:strCache>
            </c:strRef>
          </c:cat>
          <c:val>
            <c:numRef>
              <c:f>'MPS art 34'!$V$6:$V$10</c:f>
              <c:numCache>
                <c:formatCode>General</c:formatCode>
                <c:ptCount val="5"/>
                <c:pt idx="0" formatCode="#,##0">
                  <c:v>1943</c:v>
                </c:pt>
                <c:pt idx="1">
                  <c:v>211</c:v>
                </c:pt>
                <c:pt idx="2">
                  <c:v>78</c:v>
                </c:pt>
                <c:pt idx="3">
                  <c:v>4</c:v>
                </c:pt>
                <c:pt idx="4">
                  <c:v>16</c:v>
                </c:pt>
              </c:numCache>
            </c:numRef>
          </c:val>
          <c:extLst>
            <c:ext xmlns:c16="http://schemas.microsoft.com/office/drawing/2014/chart" uri="{C3380CC4-5D6E-409C-BE32-E72D297353CC}">
              <c16:uniqueId val="{00000000-F184-41AB-B61B-556958F5615E}"/>
            </c:ext>
          </c:extLst>
        </c:ser>
        <c:ser>
          <c:idx val="1"/>
          <c:order val="1"/>
          <c:tx>
            <c:strRef>
              <c:f>'MPS art 34'!$W$5</c:f>
              <c:strCache>
                <c:ptCount val="1"/>
                <c:pt idx="0">
                  <c:v>Total Investigated</c:v>
                </c:pt>
              </c:strCache>
            </c:strRef>
          </c:tx>
          <c:spPr>
            <a:solidFill>
              <a:schemeClr val="accent4"/>
            </a:solidFill>
            <a:ln>
              <a:noFill/>
            </a:ln>
            <a:effectLst/>
          </c:spPr>
          <c:invertIfNegative val="0"/>
          <c:dLbls>
            <c:dLbl>
              <c:idx val="0"/>
              <c:layout>
                <c:manualLayout>
                  <c:x val="2.7618884315005011E-2"/>
                  <c:y val="2.59591378469810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84-41AB-B61B-556958F5615E}"/>
                </c:ext>
              </c:extLst>
            </c:dLbl>
            <c:dLbl>
              <c:idx val="1"/>
              <c:layout>
                <c:manualLayout>
                  <c:x val="1.1862396204033215E-2"/>
                  <c:y val="3.598738911208626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184-41AB-B61B-556958F5615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'MPS art 34'!$U$6:$U$10</c:f>
              <c:strCache>
                <c:ptCount val="5"/>
                <c:pt idx="0">
                  <c:v>Child Sexual Abuse</c:v>
                </c:pt>
                <c:pt idx="1">
                  <c:v>Child Pornography</c:v>
                </c:pt>
                <c:pt idx="2">
                  <c:v>Child Sexual Harassment</c:v>
                </c:pt>
                <c:pt idx="3">
                  <c:v>Child Prostitution</c:v>
                </c:pt>
                <c:pt idx="4">
                  <c:v>Rape</c:v>
                </c:pt>
              </c:strCache>
            </c:strRef>
          </c:cat>
          <c:val>
            <c:numRef>
              <c:f>'MPS art 34'!$W$6:$W$10</c:f>
              <c:numCache>
                <c:formatCode>General</c:formatCode>
                <c:ptCount val="5"/>
                <c:pt idx="0" formatCode="#,##0">
                  <c:v>1919</c:v>
                </c:pt>
                <c:pt idx="1">
                  <c:v>204</c:v>
                </c:pt>
                <c:pt idx="2">
                  <c:v>75</c:v>
                </c:pt>
                <c:pt idx="3">
                  <c:v>4</c:v>
                </c:pt>
                <c:pt idx="4">
                  <c:v>16</c:v>
                </c:pt>
              </c:numCache>
            </c:numRef>
          </c:val>
          <c:extLst>
            <c:ext xmlns:c16="http://schemas.microsoft.com/office/drawing/2014/chart" uri="{C3380CC4-5D6E-409C-BE32-E72D297353CC}">
              <c16:uniqueId val="{00000003-F184-41AB-B61B-556958F5615E}"/>
            </c:ext>
          </c:extLst>
        </c:ser>
        <c:ser>
          <c:idx val="2"/>
          <c:order val="2"/>
          <c:tx>
            <c:strRef>
              <c:f>'MPS art 34'!$X$5</c:f>
              <c:strCache>
                <c:ptCount val="1"/>
                <c:pt idx="0">
                  <c:v>Total Sent to PGO</c:v>
                </c:pt>
              </c:strCache>
            </c:strRef>
          </c:tx>
          <c:spPr>
            <a:solidFill>
              <a:schemeClr val="accent6"/>
            </a:solidFill>
            <a:ln>
              <a:noFill/>
            </a:ln>
            <a:effectLst/>
          </c:spPr>
          <c:invertIfNegative val="0"/>
          <c:dLbls>
            <c:dLbl>
              <c:idx val="1"/>
              <c:layout>
                <c:manualLayout>
                  <c:x val="3.1333228889236461E-3"/>
                  <c:y val="9.380863039399625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E4A-45AF-A00F-C25E1DA3F3E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'MPS art 34'!$U$6:$U$10</c:f>
              <c:strCache>
                <c:ptCount val="5"/>
                <c:pt idx="0">
                  <c:v>Child Sexual Abuse</c:v>
                </c:pt>
                <c:pt idx="1">
                  <c:v>Child Pornography</c:v>
                </c:pt>
                <c:pt idx="2">
                  <c:v>Child Sexual Harassment</c:v>
                </c:pt>
                <c:pt idx="3">
                  <c:v>Child Prostitution</c:v>
                </c:pt>
                <c:pt idx="4">
                  <c:v>Rape</c:v>
                </c:pt>
              </c:strCache>
            </c:strRef>
          </c:cat>
          <c:val>
            <c:numRef>
              <c:f>'MPS art 34'!$X$6:$X$10</c:f>
              <c:numCache>
                <c:formatCode>General</c:formatCode>
                <c:ptCount val="5"/>
                <c:pt idx="0">
                  <c:v>531</c:v>
                </c:pt>
                <c:pt idx="1">
                  <c:v>20</c:v>
                </c:pt>
                <c:pt idx="2">
                  <c:v>9</c:v>
                </c:pt>
                <c:pt idx="3">
                  <c:v>0</c:v>
                </c:pt>
                <c:pt idx="4">
                  <c:v>4</c:v>
                </c:pt>
              </c:numCache>
            </c:numRef>
          </c:val>
          <c:extLst>
            <c:ext xmlns:c16="http://schemas.microsoft.com/office/drawing/2014/chart" uri="{C3380CC4-5D6E-409C-BE32-E72D297353CC}">
              <c16:uniqueId val="{00000004-F184-41AB-B61B-556958F5615E}"/>
            </c:ext>
          </c:extLst>
        </c:ser>
        <c:dLbls>
          <c:showLegendKey val="0"/>
          <c:showVal val="0"/>
          <c:showCatName val="0"/>
          <c:showSerName val="0"/>
          <c:showPercent val="0"/>
          <c:showBubbleSize val="0"/>
        </c:dLbls>
        <c:gapWidth val="219"/>
        <c:overlap val="-27"/>
        <c:axId val="1654284128"/>
        <c:axId val="1654281728"/>
      </c:barChart>
      <c:catAx>
        <c:axId val="1654284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281728"/>
        <c:crosses val="autoZero"/>
        <c:auto val="1"/>
        <c:lblAlgn val="ctr"/>
        <c:lblOffset val="100"/>
        <c:noMultiLvlLbl val="0"/>
      </c:catAx>
      <c:valAx>
        <c:axId val="16542817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28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No of</a:t>
            </a:r>
            <a:r>
              <a:rPr lang="en-US" baseline="0"/>
              <a:t> cases reported on o</a:t>
            </a:r>
            <a:r>
              <a:rPr lang="en-US"/>
              <a:t>ther</a:t>
            </a:r>
            <a:r>
              <a:rPr lang="en-US" baseline="0"/>
              <a:t> forms of exploitation  </a:t>
            </a:r>
            <a:endParaRPr lang="en-US"/>
          </a:p>
        </c:rich>
      </c:tx>
      <c:layout>
        <c:manualLayout>
          <c:xMode val="edge"/>
          <c:yMode val="edge"/>
          <c:x val="0.13741884828499004"/>
          <c:y val="3.2277587250353033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'Mps art 36'!$I$26</c:f>
              <c:strCache>
                <c:ptCount val="1"/>
                <c:pt idx="0">
                  <c:v>Total reported Incident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art 36'!$G$27:$H$36</c:f>
              <c:multiLvlStrCache>
                <c:ptCount val="10"/>
                <c:lvl>
                  <c:pt idx="0">
                    <c:v>Threatening</c:v>
                  </c:pt>
                  <c:pt idx="1">
                    <c:v>Bullying</c:v>
                  </c:pt>
                  <c:pt idx="2">
                    <c:v>Blackmail</c:v>
                  </c:pt>
                  <c:pt idx="3">
                    <c:v>Grooming</c:v>
                  </c:pt>
                  <c:pt idx="4">
                    <c:v>Drugs</c:v>
                  </c:pt>
                  <c:pt idx="5">
                    <c:v>Threatening</c:v>
                  </c:pt>
                  <c:pt idx="6">
                    <c:v>Bullying</c:v>
                  </c:pt>
                  <c:pt idx="7">
                    <c:v>Blackmail</c:v>
                  </c:pt>
                  <c:pt idx="8">
                    <c:v>Grooming</c:v>
                  </c:pt>
                  <c:pt idx="9">
                    <c:v>Drugs</c:v>
                  </c:pt>
                </c:lvl>
                <c:lvl>
                  <c:pt idx="0">
                    <c:v>2024</c:v>
                  </c:pt>
                  <c:pt idx="5">
                    <c:v>2025</c:v>
                  </c:pt>
                </c:lvl>
              </c:multiLvlStrCache>
            </c:multiLvlStrRef>
          </c:cat>
          <c:val>
            <c:numRef>
              <c:f>'Mps art 36'!$I$27:$I$36</c:f>
              <c:numCache>
                <c:formatCode>General</c:formatCode>
                <c:ptCount val="10"/>
                <c:pt idx="0">
                  <c:v>31</c:v>
                </c:pt>
                <c:pt idx="1">
                  <c:v>21</c:v>
                </c:pt>
                <c:pt idx="2">
                  <c:v>26</c:v>
                </c:pt>
                <c:pt idx="3">
                  <c:v>8</c:v>
                </c:pt>
                <c:pt idx="4">
                  <c:v>8</c:v>
                </c:pt>
                <c:pt idx="5">
                  <c:v>7</c:v>
                </c:pt>
                <c:pt idx="6">
                  <c:v>5</c:v>
                </c:pt>
                <c:pt idx="7">
                  <c:v>2</c:v>
                </c:pt>
                <c:pt idx="8">
                  <c:v>3</c:v>
                </c:pt>
                <c:pt idx="9">
                  <c:v>3</c:v>
                </c:pt>
              </c:numCache>
            </c:numRef>
          </c:val>
          <c:extLst>
            <c:ext xmlns:c16="http://schemas.microsoft.com/office/drawing/2014/chart" uri="{C3380CC4-5D6E-409C-BE32-E72D297353CC}">
              <c16:uniqueId val="{00000000-1D64-4230-B094-9A741D1AAB60}"/>
            </c:ext>
          </c:extLst>
        </c:ser>
        <c:ser>
          <c:idx val="1"/>
          <c:order val="1"/>
          <c:tx>
            <c:strRef>
              <c:f>'Mps art 36'!$J$26</c:f>
              <c:strCache>
                <c:ptCount val="1"/>
                <c:pt idx="0">
                  <c:v>Total Investigated</c:v>
                </c:pt>
              </c:strCache>
            </c:strRef>
          </c:tx>
          <c:spPr>
            <a:solidFill>
              <a:schemeClr val="accent2"/>
            </a:solidFill>
            <a:ln>
              <a:noFill/>
            </a:ln>
            <a:effectLst/>
          </c:spPr>
          <c:invertIfNegative val="0"/>
          <c:dLbls>
            <c:dLbl>
              <c:idx val="0"/>
              <c:layout>
                <c:manualLayout>
                  <c:x val="1.1396011396011376E-2"/>
                  <c:y val="1.21028725103740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D64-4230-B094-9A741D1AAB60}"/>
                </c:ext>
              </c:extLst>
            </c:dLbl>
            <c:dLbl>
              <c:idx val="1"/>
              <c:layout>
                <c:manualLayout>
                  <c:x val="2.2792022792022582E-3"/>
                  <c:y val="2.0171454183956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D64-4230-B094-9A741D1AAB60}"/>
                </c:ext>
              </c:extLst>
            </c:dLbl>
            <c:dLbl>
              <c:idx val="2"/>
              <c:layout>
                <c:manualLayout>
                  <c:x val="1.1396011396011397E-2"/>
                  <c:y val="2.42057450207480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D64-4230-B094-9A741D1AAB60}"/>
                </c:ext>
              </c:extLst>
            </c:dLbl>
            <c:dLbl>
              <c:idx val="3"/>
              <c:layout>
                <c:manualLayout>
                  <c:x val="9.1168091168090746E-3"/>
                  <c:y val="1.21028725103740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D64-4230-B094-9A741D1AAB60}"/>
                </c:ext>
              </c:extLst>
            </c:dLbl>
            <c:dLbl>
              <c:idx val="4"/>
              <c:layout>
                <c:manualLayout>
                  <c:x val="4.5584045584045581E-3"/>
                  <c:y val="2.8240035857539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D64-4230-B094-9A741D1AAB60}"/>
                </c:ext>
              </c:extLst>
            </c:dLbl>
            <c:dLbl>
              <c:idx val="5"/>
              <c:layout>
                <c:manualLayout>
                  <c:x val="4.5584045584045581E-3"/>
                  <c:y val="1.61371633471653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D64-4230-B094-9A741D1AAB60}"/>
                </c:ext>
              </c:extLst>
            </c:dLbl>
            <c:dLbl>
              <c:idx val="6"/>
              <c:layout>
                <c:manualLayout>
                  <c:x val="1.1396011396011397E-2"/>
                  <c:y val="2.42057450207480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D64-4230-B094-9A741D1AAB60}"/>
                </c:ext>
              </c:extLst>
            </c:dLbl>
            <c:dLbl>
              <c:idx val="7"/>
              <c:layout>
                <c:manualLayout>
                  <c:x val="1.5954415954415872E-2"/>
                  <c:y val="1.2102872510373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D64-4230-B094-9A741D1AAB60}"/>
                </c:ext>
              </c:extLst>
            </c:dLbl>
            <c:dLbl>
              <c:idx val="8"/>
              <c:layout>
                <c:manualLayout>
                  <c:x val="2.0512820512820513E-2"/>
                  <c:y val="1.61371633471652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D64-4230-B094-9A741D1AAB60}"/>
                </c:ext>
              </c:extLst>
            </c:dLbl>
            <c:dLbl>
              <c:idx val="9"/>
              <c:layout>
                <c:manualLayout>
                  <c:x val="4.5584045584045581E-3"/>
                  <c:y val="2.82400358575392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D64-4230-B094-9A741D1AAB6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art 36'!$G$27:$H$36</c:f>
              <c:multiLvlStrCache>
                <c:ptCount val="10"/>
                <c:lvl>
                  <c:pt idx="0">
                    <c:v>Threatening</c:v>
                  </c:pt>
                  <c:pt idx="1">
                    <c:v>Bullying</c:v>
                  </c:pt>
                  <c:pt idx="2">
                    <c:v>Blackmail</c:v>
                  </c:pt>
                  <c:pt idx="3">
                    <c:v>Grooming</c:v>
                  </c:pt>
                  <c:pt idx="4">
                    <c:v>Drugs</c:v>
                  </c:pt>
                  <c:pt idx="5">
                    <c:v>Threatening</c:v>
                  </c:pt>
                  <c:pt idx="6">
                    <c:v>Bullying</c:v>
                  </c:pt>
                  <c:pt idx="7">
                    <c:v>Blackmail</c:v>
                  </c:pt>
                  <c:pt idx="8">
                    <c:v>Grooming</c:v>
                  </c:pt>
                  <c:pt idx="9">
                    <c:v>Drugs</c:v>
                  </c:pt>
                </c:lvl>
                <c:lvl>
                  <c:pt idx="0">
                    <c:v>2024</c:v>
                  </c:pt>
                  <c:pt idx="5">
                    <c:v>2025</c:v>
                  </c:pt>
                </c:lvl>
              </c:multiLvlStrCache>
            </c:multiLvlStrRef>
          </c:cat>
          <c:val>
            <c:numRef>
              <c:f>'Mps art 36'!$J$27:$J$36</c:f>
              <c:numCache>
                <c:formatCode>General</c:formatCode>
                <c:ptCount val="10"/>
                <c:pt idx="0">
                  <c:v>29</c:v>
                </c:pt>
                <c:pt idx="1">
                  <c:v>21</c:v>
                </c:pt>
                <c:pt idx="2">
                  <c:v>25</c:v>
                </c:pt>
                <c:pt idx="3">
                  <c:v>8</c:v>
                </c:pt>
                <c:pt idx="4">
                  <c:v>8</c:v>
                </c:pt>
                <c:pt idx="5">
                  <c:v>7</c:v>
                </c:pt>
                <c:pt idx="6">
                  <c:v>5</c:v>
                </c:pt>
                <c:pt idx="7">
                  <c:v>2</c:v>
                </c:pt>
                <c:pt idx="8">
                  <c:v>3</c:v>
                </c:pt>
                <c:pt idx="9">
                  <c:v>3</c:v>
                </c:pt>
              </c:numCache>
            </c:numRef>
          </c:val>
          <c:extLst>
            <c:ext xmlns:c16="http://schemas.microsoft.com/office/drawing/2014/chart" uri="{C3380CC4-5D6E-409C-BE32-E72D297353CC}">
              <c16:uniqueId val="{0000000B-1D64-4230-B094-9A741D1AAB60}"/>
            </c:ext>
          </c:extLst>
        </c:ser>
        <c:ser>
          <c:idx val="2"/>
          <c:order val="2"/>
          <c:tx>
            <c:strRef>
              <c:f>'Mps art 36'!$K$26</c:f>
              <c:strCache>
                <c:ptCount val="1"/>
                <c:pt idx="0">
                  <c:v>Total Sent to PGO</c:v>
                </c:pt>
              </c:strCache>
            </c:strRef>
          </c:tx>
          <c:spPr>
            <a:solidFill>
              <a:schemeClr val="accent3"/>
            </a:solidFill>
            <a:ln>
              <a:noFill/>
            </a:ln>
            <a:effectLst/>
          </c:spPr>
          <c:invertIfNegative val="0"/>
          <c:dLbls>
            <c:dLbl>
              <c:idx val="7"/>
              <c:layout>
                <c:manualLayout>
                  <c:x val="4.5584045584045581E-3"/>
                  <c:y val="2.0171454183956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D64-4230-B094-9A741D1AAB60}"/>
                </c:ext>
              </c:extLst>
            </c:dLbl>
            <c:dLbl>
              <c:idx val="8"/>
              <c:layout>
                <c:manualLayout>
                  <c:x val="9.1168091168091162E-3"/>
                  <c:y val="1.21028725103740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D64-4230-B094-9A741D1AAB60}"/>
                </c:ext>
              </c:extLst>
            </c:dLbl>
            <c:dLbl>
              <c:idx val="9"/>
              <c:layout>
                <c:manualLayout>
                  <c:x val="9.1168091168089497E-3"/>
                  <c:y val="2.0171454183956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D64-4230-B094-9A741D1AAB6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'Mps art 36'!$G$27:$H$36</c:f>
              <c:multiLvlStrCache>
                <c:ptCount val="10"/>
                <c:lvl>
                  <c:pt idx="0">
                    <c:v>Threatening</c:v>
                  </c:pt>
                  <c:pt idx="1">
                    <c:v>Bullying</c:v>
                  </c:pt>
                  <c:pt idx="2">
                    <c:v>Blackmail</c:v>
                  </c:pt>
                  <c:pt idx="3">
                    <c:v>Grooming</c:v>
                  </c:pt>
                  <c:pt idx="4">
                    <c:v>Drugs</c:v>
                  </c:pt>
                  <c:pt idx="5">
                    <c:v>Threatening</c:v>
                  </c:pt>
                  <c:pt idx="6">
                    <c:v>Bullying</c:v>
                  </c:pt>
                  <c:pt idx="7">
                    <c:v>Blackmail</c:v>
                  </c:pt>
                  <c:pt idx="8">
                    <c:v>Grooming</c:v>
                  </c:pt>
                  <c:pt idx="9">
                    <c:v>Drugs</c:v>
                  </c:pt>
                </c:lvl>
                <c:lvl>
                  <c:pt idx="0">
                    <c:v>2024</c:v>
                  </c:pt>
                  <c:pt idx="5">
                    <c:v>2025</c:v>
                  </c:pt>
                </c:lvl>
              </c:multiLvlStrCache>
            </c:multiLvlStrRef>
          </c:cat>
          <c:val>
            <c:numRef>
              <c:f>'Mps art 36'!$K$27:$K$36</c:f>
              <c:numCache>
                <c:formatCode>General</c:formatCode>
                <c:ptCount val="10"/>
                <c:pt idx="0">
                  <c:v>0</c:v>
                </c:pt>
                <c:pt idx="1">
                  <c:v>0</c:v>
                </c:pt>
                <c:pt idx="2">
                  <c:v>1</c:v>
                </c:pt>
                <c:pt idx="3">
                  <c:v>1</c:v>
                </c:pt>
                <c:pt idx="4">
                  <c:v>1</c:v>
                </c:pt>
                <c:pt idx="5">
                  <c:v>1</c:v>
                </c:pt>
                <c:pt idx="6">
                  <c:v>0</c:v>
                </c:pt>
                <c:pt idx="7">
                  <c:v>0</c:v>
                </c:pt>
                <c:pt idx="8">
                  <c:v>0</c:v>
                </c:pt>
                <c:pt idx="9">
                  <c:v>0</c:v>
                </c:pt>
              </c:numCache>
            </c:numRef>
          </c:val>
          <c:extLst>
            <c:ext xmlns:c16="http://schemas.microsoft.com/office/drawing/2014/chart" uri="{C3380CC4-5D6E-409C-BE32-E72D297353CC}">
              <c16:uniqueId val="{0000000F-1D64-4230-B094-9A741D1AAB60}"/>
            </c:ext>
          </c:extLst>
        </c:ser>
        <c:dLbls>
          <c:showLegendKey val="0"/>
          <c:showVal val="0"/>
          <c:showCatName val="0"/>
          <c:showSerName val="0"/>
          <c:showPercent val="0"/>
          <c:showBubbleSize val="0"/>
        </c:dLbls>
        <c:gapWidth val="219"/>
        <c:axId val="1524476416"/>
        <c:axId val="1524476896"/>
      </c:barChart>
      <c:catAx>
        <c:axId val="1524476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4476896"/>
        <c:crosses val="autoZero"/>
        <c:auto val="1"/>
        <c:lblAlgn val="ctr"/>
        <c:lblOffset val="100"/>
        <c:noMultiLvlLbl val="0"/>
      </c:catAx>
      <c:valAx>
        <c:axId val="152447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4476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Commercial</a:t>
            </a:r>
            <a:r>
              <a:rPr lang="en-US" sz="1000" baseline="0"/>
              <a:t> sexual exploitation and trafficking cases documented by MoFSD</a:t>
            </a:r>
            <a:endParaRPr lang="en-US" sz="100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767140949486577"/>
          <c:y val="0.27396438066458267"/>
          <c:w val="0.8484689413823272"/>
          <c:h val="0.43248407495933416"/>
        </c:manualLayout>
      </c:layout>
      <c:barChart>
        <c:barDir val="col"/>
        <c:grouping val="stacked"/>
        <c:varyColors val="0"/>
        <c:ser>
          <c:idx val="0"/>
          <c:order val="0"/>
          <c:tx>
            <c:strRef>
              <c:f>'art 35 gender'!$F$18</c:f>
              <c:strCache>
                <c:ptCount val="1"/>
                <c:pt idx="0">
                  <c:v>Commercial Sexual Exploitation</c:v>
                </c:pt>
              </c:strCache>
            </c:strRef>
          </c:tx>
          <c:spPr>
            <a:solidFill>
              <a:schemeClr val="accent2"/>
            </a:solidFill>
            <a:ln>
              <a:noFill/>
            </a:ln>
            <a:effectLst/>
          </c:spPr>
          <c:invertIfNegative val="0"/>
          <c:dLbls>
            <c:dLbl>
              <c:idx val="4"/>
              <c:delete val="1"/>
              <c:extLst>
                <c:ext xmlns:c15="http://schemas.microsoft.com/office/drawing/2012/chart" uri="{CE6537A1-D6FC-4f65-9D91-7224C49458BB}"/>
                <c:ext xmlns:c16="http://schemas.microsoft.com/office/drawing/2014/chart" uri="{C3380CC4-5D6E-409C-BE32-E72D297353CC}">
                  <c16:uniqueId val="{00000000-5B63-4E5D-AC11-A0147F7B0607}"/>
                </c:ext>
              </c:extLst>
            </c:dLbl>
            <c:dLbl>
              <c:idx val="5"/>
              <c:delete val="1"/>
              <c:extLst>
                <c:ext xmlns:c15="http://schemas.microsoft.com/office/drawing/2012/chart" uri="{CE6537A1-D6FC-4f65-9D91-7224C49458BB}"/>
                <c:ext xmlns:c16="http://schemas.microsoft.com/office/drawing/2014/chart" uri="{C3380CC4-5D6E-409C-BE32-E72D297353CC}">
                  <c16:uniqueId val="{00000001-5B63-4E5D-AC11-A0147F7B06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'art 35 gender'!$E$19:$E$25</c:f>
              <c:numCache>
                <c:formatCode>General</c:formatCode>
                <c:ptCount val="7"/>
                <c:pt idx="0">
                  <c:v>2017</c:v>
                </c:pt>
                <c:pt idx="1">
                  <c:v>2018</c:v>
                </c:pt>
                <c:pt idx="2">
                  <c:v>2019</c:v>
                </c:pt>
                <c:pt idx="3">
                  <c:v>2020</c:v>
                </c:pt>
                <c:pt idx="4">
                  <c:v>2021</c:v>
                </c:pt>
                <c:pt idx="5">
                  <c:v>2022</c:v>
                </c:pt>
                <c:pt idx="6">
                  <c:v>2023</c:v>
                </c:pt>
              </c:numCache>
            </c:numRef>
          </c:cat>
          <c:val>
            <c:numRef>
              <c:f>'art 35 gender'!$F$19:$F$25</c:f>
              <c:numCache>
                <c:formatCode>General</c:formatCode>
                <c:ptCount val="7"/>
                <c:pt idx="0">
                  <c:v>4</c:v>
                </c:pt>
                <c:pt idx="1">
                  <c:v>2</c:v>
                </c:pt>
                <c:pt idx="2">
                  <c:v>8</c:v>
                </c:pt>
                <c:pt idx="3">
                  <c:v>1</c:v>
                </c:pt>
                <c:pt idx="4">
                  <c:v>0</c:v>
                </c:pt>
                <c:pt idx="5">
                  <c:v>0</c:v>
                </c:pt>
                <c:pt idx="6">
                  <c:v>2</c:v>
                </c:pt>
              </c:numCache>
            </c:numRef>
          </c:val>
          <c:extLst>
            <c:ext xmlns:c16="http://schemas.microsoft.com/office/drawing/2014/chart" uri="{C3380CC4-5D6E-409C-BE32-E72D297353CC}">
              <c16:uniqueId val="{00000002-5B63-4E5D-AC11-A0147F7B0607}"/>
            </c:ext>
          </c:extLst>
        </c:ser>
        <c:ser>
          <c:idx val="1"/>
          <c:order val="1"/>
          <c:tx>
            <c:strRef>
              <c:f>'art 35 gender'!$G$18</c:f>
              <c:strCache>
                <c:ptCount val="1"/>
                <c:pt idx="0">
                  <c:v>Trafficking of Children</c:v>
                </c:pt>
              </c:strCache>
            </c:strRef>
          </c:tx>
          <c:spPr>
            <a:solidFill>
              <a:schemeClr val="accent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3-5B63-4E5D-AC11-A0147F7B0607}"/>
                </c:ext>
              </c:extLst>
            </c:dLbl>
            <c:dLbl>
              <c:idx val="1"/>
              <c:delete val="1"/>
              <c:extLst>
                <c:ext xmlns:c15="http://schemas.microsoft.com/office/drawing/2012/chart" uri="{CE6537A1-D6FC-4f65-9D91-7224C49458BB}"/>
                <c:ext xmlns:c16="http://schemas.microsoft.com/office/drawing/2014/chart" uri="{C3380CC4-5D6E-409C-BE32-E72D297353CC}">
                  <c16:uniqueId val="{00000004-5B63-4E5D-AC11-A0147F7B0607}"/>
                </c:ext>
              </c:extLst>
            </c:dLbl>
            <c:dLbl>
              <c:idx val="3"/>
              <c:delete val="1"/>
              <c:extLst>
                <c:ext xmlns:c15="http://schemas.microsoft.com/office/drawing/2012/chart" uri="{CE6537A1-D6FC-4f65-9D91-7224C49458BB}"/>
                <c:ext xmlns:c16="http://schemas.microsoft.com/office/drawing/2014/chart" uri="{C3380CC4-5D6E-409C-BE32-E72D297353CC}">
                  <c16:uniqueId val="{00000005-5B63-4E5D-AC11-A0147F7B0607}"/>
                </c:ext>
              </c:extLst>
            </c:dLbl>
            <c:dLbl>
              <c:idx val="4"/>
              <c:delete val="1"/>
              <c:extLst>
                <c:ext xmlns:c15="http://schemas.microsoft.com/office/drawing/2012/chart" uri="{CE6537A1-D6FC-4f65-9D91-7224C49458BB}"/>
                <c:ext xmlns:c16="http://schemas.microsoft.com/office/drawing/2014/chart" uri="{C3380CC4-5D6E-409C-BE32-E72D297353CC}">
                  <c16:uniqueId val="{00000006-5B63-4E5D-AC11-A0147F7B0607}"/>
                </c:ext>
              </c:extLst>
            </c:dLbl>
            <c:dLbl>
              <c:idx val="5"/>
              <c:delete val="1"/>
              <c:extLst>
                <c:ext xmlns:c15="http://schemas.microsoft.com/office/drawing/2012/chart" uri="{CE6537A1-D6FC-4f65-9D91-7224C49458BB}"/>
                <c:ext xmlns:c16="http://schemas.microsoft.com/office/drawing/2014/chart" uri="{C3380CC4-5D6E-409C-BE32-E72D297353CC}">
                  <c16:uniqueId val="{00000007-5B63-4E5D-AC11-A0147F7B0607}"/>
                </c:ext>
              </c:extLst>
            </c:dLbl>
            <c:dLbl>
              <c:idx val="6"/>
              <c:delete val="1"/>
              <c:extLst>
                <c:ext xmlns:c15="http://schemas.microsoft.com/office/drawing/2012/chart" uri="{CE6537A1-D6FC-4f65-9D91-7224C49458BB}"/>
                <c:ext xmlns:c16="http://schemas.microsoft.com/office/drawing/2014/chart" uri="{C3380CC4-5D6E-409C-BE32-E72D297353CC}">
                  <c16:uniqueId val="{00000008-5B63-4E5D-AC11-A0147F7B06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'art 35 gender'!$E$19:$E$25</c:f>
              <c:numCache>
                <c:formatCode>General</c:formatCode>
                <c:ptCount val="7"/>
                <c:pt idx="0">
                  <c:v>2017</c:v>
                </c:pt>
                <c:pt idx="1">
                  <c:v>2018</c:v>
                </c:pt>
                <c:pt idx="2">
                  <c:v>2019</c:v>
                </c:pt>
                <c:pt idx="3">
                  <c:v>2020</c:v>
                </c:pt>
                <c:pt idx="4">
                  <c:v>2021</c:v>
                </c:pt>
                <c:pt idx="5">
                  <c:v>2022</c:v>
                </c:pt>
                <c:pt idx="6">
                  <c:v>2023</c:v>
                </c:pt>
              </c:numCache>
            </c:numRef>
          </c:cat>
          <c:val>
            <c:numRef>
              <c:f>'art 35 gender'!$G$19:$G$25</c:f>
              <c:numCache>
                <c:formatCode>General</c:formatCode>
                <c:ptCount val="7"/>
                <c:pt idx="0">
                  <c:v>0</c:v>
                </c:pt>
                <c:pt idx="1">
                  <c:v>0</c:v>
                </c:pt>
                <c:pt idx="2">
                  <c:v>1</c:v>
                </c:pt>
                <c:pt idx="3">
                  <c:v>0</c:v>
                </c:pt>
                <c:pt idx="4">
                  <c:v>0</c:v>
                </c:pt>
                <c:pt idx="5">
                  <c:v>0</c:v>
                </c:pt>
                <c:pt idx="6">
                  <c:v>0</c:v>
                </c:pt>
              </c:numCache>
            </c:numRef>
          </c:val>
          <c:extLst>
            <c:ext xmlns:c16="http://schemas.microsoft.com/office/drawing/2014/chart" uri="{C3380CC4-5D6E-409C-BE32-E72D297353CC}">
              <c16:uniqueId val="{00000009-5B63-4E5D-AC11-A0147F7B0607}"/>
            </c:ext>
          </c:extLst>
        </c:ser>
        <c:dLbls>
          <c:showLegendKey val="0"/>
          <c:showVal val="0"/>
          <c:showCatName val="0"/>
          <c:showSerName val="0"/>
          <c:showPercent val="0"/>
          <c:showBubbleSize val="0"/>
        </c:dLbls>
        <c:gapWidth val="150"/>
        <c:overlap val="100"/>
        <c:axId val="1958231215"/>
        <c:axId val="1958230255"/>
      </c:barChart>
      <c:catAx>
        <c:axId val="1958231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n-US"/>
          </a:p>
        </c:txPr>
        <c:crossAx val="1958230255"/>
        <c:crosses val="autoZero"/>
        <c:auto val="1"/>
        <c:lblAlgn val="ctr"/>
        <c:lblOffset val="100"/>
        <c:noMultiLvlLbl val="0"/>
      </c:catAx>
      <c:valAx>
        <c:axId val="195823025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958231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Type of torture cases investigated by HRCM from 2016 to 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Sheet1!$B$3:$B$4</c:f>
              <c:strCache>
                <c:ptCount val="2"/>
                <c:pt idx="0">
                  <c:v>Physical</c:v>
                </c:pt>
                <c:pt idx="1">
                  <c:v>At time of arrest</c:v>
                </c:pt>
              </c:strCache>
            </c:strRef>
          </c:tx>
          <c:spPr>
            <a:ln w="28575" cap="rnd">
              <a:solidFill>
                <a:schemeClr val="accent2"/>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Sheet1!$B$5:$B$13</c:f>
            </c:numRef>
          </c:val>
          <c:smooth val="0"/>
          <c:extLst>
            <c:ext xmlns:c16="http://schemas.microsoft.com/office/drawing/2014/chart" uri="{C3380CC4-5D6E-409C-BE32-E72D297353CC}">
              <c16:uniqueId val="{00000000-88B4-4A20-A5F8-F00A6646FF41}"/>
            </c:ext>
          </c:extLst>
        </c:ser>
        <c:ser>
          <c:idx val="1"/>
          <c:order val="1"/>
          <c:tx>
            <c:strRef>
              <c:f>Sheet1!$C$3:$C$4</c:f>
              <c:strCache>
                <c:ptCount val="2"/>
                <c:pt idx="0">
                  <c:v>Physical</c:v>
                </c:pt>
                <c:pt idx="1">
                  <c:v>At state care facility</c:v>
                </c:pt>
              </c:strCache>
            </c:strRef>
          </c:tx>
          <c:spPr>
            <a:ln w="28575" cap="rnd">
              <a:solidFill>
                <a:schemeClr val="accent4"/>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Sheet1!$C$5:$C$13</c:f>
            </c:numRef>
          </c:val>
          <c:smooth val="0"/>
          <c:extLst>
            <c:ext xmlns:c16="http://schemas.microsoft.com/office/drawing/2014/chart" uri="{C3380CC4-5D6E-409C-BE32-E72D297353CC}">
              <c16:uniqueId val="{00000001-88B4-4A20-A5F8-F00A6646FF41}"/>
            </c:ext>
          </c:extLst>
        </c:ser>
        <c:ser>
          <c:idx val="2"/>
          <c:order val="2"/>
          <c:tx>
            <c:strRef>
              <c:f>Sheet1!$D$3:$D$4</c:f>
              <c:strCache>
                <c:ptCount val="2"/>
                <c:pt idx="0">
                  <c:v>Physical</c:v>
                </c:pt>
                <c:pt idx="1">
                  <c:v>Police station/ Custodial</c:v>
                </c:pt>
              </c:strCache>
            </c:strRef>
          </c:tx>
          <c:spPr>
            <a:ln w="28575" cap="rnd">
              <a:solidFill>
                <a:schemeClr val="accent6"/>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Sheet1!$D$5:$D$13</c:f>
            </c:numRef>
          </c:val>
          <c:smooth val="0"/>
          <c:extLst>
            <c:ext xmlns:c16="http://schemas.microsoft.com/office/drawing/2014/chart" uri="{C3380CC4-5D6E-409C-BE32-E72D297353CC}">
              <c16:uniqueId val="{00000002-88B4-4A20-A5F8-F00A6646FF41}"/>
            </c:ext>
          </c:extLst>
        </c:ser>
        <c:ser>
          <c:idx val="3"/>
          <c:order val="3"/>
          <c:tx>
            <c:strRef>
              <c:f>Sheet1!$E$3:$E$4</c:f>
              <c:strCache>
                <c:ptCount val="2"/>
                <c:pt idx="0">
                  <c:v>Physical</c:v>
                </c:pt>
                <c:pt idx="1">
                  <c:v>At JDC</c:v>
                </c:pt>
              </c:strCache>
            </c:strRef>
          </c:tx>
          <c:spPr>
            <a:ln w="28575" cap="rnd">
              <a:solidFill>
                <a:schemeClr val="accent2">
                  <a:lumMod val="6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Sheet1!$E$5:$E$13</c:f>
            </c:numRef>
          </c:val>
          <c:smooth val="0"/>
          <c:extLst>
            <c:ext xmlns:c16="http://schemas.microsoft.com/office/drawing/2014/chart" uri="{C3380CC4-5D6E-409C-BE32-E72D297353CC}">
              <c16:uniqueId val="{00000003-88B4-4A20-A5F8-F00A6646FF41}"/>
            </c:ext>
          </c:extLst>
        </c:ser>
        <c:ser>
          <c:idx val="5"/>
          <c:order val="5"/>
          <c:tx>
            <c:strRef>
              <c:f>Sheet1!$G$3:$G$4</c:f>
              <c:strCache>
                <c:ptCount val="2"/>
                <c:pt idx="0">
                  <c:v>Psychological</c:v>
                </c:pt>
                <c:pt idx="1">
                  <c:v>At time of arrest</c:v>
                </c:pt>
              </c:strCache>
            </c:strRef>
          </c:tx>
          <c:spPr>
            <a:ln w="28575" cap="rnd">
              <a:solidFill>
                <a:schemeClr val="accent6">
                  <a:lumMod val="6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Sheet1!$G$5:$G$13</c:f>
            </c:numRef>
          </c:val>
          <c:smooth val="0"/>
          <c:extLst>
            <c:ext xmlns:c16="http://schemas.microsoft.com/office/drawing/2014/chart" uri="{C3380CC4-5D6E-409C-BE32-E72D297353CC}">
              <c16:uniqueId val="{00000004-88B4-4A20-A5F8-F00A6646FF41}"/>
            </c:ext>
          </c:extLst>
        </c:ser>
        <c:ser>
          <c:idx val="6"/>
          <c:order val="6"/>
          <c:tx>
            <c:strRef>
              <c:f>Sheet1!$H$3:$H$4</c:f>
              <c:strCache>
                <c:ptCount val="2"/>
                <c:pt idx="0">
                  <c:v>Psychological</c:v>
                </c:pt>
                <c:pt idx="1">
                  <c:v>At state care facility</c:v>
                </c:pt>
              </c:strCache>
            </c:strRef>
          </c:tx>
          <c:spPr>
            <a:ln w="28575" cap="rnd">
              <a:solidFill>
                <a:schemeClr val="accent2">
                  <a:lumMod val="80000"/>
                  <a:lumOff val="2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Sheet1!$H$5:$H$13</c:f>
            </c:numRef>
          </c:val>
          <c:smooth val="0"/>
          <c:extLst>
            <c:ext xmlns:c16="http://schemas.microsoft.com/office/drawing/2014/chart" uri="{C3380CC4-5D6E-409C-BE32-E72D297353CC}">
              <c16:uniqueId val="{00000005-88B4-4A20-A5F8-F00A6646FF41}"/>
            </c:ext>
          </c:extLst>
        </c:ser>
        <c:ser>
          <c:idx val="7"/>
          <c:order val="7"/>
          <c:tx>
            <c:strRef>
              <c:f>Sheet1!$I$3:$I$4</c:f>
              <c:strCache>
                <c:ptCount val="2"/>
                <c:pt idx="0">
                  <c:v>Psychological</c:v>
                </c:pt>
                <c:pt idx="1">
                  <c:v>Police station/ Custodial</c:v>
                </c:pt>
              </c:strCache>
            </c:strRef>
          </c:tx>
          <c:spPr>
            <a:ln w="28575" cap="rnd">
              <a:solidFill>
                <a:schemeClr val="accent4">
                  <a:lumMod val="80000"/>
                  <a:lumOff val="2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Sheet1!$I$5:$I$13</c:f>
            </c:numRef>
          </c:val>
          <c:smooth val="0"/>
          <c:extLst>
            <c:ext xmlns:c16="http://schemas.microsoft.com/office/drawing/2014/chart" uri="{C3380CC4-5D6E-409C-BE32-E72D297353CC}">
              <c16:uniqueId val="{00000006-88B4-4A20-A5F8-F00A6646FF41}"/>
            </c:ext>
          </c:extLst>
        </c:ser>
        <c:ser>
          <c:idx val="8"/>
          <c:order val="8"/>
          <c:tx>
            <c:strRef>
              <c:f>Sheet1!$J$3:$J$4</c:f>
              <c:strCache>
                <c:ptCount val="2"/>
                <c:pt idx="0">
                  <c:v>Psychological</c:v>
                </c:pt>
                <c:pt idx="1">
                  <c:v>At JDC</c:v>
                </c:pt>
              </c:strCache>
            </c:strRef>
          </c:tx>
          <c:spPr>
            <a:ln w="28575" cap="rnd">
              <a:solidFill>
                <a:schemeClr val="accent6">
                  <a:lumMod val="80000"/>
                  <a:lumOff val="2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Sheet1!$J$5:$J$13</c:f>
            </c:numRef>
          </c:val>
          <c:smooth val="0"/>
          <c:extLst>
            <c:ext xmlns:c16="http://schemas.microsoft.com/office/drawing/2014/chart" uri="{C3380CC4-5D6E-409C-BE32-E72D297353CC}">
              <c16:uniqueId val="{00000007-88B4-4A20-A5F8-F00A6646FF41}"/>
            </c:ext>
          </c:extLst>
        </c:ser>
        <c:ser>
          <c:idx val="10"/>
          <c:order val="10"/>
          <c:tx>
            <c:strRef>
              <c:f>Sheet1!$L$3:$L$4</c:f>
              <c:strCache>
                <c:ptCount val="2"/>
                <c:pt idx="0">
                  <c:v>Physical and psychological</c:v>
                </c:pt>
                <c:pt idx="1">
                  <c:v>At time of arrest</c:v>
                </c:pt>
              </c:strCache>
            </c:strRef>
          </c:tx>
          <c:spPr>
            <a:ln w="28575" cap="rnd">
              <a:solidFill>
                <a:schemeClr val="accent4">
                  <a:lumMod val="8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Sheet1!$L$5:$L$13</c:f>
            </c:numRef>
          </c:val>
          <c:smooth val="0"/>
          <c:extLst>
            <c:ext xmlns:c16="http://schemas.microsoft.com/office/drawing/2014/chart" uri="{C3380CC4-5D6E-409C-BE32-E72D297353CC}">
              <c16:uniqueId val="{00000008-88B4-4A20-A5F8-F00A6646FF41}"/>
            </c:ext>
          </c:extLst>
        </c:ser>
        <c:ser>
          <c:idx val="11"/>
          <c:order val="11"/>
          <c:tx>
            <c:strRef>
              <c:f>Sheet1!$M$3:$M$4</c:f>
              <c:strCache>
                <c:ptCount val="2"/>
                <c:pt idx="0">
                  <c:v>Physical and psychological</c:v>
                </c:pt>
                <c:pt idx="1">
                  <c:v>At state care facility</c:v>
                </c:pt>
              </c:strCache>
            </c:strRef>
          </c:tx>
          <c:spPr>
            <a:ln w="28575" cap="rnd">
              <a:solidFill>
                <a:schemeClr val="accent6">
                  <a:lumMod val="8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Sheet1!$M$5:$M$13</c:f>
            </c:numRef>
          </c:val>
          <c:smooth val="0"/>
          <c:extLst>
            <c:ext xmlns:c16="http://schemas.microsoft.com/office/drawing/2014/chart" uri="{C3380CC4-5D6E-409C-BE32-E72D297353CC}">
              <c16:uniqueId val="{00000009-88B4-4A20-A5F8-F00A6646FF41}"/>
            </c:ext>
          </c:extLst>
        </c:ser>
        <c:ser>
          <c:idx val="12"/>
          <c:order val="12"/>
          <c:tx>
            <c:strRef>
              <c:f>Sheet1!$N$3:$N$4</c:f>
              <c:strCache>
                <c:ptCount val="2"/>
                <c:pt idx="0">
                  <c:v>Physical and psychological</c:v>
                </c:pt>
                <c:pt idx="1">
                  <c:v>Police station/ Custodial</c:v>
                </c:pt>
              </c:strCache>
            </c:strRef>
          </c:tx>
          <c:spPr>
            <a:ln w="28575" cap="rnd">
              <a:solidFill>
                <a:schemeClr val="accent2">
                  <a:lumMod val="60000"/>
                  <a:lumOff val="4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Sheet1!$N$5:$N$13</c:f>
            </c:numRef>
          </c:val>
          <c:smooth val="0"/>
          <c:extLst>
            <c:ext xmlns:c16="http://schemas.microsoft.com/office/drawing/2014/chart" uri="{C3380CC4-5D6E-409C-BE32-E72D297353CC}">
              <c16:uniqueId val="{0000000A-88B4-4A20-A5F8-F00A6646FF41}"/>
            </c:ext>
          </c:extLst>
        </c:ser>
        <c:ser>
          <c:idx val="13"/>
          <c:order val="13"/>
          <c:tx>
            <c:strRef>
              <c:f>Sheet1!$O$3:$O$4</c:f>
              <c:strCache>
                <c:ptCount val="2"/>
                <c:pt idx="0">
                  <c:v>Physical and psychological</c:v>
                </c:pt>
                <c:pt idx="1">
                  <c:v>At JDC</c:v>
                </c:pt>
              </c:strCache>
            </c:strRef>
          </c:tx>
          <c:spPr>
            <a:ln w="28575" cap="rnd">
              <a:solidFill>
                <a:schemeClr val="accent4">
                  <a:lumMod val="60000"/>
                  <a:lumOff val="4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Sheet1!$O$5:$O$13</c:f>
            </c:numRef>
          </c:val>
          <c:smooth val="0"/>
          <c:extLst>
            <c:ext xmlns:c16="http://schemas.microsoft.com/office/drawing/2014/chart" uri="{C3380CC4-5D6E-409C-BE32-E72D297353CC}">
              <c16:uniqueId val="{0000000B-88B4-4A20-A5F8-F00A6646FF41}"/>
            </c:ext>
          </c:extLst>
        </c:ser>
        <c:ser>
          <c:idx val="15"/>
          <c:order val="15"/>
          <c:tx>
            <c:strRef>
              <c:f>Sheet1!$Q$3:$Q$4</c:f>
              <c:strCache>
                <c:ptCount val="2"/>
                <c:pt idx="0">
                  <c:v>Sexual torture or violence</c:v>
                </c:pt>
                <c:pt idx="1">
                  <c:v>At time of arrest</c:v>
                </c:pt>
              </c:strCache>
            </c:strRef>
          </c:tx>
          <c:spPr>
            <a:ln w="28575" cap="rnd">
              <a:solidFill>
                <a:schemeClr val="accent2">
                  <a:lumMod val="5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Sheet1!$Q$5:$Q$13</c:f>
            </c:numRef>
          </c:val>
          <c:smooth val="0"/>
          <c:extLst>
            <c:ext xmlns:c16="http://schemas.microsoft.com/office/drawing/2014/chart" uri="{C3380CC4-5D6E-409C-BE32-E72D297353CC}">
              <c16:uniqueId val="{0000000C-88B4-4A20-A5F8-F00A6646FF41}"/>
            </c:ext>
          </c:extLst>
        </c:ser>
        <c:ser>
          <c:idx val="16"/>
          <c:order val="16"/>
          <c:tx>
            <c:strRef>
              <c:f>Sheet1!$R$3:$R$4</c:f>
              <c:strCache>
                <c:ptCount val="2"/>
                <c:pt idx="0">
                  <c:v>Sexual torture or violence</c:v>
                </c:pt>
                <c:pt idx="1">
                  <c:v>At state care facility</c:v>
                </c:pt>
              </c:strCache>
            </c:strRef>
          </c:tx>
          <c:spPr>
            <a:ln w="28575" cap="rnd">
              <a:solidFill>
                <a:schemeClr val="accent4">
                  <a:lumMod val="5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Sheet1!$R$5:$R$13</c:f>
            </c:numRef>
          </c:val>
          <c:smooth val="0"/>
          <c:extLst>
            <c:ext xmlns:c16="http://schemas.microsoft.com/office/drawing/2014/chart" uri="{C3380CC4-5D6E-409C-BE32-E72D297353CC}">
              <c16:uniqueId val="{0000000D-88B4-4A20-A5F8-F00A6646FF41}"/>
            </c:ext>
          </c:extLst>
        </c:ser>
        <c:ser>
          <c:idx val="17"/>
          <c:order val="17"/>
          <c:tx>
            <c:strRef>
              <c:f>Sheet1!$S$3:$S$4</c:f>
              <c:strCache>
                <c:ptCount val="2"/>
                <c:pt idx="0">
                  <c:v>Sexual torture or violence</c:v>
                </c:pt>
                <c:pt idx="1">
                  <c:v>Police station/ Custodial</c:v>
                </c:pt>
              </c:strCache>
            </c:strRef>
          </c:tx>
          <c:spPr>
            <a:ln w="28575" cap="rnd">
              <a:solidFill>
                <a:schemeClr val="accent6">
                  <a:lumMod val="5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Sheet1!$S$5:$S$13</c:f>
            </c:numRef>
          </c:val>
          <c:smooth val="0"/>
          <c:extLst>
            <c:ext xmlns:c16="http://schemas.microsoft.com/office/drawing/2014/chart" uri="{C3380CC4-5D6E-409C-BE32-E72D297353CC}">
              <c16:uniqueId val="{0000000E-88B4-4A20-A5F8-F00A6646FF41}"/>
            </c:ext>
          </c:extLst>
        </c:ser>
        <c:ser>
          <c:idx val="18"/>
          <c:order val="18"/>
          <c:tx>
            <c:strRef>
              <c:f>Sheet1!$T$3:$T$4</c:f>
              <c:strCache>
                <c:ptCount val="2"/>
                <c:pt idx="0">
                  <c:v>Sexual torture or violence</c:v>
                </c:pt>
                <c:pt idx="1">
                  <c:v>At JDC</c:v>
                </c:pt>
              </c:strCache>
            </c:strRef>
          </c:tx>
          <c:spPr>
            <a:ln w="28575" cap="rnd">
              <a:solidFill>
                <a:schemeClr val="accent2">
                  <a:lumMod val="70000"/>
                  <a:lumOff val="3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Sheet1!$T$5:$T$13</c:f>
            </c:numRef>
          </c:val>
          <c:smooth val="0"/>
          <c:extLst>
            <c:ext xmlns:c16="http://schemas.microsoft.com/office/drawing/2014/chart" uri="{C3380CC4-5D6E-409C-BE32-E72D297353CC}">
              <c16:uniqueId val="{0000000F-88B4-4A20-A5F8-F00A6646FF41}"/>
            </c:ext>
          </c:extLst>
        </c:ser>
        <c:ser>
          <c:idx val="20"/>
          <c:order val="20"/>
          <c:tx>
            <c:strRef>
              <c:f>Sheet1!$V$3:$V$4</c:f>
              <c:strCache>
                <c:ptCount val="2"/>
                <c:pt idx="0">
                  <c:v>Neglect/ inhumane treatment </c:v>
                </c:pt>
                <c:pt idx="1">
                  <c:v>At time of arrest</c:v>
                </c:pt>
              </c:strCache>
            </c:strRef>
          </c:tx>
          <c:spPr>
            <a:ln w="28575" cap="rnd">
              <a:solidFill>
                <a:schemeClr val="accent6">
                  <a:lumMod val="70000"/>
                  <a:lumOff val="3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Sheet1!$V$5:$V$13</c:f>
            </c:numRef>
          </c:val>
          <c:smooth val="0"/>
          <c:extLst>
            <c:ext xmlns:c16="http://schemas.microsoft.com/office/drawing/2014/chart" uri="{C3380CC4-5D6E-409C-BE32-E72D297353CC}">
              <c16:uniqueId val="{00000010-88B4-4A20-A5F8-F00A6646FF41}"/>
            </c:ext>
          </c:extLst>
        </c:ser>
        <c:ser>
          <c:idx val="21"/>
          <c:order val="21"/>
          <c:tx>
            <c:strRef>
              <c:f>Sheet1!$W$3:$W$4</c:f>
              <c:strCache>
                <c:ptCount val="2"/>
                <c:pt idx="0">
                  <c:v>Neglect/ inhumane treatment </c:v>
                </c:pt>
                <c:pt idx="1">
                  <c:v>At state care facility</c:v>
                </c:pt>
              </c:strCache>
            </c:strRef>
          </c:tx>
          <c:spPr>
            <a:ln w="28575" cap="rnd">
              <a:solidFill>
                <a:schemeClr val="accent2">
                  <a:lumMod val="7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Sheet1!$W$5:$W$13</c:f>
            </c:numRef>
          </c:val>
          <c:smooth val="0"/>
          <c:extLst>
            <c:ext xmlns:c16="http://schemas.microsoft.com/office/drawing/2014/chart" uri="{C3380CC4-5D6E-409C-BE32-E72D297353CC}">
              <c16:uniqueId val="{00000011-88B4-4A20-A5F8-F00A6646FF41}"/>
            </c:ext>
          </c:extLst>
        </c:ser>
        <c:ser>
          <c:idx val="22"/>
          <c:order val="22"/>
          <c:tx>
            <c:strRef>
              <c:f>Sheet1!$X$3:$X$4</c:f>
              <c:strCache>
                <c:ptCount val="2"/>
                <c:pt idx="0">
                  <c:v>Neglect/ inhumane treatment </c:v>
                </c:pt>
                <c:pt idx="1">
                  <c:v>Police station/ Custodial</c:v>
                </c:pt>
              </c:strCache>
            </c:strRef>
          </c:tx>
          <c:spPr>
            <a:ln w="28575" cap="rnd">
              <a:solidFill>
                <a:schemeClr val="accent4">
                  <a:lumMod val="7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Sheet1!$X$5:$X$13</c:f>
            </c:numRef>
          </c:val>
          <c:smooth val="0"/>
          <c:extLst>
            <c:ext xmlns:c16="http://schemas.microsoft.com/office/drawing/2014/chart" uri="{C3380CC4-5D6E-409C-BE32-E72D297353CC}">
              <c16:uniqueId val="{00000012-88B4-4A20-A5F8-F00A6646FF41}"/>
            </c:ext>
          </c:extLst>
        </c:ser>
        <c:ser>
          <c:idx val="23"/>
          <c:order val="23"/>
          <c:tx>
            <c:strRef>
              <c:f>Sheet1!$Y$3:$Y$4</c:f>
              <c:strCache>
                <c:ptCount val="2"/>
                <c:pt idx="0">
                  <c:v>Neglect/ inhumane treatment </c:v>
                </c:pt>
                <c:pt idx="1">
                  <c:v>At JDC</c:v>
                </c:pt>
              </c:strCache>
            </c:strRef>
          </c:tx>
          <c:spPr>
            <a:ln w="28575" cap="rnd">
              <a:solidFill>
                <a:schemeClr val="accent6">
                  <a:lumMod val="7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Sheet1!$Y$5:$Y$13</c:f>
            </c:numRef>
          </c:val>
          <c:smooth val="0"/>
          <c:extLst>
            <c:ext xmlns:c16="http://schemas.microsoft.com/office/drawing/2014/chart" uri="{C3380CC4-5D6E-409C-BE32-E72D297353CC}">
              <c16:uniqueId val="{00000013-88B4-4A20-A5F8-F00A6646FF41}"/>
            </c:ext>
          </c:extLst>
        </c:ser>
        <c:dLbls>
          <c:showLegendKey val="0"/>
          <c:showVal val="0"/>
          <c:showCatName val="0"/>
          <c:showSerName val="0"/>
          <c:showPercent val="0"/>
          <c:showBubbleSize val="0"/>
        </c:dLbls>
        <c:marker val="1"/>
        <c:smooth val="0"/>
        <c:axId val="486411839"/>
        <c:axId val="486415199"/>
      </c:lineChart>
      <c:lineChart>
        <c:grouping val="standard"/>
        <c:varyColors val="0"/>
        <c:ser>
          <c:idx val="4"/>
          <c:order val="4"/>
          <c:tx>
            <c:strRef>
              <c:f>Sheet1!$F$3:$F$4</c:f>
              <c:strCache>
                <c:ptCount val="2"/>
                <c:pt idx="0">
                  <c:v>Physical</c:v>
                </c:pt>
              </c:strCache>
            </c:strRef>
          </c:tx>
          <c:spPr>
            <a:ln w="28575" cap="rnd">
              <a:solidFill>
                <a:schemeClr val="accent4">
                  <a:lumMod val="6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Sheet1!$F$5:$F$13</c:f>
              <c:numCache>
                <c:formatCode>General</c:formatCode>
                <c:ptCount val="9"/>
                <c:pt idx="0">
                  <c:v>1</c:v>
                </c:pt>
                <c:pt idx="1">
                  <c:v>3</c:v>
                </c:pt>
                <c:pt idx="2">
                  <c:v>4</c:v>
                </c:pt>
                <c:pt idx="3">
                  <c:v>8</c:v>
                </c:pt>
                <c:pt idx="4">
                  <c:v>2</c:v>
                </c:pt>
                <c:pt idx="5">
                  <c:v>7</c:v>
                </c:pt>
                <c:pt idx="6">
                  <c:v>7</c:v>
                </c:pt>
                <c:pt idx="7">
                  <c:v>14</c:v>
                </c:pt>
                <c:pt idx="8">
                  <c:v>9</c:v>
                </c:pt>
              </c:numCache>
            </c:numRef>
          </c:val>
          <c:smooth val="0"/>
          <c:extLst>
            <c:ext xmlns:c16="http://schemas.microsoft.com/office/drawing/2014/chart" uri="{C3380CC4-5D6E-409C-BE32-E72D297353CC}">
              <c16:uniqueId val="{00000014-88B4-4A20-A5F8-F00A6646FF41}"/>
            </c:ext>
          </c:extLst>
        </c:ser>
        <c:ser>
          <c:idx val="9"/>
          <c:order val="9"/>
          <c:tx>
            <c:strRef>
              <c:f>Sheet1!$K$3:$K$4</c:f>
              <c:strCache>
                <c:ptCount val="2"/>
                <c:pt idx="0">
                  <c:v>Psychological</c:v>
                </c:pt>
              </c:strCache>
            </c:strRef>
          </c:tx>
          <c:spPr>
            <a:ln w="28575" cap="rnd">
              <a:solidFill>
                <a:schemeClr val="accent2">
                  <a:lumMod val="8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Sheet1!$K$5:$K$13</c:f>
              <c:numCache>
                <c:formatCode>General</c:formatCode>
                <c:ptCount val="9"/>
                <c:pt idx="0">
                  <c:v>0</c:v>
                </c:pt>
                <c:pt idx="1">
                  <c:v>1</c:v>
                </c:pt>
                <c:pt idx="2">
                  <c:v>1</c:v>
                </c:pt>
                <c:pt idx="3">
                  <c:v>1</c:v>
                </c:pt>
                <c:pt idx="4">
                  <c:v>1</c:v>
                </c:pt>
                <c:pt idx="5">
                  <c:v>0</c:v>
                </c:pt>
                <c:pt idx="6">
                  <c:v>1</c:v>
                </c:pt>
                <c:pt idx="7">
                  <c:v>3</c:v>
                </c:pt>
                <c:pt idx="8">
                  <c:v>0</c:v>
                </c:pt>
              </c:numCache>
            </c:numRef>
          </c:val>
          <c:smooth val="0"/>
          <c:extLst>
            <c:ext xmlns:c16="http://schemas.microsoft.com/office/drawing/2014/chart" uri="{C3380CC4-5D6E-409C-BE32-E72D297353CC}">
              <c16:uniqueId val="{00000015-88B4-4A20-A5F8-F00A6646FF41}"/>
            </c:ext>
          </c:extLst>
        </c:ser>
        <c:ser>
          <c:idx val="14"/>
          <c:order val="14"/>
          <c:tx>
            <c:strRef>
              <c:f>Sheet1!$P$3:$P$4</c:f>
              <c:strCache>
                <c:ptCount val="2"/>
                <c:pt idx="0">
                  <c:v>Physical and psychological</c:v>
                </c:pt>
              </c:strCache>
            </c:strRef>
          </c:tx>
          <c:spPr>
            <a:ln w="28575" cap="rnd">
              <a:solidFill>
                <a:schemeClr val="accent6">
                  <a:lumMod val="60000"/>
                  <a:lumOff val="4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Sheet1!$P$5:$P$13</c:f>
              <c:numCache>
                <c:formatCode>General</c:formatCode>
                <c:ptCount val="9"/>
                <c:pt idx="0">
                  <c:v>0</c:v>
                </c:pt>
                <c:pt idx="1">
                  <c:v>0</c:v>
                </c:pt>
                <c:pt idx="2">
                  <c:v>0</c:v>
                </c:pt>
                <c:pt idx="3">
                  <c:v>0</c:v>
                </c:pt>
                <c:pt idx="4">
                  <c:v>1</c:v>
                </c:pt>
                <c:pt idx="5">
                  <c:v>2</c:v>
                </c:pt>
                <c:pt idx="6">
                  <c:v>1</c:v>
                </c:pt>
                <c:pt idx="7">
                  <c:v>1</c:v>
                </c:pt>
                <c:pt idx="8">
                  <c:v>3</c:v>
                </c:pt>
              </c:numCache>
            </c:numRef>
          </c:val>
          <c:smooth val="0"/>
          <c:extLst>
            <c:ext xmlns:c16="http://schemas.microsoft.com/office/drawing/2014/chart" uri="{C3380CC4-5D6E-409C-BE32-E72D297353CC}">
              <c16:uniqueId val="{00000016-88B4-4A20-A5F8-F00A6646FF41}"/>
            </c:ext>
          </c:extLst>
        </c:ser>
        <c:ser>
          <c:idx val="19"/>
          <c:order val="19"/>
          <c:tx>
            <c:strRef>
              <c:f>Sheet1!$U$3:$U$4</c:f>
              <c:strCache>
                <c:ptCount val="2"/>
                <c:pt idx="0">
                  <c:v>Sexual torture or violence</c:v>
                </c:pt>
              </c:strCache>
            </c:strRef>
          </c:tx>
          <c:spPr>
            <a:ln w="28575" cap="rnd">
              <a:solidFill>
                <a:schemeClr val="accent4">
                  <a:lumMod val="70000"/>
                  <a:lumOff val="30000"/>
                </a:schemeClr>
              </a:solidFill>
              <a:round/>
            </a:ln>
            <a:effectLst/>
          </c:spPr>
          <c:marker>
            <c:symbol val="none"/>
          </c:marker>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Sheet1!$U$5:$U$13</c:f>
              <c:numCache>
                <c:formatCode>General</c:formatCode>
                <c:ptCount val="9"/>
                <c:pt idx="0">
                  <c:v>0</c:v>
                </c:pt>
                <c:pt idx="1">
                  <c:v>0</c:v>
                </c:pt>
                <c:pt idx="2">
                  <c:v>0</c:v>
                </c:pt>
                <c:pt idx="3">
                  <c:v>0</c:v>
                </c:pt>
                <c:pt idx="4">
                  <c:v>0</c:v>
                </c:pt>
                <c:pt idx="5">
                  <c:v>0</c:v>
                </c:pt>
                <c:pt idx="6">
                  <c:v>1</c:v>
                </c:pt>
                <c:pt idx="7">
                  <c:v>2</c:v>
                </c:pt>
                <c:pt idx="8">
                  <c:v>0</c:v>
                </c:pt>
              </c:numCache>
            </c:numRef>
          </c:val>
          <c:smooth val="0"/>
          <c:extLst>
            <c:ext xmlns:c16="http://schemas.microsoft.com/office/drawing/2014/chart" uri="{C3380CC4-5D6E-409C-BE32-E72D297353CC}">
              <c16:uniqueId val="{00000017-88B4-4A20-A5F8-F00A6646FF41}"/>
            </c:ext>
          </c:extLst>
        </c:ser>
        <c:ser>
          <c:idx val="24"/>
          <c:order val="24"/>
          <c:tx>
            <c:strRef>
              <c:f>Sheet1!$Z$3:$Z$4</c:f>
              <c:strCache>
                <c:ptCount val="2"/>
                <c:pt idx="0">
                  <c:v>Neglect/ inhumane treatment </c:v>
                </c:pt>
              </c:strCache>
            </c:strRef>
          </c:tx>
          <c:spPr>
            <a:ln w="28575" cap="rnd">
              <a:solidFill>
                <a:schemeClr val="accent2">
                  <a:lumMod val="50000"/>
                  <a:lumOff val="5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Sheet1!$A$5:$A$13</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Sheet1!$Z$5:$Z$13</c:f>
              <c:numCache>
                <c:formatCode>General</c:formatCode>
                <c:ptCount val="9"/>
                <c:pt idx="0">
                  <c:v>0</c:v>
                </c:pt>
                <c:pt idx="1">
                  <c:v>0</c:v>
                </c:pt>
                <c:pt idx="2">
                  <c:v>1</c:v>
                </c:pt>
                <c:pt idx="3">
                  <c:v>0</c:v>
                </c:pt>
                <c:pt idx="4">
                  <c:v>0</c:v>
                </c:pt>
                <c:pt idx="5">
                  <c:v>0</c:v>
                </c:pt>
                <c:pt idx="6">
                  <c:v>1</c:v>
                </c:pt>
                <c:pt idx="7">
                  <c:v>0</c:v>
                </c:pt>
                <c:pt idx="8">
                  <c:v>0</c:v>
                </c:pt>
              </c:numCache>
            </c:numRef>
          </c:val>
          <c:smooth val="0"/>
          <c:extLst>
            <c:ext xmlns:c16="http://schemas.microsoft.com/office/drawing/2014/chart" uri="{C3380CC4-5D6E-409C-BE32-E72D297353CC}">
              <c16:uniqueId val="{00000018-88B4-4A20-A5F8-F00A6646FF41}"/>
            </c:ext>
          </c:extLst>
        </c:ser>
        <c:dLbls>
          <c:showLegendKey val="0"/>
          <c:showVal val="0"/>
          <c:showCatName val="0"/>
          <c:showSerName val="0"/>
          <c:showPercent val="0"/>
          <c:showBubbleSize val="0"/>
        </c:dLbls>
        <c:marker val="1"/>
        <c:smooth val="0"/>
        <c:axId val="486411839"/>
        <c:axId val="486415199"/>
      </c:lineChart>
      <c:catAx>
        <c:axId val="486411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415199"/>
        <c:crosses val="autoZero"/>
        <c:auto val="1"/>
        <c:lblAlgn val="ctr"/>
        <c:lblOffset val="100"/>
        <c:noMultiLvlLbl val="0"/>
      </c:catAx>
      <c:valAx>
        <c:axId val="4864151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411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Torture cases send</a:t>
            </a:r>
            <a:r>
              <a:rPr lang="en-US" baseline="0"/>
              <a:t> for prosecution - HRCM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Sheet3!$K$4</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Sheet3!$M$3:$P$3</c:f>
              <c:strCache>
                <c:ptCount val="4"/>
                <c:pt idx="0">
                  <c:v>Declined by PGO</c:v>
                </c:pt>
                <c:pt idx="1">
                  <c:v>Rejected by Court</c:v>
                </c:pt>
                <c:pt idx="2">
                  <c:v>Sent for Prosecution</c:v>
                </c:pt>
                <c:pt idx="3">
                  <c:v>Pending by PGO</c:v>
                </c:pt>
              </c:strCache>
            </c:strRef>
          </c:cat>
          <c:val>
            <c:numRef>
              <c:f>Sheet3!$M$4:$P$4</c:f>
              <c:numCache>
                <c:formatCode>0.0%</c:formatCode>
                <c:ptCount val="4"/>
                <c:pt idx="0">
                  <c:v>0.33300000000000002</c:v>
                </c:pt>
                <c:pt idx="1">
                  <c:v>0.33300000000000002</c:v>
                </c:pt>
                <c:pt idx="2" formatCode="0%">
                  <c:v>0</c:v>
                </c:pt>
                <c:pt idx="3">
                  <c:v>0.33300000000000002</c:v>
                </c:pt>
              </c:numCache>
            </c:numRef>
          </c:val>
          <c:extLst>
            <c:ext xmlns:c16="http://schemas.microsoft.com/office/drawing/2014/chart" uri="{C3380CC4-5D6E-409C-BE32-E72D297353CC}">
              <c16:uniqueId val="{00000000-C4AC-4890-A987-7648CF41B7A5}"/>
            </c:ext>
          </c:extLst>
        </c:ser>
        <c:ser>
          <c:idx val="1"/>
          <c:order val="1"/>
          <c:tx>
            <c:strRef>
              <c:f>Sheet3!$K$5</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Sheet3!$M$3:$P$3</c:f>
              <c:strCache>
                <c:ptCount val="4"/>
                <c:pt idx="0">
                  <c:v>Declined by PGO</c:v>
                </c:pt>
                <c:pt idx="1">
                  <c:v>Rejected by Court</c:v>
                </c:pt>
                <c:pt idx="2">
                  <c:v>Sent for Prosecution</c:v>
                </c:pt>
                <c:pt idx="3">
                  <c:v>Pending by PGO</c:v>
                </c:pt>
              </c:strCache>
            </c:strRef>
          </c:cat>
          <c:val>
            <c:numRef>
              <c:f>Sheet3!$M$5:$P$5</c:f>
              <c:numCache>
                <c:formatCode>0%</c:formatCode>
                <c:ptCount val="4"/>
                <c:pt idx="0">
                  <c:v>1</c:v>
                </c:pt>
                <c:pt idx="1">
                  <c:v>0</c:v>
                </c:pt>
                <c:pt idx="2">
                  <c:v>0</c:v>
                </c:pt>
                <c:pt idx="3">
                  <c:v>0</c:v>
                </c:pt>
              </c:numCache>
            </c:numRef>
          </c:val>
          <c:extLst>
            <c:ext xmlns:c16="http://schemas.microsoft.com/office/drawing/2014/chart" uri="{C3380CC4-5D6E-409C-BE32-E72D297353CC}">
              <c16:uniqueId val="{00000001-C4AC-4890-A987-7648CF41B7A5}"/>
            </c:ext>
          </c:extLst>
        </c:ser>
        <c:ser>
          <c:idx val="2"/>
          <c:order val="2"/>
          <c:tx>
            <c:strRef>
              <c:f>Sheet3!$K$6</c:f>
              <c:strCache>
                <c:ptCount val="1"/>
                <c:pt idx="0">
                  <c:v>2023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Sheet3!$M$3:$P$3</c:f>
              <c:strCache>
                <c:ptCount val="4"/>
                <c:pt idx="0">
                  <c:v>Declined by PGO</c:v>
                </c:pt>
                <c:pt idx="1">
                  <c:v>Rejected by Court</c:v>
                </c:pt>
                <c:pt idx="2">
                  <c:v>Sent for Prosecution</c:v>
                </c:pt>
                <c:pt idx="3">
                  <c:v>Pending by PGO</c:v>
                </c:pt>
              </c:strCache>
            </c:strRef>
          </c:cat>
          <c:val>
            <c:numRef>
              <c:f>Sheet3!$M$6:$P$6</c:f>
              <c:numCache>
                <c:formatCode>0%</c:formatCode>
                <c:ptCount val="4"/>
                <c:pt idx="0">
                  <c:v>0.5</c:v>
                </c:pt>
                <c:pt idx="1">
                  <c:v>0</c:v>
                </c:pt>
                <c:pt idx="2">
                  <c:v>0.5</c:v>
                </c:pt>
                <c:pt idx="3">
                  <c:v>0</c:v>
                </c:pt>
              </c:numCache>
            </c:numRef>
          </c:val>
          <c:extLst>
            <c:ext xmlns:c16="http://schemas.microsoft.com/office/drawing/2014/chart" uri="{C3380CC4-5D6E-409C-BE32-E72D297353CC}">
              <c16:uniqueId val="{00000002-C4AC-4890-A987-7648CF41B7A5}"/>
            </c:ext>
          </c:extLst>
        </c:ser>
        <c:dLbls>
          <c:showLegendKey val="0"/>
          <c:showVal val="0"/>
          <c:showCatName val="0"/>
          <c:showSerName val="0"/>
          <c:showPercent val="0"/>
          <c:showBubbleSize val="0"/>
        </c:dLbls>
        <c:gapWidth val="219"/>
        <c:overlap val="-27"/>
        <c:axId val="567757727"/>
        <c:axId val="567758207"/>
      </c:barChart>
      <c:catAx>
        <c:axId val="567757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758207"/>
        <c:crosses val="autoZero"/>
        <c:auto val="1"/>
        <c:lblAlgn val="ctr"/>
        <c:lblOffset val="100"/>
        <c:noMultiLvlLbl val="0"/>
      </c:catAx>
      <c:valAx>
        <c:axId val="56775820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757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Children in conflic with the law rehabilitated and return to the society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9121678779018106E-2"/>
          <c:y val="0.27652516165307844"/>
          <c:w val="0.89476637418517091"/>
          <c:h val="0.25100644398646121"/>
        </c:manualLayout>
      </c:layout>
      <c:barChart>
        <c:barDir val="col"/>
        <c:grouping val="clustered"/>
        <c:varyColors val="0"/>
        <c:ser>
          <c:idx val="0"/>
          <c:order val="0"/>
          <c:tx>
            <c:strRef>
              <c:f>'djj Art 40'!$K$81</c:f>
              <c:strCache>
                <c:ptCount val="1"/>
                <c:pt idx="0">
                  <c:v>2022</c:v>
                </c:pt>
              </c:strCache>
            </c:strRef>
          </c:tx>
          <c:spPr>
            <a:solidFill>
              <a:schemeClr val="accent6">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'djj Art 40'!$L$79:$O$80</c:f>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f>'djj Art 40'!$L$81:$O$81</c:f>
              <c:numCache>
                <c:formatCode>General</c:formatCode>
                <c:ptCount val="4"/>
                <c:pt idx="0">
                  <c:v>34</c:v>
                </c:pt>
                <c:pt idx="1">
                  <c:v>34</c:v>
                </c:pt>
                <c:pt idx="2">
                  <c:v>0</c:v>
                </c:pt>
                <c:pt idx="3">
                  <c:v>9</c:v>
                </c:pt>
              </c:numCache>
            </c:numRef>
          </c:val>
          <c:extLst>
            <c:ext xmlns:c16="http://schemas.microsoft.com/office/drawing/2014/chart" uri="{C3380CC4-5D6E-409C-BE32-E72D297353CC}">
              <c16:uniqueId val="{00000000-A99E-4887-81FA-C33D5EFACDFE}"/>
            </c:ext>
          </c:extLst>
        </c:ser>
        <c:ser>
          <c:idx val="5"/>
          <c:order val="5"/>
          <c:tx>
            <c:strRef>
              <c:f>'djj Art 40'!$K$86</c:f>
              <c:strCache>
                <c:ptCount val="1"/>
                <c:pt idx="0">
                  <c:v>2023</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'djj Art 40'!$L$79:$O$80</c:f>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f>'djj Art 40'!$L$86:$O$86</c:f>
              <c:numCache>
                <c:formatCode>General</c:formatCode>
                <c:ptCount val="4"/>
                <c:pt idx="0">
                  <c:v>11</c:v>
                </c:pt>
                <c:pt idx="1">
                  <c:v>11</c:v>
                </c:pt>
                <c:pt idx="2">
                  <c:v>0</c:v>
                </c:pt>
                <c:pt idx="3">
                  <c:v>5</c:v>
                </c:pt>
              </c:numCache>
            </c:numRef>
          </c:val>
          <c:extLst>
            <c:ext xmlns:c16="http://schemas.microsoft.com/office/drawing/2014/chart" uri="{C3380CC4-5D6E-409C-BE32-E72D297353CC}">
              <c16:uniqueId val="{00000001-A99E-4887-81FA-C33D5EFACDFE}"/>
            </c:ext>
          </c:extLst>
        </c:ser>
        <c:ser>
          <c:idx val="10"/>
          <c:order val="10"/>
          <c:tx>
            <c:strRef>
              <c:f>'djj Art 40'!$K$91</c:f>
              <c:strCache>
                <c:ptCount val="1"/>
                <c:pt idx="0">
                  <c:v>2024</c:v>
                </c:pt>
              </c:strCache>
            </c:strRef>
          </c:tx>
          <c:spPr>
            <a:solidFill>
              <a:schemeClr val="accent2">
                <a:lumMod val="40000"/>
                <a:lumOff val="60000"/>
              </a:schemeClr>
            </a:solidFill>
            <a:ln>
              <a:noFill/>
            </a:ln>
            <a:effectLst/>
          </c:spPr>
          <c:invertIfNegative val="0"/>
          <c:dLbls>
            <c:dLbl>
              <c:idx val="3"/>
              <c:layout>
                <c:manualLayout>
                  <c:x val="-2.7777777777777779E-3"/>
                  <c:y val="-5.0925925925925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99E-4887-81FA-C33D5EFACD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'djj Art 40'!$L$79:$O$80</c:f>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f>'djj Art 40'!$L$91:$O$91</c:f>
              <c:numCache>
                <c:formatCode>General</c:formatCode>
                <c:ptCount val="4"/>
                <c:pt idx="0">
                  <c:v>9</c:v>
                </c:pt>
                <c:pt idx="1">
                  <c:v>9</c:v>
                </c:pt>
                <c:pt idx="2">
                  <c:v>0</c:v>
                </c:pt>
                <c:pt idx="3">
                  <c:v>0</c:v>
                </c:pt>
              </c:numCache>
            </c:numRef>
          </c:val>
          <c:extLst>
            <c:ext xmlns:c16="http://schemas.microsoft.com/office/drawing/2014/chart" uri="{C3380CC4-5D6E-409C-BE32-E72D297353CC}">
              <c16:uniqueId val="{00000003-A99E-4887-81FA-C33D5EFACDFE}"/>
            </c:ext>
          </c:extLst>
        </c:ser>
        <c:dLbls>
          <c:showLegendKey val="0"/>
          <c:showVal val="0"/>
          <c:showCatName val="0"/>
          <c:showSerName val="0"/>
          <c:showPercent val="0"/>
          <c:showBubbleSize val="0"/>
        </c:dLbls>
        <c:gapWidth val="150"/>
        <c:axId val="1524510016"/>
        <c:axId val="1524504736"/>
        <c:extLst>
          <c:ext xmlns:c15="http://schemas.microsoft.com/office/drawing/2012/chart" uri="{02D57815-91ED-43cb-92C2-25804820EDAC}">
            <c15:filteredBarSeries>
              <c15:ser>
                <c:idx val="1"/>
                <c:order val="1"/>
                <c:tx>
                  <c:strRef>
                    <c:extLst>
                      <c:ext uri="{02D57815-91ED-43cb-92C2-25804820EDAC}">
                        <c15:formulaRef>
                          <c15:sqref>'djj Art 40'!$K$82</c15:sqref>
                        </c15:formulaRef>
                      </c:ext>
                    </c:extLst>
                    <c:strCache>
                      <c:ptCount val="1"/>
                    </c:strCache>
                  </c:strRef>
                </c:tx>
                <c:spPr>
                  <a:solidFill>
                    <a:schemeClr val="accent5"/>
                  </a:solidFill>
                  <a:ln>
                    <a:noFill/>
                  </a:ln>
                  <a:effectLst/>
                </c:spPr>
                <c:invertIfNegative val="0"/>
                <c:cat>
                  <c:strRef>
                    <c:extLst>
                      <c:ex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c:ext uri="{02D57815-91ED-43cb-92C2-25804820EDAC}">
                        <c15:formulaRef>
                          <c15:sqref>'djj Art 40'!$L$82:$O$82</c15:sqref>
                        </c15:formulaRef>
                      </c:ext>
                    </c:extLst>
                    <c:numCache>
                      <c:formatCode>General</c:formatCode>
                      <c:ptCount val="4"/>
                    </c:numCache>
                  </c:numRef>
                </c:val>
                <c:extLst>
                  <c:ext xmlns:c16="http://schemas.microsoft.com/office/drawing/2014/chart" uri="{C3380CC4-5D6E-409C-BE32-E72D297353CC}">
                    <c16:uniqueId val="{00000004-A99E-4887-81FA-C33D5EFACDFE}"/>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'djj Art 40'!$K$83</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40'!$L$83:$O$83</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A99E-4887-81FA-C33D5EFACDFE}"/>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'djj Art 40'!$K$84</c15:sqref>
                        </c15:formulaRef>
                      </c:ext>
                    </c:extLst>
                    <c:strCache>
                      <c:ptCount val="1"/>
                    </c:strCache>
                  </c:strRef>
                </c:tx>
                <c:spPr>
                  <a:solidFill>
                    <a:schemeClr val="accent6">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40'!$L$84:$O$84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A99E-4887-81FA-C33D5EFACDFE}"/>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'djj Art 40'!$K$85</c15:sqref>
                        </c15:formulaRef>
                      </c:ext>
                    </c:extLst>
                    <c:strCache>
                      <c:ptCount val="1"/>
                    </c:strCache>
                  </c:strRef>
                </c:tx>
                <c:spPr>
                  <a:solidFill>
                    <a:schemeClr val="accent5">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40'!$L$85:$O$85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7-A99E-4887-81FA-C33D5EFACDFE}"/>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'djj Art 40'!$K$87</c15:sqref>
                        </c15:formulaRef>
                      </c:ext>
                    </c:extLst>
                    <c:strCache>
                      <c:ptCount val="1"/>
                    </c:strCache>
                  </c:strRef>
                </c:tx>
                <c:spPr>
                  <a:solidFill>
                    <a:schemeClr val="accent6">
                      <a:lumMod val="80000"/>
                      <a:lumOff val="2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40'!$L$87:$O$87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8-A99E-4887-81FA-C33D5EFACDFE}"/>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'djj Art 40'!$K$88</c15:sqref>
                        </c15:formulaRef>
                      </c:ext>
                    </c:extLst>
                    <c:strCache>
                      <c:ptCount val="1"/>
                    </c:strCache>
                  </c:strRef>
                </c:tx>
                <c:spPr>
                  <a:solidFill>
                    <a:schemeClr val="accent5">
                      <a:lumMod val="80000"/>
                      <a:lumOff val="2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40'!$L$88:$O$88</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9-A99E-4887-81FA-C33D5EFACDFE}"/>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'djj Art 40'!$K$89</c15:sqref>
                        </c15:formulaRef>
                      </c:ext>
                    </c:extLst>
                    <c:strCache>
                      <c:ptCount val="1"/>
                    </c:strCache>
                  </c:strRef>
                </c:tx>
                <c:spPr>
                  <a:solidFill>
                    <a:schemeClr val="accent4">
                      <a:lumMod val="80000"/>
                      <a:lumOff val="2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40'!$L$89:$O$89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A-A99E-4887-81FA-C33D5EFACDFE}"/>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'djj Art 40'!$K$90</c15:sqref>
                        </c15:formulaRef>
                      </c:ext>
                    </c:extLst>
                    <c:strCache>
                      <c:ptCount val="1"/>
                    </c:strCache>
                  </c:strRef>
                </c:tx>
                <c:spPr>
                  <a:solidFill>
                    <a:schemeClr val="accent6">
                      <a:lumMod val="8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40'!$L$90:$O$90</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B-A99E-4887-81FA-C33D5EFACDFE}"/>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'djj Art 40'!$K$92</c15:sqref>
                        </c15:formulaRef>
                      </c:ext>
                    </c:extLst>
                    <c:strCache>
                      <c:ptCount val="1"/>
                    </c:strCache>
                  </c:strRef>
                </c:tx>
                <c:spPr>
                  <a:solidFill>
                    <a:schemeClr val="accent4">
                      <a:lumMod val="8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40'!$L$92:$O$92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C-A99E-4887-81FA-C33D5EFACDFE}"/>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'djj Art 40'!$K$93</c15:sqref>
                        </c15:formulaRef>
                      </c:ext>
                    </c:extLst>
                    <c:strCache>
                      <c:ptCount val="1"/>
                    </c:strCache>
                  </c:strRef>
                </c:tx>
                <c:spPr>
                  <a:solidFill>
                    <a:schemeClr val="accent6">
                      <a:lumMod val="60000"/>
                      <a:lumOff val="4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40'!$L$93:$O$93</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D-A99E-4887-81FA-C33D5EFACDFE}"/>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'djj Art 40'!$K$94</c15:sqref>
                        </c15:formulaRef>
                      </c:ext>
                    </c:extLst>
                    <c:strCache>
                      <c:ptCount val="1"/>
                    </c:strCache>
                  </c:strRef>
                </c:tx>
                <c:spPr>
                  <a:solidFill>
                    <a:schemeClr val="accent5">
                      <a:lumMod val="60000"/>
                      <a:lumOff val="4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40'!$L$94:$O$94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E-A99E-4887-81FA-C33D5EFACDFE}"/>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'djj Art 40'!$K$95</c15:sqref>
                        </c15:formulaRef>
                      </c:ext>
                    </c:extLst>
                    <c:strCache>
                      <c:ptCount val="1"/>
                    </c:strCache>
                  </c:strRef>
                </c:tx>
                <c:spPr>
                  <a:solidFill>
                    <a:schemeClr val="accent4">
                      <a:lumMod val="60000"/>
                      <a:lumOff val="40000"/>
                    </a:schemeClr>
                  </a:solidFill>
                  <a:ln>
                    <a:noFill/>
                  </a:ln>
                  <a:effectLst/>
                </c:spPr>
                <c:invertIfNegative val="0"/>
                <c:cat>
                  <c:strRef>
                    <c:extLst xmlns:c15="http://schemas.microsoft.com/office/drawing/2012/chart">
                      <c:ext xmlns:c15="http://schemas.microsoft.com/office/drawing/2012/chart" uri="{02D57815-91ED-43cb-92C2-25804820EDAC}">
                        <c15:formulaRef>
                          <c15:sqref>'djj Art 40'!$L$79:$O$80</c15:sqref>
                        </c15:formulaRef>
                      </c:ext>
                    </c:extLst>
                    <c:strCache>
                      <c:ptCount val="4"/>
                      <c:pt idx="0">
                        <c:v>No of Children in conflic with the law sent for rehabilitation order</c:v>
                      </c:pt>
                      <c:pt idx="1">
                        <c:v>No of male children in rehabilitation order</c:v>
                      </c:pt>
                      <c:pt idx="2">
                        <c:v>No of female children in rehabilitation order</c:v>
                      </c:pt>
                      <c:pt idx="3">
                        <c:v>No of children successfully rehabilitated </c:v>
                      </c:pt>
                    </c:strCache>
                  </c:strRef>
                </c:cat>
                <c:val>
                  <c:numRef>
                    <c:extLst xmlns:c15="http://schemas.microsoft.com/office/drawing/2012/chart">
                      <c:ext xmlns:c15="http://schemas.microsoft.com/office/drawing/2012/chart" uri="{02D57815-91ED-43cb-92C2-25804820EDAC}">
                        <c15:formulaRef>
                          <c15:sqref>'djj Art 40'!$L$95:$O$95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F-A99E-4887-81FA-C33D5EFACDFE}"/>
                  </c:ext>
                </c:extLst>
              </c15:ser>
            </c15:filteredBarSeries>
          </c:ext>
        </c:extLst>
      </c:barChart>
      <c:catAx>
        <c:axId val="152451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4504736"/>
        <c:crosses val="autoZero"/>
        <c:auto val="1"/>
        <c:lblAlgn val="ctr"/>
        <c:lblOffset val="100"/>
        <c:noMultiLvlLbl val="0"/>
      </c:catAx>
      <c:valAx>
        <c:axId val="1524504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4510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6">
  <a:schemeClr val="accent3"/>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6">
  <a:schemeClr val="accent3"/>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BD6F9D63D08E4BAF6E1F5B63B79A63" ma:contentTypeVersion="0" ma:contentTypeDescription="Create a new document." ma:contentTypeScope="" ma:versionID="531f3999a8bc4e9bd00019eac574862b">
  <xsd:schema xmlns:xsd="http://www.w3.org/2001/XMLSchema" xmlns:xs="http://www.w3.org/2001/XMLSchema" xmlns:p="http://schemas.microsoft.com/office/2006/metadata/properties" targetNamespace="http://schemas.microsoft.com/office/2006/metadata/properties" ma:root="true" ma:fieldsID="6a03fbb4372eb4b5162d4edb9c11e29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311C2-0C94-4626-BC2E-A17DB3588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D1F9B42-D401-4F12-A1CA-87BD927D9479}">
  <ds:schemaRefs>
    <ds:schemaRef ds:uri="http://schemas.microsoft.com/sharepoint/v3/contenttype/forms"/>
  </ds:schemaRefs>
</ds:datastoreItem>
</file>

<file path=customXml/itemProps3.xml><?xml version="1.0" encoding="utf-8"?>
<ds:datastoreItem xmlns:ds="http://schemas.openxmlformats.org/officeDocument/2006/customXml" ds:itemID="{CD56B7CA-21F2-4CFF-8D93-8640DF9E7F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5AC151-0C09-428B-BBF1-ED924A6E547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48</Pages>
  <Words>11104</Words>
  <Characters>63295</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Fathimath Zaina</dc:creator>
  <cp:keywords/>
  <dc:description/>
  <cp:lastModifiedBy>James Boit</cp:lastModifiedBy>
  <cp:revision>2</cp:revision>
  <dcterms:created xsi:type="dcterms:W3CDTF">2026-01-07T08:36:00Z</dcterms:created>
  <dcterms:modified xsi:type="dcterms:W3CDTF">2026-01-07T08:36:00Z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0x0101002FBD6F9D63D08E4BAF6E1F5B63B79A63</vt:lpwstr>
  </property>
</Properties>
</file>