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customXml/itemProps1.xml" ContentType="application/vnd.openxmlformats-officedocument.customXmlProperties+xml"/>
  <Override PartName="/word/fontTable.xml" ContentType="application/vnd.openxmlformats-officedocument.wordprocessingml.fontTable+xml"/>
  <Override PartName="/docProps/app.xml" ContentType="application/vnd.openxmlformats-officedocument.extended-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EEE7CB1" w14:textId="2004FF7A" w:rsidR="00330B2F" w:rsidRDefault="00CB64F9" w:rsidP="008104AA">
      <w:pPr>
        <w:pBdr>
          <w:top w:val="single" w:sz="4" w:space="1" w:color="000000"/>
          <w:bottom w:val="single" w:sz="4" w:space="1" w:color="000000"/>
        </w:pBdr>
        <w:spacing w:after="0" w:line="240" w:lineRule="auto"/>
        <w:jc w:val="center"/>
        <w:rPr>
          <w:b/>
          <w:sz w:val="20"/>
          <w:szCs w:val="20"/>
        </w:rPr>
      </w:pPr>
      <w:bookmarkStart w:id="0" w:name="_GoBack"/>
      <w:bookmarkEnd w:id="0"/>
      <w:r>
        <w:rPr>
          <w:b/>
          <w:sz w:val="20"/>
          <w:szCs w:val="20"/>
        </w:rPr>
        <w:t xml:space="preserve"> SUBMISSION</w:t>
      </w:r>
      <w:bookmarkStart w:id="1" w:name="_heading=h.bm0ydeslioe0" w:colFirst="0" w:colLast="0"/>
      <w:bookmarkEnd w:id="1"/>
      <w:r w:rsidR="008104AA">
        <w:rPr>
          <w:b/>
          <w:sz w:val="20"/>
          <w:szCs w:val="20"/>
        </w:rPr>
        <w:t xml:space="preserve"> </w:t>
      </w:r>
      <w:r>
        <w:rPr>
          <w:b/>
          <w:sz w:val="20"/>
          <w:szCs w:val="20"/>
        </w:rPr>
        <w:t>FOR THE 91ST SESSION OF THE COMMITTEE ON THE RIGHTS OF THE CHILD</w:t>
      </w:r>
    </w:p>
    <w:p w14:paraId="4266EA74" w14:textId="4EAD5275" w:rsidR="00770050" w:rsidRDefault="00CB64F9" w:rsidP="008104AA">
      <w:pPr>
        <w:pBdr>
          <w:top w:val="single" w:sz="4" w:space="1" w:color="000000"/>
          <w:bottom w:val="single" w:sz="4" w:space="1" w:color="000000"/>
        </w:pBdr>
        <w:spacing w:after="0" w:line="240" w:lineRule="auto"/>
        <w:jc w:val="center"/>
        <w:rPr>
          <w:b/>
          <w:sz w:val="20"/>
          <w:szCs w:val="20"/>
        </w:rPr>
      </w:pPr>
      <w:r>
        <w:rPr>
          <w:b/>
          <w:sz w:val="20"/>
          <w:szCs w:val="20"/>
        </w:rPr>
        <w:t>15 August 2022</w:t>
      </w:r>
    </w:p>
    <w:p w14:paraId="013D49D3" w14:textId="77777777" w:rsidR="00770050" w:rsidRDefault="00770050">
      <w:pPr>
        <w:spacing w:after="0" w:line="240" w:lineRule="auto"/>
        <w:rPr>
          <w:b/>
          <w:sz w:val="20"/>
          <w:szCs w:val="20"/>
        </w:rPr>
      </w:pPr>
    </w:p>
    <w:p w14:paraId="2745C36C" w14:textId="77777777" w:rsidR="00330B2F" w:rsidRDefault="00CB64F9">
      <w:pPr>
        <w:spacing w:after="0" w:line="240" w:lineRule="auto"/>
        <w:rPr>
          <w:b/>
          <w:sz w:val="20"/>
          <w:szCs w:val="20"/>
        </w:rPr>
      </w:pPr>
      <w:r>
        <w:rPr>
          <w:b/>
          <w:sz w:val="20"/>
          <w:szCs w:val="20"/>
        </w:rPr>
        <w:t>Introduction</w:t>
      </w:r>
    </w:p>
    <w:p w14:paraId="3A66E0AD" w14:textId="77777777" w:rsidR="00330B2F" w:rsidRDefault="00330B2F">
      <w:pPr>
        <w:spacing w:after="0" w:line="240" w:lineRule="auto"/>
        <w:jc w:val="both"/>
        <w:rPr>
          <w:sz w:val="20"/>
          <w:szCs w:val="20"/>
        </w:rPr>
      </w:pPr>
    </w:p>
    <w:p w14:paraId="17C6150B" w14:textId="25A9B517" w:rsidR="00330B2F" w:rsidRDefault="00CB64F9">
      <w:pPr>
        <w:numPr>
          <w:ilvl w:val="0"/>
          <w:numId w:val="16"/>
        </w:numPr>
        <w:pBdr>
          <w:top w:val="nil"/>
          <w:left w:val="nil"/>
          <w:bottom w:val="nil"/>
          <w:right w:val="nil"/>
          <w:between w:val="nil"/>
        </w:pBdr>
        <w:spacing w:after="0" w:line="240" w:lineRule="auto"/>
        <w:jc w:val="both"/>
        <w:rPr>
          <w:color w:val="000000"/>
          <w:sz w:val="20"/>
          <w:szCs w:val="20"/>
        </w:rPr>
      </w:pPr>
      <w:r>
        <w:rPr>
          <w:color w:val="000000"/>
          <w:sz w:val="20"/>
          <w:szCs w:val="20"/>
        </w:rPr>
        <w:t xml:space="preserve">The Commission on Human Rights of the Philippines (hereinafter </w:t>
      </w:r>
      <w:r>
        <w:rPr>
          <w:sz w:val="20"/>
          <w:szCs w:val="20"/>
        </w:rPr>
        <w:t>“</w:t>
      </w:r>
      <w:r>
        <w:rPr>
          <w:color w:val="000000"/>
          <w:sz w:val="20"/>
          <w:szCs w:val="20"/>
        </w:rPr>
        <w:t>the Commission</w:t>
      </w:r>
      <w:r>
        <w:rPr>
          <w:sz w:val="20"/>
          <w:szCs w:val="20"/>
        </w:rPr>
        <w:t>”</w:t>
      </w:r>
      <w:r>
        <w:rPr>
          <w:color w:val="000000"/>
          <w:sz w:val="20"/>
          <w:szCs w:val="20"/>
        </w:rPr>
        <w:t>)</w:t>
      </w:r>
      <w:r w:rsidR="008104AA">
        <w:rPr>
          <w:color w:val="000000"/>
          <w:sz w:val="20"/>
          <w:szCs w:val="20"/>
        </w:rPr>
        <w:t>,</w:t>
      </w:r>
      <w:r>
        <w:rPr>
          <w:color w:val="000000"/>
          <w:sz w:val="20"/>
          <w:szCs w:val="20"/>
          <w:vertAlign w:val="superscript"/>
        </w:rPr>
        <w:footnoteReference w:id="1"/>
      </w:r>
      <w:r>
        <w:rPr>
          <w:sz w:val="20"/>
          <w:szCs w:val="20"/>
        </w:rPr>
        <w:t xml:space="preserve"> </w:t>
      </w:r>
      <w:r>
        <w:rPr>
          <w:color w:val="000000"/>
          <w:sz w:val="20"/>
          <w:szCs w:val="20"/>
        </w:rPr>
        <w:t xml:space="preserve">submits </w:t>
      </w:r>
      <w:r>
        <w:rPr>
          <w:sz w:val="20"/>
          <w:szCs w:val="20"/>
        </w:rPr>
        <w:t>this</w:t>
      </w:r>
      <w:r>
        <w:rPr>
          <w:color w:val="000000"/>
          <w:sz w:val="20"/>
          <w:szCs w:val="20"/>
        </w:rPr>
        <w:t xml:space="preserve"> report to the Committee on the Rights of the Child (CRC)</w:t>
      </w:r>
      <w:r>
        <w:rPr>
          <w:sz w:val="20"/>
          <w:szCs w:val="20"/>
        </w:rPr>
        <w:t xml:space="preserve"> for consideration during the review of the State report of the Philippines at its </w:t>
      </w:r>
      <w:r>
        <w:rPr>
          <w:color w:val="000000"/>
          <w:sz w:val="20"/>
          <w:szCs w:val="20"/>
        </w:rPr>
        <w:t>91</w:t>
      </w:r>
      <w:r>
        <w:rPr>
          <w:color w:val="000000"/>
          <w:sz w:val="20"/>
          <w:szCs w:val="20"/>
          <w:vertAlign w:val="superscript"/>
        </w:rPr>
        <w:t>st</w:t>
      </w:r>
      <w:r>
        <w:rPr>
          <w:color w:val="000000"/>
          <w:sz w:val="20"/>
          <w:szCs w:val="20"/>
        </w:rPr>
        <w:t xml:space="preserve"> session from 29 August to 23 September 2022.</w:t>
      </w:r>
    </w:p>
    <w:p w14:paraId="25220E08" w14:textId="77777777" w:rsidR="00330B2F" w:rsidRDefault="00330B2F">
      <w:pPr>
        <w:pBdr>
          <w:top w:val="nil"/>
          <w:left w:val="nil"/>
          <w:bottom w:val="nil"/>
          <w:right w:val="nil"/>
          <w:between w:val="nil"/>
        </w:pBdr>
        <w:spacing w:after="0" w:line="240" w:lineRule="auto"/>
        <w:ind w:left="720"/>
        <w:jc w:val="both"/>
        <w:rPr>
          <w:color w:val="000000"/>
          <w:sz w:val="20"/>
          <w:szCs w:val="20"/>
        </w:rPr>
      </w:pPr>
    </w:p>
    <w:p w14:paraId="268103E0" w14:textId="77777777" w:rsidR="00330B2F" w:rsidRDefault="00CB64F9">
      <w:pPr>
        <w:numPr>
          <w:ilvl w:val="0"/>
          <w:numId w:val="16"/>
        </w:numPr>
        <w:pBdr>
          <w:top w:val="nil"/>
          <w:left w:val="nil"/>
          <w:bottom w:val="nil"/>
          <w:right w:val="nil"/>
          <w:between w:val="nil"/>
        </w:pBdr>
        <w:spacing w:after="0" w:line="240" w:lineRule="auto"/>
        <w:jc w:val="both"/>
        <w:rPr>
          <w:color w:val="000000"/>
          <w:sz w:val="20"/>
          <w:szCs w:val="20"/>
        </w:rPr>
      </w:pPr>
      <w:r>
        <w:rPr>
          <w:color w:val="000000"/>
          <w:sz w:val="20"/>
          <w:szCs w:val="20"/>
        </w:rPr>
        <w:t>The Commission submitted an independent report on 1 March 2020 for consider</w:t>
      </w:r>
      <w:r>
        <w:rPr>
          <w:sz w:val="20"/>
          <w:szCs w:val="20"/>
        </w:rPr>
        <w:t>ation by the CRC during</w:t>
      </w:r>
      <w:r>
        <w:rPr>
          <w:color w:val="000000"/>
          <w:sz w:val="20"/>
          <w:szCs w:val="20"/>
        </w:rPr>
        <w:t xml:space="preserve"> </w:t>
      </w:r>
      <w:r>
        <w:rPr>
          <w:sz w:val="20"/>
          <w:szCs w:val="20"/>
        </w:rPr>
        <w:t>its</w:t>
      </w:r>
      <w:r>
        <w:rPr>
          <w:color w:val="000000"/>
          <w:sz w:val="20"/>
          <w:szCs w:val="20"/>
        </w:rPr>
        <w:t xml:space="preserve"> 87</w:t>
      </w:r>
      <w:r>
        <w:rPr>
          <w:color w:val="000000"/>
          <w:sz w:val="20"/>
          <w:szCs w:val="20"/>
          <w:vertAlign w:val="superscript"/>
        </w:rPr>
        <w:t>th</w:t>
      </w:r>
      <w:r>
        <w:rPr>
          <w:color w:val="000000"/>
          <w:sz w:val="20"/>
          <w:szCs w:val="20"/>
        </w:rPr>
        <w:t xml:space="preserve"> Pre-Sessional Working Group (PSWG), originally scheduled in June 2020. Following the postponement of the PSWG to September</w:t>
      </w:r>
      <w:r>
        <w:rPr>
          <w:sz w:val="20"/>
          <w:szCs w:val="20"/>
        </w:rPr>
        <w:t>-</w:t>
      </w:r>
      <w:r>
        <w:rPr>
          <w:color w:val="000000"/>
          <w:sz w:val="20"/>
          <w:szCs w:val="20"/>
        </w:rPr>
        <w:t>October 2020</w:t>
      </w:r>
      <w:r>
        <w:rPr>
          <w:sz w:val="20"/>
          <w:szCs w:val="20"/>
        </w:rPr>
        <w:t>, and the subsequent call by the</w:t>
      </w:r>
      <w:r>
        <w:rPr>
          <w:color w:val="000000"/>
          <w:sz w:val="20"/>
          <w:szCs w:val="20"/>
        </w:rPr>
        <w:t xml:space="preserve"> CRC for additional and updated information from stakehol</w:t>
      </w:r>
      <w:r>
        <w:rPr>
          <w:sz w:val="20"/>
          <w:szCs w:val="20"/>
        </w:rPr>
        <w:t>ders,</w:t>
      </w:r>
      <w:r>
        <w:rPr>
          <w:color w:val="000000"/>
          <w:sz w:val="20"/>
          <w:szCs w:val="20"/>
        </w:rPr>
        <w:t xml:space="preserve"> the Commission submitted additional </w:t>
      </w:r>
      <w:r>
        <w:rPr>
          <w:sz w:val="20"/>
          <w:szCs w:val="20"/>
        </w:rPr>
        <w:t>inputs</w:t>
      </w:r>
      <w:r>
        <w:rPr>
          <w:color w:val="000000"/>
          <w:sz w:val="20"/>
          <w:szCs w:val="20"/>
        </w:rPr>
        <w:t xml:space="preserve"> on 30 July 2020, covering the period of </w:t>
      </w:r>
      <w:r w:rsidRPr="008104AA">
        <w:rPr>
          <w:color w:val="000000"/>
          <w:sz w:val="20"/>
          <w:szCs w:val="20"/>
        </w:rPr>
        <w:t>18 March to 26 June 2020</w:t>
      </w:r>
      <w:r>
        <w:rPr>
          <w:sz w:val="20"/>
          <w:szCs w:val="20"/>
        </w:rPr>
        <w:t xml:space="preserve"> and</w:t>
      </w:r>
      <w:r>
        <w:rPr>
          <w:color w:val="000000"/>
          <w:sz w:val="20"/>
          <w:szCs w:val="20"/>
        </w:rPr>
        <w:t xml:space="preserve"> highlight</w:t>
      </w:r>
      <w:r>
        <w:rPr>
          <w:sz w:val="20"/>
          <w:szCs w:val="20"/>
        </w:rPr>
        <w:t>ing</w:t>
      </w:r>
      <w:r>
        <w:rPr>
          <w:color w:val="000000"/>
          <w:sz w:val="20"/>
          <w:szCs w:val="20"/>
        </w:rPr>
        <w:t xml:space="preserve"> </w:t>
      </w:r>
      <w:r>
        <w:rPr>
          <w:sz w:val="20"/>
          <w:szCs w:val="20"/>
        </w:rPr>
        <w:t>the</w:t>
      </w:r>
      <w:r>
        <w:rPr>
          <w:color w:val="000000"/>
          <w:sz w:val="20"/>
          <w:szCs w:val="20"/>
        </w:rPr>
        <w:t xml:space="preserve"> situation of children in the Philippines during the COVID-19 pandemic.</w:t>
      </w:r>
    </w:p>
    <w:p w14:paraId="3E7E8057" w14:textId="77777777" w:rsidR="00330B2F" w:rsidRDefault="00330B2F">
      <w:pPr>
        <w:pBdr>
          <w:top w:val="nil"/>
          <w:left w:val="nil"/>
          <w:bottom w:val="nil"/>
          <w:right w:val="nil"/>
          <w:between w:val="nil"/>
        </w:pBdr>
        <w:spacing w:after="0" w:line="240" w:lineRule="auto"/>
        <w:ind w:left="720"/>
        <w:rPr>
          <w:color w:val="000000"/>
          <w:sz w:val="20"/>
          <w:szCs w:val="20"/>
        </w:rPr>
      </w:pPr>
    </w:p>
    <w:p w14:paraId="160E6CE3" w14:textId="77777777" w:rsidR="00330B2F" w:rsidRDefault="00CB64F9">
      <w:pPr>
        <w:numPr>
          <w:ilvl w:val="0"/>
          <w:numId w:val="16"/>
        </w:numPr>
        <w:pBdr>
          <w:top w:val="nil"/>
          <w:left w:val="nil"/>
          <w:bottom w:val="nil"/>
          <w:right w:val="nil"/>
          <w:between w:val="nil"/>
        </w:pBdr>
        <w:spacing w:after="0" w:line="240" w:lineRule="auto"/>
        <w:jc w:val="both"/>
        <w:rPr>
          <w:color w:val="000000"/>
          <w:sz w:val="20"/>
          <w:szCs w:val="20"/>
        </w:rPr>
      </w:pPr>
      <w:bookmarkStart w:id="2" w:name="_heading=h.gjdgxs" w:colFirst="0" w:colLast="0"/>
      <w:bookmarkEnd w:id="2"/>
      <w:r>
        <w:rPr>
          <w:color w:val="000000"/>
          <w:sz w:val="20"/>
          <w:szCs w:val="20"/>
        </w:rPr>
        <w:t xml:space="preserve">This </w:t>
      </w:r>
      <w:r>
        <w:rPr>
          <w:sz w:val="20"/>
          <w:szCs w:val="20"/>
        </w:rPr>
        <w:t>report contains additional and updated information covering the period of August 2020 to July 2022 and resulting from the Commission’s regular monitoring activities, including the series of consultations conducted all over the country. It includes findings of gaps and lapses in the delivery of services and compliance with domestic laws and the United Nations Convention on the Rights of the Child (UNCRC) and concerns and issues faced by children that manifest in various everyday situations. It aims to reiterate the Commission’s recommendations and stand on existing and emerging issues affecting the least consulted, disadvantaged, marginalized, and vulnerable Filipino children.</w:t>
      </w:r>
    </w:p>
    <w:p w14:paraId="42740DCB" w14:textId="77777777" w:rsidR="00330B2F" w:rsidRDefault="00330B2F">
      <w:pPr>
        <w:pBdr>
          <w:top w:val="nil"/>
          <w:left w:val="nil"/>
          <w:bottom w:val="nil"/>
          <w:right w:val="nil"/>
          <w:between w:val="nil"/>
        </w:pBdr>
        <w:spacing w:after="0" w:line="240" w:lineRule="auto"/>
        <w:ind w:left="720"/>
        <w:jc w:val="both"/>
        <w:rPr>
          <w:sz w:val="20"/>
          <w:szCs w:val="20"/>
        </w:rPr>
      </w:pPr>
    </w:p>
    <w:p w14:paraId="7941E99A" w14:textId="77777777" w:rsidR="00330B2F" w:rsidRDefault="00CB64F9">
      <w:pPr>
        <w:numPr>
          <w:ilvl w:val="0"/>
          <w:numId w:val="16"/>
        </w:numPr>
        <w:pBdr>
          <w:top w:val="nil"/>
          <w:left w:val="nil"/>
          <w:bottom w:val="nil"/>
          <w:right w:val="nil"/>
          <w:between w:val="nil"/>
        </w:pBdr>
        <w:spacing w:after="0" w:line="240" w:lineRule="auto"/>
        <w:jc w:val="both"/>
        <w:rPr>
          <w:sz w:val="20"/>
          <w:szCs w:val="20"/>
        </w:rPr>
      </w:pPr>
      <w:r>
        <w:rPr>
          <w:sz w:val="20"/>
          <w:szCs w:val="20"/>
        </w:rPr>
        <w:t>Specifically, this report covers the following areas of concern:</w:t>
      </w:r>
    </w:p>
    <w:p w14:paraId="70ABB65F" w14:textId="77777777" w:rsidR="00330B2F" w:rsidRDefault="00CB64F9">
      <w:pPr>
        <w:numPr>
          <w:ilvl w:val="0"/>
          <w:numId w:val="12"/>
        </w:numPr>
        <w:pBdr>
          <w:top w:val="nil"/>
          <w:left w:val="nil"/>
          <w:bottom w:val="nil"/>
          <w:right w:val="nil"/>
          <w:between w:val="nil"/>
        </w:pBdr>
        <w:spacing w:after="0" w:line="240" w:lineRule="auto"/>
        <w:jc w:val="both"/>
        <w:rPr>
          <w:sz w:val="20"/>
          <w:szCs w:val="20"/>
        </w:rPr>
      </w:pPr>
      <w:r>
        <w:rPr>
          <w:sz w:val="20"/>
          <w:szCs w:val="20"/>
        </w:rPr>
        <w:t>Children in conflict with the law</w:t>
      </w:r>
      <w:r>
        <w:rPr>
          <w:sz w:val="20"/>
          <w:szCs w:val="20"/>
          <w:vertAlign w:val="superscript"/>
        </w:rPr>
        <w:footnoteReference w:id="2"/>
      </w:r>
      <w:r>
        <w:rPr>
          <w:sz w:val="20"/>
          <w:szCs w:val="20"/>
        </w:rPr>
        <w:t>/children deprived of liberty</w:t>
      </w:r>
      <w:r>
        <w:rPr>
          <w:sz w:val="20"/>
          <w:szCs w:val="20"/>
          <w:vertAlign w:val="superscript"/>
        </w:rPr>
        <w:footnoteReference w:id="3"/>
      </w:r>
      <w:r>
        <w:rPr>
          <w:sz w:val="20"/>
          <w:szCs w:val="20"/>
        </w:rPr>
        <w:t xml:space="preserve"> (CICL/CDL);</w:t>
      </w:r>
    </w:p>
    <w:p w14:paraId="06805D6A" w14:textId="77777777" w:rsidR="00330B2F" w:rsidRDefault="00CB64F9">
      <w:pPr>
        <w:numPr>
          <w:ilvl w:val="0"/>
          <w:numId w:val="12"/>
        </w:numPr>
        <w:shd w:val="clear" w:color="auto" w:fill="FFFFFF"/>
        <w:spacing w:after="0" w:line="240" w:lineRule="auto"/>
        <w:rPr>
          <w:sz w:val="20"/>
          <w:szCs w:val="20"/>
        </w:rPr>
      </w:pPr>
      <w:r>
        <w:rPr>
          <w:sz w:val="20"/>
          <w:szCs w:val="20"/>
        </w:rPr>
        <w:t>Right to education;</w:t>
      </w:r>
    </w:p>
    <w:p w14:paraId="058C6B93" w14:textId="77777777" w:rsidR="00330B2F" w:rsidRDefault="00CB64F9">
      <w:pPr>
        <w:numPr>
          <w:ilvl w:val="0"/>
          <w:numId w:val="12"/>
        </w:numPr>
        <w:shd w:val="clear" w:color="auto" w:fill="FFFFFF"/>
        <w:spacing w:after="0" w:line="240" w:lineRule="auto"/>
        <w:rPr>
          <w:sz w:val="20"/>
          <w:szCs w:val="20"/>
        </w:rPr>
      </w:pPr>
      <w:r>
        <w:rPr>
          <w:sz w:val="20"/>
          <w:szCs w:val="20"/>
        </w:rPr>
        <w:t>Emerging child protection issues particularly children in situations of armed conflict (CSAC) and lesbian, gay, bisexual, transgender, queer and intersex (LGBTQI) children or children with diverse sexual orientation, gender identity and expression (SOGIE); and</w:t>
      </w:r>
    </w:p>
    <w:p w14:paraId="7707A57D" w14:textId="77777777" w:rsidR="00330B2F" w:rsidRDefault="00CB64F9">
      <w:pPr>
        <w:numPr>
          <w:ilvl w:val="0"/>
          <w:numId w:val="12"/>
        </w:numPr>
        <w:shd w:val="clear" w:color="auto" w:fill="FFFFFF"/>
        <w:spacing w:after="0" w:line="240" w:lineRule="auto"/>
        <w:rPr>
          <w:sz w:val="20"/>
          <w:szCs w:val="20"/>
        </w:rPr>
      </w:pPr>
      <w:r>
        <w:rPr>
          <w:sz w:val="20"/>
          <w:szCs w:val="20"/>
        </w:rPr>
        <w:t>Child-related laws and legislative measures (pending bills and newly enacted laws)</w:t>
      </w:r>
    </w:p>
    <w:p w14:paraId="7B64AA5C" w14:textId="77777777" w:rsidR="00330B2F" w:rsidRDefault="00330B2F">
      <w:pPr>
        <w:shd w:val="clear" w:color="auto" w:fill="FFFFFF"/>
        <w:spacing w:after="0" w:line="240" w:lineRule="auto"/>
        <w:rPr>
          <w:sz w:val="20"/>
          <w:szCs w:val="20"/>
        </w:rPr>
      </w:pPr>
    </w:p>
    <w:p w14:paraId="5FE898A9" w14:textId="77777777" w:rsidR="00330B2F" w:rsidRDefault="00CB64F9">
      <w:pPr>
        <w:shd w:val="clear" w:color="auto" w:fill="FFFFFF"/>
        <w:spacing w:after="0" w:line="240" w:lineRule="auto"/>
        <w:rPr>
          <w:b/>
          <w:sz w:val="20"/>
          <w:szCs w:val="20"/>
        </w:rPr>
      </w:pPr>
      <w:r>
        <w:rPr>
          <w:b/>
          <w:sz w:val="20"/>
          <w:szCs w:val="20"/>
        </w:rPr>
        <w:t>Children in Conflict with the Law/Children Deprived of Liberty (CICL/CDL)</w:t>
      </w:r>
    </w:p>
    <w:p w14:paraId="7935745E" w14:textId="77777777" w:rsidR="00330B2F" w:rsidRDefault="00330B2F">
      <w:pPr>
        <w:shd w:val="clear" w:color="auto" w:fill="FFFFFF"/>
        <w:spacing w:after="0" w:line="240" w:lineRule="auto"/>
        <w:rPr>
          <w:b/>
          <w:sz w:val="20"/>
          <w:szCs w:val="20"/>
        </w:rPr>
      </w:pPr>
    </w:p>
    <w:p w14:paraId="12BE2659" w14:textId="77777777" w:rsidR="00330B2F" w:rsidRDefault="00CB64F9">
      <w:pPr>
        <w:numPr>
          <w:ilvl w:val="0"/>
          <w:numId w:val="16"/>
        </w:numPr>
        <w:spacing w:after="0" w:line="240" w:lineRule="auto"/>
        <w:jc w:val="both"/>
        <w:rPr>
          <w:sz w:val="20"/>
          <w:szCs w:val="20"/>
        </w:rPr>
      </w:pPr>
      <w:r>
        <w:rPr>
          <w:sz w:val="20"/>
          <w:szCs w:val="20"/>
        </w:rPr>
        <w:t xml:space="preserve">The issue of low compliance by local government units of its legally mandated responsibility to establish </w:t>
      </w:r>
      <w:proofErr w:type="spellStart"/>
      <w:r>
        <w:rPr>
          <w:sz w:val="20"/>
          <w:szCs w:val="20"/>
        </w:rPr>
        <w:t>Bahay</w:t>
      </w:r>
      <w:proofErr w:type="spellEnd"/>
      <w:r>
        <w:rPr>
          <w:sz w:val="20"/>
          <w:szCs w:val="20"/>
        </w:rPr>
        <w:t xml:space="preserve"> </w:t>
      </w:r>
      <w:proofErr w:type="spellStart"/>
      <w:r>
        <w:rPr>
          <w:sz w:val="20"/>
          <w:szCs w:val="20"/>
        </w:rPr>
        <w:t>Pag-asa</w:t>
      </w:r>
      <w:proofErr w:type="spellEnd"/>
      <w:r>
        <w:rPr>
          <w:sz w:val="20"/>
          <w:szCs w:val="20"/>
        </w:rPr>
        <w:t xml:space="preserve"> facilities (BPAs)</w:t>
      </w:r>
      <w:r>
        <w:rPr>
          <w:sz w:val="20"/>
          <w:szCs w:val="20"/>
          <w:vertAlign w:val="superscript"/>
        </w:rPr>
        <w:footnoteReference w:id="4"/>
      </w:r>
      <w:r>
        <w:rPr>
          <w:sz w:val="20"/>
          <w:szCs w:val="20"/>
        </w:rPr>
        <w:t xml:space="preserve"> continues to date. T</w:t>
      </w:r>
      <w:r>
        <w:rPr>
          <w:color w:val="000000"/>
          <w:sz w:val="20"/>
          <w:szCs w:val="20"/>
        </w:rPr>
        <w:t xml:space="preserve">he Juvenile Justice and Welfare </w:t>
      </w:r>
      <w:r>
        <w:rPr>
          <w:color w:val="000000"/>
          <w:sz w:val="20"/>
          <w:szCs w:val="20"/>
        </w:rPr>
        <w:lastRenderedPageBreak/>
        <w:t>Council (JJWC)</w:t>
      </w:r>
      <w:r>
        <w:rPr>
          <w:sz w:val="20"/>
          <w:szCs w:val="20"/>
          <w:vertAlign w:val="superscript"/>
        </w:rPr>
        <w:footnoteReference w:id="5"/>
      </w:r>
      <w:r>
        <w:rPr>
          <w:sz w:val="20"/>
          <w:szCs w:val="20"/>
        </w:rPr>
        <w:t xml:space="preserve"> reported that</w:t>
      </w:r>
      <w:r>
        <w:rPr>
          <w:color w:val="000000"/>
          <w:sz w:val="20"/>
          <w:szCs w:val="20"/>
        </w:rPr>
        <w:t xml:space="preserve"> there are only 66 operational BPAs</w:t>
      </w:r>
      <w:r>
        <w:rPr>
          <w:sz w:val="20"/>
          <w:szCs w:val="20"/>
        </w:rPr>
        <w:t xml:space="preserve"> </w:t>
      </w:r>
      <w:r>
        <w:rPr>
          <w:color w:val="000000"/>
          <w:sz w:val="20"/>
          <w:szCs w:val="20"/>
        </w:rPr>
        <w:t>(58% of the 114 target</w:t>
      </w:r>
      <w:r>
        <w:rPr>
          <w:sz w:val="20"/>
          <w:szCs w:val="20"/>
        </w:rPr>
        <w:t>)</w:t>
      </w:r>
      <w:r>
        <w:rPr>
          <w:color w:val="000000"/>
          <w:sz w:val="20"/>
          <w:szCs w:val="20"/>
        </w:rPr>
        <w:t xml:space="preserve"> and only 20 BPAs (or 30%) are accredited by the Department of Social Welfare and Development (DSWD).</w:t>
      </w:r>
      <w:r>
        <w:rPr>
          <w:color w:val="000000"/>
          <w:sz w:val="20"/>
          <w:szCs w:val="20"/>
          <w:vertAlign w:val="superscript"/>
        </w:rPr>
        <w:footnoteReference w:id="6"/>
      </w:r>
    </w:p>
    <w:p w14:paraId="23D1E2E6" w14:textId="77777777" w:rsidR="00330B2F" w:rsidRDefault="00CB64F9">
      <w:pPr>
        <w:pBdr>
          <w:top w:val="nil"/>
          <w:left w:val="nil"/>
          <w:bottom w:val="nil"/>
          <w:right w:val="nil"/>
          <w:between w:val="nil"/>
        </w:pBdr>
        <w:shd w:val="clear" w:color="auto" w:fill="FFFFFF"/>
        <w:spacing w:after="0" w:line="240" w:lineRule="auto"/>
        <w:jc w:val="both"/>
        <w:rPr>
          <w:color w:val="000000"/>
          <w:sz w:val="20"/>
          <w:szCs w:val="20"/>
        </w:rPr>
      </w:pPr>
      <w:r>
        <w:rPr>
          <w:color w:val="000000"/>
          <w:sz w:val="20"/>
          <w:szCs w:val="20"/>
        </w:rPr>
        <w:t xml:space="preserve"> </w:t>
      </w:r>
    </w:p>
    <w:p w14:paraId="45FA5EBB" w14:textId="77777777" w:rsidR="00330B2F" w:rsidRDefault="00CB64F9">
      <w:pPr>
        <w:numPr>
          <w:ilvl w:val="0"/>
          <w:numId w:val="16"/>
        </w:numPr>
        <w:spacing w:after="0" w:line="240" w:lineRule="auto"/>
        <w:jc w:val="both"/>
        <w:rPr>
          <w:sz w:val="20"/>
          <w:szCs w:val="20"/>
        </w:rPr>
      </w:pPr>
      <w:r>
        <w:rPr>
          <w:sz w:val="20"/>
          <w:szCs w:val="20"/>
        </w:rPr>
        <w:t>The national government’s Comprehensive National Juvenile Intervention Program (CNJIP) 2018-2022 is due for evaluation. The CNJIP is a multisectoral and interagency response plan of the Philippine government, its partner agencies, and the civil society. It aims to reduce the number of new cases of child at risk</w:t>
      </w:r>
      <w:r>
        <w:rPr>
          <w:sz w:val="20"/>
          <w:szCs w:val="20"/>
          <w:vertAlign w:val="superscript"/>
        </w:rPr>
        <w:footnoteReference w:id="7"/>
      </w:r>
      <w:r>
        <w:rPr>
          <w:sz w:val="20"/>
          <w:szCs w:val="20"/>
        </w:rPr>
        <w:t xml:space="preserve"> (CAR) and rehabilitating and reintegrating CICLs into their families and communities.</w:t>
      </w:r>
      <w:r>
        <w:rPr>
          <w:sz w:val="20"/>
          <w:szCs w:val="20"/>
          <w:vertAlign w:val="superscript"/>
        </w:rPr>
        <w:footnoteReference w:id="8"/>
      </w:r>
    </w:p>
    <w:p w14:paraId="31110938" w14:textId="77777777" w:rsidR="00330B2F" w:rsidRDefault="00330B2F">
      <w:pPr>
        <w:spacing w:after="0" w:line="240" w:lineRule="auto"/>
        <w:ind w:left="720"/>
        <w:jc w:val="both"/>
        <w:rPr>
          <w:sz w:val="20"/>
          <w:szCs w:val="20"/>
        </w:rPr>
      </w:pPr>
    </w:p>
    <w:p w14:paraId="759B88A6" w14:textId="77777777" w:rsidR="00330B2F" w:rsidRDefault="00CB64F9">
      <w:pPr>
        <w:numPr>
          <w:ilvl w:val="0"/>
          <w:numId w:val="16"/>
        </w:numPr>
        <w:spacing w:after="0" w:line="240" w:lineRule="auto"/>
        <w:jc w:val="both"/>
        <w:rPr>
          <w:sz w:val="20"/>
          <w:szCs w:val="20"/>
        </w:rPr>
      </w:pPr>
      <w:r>
        <w:rPr>
          <w:sz w:val="20"/>
          <w:szCs w:val="20"/>
        </w:rPr>
        <w:t>The Commission, as a member of the Regional Juvenile Justice Welfare Councils</w:t>
      </w:r>
      <w:r>
        <w:rPr>
          <w:sz w:val="20"/>
          <w:szCs w:val="20"/>
          <w:vertAlign w:val="superscript"/>
        </w:rPr>
        <w:footnoteReference w:id="9"/>
      </w:r>
      <w:r>
        <w:rPr>
          <w:sz w:val="20"/>
          <w:szCs w:val="20"/>
        </w:rPr>
        <w:t xml:space="preserve"> and in accordance with its role as </w:t>
      </w:r>
      <w:r w:rsidR="00560B21">
        <w:rPr>
          <w:sz w:val="20"/>
          <w:szCs w:val="20"/>
        </w:rPr>
        <w:t>NHRI, monitors</w:t>
      </w:r>
      <w:r>
        <w:rPr>
          <w:sz w:val="20"/>
          <w:szCs w:val="20"/>
        </w:rPr>
        <w:t xml:space="preserve"> the situation of CICLs in jails and BPAs. Amid the COVID-19 pandemic, the Commission visited these facilities to assess the living conditions of the residents using the BPA monitoring tool during the visits in 2020 and a self-assessment tool during the visits in 2022 and despite the restrictions on physical monitoring due to public health concerns.</w:t>
      </w:r>
      <w:r>
        <w:rPr>
          <w:sz w:val="20"/>
          <w:szCs w:val="20"/>
          <w:vertAlign w:val="superscript"/>
        </w:rPr>
        <w:footnoteReference w:id="10"/>
      </w:r>
      <w:r>
        <w:rPr>
          <w:sz w:val="20"/>
          <w:szCs w:val="20"/>
        </w:rPr>
        <w:t xml:space="preserve"> During these visits, the Commission documented the following issues and incidents:</w:t>
      </w:r>
    </w:p>
    <w:p w14:paraId="6AD64A4E" w14:textId="77777777" w:rsidR="00330B2F" w:rsidRDefault="00330B2F">
      <w:pPr>
        <w:spacing w:after="0" w:line="240" w:lineRule="auto"/>
        <w:ind w:left="1440"/>
        <w:jc w:val="both"/>
        <w:rPr>
          <w:sz w:val="20"/>
          <w:szCs w:val="20"/>
        </w:rPr>
      </w:pPr>
    </w:p>
    <w:p w14:paraId="39ED71DF" w14:textId="77777777" w:rsidR="00330B2F" w:rsidRDefault="00CB64F9">
      <w:pPr>
        <w:numPr>
          <w:ilvl w:val="0"/>
          <w:numId w:val="15"/>
        </w:numPr>
        <w:spacing w:after="0" w:line="240" w:lineRule="auto"/>
        <w:jc w:val="both"/>
        <w:rPr>
          <w:sz w:val="20"/>
          <w:szCs w:val="20"/>
        </w:rPr>
      </w:pPr>
      <w:r>
        <w:rPr>
          <w:sz w:val="20"/>
          <w:szCs w:val="20"/>
        </w:rPr>
        <w:t>There was difficulty in scheduling court hearings. This resulted in very slow case disposition to the detriment of the welfare of children concerned</w:t>
      </w:r>
      <w:r>
        <w:rPr>
          <w:sz w:val="20"/>
          <w:szCs w:val="20"/>
          <w:vertAlign w:val="superscript"/>
        </w:rPr>
        <w:footnoteReference w:id="11"/>
      </w:r>
      <w:r>
        <w:rPr>
          <w:sz w:val="20"/>
          <w:szCs w:val="20"/>
        </w:rPr>
        <w:t>.</w:t>
      </w:r>
    </w:p>
    <w:p w14:paraId="65364244" w14:textId="77777777" w:rsidR="00330B2F" w:rsidRDefault="00330B2F">
      <w:pPr>
        <w:spacing w:after="0" w:line="240" w:lineRule="auto"/>
        <w:ind w:left="1440"/>
        <w:jc w:val="both"/>
        <w:rPr>
          <w:sz w:val="20"/>
          <w:szCs w:val="20"/>
        </w:rPr>
      </w:pPr>
    </w:p>
    <w:p w14:paraId="6D9904C4" w14:textId="77777777" w:rsidR="00330B2F" w:rsidRDefault="00CB64F9">
      <w:pPr>
        <w:numPr>
          <w:ilvl w:val="0"/>
          <w:numId w:val="15"/>
        </w:numPr>
        <w:spacing w:after="0" w:line="240" w:lineRule="auto"/>
        <w:jc w:val="both"/>
        <w:rPr>
          <w:sz w:val="20"/>
          <w:szCs w:val="20"/>
        </w:rPr>
      </w:pPr>
      <w:r>
        <w:rPr>
          <w:sz w:val="20"/>
          <w:szCs w:val="20"/>
        </w:rPr>
        <w:t>Since most of the court hearings were conducted virtually</w:t>
      </w:r>
      <w:r>
        <w:rPr>
          <w:sz w:val="20"/>
          <w:szCs w:val="20"/>
          <w:vertAlign w:val="superscript"/>
        </w:rPr>
        <w:footnoteReference w:id="12"/>
      </w:r>
      <w:r>
        <w:rPr>
          <w:sz w:val="20"/>
          <w:szCs w:val="20"/>
        </w:rPr>
        <w:t>, many hearings were postponed due to slow internet connection.</w:t>
      </w:r>
      <w:r>
        <w:rPr>
          <w:sz w:val="20"/>
          <w:szCs w:val="20"/>
          <w:vertAlign w:val="superscript"/>
        </w:rPr>
        <w:footnoteReference w:id="13"/>
      </w:r>
    </w:p>
    <w:p w14:paraId="2258B9C8" w14:textId="77777777" w:rsidR="00330B2F" w:rsidRDefault="00330B2F">
      <w:pPr>
        <w:spacing w:after="0" w:line="240" w:lineRule="auto"/>
        <w:ind w:left="1440"/>
        <w:jc w:val="both"/>
        <w:rPr>
          <w:sz w:val="20"/>
          <w:szCs w:val="20"/>
        </w:rPr>
      </w:pPr>
    </w:p>
    <w:p w14:paraId="40DBFAC2" w14:textId="77777777" w:rsidR="00330B2F" w:rsidRDefault="00CB64F9">
      <w:pPr>
        <w:numPr>
          <w:ilvl w:val="0"/>
          <w:numId w:val="15"/>
        </w:numPr>
        <w:spacing w:after="0" w:line="240" w:lineRule="auto"/>
        <w:jc w:val="both"/>
        <w:rPr>
          <w:sz w:val="20"/>
          <w:szCs w:val="20"/>
        </w:rPr>
      </w:pPr>
      <w:r>
        <w:rPr>
          <w:sz w:val="20"/>
          <w:szCs w:val="20"/>
        </w:rPr>
        <w:t>There were not enough family courts and qualified judges to handle family court cases. This caused delays in court proceedings involving CICLs.</w:t>
      </w:r>
      <w:r>
        <w:rPr>
          <w:sz w:val="20"/>
          <w:szCs w:val="20"/>
          <w:vertAlign w:val="superscript"/>
        </w:rPr>
        <w:footnoteReference w:id="14"/>
      </w:r>
    </w:p>
    <w:p w14:paraId="522FBACB" w14:textId="77777777" w:rsidR="00330B2F" w:rsidRDefault="00330B2F">
      <w:pPr>
        <w:spacing w:after="0" w:line="240" w:lineRule="auto"/>
        <w:jc w:val="both"/>
        <w:rPr>
          <w:sz w:val="20"/>
          <w:szCs w:val="20"/>
        </w:rPr>
      </w:pPr>
    </w:p>
    <w:p w14:paraId="0C1DE12E" w14:textId="77777777" w:rsidR="00330B2F" w:rsidRDefault="00CB64F9">
      <w:pPr>
        <w:numPr>
          <w:ilvl w:val="0"/>
          <w:numId w:val="15"/>
        </w:numPr>
        <w:spacing w:after="0" w:line="240" w:lineRule="auto"/>
        <w:jc w:val="both"/>
        <w:rPr>
          <w:sz w:val="20"/>
          <w:szCs w:val="20"/>
        </w:rPr>
      </w:pPr>
      <w:r>
        <w:rPr>
          <w:sz w:val="20"/>
          <w:szCs w:val="20"/>
        </w:rPr>
        <w:t>There is a possible underreporting of incidents of abuse/exploitation of children due to the suspension of face-to-face visits, and difficulty in monitoring compliance of facilities with the minimum standards required by the rules.</w:t>
      </w:r>
      <w:r>
        <w:rPr>
          <w:sz w:val="20"/>
          <w:szCs w:val="20"/>
          <w:vertAlign w:val="superscript"/>
        </w:rPr>
        <w:footnoteReference w:id="15"/>
      </w:r>
    </w:p>
    <w:p w14:paraId="7154569C" w14:textId="77777777" w:rsidR="00330B2F" w:rsidRDefault="00330B2F">
      <w:pPr>
        <w:spacing w:after="0" w:line="240" w:lineRule="auto"/>
        <w:jc w:val="both"/>
        <w:rPr>
          <w:sz w:val="20"/>
          <w:szCs w:val="20"/>
        </w:rPr>
      </w:pPr>
    </w:p>
    <w:p w14:paraId="4B8B81A7" w14:textId="77777777" w:rsidR="00330B2F" w:rsidRDefault="00CB64F9">
      <w:pPr>
        <w:numPr>
          <w:ilvl w:val="0"/>
          <w:numId w:val="15"/>
        </w:numPr>
        <w:spacing w:after="0" w:line="240" w:lineRule="auto"/>
        <w:jc w:val="both"/>
        <w:rPr>
          <w:sz w:val="20"/>
          <w:szCs w:val="20"/>
        </w:rPr>
      </w:pPr>
      <w:r>
        <w:rPr>
          <w:sz w:val="20"/>
          <w:szCs w:val="20"/>
        </w:rPr>
        <w:t>Children in these facilities raised the non-visitation by their families due to COVID-19 restrictions as the primary issue they faced. They expressed homesickness and longing for their parents and families.</w:t>
      </w:r>
      <w:r>
        <w:rPr>
          <w:sz w:val="20"/>
          <w:szCs w:val="20"/>
          <w:vertAlign w:val="superscript"/>
        </w:rPr>
        <w:footnoteReference w:id="16"/>
      </w:r>
    </w:p>
    <w:p w14:paraId="41F9BB8F" w14:textId="77777777" w:rsidR="00330B2F" w:rsidRDefault="00330B2F">
      <w:pPr>
        <w:spacing w:after="0" w:line="240" w:lineRule="auto"/>
        <w:ind w:left="1440"/>
        <w:jc w:val="both"/>
        <w:rPr>
          <w:sz w:val="20"/>
          <w:szCs w:val="20"/>
        </w:rPr>
      </w:pPr>
    </w:p>
    <w:p w14:paraId="249D3943" w14:textId="3FFD2111" w:rsidR="00330B2F" w:rsidRDefault="00CB64F9">
      <w:pPr>
        <w:numPr>
          <w:ilvl w:val="0"/>
          <w:numId w:val="15"/>
        </w:numPr>
        <w:spacing w:after="0" w:line="240" w:lineRule="auto"/>
        <w:jc w:val="both"/>
        <w:rPr>
          <w:sz w:val="20"/>
          <w:szCs w:val="20"/>
        </w:rPr>
      </w:pPr>
      <w:r>
        <w:rPr>
          <w:sz w:val="20"/>
          <w:szCs w:val="20"/>
        </w:rPr>
        <w:t>Detention of children in jails under the custody of police and the non-implementation of the juvenile justice system continue to be recurring issues, particularly in the C</w:t>
      </w:r>
      <w:r w:rsidR="008104AA">
        <w:rPr>
          <w:sz w:val="20"/>
          <w:szCs w:val="20"/>
        </w:rPr>
        <w:t>ARAGA</w:t>
      </w:r>
      <w:r>
        <w:rPr>
          <w:sz w:val="20"/>
          <w:szCs w:val="20"/>
        </w:rPr>
        <w:t xml:space="preserve"> region. The Commission documented a case of a 17-year old child detained in a jail managed by the Bureau of Jail Management and Penology</w:t>
      </w:r>
      <w:r>
        <w:rPr>
          <w:sz w:val="20"/>
          <w:szCs w:val="20"/>
          <w:vertAlign w:val="superscript"/>
        </w:rPr>
        <w:footnoteReference w:id="17"/>
      </w:r>
      <w:r>
        <w:rPr>
          <w:sz w:val="20"/>
          <w:szCs w:val="20"/>
        </w:rPr>
        <w:t xml:space="preserve"> (BJMP). The Commission also documented a case of a CICL in Butuan City who was subjected to inhumane punishment (i.e., fingernails were removed as punishment for repeatedly stealing from people). During investigation of this case, the CICL was found in a police station’s detention cell. This has been a recurring practice considering that a similar case was documented a year ago in the same locality. Butuan City does not have a BPA and thus, does not comply with the requirement under Republic Act No. 10630 to set up its own BPA.</w:t>
      </w:r>
      <w:r>
        <w:rPr>
          <w:sz w:val="20"/>
          <w:szCs w:val="20"/>
          <w:vertAlign w:val="superscript"/>
        </w:rPr>
        <w:footnoteReference w:id="18"/>
      </w:r>
    </w:p>
    <w:p w14:paraId="3EAA90CA" w14:textId="77777777" w:rsidR="00330B2F" w:rsidRDefault="00330B2F">
      <w:pPr>
        <w:spacing w:after="0" w:line="240" w:lineRule="auto"/>
        <w:jc w:val="both"/>
        <w:rPr>
          <w:sz w:val="20"/>
          <w:szCs w:val="20"/>
        </w:rPr>
      </w:pPr>
    </w:p>
    <w:p w14:paraId="308159DE" w14:textId="77777777" w:rsidR="00330B2F" w:rsidRDefault="00CB64F9">
      <w:pPr>
        <w:numPr>
          <w:ilvl w:val="0"/>
          <w:numId w:val="15"/>
        </w:numPr>
        <w:spacing w:after="0" w:line="240" w:lineRule="auto"/>
        <w:jc w:val="both"/>
        <w:rPr>
          <w:sz w:val="20"/>
          <w:szCs w:val="20"/>
        </w:rPr>
      </w:pPr>
      <w:r>
        <w:rPr>
          <w:sz w:val="20"/>
          <w:szCs w:val="20"/>
        </w:rPr>
        <w:t>In one region in the country, the Commission noted 66 CICLs from the local government database and 31 CICLs based on the Commission’s own monitoring, making it a total of 97 CICLs. Most of these children are between 15 and 17 years of age. The Commission also documented an alarming case of an 11-year old who committed statutory rape against a 4-year old child.</w:t>
      </w:r>
      <w:r>
        <w:rPr>
          <w:sz w:val="20"/>
          <w:szCs w:val="20"/>
          <w:vertAlign w:val="superscript"/>
        </w:rPr>
        <w:footnoteReference w:id="19"/>
      </w:r>
    </w:p>
    <w:p w14:paraId="6D61743C" w14:textId="77777777" w:rsidR="00330B2F" w:rsidRDefault="00330B2F">
      <w:pPr>
        <w:spacing w:after="0" w:line="240" w:lineRule="auto"/>
        <w:ind w:left="1440"/>
        <w:jc w:val="both"/>
        <w:rPr>
          <w:sz w:val="20"/>
          <w:szCs w:val="20"/>
        </w:rPr>
      </w:pPr>
    </w:p>
    <w:p w14:paraId="4EB512CA" w14:textId="77777777" w:rsidR="00330B2F" w:rsidRDefault="00CB64F9">
      <w:pPr>
        <w:numPr>
          <w:ilvl w:val="0"/>
          <w:numId w:val="15"/>
        </w:numPr>
        <w:spacing w:after="0" w:line="240" w:lineRule="auto"/>
        <w:jc w:val="both"/>
        <w:rPr>
          <w:sz w:val="20"/>
          <w:szCs w:val="20"/>
        </w:rPr>
      </w:pPr>
      <w:r>
        <w:rPr>
          <w:color w:val="000000"/>
          <w:sz w:val="20"/>
          <w:szCs w:val="20"/>
        </w:rPr>
        <w:t>Some children are already under suspended sentence, some are still on an</w:t>
      </w:r>
      <w:r>
        <w:rPr>
          <w:sz w:val="20"/>
          <w:szCs w:val="20"/>
        </w:rPr>
        <w:t xml:space="preserve"> on-going trial where a two (2) month interval between conduct of hearings are observed during pandemic—resetting of the case is often made. One of the children (a.k.a. AB) who is turning 16 this year, has never had the chance of attending the trial of his case as it is often reset (he was 14-year-old when he committed the offense). All of the five (5) children said that they were able to talk with their assigned lawyer (PAO) only on the day of the hearing of their case; when they are at the facility, their assigned lawyer calls only to notify the social worker assigned on that day, that their case was reset.</w:t>
      </w:r>
      <w:r>
        <w:rPr>
          <w:sz w:val="20"/>
          <w:szCs w:val="20"/>
          <w:vertAlign w:val="superscript"/>
        </w:rPr>
        <w:footnoteReference w:id="20"/>
      </w:r>
    </w:p>
    <w:p w14:paraId="139EA5EE" w14:textId="77777777" w:rsidR="00330B2F" w:rsidRDefault="00330B2F">
      <w:pPr>
        <w:spacing w:after="0" w:line="240" w:lineRule="auto"/>
        <w:ind w:left="1440"/>
        <w:jc w:val="both"/>
        <w:rPr>
          <w:sz w:val="20"/>
          <w:szCs w:val="20"/>
          <w:vertAlign w:val="superscript"/>
        </w:rPr>
      </w:pPr>
    </w:p>
    <w:p w14:paraId="48504712" w14:textId="77777777" w:rsidR="00330B2F" w:rsidRDefault="00CB64F9">
      <w:pPr>
        <w:numPr>
          <w:ilvl w:val="0"/>
          <w:numId w:val="14"/>
        </w:numPr>
        <w:spacing w:after="0" w:line="240" w:lineRule="auto"/>
        <w:jc w:val="both"/>
        <w:rPr>
          <w:sz w:val="20"/>
          <w:szCs w:val="20"/>
        </w:rPr>
      </w:pPr>
      <w:r>
        <w:rPr>
          <w:sz w:val="20"/>
          <w:szCs w:val="20"/>
        </w:rPr>
        <w:t>Other issues in relation to the juvenile justice implementation are: The detention of minors in detention cells and even in BJMP-managed facilities. Delay in the issuance of case study reports, “non-compliance on the rule of presumption of minority”</w:t>
      </w:r>
      <w:r>
        <w:rPr>
          <w:sz w:val="20"/>
          <w:szCs w:val="20"/>
          <w:vertAlign w:val="superscript"/>
        </w:rPr>
        <w:footnoteReference w:id="21"/>
      </w:r>
      <w:r>
        <w:rPr>
          <w:sz w:val="20"/>
          <w:szCs w:val="20"/>
        </w:rPr>
        <w:t xml:space="preserve"> and dispensing of intervention and diversion programs.</w:t>
      </w:r>
      <w:r>
        <w:rPr>
          <w:sz w:val="20"/>
          <w:szCs w:val="20"/>
          <w:vertAlign w:val="superscript"/>
        </w:rPr>
        <w:footnoteReference w:id="22"/>
      </w:r>
      <w:r>
        <w:rPr>
          <w:sz w:val="20"/>
          <w:szCs w:val="20"/>
        </w:rPr>
        <w:t xml:space="preserve"> </w:t>
      </w:r>
    </w:p>
    <w:p w14:paraId="4AC34C70" w14:textId="77777777" w:rsidR="00330B2F" w:rsidRDefault="00330B2F">
      <w:pPr>
        <w:spacing w:after="0" w:line="240" w:lineRule="auto"/>
        <w:jc w:val="both"/>
        <w:rPr>
          <w:sz w:val="20"/>
          <w:szCs w:val="20"/>
          <w:vertAlign w:val="superscript"/>
        </w:rPr>
      </w:pPr>
    </w:p>
    <w:p w14:paraId="415848CB" w14:textId="77777777" w:rsidR="00330B2F" w:rsidRDefault="00CB64F9">
      <w:pPr>
        <w:numPr>
          <w:ilvl w:val="0"/>
          <w:numId w:val="16"/>
        </w:numPr>
        <w:pBdr>
          <w:top w:val="nil"/>
          <w:left w:val="nil"/>
          <w:bottom w:val="nil"/>
          <w:right w:val="nil"/>
          <w:between w:val="nil"/>
        </w:pBdr>
        <w:spacing w:after="0" w:line="240" w:lineRule="auto"/>
        <w:jc w:val="both"/>
        <w:rPr>
          <w:color w:val="000000"/>
          <w:sz w:val="20"/>
          <w:szCs w:val="20"/>
        </w:rPr>
      </w:pPr>
      <w:r>
        <w:rPr>
          <w:color w:val="000000"/>
          <w:sz w:val="20"/>
          <w:szCs w:val="20"/>
        </w:rPr>
        <w:t xml:space="preserve">Responding to the demands and changes brought about by COVID-19 pandemic, the Commission has developed a monitoring form incorporating the two documents, namely: CRC Monitoring Form and letter/ </w:t>
      </w:r>
      <w:r>
        <w:rPr>
          <w:sz w:val="20"/>
          <w:szCs w:val="20"/>
        </w:rPr>
        <w:t>“</w:t>
      </w:r>
      <w:proofErr w:type="spellStart"/>
      <w:r>
        <w:rPr>
          <w:sz w:val="20"/>
          <w:szCs w:val="20"/>
        </w:rPr>
        <w:t>Liham</w:t>
      </w:r>
      <w:proofErr w:type="spellEnd"/>
      <w:r>
        <w:rPr>
          <w:sz w:val="20"/>
          <w:szCs w:val="20"/>
        </w:rPr>
        <w:t xml:space="preserve"> </w:t>
      </w:r>
      <w:proofErr w:type="spellStart"/>
      <w:r>
        <w:rPr>
          <w:sz w:val="20"/>
          <w:szCs w:val="20"/>
        </w:rPr>
        <w:t>Mula</w:t>
      </w:r>
      <w:proofErr w:type="spellEnd"/>
      <w:r>
        <w:rPr>
          <w:sz w:val="20"/>
          <w:szCs w:val="20"/>
        </w:rPr>
        <w:t xml:space="preserve"> kay </w:t>
      </w:r>
      <w:proofErr w:type="spellStart"/>
      <w:r>
        <w:rPr>
          <w:sz w:val="20"/>
          <w:szCs w:val="20"/>
        </w:rPr>
        <w:t>Tantan</w:t>
      </w:r>
      <w:proofErr w:type="spellEnd"/>
      <w:r>
        <w:rPr>
          <w:sz w:val="20"/>
          <w:szCs w:val="20"/>
        </w:rPr>
        <w:t>”</w:t>
      </w:r>
      <w:r>
        <w:rPr>
          <w:color w:val="000000"/>
          <w:sz w:val="20"/>
          <w:szCs w:val="20"/>
        </w:rPr>
        <w:t xml:space="preserve"> among CICL residing in the facility, exhibited positive attitude towards their p</w:t>
      </w:r>
      <w:r>
        <w:rPr>
          <w:sz w:val="20"/>
          <w:szCs w:val="20"/>
        </w:rPr>
        <w:t>redicament</w:t>
      </w:r>
      <w:r>
        <w:rPr>
          <w:color w:val="000000"/>
          <w:sz w:val="20"/>
          <w:szCs w:val="20"/>
        </w:rPr>
        <w:t>.</w:t>
      </w:r>
      <w:r>
        <w:rPr>
          <w:color w:val="000000"/>
          <w:sz w:val="20"/>
          <w:szCs w:val="20"/>
          <w:vertAlign w:val="superscript"/>
        </w:rPr>
        <w:footnoteReference w:id="23"/>
      </w:r>
      <w:r>
        <w:rPr>
          <w:color w:val="000000"/>
          <w:sz w:val="20"/>
          <w:szCs w:val="20"/>
        </w:rPr>
        <w:t xml:space="preserve"> The following are some of the positive feedback gathered, such as:</w:t>
      </w:r>
    </w:p>
    <w:p w14:paraId="72ED60FF" w14:textId="77777777" w:rsidR="00330B2F" w:rsidRDefault="00330B2F">
      <w:pPr>
        <w:spacing w:after="0" w:line="240" w:lineRule="auto"/>
        <w:ind w:left="720"/>
        <w:jc w:val="both"/>
        <w:rPr>
          <w:sz w:val="20"/>
          <w:szCs w:val="20"/>
        </w:rPr>
      </w:pPr>
    </w:p>
    <w:p w14:paraId="17AEFAE5" w14:textId="44E9BD94" w:rsidR="00330B2F" w:rsidRDefault="00CB64F9">
      <w:pPr>
        <w:numPr>
          <w:ilvl w:val="0"/>
          <w:numId w:val="19"/>
        </w:numPr>
        <w:pBdr>
          <w:top w:val="nil"/>
          <w:left w:val="nil"/>
          <w:bottom w:val="nil"/>
          <w:right w:val="nil"/>
          <w:between w:val="nil"/>
        </w:pBdr>
        <w:spacing w:after="0" w:line="240" w:lineRule="auto"/>
        <w:jc w:val="both"/>
        <w:rPr>
          <w:color w:val="000000"/>
          <w:sz w:val="20"/>
          <w:szCs w:val="20"/>
        </w:rPr>
      </w:pPr>
      <w:r>
        <w:rPr>
          <w:color w:val="000000"/>
          <w:sz w:val="20"/>
          <w:szCs w:val="20"/>
        </w:rPr>
        <w:t>The</w:t>
      </w:r>
      <w:r w:rsidR="004A571A">
        <w:rPr>
          <w:color w:val="000000"/>
          <w:sz w:val="20"/>
          <w:szCs w:val="20"/>
        </w:rPr>
        <w:t xml:space="preserve"> admission rate of the </w:t>
      </w:r>
      <w:r>
        <w:rPr>
          <w:color w:val="000000"/>
          <w:sz w:val="20"/>
          <w:szCs w:val="20"/>
        </w:rPr>
        <w:t>Youth Detention Facilities</w:t>
      </w:r>
      <w:r w:rsidR="008C1D07">
        <w:rPr>
          <w:color w:val="000000"/>
          <w:sz w:val="20"/>
          <w:szCs w:val="20"/>
        </w:rPr>
        <w:t xml:space="preserve"> for CICL, </w:t>
      </w:r>
      <w:r w:rsidR="004A571A">
        <w:rPr>
          <w:color w:val="000000"/>
          <w:sz w:val="20"/>
          <w:szCs w:val="20"/>
        </w:rPr>
        <w:t xml:space="preserve">namely: </w:t>
      </w:r>
      <w:proofErr w:type="spellStart"/>
      <w:r>
        <w:rPr>
          <w:color w:val="000000"/>
          <w:sz w:val="20"/>
          <w:szCs w:val="20"/>
        </w:rPr>
        <w:t>Bahay</w:t>
      </w:r>
      <w:proofErr w:type="spellEnd"/>
      <w:r>
        <w:rPr>
          <w:color w:val="000000"/>
          <w:sz w:val="20"/>
          <w:szCs w:val="20"/>
        </w:rPr>
        <w:t xml:space="preserve"> </w:t>
      </w:r>
      <w:proofErr w:type="spellStart"/>
      <w:r>
        <w:rPr>
          <w:color w:val="000000"/>
          <w:sz w:val="20"/>
          <w:szCs w:val="20"/>
        </w:rPr>
        <w:t>Pag-asa</w:t>
      </w:r>
      <w:proofErr w:type="spellEnd"/>
      <w:r>
        <w:rPr>
          <w:color w:val="000000"/>
          <w:sz w:val="20"/>
          <w:szCs w:val="20"/>
        </w:rPr>
        <w:t xml:space="preserve">, and the Regional Rehabilitation Center for the Youth (RRCY), and Pag-Asa Youth Homes, did not increase after the declaration of the nationwide health emergency. Families were notified ahead of time on the temporary prohibition of visits, and alternative measures to contact their children. Residents have access to health </w:t>
      </w:r>
      <w:r>
        <w:rPr>
          <w:color w:val="000000"/>
          <w:sz w:val="20"/>
          <w:szCs w:val="20"/>
        </w:rPr>
        <w:lastRenderedPageBreak/>
        <w:t>services and rehabilitative activities are continuously conducted. Also, regular mental health and psychosocial support measures are available for the children.</w:t>
      </w:r>
      <w:r>
        <w:rPr>
          <w:color w:val="000000"/>
          <w:sz w:val="20"/>
          <w:szCs w:val="20"/>
          <w:vertAlign w:val="superscript"/>
        </w:rPr>
        <w:footnoteReference w:id="24"/>
      </w:r>
      <w:r>
        <w:rPr>
          <w:color w:val="000000"/>
          <w:sz w:val="20"/>
          <w:szCs w:val="20"/>
        </w:rPr>
        <w:t xml:space="preserve"> </w:t>
      </w:r>
    </w:p>
    <w:p w14:paraId="2EDBD82B" w14:textId="77777777" w:rsidR="00330B2F" w:rsidRDefault="00330B2F">
      <w:pPr>
        <w:pBdr>
          <w:top w:val="nil"/>
          <w:left w:val="nil"/>
          <w:bottom w:val="nil"/>
          <w:right w:val="nil"/>
          <w:between w:val="nil"/>
        </w:pBdr>
        <w:spacing w:after="0" w:line="240" w:lineRule="auto"/>
        <w:ind w:left="1440"/>
        <w:jc w:val="both"/>
        <w:rPr>
          <w:color w:val="000000"/>
          <w:sz w:val="20"/>
          <w:szCs w:val="20"/>
        </w:rPr>
      </w:pPr>
    </w:p>
    <w:p w14:paraId="4300AD35" w14:textId="05639A51" w:rsidR="00330B2F" w:rsidRDefault="00CB64F9">
      <w:pPr>
        <w:numPr>
          <w:ilvl w:val="0"/>
          <w:numId w:val="19"/>
        </w:numPr>
        <w:pBdr>
          <w:top w:val="nil"/>
          <w:left w:val="nil"/>
          <w:bottom w:val="nil"/>
          <w:right w:val="nil"/>
          <w:between w:val="nil"/>
        </w:pBdr>
        <w:spacing w:after="0" w:line="240" w:lineRule="auto"/>
        <w:jc w:val="both"/>
        <w:rPr>
          <w:color w:val="000000"/>
          <w:sz w:val="20"/>
          <w:szCs w:val="20"/>
        </w:rPr>
      </w:pPr>
      <w:r>
        <w:rPr>
          <w:color w:val="000000"/>
          <w:sz w:val="20"/>
          <w:szCs w:val="20"/>
        </w:rPr>
        <w:t>Decrease in the number of residents (CICL) from July 2020 compared to the numbers from March to June 2022. This is attributed to the proper management of the Local Council for the Protection of Children</w:t>
      </w:r>
      <w:r>
        <w:rPr>
          <w:color w:val="000000"/>
          <w:sz w:val="20"/>
          <w:szCs w:val="20"/>
          <w:vertAlign w:val="superscript"/>
        </w:rPr>
        <w:footnoteReference w:id="25"/>
      </w:r>
      <w:r>
        <w:rPr>
          <w:color w:val="000000"/>
          <w:sz w:val="20"/>
          <w:szCs w:val="20"/>
        </w:rPr>
        <w:t xml:space="preserve"> (LCPC), wherein for those complaints related to curfew ordinance, the children are just given warning and they are immediately being reintegrated to their parents/ families. The BCPC provided efforts in orienting both the children and parents of COVID- 19 rules in their jurisdiction. Other essential services were also provided like medical examination and rapid testing. Continuous case monitoring and regular mental health psychosocial support measures were also provided to children</w:t>
      </w:r>
      <w:r>
        <w:rPr>
          <w:color w:val="000000"/>
          <w:sz w:val="20"/>
          <w:szCs w:val="20"/>
          <w:vertAlign w:val="superscript"/>
        </w:rPr>
        <w:footnoteReference w:id="26"/>
      </w:r>
      <w:r>
        <w:rPr>
          <w:color w:val="000000"/>
          <w:sz w:val="20"/>
          <w:szCs w:val="20"/>
        </w:rPr>
        <w:t>.</w:t>
      </w:r>
    </w:p>
    <w:p w14:paraId="0C019DF4" w14:textId="77777777" w:rsidR="00330B2F" w:rsidRDefault="00330B2F">
      <w:pPr>
        <w:spacing w:after="0" w:line="240" w:lineRule="auto"/>
        <w:ind w:left="720"/>
        <w:jc w:val="both"/>
        <w:rPr>
          <w:sz w:val="20"/>
          <w:szCs w:val="20"/>
        </w:rPr>
      </w:pPr>
    </w:p>
    <w:p w14:paraId="351548FF" w14:textId="6CEA6170" w:rsidR="00330B2F" w:rsidRDefault="00CB64F9">
      <w:pPr>
        <w:numPr>
          <w:ilvl w:val="0"/>
          <w:numId w:val="16"/>
        </w:numPr>
        <w:pBdr>
          <w:top w:val="nil"/>
          <w:left w:val="nil"/>
          <w:bottom w:val="nil"/>
          <w:right w:val="nil"/>
          <w:between w:val="nil"/>
        </w:pBdr>
        <w:spacing w:after="0" w:line="240" w:lineRule="auto"/>
        <w:jc w:val="both"/>
        <w:rPr>
          <w:color w:val="000000"/>
          <w:sz w:val="20"/>
          <w:szCs w:val="20"/>
        </w:rPr>
      </w:pPr>
      <w:r>
        <w:rPr>
          <w:color w:val="000000"/>
          <w:sz w:val="20"/>
          <w:szCs w:val="20"/>
        </w:rPr>
        <w:t>A Community Based Dialogue</w:t>
      </w:r>
      <w:r>
        <w:rPr>
          <w:color w:val="000000"/>
          <w:sz w:val="20"/>
          <w:szCs w:val="20"/>
          <w:vertAlign w:val="superscript"/>
        </w:rPr>
        <w:footnoteReference w:id="27"/>
      </w:r>
      <w:r>
        <w:rPr>
          <w:color w:val="000000"/>
          <w:sz w:val="20"/>
          <w:szCs w:val="20"/>
        </w:rPr>
        <w:t xml:space="preserve"> conducted on November 23, 2021 by the Regional Juvenile Justice and Welfare Council, in partnership with the Commission on Human Rights</w:t>
      </w:r>
      <w:r>
        <w:rPr>
          <w:sz w:val="20"/>
          <w:szCs w:val="20"/>
        </w:rPr>
        <w:t xml:space="preserve"> Region V,</w:t>
      </w:r>
      <w:r>
        <w:rPr>
          <w:color w:val="000000"/>
          <w:sz w:val="20"/>
          <w:szCs w:val="20"/>
        </w:rPr>
        <w:t xml:space="preserve"> dubbed as “</w:t>
      </w:r>
      <w:proofErr w:type="spellStart"/>
      <w:r>
        <w:rPr>
          <w:color w:val="000000"/>
          <w:sz w:val="20"/>
          <w:szCs w:val="20"/>
        </w:rPr>
        <w:t>Kumustahan</w:t>
      </w:r>
      <w:proofErr w:type="spellEnd"/>
      <w:r>
        <w:rPr>
          <w:color w:val="000000"/>
          <w:sz w:val="20"/>
          <w:szCs w:val="20"/>
        </w:rPr>
        <w:t xml:space="preserve"> </w:t>
      </w:r>
      <w:proofErr w:type="spellStart"/>
      <w:r>
        <w:rPr>
          <w:color w:val="000000"/>
          <w:sz w:val="20"/>
          <w:szCs w:val="20"/>
        </w:rPr>
        <w:t>sa</w:t>
      </w:r>
      <w:proofErr w:type="spellEnd"/>
      <w:r>
        <w:rPr>
          <w:color w:val="000000"/>
          <w:sz w:val="20"/>
          <w:szCs w:val="20"/>
        </w:rPr>
        <w:t xml:space="preserve"> </w:t>
      </w:r>
      <w:proofErr w:type="spellStart"/>
      <w:r>
        <w:rPr>
          <w:color w:val="000000"/>
          <w:sz w:val="20"/>
          <w:szCs w:val="20"/>
        </w:rPr>
        <w:t>Panahon</w:t>
      </w:r>
      <w:proofErr w:type="spellEnd"/>
      <w:r>
        <w:rPr>
          <w:color w:val="000000"/>
          <w:sz w:val="20"/>
          <w:szCs w:val="20"/>
        </w:rPr>
        <w:t xml:space="preserve"> ng </w:t>
      </w:r>
      <w:proofErr w:type="spellStart"/>
      <w:r>
        <w:rPr>
          <w:color w:val="000000"/>
          <w:sz w:val="20"/>
          <w:szCs w:val="20"/>
        </w:rPr>
        <w:t>Pandemya</w:t>
      </w:r>
      <w:proofErr w:type="spellEnd"/>
      <w:r>
        <w:rPr>
          <w:color w:val="000000"/>
          <w:sz w:val="20"/>
          <w:szCs w:val="20"/>
        </w:rPr>
        <w:t>”. The dialogue was conducted in time for the 10</w:t>
      </w:r>
      <w:r>
        <w:rPr>
          <w:color w:val="000000"/>
          <w:sz w:val="20"/>
          <w:szCs w:val="20"/>
          <w:vertAlign w:val="superscript"/>
        </w:rPr>
        <w:t>th</w:t>
      </w:r>
      <w:r>
        <w:rPr>
          <w:color w:val="000000"/>
          <w:sz w:val="20"/>
          <w:szCs w:val="20"/>
        </w:rPr>
        <w:t xml:space="preserve"> Juvenile Justice and Welfare Consciousness (JJWC) Week. The purpose of this dialogue is to enable the child participants to bring out issues confronting them in this time of pandemic as well as generate reports from different duty bearers and stakeholders on their projects and programs on children.  It also promotes the JJWC Week’s aim to create and increase awareness on the Juvenile and Justice Welfare Act (JJWA) and its implementation in the context of the new normal among stakeholders, implementers, and the public as well as to generate the participation of children and youth in the design and conduct of advocacy activities and mainstream the advocacy on the full implementation of the JJWA.</w:t>
      </w:r>
      <w:r>
        <w:rPr>
          <w:color w:val="000000"/>
          <w:sz w:val="20"/>
          <w:szCs w:val="20"/>
          <w:vertAlign w:val="superscript"/>
        </w:rPr>
        <w:footnoteReference w:id="28"/>
      </w:r>
      <w:r>
        <w:rPr>
          <w:color w:val="000000"/>
          <w:sz w:val="20"/>
          <w:szCs w:val="20"/>
        </w:rPr>
        <w:t xml:space="preserve"> In summary, the issues raised by the children includes: “CICLs missed their families, their schools and friends, wanted to be reunited with their families as soon as possible, and social interaction difficulties in the center, how to deal with everyone and follow the rules in the center. </w:t>
      </w:r>
    </w:p>
    <w:p w14:paraId="0C9E30B0" w14:textId="77777777" w:rsidR="00330B2F" w:rsidRDefault="00330B2F">
      <w:pPr>
        <w:spacing w:after="0" w:line="240" w:lineRule="auto"/>
        <w:ind w:left="720"/>
        <w:jc w:val="both"/>
        <w:rPr>
          <w:sz w:val="20"/>
          <w:szCs w:val="20"/>
        </w:rPr>
      </w:pPr>
    </w:p>
    <w:p w14:paraId="2BBE7F72" w14:textId="77777777" w:rsidR="00330B2F" w:rsidRDefault="00CB64F9">
      <w:pPr>
        <w:numPr>
          <w:ilvl w:val="0"/>
          <w:numId w:val="16"/>
        </w:numPr>
        <w:spacing w:after="0" w:line="240" w:lineRule="auto"/>
        <w:jc w:val="both"/>
        <w:rPr>
          <w:sz w:val="20"/>
          <w:szCs w:val="20"/>
        </w:rPr>
      </w:pPr>
      <w:r>
        <w:rPr>
          <w:sz w:val="20"/>
          <w:szCs w:val="20"/>
        </w:rPr>
        <w:t>It must be noted that the Department of Interior and Local Government (DILG) and Council for the Welfare of Children (CWC), issued a “Joint Memorandum Circular 2020-001 dated 06 April 2020”,</w:t>
      </w:r>
      <w:r>
        <w:rPr>
          <w:sz w:val="20"/>
          <w:szCs w:val="20"/>
          <w:vertAlign w:val="superscript"/>
        </w:rPr>
        <w:footnoteReference w:id="29"/>
      </w:r>
      <w:r>
        <w:rPr>
          <w:sz w:val="20"/>
          <w:szCs w:val="20"/>
        </w:rPr>
        <w:t xml:space="preserve"> reminding all local government units to recognize and promote the rights and best interest of children during the Enhanced Community Quarantine, putting emphasis that no penalty shall be imposed on children for violations of curfew and ordinances. This is to give effect to the provision of the Republic Act No. 10630 amending the Juvenile Justice and welfare Act, declaring that curfew and ordinances are issued for the protection of children.</w:t>
      </w:r>
    </w:p>
    <w:p w14:paraId="462BF209" w14:textId="77777777" w:rsidR="00330B2F" w:rsidRDefault="00330B2F">
      <w:pPr>
        <w:spacing w:after="0" w:line="240" w:lineRule="auto"/>
        <w:jc w:val="both"/>
        <w:rPr>
          <w:sz w:val="20"/>
          <w:szCs w:val="20"/>
        </w:rPr>
      </w:pPr>
    </w:p>
    <w:p w14:paraId="1EF110E6" w14:textId="77777777" w:rsidR="00330B2F" w:rsidRDefault="00CB64F9">
      <w:pPr>
        <w:numPr>
          <w:ilvl w:val="0"/>
          <w:numId w:val="16"/>
        </w:numPr>
        <w:spacing w:after="0" w:line="240" w:lineRule="auto"/>
        <w:jc w:val="both"/>
        <w:rPr>
          <w:sz w:val="20"/>
          <w:szCs w:val="20"/>
        </w:rPr>
      </w:pPr>
      <w:r>
        <w:rPr>
          <w:sz w:val="20"/>
          <w:szCs w:val="20"/>
        </w:rPr>
        <w:t>The Commission, will endeavor the following action points:</w:t>
      </w:r>
    </w:p>
    <w:p w14:paraId="212201ED" w14:textId="77777777" w:rsidR="00330B2F" w:rsidRDefault="00330B2F">
      <w:pPr>
        <w:pBdr>
          <w:top w:val="nil"/>
          <w:left w:val="nil"/>
          <w:bottom w:val="nil"/>
          <w:right w:val="nil"/>
          <w:between w:val="nil"/>
        </w:pBdr>
        <w:spacing w:after="0" w:line="240" w:lineRule="auto"/>
        <w:ind w:left="720"/>
        <w:rPr>
          <w:color w:val="000000"/>
          <w:sz w:val="20"/>
          <w:szCs w:val="20"/>
        </w:rPr>
      </w:pPr>
    </w:p>
    <w:p w14:paraId="30B0A7AE" w14:textId="77777777" w:rsidR="00330B2F" w:rsidRDefault="00CB64F9">
      <w:pPr>
        <w:numPr>
          <w:ilvl w:val="0"/>
          <w:numId w:val="13"/>
        </w:numPr>
        <w:pBdr>
          <w:top w:val="nil"/>
          <w:left w:val="nil"/>
          <w:bottom w:val="nil"/>
          <w:right w:val="nil"/>
          <w:between w:val="nil"/>
        </w:pBdr>
        <w:spacing w:after="0" w:line="240" w:lineRule="auto"/>
        <w:jc w:val="both"/>
        <w:rPr>
          <w:color w:val="000000"/>
          <w:sz w:val="20"/>
          <w:szCs w:val="20"/>
        </w:rPr>
      </w:pPr>
      <w:r>
        <w:rPr>
          <w:color w:val="000000"/>
          <w:sz w:val="20"/>
          <w:szCs w:val="20"/>
        </w:rPr>
        <w:lastRenderedPageBreak/>
        <w:t xml:space="preserve">Conduct an extensive inventory of child shelters under RA 9344 as amended, and ask the pertinent LGUs to explain the status of their compliance of the obligation to set up a </w:t>
      </w:r>
      <w:proofErr w:type="spellStart"/>
      <w:r>
        <w:rPr>
          <w:color w:val="000000"/>
          <w:sz w:val="20"/>
          <w:szCs w:val="20"/>
        </w:rPr>
        <w:t>Bahay</w:t>
      </w:r>
      <w:proofErr w:type="spellEnd"/>
      <w:r>
        <w:rPr>
          <w:color w:val="000000"/>
          <w:sz w:val="20"/>
          <w:szCs w:val="20"/>
        </w:rPr>
        <w:t xml:space="preserve"> </w:t>
      </w:r>
      <w:proofErr w:type="spellStart"/>
      <w:r>
        <w:rPr>
          <w:color w:val="000000"/>
          <w:sz w:val="20"/>
          <w:szCs w:val="20"/>
        </w:rPr>
        <w:t>Pag-asa</w:t>
      </w:r>
      <w:proofErr w:type="spellEnd"/>
      <w:r>
        <w:rPr>
          <w:color w:val="000000"/>
          <w:sz w:val="20"/>
          <w:szCs w:val="20"/>
        </w:rPr>
        <w:t xml:space="preserve"> within their jurisdiction;</w:t>
      </w:r>
    </w:p>
    <w:p w14:paraId="041D9C1A" w14:textId="77777777" w:rsidR="00330B2F" w:rsidRDefault="00330B2F">
      <w:pPr>
        <w:pBdr>
          <w:top w:val="nil"/>
          <w:left w:val="nil"/>
          <w:bottom w:val="nil"/>
          <w:right w:val="nil"/>
          <w:between w:val="nil"/>
        </w:pBdr>
        <w:spacing w:after="0" w:line="240" w:lineRule="auto"/>
        <w:ind w:left="1080"/>
        <w:jc w:val="both"/>
        <w:rPr>
          <w:color w:val="000000"/>
          <w:sz w:val="20"/>
          <w:szCs w:val="20"/>
        </w:rPr>
      </w:pPr>
    </w:p>
    <w:p w14:paraId="7EFA3568" w14:textId="77777777" w:rsidR="00330B2F" w:rsidRDefault="00CB64F9">
      <w:pPr>
        <w:numPr>
          <w:ilvl w:val="0"/>
          <w:numId w:val="13"/>
        </w:numPr>
        <w:pBdr>
          <w:top w:val="nil"/>
          <w:left w:val="nil"/>
          <w:bottom w:val="nil"/>
          <w:right w:val="nil"/>
          <w:between w:val="nil"/>
        </w:pBdr>
        <w:spacing w:after="0" w:line="240" w:lineRule="auto"/>
        <w:jc w:val="both"/>
        <w:rPr>
          <w:color w:val="000000"/>
          <w:sz w:val="20"/>
          <w:szCs w:val="20"/>
        </w:rPr>
      </w:pPr>
      <w:r>
        <w:rPr>
          <w:color w:val="000000"/>
          <w:sz w:val="20"/>
          <w:szCs w:val="20"/>
        </w:rPr>
        <w:t xml:space="preserve">The Commission, especially its Child Rights Center, shall take a position on the question of detention of persons who are already adults but accused of crimes committed when they were younger. To refer to the Juvenile Justice Welfare Council and be used as a guide for duty bearers, especially the courts and be advocated to become part of the Supreme Court’s rules of procedure on cases involving CICLs. Further, a repeated comment from people working on the ground is on the disqualification of CICLs with pending cases from the non-detention rule because of allegations of “incorrigibility.” </w:t>
      </w:r>
    </w:p>
    <w:p w14:paraId="5FDFDE2D" w14:textId="77777777" w:rsidR="00330B2F" w:rsidRDefault="00330B2F">
      <w:pPr>
        <w:spacing w:after="0" w:line="240" w:lineRule="auto"/>
        <w:ind w:left="720"/>
        <w:jc w:val="both"/>
        <w:rPr>
          <w:sz w:val="20"/>
          <w:szCs w:val="20"/>
        </w:rPr>
      </w:pPr>
    </w:p>
    <w:p w14:paraId="2A5B46E1" w14:textId="2296A781" w:rsidR="00330B2F" w:rsidRDefault="00CB64F9">
      <w:pPr>
        <w:shd w:val="clear" w:color="auto" w:fill="FFFFFF"/>
        <w:spacing w:after="0" w:line="240" w:lineRule="auto"/>
        <w:rPr>
          <w:sz w:val="20"/>
          <w:szCs w:val="20"/>
        </w:rPr>
      </w:pPr>
      <w:r>
        <w:rPr>
          <w:sz w:val="20"/>
          <w:szCs w:val="20"/>
        </w:rPr>
        <w:t xml:space="preserve">     </w:t>
      </w:r>
      <w:r>
        <w:rPr>
          <w:b/>
          <w:sz w:val="20"/>
          <w:szCs w:val="20"/>
        </w:rPr>
        <w:t xml:space="preserve">Right to Education: </w:t>
      </w:r>
    </w:p>
    <w:p w14:paraId="0ABAFA1C" w14:textId="77777777" w:rsidR="00330B2F" w:rsidRDefault="00330B2F">
      <w:pPr>
        <w:spacing w:after="0" w:line="240" w:lineRule="auto"/>
        <w:ind w:left="720"/>
        <w:jc w:val="both"/>
        <w:rPr>
          <w:sz w:val="20"/>
          <w:szCs w:val="20"/>
        </w:rPr>
      </w:pPr>
    </w:p>
    <w:p w14:paraId="4219CBE1" w14:textId="77777777" w:rsidR="00330B2F" w:rsidRDefault="00CB64F9">
      <w:pPr>
        <w:numPr>
          <w:ilvl w:val="0"/>
          <w:numId w:val="16"/>
        </w:numPr>
        <w:spacing w:after="0" w:line="240" w:lineRule="auto"/>
        <w:jc w:val="both"/>
        <w:rPr>
          <w:sz w:val="20"/>
          <w:szCs w:val="20"/>
        </w:rPr>
      </w:pPr>
      <w:r>
        <w:rPr>
          <w:sz w:val="20"/>
          <w:szCs w:val="20"/>
        </w:rPr>
        <w:t>The obligation of the State in attending to the people’s right to education must cater both to its accessibility and the quality of education received so that child learners, particularly, can be productive members of society and ultimately participate in nation-building. The Department of Education (DepEd), begging the implementation of the child rights policy in its offices, public schools, and community learning centers, has these recent issuances for Philippine basic education:</w:t>
      </w:r>
    </w:p>
    <w:p w14:paraId="72AF4A0E" w14:textId="77777777" w:rsidR="00330B2F" w:rsidRDefault="00330B2F">
      <w:pPr>
        <w:shd w:val="clear" w:color="auto" w:fill="FFFFFF"/>
        <w:spacing w:after="0" w:line="240" w:lineRule="auto"/>
        <w:jc w:val="both"/>
        <w:rPr>
          <w:sz w:val="20"/>
          <w:szCs w:val="20"/>
        </w:rPr>
      </w:pPr>
    </w:p>
    <w:p w14:paraId="49B8FAB0" w14:textId="1401BB76" w:rsidR="00330B2F" w:rsidRDefault="00CB64F9">
      <w:pPr>
        <w:numPr>
          <w:ilvl w:val="0"/>
          <w:numId w:val="4"/>
        </w:numPr>
        <w:pBdr>
          <w:top w:val="nil"/>
          <w:left w:val="nil"/>
          <w:bottom w:val="nil"/>
          <w:right w:val="nil"/>
          <w:between w:val="nil"/>
        </w:pBdr>
        <w:shd w:val="clear" w:color="auto" w:fill="FFFFFF"/>
        <w:spacing w:after="0" w:line="240" w:lineRule="auto"/>
        <w:jc w:val="both"/>
        <w:rPr>
          <w:color w:val="000000"/>
          <w:sz w:val="20"/>
          <w:szCs w:val="20"/>
        </w:rPr>
      </w:pPr>
      <w:r>
        <w:rPr>
          <w:color w:val="000000"/>
          <w:sz w:val="20"/>
          <w:szCs w:val="20"/>
        </w:rPr>
        <w:t>The DepEd Policy creating the Child Protection Unit (CPU) and Child Rights in Education Desk (</w:t>
      </w:r>
      <w:proofErr w:type="spellStart"/>
      <w:r>
        <w:rPr>
          <w:color w:val="000000"/>
          <w:sz w:val="20"/>
          <w:szCs w:val="20"/>
        </w:rPr>
        <w:t>CREDe</w:t>
      </w:r>
      <w:proofErr w:type="spellEnd"/>
      <w:r>
        <w:rPr>
          <w:color w:val="000000"/>
          <w:sz w:val="20"/>
          <w:szCs w:val="20"/>
        </w:rPr>
        <w:t>)</w:t>
      </w:r>
      <w:r>
        <w:rPr>
          <w:color w:val="000000"/>
          <w:sz w:val="20"/>
          <w:szCs w:val="20"/>
          <w:vertAlign w:val="superscript"/>
        </w:rPr>
        <w:footnoteReference w:id="30"/>
      </w:r>
      <w:r>
        <w:rPr>
          <w:color w:val="000000"/>
          <w:sz w:val="20"/>
          <w:szCs w:val="20"/>
        </w:rPr>
        <w:t>,</w:t>
      </w:r>
      <w:r w:rsidR="00FD1888">
        <w:rPr>
          <w:color w:val="000000"/>
          <w:sz w:val="20"/>
          <w:szCs w:val="20"/>
        </w:rPr>
        <w:t xml:space="preserve"> </w:t>
      </w:r>
      <w:r>
        <w:rPr>
          <w:color w:val="000000"/>
          <w:sz w:val="20"/>
          <w:szCs w:val="20"/>
        </w:rPr>
        <w:t>is a step toward the right direction in ensuring accessible and quality basic education for every child that is also free from abuse, violence, neglect, and other harms that impinge on the full realization of rights enshrined in the 1987 Philippine Constitution and the Convention on the Rights of Child, among others;</w:t>
      </w:r>
    </w:p>
    <w:p w14:paraId="587618AA" w14:textId="77777777" w:rsidR="00330B2F" w:rsidRDefault="00330B2F">
      <w:pPr>
        <w:pBdr>
          <w:top w:val="nil"/>
          <w:left w:val="nil"/>
          <w:bottom w:val="nil"/>
          <w:right w:val="nil"/>
          <w:between w:val="nil"/>
        </w:pBdr>
        <w:shd w:val="clear" w:color="auto" w:fill="FFFFFF"/>
        <w:spacing w:after="0" w:line="240" w:lineRule="auto"/>
        <w:ind w:left="1080"/>
        <w:jc w:val="both"/>
        <w:rPr>
          <w:color w:val="000000"/>
          <w:sz w:val="20"/>
          <w:szCs w:val="20"/>
        </w:rPr>
      </w:pPr>
    </w:p>
    <w:p w14:paraId="459D0CB9" w14:textId="3F6D3424" w:rsidR="00330B2F" w:rsidRDefault="00CB64F9">
      <w:pPr>
        <w:numPr>
          <w:ilvl w:val="0"/>
          <w:numId w:val="4"/>
        </w:numPr>
        <w:pBdr>
          <w:top w:val="nil"/>
          <w:left w:val="nil"/>
          <w:bottom w:val="nil"/>
          <w:right w:val="nil"/>
          <w:between w:val="nil"/>
        </w:pBdr>
        <w:shd w:val="clear" w:color="auto" w:fill="FFFFFF"/>
        <w:spacing w:after="0" w:line="240" w:lineRule="auto"/>
        <w:jc w:val="both"/>
        <w:rPr>
          <w:color w:val="000000"/>
          <w:sz w:val="20"/>
          <w:szCs w:val="20"/>
        </w:rPr>
      </w:pPr>
      <w:r>
        <w:rPr>
          <w:color w:val="000000"/>
          <w:sz w:val="20"/>
          <w:szCs w:val="20"/>
        </w:rPr>
        <w:t>DepEd’s adoption on the rights-based education (RBE) framework, which comprises three dimensions: the right to access education, right to quality education, and the right to respect and well-being in the learning environment-recognizes th</w:t>
      </w:r>
      <w:r w:rsidR="00A01DA2">
        <w:rPr>
          <w:color w:val="000000"/>
          <w:sz w:val="20"/>
          <w:szCs w:val="20"/>
        </w:rPr>
        <w:t>at</w:t>
      </w:r>
      <w:r>
        <w:rPr>
          <w:color w:val="000000"/>
          <w:sz w:val="20"/>
          <w:szCs w:val="20"/>
        </w:rPr>
        <w:t xml:space="preserve"> children are rights-holders who are active participants in their education and development. Duty-bearers then, such as the State and its agencies, shall correspondingly uphold these education rights as a matter of legal obligation. Having this RBE-DepEd’s experiential components instill among the children their intrinsic human rights: learning as a right, learning about rights, and learning through their rights. Fostering a generation of children cognizant of their dignity and rights creates a future where citizens advocate their own and other rights. </w:t>
      </w:r>
    </w:p>
    <w:p w14:paraId="34FDDC51" w14:textId="77777777" w:rsidR="00330B2F" w:rsidRDefault="00330B2F">
      <w:pPr>
        <w:shd w:val="clear" w:color="auto" w:fill="FFFFFF"/>
        <w:spacing w:after="0" w:line="240" w:lineRule="auto"/>
        <w:jc w:val="both"/>
        <w:rPr>
          <w:sz w:val="20"/>
          <w:szCs w:val="20"/>
        </w:rPr>
      </w:pPr>
    </w:p>
    <w:p w14:paraId="09F9D15E" w14:textId="3A610A4D" w:rsidR="00330B2F" w:rsidRDefault="00CB64F9">
      <w:pPr>
        <w:numPr>
          <w:ilvl w:val="0"/>
          <w:numId w:val="16"/>
        </w:numPr>
        <w:spacing w:after="0" w:line="240" w:lineRule="auto"/>
        <w:jc w:val="both"/>
        <w:rPr>
          <w:sz w:val="20"/>
          <w:szCs w:val="20"/>
        </w:rPr>
      </w:pPr>
      <w:r>
        <w:rPr>
          <w:sz w:val="20"/>
          <w:szCs w:val="20"/>
        </w:rPr>
        <w:t>During the first State of the Nation Address (SONA) of President Ferdinand “Bongbong” Romualdez Marcos on 25 June 2022, the DepEd was directed to already resume the in-person classes (face to face), after two years of remote /online learning. Subsequently, “guidelines on enrollment for school year 2022-2023 was issued to provide a range of options relating to the enrollment of learners for all public schools in basic education and alternative learning system programs nationwide. It will seek to ensure continued access to learning opportunities through the conduct of an enrollment process that is efficient, safe, and in line with minimum health and safety standards”.</w:t>
      </w:r>
      <w:r>
        <w:rPr>
          <w:sz w:val="20"/>
          <w:szCs w:val="20"/>
          <w:vertAlign w:val="superscript"/>
        </w:rPr>
        <w:footnoteReference w:id="31"/>
      </w:r>
    </w:p>
    <w:p w14:paraId="4FE1B0A1" w14:textId="77777777" w:rsidR="00330B2F" w:rsidRDefault="00330B2F">
      <w:pPr>
        <w:pBdr>
          <w:top w:val="nil"/>
          <w:left w:val="nil"/>
          <w:bottom w:val="nil"/>
          <w:right w:val="nil"/>
          <w:between w:val="nil"/>
        </w:pBdr>
        <w:shd w:val="clear" w:color="auto" w:fill="FFFFFF"/>
        <w:spacing w:after="0" w:line="240" w:lineRule="auto"/>
        <w:jc w:val="both"/>
        <w:rPr>
          <w:sz w:val="20"/>
          <w:szCs w:val="20"/>
        </w:rPr>
      </w:pPr>
    </w:p>
    <w:p w14:paraId="2041F425" w14:textId="77777777" w:rsidR="00330B2F" w:rsidRDefault="00CB64F9">
      <w:pPr>
        <w:numPr>
          <w:ilvl w:val="0"/>
          <w:numId w:val="16"/>
        </w:numPr>
        <w:spacing w:after="0" w:line="240" w:lineRule="auto"/>
        <w:jc w:val="both"/>
        <w:rPr>
          <w:sz w:val="20"/>
          <w:szCs w:val="20"/>
        </w:rPr>
      </w:pPr>
      <w:r>
        <w:rPr>
          <w:color w:val="000000"/>
          <w:sz w:val="20"/>
          <w:szCs w:val="20"/>
        </w:rPr>
        <w:t>In 2020, the Department of Education adopted the Basic Education Learning Continuity Plan</w:t>
      </w:r>
      <w:r>
        <w:rPr>
          <w:color w:val="000000"/>
          <w:sz w:val="20"/>
          <w:szCs w:val="20"/>
          <w:vertAlign w:val="superscript"/>
        </w:rPr>
        <w:footnoteReference w:id="32"/>
      </w:r>
      <w:r>
        <w:rPr>
          <w:color w:val="000000"/>
          <w:sz w:val="20"/>
          <w:szCs w:val="20"/>
        </w:rPr>
        <w:t xml:space="preserve"> (BE-LCP), a roadmap using participatory approach to provide guidance to the Department on how to deliver education in this time of crisis, while ensuring health, safety and welfare of all learners, teachers, and personnel of DepEd. Some of the relevant components of the plan include: (1) streamlining the K to 12 Curriculum to the Most Essential Learning Competencies </w:t>
      </w:r>
      <w:r>
        <w:rPr>
          <w:color w:val="000000"/>
          <w:sz w:val="20"/>
          <w:szCs w:val="20"/>
        </w:rPr>
        <w:lastRenderedPageBreak/>
        <w:t xml:space="preserve">(MELCs); (2) multiple learning modalities, with blended learning and distance learning as major options; and (3) preparing teachers and school leaders for multiple learning delivery modalities. </w:t>
      </w:r>
    </w:p>
    <w:p w14:paraId="1D3FF940" w14:textId="77777777" w:rsidR="00330B2F" w:rsidRDefault="00330B2F">
      <w:pPr>
        <w:spacing w:after="0" w:line="240" w:lineRule="auto"/>
        <w:jc w:val="both"/>
        <w:rPr>
          <w:sz w:val="20"/>
          <w:szCs w:val="20"/>
        </w:rPr>
      </w:pPr>
    </w:p>
    <w:p w14:paraId="3A49BC81" w14:textId="77777777" w:rsidR="00330B2F" w:rsidRDefault="00CB64F9">
      <w:pPr>
        <w:numPr>
          <w:ilvl w:val="0"/>
          <w:numId w:val="16"/>
        </w:numPr>
        <w:spacing w:after="0" w:line="240" w:lineRule="auto"/>
        <w:jc w:val="both"/>
        <w:rPr>
          <w:sz w:val="20"/>
          <w:szCs w:val="20"/>
        </w:rPr>
      </w:pPr>
      <w:r>
        <w:rPr>
          <w:color w:val="000000"/>
          <w:sz w:val="20"/>
          <w:szCs w:val="20"/>
        </w:rPr>
        <w:t xml:space="preserve">The </w:t>
      </w:r>
      <w:proofErr w:type="spellStart"/>
      <w:r>
        <w:rPr>
          <w:color w:val="000000"/>
          <w:sz w:val="20"/>
          <w:szCs w:val="20"/>
        </w:rPr>
        <w:t>Bayanihan</w:t>
      </w:r>
      <w:proofErr w:type="spellEnd"/>
      <w:r>
        <w:rPr>
          <w:color w:val="000000"/>
          <w:sz w:val="20"/>
          <w:szCs w:val="20"/>
        </w:rPr>
        <w:t xml:space="preserve"> To Heal as One Act</w:t>
      </w:r>
      <w:r>
        <w:rPr>
          <w:color w:val="000000"/>
          <w:sz w:val="20"/>
          <w:szCs w:val="20"/>
          <w:vertAlign w:val="superscript"/>
        </w:rPr>
        <w:footnoteReference w:id="33"/>
      </w:r>
      <w:r>
        <w:rPr>
          <w:color w:val="000000"/>
          <w:sz w:val="20"/>
          <w:szCs w:val="20"/>
        </w:rPr>
        <w:t xml:space="preserve"> (RA 11469), provides that every stakeholder, mainly the Department of Education and its stakeholders have to work hard to what they have issued in their list of directives to ensure that the right to education of Filipino children is not interrupted due to the on-going health crisis. </w:t>
      </w:r>
    </w:p>
    <w:p w14:paraId="39D179CE" w14:textId="77777777" w:rsidR="00330B2F" w:rsidRDefault="00330B2F">
      <w:pPr>
        <w:spacing w:after="0" w:line="240" w:lineRule="auto"/>
        <w:ind w:left="720"/>
        <w:jc w:val="both"/>
        <w:rPr>
          <w:sz w:val="20"/>
          <w:szCs w:val="20"/>
        </w:rPr>
      </w:pPr>
    </w:p>
    <w:p w14:paraId="343A9E9E" w14:textId="158D6DD9" w:rsidR="00330B2F" w:rsidRDefault="00CB64F9">
      <w:pPr>
        <w:numPr>
          <w:ilvl w:val="0"/>
          <w:numId w:val="16"/>
        </w:numPr>
        <w:spacing w:after="0" w:line="240" w:lineRule="auto"/>
        <w:jc w:val="both"/>
        <w:rPr>
          <w:sz w:val="20"/>
          <w:szCs w:val="20"/>
        </w:rPr>
      </w:pPr>
      <w:r>
        <w:rPr>
          <w:sz w:val="20"/>
          <w:szCs w:val="20"/>
        </w:rPr>
        <w:t>The Commission believes that the realization of an inclusive, equitable, and quality education for every Filipino child is a shared responsibility. We call on our leaders to be resolute in empowering and upholding the fundamental rights and individual freedoms of Filipinos, starting with education as the gateway for the exercise of all human rights.</w:t>
      </w:r>
      <w:r>
        <w:rPr>
          <w:sz w:val="20"/>
          <w:szCs w:val="20"/>
          <w:vertAlign w:val="superscript"/>
        </w:rPr>
        <w:footnoteReference w:id="34"/>
      </w:r>
      <w:r>
        <w:rPr>
          <w:sz w:val="20"/>
          <w:szCs w:val="20"/>
          <w:vertAlign w:val="superscript"/>
        </w:rPr>
        <w:t xml:space="preserve"> </w:t>
      </w:r>
      <w:r>
        <w:rPr>
          <w:sz w:val="20"/>
          <w:szCs w:val="20"/>
        </w:rPr>
        <w:t xml:space="preserve">In 2021-2022, the Commission with funding support from UNICEF conducted 11 consultations on Child Participation in the UNCRC reporting, monitoring and implementation process. Attendees of the consultations were from the least consulted children such as the Moro children, </w:t>
      </w:r>
      <w:r w:rsidRPr="00030F46">
        <w:rPr>
          <w:sz w:val="20"/>
          <w:szCs w:val="20"/>
        </w:rPr>
        <w:t>children of persons deprived of liberty,</w:t>
      </w:r>
      <w:r>
        <w:rPr>
          <w:b/>
          <w:sz w:val="20"/>
          <w:szCs w:val="20"/>
        </w:rPr>
        <w:t xml:space="preserve"> </w:t>
      </w:r>
      <w:r>
        <w:rPr>
          <w:sz w:val="20"/>
          <w:szCs w:val="20"/>
        </w:rPr>
        <w:t>internally displaced children, indigenous children, working children, children with disabilities, children from geographically isolated and disadvantaged areas (GIDA) and children without access to technology.</w:t>
      </w:r>
      <w:r>
        <w:rPr>
          <w:sz w:val="20"/>
          <w:szCs w:val="20"/>
          <w:vertAlign w:val="superscript"/>
        </w:rPr>
        <w:footnoteReference w:id="35"/>
      </w:r>
      <w:r>
        <w:rPr>
          <w:sz w:val="20"/>
          <w:szCs w:val="20"/>
        </w:rPr>
        <w:t xml:space="preserve"> </w:t>
      </w:r>
    </w:p>
    <w:p w14:paraId="47E3D184" w14:textId="77777777" w:rsidR="00330B2F" w:rsidRDefault="00330B2F">
      <w:pPr>
        <w:spacing w:after="0" w:line="240" w:lineRule="auto"/>
        <w:ind w:left="720"/>
        <w:jc w:val="both"/>
        <w:rPr>
          <w:sz w:val="20"/>
          <w:szCs w:val="20"/>
        </w:rPr>
      </w:pPr>
    </w:p>
    <w:p w14:paraId="09E97EB0" w14:textId="77777777" w:rsidR="00330B2F" w:rsidRDefault="00CB64F9">
      <w:pPr>
        <w:numPr>
          <w:ilvl w:val="0"/>
          <w:numId w:val="16"/>
        </w:numPr>
        <w:spacing w:after="0" w:line="240" w:lineRule="auto"/>
        <w:jc w:val="both"/>
        <w:rPr>
          <w:sz w:val="20"/>
          <w:szCs w:val="20"/>
        </w:rPr>
      </w:pPr>
      <w:r>
        <w:rPr>
          <w:sz w:val="20"/>
          <w:szCs w:val="20"/>
        </w:rPr>
        <w:t>The Commission released a situation report</w:t>
      </w:r>
      <w:r>
        <w:rPr>
          <w:sz w:val="20"/>
          <w:szCs w:val="20"/>
          <w:vertAlign w:val="superscript"/>
        </w:rPr>
        <w:footnoteReference w:id="36"/>
      </w:r>
      <w:r>
        <w:rPr>
          <w:sz w:val="20"/>
          <w:szCs w:val="20"/>
        </w:rPr>
        <w:t>, that tackles the Right to Access to Education of Children Amidst the COVID-19 Pandemic pertaining to children, particularly for this study, the Children with Disabilities Sector. Moreover, this project was propelled by the long overdue need to respond to the concerns of Children and Their Right to Access to Education especially in this health emergency and was designed to determine possible violation of the rights of the child to access quality education in this pandemic and initially, if there is quality education in this pandemic.</w:t>
      </w:r>
    </w:p>
    <w:p w14:paraId="5DADCF39" w14:textId="77777777" w:rsidR="00330B2F" w:rsidRDefault="00330B2F">
      <w:pPr>
        <w:spacing w:after="0" w:line="240" w:lineRule="auto"/>
        <w:jc w:val="both"/>
        <w:rPr>
          <w:sz w:val="20"/>
          <w:szCs w:val="20"/>
        </w:rPr>
      </w:pPr>
    </w:p>
    <w:p w14:paraId="6FF39AC4" w14:textId="77777777" w:rsidR="00330B2F" w:rsidRDefault="00CB64F9">
      <w:pPr>
        <w:spacing w:after="0" w:line="240" w:lineRule="auto"/>
        <w:ind w:left="720"/>
        <w:jc w:val="both"/>
        <w:rPr>
          <w:sz w:val="20"/>
          <w:szCs w:val="20"/>
        </w:rPr>
      </w:pPr>
      <w:r>
        <w:rPr>
          <w:sz w:val="20"/>
          <w:szCs w:val="20"/>
        </w:rPr>
        <w:t xml:space="preserve">The results and discussion of this paper posed evidence-based revelations from the main stakeholders of the education sector- the parents, students, teachers, government sector, and the non-government sector. The FGD and surveys conducted together with the relevant laws and policies on quality education promotion and provision to Filipino children with or without disability, indigenous people or not, have posed alarming situations of their current learning modalities. </w:t>
      </w:r>
    </w:p>
    <w:p w14:paraId="6F8541F8" w14:textId="77777777" w:rsidR="00330B2F" w:rsidRDefault="00CB64F9">
      <w:pPr>
        <w:numPr>
          <w:ilvl w:val="0"/>
          <w:numId w:val="8"/>
        </w:numPr>
        <w:spacing w:after="0" w:line="240" w:lineRule="auto"/>
        <w:jc w:val="both"/>
        <w:rPr>
          <w:sz w:val="20"/>
          <w:szCs w:val="20"/>
        </w:rPr>
      </w:pPr>
      <w:r>
        <w:rPr>
          <w:sz w:val="20"/>
          <w:szCs w:val="20"/>
        </w:rPr>
        <w:t xml:space="preserve">The asymmetry and poor transition of the education sector to challenge the impacts of the COVID-19 pandemic clearly provided some forms of violation on the rights of the child to access, inclusive, relevant and quality education for all children; </w:t>
      </w:r>
    </w:p>
    <w:p w14:paraId="6640AF2B" w14:textId="77777777" w:rsidR="00330B2F" w:rsidRDefault="00CB64F9">
      <w:pPr>
        <w:numPr>
          <w:ilvl w:val="0"/>
          <w:numId w:val="8"/>
        </w:numPr>
        <w:spacing w:after="0" w:line="240" w:lineRule="auto"/>
        <w:jc w:val="both"/>
        <w:rPr>
          <w:sz w:val="20"/>
          <w:szCs w:val="20"/>
        </w:rPr>
      </w:pPr>
      <w:r>
        <w:rPr>
          <w:sz w:val="20"/>
          <w:szCs w:val="20"/>
        </w:rPr>
        <w:t>The readiness of all stakeholders in embracing and trying its best to apply distance online learning modalities, blended learning modality and modular learning modality was a huge disappointment most especially of the students, parents and teachers; and</w:t>
      </w:r>
    </w:p>
    <w:p w14:paraId="5A8CE9FF" w14:textId="77777777" w:rsidR="00330B2F" w:rsidRDefault="00CB64F9">
      <w:pPr>
        <w:numPr>
          <w:ilvl w:val="0"/>
          <w:numId w:val="8"/>
        </w:numPr>
        <w:spacing w:after="0" w:line="240" w:lineRule="auto"/>
        <w:jc w:val="both"/>
        <w:rPr>
          <w:sz w:val="20"/>
          <w:szCs w:val="20"/>
        </w:rPr>
      </w:pPr>
      <w:r>
        <w:rPr>
          <w:sz w:val="20"/>
          <w:szCs w:val="20"/>
        </w:rPr>
        <w:t>As teacher themselves have played a trying-hard role, students and their parents suffered the most in catching up with their chosen learning modality and in dealing with their learning process especially in the coming school year 2021-2022”.</w:t>
      </w:r>
      <w:r>
        <w:rPr>
          <w:sz w:val="20"/>
          <w:szCs w:val="20"/>
          <w:vertAlign w:val="superscript"/>
        </w:rPr>
        <w:footnoteReference w:id="37"/>
      </w:r>
    </w:p>
    <w:p w14:paraId="6AF9D29F" w14:textId="77777777" w:rsidR="00330B2F" w:rsidRDefault="00330B2F">
      <w:pPr>
        <w:spacing w:after="0" w:line="240" w:lineRule="auto"/>
        <w:jc w:val="both"/>
        <w:rPr>
          <w:b/>
          <w:sz w:val="20"/>
          <w:szCs w:val="20"/>
        </w:rPr>
      </w:pPr>
    </w:p>
    <w:p w14:paraId="0D1208B0" w14:textId="77777777" w:rsidR="00330B2F" w:rsidRDefault="00CB64F9">
      <w:pPr>
        <w:spacing w:after="0" w:line="240" w:lineRule="auto"/>
        <w:jc w:val="both"/>
        <w:rPr>
          <w:b/>
          <w:sz w:val="20"/>
          <w:szCs w:val="20"/>
        </w:rPr>
      </w:pPr>
      <w:r>
        <w:rPr>
          <w:b/>
          <w:sz w:val="20"/>
          <w:szCs w:val="20"/>
        </w:rPr>
        <w:t>Emerging child protection issues on children particularly Children in situation of armed conflict (CSAC) and Lesbian, Gays, Bisexuals, Transgenders, Queer and Intersex (LGBTQI)/ those with diverse sexual orientation, gender identity expression (SOGIE);</w:t>
      </w:r>
    </w:p>
    <w:p w14:paraId="07E40336" w14:textId="77777777" w:rsidR="00330B2F" w:rsidRDefault="00330B2F">
      <w:pPr>
        <w:shd w:val="clear" w:color="auto" w:fill="FFFFFF"/>
        <w:spacing w:after="0" w:line="240" w:lineRule="auto"/>
        <w:jc w:val="both"/>
        <w:rPr>
          <w:b/>
          <w:sz w:val="20"/>
          <w:szCs w:val="20"/>
        </w:rPr>
      </w:pPr>
    </w:p>
    <w:p w14:paraId="515BD5BB" w14:textId="77777777" w:rsidR="00330B2F" w:rsidRDefault="00CB64F9">
      <w:pPr>
        <w:shd w:val="clear" w:color="auto" w:fill="FFFFFF"/>
        <w:spacing w:after="0" w:line="240" w:lineRule="auto"/>
        <w:jc w:val="both"/>
        <w:rPr>
          <w:b/>
          <w:sz w:val="20"/>
          <w:szCs w:val="20"/>
        </w:rPr>
      </w:pPr>
      <w:r>
        <w:rPr>
          <w:b/>
          <w:sz w:val="20"/>
          <w:szCs w:val="20"/>
        </w:rPr>
        <w:t>On the sector of Children in Situation of Armed Conflict (CSAC)</w:t>
      </w:r>
      <w:r>
        <w:rPr>
          <w:b/>
          <w:sz w:val="20"/>
          <w:szCs w:val="20"/>
          <w:vertAlign w:val="superscript"/>
        </w:rPr>
        <w:footnoteReference w:id="38"/>
      </w:r>
      <w:r>
        <w:rPr>
          <w:b/>
          <w:sz w:val="20"/>
          <w:szCs w:val="20"/>
        </w:rPr>
        <w:t>:</w:t>
      </w:r>
    </w:p>
    <w:p w14:paraId="4B2339BB" w14:textId="77777777" w:rsidR="00330B2F" w:rsidRDefault="00330B2F">
      <w:pPr>
        <w:shd w:val="clear" w:color="auto" w:fill="FFFFFF"/>
        <w:spacing w:after="0" w:line="240" w:lineRule="auto"/>
        <w:jc w:val="both"/>
        <w:rPr>
          <w:b/>
          <w:sz w:val="20"/>
          <w:szCs w:val="20"/>
        </w:rPr>
      </w:pPr>
    </w:p>
    <w:p w14:paraId="216A89C3" w14:textId="521AC7B9" w:rsidR="00330B2F" w:rsidRDefault="00CB64F9">
      <w:pPr>
        <w:numPr>
          <w:ilvl w:val="0"/>
          <w:numId w:val="16"/>
        </w:numPr>
        <w:pBdr>
          <w:top w:val="nil"/>
          <w:left w:val="nil"/>
          <w:bottom w:val="nil"/>
          <w:right w:val="nil"/>
          <w:between w:val="nil"/>
        </w:pBdr>
        <w:spacing w:after="0" w:line="240" w:lineRule="auto"/>
        <w:jc w:val="both"/>
        <w:rPr>
          <w:color w:val="000000"/>
          <w:sz w:val="20"/>
          <w:szCs w:val="20"/>
        </w:rPr>
      </w:pPr>
      <w:r>
        <w:rPr>
          <w:color w:val="000000"/>
          <w:sz w:val="20"/>
          <w:szCs w:val="20"/>
        </w:rPr>
        <w:t>Since the enactment of Republic Act 11188, it was the first time that one regional office of the Commission received complaints for such violation and thereafter cases increas</w:t>
      </w:r>
      <w:r w:rsidR="008104AA">
        <w:rPr>
          <w:color w:val="000000"/>
          <w:sz w:val="20"/>
          <w:szCs w:val="20"/>
        </w:rPr>
        <w:t xml:space="preserve">ed and </w:t>
      </w:r>
      <w:r>
        <w:rPr>
          <w:color w:val="000000"/>
          <w:sz w:val="20"/>
          <w:szCs w:val="20"/>
        </w:rPr>
        <w:t>were continuously reported. The regional office immediately “call</w:t>
      </w:r>
      <w:r w:rsidR="008104AA">
        <w:rPr>
          <w:color w:val="000000"/>
          <w:sz w:val="20"/>
          <w:szCs w:val="20"/>
        </w:rPr>
        <w:t>ed</w:t>
      </w:r>
      <w:r>
        <w:rPr>
          <w:color w:val="000000"/>
          <w:sz w:val="20"/>
          <w:szCs w:val="20"/>
        </w:rPr>
        <w:t xml:space="preserve"> out the New People’s Army (NPA)” to release the children who were recruited as child soldiers</w:t>
      </w:r>
      <w:r w:rsidR="008104AA">
        <w:rPr>
          <w:color w:val="000000"/>
          <w:sz w:val="20"/>
          <w:szCs w:val="20"/>
        </w:rPr>
        <w:t>.</w:t>
      </w:r>
      <w:r>
        <w:rPr>
          <w:color w:val="000000"/>
          <w:sz w:val="20"/>
          <w:szCs w:val="20"/>
        </w:rPr>
        <w:t xml:space="preserve"> </w:t>
      </w:r>
      <w:r w:rsidR="008104AA">
        <w:rPr>
          <w:color w:val="000000"/>
          <w:sz w:val="20"/>
          <w:szCs w:val="20"/>
        </w:rPr>
        <w:t>I</w:t>
      </w:r>
      <w:r>
        <w:rPr>
          <w:color w:val="000000"/>
          <w:sz w:val="20"/>
          <w:szCs w:val="20"/>
        </w:rPr>
        <w:t xml:space="preserve">n coordination with the Philippine Army, this resulted to more and more children voluntarily surrendering to the Philippine Army. The regional office, with the support of concerned stakeholders will ensure to provide the appropriate interventions to the families of the recruited children once they </w:t>
      </w:r>
      <w:r w:rsidR="008104AA">
        <w:rPr>
          <w:color w:val="000000"/>
          <w:sz w:val="20"/>
          <w:szCs w:val="20"/>
        </w:rPr>
        <w:t xml:space="preserve">are </w:t>
      </w:r>
      <w:r>
        <w:rPr>
          <w:color w:val="000000"/>
          <w:sz w:val="20"/>
          <w:szCs w:val="20"/>
        </w:rPr>
        <w:t>reunited with their families.</w:t>
      </w:r>
      <w:r>
        <w:rPr>
          <w:color w:val="000000"/>
          <w:sz w:val="20"/>
          <w:szCs w:val="20"/>
          <w:vertAlign w:val="superscript"/>
        </w:rPr>
        <w:footnoteReference w:id="39"/>
      </w:r>
      <w:r>
        <w:rPr>
          <w:color w:val="000000"/>
          <w:sz w:val="20"/>
          <w:szCs w:val="20"/>
        </w:rPr>
        <w:t xml:space="preserve">   </w:t>
      </w:r>
    </w:p>
    <w:p w14:paraId="0F33B49E" w14:textId="77777777" w:rsidR="00330B2F" w:rsidRDefault="00330B2F">
      <w:pPr>
        <w:pBdr>
          <w:top w:val="nil"/>
          <w:left w:val="nil"/>
          <w:bottom w:val="nil"/>
          <w:right w:val="nil"/>
          <w:between w:val="nil"/>
        </w:pBdr>
        <w:spacing w:after="0" w:line="240" w:lineRule="auto"/>
        <w:ind w:left="720"/>
        <w:jc w:val="both"/>
        <w:rPr>
          <w:color w:val="000000"/>
          <w:sz w:val="20"/>
          <w:szCs w:val="20"/>
        </w:rPr>
      </w:pPr>
    </w:p>
    <w:p w14:paraId="4DA4BC68" w14:textId="77777777" w:rsidR="00330B2F" w:rsidRDefault="00CB64F9">
      <w:pPr>
        <w:numPr>
          <w:ilvl w:val="0"/>
          <w:numId w:val="16"/>
        </w:numPr>
        <w:pBdr>
          <w:top w:val="nil"/>
          <w:left w:val="nil"/>
          <w:bottom w:val="nil"/>
          <w:right w:val="nil"/>
          <w:between w:val="nil"/>
        </w:pBdr>
        <w:spacing w:after="0" w:line="240" w:lineRule="auto"/>
        <w:jc w:val="both"/>
        <w:rPr>
          <w:color w:val="000000"/>
          <w:sz w:val="20"/>
          <w:szCs w:val="20"/>
        </w:rPr>
      </w:pPr>
      <w:r>
        <w:rPr>
          <w:color w:val="000000"/>
          <w:sz w:val="20"/>
          <w:szCs w:val="20"/>
        </w:rPr>
        <w:t>The Commission is a member of the Inter-Agency Committee on Children in Situations of Armed Conflict</w:t>
      </w:r>
      <w:r>
        <w:rPr>
          <w:color w:val="000000"/>
          <w:sz w:val="20"/>
          <w:szCs w:val="20"/>
          <w:vertAlign w:val="superscript"/>
        </w:rPr>
        <w:footnoteReference w:id="40"/>
      </w:r>
      <w:r>
        <w:rPr>
          <w:color w:val="000000"/>
          <w:sz w:val="20"/>
          <w:szCs w:val="20"/>
        </w:rPr>
        <w:t xml:space="preserve"> (IAC-CIAC), pursuant to Section 25 of the Republic Act. No. 11188. The IAC-CIAC, created by Executive Order No. 138, to effectively undertake the protection of the welfare of children in situations of armed conflict as well as the implementation of the Act.</w:t>
      </w:r>
      <w:r>
        <w:rPr>
          <w:color w:val="000000"/>
          <w:sz w:val="20"/>
          <w:szCs w:val="20"/>
          <w:vertAlign w:val="superscript"/>
        </w:rPr>
        <w:footnoteReference w:id="41"/>
      </w:r>
      <w:r>
        <w:rPr>
          <w:color w:val="000000"/>
          <w:sz w:val="20"/>
          <w:szCs w:val="20"/>
          <w:vertAlign w:val="superscript"/>
        </w:rPr>
        <w:t xml:space="preserve"> </w:t>
      </w:r>
      <w:r>
        <w:rPr>
          <w:sz w:val="20"/>
          <w:szCs w:val="20"/>
          <w:vertAlign w:val="superscript"/>
        </w:rPr>
        <w:t xml:space="preserve"> </w:t>
      </w:r>
    </w:p>
    <w:p w14:paraId="43DCC5A9" w14:textId="77777777" w:rsidR="00330B2F" w:rsidRDefault="00330B2F">
      <w:pPr>
        <w:pBdr>
          <w:top w:val="nil"/>
          <w:left w:val="nil"/>
          <w:bottom w:val="nil"/>
          <w:right w:val="nil"/>
          <w:between w:val="nil"/>
        </w:pBdr>
        <w:spacing w:after="0" w:line="240" w:lineRule="auto"/>
        <w:ind w:left="720"/>
        <w:jc w:val="both"/>
        <w:rPr>
          <w:sz w:val="20"/>
          <w:szCs w:val="20"/>
        </w:rPr>
      </w:pPr>
    </w:p>
    <w:p w14:paraId="0797C31C" w14:textId="77777777" w:rsidR="00330B2F" w:rsidRDefault="00CB64F9">
      <w:pPr>
        <w:numPr>
          <w:ilvl w:val="0"/>
          <w:numId w:val="9"/>
        </w:numPr>
        <w:pBdr>
          <w:top w:val="nil"/>
          <w:left w:val="nil"/>
          <w:bottom w:val="nil"/>
          <w:right w:val="nil"/>
          <w:between w:val="nil"/>
        </w:pBdr>
        <w:spacing w:after="0" w:line="240" w:lineRule="auto"/>
        <w:jc w:val="both"/>
        <w:rPr>
          <w:color w:val="000000"/>
          <w:sz w:val="20"/>
          <w:szCs w:val="20"/>
        </w:rPr>
      </w:pPr>
      <w:r>
        <w:rPr>
          <w:color w:val="000000"/>
          <w:sz w:val="20"/>
          <w:szCs w:val="20"/>
          <w:highlight w:val="white"/>
        </w:rPr>
        <w:t>Ceremonial Signing of the United Nation-Armed Forces of the Philippines (AFP), strategic plan to protect children in armed conflict, to be implemented for a period of 24 months and can be extended based on a joint review by the AFP</w:t>
      </w:r>
      <w:r>
        <w:rPr>
          <w:color w:val="000000"/>
          <w:sz w:val="20"/>
          <w:szCs w:val="20"/>
          <w:highlight w:val="white"/>
          <w:vertAlign w:val="superscript"/>
        </w:rPr>
        <w:footnoteReference w:id="42"/>
      </w:r>
      <w:r>
        <w:rPr>
          <w:color w:val="000000"/>
          <w:sz w:val="20"/>
          <w:szCs w:val="20"/>
          <w:highlight w:val="white"/>
        </w:rPr>
        <w:t xml:space="preserve"> and the CFTMR</w:t>
      </w:r>
      <w:r>
        <w:rPr>
          <w:color w:val="000000"/>
          <w:sz w:val="20"/>
          <w:szCs w:val="20"/>
          <w:highlight w:val="white"/>
          <w:vertAlign w:val="superscript"/>
        </w:rPr>
        <w:footnoteReference w:id="43"/>
      </w:r>
      <w:r>
        <w:rPr>
          <w:color w:val="000000"/>
          <w:sz w:val="20"/>
          <w:szCs w:val="20"/>
          <w:highlight w:val="white"/>
        </w:rPr>
        <w:t>. The Plan contained undertakings, commitments, benchmarks, and activities for the APF to perform and fully comply with its obligations under international human rights law and international humanitarian law.</w:t>
      </w:r>
      <w:r>
        <w:rPr>
          <w:color w:val="000000"/>
          <w:sz w:val="20"/>
          <w:szCs w:val="20"/>
          <w:highlight w:val="white"/>
          <w:vertAlign w:val="superscript"/>
        </w:rPr>
        <w:footnoteReference w:id="44"/>
      </w:r>
      <w:r>
        <w:rPr>
          <w:color w:val="000000"/>
          <w:sz w:val="20"/>
          <w:szCs w:val="20"/>
          <w:highlight w:val="white"/>
        </w:rPr>
        <w:t xml:space="preserve">  </w:t>
      </w:r>
    </w:p>
    <w:p w14:paraId="6424AD10" w14:textId="77777777" w:rsidR="00330B2F" w:rsidRDefault="00330B2F">
      <w:pPr>
        <w:pBdr>
          <w:top w:val="nil"/>
          <w:left w:val="nil"/>
          <w:bottom w:val="nil"/>
          <w:right w:val="nil"/>
          <w:between w:val="nil"/>
        </w:pBdr>
        <w:spacing w:after="0" w:line="240" w:lineRule="auto"/>
        <w:ind w:left="1440"/>
        <w:jc w:val="both"/>
        <w:rPr>
          <w:sz w:val="20"/>
          <w:szCs w:val="20"/>
          <w:highlight w:val="white"/>
        </w:rPr>
      </w:pPr>
    </w:p>
    <w:p w14:paraId="6E1018E0" w14:textId="3197C81E" w:rsidR="00330B2F" w:rsidRDefault="009B7FF8">
      <w:pPr>
        <w:numPr>
          <w:ilvl w:val="0"/>
          <w:numId w:val="9"/>
        </w:numPr>
        <w:pBdr>
          <w:top w:val="nil"/>
          <w:left w:val="nil"/>
          <w:bottom w:val="nil"/>
          <w:right w:val="nil"/>
          <w:between w:val="nil"/>
        </w:pBdr>
        <w:spacing w:after="0" w:line="240" w:lineRule="auto"/>
        <w:jc w:val="both"/>
        <w:rPr>
          <w:color w:val="000000"/>
          <w:sz w:val="20"/>
          <w:szCs w:val="20"/>
        </w:rPr>
      </w:pPr>
      <w:hyperlink r:id="rId9">
        <w:r w:rsidR="00CB64F9">
          <w:rPr>
            <w:color w:val="1155CC"/>
            <w:sz w:val="20"/>
            <w:szCs w:val="20"/>
            <w:highlight w:val="white"/>
            <w:u w:val="single"/>
          </w:rPr>
          <w:t>AFP Protocol</w:t>
        </w:r>
      </w:hyperlink>
      <w:r w:rsidR="00CB64F9">
        <w:rPr>
          <w:color w:val="1155CC"/>
          <w:sz w:val="20"/>
          <w:szCs w:val="20"/>
          <w:highlight w:val="white"/>
          <w:u w:val="single"/>
          <w:vertAlign w:val="superscript"/>
        </w:rPr>
        <w:footnoteReference w:id="45"/>
      </w:r>
      <w:hyperlink r:id="rId10">
        <w:r w:rsidR="00CB64F9">
          <w:rPr>
            <w:color w:val="1155CC"/>
            <w:sz w:val="20"/>
            <w:szCs w:val="20"/>
            <w:highlight w:val="white"/>
            <w:u w:val="single"/>
          </w:rPr>
          <w:t xml:space="preserve"> for Children in Situations of Armed (CSAC)</w:t>
        </w:r>
      </w:hyperlink>
      <w:r w:rsidR="00CB64F9">
        <w:rPr>
          <w:sz w:val="20"/>
          <w:szCs w:val="20"/>
          <w:highlight w:val="white"/>
        </w:rPr>
        <w:t>, prescribe the policies, procedures and guidelines to be followed by all AFP personnel, units and offices in the handling of CSAC. The protocol appl</w:t>
      </w:r>
      <w:r w:rsidR="008104AA">
        <w:rPr>
          <w:sz w:val="20"/>
          <w:szCs w:val="20"/>
          <w:highlight w:val="white"/>
        </w:rPr>
        <w:t>ie</w:t>
      </w:r>
      <w:r w:rsidR="00CB64F9">
        <w:rPr>
          <w:sz w:val="20"/>
          <w:szCs w:val="20"/>
          <w:highlight w:val="white"/>
        </w:rPr>
        <w:t xml:space="preserve">s to all AFP units </w:t>
      </w:r>
      <w:r w:rsidR="008104AA">
        <w:rPr>
          <w:sz w:val="20"/>
          <w:szCs w:val="20"/>
          <w:highlight w:val="white"/>
        </w:rPr>
        <w:t xml:space="preserve">including, </w:t>
      </w:r>
      <w:r w:rsidR="00CB64F9">
        <w:rPr>
          <w:sz w:val="20"/>
          <w:szCs w:val="20"/>
          <w:highlight w:val="white"/>
        </w:rPr>
        <w:t xml:space="preserve">but not limited to the following: </w:t>
      </w:r>
    </w:p>
    <w:p w14:paraId="7A972FF3" w14:textId="77777777" w:rsidR="00330B2F" w:rsidRDefault="00CB64F9">
      <w:pPr>
        <w:numPr>
          <w:ilvl w:val="0"/>
          <w:numId w:val="17"/>
        </w:numPr>
        <w:pBdr>
          <w:top w:val="nil"/>
          <w:left w:val="nil"/>
          <w:bottom w:val="nil"/>
          <w:right w:val="nil"/>
          <w:between w:val="nil"/>
        </w:pBdr>
        <w:spacing w:after="0" w:line="240" w:lineRule="auto"/>
        <w:jc w:val="both"/>
        <w:rPr>
          <w:sz w:val="20"/>
          <w:szCs w:val="20"/>
          <w:highlight w:val="white"/>
        </w:rPr>
      </w:pPr>
      <w:r>
        <w:rPr>
          <w:sz w:val="20"/>
          <w:szCs w:val="20"/>
          <w:highlight w:val="white"/>
        </w:rPr>
        <w:t xml:space="preserve">All active AFP personnel including members of the Reserve Force, AFP on Active Duty Training (ADT) as well as members of the Citizen Armed Force </w:t>
      </w:r>
      <w:proofErr w:type="spellStart"/>
      <w:r>
        <w:rPr>
          <w:sz w:val="20"/>
          <w:szCs w:val="20"/>
          <w:highlight w:val="white"/>
        </w:rPr>
        <w:t>Georaphical</w:t>
      </w:r>
      <w:proofErr w:type="spellEnd"/>
      <w:r>
        <w:rPr>
          <w:sz w:val="20"/>
          <w:szCs w:val="20"/>
          <w:highlight w:val="white"/>
        </w:rPr>
        <w:t xml:space="preserve"> Unit (CAFGU), Active </w:t>
      </w:r>
      <w:proofErr w:type="spellStart"/>
      <w:r>
        <w:rPr>
          <w:sz w:val="20"/>
          <w:szCs w:val="20"/>
          <w:highlight w:val="white"/>
        </w:rPr>
        <w:t>Auxilliary</w:t>
      </w:r>
      <w:proofErr w:type="spellEnd"/>
      <w:r>
        <w:rPr>
          <w:sz w:val="20"/>
          <w:szCs w:val="20"/>
          <w:highlight w:val="white"/>
        </w:rPr>
        <w:t xml:space="preserve"> (CAA) and Special CAA in the active service;</w:t>
      </w:r>
    </w:p>
    <w:p w14:paraId="151770BF" w14:textId="77777777" w:rsidR="00330B2F" w:rsidRDefault="00CB64F9">
      <w:pPr>
        <w:numPr>
          <w:ilvl w:val="0"/>
          <w:numId w:val="17"/>
        </w:numPr>
        <w:pBdr>
          <w:top w:val="nil"/>
          <w:left w:val="nil"/>
          <w:bottom w:val="nil"/>
          <w:right w:val="nil"/>
          <w:between w:val="nil"/>
        </w:pBdr>
        <w:spacing w:after="0" w:line="240" w:lineRule="auto"/>
        <w:jc w:val="both"/>
        <w:rPr>
          <w:sz w:val="20"/>
          <w:szCs w:val="20"/>
          <w:highlight w:val="white"/>
        </w:rPr>
      </w:pPr>
      <w:r>
        <w:rPr>
          <w:sz w:val="20"/>
          <w:szCs w:val="20"/>
          <w:highlight w:val="white"/>
        </w:rPr>
        <w:t xml:space="preserve">AFP units and offices, especially those responsible for the conduct of investigation </w:t>
      </w:r>
    </w:p>
    <w:p w14:paraId="3F4CFF6B" w14:textId="77777777" w:rsidR="00330B2F" w:rsidRDefault="00330B2F">
      <w:pPr>
        <w:pBdr>
          <w:top w:val="nil"/>
          <w:left w:val="nil"/>
          <w:bottom w:val="nil"/>
          <w:right w:val="nil"/>
          <w:between w:val="nil"/>
        </w:pBdr>
        <w:spacing w:after="0" w:line="240" w:lineRule="auto"/>
        <w:jc w:val="both"/>
        <w:rPr>
          <w:sz w:val="20"/>
          <w:szCs w:val="20"/>
          <w:highlight w:val="white"/>
        </w:rPr>
      </w:pPr>
    </w:p>
    <w:p w14:paraId="07EF6FE9" w14:textId="77777777" w:rsidR="00330B2F" w:rsidRDefault="00CB64F9">
      <w:pPr>
        <w:numPr>
          <w:ilvl w:val="0"/>
          <w:numId w:val="9"/>
        </w:numPr>
        <w:pBdr>
          <w:top w:val="nil"/>
          <w:left w:val="nil"/>
          <w:bottom w:val="nil"/>
          <w:right w:val="nil"/>
          <w:between w:val="nil"/>
        </w:pBdr>
        <w:spacing w:after="0" w:line="240" w:lineRule="auto"/>
        <w:jc w:val="both"/>
        <w:rPr>
          <w:color w:val="000000"/>
          <w:sz w:val="20"/>
          <w:szCs w:val="20"/>
        </w:rPr>
      </w:pPr>
      <w:r>
        <w:rPr>
          <w:color w:val="000000"/>
          <w:sz w:val="20"/>
          <w:szCs w:val="20"/>
          <w:highlight w:val="white"/>
        </w:rPr>
        <w:t>Adoption of the “Philippine National Police Child Protection Policy</w:t>
      </w:r>
      <w:r>
        <w:rPr>
          <w:color w:val="000000"/>
          <w:sz w:val="20"/>
          <w:szCs w:val="20"/>
          <w:highlight w:val="white"/>
          <w:vertAlign w:val="superscript"/>
        </w:rPr>
        <w:footnoteReference w:id="46"/>
      </w:r>
      <w:r>
        <w:rPr>
          <w:color w:val="000000"/>
          <w:sz w:val="20"/>
          <w:szCs w:val="20"/>
          <w:highlight w:val="white"/>
        </w:rPr>
        <w:t xml:space="preserve">, prescribes the basic guideline, procedures, and tools in guaranteeing the protection and safety of </w:t>
      </w:r>
      <w:r>
        <w:rPr>
          <w:color w:val="000000"/>
          <w:sz w:val="20"/>
          <w:szCs w:val="20"/>
          <w:highlight w:val="white"/>
        </w:rPr>
        <w:lastRenderedPageBreak/>
        <w:t xml:space="preserve">children from all forms of neglect, abuse, cruelty, exploitation, and other conditions prejudicial to their development in the conduct of police/rescue operations, investigation, and/or surveillance in times of calamities, </w:t>
      </w:r>
      <w:r>
        <w:rPr>
          <w:b/>
          <w:color w:val="000000"/>
          <w:sz w:val="20"/>
          <w:szCs w:val="20"/>
          <w:highlight w:val="white"/>
        </w:rPr>
        <w:t xml:space="preserve">armed conflict, </w:t>
      </w:r>
      <w:r>
        <w:rPr>
          <w:color w:val="000000"/>
          <w:sz w:val="20"/>
          <w:szCs w:val="20"/>
          <w:highlight w:val="white"/>
        </w:rPr>
        <w:t>and other activities of the PNP and/or while they are under the custody of the PNP.</w:t>
      </w:r>
      <w:r>
        <w:rPr>
          <w:color w:val="000000"/>
          <w:sz w:val="20"/>
          <w:szCs w:val="20"/>
          <w:highlight w:val="white"/>
          <w:vertAlign w:val="superscript"/>
        </w:rPr>
        <w:footnoteReference w:id="47"/>
      </w:r>
      <w:r>
        <w:rPr>
          <w:color w:val="000000"/>
          <w:sz w:val="20"/>
          <w:szCs w:val="20"/>
          <w:highlight w:val="white"/>
        </w:rPr>
        <w:t xml:space="preserve"> </w:t>
      </w:r>
    </w:p>
    <w:p w14:paraId="07A4EE6D" w14:textId="77777777" w:rsidR="00330B2F" w:rsidRDefault="00330B2F">
      <w:pPr>
        <w:pBdr>
          <w:top w:val="nil"/>
          <w:left w:val="nil"/>
          <w:bottom w:val="nil"/>
          <w:right w:val="nil"/>
          <w:between w:val="nil"/>
        </w:pBdr>
        <w:spacing w:after="0" w:line="240" w:lineRule="auto"/>
        <w:ind w:left="1440"/>
        <w:jc w:val="both"/>
        <w:rPr>
          <w:color w:val="000000"/>
          <w:sz w:val="20"/>
          <w:szCs w:val="20"/>
        </w:rPr>
      </w:pPr>
    </w:p>
    <w:p w14:paraId="5D5B8896" w14:textId="26E4EC5C" w:rsidR="00330B2F" w:rsidRDefault="00CB64F9">
      <w:pPr>
        <w:numPr>
          <w:ilvl w:val="0"/>
          <w:numId w:val="9"/>
        </w:numPr>
        <w:pBdr>
          <w:top w:val="nil"/>
          <w:left w:val="nil"/>
          <w:bottom w:val="nil"/>
          <w:right w:val="nil"/>
          <w:between w:val="nil"/>
        </w:pBdr>
        <w:spacing w:after="0" w:line="240" w:lineRule="auto"/>
        <w:jc w:val="both"/>
        <w:rPr>
          <w:color w:val="000000"/>
          <w:sz w:val="20"/>
          <w:szCs w:val="20"/>
        </w:rPr>
      </w:pPr>
      <w:r>
        <w:rPr>
          <w:color w:val="000000"/>
          <w:sz w:val="20"/>
          <w:szCs w:val="20"/>
        </w:rPr>
        <w:t>On 29 September 2020, the IAC-CIAC, issued a Joint Memorandum on the Protocol: Handling Children in Situations of Armed Conflict, “to ensure that CSAC are treated exclusively as victims in so far as their status as members, recruits or affiliates of armed forces or groups is concerned</w:t>
      </w:r>
      <w:r w:rsidR="008104AA">
        <w:rPr>
          <w:color w:val="000000"/>
          <w:sz w:val="20"/>
          <w:szCs w:val="20"/>
        </w:rPr>
        <w:t>,</w:t>
      </w:r>
      <w:r>
        <w:rPr>
          <w:color w:val="000000"/>
          <w:sz w:val="20"/>
          <w:szCs w:val="20"/>
        </w:rPr>
        <w:t xml:space="preserve"> and in this connection that implementers refrain from interrogating, detaining, charging or prosecuting CSAC for mere membership in, affiliation with or even association with armed forces or non-state armed groups, including terrorist or violent extremist organization”.</w:t>
      </w:r>
      <w:r>
        <w:rPr>
          <w:color w:val="000000"/>
          <w:sz w:val="20"/>
          <w:szCs w:val="20"/>
          <w:vertAlign w:val="superscript"/>
        </w:rPr>
        <w:footnoteReference w:id="48"/>
      </w:r>
    </w:p>
    <w:p w14:paraId="1B93DD27" w14:textId="77777777" w:rsidR="00330B2F" w:rsidRDefault="00330B2F">
      <w:pPr>
        <w:spacing w:after="0" w:line="240" w:lineRule="auto"/>
        <w:ind w:left="720"/>
        <w:jc w:val="both"/>
        <w:rPr>
          <w:sz w:val="20"/>
          <w:szCs w:val="20"/>
        </w:rPr>
      </w:pPr>
    </w:p>
    <w:p w14:paraId="1297E1E9" w14:textId="77777777" w:rsidR="00330B2F" w:rsidRDefault="00CB64F9">
      <w:pPr>
        <w:numPr>
          <w:ilvl w:val="0"/>
          <w:numId w:val="16"/>
        </w:numPr>
        <w:spacing w:after="0" w:line="240" w:lineRule="auto"/>
        <w:jc w:val="both"/>
        <w:rPr>
          <w:sz w:val="20"/>
          <w:szCs w:val="20"/>
        </w:rPr>
      </w:pPr>
      <w:r>
        <w:rPr>
          <w:sz w:val="20"/>
          <w:szCs w:val="20"/>
        </w:rPr>
        <w:t>The Commission regularly monitors the situation of CSAC through its Regional Offices. The Regional Offices submit a quarterly report on the cases of CSAC and grave child rights violations (GCRVs) to the CRC. These includes reported and docketed cases that have been and are currently being investigated by the concerned CHR regional office. These cases have also been forwarded to the Monitoring, Reporting, and Response System (MRRS) of the Council for the Welfare of Children (CWC), for reference. And to the United Nations Country Task Force for Monitoring and Reporting (UN-CTFMR), for inclusion in the Global Horizontal Note (GHN) report.</w:t>
      </w:r>
      <w:r>
        <w:rPr>
          <w:sz w:val="20"/>
          <w:szCs w:val="20"/>
          <w:vertAlign w:val="superscript"/>
        </w:rPr>
        <w:footnoteReference w:id="49"/>
      </w:r>
    </w:p>
    <w:p w14:paraId="67C258B8" w14:textId="77777777" w:rsidR="00330B2F" w:rsidRDefault="00330B2F">
      <w:pPr>
        <w:spacing w:after="0" w:line="240" w:lineRule="auto"/>
        <w:ind w:left="720"/>
        <w:jc w:val="both"/>
        <w:rPr>
          <w:sz w:val="20"/>
          <w:szCs w:val="20"/>
        </w:rPr>
      </w:pPr>
    </w:p>
    <w:p w14:paraId="25D28A13" w14:textId="77777777" w:rsidR="00330B2F" w:rsidRDefault="00CB64F9">
      <w:pPr>
        <w:numPr>
          <w:ilvl w:val="0"/>
          <w:numId w:val="16"/>
        </w:numPr>
        <w:spacing w:after="0" w:line="240" w:lineRule="auto"/>
        <w:jc w:val="both"/>
        <w:rPr>
          <w:sz w:val="20"/>
          <w:szCs w:val="20"/>
        </w:rPr>
      </w:pPr>
      <w:r>
        <w:rPr>
          <w:sz w:val="20"/>
          <w:szCs w:val="20"/>
        </w:rPr>
        <w:t>The Commission is an active member of the Country Task Force Monitoring and Reporting (CTFMR) as well as the “Government of the Philippines-Monitoring, Reporting, and Response System (GPH-MRRS)”. Below are some of the cases, as a result of the monitoring and reported cases to the CTRM-TWG, such as:</w:t>
      </w:r>
    </w:p>
    <w:p w14:paraId="1907BEB7" w14:textId="77777777" w:rsidR="00330B2F" w:rsidRDefault="00330B2F">
      <w:pPr>
        <w:spacing w:after="0" w:line="240" w:lineRule="auto"/>
        <w:ind w:left="720"/>
        <w:jc w:val="both"/>
        <w:rPr>
          <w:sz w:val="20"/>
          <w:szCs w:val="20"/>
        </w:rPr>
      </w:pPr>
    </w:p>
    <w:p w14:paraId="592C34B7" w14:textId="77777777" w:rsidR="00330B2F" w:rsidRDefault="00CB64F9">
      <w:pPr>
        <w:numPr>
          <w:ilvl w:val="1"/>
          <w:numId w:val="16"/>
        </w:numPr>
        <w:pBdr>
          <w:top w:val="nil"/>
          <w:left w:val="nil"/>
          <w:bottom w:val="nil"/>
          <w:right w:val="nil"/>
          <w:between w:val="nil"/>
        </w:pBdr>
        <w:spacing w:after="0" w:line="240" w:lineRule="auto"/>
        <w:jc w:val="both"/>
        <w:rPr>
          <w:color w:val="000000"/>
          <w:sz w:val="20"/>
          <w:szCs w:val="20"/>
        </w:rPr>
      </w:pPr>
      <w:r>
        <w:rPr>
          <w:color w:val="000000"/>
          <w:sz w:val="20"/>
          <w:szCs w:val="20"/>
        </w:rPr>
        <w:t>Conducted investigations of all forms of human rights violations including complaints involving children. There were four (4) child rights violation (CRV) cases</w:t>
      </w:r>
      <w:r>
        <w:rPr>
          <w:color w:val="000000"/>
          <w:sz w:val="20"/>
          <w:szCs w:val="20"/>
          <w:vertAlign w:val="superscript"/>
        </w:rPr>
        <w:footnoteReference w:id="50"/>
      </w:r>
      <w:r>
        <w:rPr>
          <w:color w:val="000000"/>
          <w:sz w:val="20"/>
          <w:szCs w:val="20"/>
        </w:rPr>
        <w:t xml:space="preserve"> reported in the region. All CRV cases are still under investigation;</w:t>
      </w:r>
    </w:p>
    <w:p w14:paraId="0FEF4034" w14:textId="77777777" w:rsidR="00330B2F" w:rsidRDefault="00330B2F">
      <w:pPr>
        <w:pBdr>
          <w:top w:val="nil"/>
          <w:left w:val="nil"/>
          <w:bottom w:val="nil"/>
          <w:right w:val="nil"/>
          <w:between w:val="nil"/>
        </w:pBdr>
        <w:spacing w:after="0" w:line="240" w:lineRule="auto"/>
        <w:ind w:left="1440"/>
        <w:jc w:val="both"/>
        <w:rPr>
          <w:color w:val="000000"/>
          <w:sz w:val="20"/>
          <w:szCs w:val="20"/>
        </w:rPr>
      </w:pPr>
    </w:p>
    <w:p w14:paraId="687EB7B2" w14:textId="77777777" w:rsidR="00330B2F" w:rsidRDefault="00CB64F9">
      <w:pPr>
        <w:numPr>
          <w:ilvl w:val="1"/>
          <w:numId w:val="16"/>
        </w:numPr>
        <w:pBdr>
          <w:top w:val="nil"/>
          <w:left w:val="nil"/>
          <w:bottom w:val="nil"/>
          <w:right w:val="nil"/>
          <w:between w:val="nil"/>
        </w:pBdr>
        <w:spacing w:after="0" w:line="240" w:lineRule="auto"/>
        <w:jc w:val="both"/>
        <w:rPr>
          <w:color w:val="000000"/>
          <w:sz w:val="20"/>
          <w:szCs w:val="20"/>
        </w:rPr>
      </w:pPr>
      <w:r>
        <w:rPr>
          <w:color w:val="000000"/>
          <w:sz w:val="20"/>
          <w:szCs w:val="20"/>
        </w:rPr>
        <w:t>Taken cognizance and investigated several incidents where the Armed Forces of the Philippines released</w:t>
      </w:r>
      <w:r>
        <w:rPr>
          <w:color w:val="000000"/>
          <w:sz w:val="20"/>
          <w:szCs w:val="20"/>
          <w:vertAlign w:val="superscript"/>
        </w:rPr>
        <w:footnoteReference w:id="51"/>
      </w:r>
      <w:r>
        <w:rPr>
          <w:color w:val="000000"/>
          <w:sz w:val="20"/>
          <w:szCs w:val="20"/>
          <w:vertAlign w:val="superscript"/>
        </w:rPr>
        <w:t xml:space="preserve"> </w:t>
      </w:r>
      <w:r>
        <w:rPr>
          <w:sz w:val="20"/>
          <w:szCs w:val="20"/>
        </w:rPr>
        <w:t>c</w:t>
      </w:r>
      <w:r>
        <w:rPr>
          <w:color w:val="000000"/>
          <w:sz w:val="20"/>
          <w:szCs w:val="20"/>
        </w:rPr>
        <w:t xml:space="preserve">hildren </w:t>
      </w:r>
      <w:r>
        <w:rPr>
          <w:sz w:val="20"/>
          <w:szCs w:val="20"/>
        </w:rPr>
        <w:t>i</w:t>
      </w:r>
      <w:r>
        <w:rPr>
          <w:color w:val="000000"/>
          <w:sz w:val="20"/>
          <w:szCs w:val="20"/>
        </w:rPr>
        <w:t>nvolved in Armed Conflict (CIAC) as combatants. These children were initially taken into custody either through voluntary surrender or through rescue during combat operations. Three (3) recent incidents of release were recorded. Based on the inquiry conducted by the Commission on the foregoing incidents, these pertinent findings</w:t>
      </w:r>
      <w:r>
        <w:rPr>
          <w:color w:val="000000"/>
          <w:sz w:val="20"/>
          <w:szCs w:val="20"/>
          <w:vertAlign w:val="superscript"/>
        </w:rPr>
        <w:footnoteReference w:id="52"/>
      </w:r>
      <w:r>
        <w:rPr>
          <w:color w:val="000000"/>
          <w:sz w:val="20"/>
          <w:szCs w:val="20"/>
        </w:rPr>
        <w:t xml:space="preserve"> were, among others:</w:t>
      </w:r>
    </w:p>
    <w:p w14:paraId="605A1954" w14:textId="77777777" w:rsidR="00330B2F" w:rsidRDefault="00330B2F">
      <w:pPr>
        <w:spacing w:after="0" w:line="240" w:lineRule="auto"/>
        <w:jc w:val="both"/>
        <w:rPr>
          <w:sz w:val="20"/>
          <w:szCs w:val="20"/>
        </w:rPr>
      </w:pPr>
    </w:p>
    <w:p w14:paraId="7B8A9A68" w14:textId="374C4782" w:rsidR="00330B2F" w:rsidRDefault="00CB64F9">
      <w:pPr>
        <w:numPr>
          <w:ilvl w:val="0"/>
          <w:numId w:val="5"/>
        </w:numPr>
        <w:pBdr>
          <w:top w:val="nil"/>
          <w:left w:val="nil"/>
          <w:bottom w:val="nil"/>
          <w:right w:val="nil"/>
          <w:between w:val="nil"/>
        </w:pBdr>
        <w:spacing w:after="0" w:line="240" w:lineRule="auto"/>
        <w:jc w:val="both"/>
        <w:rPr>
          <w:color w:val="000000"/>
          <w:sz w:val="20"/>
          <w:szCs w:val="20"/>
        </w:rPr>
      </w:pPr>
      <w:r>
        <w:rPr>
          <w:color w:val="000000"/>
          <w:sz w:val="20"/>
          <w:szCs w:val="20"/>
        </w:rPr>
        <w:t xml:space="preserve">Based on the assessment conducted by the local social workers on these children, they are oftentimes placed under the care of the different camps of </w:t>
      </w:r>
      <w:r>
        <w:rPr>
          <w:color w:val="000000"/>
          <w:sz w:val="20"/>
          <w:szCs w:val="20"/>
        </w:rPr>
        <w:lastRenderedPageBreak/>
        <w:t xml:space="preserve">the Philippine Army for security reasons and for the prevention of any threat/retaliation from former companions in the armed group. Moreover, apart from their inclusion in the Enhance Comprehensive Local Integration Program (ECLIP), there are no records which show that they are provided with any psycho-social intervention program to facilitate their re-integration into their communities; </w:t>
      </w:r>
    </w:p>
    <w:p w14:paraId="0F528165" w14:textId="77777777" w:rsidR="00330B2F" w:rsidRDefault="00330B2F">
      <w:pPr>
        <w:pBdr>
          <w:top w:val="nil"/>
          <w:left w:val="nil"/>
          <w:bottom w:val="nil"/>
          <w:right w:val="nil"/>
          <w:between w:val="nil"/>
        </w:pBdr>
        <w:spacing w:after="0" w:line="240" w:lineRule="auto"/>
        <w:ind w:left="1440"/>
        <w:jc w:val="both"/>
        <w:rPr>
          <w:color w:val="000000"/>
          <w:sz w:val="20"/>
          <w:szCs w:val="20"/>
        </w:rPr>
      </w:pPr>
    </w:p>
    <w:p w14:paraId="6B3AABAC" w14:textId="77777777" w:rsidR="00330B2F" w:rsidRDefault="00CB64F9">
      <w:pPr>
        <w:numPr>
          <w:ilvl w:val="0"/>
          <w:numId w:val="18"/>
        </w:numPr>
        <w:pBdr>
          <w:top w:val="nil"/>
          <w:left w:val="nil"/>
          <w:bottom w:val="nil"/>
          <w:right w:val="nil"/>
          <w:between w:val="nil"/>
        </w:pBdr>
        <w:spacing w:after="0" w:line="240" w:lineRule="auto"/>
        <w:jc w:val="both"/>
        <w:rPr>
          <w:sz w:val="20"/>
          <w:szCs w:val="20"/>
        </w:rPr>
      </w:pPr>
      <w:r>
        <w:rPr>
          <w:sz w:val="20"/>
          <w:szCs w:val="20"/>
        </w:rPr>
        <w:t>T</w:t>
      </w:r>
      <w:r>
        <w:rPr>
          <w:color w:val="000000"/>
          <w:sz w:val="20"/>
          <w:szCs w:val="20"/>
        </w:rPr>
        <w:t>he main reason why these children were placed at the military camps was the absence of any center or half-way home that would address their needs, specifically the physical and psychological healing that must be immediately provided after their exposure to the danger and effects of armed conflict;</w:t>
      </w:r>
    </w:p>
    <w:p w14:paraId="44D8D73A" w14:textId="77777777" w:rsidR="00330B2F" w:rsidRDefault="00330B2F">
      <w:pPr>
        <w:pBdr>
          <w:top w:val="nil"/>
          <w:left w:val="nil"/>
          <w:bottom w:val="nil"/>
          <w:right w:val="nil"/>
          <w:between w:val="nil"/>
        </w:pBdr>
        <w:spacing w:after="0" w:line="240" w:lineRule="auto"/>
        <w:ind w:left="720"/>
        <w:rPr>
          <w:color w:val="000000"/>
          <w:sz w:val="20"/>
          <w:szCs w:val="20"/>
        </w:rPr>
      </w:pPr>
    </w:p>
    <w:p w14:paraId="4DC59BB8" w14:textId="77777777" w:rsidR="00330B2F" w:rsidRDefault="00CB64F9">
      <w:pPr>
        <w:numPr>
          <w:ilvl w:val="0"/>
          <w:numId w:val="2"/>
        </w:numPr>
        <w:pBdr>
          <w:top w:val="nil"/>
          <w:left w:val="nil"/>
          <w:bottom w:val="nil"/>
          <w:right w:val="nil"/>
          <w:between w:val="nil"/>
        </w:pBdr>
        <w:spacing w:after="0" w:line="240" w:lineRule="auto"/>
        <w:jc w:val="both"/>
        <w:rPr>
          <w:color w:val="000000"/>
          <w:sz w:val="20"/>
          <w:szCs w:val="20"/>
        </w:rPr>
      </w:pPr>
      <w:r>
        <w:rPr>
          <w:color w:val="000000"/>
          <w:sz w:val="20"/>
          <w:szCs w:val="20"/>
        </w:rPr>
        <w:t xml:space="preserve">There were proposals to place these children at the existing facilities of the </w:t>
      </w:r>
      <w:proofErr w:type="spellStart"/>
      <w:r>
        <w:rPr>
          <w:color w:val="000000"/>
          <w:sz w:val="20"/>
          <w:szCs w:val="20"/>
        </w:rPr>
        <w:t>Bahay</w:t>
      </w:r>
      <w:proofErr w:type="spellEnd"/>
      <w:r>
        <w:rPr>
          <w:color w:val="000000"/>
          <w:sz w:val="20"/>
          <w:szCs w:val="20"/>
        </w:rPr>
        <w:t xml:space="preserve"> </w:t>
      </w:r>
      <w:proofErr w:type="spellStart"/>
      <w:r>
        <w:rPr>
          <w:color w:val="000000"/>
          <w:sz w:val="20"/>
          <w:szCs w:val="20"/>
        </w:rPr>
        <w:t>Pag-asa</w:t>
      </w:r>
      <w:proofErr w:type="spellEnd"/>
      <w:r>
        <w:rPr>
          <w:color w:val="000000"/>
          <w:sz w:val="20"/>
          <w:szCs w:val="20"/>
        </w:rPr>
        <w:t>, Republic Act No. 9344 as amended by Republic Act No. 10630 is specific as to who are only qualified to be placed at these facilities and this does not categorically include CIACs;</w:t>
      </w:r>
    </w:p>
    <w:p w14:paraId="30F3BEE8" w14:textId="77777777" w:rsidR="00330B2F" w:rsidRDefault="00330B2F">
      <w:pPr>
        <w:pBdr>
          <w:top w:val="nil"/>
          <w:left w:val="nil"/>
          <w:bottom w:val="nil"/>
          <w:right w:val="nil"/>
          <w:between w:val="nil"/>
        </w:pBdr>
        <w:spacing w:after="0" w:line="240" w:lineRule="auto"/>
        <w:ind w:left="1440"/>
        <w:jc w:val="both"/>
        <w:rPr>
          <w:color w:val="000000"/>
          <w:sz w:val="20"/>
          <w:szCs w:val="20"/>
        </w:rPr>
      </w:pPr>
    </w:p>
    <w:p w14:paraId="11EF94B0" w14:textId="77777777" w:rsidR="00330B2F" w:rsidRDefault="00CB64F9">
      <w:pPr>
        <w:numPr>
          <w:ilvl w:val="0"/>
          <w:numId w:val="1"/>
        </w:numPr>
        <w:pBdr>
          <w:top w:val="nil"/>
          <w:left w:val="nil"/>
          <w:bottom w:val="nil"/>
          <w:right w:val="nil"/>
          <w:between w:val="nil"/>
        </w:pBdr>
        <w:spacing w:after="0" w:line="240" w:lineRule="auto"/>
        <w:jc w:val="both"/>
        <w:rPr>
          <w:sz w:val="20"/>
          <w:szCs w:val="20"/>
        </w:rPr>
      </w:pPr>
      <w:r>
        <w:rPr>
          <w:sz w:val="20"/>
          <w:szCs w:val="20"/>
        </w:rPr>
        <w:t>T</w:t>
      </w:r>
      <w:r>
        <w:rPr>
          <w:color w:val="000000"/>
          <w:sz w:val="20"/>
          <w:szCs w:val="20"/>
        </w:rPr>
        <w:t>he existing facility for former rebels/rebel returnees in Mati City, Davao Oriental, would admit both adults and minors, it does not have a multi-disciplinary intervention program that would focus more on the physical and psychological healing of the CIACs; and</w:t>
      </w:r>
    </w:p>
    <w:p w14:paraId="2F27E593" w14:textId="77777777" w:rsidR="00330B2F" w:rsidRDefault="00330B2F">
      <w:pPr>
        <w:pBdr>
          <w:top w:val="nil"/>
          <w:left w:val="nil"/>
          <w:bottom w:val="nil"/>
          <w:right w:val="nil"/>
          <w:between w:val="nil"/>
        </w:pBdr>
        <w:spacing w:after="0"/>
        <w:ind w:left="720"/>
        <w:rPr>
          <w:color w:val="000000"/>
          <w:sz w:val="20"/>
          <w:szCs w:val="20"/>
        </w:rPr>
      </w:pPr>
    </w:p>
    <w:p w14:paraId="289F16BD" w14:textId="77777777" w:rsidR="00330B2F" w:rsidRDefault="00CB64F9">
      <w:pPr>
        <w:numPr>
          <w:ilvl w:val="0"/>
          <w:numId w:val="10"/>
        </w:numPr>
        <w:pBdr>
          <w:top w:val="nil"/>
          <w:left w:val="nil"/>
          <w:bottom w:val="nil"/>
          <w:right w:val="nil"/>
          <w:between w:val="nil"/>
        </w:pBdr>
        <w:spacing w:after="0" w:line="240" w:lineRule="auto"/>
        <w:jc w:val="both"/>
        <w:rPr>
          <w:sz w:val="20"/>
          <w:szCs w:val="20"/>
        </w:rPr>
      </w:pPr>
      <w:r>
        <w:rPr>
          <w:sz w:val="20"/>
          <w:szCs w:val="20"/>
        </w:rPr>
        <w:t>A</w:t>
      </w:r>
      <w:r>
        <w:rPr>
          <w:color w:val="000000"/>
          <w:sz w:val="20"/>
          <w:szCs w:val="20"/>
        </w:rPr>
        <w:t>n urgent need to prevent these children from being placed in military camps, whether for temporary safekeeping or not, and to relieve the Armed Forces of the Philippines of the responsibility of taking care of these children.</w:t>
      </w:r>
    </w:p>
    <w:p w14:paraId="7A381E6F" w14:textId="77777777" w:rsidR="00330B2F" w:rsidRDefault="00CB64F9">
      <w:pPr>
        <w:pBdr>
          <w:top w:val="nil"/>
          <w:left w:val="nil"/>
          <w:bottom w:val="nil"/>
          <w:right w:val="nil"/>
          <w:between w:val="nil"/>
        </w:pBdr>
        <w:spacing w:after="0" w:line="240" w:lineRule="auto"/>
        <w:jc w:val="both"/>
        <w:rPr>
          <w:sz w:val="20"/>
          <w:szCs w:val="20"/>
        </w:rPr>
      </w:pPr>
      <w:r>
        <w:rPr>
          <w:sz w:val="20"/>
          <w:szCs w:val="20"/>
        </w:rPr>
        <w:t xml:space="preserve"> </w:t>
      </w:r>
    </w:p>
    <w:p w14:paraId="55F476FE" w14:textId="01839DE2" w:rsidR="00330B2F" w:rsidRDefault="00CB64F9">
      <w:pPr>
        <w:pBdr>
          <w:top w:val="nil"/>
          <w:left w:val="nil"/>
          <w:bottom w:val="nil"/>
          <w:right w:val="nil"/>
          <w:between w:val="nil"/>
        </w:pBdr>
        <w:spacing w:after="0" w:line="240" w:lineRule="auto"/>
        <w:ind w:left="720"/>
        <w:jc w:val="both"/>
        <w:rPr>
          <w:sz w:val="20"/>
          <w:szCs w:val="20"/>
        </w:rPr>
      </w:pPr>
      <w:r>
        <w:rPr>
          <w:sz w:val="20"/>
          <w:szCs w:val="20"/>
        </w:rPr>
        <w:t>The Commission-Region Office X, has monitored and reported alleged grave child violations (GCRVs) which include attack on schools</w:t>
      </w:r>
      <w:r w:rsidR="008104AA">
        <w:rPr>
          <w:sz w:val="20"/>
          <w:szCs w:val="20"/>
        </w:rPr>
        <w:t>.</w:t>
      </w:r>
      <w:r>
        <w:rPr>
          <w:sz w:val="20"/>
          <w:szCs w:val="20"/>
        </w:rPr>
        <w:t xml:space="preserve"> </w:t>
      </w:r>
      <w:r w:rsidR="008104AA">
        <w:rPr>
          <w:sz w:val="20"/>
          <w:szCs w:val="20"/>
        </w:rPr>
        <w:t xml:space="preserve">Monitoring activities also found that majority of the grave child rights violations </w:t>
      </w:r>
      <w:r>
        <w:rPr>
          <w:sz w:val="20"/>
          <w:szCs w:val="20"/>
        </w:rPr>
        <w:t>involves recruitment and use of children. Most of the data were gathered from the social media post (</w:t>
      </w:r>
      <w:proofErr w:type="spellStart"/>
      <w:r>
        <w:rPr>
          <w:sz w:val="20"/>
          <w:szCs w:val="20"/>
        </w:rPr>
        <w:t>facebook</w:t>
      </w:r>
      <w:proofErr w:type="spellEnd"/>
      <w:r>
        <w:rPr>
          <w:sz w:val="20"/>
          <w:szCs w:val="20"/>
        </w:rPr>
        <w:t>) and reports from the different Infantry Battalions of the Philippine Army, as well as local media.</w:t>
      </w:r>
      <w:r>
        <w:rPr>
          <w:sz w:val="20"/>
          <w:szCs w:val="20"/>
          <w:vertAlign w:val="superscript"/>
        </w:rPr>
        <w:footnoteReference w:id="53"/>
      </w:r>
    </w:p>
    <w:p w14:paraId="1E85D30E" w14:textId="77777777" w:rsidR="00330B2F" w:rsidRDefault="00330B2F">
      <w:pPr>
        <w:pBdr>
          <w:top w:val="nil"/>
          <w:left w:val="nil"/>
          <w:bottom w:val="nil"/>
          <w:right w:val="nil"/>
          <w:between w:val="nil"/>
        </w:pBdr>
        <w:spacing w:after="0" w:line="240" w:lineRule="auto"/>
        <w:jc w:val="both"/>
        <w:rPr>
          <w:sz w:val="20"/>
          <w:szCs w:val="20"/>
        </w:rPr>
      </w:pPr>
    </w:p>
    <w:p w14:paraId="0EFE7F54" w14:textId="6A51747D" w:rsidR="00330B2F" w:rsidRDefault="00CB64F9">
      <w:pPr>
        <w:numPr>
          <w:ilvl w:val="0"/>
          <w:numId w:val="16"/>
        </w:numPr>
        <w:spacing w:after="0" w:line="240" w:lineRule="auto"/>
        <w:jc w:val="both"/>
        <w:rPr>
          <w:sz w:val="20"/>
          <w:szCs w:val="20"/>
        </w:rPr>
      </w:pPr>
      <w:r>
        <w:rPr>
          <w:sz w:val="20"/>
          <w:szCs w:val="20"/>
        </w:rPr>
        <w:t>The Commission using the Protocol</w:t>
      </w:r>
      <w:r>
        <w:rPr>
          <w:sz w:val="20"/>
          <w:szCs w:val="20"/>
          <w:vertAlign w:val="superscript"/>
        </w:rPr>
        <w:footnoteReference w:id="54"/>
      </w:r>
      <w:r>
        <w:rPr>
          <w:sz w:val="20"/>
          <w:szCs w:val="20"/>
        </w:rPr>
        <w:t xml:space="preserve"> is mandated to strengthen its mechanisms on monitoring and investigating incidents or reports in relation to children in situations of armed conflict, assist in developing and implementing advocacy activities to promote the rights of children in situations of armed conflict, and conduct capacity-building activities on the provisions of the Act, especially for </w:t>
      </w:r>
      <w:r w:rsidR="008104AA">
        <w:rPr>
          <w:sz w:val="20"/>
          <w:szCs w:val="20"/>
        </w:rPr>
        <w:t>its</w:t>
      </w:r>
      <w:r>
        <w:rPr>
          <w:sz w:val="20"/>
          <w:szCs w:val="20"/>
        </w:rPr>
        <w:t xml:space="preserve"> regional offices (Rule 31 (c) of the IRR of R.A. 11188). </w:t>
      </w:r>
    </w:p>
    <w:p w14:paraId="546778AE" w14:textId="77777777" w:rsidR="00330B2F" w:rsidRDefault="00330B2F">
      <w:pPr>
        <w:spacing w:after="0" w:line="240" w:lineRule="auto"/>
        <w:ind w:left="720"/>
        <w:jc w:val="both"/>
        <w:rPr>
          <w:sz w:val="20"/>
          <w:szCs w:val="20"/>
        </w:rPr>
      </w:pPr>
    </w:p>
    <w:p w14:paraId="208D89C6" w14:textId="030F7011" w:rsidR="00330B2F" w:rsidRDefault="00CB64F9">
      <w:pPr>
        <w:numPr>
          <w:ilvl w:val="0"/>
          <w:numId w:val="16"/>
        </w:numPr>
        <w:spacing w:after="0" w:line="240" w:lineRule="auto"/>
        <w:jc w:val="both"/>
        <w:rPr>
          <w:sz w:val="20"/>
          <w:szCs w:val="20"/>
        </w:rPr>
      </w:pPr>
      <w:r>
        <w:rPr>
          <w:sz w:val="20"/>
          <w:szCs w:val="20"/>
        </w:rPr>
        <w:t>To also mentio</w:t>
      </w:r>
      <w:r w:rsidR="008104AA">
        <w:rPr>
          <w:sz w:val="20"/>
          <w:szCs w:val="20"/>
        </w:rPr>
        <w:t>n,</w:t>
      </w:r>
      <w:r>
        <w:rPr>
          <w:sz w:val="20"/>
          <w:szCs w:val="20"/>
        </w:rPr>
        <w:t xml:space="preserve"> the Commission’s other initiatives on the implementation of the CSAC law and its Implementing Rules and Regulations </w:t>
      </w:r>
      <w:r w:rsidR="008104AA">
        <w:rPr>
          <w:sz w:val="20"/>
          <w:szCs w:val="20"/>
        </w:rPr>
        <w:t xml:space="preserve">are </w:t>
      </w:r>
      <w:r>
        <w:rPr>
          <w:sz w:val="20"/>
          <w:szCs w:val="20"/>
        </w:rPr>
        <w:t>as follows</w:t>
      </w:r>
      <w:r>
        <w:rPr>
          <w:sz w:val="20"/>
          <w:szCs w:val="20"/>
          <w:vertAlign w:val="superscript"/>
        </w:rPr>
        <w:footnoteReference w:id="55"/>
      </w:r>
      <w:r>
        <w:rPr>
          <w:sz w:val="20"/>
          <w:szCs w:val="20"/>
        </w:rPr>
        <w:t>:</w:t>
      </w:r>
    </w:p>
    <w:p w14:paraId="70EB2D3F" w14:textId="77777777" w:rsidR="00330B2F" w:rsidRDefault="00CB64F9">
      <w:pPr>
        <w:numPr>
          <w:ilvl w:val="0"/>
          <w:numId w:val="6"/>
        </w:numPr>
        <w:spacing w:after="0" w:line="240" w:lineRule="auto"/>
        <w:jc w:val="both"/>
        <w:rPr>
          <w:sz w:val="20"/>
          <w:szCs w:val="20"/>
        </w:rPr>
      </w:pPr>
      <w:r>
        <w:rPr>
          <w:sz w:val="20"/>
          <w:szCs w:val="20"/>
        </w:rPr>
        <w:t xml:space="preserve">Issued a situation report entitled, “Monitoring the situation of children in Mindanao (with focus on children affected by armed conflict, displacement, and migration”; </w:t>
      </w:r>
    </w:p>
    <w:p w14:paraId="0933AC32" w14:textId="77777777" w:rsidR="00330B2F" w:rsidRDefault="00CB64F9">
      <w:pPr>
        <w:numPr>
          <w:ilvl w:val="0"/>
          <w:numId w:val="6"/>
        </w:numPr>
        <w:spacing w:after="0" w:line="240" w:lineRule="auto"/>
        <w:jc w:val="both"/>
        <w:rPr>
          <w:sz w:val="20"/>
          <w:szCs w:val="20"/>
        </w:rPr>
      </w:pPr>
      <w:r>
        <w:rPr>
          <w:sz w:val="20"/>
          <w:szCs w:val="20"/>
        </w:rPr>
        <w:t xml:space="preserve">Commission-UNICEF program on the finalization of the agency-specific protocols on CSAC, which was approved by the CHR Commission </w:t>
      </w:r>
      <w:proofErr w:type="spellStart"/>
      <w:r>
        <w:rPr>
          <w:sz w:val="20"/>
          <w:szCs w:val="20"/>
        </w:rPr>
        <w:t>en</w:t>
      </w:r>
      <w:proofErr w:type="spellEnd"/>
      <w:r>
        <w:rPr>
          <w:sz w:val="20"/>
          <w:szCs w:val="20"/>
        </w:rPr>
        <w:t xml:space="preserve"> Banc (</w:t>
      </w:r>
      <w:proofErr w:type="spellStart"/>
      <w:r>
        <w:rPr>
          <w:sz w:val="20"/>
          <w:szCs w:val="20"/>
        </w:rPr>
        <w:t>CeB</w:t>
      </w:r>
      <w:proofErr w:type="spellEnd"/>
      <w:r>
        <w:rPr>
          <w:sz w:val="20"/>
          <w:szCs w:val="20"/>
        </w:rPr>
        <w:t>) on 15 May 2022;</w:t>
      </w:r>
    </w:p>
    <w:p w14:paraId="1E61B9A1" w14:textId="77777777" w:rsidR="00330B2F" w:rsidRDefault="00CB64F9">
      <w:pPr>
        <w:numPr>
          <w:ilvl w:val="0"/>
          <w:numId w:val="6"/>
        </w:numPr>
        <w:spacing w:after="0" w:line="240" w:lineRule="auto"/>
        <w:jc w:val="both"/>
        <w:rPr>
          <w:sz w:val="20"/>
          <w:szCs w:val="20"/>
        </w:rPr>
      </w:pPr>
      <w:r>
        <w:rPr>
          <w:sz w:val="20"/>
          <w:szCs w:val="20"/>
        </w:rPr>
        <w:t xml:space="preserve">CHR-CRC program on “Monitoring the Human Rights Situation of Children in Situations of Armed Conflict (CSAC)”. The Commission regularly monitors the situation of CSAC through its Regional Offices. The Regional Offices submit a quarterly report on the cases of CSAC and grave child rights violations (GCRVs) to the CRC. These includes reported and docketed cases that have been and are currently being investigated by the concerned CHR regional office. These cases have also been forwarded to the Monitoring, Reporting, and Response System (MRRS) of the Council for the Welfare of Children (CWC), for reference. And to the United Nations Country Task Force for </w:t>
      </w:r>
      <w:r>
        <w:rPr>
          <w:sz w:val="20"/>
          <w:szCs w:val="20"/>
        </w:rPr>
        <w:lastRenderedPageBreak/>
        <w:t>Monitoring and Reporting (UN-CTFMR), for inclusion in the Global Horizontal Note (GHN) report;</w:t>
      </w:r>
    </w:p>
    <w:p w14:paraId="261B298F" w14:textId="77777777" w:rsidR="00330B2F" w:rsidRDefault="00CB64F9">
      <w:pPr>
        <w:numPr>
          <w:ilvl w:val="0"/>
          <w:numId w:val="6"/>
        </w:numPr>
        <w:spacing w:after="0" w:line="240" w:lineRule="auto"/>
        <w:jc w:val="both"/>
        <w:rPr>
          <w:sz w:val="20"/>
          <w:szCs w:val="20"/>
        </w:rPr>
      </w:pPr>
      <w:r>
        <w:rPr>
          <w:sz w:val="20"/>
          <w:szCs w:val="20"/>
        </w:rPr>
        <w:t>Conducted the CHR-UNICEF program “Monitoring the Human Rights Situation of Children in Situations of Armed Conflict.” The following activities were conducted under this program: - Hiring of Grave Child Rights Violation (GCRV) Monitors for CHR Region IX, X, XI, XII and CARAGA for GCRV monitoring and response; - Conduct of Verification Missions; and</w:t>
      </w:r>
    </w:p>
    <w:p w14:paraId="7B162524" w14:textId="77777777" w:rsidR="00330B2F" w:rsidRDefault="00CB64F9">
      <w:pPr>
        <w:numPr>
          <w:ilvl w:val="0"/>
          <w:numId w:val="6"/>
        </w:numPr>
        <w:spacing w:after="0" w:line="240" w:lineRule="auto"/>
        <w:jc w:val="both"/>
        <w:rPr>
          <w:sz w:val="20"/>
          <w:szCs w:val="20"/>
        </w:rPr>
      </w:pPr>
      <w:r>
        <w:rPr>
          <w:sz w:val="20"/>
          <w:szCs w:val="20"/>
        </w:rPr>
        <w:t>Monitoring the Human Rights Situation of Children in Situations of Armed Conflict (CSAC). From July 2021 to December 2021, the CHR received GCRV reports from CHR Regional Offices in Mindanao involving thirty-eight (38) child victims. These reports included two (2) incidents on Killing and Maiming, thirty-four (34) incidents on recruitment or use of children in armed groups, and two (2) incidents on abduction of children. The highest number of reported incidents on recruitment of children came from Region X. All cases are currently being investigated and monitored by the concerned CHR Regional Office. These cases have been forwarded to the Monitoring, Reporting, and Response System (MRRS) of the Council for the Welfare of Children (CWC).</w:t>
      </w:r>
    </w:p>
    <w:p w14:paraId="1B9BE040" w14:textId="77777777" w:rsidR="00330B2F" w:rsidRDefault="00330B2F">
      <w:pPr>
        <w:spacing w:after="0" w:line="240" w:lineRule="auto"/>
        <w:ind w:left="1440"/>
        <w:jc w:val="both"/>
        <w:rPr>
          <w:sz w:val="20"/>
          <w:szCs w:val="20"/>
        </w:rPr>
      </w:pPr>
    </w:p>
    <w:p w14:paraId="45F6A8A1" w14:textId="77777777" w:rsidR="00330B2F" w:rsidRDefault="00CB64F9">
      <w:pPr>
        <w:spacing w:after="0" w:line="240" w:lineRule="auto"/>
        <w:jc w:val="both"/>
        <w:rPr>
          <w:b/>
          <w:sz w:val="20"/>
          <w:szCs w:val="20"/>
        </w:rPr>
      </w:pPr>
      <w:r>
        <w:rPr>
          <w:b/>
          <w:sz w:val="20"/>
          <w:szCs w:val="20"/>
        </w:rPr>
        <w:t>On the sector of Lesbian, Gays, Bisexuals, Transgenders, Queer and Intersex (LGBTQI)/ those with diverse sexual orientation, gender identity expression (SOGIE):</w:t>
      </w:r>
    </w:p>
    <w:p w14:paraId="22AFF6DE" w14:textId="77777777" w:rsidR="00330B2F" w:rsidRDefault="00330B2F">
      <w:pPr>
        <w:spacing w:after="0" w:line="240" w:lineRule="auto"/>
        <w:jc w:val="both"/>
        <w:rPr>
          <w:b/>
          <w:sz w:val="20"/>
          <w:szCs w:val="20"/>
        </w:rPr>
      </w:pPr>
    </w:p>
    <w:p w14:paraId="539E55F9" w14:textId="61F09E86" w:rsidR="00330B2F" w:rsidRDefault="00A0450E">
      <w:pPr>
        <w:numPr>
          <w:ilvl w:val="0"/>
          <w:numId w:val="16"/>
        </w:numPr>
        <w:spacing w:after="0" w:line="240" w:lineRule="auto"/>
        <w:jc w:val="both"/>
        <w:rPr>
          <w:sz w:val="20"/>
          <w:szCs w:val="20"/>
        </w:rPr>
      </w:pPr>
      <w:r>
        <w:rPr>
          <w:sz w:val="20"/>
          <w:szCs w:val="20"/>
        </w:rPr>
        <w:t xml:space="preserve">The Commission on Human Rights developed the GVB On-line reporting called, </w:t>
      </w:r>
      <w:hyperlink r:id="rId11">
        <w:r w:rsidR="00CB64F9">
          <w:rPr>
            <w:color w:val="0563C1"/>
            <w:sz w:val="20"/>
            <w:szCs w:val="20"/>
            <w:u w:val="single"/>
          </w:rPr>
          <w:t xml:space="preserve">E-Report </w:t>
        </w:r>
        <w:proofErr w:type="spellStart"/>
        <w:r w:rsidR="00CB64F9">
          <w:rPr>
            <w:color w:val="0563C1"/>
            <w:sz w:val="20"/>
            <w:szCs w:val="20"/>
            <w:u w:val="single"/>
          </w:rPr>
          <w:t>mo</w:t>
        </w:r>
        <w:proofErr w:type="spellEnd"/>
        <w:r w:rsidR="00CB64F9">
          <w:rPr>
            <w:color w:val="0563C1"/>
            <w:sz w:val="20"/>
            <w:szCs w:val="20"/>
            <w:u w:val="single"/>
          </w:rPr>
          <w:t xml:space="preserve"> </w:t>
        </w:r>
        <w:proofErr w:type="spellStart"/>
        <w:r w:rsidR="00CB64F9">
          <w:rPr>
            <w:color w:val="0563C1"/>
            <w:sz w:val="20"/>
            <w:szCs w:val="20"/>
            <w:u w:val="single"/>
          </w:rPr>
          <w:t>sa</w:t>
        </w:r>
        <w:proofErr w:type="spellEnd"/>
        <w:r w:rsidR="00CB64F9">
          <w:rPr>
            <w:color w:val="0563C1"/>
            <w:sz w:val="20"/>
            <w:szCs w:val="20"/>
            <w:u w:val="single"/>
          </w:rPr>
          <w:t xml:space="preserve"> Gender </w:t>
        </w:r>
        <w:proofErr w:type="spellStart"/>
        <w:r w:rsidR="00CB64F9">
          <w:rPr>
            <w:color w:val="0563C1"/>
            <w:sz w:val="20"/>
            <w:szCs w:val="20"/>
            <w:u w:val="single"/>
          </w:rPr>
          <w:t>Ombud</w:t>
        </w:r>
        <w:proofErr w:type="spellEnd"/>
      </w:hyperlink>
      <w:r w:rsidR="00CB64F9">
        <w:rPr>
          <w:sz w:val="20"/>
          <w:szCs w:val="20"/>
        </w:rPr>
        <w:t>, for faster and easier reporting of abuse, especially during the COVID-19, which brought about the implementation of Enhanced Community Quarantine (ECQ) and General Community Quarantine (GCQ)</w:t>
      </w:r>
      <w:r w:rsidR="00E056BF">
        <w:rPr>
          <w:sz w:val="20"/>
          <w:szCs w:val="20"/>
        </w:rPr>
        <w:t>.</w:t>
      </w:r>
      <w:r w:rsidR="00CB64F9">
        <w:rPr>
          <w:sz w:val="20"/>
          <w:szCs w:val="20"/>
        </w:rPr>
        <w:t xml:space="preserve"> </w:t>
      </w:r>
    </w:p>
    <w:p w14:paraId="7C551B8D" w14:textId="77777777" w:rsidR="00330B2F" w:rsidRDefault="00330B2F">
      <w:pPr>
        <w:spacing w:after="0" w:line="240" w:lineRule="auto"/>
        <w:ind w:left="720"/>
        <w:jc w:val="both"/>
        <w:rPr>
          <w:sz w:val="20"/>
          <w:szCs w:val="20"/>
        </w:rPr>
      </w:pPr>
    </w:p>
    <w:p w14:paraId="680EF837" w14:textId="77777777" w:rsidR="00330B2F" w:rsidRDefault="00CB64F9">
      <w:pPr>
        <w:numPr>
          <w:ilvl w:val="0"/>
          <w:numId w:val="16"/>
        </w:numPr>
        <w:spacing w:after="0" w:line="240" w:lineRule="auto"/>
        <w:jc w:val="both"/>
        <w:rPr>
          <w:sz w:val="20"/>
          <w:szCs w:val="20"/>
        </w:rPr>
      </w:pPr>
      <w:r>
        <w:rPr>
          <w:sz w:val="20"/>
          <w:szCs w:val="20"/>
        </w:rPr>
        <w:t>The situation reports from the regional offices of the Commission, lays down current issues and concerns affecting the vulnerable sectors, the cases involving them as reported and investigated by the regional office, and other related activities in relation to the protection and promotion of their rights. Some of the findings noted are as follows:</w:t>
      </w:r>
    </w:p>
    <w:p w14:paraId="215549E6" w14:textId="77777777" w:rsidR="00330B2F" w:rsidRDefault="00330B2F">
      <w:pPr>
        <w:spacing w:after="0" w:line="240" w:lineRule="auto"/>
        <w:ind w:left="720"/>
        <w:jc w:val="both"/>
        <w:rPr>
          <w:sz w:val="20"/>
          <w:szCs w:val="20"/>
        </w:rPr>
      </w:pPr>
    </w:p>
    <w:p w14:paraId="6000AFF4" w14:textId="77777777" w:rsidR="00330B2F" w:rsidRDefault="00CB64F9">
      <w:pPr>
        <w:numPr>
          <w:ilvl w:val="0"/>
          <w:numId w:val="3"/>
        </w:numPr>
        <w:pBdr>
          <w:top w:val="nil"/>
          <w:left w:val="nil"/>
          <w:bottom w:val="nil"/>
          <w:right w:val="nil"/>
          <w:between w:val="nil"/>
        </w:pBdr>
        <w:spacing w:after="0" w:line="240" w:lineRule="auto"/>
        <w:ind w:left="990"/>
        <w:jc w:val="both"/>
        <w:rPr>
          <w:color w:val="000000"/>
          <w:sz w:val="20"/>
          <w:szCs w:val="20"/>
        </w:rPr>
      </w:pPr>
      <w:r>
        <w:rPr>
          <w:color w:val="000000"/>
          <w:sz w:val="20"/>
          <w:szCs w:val="20"/>
        </w:rPr>
        <w:t xml:space="preserve">The LGBTQIA community has long been victims of abuse and discrimination. Discrimination usually occurs in </w:t>
      </w:r>
      <w:r>
        <w:rPr>
          <w:sz w:val="20"/>
          <w:szCs w:val="20"/>
        </w:rPr>
        <w:t xml:space="preserve">a </w:t>
      </w:r>
      <w:r>
        <w:rPr>
          <w:color w:val="000000"/>
          <w:sz w:val="20"/>
          <w:szCs w:val="20"/>
        </w:rPr>
        <w:t xml:space="preserve">school or in </w:t>
      </w:r>
      <w:r>
        <w:rPr>
          <w:sz w:val="20"/>
          <w:szCs w:val="20"/>
        </w:rPr>
        <w:t xml:space="preserve">the </w:t>
      </w:r>
      <w:r>
        <w:rPr>
          <w:color w:val="000000"/>
          <w:sz w:val="20"/>
          <w:szCs w:val="20"/>
        </w:rPr>
        <w:t xml:space="preserve">workplace. In one case, students were refused clearance by the university’s authorities by reason of their haircut. Investigators were then dispatched to clear this issue with the university which was then reasonably resolved. In another instance, during the quarantine period, some members were taken into custody for allegedly violating the protocol. Nonetheless, as a penalty, they were given unpleasant haircuts. This issue was likewise addressed and resolved with the help of the </w:t>
      </w:r>
      <w:proofErr w:type="spellStart"/>
      <w:r>
        <w:rPr>
          <w:color w:val="000000"/>
          <w:sz w:val="20"/>
          <w:szCs w:val="20"/>
        </w:rPr>
        <w:t>Mujer</w:t>
      </w:r>
      <w:proofErr w:type="spellEnd"/>
      <w:r>
        <w:rPr>
          <w:color w:val="000000"/>
          <w:sz w:val="20"/>
          <w:szCs w:val="20"/>
        </w:rPr>
        <w:t>-LGBT group.</w:t>
      </w:r>
      <w:r>
        <w:rPr>
          <w:color w:val="000000"/>
          <w:sz w:val="20"/>
          <w:szCs w:val="20"/>
          <w:vertAlign w:val="superscript"/>
        </w:rPr>
        <w:footnoteReference w:id="56"/>
      </w:r>
      <w:r>
        <w:rPr>
          <w:color w:val="000000"/>
          <w:sz w:val="20"/>
          <w:szCs w:val="20"/>
        </w:rPr>
        <w:t xml:space="preserve"> </w:t>
      </w:r>
    </w:p>
    <w:p w14:paraId="156B14B6" w14:textId="77777777" w:rsidR="00330B2F" w:rsidRDefault="00330B2F">
      <w:pPr>
        <w:pBdr>
          <w:top w:val="nil"/>
          <w:left w:val="nil"/>
          <w:bottom w:val="nil"/>
          <w:right w:val="nil"/>
          <w:between w:val="nil"/>
        </w:pBdr>
        <w:spacing w:after="0" w:line="240" w:lineRule="auto"/>
        <w:ind w:left="990"/>
        <w:jc w:val="both"/>
        <w:rPr>
          <w:color w:val="000000"/>
          <w:sz w:val="20"/>
          <w:szCs w:val="20"/>
        </w:rPr>
      </w:pPr>
    </w:p>
    <w:p w14:paraId="48064144" w14:textId="7E296DA7" w:rsidR="00330B2F" w:rsidRDefault="00CB64F9">
      <w:pPr>
        <w:numPr>
          <w:ilvl w:val="0"/>
          <w:numId w:val="3"/>
        </w:numPr>
        <w:pBdr>
          <w:top w:val="nil"/>
          <w:left w:val="nil"/>
          <w:bottom w:val="nil"/>
          <w:right w:val="nil"/>
          <w:between w:val="nil"/>
        </w:pBdr>
        <w:spacing w:after="0" w:line="240" w:lineRule="auto"/>
        <w:ind w:left="990"/>
        <w:jc w:val="both"/>
        <w:rPr>
          <w:color w:val="000000"/>
          <w:sz w:val="20"/>
          <w:szCs w:val="20"/>
        </w:rPr>
      </w:pPr>
      <w:r>
        <w:rPr>
          <w:color w:val="000000"/>
          <w:sz w:val="20"/>
          <w:szCs w:val="20"/>
        </w:rPr>
        <w:t xml:space="preserve">Cases of discrimination </w:t>
      </w:r>
      <w:r>
        <w:rPr>
          <w:sz w:val="20"/>
          <w:szCs w:val="20"/>
        </w:rPr>
        <w:t>were</w:t>
      </w:r>
      <w:r>
        <w:rPr>
          <w:color w:val="000000"/>
          <w:sz w:val="20"/>
          <w:szCs w:val="20"/>
        </w:rPr>
        <w:t xml:space="preserve"> reported and/ or recorded before the Region Office</w:t>
      </w:r>
      <w:r w:rsidR="008104AA">
        <w:rPr>
          <w:color w:val="000000"/>
          <w:sz w:val="20"/>
          <w:szCs w:val="20"/>
        </w:rPr>
        <w:t xml:space="preserve"> 1</w:t>
      </w:r>
      <w:r>
        <w:rPr>
          <w:color w:val="000000"/>
          <w:sz w:val="20"/>
          <w:szCs w:val="20"/>
        </w:rPr>
        <w:t xml:space="preserve">- for the period covered but </w:t>
      </w:r>
      <w:r>
        <w:rPr>
          <w:sz w:val="20"/>
          <w:szCs w:val="20"/>
        </w:rPr>
        <w:t>were</w:t>
      </w:r>
      <w:r>
        <w:rPr>
          <w:color w:val="000000"/>
          <w:sz w:val="20"/>
          <w:szCs w:val="20"/>
        </w:rPr>
        <w:t xml:space="preserve"> referred to Saint Louis College of Law, San Fernando City, La Union, CHR0-ROI’s Gender Ombud Partner</w:t>
      </w:r>
      <w:r w:rsidR="008104AA">
        <w:rPr>
          <w:color w:val="000000"/>
          <w:sz w:val="20"/>
          <w:szCs w:val="20"/>
        </w:rPr>
        <w:t xml:space="preserve"> Institution.</w:t>
      </w:r>
      <w:r>
        <w:rPr>
          <w:color w:val="000000"/>
          <w:sz w:val="20"/>
          <w:szCs w:val="20"/>
          <w:vertAlign w:val="superscript"/>
        </w:rPr>
        <w:footnoteReference w:id="57"/>
      </w:r>
    </w:p>
    <w:p w14:paraId="33029B8E" w14:textId="77777777" w:rsidR="00330B2F" w:rsidRDefault="00330B2F">
      <w:pPr>
        <w:pBdr>
          <w:top w:val="nil"/>
          <w:left w:val="nil"/>
          <w:bottom w:val="nil"/>
          <w:right w:val="nil"/>
          <w:between w:val="nil"/>
        </w:pBdr>
        <w:spacing w:after="0" w:line="240" w:lineRule="auto"/>
        <w:ind w:left="990"/>
        <w:jc w:val="both"/>
        <w:rPr>
          <w:color w:val="000000"/>
          <w:sz w:val="20"/>
          <w:szCs w:val="20"/>
        </w:rPr>
      </w:pPr>
    </w:p>
    <w:p w14:paraId="061665DD" w14:textId="3B5C60E0" w:rsidR="00330B2F" w:rsidRDefault="00CB64F9">
      <w:pPr>
        <w:numPr>
          <w:ilvl w:val="0"/>
          <w:numId w:val="3"/>
        </w:numPr>
        <w:pBdr>
          <w:top w:val="nil"/>
          <w:left w:val="nil"/>
          <w:bottom w:val="nil"/>
          <w:right w:val="nil"/>
          <w:between w:val="nil"/>
        </w:pBdr>
        <w:spacing w:after="0" w:line="240" w:lineRule="auto"/>
        <w:ind w:left="990"/>
        <w:jc w:val="both"/>
        <w:rPr>
          <w:color w:val="000000"/>
          <w:sz w:val="20"/>
          <w:szCs w:val="20"/>
        </w:rPr>
      </w:pPr>
      <w:r>
        <w:rPr>
          <w:color w:val="000000"/>
          <w:sz w:val="20"/>
          <w:szCs w:val="20"/>
        </w:rPr>
        <w:t>The primary concern for the PLHIVs in the context of the pandemic was whether or not there is still access to and availability of anti-retroviral drugs. We connected with a PLHIV support group and we were informed that ARTs are accessible even in the middle of the pandemic. The number of newly-discovered HIV/AIDS cases in C</w:t>
      </w:r>
      <w:r w:rsidR="008104AA">
        <w:rPr>
          <w:color w:val="000000"/>
          <w:sz w:val="20"/>
          <w:szCs w:val="20"/>
        </w:rPr>
        <w:t xml:space="preserve">ARAGA </w:t>
      </w:r>
      <w:r>
        <w:rPr>
          <w:color w:val="000000"/>
          <w:sz w:val="20"/>
          <w:szCs w:val="20"/>
        </w:rPr>
        <w:t xml:space="preserve">has decreased this year. Based on the current data, only 38 are affected by this disease across the region compared to the increasing number of cases last year. There is still no remedy discovered against HIV where most of the </w:t>
      </w:r>
      <w:r w:rsidR="008104AA">
        <w:rPr>
          <w:color w:val="000000"/>
          <w:sz w:val="20"/>
          <w:szCs w:val="20"/>
        </w:rPr>
        <w:t>PLHIV</w:t>
      </w:r>
      <w:r>
        <w:rPr>
          <w:color w:val="000000"/>
          <w:sz w:val="20"/>
          <w:szCs w:val="20"/>
        </w:rPr>
        <w:t xml:space="preserve"> </w:t>
      </w:r>
      <w:r>
        <w:rPr>
          <w:sz w:val="20"/>
          <w:szCs w:val="20"/>
        </w:rPr>
        <w:t xml:space="preserve">are </w:t>
      </w:r>
      <w:r>
        <w:rPr>
          <w:color w:val="000000"/>
          <w:sz w:val="20"/>
          <w:szCs w:val="20"/>
        </w:rPr>
        <w:t>aged 15 to 35 years old</w:t>
      </w:r>
      <w:r>
        <w:rPr>
          <w:color w:val="000000"/>
          <w:sz w:val="20"/>
          <w:szCs w:val="20"/>
          <w:vertAlign w:val="superscript"/>
        </w:rPr>
        <w:footnoteReference w:id="58"/>
      </w:r>
      <w:r>
        <w:rPr>
          <w:color w:val="000000"/>
          <w:sz w:val="20"/>
          <w:szCs w:val="20"/>
        </w:rPr>
        <w:t>.</w:t>
      </w:r>
    </w:p>
    <w:p w14:paraId="244E8982" w14:textId="77777777" w:rsidR="00330B2F" w:rsidRDefault="00330B2F">
      <w:pPr>
        <w:spacing w:after="0" w:line="240" w:lineRule="auto"/>
        <w:jc w:val="both"/>
        <w:rPr>
          <w:sz w:val="20"/>
          <w:szCs w:val="20"/>
        </w:rPr>
      </w:pPr>
    </w:p>
    <w:p w14:paraId="73FDF8DF" w14:textId="77777777" w:rsidR="00330B2F" w:rsidRDefault="00CB64F9">
      <w:pPr>
        <w:shd w:val="clear" w:color="auto" w:fill="FFFFFF"/>
        <w:spacing w:after="0" w:line="240" w:lineRule="auto"/>
        <w:rPr>
          <w:b/>
          <w:sz w:val="20"/>
          <w:szCs w:val="20"/>
        </w:rPr>
      </w:pPr>
      <w:r>
        <w:rPr>
          <w:b/>
          <w:sz w:val="20"/>
          <w:szCs w:val="20"/>
        </w:rPr>
        <w:t>Child-related laws and legislative measures (newly enacted laws and pending bills):</w:t>
      </w:r>
    </w:p>
    <w:p w14:paraId="71416923" w14:textId="77777777" w:rsidR="00330B2F" w:rsidRDefault="00330B2F">
      <w:pPr>
        <w:shd w:val="clear" w:color="auto" w:fill="FFFFFF"/>
        <w:spacing w:after="0" w:line="240" w:lineRule="auto"/>
        <w:rPr>
          <w:b/>
          <w:sz w:val="20"/>
          <w:szCs w:val="20"/>
        </w:rPr>
      </w:pPr>
    </w:p>
    <w:p w14:paraId="756B53BB" w14:textId="77777777" w:rsidR="00330B2F" w:rsidRDefault="00CB64F9">
      <w:pPr>
        <w:numPr>
          <w:ilvl w:val="0"/>
          <w:numId w:val="16"/>
        </w:numPr>
        <w:spacing w:after="0" w:line="240" w:lineRule="auto"/>
        <w:jc w:val="both"/>
        <w:rPr>
          <w:sz w:val="20"/>
          <w:szCs w:val="20"/>
        </w:rPr>
      </w:pPr>
      <w:r>
        <w:rPr>
          <w:color w:val="000000"/>
          <w:sz w:val="20"/>
          <w:szCs w:val="20"/>
        </w:rPr>
        <w:lastRenderedPageBreak/>
        <w:t xml:space="preserve">The following are the </w:t>
      </w:r>
      <w:r>
        <w:rPr>
          <w:sz w:val="20"/>
          <w:szCs w:val="20"/>
        </w:rPr>
        <w:t>child-related</w:t>
      </w:r>
      <w:r>
        <w:rPr>
          <w:color w:val="000000"/>
          <w:sz w:val="20"/>
          <w:szCs w:val="20"/>
        </w:rPr>
        <w:t xml:space="preserve"> legislations enacted </w:t>
      </w:r>
      <w:r>
        <w:rPr>
          <w:sz w:val="20"/>
          <w:szCs w:val="20"/>
        </w:rPr>
        <w:t>from August 2020 until June 2022, namely:</w:t>
      </w:r>
      <w:r>
        <w:rPr>
          <w:color w:val="000000"/>
          <w:sz w:val="20"/>
          <w:szCs w:val="20"/>
        </w:rPr>
        <w:t xml:space="preserve">  </w:t>
      </w:r>
    </w:p>
    <w:p w14:paraId="31781C0E" w14:textId="77777777" w:rsidR="00330B2F" w:rsidRDefault="00330B2F">
      <w:pPr>
        <w:pBdr>
          <w:top w:val="nil"/>
          <w:left w:val="nil"/>
          <w:bottom w:val="nil"/>
          <w:right w:val="nil"/>
          <w:between w:val="nil"/>
        </w:pBdr>
        <w:shd w:val="clear" w:color="auto" w:fill="FFFFFF"/>
        <w:spacing w:after="0" w:line="240" w:lineRule="auto"/>
        <w:rPr>
          <w:sz w:val="20"/>
          <w:szCs w:val="20"/>
        </w:rPr>
      </w:pPr>
    </w:p>
    <w:p w14:paraId="67D906F2" w14:textId="77777777" w:rsidR="00330B2F" w:rsidRDefault="009B7FF8">
      <w:pPr>
        <w:numPr>
          <w:ilvl w:val="0"/>
          <w:numId w:val="7"/>
        </w:numPr>
        <w:pBdr>
          <w:top w:val="nil"/>
          <w:left w:val="nil"/>
          <w:bottom w:val="nil"/>
          <w:right w:val="nil"/>
          <w:between w:val="nil"/>
        </w:pBdr>
        <w:shd w:val="clear" w:color="auto" w:fill="FFFFFF"/>
        <w:spacing w:after="0" w:line="240" w:lineRule="auto"/>
        <w:jc w:val="both"/>
        <w:rPr>
          <w:color w:val="222222"/>
          <w:sz w:val="20"/>
          <w:szCs w:val="20"/>
          <w:highlight w:val="white"/>
        </w:rPr>
      </w:pPr>
      <w:hyperlink r:id="rId12">
        <w:r w:rsidR="00CB64F9">
          <w:rPr>
            <w:color w:val="0563C1"/>
            <w:sz w:val="20"/>
            <w:szCs w:val="20"/>
            <w:highlight w:val="white"/>
            <w:u w:val="single"/>
          </w:rPr>
          <w:t>Republic Act 11642</w:t>
        </w:r>
      </w:hyperlink>
      <w:r w:rsidR="00CB64F9">
        <w:rPr>
          <w:color w:val="222222"/>
          <w:sz w:val="20"/>
          <w:szCs w:val="20"/>
          <w:highlight w:val="white"/>
        </w:rPr>
        <w:t xml:space="preserve">, “Domestic Administrative Adoption and Alternative Child Care Act”, (26 July 2022); </w:t>
      </w:r>
    </w:p>
    <w:p w14:paraId="0BEC6528" w14:textId="1127D954" w:rsidR="00330B2F" w:rsidRDefault="009B7FF8">
      <w:pPr>
        <w:numPr>
          <w:ilvl w:val="0"/>
          <w:numId w:val="11"/>
        </w:numPr>
        <w:pBdr>
          <w:top w:val="nil"/>
          <w:left w:val="nil"/>
          <w:bottom w:val="nil"/>
          <w:right w:val="nil"/>
          <w:between w:val="nil"/>
        </w:pBdr>
        <w:spacing w:after="0" w:line="240" w:lineRule="auto"/>
        <w:ind w:left="1080"/>
        <w:jc w:val="both"/>
        <w:rPr>
          <w:sz w:val="20"/>
          <w:szCs w:val="20"/>
        </w:rPr>
      </w:pPr>
      <w:hyperlink r:id="rId13">
        <w:r w:rsidR="00CB64F9">
          <w:rPr>
            <w:color w:val="0563C1"/>
            <w:sz w:val="20"/>
            <w:szCs w:val="20"/>
            <w:highlight w:val="white"/>
            <w:u w:val="single"/>
          </w:rPr>
          <w:t>Republic Act 11648,</w:t>
        </w:r>
      </w:hyperlink>
      <w:r w:rsidR="00CB64F9">
        <w:rPr>
          <w:color w:val="222222"/>
          <w:sz w:val="20"/>
          <w:szCs w:val="20"/>
          <w:highlight w:val="white"/>
        </w:rPr>
        <w:t xml:space="preserve"> </w:t>
      </w:r>
      <w:r w:rsidR="00E056BF">
        <w:rPr>
          <w:color w:val="222222"/>
          <w:sz w:val="20"/>
          <w:szCs w:val="20"/>
          <w:highlight w:val="white"/>
        </w:rPr>
        <w:t>T</w:t>
      </w:r>
      <w:r w:rsidR="00CB64F9">
        <w:rPr>
          <w:sz w:val="20"/>
          <w:szCs w:val="20"/>
        </w:rPr>
        <w:t xml:space="preserve">his legislation increases the age to determine statutory rape from below 12 to below 16 years old. Through this measure, the Philippine government ensures stronger protection for children against sexual exploitation. </w:t>
      </w:r>
    </w:p>
    <w:p w14:paraId="06F170F3" w14:textId="77777777" w:rsidR="00330B2F" w:rsidRDefault="009B7FF8">
      <w:pPr>
        <w:numPr>
          <w:ilvl w:val="0"/>
          <w:numId w:val="7"/>
        </w:numPr>
        <w:pBdr>
          <w:top w:val="nil"/>
          <w:left w:val="nil"/>
          <w:bottom w:val="nil"/>
          <w:right w:val="nil"/>
          <w:between w:val="nil"/>
        </w:pBdr>
        <w:shd w:val="clear" w:color="auto" w:fill="FFFFFF"/>
        <w:spacing w:after="0" w:line="240" w:lineRule="auto"/>
        <w:jc w:val="both"/>
        <w:rPr>
          <w:color w:val="222222"/>
          <w:sz w:val="20"/>
          <w:szCs w:val="20"/>
          <w:highlight w:val="white"/>
        </w:rPr>
      </w:pPr>
      <w:hyperlink r:id="rId14">
        <w:r w:rsidR="00CB64F9">
          <w:rPr>
            <w:color w:val="0563C1"/>
            <w:sz w:val="20"/>
            <w:szCs w:val="20"/>
            <w:highlight w:val="white"/>
            <w:u w:val="single"/>
          </w:rPr>
          <w:t>Republic Act 11650</w:t>
        </w:r>
      </w:hyperlink>
      <w:r w:rsidR="00CB64F9">
        <w:rPr>
          <w:color w:val="222222"/>
          <w:sz w:val="20"/>
          <w:szCs w:val="20"/>
          <w:highlight w:val="white"/>
        </w:rPr>
        <w:t>, An Act Instituting a Policy of Inclusion and Services for Learners with Disabilities in Support of Inclusive Education, Establishing Inclusive Education, Establishing Inclusive Learning Resource Centers of Learners with Disabilities in all School Districts, Municipalities, and Cities, Providing for Standards, Appropriating Funds Therefor, and for other purposes, (26 July 2021);</w:t>
      </w:r>
    </w:p>
    <w:p w14:paraId="7786BD57" w14:textId="77777777" w:rsidR="00330B2F" w:rsidRDefault="009B7FF8">
      <w:pPr>
        <w:numPr>
          <w:ilvl w:val="0"/>
          <w:numId w:val="7"/>
        </w:numPr>
        <w:pBdr>
          <w:top w:val="nil"/>
          <w:left w:val="nil"/>
          <w:bottom w:val="nil"/>
          <w:right w:val="nil"/>
          <w:between w:val="nil"/>
        </w:pBdr>
        <w:shd w:val="clear" w:color="auto" w:fill="FFFFFF"/>
        <w:spacing w:after="0" w:line="240" w:lineRule="auto"/>
        <w:jc w:val="both"/>
        <w:rPr>
          <w:color w:val="222222"/>
          <w:sz w:val="20"/>
          <w:szCs w:val="20"/>
          <w:highlight w:val="white"/>
        </w:rPr>
      </w:pPr>
      <w:hyperlink r:id="rId15">
        <w:r w:rsidR="00CB64F9">
          <w:rPr>
            <w:color w:val="0563C1"/>
            <w:sz w:val="20"/>
            <w:szCs w:val="20"/>
            <w:highlight w:val="white"/>
            <w:u w:val="single"/>
          </w:rPr>
          <w:t>Republic Act 11767,</w:t>
        </w:r>
      </w:hyperlink>
      <w:r w:rsidR="00CB64F9">
        <w:rPr>
          <w:color w:val="222222"/>
          <w:sz w:val="20"/>
          <w:szCs w:val="20"/>
          <w:highlight w:val="white"/>
        </w:rPr>
        <w:t xml:space="preserve"> The Foundling Recognition and Protection Act (RA 11767), May 6, 2022;</w:t>
      </w:r>
    </w:p>
    <w:p w14:paraId="071AB31C" w14:textId="77777777" w:rsidR="00330B2F" w:rsidRDefault="009B7FF8">
      <w:pPr>
        <w:numPr>
          <w:ilvl w:val="0"/>
          <w:numId w:val="7"/>
        </w:numPr>
        <w:pBdr>
          <w:top w:val="nil"/>
          <w:left w:val="nil"/>
          <w:bottom w:val="nil"/>
          <w:right w:val="nil"/>
          <w:between w:val="nil"/>
        </w:pBdr>
        <w:shd w:val="clear" w:color="auto" w:fill="FFFFFF"/>
        <w:spacing w:after="0" w:line="240" w:lineRule="auto"/>
        <w:jc w:val="both"/>
        <w:rPr>
          <w:color w:val="222222"/>
          <w:sz w:val="20"/>
          <w:szCs w:val="20"/>
          <w:highlight w:val="white"/>
        </w:rPr>
      </w:pPr>
      <w:hyperlink r:id="rId16">
        <w:r w:rsidR="00CB64F9">
          <w:rPr>
            <w:color w:val="0563C1"/>
            <w:sz w:val="20"/>
            <w:szCs w:val="20"/>
            <w:highlight w:val="white"/>
            <w:u w:val="single"/>
          </w:rPr>
          <w:t>Republic Act 11861,</w:t>
        </w:r>
      </w:hyperlink>
      <w:r w:rsidR="00CB64F9">
        <w:rPr>
          <w:color w:val="222222"/>
          <w:sz w:val="20"/>
          <w:szCs w:val="20"/>
          <w:highlight w:val="white"/>
        </w:rPr>
        <w:t xml:space="preserve"> Expanded Solo Parents Welfare Act, lapsed into law on 4 June 2022; </w:t>
      </w:r>
    </w:p>
    <w:p w14:paraId="2656006E" w14:textId="77777777" w:rsidR="00330B2F" w:rsidRDefault="009B7FF8">
      <w:pPr>
        <w:numPr>
          <w:ilvl w:val="0"/>
          <w:numId w:val="7"/>
        </w:numPr>
        <w:pBdr>
          <w:top w:val="nil"/>
          <w:left w:val="nil"/>
          <w:bottom w:val="nil"/>
          <w:right w:val="nil"/>
          <w:between w:val="nil"/>
        </w:pBdr>
        <w:shd w:val="clear" w:color="auto" w:fill="FFFFFF"/>
        <w:spacing w:after="0" w:line="240" w:lineRule="auto"/>
        <w:jc w:val="both"/>
        <w:rPr>
          <w:color w:val="222222"/>
          <w:sz w:val="20"/>
          <w:szCs w:val="20"/>
          <w:highlight w:val="white"/>
        </w:rPr>
      </w:pPr>
      <w:hyperlink r:id="rId17">
        <w:r w:rsidR="00CB64F9">
          <w:rPr>
            <w:color w:val="0563C1"/>
            <w:sz w:val="20"/>
            <w:szCs w:val="20"/>
            <w:highlight w:val="white"/>
            <w:u w:val="single"/>
          </w:rPr>
          <w:t>Republic Act 11596,</w:t>
        </w:r>
      </w:hyperlink>
      <w:r w:rsidR="00CB64F9">
        <w:rPr>
          <w:color w:val="222222"/>
          <w:sz w:val="20"/>
          <w:szCs w:val="20"/>
          <w:highlight w:val="white"/>
        </w:rPr>
        <w:t xml:space="preserve"> The prohibition of child marriage, 27 July 2020; and</w:t>
      </w:r>
    </w:p>
    <w:p w14:paraId="4C5B4BD6" w14:textId="7FBF3C0B" w:rsidR="00330B2F" w:rsidRDefault="009B7FF8">
      <w:pPr>
        <w:numPr>
          <w:ilvl w:val="0"/>
          <w:numId w:val="7"/>
        </w:numPr>
        <w:pBdr>
          <w:top w:val="nil"/>
          <w:left w:val="nil"/>
          <w:bottom w:val="nil"/>
          <w:right w:val="nil"/>
          <w:between w:val="nil"/>
        </w:pBdr>
        <w:shd w:val="clear" w:color="auto" w:fill="FFFFFF"/>
        <w:spacing w:after="0" w:line="240" w:lineRule="auto"/>
        <w:jc w:val="both"/>
        <w:rPr>
          <w:color w:val="222222"/>
          <w:sz w:val="20"/>
          <w:szCs w:val="20"/>
          <w:highlight w:val="white"/>
        </w:rPr>
      </w:pPr>
      <w:hyperlink r:id="rId18">
        <w:r w:rsidR="00CB64F9">
          <w:rPr>
            <w:color w:val="1155CC"/>
            <w:sz w:val="20"/>
            <w:szCs w:val="20"/>
            <w:highlight w:val="white"/>
            <w:u w:val="single"/>
          </w:rPr>
          <w:t>Republic Act 11930</w:t>
        </w:r>
      </w:hyperlink>
      <w:r w:rsidR="00CB64F9">
        <w:rPr>
          <w:color w:val="222222"/>
          <w:sz w:val="20"/>
          <w:szCs w:val="20"/>
          <w:highlight w:val="white"/>
        </w:rPr>
        <w:t xml:space="preserve">, </w:t>
      </w:r>
      <w:r w:rsidR="00E056BF">
        <w:rPr>
          <w:color w:val="222222"/>
          <w:sz w:val="20"/>
          <w:szCs w:val="20"/>
          <w:highlight w:val="white"/>
        </w:rPr>
        <w:t>T</w:t>
      </w:r>
      <w:r w:rsidR="00CB64F9">
        <w:rPr>
          <w:color w:val="222222"/>
          <w:sz w:val="20"/>
          <w:szCs w:val="20"/>
          <w:highlight w:val="white"/>
        </w:rPr>
        <w:t xml:space="preserve">his is also known as the “Anti-Online Sexual Abuse or Exploitation of Children (OSAEC) and Anti-Child Sexual Abuse or Exploitation Materials (CSAEM) Act”, has lapsed into law on 30 July 2022. </w:t>
      </w:r>
      <w:r w:rsidR="00CB64F9">
        <w:rPr>
          <w:sz w:val="20"/>
          <w:szCs w:val="20"/>
        </w:rPr>
        <w:t xml:space="preserve">The law </w:t>
      </w:r>
      <w:r w:rsidR="00CB64F9">
        <w:rPr>
          <w:sz w:val="20"/>
          <w:szCs w:val="20"/>
          <w:highlight w:val="white"/>
        </w:rPr>
        <w:t>strengthens protection for children against OSAEC-related crimes by requiring internet intermediaries and other internet or payment service providers to take down or remove websites that stream illegal content of abuse of minors. Also included is the provision for stiffer penalties for those involved in cases of child abuse and the formation of the National Coordinating Center against OSAEC and CSAEM under the Inter-Agency Council Against Trafficking (IACAT) to the better coordinate government response to OSAEC cases.</w:t>
      </w:r>
    </w:p>
    <w:p w14:paraId="65791C58" w14:textId="77777777" w:rsidR="00330B2F" w:rsidRDefault="00330B2F">
      <w:pPr>
        <w:pBdr>
          <w:top w:val="nil"/>
          <w:left w:val="nil"/>
          <w:bottom w:val="nil"/>
          <w:right w:val="nil"/>
          <w:between w:val="nil"/>
        </w:pBdr>
        <w:shd w:val="clear" w:color="auto" w:fill="FFFFFF"/>
        <w:spacing w:after="0" w:line="240" w:lineRule="auto"/>
        <w:jc w:val="both"/>
        <w:rPr>
          <w:color w:val="222222"/>
          <w:sz w:val="20"/>
          <w:szCs w:val="20"/>
          <w:highlight w:val="white"/>
        </w:rPr>
      </w:pPr>
    </w:p>
    <w:p w14:paraId="7241405F" w14:textId="77777777" w:rsidR="00330B2F" w:rsidRDefault="00CB64F9">
      <w:pPr>
        <w:numPr>
          <w:ilvl w:val="0"/>
          <w:numId w:val="16"/>
        </w:numPr>
        <w:spacing w:after="0" w:line="240" w:lineRule="auto"/>
        <w:jc w:val="both"/>
        <w:rPr>
          <w:sz w:val="20"/>
          <w:szCs w:val="20"/>
        </w:rPr>
      </w:pPr>
      <w:r>
        <w:rPr>
          <w:sz w:val="20"/>
          <w:szCs w:val="20"/>
        </w:rPr>
        <w:t>The Commission has high hopes that the pending legislation will be urgently enacted to address the pressing issues surrounding the increasing number of cases involving children. Their plight deserves urgent action by the government to ensure additional protection for the most vulnerable members of society to abuse.</w:t>
      </w:r>
    </w:p>
    <w:p w14:paraId="4C4F65A3" w14:textId="77777777" w:rsidR="00330B2F" w:rsidRDefault="00330B2F">
      <w:pPr>
        <w:pBdr>
          <w:top w:val="nil"/>
          <w:left w:val="nil"/>
          <w:bottom w:val="nil"/>
          <w:right w:val="nil"/>
          <w:between w:val="nil"/>
        </w:pBdr>
        <w:spacing w:after="0" w:line="240" w:lineRule="auto"/>
        <w:ind w:left="1080"/>
        <w:jc w:val="both"/>
        <w:rPr>
          <w:sz w:val="20"/>
          <w:szCs w:val="20"/>
        </w:rPr>
      </w:pPr>
    </w:p>
    <w:p w14:paraId="1CFAF210" w14:textId="7D265839" w:rsidR="00330B2F" w:rsidRDefault="00CB64F9">
      <w:pPr>
        <w:numPr>
          <w:ilvl w:val="0"/>
          <w:numId w:val="11"/>
        </w:numPr>
        <w:pBdr>
          <w:top w:val="nil"/>
          <w:left w:val="nil"/>
          <w:bottom w:val="nil"/>
          <w:right w:val="nil"/>
          <w:between w:val="nil"/>
        </w:pBdr>
        <w:spacing w:after="0" w:line="240" w:lineRule="auto"/>
        <w:ind w:left="1080"/>
        <w:jc w:val="both"/>
        <w:rPr>
          <w:sz w:val="20"/>
          <w:szCs w:val="20"/>
        </w:rPr>
      </w:pPr>
      <w:r>
        <w:rPr>
          <w:sz w:val="20"/>
          <w:szCs w:val="20"/>
        </w:rPr>
        <w:t>The Commission welcomes the proposed Safe School Reopening Bill, which provides ways to support the safe reopening of classes and the transition to face-to-face classes. The proposed measures outline key safety areas that would ensure the health and safety of learners and education personnel. These include proper ventilation of learning spaces; on-campus health facilities and supplies; human resources for health; financial support for private educational institutions to implement safety measures</w:t>
      </w:r>
      <w:r w:rsidR="008104AA">
        <w:rPr>
          <w:sz w:val="20"/>
          <w:szCs w:val="20"/>
        </w:rPr>
        <w:t xml:space="preserve">, </w:t>
      </w:r>
      <w:r>
        <w:rPr>
          <w:sz w:val="20"/>
          <w:szCs w:val="20"/>
        </w:rPr>
        <w:t xml:space="preserve">COVID-19 testing program for learners and education personnel; and medical fund for the free treatment of learners and educational personnel. </w:t>
      </w:r>
    </w:p>
    <w:p w14:paraId="62250D1A" w14:textId="77777777" w:rsidR="00330B2F" w:rsidRDefault="00330B2F">
      <w:pPr>
        <w:spacing w:after="0" w:line="240" w:lineRule="auto"/>
        <w:rPr>
          <w:b/>
          <w:color w:val="000000"/>
          <w:sz w:val="20"/>
          <w:szCs w:val="20"/>
        </w:rPr>
      </w:pPr>
    </w:p>
    <w:p w14:paraId="42748E9D" w14:textId="77777777" w:rsidR="00330B2F" w:rsidRDefault="00330B2F">
      <w:pPr>
        <w:spacing w:after="0" w:line="240" w:lineRule="auto"/>
        <w:rPr>
          <w:b/>
          <w:color w:val="000000"/>
          <w:sz w:val="20"/>
          <w:szCs w:val="20"/>
        </w:rPr>
      </w:pPr>
    </w:p>
    <w:p w14:paraId="0C8FF3A8" w14:textId="77777777" w:rsidR="00330B2F" w:rsidRDefault="00330B2F">
      <w:pPr>
        <w:spacing w:after="0" w:line="240" w:lineRule="auto"/>
        <w:rPr>
          <w:b/>
          <w:color w:val="000000"/>
          <w:sz w:val="20"/>
          <w:szCs w:val="20"/>
        </w:rPr>
      </w:pPr>
    </w:p>
    <w:p w14:paraId="0983269D" w14:textId="77777777" w:rsidR="00330B2F" w:rsidRDefault="00330B2F">
      <w:pPr>
        <w:spacing w:after="0" w:line="240" w:lineRule="auto"/>
        <w:rPr>
          <w:b/>
          <w:color w:val="000000"/>
          <w:sz w:val="20"/>
          <w:szCs w:val="20"/>
        </w:rPr>
      </w:pPr>
    </w:p>
    <w:p w14:paraId="076CF974" w14:textId="77777777" w:rsidR="00330B2F" w:rsidRDefault="00330B2F">
      <w:pPr>
        <w:spacing w:after="0" w:line="240" w:lineRule="auto"/>
        <w:rPr>
          <w:b/>
          <w:color w:val="000000"/>
          <w:sz w:val="20"/>
          <w:szCs w:val="20"/>
        </w:rPr>
      </w:pPr>
    </w:p>
    <w:p w14:paraId="7AAA9541" w14:textId="77777777" w:rsidR="00330B2F" w:rsidRDefault="00330B2F">
      <w:pPr>
        <w:spacing w:after="0" w:line="240" w:lineRule="auto"/>
        <w:rPr>
          <w:b/>
          <w:color w:val="000000"/>
          <w:sz w:val="20"/>
          <w:szCs w:val="20"/>
        </w:rPr>
      </w:pPr>
    </w:p>
    <w:p w14:paraId="7D2CCEB4" w14:textId="77777777" w:rsidR="00330B2F" w:rsidRDefault="00330B2F">
      <w:pPr>
        <w:spacing w:after="0" w:line="240" w:lineRule="auto"/>
        <w:rPr>
          <w:b/>
          <w:color w:val="000000"/>
          <w:sz w:val="20"/>
          <w:szCs w:val="20"/>
        </w:rPr>
      </w:pPr>
    </w:p>
    <w:p w14:paraId="3B02C567" w14:textId="77777777" w:rsidR="00330B2F" w:rsidRDefault="00330B2F">
      <w:pPr>
        <w:spacing w:after="0" w:line="240" w:lineRule="auto"/>
        <w:rPr>
          <w:b/>
          <w:color w:val="000000"/>
          <w:sz w:val="20"/>
          <w:szCs w:val="20"/>
        </w:rPr>
      </w:pPr>
    </w:p>
    <w:p w14:paraId="745BDD8D" w14:textId="77777777" w:rsidR="00330B2F" w:rsidRDefault="00330B2F">
      <w:pPr>
        <w:spacing w:after="0" w:line="240" w:lineRule="auto"/>
        <w:rPr>
          <w:b/>
          <w:color w:val="000000"/>
          <w:sz w:val="20"/>
          <w:szCs w:val="20"/>
        </w:rPr>
      </w:pPr>
    </w:p>
    <w:p w14:paraId="034F61F6" w14:textId="77777777" w:rsidR="00330B2F" w:rsidRDefault="00330B2F">
      <w:pPr>
        <w:spacing w:after="0" w:line="240" w:lineRule="auto"/>
        <w:jc w:val="both"/>
        <w:rPr>
          <w:sz w:val="20"/>
          <w:szCs w:val="20"/>
        </w:rPr>
      </w:pPr>
    </w:p>
    <w:sectPr w:rsidR="00330B2F">
      <w:footerReference w:type="default" r:id="rId19"/>
      <w:headerReference w:type="first" r:id="rId20"/>
      <w:footerReference w:type="first" r:id="rId21"/>
      <w:pgSz w:w="11906" w:h="16838"/>
      <w:pgMar w:top="1440" w:right="1440" w:bottom="1440" w:left="1440"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0707285" w14:textId="77777777" w:rsidR="00000A3C" w:rsidRDefault="00000A3C">
      <w:pPr>
        <w:spacing w:after="0" w:line="240" w:lineRule="auto"/>
      </w:pPr>
      <w:r>
        <w:separator/>
      </w:r>
    </w:p>
  </w:endnote>
  <w:endnote w:type="continuationSeparator" w:id="0">
    <w:p w14:paraId="58455D95" w14:textId="77777777" w:rsidR="00000A3C" w:rsidRDefault="00000A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Noto Sans Symbols">
    <w:altName w:val="Cambria"/>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1BFD32" w14:textId="2238A979" w:rsidR="00330B2F" w:rsidRDefault="00CB64F9">
    <w:pPr>
      <w:pBdr>
        <w:top w:val="nil"/>
        <w:left w:val="nil"/>
        <w:bottom w:val="nil"/>
        <w:right w:val="nil"/>
        <w:between w:val="nil"/>
      </w:pBdr>
      <w:tabs>
        <w:tab w:val="center" w:pos="4680"/>
        <w:tab w:val="right" w:pos="9360"/>
      </w:tabs>
      <w:spacing w:after="0" w:line="240" w:lineRule="auto"/>
      <w:jc w:val="center"/>
      <w:rPr>
        <w:color w:val="000000"/>
        <w:sz w:val="16"/>
        <w:szCs w:val="16"/>
      </w:rPr>
    </w:pPr>
    <w:r>
      <w:rPr>
        <w:color w:val="000000"/>
        <w:sz w:val="16"/>
        <w:szCs w:val="16"/>
      </w:rPr>
      <w:t xml:space="preserve">Page </w:t>
    </w:r>
    <w:r>
      <w:rPr>
        <w:color w:val="000000"/>
        <w:sz w:val="16"/>
        <w:szCs w:val="16"/>
      </w:rPr>
      <w:fldChar w:fldCharType="begin"/>
    </w:r>
    <w:r>
      <w:rPr>
        <w:color w:val="000000"/>
        <w:sz w:val="16"/>
        <w:szCs w:val="16"/>
      </w:rPr>
      <w:instrText>PAGE</w:instrText>
    </w:r>
    <w:r>
      <w:rPr>
        <w:color w:val="000000"/>
        <w:sz w:val="16"/>
        <w:szCs w:val="16"/>
      </w:rPr>
      <w:fldChar w:fldCharType="separate"/>
    </w:r>
    <w:r w:rsidR="009B7FF8">
      <w:rPr>
        <w:noProof/>
        <w:color w:val="000000"/>
        <w:sz w:val="16"/>
        <w:szCs w:val="16"/>
      </w:rPr>
      <w:t>11</w:t>
    </w:r>
    <w:r>
      <w:rPr>
        <w:color w:val="000000"/>
        <w:sz w:val="16"/>
        <w:szCs w:val="16"/>
      </w:rPr>
      <w:fldChar w:fldCharType="end"/>
    </w:r>
    <w:r>
      <w:rPr>
        <w:color w:val="000000"/>
        <w:sz w:val="16"/>
        <w:szCs w:val="16"/>
      </w:rPr>
      <w:t xml:space="preserve"> of </w:t>
    </w:r>
    <w:r>
      <w:rPr>
        <w:color w:val="000000"/>
        <w:sz w:val="16"/>
        <w:szCs w:val="16"/>
      </w:rPr>
      <w:fldChar w:fldCharType="begin"/>
    </w:r>
    <w:r>
      <w:rPr>
        <w:color w:val="000000"/>
        <w:sz w:val="16"/>
        <w:szCs w:val="16"/>
      </w:rPr>
      <w:instrText>NUMPAGES</w:instrText>
    </w:r>
    <w:r>
      <w:rPr>
        <w:color w:val="000000"/>
        <w:sz w:val="16"/>
        <w:szCs w:val="16"/>
      </w:rPr>
      <w:fldChar w:fldCharType="separate"/>
    </w:r>
    <w:r w:rsidR="009B7FF8">
      <w:rPr>
        <w:noProof/>
        <w:color w:val="000000"/>
        <w:sz w:val="16"/>
        <w:szCs w:val="16"/>
      </w:rPr>
      <w:t>11</w:t>
    </w:r>
    <w:r>
      <w:rPr>
        <w:color w:val="000000"/>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74777A" w14:textId="77777777" w:rsidR="00330B2F" w:rsidRDefault="00CB64F9">
    <w:pPr>
      <w:pBdr>
        <w:top w:val="nil"/>
        <w:left w:val="nil"/>
        <w:bottom w:val="nil"/>
        <w:right w:val="nil"/>
        <w:between w:val="nil"/>
      </w:pBdr>
      <w:tabs>
        <w:tab w:val="center" w:pos="4680"/>
        <w:tab w:val="right" w:pos="9360"/>
      </w:tabs>
      <w:spacing w:after="0" w:line="240" w:lineRule="auto"/>
      <w:jc w:val="center"/>
      <w:rPr>
        <w:b/>
        <w:color w:val="E2BB26"/>
        <w:sz w:val="6"/>
        <w:szCs w:val="6"/>
      </w:rPr>
    </w:pPr>
    <w:r>
      <w:rPr>
        <w:noProof/>
        <w:lang w:val="en-GB" w:eastAsia="en-GB"/>
      </w:rPr>
      <mc:AlternateContent>
        <mc:Choice Requires="wps">
          <w:drawing>
            <wp:anchor distT="0" distB="0" distL="114300" distR="114300" simplePos="0" relativeHeight="251658240" behindDoc="0" locked="0" layoutInCell="1" hidden="0" allowOverlap="1" wp14:anchorId="4E35C5B1" wp14:editId="7FEDE659">
              <wp:simplePos x="0" y="0"/>
              <wp:positionH relativeFrom="column">
                <wp:posOffset>647700</wp:posOffset>
              </wp:positionH>
              <wp:positionV relativeFrom="paragraph">
                <wp:posOffset>0</wp:posOffset>
              </wp:positionV>
              <wp:extent cx="0" cy="12700"/>
              <wp:effectExtent l="0" t="0" r="0" b="0"/>
              <wp:wrapNone/>
              <wp:docPr id="6" name="Straight Arrow Connector 6"/>
              <wp:cNvGraphicFramePr/>
              <a:graphic xmlns:a="http://schemas.openxmlformats.org/drawingml/2006/main">
                <a:graphicData uri="http://schemas.microsoft.com/office/word/2010/wordprocessingShape">
                  <wps:wsp>
                    <wps:cNvCnPr/>
                    <wps:spPr>
                      <a:xfrm>
                        <a:off x="3038093" y="3780000"/>
                        <a:ext cx="4615815" cy="0"/>
                      </a:xfrm>
                      <a:prstGeom prst="straightConnector1">
                        <a:avLst/>
                      </a:prstGeom>
                      <a:noFill/>
                      <a:ln w="9525" cap="flat" cmpd="sng">
                        <a:solidFill>
                          <a:srgbClr val="A98A17"/>
                        </a:solidFill>
                        <a:prstDash val="solid"/>
                        <a:miter lim="800000"/>
                        <a:headEnd type="none" w="sm" len="sm"/>
                        <a:tailEnd type="none" w="sm" len="sm"/>
                      </a:ln>
                    </wps:spPr>
                    <wps:bodyPr/>
                  </wps:wsp>
                </a:graphicData>
              </a:graphic>
            </wp:anchor>
          </w:drawing>
        </mc:Choice>
        <mc:Fallback xmlns:oel="http://schemas.microsoft.com/office/2019/extlst" xmlns:w16cex="http://schemas.microsoft.com/office/word/2018/wordml/cex" xmlns:w16="http://schemas.microsoft.com/office/word/2018/wordml" xmlns:w16sdtdh="http://schemas.microsoft.com/office/word/2020/wordml/sdtdatahash"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drawing>
            <wp:anchor allowOverlap="1" behindDoc="0" distB="0" distT="0" distL="114300" distR="114300" hidden="0" layoutInCell="1" locked="0" relativeHeight="0" simplePos="0">
              <wp:simplePos x="0" y="0"/>
              <wp:positionH relativeFrom="column">
                <wp:posOffset>647700</wp:posOffset>
              </wp:positionH>
              <wp:positionV relativeFrom="paragraph">
                <wp:posOffset>0</wp:posOffset>
              </wp:positionV>
              <wp:extent cx="0" cy="12700"/>
              <wp:effectExtent b="0" l="0" r="0" t="0"/>
              <wp:wrapNone/>
              <wp:docPr id="6" name="image2.png"/>
              <a:graphic>
                <a:graphicData uri="http://schemas.openxmlformats.org/drawingml/2006/picture">
                  <pic:pic>
                    <pic:nvPicPr>
                      <pic:cNvPr id="0" name="image2.png"/>
                      <pic:cNvPicPr preferRelativeResize="0"/>
                    </pic:nvPicPr>
                    <pic:blipFill>
                      <a:blip r:embed="rId1"/>
                      <a:srcRect/>
                      <a:stretch>
                        <a:fillRect/>
                      </a:stretch>
                    </pic:blipFill>
                    <pic:spPr>
                      <a:xfrm>
                        <a:off x="0" y="0"/>
                        <a:ext cx="0" cy="12700"/>
                      </a:xfrm>
                      <a:prstGeom prst="rect"/>
                      <a:ln/>
                    </pic:spPr>
                  </pic:pic>
                </a:graphicData>
              </a:graphic>
            </wp:anchor>
          </w:drawing>
        </mc:Fallback>
      </mc:AlternateContent>
    </w:r>
  </w:p>
  <w:p w14:paraId="4618579D" w14:textId="77777777" w:rsidR="00330B2F" w:rsidRDefault="00CB64F9">
    <w:pPr>
      <w:pBdr>
        <w:top w:val="nil"/>
        <w:left w:val="nil"/>
        <w:bottom w:val="nil"/>
        <w:right w:val="nil"/>
        <w:between w:val="nil"/>
      </w:pBdr>
      <w:tabs>
        <w:tab w:val="center" w:pos="4680"/>
        <w:tab w:val="right" w:pos="9360"/>
      </w:tabs>
      <w:spacing w:after="0" w:line="240" w:lineRule="auto"/>
      <w:jc w:val="center"/>
      <w:rPr>
        <w:color w:val="E2BB26"/>
        <w:sz w:val="20"/>
        <w:szCs w:val="20"/>
      </w:rPr>
    </w:pPr>
    <w:r>
      <w:rPr>
        <w:color w:val="E2BB26"/>
        <w:sz w:val="20"/>
        <w:szCs w:val="20"/>
      </w:rPr>
      <w:t>Commonwealth Avenue, U.P. Complex, Diliman 1101 Quezon City, Philippines</w:t>
    </w:r>
  </w:p>
  <w:p w14:paraId="2EE60923" w14:textId="77777777" w:rsidR="00330B2F" w:rsidRDefault="00CB64F9">
    <w:pPr>
      <w:pBdr>
        <w:top w:val="nil"/>
        <w:left w:val="nil"/>
        <w:bottom w:val="nil"/>
        <w:right w:val="nil"/>
        <w:between w:val="nil"/>
      </w:pBdr>
      <w:tabs>
        <w:tab w:val="center" w:pos="4680"/>
        <w:tab w:val="right" w:pos="9360"/>
      </w:tabs>
      <w:spacing w:after="0" w:line="240" w:lineRule="auto"/>
      <w:jc w:val="center"/>
      <w:rPr>
        <w:color w:val="E2BB26"/>
        <w:sz w:val="20"/>
        <w:szCs w:val="20"/>
      </w:rPr>
    </w:pPr>
    <w:r>
      <w:rPr>
        <w:color w:val="E2BB26"/>
        <w:sz w:val="20"/>
        <w:szCs w:val="20"/>
      </w:rPr>
      <w:t xml:space="preserve">Tel. Nos. (02) 294 8704 </w:t>
    </w:r>
    <w:r>
      <w:rPr>
        <w:rFonts w:ascii="Noto Sans Symbols" w:eastAsia="Noto Sans Symbols" w:hAnsi="Noto Sans Symbols" w:cs="Noto Sans Symbols"/>
        <w:color w:val="E2BB26"/>
        <w:sz w:val="20"/>
        <w:szCs w:val="20"/>
      </w:rPr>
      <w:t>∙</w:t>
    </w:r>
    <w:r>
      <w:rPr>
        <w:color w:val="E2BB26"/>
        <w:sz w:val="20"/>
        <w:szCs w:val="20"/>
      </w:rPr>
      <w:t xml:space="preserve"> (02) 925 3886</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1841FEA" w14:textId="77777777" w:rsidR="00000A3C" w:rsidRDefault="00000A3C">
      <w:pPr>
        <w:spacing w:after="0" w:line="240" w:lineRule="auto"/>
      </w:pPr>
      <w:r>
        <w:separator/>
      </w:r>
    </w:p>
  </w:footnote>
  <w:footnote w:type="continuationSeparator" w:id="0">
    <w:p w14:paraId="32D167F3" w14:textId="77777777" w:rsidR="00000A3C" w:rsidRDefault="00000A3C">
      <w:pPr>
        <w:spacing w:after="0" w:line="240" w:lineRule="auto"/>
      </w:pPr>
      <w:r>
        <w:continuationSeparator/>
      </w:r>
    </w:p>
  </w:footnote>
  <w:footnote w:id="1">
    <w:p w14:paraId="64AAD65F" w14:textId="77777777" w:rsidR="00330B2F" w:rsidRDefault="00CB64F9">
      <w:pPr>
        <w:pBdr>
          <w:top w:val="nil"/>
          <w:left w:val="nil"/>
          <w:bottom w:val="nil"/>
          <w:right w:val="nil"/>
          <w:between w:val="nil"/>
        </w:pBdr>
        <w:spacing w:after="0" w:line="240" w:lineRule="auto"/>
        <w:jc w:val="both"/>
        <w:rPr>
          <w:color w:val="000000"/>
          <w:sz w:val="18"/>
          <w:szCs w:val="18"/>
        </w:rPr>
      </w:pPr>
      <w:r>
        <w:rPr>
          <w:rStyle w:val="FootnoteReference"/>
        </w:rPr>
        <w:footnoteRef/>
      </w:r>
      <w:r>
        <w:rPr>
          <w:sz w:val="16"/>
          <w:szCs w:val="16"/>
        </w:rPr>
        <w:t xml:space="preserve"> T</w:t>
      </w:r>
      <w:r>
        <w:rPr>
          <w:color w:val="000000"/>
          <w:sz w:val="16"/>
          <w:szCs w:val="16"/>
        </w:rPr>
        <w:t xml:space="preserve">he Commission on Human Rights of </w:t>
      </w:r>
      <w:r>
        <w:rPr>
          <w:sz w:val="16"/>
          <w:szCs w:val="16"/>
        </w:rPr>
        <w:t>the Philippines</w:t>
      </w:r>
      <w:r>
        <w:rPr>
          <w:color w:val="000000"/>
          <w:sz w:val="16"/>
          <w:szCs w:val="16"/>
        </w:rPr>
        <w:t xml:space="preserve"> is the country</w:t>
      </w:r>
      <w:r>
        <w:rPr>
          <w:sz w:val="16"/>
          <w:szCs w:val="16"/>
        </w:rPr>
        <w:t>’s national human rights institution (NHRI). It is mandated by the</w:t>
      </w:r>
      <w:r>
        <w:rPr>
          <w:color w:val="000000"/>
          <w:sz w:val="16"/>
          <w:szCs w:val="16"/>
        </w:rPr>
        <w:t xml:space="preserve"> 1987 Philippine Constitution to promote and protect the full range of human rights including civil</w:t>
      </w:r>
      <w:r>
        <w:rPr>
          <w:sz w:val="16"/>
          <w:szCs w:val="16"/>
        </w:rPr>
        <w:t>,</w:t>
      </w:r>
      <w:r>
        <w:rPr>
          <w:color w:val="000000"/>
          <w:sz w:val="16"/>
          <w:szCs w:val="16"/>
        </w:rPr>
        <w:t xml:space="preserve"> political, economic, social, and cultural rights. It has the responsibility to regularly report and monitor human rights situations and violations, and recommend steps in advancing the realization of human rights and dignity of all. The Commission is fully compliant with the Paris P</w:t>
      </w:r>
      <w:r>
        <w:rPr>
          <w:sz w:val="16"/>
          <w:szCs w:val="16"/>
        </w:rPr>
        <w:t>rinciples. As such, it</w:t>
      </w:r>
      <w:r>
        <w:rPr>
          <w:color w:val="000000"/>
          <w:sz w:val="16"/>
          <w:szCs w:val="16"/>
        </w:rPr>
        <w:t xml:space="preserve"> </w:t>
      </w:r>
      <w:r>
        <w:rPr>
          <w:sz w:val="16"/>
          <w:szCs w:val="16"/>
        </w:rPr>
        <w:t>has been</w:t>
      </w:r>
      <w:r>
        <w:rPr>
          <w:color w:val="000000"/>
          <w:sz w:val="16"/>
          <w:szCs w:val="16"/>
        </w:rPr>
        <w:t xml:space="preserve"> accredited “A” status by the Global Alliance of National Human Rights Institutions (GANHRI) since 1999.</w:t>
      </w:r>
    </w:p>
  </w:footnote>
  <w:footnote w:id="2">
    <w:p w14:paraId="08EEE60A" w14:textId="77777777" w:rsidR="00330B2F" w:rsidRDefault="00CB64F9">
      <w:pPr>
        <w:pBdr>
          <w:top w:val="nil"/>
          <w:left w:val="nil"/>
          <w:bottom w:val="nil"/>
          <w:right w:val="nil"/>
          <w:between w:val="nil"/>
        </w:pBdr>
        <w:spacing w:after="0" w:line="240" w:lineRule="auto"/>
        <w:rPr>
          <w:color w:val="000000"/>
          <w:sz w:val="16"/>
          <w:szCs w:val="16"/>
        </w:rPr>
      </w:pPr>
      <w:r>
        <w:rPr>
          <w:rStyle w:val="FootnoteReference"/>
        </w:rPr>
        <w:footnoteRef/>
      </w:r>
      <w:r>
        <w:rPr>
          <w:sz w:val="16"/>
          <w:szCs w:val="16"/>
        </w:rPr>
        <w:t xml:space="preserve"> </w:t>
      </w:r>
      <w:r>
        <w:rPr>
          <w:color w:val="000000"/>
          <w:sz w:val="16"/>
          <w:szCs w:val="16"/>
        </w:rPr>
        <w:t xml:space="preserve">Children in Conflict with the Law, </w:t>
      </w:r>
      <w:r>
        <w:rPr>
          <w:color w:val="000000"/>
          <w:sz w:val="16"/>
          <w:szCs w:val="16"/>
          <w:highlight w:val="white"/>
        </w:rPr>
        <w:t>refers to a child who is alleged as, accused of, or adjudged as, having committed an offense under Philippine laws</w:t>
      </w:r>
      <w:r>
        <w:rPr>
          <w:color w:val="000000"/>
          <w:sz w:val="16"/>
          <w:szCs w:val="16"/>
        </w:rPr>
        <w:t xml:space="preserve">, </w:t>
      </w:r>
      <w:r>
        <w:rPr>
          <w:sz w:val="16"/>
          <w:szCs w:val="16"/>
        </w:rPr>
        <w:t>Republic Act No. 9344, §</w:t>
      </w:r>
      <w:r>
        <w:rPr>
          <w:color w:val="000000"/>
          <w:sz w:val="16"/>
          <w:szCs w:val="16"/>
        </w:rPr>
        <w:t xml:space="preserve"> 4.e</w:t>
      </w:r>
      <w:r>
        <w:rPr>
          <w:sz w:val="16"/>
          <w:szCs w:val="16"/>
        </w:rPr>
        <w:t>, (</w:t>
      </w:r>
      <w:r>
        <w:rPr>
          <w:color w:val="000000"/>
          <w:sz w:val="16"/>
          <w:szCs w:val="16"/>
        </w:rPr>
        <w:t xml:space="preserve"> 2006). </w:t>
      </w:r>
    </w:p>
  </w:footnote>
  <w:footnote w:id="3">
    <w:p w14:paraId="4FFBB3D8" w14:textId="77777777" w:rsidR="00330B2F" w:rsidRDefault="00CB64F9" w:rsidP="00832CB0">
      <w:pPr>
        <w:pBdr>
          <w:top w:val="nil"/>
          <w:left w:val="nil"/>
          <w:bottom w:val="nil"/>
          <w:right w:val="nil"/>
          <w:between w:val="nil"/>
        </w:pBdr>
        <w:spacing w:after="0" w:line="240" w:lineRule="auto"/>
        <w:jc w:val="both"/>
        <w:rPr>
          <w:color w:val="222222"/>
          <w:sz w:val="16"/>
          <w:szCs w:val="16"/>
          <w:highlight w:val="white"/>
        </w:rPr>
      </w:pPr>
      <w:r>
        <w:rPr>
          <w:rStyle w:val="FootnoteReference"/>
        </w:rPr>
        <w:footnoteRef/>
      </w:r>
      <w:r>
        <w:rPr>
          <w:color w:val="222222"/>
          <w:sz w:val="16"/>
          <w:szCs w:val="16"/>
          <w:highlight w:val="white"/>
        </w:rPr>
        <w:t xml:space="preserve"> "Deprivation of Liberty" refers to any form of detention or imprisonment, or to the placement of a child in conflict with the law in a public or private custodial setting, from which the child in conflict with the law is not permitted to leave at will by order of any judicial or administrative authority, Republic Act 9344, 4.h, </w:t>
      </w:r>
      <w:r>
        <w:rPr>
          <w:sz w:val="16"/>
          <w:szCs w:val="16"/>
        </w:rPr>
        <w:t xml:space="preserve">§ 4.e, ( 2006). </w:t>
      </w:r>
    </w:p>
  </w:footnote>
  <w:footnote w:id="4">
    <w:p w14:paraId="062F57BD" w14:textId="77777777" w:rsidR="00330B2F" w:rsidRDefault="00CB64F9">
      <w:pPr>
        <w:spacing w:after="0" w:line="240" w:lineRule="auto"/>
        <w:jc w:val="both"/>
        <w:rPr>
          <w:sz w:val="16"/>
          <w:szCs w:val="16"/>
        </w:rPr>
      </w:pPr>
      <w:r>
        <w:rPr>
          <w:rStyle w:val="FootnoteReference"/>
        </w:rPr>
        <w:footnoteRef/>
      </w:r>
      <w:r>
        <w:rPr>
          <w:sz w:val="16"/>
          <w:szCs w:val="16"/>
        </w:rPr>
        <w:t xml:space="preserve"> An Act Strengthening the Juvenile Justice System in the Philippines, amending for the Purpose Republic Act No. 9344, Otherwise Known as the “Juvenile Justice and Welfare Act of 2006” and Appropriating Funds Therefor, (RA 10630, An Act Establishing a Comprehensive Juvenile Justice and Welfare Council under the Department of Social Welfare and Development, Appropriating Funds Therefor, and for Other Purposes, [Republic Act No.10630], §49 (2013). Bahay Pag-Asa, refers to a 24-hour child-caring institution established, funded and managed by local government units (LGUs) and licensed and/or accredited non-government organizations (NGOs) providing short-term residential care for children in conflict with the law who are above fifteen (15) but below eighteen (18) years of age who are awaiting court disposition of their cases or transfer to other agencies or jurisdiction, </w:t>
      </w:r>
    </w:p>
  </w:footnote>
  <w:footnote w:id="5">
    <w:p w14:paraId="6145A136" w14:textId="77777777" w:rsidR="00330B2F" w:rsidRDefault="00CB64F9">
      <w:pPr>
        <w:spacing w:after="0" w:line="240" w:lineRule="auto"/>
        <w:jc w:val="both"/>
        <w:rPr>
          <w:sz w:val="16"/>
          <w:szCs w:val="16"/>
        </w:rPr>
      </w:pPr>
      <w:r>
        <w:rPr>
          <w:rStyle w:val="FootnoteReference"/>
        </w:rPr>
        <w:footnoteRef/>
      </w:r>
      <w:r>
        <w:rPr>
          <w:sz w:val="16"/>
          <w:szCs w:val="16"/>
        </w:rPr>
        <w:t xml:space="preserve"> The Juvenile Justice and Welfare Council (JJWC) is a policy making, coordinating, and monitoring body tasked through its member and coordinating agencies with the implementation of the Juvenile Justice and Welfare Act, as amended, available at https://www.jjwc.gov.ph/about-us/#about-us-one, last accessed (30 July 2022). </w:t>
      </w:r>
    </w:p>
  </w:footnote>
  <w:footnote w:id="6">
    <w:p w14:paraId="47466D42" w14:textId="77777777" w:rsidR="00330B2F" w:rsidRDefault="00CB64F9">
      <w:pPr>
        <w:spacing w:after="0" w:line="240" w:lineRule="auto"/>
        <w:rPr>
          <w:sz w:val="16"/>
          <w:szCs w:val="16"/>
        </w:rPr>
      </w:pPr>
      <w:r>
        <w:rPr>
          <w:rStyle w:val="FootnoteReference"/>
        </w:rPr>
        <w:footnoteRef/>
      </w:r>
      <w:r>
        <w:rPr>
          <w:sz w:val="16"/>
          <w:szCs w:val="16"/>
        </w:rPr>
        <w:t xml:space="preserve"> JJWC Report, March 2022.</w:t>
      </w:r>
    </w:p>
  </w:footnote>
  <w:footnote w:id="7">
    <w:p w14:paraId="73DA523E" w14:textId="77777777" w:rsidR="00330B2F" w:rsidRDefault="00CB64F9">
      <w:pPr>
        <w:pBdr>
          <w:top w:val="nil"/>
          <w:left w:val="nil"/>
          <w:bottom w:val="nil"/>
          <w:right w:val="nil"/>
          <w:between w:val="nil"/>
        </w:pBdr>
        <w:spacing w:after="0" w:line="240" w:lineRule="auto"/>
        <w:jc w:val="both"/>
        <w:rPr>
          <w:color w:val="000000"/>
          <w:sz w:val="20"/>
          <w:szCs w:val="20"/>
        </w:rPr>
      </w:pPr>
      <w:r>
        <w:rPr>
          <w:rStyle w:val="FootnoteReference"/>
        </w:rPr>
        <w:footnoteRef/>
      </w:r>
      <w:r>
        <w:rPr>
          <w:sz w:val="16"/>
          <w:szCs w:val="16"/>
        </w:rPr>
        <w:t xml:space="preserve"> </w:t>
      </w:r>
      <w:r>
        <w:rPr>
          <w:color w:val="000000"/>
          <w:sz w:val="16"/>
          <w:szCs w:val="16"/>
        </w:rPr>
        <w:t>Child at Risk, refers to a child who is vulnerable to and at the risk of committing criminal offenses because of personal, family and social circumstances, such as, but not limited to, the following: (</w:t>
      </w:r>
      <w:r>
        <w:rPr>
          <w:color w:val="000000"/>
          <w:sz w:val="16"/>
          <w:szCs w:val="16"/>
          <w:highlight w:val="white"/>
        </w:rPr>
        <w:t>being abused by any person through sexual, physical, psychological, mental, economic or any other means and the parents or guardian refuse, are unwilling, or unable to provide protection for the child;  being exploited including sexually or economically; being abandoned or neglected, and after diligent search and inquiry, the parent or guardian cannot be found; coming from a dysfunctional or broken family or without a parent or guardian; being out of school; being a street child; being a member of a gang; living in a community with a high level of criminality or drug abuse; and  living in situations of armed conflict.</w:t>
      </w:r>
      <w:r>
        <w:rPr>
          <w:color w:val="000000"/>
          <w:sz w:val="16"/>
          <w:szCs w:val="16"/>
        </w:rPr>
        <w:t xml:space="preserve"> (Section 4.d, RA 9344).</w:t>
      </w:r>
    </w:p>
  </w:footnote>
  <w:footnote w:id="8">
    <w:p w14:paraId="1992097D" w14:textId="77777777" w:rsidR="00330B2F" w:rsidRDefault="00CB64F9">
      <w:pPr>
        <w:pBdr>
          <w:top w:val="nil"/>
          <w:left w:val="nil"/>
          <w:bottom w:val="nil"/>
          <w:right w:val="nil"/>
          <w:between w:val="nil"/>
        </w:pBdr>
        <w:spacing w:after="0" w:line="240" w:lineRule="auto"/>
        <w:jc w:val="both"/>
        <w:rPr>
          <w:color w:val="000000"/>
          <w:sz w:val="16"/>
          <w:szCs w:val="16"/>
        </w:rPr>
      </w:pPr>
      <w:r>
        <w:rPr>
          <w:rStyle w:val="FootnoteReference"/>
        </w:rPr>
        <w:footnoteRef/>
      </w:r>
      <w:r>
        <w:rPr>
          <w:sz w:val="16"/>
          <w:szCs w:val="16"/>
        </w:rPr>
        <w:t xml:space="preserve"> </w:t>
      </w:r>
      <w:r>
        <w:rPr>
          <w:color w:val="000000"/>
          <w:sz w:val="16"/>
          <w:szCs w:val="16"/>
        </w:rPr>
        <w:t xml:space="preserve">Juvenile Justice Welfare Council, Comprehensive National Juvenile Intervention Program, 2018-2022 (p.15), available at </w:t>
      </w:r>
      <w:hyperlink r:id="rId1">
        <w:r>
          <w:rPr>
            <w:color w:val="0563C1"/>
            <w:sz w:val="16"/>
            <w:szCs w:val="16"/>
            <w:u w:val="single"/>
          </w:rPr>
          <w:t>https://jjwc.gov.ph/wp-content/uploads/2020/06/Comprehensive-National-Juvenile-Intervention-Program-CNJIP.pdf</w:t>
        </w:r>
      </w:hyperlink>
      <w:r>
        <w:rPr>
          <w:color w:val="000000"/>
          <w:sz w:val="16"/>
          <w:szCs w:val="16"/>
        </w:rPr>
        <w:t>,last accessed (30 July 2022).</w:t>
      </w:r>
    </w:p>
  </w:footnote>
  <w:footnote w:id="9">
    <w:p w14:paraId="1282C8B8" w14:textId="77777777" w:rsidR="00330B2F" w:rsidRDefault="00CB64F9">
      <w:pPr>
        <w:spacing w:after="0" w:line="240" w:lineRule="auto"/>
        <w:jc w:val="both"/>
        <w:rPr>
          <w:sz w:val="16"/>
          <w:szCs w:val="16"/>
        </w:rPr>
      </w:pPr>
      <w:r>
        <w:rPr>
          <w:rStyle w:val="FootnoteReference"/>
        </w:rPr>
        <w:footnoteRef/>
      </w:r>
      <w:r>
        <w:rPr>
          <w:sz w:val="16"/>
          <w:szCs w:val="16"/>
        </w:rPr>
        <w:t xml:space="preserve"> Id.</w:t>
      </w:r>
    </w:p>
  </w:footnote>
  <w:footnote w:id="10">
    <w:p w14:paraId="3E5AF92F" w14:textId="2E46740D" w:rsidR="00330B2F" w:rsidRDefault="00CB64F9">
      <w:pPr>
        <w:spacing w:after="0" w:line="240" w:lineRule="auto"/>
        <w:jc w:val="both"/>
        <w:rPr>
          <w:sz w:val="16"/>
          <w:szCs w:val="16"/>
        </w:rPr>
      </w:pPr>
      <w:r>
        <w:rPr>
          <w:rStyle w:val="FootnoteReference"/>
        </w:rPr>
        <w:footnoteRef/>
      </w:r>
      <w:r>
        <w:rPr>
          <w:sz w:val="16"/>
          <w:szCs w:val="16"/>
        </w:rPr>
        <w:t xml:space="preserve">Situational Analysis Report on the Situation of Children Deprived of Liberty in </w:t>
      </w:r>
      <w:proofErr w:type="spellStart"/>
      <w:r>
        <w:rPr>
          <w:sz w:val="16"/>
          <w:szCs w:val="16"/>
        </w:rPr>
        <w:t>Bahay</w:t>
      </w:r>
      <w:proofErr w:type="spellEnd"/>
      <w:r>
        <w:rPr>
          <w:sz w:val="16"/>
          <w:szCs w:val="16"/>
        </w:rPr>
        <w:t xml:space="preserve"> </w:t>
      </w:r>
      <w:proofErr w:type="spellStart"/>
      <w:r>
        <w:rPr>
          <w:sz w:val="16"/>
          <w:szCs w:val="16"/>
        </w:rPr>
        <w:t>Pag-asa</w:t>
      </w:r>
      <w:proofErr w:type="spellEnd"/>
      <w:r>
        <w:rPr>
          <w:sz w:val="16"/>
          <w:szCs w:val="16"/>
        </w:rPr>
        <w:t xml:space="preserve"> Centers and Youth Homes in the Philippines, CHR (V) POL2022-014, May 2022.</w:t>
      </w:r>
    </w:p>
  </w:footnote>
  <w:footnote w:id="11">
    <w:p w14:paraId="43165EB5" w14:textId="77777777" w:rsidR="00330B2F" w:rsidRDefault="00CB64F9">
      <w:pPr>
        <w:spacing w:after="0" w:line="240" w:lineRule="auto"/>
        <w:jc w:val="both"/>
        <w:rPr>
          <w:sz w:val="16"/>
          <w:szCs w:val="16"/>
        </w:rPr>
      </w:pPr>
      <w:r>
        <w:rPr>
          <w:rStyle w:val="FootnoteReference"/>
        </w:rPr>
        <w:footnoteRef/>
      </w:r>
      <w:r>
        <w:rPr>
          <w:sz w:val="16"/>
          <w:szCs w:val="16"/>
        </w:rPr>
        <w:t xml:space="preserve"> Regional Situation Report on Children, July to December 2020, CHR Region Office I, (on file with the author). </w:t>
      </w:r>
    </w:p>
  </w:footnote>
  <w:footnote w:id="12">
    <w:p w14:paraId="4C3C2F67" w14:textId="01207724" w:rsidR="00330B2F" w:rsidRDefault="00CB64F9">
      <w:pPr>
        <w:spacing w:after="0" w:line="240" w:lineRule="auto"/>
        <w:jc w:val="both"/>
        <w:rPr>
          <w:color w:val="222222"/>
          <w:sz w:val="16"/>
          <w:szCs w:val="16"/>
        </w:rPr>
      </w:pPr>
      <w:r>
        <w:rPr>
          <w:rStyle w:val="FootnoteReference"/>
        </w:rPr>
        <w:footnoteRef/>
      </w:r>
      <w:r>
        <w:rPr>
          <w:sz w:val="16"/>
          <w:szCs w:val="16"/>
        </w:rPr>
        <w:t xml:space="preserve"> </w:t>
      </w:r>
      <w:r>
        <w:rPr>
          <w:color w:val="222222"/>
          <w:sz w:val="16"/>
          <w:szCs w:val="16"/>
        </w:rPr>
        <w:t xml:space="preserve">Supreme Court, Court </w:t>
      </w:r>
      <w:proofErr w:type="spellStart"/>
      <w:r>
        <w:rPr>
          <w:color w:val="222222"/>
          <w:sz w:val="16"/>
          <w:szCs w:val="16"/>
        </w:rPr>
        <w:t>En</w:t>
      </w:r>
      <w:proofErr w:type="spellEnd"/>
      <w:r>
        <w:rPr>
          <w:color w:val="222222"/>
          <w:sz w:val="16"/>
          <w:szCs w:val="16"/>
        </w:rPr>
        <w:t xml:space="preserve"> Banc Resolution Date 9 December 2020 in A.M. 20-12-01-SC (Re: Proposed Guidelines on the Conduct of Video</w:t>
      </w:r>
      <w:r w:rsidR="008104AA">
        <w:rPr>
          <w:color w:val="222222"/>
          <w:sz w:val="16"/>
          <w:szCs w:val="16"/>
        </w:rPr>
        <w:t xml:space="preserve"> </w:t>
      </w:r>
      <w:r>
        <w:rPr>
          <w:color w:val="222222"/>
          <w:sz w:val="16"/>
          <w:szCs w:val="16"/>
        </w:rPr>
        <w:t xml:space="preserve">Conferencing), OCA Circular No. 209-2020, (December 9, 2020), available at </w:t>
      </w:r>
      <w:hyperlink r:id="rId2">
        <w:r>
          <w:rPr>
            <w:color w:val="222222"/>
            <w:sz w:val="16"/>
            <w:szCs w:val="16"/>
            <w:u w:val="single"/>
          </w:rPr>
          <w:t>https://oca.judiciary.gov.ph/wp-content/uploads/2021/01/OCA-Circular-No.-209-2020.pdf</w:t>
        </w:r>
      </w:hyperlink>
      <w:r>
        <w:rPr>
          <w:color w:val="222222"/>
          <w:sz w:val="16"/>
          <w:szCs w:val="16"/>
        </w:rPr>
        <w:t>, (last accessed) 31 July 2022.</w:t>
      </w:r>
    </w:p>
  </w:footnote>
  <w:footnote w:id="13">
    <w:p w14:paraId="3BF3609A" w14:textId="70EAF75C" w:rsidR="00330B2F" w:rsidRDefault="00CB64F9">
      <w:pPr>
        <w:pBdr>
          <w:top w:val="nil"/>
          <w:left w:val="nil"/>
          <w:bottom w:val="nil"/>
          <w:right w:val="nil"/>
          <w:between w:val="nil"/>
        </w:pBdr>
        <w:spacing w:after="0" w:line="240" w:lineRule="auto"/>
        <w:jc w:val="both"/>
        <w:rPr>
          <w:color w:val="000000"/>
          <w:sz w:val="16"/>
          <w:szCs w:val="16"/>
        </w:rPr>
      </w:pPr>
      <w:r>
        <w:rPr>
          <w:rStyle w:val="FootnoteReference"/>
        </w:rPr>
        <w:footnoteRef/>
      </w:r>
      <w:r>
        <w:rPr>
          <w:color w:val="000000"/>
          <w:sz w:val="16"/>
          <w:szCs w:val="16"/>
        </w:rPr>
        <w:t xml:space="preserve"> Commission on Human Rights, Regional Offi</w:t>
      </w:r>
      <w:r w:rsidR="008104AA">
        <w:rPr>
          <w:color w:val="000000"/>
          <w:sz w:val="16"/>
          <w:szCs w:val="16"/>
        </w:rPr>
        <w:t>c</w:t>
      </w:r>
      <w:r>
        <w:rPr>
          <w:color w:val="000000"/>
          <w:sz w:val="16"/>
          <w:szCs w:val="16"/>
        </w:rPr>
        <w:t xml:space="preserve">e IV-A (CALABARZON), 2021 Report on the Human Rights Situation of Disadvantaged, Marginalized, and Vulnerable Sectors in Region IV-A (CALABARZON), (on file with the author). </w:t>
      </w:r>
    </w:p>
  </w:footnote>
  <w:footnote w:id="14">
    <w:p w14:paraId="02CDDA27" w14:textId="77777777" w:rsidR="00330B2F" w:rsidRDefault="00CB64F9">
      <w:pPr>
        <w:spacing w:after="0" w:line="240" w:lineRule="auto"/>
        <w:jc w:val="both"/>
        <w:rPr>
          <w:sz w:val="16"/>
          <w:szCs w:val="16"/>
        </w:rPr>
      </w:pPr>
      <w:r>
        <w:rPr>
          <w:rStyle w:val="FootnoteReference"/>
        </w:rPr>
        <w:footnoteRef/>
      </w:r>
      <w:r>
        <w:rPr>
          <w:sz w:val="16"/>
          <w:szCs w:val="16"/>
        </w:rPr>
        <w:t xml:space="preserve"> Commission on Human Rights-Regional Office XII, Regional Human Rights Situation Report, January-June 2021, (on file with the author).</w:t>
      </w:r>
    </w:p>
  </w:footnote>
  <w:footnote w:id="15">
    <w:p w14:paraId="2E36B45B" w14:textId="77777777" w:rsidR="00330B2F" w:rsidRDefault="00CB64F9">
      <w:pPr>
        <w:spacing w:after="0" w:line="240" w:lineRule="auto"/>
        <w:jc w:val="both"/>
        <w:rPr>
          <w:sz w:val="16"/>
          <w:szCs w:val="16"/>
        </w:rPr>
      </w:pPr>
      <w:r>
        <w:rPr>
          <w:rStyle w:val="FootnoteReference"/>
        </w:rPr>
        <w:footnoteRef/>
      </w:r>
      <w:r>
        <w:rPr>
          <w:sz w:val="16"/>
          <w:szCs w:val="16"/>
        </w:rPr>
        <w:t xml:space="preserve"> Id.</w:t>
      </w:r>
    </w:p>
  </w:footnote>
  <w:footnote w:id="16">
    <w:p w14:paraId="03B1C4A8" w14:textId="77777777" w:rsidR="00330B2F" w:rsidRDefault="00CB64F9">
      <w:pPr>
        <w:spacing w:after="0" w:line="240" w:lineRule="auto"/>
        <w:jc w:val="both"/>
        <w:rPr>
          <w:sz w:val="16"/>
          <w:szCs w:val="16"/>
        </w:rPr>
      </w:pPr>
      <w:r>
        <w:rPr>
          <w:rStyle w:val="FootnoteReference"/>
        </w:rPr>
        <w:footnoteRef/>
      </w:r>
      <w:r>
        <w:rPr>
          <w:sz w:val="16"/>
          <w:szCs w:val="16"/>
        </w:rPr>
        <w:t xml:space="preserve"> Regional Human Rights Situation Report, July-December 2021, CHR Region Office VIII, (on file with the author).</w:t>
      </w:r>
    </w:p>
  </w:footnote>
  <w:footnote w:id="17">
    <w:p w14:paraId="55D210FC" w14:textId="77777777" w:rsidR="00330B2F" w:rsidRDefault="00CB64F9">
      <w:pPr>
        <w:pBdr>
          <w:top w:val="nil"/>
          <w:left w:val="nil"/>
          <w:bottom w:val="nil"/>
          <w:right w:val="nil"/>
          <w:between w:val="nil"/>
        </w:pBdr>
        <w:spacing w:after="0" w:line="240" w:lineRule="auto"/>
        <w:jc w:val="both"/>
        <w:rPr>
          <w:color w:val="000000"/>
          <w:sz w:val="16"/>
          <w:szCs w:val="16"/>
        </w:rPr>
      </w:pPr>
      <w:r>
        <w:rPr>
          <w:rStyle w:val="FootnoteReference"/>
        </w:rPr>
        <w:footnoteRef/>
      </w:r>
      <w:r>
        <w:rPr>
          <w:color w:val="000000"/>
          <w:sz w:val="16"/>
          <w:szCs w:val="16"/>
        </w:rPr>
        <w:t>The Bureau of Corrections (</w:t>
      </w:r>
      <w:proofErr w:type="spellStart"/>
      <w:r>
        <w:rPr>
          <w:color w:val="000000"/>
          <w:sz w:val="16"/>
          <w:szCs w:val="16"/>
        </w:rPr>
        <w:t>BuCor</w:t>
      </w:r>
      <w:proofErr w:type="spellEnd"/>
      <w:r>
        <w:rPr>
          <w:color w:val="000000"/>
          <w:sz w:val="16"/>
          <w:szCs w:val="16"/>
        </w:rPr>
        <w:t>) is an agency of the Department of Justice which is charged with the custody and rehabilitation of national offenders, who have been sentenced to three years of imprisonment or more.</w:t>
      </w:r>
    </w:p>
  </w:footnote>
  <w:footnote w:id="18">
    <w:p w14:paraId="76E276F9" w14:textId="77777777" w:rsidR="00330B2F" w:rsidRDefault="00CB64F9">
      <w:pPr>
        <w:pBdr>
          <w:top w:val="nil"/>
          <w:left w:val="nil"/>
          <w:bottom w:val="nil"/>
          <w:right w:val="nil"/>
          <w:between w:val="nil"/>
        </w:pBdr>
        <w:spacing w:after="0" w:line="240" w:lineRule="auto"/>
        <w:jc w:val="both"/>
        <w:rPr>
          <w:color w:val="000000"/>
          <w:sz w:val="16"/>
          <w:szCs w:val="16"/>
        </w:rPr>
      </w:pPr>
      <w:r>
        <w:rPr>
          <w:rStyle w:val="FootnoteReference"/>
        </w:rPr>
        <w:footnoteRef/>
      </w:r>
      <w:r>
        <w:rPr>
          <w:color w:val="000000"/>
          <w:sz w:val="16"/>
          <w:szCs w:val="16"/>
        </w:rPr>
        <w:t xml:space="preserve"> Commission on Human Rights-Regional Office, CARAGA, What kind of Year has it Been: A Report on the Human Rights Situation in CARAGA Region during the 2020 COVID-19 Pandemic, (on file with the author).</w:t>
      </w:r>
    </w:p>
  </w:footnote>
  <w:footnote w:id="19">
    <w:p w14:paraId="68FB3015" w14:textId="77777777" w:rsidR="00330B2F" w:rsidRDefault="00CB64F9">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w:t>
      </w:r>
      <w:r>
        <w:rPr>
          <w:color w:val="000000"/>
          <w:sz w:val="16"/>
          <w:szCs w:val="16"/>
        </w:rPr>
        <w:t>Commission on Human Rights-Regional Office 1, Regional Situation Report on Children, (July-December 2021), (on file with the author).</w:t>
      </w:r>
    </w:p>
  </w:footnote>
  <w:footnote w:id="20">
    <w:p w14:paraId="077078C3" w14:textId="77777777" w:rsidR="00330B2F" w:rsidRDefault="00CB64F9">
      <w:pPr>
        <w:spacing w:after="0" w:line="240" w:lineRule="auto"/>
        <w:rPr>
          <w:sz w:val="16"/>
          <w:szCs w:val="16"/>
        </w:rPr>
      </w:pPr>
      <w:r>
        <w:rPr>
          <w:rStyle w:val="FootnoteReference"/>
        </w:rPr>
        <w:footnoteRef/>
      </w:r>
      <w:r>
        <w:rPr>
          <w:sz w:val="16"/>
          <w:szCs w:val="16"/>
        </w:rPr>
        <w:t xml:space="preserve">Commission on Human Rights, Region Office IV-B (MIMAROPA), Regional Human Rights Situation Report for July-December 2021, (on file with the author).  </w:t>
      </w:r>
    </w:p>
  </w:footnote>
  <w:footnote w:id="21">
    <w:p w14:paraId="00D5903C" w14:textId="0539AC0B" w:rsidR="00330B2F" w:rsidRDefault="00CB64F9">
      <w:pPr>
        <w:spacing w:after="0" w:line="240" w:lineRule="auto"/>
        <w:jc w:val="both"/>
        <w:rPr>
          <w:sz w:val="20"/>
          <w:szCs w:val="20"/>
        </w:rPr>
      </w:pPr>
      <w:r>
        <w:rPr>
          <w:rStyle w:val="FootnoteReference"/>
        </w:rPr>
        <w:footnoteRef/>
      </w:r>
      <w:r>
        <w:rPr>
          <w:i/>
          <w:sz w:val="16"/>
          <w:szCs w:val="16"/>
        </w:rPr>
        <w:t xml:space="preserve">Principle of presumption of minority, </w:t>
      </w:r>
      <w:r>
        <w:rPr>
          <w:sz w:val="16"/>
          <w:szCs w:val="16"/>
        </w:rPr>
        <w:t>Police officers who apprehend CICLs would treat them as “adults” for their failure to present a proof of minority, despite the clear identification by the CICL, companions and/or by the surrounding circumstances that the person apprehended is a minor. As a result, the apprehended person will be charged as an adult, be placed in a detention cell along with adults, and be committed to a BJMP-managed facility along with adults.</w:t>
      </w:r>
    </w:p>
  </w:footnote>
  <w:footnote w:id="22">
    <w:p w14:paraId="1C0AF48A" w14:textId="77777777" w:rsidR="00330B2F" w:rsidRDefault="00CB64F9">
      <w:pPr>
        <w:spacing w:after="0" w:line="240" w:lineRule="auto"/>
        <w:jc w:val="both"/>
        <w:rPr>
          <w:sz w:val="20"/>
          <w:szCs w:val="20"/>
        </w:rPr>
      </w:pPr>
      <w:r>
        <w:rPr>
          <w:rStyle w:val="FootnoteReference"/>
        </w:rPr>
        <w:footnoteRef/>
      </w:r>
      <w:r>
        <w:rPr>
          <w:sz w:val="16"/>
          <w:szCs w:val="16"/>
        </w:rPr>
        <w:t>Commission on Human Rights-Region XIII (CARAGA), The Situation of Human Rights in the CARAGA Region, (on file with the author).</w:t>
      </w:r>
      <w:r>
        <w:rPr>
          <w:sz w:val="20"/>
          <w:szCs w:val="20"/>
        </w:rPr>
        <w:t xml:space="preserve"> </w:t>
      </w:r>
    </w:p>
  </w:footnote>
  <w:footnote w:id="23">
    <w:p w14:paraId="6B540216" w14:textId="77777777" w:rsidR="00330B2F" w:rsidRDefault="00CB64F9">
      <w:pPr>
        <w:spacing w:after="0" w:line="240" w:lineRule="auto"/>
        <w:jc w:val="both"/>
        <w:rPr>
          <w:sz w:val="16"/>
          <w:szCs w:val="16"/>
        </w:rPr>
      </w:pPr>
      <w:r>
        <w:rPr>
          <w:rStyle w:val="FootnoteReference"/>
        </w:rPr>
        <w:footnoteRef/>
      </w:r>
      <w:r>
        <w:rPr>
          <w:sz w:val="16"/>
          <w:szCs w:val="16"/>
        </w:rPr>
        <w:t xml:space="preserve"> 2020 Human Rights Situation Report, CHR Region Office IX (Zamboanga Peninsula, (on file with the author).</w:t>
      </w:r>
    </w:p>
  </w:footnote>
  <w:footnote w:id="24">
    <w:p w14:paraId="10E0F4ED" w14:textId="77777777" w:rsidR="00330B2F" w:rsidRDefault="00CB64F9">
      <w:pPr>
        <w:spacing w:after="0" w:line="240" w:lineRule="auto"/>
        <w:jc w:val="both"/>
        <w:rPr>
          <w:sz w:val="16"/>
          <w:szCs w:val="16"/>
        </w:rPr>
      </w:pPr>
      <w:r>
        <w:rPr>
          <w:rStyle w:val="FootnoteReference"/>
        </w:rPr>
        <w:footnoteRef/>
      </w:r>
      <w:r>
        <w:rPr>
          <w:sz w:val="16"/>
          <w:szCs w:val="16"/>
        </w:rPr>
        <w:t xml:space="preserve"> Regional Rehabilitation Center for the Youth (RRCY), </w:t>
      </w:r>
      <w:r>
        <w:rPr>
          <w:sz w:val="16"/>
          <w:szCs w:val="16"/>
          <w:highlight w:val="white"/>
        </w:rPr>
        <w:t>refers to a 24-hour residential care facility managed by the Department of Social Welfare and Development (DSWD), LGUs, licensed and/or accredited NGOs monitored by the DSWD, which provides care, treatment and rehabilitation services for children in conflict with the law. Rehabilitation services are provided under the guidance of a trained staff where residents are cared for under a structured therapeutic environment with the end view of reintegrating them into their families and communities as socially functioning individuals. Physical mobility of residents of said centers may be restricted pending court disposition of the charges against them.</w:t>
      </w:r>
    </w:p>
  </w:footnote>
  <w:footnote w:id="25">
    <w:p w14:paraId="2120EBC3" w14:textId="77777777" w:rsidR="00330B2F" w:rsidRDefault="00CB64F9">
      <w:pPr>
        <w:pBdr>
          <w:top w:val="nil"/>
          <w:left w:val="nil"/>
          <w:bottom w:val="nil"/>
          <w:right w:val="nil"/>
          <w:between w:val="nil"/>
        </w:pBdr>
        <w:spacing w:after="0" w:line="240" w:lineRule="auto"/>
        <w:jc w:val="both"/>
        <w:rPr>
          <w:color w:val="000000"/>
          <w:sz w:val="16"/>
          <w:szCs w:val="16"/>
        </w:rPr>
      </w:pPr>
      <w:r>
        <w:rPr>
          <w:rStyle w:val="FootnoteReference"/>
        </w:rPr>
        <w:footnoteRef/>
      </w:r>
      <w:r>
        <w:rPr>
          <w:color w:val="000000"/>
          <w:sz w:val="16"/>
          <w:szCs w:val="16"/>
        </w:rPr>
        <w:t xml:space="preserve">Local Council for the Protection of Children, an inter-agency and multi-sectoral institutional mechanism at all levels of local government units (LGUs) that serves as a child rights advocate, and is in charge of planning, monitoring and implementing local development plans for children, which are designed to ensure the protection and safety of local children, (Council for the Welfare of Children, Philippine Plan of Action to End Violence Against Children (PPAEVAC), p.21, available at </w:t>
      </w:r>
      <w:hyperlink r:id="rId3">
        <w:r>
          <w:rPr>
            <w:color w:val="0563C1"/>
            <w:sz w:val="16"/>
            <w:szCs w:val="16"/>
            <w:u w:val="single"/>
          </w:rPr>
          <w:t>file:///C:/Users/CHR62/Downloads/PPAEVAC%20Document_Consolidated%20(1).pdf</w:t>
        </w:r>
      </w:hyperlink>
      <w:r>
        <w:rPr>
          <w:color w:val="000000"/>
          <w:sz w:val="16"/>
          <w:szCs w:val="16"/>
        </w:rPr>
        <w:t>, (last accessed)</w:t>
      </w:r>
      <w:r>
        <w:rPr>
          <w:sz w:val="16"/>
          <w:szCs w:val="16"/>
        </w:rPr>
        <w:t xml:space="preserve"> 3</w:t>
      </w:r>
      <w:r>
        <w:rPr>
          <w:color w:val="000000"/>
          <w:sz w:val="16"/>
          <w:szCs w:val="16"/>
        </w:rPr>
        <w:t>0 July 2022</w:t>
      </w:r>
      <w:r>
        <w:rPr>
          <w:sz w:val="16"/>
          <w:szCs w:val="16"/>
        </w:rPr>
        <w:t>.</w:t>
      </w:r>
    </w:p>
  </w:footnote>
  <w:footnote w:id="26">
    <w:p w14:paraId="07014C25" w14:textId="77777777" w:rsidR="00330B2F" w:rsidRDefault="00CB64F9">
      <w:pPr>
        <w:pBdr>
          <w:top w:val="nil"/>
          <w:left w:val="nil"/>
          <w:bottom w:val="nil"/>
          <w:right w:val="nil"/>
          <w:between w:val="nil"/>
        </w:pBdr>
        <w:spacing w:after="0" w:line="240" w:lineRule="auto"/>
        <w:jc w:val="both"/>
        <w:rPr>
          <w:color w:val="000000"/>
          <w:sz w:val="16"/>
          <w:szCs w:val="16"/>
        </w:rPr>
      </w:pPr>
      <w:r>
        <w:rPr>
          <w:rStyle w:val="FootnoteReference"/>
        </w:rPr>
        <w:footnoteRef/>
      </w:r>
      <w:r>
        <w:rPr>
          <w:color w:val="000000"/>
          <w:sz w:val="16"/>
          <w:szCs w:val="16"/>
        </w:rPr>
        <w:t xml:space="preserve"> CHR-National Capital Region, Human Rights Situation Report on Children, July to December 2020, (on file with the author).</w:t>
      </w:r>
    </w:p>
  </w:footnote>
  <w:footnote w:id="27">
    <w:p w14:paraId="57D2D2AD" w14:textId="77777777" w:rsidR="00330B2F" w:rsidRDefault="00CB64F9">
      <w:pPr>
        <w:pBdr>
          <w:top w:val="nil"/>
          <w:left w:val="nil"/>
          <w:bottom w:val="nil"/>
          <w:right w:val="nil"/>
          <w:between w:val="nil"/>
        </w:pBdr>
        <w:spacing w:after="0" w:line="240" w:lineRule="auto"/>
        <w:jc w:val="both"/>
        <w:rPr>
          <w:color w:val="000000"/>
          <w:sz w:val="16"/>
          <w:szCs w:val="16"/>
        </w:rPr>
      </w:pPr>
      <w:r>
        <w:rPr>
          <w:rStyle w:val="FootnoteReference"/>
        </w:rPr>
        <w:footnoteRef/>
      </w:r>
      <w:r>
        <w:rPr>
          <w:sz w:val="16"/>
          <w:szCs w:val="16"/>
        </w:rPr>
        <w:t xml:space="preserve">Commission on Human Rights of the Philippines, CHRP Guidelines for the implementation of Community-Based Dialogues Project, Resolution CHR (V) No. AM2018-154, at 1 (June 4, 2018). </w:t>
      </w:r>
    </w:p>
  </w:footnote>
  <w:footnote w:id="28">
    <w:p w14:paraId="4DE90945" w14:textId="77777777" w:rsidR="00330B2F" w:rsidRDefault="00CB64F9">
      <w:pPr>
        <w:pBdr>
          <w:top w:val="nil"/>
          <w:left w:val="nil"/>
          <w:bottom w:val="nil"/>
          <w:right w:val="nil"/>
          <w:between w:val="nil"/>
        </w:pBdr>
        <w:spacing w:after="0" w:line="240" w:lineRule="auto"/>
        <w:rPr>
          <w:color w:val="000000"/>
          <w:sz w:val="16"/>
          <w:szCs w:val="16"/>
        </w:rPr>
      </w:pPr>
      <w:r>
        <w:rPr>
          <w:rStyle w:val="FootnoteReference"/>
        </w:rPr>
        <w:footnoteRef/>
      </w:r>
      <w:r>
        <w:rPr>
          <w:color w:val="000000"/>
          <w:sz w:val="16"/>
          <w:szCs w:val="16"/>
        </w:rPr>
        <w:t xml:space="preserve">Commission on Human Rights, Region Office V, Human Rights </w:t>
      </w:r>
      <w:proofErr w:type="spellStart"/>
      <w:r>
        <w:rPr>
          <w:color w:val="000000"/>
          <w:sz w:val="16"/>
          <w:szCs w:val="16"/>
        </w:rPr>
        <w:t>Situationer</w:t>
      </w:r>
      <w:proofErr w:type="spellEnd"/>
      <w:r>
        <w:rPr>
          <w:color w:val="000000"/>
          <w:sz w:val="16"/>
          <w:szCs w:val="16"/>
        </w:rPr>
        <w:t xml:space="preserve"> of CICL in time of pandemic, 07 January 2022, (on file with the author).</w:t>
      </w:r>
    </w:p>
  </w:footnote>
  <w:footnote w:id="29">
    <w:p w14:paraId="00156E6B" w14:textId="77777777" w:rsidR="00330B2F" w:rsidRDefault="00CB64F9">
      <w:pPr>
        <w:spacing w:after="0" w:line="240" w:lineRule="auto"/>
        <w:jc w:val="both"/>
        <w:rPr>
          <w:color w:val="222222"/>
          <w:sz w:val="16"/>
          <w:szCs w:val="16"/>
        </w:rPr>
      </w:pPr>
      <w:r>
        <w:rPr>
          <w:rStyle w:val="FootnoteReference"/>
        </w:rPr>
        <w:footnoteRef/>
      </w:r>
      <w:r>
        <w:rPr>
          <w:color w:val="222222"/>
          <w:sz w:val="16"/>
          <w:szCs w:val="16"/>
        </w:rPr>
        <w:t xml:space="preserve">Department of Interior and Local Government (DILG), Council for the Welfare of Children (CWC), Reiteration of Protocols on Reaching Out to Children, including those in Street Situations, in Need of Special Protection, Children at Risk, and Children in Conflict with the Law during the Enhanced Community Quarantine, </w:t>
      </w:r>
      <w:r>
        <w:rPr>
          <w:color w:val="222222"/>
          <w:sz w:val="16"/>
          <w:szCs w:val="16"/>
          <w:highlight w:val="white"/>
        </w:rPr>
        <w:t>[ Join-Memorandum Circular No. 2020-001]</w:t>
      </w:r>
      <w:r>
        <w:rPr>
          <w:color w:val="222222"/>
          <w:sz w:val="16"/>
          <w:szCs w:val="16"/>
        </w:rPr>
        <w:t xml:space="preserve">, (Series of 2020), available at </w:t>
      </w:r>
      <w:hyperlink r:id="rId4">
        <w:r>
          <w:rPr>
            <w:color w:val="222222"/>
            <w:sz w:val="16"/>
            <w:szCs w:val="16"/>
            <w:u w:val="single"/>
          </w:rPr>
          <w:t>https://www.jjwc.gov.ph/news/jjwc-calls-to-prioritize-the-welfare-of-children-amidst-covid-19-pandemic/</w:t>
        </w:r>
      </w:hyperlink>
      <w:r>
        <w:rPr>
          <w:color w:val="222222"/>
          <w:sz w:val="16"/>
          <w:szCs w:val="16"/>
        </w:rPr>
        <w:t xml:space="preserve"> (last accessed)  01 August 2022.</w:t>
      </w:r>
    </w:p>
  </w:footnote>
  <w:footnote w:id="30">
    <w:p w14:paraId="5139A3E3" w14:textId="77777777" w:rsidR="00330B2F" w:rsidRDefault="00CB64F9">
      <w:pPr>
        <w:spacing w:after="0" w:line="240" w:lineRule="auto"/>
        <w:jc w:val="both"/>
        <w:rPr>
          <w:sz w:val="16"/>
          <w:szCs w:val="16"/>
        </w:rPr>
      </w:pPr>
      <w:r>
        <w:rPr>
          <w:rStyle w:val="FootnoteReference"/>
        </w:rPr>
        <w:footnoteRef/>
      </w:r>
      <w:r>
        <w:rPr>
          <w:sz w:val="16"/>
          <w:szCs w:val="16"/>
        </w:rPr>
        <w:t>Department of Education, Creation of the Child Protection Unit and the Child Rights in Education Desk in the Department of Education,</w:t>
      </w:r>
      <w:r>
        <w:rPr>
          <w:color w:val="444444"/>
          <w:sz w:val="16"/>
          <w:szCs w:val="16"/>
          <w:highlight w:val="white"/>
        </w:rPr>
        <w:t xml:space="preserve"> [</w:t>
      </w:r>
      <w:r>
        <w:rPr>
          <w:sz w:val="16"/>
          <w:szCs w:val="16"/>
        </w:rPr>
        <w:t>DepEd Order No. 003</w:t>
      </w:r>
      <w:r>
        <w:rPr>
          <w:color w:val="444444"/>
          <w:sz w:val="16"/>
          <w:szCs w:val="16"/>
          <w:highlight w:val="white"/>
        </w:rPr>
        <w:t>]</w:t>
      </w:r>
      <w:r>
        <w:rPr>
          <w:sz w:val="16"/>
          <w:szCs w:val="16"/>
        </w:rPr>
        <w:t xml:space="preserve">, (Series of 2021), available at </w:t>
      </w:r>
      <w:hyperlink r:id="rId5">
        <w:r>
          <w:rPr>
            <w:color w:val="1155CC"/>
            <w:sz w:val="16"/>
            <w:szCs w:val="16"/>
            <w:u w:val="single"/>
          </w:rPr>
          <w:t>https://www.deped.gov.ph/wp-content/uploads/2021/01/DO_s2021_003.pdf</w:t>
        </w:r>
      </w:hyperlink>
      <w:r>
        <w:rPr>
          <w:sz w:val="16"/>
          <w:szCs w:val="16"/>
        </w:rPr>
        <w:t xml:space="preserve">, (last accessed) 28 July 2022. </w:t>
      </w:r>
    </w:p>
  </w:footnote>
  <w:footnote w:id="31">
    <w:p w14:paraId="2B510AF7" w14:textId="77777777" w:rsidR="00330B2F" w:rsidRDefault="00CB64F9">
      <w:pPr>
        <w:spacing w:after="0" w:line="240" w:lineRule="auto"/>
        <w:jc w:val="both"/>
        <w:rPr>
          <w:color w:val="222222"/>
          <w:sz w:val="16"/>
          <w:szCs w:val="16"/>
        </w:rPr>
      </w:pPr>
      <w:r>
        <w:rPr>
          <w:rStyle w:val="FootnoteReference"/>
        </w:rPr>
        <w:footnoteRef/>
      </w:r>
      <w:r>
        <w:rPr>
          <w:color w:val="222222"/>
          <w:sz w:val="16"/>
          <w:szCs w:val="16"/>
        </w:rPr>
        <w:t xml:space="preserve"> Department of Education, Guidelines of Enrollment for School Year 2022-2023 in the Context of Re-introduction of the In-Person Classes, </w:t>
      </w:r>
      <w:r>
        <w:rPr>
          <w:color w:val="222222"/>
          <w:sz w:val="16"/>
          <w:szCs w:val="16"/>
          <w:highlight w:val="white"/>
        </w:rPr>
        <w:t>[DepEd Order No. 035], (</w:t>
      </w:r>
      <w:proofErr w:type="spellStart"/>
      <w:r>
        <w:rPr>
          <w:color w:val="222222"/>
          <w:sz w:val="16"/>
          <w:szCs w:val="16"/>
          <w:highlight w:val="white"/>
        </w:rPr>
        <w:t>Seties</w:t>
      </w:r>
      <w:proofErr w:type="spellEnd"/>
      <w:r>
        <w:rPr>
          <w:color w:val="222222"/>
          <w:sz w:val="16"/>
          <w:szCs w:val="16"/>
          <w:highlight w:val="white"/>
        </w:rPr>
        <w:t xml:space="preserve"> of 2022), available at </w:t>
      </w:r>
      <w:hyperlink r:id="rId6">
        <w:r>
          <w:rPr>
            <w:color w:val="222222"/>
            <w:sz w:val="16"/>
            <w:szCs w:val="16"/>
            <w:highlight w:val="white"/>
            <w:u w:val="single"/>
          </w:rPr>
          <w:t>https://www.deped.gov.ph/wp-content/uploads/2022/07/DO_s2022_035.pdf</w:t>
        </w:r>
      </w:hyperlink>
      <w:r>
        <w:rPr>
          <w:color w:val="222222"/>
          <w:sz w:val="16"/>
          <w:szCs w:val="16"/>
          <w:highlight w:val="white"/>
        </w:rPr>
        <w:t xml:space="preserve">), last accessed (01 August 2022).  </w:t>
      </w:r>
    </w:p>
  </w:footnote>
  <w:footnote w:id="32">
    <w:p w14:paraId="5F1E827D" w14:textId="77777777" w:rsidR="00330B2F" w:rsidRDefault="00CB64F9">
      <w:pPr>
        <w:pBdr>
          <w:top w:val="nil"/>
          <w:left w:val="nil"/>
          <w:bottom w:val="nil"/>
          <w:right w:val="nil"/>
          <w:between w:val="nil"/>
        </w:pBdr>
        <w:spacing w:after="0" w:line="240" w:lineRule="auto"/>
        <w:rPr>
          <w:rFonts w:ascii="Georgia" w:eastAsia="Georgia" w:hAnsi="Georgia" w:cs="Georgia"/>
          <w:color w:val="000000"/>
          <w:sz w:val="16"/>
          <w:szCs w:val="16"/>
        </w:rPr>
      </w:pPr>
      <w:r>
        <w:rPr>
          <w:rStyle w:val="FootnoteReference"/>
        </w:rPr>
        <w:footnoteRef/>
      </w:r>
      <w:r>
        <w:rPr>
          <w:color w:val="000000"/>
          <w:sz w:val="16"/>
          <w:szCs w:val="16"/>
        </w:rPr>
        <w:t xml:space="preserve"> Department of Education, Adoption of the Basic Education Learning Continuity Plan for School Year 2020-2021 in Light of the COVID-19 Public Health Emergency, [DepEd Order No. 012], (Series 2020), available at </w:t>
      </w:r>
      <w:hyperlink r:id="rId7">
        <w:r>
          <w:rPr>
            <w:color w:val="0563C1"/>
            <w:sz w:val="16"/>
            <w:szCs w:val="16"/>
            <w:u w:val="single"/>
          </w:rPr>
          <w:t>https://www.deped.gov.ph/wp-content/uploads/2020/06/DO_s2020_012.pdf</w:t>
        </w:r>
      </w:hyperlink>
      <w:r>
        <w:rPr>
          <w:color w:val="000000"/>
          <w:sz w:val="16"/>
          <w:szCs w:val="16"/>
        </w:rPr>
        <w:t>, last accessed (30 July 2022).</w:t>
      </w:r>
      <w:r>
        <w:rPr>
          <w:rFonts w:ascii="Georgia" w:eastAsia="Georgia" w:hAnsi="Georgia" w:cs="Georgia"/>
          <w:color w:val="000000"/>
          <w:sz w:val="16"/>
          <w:szCs w:val="16"/>
        </w:rPr>
        <w:t xml:space="preserve">  </w:t>
      </w:r>
    </w:p>
  </w:footnote>
  <w:footnote w:id="33">
    <w:p w14:paraId="3080F0AB" w14:textId="77777777" w:rsidR="00330B2F" w:rsidRDefault="00CB64F9">
      <w:pPr>
        <w:pBdr>
          <w:top w:val="nil"/>
          <w:left w:val="nil"/>
          <w:bottom w:val="nil"/>
          <w:right w:val="nil"/>
          <w:between w:val="nil"/>
        </w:pBdr>
        <w:spacing w:after="0" w:line="240" w:lineRule="auto"/>
        <w:jc w:val="both"/>
        <w:rPr>
          <w:color w:val="000000"/>
          <w:sz w:val="16"/>
          <w:szCs w:val="16"/>
        </w:rPr>
      </w:pPr>
      <w:r>
        <w:rPr>
          <w:rStyle w:val="FootnoteReference"/>
        </w:rPr>
        <w:footnoteRef/>
      </w:r>
      <w:r>
        <w:rPr>
          <w:color w:val="000000"/>
          <w:sz w:val="16"/>
          <w:szCs w:val="16"/>
        </w:rPr>
        <w:t>An Act Declaring the Existence of a National Emergency Arising from the Coronavirus Disease 2019 (COVID-19) Situation and a National Policy in Connection therewith, and Authorizing the President of the Republic of the Philippines for a Limited Period and Subject to Restrictions, to Exercise Powers Necessary and Proper to Carry Out the Declared National Policy and for other purposes, [</w:t>
      </w:r>
      <w:proofErr w:type="spellStart"/>
      <w:r>
        <w:rPr>
          <w:color w:val="000000"/>
          <w:sz w:val="16"/>
          <w:szCs w:val="16"/>
        </w:rPr>
        <w:t>Bayanihan</w:t>
      </w:r>
      <w:proofErr w:type="spellEnd"/>
      <w:r>
        <w:rPr>
          <w:color w:val="000000"/>
          <w:sz w:val="16"/>
          <w:szCs w:val="16"/>
        </w:rPr>
        <w:t xml:space="preserve"> to Heal as One Act], Republic Act No. 11469, (2020). </w:t>
      </w:r>
    </w:p>
  </w:footnote>
  <w:footnote w:id="34">
    <w:p w14:paraId="5D9DA23E" w14:textId="77777777" w:rsidR="00330B2F" w:rsidRDefault="00CB64F9">
      <w:pPr>
        <w:spacing w:after="0" w:line="240" w:lineRule="auto"/>
        <w:jc w:val="both"/>
        <w:rPr>
          <w:b/>
          <w:sz w:val="16"/>
          <w:szCs w:val="16"/>
        </w:rPr>
      </w:pPr>
      <w:r>
        <w:rPr>
          <w:rStyle w:val="FootnoteReference"/>
        </w:rPr>
        <w:footnoteRef/>
      </w:r>
      <w:r>
        <w:rPr>
          <w:sz w:val="16"/>
          <w:szCs w:val="16"/>
        </w:rPr>
        <w:t>Statement of Atty. Jacqueline Ann de Guia, Spokesperson and Executive Director, Commission on Human Rights of the Philippines, Welcoming the Proposal to Include Human Rights in the Educational Curriculum, (20 July 2022).</w:t>
      </w:r>
    </w:p>
  </w:footnote>
  <w:footnote w:id="35">
    <w:p w14:paraId="0366015D" w14:textId="77777777" w:rsidR="00330B2F" w:rsidRDefault="00CB64F9">
      <w:pPr>
        <w:spacing w:after="0" w:line="240" w:lineRule="auto"/>
        <w:jc w:val="both"/>
        <w:rPr>
          <w:sz w:val="16"/>
          <w:szCs w:val="16"/>
        </w:rPr>
      </w:pPr>
      <w:r>
        <w:rPr>
          <w:rStyle w:val="FootnoteReference"/>
        </w:rPr>
        <w:footnoteRef/>
      </w:r>
      <w:r>
        <w:rPr>
          <w:sz w:val="16"/>
          <w:szCs w:val="16"/>
        </w:rPr>
        <w:t xml:space="preserve">Letter from Atty. Jacqueline Ann de Guia, Spokesperson and Executive Director, Commission on Human Rights of the Philippines to Undersecretary </w:t>
      </w:r>
      <w:proofErr w:type="spellStart"/>
      <w:r>
        <w:rPr>
          <w:sz w:val="16"/>
          <w:szCs w:val="16"/>
        </w:rPr>
        <w:t>Severo</w:t>
      </w:r>
      <w:proofErr w:type="spellEnd"/>
      <w:r>
        <w:rPr>
          <w:sz w:val="16"/>
          <w:szCs w:val="16"/>
        </w:rPr>
        <w:t xml:space="preserve"> S. </w:t>
      </w:r>
      <w:proofErr w:type="spellStart"/>
      <w:r>
        <w:rPr>
          <w:sz w:val="16"/>
          <w:szCs w:val="16"/>
        </w:rPr>
        <w:t>Catura</w:t>
      </w:r>
      <w:proofErr w:type="spellEnd"/>
      <w:r>
        <w:rPr>
          <w:sz w:val="16"/>
          <w:szCs w:val="16"/>
        </w:rPr>
        <w:t xml:space="preserve">, Executive Director, Presidential Human Rights Committee Secretariat (PHRC), (08 July 2022), (on file with the author).  </w:t>
      </w:r>
    </w:p>
  </w:footnote>
  <w:footnote w:id="36">
    <w:p w14:paraId="7B4F0248" w14:textId="77777777" w:rsidR="00330B2F" w:rsidRDefault="00CB64F9">
      <w:pPr>
        <w:spacing w:after="0" w:line="240" w:lineRule="auto"/>
        <w:jc w:val="both"/>
        <w:rPr>
          <w:sz w:val="20"/>
          <w:szCs w:val="20"/>
        </w:rPr>
      </w:pPr>
      <w:r>
        <w:rPr>
          <w:rStyle w:val="FootnoteReference"/>
        </w:rPr>
        <w:footnoteRef/>
      </w:r>
      <w:r>
        <w:rPr>
          <w:sz w:val="16"/>
          <w:szCs w:val="16"/>
        </w:rPr>
        <w:t xml:space="preserve">Situation Report on the Right to Access to Education of Children amidst the COVID-19 Pandemic, Child Rights Center, 2021, available at </w:t>
      </w:r>
      <w:hyperlink r:id="rId8">
        <w:r>
          <w:rPr>
            <w:color w:val="1155CC"/>
            <w:sz w:val="16"/>
            <w:szCs w:val="16"/>
            <w:u w:val="single"/>
          </w:rPr>
          <w:t>https://chr.gov.ph/wp-content/uploads/2022/07/Situation-Report-on-the-Right-to-Access-to-Education-of-Children-Amidst-the-COVID-19-Pandemic-2021.pdf</w:t>
        </w:r>
      </w:hyperlink>
      <w:r>
        <w:rPr>
          <w:sz w:val="16"/>
          <w:szCs w:val="16"/>
        </w:rPr>
        <w:t>, last accessed (05 August 2022).</w:t>
      </w:r>
      <w:r>
        <w:rPr>
          <w:sz w:val="20"/>
          <w:szCs w:val="20"/>
        </w:rPr>
        <w:t xml:space="preserve">  </w:t>
      </w:r>
    </w:p>
  </w:footnote>
  <w:footnote w:id="37">
    <w:p w14:paraId="21177886" w14:textId="77777777" w:rsidR="00330B2F" w:rsidRDefault="00CB64F9">
      <w:pPr>
        <w:spacing w:after="0" w:line="240" w:lineRule="auto"/>
        <w:jc w:val="both"/>
        <w:rPr>
          <w:sz w:val="20"/>
          <w:szCs w:val="20"/>
        </w:rPr>
      </w:pPr>
      <w:r>
        <w:rPr>
          <w:rStyle w:val="FootnoteReference"/>
        </w:rPr>
        <w:footnoteRef/>
      </w:r>
      <w:r>
        <w:rPr>
          <w:sz w:val="16"/>
          <w:szCs w:val="16"/>
        </w:rPr>
        <w:t xml:space="preserve">Situation Report on the Right to Access to Education of Children amidst the COVID-19 Pandemic, Child Rights Center, 2021, available at </w:t>
      </w:r>
      <w:hyperlink r:id="rId9">
        <w:r>
          <w:rPr>
            <w:color w:val="1155CC"/>
            <w:sz w:val="16"/>
            <w:szCs w:val="16"/>
            <w:u w:val="single"/>
          </w:rPr>
          <w:t>https://chr.gov.ph/wp-content/uploads/2022/07/Situation-Report-on-the-Right-to-Access-to-Education-of-Children-Amidst-the-COVID-19-Pandemic-2021.pdf</w:t>
        </w:r>
      </w:hyperlink>
      <w:r>
        <w:rPr>
          <w:sz w:val="16"/>
          <w:szCs w:val="16"/>
        </w:rPr>
        <w:t>, last accessed (05 August 2022).</w:t>
      </w:r>
      <w:r>
        <w:rPr>
          <w:sz w:val="20"/>
          <w:szCs w:val="20"/>
        </w:rPr>
        <w:t xml:space="preserve">  </w:t>
      </w:r>
    </w:p>
  </w:footnote>
  <w:footnote w:id="38">
    <w:p w14:paraId="1C77639B" w14:textId="77777777" w:rsidR="00330B2F" w:rsidRDefault="00CB64F9">
      <w:pPr>
        <w:pBdr>
          <w:top w:val="nil"/>
          <w:left w:val="nil"/>
          <w:bottom w:val="nil"/>
          <w:right w:val="nil"/>
          <w:between w:val="nil"/>
        </w:pBdr>
        <w:spacing w:after="0" w:line="240" w:lineRule="auto"/>
        <w:jc w:val="both"/>
        <w:rPr>
          <w:color w:val="000000"/>
          <w:sz w:val="16"/>
          <w:szCs w:val="16"/>
        </w:rPr>
      </w:pPr>
      <w:r>
        <w:rPr>
          <w:rStyle w:val="FootnoteReference"/>
        </w:rPr>
        <w:footnoteRef/>
      </w:r>
      <w:r>
        <w:rPr>
          <w:color w:val="000000"/>
          <w:sz w:val="16"/>
          <w:szCs w:val="16"/>
        </w:rPr>
        <w:t>Children in Situation of Armed Conflict as defined under Republic Act 11188 or the Special Protection of Children in Situations of Armed Conflict Act, refer to all children involved in armed conflict, children affected by armed conflict and internally displaced children. </w:t>
      </w:r>
    </w:p>
  </w:footnote>
  <w:footnote w:id="39">
    <w:p w14:paraId="2B34EA41" w14:textId="77777777" w:rsidR="00330B2F" w:rsidRDefault="00CB64F9">
      <w:pPr>
        <w:pBdr>
          <w:top w:val="nil"/>
          <w:left w:val="nil"/>
          <w:bottom w:val="nil"/>
          <w:right w:val="nil"/>
          <w:between w:val="nil"/>
        </w:pBdr>
        <w:spacing w:after="0" w:line="240" w:lineRule="auto"/>
        <w:rPr>
          <w:color w:val="000000"/>
          <w:sz w:val="16"/>
          <w:szCs w:val="16"/>
        </w:rPr>
      </w:pPr>
      <w:r>
        <w:rPr>
          <w:rStyle w:val="FootnoteReference"/>
        </w:rPr>
        <w:footnoteRef/>
      </w:r>
      <w:r>
        <w:rPr>
          <w:color w:val="000000"/>
          <w:sz w:val="16"/>
          <w:szCs w:val="16"/>
        </w:rPr>
        <w:t xml:space="preserve">CHR Regional Office II, Regional Situation Report- Human Rights </w:t>
      </w:r>
      <w:proofErr w:type="spellStart"/>
      <w:r>
        <w:rPr>
          <w:color w:val="000000"/>
          <w:sz w:val="16"/>
          <w:szCs w:val="16"/>
        </w:rPr>
        <w:t>Situationer</w:t>
      </w:r>
      <w:proofErr w:type="spellEnd"/>
      <w:r>
        <w:rPr>
          <w:color w:val="000000"/>
          <w:sz w:val="16"/>
          <w:szCs w:val="16"/>
        </w:rPr>
        <w:t xml:space="preserve"> Report, January-June 2021, (on file with the author).</w:t>
      </w:r>
    </w:p>
  </w:footnote>
  <w:footnote w:id="40">
    <w:p w14:paraId="280B9B41" w14:textId="77777777" w:rsidR="00330B2F" w:rsidRDefault="00CB64F9">
      <w:pPr>
        <w:pBdr>
          <w:top w:val="nil"/>
          <w:left w:val="nil"/>
          <w:bottom w:val="nil"/>
          <w:right w:val="nil"/>
          <w:between w:val="nil"/>
        </w:pBdr>
        <w:spacing w:after="0" w:line="240" w:lineRule="auto"/>
        <w:rPr>
          <w:color w:val="000000"/>
          <w:sz w:val="16"/>
          <w:szCs w:val="16"/>
        </w:rPr>
      </w:pPr>
      <w:r>
        <w:rPr>
          <w:rStyle w:val="FootnoteReference"/>
        </w:rPr>
        <w:footnoteRef/>
      </w:r>
      <w:r>
        <w:rPr>
          <w:color w:val="000000"/>
          <w:sz w:val="16"/>
          <w:szCs w:val="16"/>
        </w:rPr>
        <w:t>An Act Providing for the Special Protection of Children in Situations of Armed Conflict and Providing Penalties for Violations Thereof, “Special Protection of Children in Situations of Armed Conflict”, [Republic Act No.11188], §25 (2018).</w:t>
      </w:r>
    </w:p>
  </w:footnote>
  <w:footnote w:id="41">
    <w:p w14:paraId="604FC5B5" w14:textId="77777777" w:rsidR="00330B2F" w:rsidRDefault="00CB64F9">
      <w:pPr>
        <w:pBdr>
          <w:top w:val="nil"/>
          <w:left w:val="nil"/>
          <w:bottom w:val="nil"/>
          <w:right w:val="nil"/>
          <w:between w:val="nil"/>
        </w:pBdr>
        <w:spacing w:after="0" w:line="240" w:lineRule="auto"/>
        <w:jc w:val="both"/>
        <w:rPr>
          <w:color w:val="000000"/>
          <w:sz w:val="16"/>
          <w:szCs w:val="16"/>
        </w:rPr>
      </w:pPr>
      <w:r>
        <w:rPr>
          <w:rStyle w:val="FootnoteReference"/>
        </w:rPr>
        <w:footnoteRef/>
      </w:r>
      <w:r>
        <w:rPr>
          <w:color w:val="000000"/>
          <w:sz w:val="16"/>
          <w:szCs w:val="16"/>
        </w:rPr>
        <w:t xml:space="preserve"> Council for the Welfare of Children, Compendium of Materials on Children in Situations of Armed Conflict, (pg. 59), available at </w:t>
      </w:r>
      <w:hyperlink r:id="rId10">
        <w:r>
          <w:rPr>
            <w:color w:val="0563C1"/>
            <w:sz w:val="16"/>
            <w:szCs w:val="16"/>
            <w:u w:val="single"/>
          </w:rPr>
          <w:t>https://www.cwc.gov.ph/resources/state-of-the-filipino-children-report.html</w:t>
        </w:r>
      </w:hyperlink>
      <w:r>
        <w:rPr>
          <w:color w:val="000000"/>
          <w:sz w:val="16"/>
          <w:szCs w:val="16"/>
        </w:rPr>
        <w:t>, (last accessed</w:t>
      </w:r>
      <w:r>
        <w:rPr>
          <w:sz w:val="16"/>
          <w:szCs w:val="16"/>
        </w:rPr>
        <w:t>)</w:t>
      </w:r>
      <w:r>
        <w:rPr>
          <w:color w:val="000000"/>
          <w:sz w:val="16"/>
          <w:szCs w:val="16"/>
        </w:rPr>
        <w:t xml:space="preserve"> 30 July 2022.  </w:t>
      </w:r>
    </w:p>
  </w:footnote>
  <w:footnote w:id="42">
    <w:p w14:paraId="6F609A53" w14:textId="77777777" w:rsidR="00330B2F" w:rsidRDefault="00CB64F9">
      <w:pPr>
        <w:pBdr>
          <w:top w:val="nil"/>
          <w:left w:val="nil"/>
          <w:bottom w:val="nil"/>
          <w:right w:val="nil"/>
          <w:between w:val="nil"/>
        </w:pBdr>
        <w:spacing w:after="0" w:line="240" w:lineRule="auto"/>
        <w:jc w:val="both"/>
        <w:rPr>
          <w:color w:val="000000"/>
          <w:sz w:val="16"/>
          <w:szCs w:val="16"/>
        </w:rPr>
      </w:pPr>
      <w:r>
        <w:rPr>
          <w:rStyle w:val="FootnoteReference"/>
        </w:rPr>
        <w:footnoteRef/>
      </w:r>
      <w:r>
        <w:rPr>
          <w:color w:val="000000"/>
          <w:sz w:val="16"/>
          <w:szCs w:val="16"/>
        </w:rPr>
        <w:t xml:space="preserve">Armed Forces of the Philippines (AFP), is responsible for upholding the sovereignty of the country, supporting its Constitution, and defending its territory against all enemies. It is composed of the Philippine Army, the Philippine Navy, and the Philippine Air Force. </w:t>
      </w:r>
    </w:p>
  </w:footnote>
  <w:footnote w:id="43">
    <w:p w14:paraId="680D5FBB" w14:textId="77777777" w:rsidR="00330B2F" w:rsidRDefault="00CB64F9">
      <w:pPr>
        <w:pBdr>
          <w:top w:val="nil"/>
          <w:left w:val="nil"/>
          <w:bottom w:val="nil"/>
          <w:right w:val="nil"/>
          <w:between w:val="nil"/>
        </w:pBdr>
        <w:spacing w:after="0" w:line="240" w:lineRule="auto"/>
        <w:jc w:val="both"/>
        <w:rPr>
          <w:color w:val="000000"/>
          <w:sz w:val="16"/>
          <w:szCs w:val="16"/>
        </w:rPr>
      </w:pPr>
      <w:r>
        <w:rPr>
          <w:rStyle w:val="FootnoteReference"/>
        </w:rPr>
        <w:footnoteRef/>
      </w:r>
      <w:r>
        <w:rPr>
          <w:color w:val="000000"/>
          <w:sz w:val="16"/>
          <w:szCs w:val="16"/>
          <w:highlight w:val="white"/>
        </w:rPr>
        <w:t>The Country Task Force on Monitoring and Reporting (CTFMR), co-chaired by </w:t>
      </w:r>
      <w:hyperlink r:id="rId11">
        <w:r>
          <w:rPr>
            <w:color w:val="000000"/>
            <w:sz w:val="16"/>
            <w:szCs w:val="16"/>
            <w:highlight w:val="white"/>
          </w:rPr>
          <w:t>UNICEF</w:t>
        </w:r>
      </w:hyperlink>
      <w:r>
        <w:rPr>
          <w:color w:val="000000"/>
          <w:sz w:val="16"/>
          <w:szCs w:val="16"/>
          <w:highlight w:val="white"/>
        </w:rPr>
        <w:t xml:space="preserve"> and the highest UN representative in-country, are mandated to manage the MRM. Teams on the ground collect information, respond to grave violations and engage in advocacy, notably to negotiate and implement Action Plans, available at </w:t>
      </w:r>
      <w:hyperlink r:id="rId12">
        <w:r>
          <w:rPr>
            <w:color w:val="0563C1"/>
            <w:sz w:val="16"/>
            <w:szCs w:val="16"/>
            <w:highlight w:val="white"/>
            <w:u w:val="single"/>
          </w:rPr>
          <w:t>https://childrenandarmedconflict.un.org/tools-for-action/monitoring-and-reporting/</w:t>
        </w:r>
      </w:hyperlink>
      <w:r>
        <w:rPr>
          <w:color w:val="000000"/>
          <w:sz w:val="16"/>
          <w:szCs w:val="16"/>
          <w:highlight w:val="white"/>
        </w:rPr>
        <w:t>, (last accessed)</w:t>
      </w:r>
      <w:r>
        <w:rPr>
          <w:sz w:val="16"/>
          <w:szCs w:val="16"/>
          <w:highlight w:val="white"/>
        </w:rPr>
        <w:t xml:space="preserve"> </w:t>
      </w:r>
      <w:r>
        <w:rPr>
          <w:color w:val="000000"/>
          <w:sz w:val="16"/>
          <w:szCs w:val="16"/>
          <w:highlight w:val="white"/>
        </w:rPr>
        <w:t xml:space="preserve">30 July 2022. </w:t>
      </w:r>
    </w:p>
  </w:footnote>
  <w:footnote w:id="44">
    <w:p w14:paraId="641E7341" w14:textId="77777777" w:rsidR="00330B2F" w:rsidRDefault="00CB64F9">
      <w:pPr>
        <w:pBdr>
          <w:top w:val="nil"/>
          <w:left w:val="nil"/>
          <w:bottom w:val="nil"/>
          <w:right w:val="nil"/>
          <w:between w:val="nil"/>
        </w:pBdr>
        <w:spacing w:after="0" w:line="240" w:lineRule="auto"/>
        <w:jc w:val="both"/>
        <w:rPr>
          <w:color w:val="000000"/>
          <w:sz w:val="16"/>
          <w:szCs w:val="16"/>
        </w:rPr>
      </w:pPr>
      <w:r>
        <w:rPr>
          <w:rStyle w:val="FootnoteReference"/>
        </w:rPr>
        <w:footnoteRef/>
      </w:r>
      <w:r>
        <w:rPr>
          <w:color w:val="000000"/>
          <w:sz w:val="16"/>
          <w:szCs w:val="16"/>
        </w:rPr>
        <w:t xml:space="preserve">Frances </w:t>
      </w:r>
      <w:proofErr w:type="spellStart"/>
      <w:r>
        <w:rPr>
          <w:color w:val="000000"/>
          <w:sz w:val="16"/>
          <w:szCs w:val="16"/>
        </w:rPr>
        <w:t>Mangosing</w:t>
      </w:r>
      <w:proofErr w:type="spellEnd"/>
      <w:r>
        <w:rPr>
          <w:color w:val="000000"/>
          <w:sz w:val="16"/>
          <w:szCs w:val="16"/>
        </w:rPr>
        <w:t xml:space="preserve">, AFP, UN ink strategic plan to protect children in armed </w:t>
      </w:r>
      <w:proofErr w:type="spellStart"/>
      <w:r>
        <w:rPr>
          <w:color w:val="000000"/>
          <w:sz w:val="16"/>
          <w:szCs w:val="16"/>
        </w:rPr>
        <w:t>conlict</w:t>
      </w:r>
      <w:proofErr w:type="spellEnd"/>
      <w:r>
        <w:rPr>
          <w:color w:val="000000"/>
          <w:sz w:val="16"/>
          <w:szCs w:val="16"/>
        </w:rPr>
        <w:t xml:space="preserve">, by Inquirer.Net, 10 June 2021, available at </w:t>
      </w:r>
      <w:hyperlink r:id="rId13">
        <w:r>
          <w:rPr>
            <w:color w:val="0563C1"/>
            <w:sz w:val="16"/>
            <w:szCs w:val="16"/>
            <w:u w:val="single"/>
          </w:rPr>
          <w:t>https://newsinfo.inquirer.net/1444195/afp-un-ink-strategic-plan-to-protect-children-in-armed-conflict</w:t>
        </w:r>
      </w:hyperlink>
      <w:r>
        <w:rPr>
          <w:color w:val="000000"/>
          <w:sz w:val="16"/>
          <w:szCs w:val="16"/>
        </w:rPr>
        <w:t>, (last accessed)</w:t>
      </w:r>
      <w:r>
        <w:rPr>
          <w:sz w:val="16"/>
          <w:szCs w:val="16"/>
        </w:rPr>
        <w:t xml:space="preserve"> </w:t>
      </w:r>
      <w:r>
        <w:rPr>
          <w:color w:val="000000"/>
          <w:sz w:val="16"/>
          <w:szCs w:val="16"/>
        </w:rPr>
        <w:t xml:space="preserve">30 July 2022. </w:t>
      </w:r>
    </w:p>
  </w:footnote>
  <w:footnote w:id="45">
    <w:p w14:paraId="7F387B25" w14:textId="77777777" w:rsidR="00330B2F" w:rsidRDefault="00CB64F9">
      <w:pPr>
        <w:spacing w:after="0" w:line="240" w:lineRule="auto"/>
        <w:jc w:val="both"/>
        <w:rPr>
          <w:sz w:val="16"/>
          <w:szCs w:val="16"/>
        </w:rPr>
      </w:pPr>
      <w:r>
        <w:rPr>
          <w:rStyle w:val="FootnoteReference"/>
        </w:rPr>
        <w:footnoteRef/>
      </w:r>
      <w:r>
        <w:rPr>
          <w:sz w:val="16"/>
          <w:szCs w:val="16"/>
        </w:rPr>
        <w:t>Armed Forces of the Philippines, AFP Protocol for Children in Situations of Armed Conflict (CASC), [Letter Directive Number 52], (29 November 2021).</w:t>
      </w:r>
    </w:p>
  </w:footnote>
  <w:footnote w:id="46">
    <w:p w14:paraId="34D94848" w14:textId="77777777" w:rsidR="00330B2F" w:rsidRDefault="00CB64F9">
      <w:pPr>
        <w:pBdr>
          <w:top w:val="nil"/>
          <w:left w:val="nil"/>
          <w:bottom w:val="nil"/>
          <w:right w:val="nil"/>
          <w:between w:val="nil"/>
        </w:pBdr>
        <w:spacing w:after="0" w:line="240" w:lineRule="auto"/>
        <w:rPr>
          <w:color w:val="000000"/>
          <w:sz w:val="16"/>
          <w:szCs w:val="16"/>
        </w:rPr>
      </w:pPr>
      <w:r>
        <w:rPr>
          <w:rStyle w:val="FootnoteReference"/>
        </w:rPr>
        <w:footnoteRef/>
      </w:r>
      <w:r>
        <w:rPr>
          <w:color w:val="000000"/>
          <w:sz w:val="16"/>
          <w:szCs w:val="16"/>
        </w:rPr>
        <w:t xml:space="preserve"> Philippine National Police, Guidelines and Procedures to Guarantee the Special Protection and Safety of Children while they are in the Custody of the Philippine National Police (PNP) also known as the “Philippine National Police Child Protection Policy, [Memorandum Circular No. 2021-081], (Series 2021), available at </w:t>
      </w:r>
      <w:hyperlink r:id="rId14">
        <w:r>
          <w:rPr>
            <w:color w:val="0563C1"/>
            <w:sz w:val="16"/>
            <w:szCs w:val="16"/>
            <w:u w:val="single"/>
          </w:rPr>
          <w:t>https://didm.pnp.gov.ph/images/Memorandum%20Circulars/PNP-Child_Protection_Policy.pdf</w:t>
        </w:r>
      </w:hyperlink>
      <w:r>
        <w:rPr>
          <w:color w:val="000000"/>
          <w:sz w:val="16"/>
          <w:szCs w:val="16"/>
        </w:rPr>
        <w:t>, (last accessed)</w:t>
      </w:r>
      <w:r>
        <w:rPr>
          <w:sz w:val="16"/>
          <w:szCs w:val="16"/>
        </w:rPr>
        <w:t xml:space="preserve"> </w:t>
      </w:r>
      <w:r>
        <w:rPr>
          <w:color w:val="000000"/>
          <w:sz w:val="16"/>
          <w:szCs w:val="16"/>
        </w:rPr>
        <w:t xml:space="preserve">30 July 2022. </w:t>
      </w:r>
    </w:p>
  </w:footnote>
  <w:footnote w:id="47">
    <w:p w14:paraId="0EB6C627" w14:textId="77777777" w:rsidR="00330B2F" w:rsidRDefault="00CB64F9">
      <w:pPr>
        <w:spacing w:after="0" w:line="240" w:lineRule="auto"/>
        <w:rPr>
          <w:color w:val="000000"/>
          <w:sz w:val="16"/>
          <w:szCs w:val="16"/>
        </w:rPr>
      </w:pPr>
      <w:r>
        <w:rPr>
          <w:rStyle w:val="FootnoteReference"/>
        </w:rPr>
        <w:footnoteRef/>
      </w:r>
      <w:r>
        <w:rPr>
          <w:sz w:val="16"/>
          <w:szCs w:val="16"/>
        </w:rPr>
        <w:t xml:space="preserve">Philippine National Police, Guidelines and Procedures to Guarantee the Special Protection and Safety of Children while they are in the Custody of the Philippine National Police (PNP) also known as the “Philippine National Police Child Protection Policy, [Memorandum Circular No. 2021-081], (Series 2021), available at </w:t>
      </w:r>
      <w:hyperlink r:id="rId15">
        <w:r>
          <w:rPr>
            <w:color w:val="0563C1"/>
            <w:sz w:val="16"/>
            <w:szCs w:val="16"/>
            <w:u w:val="single"/>
          </w:rPr>
          <w:t>https://didm.pnp.gov.ph/images/Memorandum%20Circulars/PNP-Child_Protection_Policy.pdf</w:t>
        </w:r>
      </w:hyperlink>
      <w:r>
        <w:rPr>
          <w:sz w:val="16"/>
          <w:szCs w:val="16"/>
        </w:rPr>
        <w:t xml:space="preserve">, (last accessed on 30 July 2022). </w:t>
      </w:r>
    </w:p>
  </w:footnote>
  <w:footnote w:id="48">
    <w:p w14:paraId="14DC9166" w14:textId="77777777" w:rsidR="00330B2F" w:rsidRDefault="00CB64F9">
      <w:pPr>
        <w:pBdr>
          <w:top w:val="nil"/>
          <w:left w:val="nil"/>
          <w:bottom w:val="nil"/>
          <w:right w:val="nil"/>
          <w:between w:val="nil"/>
        </w:pBdr>
        <w:spacing w:after="0" w:line="240" w:lineRule="auto"/>
        <w:rPr>
          <w:color w:val="000000"/>
          <w:sz w:val="16"/>
          <w:szCs w:val="16"/>
        </w:rPr>
      </w:pPr>
      <w:r>
        <w:rPr>
          <w:rStyle w:val="FootnoteReference"/>
        </w:rPr>
        <w:footnoteRef/>
      </w:r>
      <w:r>
        <w:rPr>
          <w:color w:val="000000"/>
          <w:sz w:val="16"/>
          <w:szCs w:val="16"/>
        </w:rPr>
        <w:t xml:space="preserve">Council for the Welfare of Children, Compendium of Materials on Children in Situations of Armed Conflict, (pg. 68), available at </w:t>
      </w:r>
      <w:hyperlink r:id="rId16">
        <w:r>
          <w:rPr>
            <w:color w:val="0563C1"/>
            <w:sz w:val="16"/>
            <w:szCs w:val="16"/>
            <w:u w:val="single"/>
          </w:rPr>
          <w:t>https://www.cwc.gov.ph/resources/state-of-the-filipino-children-report.html</w:t>
        </w:r>
      </w:hyperlink>
      <w:r>
        <w:rPr>
          <w:color w:val="000000"/>
          <w:sz w:val="16"/>
          <w:szCs w:val="16"/>
        </w:rPr>
        <w:t>, (last accessed</w:t>
      </w:r>
      <w:r>
        <w:rPr>
          <w:sz w:val="16"/>
          <w:szCs w:val="16"/>
        </w:rPr>
        <w:t xml:space="preserve">) </w:t>
      </w:r>
      <w:r>
        <w:rPr>
          <w:color w:val="000000"/>
          <w:sz w:val="16"/>
          <w:szCs w:val="16"/>
        </w:rPr>
        <w:t>30 July 2022.</w:t>
      </w:r>
    </w:p>
  </w:footnote>
  <w:footnote w:id="49">
    <w:p w14:paraId="6CC2B79D" w14:textId="77777777" w:rsidR="00330B2F" w:rsidRDefault="00CB64F9">
      <w:pPr>
        <w:spacing w:after="0" w:line="240" w:lineRule="auto"/>
        <w:jc w:val="both"/>
        <w:rPr>
          <w:sz w:val="16"/>
          <w:szCs w:val="16"/>
        </w:rPr>
      </w:pPr>
      <w:r>
        <w:rPr>
          <w:rStyle w:val="FootnoteReference"/>
        </w:rPr>
        <w:footnoteRef/>
      </w:r>
      <w:r>
        <w:rPr>
          <w:sz w:val="16"/>
          <w:szCs w:val="16"/>
        </w:rPr>
        <w:t>HRCMO-CRC, Initiatives on the Implementation of the Children in Situations of Armed Conflict (CSAC) Law and its Implementing Rules and Regulations (IRR), January-December 2020, (on file with the author)</w:t>
      </w:r>
    </w:p>
  </w:footnote>
  <w:footnote w:id="50">
    <w:p w14:paraId="050AFFC5" w14:textId="77777777" w:rsidR="00330B2F" w:rsidRDefault="00CB64F9">
      <w:pPr>
        <w:spacing w:after="0" w:line="240" w:lineRule="auto"/>
        <w:jc w:val="both"/>
        <w:rPr>
          <w:b/>
          <w:sz w:val="16"/>
          <w:szCs w:val="16"/>
        </w:rPr>
      </w:pPr>
      <w:r>
        <w:rPr>
          <w:rStyle w:val="FootnoteReference"/>
        </w:rPr>
        <w:footnoteRef/>
      </w:r>
      <w:r>
        <w:rPr>
          <w:sz w:val="16"/>
          <w:szCs w:val="16"/>
        </w:rPr>
        <w:t>These cases are violation of the rights of Children in Situation of Armed Conflict (CSAC), recruitment by NPA, and are under investigations by the Commission’s Region Office VIII, (on file with the author).</w:t>
      </w:r>
    </w:p>
  </w:footnote>
  <w:footnote w:id="51">
    <w:p w14:paraId="1202D441" w14:textId="77777777" w:rsidR="00330B2F" w:rsidRDefault="00CB64F9">
      <w:pPr>
        <w:pBdr>
          <w:top w:val="nil"/>
          <w:left w:val="nil"/>
          <w:bottom w:val="nil"/>
          <w:right w:val="nil"/>
          <w:between w:val="nil"/>
        </w:pBdr>
        <w:spacing w:after="0" w:line="240" w:lineRule="auto"/>
        <w:jc w:val="both"/>
        <w:rPr>
          <w:color w:val="000000"/>
          <w:sz w:val="16"/>
          <w:szCs w:val="16"/>
        </w:rPr>
      </w:pPr>
      <w:r>
        <w:rPr>
          <w:rStyle w:val="FootnoteReference"/>
        </w:rPr>
        <w:footnoteRef/>
      </w:r>
      <w:r>
        <w:rPr>
          <w:color w:val="000000"/>
          <w:sz w:val="16"/>
          <w:szCs w:val="16"/>
        </w:rPr>
        <w:t>Release of children refers to the process of formal and controlled disarmament and demobilization of children and their release from a government force or armed group as well as informal ways in which children leave by escaping, being captured or by other means. It entails a disassociation from the government force or armed group and the beginning of transition from military to civilian life. Release can take place during a situation of armed conflict; it is not dependent on the temporary or permanent cessation of hostilities; and it is not dependent on children having weapons to forfeit</w:t>
      </w:r>
      <w:r>
        <w:rPr>
          <w:sz w:val="16"/>
          <w:szCs w:val="16"/>
        </w:rPr>
        <w:t xml:space="preserve">, An Act Providing for the Special Protection of Children in Situations of Armed Conflict and Providing Penalties for Violations Thereof, “Special Protection of Children in Situations of Armed Conflict”, [Republic Act No.11188], §25 (2018), Republic Act 11188, § </w:t>
      </w:r>
      <w:r>
        <w:rPr>
          <w:color w:val="000000"/>
          <w:sz w:val="16"/>
          <w:szCs w:val="16"/>
        </w:rPr>
        <w:t>5 (bb),</w:t>
      </w:r>
      <w:r>
        <w:rPr>
          <w:sz w:val="16"/>
          <w:szCs w:val="16"/>
        </w:rPr>
        <w:t xml:space="preserve"> 2018.</w:t>
      </w:r>
    </w:p>
  </w:footnote>
  <w:footnote w:id="52">
    <w:p w14:paraId="1195711F" w14:textId="77777777" w:rsidR="00330B2F" w:rsidRDefault="00CB64F9">
      <w:pPr>
        <w:pBdr>
          <w:top w:val="nil"/>
          <w:left w:val="nil"/>
          <w:bottom w:val="nil"/>
          <w:right w:val="nil"/>
          <w:between w:val="nil"/>
        </w:pBdr>
        <w:spacing w:after="0" w:line="240" w:lineRule="auto"/>
        <w:jc w:val="both"/>
        <w:rPr>
          <w:color w:val="000000"/>
          <w:sz w:val="16"/>
          <w:szCs w:val="16"/>
        </w:rPr>
      </w:pPr>
      <w:r>
        <w:rPr>
          <w:rStyle w:val="FootnoteReference"/>
        </w:rPr>
        <w:footnoteRef/>
      </w:r>
      <w:r>
        <w:rPr>
          <w:color w:val="000000"/>
          <w:sz w:val="16"/>
          <w:szCs w:val="16"/>
        </w:rPr>
        <w:t>Regional Situational Report and Advisory on the Establishment of a Temporary Shelter for Children formerly Involved in Armed Conflict, CHR-XI-A-2020-004, CHR Regional Office XI (Davao Region), (on file with the author).</w:t>
      </w:r>
    </w:p>
  </w:footnote>
  <w:footnote w:id="53">
    <w:p w14:paraId="2D216BE2" w14:textId="77777777" w:rsidR="00330B2F" w:rsidRDefault="00CB64F9">
      <w:pPr>
        <w:spacing w:after="0" w:line="240" w:lineRule="auto"/>
        <w:rPr>
          <w:sz w:val="16"/>
          <w:szCs w:val="16"/>
        </w:rPr>
      </w:pPr>
      <w:r>
        <w:rPr>
          <w:rStyle w:val="FootnoteReference"/>
        </w:rPr>
        <w:footnoteRef/>
      </w:r>
      <w:r>
        <w:rPr>
          <w:sz w:val="16"/>
          <w:szCs w:val="16"/>
        </w:rPr>
        <w:t xml:space="preserve"> Commission on Human Rights, Region Office X, Situation Report on Grave Child Rights Violations in Region 10 for First </w:t>
      </w:r>
      <w:proofErr w:type="spellStart"/>
      <w:r>
        <w:rPr>
          <w:sz w:val="16"/>
          <w:szCs w:val="16"/>
        </w:rPr>
        <w:t>Semeter</w:t>
      </w:r>
      <w:proofErr w:type="spellEnd"/>
      <w:r>
        <w:rPr>
          <w:sz w:val="16"/>
          <w:szCs w:val="16"/>
        </w:rPr>
        <w:t xml:space="preserve"> 2021, (on file with the author). </w:t>
      </w:r>
    </w:p>
  </w:footnote>
  <w:footnote w:id="54">
    <w:p w14:paraId="76348AB9" w14:textId="77777777" w:rsidR="00330B2F" w:rsidRDefault="00CB64F9">
      <w:pPr>
        <w:spacing w:after="0" w:line="240" w:lineRule="auto"/>
        <w:jc w:val="both"/>
        <w:rPr>
          <w:sz w:val="16"/>
          <w:szCs w:val="16"/>
        </w:rPr>
      </w:pPr>
      <w:r>
        <w:rPr>
          <w:rStyle w:val="FootnoteReference"/>
        </w:rPr>
        <w:footnoteRef/>
      </w:r>
      <w:r>
        <w:rPr>
          <w:sz w:val="16"/>
          <w:szCs w:val="16"/>
        </w:rPr>
        <w:t xml:space="preserve">Protocol and Guidelines on Monitoring, Reporting, and Responding to Cases of Children in Situations of Armed </w:t>
      </w:r>
      <w:proofErr w:type="spellStart"/>
      <w:r>
        <w:rPr>
          <w:sz w:val="16"/>
          <w:szCs w:val="16"/>
        </w:rPr>
        <w:t>Confict</w:t>
      </w:r>
      <w:proofErr w:type="spellEnd"/>
      <w:r>
        <w:rPr>
          <w:sz w:val="16"/>
          <w:szCs w:val="16"/>
        </w:rPr>
        <w:t xml:space="preserve">, Child Rights Center, Commission on Human Rights of the Philippines, 2021, available at </w:t>
      </w:r>
      <w:hyperlink r:id="rId17">
        <w:r>
          <w:rPr>
            <w:color w:val="1155CC"/>
            <w:sz w:val="16"/>
            <w:szCs w:val="16"/>
            <w:u w:val="single"/>
          </w:rPr>
          <w:t>https://chr.gov.ph/wp-content/uploads/2022/07/Protocol-and-Guidelines-on-the-Monitoring-Reporting-and-Responding-to-Cases-of-Children-in-Situations-of-Armed-Conflict-2021.pdf</w:t>
        </w:r>
      </w:hyperlink>
      <w:r>
        <w:rPr>
          <w:sz w:val="16"/>
          <w:szCs w:val="16"/>
        </w:rPr>
        <w:t xml:space="preserve">, last accessed (05 August 2022). </w:t>
      </w:r>
    </w:p>
  </w:footnote>
  <w:footnote w:id="55">
    <w:p w14:paraId="58BAE24D" w14:textId="77777777" w:rsidR="00330B2F" w:rsidRDefault="00CB64F9">
      <w:pPr>
        <w:spacing w:after="0" w:line="240" w:lineRule="auto"/>
        <w:jc w:val="both"/>
        <w:rPr>
          <w:sz w:val="16"/>
          <w:szCs w:val="16"/>
        </w:rPr>
      </w:pPr>
      <w:r>
        <w:rPr>
          <w:rStyle w:val="FootnoteReference"/>
        </w:rPr>
        <w:footnoteRef/>
      </w:r>
      <w:r>
        <w:rPr>
          <w:sz w:val="16"/>
          <w:szCs w:val="16"/>
        </w:rPr>
        <w:t>Initiatives on the Implementation of CSAC Law and its IRR, Child Rights Center, Commission on Human Rights of the Philippines, January-December 2020 (on file with the author).</w:t>
      </w:r>
    </w:p>
  </w:footnote>
  <w:footnote w:id="56">
    <w:p w14:paraId="148890FF" w14:textId="77777777" w:rsidR="00330B2F" w:rsidRDefault="00CB64F9">
      <w:pPr>
        <w:spacing w:after="0" w:line="240" w:lineRule="auto"/>
        <w:rPr>
          <w:sz w:val="16"/>
          <w:szCs w:val="16"/>
        </w:rPr>
      </w:pPr>
      <w:r>
        <w:rPr>
          <w:rStyle w:val="FootnoteReference"/>
        </w:rPr>
        <w:footnoteRef/>
      </w:r>
      <w:r>
        <w:rPr>
          <w:sz w:val="16"/>
          <w:szCs w:val="16"/>
        </w:rPr>
        <w:t>2020 CHR 9 Human Rights Situation Report, CHR Regional Office IX (Zamboanga Peninsula), (on file with the author)</w:t>
      </w:r>
    </w:p>
  </w:footnote>
  <w:footnote w:id="57">
    <w:p w14:paraId="562F4520" w14:textId="77777777" w:rsidR="00330B2F" w:rsidRDefault="00CB64F9">
      <w:pPr>
        <w:pBdr>
          <w:top w:val="nil"/>
          <w:left w:val="nil"/>
          <w:bottom w:val="nil"/>
          <w:right w:val="nil"/>
          <w:between w:val="nil"/>
        </w:pBdr>
        <w:spacing w:after="0" w:line="240" w:lineRule="auto"/>
        <w:rPr>
          <w:color w:val="000000"/>
          <w:sz w:val="16"/>
          <w:szCs w:val="16"/>
        </w:rPr>
      </w:pPr>
      <w:r>
        <w:rPr>
          <w:rStyle w:val="FootnoteReference"/>
        </w:rPr>
        <w:footnoteRef/>
      </w:r>
      <w:r>
        <w:rPr>
          <w:color w:val="000000"/>
          <w:sz w:val="16"/>
          <w:szCs w:val="16"/>
        </w:rPr>
        <w:t xml:space="preserve"> Commission on Human Rights-Regional Office 1, Regional Women’s Human Rights and LGBTI Profile (July-December 2021), (on file with the author).</w:t>
      </w:r>
    </w:p>
  </w:footnote>
  <w:footnote w:id="58">
    <w:p w14:paraId="6E7BC932" w14:textId="77777777" w:rsidR="00330B2F" w:rsidRDefault="00CB64F9">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16"/>
          <w:szCs w:val="16"/>
        </w:rPr>
        <w:t>Commission on Human Rights-Regional Office, CARAGA, What kind of Year has it Been: A Report on the Human Rights Situation in CARAGA Region during the 2020 COVID-19 Pandemic, (on file with the author).</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FF9D33" w14:textId="77777777" w:rsidR="00330B2F" w:rsidRDefault="00CB64F9">
    <w:pPr>
      <w:pBdr>
        <w:top w:val="nil"/>
        <w:left w:val="nil"/>
        <w:bottom w:val="nil"/>
        <w:right w:val="nil"/>
        <w:between w:val="nil"/>
      </w:pBdr>
      <w:tabs>
        <w:tab w:val="center" w:pos="4680"/>
        <w:tab w:val="right" w:pos="9360"/>
      </w:tabs>
      <w:spacing w:after="0" w:line="240" w:lineRule="auto"/>
      <w:jc w:val="center"/>
      <w:rPr>
        <w:color w:val="000000"/>
      </w:rPr>
    </w:pPr>
    <w:r>
      <w:rPr>
        <w:b/>
        <w:noProof/>
        <w:color w:val="000000"/>
        <w:lang w:val="en-GB" w:eastAsia="en-GB"/>
      </w:rPr>
      <w:drawing>
        <wp:inline distT="0" distB="0" distL="0" distR="0" wp14:anchorId="4ED59ADD" wp14:editId="73A2F8F5">
          <wp:extent cx="2285838" cy="1223191"/>
          <wp:effectExtent l="0" t="0" r="0" b="0"/>
          <wp:docPr id="7"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2285838" cy="1223191"/>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56075"/>
    <w:multiLevelType w:val="multilevel"/>
    <w:tmpl w:val="457C2FD4"/>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1" w15:restartNumberingAfterBreak="0">
    <w:nsid w:val="07E213A3"/>
    <w:multiLevelType w:val="multilevel"/>
    <w:tmpl w:val="07EAEBEA"/>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2" w15:restartNumberingAfterBreak="0">
    <w:nsid w:val="0A8B362B"/>
    <w:multiLevelType w:val="multilevel"/>
    <w:tmpl w:val="AA46E84E"/>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 w15:restartNumberingAfterBreak="0">
    <w:nsid w:val="0EE63094"/>
    <w:multiLevelType w:val="multilevel"/>
    <w:tmpl w:val="B5342882"/>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4" w15:restartNumberingAfterBreak="0">
    <w:nsid w:val="0F293ADA"/>
    <w:multiLevelType w:val="multilevel"/>
    <w:tmpl w:val="0D46750E"/>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5" w15:restartNumberingAfterBreak="0">
    <w:nsid w:val="13460D43"/>
    <w:multiLevelType w:val="multilevel"/>
    <w:tmpl w:val="CD5019D2"/>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6" w15:restartNumberingAfterBreak="0">
    <w:nsid w:val="17041DB5"/>
    <w:multiLevelType w:val="multilevel"/>
    <w:tmpl w:val="C258325A"/>
    <w:lvl w:ilvl="0">
      <w:start w:val="1"/>
      <w:numFmt w:val="bullet"/>
      <w:lvlText w:val="▪"/>
      <w:lvlJc w:val="left"/>
      <w:pPr>
        <w:ind w:left="1440" w:hanging="360"/>
      </w:pPr>
      <w:rPr>
        <w:rFonts w:ascii="Noto Sans Symbols" w:eastAsia="Noto Sans Symbols" w:hAnsi="Noto Sans Symbols" w:cs="Noto Sans Symbols"/>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7" w15:restartNumberingAfterBreak="0">
    <w:nsid w:val="25E27BFE"/>
    <w:multiLevelType w:val="multilevel"/>
    <w:tmpl w:val="2646AC94"/>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8" w15:restartNumberingAfterBreak="0">
    <w:nsid w:val="2A7F05E2"/>
    <w:multiLevelType w:val="multilevel"/>
    <w:tmpl w:val="B9F6A82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9" w15:restartNumberingAfterBreak="0">
    <w:nsid w:val="32D66E07"/>
    <w:multiLevelType w:val="multilevel"/>
    <w:tmpl w:val="A4246B26"/>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10" w15:restartNumberingAfterBreak="0">
    <w:nsid w:val="3B48666B"/>
    <w:multiLevelType w:val="multilevel"/>
    <w:tmpl w:val="A288C6D8"/>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11" w15:restartNumberingAfterBreak="0">
    <w:nsid w:val="4B6A72EB"/>
    <w:multiLevelType w:val="multilevel"/>
    <w:tmpl w:val="02605834"/>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2" w15:restartNumberingAfterBreak="0">
    <w:nsid w:val="5BB32A14"/>
    <w:multiLevelType w:val="multilevel"/>
    <w:tmpl w:val="D910F0D0"/>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13" w15:restartNumberingAfterBreak="0">
    <w:nsid w:val="5E257802"/>
    <w:multiLevelType w:val="multilevel"/>
    <w:tmpl w:val="8AC66552"/>
    <w:lvl w:ilvl="0">
      <w:start w:val="1"/>
      <w:numFmt w:val="bullet"/>
      <w:lvlText w:val="▪"/>
      <w:lvlJc w:val="left"/>
      <w:pPr>
        <w:ind w:left="1080" w:hanging="360"/>
      </w:pPr>
      <w:rPr>
        <w:rFonts w:ascii="Noto Sans Symbols" w:eastAsia="Noto Sans Symbols" w:hAnsi="Noto Sans Symbols" w:cs="Noto Sans Symbols"/>
        <w:u w:val="none"/>
      </w:rPr>
    </w:lvl>
    <w:lvl w:ilvl="1">
      <w:start w:val="1"/>
      <w:numFmt w:val="bullet"/>
      <w:lvlText w:val="-"/>
      <w:lvlJc w:val="left"/>
      <w:pPr>
        <w:ind w:left="1800" w:hanging="360"/>
      </w:pPr>
      <w:rPr>
        <w:u w:val="none"/>
      </w:rPr>
    </w:lvl>
    <w:lvl w:ilvl="2">
      <w:start w:val="1"/>
      <w:numFmt w:val="bullet"/>
      <w:lvlText w:val="-"/>
      <w:lvlJc w:val="left"/>
      <w:pPr>
        <w:ind w:left="2520" w:hanging="360"/>
      </w:pPr>
      <w:rPr>
        <w:u w:val="none"/>
      </w:rPr>
    </w:lvl>
    <w:lvl w:ilvl="3">
      <w:start w:val="1"/>
      <w:numFmt w:val="bullet"/>
      <w:lvlText w:val="-"/>
      <w:lvlJc w:val="left"/>
      <w:pPr>
        <w:ind w:left="3240" w:hanging="360"/>
      </w:pPr>
      <w:rPr>
        <w:u w:val="none"/>
      </w:rPr>
    </w:lvl>
    <w:lvl w:ilvl="4">
      <w:start w:val="1"/>
      <w:numFmt w:val="bullet"/>
      <w:lvlText w:val="-"/>
      <w:lvlJc w:val="left"/>
      <w:pPr>
        <w:ind w:left="3960" w:hanging="360"/>
      </w:pPr>
      <w:rPr>
        <w:u w:val="none"/>
      </w:rPr>
    </w:lvl>
    <w:lvl w:ilvl="5">
      <w:start w:val="1"/>
      <w:numFmt w:val="bullet"/>
      <w:lvlText w:val="-"/>
      <w:lvlJc w:val="left"/>
      <w:pPr>
        <w:ind w:left="4680" w:hanging="360"/>
      </w:pPr>
      <w:rPr>
        <w:u w:val="none"/>
      </w:rPr>
    </w:lvl>
    <w:lvl w:ilvl="6">
      <w:start w:val="1"/>
      <w:numFmt w:val="bullet"/>
      <w:lvlText w:val="-"/>
      <w:lvlJc w:val="left"/>
      <w:pPr>
        <w:ind w:left="5400" w:hanging="360"/>
      </w:pPr>
      <w:rPr>
        <w:u w:val="none"/>
      </w:rPr>
    </w:lvl>
    <w:lvl w:ilvl="7">
      <w:start w:val="1"/>
      <w:numFmt w:val="bullet"/>
      <w:lvlText w:val="-"/>
      <w:lvlJc w:val="left"/>
      <w:pPr>
        <w:ind w:left="6120" w:hanging="360"/>
      </w:pPr>
      <w:rPr>
        <w:u w:val="none"/>
      </w:rPr>
    </w:lvl>
    <w:lvl w:ilvl="8">
      <w:start w:val="1"/>
      <w:numFmt w:val="bullet"/>
      <w:lvlText w:val="-"/>
      <w:lvlJc w:val="left"/>
      <w:pPr>
        <w:ind w:left="6840" w:hanging="360"/>
      </w:pPr>
      <w:rPr>
        <w:u w:val="none"/>
      </w:rPr>
    </w:lvl>
  </w:abstractNum>
  <w:abstractNum w:abstractNumId="14" w15:restartNumberingAfterBreak="0">
    <w:nsid w:val="65F772B1"/>
    <w:multiLevelType w:val="multilevel"/>
    <w:tmpl w:val="71B46098"/>
    <w:lvl w:ilvl="0">
      <w:start w:val="1"/>
      <w:numFmt w:val="decimal"/>
      <w:lvlText w:val="%1."/>
      <w:lvlJc w:val="left"/>
      <w:pPr>
        <w:ind w:left="720" w:hanging="360"/>
      </w:pPr>
    </w:lvl>
    <w:lvl w:ilvl="1">
      <w:start w:val="1"/>
      <w:numFmt w:val="bullet"/>
      <w:lvlText w:val="▪"/>
      <w:lvlJc w:val="left"/>
      <w:pPr>
        <w:ind w:left="1440" w:hanging="360"/>
      </w:pPr>
      <w:rPr>
        <w:rFonts w:ascii="Noto Sans Symbols" w:eastAsia="Noto Sans Symbols" w:hAnsi="Noto Sans Symbols" w:cs="Noto Sans Symbols"/>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665818D9"/>
    <w:multiLevelType w:val="multilevel"/>
    <w:tmpl w:val="F3CC980E"/>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16" w15:restartNumberingAfterBreak="0">
    <w:nsid w:val="6F585BD1"/>
    <w:multiLevelType w:val="multilevel"/>
    <w:tmpl w:val="311A3B86"/>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17" w15:restartNumberingAfterBreak="0">
    <w:nsid w:val="738A3392"/>
    <w:multiLevelType w:val="multilevel"/>
    <w:tmpl w:val="4F0C068E"/>
    <w:lvl w:ilvl="0">
      <w:start w:val="1"/>
      <w:numFmt w:val="bullet"/>
      <w:lvlText w:val="▪"/>
      <w:lvlJc w:val="left"/>
      <w:pPr>
        <w:ind w:left="1440" w:hanging="360"/>
      </w:pPr>
      <w:rPr>
        <w:rFonts w:ascii="Noto Sans Symbols" w:eastAsia="Noto Sans Symbols" w:hAnsi="Noto Sans Symbols" w:cs="Noto Sans Symbols"/>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18" w15:restartNumberingAfterBreak="0">
    <w:nsid w:val="7B25079F"/>
    <w:multiLevelType w:val="multilevel"/>
    <w:tmpl w:val="0C3E0B88"/>
    <w:lvl w:ilvl="0">
      <w:start w:val="1"/>
      <w:numFmt w:val="bullet"/>
      <w:lvlText w:val="▪"/>
      <w:lvlJc w:val="left"/>
      <w:pPr>
        <w:ind w:left="1440" w:hanging="360"/>
      </w:pPr>
      <w:rPr>
        <w:rFonts w:ascii="Noto Sans Symbols" w:eastAsia="Noto Sans Symbols" w:hAnsi="Noto Sans Symbols" w:cs="Noto Sans Symbols"/>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num w:numId="1">
    <w:abstractNumId w:val="0"/>
  </w:num>
  <w:num w:numId="2">
    <w:abstractNumId w:val="7"/>
  </w:num>
  <w:num w:numId="3">
    <w:abstractNumId w:val="6"/>
  </w:num>
  <w:num w:numId="4">
    <w:abstractNumId w:val="4"/>
  </w:num>
  <w:num w:numId="5">
    <w:abstractNumId w:val="5"/>
  </w:num>
  <w:num w:numId="6">
    <w:abstractNumId w:val="2"/>
  </w:num>
  <w:num w:numId="7">
    <w:abstractNumId w:val="11"/>
  </w:num>
  <w:num w:numId="8">
    <w:abstractNumId w:val="8"/>
  </w:num>
  <w:num w:numId="9">
    <w:abstractNumId w:val="12"/>
  </w:num>
  <w:num w:numId="10">
    <w:abstractNumId w:val="16"/>
  </w:num>
  <w:num w:numId="11">
    <w:abstractNumId w:val="17"/>
  </w:num>
  <w:num w:numId="12">
    <w:abstractNumId w:val="15"/>
  </w:num>
  <w:num w:numId="13">
    <w:abstractNumId w:val="13"/>
  </w:num>
  <w:num w:numId="14">
    <w:abstractNumId w:val="9"/>
  </w:num>
  <w:num w:numId="15">
    <w:abstractNumId w:val="18"/>
  </w:num>
  <w:num w:numId="16">
    <w:abstractNumId w:val="14"/>
  </w:num>
  <w:num w:numId="17">
    <w:abstractNumId w:val="1"/>
  </w:num>
  <w:num w:numId="18">
    <w:abstractNumId w:val="3"/>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0B2F"/>
    <w:rsid w:val="00000A3C"/>
    <w:rsid w:val="00030F46"/>
    <w:rsid w:val="002E0878"/>
    <w:rsid w:val="002E5A2B"/>
    <w:rsid w:val="00330B2F"/>
    <w:rsid w:val="003E0283"/>
    <w:rsid w:val="0046498B"/>
    <w:rsid w:val="004A571A"/>
    <w:rsid w:val="00560B21"/>
    <w:rsid w:val="005929BC"/>
    <w:rsid w:val="006A684B"/>
    <w:rsid w:val="00760594"/>
    <w:rsid w:val="00770050"/>
    <w:rsid w:val="008104AA"/>
    <w:rsid w:val="00832CB0"/>
    <w:rsid w:val="008C1D07"/>
    <w:rsid w:val="008C30A5"/>
    <w:rsid w:val="009B7FF8"/>
    <w:rsid w:val="00A01DA2"/>
    <w:rsid w:val="00A0450E"/>
    <w:rsid w:val="00CB64F9"/>
    <w:rsid w:val="00CC34D6"/>
    <w:rsid w:val="00E056BF"/>
    <w:rsid w:val="00F90E6F"/>
    <w:rsid w:val="00FD18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C0169D"/>
  <w15:docId w15:val="{9B1851E1-4B01-4223-A79C-7A596F1BFF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PH"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ListParagraph">
    <w:name w:val="List Paragraph"/>
    <w:basedOn w:val="Normal"/>
    <w:uiPriority w:val="34"/>
    <w:qFormat/>
    <w:rsid w:val="00C10FD2"/>
    <w:pPr>
      <w:ind w:left="720"/>
      <w:contextualSpacing/>
    </w:pPr>
  </w:style>
  <w:style w:type="paragraph" w:styleId="FootnoteText">
    <w:name w:val="footnote text"/>
    <w:basedOn w:val="Normal"/>
    <w:link w:val="FootnoteTextChar"/>
    <w:uiPriority w:val="99"/>
    <w:unhideWhenUsed/>
    <w:rsid w:val="00C10FD2"/>
    <w:pPr>
      <w:pBdr>
        <w:top w:val="nil"/>
        <w:left w:val="nil"/>
        <w:bottom w:val="nil"/>
        <w:right w:val="nil"/>
        <w:between w:val="nil"/>
        <w:bar w:val="nil"/>
      </w:pBdr>
      <w:spacing w:after="0" w:line="240" w:lineRule="auto"/>
    </w:pPr>
    <w:rPr>
      <w:sz w:val="20"/>
      <w:szCs w:val="20"/>
    </w:rPr>
  </w:style>
  <w:style w:type="character" w:customStyle="1" w:styleId="FootnoteTextChar">
    <w:name w:val="Footnote Text Char"/>
    <w:basedOn w:val="DefaultParagraphFont"/>
    <w:link w:val="FootnoteText"/>
    <w:uiPriority w:val="99"/>
    <w:rsid w:val="00C10FD2"/>
    <w:rPr>
      <w:sz w:val="20"/>
      <w:szCs w:val="20"/>
    </w:rPr>
  </w:style>
  <w:style w:type="character" w:styleId="FootnoteReference">
    <w:name w:val="footnote reference"/>
    <w:basedOn w:val="DefaultParagraphFont"/>
    <w:uiPriority w:val="99"/>
    <w:unhideWhenUsed/>
    <w:rsid w:val="00C10FD2"/>
    <w:rPr>
      <w:vertAlign w:val="superscript"/>
    </w:rPr>
  </w:style>
  <w:style w:type="paragraph" w:styleId="EndnoteText">
    <w:name w:val="endnote text"/>
    <w:basedOn w:val="Normal"/>
    <w:link w:val="EndnoteTextChar"/>
    <w:uiPriority w:val="99"/>
    <w:unhideWhenUsed/>
    <w:rsid w:val="00C10FD2"/>
    <w:pPr>
      <w:pBdr>
        <w:top w:val="nil"/>
        <w:left w:val="nil"/>
        <w:bottom w:val="nil"/>
        <w:right w:val="nil"/>
        <w:between w:val="nil"/>
        <w:bar w:val="nil"/>
      </w:pBdr>
      <w:spacing w:after="0" w:line="240" w:lineRule="auto"/>
    </w:pPr>
    <w:rPr>
      <w:sz w:val="20"/>
      <w:szCs w:val="20"/>
    </w:rPr>
  </w:style>
  <w:style w:type="character" w:customStyle="1" w:styleId="EndnoteTextChar">
    <w:name w:val="Endnote Text Char"/>
    <w:basedOn w:val="DefaultParagraphFont"/>
    <w:link w:val="EndnoteText"/>
    <w:uiPriority w:val="99"/>
    <w:rsid w:val="00C10FD2"/>
    <w:rPr>
      <w:sz w:val="20"/>
      <w:szCs w:val="20"/>
    </w:rPr>
  </w:style>
  <w:style w:type="character" w:styleId="EndnoteReference">
    <w:name w:val="endnote reference"/>
    <w:basedOn w:val="DefaultParagraphFont"/>
    <w:uiPriority w:val="99"/>
    <w:semiHidden/>
    <w:unhideWhenUsed/>
    <w:rsid w:val="00C10FD2"/>
    <w:rPr>
      <w:vertAlign w:val="superscript"/>
    </w:rPr>
  </w:style>
  <w:style w:type="character" w:styleId="Emphasis">
    <w:name w:val="Emphasis"/>
    <w:basedOn w:val="DefaultParagraphFont"/>
    <w:uiPriority w:val="20"/>
    <w:qFormat/>
    <w:rsid w:val="00C10FD2"/>
    <w:rPr>
      <w:i/>
      <w:iCs/>
    </w:rPr>
  </w:style>
  <w:style w:type="paragraph" w:styleId="Header">
    <w:name w:val="header"/>
    <w:basedOn w:val="Normal"/>
    <w:link w:val="HeaderChar"/>
    <w:uiPriority w:val="99"/>
    <w:unhideWhenUsed/>
    <w:rsid w:val="00C10FD2"/>
    <w:pPr>
      <w:tabs>
        <w:tab w:val="center" w:pos="4680"/>
        <w:tab w:val="right" w:pos="9360"/>
      </w:tabs>
      <w:spacing w:after="0" w:line="240" w:lineRule="auto"/>
    </w:pPr>
  </w:style>
  <w:style w:type="character" w:customStyle="1" w:styleId="HeaderChar">
    <w:name w:val="Header Char"/>
    <w:basedOn w:val="DefaultParagraphFont"/>
    <w:link w:val="Header"/>
    <w:uiPriority w:val="99"/>
    <w:rsid w:val="00C10FD2"/>
  </w:style>
  <w:style w:type="paragraph" w:styleId="Footer">
    <w:name w:val="footer"/>
    <w:basedOn w:val="Normal"/>
    <w:link w:val="FooterChar"/>
    <w:uiPriority w:val="99"/>
    <w:unhideWhenUsed/>
    <w:rsid w:val="00C10FD2"/>
    <w:pPr>
      <w:tabs>
        <w:tab w:val="center" w:pos="4680"/>
        <w:tab w:val="right" w:pos="9360"/>
      </w:tabs>
      <w:spacing w:after="0" w:line="240" w:lineRule="auto"/>
    </w:pPr>
  </w:style>
  <w:style w:type="character" w:customStyle="1" w:styleId="FooterChar">
    <w:name w:val="Footer Char"/>
    <w:basedOn w:val="DefaultParagraphFont"/>
    <w:link w:val="Footer"/>
    <w:uiPriority w:val="99"/>
    <w:rsid w:val="00C10FD2"/>
  </w:style>
  <w:style w:type="paragraph" w:customStyle="1" w:styleId="Style1Body">
    <w:name w:val="Style1 Body"/>
    <w:basedOn w:val="Normal"/>
    <w:link w:val="Style1BodyChar"/>
    <w:qFormat/>
    <w:rsid w:val="00F07D52"/>
    <w:pPr>
      <w:spacing w:after="200" w:line="276" w:lineRule="auto"/>
      <w:jc w:val="both"/>
    </w:pPr>
    <w:rPr>
      <w:rFonts w:eastAsia="Calibri" w:cs="Times New Roman"/>
      <w:sz w:val="24"/>
      <w:szCs w:val="24"/>
      <w:lang w:val="en-US"/>
    </w:rPr>
  </w:style>
  <w:style w:type="character" w:customStyle="1" w:styleId="Style1BodyChar">
    <w:name w:val="Style1 Body Char"/>
    <w:basedOn w:val="DefaultParagraphFont"/>
    <w:link w:val="Style1Body"/>
    <w:rsid w:val="00F07D52"/>
    <w:rPr>
      <w:rFonts w:eastAsia="Calibri" w:cs="Times New Roman"/>
      <w:sz w:val="24"/>
      <w:szCs w:val="24"/>
      <w:lang w:val="en-US"/>
    </w:rPr>
  </w:style>
  <w:style w:type="paragraph" w:styleId="NormalWeb">
    <w:name w:val="Normal (Web)"/>
    <w:basedOn w:val="Normal"/>
    <w:uiPriority w:val="99"/>
    <w:unhideWhenUsed/>
    <w:rsid w:val="002038EC"/>
    <w:pPr>
      <w:spacing w:before="100" w:beforeAutospacing="1" w:after="100" w:afterAutospacing="1" w:line="240" w:lineRule="auto"/>
    </w:pPr>
    <w:rPr>
      <w:rFonts w:ascii="Times New Roman" w:eastAsia="Times New Roman" w:hAnsi="Times New Roman" w:cs="Times New Roman"/>
      <w:sz w:val="24"/>
      <w:szCs w:val="24"/>
      <w:lang w:eastAsia="en-PH"/>
    </w:rPr>
  </w:style>
  <w:style w:type="character" w:styleId="Hyperlink">
    <w:name w:val="Hyperlink"/>
    <w:basedOn w:val="DefaultParagraphFont"/>
    <w:uiPriority w:val="99"/>
    <w:unhideWhenUsed/>
    <w:rsid w:val="00E9450E"/>
    <w:rPr>
      <w:color w:val="0563C1" w:themeColor="hyperlink"/>
      <w:u w:val="single"/>
    </w:rPr>
  </w:style>
  <w:style w:type="character" w:styleId="FollowedHyperlink">
    <w:name w:val="FollowedHyperlink"/>
    <w:basedOn w:val="DefaultParagraphFont"/>
    <w:uiPriority w:val="99"/>
    <w:semiHidden/>
    <w:unhideWhenUsed/>
    <w:rsid w:val="002E4514"/>
    <w:rPr>
      <w:color w:val="954F72" w:themeColor="followedHyperlink"/>
      <w:u w:val="single"/>
    </w:rPr>
  </w:style>
  <w:style w:type="table" w:styleId="TableGrid">
    <w:name w:val="Table Grid"/>
    <w:basedOn w:val="TableNormal"/>
    <w:uiPriority w:val="39"/>
    <w:rsid w:val="00CF5A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953C08"/>
    <w:pPr>
      <w:spacing w:after="0" w:line="240" w:lineRule="auto"/>
    </w:pPr>
    <w:rPr>
      <w:rFonts w:eastAsiaTheme="minorEastAsia"/>
      <w:lang w:val="en-US" w:eastAsia="ja-JP"/>
    </w:rPr>
  </w:style>
  <w:style w:type="character" w:customStyle="1" w:styleId="NoSpacingChar">
    <w:name w:val="No Spacing Char"/>
    <w:link w:val="NoSpacing"/>
    <w:uiPriority w:val="1"/>
    <w:rsid w:val="00C77F9E"/>
    <w:rPr>
      <w:rFonts w:eastAsiaTheme="minorEastAsia"/>
      <w:lang w:val="en-US" w:eastAsia="ja-JP"/>
    </w:rPr>
  </w:style>
  <w:style w:type="paragraph" w:customStyle="1" w:styleId="Style1body0">
    <w:name w:val="Style1 body"/>
    <w:basedOn w:val="Normal"/>
    <w:link w:val="Style1bodyChar0"/>
    <w:qFormat/>
    <w:rsid w:val="00C77F9E"/>
    <w:pPr>
      <w:autoSpaceDE w:val="0"/>
      <w:autoSpaceDN w:val="0"/>
      <w:adjustRightInd w:val="0"/>
      <w:spacing w:after="0" w:line="240" w:lineRule="auto"/>
      <w:ind w:firstLine="720"/>
      <w:jc w:val="both"/>
    </w:pPr>
    <w:rPr>
      <w:rFonts w:ascii="Georgia" w:eastAsia="Calibri" w:hAnsi="Georgia" w:cs="Cambria"/>
      <w:color w:val="000000"/>
      <w:sz w:val="24"/>
      <w:szCs w:val="24"/>
      <w:lang w:val="en-US"/>
    </w:rPr>
  </w:style>
  <w:style w:type="character" w:customStyle="1" w:styleId="Style1bodyChar0">
    <w:name w:val="Style1 body Char"/>
    <w:basedOn w:val="DefaultParagraphFont"/>
    <w:link w:val="Style1body0"/>
    <w:rsid w:val="00C77F9E"/>
    <w:rPr>
      <w:rFonts w:ascii="Georgia" w:eastAsia="Calibri" w:hAnsi="Georgia" w:cs="Cambria"/>
      <w:color w:val="000000"/>
      <w:sz w:val="24"/>
      <w:szCs w:val="24"/>
      <w:lang w:val="en-US"/>
    </w:rPr>
  </w:style>
  <w:style w:type="character" w:styleId="CommentReference">
    <w:name w:val="annotation reference"/>
    <w:basedOn w:val="DefaultParagraphFont"/>
    <w:uiPriority w:val="99"/>
    <w:semiHidden/>
    <w:unhideWhenUsed/>
    <w:rsid w:val="002B6120"/>
    <w:rPr>
      <w:sz w:val="16"/>
      <w:szCs w:val="16"/>
    </w:rPr>
  </w:style>
  <w:style w:type="paragraph" w:styleId="CommentText">
    <w:name w:val="annotation text"/>
    <w:basedOn w:val="Normal"/>
    <w:link w:val="CommentTextChar"/>
    <w:uiPriority w:val="99"/>
    <w:semiHidden/>
    <w:unhideWhenUsed/>
    <w:rsid w:val="002B6120"/>
    <w:pPr>
      <w:spacing w:line="240" w:lineRule="auto"/>
    </w:pPr>
    <w:rPr>
      <w:sz w:val="20"/>
      <w:szCs w:val="20"/>
    </w:rPr>
  </w:style>
  <w:style w:type="character" w:customStyle="1" w:styleId="CommentTextChar">
    <w:name w:val="Comment Text Char"/>
    <w:basedOn w:val="DefaultParagraphFont"/>
    <w:link w:val="CommentText"/>
    <w:uiPriority w:val="99"/>
    <w:semiHidden/>
    <w:rsid w:val="002B6120"/>
    <w:rPr>
      <w:sz w:val="20"/>
      <w:szCs w:val="20"/>
    </w:rPr>
  </w:style>
  <w:style w:type="paragraph" w:styleId="CommentSubject">
    <w:name w:val="annotation subject"/>
    <w:basedOn w:val="CommentText"/>
    <w:next w:val="CommentText"/>
    <w:link w:val="CommentSubjectChar"/>
    <w:uiPriority w:val="99"/>
    <w:semiHidden/>
    <w:unhideWhenUsed/>
    <w:rsid w:val="002B6120"/>
    <w:rPr>
      <w:b/>
      <w:bCs/>
    </w:rPr>
  </w:style>
  <w:style w:type="character" w:customStyle="1" w:styleId="CommentSubjectChar">
    <w:name w:val="Comment Subject Char"/>
    <w:basedOn w:val="CommentTextChar"/>
    <w:link w:val="CommentSubject"/>
    <w:uiPriority w:val="99"/>
    <w:semiHidden/>
    <w:rsid w:val="002B6120"/>
    <w:rPr>
      <w:b/>
      <w:bCs/>
      <w:sz w:val="20"/>
      <w:szCs w:val="20"/>
    </w:rPr>
  </w:style>
  <w:style w:type="paragraph" w:styleId="BalloonText">
    <w:name w:val="Balloon Text"/>
    <w:basedOn w:val="Normal"/>
    <w:link w:val="BalloonTextChar"/>
    <w:uiPriority w:val="99"/>
    <w:semiHidden/>
    <w:unhideWhenUsed/>
    <w:rsid w:val="002B612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B6120"/>
    <w:rPr>
      <w:rFonts w:ascii="Segoe UI" w:hAnsi="Segoe UI" w:cs="Segoe UI"/>
      <w:sz w:val="18"/>
      <w:szCs w:val="18"/>
    </w:rPr>
  </w:style>
  <w:style w:type="paragraph" w:styleId="Revision">
    <w:name w:val="Revision"/>
    <w:hidden/>
    <w:uiPriority w:val="99"/>
    <w:semiHidden/>
    <w:rsid w:val="005C74D0"/>
    <w:pPr>
      <w:spacing w:after="0" w:line="240" w:lineRule="auto"/>
    </w:pPr>
  </w:style>
  <w:style w:type="character" w:customStyle="1" w:styleId="UnresolvedMention">
    <w:name w:val="Unresolved Mention"/>
    <w:basedOn w:val="DefaultParagraphFont"/>
    <w:uiPriority w:val="99"/>
    <w:semiHidden/>
    <w:unhideWhenUsed/>
    <w:rsid w:val="008018FF"/>
    <w:rPr>
      <w:color w:val="605E5C"/>
      <w:shd w:val="clear" w:color="auto" w:fill="E1DFDD"/>
    </w:rPr>
  </w:style>
  <w:style w:type="character" w:customStyle="1" w:styleId="s1">
    <w:name w:val="s1"/>
    <w:basedOn w:val="DefaultParagraphFont"/>
    <w:rsid w:val="004C6440"/>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officialgazette.gov.ph/2022/03/04/republic-act-no-11647-2/" TargetMode="External"/><Relationship Id="rId18" Type="http://schemas.openxmlformats.org/officeDocument/2006/relationships/hyperlink" Target="https://www.philstar.com/headlines/2022/08/04/2200248/child-rights-groups-laud-passage-law-vs-online-abuse-kids" TargetMode="External"/><Relationship Id="rId26" Type="http://schemas.openxmlformats.org/officeDocument/2006/relationships/customXml" Target="../customXml/item5.xml"/><Relationship Id="rId3" Type="http://schemas.openxmlformats.org/officeDocument/2006/relationships/numbering" Target="numbering.xml"/><Relationship Id="rId21" Type="http://schemas.openxmlformats.org/officeDocument/2006/relationships/footer" Target="footer2.xml"/><Relationship Id="rId7" Type="http://schemas.openxmlformats.org/officeDocument/2006/relationships/footnotes" Target="footnotes.xml"/><Relationship Id="rId12" Type="http://schemas.openxmlformats.org/officeDocument/2006/relationships/hyperlink" Target="https://www.officialgazette.gov.ph/2022/01/06/republic-act-no-11642/" TargetMode="External"/><Relationship Id="rId17" Type="http://schemas.openxmlformats.org/officeDocument/2006/relationships/hyperlink" Target="https://mirror.officialgazette.gov.ph/2021/12/10/republic-act-no-11596/" TargetMode="External"/><Relationship Id="rId25" Type="http://schemas.openxmlformats.org/officeDocument/2006/relationships/customXml" Target="../customXml/item4.xml"/><Relationship Id="rId2" Type="http://schemas.openxmlformats.org/officeDocument/2006/relationships/customXml" Target="../customXml/item2.xml"/><Relationship Id="rId16" Type="http://schemas.openxmlformats.org/officeDocument/2006/relationships/hyperlink" Target="https://www.officialgazette.gov.ph/2022/06/02/republic-act-no-11861/"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gbvcovid.report" TargetMode="External"/><Relationship Id="rId24" Type="http://schemas.openxmlformats.org/officeDocument/2006/relationships/customXml" Target="../customXml/item3.xml"/><Relationship Id="rId5" Type="http://schemas.openxmlformats.org/officeDocument/2006/relationships/settings" Target="settings.xml"/><Relationship Id="rId15" Type="http://schemas.openxmlformats.org/officeDocument/2006/relationships/hyperlink" Target="https://www.officialgazette.gov.ph/2022/05/06/republic-act-no-11767/" TargetMode="External"/><Relationship Id="rId23" Type="http://schemas.openxmlformats.org/officeDocument/2006/relationships/theme" Target="theme/theme1.xml"/><Relationship Id="rId10" Type="http://schemas.openxmlformats.org/officeDocument/2006/relationships/hyperlink" Target="https://drive.google.com/file/d/1cegewDfpljaHGC0PrfKVlORLHi97U20q/view?usp=sharing" TargetMode="External"/><Relationship Id="rId19"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https://drive.google.com/file/d/1cegewDfpljaHGC0PrfKVlORLHi97U20q/view?usp=sharing" TargetMode="External"/><Relationship Id="rId14" Type="http://schemas.openxmlformats.org/officeDocument/2006/relationships/hyperlink" Target="https://mirror.officialgazette.gov.ph/2022/03/11/republic-act-no-11650/" TargetMode="External"/><Relationship Id="rId22"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chr.gov.ph/wp-content/uploads/2022/07/Situation-Report-on-the-Right-to-Access-to-Education-of-Children-Amidst-the-COVID-19-Pandemic-2021.pdf" TargetMode="External"/><Relationship Id="rId13" Type="http://schemas.openxmlformats.org/officeDocument/2006/relationships/hyperlink" Target="https://newsinfo.inquirer.net/1444195/afp-un-ink-strategic-plan-to-protect-children-in-armed-conflict" TargetMode="External"/><Relationship Id="rId3" Type="http://schemas.openxmlformats.org/officeDocument/2006/relationships/hyperlink" Target="about:blank" TargetMode="External"/><Relationship Id="rId7" Type="http://schemas.openxmlformats.org/officeDocument/2006/relationships/hyperlink" Target="https://www.deped.gov.ph/wp-content/uploads/2020/06/DO_s2020_012.pdf" TargetMode="External"/><Relationship Id="rId12" Type="http://schemas.openxmlformats.org/officeDocument/2006/relationships/hyperlink" Target="https://childrenandarmedconflict.un.org/tools-for-action/monitoring-and-reporting/" TargetMode="External"/><Relationship Id="rId17" Type="http://schemas.openxmlformats.org/officeDocument/2006/relationships/hyperlink" Target="https://chr.gov.ph/wp-content/uploads/2022/07/Protocol-and-Guidelines-on-the-Monitoring-Reporting-and-Responding-to-Cases-of-Children-in-Situations-of-Armed-Conflict-2021.pdf" TargetMode="External"/><Relationship Id="rId2" Type="http://schemas.openxmlformats.org/officeDocument/2006/relationships/hyperlink" Target="https://oca.judiciary.gov.ph/wp-content/uploads/2021/01/OCA-Circular-No.-209-2020.pdf" TargetMode="External"/><Relationship Id="rId16" Type="http://schemas.openxmlformats.org/officeDocument/2006/relationships/hyperlink" Target="https://www.cwc.gov.ph/resources/state-of-the-filipino-children-report.html" TargetMode="External"/><Relationship Id="rId1" Type="http://schemas.openxmlformats.org/officeDocument/2006/relationships/hyperlink" Target="https://jjwc.gov.ph/wp-content/uploads/2020/06/Comprehensive-National-Juvenile-Intervention-Program-CNJIP.pdf" TargetMode="External"/><Relationship Id="rId6" Type="http://schemas.openxmlformats.org/officeDocument/2006/relationships/hyperlink" Target="https://www.deped.gov.ph/wp-content/uploads/2022/07/DO_s2022_035.pdf" TargetMode="External"/><Relationship Id="rId11" Type="http://schemas.openxmlformats.org/officeDocument/2006/relationships/hyperlink" Target="https://www.unicef.org/" TargetMode="External"/><Relationship Id="rId5" Type="http://schemas.openxmlformats.org/officeDocument/2006/relationships/hyperlink" Target="https://www.deped.gov.ph/wp-content/uploads/2021/01/DO_s2021_003.pdf" TargetMode="External"/><Relationship Id="rId15" Type="http://schemas.openxmlformats.org/officeDocument/2006/relationships/hyperlink" Target="https://didm.pnp.gov.ph/images/Memorandum%20Circulars/PNP-Child_Protection_Policy.pdf" TargetMode="External"/><Relationship Id="rId10" Type="http://schemas.openxmlformats.org/officeDocument/2006/relationships/hyperlink" Target="https://www.cwc.gov.ph/resources/state-of-the-filipino-children-report.html" TargetMode="External"/><Relationship Id="rId4" Type="http://schemas.openxmlformats.org/officeDocument/2006/relationships/hyperlink" Target="https://www.jjwc.gov.ph/news/jjwc-calls-to-prioritize-the-welfare-of-children-amidst-covid-19-pandemic/" TargetMode="External"/><Relationship Id="rId9" Type="http://schemas.openxmlformats.org/officeDocument/2006/relationships/hyperlink" Target="https://chr.gov.ph/wp-content/uploads/2022/07/Situation-Report-on-the-Right-to-Access-to-Education-of-Children-Amidst-the-COVID-19-Pandemic-2021.pdf" TargetMode="External"/><Relationship Id="rId14" Type="http://schemas.openxmlformats.org/officeDocument/2006/relationships/hyperlink" Target="https://didm.pnp.gov.ph/images/Memorandum%20Circulars/PNP-Child_Protection_Policy.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Bq4TQvZOCTo12y6J1RGVn6q1z4w==">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</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74FB3824-A8F7-46F8-9D16-4539AA582498}">
  <ds:schemaRefs>
    <ds:schemaRef ds:uri="http://schemas.openxmlformats.org/officeDocument/2006/bibliography"/>
  </ds:schemaRefs>
</ds:datastoreItem>
</file>

<file path=customXml/itemProps3.xml><?xml version="1.0" encoding="utf-8"?>
<ds:datastoreItem xmlns:ds="http://schemas.openxmlformats.org/officeDocument/2006/customXml" ds:itemID="{3E137DDE-EB5A-42AA-8512-F9D9B2AB6649}"/>
</file>

<file path=customXml/itemProps4.xml><?xml version="1.0" encoding="utf-8"?>
<ds:datastoreItem xmlns:ds="http://schemas.openxmlformats.org/officeDocument/2006/customXml" ds:itemID="{7B958F2F-EAF2-48B3-A4D1-A6A88D463D55}"/>
</file>

<file path=customXml/itemProps5.xml><?xml version="1.0" encoding="utf-8"?>
<ds:datastoreItem xmlns:ds="http://schemas.openxmlformats.org/officeDocument/2006/customXml" ds:itemID="{9EB3DFF9-6D25-4A3D-8FDD-B337A23105BF}"/>
</file>

<file path=docProps/app.xml><?xml version="1.0" encoding="utf-8"?>
<Properties xmlns="http://schemas.openxmlformats.org/officeDocument/2006/extended-properties" xmlns:vt="http://schemas.openxmlformats.org/officeDocument/2006/docPropsVTypes">
  <Template>Normal.dotm</Template>
  <TotalTime>1</TotalTime>
  <Pages>11</Pages>
  <Words>4950</Words>
  <Characters>28220</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ESM</dc:creator>
  <cp:lastModifiedBy>BOIT James</cp:lastModifiedBy>
  <cp:revision>2</cp:revision>
  <dcterms:created xsi:type="dcterms:W3CDTF">2022-09-13T09:42:00Z</dcterms:created>
  <dcterms:modified xsi:type="dcterms:W3CDTF">2022-09-13T09:42:00Z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