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iagrams/data1.xml" ContentType="application/vnd.openxmlformats-officedocument.drawingml.diagramData+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diagrams/colors1.xml" ContentType="application/vnd.openxmlformats-officedocument.drawingml.diagramColors+xml"/>
  <Override PartName="/word/diagrams/quickStyle1.xml" ContentType="application/vnd.openxmlformats-officedocument.drawingml.diagramStyle+xml"/>
  <Override PartName="/word/diagrams/drawing1.xml" ContentType="application/vnd.ms-office.drawingml.diagramDrawing+xml"/>
  <Override PartName="/word/diagrams/layout1.xml" ContentType="application/vnd.openxmlformats-officedocument.drawingml.diagramLayout+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6F2" w:rsidRPr="000B5C7B" w:rsidRDefault="00183E3D" w:rsidP="00697206">
      <w:pPr>
        <w:jc w:val="both"/>
        <w:rPr>
          <w:rFonts w:ascii="Times New Roman" w:hAnsi="Times New Roman" w:cs="Times New Roman"/>
          <w:b/>
          <w:sz w:val="20"/>
          <w:szCs w:val="20"/>
        </w:rPr>
      </w:pPr>
      <w:r w:rsidRPr="000B5C7B">
        <w:rPr>
          <w:rFonts w:ascii="Times New Roman" w:hAnsi="Times New Roman" w:cs="Times New Roman"/>
          <w:b/>
          <w:sz w:val="20"/>
          <w:szCs w:val="20"/>
        </w:rPr>
        <w:t xml:space="preserve">Anexo No. </w:t>
      </w:r>
      <w:r w:rsidR="00273E20" w:rsidRPr="000B5C7B">
        <w:rPr>
          <w:rFonts w:ascii="Times New Roman" w:hAnsi="Times New Roman" w:cs="Times New Roman"/>
          <w:b/>
          <w:sz w:val="20"/>
          <w:szCs w:val="20"/>
        </w:rPr>
        <w:t>10</w:t>
      </w:r>
      <w:r w:rsidRPr="000B5C7B">
        <w:rPr>
          <w:rFonts w:ascii="Times New Roman" w:hAnsi="Times New Roman" w:cs="Times New Roman"/>
          <w:b/>
          <w:sz w:val="20"/>
          <w:szCs w:val="20"/>
        </w:rPr>
        <w:t xml:space="preserve">. </w:t>
      </w:r>
    </w:p>
    <w:p w:rsidR="00697206" w:rsidRPr="000B5C7B" w:rsidRDefault="00697206" w:rsidP="00697206">
      <w:pPr>
        <w:jc w:val="both"/>
        <w:rPr>
          <w:rFonts w:ascii="Times New Roman" w:hAnsi="Times New Roman" w:cs="Times New Roman"/>
          <w:b/>
          <w:sz w:val="20"/>
          <w:szCs w:val="20"/>
        </w:rPr>
      </w:pPr>
      <w:r w:rsidRPr="000B5C7B">
        <w:rPr>
          <w:rFonts w:ascii="Times New Roman" w:hAnsi="Times New Roman" w:cs="Times New Roman"/>
          <w:b/>
          <w:sz w:val="20"/>
          <w:szCs w:val="20"/>
        </w:rPr>
        <w:t>15.1.1</w:t>
      </w:r>
      <w:r w:rsidRPr="000B5C7B">
        <w:rPr>
          <w:rFonts w:ascii="Times New Roman" w:hAnsi="Times New Roman" w:cs="Times New Roman"/>
          <w:b/>
          <w:sz w:val="20"/>
          <w:szCs w:val="20"/>
        </w:rPr>
        <w:tab/>
        <w:t>Asequibilidad a conciertos, teatros, salas de cine, acontecimientos deportivos y demás actividades culturales</w:t>
      </w:r>
    </w:p>
    <w:p w:rsidR="008126F2" w:rsidRPr="000B5C7B" w:rsidRDefault="008126F2" w:rsidP="00697206">
      <w:pPr>
        <w:pStyle w:val="Bullet1G"/>
        <w:tabs>
          <w:tab w:val="clear" w:pos="1701"/>
          <w:tab w:val="num" w:pos="170"/>
        </w:tabs>
        <w:ind w:left="170" w:right="0"/>
        <w:rPr>
          <w:b/>
        </w:rPr>
      </w:pPr>
      <w:r w:rsidRPr="000B5C7B">
        <w:rPr>
          <w:b/>
        </w:rPr>
        <w:t xml:space="preserve">En el área de música, </w:t>
      </w:r>
    </w:p>
    <w:p w:rsidR="008126F2" w:rsidRPr="000B5C7B" w:rsidRDefault="008126F2" w:rsidP="00697206">
      <w:pPr>
        <w:pStyle w:val="Bullet1G"/>
        <w:numPr>
          <w:ilvl w:val="0"/>
          <w:numId w:val="0"/>
        </w:numPr>
        <w:ind w:left="170" w:right="0"/>
      </w:pPr>
      <w:r w:rsidRPr="000B5C7B">
        <w:t xml:space="preserve">El Programa Celebra la Música es un espacio de circulación de procesos de formación musical infantil y juvenil que se realiza cada año en el tercer domingo de noviembre. </w:t>
      </w:r>
    </w:p>
    <w:p w:rsidR="008126F2" w:rsidRPr="000B5C7B" w:rsidRDefault="008126F2" w:rsidP="00697206">
      <w:pPr>
        <w:pStyle w:val="Bullet1G"/>
        <w:numPr>
          <w:ilvl w:val="0"/>
          <w:numId w:val="0"/>
        </w:numPr>
        <w:ind w:left="170" w:right="0"/>
      </w:pPr>
      <w:r w:rsidRPr="000B5C7B">
        <w:t xml:space="preserve">Durante el periodo 2011-2014 fueron invertidos más de 1.500 millones de pesos para el desarrollo de esta iniciativa que ha beneficiado a 337.822 personas en el 93% de los municipios del país. </w:t>
      </w:r>
    </w:p>
    <w:p w:rsidR="008126F2" w:rsidRPr="000B5C7B" w:rsidRDefault="008126F2" w:rsidP="00697206">
      <w:pPr>
        <w:pStyle w:val="Bullet1G"/>
        <w:tabs>
          <w:tab w:val="clear" w:pos="1701"/>
          <w:tab w:val="num" w:pos="170"/>
        </w:tabs>
        <w:ind w:left="170" w:right="0"/>
        <w:rPr>
          <w:b/>
        </w:rPr>
      </w:pPr>
      <w:r w:rsidRPr="000B5C7B">
        <w:rPr>
          <w:b/>
        </w:rPr>
        <w:t xml:space="preserve">En el área de teatro, </w:t>
      </w:r>
    </w:p>
    <w:p w:rsidR="008126F2" w:rsidRPr="000B5C7B" w:rsidRDefault="008126F2" w:rsidP="00697206">
      <w:pPr>
        <w:pStyle w:val="Bullet1G"/>
        <w:numPr>
          <w:ilvl w:val="0"/>
          <w:numId w:val="0"/>
        </w:numPr>
        <w:ind w:left="170" w:right="0"/>
      </w:pPr>
      <w:r w:rsidRPr="000B5C7B">
        <w:t xml:space="preserve">Colombia se ha sumado a la celebración del Día Internacional del Teatro (27 de marzo) como un reconocimiento institucional y social a este arte. Más de 12 mil artistas de 18 departamentos se han tomado con sus propuestas las calles, plazas y salas del país para la realización de cerca de 800 eventos teatrales durante este día. Para esta celebración en el periodo 2011-2014 se han dispuesto recursos por 70 mil millones de pesos. </w:t>
      </w:r>
    </w:p>
    <w:p w:rsidR="008126F2" w:rsidRPr="000B5C7B" w:rsidRDefault="008126F2" w:rsidP="00697206">
      <w:pPr>
        <w:pStyle w:val="Bullet1G"/>
        <w:numPr>
          <w:ilvl w:val="0"/>
          <w:numId w:val="0"/>
        </w:numPr>
        <w:ind w:left="170" w:right="0"/>
      </w:pPr>
      <w:r w:rsidRPr="000B5C7B">
        <w:t xml:space="preserve">Ahora bien, a través de los Laboratorios de Creación y Participación Social se ha vinculado a más de 2 mil personas de 48 municipios afectados por el conflicto armado, convirtiendo al programa en una metodología que utiliza el teatro en función de la narración escénica del duelo. </w:t>
      </w:r>
    </w:p>
    <w:p w:rsidR="008126F2" w:rsidRPr="000B5C7B" w:rsidRDefault="008126F2" w:rsidP="00697206">
      <w:pPr>
        <w:pStyle w:val="Bullet1G"/>
        <w:tabs>
          <w:tab w:val="clear" w:pos="1701"/>
          <w:tab w:val="num" w:pos="170"/>
        </w:tabs>
        <w:ind w:left="170" w:right="0"/>
        <w:rPr>
          <w:b/>
        </w:rPr>
      </w:pPr>
      <w:r w:rsidRPr="000B5C7B">
        <w:rPr>
          <w:b/>
        </w:rPr>
        <w:t xml:space="preserve">En el </w:t>
      </w:r>
      <w:r w:rsidR="00697206" w:rsidRPr="000B5C7B">
        <w:rPr>
          <w:b/>
        </w:rPr>
        <w:t>área</w:t>
      </w:r>
      <w:r w:rsidRPr="000B5C7B">
        <w:rPr>
          <w:b/>
        </w:rPr>
        <w:t xml:space="preserve"> de circo,</w:t>
      </w:r>
    </w:p>
    <w:p w:rsidR="008126F2" w:rsidRPr="000B5C7B" w:rsidRDefault="008126F2" w:rsidP="00697206">
      <w:pPr>
        <w:pStyle w:val="Bullet1G"/>
        <w:numPr>
          <w:ilvl w:val="0"/>
          <w:numId w:val="0"/>
        </w:numPr>
        <w:ind w:left="170" w:right="0"/>
      </w:pPr>
      <w:r w:rsidRPr="000B5C7B">
        <w:t xml:space="preserve">Por primera vez en la historia, está en proceso la discusión de la inclusión del circo en la política pública de cultura. </w:t>
      </w:r>
    </w:p>
    <w:p w:rsidR="008126F2" w:rsidRPr="000B5C7B" w:rsidRDefault="008126F2" w:rsidP="00697206">
      <w:pPr>
        <w:pStyle w:val="Bullet1G"/>
        <w:tabs>
          <w:tab w:val="clear" w:pos="1701"/>
          <w:tab w:val="num" w:pos="170"/>
        </w:tabs>
        <w:ind w:left="170" w:right="0"/>
        <w:rPr>
          <w:b/>
        </w:rPr>
      </w:pPr>
      <w:r w:rsidRPr="000B5C7B">
        <w:rPr>
          <w:b/>
        </w:rPr>
        <w:t xml:space="preserve">En el área de la literatura, </w:t>
      </w:r>
    </w:p>
    <w:p w:rsidR="008126F2" w:rsidRPr="000B5C7B" w:rsidRDefault="008126F2" w:rsidP="00697206">
      <w:pPr>
        <w:pStyle w:val="Bullet1G"/>
        <w:numPr>
          <w:ilvl w:val="0"/>
          <w:numId w:val="0"/>
        </w:numPr>
        <w:ind w:left="170" w:right="0"/>
      </w:pPr>
      <w:r w:rsidRPr="000B5C7B">
        <w:t xml:space="preserve">El país trabaja en la formulación y ejecución de la política para el fomento de la lectura y la escritura a través del Programa Relata – Red Nacional de talleres de Escritura Creativa cuya inversión es de 2.700 millones de pesos y que está dirigido a 13 mil personas. </w:t>
      </w:r>
    </w:p>
    <w:p w:rsidR="008126F2" w:rsidRPr="000B5C7B" w:rsidRDefault="008126F2" w:rsidP="00697206">
      <w:pPr>
        <w:pStyle w:val="Bullet1G"/>
        <w:numPr>
          <w:ilvl w:val="0"/>
          <w:numId w:val="0"/>
        </w:numPr>
        <w:ind w:left="170" w:right="0"/>
      </w:pPr>
      <w:r w:rsidRPr="000B5C7B">
        <w:t xml:space="preserve">El Programa Relata también financia el Proyecto “Libertad bajo Palabra” en 16 cárceles donde quienes están privados de la libertad escriben sus historias. </w:t>
      </w:r>
    </w:p>
    <w:p w:rsidR="008126F2" w:rsidRPr="000B5C7B" w:rsidRDefault="008126F2" w:rsidP="00697206">
      <w:pPr>
        <w:pStyle w:val="Bullet1G"/>
        <w:tabs>
          <w:tab w:val="clear" w:pos="1701"/>
          <w:tab w:val="num" w:pos="170"/>
        </w:tabs>
        <w:ind w:left="170" w:right="0"/>
        <w:rPr>
          <w:b/>
        </w:rPr>
      </w:pPr>
      <w:r w:rsidRPr="000B5C7B">
        <w:rPr>
          <w:b/>
        </w:rPr>
        <w:t xml:space="preserve">En el área de danza, </w:t>
      </w:r>
    </w:p>
    <w:p w:rsidR="008126F2" w:rsidRPr="000B5C7B" w:rsidRDefault="008126F2" w:rsidP="00697206">
      <w:pPr>
        <w:pStyle w:val="Bullet1G"/>
        <w:numPr>
          <w:ilvl w:val="0"/>
          <w:numId w:val="0"/>
        </w:numPr>
        <w:ind w:left="170" w:right="0"/>
      </w:pPr>
      <w:r w:rsidRPr="000B5C7B">
        <w:t xml:space="preserve">Se implementa el Plan Nacional de Danza ¡Para un país que baila! desde el año 2010 que es incluyente y </w:t>
      </w:r>
      <w:proofErr w:type="gramStart"/>
      <w:r w:rsidRPr="000B5C7B">
        <w:t>trabaja</w:t>
      </w:r>
      <w:proofErr w:type="gramEnd"/>
      <w:r w:rsidRPr="000B5C7B">
        <w:t xml:space="preserve"> desde el folclor hasta las danzas urbanas. </w:t>
      </w:r>
    </w:p>
    <w:p w:rsidR="008126F2" w:rsidRPr="000B5C7B" w:rsidRDefault="008126F2" w:rsidP="00697206">
      <w:pPr>
        <w:pStyle w:val="Bullet1G"/>
        <w:numPr>
          <w:ilvl w:val="0"/>
          <w:numId w:val="0"/>
        </w:numPr>
        <w:ind w:left="170" w:right="0"/>
      </w:pPr>
      <w:r w:rsidRPr="000B5C7B">
        <w:t>Hasta el año 2014 se han invertido 1.800 millones de pesos en la adecuación de 45 salas de danza, con dotación, en 45 municipios de 22 departamentos y se ha realizado 6 versiones del evento Celebra la Danza que reúne a más de 100 bailarines.</w:t>
      </w:r>
    </w:p>
    <w:p w:rsidR="00697206" w:rsidRPr="000B5C7B" w:rsidRDefault="00697206" w:rsidP="00697206">
      <w:pPr>
        <w:rPr>
          <w:rFonts w:ascii="Times New Roman" w:hAnsi="Times New Roman" w:cs="Times New Roman"/>
          <w:sz w:val="20"/>
          <w:szCs w:val="20"/>
        </w:rPr>
      </w:pPr>
    </w:p>
    <w:p w:rsidR="008126F2" w:rsidRPr="000B5C7B" w:rsidRDefault="00697206" w:rsidP="00697206">
      <w:pPr>
        <w:rPr>
          <w:rFonts w:ascii="Times New Roman" w:hAnsi="Times New Roman" w:cs="Times New Roman"/>
          <w:b/>
          <w:sz w:val="20"/>
          <w:szCs w:val="20"/>
          <w:lang w:val="es-ES"/>
        </w:rPr>
      </w:pPr>
      <w:r w:rsidRPr="000B5C7B">
        <w:rPr>
          <w:rFonts w:ascii="Times New Roman" w:hAnsi="Times New Roman" w:cs="Times New Roman"/>
          <w:b/>
          <w:sz w:val="20"/>
          <w:szCs w:val="20"/>
        </w:rPr>
        <w:t>15.2.</w:t>
      </w:r>
      <w:r w:rsidRPr="000B5C7B">
        <w:rPr>
          <w:rFonts w:ascii="Times New Roman" w:hAnsi="Times New Roman" w:cs="Times New Roman"/>
          <w:b/>
          <w:sz w:val="20"/>
          <w:szCs w:val="20"/>
        </w:rPr>
        <w:tab/>
        <w:t>Participación de los niños en la vida cultural</w:t>
      </w:r>
    </w:p>
    <w:p w:rsidR="008126F2" w:rsidRPr="000B5C7B" w:rsidRDefault="008126F2" w:rsidP="00697206">
      <w:pPr>
        <w:pStyle w:val="Bullet1G"/>
        <w:tabs>
          <w:tab w:val="clear" w:pos="1701"/>
          <w:tab w:val="num" w:pos="170"/>
        </w:tabs>
        <w:ind w:left="170" w:right="0"/>
        <w:rPr>
          <w:b/>
        </w:rPr>
      </w:pPr>
      <w:r w:rsidRPr="000B5C7B">
        <w:rPr>
          <w:b/>
        </w:rPr>
        <w:t>Entrega de material para lectura</w:t>
      </w:r>
    </w:p>
    <w:p w:rsidR="008126F2" w:rsidRPr="000B5C7B" w:rsidRDefault="008126F2" w:rsidP="00697206">
      <w:pPr>
        <w:pStyle w:val="Bullet1G"/>
        <w:numPr>
          <w:ilvl w:val="0"/>
          <w:numId w:val="0"/>
        </w:numPr>
        <w:ind w:left="170" w:right="0"/>
      </w:pPr>
      <w:r w:rsidRPr="000B5C7B">
        <w:t xml:space="preserve">Fueron entregados más de 8.227 millones de unidades entre libros y material audiovisual para niños(as) colombianos en Bibliotecas Públicas y Unidades de Atención del ICBF. </w:t>
      </w:r>
    </w:p>
    <w:p w:rsidR="008126F2" w:rsidRPr="000B5C7B" w:rsidRDefault="008126F2" w:rsidP="00697206">
      <w:pPr>
        <w:pStyle w:val="Bullet1G"/>
        <w:numPr>
          <w:ilvl w:val="0"/>
          <w:numId w:val="0"/>
        </w:numPr>
        <w:ind w:left="170" w:right="0"/>
      </w:pPr>
      <w:r w:rsidRPr="000B5C7B">
        <w:t>Fue producida y entrega la colección de libros especializados para la primera infancia, que en total suman 559 títulos, se encuentran a disposición de los niños(as) en 1.404 bibliotecas de la Red Nacional de Bibliotecas Públicas, 80.421 hogares del ICBF, y de éstos, 3.921 son Centro de Desarrollo Infantil. Estos títulos también han servido como dotación para la puesta en marcha de 28 nuevas salas de lectura en municipios cuyas bibliotecas públicas no contaban con espacios adecuados para niños.</w:t>
      </w:r>
    </w:p>
    <w:p w:rsidR="008126F2" w:rsidRPr="000B5C7B" w:rsidRDefault="008126F2" w:rsidP="00697206">
      <w:pPr>
        <w:pStyle w:val="Bullet1G"/>
        <w:numPr>
          <w:ilvl w:val="0"/>
          <w:numId w:val="0"/>
        </w:numPr>
        <w:ind w:left="170" w:right="0"/>
      </w:pPr>
      <w:r w:rsidRPr="000B5C7B">
        <w:lastRenderedPageBreak/>
        <w:t xml:space="preserve">También se han entregado títulos con enfoque diferencial, dirigidos a población con discapacidad visual o con enfoque étnico. </w:t>
      </w:r>
    </w:p>
    <w:p w:rsidR="008126F2" w:rsidRPr="000B5C7B" w:rsidRDefault="008126F2" w:rsidP="00697206">
      <w:pPr>
        <w:pStyle w:val="Bullet1G"/>
        <w:tabs>
          <w:tab w:val="clear" w:pos="1701"/>
          <w:tab w:val="num" w:pos="170"/>
        </w:tabs>
        <w:ind w:left="170" w:right="0"/>
        <w:rPr>
          <w:b/>
        </w:rPr>
      </w:pPr>
      <w:r w:rsidRPr="000B5C7B">
        <w:rPr>
          <w:b/>
        </w:rPr>
        <w:t>Producción musical denominada “En clave de son, músicas para jugar”</w:t>
      </w:r>
    </w:p>
    <w:p w:rsidR="008126F2" w:rsidRPr="000B5C7B" w:rsidRDefault="008126F2" w:rsidP="00697206">
      <w:pPr>
        <w:pStyle w:val="Bullet1G"/>
        <w:numPr>
          <w:ilvl w:val="0"/>
          <w:numId w:val="0"/>
        </w:numPr>
        <w:ind w:left="170" w:right="0"/>
      </w:pPr>
      <w:r w:rsidRPr="000B5C7B">
        <w:t xml:space="preserve">Durante el año 2012 se realizó la Producción que recopiló 418 producciones musicales realizadas por diferentes grupos e intérpretes colombianos que proponen y abordan la diversidad y riqueza musical del país dirigida especialmente a niños(as). </w:t>
      </w:r>
    </w:p>
    <w:p w:rsidR="008126F2" w:rsidRPr="000B5C7B" w:rsidRDefault="008126F2" w:rsidP="00697206">
      <w:pPr>
        <w:pStyle w:val="Bullet1G"/>
        <w:numPr>
          <w:ilvl w:val="0"/>
          <w:numId w:val="0"/>
        </w:numPr>
        <w:ind w:left="170" w:right="0"/>
      </w:pPr>
      <w:r w:rsidRPr="000B5C7B">
        <w:t xml:space="preserve">Las 1.500 copias producidas circulan por las emisoras comunitarias y hacen parte de las dotaciones de 696 bibliotecas públicas, 700 radios comunitarias y 1.307 Centros de Desarrollo Infantil. </w:t>
      </w:r>
    </w:p>
    <w:p w:rsidR="008126F2" w:rsidRPr="000B5C7B" w:rsidRDefault="008126F2" w:rsidP="00697206">
      <w:pPr>
        <w:pStyle w:val="Bullet1G"/>
        <w:tabs>
          <w:tab w:val="clear" w:pos="1701"/>
          <w:tab w:val="num" w:pos="170"/>
        </w:tabs>
        <w:ind w:left="170" w:right="0"/>
        <w:rPr>
          <w:b/>
        </w:rPr>
      </w:pPr>
      <w:r w:rsidRPr="000B5C7B">
        <w:rPr>
          <w:b/>
        </w:rPr>
        <w:t>Estrategia de comunicación digital dirigida a niños(as) menores de 5 años</w:t>
      </w:r>
    </w:p>
    <w:p w:rsidR="008126F2" w:rsidRPr="000B5C7B" w:rsidRDefault="008126F2" w:rsidP="00697206">
      <w:pPr>
        <w:pStyle w:val="Bullet1G"/>
        <w:numPr>
          <w:ilvl w:val="0"/>
          <w:numId w:val="0"/>
        </w:numPr>
        <w:ind w:left="170" w:right="0"/>
      </w:pPr>
      <w:r w:rsidRPr="000B5C7B">
        <w:t xml:space="preserve">Con el propósito de promover el disfrute de contenidos musicales y audiovisuales a través del acceso a internet. </w:t>
      </w:r>
    </w:p>
    <w:p w:rsidR="008126F2" w:rsidRPr="000B5C7B" w:rsidRDefault="008126F2" w:rsidP="00697206">
      <w:pPr>
        <w:pStyle w:val="Bullet1G"/>
        <w:numPr>
          <w:ilvl w:val="0"/>
          <w:numId w:val="0"/>
        </w:numPr>
        <w:ind w:left="170" w:right="0"/>
      </w:pPr>
      <w:r w:rsidRPr="000B5C7B">
        <w:t xml:space="preserve">Esta estrategia se implementó a través de los portales Maguare (www.maguare.gov.co) y Maguared (www.maguared.gov.co) que ofrecen a la fecha más de 300 contenidos culturales colombianos (música, videos, libros, juegos y aplicaciones) para niños, así como material de consulta para familias, cuidadores, agentes educativos y culturales, entre otros. </w:t>
      </w:r>
    </w:p>
    <w:p w:rsidR="008126F2" w:rsidRPr="000B5C7B" w:rsidRDefault="008126F2" w:rsidP="00697206">
      <w:pPr>
        <w:pStyle w:val="Bullet1G"/>
        <w:tabs>
          <w:tab w:val="clear" w:pos="1701"/>
          <w:tab w:val="num" w:pos="170"/>
        </w:tabs>
        <w:ind w:left="170" w:right="0"/>
        <w:rPr>
          <w:b/>
        </w:rPr>
      </w:pPr>
      <w:r w:rsidRPr="000B5C7B">
        <w:rPr>
          <w:b/>
        </w:rPr>
        <w:t>Programa “Leer es mi cuento”</w:t>
      </w:r>
    </w:p>
    <w:p w:rsidR="008126F2" w:rsidRPr="000B5C7B" w:rsidRDefault="008126F2" w:rsidP="00697206">
      <w:pPr>
        <w:pStyle w:val="Bullet1G"/>
        <w:numPr>
          <w:ilvl w:val="0"/>
          <w:numId w:val="0"/>
        </w:numPr>
        <w:ind w:left="170" w:right="0"/>
      </w:pPr>
      <w:r w:rsidRPr="000B5C7B">
        <w:t>Orientado al fomento de la lectura para la primera infancia, el MinEducación y el MinCultura entregaron 10 millones doscientos mil libros a las 1404 bibliotecas públicas de la red nacional, a todos los hogares del ICBF, y en las casas de los colombianos más pobres.</w:t>
      </w:r>
    </w:p>
    <w:p w:rsidR="008126F2" w:rsidRPr="000B5C7B" w:rsidRDefault="008126F2" w:rsidP="00697206">
      <w:pPr>
        <w:pStyle w:val="Bullet1G"/>
        <w:tabs>
          <w:tab w:val="clear" w:pos="1701"/>
          <w:tab w:val="num" w:pos="170"/>
        </w:tabs>
        <w:ind w:left="170" w:right="0"/>
        <w:rPr>
          <w:b/>
        </w:rPr>
      </w:pPr>
      <w:r w:rsidRPr="000B5C7B">
        <w:rPr>
          <w:b/>
        </w:rPr>
        <w:t xml:space="preserve">Infraestructura cultural, </w:t>
      </w:r>
    </w:p>
    <w:p w:rsidR="008126F2" w:rsidRPr="000B5C7B" w:rsidRDefault="008126F2" w:rsidP="00697206">
      <w:pPr>
        <w:ind w:left="170"/>
        <w:rPr>
          <w:rFonts w:ascii="Times New Roman" w:hAnsi="Times New Roman" w:cs="Times New Roman"/>
          <w:sz w:val="20"/>
          <w:szCs w:val="20"/>
        </w:rPr>
      </w:pPr>
      <w:r w:rsidRPr="000B5C7B">
        <w:rPr>
          <w:rFonts w:ascii="Times New Roman" w:hAnsi="Times New Roman" w:cs="Times New Roman"/>
          <w:sz w:val="20"/>
          <w:szCs w:val="20"/>
        </w:rPr>
        <w:t>Las inversiones realizadas para la construcción y dotación de escuelas municipales de música, han aumentado en un 88% el número de beneficiarios de estos servicios menores de 18 años, al pasar de 14.605 usuarios en 2012 a 130.538 usuarios en 2014.</w:t>
      </w:r>
    </w:p>
    <w:p w:rsidR="008126F2" w:rsidRPr="000B5C7B" w:rsidRDefault="00697206" w:rsidP="00697206">
      <w:pPr>
        <w:jc w:val="both"/>
        <w:rPr>
          <w:rFonts w:ascii="Times New Roman" w:hAnsi="Times New Roman" w:cs="Times New Roman"/>
          <w:b/>
          <w:sz w:val="20"/>
          <w:szCs w:val="20"/>
        </w:rPr>
      </w:pPr>
      <w:r w:rsidRPr="000B5C7B">
        <w:rPr>
          <w:rFonts w:ascii="Times New Roman" w:hAnsi="Times New Roman" w:cs="Times New Roman"/>
          <w:b/>
          <w:sz w:val="20"/>
          <w:szCs w:val="20"/>
        </w:rPr>
        <w:t>15.4.</w:t>
      </w:r>
      <w:r w:rsidRPr="000B5C7B">
        <w:rPr>
          <w:rFonts w:ascii="Times New Roman" w:hAnsi="Times New Roman" w:cs="Times New Roman"/>
          <w:b/>
          <w:sz w:val="20"/>
          <w:szCs w:val="20"/>
        </w:rPr>
        <w:tab/>
        <w:t>Beneficios del progreso científico</w:t>
      </w:r>
    </w:p>
    <w:p w:rsidR="008126F2" w:rsidRPr="000B5C7B" w:rsidRDefault="00697206" w:rsidP="00697206">
      <w:pPr>
        <w:jc w:val="both"/>
        <w:rPr>
          <w:rFonts w:ascii="Times New Roman" w:hAnsi="Times New Roman" w:cs="Times New Roman"/>
          <w:b/>
          <w:sz w:val="20"/>
          <w:szCs w:val="20"/>
        </w:rPr>
      </w:pPr>
      <w:r w:rsidRPr="000B5C7B">
        <w:rPr>
          <w:rFonts w:ascii="Times New Roman" w:hAnsi="Times New Roman" w:cs="Times New Roman"/>
          <w:noProof/>
          <w:sz w:val="20"/>
          <w:szCs w:val="20"/>
          <w:lang w:eastAsia="es-CO"/>
        </w:rPr>
        <w:drawing>
          <wp:inline distT="0" distB="0" distL="0" distR="0">
            <wp:extent cx="5534025" cy="3164840"/>
            <wp:effectExtent l="0" t="0" r="9525"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a 86"/>
                    <pic:cNvPicPr>
                      <a:picLocks noChangeArrowheads="1"/>
                    </pic:cNvPicPr>
                  </pic:nvPicPr>
                  <pic:blipFill>
                    <a:blip r:embed="rId7">
                      <a:extLst>
                        <a:ext uri="{28A0092B-C50C-407E-A947-70E740481C1C}">
                          <a14:useLocalDpi xmlns:a14="http://schemas.microsoft.com/office/drawing/2010/main" val="0"/>
                        </a:ext>
                      </a:extLst>
                    </a:blip>
                    <a:srcRect l="-443" t="-1576" r="-116" b="-1576"/>
                    <a:stretch>
                      <a:fillRect/>
                    </a:stretch>
                  </pic:blipFill>
                  <pic:spPr bwMode="auto">
                    <a:xfrm>
                      <a:off x="0" y="0"/>
                      <a:ext cx="5534025" cy="3164840"/>
                    </a:xfrm>
                    <a:prstGeom prst="rect">
                      <a:avLst/>
                    </a:prstGeom>
                    <a:noFill/>
                    <a:ln>
                      <a:noFill/>
                    </a:ln>
                  </pic:spPr>
                </pic:pic>
              </a:graphicData>
            </a:graphic>
          </wp:inline>
        </w:drawing>
      </w:r>
    </w:p>
    <w:p w:rsidR="00697206" w:rsidRPr="000B5C7B" w:rsidRDefault="00697206" w:rsidP="00697206">
      <w:pPr>
        <w:jc w:val="both"/>
        <w:rPr>
          <w:rFonts w:ascii="Times New Roman" w:hAnsi="Times New Roman" w:cs="Times New Roman"/>
          <w:b/>
          <w:sz w:val="20"/>
          <w:szCs w:val="20"/>
        </w:rPr>
      </w:pPr>
    </w:p>
    <w:p w:rsidR="00697206" w:rsidRPr="000B5C7B" w:rsidRDefault="00697206" w:rsidP="00697206">
      <w:pPr>
        <w:jc w:val="both"/>
        <w:rPr>
          <w:rFonts w:ascii="Times New Roman" w:hAnsi="Times New Roman" w:cs="Times New Roman"/>
          <w:b/>
          <w:sz w:val="20"/>
          <w:szCs w:val="20"/>
        </w:rPr>
      </w:pPr>
      <w:r w:rsidRPr="000B5C7B">
        <w:rPr>
          <w:rFonts w:ascii="Times New Roman" w:hAnsi="Times New Roman" w:cs="Times New Roman"/>
          <w:b/>
          <w:sz w:val="20"/>
          <w:szCs w:val="20"/>
        </w:rPr>
        <w:lastRenderedPageBreak/>
        <w:t>15.5.</w:t>
      </w:r>
      <w:r w:rsidRPr="000B5C7B">
        <w:rPr>
          <w:rFonts w:ascii="Times New Roman" w:hAnsi="Times New Roman" w:cs="Times New Roman"/>
          <w:b/>
          <w:sz w:val="20"/>
          <w:szCs w:val="20"/>
        </w:rPr>
        <w:tab/>
        <w:t>Protección efectiva de los intereses morales y materiales de los creadores</w:t>
      </w:r>
    </w:p>
    <w:p w:rsidR="00183E3D" w:rsidRPr="000B5C7B" w:rsidRDefault="00183E3D" w:rsidP="00697206">
      <w:pPr>
        <w:pStyle w:val="Ttulo4"/>
        <w:rPr>
          <w:sz w:val="20"/>
          <w:szCs w:val="20"/>
        </w:rPr>
      </w:pPr>
      <w:r w:rsidRPr="000B5C7B">
        <w:rPr>
          <w:sz w:val="20"/>
          <w:szCs w:val="20"/>
        </w:rPr>
        <w:t>Derecho de los autores a ser reconocidos como los creadores de sus producciones</w:t>
      </w:r>
    </w:p>
    <w:p w:rsidR="00183E3D" w:rsidRPr="000B5C7B" w:rsidRDefault="00183E3D" w:rsidP="00697206">
      <w:pPr>
        <w:jc w:val="both"/>
        <w:rPr>
          <w:rFonts w:ascii="Times New Roman" w:hAnsi="Times New Roman" w:cs="Times New Roman"/>
          <w:color w:val="000000"/>
          <w:sz w:val="20"/>
          <w:szCs w:val="20"/>
          <w:lang w:eastAsia="es-CO"/>
        </w:rPr>
      </w:pPr>
      <w:r w:rsidRPr="000B5C7B">
        <w:rPr>
          <w:rFonts w:ascii="Times New Roman" w:hAnsi="Times New Roman" w:cs="Times New Roman"/>
          <w:color w:val="000000"/>
          <w:sz w:val="20"/>
          <w:szCs w:val="20"/>
          <w:lang w:eastAsia="es-CO"/>
        </w:rPr>
        <w:t xml:space="preserve">En Colombia la titularidad de los </w:t>
      </w:r>
      <w:r w:rsidRPr="000B5C7B">
        <w:rPr>
          <w:rFonts w:ascii="Times New Roman" w:hAnsi="Times New Roman" w:cs="Times New Roman"/>
          <w:color w:val="000000"/>
          <w:sz w:val="20"/>
          <w:szCs w:val="20"/>
          <w:u w:val="single"/>
          <w:lang w:eastAsia="es-CO"/>
        </w:rPr>
        <w:t>derechos morales</w:t>
      </w:r>
      <w:r w:rsidRPr="000B5C7B">
        <w:rPr>
          <w:rFonts w:ascii="Times New Roman" w:hAnsi="Times New Roman" w:cs="Times New Roman"/>
          <w:color w:val="000000"/>
          <w:sz w:val="20"/>
          <w:szCs w:val="20"/>
          <w:lang w:eastAsia="es-CO"/>
        </w:rPr>
        <w:t xml:space="preserve"> corresponde al autor de la obra, quien es la persona física (natural) que realiza la creación intelectual de carácter literario o artístico</w:t>
      </w:r>
      <w:r w:rsidRPr="000B5C7B">
        <w:rPr>
          <w:rStyle w:val="Refdenotaalpie"/>
          <w:rFonts w:cs="Times New Roman"/>
          <w:color w:val="000000"/>
          <w:sz w:val="20"/>
          <w:szCs w:val="20"/>
          <w:lang w:eastAsia="es-CO"/>
        </w:rPr>
        <w:footnoteReference w:id="1"/>
      </w:r>
      <w:r w:rsidRPr="000B5C7B">
        <w:rPr>
          <w:rFonts w:ascii="Times New Roman" w:hAnsi="Times New Roman" w:cs="Times New Roman"/>
          <w:color w:val="000000"/>
          <w:sz w:val="20"/>
          <w:szCs w:val="20"/>
          <w:lang w:eastAsia="es-CO"/>
        </w:rPr>
        <w:t>; estos derechos son imprescriptibles, inalienables, inembargables, intransferibles e irrenunciables, están por fuera del comercio y tienen una protección perpetua. Los derechos morales son derechos personalísimos, a través de los cuales se busca salvaguardar el vínculo que se genera entre el autor y su obra, en tanto ésta constituye la expresión de su personalidad.</w:t>
      </w:r>
    </w:p>
    <w:p w:rsidR="00183E3D" w:rsidRPr="000B5C7B" w:rsidRDefault="00183E3D" w:rsidP="00697206">
      <w:pPr>
        <w:jc w:val="both"/>
        <w:rPr>
          <w:rFonts w:ascii="Times New Roman" w:hAnsi="Times New Roman" w:cs="Times New Roman"/>
          <w:color w:val="000000"/>
          <w:sz w:val="20"/>
          <w:szCs w:val="20"/>
          <w:lang w:eastAsia="es-CO"/>
        </w:rPr>
      </w:pPr>
      <w:r w:rsidRPr="000B5C7B">
        <w:rPr>
          <w:rFonts w:ascii="Times New Roman" w:hAnsi="Times New Roman" w:cs="Times New Roman"/>
          <w:color w:val="000000"/>
          <w:sz w:val="20"/>
          <w:szCs w:val="20"/>
          <w:lang w:eastAsia="es-CO"/>
        </w:rPr>
        <w:t>En virtud de los derechos morales, el autor puede: i) Conservar la obra inédita o divulgarla; ii) Reivindicar la paternidad de la obra en cualquier momento; iii) Oponerse a toda deformación, mutilación o modificación que atente contra el mérito de la obra o la reputación del autor; iv) Modificar la obra, antes o después de su publicación; v) Retirar la obra del mercado, o suspender cualquier forma de utilización aunque ella hubiese sido previamente autorizada.</w:t>
      </w:r>
    </w:p>
    <w:p w:rsidR="00183E3D" w:rsidRPr="000B5C7B" w:rsidRDefault="00183E3D" w:rsidP="00697206">
      <w:pPr>
        <w:pStyle w:val="Ttulo4"/>
        <w:rPr>
          <w:sz w:val="20"/>
          <w:szCs w:val="20"/>
        </w:rPr>
      </w:pPr>
      <w:r w:rsidRPr="000B5C7B">
        <w:rPr>
          <w:sz w:val="20"/>
          <w:szCs w:val="20"/>
        </w:rPr>
        <w:t>Protección de los intereses materiales básicos de los autores.</w:t>
      </w:r>
    </w:p>
    <w:p w:rsidR="00183E3D" w:rsidRPr="000B5C7B" w:rsidRDefault="00183E3D" w:rsidP="00697206">
      <w:pPr>
        <w:jc w:val="both"/>
        <w:rPr>
          <w:rFonts w:ascii="Times New Roman" w:hAnsi="Times New Roman" w:cs="Times New Roman"/>
          <w:color w:val="000000"/>
          <w:sz w:val="20"/>
          <w:szCs w:val="20"/>
          <w:lang w:eastAsia="es-CO"/>
        </w:rPr>
      </w:pPr>
      <w:r w:rsidRPr="000B5C7B">
        <w:rPr>
          <w:rFonts w:ascii="Times New Roman" w:hAnsi="Times New Roman" w:cs="Times New Roman"/>
          <w:color w:val="000000"/>
          <w:sz w:val="20"/>
          <w:szCs w:val="20"/>
          <w:lang w:eastAsia="es-CO"/>
        </w:rPr>
        <w:t xml:space="preserve">Por su parte los </w:t>
      </w:r>
      <w:r w:rsidRPr="000B5C7B">
        <w:rPr>
          <w:rFonts w:ascii="Times New Roman" w:hAnsi="Times New Roman" w:cs="Times New Roman"/>
          <w:color w:val="000000"/>
          <w:sz w:val="20"/>
          <w:szCs w:val="20"/>
          <w:u w:val="single"/>
          <w:lang w:eastAsia="es-CO"/>
        </w:rPr>
        <w:t>derechos patrimoniales</w:t>
      </w:r>
      <w:r w:rsidRPr="000B5C7B">
        <w:rPr>
          <w:rFonts w:ascii="Times New Roman" w:hAnsi="Times New Roman" w:cs="Times New Roman"/>
          <w:color w:val="000000"/>
          <w:sz w:val="20"/>
          <w:szCs w:val="20"/>
          <w:lang w:eastAsia="es-CO"/>
        </w:rPr>
        <w:t xml:space="preserve"> son prerrogativas de naturaleza económico-patrimonial, con carácter exclusivo, que permiten a su titular controlar los distintos actos de explotación de la obra. Lo anterior implica que todo acto de explotación de la obra, amparado por un derecho patrimonial, deberá contar con la previa y expresa autorización del titular del derecho correspondiente.</w:t>
      </w:r>
    </w:p>
    <w:p w:rsidR="00183E3D" w:rsidRPr="000B5C7B" w:rsidRDefault="00183E3D" w:rsidP="00697206">
      <w:pPr>
        <w:jc w:val="both"/>
        <w:rPr>
          <w:rFonts w:ascii="Times New Roman" w:hAnsi="Times New Roman" w:cs="Times New Roman"/>
          <w:color w:val="000000"/>
          <w:sz w:val="20"/>
          <w:szCs w:val="20"/>
          <w:lang w:eastAsia="es-CO"/>
        </w:rPr>
      </w:pPr>
      <w:r w:rsidRPr="000B5C7B">
        <w:rPr>
          <w:rFonts w:ascii="Times New Roman" w:hAnsi="Times New Roman" w:cs="Times New Roman"/>
          <w:color w:val="000000"/>
          <w:sz w:val="20"/>
          <w:szCs w:val="20"/>
          <w:lang w:eastAsia="es-CO"/>
        </w:rPr>
        <w:t>Los derechos patrimoniales pueden ser transferidos a terceros, por lo tanto, su titularidad puede estar en cabeza de una persona natural o jurídica, distinta al autor, estos serán “titulares derivados” de derecho de autor. En virtud de los derechos patrimoniales, el autor o la persona natural o jurídica a quien se le transfieran estos derechos, puede realizar, autorizar o prohibir: i) La reproducción, ii) La comunicación pública, iii) La distribución pública de ejemplares; iv) La traducción, adaptación, arreglo u otra transformación de la obra. v) La importación de ejemplares de su obra reproducidos sin su autorización.</w:t>
      </w:r>
    </w:p>
    <w:p w:rsidR="00183E3D" w:rsidRPr="000B5C7B" w:rsidRDefault="00183E3D" w:rsidP="00697206">
      <w:pPr>
        <w:jc w:val="both"/>
        <w:rPr>
          <w:rFonts w:ascii="Times New Roman" w:hAnsi="Times New Roman" w:cs="Times New Roman"/>
          <w:color w:val="000000"/>
          <w:sz w:val="20"/>
          <w:szCs w:val="20"/>
          <w:lang w:eastAsia="es-CO"/>
        </w:rPr>
      </w:pPr>
      <w:r w:rsidRPr="000B5C7B">
        <w:rPr>
          <w:rFonts w:ascii="Times New Roman" w:hAnsi="Times New Roman" w:cs="Times New Roman"/>
          <w:color w:val="000000"/>
          <w:sz w:val="20"/>
          <w:szCs w:val="20"/>
          <w:lang w:eastAsia="es-CO"/>
        </w:rPr>
        <w:t xml:space="preserve">En el periodo 2010-2014 la Ley 23 de 1982 ha sido ajustada mediante la expedición de las siguientes leyes: </w:t>
      </w:r>
    </w:p>
    <w:p w:rsidR="00183E3D" w:rsidRPr="000B5C7B" w:rsidRDefault="00183E3D" w:rsidP="00697206">
      <w:pPr>
        <w:spacing w:after="0"/>
        <w:contextualSpacing/>
        <w:jc w:val="both"/>
        <w:rPr>
          <w:rFonts w:ascii="Times New Roman" w:eastAsia="Calibri" w:hAnsi="Times New Roman" w:cs="Times New Roman"/>
          <w:color w:val="000000"/>
          <w:sz w:val="20"/>
          <w:szCs w:val="20"/>
          <w:lang w:val="es-ES" w:eastAsia="es-CO"/>
        </w:rPr>
      </w:pPr>
      <w:r w:rsidRPr="000B5C7B">
        <w:rPr>
          <w:rFonts w:ascii="Times New Roman" w:eastAsia="Calibri" w:hAnsi="Times New Roman" w:cs="Times New Roman"/>
          <w:noProof/>
          <w:color w:val="000000"/>
          <w:sz w:val="20"/>
          <w:szCs w:val="20"/>
          <w:lang w:eastAsia="es-CO"/>
        </w:rPr>
        <w:lastRenderedPageBreak/>
        <w:drawing>
          <wp:inline distT="0" distB="0" distL="0" distR="0" wp14:anchorId="102B6992" wp14:editId="6C7DBEE8">
            <wp:extent cx="5486400" cy="3200400"/>
            <wp:effectExtent l="38100" t="38100" r="76200" b="0"/>
            <wp:docPr id="61" name="Diagrama 6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83E3D" w:rsidRPr="000B5C7B" w:rsidRDefault="00183E3D" w:rsidP="00697206">
      <w:pPr>
        <w:spacing w:after="0"/>
        <w:contextualSpacing/>
        <w:jc w:val="both"/>
        <w:rPr>
          <w:rFonts w:ascii="Times New Roman" w:hAnsi="Times New Roman" w:cs="Times New Roman"/>
          <w:color w:val="000000"/>
          <w:sz w:val="20"/>
          <w:szCs w:val="20"/>
          <w:lang w:eastAsia="es-CO"/>
        </w:rPr>
      </w:pPr>
      <w:r w:rsidRPr="000B5C7B">
        <w:rPr>
          <w:rFonts w:ascii="Times New Roman" w:hAnsi="Times New Roman" w:cs="Times New Roman"/>
          <w:color w:val="000000"/>
          <w:sz w:val="20"/>
          <w:szCs w:val="20"/>
          <w:lang w:eastAsia="es-CO"/>
        </w:rPr>
        <w:t>Colombia ha participado en instancias relacionadas con la defensa y reconocimiento de los derechos de autor, tales como la suscripción el 26 de junio de 2012 del Tratado de Beijing sobre Interpretaciones y Ejecuciones Audiovisuales</w:t>
      </w:r>
      <w:r w:rsidRPr="000B5C7B">
        <w:rPr>
          <w:rStyle w:val="Refdenotaalpie"/>
          <w:rFonts w:cs="Times New Roman"/>
          <w:color w:val="000000"/>
          <w:sz w:val="20"/>
          <w:szCs w:val="20"/>
          <w:lang w:eastAsia="es-CO"/>
        </w:rPr>
        <w:footnoteReference w:id="2"/>
      </w:r>
      <w:r w:rsidRPr="000B5C7B">
        <w:rPr>
          <w:rFonts w:ascii="Times New Roman" w:hAnsi="Times New Roman" w:cs="Times New Roman"/>
          <w:color w:val="000000"/>
          <w:sz w:val="20"/>
          <w:szCs w:val="20"/>
          <w:lang w:eastAsia="es-CO"/>
        </w:rPr>
        <w:t>; y la suscripción del Tratado de Marrakech</w:t>
      </w:r>
      <w:r w:rsidRPr="000B5C7B">
        <w:rPr>
          <w:rStyle w:val="Refdenotaalpie"/>
          <w:rFonts w:cs="Times New Roman"/>
          <w:color w:val="000000"/>
          <w:sz w:val="20"/>
          <w:szCs w:val="20"/>
          <w:lang w:eastAsia="es-CO"/>
        </w:rPr>
        <w:footnoteReference w:id="3"/>
      </w:r>
      <w:r w:rsidRPr="000B5C7B">
        <w:rPr>
          <w:rFonts w:ascii="Times New Roman" w:hAnsi="Times New Roman" w:cs="Times New Roman"/>
          <w:color w:val="000000"/>
          <w:sz w:val="20"/>
          <w:szCs w:val="20"/>
          <w:lang w:eastAsia="es-CO"/>
        </w:rPr>
        <w:t xml:space="preserve"> para facilitar el acceso a las obras publicadas a las personas ciegas, con discapacidad visual o con otras dificultades para acceder al texto imp</w:t>
      </w:r>
      <w:bookmarkStart w:id="0" w:name="_GoBack"/>
      <w:bookmarkEnd w:id="0"/>
      <w:r w:rsidRPr="000B5C7B">
        <w:rPr>
          <w:rFonts w:ascii="Times New Roman" w:hAnsi="Times New Roman" w:cs="Times New Roman"/>
          <w:color w:val="000000"/>
          <w:sz w:val="20"/>
          <w:szCs w:val="20"/>
          <w:lang w:eastAsia="es-CO"/>
        </w:rPr>
        <w:t xml:space="preserve">reso. </w:t>
      </w:r>
    </w:p>
    <w:p w:rsidR="00183E3D" w:rsidRPr="000B5C7B" w:rsidRDefault="00183E3D" w:rsidP="00697206">
      <w:pPr>
        <w:spacing w:after="0"/>
        <w:contextualSpacing/>
        <w:jc w:val="both"/>
        <w:rPr>
          <w:rFonts w:ascii="Times New Roman" w:hAnsi="Times New Roman" w:cs="Times New Roman"/>
          <w:color w:val="000000"/>
          <w:sz w:val="20"/>
          <w:szCs w:val="20"/>
          <w:lang w:eastAsia="es-CO"/>
        </w:rPr>
      </w:pPr>
    </w:p>
    <w:p w:rsidR="00183E3D" w:rsidRPr="000B5C7B" w:rsidRDefault="00183E3D" w:rsidP="00697206">
      <w:pPr>
        <w:spacing w:after="0"/>
        <w:contextualSpacing/>
        <w:jc w:val="both"/>
        <w:rPr>
          <w:rFonts w:ascii="Times New Roman" w:hAnsi="Times New Roman" w:cs="Times New Roman"/>
          <w:color w:val="000000"/>
          <w:sz w:val="20"/>
          <w:szCs w:val="20"/>
          <w:lang w:eastAsia="es-CO"/>
        </w:rPr>
      </w:pPr>
      <w:r w:rsidRPr="000B5C7B">
        <w:rPr>
          <w:rFonts w:ascii="Times New Roman" w:hAnsi="Times New Roman" w:cs="Times New Roman"/>
          <w:color w:val="000000"/>
          <w:sz w:val="20"/>
          <w:szCs w:val="20"/>
          <w:lang w:eastAsia="es-CO"/>
        </w:rPr>
        <w:t>Como medidas de carácter administrativo se tiene la organización del Sistema Administrativo Nacional de Propiedad Intelectual y la creación de su órgano de coordinación y orientación, que es la Comisión Intersectorial de Propiedad Intelectual – CIPI</w:t>
      </w:r>
      <w:r w:rsidRPr="000B5C7B">
        <w:rPr>
          <w:rStyle w:val="Refdenotaalpie"/>
          <w:rFonts w:cs="Times New Roman"/>
          <w:color w:val="000000"/>
          <w:sz w:val="20"/>
          <w:szCs w:val="20"/>
          <w:lang w:eastAsia="es-CO"/>
        </w:rPr>
        <w:footnoteReference w:id="4"/>
      </w:r>
      <w:r w:rsidRPr="000B5C7B">
        <w:rPr>
          <w:rFonts w:ascii="Times New Roman" w:hAnsi="Times New Roman" w:cs="Times New Roman"/>
          <w:color w:val="000000"/>
          <w:sz w:val="20"/>
          <w:szCs w:val="20"/>
          <w:lang w:eastAsia="es-CO"/>
        </w:rPr>
        <w:t xml:space="preserve">. </w:t>
      </w:r>
    </w:p>
    <w:p w:rsidR="00183E3D" w:rsidRPr="000B5C7B" w:rsidRDefault="00183E3D" w:rsidP="00697206">
      <w:pPr>
        <w:rPr>
          <w:rFonts w:ascii="Times New Roman" w:hAnsi="Times New Roman" w:cs="Times New Roman"/>
          <w:sz w:val="20"/>
          <w:szCs w:val="20"/>
        </w:rPr>
      </w:pPr>
    </w:p>
    <w:sectPr w:rsidR="00183E3D" w:rsidRPr="000B5C7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2DA9" w:rsidRDefault="00C72DA9" w:rsidP="00183E3D">
      <w:pPr>
        <w:spacing w:after="0" w:line="240" w:lineRule="auto"/>
      </w:pPr>
      <w:r>
        <w:separator/>
      </w:r>
    </w:p>
  </w:endnote>
  <w:endnote w:type="continuationSeparator" w:id="0">
    <w:p w:rsidR="00C72DA9" w:rsidRDefault="00C72DA9" w:rsidP="00183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2DA9" w:rsidRDefault="00C72DA9" w:rsidP="00183E3D">
      <w:pPr>
        <w:spacing w:after="0" w:line="240" w:lineRule="auto"/>
      </w:pPr>
      <w:r>
        <w:separator/>
      </w:r>
    </w:p>
  </w:footnote>
  <w:footnote w:type="continuationSeparator" w:id="0">
    <w:p w:rsidR="00C72DA9" w:rsidRDefault="00C72DA9" w:rsidP="00183E3D">
      <w:pPr>
        <w:spacing w:after="0" w:line="240" w:lineRule="auto"/>
      </w:pPr>
      <w:r>
        <w:continuationSeparator/>
      </w:r>
    </w:p>
  </w:footnote>
  <w:footnote w:id="1">
    <w:p w:rsidR="00183E3D" w:rsidRPr="00697206" w:rsidRDefault="00183E3D" w:rsidP="00697206">
      <w:pPr>
        <w:pStyle w:val="Textonotapie"/>
        <w:spacing w:after="0" w:line="240" w:lineRule="auto"/>
        <w:jc w:val="both"/>
        <w:rPr>
          <w:sz w:val="18"/>
          <w:szCs w:val="18"/>
          <w:lang w:val="es-CO"/>
        </w:rPr>
      </w:pPr>
      <w:r w:rsidRPr="00697206">
        <w:rPr>
          <w:rStyle w:val="Refdenotaalpie"/>
          <w:rFonts w:eastAsia="Calibri"/>
          <w:sz w:val="18"/>
          <w:szCs w:val="18"/>
        </w:rPr>
        <w:footnoteRef/>
      </w:r>
      <w:r w:rsidRPr="00697206">
        <w:rPr>
          <w:sz w:val="18"/>
          <w:szCs w:val="18"/>
        </w:rPr>
        <w:t xml:space="preserve"> Es decir que el autor, es la persona  la persona física que dedica tiempo, esfuerzo, horas, para la elaboración de una obra artística o literaria.</w:t>
      </w:r>
    </w:p>
  </w:footnote>
  <w:footnote w:id="2">
    <w:p w:rsidR="00183E3D" w:rsidRPr="00697206" w:rsidRDefault="00183E3D" w:rsidP="00697206">
      <w:pPr>
        <w:pStyle w:val="Textonotapie"/>
        <w:spacing w:after="0" w:line="240" w:lineRule="auto"/>
        <w:jc w:val="both"/>
        <w:rPr>
          <w:sz w:val="18"/>
          <w:szCs w:val="18"/>
          <w:lang w:val="es-CO"/>
        </w:rPr>
      </w:pPr>
      <w:r w:rsidRPr="00697206">
        <w:rPr>
          <w:rStyle w:val="Refdenotaalpie"/>
          <w:rFonts w:eastAsia="Calibri"/>
          <w:sz w:val="18"/>
          <w:szCs w:val="18"/>
        </w:rPr>
        <w:footnoteRef/>
      </w:r>
      <w:r w:rsidRPr="00697206">
        <w:rPr>
          <w:sz w:val="18"/>
          <w:szCs w:val="18"/>
        </w:rPr>
        <w:t xml:space="preserve"> </w:t>
      </w:r>
      <w:r w:rsidRPr="00697206">
        <w:rPr>
          <w:color w:val="000000"/>
          <w:sz w:val="18"/>
          <w:szCs w:val="18"/>
          <w:lang w:eastAsia="es-CO"/>
        </w:rPr>
        <w:t>Adoptado por la Conferencia Diplomática sobre la Protección de las Interpretaciones y Ejecuciones Audiovisuales en Beijing el 24 de junio de 2012.</w:t>
      </w:r>
    </w:p>
  </w:footnote>
  <w:footnote w:id="3">
    <w:p w:rsidR="00183E3D" w:rsidRPr="00697206" w:rsidRDefault="00183E3D" w:rsidP="00697206">
      <w:pPr>
        <w:pStyle w:val="Textonotapie"/>
        <w:spacing w:after="0" w:line="240" w:lineRule="auto"/>
        <w:jc w:val="both"/>
        <w:rPr>
          <w:sz w:val="18"/>
          <w:szCs w:val="18"/>
          <w:lang w:val="es-CO"/>
        </w:rPr>
      </w:pPr>
      <w:r w:rsidRPr="00697206">
        <w:rPr>
          <w:rStyle w:val="Refdenotaalpie"/>
          <w:rFonts w:eastAsia="Calibri"/>
          <w:sz w:val="18"/>
          <w:szCs w:val="18"/>
        </w:rPr>
        <w:footnoteRef/>
      </w:r>
      <w:r w:rsidRPr="00697206">
        <w:rPr>
          <w:sz w:val="18"/>
          <w:szCs w:val="18"/>
        </w:rPr>
        <w:t xml:space="preserve"> </w:t>
      </w:r>
      <w:r w:rsidRPr="00697206">
        <w:rPr>
          <w:color w:val="000000"/>
          <w:sz w:val="18"/>
          <w:szCs w:val="18"/>
          <w:lang w:eastAsia="es-CO"/>
        </w:rPr>
        <w:t>Adoptado por la Conferencia Diplomática sobre la conclusión de un tratado que facilite a las personas con discapacidad visual y a las personas con dificultad para acceder al texto impreso el acceso a las obras publicadas, en Marrakech el 27 de junio de 2013.</w:t>
      </w:r>
    </w:p>
  </w:footnote>
  <w:footnote w:id="4">
    <w:p w:rsidR="00183E3D" w:rsidRPr="00697206" w:rsidRDefault="00183E3D" w:rsidP="00697206">
      <w:pPr>
        <w:pStyle w:val="Textonotapie"/>
        <w:spacing w:line="240" w:lineRule="auto"/>
        <w:jc w:val="both"/>
        <w:rPr>
          <w:sz w:val="18"/>
          <w:szCs w:val="18"/>
          <w:lang w:val="es-CO"/>
        </w:rPr>
      </w:pPr>
      <w:r w:rsidRPr="00697206">
        <w:rPr>
          <w:rStyle w:val="Refdenotaalpie"/>
          <w:rFonts w:eastAsia="Calibri"/>
          <w:sz w:val="18"/>
          <w:szCs w:val="18"/>
        </w:rPr>
        <w:footnoteRef/>
      </w:r>
      <w:r w:rsidRPr="00697206">
        <w:rPr>
          <w:sz w:val="18"/>
          <w:szCs w:val="18"/>
        </w:rPr>
        <w:t xml:space="preserve"> </w:t>
      </w:r>
      <w:r w:rsidRPr="00697206">
        <w:rPr>
          <w:color w:val="000000"/>
          <w:sz w:val="18"/>
          <w:szCs w:val="18"/>
          <w:lang w:eastAsia="es-CO"/>
        </w:rPr>
        <w:t>Adoptadas mediante el Decreto 1162 de 2010 como consecuencia de lo señalado en el Documento CONPES “Bases de un Plan de Acción para la adecuación del sistema de Propiedad Intelectual a la Competitividad y Productividad Nacional 2008-2010”.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EF0F8E"/>
    <w:multiLevelType w:val="multilevel"/>
    <w:tmpl w:val="8A6CE14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E3D"/>
    <w:rsid w:val="000B5C7B"/>
    <w:rsid w:val="00181B77"/>
    <w:rsid w:val="00183E3D"/>
    <w:rsid w:val="00273E20"/>
    <w:rsid w:val="00301005"/>
    <w:rsid w:val="00342F27"/>
    <w:rsid w:val="005B5760"/>
    <w:rsid w:val="00697206"/>
    <w:rsid w:val="00784B8F"/>
    <w:rsid w:val="008126F2"/>
    <w:rsid w:val="00C72D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E30113-0AF4-4B55-A018-B2B6EA7C3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3">
    <w:name w:val="heading 3"/>
    <w:basedOn w:val="Normal"/>
    <w:next w:val="Normal"/>
    <w:link w:val="Ttulo3Car"/>
    <w:uiPriority w:val="9"/>
    <w:semiHidden/>
    <w:unhideWhenUsed/>
    <w:qFormat/>
    <w:rsid w:val="00183E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rsid w:val="00183E3D"/>
    <w:pPr>
      <w:keepNext/>
      <w:spacing w:before="240" w:after="60" w:line="276" w:lineRule="auto"/>
      <w:outlineLvl w:val="3"/>
    </w:pPr>
    <w:rPr>
      <w:rFonts w:ascii="Times New Roman" w:eastAsia="Calibri" w:hAnsi="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183E3D"/>
    <w:rPr>
      <w:rFonts w:ascii="Times New Roman" w:eastAsia="Calibri" w:hAnsi="Times New Roman" w:cs="Times New Roman"/>
      <w:b/>
      <w:bCs/>
      <w:sz w:val="28"/>
      <w:szCs w:val="28"/>
    </w:rPr>
  </w:style>
  <w:style w:type="character" w:styleId="Refdenotaalpie">
    <w:name w:val="footnote reference"/>
    <w:aliases w:val="referencia nota al pie,Texto de nota al pie,Nota de pie,Texto nota al pie,Appel note de bas de p,Ref. de nota al pie2,Ref,de nota al pie,pie de pagina,Fußnotenzeichen DISS,16 Point,Superscript 6 Point,ftref,Footnote Referencefra,FC"/>
    <w:qFormat/>
    <w:rsid w:val="00183E3D"/>
    <w:rPr>
      <w:rFonts w:ascii="Times New Roman" w:hAnsi="Times New Roman"/>
      <w:b/>
      <w:sz w:val="24"/>
      <w:vertAlign w:val="superscript"/>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FA Fu,Texto nota pie Car1,Car1 Car Car,f"/>
    <w:basedOn w:val="Normal"/>
    <w:link w:val="TextonotapieCar"/>
    <w:qFormat/>
    <w:rsid w:val="00183E3D"/>
    <w:pPr>
      <w:spacing w:after="240" w:line="840" w:lineRule="auto"/>
    </w:pPr>
    <w:rPr>
      <w:rFonts w:ascii="Times New Roman" w:eastAsia="Times New Roman" w:hAnsi="Times New Roman" w:cs="Times New Roman"/>
      <w:sz w:val="24"/>
      <w:szCs w:val="20"/>
      <w:lang w:val="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183E3D"/>
    <w:rPr>
      <w:rFonts w:ascii="Times New Roman" w:eastAsia="Times New Roman" w:hAnsi="Times New Roman" w:cs="Times New Roman"/>
      <w:sz w:val="24"/>
      <w:szCs w:val="20"/>
      <w:lang w:val="es-ES"/>
    </w:rPr>
  </w:style>
  <w:style w:type="character" w:customStyle="1" w:styleId="Ttulo3Car">
    <w:name w:val="Título 3 Car"/>
    <w:basedOn w:val="Fuentedeprrafopredeter"/>
    <w:link w:val="Ttulo3"/>
    <w:uiPriority w:val="9"/>
    <w:semiHidden/>
    <w:rsid w:val="00183E3D"/>
    <w:rPr>
      <w:rFonts w:asciiTheme="majorHAnsi" w:eastAsiaTheme="majorEastAsia" w:hAnsiTheme="majorHAnsi" w:cstheme="majorBidi"/>
      <w:color w:val="1F4D78" w:themeColor="accent1" w:themeShade="7F"/>
      <w:sz w:val="24"/>
      <w:szCs w:val="24"/>
    </w:rPr>
  </w:style>
  <w:style w:type="paragraph" w:customStyle="1" w:styleId="Bullet1G">
    <w:name w:val="_Bullet 1_G"/>
    <w:basedOn w:val="Normal"/>
    <w:rsid w:val="008126F2"/>
    <w:pPr>
      <w:numPr>
        <w:numId w:val="2"/>
      </w:numPr>
      <w:spacing w:after="120" w:line="240" w:lineRule="atLeast"/>
      <w:ind w:right="1134"/>
      <w:jc w:val="both"/>
    </w:pPr>
    <w:rPr>
      <w:rFonts w:ascii="Times New Roman" w:eastAsia="Times New Roman" w:hAnsi="Times New Roman" w:cs="Times New Roman"/>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FAA5C6-607F-4138-A5D4-55D0C5DCD224}" type="doc">
      <dgm:prSet loTypeId="urn:microsoft.com/office/officeart/2008/layout/LinedList" loCatId="list" qsTypeId="urn:microsoft.com/office/officeart/2005/8/quickstyle/simple3" qsCatId="simple" csTypeId="urn:microsoft.com/office/officeart/2005/8/colors/accent1_2" csCatId="accent1" phldr="1"/>
      <dgm:spPr/>
      <dgm:t>
        <a:bodyPr/>
        <a:lstStyle/>
        <a:p>
          <a:endParaRPr lang="es-CO"/>
        </a:p>
      </dgm:t>
    </dgm:pt>
    <dgm:pt modelId="{801BD872-AB2D-4E1B-9F7A-D5A99F548934}">
      <dgm:prSet phldrT="[Texto]"/>
      <dgm:spPr/>
      <dgm:t>
        <a:bodyPr/>
        <a:lstStyle/>
        <a:p>
          <a:r>
            <a:rPr lang="es-ES"/>
            <a:t>Ley 1403 de 2010 estableció un derecho de remuneración por comunicación pública a los artistas intérpretes o ejecutantes de obras y grabaciones audiovisuales. </a:t>
          </a:r>
          <a:endParaRPr lang="es-CO"/>
        </a:p>
      </dgm:t>
    </dgm:pt>
    <dgm:pt modelId="{8E75DA43-E590-41B9-8B3E-6D0A1681AE6D}" type="parTrans" cxnId="{BEB2F7D2-8B30-47FF-BDA6-E8953C241068}">
      <dgm:prSet/>
      <dgm:spPr/>
      <dgm:t>
        <a:bodyPr/>
        <a:lstStyle/>
        <a:p>
          <a:endParaRPr lang="es-CO"/>
        </a:p>
      </dgm:t>
    </dgm:pt>
    <dgm:pt modelId="{B6725A51-8FBA-45E8-82EB-B0AC84C004D8}" type="sibTrans" cxnId="{BEB2F7D2-8B30-47FF-BDA6-E8953C241068}">
      <dgm:prSet/>
      <dgm:spPr/>
      <dgm:t>
        <a:bodyPr/>
        <a:lstStyle/>
        <a:p>
          <a:endParaRPr lang="es-CO"/>
        </a:p>
      </dgm:t>
    </dgm:pt>
    <dgm:pt modelId="{C1BC9ECC-C3A2-45F0-8E6D-76E6BF1ACBC8}">
      <dgm:prSet/>
      <dgm:spPr/>
      <dgm:t>
        <a:bodyPr/>
        <a:lstStyle/>
        <a:p>
          <a:r>
            <a:rPr lang="es-ES"/>
            <a:t>Ley 1450 de 2011 eliminó la barrera que impedía que los creadores de producciones científicas, literarias y artísticas, cuyos proyectos fueran financiados por recursos públicos, fueran los titulares de los derechos resultantes de dichos proyectos, facilitando así su comercialización y/o transferencia. </a:t>
          </a:r>
          <a:endParaRPr lang="es-CO"/>
        </a:p>
      </dgm:t>
    </dgm:pt>
    <dgm:pt modelId="{7854282A-174B-4CEC-A800-2B278695428B}" type="parTrans" cxnId="{DD64B5A0-4940-4914-B28C-C06FFD73C1F0}">
      <dgm:prSet/>
      <dgm:spPr/>
      <dgm:t>
        <a:bodyPr/>
        <a:lstStyle/>
        <a:p>
          <a:endParaRPr lang="es-CO"/>
        </a:p>
      </dgm:t>
    </dgm:pt>
    <dgm:pt modelId="{7AF8DBAC-3EAF-4900-9AC3-81B1C41F68AD}" type="sibTrans" cxnId="{DD64B5A0-4940-4914-B28C-C06FFD73C1F0}">
      <dgm:prSet/>
      <dgm:spPr/>
      <dgm:t>
        <a:bodyPr/>
        <a:lstStyle/>
        <a:p>
          <a:endParaRPr lang="es-CO"/>
        </a:p>
      </dgm:t>
    </dgm:pt>
    <dgm:pt modelId="{0CF94F56-D67E-4BA6-963F-EE55C46E25D2}">
      <dgm:prSet/>
      <dgm:spPr/>
      <dgm:t>
        <a:bodyPr/>
        <a:lstStyle/>
        <a:p>
          <a:r>
            <a:rPr lang="es-ES"/>
            <a:t>Ley 1493 de 2011 facultó a la DNDA para la inspección, vigilancia y control sobre las sociedades de gestión colectiva y sus entidades recaudadoras, lo cual le permite adoptar medidas de control y toma de posesión, inclusive de sanción. </a:t>
          </a:r>
          <a:endParaRPr lang="es-CO"/>
        </a:p>
      </dgm:t>
    </dgm:pt>
    <dgm:pt modelId="{6A18ADC9-B8B9-422F-8BA2-B2394F8FE7E0}" type="parTrans" cxnId="{158441AA-F4D9-496E-BB18-77A1810D1737}">
      <dgm:prSet/>
      <dgm:spPr/>
      <dgm:t>
        <a:bodyPr/>
        <a:lstStyle/>
        <a:p>
          <a:endParaRPr lang="es-CO"/>
        </a:p>
      </dgm:t>
    </dgm:pt>
    <dgm:pt modelId="{C18AD768-10E9-413B-8412-3F23B924D99B}" type="sibTrans" cxnId="{158441AA-F4D9-496E-BB18-77A1810D1737}">
      <dgm:prSet/>
      <dgm:spPr/>
      <dgm:t>
        <a:bodyPr/>
        <a:lstStyle/>
        <a:p>
          <a:endParaRPr lang="es-CO"/>
        </a:p>
      </dgm:t>
    </dgm:pt>
    <dgm:pt modelId="{2B266B57-D013-4852-9614-F24306286D60}">
      <dgm:prSet/>
      <dgm:spPr/>
      <dgm:t>
        <a:bodyPr/>
        <a:lstStyle/>
        <a:p>
          <a:r>
            <a:rPr lang="es-ES"/>
            <a:t>La Ley 1519 de 2012 aprobó el </a:t>
          </a:r>
          <a:r>
            <a:rPr lang="es-ES" i="1"/>
            <a:t>"Convenio sobre la distribución de señales portadoras de programas transmitidas por satélite"</a:t>
          </a:r>
          <a:r>
            <a:rPr lang="es-ES"/>
            <a:t> hecho en Bruselas el 21 de mayo de 1974, lo cual asegura la adopción de todos los tratados internacionales en materia de Derecho de Autor y Derechos Conexos que hasta esa fecha eran administrados por la OMPI.</a:t>
          </a:r>
          <a:endParaRPr lang="es-CO"/>
        </a:p>
      </dgm:t>
    </dgm:pt>
    <dgm:pt modelId="{4D594A88-381D-4C19-A65E-9B184968C368}" type="parTrans" cxnId="{20B83055-C9C0-4098-BCC2-4D7F93120864}">
      <dgm:prSet/>
      <dgm:spPr/>
      <dgm:t>
        <a:bodyPr/>
        <a:lstStyle/>
        <a:p>
          <a:endParaRPr lang="es-CO"/>
        </a:p>
      </dgm:t>
    </dgm:pt>
    <dgm:pt modelId="{210798C7-1646-486C-867E-F5B9F036CD1D}" type="sibTrans" cxnId="{20B83055-C9C0-4098-BCC2-4D7F93120864}">
      <dgm:prSet/>
      <dgm:spPr/>
      <dgm:t>
        <a:bodyPr/>
        <a:lstStyle/>
        <a:p>
          <a:endParaRPr lang="es-CO"/>
        </a:p>
      </dgm:t>
    </dgm:pt>
    <dgm:pt modelId="{59951248-5174-4337-AAF3-217007B1BEC9}">
      <dgm:prSet/>
      <dgm:spPr/>
      <dgm:t>
        <a:bodyPr/>
        <a:lstStyle/>
        <a:p>
          <a:r>
            <a:rPr lang="es-ES"/>
            <a:t>La Ley 1680 de 2013 estableció una limitación o excepción en favor de personas con discapacidad visual que permite </a:t>
          </a:r>
          <a:r>
            <a:rPr lang="x-none"/>
            <a:t>reproducir, distribuir, comunicar, traducir, arreglar, adaptar, arreglar o transformar</a:t>
          </a:r>
          <a:r>
            <a:rPr lang="es-ES"/>
            <a:t> a braille y cualquier otro modo, medio o formato accesible elegido por las personas con discapacidad visual, obras literarias y artísticas.</a:t>
          </a:r>
          <a:endParaRPr lang="es-CO"/>
        </a:p>
      </dgm:t>
    </dgm:pt>
    <dgm:pt modelId="{DAF31EB1-9EBB-4A5C-826A-9310FE03DDC3}" type="parTrans" cxnId="{5267D4B2-CA2B-4263-9A31-D019FD37DF4A}">
      <dgm:prSet/>
      <dgm:spPr/>
      <dgm:t>
        <a:bodyPr/>
        <a:lstStyle/>
        <a:p>
          <a:endParaRPr lang="es-CO"/>
        </a:p>
      </dgm:t>
    </dgm:pt>
    <dgm:pt modelId="{79D279EF-8BD3-4199-AAF0-E18084197CD7}" type="sibTrans" cxnId="{5267D4B2-CA2B-4263-9A31-D019FD37DF4A}">
      <dgm:prSet/>
      <dgm:spPr/>
      <dgm:t>
        <a:bodyPr/>
        <a:lstStyle/>
        <a:p>
          <a:endParaRPr lang="es-CO"/>
        </a:p>
      </dgm:t>
    </dgm:pt>
    <dgm:pt modelId="{EBC512C8-670A-4121-BECE-6880602722F6}">
      <dgm:prSet/>
      <dgm:spPr/>
      <dgm:t>
        <a:bodyPr/>
        <a:lstStyle/>
        <a:p>
          <a:r>
            <a:rPr lang="es-ES"/>
            <a:t>La Ley 1564 de 2012 estableció que la DNDA ejercerá funciones jurisdiccionales en los procesos relacionados con los derechos de autor y conexos.</a:t>
          </a:r>
          <a:endParaRPr lang="es-CO"/>
        </a:p>
      </dgm:t>
    </dgm:pt>
    <dgm:pt modelId="{BD0B91C5-A1BA-4801-AF72-EEE6A11AC83C}" type="parTrans" cxnId="{8E752AE7-AF1F-401D-9FF1-0AE4CC11AAE0}">
      <dgm:prSet/>
      <dgm:spPr/>
      <dgm:t>
        <a:bodyPr/>
        <a:lstStyle/>
        <a:p>
          <a:endParaRPr lang="es-CO"/>
        </a:p>
      </dgm:t>
    </dgm:pt>
    <dgm:pt modelId="{5ED619F9-5D36-43A9-94BB-C9487CC0F631}" type="sibTrans" cxnId="{8E752AE7-AF1F-401D-9FF1-0AE4CC11AAE0}">
      <dgm:prSet/>
      <dgm:spPr/>
      <dgm:t>
        <a:bodyPr/>
        <a:lstStyle/>
        <a:p>
          <a:endParaRPr lang="es-CO"/>
        </a:p>
      </dgm:t>
    </dgm:pt>
    <dgm:pt modelId="{B1A5775A-A264-41E9-B438-CF9A11B40FAB}">
      <dgm:prSet/>
      <dgm:spPr/>
      <dgm:t>
        <a:bodyPr/>
        <a:lstStyle/>
        <a:p>
          <a:r>
            <a:rPr lang="es-ES"/>
            <a:t>La Ley 1753 de 2015 incluyó la cesión de derechos, que sobre eventuales resultados de proyectos financiados con recursos del tesoro nacional, podrá hacer el Estado a las partes de los mismos. </a:t>
          </a:r>
          <a:endParaRPr lang="es-CO"/>
        </a:p>
      </dgm:t>
    </dgm:pt>
    <dgm:pt modelId="{A196D343-2466-456F-AF3F-B01A9A3D2230}" type="parTrans" cxnId="{E740654E-0378-4BDB-B494-DBE44BD9F6DB}">
      <dgm:prSet/>
      <dgm:spPr/>
      <dgm:t>
        <a:bodyPr/>
        <a:lstStyle/>
        <a:p>
          <a:endParaRPr lang="es-CO"/>
        </a:p>
      </dgm:t>
    </dgm:pt>
    <dgm:pt modelId="{68F9C3E4-240F-4853-9DA8-77AB06CB5B91}" type="sibTrans" cxnId="{E740654E-0378-4BDB-B494-DBE44BD9F6DB}">
      <dgm:prSet/>
      <dgm:spPr/>
      <dgm:t>
        <a:bodyPr/>
        <a:lstStyle/>
        <a:p>
          <a:endParaRPr lang="es-CO"/>
        </a:p>
      </dgm:t>
    </dgm:pt>
    <dgm:pt modelId="{8E57C914-9675-4C94-9C67-A393A3D3CD51}" type="pres">
      <dgm:prSet presAssocID="{93FAA5C6-607F-4138-A5D4-55D0C5DCD224}" presName="vert0" presStyleCnt="0">
        <dgm:presLayoutVars>
          <dgm:dir/>
          <dgm:animOne val="branch"/>
          <dgm:animLvl val="lvl"/>
        </dgm:presLayoutVars>
      </dgm:prSet>
      <dgm:spPr/>
      <dgm:t>
        <a:bodyPr/>
        <a:lstStyle/>
        <a:p>
          <a:endParaRPr lang="es-CO"/>
        </a:p>
      </dgm:t>
    </dgm:pt>
    <dgm:pt modelId="{3CC770C9-23F5-4800-93A3-9E614E406601}" type="pres">
      <dgm:prSet presAssocID="{801BD872-AB2D-4E1B-9F7A-D5A99F548934}" presName="thickLine" presStyleLbl="alignNode1" presStyleIdx="0" presStyleCnt="7"/>
      <dgm:spPr/>
    </dgm:pt>
    <dgm:pt modelId="{59C24910-02B7-41F9-B9FC-F9B0194443CA}" type="pres">
      <dgm:prSet presAssocID="{801BD872-AB2D-4E1B-9F7A-D5A99F548934}" presName="horz1" presStyleCnt="0"/>
      <dgm:spPr/>
    </dgm:pt>
    <dgm:pt modelId="{64CFDE52-0611-4E69-B556-10A6779CCB1D}" type="pres">
      <dgm:prSet presAssocID="{801BD872-AB2D-4E1B-9F7A-D5A99F548934}" presName="tx1" presStyleLbl="revTx" presStyleIdx="0" presStyleCnt="7"/>
      <dgm:spPr/>
      <dgm:t>
        <a:bodyPr/>
        <a:lstStyle/>
        <a:p>
          <a:endParaRPr lang="es-CO"/>
        </a:p>
      </dgm:t>
    </dgm:pt>
    <dgm:pt modelId="{D8070BAA-E382-4241-8118-B46294A4B084}" type="pres">
      <dgm:prSet presAssocID="{801BD872-AB2D-4E1B-9F7A-D5A99F548934}" presName="vert1" presStyleCnt="0"/>
      <dgm:spPr/>
    </dgm:pt>
    <dgm:pt modelId="{0C6D0738-9751-4A43-BCE5-68DF920BF018}" type="pres">
      <dgm:prSet presAssocID="{C1BC9ECC-C3A2-45F0-8E6D-76E6BF1ACBC8}" presName="thickLine" presStyleLbl="alignNode1" presStyleIdx="1" presStyleCnt="7"/>
      <dgm:spPr/>
    </dgm:pt>
    <dgm:pt modelId="{C7B8AEFC-05C8-4BA4-861C-20EB73B571BC}" type="pres">
      <dgm:prSet presAssocID="{C1BC9ECC-C3A2-45F0-8E6D-76E6BF1ACBC8}" presName="horz1" presStyleCnt="0"/>
      <dgm:spPr/>
    </dgm:pt>
    <dgm:pt modelId="{277FE8CC-9CEF-4AF0-BAB1-CEE29D1856D3}" type="pres">
      <dgm:prSet presAssocID="{C1BC9ECC-C3A2-45F0-8E6D-76E6BF1ACBC8}" presName="tx1" presStyleLbl="revTx" presStyleIdx="1" presStyleCnt="7"/>
      <dgm:spPr/>
      <dgm:t>
        <a:bodyPr/>
        <a:lstStyle/>
        <a:p>
          <a:endParaRPr lang="es-CO"/>
        </a:p>
      </dgm:t>
    </dgm:pt>
    <dgm:pt modelId="{C4AB0D91-080E-4711-83AE-E7518E915F0A}" type="pres">
      <dgm:prSet presAssocID="{C1BC9ECC-C3A2-45F0-8E6D-76E6BF1ACBC8}" presName="vert1" presStyleCnt="0"/>
      <dgm:spPr/>
    </dgm:pt>
    <dgm:pt modelId="{4A5AC0C9-42F4-4D92-B93B-686ED5278451}" type="pres">
      <dgm:prSet presAssocID="{0CF94F56-D67E-4BA6-963F-EE55C46E25D2}" presName="thickLine" presStyleLbl="alignNode1" presStyleIdx="2" presStyleCnt="7"/>
      <dgm:spPr/>
    </dgm:pt>
    <dgm:pt modelId="{06F0913F-E2CF-43A8-B8C4-12BD2F4A52ED}" type="pres">
      <dgm:prSet presAssocID="{0CF94F56-D67E-4BA6-963F-EE55C46E25D2}" presName="horz1" presStyleCnt="0"/>
      <dgm:spPr/>
    </dgm:pt>
    <dgm:pt modelId="{7EF215E7-688C-4EFC-909A-A1F69877FCF2}" type="pres">
      <dgm:prSet presAssocID="{0CF94F56-D67E-4BA6-963F-EE55C46E25D2}" presName="tx1" presStyleLbl="revTx" presStyleIdx="2" presStyleCnt="7"/>
      <dgm:spPr/>
      <dgm:t>
        <a:bodyPr/>
        <a:lstStyle/>
        <a:p>
          <a:endParaRPr lang="es-CO"/>
        </a:p>
      </dgm:t>
    </dgm:pt>
    <dgm:pt modelId="{0E0F8C8D-FA05-4758-8962-B08308AC6F21}" type="pres">
      <dgm:prSet presAssocID="{0CF94F56-D67E-4BA6-963F-EE55C46E25D2}" presName="vert1" presStyleCnt="0"/>
      <dgm:spPr/>
    </dgm:pt>
    <dgm:pt modelId="{E9539FF9-CE6E-4522-B9A7-C4100882E06C}" type="pres">
      <dgm:prSet presAssocID="{2B266B57-D013-4852-9614-F24306286D60}" presName="thickLine" presStyleLbl="alignNode1" presStyleIdx="3" presStyleCnt="7"/>
      <dgm:spPr/>
    </dgm:pt>
    <dgm:pt modelId="{DAB94709-9193-4C0F-88CA-8C821FFD4BDF}" type="pres">
      <dgm:prSet presAssocID="{2B266B57-D013-4852-9614-F24306286D60}" presName="horz1" presStyleCnt="0"/>
      <dgm:spPr/>
    </dgm:pt>
    <dgm:pt modelId="{6B22EFA6-7F79-46B0-8C24-571CB298173F}" type="pres">
      <dgm:prSet presAssocID="{2B266B57-D013-4852-9614-F24306286D60}" presName="tx1" presStyleLbl="revTx" presStyleIdx="3" presStyleCnt="7"/>
      <dgm:spPr/>
      <dgm:t>
        <a:bodyPr/>
        <a:lstStyle/>
        <a:p>
          <a:endParaRPr lang="es-CO"/>
        </a:p>
      </dgm:t>
    </dgm:pt>
    <dgm:pt modelId="{51AC3DED-8728-4352-AECC-86810F0E5E1E}" type="pres">
      <dgm:prSet presAssocID="{2B266B57-D013-4852-9614-F24306286D60}" presName="vert1" presStyleCnt="0"/>
      <dgm:spPr/>
    </dgm:pt>
    <dgm:pt modelId="{1453E0EC-A987-4FC6-8C6F-75EDA8287243}" type="pres">
      <dgm:prSet presAssocID="{59951248-5174-4337-AAF3-217007B1BEC9}" presName="thickLine" presStyleLbl="alignNode1" presStyleIdx="4" presStyleCnt="7"/>
      <dgm:spPr/>
    </dgm:pt>
    <dgm:pt modelId="{F5607DEC-D442-48BE-A076-72F1845604DA}" type="pres">
      <dgm:prSet presAssocID="{59951248-5174-4337-AAF3-217007B1BEC9}" presName="horz1" presStyleCnt="0"/>
      <dgm:spPr/>
    </dgm:pt>
    <dgm:pt modelId="{2074F951-223E-4518-8469-AC2DA6597212}" type="pres">
      <dgm:prSet presAssocID="{59951248-5174-4337-AAF3-217007B1BEC9}" presName="tx1" presStyleLbl="revTx" presStyleIdx="4" presStyleCnt="7"/>
      <dgm:spPr/>
      <dgm:t>
        <a:bodyPr/>
        <a:lstStyle/>
        <a:p>
          <a:endParaRPr lang="es-CO"/>
        </a:p>
      </dgm:t>
    </dgm:pt>
    <dgm:pt modelId="{A404AD2C-80A4-4438-A183-6BCACC2B280D}" type="pres">
      <dgm:prSet presAssocID="{59951248-5174-4337-AAF3-217007B1BEC9}" presName="vert1" presStyleCnt="0"/>
      <dgm:spPr/>
    </dgm:pt>
    <dgm:pt modelId="{DF26E068-E213-42D8-B4FC-4D5F40D92B82}" type="pres">
      <dgm:prSet presAssocID="{EBC512C8-670A-4121-BECE-6880602722F6}" presName="thickLine" presStyleLbl="alignNode1" presStyleIdx="5" presStyleCnt="7"/>
      <dgm:spPr/>
    </dgm:pt>
    <dgm:pt modelId="{2DD8B958-A49D-46F1-B615-94883BE3EC09}" type="pres">
      <dgm:prSet presAssocID="{EBC512C8-670A-4121-BECE-6880602722F6}" presName="horz1" presStyleCnt="0"/>
      <dgm:spPr/>
    </dgm:pt>
    <dgm:pt modelId="{29A38227-7859-4459-8CF3-398B8B20601E}" type="pres">
      <dgm:prSet presAssocID="{EBC512C8-670A-4121-BECE-6880602722F6}" presName="tx1" presStyleLbl="revTx" presStyleIdx="5" presStyleCnt="7"/>
      <dgm:spPr/>
      <dgm:t>
        <a:bodyPr/>
        <a:lstStyle/>
        <a:p>
          <a:endParaRPr lang="es-CO"/>
        </a:p>
      </dgm:t>
    </dgm:pt>
    <dgm:pt modelId="{21863D17-4C5A-4021-AC77-F597059241E6}" type="pres">
      <dgm:prSet presAssocID="{EBC512C8-670A-4121-BECE-6880602722F6}" presName="vert1" presStyleCnt="0"/>
      <dgm:spPr/>
    </dgm:pt>
    <dgm:pt modelId="{9E776F5C-A880-4840-98C6-0482AD333A9C}" type="pres">
      <dgm:prSet presAssocID="{B1A5775A-A264-41E9-B438-CF9A11B40FAB}" presName="thickLine" presStyleLbl="alignNode1" presStyleIdx="6" presStyleCnt="7"/>
      <dgm:spPr/>
    </dgm:pt>
    <dgm:pt modelId="{8DB60CA5-FAC0-4BAF-97C0-173A7A2ADF73}" type="pres">
      <dgm:prSet presAssocID="{B1A5775A-A264-41E9-B438-CF9A11B40FAB}" presName="horz1" presStyleCnt="0"/>
      <dgm:spPr/>
    </dgm:pt>
    <dgm:pt modelId="{3E4B9C90-A11F-461E-A620-04A43F95AE87}" type="pres">
      <dgm:prSet presAssocID="{B1A5775A-A264-41E9-B438-CF9A11B40FAB}" presName="tx1" presStyleLbl="revTx" presStyleIdx="6" presStyleCnt="7"/>
      <dgm:spPr/>
      <dgm:t>
        <a:bodyPr/>
        <a:lstStyle/>
        <a:p>
          <a:endParaRPr lang="es-CO"/>
        </a:p>
      </dgm:t>
    </dgm:pt>
    <dgm:pt modelId="{6C5BFAF9-CE02-45CC-9979-D3882FD72099}" type="pres">
      <dgm:prSet presAssocID="{B1A5775A-A264-41E9-B438-CF9A11B40FAB}" presName="vert1" presStyleCnt="0"/>
      <dgm:spPr/>
    </dgm:pt>
  </dgm:ptLst>
  <dgm:cxnLst>
    <dgm:cxn modelId="{5593634B-3B67-466F-83E4-6E82A1D72F6D}" type="presOf" srcId="{C1BC9ECC-C3A2-45F0-8E6D-76E6BF1ACBC8}" destId="{277FE8CC-9CEF-4AF0-BAB1-CEE29D1856D3}" srcOrd="0" destOrd="0" presId="urn:microsoft.com/office/officeart/2008/layout/LinedList"/>
    <dgm:cxn modelId="{B20CA676-0B86-44AB-A929-3F234AAE0D7A}" type="presOf" srcId="{EBC512C8-670A-4121-BECE-6880602722F6}" destId="{29A38227-7859-4459-8CF3-398B8B20601E}" srcOrd="0" destOrd="0" presId="urn:microsoft.com/office/officeart/2008/layout/LinedList"/>
    <dgm:cxn modelId="{7A548AE6-2468-44CD-B58E-2A1AA403D2A2}" type="presOf" srcId="{B1A5775A-A264-41E9-B438-CF9A11B40FAB}" destId="{3E4B9C90-A11F-461E-A620-04A43F95AE87}" srcOrd="0" destOrd="0" presId="urn:microsoft.com/office/officeart/2008/layout/LinedList"/>
    <dgm:cxn modelId="{E740654E-0378-4BDB-B494-DBE44BD9F6DB}" srcId="{93FAA5C6-607F-4138-A5D4-55D0C5DCD224}" destId="{B1A5775A-A264-41E9-B438-CF9A11B40FAB}" srcOrd="6" destOrd="0" parTransId="{A196D343-2466-456F-AF3F-B01A9A3D2230}" sibTransId="{68F9C3E4-240F-4853-9DA8-77AB06CB5B91}"/>
    <dgm:cxn modelId="{DE99043A-7E77-480B-BD79-5F6DC22E3CB4}" type="presOf" srcId="{59951248-5174-4337-AAF3-217007B1BEC9}" destId="{2074F951-223E-4518-8469-AC2DA6597212}" srcOrd="0" destOrd="0" presId="urn:microsoft.com/office/officeart/2008/layout/LinedList"/>
    <dgm:cxn modelId="{158441AA-F4D9-496E-BB18-77A1810D1737}" srcId="{93FAA5C6-607F-4138-A5D4-55D0C5DCD224}" destId="{0CF94F56-D67E-4BA6-963F-EE55C46E25D2}" srcOrd="2" destOrd="0" parTransId="{6A18ADC9-B8B9-422F-8BA2-B2394F8FE7E0}" sibTransId="{C18AD768-10E9-413B-8412-3F23B924D99B}"/>
    <dgm:cxn modelId="{AB931CF8-0A3C-4128-81D7-E8C4434217C1}" type="presOf" srcId="{801BD872-AB2D-4E1B-9F7A-D5A99F548934}" destId="{64CFDE52-0611-4E69-B556-10A6779CCB1D}" srcOrd="0" destOrd="0" presId="urn:microsoft.com/office/officeart/2008/layout/LinedList"/>
    <dgm:cxn modelId="{0CECA4E7-54DB-48BE-9204-6AAC182438E6}" type="presOf" srcId="{2B266B57-D013-4852-9614-F24306286D60}" destId="{6B22EFA6-7F79-46B0-8C24-571CB298173F}" srcOrd="0" destOrd="0" presId="urn:microsoft.com/office/officeart/2008/layout/LinedList"/>
    <dgm:cxn modelId="{DD64B5A0-4940-4914-B28C-C06FFD73C1F0}" srcId="{93FAA5C6-607F-4138-A5D4-55D0C5DCD224}" destId="{C1BC9ECC-C3A2-45F0-8E6D-76E6BF1ACBC8}" srcOrd="1" destOrd="0" parTransId="{7854282A-174B-4CEC-A800-2B278695428B}" sibTransId="{7AF8DBAC-3EAF-4900-9AC3-81B1C41F68AD}"/>
    <dgm:cxn modelId="{BB2DC25C-67AC-4F66-AEB2-E81D628AF7C3}" type="presOf" srcId="{93FAA5C6-607F-4138-A5D4-55D0C5DCD224}" destId="{8E57C914-9675-4C94-9C67-A393A3D3CD51}" srcOrd="0" destOrd="0" presId="urn:microsoft.com/office/officeart/2008/layout/LinedList"/>
    <dgm:cxn modelId="{BEB2F7D2-8B30-47FF-BDA6-E8953C241068}" srcId="{93FAA5C6-607F-4138-A5D4-55D0C5DCD224}" destId="{801BD872-AB2D-4E1B-9F7A-D5A99F548934}" srcOrd="0" destOrd="0" parTransId="{8E75DA43-E590-41B9-8B3E-6D0A1681AE6D}" sibTransId="{B6725A51-8FBA-45E8-82EB-B0AC84C004D8}"/>
    <dgm:cxn modelId="{8BBAF6C6-3F9D-4068-B96C-C5B28FE1B9C1}" type="presOf" srcId="{0CF94F56-D67E-4BA6-963F-EE55C46E25D2}" destId="{7EF215E7-688C-4EFC-909A-A1F69877FCF2}" srcOrd="0" destOrd="0" presId="urn:microsoft.com/office/officeart/2008/layout/LinedList"/>
    <dgm:cxn modelId="{5267D4B2-CA2B-4263-9A31-D019FD37DF4A}" srcId="{93FAA5C6-607F-4138-A5D4-55D0C5DCD224}" destId="{59951248-5174-4337-AAF3-217007B1BEC9}" srcOrd="4" destOrd="0" parTransId="{DAF31EB1-9EBB-4A5C-826A-9310FE03DDC3}" sibTransId="{79D279EF-8BD3-4199-AAF0-E18084197CD7}"/>
    <dgm:cxn modelId="{8E752AE7-AF1F-401D-9FF1-0AE4CC11AAE0}" srcId="{93FAA5C6-607F-4138-A5D4-55D0C5DCD224}" destId="{EBC512C8-670A-4121-BECE-6880602722F6}" srcOrd="5" destOrd="0" parTransId="{BD0B91C5-A1BA-4801-AF72-EEE6A11AC83C}" sibTransId="{5ED619F9-5D36-43A9-94BB-C9487CC0F631}"/>
    <dgm:cxn modelId="{20B83055-C9C0-4098-BCC2-4D7F93120864}" srcId="{93FAA5C6-607F-4138-A5D4-55D0C5DCD224}" destId="{2B266B57-D013-4852-9614-F24306286D60}" srcOrd="3" destOrd="0" parTransId="{4D594A88-381D-4C19-A65E-9B184968C368}" sibTransId="{210798C7-1646-486C-867E-F5B9F036CD1D}"/>
    <dgm:cxn modelId="{F6400C6C-6A9A-49EF-ADBC-05759B2E5A82}" type="presParOf" srcId="{8E57C914-9675-4C94-9C67-A393A3D3CD51}" destId="{3CC770C9-23F5-4800-93A3-9E614E406601}" srcOrd="0" destOrd="0" presId="urn:microsoft.com/office/officeart/2008/layout/LinedList"/>
    <dgm:cxn modelId="{F18E7A56-B615-4459-9CD7-62A78B6C1424}" type="presParOf" srcId="{8E57C914-9675-4C94-9C67-A393A3D3CD51}" destId="{59C24910-02B7-41F9-B9FC-F9B0194443CA}" srcOrd="1" destOrd="0" presId="urn:microsoft.com/office/officeart/2008/layout/LinedList"/>
    <dgm:cxn modelId="{B4DC2134-9F0B-4470-98B4-D92B01B75A49}" type="presParOf" srcId="{59C24910-02B7-41F9-B9FC-F9B0194443CA}" destId="{64CFDE52-0611-4E69-B556-10A6779CCB1D}" srcOrd="0" destOrd="0" presId="urn:microsoft.com/office/officeart/2008/layout/LinedList"/>
    <dgm:cxn modelId="{D824CD75-2CB5-464B-A25B-260FFEDDFFC6}" type="presParOf" srcId="{59C24910-02B7-41F9-B9FC-F9B0194443CA}" destId="{D8070BAA-E382-4241-8118-B46294A4B084}" srcOrd="1" destOrd="0" presId="urn:microsoft.com/office/officeart/2008/layout/LinedList"/>
    <dgm:cxn modelId="{29DF5D80-5F24-4D76-B0D2-6FB30417D217}" type="presParOf" srcId="{8E57C914-9675-4C94-9C67-A393A3D3CD51}" destId="{0C6D0738-9751-4A43-BCE5-68DF920BF018}" srcOrd="2" destOrd="0" presId="urn:microsoft.com/office/officeart/2008/layout/LinedList"/>
    <dgm:cxn modelId="{14EA4752-74EE-4767-A2C2-6D79B9068997}" type="presParOf" srcId="{8E57C914-9675-4C94-9C67-A393A3D3CD51}" destId="{C7B8AEFC-05C8-4BA4-861C-20EB73B571BC}" srcOrd="3" destOrd="0" presId="urn:microsoft.com/office/officeart/2008/layout/LinedList"/>
    <dgm:cxn modelId="{441EBF4A-75E5-4D3B-9CB8-A6C4DE9BD974}" type="presParOf" srcId="{C7B8AEFC-05C8-4BA4-861C-20EB73B571BC}" destId="{277FE8CC-9CEF-4AF0-BAB1-CEE29D1856D3}" srcOrd="0" destOrd="0" presId="urn:microsoft.com/office/officeart/2008/layout/LinedList"/>
    <dgm:cxn modelId="{44B28C17-31FB-420B-83D1-E3871F06479D}" type="presParOf" srcId="{C7B8AEFC-05C8-4BA4-861C-20EB73B571BC}" destId="{C4AB0D91-080E-4711-83AE-E7518E915F0A}" srcOrd="1" destOrd="0" presId="urn:microsoft.com/office/officeart/2008/layout/LinedList"/>
    <dgm:cxn modelId="{B0ABBA25-3458-4C16-81D6-0F64BA535954}" type="presParOf" srcId="{8E57C914-9675-4C94-9C67-A393A3D3CD51}" destId="{4A5AC0C9-42F4-4D92-B93B-686ED5278451}" srcOrd="4" destOrd="0" presId="urn:microsoft.com/office/officeart/2008/layout/LinedList"/>
    <dgm:cxn modelId="{D1134576-BA49-4DD5-828B-9460DD52BDCA}" type="presParOf" srcId="{8E57C914-9675-4C94-9C67-A393A3D3CD51}" destId="{06F0913F-E2CF-43A8-B8C4-12BD2F4A52ED}" srcOrd="5" destOrd="0" presId="urn:microsoft.com/office/officeart/2008/layout/LinedList"/>
    <dgm:cxn modelId="{261B3F0D-FB5C-45A3-BDD6-8DD2AFE385DC}" type="presParOf" srcId="{06F0913F-E2CF-43A8-B8C4-12BD2F4A52ED}" destId="{7EF215E7-688C-4EFC-909A-A1F69877FCF2}" srcOrd="0" destOrd="0" presId="urn:microsoft.com/office/officeart/2008/layout/LinedList"/>
    <dgm:cxn modelId="{CB439B54-9083-4577-A9C8-30B0F124DFBA}" type="presParOf" srcId="{06F0913F-E2CF-43A8-B8C4-12BD2F4A52ED}" destId="{0E0F8C8D-FA05-4758-8962-B08308AC6F21}" srcOrd="1" destOrd="0" presId="urn:microsoft.com/office/officeart/2008/layout/LinedList"/>
    <dgm:cxn modelId="{D3300212-BE59-4B51-9C11-9A377E71748F}" type="presParOf" srcId="{8E57C914-9675-4C94-9C67-A393A3D3CD51}" destId="{E9539FF9-CE6E-4522-B9A7-C4100882E06C}" srcOrd="6" destOrd="0" presId="urn:microsoft.com/office/officeart/2008/layout/LinedList"/>
    <dgm:cxn modelId="{1CCD3AE0-7D4D-4BDA-BB43-5F72560E8F5E}" type="presParOf" srcId="{8E57C914-9675-4C94-9C67-A393A3D3CD51}" destId="{DAB94709-9193-4C0F-88CA-8C821FFD4BDF}" srcOrd="7" destOrd="0" presId="urn:microsoft.com/office/officeart/2008/layout/LinedList"/>
    <dgm:cxn modelId="{5E54AB57-DCC9-46CD-8A26-AC5A75DA2ED8}" type="presParOf" srcId="{DAB94709-9193-4C0F-88CA-8C821FFD4BDF}" destId="{6B22EFA6-7F79-46B0-8C24-571CB298173F}" srcOrd="0" destOrd="0" presId="urn:microsoft.com/office/officeart/2008/layout/LinedList"/>
    <dgm:cxn modelId="{3BB11B61-CA29-4276-BFE4-4BE6923E9530}" type="presParOf" srcId="{DAB94709-9193-4C0F-88CA-8C821FFD4BDF}" destId="{51AC3DED-8728-4352-AECC-86810F0E5E1E}" srcOrd="1" destOrd="0" presId="urn:microsoft.com/office/officeart/2008/layout/LinedList"/>
    <dgm:cxn modelId="{4DD38340-2B2D-4579-948C-8D2754034877}" type="presParOf" srcId="{8E57C914-9675-4C94-9C67-A393A3D3CD51}" destId="{1453E0EC-A987-4FC6-8C6F-75EDA8287243}" srcOrd="8" destOrd="0" presId="urn:microsoft.com/office/officeart/2008/layout/LinedList"/>
    <dgm:cxn modelId="{22A5D7ED-A8BA-4D63-81D2-6380B3EBF09F}" type="presParOf" srcId="{8E57C914-9675-4C94-9C67-A393A3D3CD51}" destId="{F5607DEC-D442-48BE-A076-72F1845604DA}" srcOrd="9" destOrd="0" presId="urn:microsoft.com/office/officeart/2008/layout/LinedList"/>
    <dgm:cxn modelId="{FA2E64B7-B6F4-481E-9C2F-14F6B2510144}" type="presParOf" srcId="{F5607DEC-D442-48BE-A076-72F1845604DA}" destId="{2074F951-223E-4518-8469-AC2DA6597212}" srcOrd="0" destOrd="0" presId="urn:microsoft.com/office/officeart/2008/layout/LinedList"/>
    <dgm:cxn modelId="{C06FBAA5-3005-4AC3-A13B-880BD7733B19}" type="presParOf" srcId="{F5607DEC-D442-48BE-A076-72F1845604DA}" destId="{A404AD2C-80A4-4438-A183-6BCACC2B280D}" srcOrd="1" destOrd="0" presId="urn:microsoft.com/office/officeart/2008/layout/LinedList"/>
    <dgm:cxn modelId="{D13C003B-4F0C-4B80-90C9-21BEAB944D22}" type="presParOf" srcId="{8E57C914-9675-4C94-9C67-A393A3D3CD51}" destId="{DF26E068-E213-42D8-B4FC-4D5F40D92B82}" srcOrd="10" destOrd="0" presId="urn:microsoft.com/office/officeart/2008/layout/LinedList"/>
    <dgm:cxn modelId="{AF5D36DC-0C28-4E63-980A-2FE4928A23ED}" type="presParOf" srcId="{8E57C914-9675-4C94-9C67-A393A3D3CD51}" destId="{2DD8B958-A49D-46F1-B615-94883BE3EC09}" srcOrd="11" destOrd="0" presId="urn:microsoft.com/office/officeart/2008/layout/LinedList"/>
    <dgm:cxn modelId="{62379721-9764-42C1-9BA0-77DDE39CD795}" type="presParOf" srcId="{2DD8B958-A49D-46F1-B615-94883BE3EC09}" destId="{29A38227-7859-4459-8CF3-398B8B20601E}" srcOrd="0" destOrd="0" presId="urn:microsoft.com/office/officeart/2008/layout/LinedList"/>
    <dgm:cxn modelId="{CACE2450-6F2B-43AE-827B-8DF33C70F065}" type="presParOf" srcId="{2DD8B958-A49D-46F1-B615-94883BE3EC09}" destId="{21863D17-4C5A-4021-AC77-F597059241E6}" srcOrd="1" destOrd="0" presId="urn:microsoft.com/office/officeart/2008/layout/LinedList"/>
    <dgm:cxn modelId="{2C17E1D0-538B-4191-B855-43F151F0087C}" type="presParOf" srcId="{8E57C914-9675-4C94-9C67-A393A3D3CD51}" destId="{9E776F5C-A880-4840-98C6-0482AD333A9C}" srcOrd="12" destOrd="0" presId="urn:microsoft.com/office/officeart/2008/layout/LinedList"/>
    <dgm:cxn modelId="{6914D6BA-856D-4721-B083-1373B5ED2D37}" type="presParOf" srcId="{8E57C914-9675-4C94-9C67-A393A3D3CD51}" destId="{8DB60CA5-FAC0-4BAF-97C0-173A7A2ADF73}" srcOrd="13" destOrd="0" presId="urn:microsoft.com/office/officeart/2008/layout/LinedList"/>
    <dgm:cxn modelId="{B0D5CC4C-0B62-4290-BC3B-F388617538EE}" type="presParOf" srcId="{8DB60CA5-FAC0-4BAF-97C0-173A7A2ADF73}" destId="{3E4B9C90-A11F-461E-A620-04A43F95AE87}" srcOrd="0" destOrd="0" presId="urn:microsoft.com/office/officeart/2008/layout/LinedList"/>
    <dgm:cxn modelId="{C19D70C6-16F3-4EF6-8510-3107EB899D8F}" type="presParOf" srcId="{8DB60CA5-FAC0-4BAF-97C0-173A7A2ADF73}" destId="{6C5BFAF9-CE02-45CC-9979-D3882FD72099}" srcOrd="1" destOrd="0" presId="urn:microsoft.com/office/officeart/2008/layout/Lined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CC770C9-23F5-4800-93A3-9E614E406601}">
      <dsp:nvSpPr>
        <dsp:cNvPr id="0" name=""/>
        <dsp:cNvSpPr/>
      </dsp:nvSpPr>
      <dsp:spPr>
        <a:xfrm>
          <a:off x="0" y="390"/>
          <a:ext cx="5486400" cy="0"/>
        </a:xfrm>
        <a:prstGeom prst="lin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64CFDE52-0611-4E69-B556-10A6779CCB1D}">
      <dsp:nvSpPr>
        <dsp:cNvPr id="0" name=""/>
        <dsp:cNvSpPr/>
      </dsp:nvSpPr>
      <dsp:spPr>
        <a:xfrm>
          <a:off x="0" y="390"/>
          <a:ext cx="5486400" cy="457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es-ES" sz="900" kern="1200"/>
            <a:t>Ley 1403 de 2010 estableció un derecho de remuneración por comunicación pública a los artistas intérpretes o ejecutantes de obras y grabaciones audiovisuales. </a:t>
          </a:r>
          <a:endParaRPr lang="es-CO" sz="900" kern="1200"/>
        </a:p>
      </dsp:txBody>
      <dsp:txXfrm>
        <a:off x="0" y="390"/>
        <a:ext cx="5486400" cy="457088"/>
      </dsp:txXfrm>
    </dsp:sp>
    <dsp:sp modelId="{0C6D0738-9751-4A43-BCE5-68DF920BF018}">
      <dsp:nvSpPr>
        <dsp:cNvPr id="0" name=""/>
        <dsp:cNvSpPr/>
      </dsp:nvSpPr>
      <dsp:spPr>
        <a:xfrm>
          <a:off x="0" y="457479"/>
          <a:ext cx="5486400" cy="0"/>
        </a:xfrm>
        <a:prstGeom prst="lin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277FE8CC-9CEF-4AF0-BAB1-CEE29D1856D3}">
      <dsp:nvSpPr>
        <dsp:cNvPr id="0" name=""/>
        <dsp:cNvSpPr/>
      </dsp:nvSpPr>
      <dsp:spPr>
        <a:xfrm>
          <a:off x="0" y="457479"/>
          <a:ext cx="5486400" cy="457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es-ES" sz="900" kern="1200"/>
            <a:t>Ley 1450 de 2011 eliminó la barrera que impedía que los creadores de producciones científicas, literarias y artísticas, cuyos proyectos fueran financiados por recursos públicos, fueran los titulares de los derechos resultantes de dichos proyectos, facilitando así su comercialización y/o transferencia. </a:t>
          </a:r>
          <a:endParaRPr lang="es-CO" sz="900" kern="1200"/>
        </a:p>
      </dsp:txBody>
      <dsp:txXfrm>
        <a:off x="0" y="457479"/>
        <a:ext cx="5486400" cy="457088"/>
      </dsp:txXfrm>
    </dsp:sp>
    <dsp:sp modelId="{4A5AC0C9-42F4-4D92-B93B-686ED5278451}">
      <dsp:nvSpPr>
        <dsp:cNvPr id="0" name=""/>
        <dsp:cNvSpPr/>
      </dsp:nvSpPr>
      <dsp:spPr>
        <a:xfrm>
          <a:off x="0" y="914567"/>
          <a:ext cx="5486400" cy="0"/>
        </a:xfrm>
        <a:prstGeom prst="lin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7EF215E7-688C-4EFC-909A-A1F69877FCF2}">
      <dsp:nvSpPr>
        <dsp:cNvPr id="0" name=""/>
        <dsp:cNvSpPr/>
      </dsp:nvSpPr>
      <dsp:spPr>
        <a:xfrm>
          <a:off x="0" y="914567"/>
          <a:ext cx="5486400" cy="457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es-ES" sz="900" kern="1200"/>
            <a:t>Ley 1493 de 2011 facultó a la DNDA para la inspección, vigilancia y control sobre las sociedades de gestión colectiva y sus entidades recaudadoras, lo cual le permite adoptar medidas de control y toma de posesión, inclusive de sanción. </a:t>
          </a:r>
          <a:endParaRPr lang="es-CO" sz="900" kern="1200"/>
        </a:p>
      </dsp:txBody>
      <dsp:txXfrm>
        <a:off x="0" y="914567"/>
        <a:ext cx="5486400" cy="457088"/>
      </dsp:txXfrm>
    </dsp:sp>
    <dsp:sp modelId="{E9539FF9-CE6E-4522-B9A7-C4100882E06C}">
      <dsp:nvSpPr>
        <dsp:cNvPr id="0" name=""/>
        <dsp:cNvSpPr/>
      </dsp:nvSpPr>
      <dsp:spPr>
        <a:xfrm>
          <a:off x="0" y="1371655"/>
          <a:ext cx="5486400" cy="0"/>
        </a:xfrm>
        <a:prstGeom prst="lin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6B22EFA6-7F79-46B0-8C24-571CB298173F}">
      <dsp:nvSpPr>
        <dsp:cNvPr id="0" name=""/>
        <dsp:cNvSpPr/>
      </dsp:nvSpPr>
      <dsp:spPr>
        <a:xfrm>
          <a:off x="0" y="1371655"/>
          <a:ext cx="5486400" cy="457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es-ES" sz="900" kern="1200"/>
            <a:t>La Ley 1519 de 2012 aprobó el </a:t>
          </a:r>
          <a:r>
            <a:rPr lang="es-ES" sz="900" i="1" kern="1200"/>
            <a:t>"Convenio sobre la distribución de señales portadoras de programas transmitidas por satélite"</a:t>
          </a:r>
          <a:r>
            <a:rPr lang="es-ES" sz="900" kern="1200"/>
            <a:t> hecho en Bruselas el 21 de mayo de 1974, lo cual asegura la adopción de todos los tratados internacionales en materia de Derecho de Autor y Derechos Conexos que hasta esa fecha eran administrados por la OMPI.</a:t>
          </a:r>
          <a:endParaRPr lang="es-CO" sz="900" kern="1200"/>
        </a:p>
      </dsp:txBody>
      <dsp:txXfrm>
        <a:off x="0" y="1371655"/>
        <a:ext cx="5486400" cy="457088"/>
      </dsp:txXfrm>
    </dsp:sp>
    <dsp:sp modelId="{1453E0EC-A987-4FC6-8C6F-75EDA8287243}">
      <dsp:nvSpPr>
        <dsp:cNvPr id="0" name=""/>
        <dsp:cNvSpPr/>
      </dsp:nvSpPr>
      <dsp:spPr>
        <a:xfrm>
          <a:off x="0" y="1828744"/>
          <a:ext cx="5486400" cy="0"/>
        </a:xfrm>
        <a:prstGeom prst="lin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2074F951-223E-4518-8469-AC2DA6597212}">
      <dsp:nvSpPr>
        <dsp:cNvPr id="0" name=""/>
        <dsp:cNvSpPr/>
      </dsp:nvSpPr>
      <dsp:spPr>
        <a:xfrm>
          <a:off x="0" y="1828744"/>
          <a:ext cx="5486400" cy="457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es-ES" sz="900" kern="1200"/>
            <a:t>La Ley 1680 de 2013 estableció una limitación o excepción en favor de personas con discapacidad visual que permite </a:t>
          </a:r>
          <a:r>
            <a:rPr lang="x-none" sz="900" kern="1200"/>
            <a:t>reproducir, distribuir, comunicar, traducir, arreglar, adaptar, arreglar o transformar</a:t>
          </a:r>
          <a:r>
            <a:rPr lang="es-ES" sz="900" kern="1200"/>
            <a:t> a braille y cualquier otro modo, medio o formato accesible elegido por las personas con discapacidad visual, obras literarias y artísticas.</a:t>
          </a:r>
          <a:endParaRPr lang="es-CO" sz="900" kern="1200"/>
        </a:p>
      </dsp:txBody>
      <dsp:txXfrm>
        <a:off x="0" y="1828744"/>
        <a:ext cx="5486400" cy="457088"/>
      </dsp:txXfrm>
    </dsp:sp>
    <dsp:sp modelId="{DF26E068-E213-42D8-B4FC-4D5F40D92B82}">
      <dsp:nvSpPr>
        <dsp:cNvPr id="0" name=""/>
        <dsp:cNvSpPr/>
      </dsp:nvSpPr>
      <dsp:spPr>
        <a:xfrm>
          <a:off x="0" y="2285832"/>
          <a:ext cx="5486400" cy="0"/>
        </a:xfrm>
        <a:prstGeom prst="lin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29A38227-7859-4459-8CF3-398B8B20601E}">
      <dsp:nvSpPr>
        <dsp:cNvPr id="0" name=""/>
        <dsp:cNvSpPr/>
      </dsp:nvSpPr>
      <dsp:spPr>
        <a:xfrm>
          <a:off x="0" y="2285832"/>
          <a:ext cx="5486400" cy="457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es-ES" sz="900" kern="1200"/>
            <a:t>La Ley 1564 de 2012 estableció que la DNDA ejercerá funciones jurisdiccionales en los procesos relacionados con los derechos de autor y conexos.</a:t>
          </a:r>
          <a:endParaRPr lang="es-CO" sz="900" kern="1200"/>
        </a:p>
      </dsp:txBody>
      <dsp:txXfrm>
        <a:off x="0" y="2285832"/>
        <a:ext cx="5486400" cy="457088"/>
      </dsp:txXfrm>
    </dsp:sp>
    <dsp:sp modelId="{9E776F5C-A880-4840-98C6-0482AD333A9C}">
      <dsp:nvSpPr>
        <dsp:cNvPr id="0" name=""/>
        <dsp:cNvSpPr/>
      </dsp:nvSpPr>
      <dsp:spPr>
        <a:xfrm>
          <a:off x="0" y="2742920"/>
          <a:ext cx="5486400" cy="0"/>
        </a:xfrm>
        <a:prstGeom prst="lin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w="6350" cap="flat" cmpd="sng" algn="ctr">
          <a:solidFill>
            <a:schemeClr val="accent1">
              <a:hueOff val="0"/>
              <a:satOff val="0"/>
              <a:lumOff val="0"/>
              <a:alphaOff val="0"/>
            </a:schemeClr>
          </a:solidFill>
          <a:prstDash val="solid"/>
          <a:miter lim="800000"/>
        </a:ln>
        <a:effectLst/>
      </dsp:spPr>
      <dsp:style>
        <a:lnRef idx="1">
          <a:scrgbClr r="0" g="0" b="0"/>
        </a:lnRef>
        <a:fillRef idx="2">
          <a:scrgbClr r="0" g="0" b="0"/>
        </a:fillRef>
        <a:effectRef idx="1">
          <a:scrgbClr r="0" g="0" b="0"/>
        </a:effectRef>
        <a:fontRef idx="minor">
          <a:schemeClr val="dk1"/>
        </a:fontRef>
      </dsp:style>
    </dsp:sp>
    <dsp:sp modelId="{3E4B9C90-A11F-461E-A620-04A43F95AE87}">
      <dsp:nvSpPr>
        <dsp:cNvPr id="0" name=""/>
        <dsp:cNvSpPr/>
      </dsp:nvSpPr>
      <dsp:spPr>
        <a:xfrm>
          <a:off x="0" y="2742920"/>
          <a:ext cx="5486400" cy="45708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es-ES" sz="900" kern="1200"/>
            <a:t>La Ley 1753 de 2015 incluyó la cesión de derechos, que sobre eventuales resultados de proyectos financiados con recursos del tesoro nacional, podrá hacer el Estado a las partes de los mismos. </a:t>
          </a:r>
          <a:endParaRPr lang="es-CO" sz="900" kern="1200"/>
        </a:p>
      </dsp:txBody>
      <dsp:txXfrm>
        <a:off x="0" y="2742920"/>
        <a:ext cx="5486400" cy="457088"/>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4DB6A9-59C7-41FB-B643-436A03503613}"/>
</file>

<file path=customXml/itemProps2.xml><?xml version="1.0" encoding="utf-8"?>
<ds:datastoreItem xmlns:ds="http://schemas.openxmlformats.org/officeDocument/2006/customXml" ds:itemID="{2E6B5443-743A-4DDC-9E36-97EC6DE395E4}"/>
</file>

<file path=customXml/itemProps3.xml><?xml version="1.0" encoding="utf-8"?>
<ds:datastoreItem xmlns:ds="http://schemas.openxmlformats.org/officeDocument/2006/customXml" ds:itemID="{097AC57C-6D73-4B64-9A5F-44C951B383E2}"/>
</file>

<file path=docProps/app.xml><?xml version="1.0" encoding="utf-8"?>
<Properties xmlns="http://schemas.openxmlformats.org/officeDocument/2006/extended-properties" xmlns:vt="http://schemas.openxmlformats.org/officeDocument/2006/docPropsVTypes">
  <Template>Normal</Template>
  <TotalTime>6</TotalTime>
  <Pages>4</Pages>
  <Words>1212</Words>
  <Characters>6668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Gissela Vanessa Arias Gonzalez</dc:creator>
  <cp:keywords/>
  <dc:description/>
  <cp:lastModifiedBy>Gissela Arias G</cp:lastModifiedBy>
  <cp:revision>4</cp:revision>
  <dcterms:created xsi:type="dcterms:W3CDTF">2016-05-12T15:45:00Z</dcterms:created>
  <dcterms:modified xsi:type="dcterms:W3CDTF">2016-05-12T17:27:00Z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