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25856" w14:textId="77777777" w:rsidR="00BA47E9" w:rsidRDefault="008F4FF6">
      <w:pPr>
        <w:spacing w:before="240" w:after="240"/>
        <w:ind w:left="-280" w:hanging="3"/>
        <w:jc w:val="both"/>
        <w:rPr>
          <w:b/>
          <w:bCs/>
          <w:sz w:val="44"/>
          <w:szCs w:val="44"/>
        </w:rPr>
      </w:pPr>
      <w:r>
        <w:rPr>
          <w:b/>
          <w:bCs/>
          <w:sz w:val="44"/>
          <w:szCs w:val="44"/>
        </w:rPr>
        <w:t xml:space="preserve">Joint Submission of Additional Information on the protection of the rights of children engaged in labour </w:t>
      </w:r>
    </w:p>
    <w:p w14:paraId="0193B695" w14:textId="77777777" w:rsidR="00BA47E9" w:rsidRDefault="008F4FF6">
      <w:pPr>
        <w:spacing w:before="240" w:after="240"/>
        <w:ind w:left="-280" w:hanging="3"/>
        <w:jc w:val="both"/>
        <w:rPr>
          <w:b/>
          <w:bCs/>
          <w:sz w:val="44"/>
          <w:szCs w:val="44"/>
        </w:rPr>
      </w:pPr>
      <w:r>
        <w:rPr>
          <w:b/>
          <w:bCs/>
          <w:sz w:val="44"/>
          <w:szCs w:val="44"/>
        </w:rPr>
        <w:t>100</w:t>
      </w:r>
      <w:r>
        <w:rPr>
          <w:b/>
          <w:bCs/>
          <w:sz w:val="44"/>
          <w:szCs w:val="44"/>
          <w:vertAlign w:val="superscript"/>
        </w:rPr>
        <w:t>th</w:t>
      </w:r>
      <w:r>
        <w:rPr>
          <w:b/>
          <w:bCs/>
          <w:sz w:val="44"/>
          <w:szCs w:val="44"/>
        </w:rPr>
        <w:t xml:space="preserve"> Session of the Committee on the Rights of the Child</w:t>
      </w:r>
    </w:p>
    <w:p w14:paraId="1AD035B8" w14:textId="77777777" w:rsidR="00BA47E9" w:rsidRDefault="00BA47E9">
      <w:pPr>
        <w:spacing w:before="240" w:after="240"/>
        <w:ind w:left="-280" w:hanging="3"/>
        <w:jc w:val="both"/>
        <w:rPr>
          <w:b/>
          <w:bCs/>
          <w:sz w:val="36"/>
          <w:szCs w:val="36"/>
        </w:rPr>
      </w:pPr>
    </w:p>
    <w:p w14:paraId="40A9812D" w14:textId="77777777" w:rsidR="00BA47E9" w:rsidRDefault="008F4FF6">
      <w:pPr>
        <w:spacing w:before="240" w:after="240"/>
        <w:ind w:left="-280" w:hanging="3"/>
        <w:jc w:val="both"/>
        <w:rPr>
          <w:b/>
          <w:bCs/>
          <w:sz w:val="72"/>
          <w:szCs w:val="72"/>
        </w:rPr>
      </w:pPr>
      <w:r>
        <w:rPr>
          <w:b/>
          <w:bCs/>
          <w:sz w:val="72"/>
          <w:szCs w:val="72"/>
        </w:rPr>
        <w:t>Malaysia</w:t>
      </w:r>
    </w:p>
    <w:p w14:paraId="41CD7C91" w14:textId="77777777" w:rsidR="00BA47E9" w:rsidRDefault="00BA47E9">
      <w:pPr>
        <w:spacing w:before="240" w:after="240"/>
        <w:ind w:left="-280" w:hanging="3"/>
        <w:jc w:val="both"/>
        <w:rPr>
          <w:b/>
          <w:bCs/>
          <w:sz w:val="72"/>
          <w:szCs w:val="72"/>
        </w:rPr>
      </w:pPr>
    </w:p>
    <w:p w14:paraId="0330A756" w14:textId="77777777" w:rsidR="00BA47E9" w:rsidRDefault="008F4FF6">
      <w:pPr>
        <w:spacing w:before="240" w:after="240"/>
        <w:ind w:left="-280" w:hanging="3"/>
        <w:jc w:val="both"/>
        <w:rPr>
          <w:b/>
          <w:bCs/>
          <w:sz w:val="72"/>
          <w:szCs w:val="72"/>
        </w:rPr>
      </w:pPr>
      <w:r>
        <w:rPr>
          <w:b/>
          <w:bCs/>
          <w:noProof/>
          <w:sz w:val="72"/>
          <w:szCs w:val="72"/>
        </w:rPr>
        <w:drawing>
          <wp:inline distT="114300" distB="114300" distL="114300" distR="114300" wp14:anchorId="139FB934" wp14:editId="7190C02D">
            <wp:extent cx="858916" cy="118530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858916" cy="1185304"/>
                    </a:xfrm>
                    <a:prstGeom prst="rect">
                      <a:avLst/>
                    </a:prstGeom>
                    <a:ln/>
                  </pic:spPr>
                </pic:pic>
              </a:graphicData>
            </a:graphic>
          </wp:inline>
        </w:drawing>
      </w:r>
      <w:r>
        <w:rPr>
          <w:b/>
          <w:bCs/>
          <w:noProof/>
          <w:sz w:val="72"/>
          <w:szCs w:val="72"/>
        </w:rPr>
        <w:drawing>
          <wp:inline distT="114300" distB="114300" distL="114300" distR="114300" wp14:anchorId="592978B4" wp14:editId="2708830F">
            <wp:extent cx="1362075" cy="13620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62075" cy="1362075"/>
                    </a:xfrm>
                    <a:prstGeom prst="rect">
                      <a:avLst/>
                    </a:prstGeom>
                    <a:ln/>
                  </pic:spPr>
                </pic:pic>
              </a:graphicData>
            </a:graphic>
          </wp:inline>
        </w:drawing>
      </w:r>
    </w:p>
    <w:p w14:paraId="7C904DDA" w14:textId="77777777" w:rsidR="00BA47E9" w:rsidRDefault="008F4FF6">
      <w:pPr>
        <w:spacing w:before="240" w:after="240"/>
        <w:ind w:left="-280" w:hanging="3"/>
        <w:jc w:val="both"/>
        <w:rPr>
          <w:b/>
          <w:bCs/>
          <w:sz w:val="28"/>
          <w:szCs w:val="28"/>
        </w:rPr>
      </w:pPr>
      <w:proofErr w:type="spellStart"/>
      <w:r>
        <w:rPr>
          <w:b/>
          <w:bCs/>
          <w:sz w:val="28"/>
          <w:szCs w:val="28"/>
        </w:rPr>
        <w:t>Kemban</w:t>
      </w:r>
      <w:proofErr w:type="spellEnd"/>
      <w:r>
        <w:rPr>
          <w:b/>
          <w:bCs/>
          <w:sz w:val="28"/>
          <w:szCs w:val="28"/>
        </w:rPr>
        <w:t xml:space="preserve"> </w:t>
      </w:r>
      <w:proofErr w:type="spellStart"/>
      <w:r>
        <w:rPr>
          <w:b/>
          <w:bCs/>
          <w:sz w:val="28"/>
          <w:szCs w:val="28"/>
        </w:rPr>
        <w:t>Kolektif</w:t>
      </w:r>
      <w:proofErr w:type="spellEnd"/>
    </w:p>
    <w:p w14:paraId="4707AC91" w14:textId="77777777" w:rsidR="00BA47E9" w:rsidRDefault="008F4FF6">
      <w:pPr>
        <w:spacing w:before="240" w:after="240"/>
        <w:ind w:left="-280" w:hanging="3"/>
        <w:jc w:val="both"/>
        <w:rPr>
          <w:b/>
          <w:bCs/>
          <w:sz w:val="34"/>
          <w:szCs w:val="34"/>
        </w:rPr>
      </w:pPr>
      <w:r>
        <w:rPr>
          <w:b/>
          <w:bCs/>
          <w:sz w:val="28"/>
          <w:szCs w:val="28"/>
        </w:rPr>
        <w:t>Advocates for Non-discrimination and Access to Knowledge (ANAK)</w:t>
      </w:r>
    </w:p>
    <w:p w14:paraId="0C7417B6" w14:textId="77777777" w:rsidR="00BA47E9" w:rsidRDefault="008F4FF6">
      <w:pPr>
        <w:spacing w:before="240" w:after="240"/>
        <w:ind w:left="-280" w:hanging="3"/>
        <w:jc w:val="both"/>
        <w:rPr>
          <w:b/>
          <w:bCs/>
          <w:sz w:val="28"/>
          <w:szCs w:val="28"/>
        </w:rPr>
      </w:pPr>
      <w:r>
        <w:rPr>
          <w:b/>
          <w:bCs/>
          <w:sz w:val="28"/>
          <w:szCs w:val="28"/>
        </w:rPr>
        <w:t>15 December 2025</w:t>
      </w:r>
    </w:p>
    <w:p w14:paraId="5CBE5D35" w14:textId="77777777" w:rsidR="00BA47E9" w:rsidRDefault="008F4FF6">
      <w:pPr>
        <w:spacing w:before="240" w:after="240"/>
        <w:jc w:val="both"/>
        <w:rPr>
          <w:b/>
          <w:bCs/>
          <w:sz w:val="28"/>
          <w:szCs w:val="28"/>
        </w:rPr>
      </w:pPr>
      <w:r>
        <w:rPr>
          <w:b/>
          <w:bCs/>
          <w:sz w:val="28"/>
          <w:szCs w:val="28"/>
        </w:rPr>
        <w:t xml:space="preserve"> </w:t>
      </w:r>
    </w:p>
    <w:p w14:paraId="0E0AAE06" w14:textId="77777777" w:rsidR="00BA47E9" w:rsidRDefault="00BA47E9">
      <w:pPr>
        <w:spacing w:before="240" w:after="240" w:line="360" w:lineRule="auto"/>
        <w:jc w:val="both"/>
        <w:rPr>
          <w:b/>
          <w:bCs/>
          <w:sz w:val="24"/>
          <w:szCs w:val="24"/>
        </w:rPr>
      </w:pPr>
    </w:p>
    <w:p w14:paraId="4AC2C1A5" w14:textId="77777777" w:rsidR="00BA47E9" w:rsidRDefault="00BA47E9">
      <w:pPr>
        <w:spacing w:before="240" w:after="240" w:line="360" w:lineRule="auto"/>
        <w:jc w:val="both"/>
        <w:rPr>
          <w:b/>
          <w:bCs/>
        </w:rPr>
      </w:pPr>
    </w:p>
    <w:p w14:paraId="2C8BA9E3" w14:textId="77777777" w:rsidR="00BA47E9" w:rsidRDefault="008F4FF6">
      <w:pPr>
        <w:spacing w:before="240" w:after="240" w:line="360" w:lineRule="auto"/>
        <w:jc w:val="both"/>
        <w:rPr>
          <w:b/>
          <w:bCs/>
        </w:rPr>
      </w:pPr>
      <w:r>
        <w:rPr>
          <w:b/>
          <w:bCs/>
        </w:rPr>
        <w:lastRenderedPageBreak/>
        <w:t>Joint Submission of Additional Information on the protection of the rights of children engaged in labour to the Committee on the Rights of the Child at the 100</w:t>
      </w:r>
      <w:r>
        <w:rPr>
          <w:b/>
          <w:bCs/>
          <w:vertAlign w:val="superscript"/>
        </w:rPr>
        <w:t>th</w:t>
      </w:r>
      <w:r>
        <w:rPr>
          <w:b/>
          <w:bCs/>
        </w:rPr>
        <w:t xml:space="preserve"> Session of the Committee on the Rights of the Child.</w:t>
      </w:r>
    </w:p>
    <w:p w14:paraId="0501463B" w14:textId="77777777" w:rsidR="00BA47E9" w:rsidRDefault="008F4FF6">
      <w:pPr>
        <w:spacing w:before="240" w:after="240" w:line="360" w:lineRule="auto"/>
        <w:jc w:val="both"/>
        <w:rPr>
          <w:b/>
          <w:bCs/>
        </w:rPr>
      </w:pPr>
      <w:r>
        <w:rPr>
          <w:b/>
          <w:bCs/>
        </w:rPr>
        <w:t xml:space="preserve">12. Please provide information on: </w:t>
      </w:r>
    </w:p>
    <w:p w14:paraId="1CEFF3F7" w14:textId="77777777" w:rsidR="00BA47E9" w:rsidRDefault="008F4FF6">
      <w:pPr>
        <w:jc w:val="both"/>
        <w:rPr>
          <w:b/>
          <w:bCs/>
        </w:rPr>
      </w:pPr>
      <w:r>
        <w:rPr>
          <w:b/>
          <w:bCs/>
        </w:rPr>
        <w:t xml:space="preserve">(a) The protection of the rights of children engaged in labour that may be considered hazardous but not specified in the Fourth Schedule of the Children and Young Persons (Employment) Act 1966 (Act 350) as amended in 2019, in particular at palm oil plantations; </w:t>
      </w:r>
    </w:p>
    <w:p w14:paraId="3C6F1CDA" w14:textId="77777777" w:rsidR="00BA47E9" w:rsidRDefault="00BA47E9">
      <w:pPr>
        <w:jc w:val="both"/>
      </w:pPr>
    </w:p>
    <w:p w14:paraId="0DB2B409" w14:textId="77777777" w:rsidR="00BA47E9" w:rsidRDefault="008F4FF6">
      <w:pPr>
        <w:jc w:val="both"/>
      </w:pPr>
      <w:r>
        <w:t>According to the International Labour Organisation (ILO), not all work done by children is classified as child labour. Child labour is defined as “work that deprives children of their childhood, their potential and their dignity, and is harmful to physical and mental development.”</w:t>
      </w:r>
      <w:r>
        <w:rPr>
          <w:vertAlign w:val="superscript"/>
        </w:rPr>
        <w:footnoteReference w:id="1"/>
      </w:r>
      <w:r>
        <w:t xml:space="preserve"> In Malaysia, the minimum age to work full-time is 15 years, and 13 years is the minimum age for light work (Section 2(2A) (Act A1586)). Malaysia’s National Action Plan Against Forced Labour (NAPFL) adopts ILO’s definition of child labour.</w:t>
      </w:r>
    </w:p>
    <w:p w14:paraId="1BB172C5" w14:textId="77777777" w:rsidR="00BA47E9" w:rsidRDefault="00BA47E9">
      <w:pPr>
        <w:jc w:val="both"/>
      </w:pPr>
    </w:p>
    <w:p w14:paraId="018CBD92" w14:textId="77777777" w:rsidR="00BA47E9" w:rsidRDefault="008F4FF6">
      <w:pPr>
        <w:jc w:val="both"/>
      </w:pPr>
      <w:r>
        <w:t>According to a study by Andika Wahab and Ramli Dollah on Measuring Child Labor in Oil Palm Production in Sabah, Malaysia</w:t>
      </w:r>
      <w:r>
        <w:rPr>
          <w:vertAlign w:val="superscript"/>
        </w:rPr>
        <w:footnoteReference w:id="2"/>
      </w:r>
      <w:r>
        <w:t xml:space="preserve">, the types of hazardous work that children engaged in labour, particularly at palm oil plantations take on are slashing, harvesting, fresh fruit bunch loading, and spraying pesticides. </w:t>
      </w:r>
    </w:p>
    <w:p w14:paraId="0F5140E4" w14:textId="77777777" w:rsidR="00BA47E9" w:rsidRDefault="00BA47E9">
      <w:pPr>
        <w:jc w:val="both"/>
      </w:pPr>
    </w:p>
    <w:p w14:paraId="3B331CCF" w14:textId="77777777" w:rsidR="00BA47E9" w:rsidRDefault="008F4FF6">
      <w:pPr>
        <w:jc w:val="both"/>
      </w:pPr>
      <w:r>
        <w:t>Slashing and harvesting are considered hazardous activities as it involves the use of sharp tools. Fresh fruit bunch loading is hazardous as it involves moving heavy objects from one place to another and spraying pesticides is considered hazardous as it involves handling chemicals.</w:t>
      </w:r>
    </w:p>
    <w:p w14:paraId="32E4F619" w14:textId="77777777" w:rsidR="00BA47E9" w:rsidRDefault="00BA47E9">
      <w:pPr>
        <w:jc w:val="both"/>
      </w:pPr>
    </w:p>
    <w:p w14:paraId="14C1E46B" w14:textId="77777777" w:rsidR="00BA47E9" w:rsidRDefault="008F4FF6">
      <w:pPr>
        <w:jc w:val="both"/>
      </w:pPr>
      <w:r>
        <w:t>In terms of protection of the rights of children engaged in labour that might be considered hazardous under the law, the 2019 amendment by the Federal Government on Act 350 is now reflected in the Second Schedule of the Sabah Labour Ordinance (Amendment) Act 2025</w:t>
      </w:r>
      <w:r>
        <w:rPr>
          <w:vertAlign w:val="superscript"/>
        </w:rPr>
        <w:footnoteReference w:id="3"/>
      </w:r>
      <w:r>
        <w:t xml:space="preserve"> and the Second Schedule of the Sarawak Labour Ordinance (Amendment) Act 2025</w:t>
      </w:r>
      <w:r>
        <w:rPr>
          <w:vertAlign w:val="superscript"/>
        </w:rPr>
        <w:footnoteReference w:id="4"/>
      </w:r>
      <w:r>
        <w:t xml:space="preserve"> which came into force on 1st May 2025. </w:t>
      </w:r>
    </w:p>
    <w:p w14:paraId="6D648D59" w14:textId="77777777" w:rsidR="00BA47E9" w:rsidRDefault="00BA47E9">
      <w:pPr>
        <w:jc w:val="both"/>
      </w:pPr>
    </w:p>
    <w:p w14:paraId="458F7D2D" w14:textId="77777777" w:rsidR="00BA47E9" w:rsidRDefault="008F4FF6">
      <w:pPr>
        <w:jc w:val="both"/>
      </w:pPr>
      <w:r>
        <w:t>Those who are found to be in contradiction with the law will face a fine of not more than RM50,000. The effectiveness of on-ground enforcement remains to be seen as the amendments came into force very recently.</w:t>
      </w:r>
    </w:p>
    <w:p w14:paraId="2CC20C47" w14:textId="77777777" w:rsidR="00BA47E9" w:rsidRDefault="00BA47E9">
      <w:pPr>
        <w:jc w:val="both"/>
      </w:pPr>
    </w:p>
    <w:p w14:paraId="2B5DCCF8" w14:textId="77777777" w:rsidR="00BA47E9" w:rsidRDefault="008F4FF6">
      <w:pPr>
        <w:jc w:val="both"/>
      </w:pPr>
      <w:r>
        <w:t>On the issue of child labour, although available insights are limited and do not allow for determining the scale of the problem, it is noteworthy that NGOs regard it as a major focus of their work, particularly in Sabah and Sarawak. This suggests that child labour is present but largely unacknowledged or overlooked, despite its close links to forced labour and trafficking. For example, children of migrant parents in forced labour situations -- such as excessive work hours and wage withholding – are likely t</w:t>
      </w:r>
      <w:r>
        <w:t xml:space="preserve">o experience disrupted education due to financial pressures and the lack of parental supervision or support.  </w:t>
      </w:r>
    </w:p>
    <w:p w14:paraId="488D2361" w14:textId="77777777" w:rsidR="00BA47E9" w:rsidRDefault="00BA47E9">
      <w:pPr>
        <w:jc w:val="both"/>
      </w:pPr>
    </w:p>
    <w:p w14:paraId="69931F8B" w14:textId="77777777" w:rsidR="00BA47E9" w:rsidRDefault="008F4FF6">
      <w:pPr>
        <w:jc w:val="both"/>
      </w:pPr>
      <w:r>
        <w:t>There is currently no remediation programme specifically for children in child labour situations in Sabah and non-citizen children are not able to access government schools. Note that Malaysia has a reservation on Article 29(a) of the CRC to provide compulsory primary education for all children. However, there are alternative education opportunities available for migrant children living on plantations. These fall into three broad categories: Community Learning Centres (CLCs), which are operated through a pa</w:t>
      </w:r>
      <w:r>
        <w:t xml:space="preserve">rtnership between the Indonesian Government and plantation companies in Sabah and provide services to Indonesian children; Alternative Learning Centres (ALCs), which are run through a partnership between the Humana Child Aid Society Sabah and plantation companies and provide services to all children in their plantations; and several other community-based learning centres operated by local NGOs and sponsors in rural parts of Sabah that provide services to children. </w:t>
      </w:r>
    </w:p>
    <w:p w14:paraId="4C2E197F" w14:textId="77777777" w:rsidR="00BA47E9" w:rsidRDefault="00BA47E9">
      <w:pPr>
        <w:jc w:val="both"/>
      </w:pPr>
    </w:p>
    <w:p w14:paraId="1F94FC99" w14:textId="77777777" w:rsidR="00BA47E9" w:rsidRDefault="008F4FF6">
      <w:pPr>
        <w:jc w:val="both"/>
      </w:pPr>
      <w:r>
        <w:t xml:space="preserve">Inadequate childcare and CLCs, a prevailing condition reported by NGOs at many worksites, may also drive younger children into labour. Limited access to formal education, particularly for children of migrant workers who face enrolment restrictions in public schools, further compounds this vulnerability as many children rely on CLCs as their main means of schooling and education. </w:t>
      </w:r>
    </w:p>
    <w:p w14:paraId="31AB3CCB" w14:textId="77777777" w:rsidR="00BA47E9" w:rsidRDefault="00BA47E9">
      <w:pPr>
        <w:jc w:val="both"/>
        <w:rPr>
          <w:b/>
          <w:bCs/>
        </w:rPr>
      </w:pPr>
    </w:p>
    <w:p w14:paraId="11480EF7" w14:textId="77777777" w:rsidR="00BA47E9" w:rsidRDefault="008F4FF6">
      <w:pPr>
        <w:jc w:val="both"/>
      </w:pPr>
      <w:r>
        <w:t>However, these CLCs are mostly in well-resourced large plantations, as required by their sustainability certifications. There are still many mid-sized and smallholder oil plantations that do not have the financial capability and resources to provide education for the children of their workers. Another challenge for children to access education is transportation, which is financially taxing for workers, especially in geographically vast areas such as plantations. Large plantations have the resources to provi</w:t>
      </w:r>
      <w:r>
        <w:t>de transportation support for children, however, the problem would be for mid-sized and smaller plantations who do not have the resources and/or have to travel outside of the plantations to access other CLCs. Additionally, registration for learning centres outside of plantations is problematic, as the requirements provided by the Malaysian Education Department are difficult to comply with due to their lack of resources, and learning centres are constantly at risk of being shut down. This may help explain wh</w:t>
      </w:r>
      <w:r>
        <w:t xml:space="preserve">y many teenagers in Sabah, as observed by NGOs, enter the workforce immediately after leaving school, as few CLCs offer secondary education, which increases their vulnerability to exploitation. </w:t>
      </w:r>
    </w:p>
    <w:p w14:paraId="1472DDB2" w14:textId="77777777" w:rsidR="00BA47E9" w:rsidRDefault="00BA47E9">
      <w:pPr>
        <w:jc w:val="both"/>
      </w:pPr>
    </w:p>
    <w:p w14:paraId="15AF9F7A" w14:textId="77777777" w:rsidR="00BA47E9" w:rsidRDefault="008F4FF6">
      <w:pPr>
        <w:jc w:val="both"/>
      </w:pPr>
      <w:r>
        <w:t xml:space="preserve">Some efforts being done in Sabah to address the issue of Child Labour in Oil Palm Plantations in Sabah are being taken up by Global Shepherds, ANAK, Humana, Project Liber8 (in collaboration with local partners) and supported by funding from UNICEF and ILO. These efforts include raising awareness in schools, learning centres and communities on the issue of child labour, working with influencers and journalists on ethical reporting, and also advocacy for state policies through the Labour Working Group in the </w:t>
      </w:r>
      <w:r>
        <w:t xml:space="preserve">state-led Jurisdictional Certification Steering Committee (JCSC) for children in plantations. There are also efforts through campaigns by the government of Malaysia through the Sabah Labour Department (JTK) and Council for Anti-Trafficking in Persons and </w:t>
      </w:r>
      <w:proofErr w:type="spellStart"/>
      <w:r>
        <w:t>Anti Smuggling</w:t>
      </w:r>
      <w:proofErr w:type="spellEnd"/>
      <w:r>
        <w:t xml:space="preserve"> of Migrants (MAPO) to raise community awareness on child labour issues. </w:t>
      </w:r>
    </w:p>
    <w:p w14:paraId="0D85CC70" w14:textId="77777777" w:rsidR="00BA47E9" w:rsidRDefault="00BA47E9">
      <w:pPr>
        <w:jc w:val="both"/>
      </w:pPr>
    </w:p>
    <w:p w14:paraId="6100923E" w14:textId="77777777" w:rsidR="00BA47E9" w:rsidRDefault="008F4FF6">
      <w:pPr>
        <w:jc w:val="both"/>
      </w:pPr>
      <w:r>
        <w:t>The CRC Committee under the General Comment No. 16 (2013) on State obligations regarding the impact of the business sector on children’s rights that was adopted by the Committee in its 63rd session stated that the State has an obligation to protect the right of children by taking all necessary, appropriate and reasonable measures to prevent business enterprises from causing or contributing to abuses of children’s rights. Such measures can encompass the passing of law and regulation, their monitoring and enf</w:t>
      </w:r>
      <w:r>
        <w:t>orcement, and policy adoption that frame how business enterprises can impact on children’s rights</w:t>
      </w:r>
      <w:r>
        <w:rPr>
          <w:vertAlign w:val="superscript"/>
        </w:rPr>
        <w:footnoteReference w:id="5"/>
      </w:r>
      <w:r>
        <w:t>.</w:t>
      </w:r>
    </w:p>
    <w:p w14:paraId="6DF73F25" w14:textId="77777777" w:rsidR="00BA47E9" w:rsidRDefault="008F4FF6">
      <w:pPr>
        <w:spacing w:before="240" w:after="240"/>
        <w:jc w:val="both"/>
      </w:pPr>
      <w:r>
        <w:t>The government of Malaysia has convened consultations in Q4 2025 to renew its National Action Plan on Forced Labour 2026 until 2030 (NAP-FL 2026-2030) incorporating Malaysia's  SDG Targets and Indicators that cross-cut with CRC principles in its National Action Plan on Business and Human Rights, also from 2026 until 2030. The NAP, specifically on Outcome 1 - the Prevention goal of the NAP-FL states that “By 2030, the occurrence of forced labour and child labour is effectively prevented through sustainable p</w:t>
      </w:r>
      <w:r>
        <w:t xml:space="preserve">revention system established within institutions, workplaces and communities". </w:t>
      </w:r>
    </w:p>
    <w:p w14:paraId="413E5A7D" w14:textId="77777777" w:rsidR="00BA47E9" w:rsidRDefault="008F4FF6">
      <w:pPr>
        <w:spacing w:before="240" w:after="240"/>
        <w:jc w:val="both"/>
      </w:pPr>
      <w:r>
        <w:t>Outcome 1.2 calls for “measures against child labour in high risk sectors and areas are strengthened and operational”. The outputs for this is the development of a dedicated Child Labour Sub-Plan weaved into the new NAP-FL. Child labour indicators are also planned to be integrated in the monitoring, evaluation and learning framework, with clear key performance indicators, consistent reporting, and annual progress reports. The indicators must be framed upon CRC-CEDAW-CRPD obligations that apply to SDG-specif</w:t>
      </w:r>
      <w:r>
        <w:t xml:space="preserve">ic targets, and ensure minority and marginalised children are brought to the heart of its focus and evidenced on the ground in line with progressive realisation of human rights in business practices.  </w:t>
      </w:r>
    </w:p>
    <w:p w14:paraId="1022448E" w14:textId="77777777" w:rsidR="00BA47E9" w:rsidRDefault="008F4FF6">
      <w:pPr>
        <w:spacing w:before="240" w:after="240"/>
        <w:jc w:val="both"/>
      </w:pPr>
      <w:r>
        <w:t xml:space="preserve">As civil society partners to the All-Party Parliamentary Group on Children’s Rights, </w:t>
      </w:r>
      <w:proofErr w:type="spellStart"/>
      <w:r>
        <w:t>Kemban</w:t>
      </w:r>
      <w:proofErr w:type="spellEnd"/>
      <w:r>
        <w:t xml:space="preserve"> </w:t>
      </w:r>
      <w:proofErr w:type="spellStart"/>
      <w:r>
        <w:t>Kolektif</w:t>
      </w:r>
      <w:proofErr w:type="spellEnd"/>
      <w:r>
        <w:t xml:space="preserve"> and ANAK recommend that the government of Malaysia reports to Parliamentary structures on the follow-ups to the CRC Review including on forced labour. The upcoming Parliament convening sessions and the Committee process provides an institutionalised and consistent approach to child-centric MEL of NAPFL and NAP-BHR. </w:t>
      </w:r>
    </w:p>
    <w:p w14:paraId="0DACB895" w14:textId="77777777" w:rsidR="00BA47E9" w:rsidRDefault="008F4FF6">
      <w:pPr>
        <w:spacing w:before="240" w:after="240"/>
        <w:jc w:val="both"/>
      </w:pPr>
      <w:r>
        <w:t>It is also recommended for the government of Malaysia to develop a Child Labour Sub-Plan under the NAP-FL incorporating the following points:</w:t>
      </w:r>
    </w:p>
    <w:p w14:paraId="3631DA10" w14:textId="77777777" w:rsidR="00BA47E9" w:rsidRDefault="008F4FF6">
      <w:pPr>
        <w:numPr>
          <w:ilvl w:val="0"/>
          <w:numId w:val="1"/>
        </w:numPr>
        <w:rPr>
          <w:color w:val="000000"/>
        </w:rPr>
      </w:pPr>
      <w:r>
        <w:t>Create a dedicated sub-plan that focuses on child labour and high-risk regions (e.g., Sabah and Sarawak), ensuring alignment with the broader NAP-FL.</w:t>
      </w:r>
    </w:p>
    <w:p w14:paraId="3187588D" w14:textId="77777777" w:rsidR="00BA47E9" w:rsidRDefault="008F4FF6">
      <w:pPr>
        <w:numPr>
          <w:ilvl w:val="0"/>
          <w:numId w:val="1"/>
        </w:numPr>
        <w:rPr>
          <w:color w:val="000000"/>
        </w:rPr>
      </w:pPr>
      <w:r>
        <w:t>Integrate child labour indicators into the NAP-FL monitoring framework to ensure ongoing data collection and analysis.</w:t>
      </w:r>
    </w:p>
    <w:p w14:paraId="305CF0AA" w14:textId="77777777" w:rsidR="00BA47E9" w:rsidRDefault="008F4FF6">
      <w:pPr>
        <w:numPr>
          <w:ilvl w:val="0"/>
          <w:numId w:val="1"/>
        </w:numPr>
        <w:rPr>
          <w:color w:val="000000"/>
        </w:rPr>
      </w:pPr>
      <w:r>
        <w:t>Ensure that shelters and protection mechanisms for victims of forced labour and trafficking include tailored services for children and families. Currently, there are no dedicated child shelters for child trafficking victims in Sabah, and children often need to be placed in shelters in Peninsular Malaysia, which may further traumatise the child victim and disrupt their recovery.</w:t>
      </w:r>
    </w:p>
    <w:p w14:paraId="7889829F" w14:textId="77777777" w:rsidR="00BA47E9" w:rsidRDefault="008F4FF6">
      <w:pPr>
        <w:numPr>
          <w:ilvl w:val="0"/>
          <w:numId w:val="1"/>
        </w:numPr>
        <w:rPr>
          <w:color w:val="000000"/>
        </w:rPr>
      </w:pPr>
      <w:r>
        <w:t>Explore childcare and after-school support schemes in areas where parents’ long working hours or migration status increase children’s vulnerability.</w:t>
      </w:r>
    </w:p>
    <w:p w14:paraId="4E64F7EF" w14:textId="77777777" w:rsidR="00BA47E9" w:rsidRDefault="008F4FF6">
      <w:pPr>
        <w:numPr>
          <w:ilvl w:val="0"/>
          <w:numId w:val="1"/>
        </w:numPr>
        <w:rPr>
          <w:color w:val="000000"/>
        </w:rPr>
      </w:pPr>
      <w:r>
        <w:t>Provide specialized training to labour inspectors, social workers, and local enforcement officers to detect, classify, and respond to child labour cases, including in informal and rural sectors.</w:t>
      </w:r>
    </w:p>
    <w:p w14:paraId="12887481" w14:textId="77777777" w:rsidR="00BA47E9" w:rsidRDefault="008F4FF6">
      <w:pPr>
        <w:numPr>
          <w:ilvl w:val="0"/>
          <w:numId w:val="1"/>
        </w:numPr>
        <w:rPr>
          <w:color w:val="000000"/>
        </w:rPr>
      </w:pPr>
      <w:r>
        <w:t>Initiate pilot projects in Sabah and Sarawak that combine community awareness and stronger school-to-work transition programmes to reduce children’s entry into exploitative work, and use these pilots to refine approaches that could later be scaled up under the NAP-FL.</w:t>
      </w:r>
    </w:p>
    <w:p w14:paraId="17EA22D3" w14:textId="77777777" w:rsidR="00BA47E9" w:rsidRDefault="008F4FF6">
      <w:pPr>
        <w:numPr>
          <w:ilvl w:val="0"/>
          <w:numId w:val="1"/>
        </w:numPr>
        <w:rPr>
          <w:color w:val="000000"/>
        </w:rPr>
      </w:pPr>
      <w:r>
        <w:t>Expand access to education for all children, including those of migrant and undocumented workers, by strengthening and scaling up community learning centres (CLCs), supporting non-formal education models in high-risk areas, and integrating education access indicators within the NAP-FL framework to address the root causes of child labour.</w:t>
      </w:r>
    </w:p>
    <w:p w14:paraId="0C46C7B5" w14:textId="77777777" w:rsidR="00BA47E9" w:rsidRDefault="00BA47E9">
      <w:pPr>
        <w:rPr>
          <w:sz w:val="24"/>
          <w:szCs w:val="24"/>
        </w:rPr>
      </w:pPr>
    </w:p>
    <w:p w14:paraId="12681012" w14:textId="77777777" w:rsidR="00BA47E9" w:rsidRDefault="008F4FF6">
      <w:r>
        <w:t>Prepared by:</w:t>
      </w:r>
    </w:p>
    <w:p w14:paraId="3D3D478C" w14:textId="77777777" w:rsidR="00BA47E9" w:rsidRDefault="008F4FF6">
      <w:r>
        <w:t xml:space="preserve">Adila Ali - </w:t>
      </w:r>
      <w:proofErr w:type="spellStart"/>
      <w:r>
        <w:t>Kemban</w:t>
      </w:r>
      <w:proofErr w:type="spellEnd"/>
      <w:r>
        <w:t xml:space="preserve"> </w:t>
      </w:r>
      <w:proofErr w:type="spellStart"/>
      <w:r>
        <w:t>Kolektif</w:t>
      </w:r>
      <w:proofErr w:type="spellEnd"/>
    </w:p>
    <w:p w14:paraId="72EEAADC" w14:textId="77777777" w:rsidR="00BA47E9" w:rsidRDefault="008F4FF6">
      <w:r>
        <w:t xml:space="preserve">Melissa Akhir - </w:t>
      </w:r>
      <w:proofErr w:type="spellStart"/>
      <w:r>
        <w:t>Kemban</w:t>
      </w:r>
      <w:proofErr w:type="spellEnd"/>
      <w:r>
        <w:t xml:space="preserve"> </w:t>
      </w:r>
      <w:proofErr w:type="spellStart"/>
      <w:r>
        <w:t>Kolektif</w:t>
      </w:r>
      <w:proofErr w:type="spellEnd"/>
    </w:p>
    <w:p w14:paraId="491DB46E" w14:textId="77777777" w:rsidR="00BA47E9" w:rsidRDefault="008F4FF6">
      <w:r>
        <w:t>Anne Balthazar - ANAK</w:t>
      </w:r>
    </w:p>
    <w:sectPr w:rsidR="00BA47E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601FE" w14:textId="77777777" w:rsidR="008F4FF6" w:rsidRDefault="008F4FF6">
      <w:pPr>
        <w:spacing w:line="240" w:lineRule="auto"/>
      </w:pPr>
      <w:r>
        <w:separator/>
      </w:r>
    </w:p>
  </w:endnote>
  <w:endnote w:type="continuationSeparator" w:id="0">
    <w:p w14:paraId="4804C084" w14:textId="77777777" w:rsidR="008F4FF6" w:rsidRDefault="008F4F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005EF4A8-086C-4D05-9C4E-DEF4068C5D84}"/>
  </w:font>
  <w:font w:name="Cambria">
    <w:panose1 w:val="02040503050406030204"/>
    <w:charset w:val="00"/>
    <w:family w:val="roman"/>
    <w:pitch w:val="variable"/>
    <w:sig w:usb0="E00006FF" w:usb1="420024FF" w:usb2="02000000" w:usb3="00000000" w:csb0="0000019F" w:csb1="00000000"/>
    <w:embedRegular r:id="rId2" w:fontKey="{E4AF6F7F-D9F1-4B88-97F4-359FAE07A14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7D66E" w14:textId="77777777" w:rsidR="008F4FF6" w:rsidRDefault="008F4FF6">
      <w:pPr>
        <w:spacing w:line="240" w:lineRule="auto"/>
      </w:pPr>
      <w:r>
        <w:separator/>
      </w:r>
    </w:p>
  </w:footnote>
  <w:footnote w:type="continuationSeparator" w:id="0">
    <w:p w14:paraId="2A041E35" w14:textId="77777777" w:rsidR="008F4FF6" w:rsidRDefault="008F4FF6">
      <w:pPr>
        <w:spacing w:line="240" w:lineRule="auto"/>
      </w:pPr>
      <w:r>
        <w:continuationSeparator/>
      </w:r>
    </w:p>
  </w:footnote>
  <w:footnote w:id="1">
    <w:p w14:paraId="27959734" w14:textId="77777777" w:rsidR="00BA47E9" w:rsidRDefault="008F4FF6">
      <w:pPr>
        <w:spacing w:line="240" w:lineRule="auto"/>
        <w:rPr>
          <w:sz w:val="20"/>
          <w:szCs w:val="20"/>
        </w:rPr>
      </w:pPr>
      <w:r>
        <w:rPr>
          <w:vertAlign w:val="superscript"/>
        </w:rPr>
        <w:footnoteRef/>
      </w:r>
      <w:r>
        <w:rPr>
          <w:sz w:val="20"/>
          <w:szCs w:val="20"/>
        </w:rPr>
        <w:t xml:space="preserve"> ILO: International Programme on the Elimination of Child Labour – </w:t>
      </w:r>
      <w:hyperlink r:id="rId1">
        <w:r>
          <w:rPr>
            <w:color w:val="1155CC"/>
            <w:sz w:val="20"/>
            <w:szCs w:val="20"/>
            <w:u w:val="single"/>
          </w:rPr>
          <w:t>https://www.ilo.org/ipec/facts/lang–en/index.htm</w:t>
        </w:r>
      </w:hyperlink>
    </w:p>
  </w:footnote>
  <w:footnote w:id="2">
    <w:p w14:paraId="30D66FEC" w14:textId="77777777" w:rsidR="00BA47E9" w:rsidRDefault="008F4FF6">
      <w:pPr>
        <w:spacing w:line="240" w:lineRule="auto"/>
        <w:rPr>
          <w:sz w:val="20"/>
          <w:szCs w:val="20"/>
        </w:rPr>
      </w:pPr>
      <w:r>
        <w:rPr>
          <w:vertAlign w:val="superscript"/>
        </w:rPr>
        <w:footnoteRef/>
      </w:r>
      <w:r>
        <w:rPr>
          <w:sz w:val="20"/>
          <w:szCs w:val="20"/>
        </w:rPr>
        <w:t xml:space="preserve"> Wahab, A., &amp; Dollah, R. (2023). Measuring Child Labor in Oil Palm Production in Sabah, Malaysia. SAGE Open, 13(4). https://doi.org/10.1177/21582440231201264 </w:t>
      </w:r>
    </w:p>
  </w:footnote>
  <w:footnote w:id="3">
    <w:p w14:paraId="2D9075E5" w14:textId="77777777" w:rsidR="00BA47E9" w:rsidRDefault="008F4FF6">
      <w:pPr>
        <w:spacing w:line="240" w:lineRule="auto"/>
        <w:rPr>
          <w:sz w:val="20"/>
          <w:szCs w:val="20"/>
        </w:rPr>
      </w:pPr>
      <w:r>
        <w:rPr>
          <w:vertAlign w:val="superscript"/>
        </w:rPr>
        <w:footnoteRef/>
      </w:r>
      <w:r>
        <w:rPr>
          <w:sz w:val="20"/>
          <w:szCs w:val="20"/>
        </w:rPr>
        <w:t xml:space="preserve"> Sabah Labour Ordinance (Amendment) Act 2025 - </w:t>
      </w:r>
      <w:hyperlink r:id="rId2">
        <w:r>
          <w:rPr>
            <w:color w:val="1155CC"/>
            <w:sz w:val="20"/>
            <w:szCs w:val="20"/>
            <w:u w:val="single"/>
          </w:rPr>
          <w:t>https://www.jtksabah.gov.my/images/warta_2025/A1753_-Labour_Ordinance_of_Sabah_Amendment_Act_2025.pdf</w:t>
        </w:r>
      </w:hyperlink>
      <w:r>
        <w:rPr>
          <w:sz w:val="20"/>
          <w:szCs w:val="20"/>
        </w:rPr>
        <w:t xml:space="preserve"> </w:t>
      </w:r>
    </w:p>
  </w:footnote>
  <w:footnote w:id="4">
    <w:p w14:paraId="1A079EC5" w14:textId="77777777" w:rsidR="00BA47E9" w:rsidRDefault="008F4FF6">
      <w:pPr>
        <w:spacing w:line="240" w:lineRule="auto"/>
        <w:rPr>
          <w:sz w:val="20"/>
          <w:szCs w:val="20"/>
        </w:rPr>
      </w:pPr>
      <w:r>
        <w:rPr>
          <w:vertAlign w:val="superscript"/>
        </w:rPr>
        <w:footnoteRef/>
      </w:r>
      <w:r>
        <w:rPr>
          <w:sz w:val="20"/>
          <w:szCs w:val="20"/>
        </w:rPr>
        <w:t xml:space="preserve"> Sarawak Labour Ordinance (Amendment) Act 2025 - </w:t>
      </w:r>
      <w:hyperlink r:id="rId3">
        <w:r>
          <w:rPr>
            <w:color w:val="1155CC"/>
            <w:sz w:val="20"/>
            <w:szCs w:val="20"/>
            <w:u w:val="single"/>
          </w:rPr>
          <w:t>https://www.jtkswk.gov.my/v2/wp-content/uploads/2025/04/Act-A1754-LABOUR-ORDINANCE-OF-SARAWAK-AMENDMENT-ACT-2025-1.pdf</w:t>
        </w:r>
      </w:hyperlink>
      <w:r>
        <w:rPr>
          <w:sz w:val="20"/>
          <w:szCs w:val="20"/>
        </w:rPr>
        <w:t xml:space="preserve"> </w:t>
      </w:r>
    </w:p>
  </w:footnote>
  <w:footnote w:id="5">
    <w:p w14:paraId="3162B778" w14:textId="77777777" w:rsidR="00BA47E9" w:rsidRDefault="008F4FF6">
      <w:pPr>
        <w:spacing w:line="240" w:lineRule="auto"/>
        <w:rPr>
          <w:sz w:val="20"/>
          <w:szCs w:val="20"/>
        </w:rPr>
      </w:pPr>
      <w:r>
        <w:rPr>
          <w:vertAlign w:val="superscript"/>
        </w:rPr>
        <w:footnoteRef/>
      </w:r>
      <w:r>
        <w:rPr>
          <w:sz w:val="20"/>
          <w:szCs w:val="20"/>
        </w:rPr>
        <w:t xml:space="preserve"> UN Committee on the Rights of the Child (CRC), General comment No. 16 (2013) on State obligations regarding the impact of the business sector on children's rights, CRC/C/GC/16, 17 April 2013, </w:t>
      </w:r>
      <w:hyperlink r:id="rId4">
        <w:r>
          <w:rPr>
            <w:color w:val="1155CC"/>
            <w:sz w:val="20"/>
            <w:szCs w:val="20"/>
            <w:u w:val="single"/>
          </w:rPr>
          <w:t>https://www.refworld.org/legal/general/crc/2013/en/102811</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EF5C5A"/>
    <w:multiLevelType w:val="multilevel"/>
    <w:tmpl w:val="5E16D20A"/>
    <w:lvl w:ilvl="0">
      <w:start w:val="1"/>
      <w:numFmt w:val="bullet"/>
      <w:lvlText w:val="●"/>
      <w:lvlJc w:val="left"/>
      <w:pPr>
        <w:ind w:left="720" w:hanging="360"/>
      </w:pPr>
      <w:rPr>
        <w:rFonts w:ascii="Arial" w:eastAsia="Arial" w:hAnsi="Arial" w:cs="Arial"/>
        <w:b w:val="0"/>
        <w:bCs w:val="0"/>
        <w:i w:val="0"/>
        <w:iCs w:val="0"/>
        <w:smallCaps w:val="0"/>
        <w:strike w:val="0"/>
        <w:color w:val="31313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02265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E9"/>
    <w:rsid w:val="008F4FF6"/>
    <w:rsid w:val="00BA47E9"/>
    <w:rsid w:val="00CA5422"/>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A10EB"/>
  <w15:docId w15:val="{F1CC04A8-BA34-473E-B265-54E25A59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3" Type="http://schemas.openxmlformats.org/officeDocument/2006/relationships/hyperlink" Target="https://www.jtkswk.gov.my/v2/wp-content/uploads/2025/04/Act-A1754-LABOUR-ORDINANCE-OF-SARAWAK-AMENDMENT-ACT-2025-1.pdf" TargetMode="External"/><Relationship Id="rId2" Type="http://schemas.openxmlformats.org/officeDocument/2006/relationships/hyperlink" Target="https://www.jtksabah.gov.my/images/warta_2025/A1753_-Labour_Ordinance_of_Sabah_Amendment_Act_2025.pdf" TargetMode="External"/><Relationship Id="rId1" Type="http://schemas.openxmlformats.org/officeDocument/2006/relationships/hyperlink" Target="https://www.ilo.org/ipec/facts/lang%E2%80%93en/index.htm" TargetMode="External"/><Relationship Id="rId4" Type="http://schemas.openxmlformats.org/officeDocument/2006/relationships/hyperlink" Target="https://www.refworld.org/legal/general/crc/2013/en/1028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11</TotalTime>
  <Pages>5</Pages>
  <Words>1604</Words>
  <Characters>9147</Characters>
  <Application>Microsoft Office Word</Application>
  <DocSecurity>0</DocSecurity>
  <Lines>76</Lines>
  <Paragraphs>21</Paragraphs>
  <ScaleCrop>false</ScaleCrop>
  <Company/>
  <LinksUpToDate>false</LinksUpToDate>
  <CharactersWithSpaces>10730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Boit</dc:creator>
  <cp:lastModifiedBy>James Boit</cp:lastModifiedBy>
  <cp:revision>2</cp:revision>
  <dcterms:created xsi:type="dcterms:W3CDTF">2026-01-07T10:15:00Z</dcterms:created>
  <dcterms:modified xsi:type="dcterms:W3CDTF">2026-01-07T10:15:00Z</dcterms:modified>
</cp:coreProperties>
</file>