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B1D3" w14:textId="77777777" w:rsidR="006A4021" w:rsidRPr="002C36AB" w:rsidRDefault="006A4021" w:rsidP="00456ACF">
      <w:pPr>
        <w:spacing w:line="240" w:lineRule="auto"/>
        <w:jc w:val="center"/>
        <w:rPr>
          <w:rFonts w:ascii="Book Antiqua" w:hAnsi="Book Antiqua" w:cs="Times New Roman"/>
        </w:rPr>
      </w:pPr>
    </w:p>
    <w:p w14:paraId="114972EF" w14:textId="11ABA3A4" w:rsidR="006C7DCA" w:rsidRPr="00483A36" w:rsidRDefault="006C7DCA" w:rsidP="006C7DCA">
      <w:pPr>
        <w:spacing w:after="0" w:line="240" w:lineRule="auto"/>
        <w:jc w:val="center"/>
        <w:rPr>
          <w:rFonts w:ascii="Book Antiqua" w:hAnsi="Book Antiqua" w:cs="Times New Roman"/>
          <w:sz w:val="28"/>
          <w:szCs w:val="28"/>
        </w:rPr>
      </w:pPr>
      <w:r w:rsidRPr="00483A36">
        <w:rPr>
          <w:rFonts w:ascii="Book Antiqua" w:hAnsi="Book Antiqua" w:cs="Times New Roman"/>
          <w:sz w:val="28"/>
          <w:szCs w:val="28"/>
        </w:rPr>
        <w:t xml:space="preserve">Comité CEDAW - Grupo de Trabajo previo al 88o período de sesiones </w:t>
      </w:r>
    </w:p>
    <w:p w14:paraId="49CAFBA3" w14:textId="77777777" w:rsidR="006C7DCA" w:rsidRPr="00483A36" w:rsidRDefault="006C7DCA" w:rsidP="006C7DCA">
      <w:pPr>
        <w:spacing w:after="0" w:line="240" w:lineRule="auto"/>
        <w:jc w:val="center"/>
        <w:rPr>
          <w:rFonts w:ascii="Book Antiqua" w:hAnsi="Book Antiqua" w:cs="Times New Roman"/>
          <w:sz w:val="28"/>
          <w:szCs w:val="28"/>
        </w:rPr>
      </w:pPr>
      <w:r w:rsidRPr="00483A36">
        <w:rPr>
          <w:rFonts w:ascii="Book Antiqua" w:hAnsi="Book Antiqua" w:cs="Times New Roman"/>
          <w:sz w:val="28"/>
          <w:szCs w:val="28"/>
        </w:rPr>
        <w:t>30 de octubre-3 de noviembre de 2023</w:t>
      </w:r>
    </w:p>
    <w:p w14:paraId="3385B909" w14:textId="547804FA" w:rsidR="006C7DCA" w:rsidRPr="00483A36" w:rsidRDefault="006C7DCA" w:rsidP="006C7DCA">
      <w:pPr>
        <w:spacing w:after="0" w:line="240" w:lineRule="auto"/>
        <w:jc w:val="center"/>
        <w:rPr>
          <w:rFonts w:ascii="Book Antiqua" w:hAnsi="Book Antiqua" w:cs="Times New Roman"/>
          <w:sz w:val="28"/>
          <w:szCs w:val="28"/>
        </w:rPr>
      </w:pPr>
    </w:p>
    <w:p w14:paraId="0B247AA1" w14:textId="68980389" w:rsidR="006C7DCA" w:rsidRPr="00483A36" w:rsidRDefault="006C7DCA" w:rsidP="006C7DCA">
      <w:pPr>
        <w:spacing w:after="0" w:line="240" w:lineRule="auto"/>
        <w:jc w:val="center"/>
        <w:rPr>
          <w:rFonts w:ascii="Book Antiqua" w:hAnsi="Book Antiqua" w:cs="Times New Roman"/>
          <w:sz w:val="28"/>
          <w:szCs w:val="28"/>
        </w:rPr>
      </w:pPr>
      <w:r w:rsidRPr="00483A36">
        <w:rPr>
          <w:rFonts w:ascii="Book Antiqua" w:hAnsi="Book Antiqua" w:cs="Times New Roman"/>
          <w:sz w:val="28"/>
          <w:szCs w:val="28"/>
        </w:rPr>
        <w:t xml:space="preserve">Lista de cuestiones relacionada </w:t>
      </w:r>
      <w:r w:rsidR="00A42F60">
        <w:rPr>
          <w:rFonts w:ascii="Book Antiqua" w:hAnsi="Book Antiqua" w:cs="Times New Roman"/>
          <w:sz w:val="28"/>
          <w:szCs w:val="28"/>
        </w:rPr>
        <w:t>con</w:t>
      </w:r>
      <w:r w:rsidRPr="00483A36">
        <w:rPr>
          <w:rFonts w:ascii="Book Antiqua" w:hAnsi="Book Antiqua" w:cs="Times New Roman"/>
          <w:sz w:val="28"/>
          <w:szCs w:val="28"/>
        </w:rPr>
        <w:t xml:space="preserve"> </w:t>
      </w:r>
      <w:r w:rsidR="00A42F60">
        <w:rPr>
          <w:rFonts w:ascii="Book Antiqua" w:hAnsi="Book Antiqua" w:cs="Times New Roman"/>
          <w:sz w:val="28"/>
          <w:szCs w:val="28"/>
        </w:rPr>
        <w:t xml:space="preserve">el Estado Parte México sobre </w:t>
      </w:r>
      <w:r w:rsidRPr="00483A36">
        <w:rPr>
          <w:rFonts w:ascii="Book Antiqua" w:hAnsi="Book Antiqua" w:cs="Times New Roman"/>
          <w:sz w:val="28"/>
          <w:szCs w:val="28"/>
        </w:rPr>
        <w:t>la</w:t>
      </w:r>
    </w:p>
    <w:p w14:paraId="7057606E" w14:textId="3B90CDAC" w:rsidR="006C7DCA" w:rsidRPr="00483A36" w:rsidRDefault="006C7DCA" w:rsidP="006C7DCA">
      <w:pPr>
        <w:spacing w:after="0" w:line="240" w:lineRule="auto"/>
        <w:jc w:val="center"/>
        <w:rPr>
          <w:rFonts w:ascii="Book Antiqua" w:hAnsi="Book Antiqua" w:cs="Times New Roman"/>
          <w:sz w:val="28"/>
          <w:szCs w:val="28"/>
        </w:rPr>
      </w:pPr>
      <w:r w:rsidRPr="00483A36">
        <w:rPr>
          <w:rFonts w:ascii="Book Antiqua" w:hAnsi="Book Antiqua" w:cs="Times New Roman"/>
          <w:sz w:val="28"/>
          <w:szCs w:val="28"/>
        </w:rPr>
        <w:t xml:space="preserve">"Violencia contra las mujeres </w:t>
      </w:r>
      <w:r w:rsidRPr="00483A36">
        <w:rPr>
          <w:rFonts w:ascii="Book Antiqua" w:hAnsi="Book Antiqua" w:cs="Times New Roman"/>
          <w:sz w:val="28"/>
          <w:szCs w:val="28"/>
        </w:rPr>
        <w:t>en y a través de los medios de comunicación y el ecosistema digital; violaciones a la libertad de expresión y el acceso a la información</w:t>
      </w:r>
      <w:r w:rsidRPr="00483A36">
        <w:rPr>
          <w:rFonts w:ascii="Book Antiqua" w:hAnsi="Book Antiqua" w:cs="Times New Roman"/>
          <w:sz w:val="28"/>
          <w:szCs w:val="28"/>
        </w:rPr>
        <w:t xml:space="preserve"> </w:t>
      </w:r>
      <w:r w:rsidR="00A42F60">
        <w:rPr>
          <w:rFonts w:ascii="Book Antiqua" w:hAnsi="Book Antiqua" w:cs="Times New Roman"/>
          <w:sz w:val="28"/>
          <w:szCs w:val="28"/>
        </w:rPr>
        <w:t>en México</w:t>
      </w:r>
      <w:r w:rsidRPr="00483A36">
        <w:rPr>
          <w:rFonts w:ascii="Book Antiqua" w:hAnsi="Book Antiqua" w:cs="Times New Roman"/>
          <w:sz w:val="28"/>
          <w:szCs w:val="28"/>
        </w:rPr>
        <w:t>"</w:t>
      </w:r>
    </w:p>
    <w:p w14:paraId="3E95A066" w14:textId="77777777" w:rsidR="006C7DCA" w:rsidRPr="002C36AB" w:rsidRDefault="006C7DCA" w:rsidP="006C7DCA">
      <w:pPr>
        <w:spacing w:after="0" w:line="240" w:lineRule="auto"/>
        <w:jc w:val="center"/>
        <w:rPr>
          <w:rFonts w:ascii="Book Antiqua" w:hAnsi="Book Antiqua" w:cs="Times New Roman"/>
        </w:rPr>
      </w:pPr>
    </w:p>
    <w:p w14:paraId="4B2E74C4" w14:textId="5924CE85" w:rsidR="00F71E7B" w:rsidRPr="002C36AB" w:rsidRDefault="006C7DCA" w:rsidP="00246BD4">
      <w:pPr>
        <w:spacing w:after="0" w:line="240" w:lineRule="auto"/>
        <w:jc w:val="center"/>
        <w:rPr>
          <w:rFonts w:ascii="Book Antiqua" w:hAnsi="Book Antiqua" w:cs="Times New Roman"/>
        </w:rPr>
      </w:pPr>
      <w:r w:rsidRPr="002C36AB">
        <w:rPr>
          <w:rFonts w:ascii="Book Antiqua" w:hAnsi="Book Antiqua" w:cs="Times New Roman"/>
        </w:rPr>
        <w:t>Se autoriza la publicación del presente documento al Comité CEDAW</w:t>
      </w:r>
    </w:p>
    <w:p w14:paraId="7A616156" w14:textId="39AE149F" w:rsidR="00D232A9" w:rsidRPr="002C36AB" w:rsidRDefault="00D232A9" w:rsidP="006D66F5">
      <w:pPr>
        <w:pStyle w:val="NormalWeb"/>
        <w:jc w:val="center"/>
        <w:rPr>
          <w:rFonts w:ascii="Book Antiqua" w:hAnsi="Book Antiqua"/>
          <w:b/>
          <w:sz w:val="22"/>
          <w:szCs w:val="22"/>
        </w:rPr>
      </w:pPr>
      <w:r w:rsidRPr="002C36AB">
        <w:rPr>
          <w:rFonts w:ascii="Book Antiqua" w:hAnsi="Book Antiqua"/>
          <w:b/>
          <w:sz w:val="22"/>
          <w:szCs w:val="22"/>
        </w:rPr>
        <w:t>INFORME</w:t>
      </w:r>
      <w:r w:rsidR="006C7DCA" w:rsidRPr="002C36AB">
        <w:rPr>
          <w:rFonts w:ascii="Book Antiqua" w:hAnsi="Book Antiqua"/>
          <w:b/>
          <w:sz w:val="22"/>
          <w:szCs w:val="22"/>
        </w:rPr>
        <w:t>, LISTA DE CUESTIONES Y RECOMENDACIONES</w:t>
      </w:r>
    </w:p>
    <w:p w14:paraId="0FE82AB0" w14:textId="6285F681" w:rsidR="001519D6" w:rsidRPr="002C36AB" w:rsidRDefault="001D5A89" w:rsidP="006A4021">
      <w:pPr>
        <w:pStyle w:val="NormalWeb"/>
        <w:jc w:val="both"/>
        <w:rPr>
          <w:rFonts w:ascii="Book Antiqua" w:hAnsi="Book Antiqua"/>
          <w:sz w:val="22"/>
          <w:szCs w:val="22"/>
        </w:rPr>
      </w:pPr>
      <w:r w:rsidRPr="002C36AB">
        <w:rPr>
          <w:rFonts w:ascii="Book Antiqua" w:hAnsi="Book Antiqua"/>
          <w:sz w:val="22"/>
          <w:szCs w:val="22"/>
        </w:rPr>
        <w:t xml:space="preserve">Este documento incluye </w:t>
      </w:r>
      <w:r w:rsidR="001519D6" w:rsidRPr="002C36AB">
        <w:rPr>
          <w:rFonts w:ascii="Book Antiqua" w:hAnsi="Book Antiqua"/>
          <w:sz w:val="22"/>
          <w:szCs w:val="22"/>
        </w:rPr>
        <w:t xml:space="preserve">tres </w:t>
      </w:r>
      <w:r w:rsidR="00520BF5" w:rsidRPr="002C36AB">
        <w:rPr>
          <w:rFonts w:ascii="Book Antiqua" w:hAnsi="Book Antiqua"/>
          <w:sz w:val="22"/>
          <w:szCs w:val="22"/>
        </w:rPr>
        <w:t>rubros</w:t>
      </w:r>
      <w:r w:rsidR="001519D6" w:rsidRPr="002C36AB">
        <w:rPr>
          <w:rFonts w:ascii="Book Antiqua" w:hAnsi="Book Antiqua"/>
          <w:sz w:val="22"/>
          <w:szCs w:val="22"/>
        </w:rPr>
        <w:t>: Informe sobre temas críticos -incluidos los que fueron enlistados por el CoCEDAW en las Observaciones Finales al Estado Mexicano en ocasión del 9º Examen Periódico-, Lista de cuestiones sobre esos temas y propuestas de Recomendaciones.</w:t>
      </w:r>
    </w:p>
    <w:p w14:paraId="0B4074B3" w14:textId="726E99C8" w:rsidR="00246BD4" w:rsidRPr="002C36AB" w:rsidRDefault="001519D6" w:rsidP="006A4021">
      <w:pPr>
        <w:pStyle w:val="NormalWeb"/>
        <w:jc w:val="both"/>
        <w:rPr>
          <w:rFonts w:ascii="Book Antiqua" w:hAnsi="Book Antiqua"/>
          <w:sz w:val="22"/>
          <w:szCs w:val="22"/>
        </w:rPr>
      </w:pPr>
      <w:r w:rsidRPr="002C36AB">
        <w:rPr>
          <w:rFonts w:ascii="Book Antiqua" w:hAnsi="Book Antiqua"/>
          <w:sz w:val="22"/>
          <w:szCs w:val="22"/>
        </w:rPr>
        <w:t>Los temas son: Violencia Mediática, Violencia Digital, Violencia contra Mujeres Periodistas y Libertad de Expresión, Violencia en la Inteligencia Artificial, Derecho a la Información</w:t>
      </w:r>
      <w:r w:rsidR="00EF5798" w:rsidRPr="002C36AB">
        <w:rPr>
          <w:rFonts w:ascii="Book Antiqua" w:hAnsi="Book Antiqua"/>
          <w:sz w:val="22"/>
          <w:szCs w:val="22"/>
        </w:rPr>
        <w:t xml:space="preserve">, </w:t>
      </w:r>
      <w:r w:rsidRPr="002C36AB">
        <w:rPr>
          <w:rFonts w:ascii="Book Antiqua" w:hAnsi="Book Antiqua"/>
          <w:sz w:val="22"/>
          <w:szCs w:val="22"/>
        </w:rPr>
        <w:t>Violencia Política Digital</w:t>
      </w:r>
      <w:r w:rsidR="00EF5798" w:rsidRPr="002C36AB">
        <w:rPr>
          <w:rFonts w:ascii="Book Antiqua" w:hAnsi="Book Antiqua"/>
          <w:sz w:val="22"/>
          <w:szCs w:val="22"/>
        </w:rPr>
        <w:t xml:space="preserve"> y Perspectiva de Género en las currículas de las escuelas de Periodismo y Comunicación</w:t>
      </w:r>
      <w:r w:rsidRPr="002C36AB">
        <w:rPr>
          <w:rFonts w:ascii="Book Antiqua" w:hAnsi="Book Antiqua"/>
          <w:sz w:val="22"/>
          <w:szCs w:val="22"/>
        </w:rPr>
        <w:t>.</w:t>
      </w:r>
    </w:p>
    <w:p w14:paraId="0AE6361D" w14:textId="14DE1EA6" w:rsidR="007C43A3" w:rsidRPr="002C36AB" w:rsidRDefault="00520BF5" w:rsidP="00623E66">
      <w:pPr>
        <w:pStyle w:val="NormalWeb"/>
        <w:jc w:val="both"/>
        <w:rPr>
          <w:rFonts w:ascii="Book Antiqua" w:hAnsi="Book Antiqua"/>
          <w:sz w:val="22"/>
          <w:szCs w:val="22"/>
        </w:rPr>
      </w:pPr>
      <w:r w:rsidRPr="002C36AB">
        <w:rPr>
          <w:rFonts w:ascii="Book Antiqua" w:hAnsi="Book Antiqua"/>
          <w:sz w:val="22"/>
          <w:szCs w:val="22"/>
        </w:rPr>
        <w:t>Este informe</w:t>
      </w:r>
      <w:r w:rsidR="00246BD4" w:rsidRPr="002C36AB">
        <w:rPr>
          <w:rFonts w:ascii="Book Antiqua" w:hAnsi="Book Antiqua"/>
          <w:sz w:val="22"/>
          <w:szCs w:val="22"/>
        </w:rPr>
        <w:t xml:space="preserve"> </w:t>
      </w:r>
      <w:r w:rsidR="00080049" w:rsidRPr="002C36AB">
        <w:rPr>
          <w:rFonts w:ascii="Book Antiqua" w:hAnsi="Book Antiqua"/>
          <w:sz w:val="22"/>
          <w:szCs w:val="22"/>
        </w:rPr>
        <w:t>ha</w:t>
      </w:r>
      <w:r w:rsidR="00623E66" w:rsidRPr="002C36AB">
        <w:rPr>
          <w:rFonts w:ascii="Book Antiqua" w:hAnsi="Book Antiqua"/>
          <w:sz w:val="22"/>
          <w:szCs w:val="22"/>
        </w:rPr>
        <w:t xml:space="preserve"> </w:t>
      </w:r>
      <w:r w:rsidR="00246BD4" w:rsidRPr="002C36AB">
        <w:rPr>
          <w:rFonts w:ascii="Book Antiqua" w:hAnsi="Book Antiqua"/>
          <w:sz w:val="22"/>
          <w:szCs w:val="22"/>
        </w:rPr>
        <w:t>sido</w:t>
      </w:r>
      <w:r w:rsidR="00246BD4" w:rsidRPr="002C36AB">
        <w:rPr>
          <w:rFonts w:ascii="Book Antiqua" w:hAnsi="Book Antiqua"/>
          <w:sz w:val="22"/>
          <w:szCs w:val="22"/>
        </w:rPr>
        <w:t xml:space="preserve"> coordinado por Aimée Vega Montiel, investigadora</w:t>
      </w:r>
      <w:r w:rsidR="00246BD4" w:rsidRPr="002C36AB">
        <w:rPr>
          <w:rFonts w:ascii="Book Antiqua" w:hAnsi="Book Antiqua"/>
          <w:sz w:val="22"/>
          <w:szCs w:val="22"/>
        </w:rPr>
        <w:t xml:space="preserve"> del CEIICH de la UNAM</w:t>
      </w:r>
      <w:r w:rsidR="00246BD4" w:rsidRPr="002C36AB">
        <w:rPr>
          <w:rFonts w:ascii="Book Antiqua" w:hAnsi="Book Antiqua"/>
          <w:sz w:val="22"/>
          <w:szCs w:val="22"/>
        </w:rPr>
        <w:t xml:space="preserve"> y presidenta de la Global Alliance on Media and Gender (GAMAG)</w:t>
      </w:r>
      <w:r w:rsidR="00246BD4" w:rsidRPr="002C36AB">
        <w:rPr>
          <w:rStyle w:val="Refdenotaalpie"/>
          <w:rFonts w:ascii="Book Antiqua" w:hAnsi="Book Antiqua"/>
          <w:sz w:val="22"/>
          <w:szCs w:val="22"/>
        </w:rPr>
        <w:footnoteReference w:id="1"/>
      </w:r>
      <w:r w:rsidR="00246BD4" w:rsidRPr="002C36AB">
        <w:rPr>
          <w:rFonts w:ascii="Book Antiqua" w:hAnsi="Book Antiqua"/>
          <w:sz w:val="22"/>
          <w:szCs w:val="22"/>
        </w:rPr>
        <w:t xml:space="preserve">. </w:t>
      </w:r>
      <w:r w:rsidR="002C36AB">
        <w:rPr>
          <w:rFonts w:ascii="Book Antiqua" w:hAnsi="Book Antiqua"/>
          <w:sz w:val="22"/>
          <w:szCs w:val="22"/>
        </w:rPr>
        <w:t>A</w:t>
      </w:r>
      <w:r w:rsidR="00246BD4" w:rsidRPr="002C36AB">
        <w:rPr>
          <w:rFonts w:ascii="Book Antiqua" w:hAnsi="Book Antiqua"/>
          <w:sz w:val="22"/>
          <w:szCs w:val="22"/>
        </w:rPr>
        <w:t xml:space="preserve">utoras: Adina Barrera, Adriana Lecona, </w:t>
      </w:r>
      <w:r w:rsidR="00080049" w:rsidRPr="002C36AB">
        <w:rPr>
          <w:rFonts w:ascii="Book Antiqua" w:hAnsi="Book Antiqua"/>
          <w:sz w:val="22"/>
          <w:szCs w:val="22"/>
        </w:rPr>
        <w:t xml:space="preserve">Aimée Vega Montiel, </w:t>
      </w:r>
      <w:r w:rsidR="00246BD4" w:rsidRPr="002C36AB">
        <w:rPr>
          <w:rFonts w:ascii="Book Antiqua" w:hAnsi="Book Antiqua"/>
          <w:sz w:val="22"/>
          <w:szCs w:val="22"/>
        </w:rPr>
        <w:t>Daniela Esquivel y Mónica Amilpas, de la UNAM</w:t>
      </w:r>
      <w:r w:rsidRPr="002C36AB">
        <w:rPr>
          <w:rFonts w:ascii="Book Antiqua" w:hAnsi="Book Antiqua"/>
          <w:sz w:val="22"/>
          <w:szCs w:val="22"/>
        </w:rPr>
        <w:t>,</w:t>
      </w:r>
      <w:r w:rsidR="00246BD4" w:rsidRPr="002C36AB">
        <w:rPr>
          <w:rFonts w:ascii="Book Antiqua" w:hAnsi="Book Antiqua"/>
          <w:sz w:val="22"/>
          <w:szCs w:val="22"/>
        </w:rPr>
        <w:t xml:space="preserve"> y Lucía Lagunes, de CIMAC. </w:t>
      </w:r>
    </w:p>
    <w:p w14:paraId="1E41D1FA" w14:textId="77777777" w:rsidR="00623E66" w:rsidRDefault="00623E66" w:rsidP="00623E66">
      <w:pPr>
        <w:pStyle w:val="NormalWeb"/>
        <w:jc w:val="both"/>
        <w:rPr>
          <w:rFonts w:ascii="Book Antiqua" w:hAnsi="Book Antiqua"/>
          <w:sz w:val="22"/>
          <w:szCs w:val="22"/>
        </w:rPr>
      </w:pPr>
    </w:p>
    <w:p w14:paraId="60DD74CA" w14:textId="77777777" w:rsidR="00055EBC" w:rsidRDefault="00055EBC" w:rsidP="00623E66">
      <w:pPr>
        <w:pStyle w:val="NormalWeb"/>
        <w:jc w:val="both"/>
        <w:rPr>
          <w:rFonts w:ascii="Book Antiqua" w:hAnsi="Book Antiqua"/>
          <w:sz w:val="22"/>
          <w:szCs w:val="22"/>
        </w:rPr>
      </w:pPr>
    </w:p>
    <w:p w14:paraId="791A10A9" w14:textId="77777777" w:rsidR="00055EBC" w:rsidRDefault="00055EBC" w:rsidP="00623E66">
      <w:pPr>
        <w:pStyle w:val="NormalWeb"/>
        <w:jc w:val="both"/>
        <w:rPr>
          <w:rFonts w:ascii="Book Antiqua" w:hAnsi="Book Antiqua"/>
          <w:sz w:val="22"/>
          <w:szCs w:val="22"/>
        </w:rPr>
      </w:pPr>
    </w:p>
    <w:p w14:paraId="2F1B03D0" w14:textId="77777777" w:rsidR="00055EBC" w:rsidRDefault="00055EBC" w:rsidP="00623E66">
      <w:pPr>
        <w:pStyle w:val="NormalWeb"/>
        <w:jc w:val="both"/>
        <w:rPr>
          <w:rFonts w:ascii="Book Antiqua" w:hAnsi="Book Antiqua"/>
          <w:sz w:val="22"/>
          <w:szCs w:val="22"/>
        </w:rPr>
      </w:pPr>
    </w:p>
    <w:p w14:paraId="6A1EA81E" w14:textId="77777777" w:rsidR="00055EBC" w:rsidRDefault="00055EBC" w:rsidP="00623E66">
      <w:pPr>
        <w:pStyle w:val="NormalWeb"/>
        <w:jc w:val="both"/>
        <w:rPr>
          <w:rFonts w:ascii="Book Antiqua" w:hAnsi="Book Antiqua"/>
          <w:sz w:val="22"/>
          <w:szCs w:val="22"/>
        </w:rPr>
      </w:pPr>
    </w:p>
    <w:p w14:paraId="7F7188C7" w14:textId="77777777" w:rsidR="00055EBC" w:rsidRPr="002C36AB" w:rsidRDefault="00055EBC" w:rsidP="00623E66">
      <w:pPr>
        <w:pStyle w:val="NormalWeb"/>
        <w:jc w:val="both"/>
        <w:rPr>
          <w:rFonts w:ascii="Book Antiqua" w:hAnsi="Book Antiqua"/>
          <w:sz w:val="22"/>
          <w:szCs w:val="22"/>
        </w:rPr>
      </w:pPr>
    </w:p>
    <w:p w14:paraId="7F5A6362" w14:textId="13A29299" w:rsidR="004D2CDF" w:rsidRPr="00483A36" w:rsidRDefault="00B0518A" w:rsidP="00960C1C">
      <w:pPr>
        <w:widowControl w:val="0"/>
        <w:autoSpaceDE w:val="0"/>
        <w:autoSpaceDN w:val="0"/>
        <w:adjustRightInd w:val="0"/>
        <w:spacing w:line="240" w:lineRule="auto"/>
        <w:jc w:val="center"/>
        <w:rPr>
          <w:rFonts w:ascii="Book Antiqua" w:hAnsi="Book Antiqua" w:cs="Calibri"/>
          <w:b/>
          <w:bCs/>
          <w:sz w:val="28"/>
          <w:szCs w:val="28"/>
          <w:lang w:val="es-ES"/>
        </w:rPr>
      </w:pPr>
      <w:r w:rsidRPr="00483A36">
        <w:rPr>
          <w:rFonts w:ascii="Book Antiqua" w:hAnsi="Book Antiqua" w:cs="Calibri"/>
          <w:b/>
          <w:bCs/>
          <w:sz w:val="28"/>
          <w:szCs w:val="28"/>
          <w:lang w:val="es-ES"/>
        </w:rPr>
        <w:t>Violencia Mediática</w:t>
      </w:r>
    </w:p>
    <w:p w14:paraId="07746F52" w14:textId="2A2EA10C" w:rsidR="00B30767" w:rsidRPr="002C36AB" w:rsidRDefault="00B30767" w:rsidP="00B30767">
      <w:pPr>
        <w:widowControl w:val="0"/>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Informe</w:t>
      </w:r>
    </w:p>
    <w:p w14:paraId="14F5BE37" w14:textId="72314B7A" w:rsidR="00BC6367" w:rsidRPr="002C36AB" w:rsidRDefault="00BC6367"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 xml:space="preserve">La representación de las mujeres en los medios de comunicación, continúa </w:t>
      </w:r>
      <w:r w:rsidR="000B3583" w:rsidRPr="002C36AB">
        <w:rPr>
          <w:rFonts w:ascii="Book Antiqua" w:hAnsi="Book Antiqua" w:cs="Calibri"/>
          <w:lang w:val="es-ES"/>
        </w:rPr>
        <w:t>estando</w:t>
      </w:r>
      <w:r w:rsidRPr="002C36AB">
        <w:rPr>
          <w:rFonts w:ascii="Book Antiqua" w:hAnsi="Book Antiqua" w:cs="Calibri"/>
          <w:lang w:val="es-ES"/>
        </w:rPr>
        <w:t xml:space="preserve"> basada en estereotipos sexistas que promueven la violencia contra las mujeres, naturalizándola, </w:t>
      </w:r>
      <w:r w:rsidRPr="002C36AB">
        <w:rPr>
          <w:rFonts w:ascii="Book Antiqua" w:hAnsi="Book Antiqua" w:cs="Calibri"/>
          <w:lang w:val="es-ES"/>
        </w:rPr>
        <w:t>sin problematizarla ni representarla como un atentado a sus derechos humanos</w:t>
      </w:r>
      <w:r w:rsidR="00EF5798" w:rsidRPr="002C36AB">
        <w:rPr>
          <w:rStyle w:val="Refdenotaalpie"/>
          <w:rFonts w:ascii="Book Antiqua" w:hAnsi="Book Antiqua" w:cs="Calibri"/>
          <w:lang w:val="es-ES"/>
        </w:rPr>
        <w:footnoteReference w:id="2"/>
      </w:r>
      <w:r w:rsidRPr="002C36AB">
        <w:rPr>
          <w:rFonts w:ascii="Book Antiqua" w:hAnsi="Book Antiqua" w:cs="Calibri"/>
          <w:lang w:val="es-ES"/>
        </w:rPr>
        <w:t>.</w:t>
      </w:r>
    </w:p>
    <w:p w14:paraId="07C9EDB6" w14:textId="10B387DD" w:rsidR="00BC6367" w:rsidRPr="002C36AB" w:rsidRDefault="00BC6367"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 xml:space="preserve">Aunque ha habido una mayor cobertura de la VCM en las noticias, no </w:t>
      </w:r>
      <w:r w:rsidRPr="002C36AB">
        <w:rPr>
          <w:rFonts w:ascii="Book Antiqua" w:hAnsi="Book Antiqua" w:cs="Calibri"/>
          <w:lang w:val="es-ES"/>
        </w:rPr>
        <w:t xml:space="preserve">ha </w:t>
      </w:r>
      <w:r w:rsidR="000B3583" w:rsidRPr="002C36AB">
        <w:rPr>
          <w:rFonts w:ascii="Book Antiqua" w:hAnsi="Book Antiqua" w:cs="Calibri"/>
          <w:lang w:val="es-ES"/>
        </w:rPr>
        <w:t>habido</w:t>
      </w:r>
      <w:r w:rsidRPr="002C36AB">
        <w:rPr>
          <w:rFonts w:ascii="Book Antiqua" w:hAnsi="Book Antiqua" w:cs="Calibri"/>
          <w:lang w:val="es-ES"/>
        </w:rPr>
        <w:t xml:space="preserve"> una mejora en su representación</w:t>
      </w:r>
      <w:r w:rsidR="009778BB" w:rsidRPr="002C36AB">
        <w:rPr>
          <w:rStyle w:val="Refdenotaalpie"/>
          <w:rFonts w:ascii="Book Antiqua" w:hAnsi="Book Antiqua" w:cs="Calibri"/>
          <w:lang w:val="es-ES"/>
        </w:rPr>
        <w:footnoteReference w:id="3"/>
      </w:r>
      <w:r w:rsidR="009778BB" w:rsidRPr="002C36AB">
        <w:rPr>
          <w:rFonts w:ascii="Book Antiqua" w:hAnsi="Book Antiqua" w:cs="Calibri"/>
          <w:lang w:val="es-ES"/>
        </w:rPr>
        <w:t>.</w:t>
      </w:r>
      <w:r w:rsidR="000B3583" w:rsidRPr="002C36AB">
        <w:rPr>
          <w:rFonts w:ascii="Book Antiqua" w:hAnsi="Book Antiqua" w:cs="Calibri"/>
          <w:lang w:val="es-ES"/>
        </w:rPr>
        <w:t xml:space="preserve"> </w:t>
      </w:r>
    </w:p>
    <w:p w14:paraId="19F02EC3" w14:textId="2FD941AD" w:rsidR="00BC6367" w:rsidRPr="002C36AB" w:rsidRDefault="00BC6367" w:rsidP="00E608BD">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 xml:space="preserve">CIMAC destaca que sólo el 2% de las noticias </w:t>
      </w:r>
      <w:r w:rsidR="000B6DC2" w:rsidRPr="002C36AB">
        <w:rPr>
          <w:rFonts w:ascii="Book Antiqua" w:hAnsi="Book Antiqua" w:cs="Calibri"/>
          <w:lang w:val="es-ES"/>
        </w:rPr>
        <w:t>en México</w:t>
      </w:r>
      <w:r w:rsidRPr="002C36AB">
        <w:rPr>
          <w:rFonts w:ascii="Book Antiqua" w:hAnsi="Book Antiqua" w:cs="Calibri"/>
          <w:lang w:val="es-ES"/>
        </w:rPr>
        <w:t xml:space="preserve"> posiciona a las mujeres como el centro de la información, y de dichas menciones la mayoría están relacionadas a violencia, salud y sistemas laborales excluyendo decisiones económicas, políticas o de investigación. </w:t>
      </w:r>
      <w:r w:rsidR="00E608BD" w:rsidRPr="002C36AB">
        <w:rPr>
          <w:rFonts w:ascii="Book Antiqua" w:hAnsi="Book Antiqua" w:cs="Calibri"/>
          <w:lang w:val="es-ES"/>
        </w:rPr>
        <w:t xml:space="preserve">Los medios informativos produjeron menos noticias sobre la VCM y el feminicidio durante la </w:t>
      </w:r>
      <w:proofErr w:type="spellStart"/>
      <w:r w:rsidR="00E608BD" w:rsidRPr="002C36AB">
        <w:rPr>
          <w:rFonts w:ascii="Book Antiqua" w:hAnsi="Book Antiqua" w:cs="Calibri"/>
          <w:lang w:val="es-ES"/>
        </w:rPr>
        <w:t>pandemia</w:t>
      </w:r>
      <w:r w:rsidRPr="002C36AB">
        <w:rPr>
          <w:rFonts w:ascii="Book Antiqua" w:hAnsi="Book Antiqua" w:cs="Calibri"/>
          <w:lang w:val="es-ES"/>
        </w:rPr>
        <w:t>.</w:t>
      </w:r>
    </w:p>
    <w:p w14:paraId="2781164E" w14:textId="2A9B07CC" w:rsidR="00AC39A5" w:rsidRPr="002C36AB" w:rsidRDefault="00AC39A5"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proofErr w:type="spellEnd"/>
      <w:r w:rsidRPr="002C36AB">
        <w:rPr>
          <w:rFonts w:ascii="Book Antiqua" w:hAnsi="Book Antiqua" w:cs="Calibri"/>
          <w:lang w:val="es-ES"/>
        </w:rPr>
        <w:t xml:space="preserve">¿Por qué </w:t>
      </w:r>
      <w:r w:rsidR="00E608BD" w:rsidRPr="002C36AB">
        <w:rPr>
          <w:rFonts w:ascii="Book Antiqua" w:hAnsi="Book Antiqua" w:cs="Calibri"/>
          <w:lang w:val="es-ES"/>
        </w:rPr>
        <w:t xml:space="preserve">razón </w:t>
      </w:r>
      <w:r w:rsidRPr="002C36AB">
        <w:rPr>
          <w:rFonts w:ascii="Book Antiqua" w:hAnsi="Book Antiqua" w:cs="Calibri"/>
          <w:lang w:val="es-ES"/>
        </w:rPr>
        <w:t xml:space="preserve">los medios continúan presentando contenido que promueve la VCM? </w:t>
      </w:r>
      <w:r w:rsidR="00E608BD" w:rsidRPr="002C36AB">
        <w:rPr>
          <w:rFonts w:ascii="Book Antiqua" w:hAnsi="Book Antiqua" w:cs="Calibri"/>
          <w:lang w:val="es-ES"/>
        </w:rPr>
        <w:t>P</w:t>
      </w:r>
      <w:r w:rsidRPr="002C36AB">
        <w:rPr>
          <w:rFonts w:ascii="Book Antiqua" w:hAnsi="Book Antiqua" w:cs="Calibri"/>
          <w:lang w:val="es-ES"/>
        </w:rPr>
        <w:t>orque</w:t>
      </w:r>
      <w:r w:rsidR="00230FB7" w:rsidRPr="002C36AB">
        <w:rPr>
          <w:rFonts w:ascii="Book Antiqua" w:hAnsi="Book Antiqua" w:cs="Calibri"/>
          <w:lang w:val="es-ES"/>
        </w:rPr>
        <w:t xml:space="preserve"> producir estas representaciones sexistas parece ser un</w:t>
      </w:r>
      <w:r w:rsidRPr="002C36AB">
        <w:rPr>
          <w:rFonts w:ascii="Book Antiqua" w:hAnsi="Book Antiqua" w:cs="Calibri"/>
          <w:lang w:val="es-ES"/>
        </w:rPr>
        <w:t xml:space="preserve"> buen negocio. </w:t>
      </w:r>
      <w:r w:rsidR="00B61BB6" w:rsidRPr="002C36AB">
        <w:rPr>
          <w:rFonts w:ascii="Book Antiqua" w:hAnsi="Book Antiqua" w:cs="Calibri"/>
          <w:lang w:val="es-ES"/>
        </w:rPr>
        <w:t>P</w:t>
      </w:r>
      <w:r w:rsidRPr="002C36AB">
        <w:rPr>
          <w:rFonts w:ascii="Book Antiqua" w:hAnsi="Book Antiqua" w:cs="Calibri"/>
          <w:lang w:val="es-ES"/>
        </w:rPr>
        <w:t>or ejemplo, el feminicidio en febrero de 2020 de I</w:t>
      </w:r>
      <w:r w:rsidR="002C36AB">
        <w:rPr>
          <w:rFonts w:ascii="Book Antiqua" w:hAnsi="Book Antiqua" w:cs="Calibri"/>
          <w:lang w:val="es-ES"/>
        </w:rPr>
        <w:t xml:space="preserve">. </w:t>
      </w:r>
      <w:proofErr w:type="spellStart"/>
      <w:r w:rsidR="002C36AB">
        <w:rPr>
          <w:rFonts w:ascii="Book Antiqua" w:hAnsi="Book Antiqua" w:cs="Calibri"/>
          <w:lang w:val="es-ES"/>
        </w:rPr>
        <w:t>E.</w:t>
      </w:r>
      <w:r w:rsidRPr="002C36AB">
        <w:rPr>
          <w:rFonts w:ascii="Book Antiqua" w:hAnsi="Book Antiqua" w:cs="Calibri"/>
          <w:lang w:val="es-ES"/>
        </w:rPr>
        <w:t>, una</w:t>
      </w:r>
      <w:proofErr w:type="spellEnd"/>
      <w:r w:rsidRPr="002C36AB">
        <w:rPr>
          <w:rFonts w:ascii="Book Antiqua" w:hAnsi="Book Antiqua" w:cs="Calibri"/>
          <w:lang w:val="es-ES"/>
        </w:rPr>
        <w:t xml:space="preserve"> joven cuyo asesinato fue reportado junto con imágenes gráficas en dos de medios de comunicación sensacionalistas </w:t>
      </w:r>
      <w:r w:rsidR="00230FB7" w:rsidRPr="002C36AB">
        <w:rPr>
          <w:rFonts w:ascii="Book Antiqua" w:hAnsi="Book Antiqua" w:cs="Calibri"/>
          <w:lang w:val="es-ES"/>
        </w:rPr>
        <w:t>(</w:t>
      </w:r>
      <w:r w:rsidRPr="002C36AB">
        <w:rPr>
          <w:rFonts w:ascii="Book Antiqua" w:hAnsi="Book Antiqua" w:cs="Calibri"/>
          <w:lang w:val="es-ES"/>
        </w:rPr>
        <w:t>La Prensa y Pásala</w:t>
      </w:r>
      <w:r w:rsidR="00230FB7" w:rsidRPr="002C36AB">
        <w:rPr>
          <w:rFonts w:ascii="Book Antiqua" w:hAnsi="Book Antiqua" w:cs="Calibri"/>
          <w:lang w:val="es-ES"/>
        </w:rPr>
        <w:t>)</w:t>
      </w:r>
      <w:r w:rsidRPr="002C36AB">
        <w:rPr>
          <w:rFonts w:ascii="Book Antiqua" w:hAnsi="Book Antiqua" w:cs="Calibri"/>
          <w:lang w:val="es-ES"/>
        </w:rPr>
        <w:t>, tanto en formato impreso como digital, atrajo a cientos de miles de lectores (</w:t>
      </w:r>
      <w:proofErr w:type="spellStart"/>
      <w:r w:rsidRPr="002C36AB">
        <w:rPr>
          <w:rFonts w:ascii="Book Antiqua" w:hAnsi="Book Antiqua" w:cs="Calibri"/>
          <w:lang w:val="es-ES"/>
        </w:rPr>
        <w:t>Piccato</w:t>
      </w:r>
      <w:proofErr w:type="spellEnd"/>
      <w:r w:rsidRPr="002C36AB">
        <w:rPr>
          <w:rFonts w:ascii="Book Antiqua" w:hAnsi="Book Antiqua" w:cs="Calibri"/>
          <w:lang w:val="es-ES"/>
        </w:rPr>
        <w:t>, 2020).</w:t>
      </w:r>
    </w:p>
    <w:p w14:paraId="4F0CE651" w14:textId="1359C43C" w:rsidR="00AC39A5" w:rsidRPr="002C36AB" w:rsidRDefault="00AC39A5"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 xml:space="preserve">¿Y cómo han respondido </w:t>
      </w:r>
      <w:r w:rsidR="00230FB7" w:rsidRPr="002C36AB">
        <w:rPr>
          <w:rFonts w:ascii="Book Antiqua" w:hAnsi="Book Antiqua" w:cs="Calibri"/>
          <w:lang w:val="es-ES"/>
        </w:rPr>
        <w:t>los medios</w:t>
      </w:r>
      <w:r w:rsidRPr="002C36AB">
        <w:rPr>
          <w:rFonts w:ascii="Book Antiqua" w:hAnsi="Book Antiqua" w:cs="Calibri"/>
          <w:lang w:val="es-ES"/>
        </w:rPr>
        <w:t xml:space="preserve"> a las quejas públicas? En </w:t>
      </w:r>
      <w:r w:rsidR="00230FB7" w:rsidRPr="002C36AB">
        <w:rPr>
          <w:rFonts w:ascii="Book Antiqua" w:hAnsi="Book Antiqua" w:cs="Calibri"/>
          <w:lang w:val="es-ES"/>
        </w:rPr>
        <w:t xml:space="preserve">su </w:t>
      </w:r>
      <w:r w:rsidRPr="002C36AB">
        <w:rPr>
          <w:rFonts w:ascii="Book Antiqua" w:hAnsi="Book Antiqua" w:cs="Calibri"/>
          <w:lang w:val="es-ES"/>
        </w:rPr>
        <w:t>mayoría</w:t>
      </w:r>
      <w:r w:rsidR="00230FB7" w:rsidRPr="002C36AB">
        <w:rPr>
          <w:rFonts w:ascii="Book Antiqua" w:hAnsi="Book Antiqua" w:cs="Calibri"/>
          <w:lang w:val="es-ES"/>
        </w:rPr>
        <w:t>,</w:t>
      </w:r>
      <w:r w:rsidRPr="002C36AB">
        <w:rPr>
          <w:rFonts w:ascii="Book Antiqua" w:hAnsi="Book Antiqua" w:cs="Calibri"/>
          <w:lang w:val="es-ES"/>
        </w:rPr>
        <w:t xml:space="preserve"> han </w:t>
      </w:r>
      <w:r w:rsidR="00230FB7" w:rsidRPr="002C36AB">
        <w:rPr>
          <w:rFonts w:ascii="Book Antiqua" w:hAnsi="Book Antiqua" w:cs="Calibri"/>
          <w:lang w:val="es-ES"/>
        </w:rPr>
        <w:t>sido</w:t>
      </w:r>
      <w:r w:rsidRPr="002C36AB">
        <w:rPr>
          <w:rFonts w:ascii="Book Antiqua" w:hAnsi="Book Antiqua" w:cs="Calibri"/>
          <w:lang w:val="es-ES"/>
        </w:rPr>
        <w:t xml:space="preserve"> impunes. A menudo justifican sus representaciones argumentando que están ejerciendo su libertad de expresión. En unos pocos casos, </w:t>
      </w:r>
      <w:r w:rsidR="00B30767" w:rsidRPr="002C36AB">
        <w:rPr>
          <w:rFonts w:ascii="Book Antiqua" w:hAnsi="Book Antiqua" w:cs="Calibri"/>
          <w:lang w:val="es-ES"/>
        </w:rPr>
        <w:t>han ofrecido</w:t>
      </w:r>
      <w:r w:rsidRPr="002C36AB">
        <w:rPr>
          <w:rFonts w:ascii="Book Antiqua" w:hAnsi="Book Antiqua" w:cs="Calibri"/>
          <w:lang w:val="es-ES"/>
        </w:rPr>
        <w:t xml:space="preserve"> disculpas públicas y </w:t>
      </w:r>
      <w:proofErr w:type="gramStart"/>
      <w:r w:rsidR="00B30767" w:rsidRPr="002C36AB">
        <w:rPr>
          <w:rFonts w:ascii="Book Antiqua" w:hAnsi="Book Antiqua" w:cs="Calibri"/>
          <w:lang w:val="es-ES"/>
        </w:rPr>
        <w:t>anunciado</w:t>
      </w:r>
      <w:r w:rsidR="00971650" w:rsidRPr="002C36AB">
        <w:rPr>
          <w:rFonts w:ascii="Book Antiqua" w:hAnsi="Book Antiqua" w:cs="Calibri"/>
          <w:lang w:val="es-ES"/>
        </w:rPr>
        <w:t xml:space="preserve"> </w:t>
      </w:r>
      <w:r w:rsidRPr="002C36AB">
        <w:rPr>
          <w:rFonts w:ascii="Book Antiqua" w:hAnsi="Book Antiqua" w:cs="Calibri"/>
          <w:lang w:val="es-ES"/>
        </w:rPr>
        <w:t>cambios</w:t>
      </w:r>
      <w:proofErr w:type="gramEnd"/>
      <w:r w:rsidRPr="002C36AB">
        <w:rPr>
          <w:rFonts w:ascii="Book Antiqua" w:hAnsi="Book Antiqua" w:cs="Calibri"/>
          <w:lang w:val="es-ES"/>
        </w:rPr>
        <w:t xml:space="preserve"> 'positivos'</w:t>
      </w:r>
      <w:r w:rsidR="00B30767" w:rsidRPr="002C36AB">
        <w:rPr>
          <w:rFonts w:ascii="Book Antiqua" w:hAnsi="Book Antiqua" w:cs="Calibri"/>
          <w:lang w:val="es-ES"/>
        </w:rPr>
        <w:t xml:space="preserve"> en</w:t>
      </w:r>
      <w:r w:rsidRPr="002C36AB">
        <w:rPr>
          <w:rFonts w:ascii="Book Antiqua" w:hAnsi="Book Antiqua" w:cs="Calibri"/>
          <w:lang w:val="es-ES"/>
        </w:rPr>
        <w:t xml:space="preserve"> la forma en que representan a las víctimas. Sin embargo, las normas de autorregulación de </w:t>
      </w:r>
      <w:r w:rsidR="00B30767" w:rsidRPr="002C36AB">
        <w:rPr>
          <w:rFonts w:ascii="Book Antiqua" w:hAnsi="Book Antiqua" w:cs="Calibri"/>
          <w:lang w:val="es-ES"/>
        </w:rPr>
        <w:t>los medios</w:t>
      </w:r>
      <w:r w:rsidRPr="002C36AB">
        <w:rPr>
          <w:rFonts w:ascii="Book Antiqua" w:hAnsi="Book Antiqua" w:cs="Calibri"/>
          <w:lang w:val="es-ES"/>
        </w:rPr>
        <w:t xml:space="preserve"> </w:t>
      </w:r>
      <w:r w:rsidR="00483A36">
        <w:rPr>
          <w:rFonts w:ascii="Book Antiqua" w:hAnsi="Book Antiqua" w:cs="Calibri"/>
          <w:lang w:val="es-ES"/>
        </w:rPr>
        <w:t>no se llevan a la práctica</w:t>
      </w:r>
      <w:r w:rsidRPr="002C36AB">
        <w:rPr>
          <w:rFonts w:ascii="Book Antiqua" w:hAnsi="Book Antiqua" w:cs="Calibri"/>
          <w:lang w:val="es-ES"/>
        </w:rPr>
        <w:t>.</w:t>
      </w:r>
    </w:p>
    <w:p w14:paraId="1C4325E7" w14:textId="1E4DE132" w:rsidR="00F0138F" w:rsidRPr="002C36AB" w:rsidRDefault="00F0138F"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 xml:space="preserve">Con el objetivo de facilitarles a medios de comunicación y plataformas digitales </w:t>
      </w:r>
      <w:r w:rsidR="00F76886" w:rsidRPr="002C36AB">
        <w:rPr>
          <w:rFonts w:ascii="Book Antiqua" w:hAnsi="Book Antiqua" w:cs="Calibri"/>
          <w:lang w:val="es-ES"/>
        </w:rPr>
        <w:t>herramientas</w:t>
      </w:r>
      <w:r w:rsidRPr="002C36AB">
        <w:rPr>
          <w:rFonts w:ascii="Book Antiqua" w:hAnsi="Book Antiqua" w:cs="Calibri"/>
          <w:lang w:val="es-ES"/>
        </w:rPr>
        <w:t xml:space="preserve"> para eliminar la VCM en los contenidos y en su estructura</w:t>
      </w:r>
      <w:r w:rsidR="009A0E22" w:rsidRPr="002C36AB">
        <w:rPr>
          <w:rFonts w:ascii="Book Antiqua" w:hAnsi="Book Antiqua" w:cs="Calibri"/>
          <w:lang w:val="es-ES"/>
        </w:rPr>
        <w:t xml:space="preserve">, </w:t>
      </w:r>
      <w:r w:rsidR="009A0E22" w:rsidRPr="002C36AB">
        <w:rPr>
          <w:rFonts w:ascii="Book Antiqua" w:hAnsi="Book Antiqua" w:cs="Calibri"/>
          <w:lang w:val="es-ES"/>
        </w:rPr>
        <w:t>en 2019</w:t>
      </w:r>
      <w:r w:rsidRPr="002C36AB">
        <w:rPr>
          <w:rFonts w:ascii="Book Antiqua" w:hAnsi="Book Antiqua" w:cs="Calibri"/>
          <w:lang w:val="es-ES"/>
        </w:rPr>
        <w:t xml:space="preserve"> GAMAG, UNAM y UNESCO impulsaron el Pacto para la Eliminación </w:t>
      </w:r>
      <w:r w:rsidR="009A0E22" w:rsidRPr="002C36AB">
        <w:rPr>
          <w:rFonts w:ascii="Book Antiqua" w:hAnsi="Book Antiqua" w:cs="Calibri"/>
          <w:lang w:val="es-ES"/>
        </w:rPr>
        <w:t xml:space="preserve">de la VCM en y a través de los medios y plataformas digitales, que fue signado por más de 100 </w:t>
      </w:r>
      <w:r w:rsidR="00F76886" w:rsidRPr="002C36AB">
        <w:rPr>
          <w:rFonts w:ascii="Book Antiqua" w:hAnsi="Book Antiqua" w:cs="Calibri"/>
          <w:lang w:val="es-ES"/>
        </w:rPr>
        <w:t>medios públicos y privados</w:t>
      </w:r>
      <w:r w:rsidR="009A0E22" w:rsidRPr="002C36AB">
        <w:rPr>
          <w:rFonts w:ascii="Book Antiqua" w:hAnsi="Book Antiqua" w:cs="Calibri"/>
          <w:lang w:val="es-ES"/>
        </w:rPr>
        <w:t xml:space="preserve">. El Pacto incluye medidas que pueden adoptar a nivel de los </w:t>
      </w:r>
      <w:r w:rsidR="009A0E22" w:rsidRPr="002C36AB">
        <w:rPr>
          <w:rFonts w:ascii="Book Antiqua" w:hAnsi="Book Antiqua" w:cs="Calibri"/>
          <w:lang w:val="es-ES"/>
        </w:rPr>
        <w:lastRenderedPageBreak/>
        <w:t>contenidos y de las políticas internas para impulsar el acceso de mujeres profesionales. Facebook respondió favorablemente</w:t>
      </w:r>
      <w:r w:rsidR="00B561BA" w:rsidRPr="002C36AB">
        <w:rPr>
          <w:rFonts w:ascii="Book Antiqua" w:hAnsi="Book Antiqua" w:cs="Calibri"/>
          <w:lang w:val="es-ES"/>
        </w:rPr>
        <w:t xml:space="preserve">, apoyando en la </w:t>
      </w:r>
      <w:r w:rsidR="00483A36">
        <w:rPr>
          <w:rFonts w:ascii="Book Antiqua" w:hAnsi="Book Antiqua" w:cs="Calibri"/>
          <w:lang w:val="es-ES"/>
        </w:rPr>
        <w:t>atención</w:t>
      </w:r>
      <w:r w:rsidR="00B561BA" w:rsidRPr="002C36AB">
        <w:rPr>
          <w:rFonts w:ascii="Book Antiqua" w:hAnsi="Book Antiqua" w:cs="Calibri"/>
          <w:lang w:val="es-ES"/>
        </w:rPr>
        <w:t xml:space="preserve"> de víctimas de violencia digital. Algunos medios de comunicación, como El Sol de México,</w:t>
      </w:r>
      <w:r w:rsidR="009A0E22" w:rsidRPr="002C36AB">
        <w:rPr>
          <w:rFonts w:ascii="Book Antiqua" w:hAnsi="Book Antiqua" w:cs="Calibri"/>
          <w:lang w:val="es-ES"/>
        </w:rPr>
        <w:t xml:space="preserve"> </w:t>
      </w:r>
      <w:r w:rsidR="00F76886" w:rsidRPr="002C36AB">
        <w:rPr>
          <w:rFonts w:ascii="Book Antiqua" w:hAnsi="Book Antiqua" w:cs="Calibri"/>
          <w:lang w:val="es-ES"/>
        </w:rPr>
        <w:t xml:space="preserve">mostraron interés </w:t>
      </w:r>
      <w:r w:rsidR="00483A36">
        <w:rPr>
          <w:rFonts w:ascii="Book Antiqua" w:hAnsi="Book Antiqua" w:cs="Calibri"/>
          <w:lang w:val="es-ES"/>
        </w:rPr>
        <w:t xml:space="preserve">en las </w:t>
      </w:r>
      <w:proofErr w:type="gramStart"/>
      <w:r w:rsidR="00483A36">
        <w:rPr>
          <w:rFonts w:ascii="Book Antiqua" w:hAnsi="Book Antiqua" w:cs="Calibri"/>
          <w:lang w:val="es-ES"/>
        </w:rPr>
        <w:t>acciones</w:t>
      </w:r>
      <w:proofErr w:type="gramEnd"/>
      <w:r w:rsidR="00F76886" w:rsidRPr="002C36AB">
        <w:rPr>
          <w:rFonts w:ascii="Book Antiqua" w:hAnsi="Book Antiqua" w:cs="Calibri"/>
          <w:lang w:val="es-ES"/>
        </w:rPr>
        <w:t xml:space="preserve"> pero la pandemia </w:t>
      </w:r>
      <w:r w:rsidR="00483A36">
        <w:rPr>
          <w:rFonts w:ascii="Book Antiqua" w:hAnsi="Book Antiqua" w:cs="Calibri"/>
          <w:lang w:val="es-ES"/>
        </w:rPr>
        <w:t>obstaculizó</w:t>
      </w:r>
      <w:r w:rsidR="00F76886" w:rsidRPr="002C36AB">
        <w:rPr>
          <w:rFonts w:ascii="Book Antiqua" w:hAnsi="Book Antiqua" w:cs="Calibri"/>
          <w:lang w:val="es-ES"/>
        </w:rPr>
        <w:t xml:space="preserve"> su avance</w:t>
      </w:r>
      <w:r w:rsidR="00F76886" w:rsidRPr="002C36AB">
        <w:rPr>
          <w:rStyle w:val="Refdenotaalpie"/>
          <w:rFonts w:ascii="Book Antiqua" w:hAnsi="Book Antiqua" w:cs="Calibri"/>
          <w:lang w:val="es-ES"/>
        </w:rPr>
        <w:footnoteReference w:id="4"/>
      </w:r>
      <w:r w:rsidR="00F76886" w:rsidRPr="002C36AB">
        <w:rPr>
          <w:rFonts w:ascii="Book Antiqua" w:hAnsi="Book Antiqua" w:cs="Calibri"/>
          <w:lang w:val="es-ES"/>
        </w:rPr>
        <w:t xml:space="preserve">. Nuestra conclusión al respecto, es </w:t>
      </w:r>
      <w:proofErr w:type="gramStart"/>
      <w:r w:rsidR="00F76886" w:rsidRPr="002C36AB">
        <w:rPr>
          <w:rFonts w:ascii="Book Antiqua" w:hAnsi="Book Antiqua" w:cs="Calibri"/>
          <w:lang w:val="es-ES"/>
        </w:rPr>
        <w:t>que</w:t>
      </w:r>
      <w:proofErr w:type="gramEnd"/>
      <w:r w:rsidR="00F76886" w:rsidRPr="002C36AB">
        <w:rPr>
          <w:rFonts w:ascii="Book Antiqua" w:hAnsi="Book Antiqua" w:cs="Calibri"/>
          <w:lang w:val="es-ES"/>
        </w:rPr>
        <w:t xml:space="preserve"> junto a medidas de auto-regulación, también son necesarias medidas de regulación, y esas le corresponden al Estado </w:t>
      </w:r>
      <w:r w:rsidR="00483A36">
        <w:rPr>
          <w:rFonts w:ascii="Book Antiqua" w:hAnsi="Book Antiqua" w:cs="Calibri"/>
          <w:lang w:val="es-ES"/>
        </w:rPr>
        <w:t>M</w:t>
      </w:r>
      <w:r w:rsidR="00F76886" w:rsidRPr="002C36AB">
        <w:rPr>
          <w:rFonts w:ascii="Book Antiqua" w:hAnsi="Book Antiqua" w:cs="Calibri"/>
          <w:lang w:val="es-ES"/>
        </w:rPr>
        <w:t>exicano.</w:t>
      </w:r>
    </w:p>
    <w:p w14:paraId="245FBC7B" w14:textId="11B307E9" w:rsidR="00AC39A5" w:rsidRPr="002C36AB" w:rsidRDefault="00B30767"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En 2021, académicas feministas impulsamos en el Poder Legislativo la reforma a la Ley General de Acceso de las Mujeres a una Vida Libre de Violencia y se aprobó</w:t>
      </w:r>
      <w:r w:rsidR="00AC39A5" w:rsidRPr="002C36AB">
        <w:rPr>
          <w:rFonts w:ascii="Book Antiqua" w:hAnsi="Book Antiqua" w:cs="Calibri"/>
          <w:lang w:val="es-ES"/>
        </w:rPr>
        <w:t xml:space="preserve"> la</w:t>
      </w:r>
      <w:r w:rsidRPr="002C36AB">
        <w:rPr>
          <w:rFonts w:ascii="Book Antiqua" w:hAnsi="Book Antiqua" w:cs="Calibri"/>
          <w:lang w:val="es-ES"/>
        </w:rPr>
        <w:t xml:space="preserve"> incorporación de la</w:t>
      </w:r>
      <w:r w:rsidR="00AC39A5" w:rsidRPr="002C36AB">
        <w:rPr>
          <w:rFonts w:ascii="Book Antiqua" w:hAnsi="Book Antiqua" w:cs="Calibri"/>
          <w:lang w:val="es-ES"/>
        </w:rPr>
        <w:t xml:space="preserve"> </w:t>
      </w:r>
      <w:r w:rsidR="00BF33B0" w:rsidRPr="002C36AB">
        <w:rPr>
          <w:rFonts w:ascii="Book Antiqua" w:hAnsi="Book Antiqua" w:cs="Calibri"/>
          <w:lang w:val="es-ES"/>
        </w:rPr>
        <w:t>V</w:t>
      </w:r>
      <w:r w:rsidR="00AC39A5" w:rsidRPr="002C36AB">
        <w:rPr>
          <w:rFonts w:ascii="Book Antiqua" w:hAnsi="Book Antiqua" w:cs="Calibri"/>
          <w:lang w:val="es-ES"/>
        </w:rPr>
        <w:t xml:space="preserve">iolencia </w:t>
      </w:r>
      <w:r w:rsidR="00BF33B0" w:rsidRPr="002C36AB">
        <w:rPr>
          <w:rFonts w:ascii="Book Antiqua" w:hAnsi="Book Antiqua" w:cs="Calibri"/>
          <w:lang w:val="es-ES"/>
        </w:rPr>
        <w:t>M</w:t>
      </w:r>
      <w:r w:rsidR="00AC39A5" w:rsidRPr="002C36AB">
        <w:rPr>
          <w:rFonts w:ascii="Book Antiqua" w:hAnsi="Book Antiqua" w:cs="Calibri"/>
          <w:lang w:val="es-ES"/>
        </w:rPr>
        <w:t>ediática</w:t>
      </w:r>
      <w:r w:rsidR="00BF33B0" w:rsidRPr="002C36AB">
        <w:rPr>
          <w:rFonts w:ascii="Book Antiqua" w:hAnsi="Book Antiqua" w:cs="Calibri"/>
          <w:lang w:val="es-ES"/>
        </w:rPr>
        <w:t xml:space="preserve"> como Modalidad (Artículo 20)</w:t>
      </w:r>
      <w:r w:rsidR="00AC39A5" w:rsidRPr="002C36AB">
        <w:rPr>
          <w:rFonts w:ascii="Book Antiqua" w:hAnsi="Book Antiqua" w:cs="Calibri"/>
          <w:lang w:val="es-ES"/>
        </w:rPr>
        <w:t xml:space="preserve">. </w:t>
      </w:r>
    </w:p>
    <w:p w14:paraId="06FBD427" w14:textId="2CC50079" w:rsidR="00AC39A5" w:rsidRPr="002C36AB" w:rsidRDefault="00B30767"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En este periodo</w:t>
      </w:r>
      <w:r w:rsidR="00BF33B0" w:rsidRPr="002C36AB">
        <w:rPr>
          <w:rFonts w:ascii="Book Antiqua" w:hAnsi="Book Antiqua" w:cs="Calibri"/>
          <w:lang w:val="es-ES"/>
        </w:rPr>
        <w:t xml:space="preserve">, el Gobierno Federal no ha cumplido con </w:t>
      </w:r>
      <w:r w:rsidRPr="002C36AB">
        <w:rPr>
          <w:rFonts w:ascii="Book Antiqua" w:hAnsi="Book Antiqua" w:cs="Calibri"/>
          <w:lang w:val="es-ES"/>
        </w:rPr>
        <w:t xml:space="preserve">las Observaciones Finales del </w:t>
      </w:r>
      <w:proofErr w:type="spellStart"/>
      <w:r w:rsidRPr="002C36AB">
        <w:rPr>
          <w:rFonts w:ascii="Book Antiqua" w:hAnsi="Book Antiqua" w:cs="Calibri"/>
          <w:lang w:val="es-ES"/>
        </w:rPr>
        <w:t>CoCEDAW</w:t>
      </w:r>
      <w:proofErr w:type="spellEnd"/>
      <w:r w:rsidRPr="002C36AB">
        <w:rPr>
          <w:rFonts w:ascii="Book Antiqua" w:hAnsi="Book Antiqua" w:cs="Calibri"/>
          <w:lang w:val="es-ES"/>
        </w:rPr>
        <w:t xml:space="preserve"> del 9º Informe Periódico</w:t>
      </w:r>
      <w:r w:rsidR="00BF33B0" w:rsidRPr="002C36AB">
        <w:rPr>
          <w:rFonts w:ascii="Book Antiqua" w:hAnsi="Book Antiqua" w:cs="Calibri"/>
          <w:lang w:val="es-ES"/>
        </w:rPr>
        <w:t xml:space="preserve">. </w:t>
      </w:r>
      <w:r w:rsidR="00960C1C" w:rsidRPr="002C36AB">
        <w:rPr>
          <w:rFonts w:ascii="Book Antiqua" w:hAnsi="Book Antiqua" w:cs="Calibri"/>
          <w:lang w:val="es-ES"/>
        </w:rPr>
        <w:t xml:space="preserve">No </w:t>
      </w:r>
      <w:proofErr w:type="gramStart"/>
      <w:r w:rsidR="00960C1C" w:rsidRPr="002C36AB">
        <w:rPr>
          <w:rFonts w:ascii="Book Antiqua" w:hAnsi="Book Antiqua" w:cs="Calibri"/>
          <w:lang w:val="es-ES"/>
        </w:rPr>
        <w:t>obstante</w:t>
      </w:r>
      <w:proofErr w:type="gramEnd"/>
      <w:r w:rsidR="00960C1C" w:rsidRPr="002C36AB">
        <w:rPr>
          <w:rFonts w:ascii="Book Antiqua" w:hAnsi="Book Antiqua" w:cs="Calibri"/>
          <w:lang w:val="es-ES"/>
        </w:rPr>
        <w:t xml:space="preserve"> la Secretaría de Gobernación firmó en 2016 el Convenio por la Igualdad de Género y el Combate a la Violencia contra las Mujeres en los Medios de Comunicación, </w:t>
      </w:r>
      <w:r w:rsidRPr="002C36AB">
        <w:rPr>
          <w:rFonts w:ascii="Book Antiqua" w:hAnsi="Book Antiqua" w:cs="Calibri"/>
          <w:lang w:val="es-ES"/>
        </w:rPr>
        <w:t>sobre</w:t>
      </w:r>
      <w:r w:rsidR="00960C1C" w:rsidRPr="002C36AB">
        <w:rPr>
          <w:rFonts w:ascii="Book Antiqua" w:hAnsi="Book Antiqua" w:cs="Calibri"/>
          <w:lang w:val="es-ES"/>
        </w:rPr>
        <w:t xml:space="preserve"> el</w:t>
      </w:r>
      <w:r w:rsidRPr="002C36AB">
        <w:rPr>
          <w:rFonts w:ascii="Book Antiqua" w:hAnsi="Book Antiqua" w:cs="Calibri"/>
          <w:lang w:val="es-ES"/>
        </w:rPr>
        <w:t xml:space="preserve"> que el </w:t>
      </w:r>
      <w:proofErr w:type="spellStart"/>
      <w:r w:rsidR="00960C1C" w:rsidRPr="002C36AB">
        <w:rPr>
          <w:rFonts w:ascii="Book Antiqua" w:hAnsi="Book Antiqua" w:cs="Calibri"/>
          <w:lang w:val="es-ES"/>
        </w:rPr>
        <w:t>CoCEDAW</w:t>
      </w:r>
      <w:proofErr w:type="spellEnd"/>
      <w:r w:rsidR="00960C1C" w:rsidRPr="002C36AB">
        <w:rPr>
          <w:rFonts w:ascii="Book Antiqua" w:hAnsi="Book Antiqua" w:cs="Calibri"/>
          <w:lang w:val="es-ES"/>
        </w:rPr>
        <w:t xml:space="preserve"> recomendó su aplicación plena, el Gobierno Federal incumplió en su tarea de garantizar la imposición de sanciones adecuadas y el recurso a facultades coactivas para erradicar los estereotipos sexistas. También incumplió en el desarrollo de una estrategia de formación para profesionales de los medios de comunicación y en alentar una cobertura informativa que tenga en cuenta la condición de las mujeres, sobre todo en las campañas electorales.</w:t>
      </w:r>
    </w:p>
    <w:p w14:paraId="251CE2A7" w14:textId="77777777" w:rsidR="00960C1C" w:rsidRPr="002C36AB" w:rsidRDefault="00960C1C" w:rsidP="000B3583">
      <w:pPr>
        <w:pStyle w:val="Prrafodelista"/>
        <w:widowControl w:val="0"/>
        <w:numPr>
          <w:ilvl w:val="0"/>
          <w:numId w:val="12"/>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Por su parte, el Poder Judicial se encuentra rebasado en la atención, investigación y sanción a las denuncias por esta modalidad de violencia contra las mujeres.</w:t>
      </w:r>
    </w:p>
    <w:p w14:paraId="5FDC6B2F" w14:textId="58F5C7A3" w:rsidR="00960C1C" w:rsidRPr="002C36AB" w:rsidRDefault="00F76886" w:rsidP="006A4021">
      <w:pPr>
        <w:widowControl w:val="0"/>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Lista de cuestiones</w:t>
      </w:r>
    </w:p>
    <w:p w14:paraId="1363A2D3" w14:textId="7BD13681" w:rsidR="007C43A3" w:rsidRPr="002C36AB" w:rsidRDefault="007C43A3" w:rsidP="00636B20">
      <w:pPr>
        <w:pStyle w:val="Prrafodelista"/>
        <w:widowControl w:val="0"/>
        <w:numPr>
          <w:ilvl w:val="0"/>
          <w:numId w:val="13"/>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A partir de la recomendación realizada por el Comité (CEDAW/C/MEX/CO/7-8, párr. 35 c), para el avance de una política que impulse erradicar estereotipos y prácticas discriminatorias en los medios de comunicación. Expongan con detalle qué medidas se han impulsado para contrarrestar la discriminación multidimensional hacia las mujeres, teniendo en cuenta el carácter la interseccionalidad, condiciones tales como la edad, sexo, raza, discapacidad, ubicación geográfica, género, entre otras. Indique si se ha elaborado alguna estrategia integral a nivel federal y estatal destinada a transformar los patrones sociales y culturales de los estereotipos tradicionales; si se han establecido acciones institucionales para eliminar el lenguaje sexista y los estereotipos discriminatorios contra la mujer en los medios de comunicación. Señale si se ha</w:t>
      </w:r>
      <w:r w:rsidR="00636B20" w:rsidRPr="002C36AB">
        <w:rPr>
          <w:rFonts w:ascii="Book Antiqua" w:hAnsi="Book Antiqua" w:cs="Calibri"/>
          <w:lang w:val="es-ES"/>
        </w:rPr>
        <w:t xml:space="preserve"> </w:t>
      </w:r>
      <w:r w:rsidR="00636B20" w:rsidRPr="002C36AB">
        <w:rPr>
          <w:rFonts w:ascii="Book Antiqua" w:hAnsi="Book Antiqua" w:cs="Calibri"/>
          <w:lang w:val="es-ES"/>
        </w:rPr>
        <w:t>avanzado en la elaboración de políticas para el acceso, la toma de decisiones y la participación laboral paritaria de las mujeres en los medios de comunicación y las TIC. Detalle si se ha avanzado en adoptar medidas para reforzar la participación y colaboración con la sociedad civil, organizaciones de mujeres periodistas y entidades académicas para la consulta, participación y evaluación de todas las acciones anteriores.</w:t>
      </w:r>
    </w:p>
    <w:p w14:paraId="3C5A18C5" w14:textId="2EA4DE8E" w:rsidR="00FB746D" w:rsidRPr="002C36AB" w:rsidRDefault="00FB746D" w:rsidP="00636B20">
      <w:pPr>
        <w:pStyle w:val="Prrafodelista"/>
        <w:widowControl w:val="0"/>
        <w:numPr>
          <w:ilvl w:val="0"/>
          <w:numId w:val="13"/>
        </w:numPr>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t xml:space="preserve">Explique cuáles son las </w:t>
      </w:r>
      <w:r w:rsidRPr="002C36AB">
        <w:rPr>
          <w:rFonts w:ascii="Book Antiqua" w:hAnsi="Book Antiqua" w:cs="Calibri"/>
          <w:lang w:val="es-ES"/>
        </w:rPr>
        <w:t>sanciones adecuadas y el recurso a facultades coactivas para erradicar los estereotipos sexistas</w:t>
      </w:r>
      <w:r w:rsidRPr="002C36AB">
        <w:rPr>
          <w:rFonts w:ascii="Book Antiqua" w:hAnsi="Book Antiqua" w:cs="Calibri"/>
          <w:lang w:val="es-ES"/>
        </w:rPr>
        <w:t xml:space="preserve"> que ha impuesto a los medios de comunicación.</w:t>
      </w:r>
    </w:p>
    <w:p w14:paraId="24313CD9" w14:textId="2F8B3154" w:rsidR="008C766E" w:rsidRPr="002C36AB" w:rsidRDefault="008C766E" w:rsidP="008C766E">
      <w:pPr>
        <w:widowControl w:val="0"/>
        <w:autoSpaceDE w:val="0"/>
        <w:autoSpaceDN w:val="0"/>
        <w:adjustRightInd w:val="0"/>
        <w:spacing w:line="240" w:lineRule="auto"/>
        <w:jc w:val="both"/>
        <w:rPr>
          <w:rFonts w:ascii="Book Antiqua" w:hAnsi="Book Antiqua" w:cs="Calibri"/>
          <w:lang w:val="es-ES"/>
        </w:rPr>
      </w:pPr>
      <w:r w:rsidRPr="002C36AB">
        <w:rPr>
          <w:rFonts w:ascii="Book Antiqua" w:hAnsi="Book Antiqua" w:cs="Calibri"/>
          <w:lang w:val="es-ES"/>
        </w:rPr>
        <w:lastRenderedPageBreak/>
        <w:t>Recomendaciones</w:t>
      </w:r>
    </w:p>
    <w:p w14:paraId="48386561" w14:textId="241F5D5F" w:rsidR="00FA47DB" w:rsidRPr="002C36AB" w:rsidRDefault="00FA47DB" w:rsidP="00FA47DB">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sidRPr="002C36AB">
        <w:rPr>
          <w:rFonts w:ascii="Book Antiqua" w:hAnsi="Book Antiqua" w:cs="Calibri"/>
          <w:lang w:val="es-ES"/>
        </w:rPr>
        <w:t>Regulación. El Estado mexicano debe regular los contenidos y la estructura de los medios de comunicación y las corporaciones del ecosistema digital. Ha sido demostrado</w:t>
      </w:r>
      <w:r w:rsidRPr="002C36AB">
        <w:rPr>
          <w:rFonts w:ascii="Book Antiqua" w:hAnsi="Book Antiqua" w:cs="Calibri"/>
          <w:lang w:val="es-ES"/>
        </w:rPr>
        <w:t xml:space="preserve"> que la auto</w:t>
      </w:r>
      <w:r w:rsidRPr="002C36AB">
        <w:rPr>
          <w:rFonts w:ascii="Book Antiqua" w:hAnsi="Book Antiqua" w:cs="Calibri"/>
          <w:lang w:val="es-ES"/>
        </w:rPr>
        <w:t>-</w:t>
      </w:r>
      <w:r w:rsidRPr="002C36AB">
        <w:rPr>
          <w:rFonts w:ascii="Book Antiqua" w:hAnsi="Book Antiqua" w:cs="Calibri"/>
          <w:lang w:val="es-ES"/>
        </w:rPr>
        <w:t xml:space="preserve">regulación por sí sola no es suficiente para que las corporaciones mediáticas y digitales garanticen una vida libre de violencia para las mujeres en el contenido que producen, se necesitan con urgencia marcos de </w:t>
      </w:r>
      <w:proofErr w:type="spellStart"/>
      <w:r w:rsidRPr="002C36AB">
        <w:rPr>
          <w:rFonts w:ascii="Book Antiqua" w:hAnsi="Book Antiqua" w:cs="Calibri"/>
          <w:lang w:val="es-ES"/>
        </w:rPr>
        <w:t>co</w:t>
      </w:r>
      <w:proofErr w:type="spellEnd"/>
      <w:r w:rsidRPr="002C36AB">
        <w:rPr>
          <w:rFonts w:ascii="Book Antiqua" w:hAnsi="Book Antiqua" w:cs="Calibri"/>
          <w:lang w:val="es-ES"/>
        </w:rPr>
        <w:t>-regulación.</w:t>
      </w:r>
    </w:p>
    <w:p w14:paraId="5C81DF47" w14:textId="6F93A4C5" w:rsidR="00FA47DB" w:rsidRPr="002C36AB" w:rsidRDefault="00FA47DB" w:rsidP="00FA47DB">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sidRPr="002C36AB">
        <w:rPr>
          <w:rFonts w:ascii="Book Antiqua" w:hAnsi="Book Antiqua" w:cs="Calibri"/>
          <w:lang w:val="es-ES"/>
        </w:rPr>
        <w:t xml:space="preserve">Política pública. El Estado mexicano debe adoptar un enfoque holístico para la prevención, atención, sanción, reparación del daño y eliminación de la violencia mediática. </w:t>
      </w:r>
    </w:p>
    <w:p w14:paraId="482EEA21" w14:textId="2C42E740" w:rsidR="00FA47DB" w:rsidRPr="002C36AB" w:rsidRDefault="00FA47DB" w:rsidP="00FA47DB">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sidRPr="002C36AB">
        <w:rPr>
          <w:rFonts w:ascii="Book Antiqua" w:hAnsi="Book Antiqua" w:cs="Calibri"/>
          <w:lang w:val="es-ES"/>
        </w:rPr>
        <w:t>El Estado mexicano debe proporcionar</w:t>
      </w:r>
      <w:r w:rsidRPr="002C36AB">
        <w:rPr>
          <w:rFonts w:ascii="Book Antiqua" w:hAnsi="Book Antiqua" w:cs="Calibri"/>
          <w:lang w:val="es-ES"/>
        </w:rPr>
        <w:t xml:space="preserve"> los recursos tecnológicos, humanos y financieros necesarios para garantizar a las mujeres una vida libre de violencia en los medios y </w:t>
      </w:r>
      <w:r w:rsidRPr="002C36AB">
        <w:rPr>
          <w:rFonts w:ascii="Book Antiqua" w:hAnsi="Book Antiqua" w:cs="Calibri"/>
          <w:lang w:val="es-ES"/>
        </w:rPr>
        <w:t>el ecosistema digital</w:t>
      </w:r>
      <w:r w:rsidRPr="002C36AB">
        <w:rPr>
          <w:rFonts w:ascii="Book Antiqua" w:hAnsi="Book Antiqua" w:cs="Calibri"/>
          <w:lang w:val="es-ES"/>
        </w:rPr>
        <w:t xml:space="preserve">. Es necesario promover programas de alfabetización mediática e informacional con un enfoque de género en las escuelas, comenzando en la infancia. </w:t>
      </w:r>
      <w:r w:rsidRPr="002C36AB">
        <w:rPr>
          <w:rFonts w:ascii="Book Antiqua" w:hAnsi="Book Antiqua" w:cs="Calibri"/>
          <w:lang w:val="es-ES"/>
        </w:rPr>
        <w:t>Debe garantizar</w:t>
      </w:r>
      <w:r w:rsidRPr="002C36AB">
        <w:rPr>
          <w:rFonts w:ascii="Book Antiqua" w:hAnsi="Book Antiqua" w:cs="Calibri"/>
          <w:lang w:val="es-ES"/>
        </w:rPr>
        <w:t xml:space="preserve"> recursos financieros para la investigación académica que permita comprender las dimensiones de la violencia mediática contra las mujeres y </w:t>
      </w:r>
      <w:r w:rsidRPr="002C36AB">
        <w:rPr>
          <w:rFonts w:ascii="Book Antiqua" w:hAnsi="Book Antiqua" w:cs="Calibri"/>
          <w:lang w:val="es-ES"/>
        </w:rPr>
        <w:t xml:space="preserve">a partir de ello </w:t>
      </w:r>
      <w:r w:rsidRPr="002C36AB">
        <w:rPr>
          <w:rFonts w:ascii="Book Antiqua" w:hAnsi="Book Antiqua" w:cs="Calibri"/>
          <w:lang w:val="es-ES"/>
        </w:rPr>
        <w:t xml:space="preserve">desarrollar políticas </w:t>
      </w:r>
      <w:r w:rsidRPr="002C36AB">
        <w:rPr>
          <w:rFonts w:ascii="Book Antiqua" w:hAnsi="Book Antiqua" w:cs="Calibri"/>
          <w:lang w:val="es-ES"/>
        </w:rPr>
        <w:t>que sirvan a las mujeres</w:t>
      </w:r>
      <w:r w:rsidRPr="002C36AB">
        <w:rPr>
          <w:rFonts w:ascii="Book Antiqua" w:hAnsi="Book Antiqua" w:cs="Calibri"/>
          <w:lang w:val="es-ES"/>
        </w:rPr>
        <w:t>.</w:t>
      </w:r>
    </w:p>
    <w:p w14:paraId="600A0241" w14:textId="77777777" w:rsidR="008C766E" w:rsidRPr="002C36AB" w:rsidRDefault="008C766E" w:rsidP="008C766E">
      <w:pPr>
        <w:widowControl w:val="0"/>
        <w:autoSpaceDE w:val="0"/>
        <w:autoSpaceDN w:val="0"/>
        <w:adjustRightInd w:val="0"/>
        <w:spacing w:line="240" w:lineRule="auto"/>
        <w:jc w:val="both"/>
        <w:rPr>
          <w:rFonts w:ascii="Book Antiqua" w:hAnsi="Book Antiqua" w:cs="Calibri"/>
          <w:lang w:val="es-ES"/>
        </w:rPr>
      </w:pPr>
    </w:p>
    <w:p w14:paraId="599251C6" w14:textId="655E494A" w:rsidR="008C766E" w:rsidRPr="00483A36" w:rsidRDefault="008C766E" w:rsidP="006D66F5">
      <w:pPr>
        <w:pStyle w:val="Texto"/>
        <w:spacing w:after="0" w:line="240" w:lineRule="auto"/>
        <w:ind w:firstLine="0"/>
        <w:jc w:val="center"/>
        <w:rPr>
          <w:rFonts w:ascii="Book Antiqua" w:hAnsi="Book Antiqua" w:cs="Times New Roman"/>
          <w:b/>
          <w:bCs/>
          <w:sz w:val="28"/>
          <w:szCs w:val="28"/>
        </w:rPr>
      </w:pPr>
      <w:r w:rsidRPr="00483A36">
        <w:rPr>
          <w:rFonts w:ascii="Book Antiqua" w:hAnsi="Book Antiqua" w:cs="Times New Roman"/>
          <w:b/>
          <w:bCs/>
          <w:sz w:val="28"/>
          <w:szCs w:val="28"/>
        </w:rPr>
        <w:t>Violencia Digital</w:t>
      </w:r>
    </w:p>
    <w:p w14:paraId="2ED958AB" w14:textId="77777777" w:rsidR="008C766E" w:rsidRPr="002C36AB" w:rsidRDefault="008C766E" w:rsidP="006D66F5">
      <w:pPr>
        <w:pStyle w:val="Texto"/>
        <w:spacing w:after="0" w:line="240" w:lineRule="auto"/>
        <w:ind w:firstLine="0"/>
        <w:jc w:val="center"/>
        <w:rPr>
          <w:rFonts w:ascii="Book Antiqua" w:hAnsi="Book Antiqua" w:cs="Times New Roman"/>
          <w:sz w:val="22"/>
          <w:szCs w:val="22"/>
        </w:rPr>
      </w:pPr>
    </w:p>
    <w:p w14:paraId="6FFC4E5E" w14:textId="77777777" w:rsidR="00EE3E8B" w:rsidRPr="002C36AB" w:rsidRDefault="00EE3E8B" w:rsidP="00EE3E8B">
      <w:pPr>
        <w:jc w:val="both"/>
        <w:rPr>
          <w:rFonts w:ascii="Book Antiqua" w:hAnsi="Book Antiqua" w:cs="Arial"/>
        </w:rPr>
      </w:pPr>
      <w:r w:rsidRPr="002C36AB">
        <w:rPr>
          <w:rFonts w:ascii="Book Antiqua" w:hAnsi="Book Antiqua" w:cs="Arial"/>
        </w:rPr>
        <w:t>Informe</w:t>
      </w:r>
    </w:p>
    <w:p w14:paraId="1700A374" w14:textId="71B73A69" w:rsidR="00EE3E8B" w:rsidRPr="002C36AB" w:rsidRDefault="00EE3E8B" w:rsidP="00EE3E8B">
      <w:pPr>
        <w:pStyle w:val="Prrafodelista"/>
        <w:numPr>
          <w:ilvl w:val="0"/>
          <w:numId w:val="20"/>
        </w:numPr>
        <w:jc w:val="both"/>
        <w:rPr>
          <w:rFonts w:ascii="Book Antiqua" w:hAnsi="Book Antiqua" w:cs="Arial"/>
        </w:rPr>
      </w:pPr>
      <w:r w:rsidRPr="002C36AB">
        <w:rPr>
          <w:rFonts w:ascii="Book Antiqua" w:hAnsi="Book Antiqua" w:cs="Arial"/>
        </w:rPr>
        <w:t>L</w:t>
      </w:r>
      <w:r w:rsidRPr="002C36AB">
        <w:rPr>
          <w:rFonts w:ascii="Book Antiqua" w:hAnsi="Book Antiqua" w:cs="Arial"/>
        </w:rPr>
        <w:t xml:space="preserve">a transición hacia lo digital ha sido permeada por la ausencia del acceso a recursos e infraestructura para fomentar, de manera equitativa, la participación de las mujeres en estos ámbitos. La pandemia por COVID-19 </w:t>
      </w:r>
      <w:r w:rsidRPr="002C36AB">
        <w:rPr>
          <w:rFonts w:ascii="Book Antiqua" w:hAnsi="Book Antiqua" w:cs="Arial"/>
        </w:rPr>
        <w:t>agudizó</w:t>
      </w:r>
      <w:r w:rsidRPr="002C36AB">
        <w:rPr>
          <w:rFonts w:ascii="Book Antiqua" w:hAnsi="Book Antiqua" w:cs="Arial"/>
        </w:rPr>
        <w:t xml:space="preserve"> estos aspectos, como lo fue, 1) exacerbar la brecha digital de género y afectar a las mujeres que no tenían acceso a dispositivos y conectividad adecuados, lo que las dejó en desventaja en términos de acceso a la educación en línea, el trabajo remoto (especialmente a aquellas mujeres en economía informal) y los servicios de salud; 2) a partir del cierre de escuelas y oficinas, devino el aumento de la carga de trabajo no remunerado y tareas de cuidado, lo que redujo la disposición de tiempo y energía para participar en sus actividades laborales formales o educativas (INEGI, 2021); 3) en el contexto de pérdida de trabajos formales e informales, se detonó la búsqueda de ingresos por medio de la comercialización de contenido sexual en plataformas como </w:t>
      </w:r>
      <w:r w:rsidRPr="002C36AB">
        <w:rPr>
          <w:rFonts w:ascii="Book Antiqua" w:hAnsi="Book Antiqua" w:cs="Arial"/>
          <w:i/>
        </w:rPr>
        <w:t xml:space="preserve">OnlyFans </w:t>
      </w:r>
      <w:r w:rsidRPr="002C36AB">
        <w:rPr>
          <w:rFonts w:ascii="Book Antiqua" w:hAnsi="Book Antiqua" w:cs="Arial"/>
        </w:rPr>
        <w:t xml:space="preserve">(Merino, 2020), lo que a largo plazo </w:t>
      </w:r>
      <w:r w:rsidR="007D00A8">
        <w:rPr>
          <w:rFonts w:ascii="Book Antiqua" w:hAnsi="Book Antiqua" w:cs="Arial"/>
        </w:rPr>
        <w:t>h</w:t>
      </w:r>
      <w:r w:rsidRPr="002C36AB">
        <w:rPr>
          <w:rFonts w:ascii="Book Antiqua" w:hAnsi="Book Antiqua" w:cs="Arial"/>
        </w:rPr>
        <w:t xml:space="preserve">a generado contextos de vulnerabilidad y exposición para las mujeres en diferentes ámbitos de sus vidas; y 4) el aumento de discursos de odio, violaciones a la privacidad, el </w:t>
      </w:r>
      <w:r w:rsidRPr="002C36AB">
        <w:rPr>
          <w:rFonts w:ascii="Book Antiqua" w:hAnsi="Book Antiqua" w:cs="Arial"/>
          <w:i/>
        </w:rPr>
        <w:t>hackeo</w:t>
      </w:r>
      <w:r w:rsidRPr="002C36AB">
        <w:rPr>
          <w:rFonts w:ascii="Book Antiqua" w:hAnsi="Book Antiqua" w:cs="Arial"/>
        </w:rPr>
        <w:t xml:space="preserve"> y acoso en línea, dado el contexto donde el acceso a redes y espacios sociodigitales, se volvieron centrales para continuar con la vinculación al entorno social (Luchadoras, 2021).</w:t>
      </w:r>
    </w:p>
    <w:p w14:paraId="0B8EB5B8" w14:textId="50C69C5A" w:rsidR="00397916" w:rsidRPr="00D81339" w:rsidRDefault="00397916" w:rsidP="00397916">
      <w:pPr>
        <w:pStyle w:val="Prrafodelista"/>
        <w:numPr>
          <w:ilvl w:val="0"/>
          <w:numId w:val="12"/>
        </w:numPr>
        <w:spacing w:line="240" w:lineRule="auto"/>
        <w:jc w:val="both"/>
        <w:rPr>
          <w:rFonts w:ascii="Book Antiqua" w:hAnsi="Book Antiqua" w:cs="Arial"/>
        </w:rPr>
      </w:pPr>
      <w:r w:rsidRPr="00D81339">
        <w:rPr>
          <w:rFonts w:ascii="Book Antiqua" w:hAnsi="Book Antiqua" w:cs="Arial"/>
        </w:rPr>
        <w:t xml:space="preserve">En 2021, el Poder Legislativo aprobó la reforma al Código Penal y a la LGAMVLV que adiciona la Modalidad de la Violencia Digital. Sin embargo, éste no atendió el llamado de múltiples sectores de darle a la definición de violencia digital una perspectiva </w:t>
      </w:r>
      <w:r w:rsidRPr="00D81339">
        <w:rPr>
          <w:rFonts w:ascii="Book Antiqua" w:hAnsi="Book Antiqua" w:cs="Arial"/>
        </w:rPr>
        <w:lastRenderedPageBreak/>
        <w:t xml:space="preserve">holística, por lo que solamente fue introducido un tipo de violencia digital (“la circulación de imágenes íntimas sexuales sin consentimiento”), de las </w:t>
      </w:r>
      <w:r w:rsidR="00483A36">
        <w:rPr>
          <w:rFonts w:ascii="Book Antiqua" w:hAnsi="Book Antiqua" w:cs="Arial"/>
        </w:rPr>
        <w:t>más de 20</w:t>
      </w:r>
      <w:r w:rsidRPr="00D81339">
        <w:rPr>
          <w:rFonts w:ascii="Book Antiqua" w:hAnsi="Book Antiqua" w:cs="Arial"/>
        </w:rPr>
        <w:t xml:space="preserve"> que existen</w:t>
      </w:r>
      <w:r w:rsidR="00483A36">
        <w:rPr>
          <w:rStyle w:val="Refdenotaalpie"/>
          <w:rFonts w:ascii="Book Antiqua" w:hAnsi="Book Antiqua" w:cs="Arial"/>
        </w:rPr>
        <w:footnoteReference w:id="5"/>
      </w:r>
      <w:r w:rsidRPr="00D81339">
        <w:rPr>
          <w:rFonts w:ascii="Book Antiqua" w:hAnsi="Book Antiqua" w:cs="Arial"/>
        </w:rPr>
        <w:t xml:space="preserve">. La definición aprobada representa riesgos para las víctimas -coloca la carga de la prueba en ellas, crea el doble tipo penal pues dicha conducta ya había sido tipificada por la Ley contra la Trata </w:t>
      </w:r>
      <w:r w:rsidR="00F308CA">
        <w:rPr>
          <w:rFonts w:ascii="Book Antiqua" w:hAnsi="Book Antiqua" w:cs="Arial"/>
        </w:rPr>
        <w:t xml:space="preserve">-que contempla </w:t>
      </w:r>
      <w:r w:rsidRPr="00D81339">
        <w:rPr>
          <w:rFonts w:ascii="Book Antiqua" w:hAnsi="Book Antiqua" w:cs="Arial"/>
        </w:rPr>
        <w:t>15 años de pena a los agresores</w:t>
      </w:r>
      <w:r w:rsidR="00F308CA">
        <w:rPr>
          <w:rFonts w:ascii="Book Antiqua" w:hAnsi="Book Antiqua" w:cs="Arial"/>
        </w:rPr>
        <w:t>-</w:t>
      </w:r>
      <w:r w:rsidRPr="00D81339">
        <w:rPr>
          <w:rFonts w:ascii="Book Antiqua" w:hAnsi="Book Antiqua" w:cs="Arial"/>
        </w:rPr>
        <w:t xml:space="preserve">, reduciendo las penas a máximo 6 años. Tiene además un enfoque punitivo, pues ofrece como única alternativa de denuncia la penal. Debido a que el sistema de procuración de justicia en México no tiene una formación profunda en PG ni en violencia digital y la policía cibernética no cuenta con la infraestructura y los recursos necesarios para operar de </w:t>
      </w:r>
      <w:r w:rsidR="00F308CA">
        <w:rPr>
          <w:rFonts w:ascii="Book Antiqua" w:hAnsi="Book Antiqua" w:cs="Arial"/>
        </w:rPr>
        <w:t>manera</w:t>
      </w:r>
      <w:r w:rsidRPr="00D81339">
        <w:rPr>
          <w:rFonts w:ascii="Book Antiqua" w:hAnsi="Book Antiqua" w:cs="Arial"/>
        </w:rPr>
        <w:t xml:space="preserve"> eficaz, los niveles de impunidad son preocupantes (de acuerdo con</w:t>
      </w:r>
      <w:r w:rsidR="00F308CA">
        <w:rPr>
          <w:rFonts w:ascii="Book Antiqua" w:hAnsi="Book Antiqua" w:cs="Arial"/>
        </w:rPr>
        <w:t xml:space="preserve"> la OSC</w:t>
      </w:r>
      <w:r w:rsidRPr="00D81339">
        <w:rPr>
          <w:rFonts w:ascii="Book Antiqua" w:hAnsi="Book Antiqua" w:cs="Arial"/>
        </w:rPr>
        <w:t xml:space="preserve"> Luchadoras, más del 80% de las carpetas de investigación no han sido judicializadas). Finalmente, carece de un enfoque holístico no solo en su definición de violencia digital, sino en </w:t>
      </w:r>
      <w:r w:rsidR="00F308CA">
        <w:rPr>
          <w:rFonts w:ascii="Book Antiqua" w:hAnsi="Book Antiqua" w:cs="Arial"/>
        </w:rPr>
        <w:t xml:space="preserve">el impulso de una </w:t>
      </w:r>
      <w:r w:rsidRPr="00D81339">
        <w:rPr>
          <w:rFonts w:ascii="Book Antiqua" w:hAnsi="Book Antiqua" w:cs="Arial"/>
        </w:rPr>
        <w:t xml:space="preserve">política pública que podría involucrar a instituciones educativas, INMUJERES y la Segob, entre otras, y de las dimensiones para su eliminación – prevención, atención, sanción y reparación integral del daño-. </w:t>
      </w:r>
    </w:p>
    <w:p w14:paraId="7CDE15DA" w14:textId="77777777" w:rsidR="00397916" w:rsidRPr="00D81339" w:rsidRDefault="00397916" w:rsidP="00397916">
      <w:pPr>
        <w:widowControl w:val="0"/>
        <w:autoSpaceDE w:val="0"/>
        <w:autoSpaceDN w:val="0"/>
        <w:adjustRightInd w:val="0"/>
        <w:spacing w:line="240" w:lineRule="auto"/>
        <w:jc w:val="both"/>
        <w:rPr>
          <w:rFonts w:ascii="Book Antiqua" w:hAnsi="Book Antiqua" w:cs="Calibri"/>
          <w:lang w:val="es-ES"/>
        </w:rPr>
      </w:pPr>
      <w:r w:rsidRPr="00D81339">
        <w:rPr>
          <w:rFonts w:ascii="Book Antiqua" w:hAnsi="Book Antiqua" w:cs="Calibri"/>
          <w:lang w:val="es-ES"/>
        </w:rPr>
        <w:t>Lista de cuestiones</w:t>
      </w:r>
    </w:p>
    <w:p w14:paraId="6EF94D5F" w14:textId="678F6695" w:rsidR="00397916" w:rsidRPr="00D81339" w:rsidRDefault="00397916" w:rsidP="00397916">
      <w:pPr>
        <w:pStyle w:val="Prrafodelista"/>
        <w:widowControl w:val="0"/>
        <w:numPr>
          <w:ilvl w:val="0"/>
          <w:numId w:val="13"/>
        </w:numPr>
        <w:autoSpaceDE w:val="0"/>
        <w:autoSpaceDN w:val="0"/>
        <w:adjustRightInd w:val="0"/>
        <w:spacing w:line="240" w:lineRule="auto"/>
        <w:jc w:val="both"/>
        <w:rPr>
          <w:rFonts w:ascii="Book Antiqua" w:hAnsi="Book Antiqua" w:cs="Calibri"/>
          <w:lang w:val="es-ES"/>
        </w:rPr>
      </w:pPr>
      <w:r w:rsidRPr="00D81339">
        <w:rPr>
          <w:rFonts w:ascii="Book Antiqua" w:hAnsi="Book Antiqua" w:cs="Calibri"/>
          <w:lang w:val="es-ES"/>
        </w:rPr>
        <w:t xml:space="preserve">Indique qué medidas ha adoptado para erradicar estereotipos sexistas y prácticas discriminatorias en </w:t>
      </w:r>
      <w:r>
        <w:rPr>
          <w:rFonts w:ascii="Book Antiqua" w:hAnsi="Book Antiqua" w:cs="Calibri"/>
          <w:lang w:val="es-ES"/>
        </w:rPr>
        <w:t>las plataformas digitales</w:t>
      </w:r>
      <w:r w:rsidRPr="00D81339">
        <w:rPr>
          <w:rFonts w:ascii="Book Antiqua" w:hAnsi="Book Antiqua" w:cs="Calibri"/>
          <w:lang w:val="es-ES"/>
        </w:rPr>
        <w:t>.</w:t>
      </w:r>
    </w:p>
    <w:p w14:paraId="6D1A150B" w14:textId="035F58D2" w:rsidR="00397916" w:rsidRDefault="00397916" w:rsidP="00397916">
      <w:pPr>
        <w:pStyle w:val="Prrafodelista"/>
        <w:widowControl w:val="0"/>
        <w:numPr>
          <w:ilvl w:val="0"/>
          <w:numId w:val="13"/>
        </w:numPr>
        <w:autoSpaceDE w:val="0"/>
        <w:autoSpaceDN w:val="0"/>
        <w:adjustRightInd w:val="0"/>
        <w:spacing w:line="240" w:lineRule="auto"/>
        <w:jc w:val="both"/>
        <w:rPr>
          <w:rFonts w:ascii="Book Antiqua" w:hAnsi="Book Antiqua" w:cs="Calibri"/>
          <w:lang w:val="es-ES"/>
        </w:rPr>
      </w:pPr>
      <w:r w:rsidRPr="00D81339">
        <w:rPr>
          <w:rFonts w:ascii="Book Antiqua" w:hAnsi="Book Antiqua" w:cs="Calibri"/>
          <w:lang w:val="es-ES"/>
        </w:rPr>
        <w:t xml:space="preserve">Explique cuáles son las sanciones adecuadas y el recurso a facultades coactivas para erradicar los estereotipos sexistas que ha impuesto a </w:t>
      </w:r>
      <w:r>
        <w:rPr>
          <w:rFonts w:ascii="Book Antiqua" w:hAnsi="Book Antiqua" w:cs="Calibri"/>
          <w:lang w:val="es-ES"/>
        </w:rPr>
        <w:t>las plataformas digitales</w:t>
      </w:r>
      <w:r w:rsidRPr="00D81339">
        <w:rPr>
          <w:rFonts w:ascii="Book Antiqua" w:hAnsi="Book Antiqua" w:cs="Calibri"/>
          <w:lang w:val="es-ES"/>
        </w:rPr>
        <w:t>.</w:t>
      </w:r>
    </w:p>
    <w:p w14:paraId="1CA6379E" w14:textId="77777777" w:rsidR="00397916" w:rsidRPr="00D81339" w:rsidRDefault="00397916" w:rsidP="00397916">
      <w:pPr>
        <w:pStyle w:val="Prrafodelista"/>
        <w:widowControl w:val="0"/>
        <w:numPr>
          <w:ilvl w:val="0"/>
          <w:numId w:val="13"/>
        </w:numPr>
        <w:autoSpaceDE w:val="0"/>
        <w:autoSpaceDN w:val="0"/>
        <w:adjustRightInd w:val="0"/>
        <w:spacing w:line="240" w:lineRule="auto"/>
        <w:jc w:val="both"/>
        <w:rPr>
          <w:rFonts w:ascii="Book Antiqua" w:hAnsi="Book Antiqua" w:cs="Calibri"/>
          <w:lang w:val="es-ES"/>
        </w:rPr>
      </w:pPr>
      <w:r>
        <w:rPr>
          <w:rFonts w:ascii="Book Antiqua" w:hAnsi="Book Antiqua" w:cs="Calibri"/>
          <w:lang w:val="es-ES"/>
        </w:rPr>
        <w:t xml:space="preserve">Indique qué medidas ha impulsado para prevenir, atender, sancionar y reparar el daño a las víctimas de los más de 20 tipos de violencia digital existentes. </w:t>
      </w:r>
    </w:p>
    <w:p w14:paraId="2FB05C2D" w14:textId="77777777" w:rsidR="00397916" w:rsidRPr="00D81339" w:rsidRDefault="00397916" w:rsidP="00397916">
      <w:pPr>
        <w:widowControl w:val="0"/>
        <w:autoSpaceDE w:val="0"/>
        <w:autoSpaceDN w:val="0"/>
        <w:adjustRightInd w:val="0"/>
        <w:spacing w:line="240" w:lineRule="auto"/>
        <w:jc w:val="both"/>
        <w:rPr>
          <w:rFonts w:ascii="Book Antiqua" w:hAnsi="Book Antiqua" w:cs="Calibri"/>
          <w:lang w:val="es-ES"/>
        </w:rPr>
      </w:pPr>
      <w:r w:rsidRPr="00D81339">
        <w:rPr>
          <w:rFonts w:ascii="Book Antiqua" w:hAnsi="Book Antiqua" w:cs="Calibri"/>
          <w:lang w:val="es-ES"/>
        </w:rPr>
        <w:t>Recomendaciones</w:t>
      </w:r>
    </w:p>
    <w:p w14:paraId="1BCCF188" w14:textId="145DA4FE" w:rsidR="00397916" w:rsidRPr="00D81339" w:rsidRDefault="00397916" w:rsidP="00397916">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sidRPr="00D81339">
        <w:rPr>
          <w:rFonts w:ascii="Book Antiqua" w:hAnsi="Book Antiqua" w:cs="Calibri"/>
          <w:lang w:val="es-ES"/>
        </w:rPr>
        <w:t xml:space="preserve">Regulación. El Estado mexicano debe regular los contenidos y la estructura de las corporaciones del ecosistema digital. </w:t>
      </w:r>
    </w:p>
    <w:p w14:paraId="205AB750" w14:textId="7BDF18F9" w:rsidR="00397916" w:rsidRPr="00D81339" w:rsidRDefault="00397916" w:rsidP="00397916">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sidRPr="00D81339">
        <w:rPr>
          <w:rFonts w:ascii="Book Antiqua" w:hAnsi="Book Antiqua" w:cs="Calibri"/>
          <w:lang w:val="es-ES"/>
        </w:rPr>
        <w:t xml:space="preserve">Política pública. El Estado mexicano debe adoptar un enfoque holístico para la prevención, atención, sanción, reparación del daño y eliminación de la violencia digital. </w:t>
      </w:r>
    </w:p>
    <w:p w14:paraId="533747C9" w14:textId="53FBE062" w:rsidR="00397916" w:rsidRPr="00D81339" w:rsidRDefault="00397916" w:rsidP="00397916">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sidRPr="00D81339">
        <w:rPr>
          <w:rFonts w:ascii="Book Antiqua" w:hAnsi="Book Antiqua" w:cs="Calibri"/>
          <w:lang w:val="es-ES"/>
        </w:rPr>
        <w:t xml:space="preserve">El Estado mexicano debe proporcionar los recursos tecnológicos, humanos y financieros necesarios para garantizar a las mujeres una vida libre de violencia en el ecosistema digital. Es necesario promover programas de alfabetización </w:t>
      </w:r>
      <w:r>
        <w:rPr>
          <w:rFonts w:ascii="Book Antiqua" w:hAnsi="Book Antiqua" w:cs="Calibri"/>
          <w:lang w:val="es-ES"/>
        </w:rPr>
        <w:t>digital</w:t>
      </w:r>
      <w:r w:rsidRPr="00D81339">
        <w:rPr>
          <w:rFonts w:ascii="Book Antiqua" w:hAnsi="Book Antiqua" w:cs="Calibri"/>
          <w:lang w:val="es-ES"/>
        </w:rPr>
        <w:t xml:space="preserve"> con un enfoque de género en las escuelas, comenzando en la infancia. Debe garantizar recursos financieros para la investigación académica que permita comprender las dimensiones de la violencia </w:t>
      </w:r>
      <w:r>
        <w:rPr>
          <w:rFonts w:ascii="Book Antiqua" w:hAnsi="Book Antiqua" w:cs="Calibri"/>
          <w:lang w:val="es-ES"/>
        </w:rPr>
        <w:t>digital</w:t>
      </w:r>
      <w:r w:rsidRPr="00D81339">
        <w:rPr>
          <w:rFonts w:ascii="Book Antiqua" w:hAnsi="Book Antiqua" w:cs="Calibri"/>
          <w:lang w:val="es-ES"/>
        </w:rPr>
        <w:t>. Debe garantizar los recursos humanos, financieros y de capacitación para el óptimo funcionamiento del sistema de procuración de justicia.</w:t>
      </w:r>
    </w:p>
    <w:p w14:paraId="0AC9CE0D" w14:textId="77777777" w:rsidR="00397916" w:rsidRPr="00061D66" w:rsidRDefault="00397916" w:rsidP="00397916">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sidRPr="00D81339">
        <w:rPr>
          <w:rFonts w:ascii="Book Antiqua" w:hAnsi="Book Antiqua" w:cs="Arial"/>
        </w:rPr>
        <w:t>Las corporaciones digitales deben comprometerse a crear protocolos de seguridad efectivos para la protección de mujeres y niñas en Internet y, junto con las autoridades locales, mejorar los mecanismos para el acceso a la justicia de las víctimas.</w:t>
      </w:r>
    </w:p>
    <w:p w14:paraId="7AF28F01" w14:textId="77777777" w:rsidR="00397916" w:rsidRPr="00B13677" w:rsidRDefault="00397916" w:rsidP="00397916">
      <w:pPr>
        <w:pStyle w:val="Prrafodelista"/>
        <w:widowControl w:val="0"/>
        <w:numPr>
          <w:ilvl w:val="0"/>
          <w:numId w:val="16"/>
        </w:numPr>
        <w:autoSpaceDE w:val="0"/>
        <w:autoSpaceDN w:val="0"/>
        <w:adjustRightInd w:val="0"/>
        <w:spacing w:line="240" w:lineRule="auto"/>
        <w:ind w:left="360"/>
        <w:jc w:val="both"/>
        <w:rPr>
          <w:rFonts w:ascii="Book Antiqua" w:hAnsi="Book Antiqua" w:cs="Calibri"/>
          <w:lang w:val="es-ES"/>
        </w:rPr>
      </w:pPr>
      <w:r>
        <w:rPr>
          <w:rFonts w:ascii="Book Antiqua" w:hAnsi="Book Antiqua" w:cs="Arial"/>
        </w:rPr>
        <w:t xml:space="preserve">El Poder Legislativo debe llevar a cabo una reforma al Código Penal y a la LGAMVLV, </w:t>
      </w:r>
      <w:r>
        <w:rPr>
          <w:rFonts w:ascii="Book Antiqua" w:hAnsi="Book Antiqua" w:cs="Arial"/>
        </w:rPr>
        <w:lastRenderedPageBreak/>
        <w:t>a fin de darle a la definición de Violencia Digital un enfoque integral que reconozca por lo menos los tipos más frecuentes de VD, que dé alternativas de acceso a la justicia no solo penales, sino civiles y administrativas y que siente las bases para una política pública integral para eliminar la VD.</w:t>
      </w:r>
    </w:p>
    <w:p w14:paraId="119AE041" w14:textId="77777777" w:rsidR="008C766E" w:rsidRPr="00397916" w:rsidRDefault="008C766E" w:rsidP="006D66F5">
      <w:pPr>
        <w:pStyle w:val="Texto"/>
        <w:spacing w:after="0" w:line="240" w:lineRule="auto"/>
        <w:ind w:firstLine="0"/>
        <w:jc w:val="center"/>
        <w:rPr>
          <w:rFonts w:ascii="Book Antiqua" w:hAnsi="Book Antiqua" w:cs="Times New Roman"/>
          <w:sz w:val="22"/>
          <w:szCs w:val="22"/>
          <w:lang w:val="es-ES"/>
        </w:rPr>
      </w:pPr>
    </w:p>
    <w:p w14:paraId="6BDD6FFC" w14:textId="77777777" w:rsidR="00483A36" w:rsidRDefault="00483A36" w:rsidP="006D66F5">
      <w:pPr>
        <w:pStyle w:val="Texto"/>
        <w:spacing w:after="0" w:line="240" w:lineRule="auto"/>
        <w:ind w:firstLine="0"/>
        <w:jc w:val="center"/>
        <w:rPr>
          <w:rFonts w:ascii="Book Antiqua" w:hAnsi="Book Antiqua" w:cs="Times New Roman"/>
          <w:b/>
          <w:bCs/>
          <w:sz w:val="28"/>
          <w:szCs w:val="28"/>
        </w:rPr>
      </w:pPr>
    </w:p>
    <w:p w14:paraId="19553B10" w14:textId="3CC4FAFC" w:rsidR="00931A43" w:rsidRPr="00483A36" w:rsidRDefault="008C766E" w:rsidP="006D66F5">
      <w:pPr>
        <w:pStyle w:val="Texto"/>
        <w:spacing w:after="0" w:line="240" w:lineRule="auto"/>
        <w:ind w:firstLine="0"/>
        <w:jc w:val="center"/>
        <w:rPr>
          <w:rFonts w:ascii="Book Antiqua" w:hAnsi="Book Antiqua" w:cs="Times New Roman"/>
          <w:b/>
          <w:bCs/>
          <w:sz w:val="28"/>
          <w:szCs w:val="28"/>
        </w:rPr>
      </w:pPr>
      <w:r w:rsidRPr="00483A36">
        <w:rPr>
          <w:rFonts w:ascii="Book Antiqua" w:hAnsi="Book Antiqua" w:cs="Times New Roman"/>
          <w:b/>
          <w:bCs/>
          <w:sz w:val="28"/>
          <w:szCs w:val="28"/>
        </w:rPr>
        <w:t>Violencia contra Mujeres Periodistas y Libertad de Expresión</w:t>
      </w:r>
    </w:p>
    <w:p w14:paraId="1B7447D6" w14:textId="77777777" w:rsidR="00F27CC5" w:rsidRPr="002C36AB" w:rsidRDefault="00F27CC5" w:rsidP="00F27CC5">
      <w:pPr>
        <w:pStyle w:val="Texto"/>
        <w:spacing w:after="0" w:line="240" w:lineRule="auto"/>
        <w:ind w:firstLine="0"/>
        <w:rPr>
          <w:rFonts w:ascii="Book Antiqua" w:hAnsi="Book Antiqua" w:cs="Times New Roman"/>
          <w:sz w:val="22"/>
          <w:szCs w:val="22"/>
        </w:rPr>
      </w:pPr>
    </w:p>
    <w:p w14:paraId="114D5A63" w14:textId="208EA59D" w:rsidR="006D66F5" w:rsidRPr="002C36AB" w:rsidRDefault="00F27CC5" w:rsidP="00F27CC5">
      <w:pPr>
        <w:pStyle w:val="Texto"/>
        <w:spacing w:after="0" w:line="240" w:lineRule="auto"/>
        <w:ind w:firstLine="0"/>
        <w:rPr>
          <w:rFonts w:ascii="Book Antiqua" w:hAnsi="Book Antiqua" w:cs="Times New Roman"/>
          <w:sz w:val="22"/>
          <w:szCs w:val="22"/>
        </w:rPr>
      </w:pPr>
      <w:r w:rsidRPr="002C36AB">
        <w:rPr>
          <w:rFonts w:ascii="Book Antiqua" w:hAnsi="Book Antiqua" w:cs="Times New Roman"/>
          <w:sz w:val="22"/>
          <w:szCs w:val="22"/>
        </w:rPr>
        <w:t>Informe</w:t>
      </w:r>
    </w:p>
    <w:p w14:paraId="01DFC867" w14:textId="77777777" w:rsidR="00F27CC5" w:rsidRPr="002C36AB" w:rsidRDefault="00F27CC5" w:rsidP="00F27CC5">
      <w:pPr>
        <w:pStyle w:val="Texto"/>
        <w:spacing w:after="0" w:line="240" w:lineRule="auto"/>
        <w:ind w:firstLine="0"/>
        <w:rPr>
          <w:rFonts w:ascii="Book Antiqua" w:hAnsi="Book Antiqua" w:cs="Times New Roman"/>
          <w:sz w:val="22"/>
          <w:szCs w:val="22"/>
        </w:rPr>
      </w:pPr>
    </w:p>
    <w:p w14:paraId="7C8996AA" w14:textId="533048F9" w:rsidR="004B3159" w:rsidRPr="002C36AB" w:rsidRDefault="004B3159" w:rsidP="004B3159">
      <w:pPr>
        <w:pStyle w:val="Texto"/>
        <w:numPr>
          <w:ilvl w:val="0"/>
          <w:numId w:val="14"/>
        </w:numPr>
        <w:spacing w:after="0" w:line="240" w:lineRule="auto"/>
        <w:rPr>
          <w:rFonts w:ascii="Book Antiqua" w:hAnsi="Book Antiqua" w:cs="Times New Roman"/>
          <w:sz w:val="22"/>
          <w:szCs w:val="22"/>
        </w:rPr>
      </w:pPr>
      <w:r w:rsidRPr="002C36AB">
        <w:rPr>
          <w:rFonts w:ascii="Book Antiqua" w:hAnsi="Book Antiqua" w:cs="Times New Roman"/>
          <w:sz w:val="22"/>
          <w:szCs w:val="22"/>
        </w:rPr>
        <w:t xml:space="preserve">Según </w:t>
      </w:r>
      <w:r w:rsidRPr="002C36AB">
        <w:rPr>
          <w:rFonts w:ascii="Book Antiqua" w:hAnsi="Book Antiqua" w:cs="Times New Roman"/>
          <w:sz w:val="22"/>
          <w:szCs w:val="22"/>
        </w:rPr>
        <w:t xml:space="preserve">CIMAC, </w:t>
      </w:r>
      <w:r w:rsidRPr="002C36AB">
        <w:rPr>
          <w:rFonts w:ascii="Book Antiqua" w:hAnsi="Book Antiqua" w:cs="Times New Roman"/>
          <w:sz w:val="22"/>
          <w:szCs w:val="22"/>
        </w:rPr>
        <w:t>entre</w:t>
      </w:r>
      <w:r w:rsidRPr="002C36AB">
        <w:rPr>
          <w:rFonts w:ascii="Book Antiqua" w:hAnsi="Book Antiqua" w:cs="Times New Roman"/>
          <w:sz w:val="22"/>
          <w:szCs w:val="22"/>
        </w:rPr>
        <w:t xml:space="preserve"> 2012 </w:t>
      </w:r>
      <w:r w:rsidRPr="002C36AB">
        <w:rPr>
          <w:rFonts w:ascii="Book Antiqua" w:hAnsi="Book Antiqua" w:cs="Times New Roman"/>
          <w:sz w:val="22"/>
          <w:szCs w:val="22"/>
        </w:rPr>
        <w:t>y</w:t>
      </w:r>
      <w:r w:rsidRPr="002C36AB">
        <w:rPr>
          <w:rFonts w:ascii="Book Antiqua" w:hAnsi="Book Antiqua" w:cs="Times New Roman"/>
          <w:sz w:val="22"/>
          <w:szCs w:val="22"/>
        </w:rPr>
        <w:t xml:space="preserve"> 2020 </w:t>
      </w:r>
      <w:r w:rsidRPr="002C36AB">
        <w:rPr>
          <w:rFonts w:ascii="Book Antiqua" w:hAnsi="Book Antiqua" w:cs="Times New Roman"/>
          <w:sz w:val="22"/>
          <w:szCs w:val="22"/>
        </w:rPr>
        <w:t>920 mujeres periodistas fueron víctimas de violencia</w:t>
      </w:r>
      <w:r w:rsidRPr="002C36AB">
        <w:rPr>
          <w:rFonts w:ascii="Book Antiqua" w:hAnsi="Book Antiqua" w:cs="Times New Roman"/>
          <w:sz w:val="22"/>
          <w:szCs w:val="22"/>
        </w:rPr>
        <w:t>, incluyendo 19 feminicidios.</w:t>
      </w:r>
    </w:p>
    <w:p w14:paraId="6B583BDD" w14:textId="79E3244F" w:rsidR="004B3159" w:rsidRPr="002C36AB" w:rsidRDefault="004B3159" w:rsidP="005759C6">
      <w:pPr>
        <w:pStyle w:val="Texto"/>
        <w:numPr>
          <w:ilvl w:val="0"/>
          <w:numId w:val="14"/>
        </w:numPr>
        <w:spacing w:after="0" w:line="240" w:lineRule="auto"/>
        <w:rPr>
          <w:rFonts w:ascii="Book Antiqua" w:hAnsi="Book Antiqua" w:cs="Times New Roman"/>
          <w:sz w:val="22"/>
          <w:szCs w:val="22"/>
        </w:rPr>
      </w:pPr>
      <w:r w:rsidRPr="002C36AB">
        <w:rPr>
          <w:rFonts w:ascii="Book Antiqua" w:hAnsi="Book Antiqua" w:cs="Times New Roman"/>
          <w:sz w:val="22"/>
          <w:szCs w:val="22"/>
        </w:rPr>
        <w:t>Según GAMAG (2021)</w:t>
      </w:r>
      <w:r w:rsidR="00D158AB" w:rsidRPr="002C36AB">
        <w:rPr>
          <w:rStyle w:val="Refdenotaalpie"/>
          <w:rFonts w:ascii="Book Antiqua" w:hAnsi="Book Antiqua" w:cs="Times New Roman"/>
          <w:sz w:val="22"/>
          <w:szCs w:val="22"/>
        </w:rPr>
        <w:footnoteReference w:id="6"/>
      </w:r>
      <w:r w:rsidRPr="002C36AB">
        <w:rPr>
          <w:rFonts w:ascii="Book Antiqua" w:hAnsi="Book Antiqua" w:cs="Times New Roman"/>
          <w:sz w:val="22"/>
          <w:szCs w:val="22"/>
        </w:rPr>
        <w:t>, los principales tipos de VCM periodistas incluyen la psicológica, física, sexual, económica, patrimonial y feminicida. Se registró un incremento de violencia</w:t>
      </w:r>
      <w:r w:rsidR="00224CD4" w:rsidRPr="002C36AB">
        <w:rPr>
          <w:rFonts w:ascii="Book Antiqua" w:hAnsi="Book Antiqua" w:cs="Times New Roman"/>
          <w:sz w:val="22"/>
          <w:szCs w:val="22"/>
        </w:rPr>
        <w:t xml:space="preserve"> institucional y digital</w:t>
      </w:r>
      <w:r w:rsidR="008F0617" w:rsidRPr="002C36AB">
        <w:rPr>
          <w:rStyle w:val="Refdenotaalpie"/>
          <w:rFonts w:ascii="Book Antiqua" w:hAnsi="Book Antiqua" w:cs="Times New Roman"/>
          <w:sz w:val="22"/>
          <w:szCs w:val="22"/>
        </w:rPr>
        <w:footnoteReference w:id="7"/>
      </w:r>
      <w:r w:rsidRPr="002C36AB">
        <w:rPr>
          <w:rFonts w:ascii="Book Antiqua" w:hAnsi="Book Antiqua" w:cs="Times New Roman"/>
          <w:sz w:val="22"/>
          <w:szCs w:val="22"/>
        </w:rPr>
        <w:t>. La mayoría de las víctimas no recibieron ningún tipo de medidas de seguridad para realizar su trabajo, por parte de los medios para los que trabajan</w:t>
      </w:r>
      <w:r w:rsidR="00224CD4" w:rsidRPr="002C36AB">
        <w:rPr>
          <w:rFonts w:ascii="Book Antiqua" w:hAnsi="Book Antiqua" w:cs="Times New Roman"/>
          <w:sz w:val="22"/>
          <w:szCs w:val="22"/>
        </w:rPr>
        <w:t xml:space="preserve">. </w:t>
      </w:r>
    </w:p>
    <w:p w14:paraId="48E10ED7" w14:textId="77777777" w:rsidR="005759C6" w:rsidRPr="002C36AB" w:rsidRDefault="00F27CC5" w:rsidP="00F27CC5">
      <w:pPr>
        <w:pStyle w:val="Texto"/>
        <w:numPr>
          <w:ilvl w:val="0"/>
          <w:numId w:val="14"/>
        </w:numPr>
        <w:spacing w:after="0" w:line="240" w:lineRule="auto"/>
        <w:rPr>
          <w:rFonts w:ascii="Book Antiqua" w:hAnsi="Book Antiqua" w:cs="Times New Roman"/>
          <w:sz w:val="22"/>
          <w:szCs w:val="22"/>
        </w:rPr>
      </w:pPr>
      <w:r w:rsidRPr="002C36AB">
        <w:rPr>
          <w:rFonts w:ascii="Book Antiqua" w:hAnsi="Book Antiqua" w:cs="Times New Roman"/>
          <w:sz w:val="22"/>
          <w:szCs w:val="22"/>
        </w:rPr>
        <w:t>Se cumplen 11 años desde que se emitió la Ley para la Protección de Personas Defensoras de Derechos Humanos y Periodistas (LPPDHyP), el marco normativo que funda el Mecanismo de Protección</w:t>
      </w:r>
      <w:r w:rsidR="005759C6" w:rsidRPr="002C36AB">
        <w:rPr>
          <w:rFonts w:ascii="Book Antiqua" w:hAnsi="Book Antiqua" w:cs="Times New Roman"/>
          <w:sz w:val="22"/>
          <w:szCs w:val="22"/>
        </w:rPr>
        <w:t xml:space="preserve">, que tiene </w:t>
      </w:r>
      <w:r w:rsidRPr="002C36AB">
        <w:rPr>
          <w:rFonts w:ascii="Book Antiqua" w:hAnsi="Book Antiqua" w:cs="Times New Roman"/>
          <w:sz w:val="22"/>
          <w:szCs w:val="22"/>
        </w:rPr>
        <w:t>como objetivo garantizar la vida, la integridad y la seguridad de periodistas y personas defensoras de derechos humanos que se encuentren en una situación de riesgo por ejercer su labor.</w:t>
      </w:r>
      <w:r w:rsidR="005759C6" w:rsidRPr="002C36AB">
        <w:rPr>
          <w:rFonts w:ascii="Book Antiqua" w:hAnsi="Book Antiqua" w:cs="Times New Roman"/>
          <w:sz w:val="22"/>
          <w:szCs w:val="22"/>
        </w:rPr>
        <w:t xml:space="preserve"> </w:t>
      </w:r>
    </w:p>
    <w:p w14:paraId="79AB9395" w14:textId="72C3C059" w:rsidR="00F27CC5" w:rsidRPr="002C36AB" w:rsidRDefault="00F27CC5" w:rsidP="00F27CC5">
      <w:pPr>
        <w:pStyle w:val="Texto"/>
        <w:numPr>
          <w:ilvl w:val="0"/>
          <w:numId w:val="14"/>
        </w:numPr>
        <w:spacing w:after="0" w:line="240" w:lineRule="auto"/>
        <w:rPr>
          <w:rFonts w:ascii="Book Antiqua" w:hAnsi="Book Antiqua" w:cs="Times New Roman"/>
          <w:sz w:val="22"/>
          <w:szCs w:val="22"/>
        </w:rPr>
      </w:pPr>
      <w:r w:rsidRPr="002C36AB">
        <w:rPr>
          <w:rFonts w:ascii="Book Antiqua" w:hAnsi="Book Antiqua" w:cs="Times New Roman"/>
          <w:sz w:val="22"/>
          <w:szCs w:val="22"/>
        </w:rPr>
        <w:t xml:space="preserve">De acuerdo al </w:t>
      </w:r>
      <w:r w:rsidR="0096743A" w:rsidRPr="002C36AB">
        <w:rPr>
          <w:rFonts w:ascii="Book Antiqua" w:hAnsi="Book Antiqua" w:cs="Times New Roman"/>
          <w:sz w:val="22"/>
          <w:szCs w:val="22"/>
        </w:rPr>
        <w:t>5º</w:t>
      </w:r>
      <w:r w:rsidRPr="002C36AB">
        <w:rPr>
          <w:rFonts w:ascii="Book Antiqua" w:hAnsi="Book Antiqua" w:cs="Times New Roman"/>
          <w:sz w:val="22"/>
          <w:szCs w:val="22"/>
        </w:rPr>
        <w:t xml:space="preserve"> </w:t>
      </w:r>
      <w:r w:rsidR="0096743A" w:rsidRPr="002C36AB">
        <w:rPr>
          <w:rFonts w:ascii="Book Antiqua" w:hAnsi="Book Antiqua" w:cs="Times New Roman"/>
          <w:sz w:val="22"/>
          <w:szCs w:val="22"/>
        </w:rPr>
        <w:t>I</w:t>
      </w:r>
      <w:r w:rsidRPr="002C36AB">
        <w:rPr>
          <w:rFonts w:ascii="Book Antiqua" w:hAnsi="Book Antiqua" w:cs="Times New Roman"/>
          <w:sz w:val="22"/>
          <w:szCs w:val="22"/>
        </w:rPr>
        <w:t xml:space="preserve">nforme de </w:t>
      </w:r>
      <w:r w:rsidR="00D158AB" w:rsidRPr="002C36AB">
        <w:rPr>
          <w:rFonts w:ascii="Book Antiqua" w:hAnsi="Book Antiqua" w:cs="Times New Roman"/>
          <w:sz w:val="22"/>
          <w:szCs w:val="22"/>
        </w:rPr>
        <w:t>G</w:t>
      </w:r>
      <w:r w:rsidRPr="002C36AB">
        <w:rPr>
          <w:rFonts w:ascii="Book Antiqua" w:hAnsi="Book Antiqua" w:cs="Times New Roman"/>
          <w:sz w:val="22"/>
          <w:szCs w:val="22"/>
        </w:rPr>
        <w:t>obierno "al 30 de junio de 2023, se protege a 2,144 personas, de las cuales: 598 son periodistas (442 hombres y 156 mujeres) y 1,172 son personas defensoras de derechos humanos (528 hombres y 644 mujeres)</w:t>
      </w:r>
      <w:r w:rsidR="0096743A" w:rsidRPr="002C36AB">
        <w:rPr>
          <w:rStyle w:val="Refdenotaalpie"/>
          <w:rFonts w:ascii="Book Antiqua" w:hAnsi="Book Antiqua" w:cs="Times New Roman"/>
          <w:sz w:val="22"/>
          <w:szCs w:val="22"/>
        </w:rPr>
        <w:footnoteReference w:id="8"/>
      </w:r>
      <w:r w:rsidRPr="002C36AB">
        <w:rPr>
          <w:rFonts w:ascii="Book Antiqua" w:hAnsi="Book Antiqua" w:cs="Times New Roman"/>
          <w:sz w:val="22"/>
          <w:szCs w:val="22"/>
        </w:rPr>
        <w:t xml:space="preserve">. </w:t>
      </w:r>
    </w:p>
    <w:p w14:paraId="33C84517" w14:textId="77777777" w:rsidR="008F0617" w:rsidRPr="002C36AB" w:rsidRDefault="008F0617" w:rsidP="008F0617">
      <w:pPr>
        <w:pStyle w:val="Texto"/>
        <w:numPr>
          <w:ilvl w:val="0"/>
          <w:numId w:val="14"/>
        </w:numPr>
        <w:spacing w:after="0" w:line="240" w:lineRule="auto"/>
        <w:rPr>
          <w:rFonts w:ascii="Book Antiqua" w:hAnsi="Book Antiqua" w:cs="Times New Roman"/>
          <w:sz w:val="22"/>
          <w:szCs w:val="22"/>
        </w:rPr>
      </w:pPr>
      <w:r w:rsidRPr="002C36AB">
        <w:rPr>
          <w:rFonts w:ascii="Book Antiqua" w:hAnsi="Book Antiqua" w:cs="Times New Roman"/>
          <w:sz w:val="22"/>
          <w:szCs w:val="22"/>
        </w:rPr>
        <w:t>Entre 2012 y 2020, 185 casos de mujeres periodistas fueron incorporados al Mecanismo de Protección para Personas Deferensoras de Derechos Humanos y Periodistas (MPPDDHP) de la Secretaría de Gobiernación. Sólo el 37% de casos concluyó, dejando 116 casos abiertos. En comparación con los periodistas hombres, el porcentaje de conclusión es del 33% (GAMAG, 2021).</w:t>
      </w:r>
    </w:p>
    <w:p w14:paraId="2244AC09" w14:textId="367530DD" w:rsidR="00F27CC5" w:rsidRPr="002C36AB" w:rsidRDefault="00F27CC5" w:rsidP="00F27CC5">
      <w:pPr>
        <w:pStyle w:val="Texto"/>
        <w:numPr>
          <w:ilvl w:val="0"/>
          <w:numId w:val="14"/>
        </w:numPr>
        <w:spacing w:after="0" w:line="240" w:lineRule="auto"/>
        <w:rPr>
          <w:rFonts w:ascii="Book Antiqua" w:hAnsi="Book Antiqua" w:cs="Times New Roman"/>
          <w:sz w:val="22"/>
          <w:szCs w:val="22"/>
        </w:rPr>
      </w:pPr>
      <w:r w:rsidRPr="002C36AB">
        <w:rPr>
          <w:rFonts w:ascii="Book Antiqua" w:hAnsi="Book Antiqua" w:cs="Times New Roman"/>
          <w:sz w:val="22"/>
          <w:szCs w:val="22"/>
        </w:rPr>
        <w:t xml:space="preserve">En el informe “Mujeres Periodistas y Libertad de Expresión” la CIDH recomienda a los Estados “integrar la perspectiva de género en todas las iniciativas dirigidas a crear y mantener un entorno seguro y propicio para el periodismo libre e independiente. En particular, garantizar que las políticas y programas estatales dirigidos a prevenir, proteger y procurar justicia en casos de crímenes contra periodistas atiendan </w:t>
      </w:r>
      <w:r w:rsidRPr="002C36AB">
        <w:rPr>
          <w:rFonts w:ascii="Book Antiqua" w:hAnsi="Book Antiqua" w:cs="Times New Roman"/>
          <w:sz w:val="22"/>
          <w:szCs w:val="22"/>
        </w:rPr>
        <w:lastRenderedPageBreak/>
        <w:t>adecuadamente los riesgos adicionales o específicos que enfrentan las mujeres periodistas por razones de género”</w:t>
      </w:r>
      <w:r w:rsidR="00B7710B" w:rsidRPr="002C36AB">
        <w:rPr>
          <w:rStyle w:val="Refdenotaalpie"/>
          <w:rFonts w:ascii="Book Antiqua" w:hAnsi="Book Antiqua" w:cs="Times New Roman"/>
          <w:sz w:val="22"/>
          <w:szCs w:val="22"/>
        </w:rPr>
        <w:footnoteReference w:id="9"/>
      </w:r>
      <w:r w:rsidRPr="002C36AB">
        <w:rPr>
          <w:rFonts w:ascii="Book Antiqua" w:hAnsi="Book Antiqua" w:cs="Times New Roman"/>
          <w:sz w:val="22"/>
          <w:szCs w:val="22"/>
        </w:rPr>
        <w:t xml:space="preserve">. </w:t>
      </w:r>
    </w:p>
    <w:p w14:paraId="352E1842" w14:textId="77777777" w:rsidR="008C766E" w:rsidRPr="002C36AB" w:rsidRDefault="008C766E" w:rsidP="006D66F5">
      <w:pPr>
        <w:pStyle w:val="Texto"/>
        <w:spacing w:after="0" w:line="240" w:lineRule="auto"/>
        <w:ind w:firstLine="0"/>
        <w:rPr>
          <w:rFonts w:ascii="Book Antiqua" w:hAnsi="Book Antiqua" w:cs="Times New Roman"/>
          <w:b/>
          <w:sz w:val="22"/>
          <w:szCs w:val="22"/>
        </w:rPr>
      </w:pPr>
    </w:p>
    <w:p w14:paraId="67F310D7" w14:textId="3F9A92D5" w:rsidR="00B65F45" w:rsidRPr="002C36AB" w:rsidRDefault="00520BF5" w:rsidP="006D66F5">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Lista de cuestiones</w:t>
      </w:r>
    </w:p>
    <w:p w14:paraId="72D8D669" w14:textId="77777777" w:rsidR="00B65F45" w:rsidRPr="002C36AB" w:rsidRDefault="00B65F45" w:rsidP="006D66F5">
      <w:pPr>
        <w:pStyle w:val="Texto"/>
        <w:spacing w:after="0" w:line="240" w:lineRule="auto"/>
        <w:ind w:firstLine="0"/>
        <w:rPr>
          <w:rFonts w:ascii="Book Antiqua" w:hAnsi="Book Antiqua" w:cs="Times New Roman"/>
          <w:bCs/>
          <w:sz w:val="22"/>
          <w:szCs w:val="22"/>
        </w:rPr>
      </w:pPr>
    </w:p>
    <w:p w14:paraId="2509A462" w14:textId="2D1675BD" w:rsidR="00B65F45" w:rsidRPr="002C36AB" w:rsidRDefault="00B65F45" w:rsidP="00A37908">
      <w:pPr>
        <w:pStyle w:val="Texto"/>
        <w:numPr>
          <w:ilvl w:val="0"/>
          <w:numId w:val="1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A partir de las recomendaciones realizadas por el Co</w:t>
      </w:r>
      <w:r w:rsidR="0096743A" w:rsidRPr="002C36AB">
        <w:rPr>
          <w:rFonts w:ascii="Book Antiqua" w:hAnsi="Book Antiqua" w:cs="Times New Roman"/>
          <w:bCs/>
          <w:sz w:val="22"/>
          <w:szCs w:val="22"/>
        </w:rPr>
        <w:t>CEDAW</w:t>
      </w:r>
      <w:r w:rsidRPr="002C36AB">
        <w:rPr>
          <w:rFonts w:ascii="Book Antiqua" w:hAnsi="Book Antiqua" w:cs="Times New Roman"/>
          <w:bCs/>
          <w:sz w:val="22"/>
          <w:szCs w:val="22"/>
        </w:rPr>
        <w:t xml:space="preserve"> (CEDAW/C/MEX/Q/9 párr. 180 y párr. 182) acerca de las medidas adoptadas para fortalecer la perspectiva de género en el Mecanismo Federal de Protección a Personas Defensoras de Derechos Humanos y Periodistas y la Metodología para la evaluación de riesgos defensoras de los derechos humanos y periodistas. Proporcione información sobre la implementación de las medidas adoptadas para fortalecer la perspectiva de género en el Mecanismo. Faciliten información detallada sobre el seguimiento a las recomendaciones emanadas del “Diagnóstico sobre el funcionamiento del Mecanismo” elaborado por la</w:t>
      </w:r>
      <w:r w:rsidR="0096743A" w:rsidRPr="002C36AB">
        <w:rPr>
          <w:rFonts w:ascii="Book Antiqua" w:hAnsi="Book Antiqua" w:cs="Times New Roman"/>
          <w:bCs/>
          <w:sz w:val="22"/>
          <w:szCs w:val="22"/>
        </w:rPr>
        <w:t xml:space="preserve"> OACNUDH</w:t>
      </w:r>
      <w:r w:rsidRPr="002C36AB">
        <w:rPr>
          <w:rFonts w:ascii="Book Antiqua" w:hAnsi="Book Antiqua" w:cs="Times New Roman"/>
          <w:bCs/>
          <w:sz w:val="22"/>
          <w:szCs w:val="22"/>
        </w:rPr>
        <w:t xml:space="preserve"> a solicitud de la Subsecretaría de Derechos Humanos de la Secretaría de Gobernación, particularmente las relacionadas a la incorporación de la perspectiva de género en el Mecanismo (Recomendaciones 4a, 22, y 28) 5 y al fortalecimiento de la Coordinación Ejecutiva Nacional (Recomendaciones 10f, 22d, 33 y 35)6. Se solicita especificar en detalle las políticas y acciones adoptadas para atender denuncias y sanciones administrativas hacia funcionarios responsables de vulneraciones de derechos hacia defensoras y periodistas. Especificar cuántos de esos casos han sido investigados y si han establecido protocolos de actuación, cuántos han sido llevados a tribunales y si han dictado condenas respecto de las violaciones de los derechos de las mujeres defensoras de derechos humanos y periodistas.</w:t>
      </w:r>
    </w:p>
    <w:p w14:paraId="696A586E" w14:textId="77777777" w:rsidR="007C7C04" w:rsidRPr="002C36AB" w:rsidRDefault="007C7C04" w:rsidP="006D66F5">
      <w:pPr>
        <w:pStyle w:val="Texto"/>
        <w:spacing w:after="0" w:line="240" w:lineRule="auto"/>
        <w:ind w:firstLine="0"/>
        <w:rPr>
          <w:rFonts w:ascii="Book Antiqua" w:hAnsi="Book Antiqua" w:cs="Times New Roman"/>
          <w:bCs/>
          <w:sz w:val="22"/>
          <w:szCs w:val="22"/>
        </w:rPr>
      </w:pPr>
    </w:p>
    <w:p w14:paraId="6F228FF8" w14:textId="5D8F9C41" w:rsidR="00B65F45" w:rsidRDefault="007C7C04" w:rsidP="006D66F5">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Recomendaciones</w:t>
      </w:r>
    </w:p>
    <w:p w14:paraId="2675719F" w14:textId="77777777" w:rsidR="00483A36" w:rsidRPr="002C36AB" w:rsidRDefault="00483A36" w:rsidP="006D66F5">
      <w:pPr>
        <w:pStyle w:val="Texto"/>
        <w:spacing w:after="0" w:line="240" w:lineRule="auto"/>
        <w:ind w:firstLine="0"/>
        <w:rPr>
          <w:rFonts w:ascii="Book Antiqua" w:hAnsi="Book Antiqua" w:cs="Times New Roman"/>
          <w:bCs/>
          <w:sz w:val="22"/>
          <w:szCs w:val="22"/>
        </w:rPr>
      </w:pPr>
    </w:p>
    <w:p w14:paraId="429FF856" w14:textId="18BCD08A" w:rsidR="007C7C04" w:rsidRPr="002C36AB" w:rsidRDefault="007C7C04" w:rsidP="007C7C04">
      <w:pPr>
        <w:pStyle w:val="Texto"/>
        <w:numPr>
          <w:ilvl w:val="0"/>
          <w:numId w:val="1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Articular </w:t>
      </w:r>
      <w:r w:rsidRPr="002C36AB">
        <w:rPr>
          <w:rFonts w:ascii="Book Antiqua" w:hAnsi="Book Antiqua" w:cs="Times New Roman"/>
          <w:bCs/>
          <w:sz w:val="22"/>
          <w:szCs w:val="22"/>
        </w:rPr>
        <w:t>el</w:t>
      </w:r>
      <w:r w:rsidRPr="002C36AB">
        <w:rPr>
          <w:rFonts w:ascii="Book Antiqua" w:hAnsi="Book Antiqua" w:cs="Times New Roman"/>
          <w:bCs/>
          <w:sz w:val="22"/>
          <w:szCs w:val="22"/>
        </w:rPr>
        <w:t xml:space="preserve"> marco legal nacional e internacional en materia de derechos de mujeres </w:t>
      </w:r>
      <w:r w:rsidRPr="002C36AB">
        <w:rPr>
          <w:rFonts w:ascii="Book Antiqua" w:hAnsi="Book Antiqua" w:cs="Times New Roman"/>
          <w:bCs/>
          <w:sz w:val="22"/>
          <w:szCs w:val="22"/>
        </w:rPr>
        <w:t xml:space="preserve">periodistas, </w:t>
      </w:r>
      <w:r w:rsidRPr="002C36AB">
        <w:rPr>
          <w:rFonts w:ascii="Book Antiqua" w:hAnsi="Book Antiqua" w:cs="Times New Roman"/>
          <w:bCs/>
          <w:sz w:val="22"/>
          <w:szCs w:val="22"/>
        </w:rPr>
        <w:t xml:space="preserve">dentro de una lógica de </w:t>
      </w:r>
      <w:r w:rsidRPr="002C36AB">
        <w:rPr>
          <w:rFonts w:ascii="Book Antiqua" w:hAnsi="Book Antiqua" w:cs="Times New Roman"/>
          <w:bCs/>
          <w:sz w:val="22"/>
          <w:szCs w:val="22"/>
        </w:rPr>
        <w:t>seguridad</w:t>
      </w:r>
      <w:r w:rsidRPr="002C36AB">
        <w:rPr>
          <w:rFonts w:ascii="Book Antiqua" w:hAnsi="Book Antiqua" w:cs="Times New Roman"/>
          <w:bCs/>
          <w:sz w:val="22"/>
          <w:szCs w:val="22"/>
        </w:rPr>
        <w:t>.</w:t>
      </w:r>
    </w:p>
    <w:p w14:paraId="56945A2E" w14:textId="13F68DCF" w:rsidR="007C7C04" w:rsidRPr="002C36AB" w:rsidRDefault="007C7C04" w:rsidP="007C7C04">
      <w:pPr>
        <w:pStyle w:val="Texto"/>
        <w:numPr>
          <w:ilvl w:val="0"/>
          <w:numId w:val="1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Transversalizar efectivamente con perspectiva de género el Mecanismo de Protección. </w:t>
      </w:r>
    </w:p>
    <w:p w14:paraId="3A2033A4" w14:textId="11B065A3" w:rsidR="00ED79A0" w:rsidRPr="002C36AB" w:rsidRDefault="00ED79A0" w:rsidP="007C7C04">
      <w:pPr>
        <w:pStyle w:val="Texto"/>
        <w:numPr>
          <w:ilvl w:val="0"/>
          <w:numId w:val="1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Producir diagnósticos sobre violencia contra mujeres periodistas con un enfoque holístico.</w:t>
      </w:r>
    </w:p>
    <w:p w14:paraId="622405D6" w14:textId="77777777" w:rsidR="007C7C04" w:rsidRPr="002C36AB" w:rsidRDefault="007C7C04" w:rsidP="006D66F5">
      <w:pPr>
        <w:pStyle w:val="Texto"/>
        <w:spacing w:after="0" w:line="240" w:lineRule="auto"/>
        <w:ind w:firstLine="0"/>
        <w:rPr>
          <w:rFonts w:ascii="Book Antiqua" w:hAnsi="Book Antiqua" w:cs="Times New Roman"/>
          <w:bCs/>
          <w:sz w:val="22"/>
          <w:szCs w:val="22"/>
        </w:rPr>
      </w:pPr>
    </w:p>
    <w:p w14:paraId="19275869" w14:textId="77777777" w:rsidR="00483A36" w:rsidRDefault="00483A36" w:rsidP="00B0518A">
      <w:pPr>
        <w:jc w:val="center"/>
        <w:rPr>
          <w:rFonts w:ascii="Book Antiqua" w:hAnsi="Book Antiqua" w:cs="Arial"/>
          <w:b/>
          <w:iCs/>
        </w:rPr>
      </w:pPr>
    </w:p>
    <w:p w14:paraId="2202DA03" w14:textId="02949511" w:rsidR="00B0518A" w:rsidRPr="00483A36" w:rsidRDefault="00B0518A" w:rsidP="00B0518A">
      <w:pPr>
        <w:jc w:val="center"/>
        <w:rPr>
          <w:rFonts w:ascii="Book Antiqua" w:hAnsi="Book Antiqua" w:cs="Arial"/>
          <w:b/>
          <w:iCs/>
          <w:sz w:val="28"/>
          <w:szCs w:val="28"/>
        </w:rPr>
      </w:pPr>
      <w:r w:rsidRPr="00483A36">
        <w:rPr>
          <w:rFonts w:ascii="Book Antiqua" w:hAnsi="Book Antiqua" w:cs="Arial"/>
          <w:b/>
          <w:iCs/>
          <w:sz w:val="28"/>
          <w:szCs w:val="28"/>
        </w:rPr>
        <w:t>Violencia contra las mujeres en la Inteligencia Artificial</w:t>
      </w:r>
      <w:r w:rsidR="00EE3E8B" w:rsidRPr="00483A36">
        <w:rPr>
          <w:rFonts w:ascii="Book Antiqua" w:hAnsi="Book Antiqua" w:cs="Arial"/>
          <w:b/>
          <w:iCs/>
          <w:sz w:val="28"/>
          <w:szCs w:val="28"/>
        </w:rPr>
        <w:t xml:space="preserve"> (IA)</w:t>
      </w:r>
    </w:p>
    <w:p w14:paraId="0212693D" w14:textId="5D293BE2" w:rsidR="00B0518A" w:rsidRPr="002C36AB" w:rsidRDefault="00B0518A" w:rsidP="00B0518A">
      <w:pPr>
        <w:jc w:val="both"/>
        <w:rPr>
          <w:rFonts w:ascii="Book Antiqua" w:hAnsi="Book Antiqua" w:cs="Arial"/>
        </w:rPr>
      </w:pPr>
      <w:r w:rsidRPr="002C36AB">
        <w:rPr>
          <w:rFonts w:ascii="Book Antiqua" w:hAnsi="Book Antiqua" w:cs="Arial"/>
        </w:rPr>
        <w:t>Informe</w:t>
      </w:r>
    </w:p>
    <w:p w14:paraId="49F913F3" w14:textId="32CD4372" w:rsidR="002D454C" w:rsidRPr="002C36AB" w:rsidRDefault="00B0518A" w:rsidP="00B0518A">
      <w:pPr>
        <w:pStyle w:val="Prrafodelista"/>
        <w:numPr>
          <w:ilvl w:val="0"/>
          <w:numId w:val="19"/>
        </w:numPr>
        <w:jc w:val="both"/>
        <w:rPr>
          <w:rFonts w:ascii="Book Antiqua" w:hAnsi="Book Antiqua" w:cs="Arial"/>
        </w:rPr>
      </w:pPr>
      <w:r w:rsidRPr="002C36AB">
        <w:rPr>
          <w:rFonts w:ascii="Book Antiqua" w:hAnsi="Book Antiqua" w:cs="Arial"/>
        </w:rPr>
        <w:t>D</w:t>
      </w:r>
      <w:r w:rsidRPr="002C36AB">
        <w:rPr>
          <w:rFonts w:ascii="Book Antiqua" w:hAnsi="Book Antiqua" w:cs="Arial"/>
        </w:rPr>
        <w:t xml:space="preserve">ado el rápido avance tecnológico, adaptabilidad y aprendizaje de la IA, </w:t>
      </w:r>
      <w:r w:rsidR="00EE3E8B" w:rsidRPr="002C36AB">
        <w:rPr>
          <w:rFonts w:ascii="Book Antiqua" w:hAnsi="Book Antiqua" w:cs="Arial"/>
        </w:rPr>
        <w:t xml:space="preserve">en México </w:t>
      </w:r>
      <w:r w:rsidRPr="002C36AB">
        <w:rPr>
          <w:rFonts w:ascii="Book Antiqua" w:hAnsi="Book Antiqua" w:cs="Arial"/>
        </w:rPr>
        <w:t xml:space="preserve">los usuarios han fomentado </w:t>
      </w:r>
      <w:r w:rsidR="00EE3E8B" w:rsidRPr="002C36AB">
        <w:rPr>
          <w:rFonts w:ascii="Book Antiqua" w:hAnsi="Book Antiqua" w:cs="Arial"/>
        </w:rPr>
        <w:t>prácticas</w:t>
      </w:r>
      <w:r w:rsidRPr="002C36AB">
        <w:rPr>
          <w:rFonts w:ascii="Book Antiqua" w:hAnsi="Book Antiqua" w:cs="Arial"/>
        </w:rPr>
        <w:t xml:space="preserve"> que demeritan y crean un entorno inseguro para las </w:t>
      </w:r>
      <w:r w:rsidRPr="002C36AB">
        <w:rPr>
          <w:rFonts w:ascii="Book Antiqua" w:hAnsi="Book Antiqua" w:cs="Arial"/>
        </w:rPr>
        <w:lastRenderedPageBreak/>
        <w:t xml:space="preserve">mujeres en la web. Algunos casos son: 1) </w:t>
      </w:r>
      <w:r w:rsidRPr="002C36AB">
        <w:rPr>
          <w:rFonts w:ascii="Book Antiqua" w:hAnsi="Book Antiqua" w:cs="Arial"/>
          <w:i/>
        </w:rPr>
        <w:t>Deepfake</w:t>
      </w:r>
      <w:r w:rsidRPr="002C36AB">
        <w:rPr>
          <w:rFonts w:ascii="Book Antiqua" w:hAnsi="Book Antiqua" w:cs="Arial"/>
        </w:rPr>
        <w:t xml:space="preserve"> pornográfico; 2) la generación de perfiles falsos creados por medio de IA, que fomentan el acoso en línea, con la intención de difamar o amenazar a mujeres; 3) la ineficacia de la IA para identificar, detectar y moderar discursos de odio o acoso sexual </w:t>
      </w:r>
      <w:r w:rsidR="00AA6426" w:rsidRPr="002C36AB">
        <w:rPr>
          <w:rFonts w:ascii="Book Antiqua" w:hAnsi="Book Antiqua" w:cs="Arial"/>
        </w:rPr>
        <w:t>contra</w:t>
      </w:r>
      <w:r w:rsidRPr="002C36AB">
        <w:rPr>
          <w:rFonts w:ascii="Book Antiqua" w:hAnsi="Book Antiqua" w:cs="Arial"/>
        </w:rPr>
        <w:t xml:space="preserve"> mujeres en plataformas en línea; 4) seguimiento y reconocimiento facial, lo que podría tener implicaciones para la privacidad de las mujeres si se utiliza para rastrearlas o identificarlas; y 5) en cuestiones de privacidad y seguridad, es preocupante la recopilación de datos personales sensibles y biométricos que puede poner en riesgo la privacidad de las mujeres (Vega</w:t>
      </w:r>
      <w:r w:rsidR="00EE3E8B" w:rsidRPr="002C36AB">
        <w:rPr>
          <w:rFonts w:ascii="Book Antiqua" w:hAnsi="Book Antiqua" w:cs="Arial"/>
        </w:rPr>
        <w:t xml:space="preserve"> Montiel</w:t>
      </w:r>
      <w:r w:rsidRPr="002C36AB">
        <w:rPr>
          <w:rFonts w:ascii="Book Antiqua" w:hAnsi="Book Antiqua" w:cs="Arial"/>
        </w:rPr>
        <w:t>, et. al, 2023).</w:t>
      </w:r>
    </w:p>
    <w:p w14:paraId="63E56F6E" w14:textId="77777777" w:rsidR="002D454C" w:rsidRPr="002C36AB" w:rsidRDefault="00B0518A" w:rsidP="00B0518A">
      <w:pPr>
        <w:pStyle w:val="Prrafodelista"/>
        <w:numPr>
          <w:ilvl w:val="0"/>
          <w:numId w:val="19"/>
        </w:numPr>
        <w:jc w:val="both"/>
        <w:rPr>
          <w:rFonts w:ascii="Book Antiqua" w:hAnsi="Book Antiqua" w:cs="Arial"/>
        </w:rPr>
      </w:pPr>
      <w:r w:rsidRPr="002C36AB">
        <w:rPr>
          <w:rFonts w:ascii="Book Antiqua" w:hAnsi="Book Antiqua" w:cs="Arial"/>
        </w:rPr>
        <w:t xml:space="preserve">A pesar de que México ha continuado con la tendencia internacional para atender a la regulación digital y de algunas características de la IA (E.E.U.U., 2022; Comisión Europea 2023), el avance en esta materia aún es relativo. De acuerdo con la Asociación de Internet MX, de los 88.6 millones de internautas en México en 2021, 22.1% usuarios fueron victimas de algún tipo de vulneración cibernética (AIMX, 2022), mientras que </w:t>
      </w:r>
      <w:r w:rsidRPr="002C36AB">
        <w:rPr>
          <w:rFonts w:ascii="Book Antiqua" w:hAnsi="Book Antiqua" w:cs="Arial"/>
          <w:i/>
        </w:rPr>
        <w:t>FortiGuard Labs</w:t>
      </w:r>
      <w:r w:rsidRPr="002C36AB">
        <w:rPr>
          <w:rFonts w:ascii="Book Antiqua" w:hAnsi="Book Antiqua" w:cs="Arial"/>
        </w:rPr>
        <w:t>, reportó que México fue el país más atacado de la región Latinoamericana, con 85 mil millones de intentos de ciberataques (Fortinet, 2022).</w:t>
      </w:r>
    </w:p>
    <w:p w14:paraId="7B1C6D9C" w14:textId="0221D9A8" w:rsidR="00B0518A" w:rsidRPr="002C36AB" w:rsidRDefault="002D454C" w:rsidP="00B0518A">
      <w:pPr>
        <w:pStyle w:val="Prrafodelista"/>
        <w:numPr>
          <w:ilvl w:val="0"/>
          <w:numId w:val="19"/>
        </w:numPr>
        <w:jc w:val="both"/>
        <w:rPr>
          <w:rFonts w:ascii="Book Antiqua" w:hAnsi="Book Antiqua" w:cs="Arial"/>
        </w:rPr>
      </w:pPr>
      <w:r w:rsidRPr="002C36AB">
        <w:rPr>
          <w:rFonts w:ascii="Book Antiqua" w:hAnsi="Book Antiqua" w:cs="Arial"/>
        </w:rPr>
        <w:t xml:space="preserve">La </w:t>
      </w:r>
      <w:r w:rsidR="00B0518A" w:rsidRPr="002C36AB">
        <w:rPr>
          <w:rFonts w:ascii="Book Antiqua" w:hAnsi="Book Antiqua" w:cs="Arial"/>
        </w:rPr>
        <w:t xml:space="preserve">legislación vigente en este rubro </w:t>
      </w:r>
      <w:r w:rsidR="005758E0" w:rsidRPr="002C36AB">
        <w:rPr>
          <w:rFonts w:ascii="Book Antiqua" w:hAnsi="Book Antiqua" w:cs="Arial"/>
        </w:rPr>
        <w:t>incluye tres instrumentos</w:t>
      </w:r>
      <w:r w:rsidR="00AA6426" w:rsidRPr="002C36AB">
        <w:rPr>
          <w:rStyle w:val="Refdenotaalpie"/>
          <w:rFonts w:ascii="Book Antiqua" w:hAnsi="Book Antiqua" w:cs="Arial"/>
        </w:rPr>
        <w:footnoteReference w:id="10"/>
      </w:r>
      <w:r w:rsidR="00AA6426" w:rsidRPr="002C36AB">
        <w:rPr>
          <w:rFonts w:ascii="Book Antiqua" w:hAnsi="Book Antiqua" w:cs="Arial"/>
        </w:rPr>
        <w:t xml:space="preserve">. </w:t>
      </w:r>
      <w:r w:rsidR="00B0518A" w:rsidRPr="002C36AB">
        <w:rPr>
          <w:rFonts w:ascii="Book Antiqua" w:hAnsi="Book Antiqua" w:cs="Arial"/>
        </w:rPr>
        <w:t xml:space="preserve">Sin embargo, en materia de violencia digital contra las mujeres, la modificación al </w:t>
      </w:r>
      <w:r w:rsidR="005758E0" w:rsidRPr="002C36AB">
        <w:rPr>
          <w:rFonts w:ascii="Book Antiqua" w:hAnsi="Book Antiqua" w:cs="Arial"/>
        </w:rPr>
        <w:t>C</w:t>
      </w:r>
      <w:r w:rsidR="00B0518A" w:rsidRPr="002C36AB">
        <w:rPr>
          <w:rFonts w:ascii="Book Antiqua" w:hAnsi="Book Antiqua" w:cs="Arial"/>
        </w:rPr>
        <w:t xml:space="preserve">ódigo </w:t>
      </w:r>
      <w:r w:rsidR="005758E0" w:rsidRPr="002C36AB">
        <w:rPr>
          <w:rFonts w:ascii="Book Antiqua" w:hAnsi="Book Antiqua" w:cs="Arial"/>
        </w:rPr>
        <w:t>P</w:t>
      </w:r>
      <w:r w:rsidR="00B0518A" w:rsidRPr="002C36AB">
        <w:rPr>
          <w:rFonts w:ascii="Book Antiqua" w:hAnsi="Book Antiqua" w:cs="Arial"/>
        </w:rPr>
        <w:t xml:space="preserve">enal y a la </w:t>
      </w:r>
      <w:r w:rsidR="00B0518A" w:rsidRPr="002C36AB">
        <w:rPr>
          <w:rFonts w:ascii="Book Antiqua" w:hAnsi="Book Antiqua" w:cs="Arial"/>
          <w:i/>
        </w:rPr>
        <w:t>Ley General de Acceso de las Mujeres a una Vida Libre de Violencia</w:t>
      </w:r>
      <w:r w:rsidR="00B0518A" w:rsidRPr="002C36AB">
        <w:rPr>
          <w:rFonts w:ascii="Book Antiqua" w:hAnsi="Book Antiqua" w:cs="Arial"/>
        </w:rPr>
        <w:t xml:space="preserve">, no se definen ni tipifican temáticas relevantes que podrían dar paso a la atención a tipos de violencia que se están generando a partir del uso de la IA, las cuales incluyen, desde la vigilancia y el acceso no autorizado a cuentas en línea, hasta el uso de la imagen, biométricos y datos sensibles que pongan en peligro a </w:t>
      </w:r>
      <w:r w:rsidR="00D10E69" w:rsidRPr="002C36AB">
        <w:rPr>
          <w:rFonts w:ascii="Book Antiqua" w:hAnsi="Book Antiqua" w:cs="Arial"/>
        </w:rPr>
        <w:t xml:space="preserve">las </w:t>
      </w:r>
      <w:r w:rsidR="00B0518A" w:rsidRPr="002C36AB">
        <w:rPr>
          <w:rFonts w:ascii="Book Antiqua" w:hAnsi="Book Antiqua" w:cs="Arial"/>
        </w:rPr>
        <w:t>mujeres.</w:t>
      </w:r>
    </w:p>
    <w:p w14:paraId="0CA5F9A7" w14:textId="18CC4AE7" w:rsidR="00B0518A" w:rsidRPr="002C36AB" w:rsidRDefault="00D10E69" w:rsidP="00B0518A">
      <w:pPr>
        <w:jc w:val="both"/>
        <w:rPr>
          <w:rFonts w:ascii="Book Antiqua" w:hAnsi="Book Antiqua" w:cs="Arial"/>
          <w:bCs/>
        </w:rPr>
      </w:pPr>
      <w:r w:rsidRPr="002C36AB">
        <w:rPr>
          <w:rFonts w:ascii="Book Antiqua" w:hAnsi="Book Antiqua" w:cs="Arial"/>
          <w:bCs/>
        </w:rPr>
        <w:t>Lista de cuestiones</w:t>
      </w:r>
    </w:p>
    <w:p w14:paraId="5667386F" w14:textId="77777777" w:rsidR="00B0518A" w:rsidRPr="002C36AB" w:rsidRDefault="00B0518A" w:rsidP="00B0518A">
      <w:pPr>
        <w:pStyle w:val="Prrafodelista"/>
        <w:numPr>
          <w:ilvl w:val="0"/>
          <w:numId w:val="17"/>
        </w:numPr>
        <w:spacing w:after="160" w:line="259" w:lineRule="auto"/>
        <w:jc w:val="both"/>
        <w:rPr>
          <w:rFonts w:ascii="Book Antiqua" w:hAnsi="Book Antiqua" w:cs="Arial"/>
        </w:rPr>
      </w:pPr>
      <w:r w:rsidRPr="002C36AB">
        <w:rPr>
          <w:rFonts w:ascii="Book Antiqua" w:hAnsi="Book Antiqua" w:cs="Arial"/>
        </w:rPr>
        <w:t>A partir de la legislación vigente y con la presentación de datos estadísticos y la documentación de casos, ¿cómo se ha dado seguimiento y atención a los nuevos usos de la IA que vulneran la seguridad de las mujeres en México?</w:t>
      </w:r>
    </w:p>
    <w:p w14:paraId="50ECE013" w14:textId="01113F03" w:rsidR="00B0518A" w:rsidRPr="002C36AB" w:rsidRDefault="00B0518A" w:rsidP="00B0518A">
      <w:pPr>
        <w:pStyle w:val="Prrafodelista"/>
        <w:numPr>
          <w:ilvl w:val="0"/>
          <w:numId w:val="17"/>
        </w:numPr>
        <w:spacing w:after="160" w:line="259" w:lineRule="auto"/>
        <w:jc w:val="both"/>
        <w:rPr>
          <w:rFonts w:ascii="Book Antiqua" w:hAnsi="Book Antiqua" w:cs="Arial"/>
        </w:rPr>
      </w:pPr>
      <w:r w:rsidRPr="002C36AB">
        <w:rPr>
          <w:rFonts w:ascii="Book Antiqua" w:hAnsi="Book Antiqua" w:cs="Arial"/>
        </w:rPr>
        <w:t xml:space="preserve">¿Qué acciones concretas se están tomando para mejorar la efectividad de la IA en la identificación y moderación de discursos de odio y acoso sexual </w:t>
      </w:r>
      <w:r w:rsidR="00D10E69" w:rsidRPr="002C36AB">
        <w:rPr>
          <w:rFonts w:ascii="Book Antiqua" w:hAnsi="Book Antiqua" w:cs="Arial"/>
        </w:rPr>
        <w:t>contra</w:t>
      </w:r>
      <w:r w:rsidRPr="002C36AB">
        <w:rPr>
          <w:rFonts w:ascii="Book Antiqua" w:hAnsi="Book Antiqua" w:cs="Arial"/>
        </w:rPr>
        <w:t xml:space="preserve"> las mujeres en el entorno en línea en México, sin vulnerar los derechos de privacidad de sus usuarias?</w:t>
      </w:r>
    </w:p>
    <w:p w14:paraId="2A5D2C5E" w14:textId="0DAB0D77" w:rsidR="00B0518A" w:rsidRPr="002C36AB" w:rsidRDefault="00B0518A" w:rsidP="00B0518A">
      <w:pPr>
        <w:jc w:val="both"/>
        <w:rPr>
          <w:rFonts w:ascii="Book Antiqua" w:hAnsi="Book Antiqua" w:cs="Arial"/>
          <w:bCs/>
        </w:rPr>
      </w:pPr>
      <w:r w:rsidRPr="002C36AB">
        <w:rPr>
          <w:rFonts w:ascii="Book Antiqua" w:hAnsi="Book Antiqua" w:cs="Arial"/>
          <w:bCs/>
        </w:rPr>
        <w:t>Recomendaciones</w:t>
      </w:r>
    </w:p>
    <w:p w14:paraId="537BE877" w14:textId="77777777" w:rsidR="00B0518A" w:rsidRPr="002C36AB" w:rsidRDefault="00B0518A" w:rsidP="00B0518A">
      <w:pPr>
        <w:pStyle w:val="Prrafodelista"/>
        <w:numPr>
          <w:ilvl w:val="0"/>
          <w:numId w:val="18"/>
        </w:numPr>
        <w:spacing w:after="160" w:line="259" w:lineRule="auto"/>
        <w:jc w:val="both"/>
        <w:rPr>
          <w:rFonts w:ascii="Book Antiqua" w:hAnsi="Book Antiqua" w:cs="Arial"/>
        </w:rPr>
      </w:pPr>
      <w:r w:rsidRPr="002C36AB">
        <w:rPr>
          <w:rFonts w:ascii="Book Antiqua" w:hAnsi="Book Antiqua" w:cs="Arial"/>
        </w:rPr>
        <w:lastRenderedPageBreak/>
        <w:t>Adopción de medidas legislativas que permitan enmarcar las acciones de los particulares que ofrecen servicios de Inteligencia Artificial, de manera que prioricen el cuidado de los datos de los y las usuarias.</w:t>
      </w:r>
    </w:p>
    <w:p w14:paraId="539200A9" w14:textId="77777777" w:rsidR="00B0518A" w:rsidRPr="002C36AB" w:rsidRDefault="00B0518A" w:rsidP="00B0518A">
      <w:pPr>
        <w:pStyle w:val="Prrafodelista"/>
        <w:numPr>
          <w:ilvl w:val="0"/>
          <w:numId w:val="18"/>
        </w:numPr>
        <w:spacing w:after="160" w:line="259" w:lineRule="auto"/>
        <w:jc w:val="both"/>
        <w:rPr>
          <w:rFonts w:ascii="Book Antiqua" w:hAnsi="Book Antiqua" w:cs="Arial"/>
        </w:rPr>
      </w:pPr>
      <w:r w:rsidRPr="002C36AB">
        <w:rPr>
          <w:rFonts w:ascii="Book Antiqua" w:hAnsi="Book Antiqua" w:cs="Arial"/>
        </w:rPr>
        <w:t xml:space="preserve">Fomentar la evaluación de las herramientas de Inteligencia Artificial, enfatizado la protección de datos y la transparencia para la rendición de cuentas a la ciudadanía. </w:t>
      </w:r>
    </w:p>
    <w:p w14:paraId="23302EA9" w14:textId="77777777" w:rsidR="00B0518A" w:rsidRPr="002C36AB" w:rsidRDefault="00B0518A" w:rsidP="00B0518A">
      <w:pPr>
        <w:pStyle w:val="Prrafodelista"/>
        <w:numPr>
          <w:ilvl w:val="0"/>
          <w:numId w:val="18"/>
        </w:numPr>
        <w:spacing w:after="160" w:line="259" w:lineRule="auto"/>
        <w:jc w:val="both"/>
        <w:rPr>
          <w:rFonts w:ascii="Book Antiqua" w:hAnsi="Book Antiqua" w:cs="Arial"/>
        </w:rPr>
      </w:pPr>
      <w:r w:rsidRPr="002C36AB">
        <w:rPr>
          <w:rFonts w:ascii="Book Antiqua" w:hAnsi="Book Antiqua" w:cs="Arial"/>
        </w:rPr>
        <w:t>Mejora de la ciberseguridad y protección de datos con la finalidad de velar por el derecho a la privacidad de la ciudadanía, dada la creciente amenaza de ciberataques y vulneraciones de la privacidad, se insta al Estado a fortalecer las medidas de ciberseguridad y a garantizar el cumplimiento de las leyes existentes.</w:t>
      </w:r>
    </w:p>
    <w:p w14:paraId="72D06C57" w14:textId="77777777" w:rsidR="00ED79A0" w:rsidRPr="002C36AB" w:rsidRDefault="00ED79A0" w:rsidP="006D66F5">
      <w:pPr>
        <w:pStyle w:val="Texto"/>
        <w:spacing w:after="0" w:line="240" w:lineRule="auto"/>
        <w:ind w:firstLine="0"/>
        <w:rPr>
          <w:rFonts w:ascii="Book Antiqua" w:hAnsi="Book Antiqua" w:cs="Times New Roman"/>
          <w:bCs/>
          <w:sz w:val="22"/>
          <w:szCs w:val="22"/>
        </w:rPr>
      </w:pPr>
    </w:p>
    <w:p w14:paraId="6AFBC07F" w14:textId="64B59ACA" w:rsidR="00ED79A0" w:rsidRPr="00483A36" w:rsidRDefault="009F1D9F" w:rsidP="009F1D9F">
      <w:pPr>
        <w:pStyle w:val="Texto"/>
        <w:spacing w:after="0" w:line="240" w:lineRule="auto"/>
        <w:ind w:firstLine="0"/>
        <w:jc w:val="center"/>
        <w:rPr>
          <w:rFonts w:ascii="Book Antiqua" w:hAnsi="Book Antiqua" w:cs="Times New Roman"/>
          <w:b/>
          <w:sz w:val="28"/>
          <w:szCs w:val="28"/>
        </w:rPr>
      </w:pPr>
      <w:r w:rsidRPr="00483A36">
        <w:rPr>
          <w:rFonts w:ascii="Book Antiqua" w:hAnsi="Book Antiqua" w:cs="Times New Roman"/>
          <w:b/>
          <w:sz w:val="28"/>
          <w:szCs w:val="28"/>
        </w:rPr>
        <w:t>Derecho a la Información</w:t>
      </w:r>
    </w:p>
    <w:p w14:paraId="2EEAEA2A" w14:textId="77777777" w:rsidR="009F1D9F" w:rsidRPr="002C36AB" w:rsidRDefault="009F1D9F" w:rsidP="009F1D9F">
      <w:pPr>
        <w:pStyle w:val="Texto"/>
        <w:spacing w:after="0" w:line="240" w:lineRule="auto"/>
        <w:ind w:firstLine="0"/>
        <w:rPr>
          <w:rFonts w:ascii="Book Antiqua" w:hAnsi="Book Antiqua" w:cs="Times New Roman"/>
          <w:bCs/>
          <w:sz w:val="22"/>
          <w:szCs w:val="22"/>
        </w:rPr>
      </w:pPr>
    </w:p>
    <w:p w14:paraId="228049B9" w14:textId="338680FC" w:rsidR="009F1D9F" w:rsidRPr="002C36AB" w:rsidRDefault="009F1D9F" w:rsidP="009F1D9F">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Informe</w:t>
      </w:r>
    </w:p>
    <w:p w14:paraId="3C97624C" w14:textId="77777777" w:rsidR="009F1D9F" w:rsidRPr="002C36AB" w:rsidRDefault="009F1D9F" w:rsidP="009F1D9F">
      <w:pPr>
        <w:pStyle w:val="Texto"/>
        <w:spacing w:after="0" w:line="240" w:lineRule="auto"/>
        <w:ind w:firstLine="0"/>
        <w:rPr>
          <w:rFonts w:ascii="Book Antiqua" w:hAnsi="Book Antiqua" w:cs="Times New Roman"/>
          <w:bCs/>
          <w:sz w:val="22"/>
          <w:szCs w:val="22"/>
        </w:rPr>
      </w:pPr>
    </w:p>
    <w:p w14:paraId="50F2205A" w14:textId="77777777" w:rsidR="009F1D9F" w:rsidRPr="002C36AB" w:rsidRDefault="009F1D9F" w:rsidP="009F1D9F">
      <w:pPr>
        <w:pStyle w:val="Texto"/>
        <w:numPr>
          <w:ilvl w:val="0"/>
          <w:numId w:val="21"/>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Actualmente, el derecho a la información pública gubernamental corre el riesgo de sufrir retrocesos en su garantía, ya que </w:t>
      </w:r>
      <w:r w:rsidRPr="002C36AB">
        <w:rPr>
          <w:rFonts w:ascii="Book Antiqua" w:hAnsi="Book Antiqua" w:cs="Times New Roman"/>
          <w:bCs/>
          <w:sz w:val="22"/>
          <w:szCs w:val="22"/>
        </w:rPr>
        <w:t xml:space="preserve">el Gobierno Federal solicitó desaparecer al Instituto Nacional de Acceso a la Información </w:t>
      </w:r>
      <w:r w:rsidRPr="002C36AB">
        <w:rPr>
          <w:rFonts w:ascii="Book Antiqua" w:hAnsi="Book Antiqua" w:cs="Times New Roman"/>
          <w:bCs/>
          <w:sz w:val="22"/>
          <w:szCs w:val="22"/>
        </w:rPr>
        <w:t>(INAI)</w:t>
      </w:r>
      <w:r w:rsidRPr="002C36AB">
        <w:rPr>
          <w:rFonts w:ascii="Book Antiqua" w:hAnsi="Book Antiqua" w:cs="Times New Roman"/>
          <w:bCs/>
          <w:sz w:val="22"/>
          <w:szCs w:val="22"/>
        </w:rPr>
        <w:t>, que es el encargado de garantizar este derecho, con el argumento de que no cumple con el objetivo de combatir la corrupción.</w:t>
      </w:r>
      <w:r w:rsidRPr="002C36AB">
        <w:rPr>
          <w:rFonts w:ascii="Book Antiqua" w:hAnsi="Book Antiqua" w:cs="Times New Roman"/>
          <w:bCs/>
          <w:sz w:val="22"/>
          <w:szCs w:val="22"/>
        </w:rPr>
        <w:t xml:space="preserve"> </w:t>
      </w:r>
      <w:r w:rsidRPr="002C36AB">
        <w:rPr>
          <w:rFonts w:ascii="Book Antiqua" w:hAnsi="Book Antiqua" w:cs="Times New Roman"/>
          <w:bCs/>
          <w:sz w:val="22"/>
          <w:szCs w:val="22"/>
        </w:rPr>
        <w:t xml:space="preserve">El INAI </w:t>
      </w:r>
      <w:r w:rsidRPr="002C36AB">
        <w:rPr>
          <w:rFonts w:ascii="Book Antiqua" w:hAnsi="Book Antiqua" w:cs="Times New Roman"/>
          <w:bCs/>
          <w:sz w:val="22"/>
          <w:szCs w:val="22"/>
        </w:rPr>
        <w:t>ha tenido que trabajar sin poder cumplir con su mandato: el Senado ha sido omiso en nombrar a tres comisionado</w:t>
      </w:r>
      <w:r w:rsidRPr="002C36AB">
        <w:rPr>
          <w:rFonts w:ascii="Book Antiqua" w:hAnsi="Book Antiqua" w:cs="Times New Roman"/>
          <w:bCs/>
          <w:sz w:val="22"/>
          <w:szCs w:val="22"/>
        </w:rPr>
        <w:t>s</w:t>
      </w:r>
      <w:r w:rsidRPr="002C36AB">
        <w:rPr>
          <w:rFonts w:ascii="Book Antiqua" w:hAnsi="Book Antiqua" w:cs="Times New Roman"/>
          <w:bCs/>
          <w:sz w:val="22"/>
          <w:szCs w:val="22"/>
        </w:rPr>
        <w:t xml:space="preserve"> (de siete), sin los cuales el Pleno no puede sesionar y resolver los recursos de revisión sobre acceso a la información y protección de datos personales. Recientemente la Suprema Corte resolvió un amparo para permitir que el INAI </w:t>
      </w:r>
      <w:r w:rsidRPr="002C36AB">
        <w:rPr>
          <w:rFonts w:ascii="Book Antiqua" w:hAnsi="Book Antiqua" w:cs="Times New Roman"/>
          <w:bCs/>
          <w:sz w:val="22"/>
          <w:szCs w:val="22"/>
        </w:rPr>
        <w:t>pueda</w:t>
      </w:r>
      <w:r w:rsidRPr="002C36AB">
        <w:rPr>
          <w:rFonts w:ascii="Book Antiqua" w:hAnsi="Book Antiqua" w:cs="Times New Roman"/>
          <w:bCs/>
          <w:sz w:val="22"/>
          <w:szCs w:val="22"/>
        </w:rPr>
        <w:t xml:space="preserve"> sesionar.</w:t>
      </w:r>
    </w:p>
    <w:p w14:paraId="7E3B00A1" w14:textId="23BA36D0" w:rsidR="00A52C1A" w:rsidRPr="002C36AB" w:rsidRDefault="009F1D9F" w:rsidP="00A52C1A">
      <w:pPr>
        <w:pStyle w:val="Texto"/>
        <w:numPr>
          <w:ilvl w:val="0"/>
          <w:numId w:val="21"/>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L</w:t>
      </w:r>
      <w:r w:rsidRPr="002C36AB">
        <w:rPr>
          <w:rFonts w:ascii="Book Antiqua" w:hAnsi="Book Antiqua" w:cs="Times New Roman"/>
          <w:bCs/>
          <w:sz w:val="22"/>
          <w:szCs w:val="22"/>
        </w:rPr>
        <w:t xml:space="preserve">as leyes de </w:t>
      </w:r>
      <w:r w:rsidRPr="002C36AB">
        <w:rPr>
          <w:rFonts w:ascii="Book Antiqua" w:hAnsi="Book Antiqua" w:cs="Times New Roman"/>
          <w:bCs/>
          <w:sz w:val="22"/>
          <w:szCs w:val="22"/>
        </w:rPr>
        <w:t>A</w:t>
      </w:r>
      <w:r w:rsidRPr="002C36AB">
        <w:rPr>
          <w:rFonts w:ascii="Book Antiqua" w:hAnsi="Book Antiqua" w:cs="Times New Roman"/>
          <w:bCs/>
          <w:sz w:val="22"/>
          <w:szCs w:val="22"/>
        </w:rPr>
        <w:t xml:space="preserve">cceso a una vida libre de violencia, </w:t>
      </w:r>
      <w:r w:rsidRPr="002C36AB">
        <w:rPr>
          <w:rFonts w:ascii="Book Antiqua" w:hAnsi="Book Antiqua" w:cs="Times New Roman"/>
          <w:bCs/>
          <w:sz w:val="22"/>
          <w:szCs w:val="22"/>
        </w:rPr>
        <w:t>I</w:t>
      </w:r>
      <w:r w:rsidRPr="002C36AB">
        <w:rPr>
          <w:rFonts w:ascii="Book Antiqua" w:hAnsi="Book Antiqua" w:cs="Times New Roman"/>
          <w:bCs/>
          <w:sz w:val="22"/>
          <w:szCs w:val="22"/>
        </w:rPr>
        <w:t xml:space="preserve">gualdad, </w:t>
      </w:r>
      <w:r w:rsidRPr="002C36AB">
        <w:rPr>
          <w:rFonts w:ascii="Book Antiqua" w:hAnsi="Book Antiqua" w:cs="Times New Roman"/>
          <w:bCs/>
          <w:sz w:val="22"/>
          <w:szCs w:val="22"/>
        </w:rPr>
        <w:t>No D</w:t>
      </w:r>
      <w:r w:rsidRPr="002C36AB">
        <w:rPr>
          <w:rFonts w:ascii="Book Antiqua" w:hAnsi="Book Antiqua" w:cs="Times New Roman"/>
          <w:bCs/>
          <w:sz w:val="22"/>
          <w:szCs w:val="22"/>
        </w:rPr>
        <w:t xml:space="preserve">iscriminación y </w:t>
      </w:r>
      <w:r w:rsidRPr="002C36AB">
        <w:rPr>
          <w:rFonts w:ascii="Book Antiqua" w:hAnsi="Book Antiqua" w:cs="Times New Roman"/>
          <w:bCs/>
          <w:sz w:val="22"/>
          <w:szCs w:val="22"/>
        </w:rPr>
        <w:t>Contra la Trata</w:t>
      </w:r>
      <w:r w:rsidRPr="002C36AB">
        <w:rPr>
          <w:rFonts w:ascii="Book Antiqua" w:hAnsi="Book Antiqua" w:cs="Times New Roman"/>
          <w:bCs/>
          <w:sz w:val="22"/>
          <w:szCs w:val="22"/>
        </w:rPr>
        <w:t xml:space="preserve"> establecen que se debe generar información</w:t>
      </w:r>
      <w:r w:rsidRPr="002C36AB">
        <w:rPr>
          <w:rFonts w:ascii="Book Antiqua" w:hAnsi="Book Antiqua" w:cs="Times New Roman"/>
          <w:bCs/>
          <w:sz w:val="22"/>
          <w:szCs w:val="22"/>
        </w:rPr>
        <w:t xml:space="preserve"> con perspectiva de género</w:t>
      </w:r>
      <w:r w:rsidRPr="002C36AB">
        <w:rPr>
          <w:rFonts w:ascii="Book Antiqua" w:hAnsi="Book Antiqua" w:cs="Times New Roman"/>
          <w:bCs/>
          <w:sz w:val="22"/>
          <w:szCs w:val="22"/>
        </w:rPr>
        <w:t xml:space="preserve"> sobre la situación de las mujeres y las niñas</w:t>
      </w:r>
      <w:r w:rsidR="009778BB" w:rsidRPr="002C36AB">
        <w:rPr>
          <w:rStyle w:val="Refdenotaalpie"/>
          <w:rFonts w:ascii="Book Antiqua" w:hAnsi="Book Antiqua" w:cs="Times New Roman"/>
          <w:bCs/>
          <w:sz w:val="22"/>
          <w:szCs w:val="22"/>
        </w:rPr>
        <w:footnoteReference w:id="11"/>
      </w:r>
      <w:r w:rsidRPr="002C36AB">
        <w:rPr>
          <w:rFonts w:ascii="Book Antiqua" w:hAnsi="Book Antiqua" w:cs="Times New Roman"/>
          <w:bCs/>
          <w:sz w:val="22"/>
          <w:szCs w:val="22"/>
        </w:rPr>
        <w:t>.</w:t>
      </w:r>
      <w:r w:rsidR="005157C8" w:rsidRPr="002C36AB">
        <w:rPr>
          <w:rFonts w:ascii="Book Antiqua" w:hAnsi="Book Antiqua" w:cs="Times New Roman"/>
          <w:bCs/>
          <w:sz w:val="22"/>
          <w:szCs w:val="22"/>
        </w:rPr>
        <w:t xml:space="preserve"> De 2019 a la fecha ha habido un retroceso en el cumplimiento de las obligaciones del Gobierno Federal</w:t>
      </w:r>
      <w:r w:rsidR="00A52C1A" w:rsidRPr="002C36AB">
        <w:rPr>
          <w:rFonts w:ascii="Book Antiqua" w:hAnsi="Book Antiqua" w:cs="Times New Roman"/>
          <w:bCs/>
          <w:sz w:val="22"/>
          <w:szCs w:val="22"/>
        </w:rPr>
        <w:t>. Por ejemplo, e</w:t>
      </w:r>
      <w:r w:rsidR="00A52C1A" w:rsidRPr="002C36AB">
        <w:rPr>
          <w:rFonts w:ascii="Book Antiqua" w:hAnsi="Book Antiqua"/>
          <w:bCs/>
          <w:sz w:val="22"/>
          <w:szCs w:val="22"/>
        </w:rPr>
        <w:t>n 2019 anunció el recorte presupuestal al INEGI, por lo que dejaron de realizarse la Encuesta Nacional de Acceso a la Información Pública y Protección de Datos Personales, Encuesta Nacional de las Dinámicas de Relación en los Hogares y Encuesta Nacional de Trabajo Infantil</w:t>
      </w:r>
      <w:r w:rsidR="00A52C1A" w:rsidRPr="002C36AB">
        <w:rPr>
          <w:rStyle w:val="Refdenotaalpie"/>
          <w:rFonts w:ascii="Book Antiqua" w:hAnsi="Book Antiqua"/>
          <w:bCs/>
          <w:sz w:val="22"/>
          <w:szCs w:val="22"/>
        </w:rPr>
        <w:footnoteReference w:id="12"/>
      </w:r>
      <w:r w:rsidR="00A52C1A" w:rsidRPr="002C36AB">
        <w:rPr>
          <w:rFonts w:ascii="Book Antiqua" w:hAnsi="Book Antiqua"/>
          <w:bCs/>
          <w:sz w:val="22"/>
          <w:szCs w:val="22"/>
        </w:rPr>
        <w:t>.</w:t>
      </w:r>
    </w:p>
    <w:p w14:paraId="64458845" w14:textId="77777777" w:rsidR="0031037A" w:rsidRPr="002C36AB" w:rsidRDefault="00A52C1A" w:rsidP="0031037A">
      <w:pPr>
        <w:pStyle w:val="Texto"/>
        <w:numPr>
          <w:ilvl w:val="0"/>
          <w:numId w:val="21"/>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lastRenderedPageBreak/>
        <w:t xml:space="preserve">Organismos autónomos como la Comisión Nacional de Derechos Humanos (CNDH) han incurrido en incumplimiento de sus obligaciones en esta materia. </w:t>
      </w:r>
      <w:r w:rsidR="00CF0322" w:rsidRPr="002C36AB">
        <w:rPr>
          <w:rFonts w:ascii="Book Antiqua" w:hAnsi="Book Antiqua" w:cs="Times New Roman"/>
          <w:bCs/>
          <w:sz w:val="22"/>
          <w:szCs w:val="22"/>
        </w:rPr>
        <w:t>La</w:t>
      </w:r>
      <w:r w:rsidRPr="002C36AB">
        <w:rPr>
          <w:rFonts w:ascii="Book Antiqua" w:hAnsi="Book Antiqua" w:cs="Times New Roman"/>
          <w:bCs/>
          <w:sz w:val="22"/>
          <w:szCs w:val="22"/>
        </w:rPr>
        <w:t xml:space="preserve"> Comisión es</w:t>
      </w:r>
      <w:r w:rsidR="005157C8" w:rsidRPr="002C36AB">
        <w:rPr>
          <w:rFonts w:ascii="Book Antiqua" w:hAnsi="Book Antiqua" w:cs="Times New Roman"/>
          <w:bCs/>
          <w:sz w:val="22"/>
          <w:szCs w:val="22"/>
        </w:rPr>
        <w:t xml:space="preserve"> encargada </w:t>
      </w:r>
      <w:r w:rsidRPr="002C36AB">
        <w:rPr>
          <w:rFonts w:ascii="Book Antiqua" w:hAnsi="Book Antiqua" w:cs="Times New Roman"/>
          <w:bCs/>
          <w:sz w:val="22"/>
          <w:szCs w:val="22"/>
        </w:rPr>
        <w:t>d</w:t>
      </w:r>
      <w:r w:rsidR="005157C8" w:rsidRPr="002C36AB">
        <w:rPr>
          <w:rFonts w:ascii="Book Antiqua" w:hAnsi="Book Antiqua" w:cs="Times New Roman"/>
          <w:bCs/>
          <w:sz w:val="22"/>
          <w:szCs w:val="22"/>
        </w:rPr>
        <w:t xml:space="preserve">el seguimiento, evaluación y monitoreo de la </w:t>
      </w:r>
      <w:r w:rsidRPr="002C36AB">
        <w:rPr>
          <w:rFonts w:ascii="Book Antiqua" w:hAnsi="Book Antiqua" w:cs="Times New Roman"/>
          <w:bCs/>
          <w:sz w:val="22"/>
          <w:szCs w:val="22"/>
        </w:rPr>
        <w:t>p</w:t>
      </w:r>
      <w:r w:rsidR="005157C8" w:rsidRPr="002C36AB">
        <w:rPr>
          <w:rFonts w:ascii="Book Antiqua" w:hAnsi="Book Antiqua" w:cs="Times New Roman"/>
          <w:bCs/>
          <w:sz w:val="22"/>
          <w:szCs w:val="22"/>
        </w:rPr>
        <w:t xml:space="preserve">olítica nacional en materia de igualdad entre mujeres y hombres, </w:t>
      </w:r>
      <w:r w:rsidRPr="002C36AB">
        <w:rPr>
          <w:rFonts w:ascii="Book Antiqua" w:hAnsi="Book Antiqua" w:cs="Times New Roman"/>
          <w:bCs/>
          <w:sz w:val="22"/>
          <w:szCs w:val="22"/>
        </w:rPr>
        <w:t xml:space="preserve">por lo que </w:t>
      </w:r>
      <w:r w:rsidR="005157C8" w:rsidRPr="002C36AB">
        <w:rPr>
          <w:rFonts w:ascii="Book Antiqua" w:hAnsi="Book Antiqua" w:cs="Times New Roman"/>
          <w:bCs/>
          <w:sz w:val="22"/>
          <w:szCs w:val="22"/>
        </w:rPr>
        <w:t xml:space="preserve">debe generar un sistema de información. Al respecto, </w:t>
      </w:r>
      <w:r w:rsidRPr="002C36AB">
        <w:rPr>
          <w:rFonts w:ascii="Book Antiqua" w:hAnsi="Book Antiqua" w:cs="Times New Roman"/>
          <w:bCs/>
          <w:sz w:val="22"/>
          <w:szCs w:val="22"/>
        </w:rPr>
        <w:t>en 2020 creó</w:t>
      </w:r>
      <w:r w:rsidR="005157C8" w:rsidRPr="002C36AB">
        <w:rPr>
          <w:rFonts w:ascii="Book Antiqua" w:hAnsi="Book Antiqua" w:cs="Times New Roman"/>
          <w:bCs/>
          <w:sz w:val="22"/>
          <w:szCs w:val="22"/>
        </w:rPr>
        <w:t xml:space="preserve"> </w:t>
      </w:r>
      <w:r w:rsidRPr="002C36AB">
        <w:rPr>
          <w:rFonts w:ascii="Book Antiqua" w:hAnsi="Book Antiqua" w:cs="Times New Roman"/>
          <w:bCs/>
          <w:sz w:val="22"/>
          <w:szCs w:val="22"/>
        </w:rPr>
        <w:t>el</w:t>
      </w:r>
      <w:r w:rsidR="005157C8" w:rsidRPr="002C36AB">
        <w:rPr>
          <w:rFonts w:ascii="Book Antiqua" w:hAnsi="Book Antiqua" w:cs="Times New Roman"/>
          <w:bCs/>
          <w:sz w:val="22"/>
          <w:szCs w:val="22"/>
        </w:rPr>
        <w:t xml:space="preserve"> Atlas de igualdad y derechos humanos</w:t>
      </w:r>
      <w:r w:rsidR="00717ADF" w:rsidRPr="002C36AB">
        <w:rPr>
          <w:rFonts w:ascii="Book Antiqua" w:hAnsi="Book Antiqua" w:cs="Times New Roman"/>
          <w:bCs/>
          <w:sz w:val="22"/>
          <w:szCs w:val="22"/>
        </w:rPr>
        <w:t xml:space="preserve">, pero no ha sido </w:t>
      </w:r>
      <w:r w:rsidR="005157C8" w:rsidRPr="002C36AB">
        <w:rPr>
          <w:rFonts w:ascii="Book Antiqua" w:hAnsi="Book Antiqua" w:cs="Times New Roman"/>
          <w:bCs/>
          <w:sz w:val="22"/>
          <w:szCs w:val="22"/>
        </w:rPr>
        <w:t>actualizado y no eval</w:t>
      </w:r>
      <w:r w:rsidR="00717ADF" w:rsidRPr="002C36AB">
        <w:rPr>
          <w:rFonts w:ascii="Book Antiqua" w:hAnsi="Book Antiqua" w:cs="Times New Roman"/>
          <w:bCs/>
          <w:sz w:val="22"/>
          <w:szCs w:val="22"/>
        </w:rPr>
        <w:t>úa</w:t>
      </w:r>
      <w:r w:rsidR="005157C8" w:rsidRPr="002C36AB">
        <w:rPr>
          <w:rFonts w:ascii="Book Antiqua" w:hAnsi="Book Antiqua" w:cs="Times New Roman"/>
          <w:bCs/>
          <w:sz w:val="22"/>
          <w:szCs w:val="22"/>
        </w:rPr>
        <w:t xml:space="preserve"> la política de igualdad.</w:t>
      </w:r>
    </w:p>
    <w:p w14:paraId="0E652E2B" w14:textId="061C9E31" w:rsidR="0031037A" w:rsidRPr="002C36AB" w:rsidRDefault="0031037A" w:rsidP="0031037A">
      <w:pPr>
        <w:pStyle w:val="Texto"/>
        <w:numPr>
          <w:ilvl w:val="0"/>
          <w:numId w:val="21"/>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Se ha obstaculizado el acceso </w:t>
      </w:r>
      <w:r w:rsidRPr="002C36AB">
        <w:rPr>
          <w:rFonts w:ascii="Book Antiqua" w:hAnsi="Book Antiqua" w:cs="Times New Roman"/>
          <w:bCs/>
          <w:sz w:val="22"/>
          <w:szCs w:val="22"/>
        </w:rPr>
        <w:t xml:space="preserve">a las sentencias en materia de discriminación y violencia contra las mujeres, sobretodo a nivel local, contraviniendo una de las recomendaciones del </w:t>
      </w:r>
      <w:r w:rsidRPr="002C36AB">
        <w:rPr>
          <w:rFonts w:ascii="Book Antiqua" w:hAnsi="Book Antiqua" w:cs="Times New Roman"/>
          <w:bCs/>
          <w:sz w:val="22"/>
          <w:szCs w:val="22"/>
        </w:rPr>
        <w:t>Co</w:t>
      </w:r>
      <w:r w:rsidRPr="002C36AB">
        <w:rPr>
          <w:rFonts w:ascii="Book Antiqua" w:hAnsi="Book Antiqua" w:cs="Times New Roman"/>
          <w:bCs/>
          <w:sz w:val="22"/>
          <w:szCs w:val="22"/>
        </w:rPr>
        <w:t>CEDAW, referente a la publicación de todas las decisiones de los tribunales.</w:t>
      </w:r>
    </w:p>
    <w:p w14:paraId="377EE0BA" w14:textId="77777777" w:rsidR="0031037A" w:rsidRPr="002C36AB" w:rsidRDefault="0031037A" w:rsidP="0031037A">
      <w:pPr>
        <w:pStyle w:val="Texto"/>
        <w:spacing w:after="0" w:line="240" w:lineRule="auto"/>
        <w:ind w:firstLine="0"/>
        <w:rPr>
          <w:rFonts w:ascii="Book Antiqua" w:hAnsi="Book Antiqua" w:cs="Times New Roman"/>
          <w:bCs/>
          <w:sz w:val="22"/>
          <w:szCs w:val="22"/>
        </w:rPr>
      </w:pPr>
    </w:p>
    <w:p w14:paraId="5AA8D9D2" w14:textId="38C9321B" w:rsidR="0031037A" w:rsidRDefault="0031037A" w:rsidP="0031037A">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 xml:space="preserve">Lista de </w:t>
      </w:r>
      <w:r w:rsidRPr="002C36AB">
        <w:rPr>
          <w:rFonts w:ascii="Book Antiqua" w:hAnsi="Book Antiqua" w:cs="Times New Roman"/>
          <w:bCs/>
          <w:sz w:val="22"/>
          <w:szCs w:val="22"/>
        </w:rPr>
        <w:t>cuest</w:t>
      </w:r>
      <w:r w:rsidR="00520BF5" w:rsidRPr="002C36AB">
        <w:rPr>
          <w:rFonts w:ascii="Book Antiqua" w:hAnsi="Book Antiqua" w:cs="Times New Roman"/>
          <w:bCs/>
          <w:sz w:val="22"/>
          <w:szCs w:val="22"/>
        </w:rPr>
        <w:t>i</w:t>
      </w:r>
      <w:r w:rsidRPr="002C36AB">
        <w:rPr>
          <w:rFonts w:ascii="Book Antiqua" w:hAnsi="Book Antiqua" w:cs="Times New Roman"/>
          <w:bCs/>
          <w:sz w:val="22"/>
          <w:szCs w:val="22"/>
        </w:rPr>
        <w:t>ones</w:t>
      </w:r>
    </w:p>
    <w:p w14:paraId="2AE028A3" w14:textId="77777777" w:rsidR="00055EBC" w:rsidRPr="002C36AB" w:rsidRDefault="00055EBC" w:rsidP="0031037A">
      <w:pPr>
        <w:pStyle w:val="Texto"/>
        <w:spacing w:after="0" w:line="240" w:lineRule="auto"/>
        <w:ind w:firstLine="0"/>
        <w:rPr>
          <w:rFonts w:ascii="Book Antiqua" w:hAnsi="Book Antiqua" w:cs="Times New Roman"/>
          <w:bCs/>
          <w:sz w:val="22"/>
          <w:szCs w:val="22"/>
        </w:rPr>
      </w:pPr>
    </w:p>
    <w:p w14:paraId="1AB941F4" w14:textId="7DA609B2"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¿Qué indicadores tiene el INAI para verificar que las instituciones públicas cumplen con su obligación de facilitar información con perspectiva de género, discapacidad y multiculturalidad?</w:t>
      </w:r>
      <w:r w:rsidR="00CB666A" w:rsidRPr="002C36AB">
        <w:rPr>
          <w:rFonts w:ascii="Book Antiqua" w:hAnsi="Book Antiqua" w:cs="Times New Roman"/>
          <w:bCs/>
          <w:sz w:val="22"/>
          <w:szCs w:val="22"/>
        </w:rPr>
        <w:t xml:space="preserve"> ¿De qué manera promueve que las instituciones cumplan con sus obligaciones en esta materia?</w:t>
      </w:r>
    </w:p>
    <w:p w14:paraId="6B47EFD5" w14:textId="1D6B53BE"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¿Cuál es el avance para concretar las reformas establecidas en el Decreto por el que se reforman y adicionan diversas disposiciones a la Ley General de Acceso de las Mujeres a una Vida Libre de Violencia, en materia de Centros de Justicia para las Mujeres, para </w:t>
      </w:r>
      <w:r w:rsidRPr="002C36AB">
        <w:rPr>
          <w:rFonts w:ascii="Book Antiqua" w:hAnsi="Book Antiqua" w:cs="Times New Roman"/>
          <w:bCs/>
          <w:sz w:val="22"/>
          <w:szCs w:val="22"/>
        </w:rPr>
        <w:lastRenderedPageBreak/>
        <w:t xml:space="preserve">que estos puedan </w:t>
      </w:r>
      <w:r w:rsidR="00CB666A" w:rsidRPr="002C36AB">
        <w:rPr>
          <w:rFonts w:ascii="Book Antiqua" w:hAnsi="Book Antiqua" w:cs="Times New Roman"/>
          <w:bCs/>
          <w:sz w:val="22"/>
          <w:szCs w:val="22"/>
        </w:rPr>
        <w:t>realizar</w:t>
      </w:r>
      <w:r w:rsidRPr="002C36AB">
        <w:rPr>
          <w:rFonts w:ascii="Book Antiqua" w:hAnsi="Book Antiqua" w:cs="Times New Roman"/>
          <w:bCs/>
          <w:sz w:val="22"/>
          <w:szCs w:val="22"/>
        </w:rPr>
        <w:t xml:space="preserve"> sus responsabilidades en materia de derecho a la información sobre las condiciones de las mujeres mexicanas?</w:t>
      </w:r>
    </w:p>
    <w:p w14:paraId="4BF0FB23" w14:textId="34D70762"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¿Qué avances hay para la generación y publicidad de bases de datos desglosados por sexo</w:t>
      </w:r>
      <w:r w:rsidR="00E07C77" w:rsidRPr="002C36AB">
        <w:rPr>
          <w:rStyle w:val="Refdenotaalpie"/>
          <w:rFonts w:ascii="Book Antiqua" w:hAnsi="Book Antiqua" w:cs="Times New Roman"/>
          <w:bCs/>
          <w:sz w:val="22"/>
          <w:szCs w:val="22"/>
        </w:rPr>
        <w:footnoteReference w:id="13"/>
      </w:r>
      <w:r w:rsidRPr="002C36AB">
        <w:rPr>
          <w:rFonts w:ascii="Book Antiqua" w:hAnsi="Book Antiqua" w:cs="Times New Roman"/>
          <w:bCs/>
          <w:sz w:val="22"/>
          <w:szCs w:val="22"/>
        </w:rPr>
        <w:t>?</w:t>
      </w:r>
    </w:p>
    <w:p w14:paraId="76DF41A2" w14:textId="3707FAC0"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w:t>
      </w:r>
      <w:r w:rsidR="00B95ED8" w:rsidRPr="002C36AB">
        <w:rPr>
          <w:rFonts w:ascii="Book Antiqua" w:hAnsi="Book Antiqua" w:cs="Times New Roman"/>
          <w:bCs/>
          <w:sz w:val="22"/>
          <w:szCs w:val="22"/>
        </w:rPr>
        <w:t>Qué</w:t>
      </w:r>
      <w:r w:rsidRPr="002C36AB">
        <w:rPr>
          <w:rFonts w:ascii="Book Antiqua" w:hAnsi="Book Antiqua" w:cs="Times New Roman"/>
          <w:bCs/>
          <w:sz w:val="22"/>
          <w:szCs w:val="22"/>
        </w:rPr>
        <w:t xml:space="preserve"> metodología ha desarrollado la CNDH para cumplir con su obligación de la observancia en el seguimiento, evaluación y monitoreo de la Política nacional en materia de igualdad entre mujeres y hombres?</w:t>
      </w:r>
    </w:p>
    <w:p w14:paraId="6DE5CE79" w14:textId="354D902A"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¿Qué medidas se han tomado para cumplir con las obligaciones respecto al derecho a la información que marca la Ley de Trata de Personas?</w:t>
      </w:r>
    </w:p>
    <w:p w14:paraId="000711DC" w14:textId="77777777" w:rsidR="005C22A1" w:rsidRPr="002C36AB" w:rsidRDefault="0031037A" w:rsidP="005C22A1">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¿Qué ha hecho el </w:t>
      </w:r>
      <w:r w:rsidR="00B95ED8" w:rsidRPr="002C36AB">
        <w:rPr>
          <w:rFonts w:ascii="Book Antiqua" w:hAnsi="Book Antiqua" w:cs="Times New Roman"/>
          <w:bCs/>
          <w:sz w:val="22"/>
          <w:szCs w:val="22"/>
        </w:rPr>
        <w:t>Poder Legislativo</w:t>
      </w:r>
      <w:r w:rsidRPr="002C36AB">
        <w:rPr>
          <w:rFonts w:ascii="Book Antiqua" w:hAnsi="Book Antiqua" w:cs="Times New Roman"/>
          <w:bCs/>
          <w:sz w:val="22"/>
          <w:szCs w:val="22"/>
        </w:rPr>
        <w:t xml:space="preserve"> para reformar la Ley General de Acceso a la Información</w:t>
      </w:r>
      <w:r w:rsidR="00B95ED8" w:rsidRPr="002C36AB">
        <w:rPr>
          <w:rFonts w:ascii="Book Antiqua" w:hAnsi="Book Antiqua" w:cs="Times New Roman"/>
          <w:bCs/>
          <w:sz w:val="22"/>
          <w:szCs w:val="22"/>
        </w:rPr>
        <w:t>,</w:t>
      </w:r>
      <w:r w:rsidRPr="002C36AB">
        <w:rPr>
          <w:rFonts w:ascii="Book Antiqua" w:hAnsi="Book Antiqua" w:cs="Times New Roman"/>
          <w:bCs/>
          <w:sz w:val="22"/>
          <w:szCs w:val="22"/>
        </w:rPr>
        <w:t xml:space="preserve"> para explicitar la obligación del Poder Judicial de publicar todas las sentencias en materia de derechos humanos de las mujeres?</w:t>
      </w:r>
    </w:p>
    <w:p w14:paraId="057F78B0" w14:textId="77777777" w:rsidR="005C22A1" w:rsidRPr="002C36AB" w:rsidRDefault="005C22A1" w:rsidP="005C22A1">
      <w:pPr>
        <w:pStyle w:val="Texto"/>
        <w:spacing w:after="0" w:line="240" w:lineRule="auto"/>
        <w:ind w:firstLine="0"/>
        <w:rPr>
          <w:rFonts w:ascii="Book Antiqua" w:hAnsi="Book Antiqua" w:cs="Times New Roman"/>
          <w:bCs/>
          <w:sz w:val="22"/>
          <w:szCs w:val="22"/>
        </w:rPr>
      </w:pPr>
    </w:p>
    <w:p w14:paraId="35F0B14D" w14:textId="3A776B8D" w:rsidR="0031037A" w:rsidRDefault="005C22A1" w:rsidP="005C22A1">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R</w:t>
      </w:r>
      <w:r w:rsidR="0031037A" w:rsidRPr="002C36AB">
        <w:rPr>
          <w:rFonts w:ascii="Book Antiqua" w:hAnsi="Book Antiqua" w:cs="Times New Roman"/>
          <w:bCs/>
          <w:sz w:val="22"/>
          <w:szCs w:val="22"/>
        </w:rPr>
        <w:t>ecomendaciones</w:t>
      </w:r>
    </w:p>
    <w:p w14:paraId="7EEA866B" w14:textId="77777777" w:rsidR="00055EBC" w:rsidRPr="002C36AB" w:rsidRDefault="00055EBC" w:rsidP="005C22A1">
      <w:pPr>
        <w:pStyle w:val="Texto"/>
        <w:spacing w:after="0" w:line="240" w:lineRule="auto"/>
        <w:ind w:firstLine="0"/>
        <w:rPr>
          <w:rFonts w:ascii="Book Antiqua" w:hAnsi="Book Antiqua" w:cs="Times New Roman"/>
          <w:bCs/>
          <w:sz w:val="22"/>
          <w:szCs w:val="22"/>
        </w:rPr>
      </w:pPr>
    </w:p>
    <w:p w14:paraId="2D258FF4" w14:textId="5C9FF5AD"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Articular todo el marco legal sobre producción, archivo, clasificación, acceso, difusión y usos sociales de la información pública, para que se garantice  el derecho a la información como un derecho humano integral.</w:t>
      </w:r>
    </w:p>
    <w:p w14:paraId="1510408F" w14:textId="169F2F43"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Las instituciones deben cumplir con el mandato de las obligaciones de transparencia con perspectiva de género, discapacidad y multicultural</w:t>
      </w:r>
      <w:r w:rsidR="003B1ACD" w:rsidRPr="002C36AB">
        <w:rPr>
          <w:rFonts w:ascii="Book Antiqua" w:hAnsi="Book Antiqua" w:cs="Times New Roman"/>
          <w:bCs/>
          <w:sz w:val="22"/>
          <w:szCs w:val="22"/>
        </w:rPr>
        <w:t>idad</w:t>
      </w:r>
      <w:r w:rsidRPr="002C36AB">
        <w:rPr>
          <w:rFonts w:ascii="Book Antiqua" w:hAnsi="Book Antiqua" w:cs="Times New Roman"/>
          <w:bCs/>
          <w:sz w:val="22"/>
          <w:szCs w:val="22"/>
        </w:rPr>
        <w:t xml:space="preserve">. </w:t>
      </w:r>
      <w:r w:rsidR="003B1ACD" w:rsidRPr="002C36AB">
        <w:rPr>
          <w:rFonts w:ascii="Book Antiqua" w:hAnsi="Book Antiqua" w:cs="Times New Roman"/>
          <w:bCs/>
          <w:sz w:val="22"/>
          <w:szCs w:val="22"/>
        </w:rPr>
        <w:t>D</w:t>
      </w:r>
      <w:r w:rsidRPr="002C36AB">
        <w:rPr>
          <w:rFonts w:ascii="Book Antiqua" w:hAnsi="Book Antiqua" w:cs="Times New Roman"/>
          <w:bCs/>
          <w:sz w:val="22"/>
          <w:szCs w:val="22"/>
        </w:rPr>
        <w:t xml:space="preserve">eben desarrollar indicadores </w:t>
      </w:r>
      <w:r w:rsidR="003B1ACD" w:rsidRPr="002C36AB">
        <w:rPr>
          <w:rFonts w:ascii="Book Antiqua" w:hAnsi="Book Antiqua" w:cs="Times New Roman"/>
          <w:bCs/>
          <w:sz w:val="22"/>
          <w:szCs w:val="22"/>
        </w:rPr>
        <w:t>para</w:t>
      </w:r>
      <w:r w:rsidRPr="002C36AB">
        <w:rPr>
          <w:rFonts w:ascii="Book Antiqua" w:hAnsi="Book Antiqua" w:cs="Times New Roman"/>
          <w:bCs/>
          <w:sz w:val="22"/>
          <w:szCs w:val="22"/>
        </w:rPr>
        <w:t xml:space="preserve"> valorar su cumplimiento.</w:t>
      </w:r>
    </w:p>
    <w:p w14:paraId="2B897B47" w14:textId="7A61A861"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Designar pre</w:t>
      </w:r>
      <w:r w:rsidR="003B1ACD" w:rsidRPr="002C36AB">
        <w:rPr>
          <w:rFonts w:ascii="Book Antiqua" w:hAnsi="Book Antiqua" w:cs="Times New Roman"/>
          <w:bCs/>
          <w:sz w:val="22"/>
          <w:szCs w:val="22"/>
        </w:rPr>
        <w:t>su</w:t>
      </w:r>
      <w:r w:rsidRPr="002C36AB">
        <w:rPr>
          <w:rFonts w:ascii="Book Antiqua" w:hAnsi="Book Antiqua" w:cs="Times New Roman"/>
          <w:bCs/>
          <w:sz w:val="22"/>
          <w:szCs w:val="22"/>
        </w:rPr>
        <w:t>puesto etiquetado para la elaboración</w:t>
      </w:r>
      <w:r w:rsidR="003B1ACD" w:rsidRPr="002C36AB">
        <w:rPr>
          <w:rFonts w:ascii="Book Antiqua" w:hAnsi="Book Antiqua" w:cs="Times New Roman"/>
          <w:bCs/>
          <w:sz w:val="22"/>
          <w:szCs w:val="22"/>
        </w:rPr>
        <w:t xml:space="preserve"> periódica</w:t>
      </w:r>
      <w:r w:rsidRPr="002C36AB">
        <w:rPr>
          <w:rFonts w:ascii="Book Antiqua" w:hAnsi="Book Antiqua" w:cs="Times New Roman"/>
          <w:bCs/>
          <w:sz w:val="22"/>
          <w:szCs w:val="22"/>
        </w:rPr>
        <w:t xml:space="preserve"> de campañas, estudios, diagnósticos</w:t>
      </w:r>
      <w:r w:rsidR="003B1ACD" w:rsidRPr="002C36AB">
        <w:rPr>
          <w:rFonts w:ascii="Book Antiqua" w:hAnsi="Book Antiqua" w:cs="Times New Roman"/>
          <w:bCs/>
          <w:sz w:val="22"/>
          <w:szCs w:val="22"/>
        </w:rPr>
        <w:t xml:space="preserve"> y</w:t>
      </w:r>
      <w:r w:rsidRPr="002C36AB">
        <w:rPr>
          <w:rFonts w:ascii="Book Antiqua" w:hAnsi="Book Antiqua" w:cs="Times New Roman"/>
          <w:bCs/>
          <w:sz w:val="22"/>
          <w:szCs w:val="22"/>
        </w:rPr>
        <w:t xml:space="preserve"> estadísticas sobre la situación de las mujeres en diferentes ámbitos (educativo, salud, empleo, participación política)</w:t>
      </w:r>
      <w:r w:rsidR="003B1ACD" w:rsidRPr="002C36AB">
        <w:rPr>
          <w:rFonts w:ascii="Book Antiqua" w:hAnsi="Book Antiqua" w:cs="Times New Roman"/>
          <w:bCs/>
          <w:sz w:val="22"/>
          <w:szCs w:val="22"/>
        </w:rPr>
        <w:t>, incluyendo</w:t>
      </w:r>
      <w:r w:rsidRPr="002C36AB">
        <w:rPr>
          <w:rFonts w:ascii="Book Antiqua" w:hAnsi="Book Antiqua" w:cs="Times New Roman"/>
          <w:bCs/>
          <w:sz w:val="22"/>
          <w:szCs w:val="22"/>
        </w:rPr>
        <w:t xml:space="preserve"> la violencia contra las mujeres y la trata de personas.</w:t>
      </w:r>
    </w:p>
    <w:p w14:paraId="544B17A7" w14:textId="040A598A"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Los bancos de datos sobre violencia contra las mujeres deben tener su versión pública, así como todas las bases de datos públicas que contengan información desglosada por sexo</w:t>
      </w:r>
      <w:r w:rsidR="0033053B" w:rsidRPr="002C36AB">
        <w:rPr>
          <w:rFonts w:ascii="Book Antiqua" w:hAnsi="Book Antiqua" w:cs="Times New Roman"/>
          <w:bCs/>
          <w:sz w:val="22"/>
          <w:szCs w:val="22"/>
        </w:rPr>
        <w:t xml:space="preserve">, y </w:t>
      </w:r>
      <w:r w:rsidRPr="002C36AB">
        <w:rPr>
          <w:rFonts w:ascii="Book Antiqua" w:hAnsi="Book Antiqua" w:cs="Times New Roman"/>
          <w:bCs/>
          <w:sz w:val="22"/>
          <w:szCs w:val="22"/>
        </w:rPr>
        <w:t xml:space="preserve">deben estar contenidas en los sitios de transparencia. </w:t>
      </w:r>
    </w:p>
    <w:p w14:paraId="5FD738BC" w14:textId="48CA0922"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La CNDH debe generar un sistema de información </w:t>
      </w:r>
      <w:r w:rsidR="0033053B" w:rsidRPr="002C36AB">
        <w:rPr>
          <w:rFonts w:ascii="Book Antiqua" w:hAnsi="Book Antiqua" w:cs="Times New Roman"/>
          <w:bCs/>
          <w:sz w:val="22"/>
          <w:szCs w:val="22"/>
        </w:rPr>
        <w:t>sobre</w:t>
      </w:r>
      <w:r w:rsidRPr="002C36AB">
        <w:rPr>
          <w:rFonts w:ascii="Book Antiqua" w:hAnsi="Book Antiqua" w:cs="Times New Roman"/>
          <w:bCs/>
          <w:sz w:val="22"/>
          <w:szCs w:val="22"/>
        </w:rPr>
        <w:t xml:space="preserve"> la situación </w:t>
      </w:r>
      <w:r w:rsidR="004C4625" w:rsidRPr="002C36AB">
        <w:rPr>
          <w:rFonts w:ascii="Book Antiqua" w:hAnsi="Book Antiqua" w:cs="Times New Roman"/>
          <w:bCs/>
          <w:sz w:val="22"/>
          <w:szCs w:val="22"/>
        </w:rPr>
        <w:t>de</w:t>
      </w:r>
      <w:r w:rsidRPr="002C36AB">
        <w:rPr>
          <w:rFonts w:ascii="Book Antiqua" w:hAnsi="Book Antiqua" w:cs="Times New Roman"/>
          <w:bCs/>
          <w:sz w:val="22"/>
          <w:szCs w:val="22"/>
        </w:rPr>
        <w:t xml:space="preserve"> la igualdad entre hombres y mujeres y el efecto de las políticas públicas.</w:t>
      </w:r>
    </w:p>
    <w:p w14:paraId="5EA860AF" w14:textId="3FC22B68"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Cumplir con todas las obligación sobre derecho a la información que mandata la Ley General de Trata.</w:t>
      </w:r>
    </w:p>
    <w:p w14:paraId="7C91F1FC" w14:textId="2D075FB3" w:rsidR="0031037A" w:rsidRPr="002C36AB" w:rsidRDefault="004C4625"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El Poder Legislativo debe r</w:t>
      </w:r>
      <w:r w:rsidR="0031037A" w:rsidRPr="002C36AB">
        <w:rPr>
          <w:rFonts w:ascii="Book Antiqua" w:hAnsi="Book Antiqua" w:cs="Times New Roman"/>
          <w:bCs/>
          <w:sz w:val="22"/>
          <w:szCs w:val="22"/>
        </w:rPr>
        <w:t>eformar la Ley General de Acceso a la Información para explicitar la obligación del Poder Judicial de publicar la versión pública de todas las sentencias, con énfasis en aquellas en materia de derechos humanos de las mujeres.</w:t>
      </w:r>
    </w:p>
    <w:p w14:paraId="05FD5DA4" w14:textId="283D3CEE" w:rsidR="0031037A" w:rsidRPr="002C36AB" w:rsidRDefault="0031037A"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Las instituciones públicas, a todos los niveles, deben cumplir todas las obligaciones de derecho a la información que deriven de los marcos legales nacionales que reconocen y protegen los derechos humanos de las mujeres.</w:t>
      </w:r>
    </w:p>
    <w:p w14:paraId="63FE1140" w14:textId="53BE4939" w:rsidR="0031037A" w:rsidRPr="002C36AB" w:rsidRDefault="0033053B" w:rsidP="0031037A">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L</w:t>
      </w:r>
      <w:r w:rsidR="0031037A" w:rsidRPr="002C36AB">
        <w:rPr>
          <w:rFonts w:ascii="Book Antiqua" w:hAnsi="Book Antiqua" w:cs="Times New Roman"/>
          <w:bCs/>
          <w:sz w:val="22"/>
          <w:szCs w:val="22"/>
        </w:rPr>
        <w:t>os órganos garantes del derecho a la información deben</w:t>
      </w:r>
      <w:r w:rsidR="00C922F1" w:rsidRPr="002C36AB">
        <w:rPr>
          <w:rFonts w:ascii="Book Antiqua" w:hAnsi="Book Antiqua" w:cs="Times New Roman"/>
          <w:bCs/>
          <w:sz w:val="22"/>
          <w:szCs w:val="22"/>
        </w:rPr>
        <w:t xml:space="preserve"> cumplir </w:t>
      </w:r>
      <w:r w:rsidRPr="002C36AB">
        <w:rPr>
          <w:rFonts w:ascii="Book Antiqua" w:hAnsi="Book Antiqua" w:cs="Times New Roman"/>
          <w:bCs/>
          <w:sz w:val="22"/>
          <w:szCs w:val="22"/>
        </w:rPr>
        <w:t xml:space="preserve">con </w:t>
      </w:r>
      <w:r w:rsidR="00C922F1" w:rsidRPr="002C36AB">
        <w:rPr>
          <w:rFonts w:ascii="Book Antiqua" w:hAnsi="Book Antiqua" w:cs="Times New Roman"/>
          <w:bCs/>
          <w:sz w:val="22"/>
          <w:szCs w:val="22"/>
        </w:rPr>
        <w:t>sus obligaciones</w:t>
      </w:r>
      <w:r w:rsidR="00312EA9" w:rsidRPr="002C36AB">
        <w:rPr>
          <w:rStyle w:val="Refdenotaalpie"/>
          <w:rFonts w:ascii="Book Antiqua" w:hAnsi="Book Antiqua" w:cs="Times New Roman"/>
          <w:bCs/>
          <w:sz w:val="22"/>
          <w:szCs w:val="22"/>
        </w:rPr>
        <w:footnoteReference w:id="14"/>
      </w:r>
      <w:r w:rsidR="00C922F1" w:rsidRPr="002C36AB">
        <w:rPr>
          <w:rFonts w:ascii="Book Antiqua" w:hAnsi="Book Antiqua" w:cs="Times New Roman"/>
          <w:bCs/>
          <w:sz w:val="22"/>
          <w:szCs w:val="22"/>
        </w:rPr>
        <w:t>.</w:t>
      </w:r>
    </w:p>
    <w:p w14:paraId="31E626D6" w14:textId="77777777" w:rsidR="00312EA9" w:rsidRPr="002C36AB" w:rsidRDefault="00312EA9" w:rsidP="00312EA9">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lastRenderedPageBreak/>
        <w:t xml:space="preserve">Promover </w:t>
      </w:r>
      <w:r w:rsidR="0031037A" w:rsidRPr="002C36AB">
        <w:rPr>
          <w:rFonts w:ascii="Book Antiqua" w:hAnsi="Book Antiqua" w:cs="Times New Roman"/>
          <w:bCs/>
          <w:sz w:val="22"/>
          <w:szCs w:val="22"/>
        </w:rPr>
        <w:t>espacios de participación ciudadana que tengan el objetivo de generar información pública útil</w:t>
      </w:r>
      <w:r w:rsidRPr="002C36AB">
        <w:rPr>
          <w:rFonts w:ascii="Book Antiqua" w:hAnsi="Book Antiqua" w:cs="Times New Roman"/>
          <w:bCs/>
          <w:sz w:val="22"/>
          <w:szCs w:val="22"/>
        </w:rPr>
        <w:t xml:space="preserve"> sobre los derechos humanos de</w:t>
      </w:r>
      <w:r w:rsidR="0031037A" w:rsidRPr="002C36AB">
        <w:rPr>
          <w:rFonts w:ascii="Book Antiqua" w:hAnsi="Book Antiqua" w:cs="Times New Roman"/>
          <w:bCs/>
          <w:sz w:val="22"/>
          <w:szCs w:val="22"/>
        </w:rPr>
        <w:t xml:space="preserve"> las mujeres.</w:t>
      </w:r>
    </w:p>
    <w:p w14:paraId="110A0315" w14:textId="669448A7" w:rsidR="0031037A" w:rsidRPr="002C36AB" w:rsidRDefault="0033053B" w:rsidP="00312EA9">
      <w:pPr>
        <w:pStyle w:val="Texto"/>
        <w:numPr>
          <w:ilvl w:val="0"/>
          <w:numId w:val="22"/>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L</w:t>
      </w:r>
      <w:r w:rsidR="00312EA9" w:rsidRPr="002C36AB">
        <w:rPr>
          <w:rFonts w:ascii="Book Antiqua" w:hAnsi="Book Antiqua" w:cs="Times New Roman"/>
          <w:bCs/>
          <w:sz w:val="22"/>
          <w:szCs w:val="22"/>
        </w:rPr>
        <w:t>egislar sobre</w:t>
      </w:r>
      <w:r w:rsidR="0031037A" w:rsidRPr="002C36AB">
        <w:rPr>
          <w:rFonts w:ascii="Book Antiqua" w:hAnsi="Book Antiqua" w:cs="Times New Roman"/>
          <w:bCs/>
          <w:sz w:val="22"/>
          <w:szCs w:val="22"/>
        </w:rPr>
        <w:t xml:space="preserve"> la información de interés público que está en posesión de empresas privadas</w:t>
      </w:r>
      <w:r w:rsidRPr="002C36AB">
        <w:rPr>
          <w:rFonts w:ascii="Book Antiqua" w:hAnsi="Book Antiqua" w:cs="Times New Roman"/>
          <w:bCs/>
          <w:sz w:val="22"/>
          <w:szCs w:val="22"/>
        </w:rPr>
        <w:t xml:space="preserve">, </w:t>
      </w:r>
      <w:r w:rsidR="0031037A" w:rsidRPr="002C36AB">
        <w:rPr>
          <w:rFonts w:ascii="Book Antiqua" w:hAnsi="Book Antiqua" w:cs="Times New Roman"/>
          <w:bCs/>
          <w:sz w:val="22"/>
          <w:szCs w:val="22"/>
        </w:rPr>
        <w:t>que les obligue a generar y dar acceso a información con perspectiva de género.</w:t>
      </w:r>
    </w:p>
    <w:p w14:paraId="3C18B02F" w14:textId="77777777" w:rsidR="0047261F" w:rsidRPr="002C36AB" w:rsidRDefault="0047261F" w:rsidP="0047261F">
      <w:pPr>
        <w:pStyle w:val="Texto"/>
        <w:spacing w:after="0" w:line="240" w:lineRule="auto"/>
        <w:ind w:firstLine="0"/>
        <w:rPr>
          <w:rFonts w:ascii="Book Antiqua" w:hAnsi="Book Antiqua" w:cs="Times New Roman"/>
          <w:bCs/>
          <w:sz w:val="22"/>
          <w:szCs w:val="22"/>
        </w:rPr>
      </w:pPr>
    </w:p>
    <w:p w14:paraId="525AD05D" w14:textId="76E566D4" w:rsidR="00C635CF" w:rsidRPr="00483A36" w:rsidRDefault="00C635CF" w:rsidP="0033053B">
      <w:pPr>
        <w:pStyle w:val="Texto"/>
        <w:spacing w:after="0" w:line="240" w:lineRule="auto"/>
        <w:ind w:firstLine="0"/>
        <w:jc w:val="center"/>
        <w:rPr>
          <w:rFonts w:ascii="Book Antiqua" w:hAnsi="Book Antiqua" w:cs="Times New Roman"/>
          <w:b/>
          <w:sz w:val="28"/>
          <w:szCs w:val="28"/>
        </w:rPr>
      </w:pPr>
      <w:r w:rsidRPr="00483A36">
        <w:rPr>
          <w:rFonts w:ascii="Book Antiqua" w:hAnsi="Book Antiqua" w:cs="Times New Roman"/>
          <w:b/>
          <w:sz w:val="28"/>
          <w:szCs w:val="28"/>
        </w:rPr>
        <w:t>Violencia Política Digital</w:t>
      </w:r>
    </w:p>
    <w:p w14:paraId="6D641B4C" w14:textId="77777777" w:rsidR="00C635CF" w:rsidRPr="002C36AB" w:rsidRDefault="00C635CF" w:rsidP="0047261F">
      <w:pPr>
        <w:pStyle w:val="Texto"/>
        <w:spacing w:after="0" w:line="240" w:lineRule="auto"/>
        <w:ind w:firstLine="0"/>
        <w:rPr>
          <w:rFonts w:ascii="Book Antiqua" w:hAnsi="Book Antiqua" w:cs="Times New Roman"/>
          <w:bCs/>
          <w:sz w:val="22"/>
          <w:szCs w:val="22"/>
        </w:rPr>
      </w:pPr>
    </w:p>
    <w:p w14:paraId="300828D0" w14:textId="561EBC07" w:rsidR="007049B4" w:rsidRPr="002C36AB" w:rsidRDefault="007049B4" w:rsidP="0047261F">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Informe</w:t>
      </w:r>
    </w:p>
    <w:p w14:paraId="145612F7" w14:textId="77777777" w:rsidR="007049B4" w:rsidRPr="002C36AB" w:rsidRDefault="007049B4" w:rsidP="0047261F">
      <w:pPr>
        <w:pStyle w:val="Texto"/>
        <w:spacing w:after="0" w:line="240" w:lineRule="auto"/>
        <w:ind w:firstLine="0"/>
        <w:rPr>
          <w:rFonts w:ascii="Book Antiqua" w:hAnsi="Book Antiqua" w:cs="Times New Roman"/>
          <w:bCs/>
          <w:sz w:val="22"/>
          <w:szCs w:val="22"/>
        </w:rPr>
      </w:pPr>
    </w:p>
    <w:p w14:paraId="636AD5E3" w14:textId="77777777" w:rsidR="00EE13B5" w:rsidRPr="002C36AB" w:rsidRDefault="007049B4" w:rsidP="00EE13B5">
      <w:pPr>
        <w:pStyle w:val="Texto"/>
        <w:numPr>
          <w:ilvl w:val="0"/>
          <w:numId w:val="2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El conjunto de reformas legales publicadas el 13 de abril de 2020 en materia de violencia política contra las mujeres en razón de género</w:t>
      </w:r>
      <w:r w:rsidR="00EE13B5" w:rsidRPr="002C36AB">
        <w:rPr>
          <w:rFonts w:ascii="Book Antiqua" w:hAnsi="Book Antiqua" w:cs="Times New Roman"/>
          <w:bCs/>
          <w:sz w:val="22"/>
          <w:szCs w:val="22"/>
        </w:rPr>
        <w:t>,</w:t>
      </w:r>
      <w:r w:rsidRPr="002C36AB">
        <w:rPr>
          <w:rFonts w:ascii="Book Antiqua" w:hAnsi="Book Antiqua" w:cs="Times New Roman"/>
          <w:bCs/>
          <w:sz w:val="22"/>
          <w:szCs w:val="22"/>
        </w:rPr>
        <w:t xml:space="preserve"> describe 22 conductas, entre las que </w:t>
      </w:r>
      <w:r w:rsidRPr="002C36AB">
        <w:rPr>
          <w:rFonts w:ascii="Book Antiqua" w:hAnsi="Book Antiqua" w:cs="Times New Roman"/>
          <w:bCs/>
          <w:sz w:val="22"/>
          <w:szCs w:val="22"/>
        </w:rPr>
        <w:t>NO</w:t>
      </w:r>
      <w:r w:rsidRPr="002C36AB">
        <w:rPr>
          <w:rFonts w:ascii="Book Antiqua" w:hAnsi="Book Antiqua" w:cs="Times New Roman"/>
          <w:bCs/>
          <w:sz w:val="22"/>
          <w:szCs w:val="22"/>
        </w:rPr>
        <w:t xml:space="preserve"> se encuentra la violencia </w:t>
      </w:r>
      <w:r w:rsidRPr="002C36AB">
        <w:rPr>
          <w:rFonts w:ascii="Book Antiqua" w:hAnsi="Book Antiqua" w:cs="Times New Roman"/>
          <w:bCs/>
          <w:sz w:val="22"/>
          <w:szCs w:val="22"/>
        </w:rPr>
        <w:t>digital</w:t>
      </w:r>
      <w:r w:rsidRPr="002C36AB">
        <w:rPr>
          <w:rFonts w:ascii="Book Antiqua" w:hAnsi="Book Antiqua" w:cs="Times New Roman"/>
          <w:bCs/>
          <w:sz w:val="22"/>
          <w:szCs w:val="22"/>
        </w:rPr>
        <w:t xml:space="preserve">, creando un vacío jurídico para la protección de </w:t>
      </w:r>
      <w:r w:rsidRPr="002C36AB">
        <w:rPr>
          <w:rFonts w:ascii="Book Antiqua" w:hAnsi="Book Antiqua" w:cs="Times New Roman"/>
          <w:bCs/>
          <w:sz w:val="22"/>
          <w:szCs w:val="22"/>
        </w:rPr>
        <w:t>sus</w:t>
      </w:r>
      <w:r w:rsidRPr="002C36AB">
        <w:rPr>
          <w:rFonts w:ascii="Book Antiqua" w:hAnsi="Book Antiqua" w:cs="Times New Roman"/>
          <w:bCs/>
          <w:sz w:val="22"/>
          <w:szCs w:val="22"/>
        </w:rPr>
        <w:t xml:space="preserve"> derechos políticos y electorales.</w:t>
      </w:r>
    </w:p>
    <w:p w14:paraId="363EEB0F" w14:textId="77777777" w:rsidR="00723DDC" w:rsidRPr="002C36AB" w:rsidRDefault="00EE13B5" w:rsidP="00723DDC">
      <w:pPr>
        <w:pStyle w:val="Texto"/>
        <w:numPr>
          <w:ilvl w:val="0"/>
          <w:numId w:val="2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De acuerdo con</w:t>
      </w:r>
      <w:r w:rsidRPr="002C36AB">
        <w:rPr>
          <w:rFonts w:ascii="Book Antiqua" w:hAnsi="Book Antiqua" w:cs="Times New Roman"/>
          <w:bCs/>
          <w:sz w:val="22"/>
          <w:szCs w:val="22"/>
        </w:rPr>
        <w:t xml:space="preserve"> Luchadoras</w:t>
      </w:r>
      <w:r w:rsidRPr="002C36AB">
        <w:rPr>
          <w:rFonts w:ascii="Book Antiqua" w:hAnsi="Book Antiqua" w:cs="Times New Roman"/>
          <w:bCs/>
          <w:sz w:val="22"/>
          <w:szCs w:val="22"/>
        </w:rPr>
        <w:t>, en el proceso electoral de 2018 (de mayo a julio) se</w:t>
      </w:r>
      <w:r w:rsidRPr="002C36AB">
        <w:rPr>
          <w:rFonts w:ascii="Book Antiqua" w:hAnsi="Book Antiqua" w:cs="Times New Roman"/>
          <w:bCs/>
          <w:sz w:val="22"/>
          <w:szCs w:val="22"/>
        </w:rPr>
        <w:t xml:space="preserve">  registra</w:t>
      </w:r>
      <w:r w:rsidRPr="002C36AB">
        <w:rPr>
          <w:rFonts w:ascii="Book Antiqua" w:hAnsi="Book Antiqua" w:cs="Times New Roman"/>
          <w:bCs/>
          <w:sz w:val="22"/>
          <w:szCs w:val="22"/>
        </w:rPr>
        <w:t>ron</w:t>
      </w:r>
      <w:r w:rsidRPr="002C36AB">
        <w:rPr>
          <w:rFonts w:ascii="Book Antiqua" w:hAnsi="Book Antiqua" w:cs="Times New Roman"/>
          <w:bCs/>
          <w:sz w:val="22"/>
          <w:szCs w:val="22"/>
        </w:rPr>
        <w:t xml:space="preserve"> 85 agresiones</w:t>
      </w:r>
      <w:r w:rsidRPr="002C36AB">
        <w:rPr>
          <w:rFonts w:ascii="Book Antiqua" w:hAnsi="Book Antiqua" w:cs="Times New Roman"/>
          <w:bCs/>
          <w:sz w:val="22"/>
          <w:szCs w:val="22"/>
        </w:rPr>
        <w:t xml:space="preserve"> digitales</w:t>
      </w:r>
      <w:r w:rsidRPr="002C36AB">
        <w:rPr>
          <w:rFonts w:ascii="Book Antiqua" w:hAnsi="Book Antiqua" w:cs="Times New Roman"/>
          <w:bCs/>
          <w:sz w:val="22"/>
          <w:szCs w:val="22"/>
        </w:rPr>
        <w:t xml:space="preserve"> contra 62 candidatas en 24 entidades del país.</w:t>
      </w:r>
      <w:r w:rsidRPr="002C36AB">
        <w:rPr>
          <w:rFonts w:ascii="Book Antiqua" w:hAnsi="Book Antiqua" w:cs="Times New Roman"/>
          <w:bCs/>
          <w:sz w:val="22"/>
          <w:szCs w:val="22"/>
        </w:rPr>
        <w:t xml:space="preserve"> Los tipos más frecuentes fueron</w:t>
      </w:r>
      <w:r w:rsidRPr="002C36AB">
        <w:rPr>
          <w:rFonts w:ascii="Book Antiqua" w:hAnsi="Book Antiqua" w:cs="Times New Roman"/>
          <w:bCs/>
          <w:sz w:val="22"/>
          <w:szCs w:val="22"/>
        </w:rPr>
        <w:t xml:space="preserve"> expresiones discriminatorias, amenazas</w:t>
      </w:r>
      <w:r w:rsidRPr="002C36AB">
        <w:rPr>
          <w:rFonts w:ascii="Book Antiqua" w:hAnsi="Book Antiqua" w:cs="Times New Roman"/>
          <w:bCs/>
          <w:sz w:val="22"/>
          <w:szCs w:val="22"/>
        </w:rPr>
        <w:t>, acoso, extorsión</w:t>
      </w:r>
      <w:r w:rsidRPr="002C36AB">
        <w:rPr>
          <w:rFonts w:ascii="Book Antiqua" w:hAnsi="Book Antiqua" w:cs="Times New Roman"/>
          <w:bCs/>
          <w:sz w:val="22"/>
          <w:szCs w:val="22"/>
        </w:rPr>
        <w:t xml:space="preserve"> y campañas de desprestigio.</w:t>
      </w:r>
    </w:p>
    <w:p w14:paraId="202159D6" w14:textId="77777777" w:rsidR="0033053B" w:rsidRPr="002C36AB" w:rsidRDefault="00EE13B5" w:rsidP="0033053B">
      <w:pPr>
        <w:pStyle w:val="Texto"/>
        <w:numPr>
          <w:ilvl w:val="0"/>
          <w:numId w:val="2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De acuerdo </w:t>
      </w:r>
      <w:r w:rsidR="00723DDC" w:rsidRPr="002C36AB">
        <w:rPr>
          <w:rFonts w:ascii="Book Antiqua" w:hAnsi="Book Antiqua" w:cs="Times New Roman"/>
          <w:bCs/>
          <w:sz w:val="22"/>
          <w:szCs w:val="22"/>
        </w:rPr>
        <w:t>con el</w:t>
      </w:r>
      <w:r w:rsidRPr="002C36AB">
        <w:rPr>
          <w:rFonts w:ascii="Book Antiqua" w:hAnsi="Book Antiqua" w:cs="Times New Roman"/>
          <w:bCs/>
          <w:sz w:val="22"/>
          <w:szCs w:val="22"/>
        </w:rPr>
        <w:t xml:space="preserve"> PNUD</w:t>
      </w:r>
      <w:r w:rsidR="00723DDC" w:rsidRPr="002C36AB">
        <w:rPr>
          <w:rFonts w:ascii="Book Antiqua" w:hAnsi="Book Antiqua" w:cs="Times New Roman"/>
          <w:bCs/>
          <w:sz w:val="22"/>
          <w:szCs w:val="22"/>
        </w:rPr>
        <w:t xml:space="preserve">, </w:t>
      </w:r>
      <w:r w:rsidRPr="002C36AB">
        <w:rPr>
          <w:rFonts w:ascii="Book Antiqua" w:hAnsi="Book Antiqua" w:cs="Times New Roman"/>
          <w:bCs/>
          <w:sz w:val="22"/>
          <w:szCs w:val="22"/>
        </w:rPr>
        <w:t xml:space="preserve">durante el proceso electoral 2020-2021 </w:t>
      </w:r>
      <w:r w:rsidR="00723DDC" w:rsidRPr="002C36AB">
        <w:rPr>
          <w:rFonts w:ascii="Book Antiqua" w:hAnsi="Book Antiqua" w:cs="Times New Roman"/>
          <w:bCs/>
          <w:sz w:val="22"/>
          <w:szCs w:val="22"/>
        </w:rPr>
        <w:t>en la plataforma Facebook se registraron</w:t>
      </w:r>
      <w:r w:rsidRPr="002C36AB">
        <w:rPr>
          <w:rFonts w:ascii="Book Antiqua" w:hAnsi="Book Antiqua" w:cs="Times New Roman"/>
          <w:bCs/>
          <w:sz w:val="22"/>
          <w:szCs w:val="22"/>
        </w:rPr>
        <w:t xml:space="preserve"> comentarios violentos</w:t>
      </w:r>
      <w:r w:rsidR="00723DDC" w:rsidRPr="002C36AB">
        <w:rPr>
          <w:rFonts w:ascii="Book Antiqua" w:hAnsi="Book Antiqua" w:cs="Times New Roman"/>
          <w:bCs/>
          <w:sz w:val="22"/>
          <w:szCs w:val="22"/>
        </w:rPr>
        <w:t xml:space="preserve"> y</w:t>
      </w:r>
      <w:r w:rsidRPr="002C36AB">
        <w:rPr>
          <w:rFonts w:ascii="Book Antiqua" w:hAnsi="Book Antiqua" w:cs="Times New Roman"/>
          <w:bCs/>
          <w:sz w:val="22"/>
          <w:szCs w:val="22"/>
        </w:rPr>
        <w:t xml:space="preserve"> discriminatorios</w:t>
      </w:r>
      <w:r w:rsidR="00723DDC" w:rsidRPr="002C36AB">
        <w:rPr>
          <w:rFonts w:ascii="Book Antiqua" w:hAnsi="Book Antiqua" w:cs="Times New Roman"/>
          <w:bCs/>
          <w:sz w:val="22"/>
          <w:szCs w:val="22"/>
        </w:rPr>
        <w:t xml:space="preserve"> contra mujeres candidatas</w:t>
      </w:r>
      <w:r w:rsidRPr="002C36AB">
        <w:rPr>
          <w:rFonts w:ascii="Book Antiqua" w:hAnsi="Book Antiqua" w:cs="Times New Roman"/>
          <w:bCs/>
          <w:sz w:val="22"/>
          <w:szCs w:val="22"/>
        </w:rPr>
        <w:t>.</w:t>
      </w:r>
      <w:r w:rsidR="00723DDC" w:rsidRPr="002C36AB">
        <w:rPr>
          <w:rFonts w:ascii="Book Antiqua" w:hAnsi="Book Antiqua" w:cs="Times New Roman"/>
          <w:bCs/>
          <w:sz w:val="22"/>
          <w:szCs w:val="22"/>
        </w:rPr>
        <w:t xml:space="preserve"> En respuesta, fue producido el </w:t>
      </w:r>
      <w:r w:rsidRPr="002C36AB">
        <w:rPr>
          <w:rFonts w:ascii="Book Antiqua" w:hAnsi="Book Antiqua" w:cs="Times New Roman"/>
          <w:bCs/>
          <w:sz w:val="22"/>
          <w:szCs w:val="22"/>
        </w:rPr>
        <w:t>chat Bot d</w:t>
      </w:r>
      <w:r w:rsidR="00723DDC" w:rsidRPr="002C36AB">
        <w:rPr>
          <w:rFonts w:ascii="Book Antiqua" w:hAnsi="Book Antiqua" w:cs="Times New Roman"/>
          <w:bCs/>
          <w:sz w:val="22"/>
          <w:szCs w:val="22"/>
        </w:rPr>
        <w:t>e</w:t>
      </w:r>
      <w:r w:rsidRPr="002C36AB">
        <w:rPr>
          <w:rFonts w:ascii="Book Antiqua" w:hAnsi="Book Antiqua" w:cs="Times New Roman"/>
          <w:bCs/>
          <w:sz w:val="22"/>
          <w:szCs w:val="22"/>
        </w:rPr>
        <w:t xml:space="preserve"> denuncia de violencia política Ela Alerta, que contestó mensajes vía WhatsApp, Facebook y Messenger y orientaba a la candidatas </w:t>
      </w:r>
      <w:r w:rsidR="0033053B" w:rsidRPr="002C36AB">
        <w:rPr>
          <w:rFonts w:ascii="Book Antiqua" w:hAnsi="Book Antiqua" w:cs="Times New Roman"/>
          <w:bCs/>
          <w:sz w:val="22"/>
          <w:szCs w:val="22"/>
        </w:rPr>
        <w:t>para</w:t>
      </w:r>
      <w:r w:rsidRPr="002C36AB">
        <w:rPr>
          <w:rFonts w:ascii="Book Antiqua" w:hAnsi="Book Antiqua" w:cs="Times New Roman"/>
          <w:bCs/>
          <w:sz w:val="22"/>
          <w:szCs w:val="22"/>
        </w:rPr>
        <w:t xml:space="preserve"> </w:t>
      </w:r>
      <w:r w:rsidR="0033053B" w:rsidRPr="002C36AB">
        <w:rPr>
          <w:rFonts w:ascii="Book Antiqua" w:hAnsi="Book Antiqua" w:cs="Times New Roman"/>
          <w:bCs/>
          <w:sz w:val="22"/>
          <w:szCs w:val="22"/>
        </w:rPr>
        <w:t>la elaboración de su denuncia</w:t>
      </w:r>
      <w:r w:rsidRPr="002C36AB">
        <w:rPr>
          <w:rFonts w:ascii="Book Antiqua" w:hAnsi="Book Antiqua" w:cs="Times New Roman"/>
          <w:bCs/>
          <w:sz w:val="22"/>
          <w:szCs w:val="22"/>
        </w:rPr>
        <w:t>.</w:t>
      </w:r>
    </w:p>
    <w:p w14:paraId="1BD7D9AB" w14:textId="3924E624" w:rsidR="00EE13B5" w:rsidRPr="002C36AB" w:rsidRDefault="00EE13B5" w:rsidP="0033053B">
      <w:pPr>
        <w:pStyle w:val="Texto"/>
        <w:numPr>
          <w:ilvl w:val="0"/>
          <w:numId w:val="25"/>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El INE, ONU Mujeres y Facebook publicaron dos guías de seguridad </w:t>
      </w:r>
      <w:r w:rsidR="0033053B" w:rsidRPr="002C36AB">
        <w:rPr>
          <w:rFonts w:ascii="Book Antiqua" w:hAnsi="Book Antiqua" w:cs="Times New Roman"/>
          <w:bCs/>
          <w:sz w:val="22"/>
          <w:szCs w:val="22"/>
        </w:rPr>
        <w:t xml:space="preserve">digital </w:t>
      </w:r>
      <w:r w:rsidRPr="002C36AB">
        <w:rPr>
          <w:rFonts w:ascii="Book Antiqua" w:hAnsi="Book Antiqua" w:cs="Times New Roman"/>
          <w:bCs/>
          <w:sz w:val="22"/>
          <w:szCs w:val="22"/>
        </w:rPr>
        <w:t>para</w:t>
      </w:r>
      <w:r w:rsidR="0033053B" w:rsidRPr="002C36AB">
        <w:rPr>
          <w:rFonts w:ascii="Book Antiqua" w:hAnsi="Book Antiqua" w:cs="Times New Roman"/>
          <w:bCs/>
          <w:sz w:val="22"/>
          <w:szCs w:val="22"/>
        </w:rPr>
        <w:t xml:space="preserve"> mujeres políticas.</w:t>
      </w:r>
      <w:r w:rsidRPr="002C36AB">
        <w:rPr>
          <w:rFonts w:ascii="Book Antiqua" w:hAnsi="Book Antiqua" w:cs="Times New Roman"/>
          <w:bCs/>
          <w:sz w:val="22"/>
          <w:szCs w:val="22"/>
        </w:rPr>
        <w:t xml:space="preserve"> </w:t>
      </w:r>
    </w:p>
    <w:p w14:paraId="4FB6E9FE" w14:textId="77777777" w:rsidR="00EE13B5" w:rsidRPr="002C36AB" w:rsidRDefault="00EE13B5" w:rsidP="00EE13B5">
      <w:pPr>
        <w:pStyle w:val="Texto"/>
        <w:spacing w:after="0" w:line="240" w:lineRule="auto"/>
        <w:ind w:firstLine="0"/>
        <w:rPr>
          <w:rFonts w:ascii="Book Antiqua" w:hAnsi="Book Antiqua" w:cs="Times New Roman"/>
          <w:bCs/>
          <w:sz w:val="22"/>
          <w:szCs w:val="22"/>
        </w:rPr>
      </w:pPr>
    </w:p>
    <w:p w14:paraId="5BBFA58F" w14:textId="5EDE93D9" w:rsidR="0033053B" w:rsidRPr="002C36AB" w:rsidRDefault="0033053B" w:rsidP="00EE13B5">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Lista de cuestiones</w:t>
      </w:r>
    </w:p>
    <w:p w14:paraId="7D633CCB" w14:textId="218E33B0" w:rsidR="0033053B" w:rsidRPr="002C36AB" w:rsidRDefault="0033053B" w:rsidP="0033053B">
      <w:pPr>
        <w:pStyle w:val="Texto"/>
        <w:numPr>
          <w:ilvl w:val="0"/>
          <w:numId w:val="26"/>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¿Cuáles son lo avances del Estado para prevenir, atender, sancionar y erradicar la violencia </w:t>
      </w:r>
      <w:r w:rsidRPr="002C36AB">
        <w:rPr>
          <w:rFonts w:ascii="Book Antiqua" w:hAnsi="Book Antiqua" w:cs="Times New Roman"/>
          <w:bCs/>
          <w:sz w:val="22"/>
          <w:szCs w:val="22"/>
        </w:rPr>
        <w:t xml:space="preserve">política digital </w:t>
      </w:r>
      <w:r w:rsidRPr="002C36AB">
        <w:rPr>
          <w:rFonts w:ascii="Book Antiqua" w:hAnsi="Book Antiqua" w:cs="Times New Roman"/>
          <w:bCs/>
          <w:sz w:val="22"/>
          <w:szCs w:val="22"/>
        </w:rPr>
        <w:t>contra las mujeres?</w:t>
      </w:r>
    </w:p>
    <w:p w14:paraId="28958D5A" w14:textId="77777777" w:rsidR="0033053B" w:rsidRPr="002C36AB" w:rsidRDefault="0033053B" w:rsidP="0033053B">
      <w:pPr>
        <w:pStyle w:val="Texto"/>
        <w:spacing w:after="0" w:line="240" w:lineRule="auto"/>
        <w:ind w:firstLine="0"/>
        <w:rPr>
          <w:rFonts w:ascii="Book Antiqua" w:hAnsi="Book Antiqua" w:cs="Times New Roman"/>
          <w:bCs/>
          <w:sz w:val="22"/>
          <w:szCs w:val="22"/>
        </w:rPr>
      </w:pPr>
    </w:p>
    <w:p w14:paraId="47FD4FB2" w14:textId="77777777" w:rsidR="0033053B" w:rsidRPr="002C36AB" w:rsidRDefault="0033053B" w:rsidP="0033053B">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Recomendaci</w:t>
      </w:r>
      <w:r w:rsidRPr="002C36AB">
        <w:rPr>
          <w:rFonts w:ascii="Book Antiqua" w:hAnsi="Book Antiqua" w:cs="Times New Roman"/>
          <w:bCs/>
          <w:sz w:val="22"/>
          <w:szCs w:val="22"/>
        </w:rPr>
        <w:t>ones</w:t>
      </w:r>
      <w:r w:rsidRPr="002C36AB">
        <w:rPr>
          <w:rFonts w:ascii="Book Antiqua" w:hAnsi="Book Antiqua" w:cs="Times New Roman"/>
          <w:bCs/>
          <w:sz w:val="22"/>
          <w:szCs w:val="22"/>
        </w:rPr>
        <w:t xml:space="preserve"> </w:t>
      </w:r>
    </w:p>
    <w:p w14:paraId="1AA6C93B" w14:textId="227FE5FF" w:rsidR="0033053B" w:rsidRPr="002C36AB" w:rsidRDefault="0033053B" w:rsidP="0033053B">
      <w:pPr>
        <w:pStyle w:val="Texto"/>
        <w:numPr>
          <w:ilvl w:val="0"/>
          <w:numId w:val="26"/>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Incorporar a la normativa del Estado en materia de protección de los derechos políticos de las mujeres</w:t>
      </w:r>
      <w:r w:rsidRPr="002C36AB">
        <w:rPr>
          <w:rFonts w:ascii="Book Antiqua" w:hAnsi="Book Antiqua" w:cs="Times New Roman"/>
          <w:bCs/>
          <w:sz w:val="22"/>
          <w:szCs w:val="22"/>
        </w:rPr>
        <w:t>,</w:t>
      </w:r>
      <w:r w:rsidRPr="002C36AB">
        <w:rPr>
          <w:rFonts w:ascii="Book Antiqua" w:hAnsi="Book Antiqua" w:cs="Times New Roman"/>
          <w:bCs/>
          <w:sz w:val="22"/>
          <w:szCs w:val="22"/>
        </w:rPr>
        <w:t xml:space="preserve"> la violencia política digital.</w:t>
      </w:r>
    </w:p>
    <w:p w14:paraId="7EB2F061" w14:textId="77777777" w:rsidR="00C635CF" w:rsidRPr="002C36AB" w:rsidRDefault="00C635CF" w:rsidP="0047261F">
      <w:pPr>
        <w:pStyle w:val="Texto"/>
        <w:spacing w:after="0" w:line="240" w:lineRule="auto"/>
        <w:ind w:firstLine="0"/>
        <w:rPr>
          <w:rFonts w:ascii="Book Antiqua" w:hAnsi="Book Antiqua" w:cs="Times New Roman"/>
          <w:bCs/>
          <w:sz w:val="22"/>
          <w:szCs w:val="22"/>
        </w:rPr>
      </w:pPr>
    </w:p>
    <w:p w14:paraId="75D096ED" w14:textId="77777777" w:rsidR="0033053B" w:rsidRPr="002C36AB" w:rsidRDefault="0033053B" w:rsidP="0047261F">
      <w:pPr>
        <w:pStyle w:val="Texto"/>
        <w:spacing w:after="0" w:line="240" w:lineRule="auto"/>
        <w:ind w:firstLine="0"/>
        <w:rPr>
          <w:rFonts w:ascii="Book Antiqua" w:hAnsi="Book Antiqua" w:cs="Times New Roman"/>
          <w:bCs/>
          <w:sz w:val="22"/>
          <w:szCs w:val="22"/>
        </w:rPr>
      </w:pPr>
    </w:p>
    <w:p w14:paraId="14DA8381" w14:textId="79F2FBA2" w:rsidR="0033053B" w:rsidRPr="00483A36" w:rsidRDefault="00390ED2" w:rsidP="00390ED2">
      <w:pPr>
        <w:pStyle w:val="Texto"/>
        <w:spacing w:after="0" w:line="240" w:lineRule="auto"/>
        <w:ind w:firstLine="0"/>
        <w:jc w:val="center"/>
        <w:rPr>
          <w:rFonts w:ascii="Book Antiqua" w:hAnsi="Book Antiqua" w:cs="Times New Roman"/>
          <w:b/>
          <w:sz w:val="28"/>
          <w:szCs w:val="28"/>
        </w:rPr>
      </w:pPr>
      <w:r w:rsidRPr="00483A36">
        <w:rPr>
          <w:rFonts w:ascii="Book Antiqua" w:hAnsi="Book Antiqua" w:cs="Times New Roman"/>
          <w:b/>
          <w:sz w:val="28"/>
          <w:szCs w:val="28"/>
        </w:rPr>
        <w:lastRenderedPageBreak/>
        <w:t>La P</w:t>
      </w:r>
      <w:r w:rsidR="00F76925" w:rsidRPr="00483A36">
        <w:rPr>
          <w:rFonts w:ascii="Book Antiqua" w:hAnsi="Book Antiqua" w:cs="Times New Roman"/>
          <w:b/>
          <w:sz w:val="28"/>
          <w:szCs w:val="28"/>
        </w:rPr>
        <w:t xml:space="preserve">erspectiva de </w:t>
      </w:r>
      <w:r w:rsidRPr="00483A36">
        <w:rPr>
          <w:rFonts w:ascii="Book Antiqua" w:hAnsi="Book Antiqua" w:cs="Times New Roman"/>
          <w:b/>
          <w:sz w:val="28"/>
          <w:szCs w:val="28"/>
        </w:rPr>
        <w:t>G</w:t>
      </w:r>
      <w:r w:rsidR="00F76925" w:rsidRPr="00483A36">
        <w:rPr>
          <w:rFonts w:ascii="Book Antiqua" w:hAnsi="Book Antiqua" w:cs="Times New Roman"/>
          <w:b/>
          <w:sz w:val="28"/>
          <w:szCs w:val="28"/>
        </w:rPr>
        <w:t>énero (PG)</w:t>
      </w:r>
      <w:r w:rsidRPr="00483A36">
        <w:rPr>
          <w:rFonts w:ascii="Book Antiqua" w:hAnsi="Book Antiqua" w:cs="Times New Roman"/>
          <w:b/>
          <w:sz w:val="28"/>
          <w:szCs w:val="28"/>
        </w:rPr>
        <w:t xml:space="preserve"> en las currículas y programas de escuelas y facultades de Comunicación de las universidades </w:t>
      </w:r>
    </w:p>
    <w:p w14:paraId="2756F138" w14:textId="77777777" w:rsidR="0033053B" w:rsidRPr="002C36AB" w:rsidRDefault="0033053B" w:rsidP="0047261F">
      <w:pPr>
        <w:pStyle w:val="Texto"/>
        <w:spacing w:after="0" w:line="240" w:lineRule="auto"/>
        <w:ind w:firstLine="0"/>
        <w:rPr>
          <w:rFonts w:ascii="Book Antiqua" w:hAnsi="Book Antiqua" w:cs="Times New Roman"/>
          <w:bCs/>
          <w:sz w:val="22"/>
          <w:szCs w:val="22"/>
        </w:rPr>
      </w:pPr>
    </w:p>
    <w:p w14:paraId="1B260427" w14:textId="227F16FE" w:rsidR="00390ED2" w:rsidRPr="002C36AB" w:rsidRDefault="00520BF5" w:rsidP="0047261F">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Informe</w:t>
      </w:r>
    </w:p>
    <w:p w14:paraId="5BCBAF4E" w14:textId="77777777" w:rsidR="00520BF5" w:rsidRPr="002C36AB" w:rsidRDefault="00520BF5" w:rsidP="0047261F">
      <w:pPr>
        <w:pStyle w:val="Texto"/>
        <w:spacing w:after="0" w:line="240" w:lineRule="auto"/>
        <w:ind w:firstLine="0"/>
        <w:rPr>
          <w:rFonts w:ascii="Book Antiqua" w:hAnsi="Book Antiqua" w:cs="Times New Roman"/>
          <w:bCs/>
          <w:sz w:val="22"/>
          <w:szCs w:val="22"/>
        </w:rPr>
      </w:pPr>
    </w:p>
    <w:p w14:paraId="6E29BE7E" w14:textId="77777777" w:rsidR="00F76925" w:rsidRPr="002C36AB" w:rsidRDefault="00F76925" w:rsidP="00F76925">
      <w:pPr>
        <w:pStyle w:val="Texto"/>
        <w:numPr>
          <w:ilvl w:val="0"/>
          <w:numId w:val="26"/>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El 53% del estudiantado en las carreras de Comunicación en las universidades del país, son mujeres, tendencia que se invierte en su incorporación al mercado laboral, donde domina la población masculina.</w:t>
      </w:r>
      <w:r w:rsidRPr="002C36AB">
        <w:rPr>
          <w:rFonts w:ascii="Book Antiqua" w:hAnsi="Book Antiqua" w:cs="Times New Roman"/>
          <w:bCs/>
          <w:sz w:val="22"/>
          <w:szCs w:val="22"/>
        </w:rPr>
        <w:t xml:space="preserve"> </w:t>
      </w:r>
    </w:p>
    <w:p w14:paraId="409F9F2D" w14:textId="24D79FB8" w:rsidR="00520BF5" w:rsidRPr="002C36AB" w:rsidRDefault="00F76925" w:rsidP="00D11787">
      <w:pPr>
        <w:pStyle w:val="Texto"/>
        <w:numPr>
          <w:ilvl w:val="0"/>
          <w:numId w:val="26"/>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Aunque </w:t>
      </w:r>
      <w:r w:rsidRPr="002C36AB">
        <w:rPr>
          <w:rFonts w:ascii="Book Antiqua" w:hAnsi="Book Antiqua" w:cs="Times New Roman"/>
          <w:bCs/>
          <w:sz w:val="22"/>
          <w:szCs w:val="22"/>
        </w:rPr>
        <w:t>la normativa internacional  y nacional y el Programa Sectorial de Educación (202</w:t>
      </w:r>
      <w:r w:rsidRPr="002C36AB">
        <w:rPr>
          <w:rFonts w:ascii="Book Antiqua" w:hAnsi="Book Antiqua" w:cs="Times New Roman"/>
          <w:bCs/>
          <w:sz w:val="22"/>
          <w:szCs w:val="22"/>
        </w:rPr>
        <w:t>0</w:t>
      </w:r>
      <w:r w:rsidRPr="002C36AB">
        <w:rPr>
          <w:rFonts w:ascii="Book Antiqua" w:hAnsi="Book Antiqua" w:cs="Times New Roman"/>
          <w:bCs/>
          <w:sz w:val="22"/>
          <w:szCs w:val="22"/>
        </w:rPr>
        <w:t>-2024)</w:t>
      </w:r>
      <w:r w:rsidRPr="002C36AB">
        <w:rPr>
          <w:rFonts w:ascii="Book Antiqua" w:hAnsi="Book Antiqua" w:cs="Times New Roman"/>
          <w:bCs/>
          <w:sz w:val="22"/>
          <w:szCs w:val="22"/>
        </w:rPr>
        <w:t xml:space="preserve"> establece</w:t>
      </w:r>
      <w:r w:rsidRPr="002C36AB">
        <w:rPr>
          <w:rFonts w:ascii="Book Antiqua" w:hAnsi="Book Antiqua" w:cs="Times New Roman"/>
          <w:bCs/>
          <w:sz w:val="22"/>
          <w:szCs w:val="22"/>
        </w:rPr>
        <w:t xml:space="preserve"> la incorporación de la PG en los planes y programas de estudio, </w:t>
      </w:r>
      <w:r w:rsidR="00D11787" w:rsidRPr="002C36AB">
        <w:rPr>
          <w:rFonts w:ascii="Book Antiqua" w:hAnsi="Book Antiqua" w:cs="Times New Roman"/>
          <w:bCs/>
          <w:sz w:val="22"/>
          <w:szCs w:val="22"/>
        </w:rPr>
        <w:t>no existe una política pública que promueva que las universidades cumplan con esta responsabilidad</w:t>
      </w:r>
      <w:r w:rsidRPr="002C36AB">
        <w:rPr>
          <w:rFonts w:ascii="Book Antiqua" w:hAnsi="Book Antiqua" w:cs="Times New Roman"/>
          <w:bCs/>
          <w:sz w:val="22"/>
          <w:szCs w:val="22"/>
        </w:rPr>
        <w:t xml:space="preserve">. </w:t>
      </w:r>
    </w:p>
    <w:p w14:paraId="34D29DAC" w14:textId="3967C258" w:rsidR="00D11787" w:rsidRPr="002C36AB" w:rsidRDefault="003F6F2E" w:rsidP="00D11787">
      <w:pPr>
        <w:pStyle w:val="Texto"/>
        <w:numPr>
          <w:ilvl w:val="0"/>
          <w:numId w:val="26"/>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La Red UNESCO UNITWIN en Género, Medios y TIC, co-coordinada por la UNAM, la Universidad de Pádova y la RMIT, en 2019 elaboró una propuesta para transversalizar la PG en los programas de estudio de Periodismo y Comunicación. </w:t>
      </w:r>
    </w:p>
    <w:p w14:paraId="6A3844C2" w14:textId="77777777" w:rsidR="00520BF5" w:rsidRPr="002C36AB" w:rsidRDefault="00520BF5" w:rsidP="0047261F">
      <w:pPr>
        <w:pStyle w:val="Texto"/>
        <w:spacing w:after="0" w:line="240" w:lineRule="auto"/>
        <w:ind w:firstLine="0"/>
        <w:rPr>
          <w:rFonts w:ascii="Book Antiqua" w:hAnsi="Book Antiqua" w:cs="Times New Roman"/>
          <w:bCs/>
          <w:sz w:val="22"/>
          <w:szCs w:val="22"/>
        </w:rPr>
      </w:pPr>
    </w:p>
    <w:p w14:paraId="63773EA6" w14:textId="075D29EB" w:rsidR="00520BF5" w:rsidRPr="002C36AB" w:rsidRDefault="003F6F2E" w:rsidP="0047261F">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Lista</w:t>
      </w:r>
      <w:r w:rsidR="006D17F4" w:rsidRPr="002C36AB">
        <w:rPr>
          <w:rFonts w:ascii="Book Antiqua" w:hAnsi="Book Antiqua" w:cs="Times New Roman"/>
          <w:bCs/>
          <w:sz w:val="22"/>
          <w:szCs w:val="22"/>
        </w:rPr>
        <w:t xml:space="preserve"> </w:t>
      </w:r>
      <w:r w:rsidRPr="002C36AB">
        <w:rPr>
          <w:rFonts w:ascii="Book Antiqua" w:hAnsi="Book Antiqua" w:cs="Times New Roman"/>
          <w:bCs/>
          <w:sz w:val="22"/>
          <w:szCs w:val="22"/>
        </w:rPr>
        <w:t>de Cuestiones</w:t>
      </w:r>
    </w:p>
    <w:p w14:paraId="5C498873" w14:textId="77777777" w:rsidR="003F6F2E" w:rsidRPr="002C36AB" w:rsidRDefault="003F6F2E" w:rsidP="0047261F">
      <w:pPr>
        <w:pStyle w:val="Texto"/>
        <w:spacing w:after="0" w:line="240" w:lineRule="auto"/>
        <w:ind w:firstLine="0"/>
        <w:rPr>
          <w:rFonts w:ascii="Book Antiqua" w:hAnsi="Book Antiqua" w:cs="Times New Roman"/>
          <w:bCs/>
          <w:sz w:val="22"/>
          <w:szCs w:val="22"/>
        </w:rPr>
      </w:pPr>
    </w:p>
    <w:p w14:paraId="0A2971BF" w14:textId="4E2A58A6" w:rsidR="00923FFE" w:rsidRPr="002C36AB" w:rsidRDefault="00923FFE" w:rsidP="00923FFE">
      <w:pPr>
        <w:pStyle w:val="Texto"/>
        <w:numPr>
          <w:ilvl w:val="0"/>
          <w:numId w:val="28"/>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w:t>
      </w:r>
      <w:r w:rsidRPr="002C36AB">
        <w:rPr>
          <w:rFonts w:ascii="Book Antiqua" w:hAnsi="Book Antiqua" w:cs="Times New Roman"/>
          <w:bCs/>
          <w:sz w:val="22"/>
          <w:szCs w:val="22"/>
        </w:rPr>
        <w:t xml:space="preserve">Cuál es la </w:t>
      </w:r>
      <w:r w:rsidRPr="002C36AB">
        <w:rPr>
          <w:rFonts w:ascii="Book Antiqua" w:hAnsi="Book Antiqua" w:cs="Times New Roman"/>
          <w:bCs/>
          <w:sz w:val="22"/>
          <w:szCs w:val="22"/>
        </w:rPr>
        <w:t>estrategia</w:t>
      </w:r>
      <w:r w:rsidRPr="002C36AB">
        <w:rPr>
          <w:rFonts w:ascii="Book Antiqua" w:hAnsi="Book Antiqua" w:cs="Times New Roman"/>
          <w:bCs/>
          <w:sz w:val="22"/>
          <w:szCs w:val="22"/>
        </w:rPr>
        <w:t xml:space="preserve"> y mecanismos que</w:t>
      </w:r>
      <w:r w:rsidRPr="002C36AB">
        <w:rPr>
          <w:rFonts w:ascii="Book Antiqua" w:hAnsi="Book Antiqua" w:cs="Times New Roman"/>
          <w:bCs/>
          <w:sz w:val="22"/>
          <w:szCs w:val="22"/>
        </w:rPr>
        <w:t xml:space="preserve"> se han implementado para </w:t>
      </w:r>
      <w:r w:rsidRPr="002C36AB">
        <w:rPr>
          <w:rFonts w:ascii="Book Antiqua" w:hAnsi="Book Antiqua" w:cs="Times New Roman"/>
          <w:bCs/>
          <w:sz w:val="22"/>
          <w:szCs w:val="22"/>
        </w:rPr>
        <w:t>transversalizar</w:t>
      </w:r>
      <w:r w:rsidRPr="002C36AB">
        <w:rPr>
          <w:rFonts w:ascii="Book Antiqua" w:hAnsi="Book Antiqua" w:cs="Times New Roman"/>
          <w:bCs/>
          <w:sz w:val="22"/>
          <w:szCs w:val="22"/>
        </w:rPr>
        <w:t xml:space="preserve"> la </w:t>
      </w:r>
      <w:r w:rsidRPr="002C36AB">
        <w:rPr>
          <w:rFonts w:ascii="Book Antiqua" w:hAnsi="Book Antiqua" w:cs="Times New Roman"/>
          <w:bCs/>
          <w:sz w:val="22"/>
          <w:szCs w:val="22"/>
        </w:rPr>
        <w:t>PG en los planes y programas de las carreras de Periodismo y Comunicación</w:t>
      </w:r>
      <w:r w:rsidRPr="002C36AB">
        <w:rPr>
          <w:rFonts w:ascii="Book Antiqua" w:hAnsi="Book Antiqua" w:cs="Times New Roman"/>
          <w:bCs/>
          <w:sz w:val="22"/>
          <w:szCs w:val="22"/>
        </w:rPr>
        <w:t>?</w:t>
      </w:r>
      <w:r w:rsidRPr="002C36AB">
        <w:rPr>
          <w:rFonts w:ascii="Book Antiqua" w:hAnsi="Book Antiqua" w:cs="Times New Roman"/>
          <w:bCs/>
          <w:sz w:val="22"/>
          <w:szCs w:val="22"/>
        </w:rPr>
        <w:t xml:space="preserve"> Indique los mecanismos de evaluación de la estrategia.</w:t>
      </w:r>
    </w:p>
    <w:p w14:paraId="17279095" w14:textId="4997AC86" w:rsidR="00923FFE" w:rsidRPr="002C36AB" w:rsidRDefault="00923FFE" w:rsidP="00923FFE">
      <w:pPr>
        <w:pStyle w:val="Texto"/>
        <w:numPr>
          <w:ilvl w:val="0"/>
          <w:numId w:val="28"/>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Indique los </w:t>
      </w:r>
      <w:r w:rsidRPr="002C36AB">
        <w:rPr>
          <w:rFonts w:ascii="Book Antiqua" w:hAnsi="Book Antiqua" w:cs="Times New Roman"/>
          <w:bCs/>
          <w:sz w:val="22"/>
          <w:szCs w:val="22"/>
        </w:rPr>
        <w:t xml:space="preserve">programas de formación en </w:t>
      </w:r>
      <w:r w:rsidRPr="002C36AB">
        <w:rPr>
          <w:rFonts w:ascii="Book Antiqua" w:hAnsi="Book Antiqua" w:cs="Times New Roman"/>
          <w:bCs/>
          <w:sz w:val="22"/>
          <w:szCs w:val="22"/>
        </w:rPr>
        <w:t>PG</w:t>
      </w:r>
      <w:r w:rsidRPr="002C36AB">
        <w:rPr>
          <w:rFonts w:ascii="Book Antiqua" w:hAnsi="Book Antiqua" w:cs="Times New Roman"/>
          <w:bCs/>
          <w:sz w:val="22"/>
          <w:szCs w:val="22"/>
        </w:rPr>
        <w:t xml:space="preserve"> dirigidos a </w:t>
      </w:r>
      <w:r w:rsidRPr="002C36AB">
        <w:rPr>
          <w:rFonts w:ascii="Book Antiqua" w:hAnsi="Book Antiqua" w:cs="Times New Roman"/>
          <w:bCs/>
          <w:sz w:val="22"/>
          <w:szCs w:val="22"/>
        </w:rPr>
        <w:t>profesorado</w:t>
      </w:r>
      <w:r w:rsidRPr="002C36AB">
        <w:rPr>
          <w:rFonts w:ascii="Book Antiqua" w:hAnsi="Book Antiqua" w:cs="Times New Roman"/>
          <w:bCs/>
          <w:sz w:val="22"/>
          <w:szCs w:val="22"/>
        </w:rPr>
        <w:t xml:space="preserve"> y personal administrativo en las universidades</w:t>
      </w:r>
      <w:r w:rsidRPr="002C36AB">
        <w:rPr>
          <w:rFonts w:ascii="Book Antiqua" w:hAnsi="Book Antiqua" w:cs="Times New Roman"/>
          <w:bCs/>
          <w:sz w:val="22"/>
          <w:szCs w:val="22"/>
        </w:rPr>
        <w:t>.</w:t>
      </w:r>
    </w:p>
    <w:p w14:paraId="706EB71F" w14:textId="29881FF1" w:rsidR="00923FFE" w:rsidRPr="002C36AB" w:rsidRDefault="00923FFE" w:rsidP="00923FFE">
      <w:pPr>
        <w:pStyle w:val="Texto"/>
        <w:numPr>
          <w:ilvl w:val="0"/>
          <w:numId w:val="28"/>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Indique el presupuesto asignado a estas acciones y cómo se ha ejercido.</w:t>
      </w:r>
    </w:p>
    <w:p w14:paraId="794DA2C9" w14:textId="189E1E2E" w:rsidR="00923FFE" w:rsidRPr="002C36AB" w:rsidRDefault="00923FFE" w:rsidP="00923FFE">
      <w:pPr>
        <w:pStyle w:val="Texto"/>
        <w:numPr>
          <w:ilvl w:val="0"/>
          <w:numId w:val="28"/>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 xml:space="preserve">Indique </w:t>
      </w:r>
      <w:r w:rsidR="00CF7FC8" w:rsidRPr="002C36AB">
        <w:rPr>
          <w:rFonts w:ascii="Book Antiqua" w:hAnsi="Book Antiqua" w:cs="Times New Roman"/>
          <w:bCs/>
          <w:sz w:val="22"/>
          <w:szCs w:val="22"/>
        </w:rPr>
        <w:t>la estrategia para impulsar la incorporación de mujeres desde la infancia en áreas STEM y cómo se está abordando la brecha de género en ellas.</w:t>
      </w:r>
    </w:p>
    <w:p w14:paraId="4D021E1E" w14:textId="77777777" w:rsidR="00CF7FC8" w:rsidRPr="002C36AB" w:rsidRDefault="00CF7FC8" w:rsidP="00CF7FC8">
      <w:pPr>
        <w:pStyle w:val="Texto"/>
        <w:spacing w:after="0" w:line="240" w:lineRule="auto"/>
        <w:ind w:firstLine="0"/>
        <w:rPr>
          <w:rFonts w:ascii="Book Antiqua" w:hAnsi="Book Antiqua" w:cs="Times New Roman"/>
          <w:bCs/>
          <w:sz w:val="22"/>
          <w:szCs w:val="22"/>
        </w:rPr>
      </w:pPr>
    </w:p>
    <w:p w14:paraId="792C8A8B" w14:textId="04F8848F" w:rsidR="00520BF5" w:rsidRPr="002C36AB" w:rsidRDefault="00520BF5" w:rsidP="00CF7FC8">
      <w:pPr>
        <w:pStyle w:val="Texto"/>
        <w:spacing w:after="0" w:line="240" w:lineRule="auto"/>
        <w:ind w:firstLine="0"/>
        <w:rPr>
          <w:rFonts w:ascii="Book Antiqua" w:hAnsi="Book Antiqua" w:cs="Times New Roman"/>
          <w:bCs/>
          <w:sz w:val="22"/>
          <w:szCs w:val="22"/>
        </w:rPr>
      </w:pPr>
      <w:r w:rsidRPr="002C36AB">
        <w:rPr>
          <w:rFonts w:ascii="Book Antiqua" w:hAnsi="Book Antiqua" w:cs="Times New Roman"/>
          <w:bCs/>
          <w:sz w:val="22"/>
          <w:szCs w:val="22"/>
        </w:rPr>
        <w:t>Recomendaciones</w:t>
      </w:r>
    </w:p>
    <w:p w14:paraId="07993707" w14:textId="77777777" w:rsidR="00CF7FC8" w:rsidRPr="002C36AB" w:rsidRDefault="00CF7FC8" w:rsidP="00CF7FC8">
      <w:pPr>
        <w:pStyle w:val="Texto"/>
        <w:spacing w:after="0" w:line="240" w:lineRule="auto"/>
        <w:ind w:firstLine="0"/>
        <w:rPr>
          <w:rFonts w:ascii="Book Antiqua" w:hAnsi="Book Antiqua" w:cs="Times New Roman"/>
          <w:bCs/>
          <w:sz w:val="22"/>
          <w:szCs w:val="22"/>
        </w:rPr>
      </w:pPr>
    </w:p>
    <w:p w14:paraId="66C0C8CF" w14:textId="56EAD214" w:rsidR="00CF7FC8" w:rsidRPr="002C36AB" w:rsidRDefault="00CF7FC8" w:rsidP="00CF7FC8">
      <w:pPr>
        <w:pStyle w:val="Texto"/>
        <w:numPr>
          <w:ilvl w:val="0"/>
          <w:numId w:val="30"/>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Impulsar una política nacional de incorporación de la PG en los planes y programas de estudio de las carreras de Periodismo y Comunicación y áreas STEM en las universidades</w:t>
      </w:r>
      <w:r w:rsidRPr="002C36AB">
        <w:rPr>
          <w:rFonts w:ascii="Book Antiqua" w:hAnsi="Book Antiqua" w:cs="Times New Roman"/>
          <w:bCs/>
          <w:sz w:val="22"/>
          <w:szCs w:val="22"/>
        </w:rPr>
        <w:t>.</w:t>
      </w:r>
    </w:p>
    <w:p w14:paraId="792BD45A" w14:textId="6ABC11D9" w:rsidR="00CF7FC8" w:rsidRPr="002C36AB" w:rsidRDefault="00CF7FC8" w:rsidP="00CF7FC8">
      <w:pPr>
        <w:pStyle w:val="Texto"/>
        <w:numPr>
          <w:ilvl w:val="0"/>
          <w:numId w:val="30"/>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Fomentar la formación obligatoria en PG de profesorado y personal administrativo en las universidades.</w:t>
      </w:r>
    </w:p>
    <w:p w14:paraId="0F165144" w14:textId="719D7F7F" w:rsidR="00CF7FC8" w:rsidRPr="002C36AB" w:rsidRDefault="00CF7FC8" w:rsidP="00CF7FC8">
      <w:pPr>
        <w:pStyle w:val="Texto"/>
        <w:numPr>
          <w:ilvl w:val="0"/>
          <w:numId w:val="30"/>
        </w:numPr>
        <w:spacing w:after="0" w:line="240" w:lineRule="auto"/>
        <w:rPr>
          <w:rFonts w:ascii="Book Antiqua" w:hAnsi="Book Antiqua" w:cs="Times New Roman"/>
          <w:bCs/>
          <w:sz w:val="22"/>
          <w:szCs w:val="22"/>
        </w:rPr>
      </w:pPr>
      <w:r w:rsidRPr="002C36AB">
        <w:rPr>
          <w:rFonts w:ascii="Book Antiqua" w:hAnsi="Book Antiqua" w:cs="Times New Roman"/>
          <w:bCs/>
          <w:sz w:val="22"/>
          <w:szCs w:val="22"/>
        </w:rPr>
        <w:t>Producir datos desglosados por sexo sobre la participación de las mujeres en las carreas de Periodismo y Comunicación y en las áreas STEM.</w:t>
      </w:r>
    </w:p>
    <w:p w14:paraId="4C36128E" w14:textId="77777777" w:rsidR="00CF7FC8" w:rsidRPr="002C36AB" w:rsidRDefault="00CF7FC8" w:rsidP="0047261F">
      <w:pPr>
        <w:pStyle w:val="Texto"/>
        <w:spacing w:after="0" w:line="240" w:lineRule="auto"/>
        <w:ind w:firstLine="0"/>
        <w:rPr>
          <w:rFonts w:ascii="Book Antiqua" w:hAnsi="Book Antiqua" w:cs="Times New Roman"/>
          <w:bCs/>
          <w:sz w:val="22"/>
          <w:szCs w:val="22"/>
        </w:rPr>
      </w:pPr>
    </w:p>
    <w:p w14:paraId="6259FE69" w14:textId="77777777" w:rsidR="00BC4FCA" w:rsidRPr="002C36AB" w:rsidRDefault="00BC4FCA" w:rsidP="006D66F5">
      <w:pPr>
        <w:spacing w:line="240" w:lineRule="auto"/>
        <w:jc w:val="both"/>
        <w:rPr>
          <w:rFonts w:ascii="Book Antiqua" w:hAnsi="Book Antiqua"/>
        </w:rPr>
      </w:pPr>
    </w:p>
    <w:sectPr w:rsidR="00BC4FCA" w:rsidRPr="002C36AB" w:rsidSect="00076E05">
      <w:headerReference w:type="default" r:id="rId8"/>
      <w:pgSz w:w="12240" w:h="15840"/>
      <w:pgMar w:top="119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70AD3" w14:textId="77777777" w:rsidR="007B4CDE" w:rsidRDefault="007B4CDE" w:rsidP="00076E05">
      <w:pPr>
        <w:spacing w:after="0" w:line="240" w:lineRule="auto"/>
      </w:pPr>
      <w:r>
        <w:separator/>
      </w:r>
    </w:p>
  </w:endnote>
  <w:endnote w:type="continuationSeparator" w:id="0">
    <w:p w14:paraId="389ECB44" w14:textId="77777777" w:rsidR="007B4CDE" w:rsidRDefault="007B4CDE" w:rsidP="00076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0000500000000020000"/>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ourier">
    <w:panose1 w:val="00000000000000000000"/>
    <w:charset w:val="00"/>
    <w:family w:val="modern"/>
    <w:pitch w:val="fixed"/>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Economica">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4E971" w14:textId="77777777" w:rsidR="007B4CDE" w:rsidRDefault="007B4CDE" w:rsidP="00076E05">
      <w:pPr>
        <w:spacing w:after="0" w:line="240" w:lineRule="auto"/>
      </w:pPr>
      <w:r>
        <w:separator/>
      </w:r>
    </w:p>
  </w:footnote>
  <w:footnote w:type="continuationSeparator" w:id="0">
    <w:p w14:paraId="726463B9" w14:textId="77777777" w:rsidR="007B4CDE" w:rsidRDefault="007B4CDE" w:rsidP="00076E05">
      <w:pPr>
        <w:spacing w:after="0" w:line="240" w:lineRule="auto"/>
      </w:pPr>
      <w:r>
        <w:continuationSeparator/>
      </w:r>
    </w:p>
  </w:footnote>
  <w:footnote w:id="1">
    <w:p w14:paraId="6FC89EED" w14:textId="4E842E72" w:rsidR="00246BD4" w:rsidRPr="00246BD4" w:rsidRDefault="00246BD4" w:rsidP="00246BD4">
      <w:pPr>
        <w:pStyle w:val="Textonotapie"/>
        <w:jc w:val="both"/>
      </w:pPr>
      <w:r>
        <w:rPr>
          <w:rStyle w:val="Refdenotaalpie"/>
        </w:rPr>
        <w:footnoteRef/>
      </w:r>
      <w:r>
        <w:t xml:space="preserve"> </w:t>
      </w:r>
      <w:r w:rsidRPr="00246BD4">
        <w:rPr>
          <w:rFonts w:ascii="Book Antiqua" w:hAnsi="Book Antiqua"/>
        </w:rPr>
        <w:t xml:space="preserve">La </w:t>
      </w:r>
      <w:r>
        <w:rPr>
          <w:rFonts w:ascii="Book Antiqua" w:hAnsi="Book Antiqua"/>
        </w:rPr>
        <w:t>GAMAG</w:t>
      </w:r>
      <w:r w:rsidRPr="00246BD4">
        <w:rPr>
          <w:rFonts w:ascii="Book Antiqua" w:hAnsi="Book Antiqua"/>
        </w:rPr>
        <w:t xml:space="preserve"> fue lanzada en 2013 por la UNESCO</w:t>
      </w:r>
      <w:r w:rsidR="002C36AB">
        <w:rPr>
          <w:rFonts w:ascii="Book Antiqua" w:hAnsi="Book Antiqua"/>
        </w:rPr>
        <w:t xml:space="preserve">. Es una coalición de </w:t>
      </w:r>
      <w:r w:rsidRPr="00246BD4">
        <w:rPr>
          <w:rFonts w:ascii="Book Antiqua" w:hAnsi="Book Antiqua"/>
        </w:rPr>
        <w:t>más de 500 organizaciones</w:t>
      </w:r>
      <w:r w:rsidR="002C36AB">
        <w:rPr>
          <w:rFonts w:ascii="Book Antiqua" w:hAnsi="Book Antiqua"/>
        </w:rPr>
        <w:t xml:space="preserve"> en el mundo</w:t>
      </w:r>
      <w:r w:rsidRPr="00246BD4">
        <w:rPr>
          <w:rFonts w:ascii="Book Antiqua" w:hAnsi="Book Antiqua"/>
        </w:rPr>
        <w:t>, que tienen como misión impulsar la igualdad de género en y a través de los medios de comunicación y el ecosistema digital.</w:t>
      </w:r>
      <w:r>
        <w:rPr>
          <w:rFonts w:ascii="Book Antiqua" w:hAnsi="Book Antiqua"/>
        </w:rPr>
        <w:t xml:space="preserve"> Contacto: aimeevegamx@yahoo.com.mx</w:t>
      </w:r>
    </w:p>
  </w:footnote>
  <w:footnote w:id="2">
    <w:p w14:paraId="68298DF7" w14:textId="0E4B757D" w:rsidR="00EF5798" w:rsidRPr="009778BB" w:rsidRDefault="00EF5798" w:rsidP="009778BB">
      <w:pPr>
        <w:pStyle w:val="Texto"/>
        <w:spacing w:after="0" w:line="240" w:lineRule="auto"/>
        <w:ind w:firstLine="0"/>
        <w:rPr>
          <w:rFonts w:ascii="Book Antiqua" w:hAnsi="Book Antiqua"/>
          <w:sz w:val="20"/>
          <w:szCs w:val="20"/>
        </w:rPr>
      </w:pPr>
      <w:r w:rsidRPr="00EF5798">
        <w:rPr>
          <w:rStyle w:val="Refdenotaalpie"/>
          <w:sz w:val="20"/>
          <w:szCs w:val="20"/>
        </w:rPr>
        <w:footnoteRef/>
      </w:r>
      <w:r w:rsidRPr="00EF5798">
        <w:rPr>
          <w:sz w:val="20"/>
          <w:szCs w:val="20"/>
        </w:rPr>
        <w:t xml:space="preserve"> </w:t>
      </w:r>
      <w:r w:rsidRPr="00EF5798">
        <w:rPr>
          <w:rFonts w:ascii="Book Antiqua" w:hAnsi="Book Antiqua" w:cs="Times New Roman"/>
          <w:sz w:val="20"/>
          <w:szCs w:val="20"/>
        </w:rPr>
        <w:t>De acuerdo con la investigación “La representación social de la violencia contra las mujeres y las niñas en la agenda mediática en México</w:t>
      </w:r>
      <w:r>
        <w:rPr>
          <w:rFonts w:ascii="Book Antiqua" w:hAnsi="Book Antiqua" w:cs="Times New Roman"/>
          <w:sz w:val="20"/>
          <w:szCs w:val="20"/>
        </w:rPr>
        <w:t>”</w:t>
      </w:r>
      <w:r w:rsidRPr="00EF5798">
        <w:rPr>
          <w:rFonts w:ascii="Book Antiqua" w:hAnsi="Book Antiqua" w:cs="Times New Roman"/>
          <w:sz w:val="20"/>
          <w:szCs w:val="20"/>
        </w:rPr>
        <w:t xml:space="preserve"> </w:t>
      </w:r>
      <w:r>
        <w:rPr>
          <w:rFonts w:ascii="Book Antiqua" w:hAnsi="Book Antiqua" w:cs="Times New Roman"/>
          <w:sz w:val="20"/>
          <w:szCs w:val="20"/>
        </w:rPr>
        <w:t>(</w:t>
      </w:r>
      <w:r w:rsidRPr="00EF5798">
        <w:rPr>
          <w:rFonts w:ascii="Book Antiqua" w:hAnsi="Book Antiqua" w:cs="Times New Roman"/>
          <w:sz w:val="20"/>
          <w:szCs w:val="20"/>
        </w:rPr>
        <w:t>Vega Montiel,</w:t>
      </w:r>
      <w:r>
        <w:rPr>
          <w:rFonts w:ascii="Book Antiqua" w:hAnsi="Book Antiqua" w:cs="Times New Roman"/>
          <w:sz w:val="20"/>
          <w:szCs w:val="20"/>
        </w:rPr>
        <w:t xml:space="preserve"> 2011)</w:t>
      </w:r>
      <w:r w:rsidRPr="00EF5798">
        <w:rPr>
          <w:rFonts w:ascii="Book Antiqua" w:hAnsi="Book Antiqua" w:cs="Times New Roman"/>
          <w:sz w:val="20"/>
          <w:szCs w:val="20"/>
        </w:rPr>
        <w:t xml:space="preserve">, </w:t>
      </w:r>
      <w:r>
        <w:rPr>
          <w:rFonts w:ascii="Book Antiqua" w:hAnsi="Book Antiqua" w:cs="Times New Roman"/>
          <w:sz w:val="20"/>
          <w:szCs w:val="20"/>
        </w:rPr>
        <w:t xml:space="preserve">en </w:t>
      </w:r>
      <w:r w:rsidRPr="00EF5798">
        <w:rPr>
          <w:rFonts w:ascii="Book Antiqua" w:hAnsi="Book Antiqua"/>
          <w:sz w:val="20"/>
          <w:szCs w:val="20"/>
        </w:rPr>
        <w:t>una semana son representados alrededor de 10 mil tipos y modalidades de violencia contra las mujeres en los contenidos de radio y televisión, así como de la prensa escrita y las revistas de mayor cobertura y consumo a nivel nacional – los tipos y modalidades, incluyen violencia física, sexual, psicológica, económica y feminicida, en los ámbitos familiar, laboral, educativo, institucional y comunitario-.</w:t>
      </w:r>
    </w:p>
  </w:footnote>
  <w:footnote w:id="3">
    <w:p w14:paraId="526FDDF5" w14:textId="0D3D9360" w:rsidR="009778BB" w:rsidRPr="009778BB" w:rsidRDefault="009778BB" w:rsidP="009778BB">
      <w:pPr>
        <w:pStyle w:val="Textonotapie"/>
        <w:jc w:val="both"/>
        <w:rPr>
          <w:rFonts w:ascii="Book Antiqua" w:hAnsi="Book Antiqua"/>
        </w:rPr>
      </w:pPr>
      <w:r>
        <w:rPr>
          <w:rStyle w:val="Refdenotaalpie"/>
        </w:rPr>
        <w:footnoteRef/>
      </w:r>
      <w:r>
        <w:t xml:space="preserve"> </w:t>
      </w:r>
      <w:r w:rsidRPr="009778BB">
        <w:rPr>
          <w:rFonts w:ascii="Book Antiqua" w:hAnsi="Book Antiqua"/>
        </w:rPr>
        <w:t>La cobertura informativa sobre violencia contra las mujeres y feminicidio en México se basa en</w:t>
      </w:r>
      <w:r w:rsidRPr="009778BB">
        <w:rPr>
          <w:rFonts w:ascii="Book Antiqua" w:hAnsi="Book Antiqua" w:cs="Calibri"/>
          <w:lang w:val="es-ES"/>
        </w:rPr>
        <w:t>:</w:t>
      </w:r>
      <w:r w:rsidRPr="009778BB">
        <w:rPr>
          <w:rFonts w:ascii="Book Antiqua" w:hAnsi="Book Antiqua" w:cs="Calibri"/>
          <w:lang w:val="es-ES"/>
        </w:rPr>
        <w:t xml:space="preserve"> culpar a la víctima, estigmatizarla, revictimizarla y deshumanizarla; en ocultar o justificar a los agresores; en descontextualizar los casos, sin vincularlos con causas estructurales; en la falta de orientación sobre medidas de prevención y protección de las víctimas; y en descripciones escritas y visuales que constituyen pedagogía de la violencia machista. A ello se añade la filtración de información de las investigaciones judiciales a medios de comunicación por parte de funcionarios de la Fiscalía, lo cual obstaculiza el acceso a la justicia para la víctima (Vega Montiel, 2023).</w:t>
      </w:r>
    </w:p>
  </w:footnote>
  <w:footnote w:id="4">
    <w:p w14:paraId="4B877F30" w14:textId="0612EA9E" w:rsidR="00F76886" w:rsidRPr="00F76886" w:rsidRDefault="00F76886">
      <w:pPr>
        <w:pStyle w:val="Textonotapie"/>
        <w:rPr>
          <w:rFonts w:ascii="Book Antiqua" w:hAnsi="Book Antiqua"/>
          <w:lang w:val="es-ES"/>
        </w:rPr>
      </w:pPr>
      <w:r>
        <w:rPr>
          <w:rStyle w:val="Refdenotaalpie"/>
        </w:rPr>
        <w:footnoteRef/>
      </w:r>
      <w:r>
        <w:t xml:space="preserve"> </w:t>
      </w:r>
      <w:r w:rsidRPr="00F76886">
        <w:rPr>
          <w:rFonts w:ascii="Book Antiqua" w:hAnsi="Book Antiqua"/>
          <w:lang w:val="es-ES"/>
        </w:rPr>
        <w:t xml:space="preserve">Ver: </w:t>
      </w:r>
      <w:r w:rsidRPr="00F76886">
        <w:rPr>
          <w:rFonts w:ascii="Book Antiqua" w:hAnsi="Book Antiqua"/>
          <w:lang w:val="es-ES"/>
        </w:rPr>
        <w:t>https://www.unesco.org/es/articles/medios-de-comunicacion-y-plataformas-digitales-firman-el-pacto-por-la-eliminacion-de-la-violencia?TSPD_101_R0=080713870fab2000fb8e7c347edfd1c499f58c60da72a41d37a1e03313429dbd5080dc4d1054472608f28fc7bb14300096d5460904ffd00b27bfefc64594254da0d8991c1367205db63457ddd2459e7d5fff97a21f2f6b6856dd6ba76c6024b3</w:t>
      </w:r>
    </w:p>
  </w:footnote>
  <w:footnote w:id="5">
    <w:p w14:paraId="153FF399" w14:textId="68094BC3" w:rsidR="00483A36" w:rsidRPr="00483A36" w:rsidRDefault="00483A36">
      <w:pPr>
        <w:pStyle w:val="Textonotapie"/>
        <w:rPr>
          <w:lang w:val="en-US"/>
        </w:rPr>
      </w:pPr>
      <w:r>
        <w:rPr>
          <w:rStyle w:val="Refdenotaalpie"/>
        </w:rPr>
        <w:footnoteRef/>
      </w:r>
      <w:r w:rsidRPr="00483A36">
        <w:t xml:space="preserve"> </w:t>
      </w:r>
      <w:r w:rsidRPr="00483A36">
        <w:t xml:space="preserve">Ver: </w:t>
      </w:r>
      <w:r>
        <w:rPr>
          <w:rFonts w:ascii="Book Antiqua" w:hAnsi="Book Antiqua" w:cs="Arial"/>
        </w:rPr>
        <w:t xml:space="preserve">Vega, Aimée; Esquivel, Daniela; Pacheco, Carolina y Barrera, Adina (2023). </w:t>
      </w:r>
      <w:r w:rsidRPr="005E1B52">
        <w:rPr>
          <w:rFonts w:ascii="Book Antiqua" w:hAnsi="Book Antiqua" w:cs="Arial"/>
          <w:i/>
        </w:rPr>
        <w:t>Seguridad digital de mujeres, adolescentes y niñas</w:t>
      </w:r>
      <w:r>
        <w:rPr>
          <w:rFonts w:ascii="Book Antiqua" w:hAnsi="Book Antiqua" w:cs="Arial"/>
        </w:rPr>
        <w:t xml:space="preserve">. En </w:t>
      </w:r>
      <w:r w:rsidRPr="005E1B52">
        <w:rPr>
          <w:rFonts w:ascii="Book Antiqua" w:hAnsi="Book Antiqua" w:cs="Arial"/>
        </w:rPr>
        <w:t>Historias de igualdad. Derechos de mujeres y niñas en el ecosistema digital</w:t>
      </w:r>
      <w:r>
        <w:rPr>
          <w:rFonts w:ascii="Book Antiqua" w:hAnsi="Book Antiqua" w:cs="Arial"/>
        </w:rPr>
        <w:t>, Aimée Vega Montiel</w:t>
      </w:r>
      <w:r>
        <w:rPr>
          <w:rFonts w:ascii="Book Antiqua" w:hAnsi="Book Antiqua" w:cs="Arial"/>
        </w:rPr>
        <w:t xml:space="preserve"> (Coord)</w:t>
      </w:r>
      <w:r>
        <w:rPr>
          <w:rFonts w:ascii="Book Antiqua" w:hAnsi="Book Antiqua" w:cs="Arial"/>
        </w:rPr>
        <w:t>.</w:t>
      </w:r>
      <w:r>
        <w:rPr>
          <w:rFonts w:ascii="Book Antiqua" w:hAnsi="Book Antiqua" w:cs="Arial"/>
        </w:rPr>
        <w:t xml:space="preserve"> </w:t>
      </w:r>
      <w:r w:rsidRPr="00483A36">
        <w:rPr>
          <w:rFonts w:ascii="Book Antiqua" w:hAnsi="Book Antiqua" w:cs="Arial"/>
          <w:lang w:val="en-US"/>
        </w:rPr>
        <w:t>Ciudad de México:</w:t>
      </w:r>
      <w:r w:rsidRPr="00483A36">
        <w:rPr>
          <w:rFonts w:ascii="Book Antiqua" w:hAnsi="Book Antiqua" w:cs="Arial"/>
          <w:lang w:val="en-US"/>
        </w:rPr>
        <w:t xml:space="preserve"> Fundación Telefónica, </w:t>
      </w:r>
      <w:r w:rsidRPr="00483A36">
        <w:rPr>
          <w:rFonts w:ascii="Book Antiqua" w:hAnsi="Book Antiqua" w:cs="Arial"/>
          <w:lang w:val="en-US"/>
        </w:rPr>
        <w:t>T</w:t>
      </w:r>
      <w:r>
        <w:rPr>
          <w:rFonts w:ascii="Book Antiqua" w:hAnsi="Book Antiqua" w:cs="Arial"/>
          <w:lang w:val="en-US"/>
        </w:rPr>
        <w:t xml:space="preserve">elefónica, UNESCO, </w:t>
      </w:r>
      <w:proofErr w:type="spellStart"/>
      <w:r>
        <w:rPr>
          <w:rFonts w:ascii="Book Antiqua" w:hAnsi="Book Antiqua" w:cs="Arial"/>
          <w:lang w:val="en-US"/>
        </w:rPr>
        <w:t>Conectadas</w:t>
      </w:r>
      <w:proofErr w:type="spellEnd"/>
      <w:r>
        <w:rPr>
          <w:rFonts w:ascii="Book Antiqua" w:hAnsi="Book Antiqua" w:cs="Arial"/>
          <w:lang w:val="en-US"/>
        </w:rPr>
        <w:t>, Taurus.</w:t>
      </w:r>
    </w:p>
  </w:footnote>
  <w:footnote w:id="6">
    <w:p w14:paraId="417A671F" w14:textId="6CED1D90" w:rsidR="00D158AB" w:rsidRPr="00483A36" w:rsidRDefault="00D158AB" w:rsidP="00D158AB">
      <w:pPr>
        <w:pStyle w:val="Textonotapie"/>
        <w:jc w:val="both"/>
        <w:rPr>
          <w:rFonts w:ascii="Book Antiqua" w:hAnsi="Book Antiqua"/>
          <w:lang w:val="en-US"/>
        </w:rPr>
      </w:pPr>
      <w:r w:rsidRPr="00D158AB">
        <w:rPr>
          <w:rStyle w:val="Refdenotaalpie"/>
          <w:rFonts w:ascii="Book Antiqua" w:hAnsi="Book Antiqua"/>
        </w:rPr>
        <w:footnoteRef/>
      </w:r>
      <w:r w:rsidRPr="00483A36">
        <w:rPr>
          <w:rFonts w:ascii="Book Antiqua" w:hAnsi="Book Antiqua"/>
          <w:lang w:val="en-US"/>
        </w:rPr>
        <w:t xml:space="preserve"> GAMAG (2021), </w:t>
      </w:r>
      <w:r w:rsidRPr="00483A36">
        <w:rPr>
          <w:rFonts w:ascii="Book Antiqua" w:hAnsi="Book Antiqua"/>
          <w:i/>
          <w:iCs/>
          <w:lang w:val="en-US"/>
        </w:rPr>
        <w:t>Engendering National Mechanisms for the Safety of Journalists</w:t>
      </w:r>
      <w:r w:rsidRPr="00483A36">
        <w:rPr>
          <w:rFonts w:ascii="Book Antiqua" w:hAnsi="Book Antiqua"/>
          <w:i/>
          <w:iCs/>
          <w:lang w:val="en-US"/>
        </w:rPr>
        <w:t xml:space="preserve"> in Mexico, Iraq and Afghanistan Report</w:t>
      </w:r>
      <w:r w:rsidRPr="00483A36">
        <w:rPr>
          <w:rFonts w:ascii="Book Antiqua" w:hAnsi="Book Antiqua"/>
          <w:lang w:val="en-US"/>
        </w:rPr>
        <w:t>.</w:t>
      </w:r>
    </w:p>
  </w:footnote>
  <w:footnote w:id="7">
    <w:p w14:paraId="2F01D94C" w14:textId="4CEE688E" w:rsidR="008F0617" w:rsidRPr="008F0617" w:rsidRDefault="008F0617" w:rsidP="008F0617">
      <w:pPr>
        <w:pStyle w:val="Textonotapie"/>
        <w:jc w:val="both"/>
        <w:rPr>
          <w:rFonts w:ascii="Book Antiqua" w:hAnsi="Book Antiqua"/>
        </w:rPr>
      </w:pPr>
      <w:r w:rsidRPr="008F0617">
        <w:rPr>
          <w:rStyle w:val="Refdenotaalpie"/>
          <w:rFonts w:ascii="Book Antiqua" w:hAnsi="Book Antiqua"/>
        </w:rPr>
        <w:footnoteRef/>
      </w:r>
      <w:r w:rsidRPr="008F0617">
        <w:rPr>
          <w:rFonts w:ascii="Book Antiqua" w:hAnsi="Book Antiqua"/>
        </w:rPr>
        <w:t xml:space="preserve"> </w:t>
      </w:r>
      <w:r w:rsidRPr="008F0617">
        <w:rPr>
          <w:rFonts w:ascii="Book Antiqua" w:hAnsi="Book Antiqua"/>
        </w:rPr>
        <w:t>De acuerdo con el estudio de GAMAG (2021), las mujeres periodistas encuestadas mencionaron haber sido víctimas de los siguientes tipos de violencia digital: acoso a través de mensajes privados, discurso de odio sexista, amenazas de afectar su reputación y su posición profesional, abuso de imágenes e información personal, hackeo, vigilancia, amenazas de violencia física, sexual y feminicidio; y robo de identidad</w:t>
      </w:r>
      <w:r w:rsidRPr="008F0617">
        <w:rPr>
          <w:rFonts w:ascii="Book Antiqua" w:hAnsi="Book Antiqua" w:cs="Segoe UI"/>
          <w:color w:val="374151"/>
          <w:shd w:val="clear" w:color="auto" w:fill="F7F7F8"/>
        </w:rPr>
        <w:t>.</w:t>
      </w:r>
    </w:p>
  </w:footnote>
  <w:footnote w:id="8">
    <w:p w14:paraId="1C961442" w14:textId="7FB2CA68" w:rsidR="0096743A" w:rsidRPr="0096743A" w:rsidRDefault="0096743A">
      <w:pPr>
        <w:pStyle w:val="Textonotapie"/>
        <w:rPr>
          <w:rFonts w:ascii="Book Antiqua" w:hAnsi="Book Antiqua"/>
        </w:rPr>
      </w:pPr>
      <w:r w:rsidRPr="0096743A">
        <w:rPr>
          <w:rStyle w:val="Refdenotaalpie"/>
          <w:rFonts w:ascii="Book Antiqua" w:hAnsi="Book Antiqua"/>
        </w:rPr>
        <w:footnoteRef/>
      </w:r>
      <w:r w:rsidRPr="0096743A">
        <w:rPr>
          <w:rFonts w:ascii="Book Antiqua" w:hAnsi="Book Antiqua"/>
        </w:rPr>
        <w:t xml:space="preserve"> </w:t>
      </w:r>
      <w:r w:rsidRPr="0096743A">
        <w:rPr>
          <w:rFonts w:ascii="Book Antiqua" w:hAnsi="Book Antiqua"/>
        </w:rPr>
        <w:t xml:space="preserve">Ver: </w:t>
      </w:r>
      <w:r w:rsidRPr="0096743A">
        <w:rPr>
          <w:rFonts w:ascii="Book Antiqua" w:hAnsi="Book Antiqua" w:cs="Times New Roman"/>
        </w:rPr>
        <w:t>https://www.gob.mx/presidencia/documentos/quinto-informe-de-gobierno-344019?idiom=es (páginas 139 y 140)</w:t>
      </w:r>
    </w:p>
  </w:footnote>
  <w:footnote w:id="9">
    <w:p w14:paraId="48E0553E" w14:textId="1052ABE2" w:rsidR="00B7710B" w:rsidRPr="00B7710B" w:rsidRDefault="00B7710B" w:rsidP="00B7710B">
      <w:pPr>
        <w:pStyle w:val="Textonotapie"/>
        <w:jc w:val="both"/>
        <w:rPr>
          <w:lang w:val="es-ES"/>
        </w:rPr>
      </w:pPr>
      <w:r>
        <w:rPr>
          <w:rStyle w:val="Refdenotaalpie"/>
        </w:rPr>
        <w:footnoteRef/>
      </w:r>
      <w:r>
        <w:t xml:space="preserve"> </w:t>
      </w:r>
      <w:r w:rsidRPr="00B7710B">
        <w:rPr>
          <w:rFonts w:ascii="Book Antiqua" w:hAnsi="Book Antiqua" w:cs="Times New Roman"/>
        </w:rPr>
        <w:t>Relatoría Especial para la Libertad de Expresión, «Mujeres Periodistas y Libertad de Expresión. Discriminación y violencia basada en el género contra las mujeres periodistas por el ejercicio de su profesión» (OEA, 31 de octubre de 2018), https://www.oas.org/es/cidh/expresion/docs/informes/MujeresPeriodistas.pdf, accedido 10 de junio de 2019, párr. 167</w:t>
      </w:r>
      <w:r>
        <w:rPr>
          <w:rFonts w:ascii="Book Antiqua" w:hAnsi="Book Antiqua" w:cs="Times New Roman"/>
        </w:rPr>
        <w:t>.</w:t>
      </w:r>
    </w:p>
  </w:footnote>
  <w:footnote w:id="10">
    <w:p w14:paraId="28FFC0D3" w14:textId="5A83532E" w:rsidR="00AA6426" w:rsidRPr="00AA6426" w:rsidRDefault="00AA6426" w:rsidP="00864CCE">
      <w:pPr>
        <w:pStyle w:val="Textonotapie"/>
        <w:jc w:val="both"/>
      </w:pPr>
      <w:r>
        <w:rPr>
          <w:rStyle w:val="Refdenotaalpie"/>
        </w:rPr>
        <w:footnoteRef/>
      </w:r>
      <w:r>
        <w:t xml:space="preserve"> </w:t>
      </w:r>
      <w:r>
        <w:rPr>
          <w:rFonts w:ascii="Book Antiqua" w:hAnsi="Book Antiqua" w:cs="Arial"/>
        </w:rPr>
        <w:t xml:space="preserve">Esta incluye: </w:t>
      </w:r>
      <w:r w:rsidRPr="002D454C">
        <w:rPr>
          <w:rFonts w:ascii="Book Antiqua" w:hAnsi="Book Antiqua" w:cs="Arial"/>
        </w:rPr>
        <w:t xml:space="preserve">1) la protección de datos personales recopilados y procesados por las instituciones y entidades privadas en la </w:t>
      </w:r>
      <w:r w:rsidRPr="002D454C">
        <w:rPr>
          <w:rFonts w:ascii="Book Antiqua" w:hAnsi="Book Antiqua" w:cs="Arial"/>
          <w:i/>
        </w:rPr>
        <w:t>Ley Federal de Protección de Datos Personales en Posesión de Particulares</w:t>
      </w:r>
      <w:r w:rsidRPr="002D454C">
        <w:rPr>
          <w:rFonts w:ascii="Book Antiqua" w:hAnsi="Book Antiqua" w:cs="Arial"/>
        </w:rPr>
        <w:t xml:space="preserve"> (2010); 2) la </w:t>
      </w:r>
      <w:r w:rsidRPr="002D454C">
        <w:rPr>
          <w:rFonts w:ascii="Book Antiqua" w:hAnsi="Book Antiqua" w:cs="Arial"/>
          <w:i/>
        </w:rPr>
        <w:t>Ley General de Protección de Datos Personales en Posesión de Sujetos Obligados</w:t>
      </w:r>
      <w:r w:rsidRPr="002D454C">
        <w:rPr>
          <w:rFonts w:ascii="Book Antiqua" w:hAnsi="Book Antiqua" w:cs="Arial"/>
        </w:rPr>
        <w:t xml:space="preserve"> (2017), aplicable a cualquier autoridad, entidad, órgano y organismo de los Poderes Ejecutivo, Legislativo y Judicial, órganos autónomos, partidos políticos, fideicomisos y fondos públicos; y 3) la </w:t>
      </w:r>
      <w:r w:rsidRPr="002D454C">
        <w:rPr>
          <w:rFonts w:ascii="Book Antiqua" w:hAnsi="Book Antiqua" w:cs="Arial"/>
          <w:i/>
        </w:rPr>
        <w:t>Ley Federal de Ciberseguridad</w:t>
      </w:r>
      <w:r w:rsidRPr="002D454C">
        <w:rPr>
          <w:rFonts w:ascii="Book Antiqua" w:hAnsi="Book Antiqua" w:cs="Arial"/>
        </w:rPr>
        <w:t xml:space="preserve"> (2022) que fue diseñada para establecer un marco legal para prevenir, detectar y responder a amenazas cibernéticas, así como garantizar la seguridad de la información en el ámbito público y privado.</w:t>
      </w:r>
    </w:p>
  </w:footnote>
  <w:footnote w:id="11">
    <w:p w14:paraId="0D4EF436" w14:textId="3E7CD904" w:rsidR="009778BB" w:rsidRPr="00A52C1A" w:rsidRDefault="009778BB" w:rsidP="00A52C1A">
      <w:pPr>
        <w:pStyle w:val="Texto"/>
        <w:spacing w:after="0" w:line="240" w:lineRule="auto"/>
        <w:ind w:firstLine="0"/>
        <w:rPr>
          <w:rFonts w:ascii="Book Antiqua" w:hAnsi="Book Antiqua" w:cs="Times New Roman"/>
          <w:bCs/>
          <w:sz w:val="20"/>
          <w:szCs w:val="20"/>
        </w:rPr>
      </w:pPr>
      <w:r w:rsidRPr="009778BB">
        <w:rPr>
          <w:rStyle w:val="Refdenotaalpie"/>
          <w:sz w:val="20"/>
          <w:szCs w:val="20"/>
        </w:rPr>
        <w:footnoteRef/>
      </w:r>
      <w:r w:rsidRPr="009778BB">
        <w:rPr>
          <w:sz w:val="20"/>
          <w:szCs w:val="20"/>
        </w:rPr>
        <w:t xml:space="preserve"> </w:t>
      </w:r>
      <w:r w:rsidRPr="009778BB">
        <w:rPr>
          <w:rFonts w:ascii="Book Antiqua" w:hAnsi="Book Antiqua" w:cs="Times New Roman"/>
          <w:bCs/>
          <w:sz w:val="20"/>
          <w:szCs w:val="20"/>
        </w:rPr>
        <w:t>En México, el derecho a la información se encuentra reconocido en el Art. 6° constitucional y regulado por la Ley Federal (2002); Ley General (2015) y 32 leyes correspondientes a las entidades federativas. También se cuenta con una Ley General de Archivos, publicada en 2018. Estas leyes (general, federal y estatales), reconocen que: a) la información en poder del Estado sobre violaciones graves a derechos humanos es pública; b) la interpretación para garantizar el derecho a la información es de acuerdo al principio de máxima publicidad y tratados internacionales (CEDAW, Convención Belem Do Pará); c) exige a los sujetos obligados documentar todo acto que derive de sus facultades, competencias y funciones (incluso las derivadas de tratados internacionales de derechos humanos de las mujeres); d) la transparencia debe generar conocimiento público útil, para disminuir asimetrías de información y para fijar objetivos de acuerdo a las necesidades de sectores de la sociedad; e) la transparencia debe ser con perspectiva de género, de discapacidad y multicultural.</w:t>
      </w:r>
    </w:p>
  </w:footnote>
  <w:footnote w:id="12">
    <w:p w14:paraId="719A63E7" w14:textId="77777777" w:rsidR="00A52C1A" w:rsidRDefault="00A52C1A" w:rsidP="00A52C1A">
      <w:pPr>
        <w:pStyle w:val="Texto"/>
        <w:spacing w:after="0" w:line="240" w:lineRule="auto"/>
        <w:ind w:firstLine="0"/>
      </w:pPr>
      <w:r>
        <w:rPr>
          <w:rStyle w:val="Refdenotaalpie"/>
        </w:rPr>
        <w:footnoteRef/>
      </w:r>
      <w:r>
        <w:t xml:space="preserve"> </w:t>
      </w:r>
      <w:r>
        <w:t xml:space="preserve">Otros mecanismos que se han visto afectados durante este periodo son: </w:t>
      </w:r>
    </w:p>
    <w:p w14:paraId="5CFA5C80" w14:textId="6D12497E" w:rsidR="00A52C1A" w:rsidRPr="00A52C1A" w:rsidRDefault="00A52C1A" w:rsidP="00A52C1A">
      <w:pPr>
        <w:pStyle w:val="Texto"/>
        <w:numPr>
          <w:ilvl w:val="0"/>
          <w:numId w:val="21"/>
        </w:numPr>
        <w:spacing w:after="0" w:line="240" w:lineRule="auto"/>
        <w:rPr>
          <w:rFonts w:ascii="Book Antiqua" w:hAnsi="Book Antiqua" w:cs="Times New Roman"/>
          <w:bCs/>
          <w:sz w:val="20"/>
          <w:szCs w:val="20"/>
        </w:rPr>
      </w:pPr>
      <w:r w:rsidRPr="00A52C1A">
        <w:rPr>
          <w:rFonts w:ascii="Book Antiqua" w:hAnsi="Book Antiqua" w:cs="Times New Roman"/>
          <w:bCs/>
          <w:sz w:val="20"/>
          <w:szCs w:val="20"/>
        </w:rPr>
        <w:t>Sistema de monitoreo del comportamiento violento de los individuos y de la sociedad contra las mujeres. No se cuenta con información al respecto.</w:t>
      </w:r>
    </w:p>
    <w:p w14:paraId="0BBB8008" w14:textId="77777777" w:rsidR="00A52C1A" w:rsidRPr="00A52C1A" w:rsidRDefault="00A52C1A" w:rsidP="00A52C1A">
      <w:pPr>
        <w:pStyle w:val="Texto"/>
        <w:numPr>
          <w:ilvl w:val="0"/>
          <w:numId w:val="21"/>
        </w:numPr>
        <w:spacing w:after="0" w:line="240" w:lineRule="auto"/>
        <w:rPr>
          <w:rFonts w:ascii="Book Antiqua" w:hAnsi="Book Antiqua" w:cs="Times New Roman"/>
          <w:bCs/>
          <w:sz w:val="20"/>
          <w:szCs w:val="20"/>
        </w:rPr>
      </w:pPr>
      <w:r w:rsidRPr="00A52C1A">
        <w:rPr>
          <w:rFonts w:ascii="Book Antiqua" w:hAnsi="Book Antiqua" w:cs="Times New Roman"/>
          <w:bCs/>
          <w:sz w:val="20"/>
          <w:szCs w:val="20"/>
        </w:rPr>
        <w:t>El Banco Nacional de Datos e Información sobre Casos de Violencia contra las Mujeres (BANAVIM) no proporciona toda la información que le ordena la ley. En su versión pública sólo facilita datos generales por entidad federativa (Tipo y Modalidad de violencia, sexo de los victimarios, número de órdenes de protección y número de servicios otorgados).</w:t>
      </w:r>
    </w:p>
    <w:p w14:paraId="332B6B1B" w14:textId="77777777" w:rsidR="00A52C1A" w:rsidRPr="00A52C1A" w:rsidRDefault="00A52C1A" w:rsidP="00A52C1A">
      <w:pPr>
        <w:pStyle w:val="Texto"/>
        <w:numPr>
          <w:ilvl w:val="0"/>
          <w:numId w:val="21"/>
        </w:numPr>
        <w:spacing w:after="0" w:line="240" w:lineRule="auto"/>
        <w:rPr>
          <w:rFonts w:ascii="Book Antiqua" w:hAnsi="Book Antiqua" w:cs="Times New Roman"/>
          <w:bCs/>
          <w:sz w:val="20"/>
          <w:szCs w:val="20"/>
        </w:rPr>
      </w:pPr>
      <w:r w:rsidRPr="00A52C1A">
        <w:rPr>
          <w:rFonts w:ascii="Book Antiqua" w:hAnsi="Book Antiqua" w:cs="Times New Roman"/>
          <w:bCs/>
          <w:sz w:val="20"/>
          <w:szCs w:val="20"/>
        </w:rPr>
        <w:t>Diagnósticos sobre las causas y las consecuencias de la violencia contra las mujeres. No existe un diagnóstico que se realice de manera sistemática; cada entidad federativa realiza el suyo y responde no a una medida preventiva sino a una obligación dentro de los marcos de las Alertas de Violencia de Género. En 2022, esta actividad fue asignada a los Centro de Justicia para las Mujeres.</w:t>
      </w:r>
    </w:p>
    <w:p w14:paraId="23B8A721" w14:textId="77777777" w:rsidR="00A52C1A" w:rsidRPr="00A52C1A" w:rsidRDefault="00A52C1A" w:rsidP="00A52C1A">
      <w:pPr>
        <w:pStyle w:val="Texto"/>
        <w:numPr>
          <w:ilvl w:val="0"/>
          <w:numId w:val="21"/>
        </w:numPr>
        <w:spacing w:after="0" w:line="240" w:lineRule="auto"/>
        <w:rPr>
          <w:rFonts w:ascii="Book Antiqua" w:hAnsi="Book Antiqua" w:cs="Times New Roman"/>
          <w:bCs/>
          <w:sz w:val="20"/>
          <w:szCs w:val="20"/>
        </w:rPr>
      </w:pPr>
      <w:r w:rsidRPr="00A52C1A">
        <w:rPr>
          <w:rFonts w:ascii="Book Antiqua" w:hAnsi="Book Antiqua" w:cs="Times New Roman"/>
          <w:bCs/>
          <w:sz w:val="20"/>
          <w:szCs w:val="20"/>
        </w:rPr>
        <w:t>Página de internet con datos generales de las mujeres y niñas que sean reportadas como desaparecidas. Se cuenta con el Registro Nacional de Personas Desaparecidas y No Localizadas (RNPDNO), pero de acuerdo al Movimiento por Nuestros Desaparecidos en México, no una medición certera de la desaparición forzada y la desaparición cometida por particulares, así como sus patrones y causas.</w:t>
      </w:r>
    </w:p>
    <w:p w14:paraId="7DF058ED" w14:textId="77777777" w:rsidR="00A52C1A" w:rsidRPr="00A52C1A" w:rsidRDefault="00A52C1A" w:rsidP="00A52C1A">
      <w:pPr>
        <w:pStyle w:val="Texto"/>
        <w:numPr>
          <w:ilvl w:val="0"/>
          <w:numId w:val="21"/>
        </w:numPr>
        <w:spacing w:after="0" w:line="240" w:lineRule="auto"/>
        <w:rPr>
          <w:rFonts w:ascii="Book Antiqua" w:hAnsi="Book Antiqua" w:cs="Times New Roman"/>
          <w:bCs/>
          <w:sz w:val="20"/>
          <w:szCs w:val="20"/>
        </w:rPr>
      </w:pPr>
      <w:r w:rsidRPr="00A52C1A">
        <w:rPr>
          <w:rFonts w:ascii="Book Antiqua" w:hAnsi="Book Antiqua" w:cs="Times New Roman"/>
          <w:bCs/>
          <w:sz w:val="20"/>
          <w:szCs w:val="20"/>
        </w:rPr>
        <w:t>Registro público sistemático de los delitos cometidos en contra de mujeres. En 2022, esta actividad fue asignada a los Centro de Justicia para las Mujeres.</w:t>
      </w:r>
    </w:p>
    <w:p w14:paraId="0890884B" w14:textId="77777777" w:rsidR="00A52C1A" w:rsidRPr="00864CCE" w:rsidRDefault="00A52C1A" w:rsidP="00864CCE">
      <w:pPr>
        <w:pStyle w:val="Texto"/>
        <w:numPr>
          <w:ilvl w:val="0"/>
          <w:numId w:val="21"/>
        </w:numPr>
        <w:spacing w:after="0" w:line="240" w:lineRule="auto"/>
        <w:rPr>
          <w:rFonts w:ascii="Book Antiqua" w:hAnsi="Book Antiqua" w:cs="Times New Roman"/>
          <w:bCs/>
          <w:sz w:val="20"/>
          <w:szCs w:val="20"/>
        </w:rPr>
      </w:pPr>
      <w:r w:rsidRPr="00864CCE">
        <w:rPr>
          <w:rFonts w:ascii="Book Antiqua" w:hAnsi="Book Antiqua" w:cs="Times New Roman"/>
          <w:bCs/>
          <w:sz w:val="20"/>
          <w:szCs w:val="20"/>
        </w:rPr>
        <w:t>Base nacional de información genética. Existe el Banco Nacional de Datos Forenses y del Registro Nacional de Personas Fallecidas No Identificadas y No Reclamadas, pero no se cuenta con una versión pública.</w:t>
      </w:r>
    </w:p>
    <w:p w14:paraId="4B5D7431" w14:textId="7B2D61B1" w:rsidR="00864CCE" w:rsidRPr="00864CCE" w:rsidRDefault="00864CCE" w:rsidP="00864CCE">
      <w:pPr>
        <w:pStyle w:val="Prrafodelista"/>
        <w:numPr>
          <w:ilvl w:val="0"/>
          <w:numId w:val="21"/>
        </w:numPr>
        <w:spacing w:line="240" w:lineRule="auto"/>
        <w:jc w:val="both"/>
        <w:rPr>
          <w:rFonts w:ascii="Book Antiqua" w:hAnsi="Book Antiqua"/>
          <w:sz w:val="20"/>
          <w:szCs w:val="20"/>
        </w:rPr>
      </w:pPr>
      <w:r w:rsidRPr="00864CCE">
        <w:rPr>
          <w:rFonts w:ascii="Book Antiqua" w:hAnsi="Book Antiqua" w:cs="Arial"/>
          <w:color w:val="000000"/>
          <w:sz w:val="20"/>
          <w:szCs w:val="20"/>
        </w:rPr>
        <w:t>Diagnóstico de la incidencia, modalidades, causas y consecuencias y su comportamiento delictivo, así como los grupos afectados o en mayor grado de vulnerabilidad, en materia de trata. No existe un diagnóstico que se realice de manera sistemática.</w:t>
      </w:r>
    </w:p>
    <w:p w14:paraId="5B3F4AB3" w14:textId="379BAADD" w:rsidR="00864CCE" w:rsidRPr="00864CCE" w:rsidRDefault="00864CCE" w:rsidP="00864CCE">
      <w:pPr>
        <w:pStyle w:val="Prrafodelista"/>
        <w:numPr>
          <w:ilvl w:val="0"/>
          <w:numId w:val="21"/>
        </w:numPr>
        <w:spacing w:line="240" w:lineRule="auto"/>
        <w:jc w:val="both"/>
        <w:rPr>
          <w:rFonts w:ascii="Book Antiqua" w:hAnsi="Book Antiqua"/>
          <w:sz w:val="20"/>
          <w:szCs w:val="20"/>
        </w:rPr>
      </w:pPr>
      <w:r w:rsidRPr="00864CCE">
        <w:rPr>
          <w:rFonts w:ascii="Book Antiqua" w:hAnsi="Book Antiqua" w:cs="Arial"/>
          <w:color w:val="000000"/>
          <w:sz w:val="20"/>
          <w:szCs w:val="20"/>
        </w:rPr>
        <w:t>Registro nacional de dependencias, instituciones y organizaciones de la sociedad civil que realicen acciones en el combate a los delitos previstos la ley de trata y la asistencia y protección a las víctimas. No se cuenta con dicho directorio.</w:t>
      </w:r>
    </w:p>
    <w:p w14:paraId="146D9799" w14:textId="77777777" w:rsidR="00864CCE" w:rsidRPr="00864CCE" w:rsidRDefault="00864CCE" w:rsidP="00864CCE">
      <w:pPr>
        <w:pStyle w:val="Texto"/>
        <w:spacing w:after="0" w:line="240" w:lineRule="auto"/>
        <w:ind w:left="360" w:firstLine="0"/>
        <w:rPr>
          <w:rFonts w:ascii="Book Antiqua" w:hAnsi="Book Antiqua" w:cs="Times New Roman"/>
          <w:bCs/>
          <w:sz w:val="20"/>
          <w:szCs w:val="20"/>
        </w:rPr>
      </w:pPr>
    </w:p>
    <w:p w14:paraId="39D5A068" w14:textId="2BC95307" w:rsidR="00A52C1A" w:rsidRPr="00864CCE" w:rsidRDefault="00A52C1A" w:rsidP="00864CCE">
      <w:pPr>
        <w:pStyle w:val="Textonotapie"/>
        <w:rPr>
          <w:rFonts w:ascii="Book Antiqua" w:hAnsi="Book Antiqua"/>
        </w:rPr>
      </w:pPr>
    </w:p>
  </w:footnote>
  <w:footnote w:id="13">
    <w:p w14:paraId="38430D7A" w14:textId="32331D82" w:rsidR="00E07C77" w:rsidRPr="00E07C77" w:rsidRDefault="00E07C77" w:rsidP="00E07C77">
      <w:pPr>
        <w:pStyle w:val="Textonotapie"/>
        <w:jc w:val="both"/>
        <w:rPr>
          <w:lang w:val="es-ES"/>
        </w:rPr>
      </w:pPr>
      <w:r>
        <w:rPr>
          <w:rStyle w:val="Refdenotaalpie"/>
        </w:rPr>
        <w:footnoteRef/>
      </w:r>
      <w:r>
        <w:t xml:space="preserve"> </w:t>
      </w:r>
      <w:r w:rsidRPr="00E07C77">
        <w:rPr>
          <w:rFonts w:ascii="Book Antiqua" w:hAnsi="Book Antiqua" w:cs="Times New Roman"/>
          <w:bCs/>
        </w:rPr>
        <w:t>E</w:t>
      </w:r>
      <w:r w:rsidRPr="00E07C77">
        <w:rPr>
          <w:rFonts w:ascii="Book Antiqua" w:hAnsi="Book Antiqua" w:cs="Times New Roman"/>
          <w:bCs/>
        </w:rPr>
        <w:t>n especial de las que ya se tiene obligación legal, como las del BANAVIM o el Banco Nacional de Datos Forenses y del Registro Nacional de Personas Fallecidas No Identificadas y No Reclamadas</w:t>
      </w:r>
      <w:r>
        <w:rPr>
          <w:rFonts w:ascii="Book Antiqua" w:hAnsi="Book Antiqua" w:cs="Times New Roman"/>
          <w:bCs/>
        </w:rPr>
        <w:t>.</w:t>
      </w:r>
    </w:p>
  </w:footnote>
  <w:footnote w:id="14">
    <w:p w14:paraId="27550631" w14:textId="77777777" w:rsidR="00312EA9" w:rsidRPr="00312EA9" w:rsidRDefault="00312EA9" w:rsidP="00312EA9">
      <w:pPr>
        <w:pStyle w:val="Texto"/>
        <w:spacing w:after="0" w:line="240" w:lineRule="auto"/>
        <w:ind w:firstLine="0"/>
        <w:rPr>
          <w:rFonts w:ascii="Book Antiqua" w:hAnsi="Book Antiqua" w:cs="Times New Roman"/>
          <w:bCs/>
          <w:sz w:val="20"/>
          <w:szCs w:val="20"/>
        </w:rPr>
      </w:pPr>
      <w:r>
        <w:rPr>
          <w:rStyle w:val="Refdenotaalpie"/>
        </w:rPr>
        <w:footnoteRef/>
      </w:r>
      <w:r>
        <w:t xml:space="preserve"> </w:t>
      </w:r>
      <w:r w:rsidRPr="00312EA9">
        <w:rPr>
          <w:rFonts w:ascii="Book Antiqua" w:hAnsi="Book Antiqua" w:cs="Times New Roman"/>
          <w:bCs/>
          <w:sz w:val="20"/>
          <w:szCs w:val="20"/>
        </w:rPr>
        <w:t>Sus obligaciones incluyen:</w:t>
      </w:r>
    </w:p>
    <w:p w14:paraId="03DB506F" w14:textId="77777777" w:rsidR="00312EA9" w:rsidRPr="00312EA9" w:rsidRDefault="00312EA9" w:rsidP="00312EA9">
      <w:pPr>
        <w:pStyle w:val="Texto"/>
        <w:spacing w:after="0" w:line="240" w:lineRule="auto"/>
        <w:rPr>
          <w:rFonts w:ascii="Book Antiqua" w:hAnsi="Book Antiqua" w:cs="Times New Roman"/>
          <w:bCs/>
          <w:sz w:val="20"/>
          <w:szCs w:val="20"/>
        </w:rPr>
      </w:pPr>
      <w:r w:rsidRPr="00312EA9">
        <w:rPr>
          <w:rFonts w:ascii="Book Antiqua" w:hAnsi="Book Antiqua" w:cs="Times New Roman"/>
          <w:bCs/>
          <w:sz w:val="20"/>
          <w:szCs w:val="20"/>
        </w:rPr>
        <w:t>a)</w:t>
      </w:r>
      <w:r w:rsidRPr="00312EA9">
        <w:rPr>
          <w:rFonts w:ascii="Book Antiqua" w:hAnsi="Book Antiqua" w:cs="Times New Roman"/>
          <w:bCs/>
          <w:sz w:val="20"/>
          <w:szCs w:val="20"/>
        </w:rPr>
        <w:tab/>
        <w:t>recurrir de manera sistemática al marco internacional de derechos humanos de las mujeres para la interpretación del derecho con perspectiva de género.</w:t>
      </w:r>
    </w:p>
    <w:p w14:paraId="0FA96282" w14:textId="77777777" w:rsidR="00312EA9" w:rsidRPr="00312EA9" w:rsidRDefault="00312EA9" w:rsidP="00312EA9">
      <w:pPr>
        <w:pStyle w:val="Texto"/>
        <w:spacing w:after="0" w:line="240" w:lineRule="auto"/>
        <w:rPr>
          <w:rFonts w:ascii="Book Antiqua" w:hAnsi="Book Antiqua" w:cs="Times New Roman"/>
          <w:bCs/>
          <w:sz w:val="20"/>
          <w:szCs w:val="20"/>
        </w:rPr>
      </w:pPr>
      <w:r w:rsidRPr="00312EA9">
        <w:rPr>
          <w:rFonts w:ascii="Book Antiqua" w:hAnsi="Book Antiqua" w:cs="Times New Roman"/>
          <w:bCs/>
          <w:sz w:val="20"/>
          <w:szCs w:val="20"/>
        </w:rPr>
        <w:t>b)</w:t>
      </w:r>
      <w:r w:rsidRPr="00312EA9">
        <w:rPr>
          <w:rFonts w:ascii="Book Antiqua" w:hAnsi="Book Antiqua" w:cs="Times New Roman"/>
          <w:bCs/>
          <w:sz w:val="20"/>
          <w:szCs w:val="20"/>
        </w:rPr>
        <w:tab/>
        <w:t>institucionalizar la perspectiva de género para que los datos que generen, las evaluaciones que realice de otros sujetos obligados, las resoluciones de casos, las capacitaciones, entre otras actividades, tengan esta perspectiva.</w:t>
      </w:r>
    </w:p>
    <w:p w14:paraId="7034C0D5" w14:textId="77777777" w:rsidR="00312EA9" w:rsidRPr="00312EA9" w:rsidRDefault="00312EA9" w:rsidP="00312EA9">
      <w:pPr>
        <w:pStyle w:val="Texto"/>
        <w:spacing w:after="0" w:line="240" w:lineRule="auto"/>
        <w:rPr>
          <w:rFonts w:ascii="Book Antiqua" w:hAnsi="Book Antiqua" w:cs="Times New Roman"/>
          <w:bCs/>
          <w:sz w:val="20"/>
          <w:szCs w:val="20"/>
        </w:rPr>
      </w:pPr>
      <w:r w:rsidRPr="00312EA9">
        <w:rPr>
          <w:rFonts w:ascii="Book Antiqua" w:hAnsi="Book Antiqua" w:cs="Times New Roman"/>
          <w:bCs/>
          <w:sz w:val="20"/>
          <w:szCs w:val="20"/>
        </w:rPr>
        <w:t>c)</w:t>
      </w:r>
      <w:r w:rsidRPr="00312EA9">
        <w:rPr>
          <w:rFonts w:ascii="Book Antiqua" w:hAnsi="Book Antiqua" w:cs="Times New Roman"/>
          <w:bCs/>
          <w:sz w:val="20"/>
          <w:szCs w:val="20"/>
        </w:rPr>
        <w:tab/>
        <w:t>pronunciarse de manera urgente y explícita sobre la obligación de los sujetos obligados a documentar todo acto que derive de sus facultades, competencias y funciones, en especial las que tengan que ver con los derivados de los tratados internacionales de derechos humanos de las mujeres.</w:t>
      </w:r>
    </w:p>
    <w:p w14:paraId="32D6A0A5" w14:textId="77777777" w:rsidR="00312EA9" w:rsidRPr="00312EA9" w:rsidRDefault="00312EA9" w:rsidP="00312EA9">
      <w:pPr>
        <w:pStyle w:val="Texto"/>
        <w:spacing w:after="0" w:line="240" w:lineRule="auto"/>
        <w:rPr>
          <w:rFonts w:ascii="Book Antiqua" w:hAnsi="Book Antiqua" w:cs="Times New Roman"/>
          <w:bCs/>
          <w:sz w:val="20"/>
          <w:szCs w:val="20"/>
        </w:rPr>
      </w:pPr>
      <w:r w:rsidRPr="00312EA9">
        <w:rPr>
          <w:rFonts w:ascii="Book Antiqua" w:hAnsi="Book Antiqua" w:cs="Times New Roman"/>
          <w:bCs/>
          <w:sz w:val="20"/>
          <w:szCs w:val="20"/>
        </w:rPr>
        <w:t>d)</w:t>
      </w:r>
      <w:r w:rsidRPr="00312EA9">
        <w:rPr>
          <w:rFonts w:ascii="Book Antiqua" w:hAnsi="Book Antiqua" w:cs="Times New Roman"/>
          <w:bCs/>
          <w:sz w:val="20"/>
          <w:szCs w:val="20"/>
        </w:rPr>
        <w:tab/>
        <w:t>elaborar indicadores con perspectiva de género que les permitan evaluar el cumplimiento de las obligaciones de transparencia que marcan las leyes.</w:t>
      </w:r>
    </w:p>
    <w:p w14:paraId="638F7283" w14:textId="6EDD97C1" w:rsidR="00312EA9" w:rsidRPr="00312EA9" w:rsidRDefault="00312EA9">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0E4F" w14:textId="4B4711E8" w:rsidR="001F303E" w:rsidRDefault="001F303E" w:rsidP="006A4021">
    <w:pPr>
      <w:pStyle w:val="Encabezado"/>
      <w:jc w:val="center"/>
    </w:pPr>
    <w:r>
      <w:rPr>
        <w:noProof/>
        <w:lang w:val="es-ES" w:eastAsia="es-ES"/>
      </w:rPr>
      <w:drawing>
        <wp:inline distT="0" distB="0" distL="0" distR="0" wp14:anchorId="0086CF3F" wp14:editId="4EC94ED2">
          <wp:extent cx="2140306" cy="8052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MAG_Full_Colored_1.png"/>
                  <pic:cNvPicPr/>
                </pic:nvPicPr>
                <pic:blipFill>
                  <a:blip r:embed="rId1">
                    <a:extLst>
                      <a:ext uri="{28A0092B-C50C-407E-A947-70E740481C1C}">
                        <a14:useLocalDpi xmlns:a14="http://schemas.microsoft.com/office/drawing/2010/main" val="0"/>
                      </a:ext>
                    </a:extLst>
                  </a:blip>
                  <a:stretch>
                    <a:fillRect/>
                  </a:stretch>
                </pic:blipFill>
                <pic:spPr>
                  <a:xfrm>
                    <a:off x="0" y="0"/>
                    <a:ext cx="2150733" cy="8091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29BD"/>
    <w:multiLevelType w:val="hybridMultilevel"/>
    <w:tmpl w:val="3F54D75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092E633B"/>
    <w:multiLevelType w:val="hybridMultilevel"/>
    <w:tmpl w:val="5A0AAF86"/>
    <w:lvl w:ilvl="0" w:tplc="CF22C5A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390AA4"/>
    <w:multiLevelType w:val="hybridMultilevel"/>
    <w:tmpl w:val="0518CF5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10AB2C74"/>
    <w:multiLevelType w:val="hybridMultilevel"/>
    <w:tmpl w:val="3C363DE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142502F9"/>
    <w:multiLevelType w:val="hybridMultilevel"/>
    <w:tmpl w:val="7ED8B19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 w15:restartNumberingAfterBreak="0">
    <w:nsid w:val="245E6FDC"/>
    <w:multiLevelType w:val="hybridMultilevel"/>
    <w:tmpl w:val="1368D25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263F7ECD"/>
    <w:multiLevelType w:val="hybridMultilevel"/>
    <w:tmpl w:val="97C4A0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7146746"/>
    <w:multiLevelType w:val="hybridMultilevel"/>
    <w:tmpl w:val="62D878E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 w15:restartNumberingAfterBreak="0">
    <w:nsid w:val="30B000C0"/>
    <w:multiLevelType w:val="hybridMultilevel"/>
    <w:tmpl w:val="FA5E70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3E76C67"/>
    <w:multiLevelType w:val="multilevel"/>
    <w:tmpl w:val="11AC410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1D72AE"/>
    <w:multiLevelType w:val="hybridMultilevel"/>
    <w:tmpl w:val="B6B007C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1" w15:restartNumberingAfterBreak="0">
    <w:nsid w:val="35B34E4B"/>
    <w:multiLevelType w:val="hybridMultilevel"/>
    <w:tmpl w:val="AA1A198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15:restartNumberingAfterBreak="0">
    <w:nsid w:val="37E336DB"/>
    <w:multiLevelType w:val="hybridMultilevel"/>
    <w:tmpl w:val="70F4AC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8E9046C"/>
    <w:multiLevelType w:val="hybridMultilevel"/>
    <w:tmpl w:val="97EE2D1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C316356"/>
    <w:multiLevelType w:val="hybridMultilevel"/>
    <w:tmpl w:val="2DD475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EB0441"/>
    <w:multiLevelType w:val="hybridMultilevel"/>
    <w:tmpl w:val="B75861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1691FFC"/>
    <w:multiLevelType w:val="hybridMultilevel"/>
    <w:tmpl w:val="00B8EF6C"/>
    <w:lvl w:ilvl="0" w:tplc="7F6CBA8C">
      <w:start w:val="1"/>
      <w:numFmt w:val="bullet"/>
      <w:lvlText w:val="-"/>
      <w:lvlJc w:val="left"/>
      <w:pPr>
        <w:ind w:left="720" w:hanging="360"/>
      </w:pPr>
      <w:rPr>
        <w:rFonts w:ascii="Book Antiqua" w:eastAsiaTheme="minorEastAsia" w:hAnsi="Book Antiqua" w:cs="Times New Roman"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4C3FF8"/>
    <w:multiLevelType w:val="hybridMultilevel"/>
    <w:tmpl w:val="2E4EBEF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501B69E4"/>
    <w:multiLevelType w:val="hybridMultilevel"/>
    <w:tmpl w:val="5AC817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948699B"/>
    <w:multiLevelType w:val="hybridMultilevel"/>
    <w:tmpl w:val="7A9ADF14"/>
    <w:lvl w:ilvl="0" w:tplc="9D30D712">
      <w:start w:val="2"/>
      <w:numFmt w:val="bullet"/>
      <w:lvlText w:val="-"/>
      <w:lvlJc w:val="left"/>
      <w:pPr>
        <w:ind w:left="360" w:hanging="360"/>
      </w:pPr>
      <w:rPr>
        <w:rFonts w:ascii="Arial" w:eastAsiaTheme="minorEastAsia" w:hAnsi="Arial" w:cs="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5E203D94"/>
    <w:multiLevelType w:val="hybridMultilevel"/>
    <w:tmpl w:val="8CE6E0F6"/>
    <w:lvl w:ilvl="0" w:tplc="D7380F54">
      <w:start w:val="1"/>
      <w:numFmt w:val="decimal"/>
      <w:lvlText w:val="%1."/>
      <w:lvlJc w:val="left"/>
      <w:pPr>
        <w:ind w:left="708" w:hanging="420"/>
      </w:pPr>
      <w:rPr>
        <w:rFonts w:hint="default"/>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21" w15:restartNumberingAfterBreak="0">
    <w:nsid w:val="6207037D"/>
    <w:multiLevelType w:val="hybridMultilevel"/>
    <w:tmpl w:val="421CA19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6471160D"/>
    <w:multiLevelType w:val="hybridMultilevel"/>
    <w:tmpl w:val="315E342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71715796"/>
    <w:multiLevelType w:val="hybridMultilevel"/>
    <w:tmpl w:val="0F0699AC"/>
    <w:lvl w:ilvl="0" w:tplc="CF22C5A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55283F"/>
    <w:multiLevelType w:val="hybridMultilevel"/>
    <w:tmpl w:val="5A864DD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792A16A2"/>
    <w:multiLevelType w:val="hybridMultilevel"/>
    <w:tmpl w:val="CF5CA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A26561F"/>
    <w:multiLevelType w:val="hybridMultilevel"/>
    <w:tmpl w:val="52A630A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7A2C44BF"/>
    <w:multiLevelType w:val="hybridMultilevel"/>
    <w:tmpl w:val="1A1C13F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7B1C2FE9"/>
    <w:multiLevelType w:val="hybridMultilevel"/>
    <w:tmpl w:val="D3A8874E"/>
    <w:lvl w:ilvl="0" w:tplc="B8422ABC">
      <w:start w:val="1"/>
      <w:numFmt w:val="decimal"/>
      <w:lvlText w:val="%1."/>
      <w:lvlJc w:val="left"/>
      <w:pPr>
        <w:ind w:left="648" w:hanging="360"/>
      </w:pPr>
      <w:rPr>
        <w:rFonts w:hint="default"/>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29" w15:restartNumberingAfterBreak="0">
    <w:nsid w:val="7EC92FA9"/>
    <w:multiLevelType w:val="hybridMultilevel"/>
    <w:tmpl w:val="9BC2D23E"/>
    <w:lvl w:ilvl="0" w:tplc="40DA34D0">
      <w:start w:val="1"/>
      <w:numFmt w:val="bullet"/>
      <w:lvlText w:val="-"/>
      <w:lvlJc w:val="left"/>
      <w:pPr>
        <w:ind w:left="720" w:hanging="360"/>
      </w:pPr>
      <w:rPr>
        <w:rFonts w:ascii="Book Antiqua" w:eastAsia="Times New Roman" w:hAnsi="Book Antiqua" w:cs="Time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32334911">
    <w:abstractNumId w:val="13"/>
  </w:num>
  <w:num w:numId="2" w16cid:durableId="952638504">
    <w:abstractNumId w:val="8"/>
  </w:num>
  <w:num w:numId="3" w16cid:durableId="491993637">
    <w:abstractNumId w:val="25"/>
  </w:num>
  <w:num w:numId="4" w16cid:durableId="1592664984">
    <w:abstractNumId w:val="14"/>
  </w:num>
  <w:num w:numId="5" w16cid:durableId="77791917">
    <w:abstractNumId w:val="16"/>
  </w:num>
  <w:num w:numId="6" w16cid:durableId="1477189474">
    <w:abstractNumId w:val="15"/>
  </w:num>
  <w:num w:numId="7" w16cid:durableId="1780366773">
    <w:abstractNumId w:val="29"/>
  </w:num>
  <w:num w:numId="8" w16cid:durableId="236718853">
    <w:abstractNumId w:val="19"/>
  </w:num>
  <w:num w:numId="9" w16cid:durableId="261888248">
    <w:abstractNumId w:val="1"/>
  </w:num>
  <w:num w:numId="10" w16cid:durableId="313993461">
    <w:abstractNumId w:val="9"/>
  </w:num>
  <w:num w:numId="11" w16cid:durableId="1007830443">
    <w:abstractNumId w:val="23"/>
  </w:num>
  <w:num w:numId="12" w16cid:durableId="1456943016">
    <w:abstractNumId w:val="24"/>
  </w:num>
  <w:num w:numId="13" w16cid:durableId="1504589257">
    <w:abstractNumId w:val="3"/>
  </w:num>
  <w:num w:numId="14" w16cid:durableId="872763943">
    <w:abstractNumId w:val="21"/>
  </w:num>
  <w:num w:numId="15" w16cid:durableId="1331444853">
    <w:abstractNumId w:val="2"/>
  </w:num>
  <w:num w:numId="16" w16cid:durableId="1258633791">
    <w:abstractNumId w:val="18"/>
  </w:num>
  <w:num w:numId="17" w16cid:durableId="279266766">
    <w:abstractNumId w:val="0"/>
  </w:num>
  <w:num w:numId="18" w16cid:durableId="635641942">
    <w:abstractNumId w:val="10"/>
  </w:num>
  <w:num w:numId="19" w16cid:durableId="901866498">
    <w:abstractNumId w:val="27"/>
  </w:num>
  <w:num w:numId="20" w16cid:durableId="192037155">
    <w:abstractNumId w:val="4"/>
  </w:num>
  <w:num w:numId="21" w16cid:durableId="1731534704">
    <w:abstractNumId w:val="11"/>
  </w:num>
  <w:num w:numId="22" w16cid:durableId="1682246268">
    <w:abstractNumId w:val="26"/>
  </w:num>
  <w:num w:numId="23" w16cid:durableId="246809085">
    <w:abstractNumId w:val="20"/>
  </w:num>
  <w:num w:numId="24" w16cid:durableId="2020965146">
    <w:abstractNumId w:val="28"/>
  </w:num>
  <w:num w:numId="25" w16cid:durableId="852572252">
    <w:abstractNumId w:val="22"/>
  </w:num>
  <w:num w:numId="26" w16cid:durableId="379591739">
    <w:abstractNumId w:val="17"/>
  </w:num>
  <w:num w:numId="27" w16cid:durableId="836193946">
    <w:abstractNumId w:val="12"/>
  </w:num>
  <w:num w:numId="28" w16cid:durableId="879829468">
    <w:abstractNumId w:val="7"/>
  </w:num>
  <w:num w:numId="29" w16cid:durableId="255291566">
    <w:abstractNumId w:val="6"/>
  </w:num>
  <w:num w:numId="30" w16cid:durableId="8183518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E05"/>
    <w:rsid w:val="000260F3"/>
    <w:rsid w:val="00055EBC"/>
    <w:rsid w:val="00076E05"/>
    <w:rsid w:val="00080049"/>
    <w:rsid w:val="000B3583"/>
    <w:rsid w:val="000B6DC2"/>
    <w:rsid w:val="000C1A51"/>
    <w:rsid w:val="001146D0"/>
    <w:rsid w:val="001519D6"/>
    <w:rsid w:val="001602AE"/>
    <w:rsid w:val="00163BE8"/>
    <w:rsid w:val="00171BF2"/>
    <w:rsid w:val="00196EE1"/>
    <w:rsid w:val="001D5A89"/>
    <w:rsid w:val="001F303E"/>
    <w:rsid w:val="001F35C6"/>
    <w:rsid w:val="0021795D"/>
    <w:rsid w:val="002179CA"/>
    <w:rsid w:val="00224CD4"/>
    <w:rsid w:val="00230FB7"/>
    <w:rsid w:val="00246BD4"/>
    <w:rsid w:val="002C16A6"/>
    <w:rsid w:val="002C36AB"/>
    <w:rsid w:val="002D454C"/>
    <w:rsid w:val="0031037A"/>
    <w:rsid w:val="00312EA9"/>
    <w:rsid w:val="00313EE3"/>
    <w:rsid w:val="0033053B"/>
    <w:rsid w:val="00357E78"/>
    <w:rsid w:val="00390ED2"/>
    <w:rsid w:val="00397916"/>
    <w:rsid w:val="003B1ACD"/>
    <w:rsid w:val="003F6F2E"/>
    <w:rsid w:val="00456ACF"/>
    <w:rsid w:val="0046481B"/>
    <w:rsid w:val="0047261F"/>
    <w:rsid w:val="00483A36"/>
    <w:rsid w:val="004A5F33"/>
    <w:rsid w:val="004B3159"/>
    <w:rsid w:val="004C4625"/>
    <w:rsid w:val="004C5BD2"/>
    <w:rsid w:val="004D2CDF"/>
    <w:rsid w:val="004D732D"/>
    <w:rsid w:val="005157C8"/>
    <w:rsid w:val="00520BF5"/>
    <w:rsid w:val="00526411"/>
    <w:rsid w:val="005758E0"/>
    <w:rsid w:val="005759C6"/>
    <w:rsid w:val="005C22A1"/>
    <w:rsid w:val="00623DB6"/>
    <w:rsid w:val="00623E66"/>
    <w:rsid w:val="00636B20"/>
    <w:rsid w:val="006460E2"/>
    <w:rsid w:val="0069482D"/>
    <w:rsid w:val="006A4021"/>
    <w:rsid w:val="006B38E6"/>
    <w:rsid w:val="006C7DCA"/>
    <w:rsid w:val="006D17F4"/>
    <w:rsid w:val="006D66F5"/>
    <w:rsid w:val="006E0EC3"/>
    <w:rsid w:val="006F38BD"/>
    <w:rsid w:val="007049B4"/>
    <w:rsid w:val="00714934"/>
    <w:rsid w:val="00716C8A"/>
    <w:rsid w:val="00717ADF"/>
    <w:rsid w:val="00723DDC"/>
    <w:rsid w:val="0074671D"/>
    <w:rsid w:val="00755DD4"/>
    <w:rsid w:val="00775F34"/>
    <w:rsid w:val="007B4CDE"/>
    <w:rsid w:val="007C43A3"/>
    <w:rsid w:val="007C7C04"/>
    <w:rsid w:val="007D00A8"/>
    <w:rsid w:val="007E77E3"/>
    <w:rsid w:val="00832C9B"/>
    <w:rsid w:val="00854B77"/>
    <w:rsid w:val="00864CCE"/>
    <w:rsid w:val="00873FDF"/>
    <w:rsid w:val="008A1AFA"/>
    <w:rsid w:val="008A24DD"/>
    <w:rsid w:val="008B292F"/>
    <w:rsid w:val="008C6F07"/>
    <w:rsid w:val="008C766E"/>
    <w:rsid w:val="008D1CAA"/>
    <w:rsid w:val="008E04AE"/>
    <w:rsid w:val="008E2AE4"/>
    <w:rsid w:val="008F0617"/>
    <w:rsid w:val="00923FFE"/>
    <w:rsid w:val="00931A43"/>
    <w:rsid w:val="00944757"/>
    <w:rsid w:val="00952FC2"/>
    <w:rsid w:val="00960C1C"/>
    <w:rsid w:val="0096743A"/>
    <w:rsid w:val="00971650"/>
    <w:rsid w:val="009778BB"/>
    <w:rsid w:val="009A01F4"/>
    <w:rsid w:val="009A0E22"/>
    <w:rsid w:val="009C2B2B"/>
    <w:rsid w:val="009F1D9F"/>
    <w:rsid w:val="00A212F2"/>
    <w:rsid w:val="00A37908"/>
    <w:rsid w:val="00A42F60"/>
    <w:rsid w:val="00A52C1A"/>
    <w:rsid w:val="00A53501"/>
    <w:rsid w:val="00A6737B"/>
    <w:rsid w:val="00AA6426"/>
    <w:rsid w:val="00AC39A5"/>
    <w:rsid w:val="00B0518A"/>
    <w:rsid w:val="00B30767"/>
    <w:rsid w:val="00B561BA"/>
    <w:rsid w:val="00B61BB6"/>
    <w:rsid w:val="00B65F45"/>
    <w:rsid w:val="00B67F9B"/>
    <w:rsid w:val="00B7710B"/>
    <w:rsid w:val="00B95ED8"/>
    <w:rsid w:val="00BC03E1"/>
    <w:rsid w:val="00BC4FCA"/>
    <w:rsid w:val="00BC6367"/>
    <w:rsid w:val="00BE2210"/>
    <w:rsid w:val="00BF0B35"/>
    <w:rsid w:val="00BF33B0"/>
    <w:rsid w:val="00C23B8B"/>
    <w:rsid w:val="00C25B74"/>
    <w:rsid w:val="00C51077"/>
    <w:rsid w:val="00C629AB"/>
    <w:rsid w:val="00C63101"/>
    <w:rsid w:val="00C635CF"/>
    <w:rsid w:val="00C8652F"/>
    <w:rsid w:val="00C922F1"/>
    <w:rsid w:val="00CA701D"/>
    <w:rsid w:val="00CB666A"/>
    <w:rsid w:val="00CF0322"/>
    <w:rsid w:val="00CF7AF5"/>
    <w:rsid w:val="00CF7FC8"/>
    <w:rsid w:val="00D10E69"/>
    <w:rsid w:val="00D11787"/>
    <w:rsid w:val="00D158AB"/>
    <w:rsid w:val="00D232A9"/>
    <w:rsid w:val="00D33608"/>
    <w:rsid w:val="00D41D2D"/>
    <w:rsid w:val="00D90D80"/>
    <w:rsid w:val="00DA13AC"/>
    <w:rsid w:val="00E04F22"/>
    <w:rsid w:val="00E07C77"/>
    <w:rsid w:val="00E214DF"/>
    <w:rsid w:val="00E55DA6"/>
    <w:rsid w:val="00E608BD"/>
    <w:rsid w:val="00E87B80"/>
    <w:rsid w:val="00ED79A0"/>
    <w:rsid w:val="00EE13B5"/>
    <w:rsid w:val="00EE3E8B"/>
    <w:rsid w:val="00EF5798"/>
    <w:rsid w:val="00F0138F"/>
    <w:rsid w:val="00F12E66"/>
    <w:rsid w:val="00F17AE8"/>
    <w:rsid w:val="00F27CC5"/>
    <w:rsid w:val="00F308CA"/>
    <w:rsid w:val="00F373D7"/>
    <w:rsid w:val="00F71E7B"/>
    <w:rsid w:val="00F76886"/>
    <w:rsid w:val="00F76925"/>
    <w:rsid w:val="00FA1332"/>
    <w:rsid w:val="00FA47DB"/>
    <w:rsid w:val="00FB746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32BFDC"/>
  <w14:defaultImageDpi w14:val="300"/>
  <w15:docId w15:val="{794C4D46-7697-F84D-B76D-371B2916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E05"/>
    <w:pPr>
      <w:spacing w:after="200" w:line="276" w:lineRule="auto"/>
    </w:pPr>
    <w:rPr>
      <w:rFonts w:eastAsiaTheme="minorHAnsi"/>
      <w:sz w:val="22"/>
      <w:szCs w:val="22"/>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76E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76E05"/>
    <w:rPr>
      <w:rFonts w:eastAsiaTheme="minorHAnsi"/>
      <w:sz w:val="22"/>
      <w:szCs w:val="22"/>
      <w:lang w:val="es-MX" w:eastAsia="en-US"/>
    </w:rPr>
  </w:style>
  <w:style w:type="paragraph" w:styleId="Textonotapie">
    <w:name w:val="footnote text"/>
    <w:basedOn w:val="Normal"/>
    <w:link w:val="TextonotapieCar"/>
    <w:unhideWhenUsed/>
    <w:rsid w:val="00076E05"/>
    <w:pPr>
      <w:spacing w:after="0" w:line="240" w:lineRule="auto"/>
    </w:pPr>
    <w:rPr>
      <w:sz w:val="20"/>
      <w:szCs w:val="20"/>
    </w:rPr>
  </w:style>
  <w:style w:type="character" w:customStyle="1" w:styleId="TextonotapieCar">
    <w:name w:val="Texto nota pie Car"/>
    <w:basedOn w:val="Fuentedeprrafopredeter"/>
    <w:link w:val="Textonotapie"/>
    <w:rsid w:val="00076E05"/>
    <w:rPr>
      <w:rFonts w:eastAsiaTheme="minorHAnsi"/>
      <w:sz w:val="20"/>
      <w:szCs w:val="20"/>
      <w:lang w:val="es-MX" w:eastAsia="en-US"/>
    </w:rPr>
  </w:style>
  <w:style w:type="character" w:styleId="Refdenotaalpie">
    <w:name w:val="footnote reference"/>
    <w:basedOn w:val="Fuentedeprrafopredeter"/>
    <w:unhideWhenUsed/>
    <w:rsid w:val="00076E05"/>
    <w:rPr>
      <w:vertAlign w:val="superscript"/>
    </w:rPr>
  </w:style>
  <w:style w:type="paragraph" w:styleId="Prrafodelista">
    <w:name w:val="List Paragraph"/>
    <w:basedOn w:val="Normal"/>
    <w:uiPriority w:val="34"/>
    <w:qFormat/>
    <w:rsid w:val="00076E05"/>
    <w:pPr>
      <w:ind w:left="720"/>
      <w:contextualSpacing/>
    </w:pPr>
  </w:style>
  <w:style w:type="paragraph" w:customStyle="1" w:styleId="Texto">
    <w:name w:val="Texto"/>
    <w:basedOn w:val="Normal"/>
    <w:rsid w:val="00076E05"/>
    <w:pPr>
      <w:spacing w:after="101" w:line="216" w:lineRule="exact"/>
      <w:ind w:firstLine="288"/>
      <w:jc w:val="both"/>
    </w:pPr>
    <w:rPr>
      <w:rFonts w:ascii="Arial" w:eastAsia="Times New Roman" w:hAnsi="Arial" w:cs="Arial"/>
      <w:noProof/>
      <w:sz w:val="18"/>
      <w:szCs w:val="18"/>
      <w:lang w:eastAsia="es-ES"/>
    </w:rPr>
  </w:style>
  <w:style w:type="paragraph" w:customStyle="1" w:styleId="Normal1">
    <w:name w:val="Normal1"/>
    <w:rsid w:val="00076E05"/>
    <w:pPr>
      <w:pBdr>
        <w:top w:val="nil"/>
        <w:left w:val="nil"/>
        <w:bottom w:val="nil"/>
        <w:right w:val="nil"/>
        <w:between w:val="nil"/>
      </w:pBdr>
      <w:spacing w:line="276" w:lineRule="auto"/>
    </w:pPr>
    <w:rPr>
      <w:rFonts w:ascii="Arial" w:eastAsia="Arial" w:hAnsi="Arial" w:cs="Arial"/>
      <w:color w:val="000000"/>
      <w:sz w:val="22"/>
      <w:szCs w:val="22"/>
      <w:lang w:val="es"/>
    </w:rPr>
  </w:style>
  <w:style w:type="paragraph" w:styleId="Textoindependiente2">
    <w:name w:val="Body Text 2"/>
    <w:basedOn w:val="Normal"/>
    <w:link w:val="Textoindependiente2Car"/>
    <w:uiPriority w:val="99"/>
    <w:unhideWhenUsed/>
    <w:rsid w:val="00076E05"/>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076E05"/>
    <w:rPr>
      <w:rFonts w:ascii="Calibri" w:eastAsia="Calibri" w:hAnsi="Calibri" w:cs="Times New Roman"/>
      <w:sz w:val="22"/>
      <w:szCs w:val="22"/>
      <w:lang w:val="es-MX" w:eastAsia="en-US"/>
    </w:rPr>
  </w:style>
  <w:style w:type="character" w:styleId="Refdenotaalfinal">
    <w:name w:val="endnote reference"/>
    <w:uiPriority w:val="99"/>
    <w:unhideWhenUsed/>
    <w:rsid w:val="00076E05"/>
    <w:rPr>
      <w:vertAlign w:val="superscript"/>
    </w:rPr>
  </w:style>
  <w:style w:type="paragraph" w:styleId="Textonotaalfinal">
    <w:name w:val="endnote text"/>
    <w:link w:val="TextonotaalfinalCar"/>
    <w:autoRedefine/>
    <w:uiPriority w:val="99"/>
    <w:unhideWhenUsed/>
    <w:qFormat/>
    <w:rsid w:val="00076E05"/>
    <w:pPr>
      <w:spacing w:line="360" w:lineRule="auto"/>
      <w:ind w:firstLine="709"/>
      <w:jc w:val="both"/>
    </w:pPr>
    <w:rPr>
      <w:rFonts w:ascii="Times New Roman" w:eastAsia="Calibri" w:hAnsi="Times New Roman" w:cs="Mangal"/>
      <w:sz w:val="22"/>
      <w:lang w:val="es-MX" w:eastAsia="en-US"/>
    </w:rPr>
  </w:style>
  <w:style w:type="character" w:customStyle="1" w:styleId="TextonotaalfinalCar">
    <w:name w:val="Texto nota al final Car"/>
    <w:basedOn w:val="Fuentedeprrafopredeter"/>
    <w:link w:val="Textonotaalfinal"/>
    <w:uiPriority w:val="99"/>
    <w:rsid w:val="00076E05"/>
    <w:rPr>
      <w:rFonts w:ascii="Times New Roman" w:eastAsia="Calibri" w:hAnsi="Times New Roman" w:cs="Mangal"/>
      <w:sz w:val="22"/>
      <w:lang w:val="es-MX" w:eastAsia="en-US"/>
    </w:rPr>
  </w:style>
  <w:style w:type="paragraph" w:styleId="Piedepgina">
    <w:name w:val="footer"/>
    <w:basedOn w:val="Normal"/>
    <w:link w:val="PiedepginaCar"/>
    <w:uiPriority w:val="99"/>
    <w:unhideWhenUsed/>
    <w:rsid w:val="00076E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76E05"/>
    <w:rPr>
      <w:rFonts w:eastAsiaTheme="minorHAnsi"/>
      <w:sz w:val="22"/>
      <w:szCs w:val="22"/>
      <w:lang w:val="es-MX" w:eastAsia="en-US"/>
    </w:rPr>
  </w:style>
  <w:style w:type="paragraph" w:customStyle="1" w:styleId="TextoCar">
    <w:name w:val="Texto Car"/>
    <w:basedOn w:val="Normal"/>
    <w:rsid w:val="00171BF2"/>
    <w:pPr>
      <w:spacing w:after="101" w:line="216" w:lineRule="exact"/>
      <w:ind w:firstLine="288"/>
      <w:jc w:val="both"/>
    </w:pPr>
    <w:rPr>
      <w:rFonts w:ascii="Arial" w:eastAsia="Times New Roman" w:hAnsi="Arial" w:cs="Arial"/>
      <w:noProof/>
      <w:sz w:val="18"/>
      <w:szCs w:val="18"/>
      <w:lang w:eastAsia="es-ES"/>
    </w:rPr>
  </w:style>
  <w:style w:type="paragraph" w:customStyle="1" w:styleId="ROMANOS">
    <w:name w:val="ROMANOS"/>
    <w:basedOn w:val="Normal"/>
    <w:rsid w:val="00171BF2"/>
    <w:pPr>
      <w:tabs>
        <w:tab w:val="left" w:pos="720"/>
      </w:tabs>
      <w:spacing w:after="101" w:line="216" w:lineRule="atLeast"/>
      <w:ind w:left="720" w:hanging="432"/>
      <w:jc w:val="both"/>
    </w:pPr>
    <w:rPr>
      <w:rFonts w:ascii="Arial" w:eastAsia="Times New Roman" w:hAnsi="Arial" w:cs="Times New Roman"/>
      <w:noProof/>
      <w:sz w:val="18"/>
      <w:szCs w:val="20"/>
      <w:lang w:val="es-ES_tradnl" w:eastAsia="es-ES"/>
    </w:rPr>
  </w:style>
  <w:style w:type="paragraph" w:customStyle="1" w:styleId="texto0">
    <w:name w:val="texto"/>
    <w:basedOn w:val="Normal"/>
    <w:rsid w:val="00171BF2"/>
    <w:pPr>
      <w:spacing w:after="101" w:line="216" w:lineRule="atLeast"/>
      <w:ind w:firstLine="288"/>
      <w:jc w:val="both"/>
    </w:pPr>
    <w:rPr>
      <w:rFonts w:ascii="Arial" w:eastAsia="Times New Roman" w:hAnsi="Arial" w:cs="Times New Roman"/>
      <w:noProof/>
      <w:sz w:val="18"/>
      <w:szCs w:val="20"/>
      <w:lang w:val="es-ES_tradnl" w:eastAsia="es-ES"/>
    </w:rPr>
  </w:style>
  <w:style w:type="paragraph" w:customStyle="1" w:styleId="Default">
    <w:name w:val="Default"/>
    <w:rsid w:val="00171BF2"/>
    <w:pPr>
      <w:widowControl w:val="0"/>
      <w:autoSpaceDE w:val="0"/>
      <w:autoSpaceDN w:val="0"/>
      <w:adjustRightInd w:val="0"/>
    </w:pPr>
    <w:rPr>
      <w:rFonts w:ascii="Arial" w:hAnsi="Arial" w:cs="Arial"/>
      <w:color w:val="000000"/>
      <w:lang w:val="es-ES"/>
    </w:rPr>
  </w:style>
  <w:style w:type="paragraph" w:styleId="HTMLconformatoprevio">
    <w:name w:val="HTML Preformatted"/>
    <w:basedOn w:val="Normal"/>
    <w:link w:val="HTMLconformatoprevioCar"/>
    <w:uiPriority w:val="99"/>
    <w:unhideWhenUsed/>
    <w:rsid w:val="008A1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lang w:eastAsia="es-ES"/>
    </w:rPr>
  </w:style>
  <w:style w:type="character" w:customStyle="1" w:styleId="HTMLconformatoprevioCar">
    <w:name w:val="HTML con formato previo Car"/>
    <w:basedOn w:val="Fuentedeprrafopredeter"/>
    <w:link w:val="HTMLconformatoprevio"/>
    <w:uiPriority w:val="99"/>
    <w:rsid w:val="008A1AFA"/>
    <w:rPr>
      <w:rFonts w:ascii="Courier" w:hAnsi="Courier" w:cs="Courier"/>
      <w:sz w:val="20"/>
      <w:szCs w:val="20"/>
      <w:lang w:val="es-MX"/>
    </w:rPr>
  </w:style>
  <w:style w:type="paragraph" w:styleId="NormalWeb">
    <w:name w:val="Normal (Web)"/>
    <w:basedOn w:val="Normal"/>
    <w:uiPriority w:val="99"/>
    <w:unhideWhenUsed/>
    <w:rsid w:val="001D5A89"/>
    <w:pPr>
      <w:spacing w:before="100" w:beforeAutospacing="1" w:after="100" w:afterAutospacing="1" w:line="240" w:lineRule="auto"/>
    </w:pPr>
    <w:rPr>
      <w:rFonts w:ascii="Times New Roman" w:eastAsiaTheme="minorEastAsia" w:hAnsi="Times New Roman" w:cs="Times New Roman"/>
      <w:sz w:val="20"/>
      <w:szCs w:val="20"/>
      <w:lang w:eastAsia="es-ES"/>
    </w:rPr>
  </w:style>
  <w:style w:type="paragraph" w:styleId="Textodeglobo">
    <w:name w:val="Balloon Text"/>
    <w:basedOn w:val="Normal"/>
    <w:link w:val="TextodegloboCar"/>
    <w:uiPriority w:val="99"/>
    <w:semiHidden/>
    <w:unhideWhenUsed/>
    <w:rsid w:val="006A4021"/>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A4021"/>
    <w:rPr>
      <w:rFonts w:ascii="Lucida Grande" w:eastAsiaTheme="minorHAnsi" w:hAnsi="Lucida Grande" w:cs="Lucida Grande"/>
      <w:sz w:val="18"/>
      <w:szCs w:val="18"/>
      <w:lang w:val="es-MX" w:eastAsia="en-US"/>
    </w:rPr>
  </w:style>
  <w:style w:type="paragraph" w:styleId="Ttulo">
    <w:name w:val="Title"/>
    <w:next w:val="Normal"/>
    <w:link w:val="TtuloCar"/>
    <w:uiPriority w:val="10"/>
    <w:qFormat/>
    <w:rsid w:val="00D158AB"/>
    <w:pPr>
      <w:pBdr>
        <w:top w:val="nil"/>
        <w:left w:val="nil"/>
        <w:bottom w:val="nil"/>
        <w:right w:val="nil"/>
        <w:between w:val="nil"/>
        <w:bar w:val="nil"/>
      </w:pBdr>
      <w:ind w:firstLine="15"/>
    </w:pPr>
    <w:rPr>
      <w:rFonts w:ascii="Economica" w:eastAsia="Economica" w:hAnsi="Economica" w:cs="Economica"/>
      <w:color w:val="000000"/>
      <w:sz w:val="60"/>
      <w:szCs w:val="60"/>
      <w:u w:color="000000"/>
      <w:bdr w:val="nil"/>
      <w:lang w:val="en-US" w:eastAsia="es-ES_tradnl"/>
      <w14:textOutline w14:w="0" w14:cap="flat" w14:cmpd="sng" w14:algn="ctr">
        <w14:noFill/>
        <w14:prstDash w14:val="solid"/>
        <w14:bevel/>
      </w14:textOutline>
    </w:rPr>
  </w:style>
  <w:style w:type="character" w:customStyle="1" w:styleId="TtuloCar">
    <w:name w:val="Título Car"/>
    <w:basedOn w:val="Fuentedeprrafopredeter"/>
    <w:link w:val="Ttulo"/>
    <w:uiPriority w:val="10"/>
    <w:rsid w:val="00D158AB"/>
    <w:rPr>
      <w:rFonts w:ascii="Economica" w:eastAsia="Economica" w:hAnsi="Economica" w:cs="Economica"/>
      <w:color w:val="000000"/>
      <w:sz w:val="60"/>
      <w:szCs w:val="60"/>
      <w:u w:color="000000"/>
      <w:bdr w:val="nil"/>
      <w:lang w:val="en-US" w:eastAsia="es-ES_tradn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9298">
      <w:bodyDiv w:val="1"/>
      <w:marLeft w:val="0"/>
      <w:marRight w:val="0"/>
      <w:marTop w:val="0"/>
      <w:marBottom w:val="0"/>
      <w:divBdr>
        <w:top w:val="none" w:sz="0" w:space="0" w:color="auto"/>
        <w:left w:val="none" w:sz="0" w:space="0" w:color="auto"/>
        <w:bottom w:val="none" w:sz="0" w:space="0" w:color="auto"/>
        <w:right w:val="none" w:sz="0" w:space="0" w:color="auto"/>
      </w:divBdr>
    </w:div>
    <w:div w:id="979653469">
      <w:bodyDiv w:val="1"/>
      <w:marLeft w:val="0"/>
      <w:marRight w:val="0"/>
      <w:marTop w:val="0"/>
      <w:marBottom w:val="0"/>
      <w:divBdr>
        <w:top w:val="none" w:sz="0" w:space="0" w:color="auto"/>
        <w:left w:val="none" w:sz="0" w:space="0" w:color="auto"/>
        <w:bottom w:val="none" w:sz="0" w:space="0" w:color="auto"/>
        <w:right w:val="none" w:sz="0" w:space="0" w:color="auto"/>
      </w:divBdr>
    </w:div>
    <w:div w:id="1027636644">
      <w:bodyDiv w:val="1"/>
      <w:marLeft w:val="0"/>
      <w:marRight w:val="0"/>
      <w:marTop w:val="0"/>
      <w:marBottom w:val="0"/>
      <w:divBdr>
        <w:top w:val="none" w:sz="0" w:space="0" w:color="auto"/>
        <w:left w:val="none" w:sz="0" w:space="0" w:color="auto"/>
        <w:bottom w:val="none" w:sz="0" w:space="0" w:color="auto"/>
        <w:right w:val="none" w:sz="0" w:space="0" w:color="auto"/>
      </w:divBdr>
      <w:divsChild>
        <w:div w:id="1264917124">
          <w:marLeft w:val="0"/>
          <w:marRight w:val="0"/>
          <w:marTop w:val="0"/>
          <w:marBottom w:val="0"/>
          <w:divBdr>
            <w:top w:val="none" w:sz="0" w:space="0" w:color="auto"/>
            <w:left w:val="none" w:sz="0" w:space="0" w:color="auto"/>
            <w:bottom w:val="none" w:sz="0" w:space="0" w:color="auto"/>
            <w:right w:val="none" w:sz="0" w:space="0" w:color="auto"/>
          </w:divBdr>
          <w:divsChild>
            <w:div w:id="828249255">
              <w:marLeft w:val="0"/>
              <w:marRight w:val="0"/>
              <w:marTop w:val="0"/>
              <w:marBottom w:val="0"/>
              <w:divBdr>
                <w:top w:val="none" w:sz="0" w:space="0" w:color="auto"/>
                <w:left w:val="none" w:sz="0" w:space="0" w:color="auto"/>
                <w:bottom w:val="none" w:sz="0" w:space="0" w:color="auto"/>
                <w:right w:val="none" w:sz="0" w:space="0" w:color="auto"/>
              </w:divBdr>
              <w:divsChild>
                <w:div w:id="178044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20818">
      <w:bodyDiv w:val="1"/>
      <w:marLeft w:val="0"/>
      <w:marRight w:val="0"/>
      <w:marTop w:val="0"/>
      <w:marBottom w:val="0"/>
      <w:divBdr>
        <w:top w:val="none" w:sz="0" w:space="0" w:color="auto"/>
        <w:left w:val="none" w:sz="0" w:space="0" w:color="auto"/>
        <w:bottom w:val="none" w:sz="0" w:space="0" w:color="auto"/>
        <w:right w:val="none" w:sz="0" w:space="0" w:color="auto"/>
      </w:divBdr>
      <w:divsChild>
        <w:div w:id="1299529148">
          <w:marLeft w:val="0"/>
          <w:marRight w:val="0"/>
          <w:marTop w:val="0"/>
          <w:marBottom w:val="0"/>
          <w:divBdr>
            <w:top w:val="none" w:sz="0" w:space="0" w:color="auto"/>
            <w:left w:val="none" w:sz="0" w:space="0" w:color="auto"/>
            <w:bottom w:val="none" w:sz="0" w:space="0" w:color="auto"/>
            <w:right w:val="none" w:sz="0" w:space="0" w:color="auto"/>
          </w:divBdr>
          <w:divsChild>
            <w:div w:id="1762406187">
              <w:marLeft w:val="0"/>
              <w:marRight w:val="0"/>
              <w:marTop w:val="0"/>
              <w:marBottom w:val="0"/>
              <w:divBdr>
                <w:top w:val="none" w:sz="0" w:space="0" w:color="auto"/>
                <w:left w:val="none" w:sz="0" w:space="0" w:color="auto"/>
                <w:bottom w:val="none" w:sz="0" w:space="0" w:color="auto"/>
                <w:right w:val="none" w:sz="0" w:space="0" w:color="auto"/>
              </w:divBdr>
              <w:divsChild>
                <w:div w:id="2026130790">
                  <w:marLeft w:val="0"/>
                  <w:marRight w:val="0"/>
                  <w:marTop w:val="0"/>
                  <w:marBottom w:val="0"/>
                  <w:divBdr>
                    <w:top w:val="none" w:sz="0" w:space="0" w:color="auto"/>
                    <w:left w:val="none" w:sz="0" w:space="0" w:color="auto"/>
                    <w:bottom w:val="none" w:sz="0" w:space="0" w:color="auto"/>
                    <w:right w:val="none" w:sz="0" w:space="0" w:color="auto"/>
                  </w:divBdr>
                </w:div>
              </w:divsChild>
            </w:div>
            <w:div w:id="498618502">
              <w:marLeft w:val="0"/>
              <w:marRight w:val="0"/>
              <w:marTop w:val="0"/>
              <w:marBottom w:val="0"/>
              <w:divBdr>
                <w:top w:val="none" w:sz="0" w:space="0" w:color="auto"/>
                <w:left w:val="none" w:sz="0" w:space="0" w:color="auto"/>
                <w:bottom w:val="none" w:sz="0" w:space="0" w:color="auto"/>
                <w:right w:val="none" w:sz="0" w:space="0" w:color="auto"/>
              </w:divBdr>
              <w:divsChild>
                <w:div w:id="32632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45338-9497-A949-B8CC-39FE104FB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13</Pages>
  <Words>4421</Words>
  <Characters>24056</Characters>
  <Application>Microsoft Office Word</Application>
  <DocSecurity>0</DocSecurity>
  <Lines>437</Lines>
  <Paragraphs>136</Paragraphs>
  <ScaleCrop>false</ScaleCrop>
  <Company>personal</Company>
  <LinksUpToDate>false</LinksUpToDate>
  <CharactersWithSpaces>28341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Aimée Vega Montiel</dc:creator>
  <cp:keywords/>
  <dc:description/>
  <cp:lastModifiedBy>Microsoft Office User</cp:lastModifiedBy>
  <cp:revision>19</cp:revision>
  <dcterms:created xsi:type="dcterms:W3CDTF">2023-09-11T02:54:00Z</dcterms:created>
  <dcterms:modified xsi:type="dcterms:W3CDTF">2023-09-11T07:11:00Z</dcterms:modified>
</cp:coreProperties>
</file>