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049BD" w14:textId="77777777" w:rsidR="002B2B2B" w:rsidRDefault="002B2B2B" w:rsidP="002B2B2B">
      <w:pPr>
        <w:jc w:val="center"/>
        <w:rPr>
          <w:rFonts w:asciiTheme="minorBidi" w:eastAsia="Times New Roman" w:hAnsiTheme="minorBidi"/>
          <w:b/>
          <w:bCs/>
          <w:noProof/>
          <w:color w:val="197DC1"/>
          <w:sz w:val="32"/>
          <w:szCs w:val="32"/>
          <w:lang w:bidi="fa-IR"/>
        </w:rPr>
      </w:pPr>
      <w:r>
        <w:rPr>
          <w:rFonts w:asciiTheme="majorBidi" w:eastAsia="Times New Roman" w:hAnsiTheme="majorBidi" w:cstheme="majorBidi"/>
          <w:b/>
          <w:bCs/>
          <w:noProof/>
          <w:color w:val="000000" w:themeColor="text1"/>
        </w:rPr>
        <w:drawing>
          <wp:anchor distT="0" distB="0" distL="114300" distR="114300" simplePos="0" relativeHeight="251659264" behindDoc="1" locked="0" layoutInCell="1" allowOverlap="1" wp14:anchorId="35B98A3D" wp14:editId="09F5CAF6">
            <wp:simplePos x="0" y="0"/>
            <wp:positionH relativeFrom="margin">
              <wp:posOffset>2038985</wp:posOffset>
            </wp:positionH>
            <wp:positionV relativeFrom="margin">
              <wp:posOffset>251460</wp:posOffset>
            </wp:positionV>
            <wp:extent cx="1865955" cy="1752600"/>
            <wp:effectExtent l="0" t="0" r="0" b="0"/>
            <wp:wrapSquare wrapText="bothSides"/>
            <wp:docPr id="4769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3897"/>
                    <a:stretch>
                      <a:fillRect/>
                    </a:stretch>
                  </pic:blipFill>
                  <pic:spPr bwMode="auto">
                    <a:xfrm>
                      <a:off x="0" y="0"/>
                      <a:ext cx="1865955"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A303F1" w14:textId="530BABAA" w:rsidR="002B2B2B" w:rsidRDefault="002B2B2B" w:rsidP="00431663">
      <w:pPr>
        <w:jc w:val="center"/>
        <w:rPr>
          <w:rFonts w:asciiTheme="majorBidi" w:hAnsiTheme="majorBidi" w:cstheme="majorBidi"/>
          <w:b/>
          <w:bCs/>
          <w:color w:val="000000" w:themeColor="text1"/>
        </w:rPr>
      </w:pPr>
    </w:p>
    <w:p w14:paraId="01C588DB" w14:textId="121FE2D9" w:rsidR="002B2B2B" w:rsidRDefault="002B2B2B" w:rsidP="00431663">
      <w:pPr>
        <w:jc w:val="center"/>
        <w:rPr>
          <w:rFonts w:asciiTheme="majorBidi" w:hAnsiTheme="majorBidi" w:cstheme="majorBidi"/>
          <w:b/>
          <w:bCs/>
          <w:color w:val="000000" w:themeColor="text1"/>
        </w:rPr>
      </w:pPr>
    </w:p>
    <w:p w14:paraId="1BFDC594" w14:textId="77777777" w:rsidR="002B2B2B" w:rsidRDefault="002B2B2B" w:rsidP="002B2B2B">
      <w:pPr>
        <w:jc w:val="center"/>
        <w:rPr>
          <w:rFonts w:cstheme="minorHAnsi"/>
          <w:b/>
          <w:bCs/>
          <w:color w:val="2E74B5" w:themeColor="accent5" w:themeShade="BF"/>
          <w:sz w:val="36"/>
          <w:szCs w:val="36"/>
        </w:rPr>
      </w:pPr>
    </w:p>
    <w:p w14:paraId="392E368B" w14:textId="77777777" w:rsidR="002B2B2B" w:rsidRPr="002B2B2B" w:rsidRDefault="002B2B2B" w:rsidP="002B2B2B">
      <w:pPr>
        <w:jc w:val="center"/>
        <w:rPr>
          <w:rFonts w:cstheme="minorHAnsi"/>
          <w:b/>
          <w:bCs/>
          <w:color w:val="2E74B5" w:themeColor="accent5" w:themeShade="BF"/>
          <w:sz w:val="10"/>
          <w:szCs w:val="10"/>
        </w:rPr>
      </w:pPr>
    </w:p>
    <w:p w14:paraId="06DF7CC8" w14:textId="77777777" w:rsidR="002B2B2B" w:rsidRPr="002B2B2B" w:rsidRDefault="002B2B2B" w:rsidP="002B2B2B">
      <w:pPr>
        <w:jc w:val="center"/>
        <w:rPr>
          <w:rFonts w:cstheme="minorHAnsi"/>
          <w:b/>
          <w:bCs/>
          <w:color w:val="2E74B5" w:themeColor="accent5" w:themeShade="BF"/>
          <w:sz w:val="10"/>
          <w:szCs w:val="10"/>
          <w:rtl/>
        </w:rPr>
      </w:pPr>
    </w:p>
    <w:p w14:paraId="54394AD3" w14:textId="77777777" w:rsidR="003A7721" w:rsidRPr="003A7721" w:rsidRDefault="003A7721" w:rsidP="003A7721">
      <w:pPr>
        <w:jc w:val="center"/>
        <w:rPr>
          <w:rFonts w:cstheme="minorHAnsi"/>
          <w:b/>
          <w:bCs/>
          <w:color w:val="2E74B5" w:themeColor="accent5" w:themeShade="BF"/>
          <w:sz w:val="14"/>
          <w:szCs w:val="14"/>
          <w:rtl/>
        </w:rPr>
      </w:pPr>
    </w:p>
    <w:p w14:paraId="7BE0A5A7" w14:textId="3577E92E" w:rsidR="002B2B2B" w:rsidRDefault="002B2B2B" w:rsidP="003A7721">
      <w:pPr>
        <w:jc w:val="center"/>
        <w:rPr>
          <w:rFonts w:cstheme="minorHAnsi"/>
          <w:b/>
          <w:bCs/>
          <w:color w:val="2E74B5" w:themeColor="accent5" w:themeShade="BF"/>
          <w:sz w:val="40"/>
          <w:szCs w:val="40"/>
          <w:rtl/>
        </w:rPr>
      </w:pPr>
      <w:bookmarkStart w:id="0" w:name="_GoBack"/>
      <w:bookmarkEnd w:id="0"/>
      <w:r w:rsidRPr="002B2B2B">
        <w:rPr>
          <w:rFonts w:cstheme="minorHAnsi"/>
          <w:b/>
          <w:bCs/>
          <w:color w:val="2E74B5" w:themeColor="accent5" w:themeShade="BF"/>
          <w:sz w:val="40"/>
          <w:szCs w:val="40"/>
        </w:rPr>
        <w:t>IPWR</w:t>
      </w:r>
    </w:p>
    <w:p w14:paraId="27463377" w14:textId="77777777" w:rsidR="002B2B2B" w:rsidRPr="002B2B2B" w:rsidRDefault="002B2B2B" w:rsidP="002B2B2B">
      <w:pPr>
        <w:jc w:val="center"/>
        <w:rPr>
          <w:rFonts w:cstheme="minorHAnsi"/>
          <w:b/>
          <w:bCs/>
          <w:color w:val="2E74B5" w:themeColor="accent5" w:themeShade="BF"/>
          <w:sz w:val="2"/>
          <w:szCs w:val="2"/>
        </w:rPr>
      </w:pPr>
    </w:p>
    <w:p w14:paraId="44E62FEF" w14:textId="4B31267C" w:rsidR="002B2B2B" w:rsidRDefault="002B2B2B" w:rsidP="002B2B2B">
      <w:pPr>
        <w:jc w:val="center"/>
        <w:rPr>
          <w:rFonts w:asciiTheme="majorBidi" w:hAnsiTheme="majorBidi" w:cstheme="majorBidi"/>
          <w:b/>
          <w:bCs/>
          <w:color w:val="000000" w:themeColor="text1"/>
          <w:sz w:val="28"/>
          <w:szCs w:val="28"/>
          <w:rtl/>
        </w:rPr>
      </w:pPr>
      <w:r w:rsidRPr="002B2B2B">
        <w:rPr>
          <w:rFonts w:asciiTheme="majorBidi" w:eastAsia="Times New Roman" w:hAnsiTheme="majorBidi" w:cstheme="majorBidi"/>
          <w:b/>
          <w:bCs/>
          <w:color w:val="000000" w:themeColor="text1"/>
          <w:sz w:val="28"/>
          <w:szCs w:val="28"/>
          <w:lang w:bidi="fa-IR"/>
        </w:rPr>
        <w:t>IPWR Report:</w:t>
      </w:r>
      <w:r w:rsidR="002333ED" w:rsidRPr="002B2B2B">
        <w:rPr>
          <w:rFonts w:asciiTheme="majorBidi" w:hAnsiTheme="majorBidi" w:cstheme="majorBidi"/>
          <w:b/>
          <w:bCs/>
          <w:color w:val="000000" w:themeColor="text1"/>
          <w:sz w:val="28"/>
          <w:szCs w:val="28"/>
        </w:rPr>
        <w:t xml:space="preserve"> Workplace Discrimination Against Persons with Disabilities</w:t>
      </w:r>
    </w:p>
    <w:p w14:paraId="379E3D1D" w14:textId="77777777" w:rsidR="002B2B2B" w:rsidRPr="002B2B2B" w:rsidRDefault="002B2B2B" w:rsidP="002B2B2B">
      <w:pPr>
        <w:jc w:val="center"/>
        <w:rPr>
          <w:rFonts w:asciiTheme="majorBidi" w:hAnsiTheme="majorBidi" w:cstheme="majorBidi" w:hint="cs"/>
          <w:b/>
          <w:bCs/>
          <w:color w:val="000000" w:themeColor="text1"/>
          <w:sz w:val="28"/>
          <w:szCs w:val="28"/>
          <w:rtl/>
        </w:rPr>
      </w:pPr>
    </w:p>
    <w:p w14:paraId="55F57847" w14:textId="77777777" w:rsidR="002333ED" w:rsidRPr="002B2B2B" w:rsidRDefault="002333ED" w:rsidP="002333ED">
      <w:pPr>
        <w:rPr>
          <w:rFonts w:asciiTheme="majorBidi" w:hAnsiTheme="majorBidi" w:cstheme="majorBidi"/>
          <w:b/>
          <w:bCs/>
          <w:color w:val="2E74B5" w:themeColor="accent5" w:themeShade="BF"/>
          <w:sz w:val="28"/>
          <w:szCs w:val="28"/>
        </w:rPr>
      </w:pPr>
      <w:r w:rsidRPr="002B2B2B">
        <w:rPr>
          <w:rFonts w:asciiTheme="majorBidi" w:hAnsiTheme="majorBidi" w:cstheme="majorBidi"/>
          <w:b/>
          <w:bCs/>
          <w:color w:val="2E74B5" w:themeColor="accent5" w:themeShade="BF"/>
          <w:sz w:val="28"/>
          <w:szCs w:val="28"/>
        </w:rPr>
        <w:t>Introduction</w:t>
      </w:r>
    </w:p>
    <w:p w14:paraId="45142717" w14:textId="77777777" w:rsidR="002333ED" w:rsidRPr="002333ED" w:rsidRDefault="002333ED" w:rsidP="00480FCA">
      <w:pPr>
        <w:jc w:val="both"/>
        <w:rPr>
          <w:rFonts w:asciiTheme="majorBidi" w:hAnsiTheme="majorBidi" w:cstheme="majorBidi"/>
        </w:rPr>
      </w:pPr>
      <w:r w:rsidRPr="002333ED">
        <w:rPr>
          <w:rFonts w:asciiTheme="majorBidi" w:hAnsiTheme="majorBidi" w:cstheme="majorBidi"/>
        </w:rPr>
        <w:t>The State of Qatar is a State Party to the Convention on the Rights of Persons with Disabilities (CRPD) and has repeatedly affirmed its commitment to promoting the inclusion and participation of persons with disabilities in all aspects of society. Despite recent legislative reforms and public initiatives, significant concerns remain regarding the effective realization of the right to work and protection from discrimination for persons with disabilities.</w:t>
      </w:r>
    </w:p>
    <w:p w14:paraId="355704C3" w14:textId="77777777" w:rsidR="002333ED" w:rsidRPr="002B2B2B" w:rsidRDefault="002333ED" w:rsidP="002333ED">
      <w:pPr>
        <w:rPr>
          <w:rFonts w:asciiTheme="majorBidi" w:hAnsiTheme="majorBidi" w:cstheme="majorBidi"/>
          <w:b/>
          <w:bCs/>
          <w:color w:val="2E74B5" w:themeColor="accent5" w:themeShade="BF"/>
          <w:sz w:val="28"/>
          <w:szCs w:val="28"/>
        </w:rPr>
      </w:pPr>
      <w:r w:rsidRPr="002B2B2B">
        <w:rPr>
          <w:rFonts w:asciiTheme="majorBidi" w:hAnsiTheme="majorBidi" w:cstheme="majorBidi"/>
          <w:b/>
          <w:bCs/>
          <w:color w:val="2E74B5" w:themeColor="accent5" w:themeShade="BF"/>
          <w:sz w:val="28"/>
          <w:szCs w:val="28"/>
        </w:rPr>
        <w:t>1. Legal and Policy Framework</w:t>
      </w:r>
    </w:p>
    <w:p w14:paraId="665E74D8" w14:textId="5705974F" w:rsidR="002333ED" w:rsidRPr="002333ED" w:rsidRDefault="002333ED" w:rsidP="00480FCA">
      <w:pPr>
        <w:jc w:val="both"/>
        <w:rPr>
          <w:rFonts w:asciiTheme="majorBidi" w:hAnsiTheme="majorBidi" w:cstheme="majorBidi"/>
        </w:rPr>
      </w:pPr>
      <w:r w:rsidRPr="002333ED">
        <w:rPr>
          <w:rFonts w:asciiTheme="majorBidi" w:hAnsiTheme="majorBidi" w:cstheme="majorBidi"/>
        </w:rPr>
        <w:t>In October 2025, Qatar adopted Law No. 22 of 2025 on Persons with Disabilities, replacing the previous disability law of 2004. The new law represents a significant advancement in the protection of disability rights and explicitly incorporates principles of non-discrimination, equal opportunity, accessibility, and reasonable accommodation (Ministry of Social Development and Family, 2025). The law aligns more closely with the CRPD and establishes obligations for public and private employers to provide reasonable accommodations and ensure equal treatment in employment</w:t>
      </w:r>
      <w:r w:rsidR="00FB46FE">
        <w:rPr>
          <w:rStyle w:val="FootnoteReference"/>
          <w:rFonts w:asciiTheme="majorBidi" w:hAnsiTheme="majorBidi" w:cstheme="majorBidi"/>
        </w:rPr>
        <w:footnoteReference w:id="1"/>
      </w:r>
      <w:r w:rsidRPr="002333ED">
        <w:rPr>
          <w:rFonts w:asciiTheme="majorBidi" w:hAnsiTheme="majorBidi" w:cstheme="majorBidi"/>
        </w:rPr>
        <w:t>.</w:t>
      </w:r>
    </w:p>
    <w:p w14:paraId="2AC59888" w14:textId="36F77FDD" w:rsidR="002333ED" w:rsidRDefault="00480FCA" w:rsidP="003C4FE0">
      <w:pPr>
        <w:jc w:val="both"/>
        <w:rPr>
          <w:rFonts w:asciiTheme="majorBidi" w:hAnsiTheme="majorBidi" w:cstheme="majorBidi"/>
        </w:rPr>
      </w:pPr>
      <w:r w:rsidRPr="00480FCA">
        <w:rPr>
          <w:rFonts w:asciiTheme="majorBidi" w:hAnsiTheme="majorBidi" w:cstheme="majorBidi"/>
        </w:rPr>
        <w:t>It broadly prohibits any exclusion or less-</w:t>
      </w:r>
      <w:proofErr w:type="spellStart"/>
      <w:r w:rsidRPr="00480FCA">
        <w:rPr>
          <w:rFonts w:asciiTheme="majorBidi" w:hAnsiTheme="majorBidi" w:cstheme="majorBidi"/>
        </w:rPr>
        <w:t>favourable</w:t>
      </w:r>
      <w:proofErr w:type="spellEnd"/>
      <w:r w:rsidRPr="00480FCA">
        <w:rPr>
          <w:rFonts w:asciiTheme="majorBidi" w:hAnsiTheme="majorBidi" w:cstheme="majorBidi"/>
        </w:rPr>
        <w:t xml:space="preserve"> treatment on the basis of disability in all employment matters, including recruitment, hiring, conditions, promotions and dismissals. Employers (public and private) are required to make “reasonable accommodations” and ensure </w:t>
      </w:r>
      <w:r w:rsidRPr="00480FCA">
        <w:rPr>
          <w:rFonts w:asciiTheme="majorBidi" w:hAnsiTheme="majorBidi" w:cstheme="majorBidi"/>
        </w:rPr>
        <w:lastRenderedPageBreak/>
        <w:t>physical/digital accessibility within one year of the law’s effective date. The law also introduces affirmative measures: a mandated employment quota (to be set by the Council of Ministers) for persons with disabilities. Violations (e.g. failing to accommodate or discriminating) carry fines (≈QAR 50,000) and even imprisonment for serious harms. Importantly, persons with disabilities can lodge complaints with the Ministry of Social Development and Family (MSDF) and seek judicial remedies</w:t>
      </w:r>
      <w:r>
        <w:rPr>
          <w:rStyle w:val="FootnoteReference"/>
          <w:rFonts w:asciiTheme="majorBidi" w:hAnsiTheme="majorBidi" w:cstheme="majorBidi"/>
        </w:rPr>
        <w:footnoteReference w:id="2"/>
      </w:r>
      <w:r w:rsidRPr="00480FCA">
        <w:rPr>
          <w:rFonts w:asciiTheme="majorBidi" w:hAnsiTheme="majorBidi" w:cstheme="majorBidi"/>
        </w:rPr>
        <w:t>. These provisions closely mirror CRPD Article 27 obligations, which require states to “prohibit discrimination … in all forms of employment” and to “ensure that reasonable accommodation is provided”</w:t>
      </w:r>
      <w:r>
        <w:rPr>
          <w:rStyle w:val="FootnoteReference"/>
          <w:rFonts w:asciiTheme="majorBidi" w:hAnsiTheme="majorBidi" w:cstheme="majorBidi"/>
        </w:rPr>
        <w:footnoteReference w:id="3"/>
      </w:r>
      <w:r w:rsidRPr="00480FCA">
        <w:rPr>
          <w:rFonts w:asciiTheme="majorBidi" w:hAnsiTheme="majorBidi" w:cstheme="majorBidi"/>
        </w:rPr>
        <w:t>.</w:t>
      </w:r>
    </w:p>
    <w:p w14:paraId="040660E3" w14:textId="367B3D55" w:rsidR="00480FCA" w:rsidRPr="002333ED" w:rsidRDefault="00480FCA" w:rsidP="00480FCA">
      <w:pPr>
        <w:jc w:val="both"/>
        <w:rPr>
          <w:rFonts w:asciiTheme="majorBidi" w:hAnsiTheme="majorBidi" w:cstheme="majorBidi"/>
          <w:rtl/>
        </w:rPr>
      </w:pPr>
      <w:r w:rsidRPr="00480FCA">
        <w:rPr>
          <w:rFonts w:asciiTheme="majorBidi" w:hAnsiTheme="majorBidi" w:cstheme="majorBidi"/>
        </w:rPr>
        <w:t>Qatar has ratified the CRPD (2008) and reports aligning national law to its norms. Prior to 2025, Law 2/2004 established a 2% quota for disabled persons in public agencies and for private companies with ≥25 employees</w:t>
      </w:r>
      <w:r w:rsidR="002817BF">
        <w:rPr>
          <w:rStyle w:val="FootnoteReference"/>
          <w:rFonts w:asciiTheme="majorBidi" w:hAnsiTheme="majorBidi" w:cstheme="majorBidi"/>
        </w:rPr>
        <w:footnoteReference w:id="4"/>
      </w:r>
      <w:r w:rsidRPr="00480FCA">
        <w:rPr>
          <w:rFonts w:asciiTheme="majorBidi" w:hAnsiTheme="majorBidi" w:cstheme="majorBidi"/>
        </w:rPr>
        <w:t>. The new law explicitly enshrines equality of benefits and prohibits reduction of pay or rights due to disability. Complementary policies (e.g. Qatar National Vision 2030, National Development Strategy) emphasize inclusion and set general targets for disability employment, although they lack specific enforcement mechanisms. No standalone anti-discrimination law covers disability outside the disability-specific statute, and Qatar’s Labor Code does not comprehensively ban disability bias. Thus the 2025 law is the core protection. Implementation bodies (MSDF, a National Committee on PWDs, etc.) have been designated, but their capacity and independence are not well documented.</w:t>
      </w:r>
    </w:p>
    <w:p w14:paraId="7C277FE2" w14:textId="77777777" w:rsidR="00416C58" w:rsidRPr="002B2B2B" w:rsidRDefault="00416C58" w:rsidP="00416C58">
      <w:pPr>
        <w:jc w:val="both"/>
        <w:rPr>
          <w:rFonts w:asciiTheme="majorBidi" w:hAnsiTheme="majorBidi" w:cstheme="majorBidi"/>
          <w:b/>
          <w:bCs/>
          <w:color w:val="2E74B5" w:themeColor="accent5" w:themeShade="BF"/>
          <w:sz w:val="28"/>
          <w:szCs w:val="28"/>
        </w:rPr>
      </w:pPr>
      <w:r w:rsidRPr="002B2B2B">
        <w:rPr>
          <w:rFonts w:asciiTheme="majorBidi" w:hAnsiTheme="majorBidi" w:cstheme="majorBidi"/>
          <w:b/>
          <w:bCs/>
          <w:color w:val="2E74B5" w:themeColor="accent5" w:themeShade="BF"/>
          <w:sz w:val="28"/>
          <w:szCs w:val="28"/>
        </w:rPr>
        <w:t>Employment Statistics and Workplace Discrimination</w:t>
      </w:r>
    </w:p>
    <w:p w14:paraId="1261FAF0" w14:textId="2F4F4314" w:rsidR="00416C58" w:rsidRPr="00416C58" w:rsidRDefault="00416C58" w:rsidP="00416C58">
      <w:pPr>
        <w:jc w:val="both"/>
        <w:rPr>
          <w:rFonts w:asciiTheme="majorBidi" w:hAnsiTheme="majorBidi" w:cstheme="majorBidi"/>
        </w:rPr>
      </w:pPr>
      <w:r w:rsidRPr="00416C58">
        <w:rPr>
          <w:rFonts w:asciiTheme="majorBidi" w:hAnsiTheme="majorBidi" w:cstheme="majorBidi"/>
        </w:rPr>
        <w:t>Reliable, disaggregated data on disability employment in Qatar are sparse. A government open-data set (up to 2020) and media reports suggest extremely low labor participation. Life Skills Hub reports that roughly </w:t>
      </w:r>
      <w:r w:rsidRPr="002817BF">
        <w:rPr>
          <w:rFonts w:asciiTheme="majorBidi" w:hAnsiTheme="majorBidi" w:cstheme="majorBidi"/>
        </w:rPr>
        <w:t>78% of Qatari citizens with disabilities are not in the job market</w:t>
      </w:r>
      <w:r w:rsidR="002817BF" w:rsidRPr="002817BF">
        <w:rPr>
          <w:rStyle w:val="FootnoteReference"/>
          <w:rFonts w:asciiTheme="majorBidi" w:hAnsiTheme="majorBidi" w:cstheme="majorBidi"/>
        </w:rPr>
        <w:footnoteReference w:id="5"/>
      </w:r>
      <w:r w:rsidRPr="002817BF">
        <w:rPr>
          <w:rFonts w:asciiTheme="majorBidi" w:hAnsiTheme="majorBidi" w:cstheme="majorBidi"/>
        </w:rPr>
        <w:t>.</w:t>
      </w:r>
      <w:r w:rsidRPr="00416C58">
        <w:rPr>
          <w:rFonts w:asciiTheme="majorBidi" w:hAnsiTheme="majorBidi" w:cstheme="majorBidi"/>
        </w:rPr>
        <w:t xml:space="preserve"> In plain terms, only about 22% are employed or actively seeking work. By contrast, Qatar’s general unemployment rate is essentially negligible (≈0.1% in 2024), indicating near-full employment. This gap implies that disabled Qataris face </w:t>
      </w:r>
      <w:r w:rsidRPr="00320763">
        <w:rPr>
          <w:rFonts w:asciiTheme="majorBidi" w:hAnsiTheme="majorBidi" w:cstheme="majorBidi"/>
        </w:rPr>
        <w:t>massive exclusion</w:t>
      </w:r>
      <w:r w:rsidRPr="00416C58">
        <w:rPr>
          <w:rFonts w:asciiTheme="majorBidi" w:hAnsiTheme="majorBidi" w:cstheme="majorBidi"/>
        </w:rPr>
        <w:t>. Global comparisons note much lower disabled employment (CRPD notes ~80–90% unemployment in developing states), and Qatar’s figures appear at the high end.</w:t>
      </w:r>
    </w:p>
    <w:p w14:paraId="53E48A26" w14:textId="4A327521" w:rsidR="00416C58" w:rsidRPr="00416C58" w:rsidRDefault="00416C58" w:rsidP="00416C58">
      <w:pPr>
        <w:jc w:val="both"/>
        <w:rPr>
          <w:rFonts w:asciiTheme="majorBidi" w:hAnsiTheme="majorBidi" w:cstheme="majorBidi"/>
        </w:rPr>
      </w:pPr>
      <w:r w:rsidRPr="00416C58">
        <w:rPr>
          <w:rFonts w:asciiTheme="majorBidi" w:hAnsiTheme="majorBidi" w:cstheme="majorBidi"/>
        </w:rPr>
        <w:lastRenderedPageBreak/>
        <w:t>This de facto discrimination manifests in reported experiences. According to HR Brew, “eight in 10 Qataris with disabilities are out of work and experience discrimination on the job and misunderstanding from non-disabled peers”</w:t>
      </w:r>
      <w:r w:rsidR="00320763">
        <w:rPr>
          <w:rStyle w:val="FootnoteReference"/>
          <w:rFonts w:asciiTheme="majorBidi" w:hAnsiTheme="majorBidi" w:cstheme="majorBidi"/>
        </w:rPr>
        <w:footnoteReference w:id="6"/>
      </w:r>
      <w:r w:rsidRPr="00416C58">
        <w:rPr>
          <w:rFonts w:asciiTheme="majorBidi" w:hAnsiTheme="majorBidi" w:cstheme="majorBidi"/>
        </w:rPr>
        <w:t xml:space="preserve">. Employers often lack awareness of accommodations, and </w:t>
      </w:r>
      <w:proofErr w:type="spellStart"/>
      <w:r w:rsidRPr="00416C58">
        <w:rPr>
          <w:rFonts w:asciiTheme="majorBidi" w:hAnsiTheme="majorBidi" w:cstheme="majorBidi"/>
        </w:rPr>
        <w:t>PwDs</w:t>
      </w:r>
      <w:proofErr w:type="spellEnd"/>
      <w:r w:rsidRPr="00416C58">
        <w:rPr>
          <w:rFonts w:asciiTheme="majorBidi" w:hAnsiTheme="majorBidi" w:cstheme="majorBidi"/>
        </w:rPr>
        <w:t xml:space="preserve"> may face social stigma. The US State Department 2022 Report noted no enforcement of the 2% quota in practice (“no reports of infractions”)</w:t>
      </w:r>
      <w:r w:rsidR="00320763">
        <w:rPr>
          <w:rStyle w:val="FootnoteReference"/>
          <w:rFonts w:asciiTheme="majorBidi" w:hAnsiTheme="majorBidi" w:cstheme="majorBidi"/>
        </w:rPr>
        <w:footnoteReference w:id="7"/>
      </w:r>
      <w:r w:rsidRPr="00416C58">
        <w:rPr>
          <w:rFonts w:asciiTheme="majorBidi" w:hAnsiTheme="majorBidi" w:cstheme="majorBidi"/>
        </w:rPr>
        <w:t>. There is little published data on grievances, litigation or systemic bias. The fact that Qatar had to launch its </w:t>
      </w:r>
      <w:r w:rsidRPr="00416C58">
        <w:rPr>
          <w:rFonts w:asciiTheme="majorBidi" w:hAnsiTheme="majorBidi" w:cstheme="majorBidi"/>
          <w:i/>
          <w:iCs/>
        </w:rPr>
        <w:t>first-ever</w:t>
      </w:r>
      <w:r w:rsidRPr="00416C58">
        <w:rPr>
          <w:rFonts w:asciiTheme="majorBidi" w:hAnsiTheme="majorBidi" w:cstheme="majorBidi"/>
        </w:rPr>
        <w:t xml:space="preserve"> disability career fair in May 2025 (sponsored by the U.S. embassy and the Ministry of </w:t>
      </w:r>
      <w:proofErr w:type="spellStart"/>
      <w:r w:rsidRPr="00416C58">
        <w:rPr>
          <w:rFonts w:asciiTheme="majorBidi" w:hAnsiTheme="majorBidi" w:cstheme="majorBidi"/>
        </w:rPr>
        <w:t>Labour</w:t>
      </w:r>
      <w:proofErr w:type="spellEnd"/>
      <w:r w:rsidRPr="00416C58">
        <w:rPr>
          <w:rFonts w:asciiTheme="majorBidi" w:hAnsiTheme="majorBidi" w:cstheme="majorBidi"/>
        </w:rPr>
        <w:t>) underscores how recently inclusion efforts have been highlighted</w:t>
      </w:r>
      <w:r w:rsidR="00320763">
        <w:rPr>
          <w:rStyle w:val="FootnoteReference"/>
          <w:rFonts w:asciiTheme="majorBidi" w:hAnsiTheme="majorBidi" w:cstheme="majorBidi"/>
        </w:rPr>
        <w:footnoteReference w:id="8"/>
      </w:r>
      <w:r w:rsidRPr="00416C58">
        <w:rPr>
          <w:rFonts w:asciiTheme="majorBidi" w:hAnsiTheme="majorBidi" w:cstheme="majorBidi"/>
        </w:rPr>
        <w:t>. Cases of outright dismissal, harassment or exclusion have not been documented in accessible sources, likely reflecting under-reporting or limited legal access for complainants. Overall, existing evidence indicates </w:t>
      </w:r>
      <w:r w:rsidRPr="00320763">
        <w:rPr>
          <w:rFonts w:asciiTheme="majorBidi" w:hAnsiTheme="majorBidi" w:cstheme="majorBidi"/>
        </w:rPr>
        <w:t>patterns of indirect discrimination</w:t>
      </w:r>
      <w:r w:rsidRPr="00416C58">
        <w:rPr>
          <w:rFonts w:asciiTheme="majorBidi" w:hAnsiTheme="majorBidi" w:cstheme="majorBidi"/>
        </w:rPr>
        <w:t> – pervasive unemployment and limited hiring – rather than high-profile legal cases.</w:t>
      </w:r>
    </w:p>
    <w:p w14:paraId="085A1BA7" w14:textId="77777777" w:rsidR="00320763" w:rsidRPr="002B2B2B" w:rsidRDefault="00320763" w:rsidP="00320763">
      <w:pPr>
        <w:jc w:val="both"/>
        <w:rPr>
          <w:rFonts w:asciiTheme="majorBidi" w:hAnsiTheme="majorBidi" w:cstheme="majorBidi"/>
          <w:b/>
          <w:bCs/>
          <w:color w:val="2E74B5" w:themeColor="accent5" w:themeShade="BF"/>
          <w:sz w:val="28"/>
          <w:szCs w:val="28"/>
        </w:rPr>
      </w:pPr>
      <w:r w:rsidRPr="002B2B2B">
        <w:rPr>
          <w:rFonts w:asciiTheme="majorBidi" w:hAnsiTheme="majorBidi" w:cstheme="majorBidi"/>
          <w:b/>
          <w:bCs/>
          <w:color w:val="2E74B5" w:themeColor="accent5" w:themeShade="BF"/>
          <w:sz w:val="28"/>
          <w:szCs w:val="28"/>
        </w:rPr>
        <w:t>Government Measures and Gaps</w:t>
      </w:r>
    </w:p>
    <w:p w14:paraId="03E38B3F" w14:textId="1AA6F993" w:rsidR="00320763" w:rsidRPr="00320763" w:rsidRDefault="00320763" w:rsidP="00320763">
      <w:pPr>
        <w:jc w:val="both"/>
        <w:rPr>
          <w:rFonts w:asciiTheme="majorBidi" w:hAnsiTheme="majorBidi" w:cstheme="majorBidi"/>
        </w:rPr>
      </w:pPr>
      <w:r w:rsidRPr="00320763">
        <w:rPr>
          <w:rFonts w:asciiTheme="majorBidi" w:hAnsiTheme="majorBidi" w:cstheme="majorBidi"/>
        </w:rPr>
        <w:t>The Qatari government has taken symbolic and legal steps to improve inclusion. In April 2025 the Civil Service Bureau awarded MSDF for achieving its localization quota of 4% for persons with disabilities</w:t>
      </w:r>
      <w:r w:rsidR="00456588">
        <w:rPr>
          <w:rStyle w:val="FootnoteReference"/>
          <w:rFonts w:asciiTheme="majorBidi" w:hAnsiTheme="majorBidi" w:cstheme="majorBidi"/>
        </w:rPr>
        <w:footnoteReference w:id="9"/>
      </w:r>
      <w:r w:rsidRPr="00320763">
        <w:rPr>
          <w:rFonts w:asciiTheme="majorBidi" w:hAnsiTheme="majorBidi" w:cstheme="majorBidi"/>
        </w:rPr>
        <w:t>. This suggests the government claims to meet or exceed the 2% target (likely within public sector jobs). The launch of the career fair (May 2025) and participation of large employers (Qatar Foundation, Katara, etc.) indicate growing awareness. The key long-term measure is the new Persons with Disabilities Law, which sends a strong signal of commitment. The law’s enforcement mechanisms include designated MSDF judicial officers and fines.</w:t>
      </w:r>
    </w:p>
    <w:p w14:paraId="4B619E7E" w14:textId="05C82BB7" w:rsidR="00320763" w:rsidRPr="00320763" w:rsidRDefault="00320763" w:rsidP="00320763">
      <w:pPr>
        <w:jc w:val="both"/>
        <w:rPr>
          <w:rFonts w:asciiTheme="majorBidi" w:hAnsiTheme="majorBidi" w:cstheme="majorBidi"/>
        </w:rPr>
      </w:pPr>
      <w:r w:rsidRPr="00320763">
        <w:rPr>
          <w:rFonts w:asciiTheme="majorBidi" w:hAnsiTheme="majorBidi" w:cstheme="majorBidi"/>
        </w:rPr>
        <w:t xml:space="preserve">The US State report explicitly noted a lack of enforcement: although quotas exist, no fines were imposed or compliance data collected. It appears the government itself has done little outreach beyond official events. The new law requires public and private entities to audit accessibility within a year, but no published timetable or guidance has been released as of mid-2026. There is also scant evidence of workforce training or incentives for employers. Complaint mechanisms exist only in theory; local NGOs report that disabled persons fear retaliation or have few avenues for </w:t>
      </w:r>
      <w:r w:rsidRPr="00320763">
        <w:rPr>
          <w:rFonts w:asciiTheme="majorBidi" w:hAnsiTheme="majorBidi" w:cstheme="majorBidi"/>
        </w:rPr>
        <w:lastRenderedPageBreak/>
        <w:t>redress. Monitoring is weak: Qatar’s national human rights committee (NHRC) has limited public reports on disability issues, and no recent shadow reports to the CRPD Committee have emerged.</w:t>
      </w:r>
    </w:p>
    <w:p w14:paraId="113314C5" w14:textId="142F8168" w:rsidR="002B2B2B" w:rsidRPr="00320763" w:rsidRDefault="00320763" w:rsidP="002B2B2B">
      <w:pPr>
        <w:jc w:val="both"/>
        <w:rPr>
          <w:rFonts w:asciiTheme="majorBidi" w:hAnsiTheme="majorBidi" w:cstheme="majorBidi"/>
        </w:rPr>
      </w:pPr>
      <w:r w:rsidRPr="00320763">
        <w:rPr>
          <w:rFonts w:asciiTheme="majorBidi" w:hAnsiTheme="majorBidi" w:cstheme="majorBidi"/>
        </w:rPr>
        <w:t xml:space="preserve">Civil society in Qatar is small but growing. The charity Life Skills Hub (LSH) and similar organizations (e.g. </w:t>
      </w:r>
      <w:proofErr w:type="spellStart"/>
      <w:r w:rsidRPr="00320763">
        <w:rPr>
          <w:rFonts w:asciiTheme="majorBidi" w:hAnsiTheme="majorBidi" w:cstheme="majorBidi"/>
        </w:rPr>
        <w:t>Mada</w:t>
      </w:r>
      <w:proofErr w:type="spellEnd"/>
      <w:r w:rsidRPr="00320763">
        <w:rPr>
          <w:rFonts w:asciiTheme="majorBidi" w:hAnsiTheme="majorBidi" w:cstheme="majorBidi"/>
        </w:rPr>
        <w:t xml:space="preserve">, </w:t>
      </w:r>
      <w:proofErr w:type="spellStart"/>
      <w:r w:rsidRPr="00320763">
        <w:rPr>
          <w:rFonts w:asciiTheme="majorBidi" w:hAnsiTheme="majorBidi" w:cstheme="majorBidi"/>
        </w:rPr>
        <w:t>Shafallah</w:t>
      </w:r>
      <w:proofErr w:type="spellEnd"/>
      <w:r w:rsidRPr="00320763">
        <w:rPr>
          <w:rFonts w:asciiTheme="majorBidi" w:hAnsiTheme="majorBidi" w:cstheme="majorBidi"/>
        </w:rPr>
        <w:t xml:space="preserve"> Center</w:t>
      </w:r>
      <w:r w:rsidR="00C81FB6">
        <w:rPr>
          <w:rStyle w:val="FootnoteReference"/>
          <w:rFonts w:asciiTheme="majorBidi" w:hAnsiTheme="majorBidi" w:cstheme="majorBidi"/>
        </w:rPr>
        <w:footnoteReference w:id="10"/>
      </w:r>
      <w:r w:rsidRPr="00320763">
        <w:rPr>
          <w:rFonts w:asciiTheme="majorBidi" w:hAnsiTheme="majorBidi" w:cstheme="majorBidi"/>
        </w:rPr>
        <w:t>) advocate for disability rights and inclusion. LSH has highlighted the data gap (no official stats on disability unemployment were publicly available beyond 2020) and called for government transparency. International bodies (UN agencies, ILO) have engaged Qatar on labor and human rights broadly, but no specific UN inquiry on disability discrimination in Qatar is noted for 2024–26. The Qatar Foundation’s involvement in the career fair is positive but isolated. Overall, civil society reports imply that stigma and cultural barriers remain strong, and that official rhetoric has not yet translated into widespread workplace change.</w:t>
      </w:r>
    </w:p>
    <w:p w14:paraId="6F7F3FC0" w14:textId="77777777" w:rsidR="00DA0B9A" w:rsidRPr="002B2B2B" w:rsidRDefault="00DA0B9A" w:rsidP="00DA0B9A">
      <w:pPr>
        <w:jc w:val="both"/>
        <w:rPr>
          <w:rFonts w:asciiTheme="majorBidi" w:hAnsiTheme="majorBidi" w:cstheme="majorBidi"/>
          <w:b/>
          <w:bCs/>
          <w:color w:val="2E74B5" w:themeColor="accent5" w:themeShade="BF"/>
          <w:sz w:val="28"/>
          <w:szCs w:val="28"/>
        </w:rPr>
      </w:pPr>
      <w:r w:rsidRPr="002B2B2B">
        <w:rPr>
          <w:rFonts w:asciiTheme="majorBidi" w:hAnsiTheme="majorBidi" w:cstheme="majorBidi"/>
          <w:b/>
          <w:bCs/>
          <w:color w:val="2E74B5" w:themeColor="accent5" w:themeShade="BF"/>
          <w:sz w:val="28"/>
          <w:szCs w:val="28"/>
        </w:rPr>
        <w:t>Recommendations</w:t>
      </w:r>
    </w:p>
    <w:p w14:paraId="7FBD9086" w14:textId="77777777" w:rsidR="00DA0B9A" w:rsidRPr="00DA0B9A" w:rsidRDefault="00DA0B9A" w:rsidP="00DA0B9A">
      <w:pPr>
        <w:jc w:val="both"/>
        <w:rPr>
          <w:rFonts w:asciiTheme="majorBidi" w:hAnsiTheme="majorBidi" w:cstheme="majorBidi"/>
        </w:rPr>
      </w:pPr>
      <w:r w:rsidRPr="00DA0B9A">
        <w:rPr>
          <w:rFonts w:asciiTheme="majorBidi" w:hAnsiTheme="majorBidi" w:cstheme="majorBidi"/>
        </w:rPr>
        <w:t>The Committee on the Rights of Persons with Disabilities may wish to recommend that the State of Qatar:</w:t>
      </w:r>
    </w:p>
    <w:p w14:paraId="265E548D"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Ensure the full and timely implementation of Law No. 22 of 2025, including the adoption of comprehensive executive regulations.</w:t>
      </w:r>
    </w:p>
    <w:p w14:paraId="0BDE600B"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Establish effective monitoring mechanisms to assess compliance with disability-inclusive employment obligations in both public and private sectors.</w:t>
      </w:r>
    </w:p>
    <w:p w14:paraId="6D175006"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Require employers to provide reasonable accommodation and accessible recruitment procedures in accordance with Article 27 of the CRPD.</w:t>
      </w:r>
    </w:p>
    <w:p w14:paraId="3265E1B4"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Collect and publish annual disaggregated data on employment, unemployment, wages, workplace discrimination complaints, and accommodations provided to persons with disabilities.</w:t>
      </w:r>
    </w:p>
    <w:p w14:paraId="0990830C"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Strengthen accessible complaint and remedy mechanisms for victims of workplace discrimination.</w:t>
      </w:r>
    </w:p>
    <w:p w14:paraId="08000FDF"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Conduct regular awareness and training programs for employers, human resources professionals, and labor inspectors regarding disability rights and non-discrimination.</w:t>
      </w:r>
    </w:p>
    <w:p w14:paraId="056D8D72" w14:textId="77777777" w:rsidR="00DA0B9A" w:rsidRP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Expand vocational training, supported employment, and transition-to-work programs to facilitate sustainable labor-market participation.</w:t>
      </w:r>
    </w:p>
    <w:p w14:paraId="56D80111" w14:textId="05D72DFB" w:rsidR="00DA0B9A" w:rsidRDefault="00DA0B9A" w:rsidP="00DA0B9A">
      <w:pPr>
        <w:numPr>
          <w:ilvl w:val="0"/>
          <w:numId w:val="2"/>
        </w:numPr>
        <w:jc w:val="both"/>
        <w:rPr>
          <w:rFonts w:asciiTheme="majorBidi" w:hAnsiTheme="majorBidi" w:cstheme="majorBidi"/>
        </w:rPr>
      </w:pPr>
      <w:r w:rsidRPr="00DA0B9A">
        <w:rPr>
          <w:rFonts w:asciiTheme="majorBidi" w:hAnsiTheme="majorBidi" w:cstheme="majorBidi"/>
        </w:rPr>
        <w:t>Ensure meaningful participation of organizations of persons with disabilities in monitoring and evaluating employment policies.</w:t>
      </w:r>
    </w:p>
    <w:p w14:paraId="2B0BB4C0" w14:textId="7B21F6EC" w:rsidR="003A7721" w:rsidRDefault="003A7721" w:rsidP="003A7721">
      <w:pPr>
        <w:jc w:val="both"/>
        <w:rPr>
          <w:rFonts w:asciiTheme="majorBidi" w:hAnsiTheme="majorBidi" w:cstheme="majorBidi"/>
          <w:rtl/>
        </w:rPr>
      </w:pPr>
    </w:p>
    <w:p w14:paraId="610ABF62" w14:textId="77777777" w:rsidR="003A7721" w:rsidRPr="00DA0B9A" w:rsidRDefault="003A7721" w:rsidP="003A7721">
      <w:pPr>
        <w:jc w:val="both"/>
        <w:rPr>
          <w:rFonts w:asciiTheme="majorBidi" w:hAnsiTheme="majorBidi" w:cstheme="majorBidi"/>
        </w:rPr>
      </w:pPr>
    </w:p>
    <w:p w14:paraId="1EE8D018" w14:textId="77777777" w:rsidR="00DA0B9A" w:rsidRPr="00DA0B9A" w:rsidRDefault="00DA0B9A" w:rsidP="00DA0B9A">
      <w:pPr>
        <w:jc w:val="both"/>
        <w:rPr>
          <w:rFonts w:asciiTheme="majorBidi" w:hAnsiTheme="majorBidi" w:cstheme="majorBidi"/>
        </w:rPr>
      </w:pPr>
      <w:r w:rsidRPr="00DA0B9A">
        <w:rPr>
          <w:rFonts w:asciiTheme="majorBidi" w:hAnsiTheme="majorBidi" w:cstheme="majorBidi"/>
        </w:rPr>
        <w:t>Qatar has taken important legislative steps to strengthen the protection of persons with disabilities, particularly through the adoption of Law No. 22 of 2025. Nevertheless, concerns remain regarding workplace discrimination, implementation of reasonable accommodation, accessibility barriers, and the absence of transparent employment data. Continued efforts are required to transform legal commitments into effective protection and equal employment opportunities for persons with disabilities in practice. The State should prioritize enforcement, accountability, and participation of persons with disabilities to ensure full compliance with its obligations under the CRPD.</w:t>
      </w:r>
    </w:p>
    <w:p w14:paraId="2111876D" w14:textId="3CEF50AE" w:rsidR="002333ED" w:rsidRPr="00416C58" w:rsidRDefault="002333ED" w:rsidP="00416C58">
      <w:pPr>
        <w:jc w:val="both"/>
        <w:rPr>
          <w:rFonts w:asciiTheme="majorBidi" w:hAnsiTheme="majorBidi" w:cstheme="majorBidi"/>
        </w:rPr>
      </w:pPr>
    </w:p>
    <w:sectPr w:rsidR="002333ED" w:rsidRPr="00416C5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62B84" w14:textId="77777777" w:rsidR="009C71D0" w:rsidRDefault="009C71D0" w:rsidP="00FB46FE">
      <w:pPr>
        <w:spacing w:after="0" w:line="240" w:lineRule="auto"/>
      </w:pPr>
      <w:r>
        <w:separator/>
      </w:r>
    </w:p>
  </w:endnote>
  <w:endnote w:type="continuationSeparator" w:id="0">
    <w:p w14:paraId="59D9A3A4" w14:textId="77777777" w:rsidR="009C71D0" w:rsidRDefault="009C71D0" w:rsidP="00FB4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8F25A" w14:textId="77777777" w:rsidR="009C71D0" w:rsidRDefault="009C71D0" w:rsidP="00FB46FE">
      <w:pPr>
        <w:spacing w:after="0" w:line="240" w:lineRule="auto"/>
      </w:pPr>
      <w:r>
        <w:separator/>
      </w:r>
    </w:p>
  </w:footnote>
  <w:footnote w:type="continuationSeparator" w:id="0">
    <w:p w14:paraId="7DBED360" w14:textId="77777777" w:rsidR="009C71D0" w:rsidRDefault="009C71D0" w:rsidP="00FB46FE">
      <w:pPr>
        <w:spacing w:after="0" w:line="240" w:lineRule="auto"/>
      </w:pPr>
      <w:r>
        <w:continuationSeparator/>
      </w:r>
    </w:p>
  </w:footnote>
  <w:footnote w:id="1">
    <w:p w14:paraId="0C8A93B6" w14:textId="55EA0C98" w:rsidR="00FB46FE" w:rsidRPr="00480FCA" w:rsidRDefault="00FB46FE" w:rsidP="00480FCA">
      <w:pPr>
        <w:pStyle w:val="FootnoteText"/>
        <w:rPr>
          <w:rFonts w:asciiTheme="majorBidi" w:hAnsiTheme="majorBidi" w:cstheme="majorBidi"/>
          <w:color w:val="000000" w:themeColor="text1"/>
        </w:rPr>
      </w:pPr>
      <w:r w:rsidRPr="00480FCA">
        <w:rPr>
          <w:rStyle w:val="FootnoteReference"/>
          <w:rFonts w:asciiTheme="majorBidi" w:hAnsiTheme="majorBidi" w:cstheme="majorBidi"/>
          <w:color w:val="000000" w:themeColor="text1"/>
        </w:rPr>
        <w:footnoteRef/>
      </w:r>
      <w:r w:rsidRPr="00480FCA">
        <w:rPr>
          <w:rFonts w:asciiTheme="majorBidi" w:hAnsiTheme="majorBidi" w:cstheme="majorBidi"/>
          <w:color w:val="000000" w:themeColor="text1"/>
        </w:rPr>
        <w:t xml:space="preserve"> Palmer, M., &amp; El Lakkis, A. (2025, November 24). </w:t>
      </w:r>
      <w:r w:rsidRPr="00480FCA">
        <w:rPr>
          <w:rFonts w:asciiTheme="majorBidi" w:hAnsiTheme="majorBidi" w:cstheme="majorBidi"/>
          <w:i/>
          <w:iCs/>
          <w:color w:val="000000" w:themeColor="text1"/>
        </w:rPr>
        <w:t>Qatar enacts Law No. (22) of 2025 on persons with disabilities</w:t>
      </w:r>
      <w:r w:rsidRPr="00480FCA">
        <w:rPr>
          <w:rFonts w:asciiTheme="majorBidi" w:hAnsiTheme="majorBidi" w:cstheme="majorBidi"/>
          <w:color w:val="000000" w:themeColor="text1"/>
        </w:rPr>
        <w:t xml:space="preserve">. Crowell &amp; Moring LLP. </w:t>
      </w:r>
      <w:hyperlink r:id="rId1" w:tgtFrame="_new" w:history="1">
        <w:r w:rsidRPr="00480FCA">
          <w:rPr>
            <w:rStyle w:val="Hyperlink"/>
            <w:rFonts w:asciiTheme="majorBidi" w:hAnsiTheme="majorBidi" w:cstheme="majorBidi"/>
            <w:color w:val="000000" w:themeColor="text1"/>
            <w:u w:val="none"/>
          </w:rPr>
          <w:t>https://www.crowell.com/en/insights/client-alerts/qatar-enacts-law-no-22-of-2025-on-persons-with-disabilities</w:t>
        </w:r>
      </w:hyperlink>
    </w:p>
  </w:footnote>
  <w:footnote w:id="2">
    <w:p w14:paraId="63E0A5D1" w14:textId="21730DED" w:rsidR="00480FCA" w:rsidRPr="00480FCA" w:rsidRDefault="00480FCA">
      <w:pPr>
        <w:pStyle w:val="FootnoteText"/>
        <w:rPr>
          <w:rFonts w:asciiTheme="majorBidi" w:hAnsiTheme="majorBidi" w:cstheme="majorBidi"/>
          <w:color w:val="000000" w:themeColor="text1"/>
        </w:rPr>
      </w:pPr>
      <w:r w:rsidRPr="00480FCA">
        <w:rPr>
          <w:rStyle w:val="FootnoteReference"/>
          <w:rFonts w:asciiTheme="majorBidi" w:hAnsiTheme="majorBidi" w:cstheme="majorBidi"/>
          <w:color w:val="000000" w:themeColor="text1"/>
        </w:rPr>
        <w:footnoteRef/>
      </w:r>
      <w:r w:rsidRPr="00480FCA">
        <w:rPr>
          <w:rFonts w:asciiTheme="majorBidi" w:hAnsiTheme="majorBidi" w:cstheme="majorBidi"/>
          <w:color w:val="000000" w:themeColor="text1"/>
        </w:rPr>
        <w:t xml:space="preserve"> Palmer, M., &amp; El Lakkis, A. (2025, November 24). </w:t>
      </w:r>
      <w:r w:rsidRPr="00480FCA">
        <w:rPr>
          <w:rFonts w:asciiTheme="majorBidi" w:hAnsiTheme="majorBidi" w:cstheme="majorBidi"/>
          <w:i/>
          <w:iCs/>
          <w:color w:val="000000" w:themeColor="text1"/>
        </w:rPr>
        <w:t>Qatar enacts Law No. (22) of 2025 on persons with disabilities</w:t>
      </w:r>
      <w:r w:rsidRPr="00480FCA">
        <w:rPr>
          <w:rFonts w:asciiTheme="majorBidi" w:hAnsiTheme="majorBidi" w:cstheme="majorBidi"/>
          <w:color w:val="000000" w:themeColor="text1"/>
        </w:rPr>
        <w:t xml:space="preserve">. Crowell &amp; Moring LLP. </w:t>
      </w:r>
      <w:hyperlink r:id="rId2" w:tgtFrame="_new" w:history="1">
        <w:r w:rsidRPr="00480FCA">
          <w:rPr>
            <w:rStyle w:val="Hyperlink"/>
            <w:rFonts w:asciiTheme="majorBidi" w:hAnsiTheme="majorBidi" w:cstheme="majorBidi"/>
            <w:color w:val="000000" w:themeColor="text1"/>
            <w:u w:val="none"/>
          </w:rPr>
          <w:t>https://www.crowell.com/en/insights/client-alerts/qatar-enacts-law-no-22-of-2025-on-persons-with-disabilities</w:t>
        </w:r>
      </w:hyperlink>
    </w:p>
  </w:footnote>
  <w:footnote w:id="3">
    <w:p w14:paraId="45605E8F" w14:textId="77777777" w:rsidR="00480FCA" w:rsidRPr="00480FCA" w:rsidRDefault="00480FCA" w:rsidP="00480FCA">
      <w:pPr>
        <w:pStyle w:val="FootnoteText"/>
        <w:rPr>
          <w:rFonts w:asciiTheme="majorBidi" w:hAnsiTheme="majorBidi" w:cstheme="majorBidi"/>
          <w:color w:val="000000" w:themeColor="text1"/>
        </w:rPr>
      </w:pPr>
      <w:r w:rsidRPr="00480FCA">
        <w:rPr>
          <w:rStyle w:val="FootnoteReference"/>
          <w:rFonts w:asciiTheme="majorBidi" w:hAnsiTheme="majorBidi" w:cstheme="majorBidi"/>
          <w:color w:val="000000" w:themeColor="text1"/>
        </w:rPr>
        <w:footnoteRef/>
      </w:r>
      <w:r w:rsidRPr="00480FCA">
        <w:rPr>
          <w:rFonts w:asciiTheme="majorBidi" w:hAnsiTheme="majorBidi" w:cstheme="majorBidi"/>
          <w:color w:val="000000" w:themeColor="text1"/>
        </w:rPr>
        <w:t xml:space="preserve"> United Nations Department of Economic and Social Affairs. (n.d.). </w:t>
      </w:r>
      <w:r w:rsidRPr="00480FCA">
        <w:rPr>
          <w:rFonts w:asciiTheme="majorBidi" w:hAnsiTheme="majorBidi" w:cstheme="majorBidi"/>
          <w:i/>
          <w:iCs/>
          <w:color w:val="000000" w:themeColor="text1"/>
        </w:rPr>
        <w:t>Article 27 – Work and employment</w:t>
      </w:r>
      <w:r w:rsidRPr="00480FCA">
        <w:rPr>
          <w:rFonts w:asciiTheme="majorBidi" w:hAnsiTheme="majorBidi" w:cstheme="majorBidi"/>
          <w:color w:val="000000" w:themeColor="text1"/>
        </w:rPr>
        <w:t xml:space="preserve">. United Nations. </w:t>
      </w:r>
      <w:hyperlink r:id="rId3" w:tgtFrame="_new" w:history="1">
        <w:r w:rsidRPr="00480FCA">
          <w:rPr>
            <w:rStyle w:val="Hyperlink"/>
            <w:rFonts w:asciiTheme="majorBidi" w:hAnsiTheme="majorBidi" w:cstheme="majorBidi"/>
            <w:color w:val="000000" w:themeColor="text1"/>
            <w:u w:val="none"/>
          </w:rPr>
          <w:t>https://www.un.org/development/desa/disabilities/convention-on-the-rights-of-persons-with-disabilities/article-27-work-and-employment.html</w:t>
        </w:r>
      </w:hyperlink>
      <w:r w:rsidRPr="00480FCA">
        <w:rPr>
          <w:rFonts w:asciiTheme="majorBidi" w:hAnsiTheme="majorBidi" w:cstheme="majorBidi"/>
          <w:color w:val="000000" w:themeColor="text1"/>
        </w:rPr>
        <w:t xml:space="preserve"> </w:t>
      </w:r>
    </w:p>
    <w:p w14:paraId="4FF11FD8" w14:textId="4F4C7821" w:rsidR="00480FCA" w:rsidRDefault="00480FCA">
      <w:pPr>
        <w:pStyle w:val="FootnoteText"/>
      </w:pPr>
    </w:p>
  </w:footnote>
  <w:footnote w:id="4">
    <w:p w14:paraId="30ECC26B" w14:textId="19FC4727" w:rsidR="002817BF" w:rsidRPr="00320763" w:rsidRDefault="002817BF" w:rsidP="002817BF">
      <w:pPr>
        <w:pStyle w:val="FootnoteText"/>
        <w:rPr>
          <w:rFonts w:asciiTheme="majorBidi" w:hAnsiTheme="majorBidi" w:cstheme="majorBidi"/>
          <w:color w:val="000000" w:themeColor="text1"/>
        </w:rPr>
      </w:pPr>
      <w:r w:rsidRPr="00320763">
        <w:rPr>
          <w:rStyle w:val="FootnoteReference"/>
          <w:rFonts w:asciiTheme="majorBidi" w:hAnsiTheme="majorBidi" w:cstheme="majorBidi"/>
          <w:color w:val="000000" w:themeColor="text1"/>
        </w:rPr>
        <w:footnoteRef/>
      </w:r>
      <w:r w:rsidRPr="00320763">
        <w:rPr>
          <w:rFonts w:asciiTheme="majorBidi" w:hAnsiTheme="majorBidi" w:cstheme="majorBidi"/>
          <w:color w:val="000000" w:themeColor="text1"/>
        </w:rPr>
        <w:t xml:space="preserve"> Qatar Legal Portal (Al Meezan). (n.d.). </w:t>
      </w:r>
      <w:r w:rsidRPr="00320763">
        <w:rPr>
          <w:rFonts w:asciiTheme="majorBidi" w:hAnsiTheme="majorBidi" w:cstheme="majorBidi"/>
          <w:i/>
          <w:iCs/>
          <w:color w:val="000000" w:themeColor="text1"/>
        </w:rPr>
        <w:t>Law No. 2 of 2004 in respect of persons with special needs</w:t>
      </w:r>
      <w:r w:rsidRPr="00320763">
        <w:rPr>
          <w:rFonts w:asciiTheme="majorBidi" w:hAnsiTheme="majorBidi" w:cstheme="majorBidi"/>
          <w:color w:val="000000" w:themeColor="text1"/>
        </w:rPr>
        <w:t xml:space="preserve">. </w:t>
      </w:r>
      <w:hyperlink r:id="rId4" w:tgtFrame="_new" w:history="1">
        <w:r w:rsidRPr="00320763">
          <w:rPr>
            <w:rStyle w:val="Hyperlink"/>
            <w:rFonts w:asciiTheme="majorBidi" w:hAnsiTheme="majorBidi" w:cstheme="majorBidi"/>
            <w:color w:val="000000" w:themeColor="text1"/>
            <w:u w:val="none"/>
          </w:rPr>
          <w:t>https://www.almeezan.qa/LawView.aspx?opt&amp;LawID=246&amp;language=en</w:t>
        </w:r>
      </w:hyperlink>
    </w:p>
  </w:footnote>
  <w:footnote w:id="5">
    <w:p w14:paraId="0ECD1476" w14:textId="540B1449" w:rsidR="002817BF" w:rsidRPr="00320763" w:rsidRDefault="002817BF" w:rsidP="00320763">
      <w:pPr>
        <w:pStyle w:val="FootnoteText"/>
        <w:rPr>
          <w:rFonts w:asciiTheme="majorBidi" w:hAnsiTheme="majorBidi" w:cstheme="majorBidi"/>
          <w:color w:val="000000" w:themeColor="text1"/>
        </w:rPr>
      </w:pPr>
      <w:r w:rsidRPr="00320763">
        <w:rPr>
          <w:rStyle w:val="FootnoteReference"/>
          <w:rFonts w:asciiTheme="majorBidi" w:hAnsiTheme="majorBidi" w:cstheme="majorBidi"/>
          <w:color w:val="000000" w:themeColor="text1"/>
        </w:rPr>
        <w:footnoteRef/>
      </w:r>
      <w:r w:rsidRPr="00320763">
        <w:rPr>
          <w:rFonts w:asciiTheme="majorBidi" w:hAnsiTheme="majorBidi" w:cstheme="majorBidi"/>
          <w:color w:val="000000" w:themeColor="text1"/>
        </w:rPr>
        <w:t xml:space="preserve"> The Peninsula. (2025, May 11). </w:t>
      </w:r>
      <w:r w:rsidRPr="00320763">
        <w:rPr>
          <w:rFonts w:asciiTheme="majorBidi" w:hAnsiTheme="majorBidi" w:cstheme="majorBidi"/>
          <w:i/>
          <w:iCs/>
          <w:color w:val="000000" w:themeColor="text1"/>
        </w:rPr>
        <w:t>Qatar holds first career fair for adults with disabilities</w:t>
      </w:r>
      <w:r w:rsidRPr="00320763">
        <w:rPr>
          <w:rFonts w:asciiTheme="majorBidi" w:hAnsiTheme="majorBidi" w:cstheme="majorBidi"/>
          <w:color w:val="000000" w:themeColor="text1"/>
        </w:rPr>
        <w:t xml:space="preserve">. </w:t>
      </w:r>
      <w:hyperlink r:id="rId5" w:tgtFrame="_new" w:history="1">
        <w:r w:rsidRPr="00320763">
          <w:rPr>
            <w:rStyle w:val="Hyperlink"/>
            <w:rFonts w:asciiTheme="majorBidi" w:hAnsiTheme="majorBidi" w:cstheme="majorBidi"/>
            <w:color w:val="000000" w:themeColor="text1"/>
            <w:u w:val="none"/>
          </w:rPr>
          <w:t>https://thepeninsulaqatar.com/article/11/05/2025/qatar-holds-first-career-fair-for-adults-with-disabilities</w:t>
        </w:r>
      </w:hyperlink>
    </w:p>
  </w:footnote>
  <w:footnote w:id="6">
    <w:p w14:paraId="4D4CC887" w14:textId="3BBBF987" w:rsidR="00320763" w:rsidRPr="00320763" w:rsidRDefault="00320763" w:rsidP="00320763">
      <w:pPr>
        <w:pStyle w:val="FootnoteText"/>
        <w:rPr>
          <w:rFonts w:asciiTheme="majorBidi" w:hAnsiTheme="majorBidi" w:cstheme="majorBidi"/>
          <w:color w:val="000000" w:themeColor="text1"/>
        </w:rPr>
      </w:pPr>
      <w:r w:rsidRPr="00320763">
        <w:rPr>
          <w:rStyle w:val="FootnoteReference"/>
          <w:rFonts w:asciiTheme="majorBidi" w:hAnsiTheme="majorBidi" w:cstheme="majorBidi"/>
          <w:color w:val="000000" w:themeColor="text1"/>
        </w:rPr>
        <w:footnoteRef/>
      </w:r>
      <w:r w:rsidRPr="00320763">
        <w:rPr>
          <w:rFonts w:asciiTheme="majorBidi" w:hAnsiTheme="majorBidi" w:cstheme="majorBidi"/>
          <w:color w:val="000000" w:themeColor="text1"/>
        </w:rPr>
        <w:t xml:space="preserve"> HR Brew. (2025, May 16). </w:t>
      </w:r>
      <w:r w:rsidRPr="00320763">
        <w:rPr>
          <w:rFonts w:asciiTheme="majorBidi" w:hAnsiTheme="majorBidi" w:cstheme="majorBidi"/>
          <w:i/>
          <w:iCs/>
          <w:color w:val="000000" w:themeColor="text1"/>
        </w:rPr>
        <w:t>World of HR: Qatar hosts first career fair for disabled people</w:t>
      </w:r>
      <w:r w:rsidRPr="00320763">
        <w:rPr>
          <w:rFonts w:asciiTheme="majorBidi" w:hAnsiTheme="majorBidi" w:cstheme="majorBidi"/>
          <w:color w:val="000000" w:themeColor="text1"/>
        </w:rPr>
        <w:t xml:space="preserve">. </w:t>
      </w:r>
      <w:hyperlink r:id="rId6" w:tgtFrame="_new" w:history="1">
        <w:r w:rsidRPr="00320763">
          <w:rPr>
            <w:rStyle w:val="Hyperlink"/>
            <w:rFonts w:asciiTheme="majorBidi" w:hAnsiTheme="majorBidi" w:cstheme="majorBidi"/>
            <w:color w:val="000000" w:themeColor="text1"/>
            <w:u w:val="none"/>
          </w:rPr>
          <w:t>https://www.hr-brew.com/stories/2025/05/16/world-of-hr-qatar-hosts-first-career-fair-for-disabled-people</w:t>
        </w:r>
      </w:hyperlink>
      <w:r w:rsidRPr="00320763">
        <w:rPr>
          <w:rFonts w:asciiTheme="majorBidi" w:hAnsiTheme="majorBidi" w:cstheme="majorBidi"/>
          <w:color w:val="000000" w:themeColor="text1"/>
        </w:rPr>
        <w:t xml:space="preserve"> </w:t>
      </w:r>
    </w:p>
  </w:footnote>
  <w:footnote w:id="7">
    <w:p w14:paraId="2857E031" w14:textId="45C7912D" w:rsidR="00320763" w:rsidRPr="00320763" w:rsidRDefault="00320763" w:rsidP="00320763">
      <w:pPr>
        <w:pStyle w:val="FootnoteText"/>
        <w:rPr>
          <w:rFonts w:asciiTheme="majorBidi" w:hAnsiTheme="majorBidi" w:cstheme="majorBidi"/>
          <w:color w:val="000000" w:themeColor="text1"/>
        </w:rPr>
      </w:pPr>
      <w:r w:rsidRPr="00320763">
        <w:rPr>
          <w:rStyle w:val="FootnoteReference"/>
          <w:rFonts w:asciiTheme="majorBidi" w:hAnsiTheme="majorBidi" w:cstheme="majorBidi"/>
          <w:color w:val="000000" w:themeColor="text1"/>
        </w:rPr>
        <w:footnoteRef/>
      </w:r>
      <w:r w:rsidRPr="00320763">
        <w:rPr>
          <w:rFonts w:asciiTheme="majorBidi" w:hAnsiTheme="majorBidi" w:cstheme="majorBidi"/>
          <w:color w:val="000000" w:themeColor="text1"/>
        </w:rPr>
        <w:t xml:space="preserve"> Office of the United States Trade Representative. (2022). </w:t>
      </w:r>
      <w:r w:rsidRPr="00320763">
        <w:rPr>
          <w:rFonts w:asciiTheme="majorBidi" w:hAnsiTheme="majorBidi" w:cstheme="majorBidi"/>
          <w:i/>
          <w:iCs/>
          <w:color w:val="000000" w:themeColor="text1"/>
        </w:rPr>
        <w:t>2022 National Trade Estimate report on foreign trade barriers</w:t>
      </w:r>
      <w:r w:rsidRPr="00320763">
        <w:rPr>
          <w:rFonts w:asciiTheme="majorBidi" w:hAnsiTheme="majorBidi" w:cstheme="majorBidi"/>
          <w:color w:val="000000" w:themeColor="text1"/>
        </w:rPr>
        <w:t xml:space="preserve">. </w:t>
      </w:r>
      <w:hyperlink r:id="rId7" w:tgtFrame="_new" w:history="1">
        <w:r w:rsidRPr="00320763">
          <w:rPr>
            <w:rStyle w:val="Hyperlink"/>
            <w:rFonts w:asciiTheme="majorBidi" w:hAnsiTheme="majorBidi" w:cstheme="majorBidi"/>
            <w:color w:val="000000" w:themeColor="text1"/>
            <w:u w:val="none"/>
          </w:rPr>
          <w:t>https://ustr.gov/sites/default/files/2022%20National%20Trade%20Estimate%20Report%20on%20Foreign%20Trade%20Barriers.pdf</w:t>
        </w:r>
      </w:hyperlink>
    </w:p>
  </w:footnote>
  <w:footnote w:id="8">
    <w:p w14:paraId="3034559E" w14:textId="77777777" w:rsidR="00320763" w:rsidRPr="00320763" w:rsidRDefault="00320763" w:rsidP="00320763">
      <w:pPr>
        <w:pStyle w:val="FootnoteText"/>
        <w:rPr>
          <w:rFonts w:asciiTheme="majorBidi" w:hAnsiTheme="majorBidi" w:cstheme="majorBidi"/>
          <w:color w:val="000000" w:themeColor="text1"/>
        </w:rPr>
      </w:pPr>
      <w:r>
        <w:rPr>
          <w:rStyle w:val="FootnoteReference"/>
        </w:rPr>
        <w:footnoteRef/>
      </w:r>
      <w:r>
        <w:t xml:space="preserve"> </w:t>
      </w:r>
      <w:r w:rsidRPr="00320763">
        <w:rPr>
          <w:rFonts w:asciiTheme="majorBidi" w:hAnsiTheme="majorBidi" w:cstheme="majorBidi"/>
          <w:color w:val="000000" w:themeColor="text1"/>
        </w:rPr>
        <w:t xml:space="preserve">The Peninsula. (2025, May 11). </w:t>
      </w:r>
      <w:r w:rsidRPr="00320763">
        <w:rPr>
          <w:rFonts w:asciiTheme="majorBidi" w:hAnsiTheme="majorBidi" w:cstheme="majorBidi"/>
          <w:i/>
          <w:iCs/>
          <w:color w:val="000000" w:themeColor="text1"/>
        </w:rPr>
        <w:t>Qatar holds first career fair for adults with disabilities</w:t>
      </w:r>
      <w:r w:rsidRPr="00320763">
        <w:rPr>
          <w:rFonts w:asciiTheme="majorBidi" w:hAnsiTheme="majorBidi" w:cstheme="majorBidi"/>
          <w:color w:val="000000" w:themeColor="text1"/>
        </w:rPr>
        <w:t xml:space="preserve">. </w:t>
      </w:r>
      <w:hyperlink r:id="rId8" w:tgtFrame="_new" w:history="1">
        <w:r w:rsidRPr="00320763">
          <w:rPr>
            <w:rStyle w:val="Hyperlink"/>
            <w:rFonts w:asciiTheme="majorBidi" w:hAnsiTheme="majorBidi" w:cstheme="majorBidi"/>
            <w:color w:val="000000" w:themeColor="text1"/>
            <w:u w:val="none"/>
          </w:rPr>
          <w:t>https://thepeninsulaqatar.com/article/11/05/2025/qatar-holds-first-career-fair-for-adults-with-disabilities</w:t>
        </w:r>
      </w:hyperlink>
    </w:p>
    <w:p w14:paraId="0CC452FA" w14:textId="62C54A7D" w:rsidR="00320763" w:rsidRDefault="00320763">
      <w:pPr>
        <w:pStyle w:val="FootnoteText"/>
      </w:pPr>
    </w:p>
  </w:footnote>
  <w:footnote w:id="9">
    <w:p w14:paraId="12C140AA" w14:textId="76FC5508" w:rsidR="00456588" w:rsidRPr="00431663" w:rsidRDefault="00456588" w:rsidP="00C81FB6">
      <w:pPr>
        <w:pStyle w:val="FootnoteText"/>
        <w:rPr>
          <w:rFonts w:asciiTheme="majorBidi" w:hAnsiTheme="majorBidi" w:cstheme="majorBidi"/>
          <w:color w:val="000000" w:themeColor="text1"/>
        </w:rPr>
      </w:pPr>
      <w:r w:rsidRPr="00431663">
        <w:rPr>
          <w:rStyle w:val="FootnoteReference"/>
          <w:rFonts w:asciiTheme="majorBidi" w:hAnsiTheme="majorBidi" w:cstheme="majorBidi"/>
          <w:color w:val="000000" w:themeColor="text1"/>
        </w:rPr>
        <w:footnoteRef/>
      </w:r>
      <w:r w:rsidRPr="00431663">
        <w:rPr>
          <w:rFonts w:asciiTheme="majorBidi" w:hAnsiTheme="majorBidi" w:cstheme="majorBidi"/>
          <w:color w:val="000000" w:themeColor="text1"/>
        </w:rPr>
        <w:t xml:space="preserve"> Ministry of Social Development and Family. (2025, April 29). </w:t>
      </w:r>
      <w:r w:rsidRPr="00431663">
        <w:rPr>
          <w:rFonts w:asciiTheme="majorBidi" w:hAnsiTheme="majorBidi" w:cstheme="majorBidi"/>
          <w:i/>
          <w:iCs/>
          <w:color w:val="000000" w:themeColor="text1"/>
        </w:rPr>
        <w:t>MSDF receives top honors for disability employment and localization</w:t>
      </w:r>
      <w:r w:rsidRPr="00431663">
        <w:rPr>
          <w:rFonts w:asciiTheme="majorBidi" w:hAnsiTheme="majorBidi" w:cstheme="majorBidi"/>
          <w:color w:val="000000" w:themeColor="text1"/>
        </w:rPr>
        <w:t xml:space="preserve">. </w:t>
      </w:r>
      <w:hyperlink r:id="rId9" w:tgtFrame="_new" w:history="1">
        <w:r w:rsidRPr="00431663">
          <w:rPr>
            <w:rStyle w:val="Hyperlink"/>
            <w:rFonts w:asciiTheme="majorBidi" w:hAnsiTheme="majorBidi" w:cstheme="majorBidi"/>
            <w:color w:val="000000" w:themeColor="text1"/>
            <w:u w:val="none"/>
          </w:rPr>
          <w:t>https://www.msdf.gov.qa/en/media-center/news-list/msdf-receives-top-honors-disability-employment-and-localization</w:t>
        </w:r>
      </w:hyperlink>
      <w:r w:rsidRPr="00431663">
        <w:rPr>
          <w:rFonts w:asciiTheme="majorBidi" w:hAnsiTheme="majorBidi" w:cstheme="majorBidi"/>
          <w:color w:val="000000" w:themeColor="text1"/>
        </w:rPr>
        <w:t xml:space="preserve"> </w:t>
      </w:r>
    </w:p>
  </w:footnote>
  <w:footnote w:id="10">
    <w:p w14:paraId="27771A9A" w14:textId="169A9209" w:rsidR="00C81FB6" w:rsidRDefault="00C81FB6" w:rsidP="00C81FB6">
      <w:pPr>
        <w:pStyle w:val="FootnoteText"/>
      </w:pPr>
      <w:r w:rsidRPr="00431663">
        <w:rPr>
          <w:rStyle w:val="FootnoteReference"/>
          <w:rFonts w:asciiTheme="majorBidi" w:hAnsiTheme="majorBidi" w:cstheme="majorBidi"/>
          <w:color w:val="000000" w:themeColor="text1"/>
        </w:rPr>
        <w:footnoteRef/>
      </w:r>
      <w:r w:rsidRPr="00431663">
        <w:rPr>
          <w:rFonts w:asciiTheme="majorBidi" w:hAnsiTheme="majorBidi" w:cstheme="majorBidi"/>
          <w:color w:val="000000" w:themeColor="text1"/>
        </w:rPr>
        <w:t xml:space="preserve"> </w:t>
      </w:r>
      <w:proofErr w:type="spellStart"/>
      <w:r w:rsidRPr="00431663">
        <w:rPr>
          <w:rFonts w:asciiTheme="majorBidi" w:hAnsiTheme="majorBidi" w:cstheme="majorBidi"/>
          <w:color w:val="000000" w:themeColor="text1"/>
        </w:rPr>
        <w:t>Shafallah</w:t>
      </w:r>
      <w:proofErr w:type="spellEnd"/>
      <w:r w:rsidRPr="00431663">
        <w:rPr>
          <w:rFonts w:asciiTheme="majorBidi" w:hAnsiTheme="majorBidi" w:cstheme="majorBidi"/>
          <w:color w:val="000000" w:themeColor="text1"/>
        </w:rPr>
        <w:t xml:space="preserve"> Center for Persons with Disabilities. (n.d.). </w:t>
      </w:r>
      <w:proofErr w:type="spellStart"/>
      <w:r w:rsidRPr="00431663">
        <w:rPr>
          <w:rFonts w:asciiTheme="majorBidi" w:hAnsiTheme="majorBidi" w:cstheme="majorBidi"/>
          <w:i/>
          <w:iCs/>
          <w:color w:val="000000" w:themeColor="text1"/>
        </w:rPr>
        <w:t>Shafallah</w:t>
      </w:r>
      <w:proofErr w:type="spellEnd"/>
      <w:r w:rsidRPr="00431663">
        <w:rPr>
          <w:rFonts w:asciiTheme="majorBidi" w:hAnsiTheme="majorBidi" w:cstheme="majorBidi"/>
          <w:color w:val="000000" w:themeColor="text1"/>
        </w:rPr>
        <w:t xml:space="preserve">. </w:t>
      </w:r>
      <w:hyperlink r:id="rId10" w:tgtFrame="_new" w:history="1">
        <w:r w:rsidRPr="00431663">
          <w:rPr>
            <w:rStyle w:val="Hyperlink"/>
            <w:rFonts w:asciiTheme="majorBidi" w:hAnsiTheme="majorBidi" w:cstheme="majorBidi"/>
            <w:color w:val="000000" w:themeColor="text1"/>
            <w:u w:val="none"/>
          </w:rPr>
          <w:t>https://www.shafallah.org.qa/en</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5E57A" w14:textId="761CE702" w:rsidR="002B2B2B" w:rsidRPr="002B2B2B" w:rsidRDefault="002B2B2B" w:rsidP="002B2B2B">
    <w:pPr>
      <w:spacing w:after="0" w:line="360" w:lineRule="auto"/>
      <w:jc w:val="center"/>
      <w:rPr>
        <w:rFonts w:asciiTheme="majorBidi" w:eastAsia="Times New Roman" w:hAnsiTheme="majorBidi" w:cstheme="majorBidi"/>
        <w:b/>
        <w:bCs/>
        <w:color w:val="1D498A"/>
        <w:kern w:val="0"/>
        <w:sz w:val="32"/>
        <w:szCs w:val="32"/>
        <w14:ligatures w14:val="none"/>
      </w:rPr>
    </w:pPr>
    <w:r w:rsidRPr="002B2B2B">
      <w:rPr>
        <w:rFonts w:asciiTheme="majorBidi" w:eastAsia="Times New Roman" w:hAnsiTheme="majorBidi" w:cstheme="majorBidi"/>
        <w:b/>
        <w:bCs/>
        <w:color w:val="1D498A"/>
        <w:kern w:val="0"/>
        <w:sz w:val="32"/>
        <w:szCs w:val="32"/>
        <w14:ligatures w14:val="none"/>
      </w:rPr>
      <w:t>CRPD - Convention on the Rights of Persons with Disabilities</w:t>
    </w:r>
  </w:p>
  <w:p w14:paraId="21C798C4" w14:textId="4DD72353" w:rsidR="002B2B2B" w:rsidRDefault="002B2B2B" w:rsidP="002B2B2B">
    <w:pPr>
      <w:spacing w:after="0" w:line="360" w:lineRule="auto"/>
      <w:jc w:val="center"/>
      <w:rPr>
        <w:rFonts w:asciiTheme="majorBidi" w:eastAsia="Times New Roman" w:hAnsiTheme="majorBidi" w:cstheme="majorBidi"/>
        <w:b/>
        <w:bCs/>
        <w:color w:val="1D498A"/>
        <w:kern w:val="0"/>
        <w:sz w:val="28"/>
        <w:szCs w:val="28"/>
        <w14:ligatures w14:val="none"/>
      </w:rPr>
    </w:pPr>
    <w:r w:rsidRPr="002B2B2B">
      <w:rPr>
        <w:rFonts w:asciiTheme="majorBidi" w:eastAsia="Times New Roman" w:hAnsiTheme="majorBidi" w:cstheme="majorBidi"/>
        <w:b/>
        <w:bCs/>
        <w:color w:val="1D498A"/>
        <w:kern w:val="0"/>
        <w:sz w:val="28"/>
        <w:szCs w:val="28"/>
        <w14:ligatures w14:val="none"/>
      </w:rPr>
      <w:t>35th Session (12 Aug 2026 - 27 Aug 2026)</w:t>
    </w:r>
  </w:p>
  <w:p w14:paraId="5172FAB2" w14:textId="77777777" w:rsidR="002B2B2B" w:rsidRPr="002B2B2B" w:rsidRDefault="002B2B2B" w:rsidP="002B2B2B">
    <w:pPr>
      <w:spacing w:after="0" w:line="360" w:lineRule="auto"/>
      <w:jc w:val="center"/>
      <w:rPr>
        <w:rFonts w:asciiTheme="majorBidi" w:eastAsia="Times New Roman" w:hAnsiTheme="majorBidi" w:cstheme="majorBidi"/>
        <w:color w:val="000000"/>
        <w:kern w:val="0"/>
        <w:sz w:val="6"/>
        <w:szCs w:val="6"/>
        <w14:ligatures w14:val="non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006BA3"/>
    <w:multiLevelType w:val="multilevel"/>
    <w:tmpl w:val="364C4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D419F5"/>
    <w:multiLevelType w:val="multilevel"/>
    <w:tmpl w:val="0182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182"/>
    <w:rsid w:val="00136846"/>
    <w:rsid w:val="002333ED"/>
    <w:rsid w:val="002817BF"/>
    <w:rsid w:val="002B2B2B"/>
    <w:rsid w:val="00320763"/>
    <w:rsid w:val="003A7721"/>
    <w:rsid w:val="003C4FE0"/>
    <w:rsid w:val="00416C58"/>
    <w:rsid w:val="00431663"/>
    <w:rsid w:val="00456588"/>
    <w:rsid w:val="00480FCA"/>
    <w:rsid w:val="00540012"/>
    <w:rsid w:val="00840D45"/>
    <w:rsid w:val="008C37FC"/>
    <w:rsid w:val="00951908"/>
    <w:rsid w:val="009C71D0"/>
    <w:rsid w:val="00C81FB6"/>
    <w:rsid w:val="00CB0C66"/>
    <w:rsid w:val="00D21556"/>
    <w:rsid w:val="00D837C6"/>
    <w:rsid w:val="00DA0B9A"/>
    <w:rsid w:val="00DC5182"/>
    <w:rsid w:val="00E641FD"/>
    <w:rsid w:val="00FB46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2E48E"/>
  <w15:chartTrackingRefBased/>
  <w15:docId w15:val="{9C1598E3-5BA4-460C-AC3A-6D0AC658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51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51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51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51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51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51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1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1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1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1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51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51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51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51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51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1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1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182"/>
    <w:rPr>
      <w:rFonts w:eastAsiaTheme="majorEastAsia" w:cstheme="majorBidi"/>
      <w:color w:val="272727" w:themeColor="text1" w:themeTint="D8"/>
    </w:rPr>
  </w:style>
  <w:style w:type="paragraph" w:styleId="Title">
    <w:name w:val="Title"/>
    <w:basedOn w:val="Normal"/>
    <w:next w:val="Normal"/>
    <w:link w:val="TitleChar"/>
    <w:uiPriority w:val="10"/>
    <w:qFormat/>
    <w:rsid w:val="00DC51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1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1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1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182"/>
    <w:pPr>
      <w:spacing w:before="160"/>
      <w:jc w:val="center"/>
    </w:pPr>
    <w:rPr>
      <w:i/>
      <w:iCs/>
      <w:color w:val="404040" w:themeColor="text1" w:themeTint="BF"/>
    </w:rPr>
  </w:style>
  <w:style w:type="character" w:customStyle="1" w:styleId="QuoteChar">
    <w:name w:val="Quote Char"/>
    <w:basedOn w:val="DefaultParagraphFont"/>
    <w:link w:val="Quote"/>
    <w:uiPriority w:val="29"/>
    <w:rsid w:val="00DC5182"/>
    <w:rPr>
      <w:i/>
      <w:iCs/>
      <w:color w:val="404040" w:themeColor="text1" w:themeTint="BF"/>
    </w:rPr>
  </w:style>
  <w:style w:type="paragraph" w:styleId="ListParagraph">
    <w:name w:val="List Paragraph"/>
    <w:basedOn w:val="Normal"/>
    <w:uiPriority w:val="34"/>
    <w:qFormat/>
    <w:rsid w:val="00DC5182"/>
    <w:pPr>
      <w:ind w:left="720"/>
      <w:contextualSpacing/>
    </w:pPr>
  </w:style>
  <w:style w:type="character" w:styleId="IntenseEmphasis">
    <w:name w:val="Intense Emphasis"/>
    <w:basedOn w:val="DefaultParagraphFont"/>
    <w:uiPriority w:val="21"/>
    <w:qFormat/>
    <w:rsid w:val="00DC5182"/>
    <w:rPr>
      <w:i/>
      <w:iCs/>
      <w:color w:val="2F5496" w:themeColor="accent1" w:themeShade="BF"/>
    </w:rPr>
  </w:style>
  <w:style w:type="paragraph" w:styleId="IntenseQuote">
    <w:name w:val="Intense Quote"/>
    <w:basedOn w:val="Normal"/>
    <w:next w:val="Normal"/>
    <w:link w:val="IntenseQuoteChar"/>
    <w:uiPriority w:val="30"/>
    <w:qFormat/>
    <w:rsid w:val="00DC51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5182"/>
    <w:rPr>
      <w:i/>
      <w:iCs/>
      <w:color w:val="2F5496" w:themeColor="accent1" w:themeShade="BF"/>
    </w:rPr>
  </w:style>
  <w:style w:type="character" w:styleId="IntenseReference">
    <w:name w:val="Intense Reference"/>
    <w:basedOn w:val="DefaultParagraphFont"/>
    <w:uiPriority w:val="32"/>
    <w:qFormat/>
    <w:rsid w:val="00DC5182"/>
    <w:rPr>
      <w:b/>
      <w:bCs/>
      <w:smallCaps/>
      <w:color w:val="2F5496" w:themeColor="accent1" w:themeShade="BF"/>
      <w:spacing w:val="5"/>
    </w:rPr>
  </w:style>
  <w:style w:type="paragraph" w:styleId="FootnoteText">
    <w:name w:val="footnote text"/>
    <w:basedOn w:val="Normal"/>
    <w:link w:val="FootnoteTextChar"/>
    <w:uiPriority w:val="99"/>
    <w:semiHidden/>
    <w:unhideWhenUsed/>
    <w:rsid w:val="00FB46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6FE"/>
    <w:rPr>
      <w:sz w:val="20"/>
      <w:szCs w:val="20"/>
    </w:rPr>
  </w:style>
  <w:style w:type="character" w:styleId="FootnoteReference">
    <w:name w:val="footnote reference"/>
    <w:basedOn w:val="DefaultParagraphFont"/>
    <w:uiPriority w:val="99"/>
    <w:semiHidden/>
    <w:unhideWhenUsed/>
    <w:rsid w:val="00FB46FE"/>
    <w:rPr>
      <w:vertAlign w:val="superscript"/>
    </w:rPr>
  </w:style>
  <w:style w:type="paragraph" w:styleId="NormalWeb">
    <w:name w:val="Normal (Web)"/>
    <w:basedOn w:val="Normal"/>
    <w:uiPriority w:val="99"/>
    <w:semiHidden/>
    <w:unhideWhenUsed/>
    <w:rsid w:val="00FB46FE"/>
    <w:rPr>
      <w:rFonts w:ascii="Times New Roman" w:hAnsi="Times New Roman" w:cs="Times New Roman"/>
    </w:rPr>
  </w:style>
  <w:style w:type="character" w:styleId="Hyperlink">
    <w:name w:val="Hyperlink"/>
    <w:basedOn w:val="DefaultParagraphFont"/>
    <w:uiPriority w:val="99"/>
    <w:unhideWhenUsed/>
    <w:rsid w:val="00FB46FE"/>
    <w:rPr>
      <w:color w:val="0563C1" w:themeColor="hyperlink"/>
      <w:u w:val="single"/>
    </w:rPr>
  </w:style>
  <w:style w:type="character" w:customStyle="1" w:styleId="UnresolvedMention">
    <w:name w:val="Unresolved Mention"/>
    <w:basedOn w:val="DefaultParagraphFont"/>
    <w:uiPriority w:val="99"/>
    <w:semiHidden/>
    <w:unhideWhenUsed/>
    <w:rsid w:val="00FB46FE"/>
    <w:rPr>
      <w:color w:val="605E5C"/>
      <w:shd w:val="clear" w:color="auto" w:fill="E1DFDD"/>
    </w:rPr>
  </w:style>
  <w:style w:type="paragraph" w:styleId="Header">
    <w:name w:val="header"/>
    <w:basedOn w:val="Normal"/>
    <w:link w:val="HeaderChar"/>
    <w:uiPriority w:val="99"/>
    <w:unhideWhenUsed/>
    <w:rsid w:val="002B2B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B2B"/>
  </w:style>
  <w:style w:type="paragraph" w:styleId="Footer">
    <w:name w:val="footer"/>
    <w:basedOn w:val="Normal"/>
    <w:link w:val="FooterChar"/>
    <w:uiPriority w:val="99"/>
    <w:unhideWhenUsed/>
    <w:rsid w:val="002B2B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B2B"/>
  </w:style>
  <w:style w:type="character" w:customStyle="1" w:styleId="sessionsubtitle">
    <w:name w:val="sessionsubtitle"/>
    <w:basedOn w:val="DefaultParagraphFont"/>
    <w:rsid w:val="002B2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39053">
      <w:bodyDiv w:val="1"/>
      <w:marLeft w:val="0"/>
      <w:marRight w:val="0"/>
      <w:marTop w:val="0"/>
      <w:marBottom w:val="0"/>
      <w:divBdr>
        <w:top w:val="none" w:sz="0" w:space="0" w:color="auto"/>
        <w:left w:val="none" w:sz="0" w:space="0" w:color="auto"/>
        <w:bottom w:val="none" w:sz="0" w:space="0" w:color="auto"/>
        <w:right w:val="none" w:sz="0" w:space="0" w:color="auto"/>
      </w:divBdr>
      <w:divsChild>
        <w:div w:id="1652513509">
          <w:marLeft w:val="0"/>
          <w:marRight w:val="0"/>
          <w:marTop w:val="0"/>
          <w:marBottom w:val="0"/>
          <w:divBdr>
            <w:top w:val="none" w:sz="0" w:space="0" w:color="auto"/>
            <w:left w:val="none" w:sz="0" w:space="0" w:color="auto"/>
            <w:bottom w:val="none" w:sz="0" w:space="0" w:color="auto"/>
            <w:right w:val="none" w:sz="0" w:space="0" w:color="auto"/>
          </w:divBdr>
        </w:div>
        <w:div w:id="378096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hepeninsulaqatar.com/article/11/05/2025/qatar-holds-first-career-fair-for-adults-with-disabilities" TargetMode="External"/><Relationship Id="rId3" Type="http://schemas.openxmlformats.org/officeDocument/2006/relationships/hyperlink" Target="https://www.un.org/development/desa/disabilities/convention-on-the-rights-of-persons-with-disabilities/article-27-work-and-employment.html" TargetMode="External"/><Relationship Id="rId7" Type="http://schemas.openxmlformats.org/officeDocument/2006/relationships/hyperlink" Target="https://ustr.gov/sites/default/files/2022%20National%20Trade%20Estimate%20Report%20on%20Foreign%20Trade%20Barriers.pdf" TargetMode="External"/><Relationship Id="rId2" Type="http://schemas.openxmlformats.org/officeDocument/2006/relationships/hyperlink" Target="https://www.crowell.com/en/insights/client-alerts/qatar-enacts-law-no-22-of-2025-on-persons-with-disabilities" TargetMode="External"/><Relationship Id="rId1" Type="http://schemas.openxmlformats.org/officeDocument/2006/relationships/hyperlink" Target="https://www.crowell.com/en/insights/client-alerts/qatar-enacts-law-no-22-of-2025-on-persons-with-disabilities" TargetMode="External"/><Relationship Id="rId6" Type="http://schemas.openxmlformats.org/officeDocument/2006/relationships/hyperlink" Target="https://www.hr-brew.com/stories/2025/05/16/world-of-hr-qatar-hosts-first-career-fair-for-disabled-people?utm_source=chatgpt.com" TargetMode="External"/><Relationship Id="rId5" Type="http://schemas.openxmlformats.org/officeDocument/2006/relationships/hyperlink" Target="https://thepeninsulaqatar.com/article/11/05/2025/qatar-holds-first-career-fair-for-adults-with-disabilities" TargetMode="External"/><Relationship Id="rId10" Type="http://schemas.openxmlformats.org/officeDocument/2006/relationships/hyperlink" Target="https://www.shafallah.org.qa/en" TargetMode="External"/><Relationship Id="rId4" Type="http://schemas.openxmlformats.org/officeDocument/2006/relationships/hyperlink" Target="https://www.almeezan.qa/LawView.aspx?opt&amp;LawID=246&amp;language=en" TargetMode="External"/><Relationship Id="rId9" Type="http://schemas.openxmlformats.org/officeDocument/2006/relationships/hyperlink" Target="https://www.msdf.gov.qa/en/media-center/news-list/msdf-receives-top-honors-disability-employment-and-local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5DA7D-6287-4826-B01B-B54D92BEE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Pages>
  <Words>1336</Words>
  <Characters>7619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Windows User</cp:lastModifiedBy>
  <cp:revision>10</cp:revision>
  <dcterms:created xsi:type="dcterms:W3CDTF">2026-06-04T07:28:00Z</dcterms:created>
  <dcterms:modified xsi:type="dcterms:W3CDTF">2026-07-12T10:07:00Z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6fe01e2f-9bd6-46b6-82e2-eb19911df165</vt:lpwstr>
  </property>
</Properties>
</file>