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DBF17" w14:textId="77777777" w:rsidR="00EF620C" w:rsidRPr="00F11A53" w:rsidRDefault="00EF620C" w:rsidP="00EF620C">
      <w:pPr>
        <w:rPr>
          <w:rFonts w:ascii="Times New Roman" w:hAnsi="Times New Roman" w:cs="Times New Roman"/>
          <w:b/>
          <w:sz w:val="24"/>
          <w:szCs w:val="24"/>
        </w:rPr>
      </w:pPr>
      <w:r>
        <w:rPr>
          <w:rFonts w:ascii="Times New Roman" w:hAnsi="Times New Roman" w:cs="Times New Roman"/>
          <w:b/>
          <w:sz w:val="24"/>
          <w:szCs w:val="24"/>
        </w:rPr>
        <w:t xml:space="preserve">ACKNOWLEDGEMENTS </w:t>
      </w:r>
    </w:p>
    <w:p w14:paraId="28989B31" w14:textId="77777777" w:rsidR="00EF620C" w:rsidRPr="00F11A53" w:rsidRDefault="00EF620C" w:rsidP="00EF620C">
      <w:pPr>
        <w:rPr>
          <w:rFonts w:ascii="Times New Roman" w:hAnsi="Times New Roman" w:cs="Times New Roman"/>
          <w:sz w:val="24"/>
          <w:szCs w:val="24"/>
        </w:rPr>
      </w:pPr>
      <w:r w:rsidRPr="00F11A53">
        <w:rPr>
          <w:rFonts w:ascii="Times New Roman" w:hAnsi="Times New Roman" w:cs="Times New Roman"/>
          <w:sz w:val="24"/>
          <w:szCs w:val="24"/>
        </w:rPr>
        <w:t>Civil society organisations would like to thank all of those who</w:t>
      </w:r>
      <w:r>
        <w:rPr>
          <w:rFonts w:ascii="Times New Roman" w:hAnsi="Times New Roman" w:cs="Times New Roman"/>
          <w:sz w:val="24"/>
          <w:szCs w:val="24"/>
        </w:rPr>
        <w:t xml:space="preserve"> have </w:t>
      </w:r>
      <w:r w:rsidRPr="00F11A53">
        <w:rPr>
          <w:rFonts w:ascii="Times New Roman" w:hAnsi="Times New Roman" w:cs="Times New Roman"/>
          <w:sz w:val="24"/>
          <w:szCs w:val="24"/>
        </w:rPr>
        <w:t xml:space="preserve">served to </w:t>
      </w:r>
      <w:r>
        <w:rPr>
          <w:rFonts w:ascii="Times New Roman" w:hAnsi="Times New Roman" w:cs="Times New Roman"/>
          <w:sz w:val="24"/>
          <w:szCs w:val="24"/>
        </w:rPr>
        <w:t>enrich</w:t>
      </w:r>
      <w:r w:rsidRPr="00F11A53">
        <w:rPr>
          <w:rFonts w:ascii="Times New Roman" w:hAnsi="Times New Roman" w:cs="Times New Roman"/>
          <w:sz w:val="24"/>
          <w:szCs w:val="24"/>
        </w:rPr>
        <w:t xml:space="preserve"> this alternative report through discussions, their suggestions, or their contributions. </w:t>
      </w:r>
    </w:p>
    <w:p w14:paraId="0186655F" w14:textId="77777777" w:rsidR="00EF620C" w:rsidRPr="00F11A53" w:rsidRDefault="00EF620C" w:rsidP="00EF620C">
      <w:pPr>
        <w:rPr>
          <w:rFonts w:ascii="Times New Roman" w:hAnsi="Times New Roman" w:cs="Times New Roman"/>
          <w:sz w:val="24"/>
          <w:szCs w:val="24"/>
        </w:rPr>
      </w:pPr>
      <w:r w:rsidRPr="00F11A53">
        <w:rPr>
          <w:rFonts w:ascii="Times New Roman" w:hAnsi="Times New Roman" w:cs="Times New Roman"/>
          <w:sz w:val="24"/>
          <w:szCs w:val="24"/>
        </w:rPr>
        <w:t>We want to express our gratitude to Mr. Omer Kalameu, High Councillor of OHCHR Madagascar</w:t>
      </w:r>
      <w:r>
        <w:rPr>
          <w:rFonts w:ascii="Times New Roman" w:hAnsi="Times New Roman" w:cs="Times New Roman"/>
          <w:sz w:val="24"/>
          <w:szCs w:val="24"/>
        </w:rPr>
        <w:t>,</w:t>
      </w:r>
      <w:r w:rsidRPr="00F11A53">
        <w:rPr>
          <w:rFonts w:ascii="Times New Roman" w:hAnsi="Times New Roman" w:cs="Times New Roman"/>
          <w:sz w:val="24"/>
          <w:szCs w:val="24"/>
        </w:rPr>
        <w:t xml:space="preserve"> for his invaluable assistance and his encourageme</w:t>
      </w:r>
      <w:r>
        <w:rPr>
          <w:rFonts w:ascii="Times New Roman" w:hAnsi="Times New Roman" w:cs="Times New Roman"/>
          <w:sz w:val="24"/>
          <w:szCs w:val="24"/>
        </w:rPr>
        <w:t>nt</w:t>
      </w:r>
      <w:r w:rsidRPr="00F11A53">
        <w:rPr>
          <w:rFonts w:ascii="Times New Roman" w:hAnsi="Times New Roman" w:cs="Times New Roman"/>
          <w:sz w:val="24"/>
          <w:szCs w:val="24"/>
        </w:rPr>
        <w:t xml:space="preserve">. </w:t>
      </w:r>
    </w:p>
    <w:p w14:paraId="1BEB9454"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W</w:t>
      </w:r>
      <w:r w:rsidRPr="00F11A53">
        <w:rPr>
          <w:rFonts w:ascii="Times New Roman" w:hAnsi="Times New Roman" w:cs="Times New Roman"/>
          <w:sz w:val="24"/>
          <w:szCs w:val="24"/>
        </w:rPr>
        <w:t>e warmly th</w:t>
      </w:r>
      <w:r>
        <w:rPr>
          <w:rFonts w:ascii="Times New Roman" w:hAnsi="Times New Roman" w:cs="Times New Roman"/>
          <w:sz w:val="24"/>
          <w:szCs w:val="24"/>
        </w:rPr>
        <w:t>ank the CCPR centre and FIACAT f</w:t>
      </w:r>
      <w:r w:rsidRPr="00E852F0">
        <w:rPr>
          <w:rFonts w:ascii="Times New Roman" w:hAnsi="Times New Roman" w:cs="Times New Roman"/>
          <w:sz w:val="24"/>
          <w:szCs w:val="24"/>
        </w:rPr>
        <w:t xml:space="preserve">or their encouragement, </w:t>
      </w:r>
      <w:r>
        <w:rPr>
          <w:rFonts w:ascii="Times New Roman" w:hAnsi="Times New Roman" w:cs="Times New Roman"/>
          <w:sz w:val="24"/>
          <w:szCs w:val="24"/>
        </w:rPr>
        <w:t>their support both material</w:t>
      </w:r>
      <w:r w:rsidRPr="00E852F0">
        <w:rPr>
          <w:rFonts w:ascii="Times New Roman" w:hAnsi="Times New Roman" w:cs="Times New Roman"/>
          <w:sz w:val="24"/>
          <w:szCs w:val="24"/>
        </w:rPr>
        <w:t xml:space="preserve"> </w:t>
      </w:r>
      <w:r>
        <w:rPr>
          <w:rFonts w:ascii="Times New Roman" w:hAnsi="Times New Roman" w:cs="Times New Roman"/>
          <w:sz w:val="24"/>
          <w:szCs w:val="24"/>
        </w:rPr>
        <w:t>and moral</w:t>
      </w:r>
      <w:r w:rsidRPr="00E852F0">
        <w:rPr>
          <w:rFonts w:ascii="Times New Roman" w:hAnsi="Times New Roman" w:cs="Times New Roman"/>
          <w:sz w:val="24"/>
          <w:szCs w:val="24"/>
        </w:rPr>
        <w:t xml:space="preserve">, and their </w:t>
      </w:r>
      <w:r>
        <w:rPr>
          <w:rFonts w:ascii="Times New Roman" w:hAnsi="Times New Roman" w:cs="Times New Roman"/>
          <w:sz w:val="24"/>
          <w:szCs w:val="24"/>
        </w:rPr>
        <w:t>supervision,</w:t>
      </w:r>
      <w:r w:rsidRPr="00E852F0">
        <w:rPr>
          <w:rFonts w:ascii="Times New Roman" w:hAnsi="Times New Roman" w:cs="Times New Roman"/>
          <w:sz w:val="24"/>
          <w:szCs w:val="24"/>
        </w:rPr>
        <w:t xml:space="preserve"> </w:t>
      </w:r>
      <w:r>
        <w:rPr>
          <w:rFonts w:ascii="Times New Roman" w:hAnsi="Times New Roman" w:cs="Times New Roman"/>
          <w:sz w:val="24"/>
          <w:szCs w:val="24"/>
        </w:rPr>
        <w:t>which has</w:t>
      </w:r>
      <w:r w:rsidRPr="00E852F0">
        <w:rPr>
          <w:rFonts w:ascii="Times New Roman" w:hAnsi="Times New Roman" w:cs="Times New Roman"/>
          <w:sz w:val="24"/>
          <w:szCs w:val="24"/>
        </w:rPr>
        <w:t xml:space="preserve"> enabled the successful completion of this alternative report </w:t>
      </w:r>
      <w:r>
        <w:rPr>
          <w:rFonts w:ascii="Times New Roman" w:hAnsi="Times New Roman" w:cs="Times New Roman"/>
          <w:sz w:val="24"/>
          <w:szCs w:val="24"/>
        </w:rPr>
        <w:t>in good</w:t>
      </w:r>
      <w:r w:rsidRPr="00E852F0">
        <w:rPr>
          <w:rFonts w:ascii="Times New Roman" w:hAnsi="Times New Roman" w:cs="Times New Roman"/>
          <w:sz w:val="24"/>
          <w:szCs w:val="24"/>
        </w:rPr>
        <w:t xml:space="preserve"> conditi</w:t>
      </w:r>
      <w:r>
        <w:rPr>
          <w:rFonts w:ascii="Times New Roman" w:hAnsi="Times New Roman" w:cs="Times New Roman"/>
          <w:sz w:val="24"/>
          <w:szCs w:val="24"/>
        </w:rPr>
        <w:t xml:space="preserve">ons. </w:t>
      </w:r>
    </w:p>
    <w:p w14:paraId="37A61171" w14:textId="77777777" w:rsidR="00EF620C" w:rsidRDefault="00EF620C" w:rsidP="00EF620C">
      <w:pPr>
        <w:rPr>
          <w:rFonts w:ascii="Times New Roman" w:hAnsi="Times New Roman" w:cs="Times New Roman"/>
          <w:sz w:val="24"/>
          <w:szCs w:val="24"/>
        </w:rPr>
      </w:pPr>
    </w:p>
    <w:p w14:paraId="78F7E07F" w14:textId="77777777" w:rsidR="00EF620C" w:rsidRDefault="00EF620C" w:rsidP="00EF620C">
      <w:pPr>
        <w:rPr>
          <w:rFonts w:ascii="Times New Roman" w:hAnsi="Times New Roman" w:cs="Times New Roman"/>
          <w:sz w:val="24"/>
          <w:szCs w:val="24"/>
        </w:rPr>
      </w:pPr>
    </w:p>
    <w:p w14:paraId="586C5262" w14:textId="77777777" w:rsidR="00EF620C" w:rsidRDefault="00EF620C" w:rsidP="00EF620C">
      <w:pPr>
        <w:rPr>
          <w:rFonts w:ascii="Times New Roman" w:hAnsi="Times New Roman" w:cs="Times New Roman"/>
          <w:sz w:val="24"/>
          <w:szCs w:val="24"/>
        </w:rPr>
      </w:pPr>
    </w:p>
    <w:p w14:paraId="4EA16952" w14:textId="77777777" w:rsidR="00EF620C" w:rsidRDefault="00EF620C" w:rsidP="00EF620C">
      <w:pPr>
        <w:rPr>
          <w:rFonts w:ascii="Times New Roman" w:hAnsi="Times New Roman" w:cs="Times New Roman"/>
          <w:sz w:val="24"/>
          <w:szCs w:val="24"/>
        </w:rPr>
      </w:pPr>
    </w:p>
    <w:p w14:paraId="215241F6" w14:textId="77777777" w:rsidR="00EF620C" w:rsidRDefault="00EF620C" w:rsidP="00EF620C">
      <w:pPr>
        <w:rPr>
          <w:rFonts w:ascii="Times New Roman" w:hAnsi="Times New Roman" w:cs="Times New Roman"/>
          <w:sz w:val="24"/>
          <w:szCs w:val="24"/>
        </w:rPr>
      </w:pPr>
    </w:p>
    <w:p w14:paraId="6BB945AB" w14:textId="77777777" w:rsidR="00EF620C" w:rsidRDefault="00EF620C" w:rsidP="00EF620C">
      <w:pPr>
        <w:rPr>
          <w:rFonts w:ascii="Times New Roman" w:hAnsi="Times New Roman" w:cs="Times New Roman"/>
          <w:sz w:val="24"/>
          <w:szCs w:val="24"/>
        </w:rPr>
      </w:pPr>
    </w:p>
    <w:p w14:paraId="3DB2A004" w14:textId="77777777" w:rsidR="00EF620C" w:rsidRDefault="00EF620C" w:rsidP="00EF620C">
      <w:pPr>
        <w:rPr>
          <w:rFonts w:ascii="Times New Roman" w:hAnsi="Times New Roman" w:cs="Times New Roman"/>
          <w:sz w:val="24"/>
          <w:szCs w:val="24"/>
        </w:rPr>
      </w:pPr>
    </w:p>
    <w:p w14:paraId="08B18CB4" w14:textId="77777777" w:rsidR="00EF620C" w:rsidRDefault="00EF620C" w:rsidP="00EF620C">
      <w:pPr>
        <w:rPr>
          <w:rFonts w:ascii="Times New Roman" w:hAnsi="Times New Roman" w:cs="Times New Roman"/>
          <w:sz w:val="24"/>
          <w:szCs w:val="24"/>
        </w:rPr>
      </w:pPr>
    </w:p>
    <w:p w14:paraId="1E6F814D" w14:textId="77777777" w:rsidR="00EF620C" w:rsidRDefault="00EF620C" w:rsidP="00EF620C">
      <w:pPr>
        <w:rPr>
          <w:rFonts w:ascii="Times New Roman" w:hAnsi="Times New Roman" w:cs="Times New Roman"/>
          <w:sz w:val="24"/>
          <w:szCs w:val="24"/>
        </w:rPr>
      </w:pPr>
    </w:p>
    <w:p w14:paraId="36C02B62" w14:textId="77777777" w:rsidR="00EF620C" w:rsidRDefault="00EF620C" w:rsidP="00EF620C">
      <w:pPr>
        <w:rPr>
          <w:rFonts w:ascii="Times New Roman" w:hAnsi="Times New Roman" w:cs="Times New Roman"/>
          <w:sz w:val="24"/>
          <w:szCs w:val="24"/>
        </w:rPr>
      </w:pPr>
    </w:p>
    <w:p w14:paraId="054D223A" w14:textId="77777777" w:rsidR="00EF620C" w:rsidRDefault="00EF620C" w:rsidP="00EF620C">
      <w:pPr>
        <w:rPr>
          <w:rFonts w:ascii="Times New Roman" w:hAnsi="Times New Roman" w:cs="Times New Roman"/>
          <w:sz w:val="24"/>
          <w:szCs w:val="24"/>
        </w:rPr>
      </w:pPr>
    </w:p>
    <w:p w14:paraId="7B26B374" w14:textId="77777777" w:rsidR="00EF620C" w:rsidRDefault="00EF620C" w:rsidP="00EF620C">
      <w:pPr>
        <w:rPr>
          <w:rFonts w:ascii="Times New Roman" w:hAnsi="Times New Roman" w:cs="Times New Roman"/>
          <w:sz w:val="24"/>
          <w:szCs w:val="24"/>
        </w:rPr>
      </w:pPr>
    </w:p>
    <w:p w14:paraId="16BF65AD" w14:textId="77777777" w:rsidR="00EF620C" w:rsidRDefault="00EF620C" w:rsidP="00EF620C">
      <w:pPr>
        <w:rPr>
          <w:rFonts w:ascii="Times New Roman" w:hAnsi="Times New Roman" w:cs="Times New Roman"/>
          <w:sz w:val="24"/>
          <w:szCs w:val="24"/>
        </w:rPr>
      </w:pPr>
    </w:p>
    <w:p w14:paraId="47AC4D21" w14:textId="77777777" w:rsidR="00EF620C" w:rsidRDefault="00EF620C" w:rsidP="00EF620C">
      <w:pPr>
        <w:rPr>
          <w:rFonts w:ascii="Times New Roman" w:hAnsi="Times New Roman" w:cs="Times New Roman"/>
          <w:sz w:val="24"/>
          <w:szCs w:val="24"/>
        </w:rPr>
      </w:pPr>
    </w:p>
    <w:p w14:paraId="3817B611" w14:textId="77777777" w:rsidR="00EF620C" w:rsidRDefault="00EF620C" w:rsidP="00EF620C">
      <w:pPr>
        <w:rPr>
          <w:rFonts w:ascii="Times New Roman" w:hAnsi="Times New Roman" w:cs="Times New Roman"/>
          <w:sz w:val="24"/>
          <w:szCs w:val="24"/>
        </w:rPr>
      </w:pPr>
    </w:p>
    <w:p w14:paraId="00B0842B" w14:textId="77777777" w:rsidR="00EF620C" w:rsidRDefault="00EF620C" w:rsidP="00EF620C">
      <w:pPr>
        <w:rPr>
          <w:rFonts w:ascii="Times New Roman" w:hAnsi="Times New Roman" w:cs="Times New Roman"/>
          <w:sz w:val="24"/>
          <w:szCs w:val="24"/>
        </w:rPr>
      </w:pPr>
    </w:p>
    <w:p w14:paraId="0ECB1EDF" w14:textId="77777777" w:rsidR="00EF620C" w:rsidRDefault="00EF620C" w:rsidP="00EF620C">
      <w:pPr>
        <w:rPr>
          <w:rFonts w:ascii="Times New Roman" w:hAnsi="Times New Roman" w:cs="Times New Roman"/>
          <w:sz w:val="24"/>
          <w:szCs w:val="24"/>
        </w:rPr>
      </w:pPr>
    </w:p>
    <w:p w14:paraId="216BFBCD" w14:textId="77777777" w:rsidR="00EF620C" w:rsidRDefault="00EF620C" w:rsidP="00EF620C">
      <w:pPr>
        <w:rPr>
          <w:rFonts w:ascii="Times New Roman" w:hAnsi="Times New Roman" w:cs="Times New Roman"/>
          <w:sz w:val="24"/>
          <w:szCs w:val="24"/>
        </w:rPr>
      </w:pPr>
    </w:p>
    <w:p w14:paraId="46A79B96" w14:textId="77777777" w:rsidR="00EF620C" w:rsidRDefault="00EF620C" w:rsidP="00EF620C">
      <w:pPr>
        <w:rPr>
          <w:rFonts w:ascii="Times New Roman" w:hAnsi="Times New Roman" w:cs="Times New Roman"/>
          <w:sz w:val="24"/>
          <w:szCs w:val="24"/>
        </w:rPr>
      </w:pPr>
    </w:p>
    <w:p w14:paraId="27089CDA" w14:textId="77777777" w:rsidR="00EF620C" w:rsidRDefault="00EF620C" w:rsidP="00EF620C">
      <w:pPr>
        <w:rPr>
          <w:rFonts w:ascii="Times New Roman" w:hAnsi="Times New Roman" w:cs="Times New Roman"/>
          <w:sz w:val="24"/>
          <w:szCs w:val="24"/>
        </w:rPr>
      </w:pPr>
    </w:p>
    <w:p w14:paraId="107620C7" w14:textId="77777777" w:rsidR="00EF620C" w:rsidRDefault="00EF620C" w:rsidP="00EF620C">
      <w:pPr>
        <w:rPr>
          <w:rFonts w:ascii="Times New Roman" w:hAnsi="Times New Roman" w:cs="Times New Roman"/>
          <w:sz w:val="24"/>
          <w:szCs w:val="24"/>
        </w:rPr>
      </w:pPr>
    </w:p>
    <w:p w14:paraId="1ED43402" w14:textId="77777777" w:rsidR="00EF620C" w:rsidRDefault="00EF620C" w:rsidP="00EF620C">
      <w:pPr>
        <w:rPr>
          <w:rFonts w:ascii="Times New Roman" w:hAnsi="Times New Roman" w:cs="Times New Roman"/>
          <w:sz w:val="24"/>
          <w:szCs w:val="24"/>
        </w:rPr>
      </w:pPr>
    </w:p>
    <w:p w14:paraId="4DDBEFAA" w14:textId="77777777" w:rsidR="00EF620C" w:rsidRDefault="00EF620C" w:rsidP="00EF620C">
      <w:pPr>
        <w:rPr>
          <w:rFonts w:ascii="Times New Roman" w:hAnsi="Times New Roman" w:cs="Times New Roman"/>
          <w:sz w:val="24"/>
          <w:szCs w:val="24"/>
        </w:rPr>
      </w:pPr>
    </w:p>
    <w:p w14:paraId="09863CC7" w14:textId="77777777" w:rsidR="00EF620C" w:rsidRDefault="00EF620C" w:rsidP="00EF620C">
      <w:pPr>
        <w:rPr>
          <w:rFonts w:ascii="Times New Roman" w:hAnsi="Times New Roman" w:cs="Times New Roman"/>
          <w:sz w:val="24"/>
          <w:szCs w:val="24"/>
        </w:rPr>
      </w:pPr>
    </w:p>
    <w:p w14:paraId="7DD666F8" w14:textId="77777777" w:rsidR="00EF620C" w:rsidRPr="009623E5" w:rsidRDefault="00EF620C" w:rsidP="00EF620C">
      <w:pPr>
        <w:rPr>
          <w:rFonts w:ascii="Times New Roman" w:hAnsi="Times New Roman" w:cs="Times New Roman"/>
          <w:b/>
          <w:sz w:val="24"/>
          <w:szCs w:val="24"/>
        </w:rPr>
      </w:pPr>
      <w:r>
        <w:rPr>
          <w:rFonts w:ascii="Times New Roman" w:hAnsi="Times New Roman" w:cs="Times New Roman"/>
          <w:b/>
          <w:sz w:val="24"/>
          <w:szCs w:val="24"/>
        </w:rPr>
        <w:lastRenderedPageBreak/>
        <w:t>INTRODUCTION</w:t>
      </w:r>
    </w:p>
    <w:p w14:paraId="25393FA4"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Madagascar’s political situation has been strongly affected by the crisis in 2009. </w:t>
      </w:r>
    </w:p>
    <w:p w14:paraId="204B40AF"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The arbitrary arrests and acts of intimidation of association members and the opposition political parties have been numerous and constitute serious human rights violations. </w:t>
      </w:r>
    </w:p>
    <w:p w14:paraId="01FD45B5" w14:textId="77777777" w:rsidR="00EF620C" w:rsidRDefault="00EF620C" w:rsidP="00EF620C">
      <w:pPr>
        <w:rPr>
          <w:rFonts w:ascii="Times New Roman" w:eastAsia="Times New Roman" w:hAnsi="Times New Roman" w:cs="Times New Roman"/>
          <w:color w:val="000000"/>
          <w:lang w:eastAsia="fr-FR"/>
        </w:rPr>
      </w:pPr>
      <w:r>
        <w:rPr>
          <w:rFonts w:ascii="Times New Roman" w:hAnsi="Times New Roman" w:cs="Times New Roman"/>
          <w:sz w:val="24"/>
          <w:szCs w:val="24"/>
        </w:rPr>
        <w:t>The presidential election, organised by the Independent National Electoral Commission for the Transition under the aegis of the United Nations Development Programme (UNDP) and other international partners such as the Electoral Institute for Sustainable Democracy in Africa (EISA) occurred on the 25</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October 2013. </w:t>
      </w:r>
      <w:r w:rsidRPr="00582B44">
        <w:rPr>
          <w:rFonts w:ascii="Times New Roman" w:eastAsia="Times New Roman" w:hAnsi="Times New Roman" w:cs="Times New Roman"/>
          <w:color w:val="000000"/>
          <w:sz w:val="24"/>
          <w:szCs w:val="24"/>
          <w:lang w:eastAsia="fr-FR"/>
        </w:rPr>
        <w:t xml:space="preserve">Hery Martial Rajaonarimampianina, the outgoing minister of finance, was elected </w:t>
      </w:r>
      <w:r>
        <w:rPr>
          <w:rFonts w:ascii="Times New Roman" w:eastAsia="Times New Roman" w:hAnsi="Times New Roman" w:cs="Times New Roman"/>
          <w:color w:val="000000"/>
          <w:sz w:val="24"/>
          <w:szCs w:val="24"/>
          <w:lang w:eastAsia="fr-FR"/>
        </w:rPr>
        <w:t xml:space="preserve">from </w:t>
      </w:r>
      <w:r w:rsidRPr="00582B44">
        <w:rPr>
          <w:rFonts w:ascii="Times New Roman" w:eastAsia="Times New Roman" w:hAnsi="Times New Roman" w:cs="Times New Roman"/>
          <w:color w:val="000000"/>
          <w:sz w:val="24"/>
          <w:szCs w:val="24"/>
          <w:lang w:eastAsia="fr-FR"/>
        </w:rPr>
        <w:t xml:space="preserve">among </w:t>
      </w:r>
      <w:r>
        <w:rPr>
          <w:rFonts w:ascii="Times New Roman" w:eastAsia="Times New Roman" w:hAnsi="Times New Roman" w:cs="Times New Roman"/>
          <w:color w:val="000000"/>
          <w:sz w:val="24"/>
          <w:szCs w:val="24"/>
          <w:lang w:eastAsia="fr-FR"/>
        </w:rPr>
        <w:t xml:space="preserve">the </w:t>
      </w:r>
      <w:r w:rsidRPr="00582B44">
        <w:rPr>
          <w:rFonts w:ascii="Times New Roman" w:eastAsia="Times New Roman" w:hAnsi="Times New Roman" w:cs="Times New Roman"/>
          <w:color w:val="000000"/>
          <w:sz w:val="24"/>
          <w:szCs w:val="24"/>
          <w:lang w:eastAsia="fr-FR"/>
        </w:rPr>
        <w:t>33 candidates. Even if tensions have diminished, the power struggle affects th</w:t>
      </w:r>
      <w:r>
        <w:rPr>
          <w:rFonts w:ascii="Times New Roman" w:eastAsia="Times New Roman" w:hAnsi="Times New Roman" w:cs="Times New Roman"/>
          <w:color w:val="000000"/>
          <w:sz w:val="24"/>
          <w:szCs w:val="24"/>
          <w:lang w:eastAsia="fr-FR"/>
        </w:rPr>
        <w:t xml:space="preserve">e re-establishment </w:t>
      </w:r>
      <w:r w:rsidRPr="00582B44">
        <w:rPr>
          <w:rFonts w:ascii="Times New Roman" w:eastAsia="Times New Roman" w:hAnsi="Times New Roman" w:cs="Times New Roman"/>
          <w:color w:val="000000"/>
          <w:sz w:val="24"/>
          <w:szCs w:val="24"/>
          <w:lang w:eastAsia="fr-FR"/>
        </w:rPr>
        <w:t xml:space="preserve">of an environment conducive to </w:t>
      </w:r>
      <w:r>
        <w:rPr>
          <w:rFonts w:ascii="Times New Roman" w:eastAsia="Times New Roman" w:hAnsi="Times New Roman" w:cs="Times New Roman"/>
          <w:color w:val="000000"/>
          <w:sz w:val="24"/>
          <w:szCs w:val="24"/>
          <w:lang w:eastAsia="fr-FR"/>
        </w:rPr>
        <w:t xml:space="preserve">the </w:t>
      </w:r>
      <w:r w:rsidRPr="00582B44">
        <w:rPr>
          <w:rFonts w:ascii="Times New Roman" w:eastAsia="Times New Roman" w:hAnsi="Times New Roman" w:cs="Times New Roman"/>
          <w:color w:val="000000"/>
          <w:sz w:val="24"/>
          <w:szCs w:val="24"/>
          <w:lang w:eastAsia="fr-FR"/>
        </w:rPr>
        <w:t>economic revival.</w:t>
      </w:r>
      <w:r>
        <w:rPr>
          <w:rFonts w:ascii="Times New Roman" w:eastAsia="Times New Roman" w:hAnsi="Times New Roman" w:cs="Times New Roman"/>
          <w:color w:val="000000"/>
          <w:lang w:eastAsia="fr-FR"/>
        </w:rPr>
        <w:t xml:space="preserve">  </w:t>
      </w:r>
    </w:p>
    <w:p w14:paraId="6C67D2D8" w14:textId="77777777" w:rsidR="00EF620C" w:rsidRPr="00EF339D" w:rsidRDefault="00EF620C" w:rsidP="00EF620C">
      <w:pPr>
        <w:rPr>
          <w:rFonts w:ascii="Times New Roman" w:eastAsia="Times New Roman" w:hAnsi="Times New Roman" w:cs="Times New Roman"/>
          <w:color w:val="000000"/>
          <w:sz w:val="24"/>
          <w:szCs w:val="24"/>
          <w:lang w:eastAsia="fr-FR"/>
        </w:rPr>
      </w:pPr>
      <w:r w:rsidRPr="00EF339D">
        <w:rPr>
          <w:rFonts w:ascii="Times New Roman" w:eastAsia="Times New Roman" w:hAnsi="Times New Roman" w:cs="Times New Roman"/>
          <w:color w:val="000000"/>
          <w:sz w:val="24"/>
          <w:szCs w:val="24"/>
          <w:lang w:eastAsia="fr-FR"/>
        </w:rPr>
        <w:t>In accordance with</w:t>
      </w:r>
      <w:r>
        <w:rPr>
          <w:rFonts w:ascii="Times New Roman" w:eastAsia="Times New Roman" w:hAnsi="Times New Roman" w:cs="Times New Roman"/>
          <w:color w:val="000000"/>
          <w:sz w:val="24"/>
          <w:szCs w:val="24"/>
          <w:lang w:eastAsia="fr-FR"/>
        </w:rPr>
        <w:t xml:space="preserve"> Act N</w:t>
      </w:r>
      <w:r w:rsidRPr="00EF339D">
        <w:rPr>
          <w:rFonts w:ascii="Times New Roman" w:eastAsia="Times New Roman" w:hAnsi="Times New Roman" w:cs="Times New Roman"/>
          <w:color w:val="000000"/>
          <w:sz w:val="24"/>
          <w:szCs w:val="24"/>
          <w:lang w:eastAsia="fr-FR"/>
        </w:rPr>
        <w:t xml:space="preserve">o.2011-014 of 28 December 2011, introducing the road map of the country’s legal system, the process of national reconciliation, led by a national institution called “Filankevitry ny Fampihavanana Malagasy” (The Council of the Malagasy Reconciliation) introduced </w:t>
      </w:r>
      <w:r>
        <w:rPr>
          <w:rFonts w:ascii="Times New Roman" w:eastAsia="Times New Roman" w:hAnsi="Times New Roman" w:cs="Times New Roman"/>
          <w:color w:val="000000"/>
          <w:sz w:val="24"/>
          <w:szCs w:val="24"/>
          <w:lang w:eastAsia="fr-FR"/>
        </w:rPr>
        <w:t>by Act</w:t>
      </w:r>
      <w:r w:rsidRPr="00EF339D">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N</w:t>
      </w:r>
      <w:r w:rsidRPr="00EF339D">
        <w:rPr>
          <w:rFonts w:ascii="Times New Roman" w:eastAsia="Times New Roman" w:hAnsi="Times New Roman" w:cs="Times New Roman"/>
          <w:color w:val="000000"/>
          <w:sz w:val="24"/>
          <w:szCs w:val="24"/>
          <w:lang w:eastAsia="fr-FR"/>
        </w:rPr>
        <w:t xml:space="preserve">o.2012-010 of 30 July 2012, was started in order to provide care, to begin to heal the individual and collective wounds of the past and establish sound foundations for Madagascar’s future. It did not give the expected results. </w:t>
      </w:r>
    </w:p>
    <w:p w14:paraId="66109B1C" w14:textId="77777777" w:rsidR="00EF620C" w:rsidRDefault="00EF620C" w:rsidP="00EF620C">
      <w:pPr>
        <w:rPr>
          <w:rFonts w:ascii="Times New Roman" w:eastAsia="Times New Roman" w:hAnsi="Times New Roman" w:cs="Times New Roman"/>
          <w:color w:val="000000"/>
          <w:lang w:eastAsia="fr-FR"/>
        </w:rPr>
      </w:pPr>
      <w:r w:rsidRPr="00EF339D">
        <w:rPr>
          <w:rFonts w:ascii="Times New Roman" w:eastAsia="Times New Roman" w:hAnsi="Times New Roman" w:cs="Times New Roman"/>
          <w:color w:val="000000"/>
          <w:sz w:val="24"/>
          <w:szCs w:val="24"/>
          <w:lang w:eastAsia="fr-FR"/>
        </w:rPr>
        <w:t xml:space="preserve">In fact, the notion of national reconciliation </w:t>
      </w:r>
      <w:r>
        <w:rPr>
          <w:rFonts w:ascii="Times New Roman" w:eastAsia="Times New Roman" w:hAnsi="Times New Roman" w:cs="Times New Roman"/>
          <w:color w:val="000000"/>
          <w:sz w:val="24"/>
          <w:szCs w:val="24"/>
          <w:lang w:eastAsia="fr-FR"/>
        </w:rPr>
        <w:t>linked</w:t>
      </w:r>
      <w:r w:rsidRPr="00EF339D">
        <w:rPr>
          <w:rFonts w:ascii="Times New Roman" w:eastAsia="Times New Roman" w:hAnsi="Times New Roman" w:cs="Times New Roman"/>
          <w:color w:val="000000"/>
          <w:sz w:val="24"/>
          <w:szCs w:val="24"/>
          <w:lang w:eastAsia="fr-FR"/>
        </w:rPr>
        <w:t xml:space="preserve"> to the existence of a political process in</w:t>
      </w:r>
      <w:r>
        <w:rPr>
          <w:rFonts w:ascii="Times New Roman" w:eastAsia="Times New Roman" w:hAnsi="Times New Roman" w:cs="Times New Roman"/>
          <w:color w:val="000000"/>
          <w:sz w:val="24"/>
          <w:szCs w:val="24"/>
          <w:lang w:eastAsia="fr-FR"/>
        </w:rPr>
        <w:t>i</w:t>
      </w:r>
      <w:r w:rsidRPr="00EF339D">
        <w:rPr>
          <w:rFonts w:ascii="Times New Roman" w:eastAsia="Times New Roman" w:hAnsi="Times New Roman" w:cs="Times New Roman"/>
          <w:color w:val="000000"/>
          <w:sz w:val="24"/>
          <w:szCs w:val="24"/>
          <w:lang w:eastAsia="fr-FR"/>
        </w:rPr>
        <w:t xml:space="preserve">tiated during the transition </w:t>
      </w:r>
      <w:r>
        <w:rPr>
          <w:rFonts w:ascii="Times New Roman" w:eastAsia="Times New Roman" w:hAnsi="Times New Roman" w:cs="Times New Roman"/>
          <w:color w:val="000000"/>
          <w:sz w:val="24"/>
          <w:szCs w:val="24"/>
          <w:lang w:eastAsia="fr-FR"/>
        </w:rPr>
        <w:t xml:space="preserve">must henceforth </w:t>
      </w:r>
      <w:r w:rsidRPr="00EF339D">
        <w:rPr>
          <w:rFonts w:ascii="Times New Roman" w:eastAsia="Times New Roman" w:hAnsi="Times New Roman" w:cs="Times New Roman"/>
          <w:color w:val="000000"/>
          <w:sz w:val="24"/>
          <w:szCs w:val="24"/>
          <w:lang w:eastAsia="fr-FR"/>
        </w:rPr>
        <w:t>result in “</w:t>
      </w:r>
      <w:r>
        <w:rPr>
          <w:rFonts w:ascii="Times New Roman" w:eastAsia="Times New Roman" w:hAnsi="Times New Roman" w:cs="Times New Roman"/>
          <w:color w:val="000000"/>
          <w:sz w:val="24"/>
          <w:szCs w:val="24"/>
          <w:lang w:eastAsia="fr-FR"/>
        </w:rPr>
        <w:t xml:space="preserve">a </w:t>
      </w:r>
      <w:r w:rsidRPr="00EF339D">
        <w:rPr>
          <w:rFonts w:ascii="Times New Roman" w:eastAsia="Times New Roman" w:hAnsi="Times New Roman" w:cs="Times New Roman"/>
          <w:color w:val="000000"/>
          <w:sz w:val="24"/>
          <w:szCs w:val="24"/>
          <w:lang w:eastAsia="fr-FR"/>
        </w:rPr>
        <w:t xml:space="preserve">genuine process of national reconciliation” that is more a process of reconciliation of Malagasy society with itself. It is what has motivated the adoption of a new law bringing together </w:t>
      </w:r>
      <w:r>
        <w:rPr>
          <w:rFonts w:ascii="Times New Roman" w:eastAsia="Times New Roman" w:hAnsi="Times New Roman" w:cs="Times New Roman"/>
          <w:color w:val="000000"/>
          <w:sz w:val="24"/>
          <w:szCs w:val="24"/>
          <w:lang w:eastAsia="fr-FR"/>
        </w:rPr>
        <w:t>Act N</w:t>
      </w:r>
      <w:r w:rsidRPr="00EF339D">
        <w:rPr>
          <w:rFonts w:ascii="Times New Roman" w:eastAsia="Times New Roman" w:hAnsi="Times New Roman" w:cs="Times New Roman"/>
          <w:color w:val="000000"/>
          <w:sz w:val="24"/>
          <w:szCs w:val="24"/>
          <w:lang w:eastAsia="fr-FR"/>
        </w:rPr>
        <w:t xml:space="preserve">o.2012-007 of 3 May 2012 granting amnesty for </w:t>
      </w:r>
      <w:r>
        <w:rPr>
          <w:rFonts w:ascii="Times New Roman" w:eastAsia="Times New Roman" w:hAnsi="Times New Roman" w:cs="Times New Roman"/>
          <w:color w:val="000000"/>
          <w:sz w:val="24"/>
          <w:szCs w:val="24"/>
          <w:lang w:eastAsia="fr-FR"/>
        </w:rPr>
        <w:t>the national reconciliation, Act N</w:t>
      </w:r>
      <w:r w:rsidRPr="00EF339D">
        <w:rPr>
          <w:rFonts w:ascii="Times New Roman" w:eastAsia="Times New Roman" w:hAnsi="Times New Roman" w:cs="Times New Roman"/>
          <w:color w:val="000000"/>
          <w:sz w:val="24"/>
          <w:szCs w:val="24"/>
          <w:lang w:eastAsia="fr-FR"/>
        </w:rPr>
        <w:t>o.2012-010 of 30 July 2012 establishing purpose, remit, composition, and terms and conditions of the</w:t>
      </w:r>
      <w:r>
        <w:rPr>
          <w:rFonts w:ascii="Times New Roman" w:eastAsia="Times New Roman" w:hAnsi="Times New Roman" w:cs="Times New Roman"/>
          <w:color w:val="000000"/>
          <w:sz w:val="24"/>
          <w:szCs w:val="24"/>
          <w:lang w:eastAsia="fr-FR"/>
        </w:rPr>
        <w:t xml:space="preserve"> function</w:t>
      </w:r>
      <w:r w:rsidRPr="00EF339D">
        <w:rPr>
          <w:rFonts w:ascii="Times New Roman" w:eastAsia="Times New Roman" w:hAnsi="Times New Roman" w:cs="Times New Roman"/>
          <w:color w:val="000000"/>
          <w:sz w:val="24"/>
          <w:szCs w:val="24"/>
          <w:lang w:eastAsia="fr-FR"/>
        </w:rPr>
        <w:t xml:space="preserve"> of Filankevitry ny Fampihavanana Malagasy (FFM) or the Council of the Malagasy Reconciliation (CRM) </w:t>
      </w:r>
      <w:r>
        <w:rPr>
          <w:rFonts w:ascii="Times New Roman" w:eastAsia="Times New Roman" w:hAnsi="Times New Roman" w:cs="Times New Roman"/>
          <w:color w:val="000000"/>
          <w:sz w:val="24"/>
          <w:szCs w:val="24"/>
          <w:lang w:eastAsia="fr-FR"/>
        </w:rPr>
        <w:t>and Decree N</w:t>
      </w:r>
      <w:r w:rsidRPr="00EF339D">
        <w:rPr>
          <w:rFonts w:ascii="Times New Roman" w:eastAsia="Times New Roman" w:hAnsi="Times New Roman" w:cs="Times New Roman"/>
          <w:color w:val="000000"/>
          <w:sz w:val="24"/>
          <w:szCs w:val="24"/>
          <w:lang w:eastAsia="fr-FR"/>
        </w:rPr>
        <w:t>o. 2012-004 of 9 October 2012 stabilising the remit, the composition, and the function of an ad hoc committee designated the Special Commission within the Supreme Court</w:t>
      </w:r>
      <w:r>
        <w:rPr>
          <w:rFonts w:ascii="Times New Roman" w:eastAsia="Times New Roman" w:hAnsi="Times New Roman" w:cs="Times New Roman"/>
          <w:color w:val="000000"/>
          <w:lang w:eastAsia="fr-FR"/>
        </w:rPr>
        <w:t xml:space="preserve">. </w:t>
      </w:r>
    </w:p>
    <w:p w14:paraId="261B6EA5" w14:textId="77777777" w:rsidR="00EF620C" w:rsidRDefault="00EF620C" w:rsidP="00EF620C">
      <w:pPr>
        <w:rPr>
          <w:rFonts w:ascii="Times New Roman" w:hAnsi="Times New Roman" w:cs="Times New Roman"/>
          <w:sz w:val="24"/>
          <w:szCs w:val="24"/>
        </w:rPr>
      </w:pPr>
      <w:r>
        <w:rPr>
          <w:rFonts w:ascii="Times New Roman" w:eastAsia="Times New Roman" w:hAnsi="Times New Roman" w:cs="Times New Roman"/>
          <w:color w:val="000000"/>
          <w:sz w:val="24"/>
          <w:szCs w:val="24"/>
          <w:lang w:eastAsia="fr-FR"/>
        </w:rPr>
        <w:t>This new law is Act</w:t>
      </w:r>
      <w:r w:rsidRPr="00AA1207">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N</w:t>
      </w:r>
      <w:r w:rsidRPr="00AA1207">
        <w:rPr>
          <w:rFonts w:ascii="Times New Roman" w:eastAsia="Times New Roman" w:hAnsi="Times New Roman" w:cs="Times New Roman"/>
          <w:color w:val="000000"/>
          <w:sz w:val="24"/>
          <w:szCs w:val="24"/>
          <w:lang w:eastAsia="fr-FR"/>
        </w:rPr>
        <w:t>o.</w:t>
      </w:r>
      <w:r>
        <w:rPr>
          <w:rFonts w:ascii="Times New Roman" w:eastAsia="Times New Roman" w:hAnsi="Times New Roman" w:cs="Times New Roman"/>
          <w:color w:val="000000"/>
          <w:sz w:val="24"/>
          <w:szCs w:val="24"/>
          <w:lang w:eastAsia="fr-FR"/>
        </w:rPr>
        <w:t xml:space="preserve">2016-037 of 15 December 2016 providing for the implementation of the Council of the Malagasy </w:t>
      </w:r>
      <w:r w:rsidRPr="00207C0C">
        <w:rPr>
          <w:rFonts w:ascii="Times New Roman" w:eastAsia="Times New Roman" w:hAnsi="Times New Roman" w:cs="Times New Roman"/>
          <w:color w:val="000000"/>
          <w:sz w:val="24"/>
          <w:szCs w:val="24"/>
          <w:lang w:eastAsia="fr-FR"/>
        </w:rPr>
        <w:t>Fampihavanana</w:t>
      </w:r>
      <w:r>
        <w:rPr>
          <w:rFonts w:ascii="Times New Roman" w:eastAsia="Times New Roman" w:hAnsi="Times New Roman" w:cs="Times New Roman"/>
          <w:color w:val="000000"/>
          <w:sz w:val="24"/>
          <w:szCs w:val="24"/>
          <w:lang w:eastAsia="fr-FR"/>
        </w:rPr>
        <w:t xml:space="preserve"> </w:t>
      </w:r>
      <w:r>
        <w:rPr>
          <w:rFonts w:ascii="Times New Roman" w:hAnsi="Times New Roman" w:cs="Times New Roman"/>
          <w:sz w:val="24"/>
          <w:szCs w:val="24"/>
        </w:rPr>
        <w:t xml:space="preserve">(CFM). To date, the members of this new CFM have still not been named. </w:t>
      </w:r>
    </w:p>
    <w:p w14:paraId="057071E2"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Several citizens, politicians, and non-politicians concede that Madagascar will not be safe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a new electoral or post electoral crisis regarding the presidential election of 2018 as long as effective measures for the national reconciliation will not be taken. </w:t>
      </w:r>
    </w:p>
    <w:p w14:paraId="45CD9895" w14:textId="77777777" w:rsidR="00EF620C" w:rsidRDefault="00EF620C" w:rsidP="00EF620C">
      <w:pPr>
        <w:rPr>
          <w:rFonts w:ascii="Times New Roman" w:hAnsi="Times New Roman" w:cs="Times New Roman"/>
          <w:b/>
          <w:sz w:val="24"/>
          <w:szCs w:val="24"/>
        </w:rPr>
      </w:pPr>
      <w:r>
        <w:rPr>
          <w:rFonts w:ascii="Times New Roman" w:hAnsi="Times New Roman" w:cs="Times New Roman"/>
          <w:b/>
          <w:sz w:val="24"/>
          <w:szCs w:val="24"/>
        </w:rPr>
        <w:t>JOINT ORGANISATIONS</w:t>
      </w:r>
    </w:p>
    <w:p w14:paraId="7B636FC8"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This report was produced with the support of the Office of the United Nations High Commissioner for Human Rights (OHCHR) to Madagascar, FIACAT, CCPR Centre with the participation of 13 civil society organisations, presented hereunder. </w:t>
      </w:r>
    </w:p>
    <w:p w14:paraId="30C43BD3"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It is submitted to the Human Rights Committee with the aim of completing the State’s responses to the list of issues before the review session of the State party’s fourth periodic report on the adopted measures and implementation of rights recognised by the Covenant as </w:t>
      </w:r>
      <w:r>
        <w:rPr>
          <w:rFonts w:ascii="Times New Roman" w:hAnsi="Times New Roman" w:cs="Times New Roman"/>
          <w:sz w:val="24"/>
          <w:szCs w:val="24"/>
        </w:rPr>
        <w:lastRenderedPageBreak/>
        <w:t xml:space="preserve">well as that on the progress achieved in the enjoyment of these rights, in accordance with article 40 of the International Covenant on Civil and Political Rights. </w:t>
      </w:r>
    </w:p>
    <w:p w14:paraId="7337E457"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Madagascar has ratified the ICCPR the 21 June 1971 and has been examined three times by the Human Rights Committee (in 1978, 1994, and 2007). </w:t>
      </w:r>
    </w:p>
    <w:p w14:paraId="423FE3E1"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Since Madagascar’s third periodic review report in 2007 by the Human Rights Committee, much progress has been achieved, notably on that which concerns the ratification of international rights treaties and the enactment of a certain number of laws that have improved the legal protection of human rights. </w:t>
      </w:r>
    </w:p>
    <w:p w14:paraId="2815F566"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As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case in point, in January 2009, the Constitutional Act No. 2009-001 of 19 January 2009 altered the provisions of Article 15 of the Constitution allowing in this way for every citizen to stand as a candidate in elections set out by the Constitution. </w:t>
      </w:r>
    </w:p>
    <w:p w14:paraId="6D74088B"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The Fourth Republic was established by the referendum of 17 November 2010. Article 8 of the Constitution of 2010 provides for the prohibition of torture for the first time. </w:t>
      </w:r>
    </w:p>
    <w:p w14:paraId="1778A912"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These new constitutional provisions have brought advances in the area of human rights. Nevertheless, shortcomings persist which make them insufficient and enable the continued violation of rights and freedoms.  </w:t>
      </w:r>
    </w:p>
    <w:p w14:paraId="0AFAD2A9" w14:textId="77777777" w:rsidR="00EF620C" w:rsidRPr="00727768"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The improvement of this situation so as to guarantee the exercise of rights and freedoms contained within the Covenant must be demonstrated in an effective manner by the state, by the adoption of such measures as: a revision of the penal code and other legislations with the aim of their standardisation with the Covenant and the Rome Statute, the implementation of effective measures to ensure de facto gender equality, and the end of all forms of violence against women, a substantial reform of justice in order to rectify its dysfunction, assure its autonomy, and re-establish its citizens confidence towards putting an end to the systematic use of mob justice, the break with impunity, the improvement of prison conditions and the establishment of an independent national mechanism for the prevention of torture. </w:t>
      </w:r>
    </w:p>
    <w:p w14:paraId="53705CEF" w14:textId="77777777" w:rsidR="00EF620C" w:rsidRDefault="00EF620C" w:rsidP="00EF620C">
      <w:pPr>
        <w:rPr>
          <w:rFonts w:ascii="Times New Roman" w:hAnsi="Times New Roman" w:cs="Times New Roman"/>
          <w:sz w:val="24"/>
          <w:szCs w:val="24"/>
        </w:rPr>
      </w:pPr>
    </w:p>
    <w:p w14:paraId="18AA17DD" w14:textId="77777777" w:rsidR="00EF620C" w:rsidRDefault="00EF620C" w:rsidP="00EF620C">
      <w:pPr>
        <w:rPr>
          <w:rFonts w:ascii="Times New Roman" w:hAnsi="Times New Roman" w:cs="Times New Roman"/>
          <w:sz w:val="24"/>
          <w:szCs w:val="24"/>
        </w:rPr>
      </w:pPr>
    </w:p>
    <w:p w14:paraId="5062475C" w14:textId="77777777" w:rsidR="00EF620C" w:rsidRDefault="00EF620C" w:rsidP="00EF620C">
      <w:pPr>
        <w:rPr>
          <w:rFonts w:ascii="Times New Roman" w:hAnsi="Times New Roman" w:cs="Times New Roman"/>
          <w:sz w:val="24"/>
          <w:szCs w:val="24"/>
        </w:rPr>
      </w:pPr>
    </w:p>
    <w:p w14:paraId="65587899" w14:textId="77777777" w:rsidR="00EF620C" w:rsidRDefault="00EF620C" w:rsidP="00EF620C">
      <w:pPr>
        <w:rPr>
          <w:rFonts w:ascii="Times New Roman" w:hAnsi="Times New Roman" w:cs="Times New Roman"/>
          <w:sz w:val="24"/>
          <w:szCs w:val="24"/>
        </w:rPr>
      </w:pPr>
    </w:p>
    <w:p w14:paraId="0E17802B" w14:textId="77777777" w:rsidR="00EF620C" w:rsidRDefault="00EF620C" w:rsidP="00EF620C">
      <w:pPr>
        <w:rPr>
          <w:rFonts w:ascii="Times New Roman" w:hAnsi="Times New Roman" w:cs="Times New Roman"/>
          <w:sz w:val="24"/>
          <w:szCs w:val="24"/>
        </w:rPr>
      </w:pPr>
    </w:p>
    <w:p w14:paraId="369CAB64" w14:textId="77777777" w:rsidR="00EF620C" w:rsidRDefault="00EF620C" w:rsidP="00EF620C">
      <w:pPr>
        <w:rPr>
          <w:rFonts w:ascii="Times New Roman" w:hAnsi="Times New Roman" w:cs="Times New Roman"/>
          <w:sz w:val="24"/>
          <w:szCs w:val="24"/>
        </w:rPr>
      </w:pPr>
    </w:p>
    <w:p w14:paraId="3367F6E4" w14:textId="77777777" w:rsidR="00EF620C" w:rsidRDefault="00EF620C" w:rsidP="00EF620C">
      <w:pPr>
        <w:rPr>
          <w:rFonts w:ascii="Times New Roman" w:hAnsi="Times New Roman" w:cs="Times New Roman"/>
          <w:sz w:val="24"/>
          <w:szCs w:val="24"/>
        </w:rPr>
      </w:pPr>
    </w:p>
    <w:p w14:paraId="36776152" w14:textId="77777777" w:rsidR="00EF620C" w:rsidRDefault="00EF620C" w:rsidP="00EF620C">
      <w:pPr>
        <w:rPr>
          <w:rFonts w:ascii="Times New Roman" w:hAnsi="Times New Roman" w:cs="Times New Roman"/>
          <w:sz w:val="24"/>
          <w:szCs w:val="24"/>
        </w:rPr>
      </w:pPr>
    </w:p>
    <w:p w14:paraId="1CDD4E20" w14:textId="77777777" w:rsidR="00EF620C" w:rsidRDefault="00EF620C" w:rsidP="00EF620C">
      <w:pPr>
        <w:rPr>
          <w:rFonts w:ascii="Times New Roman" w:hAnsi="Times New Roman" w:cs="Times New Roman"/>
          <w:sz w:val="24"/>
          <w:szCs w:val="24"/>
        </w:rPr>
      </w:pPr>
    </w:p>
    <w:p w14:paraId="710AD21A" w14:textId="77777777" w:rsidR="00EF620C" w:rsidRDefault="00EF620C" w:rsidP="00EF620C">
      <w:pPr>
        <w:rPr>
          <w:rFonts w:ascii="Times New Roman" w:hAnsi="Times New Roman" w:cs="Times New Roman"/>
          <w:sz w:val="24"/>
          <w:szCs w:val="24"/>
        </w:rPr>
      </w:pPr>
    </w:p>
    <w:p w14:paraId="472B1D4A" w14:textId="77777777" w:rsidR="00EF620C" w:rsidRDefault="00EF620C" w:rsidP="00EF620C">
      <w:pPr>
        <w:rPr>
          <w:rFonts w:ascii="Times New Roman" w:hAnsi="Times New Roman" w:cs="Times New Roman"/>
          <w:sz w:val="24"/>
          <w:szCs w:val="24"/>
        </w:rPr>
      </w:pPr>
    </w:p>
    <w:p w14:paraId="5C0F84CF" w14:textId="77777777" w:rsidR="00EF620C" w:rsidRDefault="00EF620C" w:rsidP="00EF620C">
      <w:pPr>
        <w:rPr>
          <w:rFonts w:ascii="Times New Roman" w:hAnsi="Times New Roman" w:cs="Times New Roman"/>
          <w:sz w:val="24"/>
          <w:szCs w:val="24"/>
        </w:rPr>
      </w:pPr>
    </w:p>
    <w:p w14:paraId="5A66ECBD" w14:textId="77777777" w:rsidR="00EF620C" w:rsidRPr="00181CC4" w:rsidRDefault="00EF620C" w:rsidP="00EF620C">
      <w:pPr>
        <w:rPr>
          <w:rFonts w:ascii="Times New Roman" w:hAnsi="Times New Roman" w:cs="Times New Roman"/>
          <w:b/>
          <w:sz w:val="24"/>
          <w:szCs w:val="24"/>
        </w:rPr>
      </w:pPr>
      <w:r w:rsidRPr="00181CC4">
        <w:rPr>
          <w:rFonts w:ascii="Times New Roman" w:hAnsi="Times New Roman" w:cs="Times New Roman"/>
          <w:b/>
          <w:sz w:val="24"/>
          <w:szCs w:val="24"/>
        </w:rPr>
        <w:lastRenderedPageBreak/>
        <w:t>M</w:t>
      </w:r>
      <w:r>
        <w:rPr>
          <w:rFonts w:ascii="Times New Roman" w:hAnsi="Times New Roman" w:cs="Times New Roman"/>
          <w:b/>
          <w:sz w:val="24"/>
          <w:szCs w:val="24"/>
        </w:rPr>
        <w:t>ETHODOLOGY</w:t>
      </w:r>
    </w:p>
    <w:p w14:paraId="3994EBF2"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The State party’s fourth periodic report was submitted to the Committee in November 2015. The Committee adopted the list of issues in November 2016. </w:t>
      </w:r>
    </w:p>
    <w:p w14:paraId="212C823A"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On the 22 and 23 February 2017, in the framework for development of the present alternative report organised with the representatives of civil society regarding Madagascar’s next review by the Human Rights Committee, a national consultation workshop of Civil Society Organisations (CSO) was organised at the United Nations House with the support of OHCHR, FIACAT, and the CCPR Centre. </w:t>
      </w:r>
    </w:p>
    <w:p w14:paraId="438CA058"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Twenty-three participants from thirteen Malagasy entities working on different themes were dived into three work groups. </w:t>
      </w:r>
    </w:p>
    <w:p w14:paraId="04F02F6E"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Upon completion of the workshop, a select committee was put in place, led by three focal points, responsible for gathering information among participants and CSOs and writing the final report.  </w:t>
      </w:r>
    </w:p>
    <w:p w14:paraId="0D58522D"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Trainees at the centre of ACAT Madagascar have also carried out field surveys on the basis of a series of questions and information collected from the administration. </w:t>
      </w:r>
    </w:p>
    <w:p w14:paraId="10553934"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Junior ACAT workers collect the texts and paper reviews. </w:t>
      </w:r>
    </w:p>
    <w:p w14:paraId="308043DA" w14:textId="77777777" w:rsidR="00EF620C" w:rsidRDefault="00EF620C" w:rsidP="00EF620C">
      <w:pPr>
        <w:rPr>
          <w:rFonts w:ascii="Times New Roman" w:hAnsi="Times New Roman" w:cs="Times New Roman"/>
          <w:sz w:val="24"/>
          <w:szCs w:val="24"/>
        </w:rPr>
      </w:pPr>
      <w:r>
        <w:rPr>
          <w:rFonts w:ascii="Times New Roman" w:hAnsi="Times New Roman" w:cs="Times New Roman"/>
          <w:sz w:val="24"/>
          <w:szCs w:val="24"/>
        </w:rPr>
        <w:t xml:space="preserve">This participatory methodology adds value to the CSO report, as some are members of several coalitions or human rights advocacy groups at the national level. </w:t>
      </w:r>
    </w:p>
    <w:p w14:paraId="43B7D25E" w14:textId="77777777" w:rsidR="00EF620C" w:rsidRDefault="00EF620C" w:rsidP="00EF620C">
      <w:pPr>
        <w:rPr>
          <w:rFonts w:ascii="Times New Roman" w:hAnsi="Times New Roman" w:cs="Times New Roman"/>
          <w:sz w:val="24"/>
          <w:szCs w:val="24"/>
        </w:rPr>
      </w:pPr>
    </w:p>
    <w:p w14:paraId="7E0E479F" w14:textId="77777777" w:rsidR="00EF620C" w:rsidRPr="009623E5" w:rsidRDefault="00EF620C" w:rsidP="00EF620C">
      <w:pPr>
        <w:rPr>
          <w:rFonts w:ascii="Times New Roman" w:hAnsi="Times New Roman" w:cs="Times New Roman"/>
          <w:sz w:val="24"/>
          <w:szCs w:val="24"/>
        </w:rPr>
      </w:pPr>
    </w:p>
    <w:p w14:paraId="04DE990C" w14:textId="77777777" w:rsidR="00EF620C" w:rsidRDefault="00EF620C" w:rsidP="00EF620C">
      <w:pPr>
        <w:rPr>
          <w:rFonts w:ascii="Times New Roman" w:hAnsi="Times New Roman" w:cs="Times New Roman"/>
          <w:sz w:val="24"/>
          <w:szCs w:val="24"/>
        </w:rPr>
      </w:pPr>
    </w:p>
    <w:p w14:paraId="6AA2259E" w14:textId="77777777" w:rsidR="00EF620C" w:rsidRDefault="00EF620C" w:rsidP="00EF620C">
      <w:pPr>
        <w:rPr>
          <w:rFonts w:ascii="Times New Roman" w:hAnsi="Times New Roman" w:cs="Times New Roman"/>
          <w:sz w:val="24"/>
          <w:szCs w:val="24"/>
        </w:rPr>
      </w:pPr>
    </w:p>
    <w:p w14:paraId="698A0A71" w14:textId="77777777" w:rsidR="00EF620C" w:rsidRDefault="00EF620C" w:rsidP="00EF620C">
      <w:pPr>
        <w:rPr>
          <w:rFonts w:ascii="Times New Roman" w:hAnsi="Times New Roman" w:cs="Times New Roman"/>
          <w:sz w:val="24"/>
          <w:szCs w:val="24"/>
        </w:rPr>
      </w:pPr>
    </w:p>
    <w:p w14:paraId="6FBF8E67" w14:textId="77777777" w:rsidR="00EF620C" w:rsidRDefault="00EF620C" w:rsidP="00EF620C">
      <w:pPr>
        <w:rPr>
          <w:rFonts w:ascii="Times New Roman" w:hAnsi="Times New Roman" w:cs="Times New Roman"/>
          <w:sz w:val="24"/>
          <w:szCs w:val="24"/>
        </w:rPr>
      </w:pPr>
    </w:p>
    <w:p w14:paraId="22C70134" w14:textId="77777777" w:rsidR="00EF620C" w:rsidRDefault="00EF620C" w:rsidP="00EF620C">
      <w:pPr>
        <w:rPr>
          <w:rFonts w:ascii="Times New Roman" w:hAnsi="Times New Roman" w:cs="Times New Roman"/>
          <w:sz w:val="24"/>
          <w:szCs w:val="24"/>
        </w:rPr>
      </w:pPr>
    </w:p>
    <w:p w14:paraId="4785DE10" w14:textId="77777777" w:rsidR="00EF620C" w:rsidRDefault="00EF620C" w:rsidP="00EF620C">
      <w:pPr>
        <w:rPr>
          <w:rFonts w:ascii="Times New Roman" w:hAnsi="Times New Roman" w:cs="Times New Roman"/>
          <w:sz w:val="24"/>
          <w:szCs w:val="24"/>
        </w:rPr>
      </w:pPr>
    </w:p>
    <w:p w14:paraId="75A4F229" w14:textId="77777777" w:rsidR="00EF620C" w:rsidRDefault="00EF620C" w:rsidP="00EF620C">
      <w:pPr>
        <w:rPr>
          <w:rFonts w:ascii="Times New Roman" w:hAnsi="Times New Roman" w:cs="Times New Roman"/>
          <w:sz w:val="24"/>
          <w:szCs w:val="24"/>
        </w:rPr>
      </w:pPr>
    </w:p>
    <w:p w14:paraId="53EB13BE" w14:textId="77777777" w:rsidR="00EF620C" w:rsidRDefault="00EF620C" w:rsidP="00EF620C">
      <w:pPr>
        <w:rPr>
          <w:rFonts w:ascii="Times New Roman" w:hAnsi="Times New Roman" w:cs="Times New Roman"/>
          <w:sz w:val="24"/>
          <w:szCs w:val="24"/>
        </w:rPr>
      </w:pPr>
    </w:p>
    <w:p w14:paraId="7C613BCF" w14:textId="77777777" w:rsidR="00EF620C" w:rsidRDefault="00EF620C" w:rsidP="00EF620C">
      <w:pPr>
        <w:rPr>
          <w:rFonts w:ascii="Times New Roman" w:hAnsi="Times New Roman" w:cs="Times New Roman"/>
          <w:sz w:val="24"/>
          <w:szCs w:val="24"/>
        </w:rPr>
      </w:pPr>
    </w:p>
    <w:p w14:paraId="39406198" w14:textId="77777777" w:rsidR="00EF620C" w:rsidRDefault="00EF620C" w:rsidP="00EF620C">
      <w:pPr>
        <w:rPr>
          <w:rFonts w:ascii="Times New Roman" w:hAnsi="Times New Roman" w:cs="Times New Roman"/>
          <w:sz w:val="24"/>
          <w:szCs w:val="24"/>
        </w:rPr>
      </w:pPr>
    </w:p>
    <w:p w14:paraId="75ECE58C" w14:textId="77777777" w:rsidR="00EF620C" w:rsidRDefault="00EF620C" w:rsidP="00EF620C">
      <w:pPr>
        <w:rPr>
          <w:rFonts w:ascii="Times New Roman" w:hAnsi="Times New Roman" w:cs="Times New Roman"/>
          <w:sz w:val="24"/>
          <w:szCs w:val="24"/>
        </w:rPr>
      </w:pPr>
    </w:p>
    <w:p w14:paraId="1C2F2A31" w14:textId="77777777" w:rsidR="00EF620C" w:rsidRDefault="00EF620C" w:rsidP="00EF620C">
      <w:pPr>
        <w:rPr>
          <w:rFonts w:ascii="Times New Roman" w:hAnsi="Times New Roman" w:cs="Times New Roman"/>
          <w:sz w:val="24"/>
          <w:szCs w:val="24"/>
        </w:rPr>
      </w:pPr>
    </w:p>
    <w:p w14:paraId="587256DE" w14:textId="77777777" w:rsidR="00EF620C" w:rsidRDefault="00EF620C" w:rsidP="00EF620C">
      <w:pPr>
        <w:rPr>
          <w:rFonts w:ascii="Times New Roman" w:hAnsi="Times New Roman" w:cs="Times New Roman"/>
          <w:sz w:val="24"/>
          <w:szCs w:val="24"/>
        </w:rPr>
      </w:pPr>
    </w:p>
    <w:p w14:paraId="357B5DE9" w14:textId="77777777" w:rsidR="00EF620C" w:rsidRDefault="00EF620C" w:rsidP="00EF620C">
      <w:pPr>
        <w:rPr>
          <w:rFonts w:ascii="Times New Roman" w:hAnsi="Times New Roman" w:cs="Times New Roman"/>
          <w:sz w:val="24"/>
          <w:szCs w:val="24"/>
        </w:rPr>
      </w:pPr>
    </w:p>
    <w:p w14:paraId="58CE96A0" w14:textId="77777777" w:rsidR="00EF620C" w:rsidRDefault="00EF620C" w:rsidP="00EF620C">
      <w:pPr>
        <w:rPr>
          <w:rFonts w:ascii="Times New Roman" w:hAnsi="Times New Roman" w:cs="Times New Roman"/>
          <w:b/>
          <w:sz w:val="24"/>
          <w:szCs w:val="24"/>
        </w:rPr>
      </w:pPr>
      <w:r>
        <w:rPr>
          <w:rFonts w:ascii="Times New Roman" w:hAnsi="Times New Roman" w:cs="Times New Roman"/>
          <w:b/>
          <w:sz w:val="24"/>
          <w:szCs w:val="24"/>
        </w:rPr>
        <w:lastRenderedPageBreak/>
        <w:t xml:space="preserve">CIVIL SOCIETY RESPONSES TO THE LIST OF ISSUES </w:t>
      </w:r>
    </w:p>
    <w:p w14:paraId="08754FF2" w14:textId="77777777" w:rsidR="00EF620C" w:rsidRDefault="00EF620C" w:rsidP="00EF620C">
      <w:pPr>
        <w:pStyle w:val="titre1TM"/>
      </w:pPr>
      <w:r w:rsidRPr="0000277A">
        <w:t xml:space="preserve">Constitutional framework and legal implementation of the Covenant (art.2) </w:t>
      </w:r>
    </w:p>
    <w:p w14:paraId="1788A5E6" w14:textId="77777777" w:rsidR="00EF620C" w:rsidRPr="00E213E5" w:rsidRDefault="00EF620C" w:rsidP="00EF620C">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Issue</w:t>
      </w:r>
      <w:r w:rsidRPr="00E213E5">
        <w:rPr>
          <w:rFonts w:ascii="Times New Roman" w:eastAsia="Times New Roman" w:hAnsi="Times New Roman" w:cs="Times New Roman"/>
          <w:b/>
          <w:color w:val="000000"/>
          <w:u w:val="single" w:color="000000"/>
          <w:lang w:eastAsia="fr-FR"/>
        </w:rPr>
        <w:t xml:space="preserve"> 1</w:t>
      </w:r>
      <w:r w:rsidRPr="00E213E5">
        <w:rPr>
          <w:rFonts w:ascii="Times New Roman" w:eastAsia="Times New Roman" w:hAnsi="Times New Roman" w:cs="Times New Roman"/>
          <w:b/>
          <w:color w:val="000000"/>
          <w:lang w:eastAsia="fr-FR"/>
        </w:rPr>
        <w:t xml:space="preserve">: </w:t>
      </w:r>
      <w:r w:rsidRPr="00E213E5">
        <w:rPr>
          <w:rFonts w:ascii="Times New Roman" w:eastAsia="Times New Roman" w:hAnsi="Times New Roman" w:cs="Times New Roman"/>
          <w:color w:val="000000"/>
          <w:lang w:eastAsia="fr-FR"/>
        </w:rPr>
        <w:t>Given that article 137 (4) of the Constitution establishes the primacy of the Covenant over the domestic laws of the State party, please indicate how often the Covenant has been invoked before and applied by the courts and administrative authorities of the State party. Where applicable, please provide examples of cases in which the Covenant has been invoked. Please also indicate what procedures are in place for the implementation of the Committee’s Views under the Optional Protocol.</w:t>
      </w:r>
    </w:p>
    <w:p w14:paraId="19190553"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720957F2" w14:textId="77777777" w:rsidR="00EF620C" w:rsidRPr="00B063AA" w:rsidRDefault="00EF620C" w:rsidP="00EF620C">
      <w:pPr>
        <w:pStyle w:val="Paragraphedeliste"/>
      </w:pPr>
      <w:r w:rsidRPr="00B063AA">
        <w:t>In accordance with Article 137 paragraph 4 of the Constitution, the parties</w:t>
      </w:r>
      <w:r>
        <w:t xml:space="preserve"> to the </w:t>
      </w:r>
      <w:r w:rsidRPr="00B063AA">
        <w:t xml:space="preserve">proceedings were able to directly invoke before the Supreme Court, the Covenant’s provisions relating to the equitable process and the rights of the defence, as in the two following cases: </w:t>
      </w:r>
    </w:p>
    <w:p w14:paraId="6B7FE376" w14:textId="77777777" w:rsidR="00EF620C" w:rsidRDefault="00EF620C" w:rsidP="00EF620C">
      <w:pPr>
        <w:pStyle w:val="Paragraphedeliste"/>
        <w:numPr>
          <w:ilvl w:val="0"/>
          <w:numId w:val="9"/>
        </w:numPr>
        <w:spacing w:after="160" w:line="259" w:lineRule="auto"/>
        <w:contextualSpacing/>
        <w:jc w:val="left"/>
      </w:pPr>
      <w:r>
        <w:t xml:space="preserve">Judgement No. 222/11 SOC of 5-10-2012 of the SUPREME COURT OF MADAGASCAR: Malagasy Telecommunications Company SA c/Rakotoson Edouard </w:t>
      </w:r>
    </w:p>
    <w:p w14:paraId="24460C25" w14:textId="77777777" w:rsidR="00EF620C" w:rsidRDefault="00EF620C" w:rsidP="00EF620C">
      <w:pPr>
        <w:pStyle w:val="Paragraphedeliste"/>
      </w:pPr>
      <w:r>
        <w:t>Contested decision: Labour Division of the Toliara Court of Appeal No.009 - Soc/11 of 21 March 2011: single plea of appeal drawn from Article 26 of the Institutional Act 2004.036 of 1</w:t>
      </w:r>
      <w:r w:rsidRPr="00EF620C">
        <w:rPr>
          <w:vertAlign w:val="superscript"/>
        </w:rPr>
        <w:t xml:space="preserve"> </w:t>
      </w:r>
      <w:r>
        <w:t xml:space="preserve">October 2004 concerning the Supreme Court, taken from the violation of Article 13 of the Constitution on the rights of the defence, from Article 14 of Act 70.001of 23 June 1970 on approval of compliance with the </w:t>
      </w:r>
      <w:bookmarkStart w:id="0" w:name="_Hlk486878181"/>
      <w:r>
        <w:t xml:space="preserve">International Covenant on Civil and Political Rights </w:t>
      </w:r>
      <w:bookmarkEnd w:id="0"/>
      <w:r>
        <w:t xml:space="preserve">and its Protocol (J.O No.713 of 27 June 1970). </w:t>
      </w:r>
    </w:p>
    <w:p w14:paraId="2E4CBF09" w14:textId="77777777" w:rsidR="00EF620C" w:rsidRDefault="00EF620C" w:rsidP="00EF620C">
      <w:pPr>
        <w:pStyle w:val="Paragraphedeliste"/>
        <w:numPr>
          <w:ilvl w:val="0"/>
          <w:numId w:val="9"/>
        </w:numPr>
        <w:spacing w:after="160" w:line="259" w:lineRule="auto"/>
        <w:contextualSpacing/>
        <w:jc w:val="left"/>
      </w:pPr>
      <w:r>
        <w:t xml:space="preserve">Judgement No. 450 of 2008-12-05 of the SUPREME COURT OF MADAGASCAR: </w:t>
      </w:r>
      <w:r w:rsidRPr="00187498">
        <w:t>Raoeliarimanana Jean C/ RandrianarivonyHantasoa Vololonarivo</w:t>
      </w:r>
    </w:p>
    <w:p w14:paraId="51497CB5" w14:textId="77777777" w:rsidR="00EF620C" w:rsidRPr="00C11F78" w:rsidRDefault="00EF620C" w:rsidP="00EF620C">
      <w:pPr>
        <w:pStyle w:val="Paragraphedeliste"/>
      </w:pPr>
      <w:r>
        <w:t xml:space="preserve">Contested decision: case No. 405 of 5 November 2003 of the Civil Court of Appeal of </w:t>
      </w:r>
      <w:r w:rsidRPr="00816FE0">
        <w:t>Fianarantsoa</w:t>
      </w:r>
      <w:r>
        <w:t xml:space="preserve">: grounds for appeal taken from the violation of Articles 2-22-180410 from the Code of Civil Procedure, Articles 11 and 14 of ruling 82.019 of 11 August 1982 from Article 14 of the International Covenant on Civil and Political Rights. </w:t>
      </w:r>
    </w:p>
    <w:p w14:paraId="0B420DB0" w14:textId="77777777" w:rsidR="00EF620C" w:rsidRPr="00B94BA0" w:rsidRDefault="00EF620C" w:rsidP="00EF620C">
      <w:pPr>
        <w:pStyle w:val="Paragraphedeliste"/>
      </w:pPr>
      <w:r w:rsidRPr="00C11F78">
        <w:t xml:space="preserve">In both these cases, the parties at trial have invoked the Covenant and the </w:t>
      </w:r>
      <w:proofErr w:type="gramStart"/>
      <w:r w:rsidRPr="00C11F78">
        <w:t>appeals have been rejected by the court</w:t>
      </w:r>
      <w:proofErr w:type="gramEnd"/>
      <w:r w:rsidRPr="00C11F78">
        <w:t xml:space="preserve">. </w:t>
      </w:r>
    </w:p>
    <w:p w14:paraId="0013DBED" w14:textId="77777777" w:rsidR="00EF620C" w:rsidRPr="00C11F78" w:rsidRDefault="00EF620C" w:rsidP="00EF620C">
      <w:pPr>
        <w:pStyle w:val="Paragraphedeliste"/>
      </w:pPr>
      <w:r>
        <w:t>Generally, it is recognised</w:t>
      </w:r>
      <w:r w:rsidRPr="00C11F78">
        <w:t xml:space="preserve"> t</w:t>
      </w:r>
      <w:r>
        <w:t xml:space="preserve">hat the majority of magistrates, lawyers, and persons answerable to the law do not seem sufficiently informed of the possibility of evocation during court proceedings of duly ratified international conventions, because cases in which the justice professionals make mention of them or during which the judges officially evoke them, are very rare. </w:t>
      </w:r>
    </w:p>
    <w:p w14:paraId="14E8D56A" w14:textId="77777777" w:rsidR="00EF620C" w:rsidRPr="004D7488" w:rsidRDefault="00EF620C" w:rsidP="00EF620C">
      <w:pPr>
        <w:spacing w:after="111" w:line="251" w:lineRule="auto"/>
        <w:ind w:left="142" w:right="1204"/>
        <w:jc w:val="both"/>
        <w:rPr>
          <w:rFonts w:ascii="Times New Roman" w:eastAsia="Times New Roman" w:hAnsi="Times New Roman" w:cs="Times New Roman"/>
          <w:color w:val="000000"/>
          <w:sz w:val="24"/>
          <w:szCs w:val="24"/>
          <w:lang w:eastAsia="fr-FR"/>
        </w:rPr>
      </w:pPr>
      <w:r w:rsidRPr="004D7488">
        <w:rPr>
          <w:rFonts w:ascii="Times New Roman" w:eastAsia="Times New Roman" w:hAnsi="Times New Roman" w:cs="Times New Roman"/>
          <w:b/>
          <w:color w:val="000000"/>
          <w:sz w:val="24"/>
          <w:szCs w:val="24"/>
          <w:lang w:eastAsia="fr-FR"/>
        </w:rPr>
        <w:t xml:space="preserve">Recommendations: </w:t>
      </w:r>
    </w:p>
    <w:p w14:paraId="434FED78" w14:textId="77777777" w:rsidR="00EF620C" w:rsidRPr="004D7488" w:rsidRDefault="00EF620C" w:rsidP="00EF620C">
      <w:pPr>
        <w:spacing w:after="129" w:line="251" w:lineRule="auto"/>
        <w:ind w:left="142" w:right="1204"/>
        <w:jc w:val="both"/>
        <w:rPr>
          <w:rFonts w:ascii="Times New Roman" w:eastAsia="Times New Roman" w:hAnsi="Times New Roman" w:cs="Times New Roman"/>
          <w:b/>
          <w:color w:val="000000"/>
          <w:sz w:val="24"/>
          <w:szCs w:val="24"/>
          <w:lang w:eastAsia="fr-FR"/>
        </w:rPr>
      </w:pPr>
      <w:r w:rsidRPr="004D7488">
        <w:rPr>
          <w:rFonts w:ascii="Times New Roman" w:eastAsia="Times New Roman" w:hAnsi="Times New Roman" w:cs="Times New Roman"/>
          <w:b/>
          <w:color w:val="000000"/>
          <w:sz w:val="24"/>
          <w:szCs w:val="24"/>
          <w:lang w:eastAsia="fr-FR"/>
        </w:rPr>
        <w:t xml:space="preserve">The State Party </w:t>
      </w:r>
      <w:r>
        <w:rPr>
          <w:rFonts w:ascii="Times New Roman" w:eastAsia="Times New Roman" w:hAnsi="Times New Roman" w:cs="Times New Roman"/>
          <w:b/>
          <w:color w:val="000000"/>
          <w:sz w:val="24"/>
          <w:szCs w:val="24"/>
          <w:lang w:eastAsia="fr-FR"/>
        </w:rPr>
        <w:t>should :</w:t>
      </w:r>
      <w:r w:rsidRPr="004D7488">
        <w:rPr>
          <w:rFonts w:ascii="Times New Roman" w:eastAsia="Times New Roman" w:hAnsi="Times New Roman" w:cs="Times New Roman"/>
          <w:b/>
          <w:color w:val="000000"/>
          <w:sz w:val="24"/>
          <w:szCs w:val="24"/>
          <w:lang w:eastAsia="fr-FR"/>
        </w:rPr>
        <w:t xml:space="preserve"> </w:t>
      </w:r>
    </w:p>
    <w:p w14:paraId="6C55F14C" w14:textId="77777777" w:rsidR="00EF620C" w:rsidRPr="004D7488" w:rsidRDefault="00EF620C" w:rsidP="00EF620C">
      <w:pPr>
        <w:pStyle w:val="recommandations"/>
      </w:pPr>
      <w:r w:rsidRPr="004D7488">
        <w:t xml:space="preserve">Translate the Covenant and its protocols into the national language. </w:t>
      </w:r>
    </w:p>
    <w:p w14:paraId="3816DD08" w14:textId="77777777" w:rsidR="00EF620C" w:rsidRPr="004D7488" w:rsidRDefault="00EF620C" w:rsidP="00EF620C">
      <w:pPr>
        <w:pStyle w:val="recommandations"/>
      </w:pPr>
      <w:r w:rsidRPr="004D7488">
        <w:t xml:space="preserve">Publicise the Covenant through outreach and awareness programs of the Covenant and its protocols. </w:t>
      </w:r>
    </w:p>
    <w:p w14:paraId="602A4F73" w14:textId="77777777" w:rsidR="00EF620C" w:rsidRPr="004D7488" w:rsidRDefault="00EF620C" w:rsidP="00EF620C">
      <w:pPr>
        <w:pStyle w:val="recommandations"/>
      </w:pPr>
      <w:r w:rsidRPr="004D7488">
        <w:t xml:space="preserve">Reinforce through trainings the abilities of law enforcement personnel on the application of the Covenant and its protocols. </w:t>
      </w:r>
    </w:p>
    <w:p w14:paraId="5236DCEC" w14:textId="77777777" w:rsidR="00EF620C" w:rsidRPr="0008178F" w:rsidRDefault="00EF620C" w:rsidP="00EF620C">
      <w:pPr>
        <w:pStyle w:val="recommandations"/>
      </w:pPr>
      <w:r w:rsidRPr="004D7488">
        <w:t xml:space="preserve">Accelerate the standardisation process of positive law with the entirety of the Covenant’s provisions and its protocols. </w:t>
      </w:r>
    </w:p>
    <w:p w14:paraId="1DC62406" w14:textId="77777777" w:rsidR="00EF620C"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p>
    <w:p w14:paraId="5560CF4C" w14:textId="77777777" w:rsidR="00EF620C" w:rsidRDefault="00EF620C" w:rsidP="00EF620C">
      <w:pPr>
        <w:spacing w:after="9" w:line="251" w:lineRule="auto"/>
        <w:ind w:left="853" w:right="1204"/>
        <w:jc w:val="both"/>
        <w:rPr>
          <w:rFonts w:ascii="Times New Roman" w:eastAsia="Times New Roman" w:hAnsi="Times New Roman" w:cs="Times New Roman"/>
          <w:b/>
          <w:color w:val="000000"/>
          <w:sz w:val="24"/>
          <w:szCs w:val="24"/>
          <w:lang w:eastAsia="fr-FR"/>
        </w:rPr>
      </w:pPr>
    </w:p>
    <w:p w14:paraId="7DFD7DA2" w14:textId="77777777" w:rsidR="00EF620C" w:rsidRPr="00773F17" w:rsidRDefault="00EF620C" w:rsidP="00EF620C">
      <w:pPr>
        <w:pBdr>
          <w:top w:val="single" w:sz="4" w:space="0" w:color="000000"/>
          <w:left w:val="single" w:sz="4" w:space="0" w:color="000000"/>
          <w:bottom w:val="single" w:sz="4" w:space="0" w:color="000000"/>
          <w:right w:val="single" w:sz="4" w:space="0" w:color="000000"/>
        </w:pBdr>
        <w:tabs>
          <w:tab w:val="left" w:pos="9072"/>
        </w:tabs>
        <w:spacing w:after="145" w:line="245" w:lineRule="auto"/>
        <w:ind w:hanging="10"/>
        <w:jc w:val="both"/>
        <w:rPr>
          <w:rFonts w:ascii="Times New Roman" w:eastAsia="Times New Roman" w:hAnsi="Times New Roman" w:cs="Times New Roman"/>
          <w:b/>
          <w:color w:val="000000"/>
          <w:lang w:eastAsia="fr-FR"/>
        </w:rPr>
      </w:pPr>
      <w:r>
        <w:rPr>
          <w:rFonts w:ascii="Times New Roman" w:eastAsia="Times New Roman" w:hAnsi="Times New Roman" w:cs="Times New Roman"/>
          <w:b/>
          <w:color w:val="000000"/>
          <w:u w:val="single" w:color="000000"/>
          <w:lang w:eastAsia="fr-FR"/>
        </w:rPr>
        <w:t>Issue</w:t>
      </w:r>
      <w:r w:rsidRPr="0008178F">
        <w:rPr>
          <w:rFonts w:ascii="Times New Roman" w:eastAsia="Times New Roman" w:hAnsi="Times New Roman" w:cs="Times New Roman"/>
          <w:b/>
          <w:color w:val="000000"/>
          <w:u w:val="single" w:color="000000"/>
          <w:lang w:eastAsia="fr-FR"/>
        </w:rPr>
        <w:t xml:space="preserve"> 2</w:t>
      </w:r>
      <w:r w:rsidRPr="0008178F">
        <w:rPr>
          <w:rFonts w:ascii="Times New Roman" w:eastAsia="Times New Roman" w:hAnsi="Times New Roman" w:cs="Times New Roman"/>
          <w:color w:val="000000"/>
          <w:lang w:eastAsia="fr-FR"/>
        </w:rPr>
        <w:t xml:space="preserve"> : Please indicate whether the Independent National Human Rights Commission is operational and whether it has requested accreditation from the Global Alliance of National Human Rights Institutions. Please explain the steps taken to bring it into line with the principles relating to the status of national institutions for the promotion and protection of human rights (Paris Principles), particularly with respect to the appointment of its members and its financial autonomy, and provide information on the human and financial resources allocated to it. Please also explain the measures taken to establish the High Council for the Defence of Democracy and the Rule of Law.</w:t>
      </w:r>
      <w:r w:rsidRPr="0008178F">
        <w:rPr>
          <w:rFonts w:ascii="Times New Roman" w:eastAsia="Times New Roman" w:hAnsi="Times New Roman" w:cs="Times New Roman"/>
          <w:b/>
          <w:color w:val="000000"/>
          <w:lang w:eastAsia="fr-FR"/>
        </w:rPr>
        <w:t xml:space="preserve"> </w:t>
      </w:r>
    </w:p>
    <w:p w14:paraId="415CD013"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530C8B13" w14:textId="77777777" w:rsidR="00EF620C" w:rsidRPr="00B159E9" w:rsidRDefault="00EF620C" w:rsidP="00EF620C">
      <w:pPr>
        <w:pStyle w:val="Paragraphedeliste"/>
      </w:pPr>
      <w:r w:rsidRPr="00B159E9">
        <w:t xml:space="preserve">The CSOs, including ACAT Madagascar, has contributed to the writing of the new Act No. 2014-007 establishing the CNIDH that was adopted 22 July 2014. </w:t>
      </w:r>
    </w:p>
    <w:p w14:paraId="23402947" w14:textId="77777777" w:rsidR="00EF620C" w:rsidRPr="00B159E9" w:rsidRDefault="00EF620C" w:rsidP="00EF620C">
      <w:pPr>
        <w:pStyle w:val="Paragraphedeliste"/>
      </w:pPr>
      <w:r w:rsidRPr="00B159E9">
        <w:t xml:space="preserve">An ad hoc committee was put in place by the CSOs for the organisation of elections of five commissioners representing the four following entities: women, children, handicapped individuals, and associations working for the protection of human rights. </w:t>
      </w:r>
    </w:p>
    <w:p w14:paraId="6F7C51C5" w14:textId="77777777" w:rsidR="00EF620C" w:rsidRPr="003A577C" w:rsidRDefault="00EF620C" w:rsidP="00EF620C">
      <w:pPr>
        <w:pStyle w:val="Paragraphedeliste"/>
      </w:pPr>
      <w:r w:rsidRPr="00B159E9">
        <w:t>Elections by entities and provinces were carried out during the first phase of the process. In the final phase, the presidential electors of these provinces elected the five com</w:t>
      </w:r>
      <w:r>
        <w:t>missioners from these entities.</w:t>
      </w:r>
    </w:p>
    <w:p w14:paraId="0F59EFA0" w14:textId="77777777" w:rsidR="00EF620C" w:rsidRDefault="00EF620C" w:rsidP="00EF620C">
      <w:pPr>
        <w:pStyle w:val="Paragraphedeliste"/>
      </w:pPr>
      <w:r w:rsidRPr="00BD5675">
        <w:t xml:space="preserve">The Bar Association, the Association of Journalists, the two houses of Parliament as well as the law faculties proceeded on their part to the appoint their representative. Lastly, the Prime Minister’s office appointed its representative in an advisory capacity. For the seven members from civil society, the law requires a call for applications for each original body before their appointment or election. </w:t>
      </w:r>
    </w:p>
    <w:p w14:paraId="084A86C0" w14:textId="77777777" w:rsidR="00EF620C" w:rsidRPr="00BD5675" w:rsidRDefault="00EF620C" w:rsidP="00EF620C">
      <w:pPr>
        <w:pStyle w:val="Paragraphedeliste"/>
      </w:pPr>
      <w:r w:rsidRPr="00BD5675">
        <w:t xml:space="preserve">The nomination of CNIDH members was formalised by decree of the President of the Republic. The members of CNIDH have a mandate of four years extendable only once. </w:t>
      </w:r>
    </w:p>
    <w:p w14:paraId="2E201B04" w14:textId="77777777" w:rsidR="00EF620C" w:rsidRPr="00EF620C" w:rsidRDefault="00EF620C" w:rsidP="00EF620C">
      <w:pPr>
        <w:pStyle w:val="Paragraphedeliste"/>
      </w:pPr>
      <w:r w:rsidRPr="00BD5675">
        <w:t xml:space="preserve">The Independent National Human Rights Commission (CNIDH) has been operational since the swearing in of ten commissioners, as well as the government representative on the 14 October 2016. It is authorised to receive and handle individual complaints. It already has, to its credit, several reports and field visits. The civil society organisations (CSOs) </w:t>
      </w:r>
      <w:proofErr w:type="gramStart"/>
      <w:r w:rsidRPr="00BD5675">
        <w:t>has</w:t>
      </w:r>
      <w:proofErr w:type="gramEnd"/>
      <w:r w:rsidRPr="00BD5675">
        <w:t xml:space="preserve"> welcomed the election of a woman as its president. It should be mentioned however, that the executive secretary of the CNIDH has still not been installed. </w:t>
      </w:r>
    </w:p>
    <w:p w14:paraId="20B922D3" w14:textId="77777777" w:rsidR="00EF620C" w:rsidRPr="00DD592F" w:rsidRDefault="00EF620C" w:rsidP="00EF620C">
      <w:pPr>
        <w:pStyle w:val="Paragraphedeliste"/>
      </w:pPr>
      <w:r w:rsidRPr="00DD592F">
        <w:t xml:space="preserve">The Finance Act 2017 provides for two billion Malagasy ariary for the operation of the CNIDH. No funds have been made available to the CNIDH yet.  According to the terms of Article 29 paragraph 2 of Act No. 2014-007 of 22 July 2014, the CNIDH manages an independent budget line inscribed in the Finance Act and managed in accordance with public accounting. The doubts of the CSOs reside within the fact that the management of funds according to the rules of public accounting can constitute an obstacle to the effectiveness of the CNIDH’s independence vis-à-vis the executive. </w:t>
      </w:r>
    </w:p>
    <w:p w14:paraId="7979BF3B" w14:textId="77777777" w:rsidR="00EF620C" w:rsidRPr="00496D5F" w:rsidRDefault="00EF620C" w:rsidP="00EF620C">
      <w:pPr>
        <w:pStyle w:val="Paragraphedeliste"/>
      </w:pPr>
      <w:r w:rsidRPr="00DD592F">
        <w:t xml:space="preserve">The implementation of the High Council for the Defence of Democracy and the Rule of Law (HCDDED) established by Act No. 2015-001 of 12 February 2015 was expected, from the moment the last member was elected by the CNIDH in January 2017. The HCDDED is composed of 9 members including: 1. An individual appointed by the President of the Republic; 2. An individual appointed by the senate; 3. An individual elected by the National Assembly; 4. An individual elected by the High Constitutional Court; 5. An individual elected by the Supreme Court together with the General Assembly; 6. An individual elected by the organisations or legally constituted associations working for democracy and/or the rule of </w:t>
      </w:r>
      <w:r w:rsidRPr="00DD592F">
        <w:lastRenderedPageBreak/>
        <w:t xml:space="preserve">law; 7. An individual from organisations or associations for the defence of human rights elected by the Independent National Human Rights Commission (CNIDH); 8. An individual elected by the Association of Journalists; 9. An individual elected by the Bar Association. </w:t>
      </w:r>
    </w:p>
    <w:p w14:paraId="4EAA3EAE" w14:textId="77777777" w:rsidR="00EF620C" w:rsidRPr="00496D5F" w:rsidRDefault="00EF620C" w:rsidP="00EF620C">
      <w:pPr>
        <w:pStyle w:val="Paragraphedeliste"/>
      </w:pPr>
      <w:r w:rsidRPr="00496D5F">
        <w:t xml:space="preserve">The mandate of HCDDED members is five years, non-renewable. Each HCDDED member is officially appointed in writing by the concerned entity. The appointment and elections are certified by decree of the President of the Republic. </w:t>
      </w:r>
    </w:p>
    <w:p w14:paraId="743389FA" w14:textId="77777777" w:rsidR="00EF620C" w:rsidRPr="00496D5F" w:rsidRDefault="00EF620C" w:rsidP="00EF620C">
      <w:pPr>
        <w:pStyle w:val="Paragraphedeliste"/>
      </w:pPr>
      <w:r w:rsidRPr="00496D5F">
        <w:t>Immediately, the presidential decree observing the elections of members will be taken, the swearing-</w:t>
      </w:r>
      <w:proofErr w:type="gramStart"/>
      <w:r w:rsidRPr="00496D5F">
        <w:t>in which formalises the establishment and the operationality of the HCDDED</w:t>
      </w:r>
      <w:proofErr w:type="gramEnd"/>
      <w:r w:rsidRPr="00496D5F">
        <w:t xml:space="preserve"> will follow. </w:t>
      </w:r>
    </w:p>
    <w:p w14:paraId="784123D1" w14:textId="77777777" w:rsidR="00EF620C" w:rsidRPr="00496D5F" w:rsidRDefault="00EF620C" w:rsidP="00EF620C">
      <w:pPr>
        <w:pStyle w:val="Paragraphedeliste"/>
      </w:pPr>
      <w:r w:rsidRPr="00496D5F">
        <w:t xml:space="preserve">This last step must accelerate the eagerly awaited establishment, in national and international opinion, of the High Court of Justice (HCJ). Failing to have been implemented, the HCDDED has still not proceeded to the election of its last member of the High Court of Justice. </w:t>
      </w:r>
    </w:p>
    <w:p w14:paraId="76080D9F" w14:textId="77777777" w:rsidR="00EF620C" w:rsidRPr="008F3B93" w:rsidRDefault="00EF620C" w:rsidP="00EF620C">
      <w:pPr>
        <w:pStyle w:val="Paragraphedeliste"/>
      </w:pPr>
      <w:r w:rsidRPr="00496D5F">
        <w:t xml:space="preserve">The implementation of the High Court of Justice is considered as a strong sign of the will of those in power to set up a rule of law and to fight against impunity. </w:t>
      </w:r>
    </w:p>
    <w:p w14:paraId="2DFF80FA" w14:textId="77777777" w:rsidR="00EF620C" w:rsidRPr="008F3B93" w:rsidRDefault="00EF620C" w:rsidP="007974DD">
      <w:pPr>
        <w:spacing w:after="111" w:line="251" w:lineRule="auto"/>
        <w:ind w:right="1204"/>
        <w:jc w:val="both"/>
        <w:rPr>
          <w:rFonts w:ascii="Times New Roman" w:eastAsia="Times New Roman" w:hAnsi="Times New Roman" w:cs="Times New Roman"/>
          <w:color w:val="000000"/>
          <w:sz w:val="24"/>
          <w:szCs w:val="24"/>
          <w:lang w:eastAsia="fr-FR"/>
        </w:rPr>
      </w:pPr>
      <w:r w:rsidRPr="003357E2">
        <w:rPr>
          <w:rFonts w:ascii="Times New Roman" w:eastAsia="Times New Roman" w:hAnsi="Times New Roman" w:cs="Times New Roman"/>
          <w:b/>
          <w:color w:val="000000"/>
          <w:sz w:val="24"/>
          <w:szCs w:val="24"/>
          <w:lang w:eastAsia="fr-FR"/>
        </w:rPr>
        <w:t>Recommendations</w:t>
      </w:r>
      <w:r w:rsidRPr="008F3B93">
        <w:rPr>
          <w:rFonts w:ascii="Times New Roman" w:eastAsia="Times New Roman" w:hAnsi="Times New Roman" w:cs="Times New Roman"/>
          <w:b/>
          <w:color w:val="000000"/>
          <w:sz w:val="24"/>
          <w:szCs w:val="24"/>
          <w:lang w:eastAsia="fr-FR"/>
        </w:rPr>
        <w:t xml:space="preserve">: </w:t>
      </w:r>
    </w:p>
    <w:p w14:paraId="3E03C62B" w14:textId="77777777" w:rsidR="00EF620C" w:rsidRPr="008F3B93" w:rsidRDefault="00EF620C" w:rsidP="007974DD">
      <w:pPr>
        <w:spacing w:after="129" w:line="251" w:lineRule="auto"/>
        <w:ind w:right="1204"/>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color w:val="000000"/>
          <w:sz w:val="24"/>
          <w:szCs w:val="24"/>
          <w:lang w:eastAsia="fr-FR"/>
        </w:rPr>
        <w:t>The State Party should</w:t>
      </w:r>
      <w:r w:rsidRPr="003357E2">
        <w:rPr>
          <w:rFonts w:ascii="Times New Roman" w:eastAsia="Times New Roman" w:hAnsi="Times New Roman" w:cs="Times New Roman"/>
          <w:b/>
          <w:color w:val="000000"/>
          <w:sz w:val="24"/>
          <w:szCs w:val="24"/>
          <w:lang w:eastAsia="fr-FR"/>
        </w:rPr>
        <w:t>:</w:t>
      </w:r>
    </w:p>
    <w:p w14:paraId="31D6472C" w14:textId="77777777" w:rsidR="00EF620C" w:rsidRPr="003357E2" w:rsidRDefault="00EF620C" w:rsidP="00EF620C">
      <w:pPr>
        <w:pStyle w:val="recommandations"/>
      </w:pPr>
      <w:r w:rsidRPr="003357E2">
        <w:t xml:space="preserve">Give the necessary and sufficient financial resources to the CNIDH to ensure its independence and enable it to successfully complete its mission, in full compliance with the Paris Principles. </w:t>
      </w:r>
    </w:p>
    <w:p w14:paraId="04753DE0" w14:textId="77777777" w:rsidR="00EF620C" w:rsidRPr="00496D5F" w:rsidRDefault="00EF620C" w:rsidP="00EF620C">
      <w:pPr>
        <w:pStyle w:val="recommandations"/>
      </w:pPr>
      <w:r w:rsidRPr="003357E2">
        <w:t xml:space="preserve">Accelerate the process of implementation of the High Council for the Defence of Democracy and the Rule of Law. </w:t>
      </w:r>
    </w:p>
    <w:p w14:paraId="20D37A84" w14:textId="77777777" w:rsidR="00EF620C" w:rsidRPr="008F3B93" w:rsidRDefault="00EF620C" w:rsidP="00EF620C">
      <w:pPr>
        <w:spacing w:after="9" w:line="251" w:lineRule="auto"/>
        <w:ind w:left="853" w:right="1204"/>
        <w:jc w:val="both"/>
        <w:rPr>
          <w:rFonts w:ascii="Times New Roman" w:eastAsia="Times New Roman" w:hAnsi="Times New Roman" w:cs="Times New Roman"/>
          <w:color w:val="000000"/>
          <w:sz w:val="24"/>
          <w:szCs w:val="24"/>
          <w:lang w:eastAsia="fr-FR"/>
        </w:rPr>
      </w:pPr>
    </w:p>
    <w:p w14:paraId="6C0FE002" w14:textId="77777777" w:rsidR="00EF620C" w:rsidRDefault="00EF620C" w:rsidP="00EF620C">
      <w:pPr>
        <w:pStyle w:val="titre1TM"/>
      </w:pPr>
      <w:bookmarkStart w:id="1" w:name="_Toc146972"/>
      <w:r w:rsidRPr="003357E2">
        <w:t>State of Emergency</w:t>
      </w:r>
      <w:r w:rsidRPr="008F3B93">
        <w:t xml:space="preserve"> (art. 4) </w:t>
      </w:r>
      <w:bookmarkEnd w:id="1"/>
    </w:p>
    <w:p w14:paraId="3811A690" w14:textId="77777777" w:rsidR="00EF620C" w:rsidRDefault="00EF620C" w:rsidP="00EF620C">
      <w:pPr>
        <w:keepNext/>
        <w:keepLines/>
        <w:spacing w:after="9" w:line="251" w:lineRule="auto"/>
        <w:ind w:left="553" w:right="1204"/>
        <w:jc w:val="both"/>
        <w:outlineLvl w:val="1"/>
        <w:rPr>
          <w:rFonts w:ascii="Times New Roman" w:eastAsia="Times New Roman" w:hAnsi="Times New Roman" w:cs="Times New Roman"/>
          <w:b/>
          <w:color w:val="000000"/>
          <w:sz w:val="24"/>
          <w:szCs w:val="24"/>
          <w:lang w:eastAsia="fr-FR"/>
        </w:rPr>
      </w:pPr>
    </w:p>
    <w:p w14:paraId="182FA347" w14:textId="77777777" w:rsidR="00EF620C" w:rsidRPr="0018526B" w:rsidRDefault="00EF620C" w:rsidP="00EF620C">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 xml:space="preserve">Issue </w:t>
      </w:r>
      <w:r w:rsidRPr="0018526B">
        <w:rPr>
          <w:rFonts w:ascii="Times New Roman" w:eastAsia="Times New Roman" w:hAnsi="Times New Roman" w:cs="Times New Roman"/>
          <w:b/>
          <w:color w:val="000000"/>
          <w:u w:val="single" w:color="000000"/>
          <w:lang w:eastAsia="fr-FR"/>
        </w:rPr>
        <w:t>3</w:t>
      </w:r>
      <w:r w:rsidRPr="0018526B">
        <w:rPr>
          <w:rFonts w:ascii="Times New Roman" w:eastAsia="Times New Roman" w:hAnsi="Times New Roman" w:cs="Times New Roman"/>
          <w:color w:val="000000"/>
          <w:lang w:eastAsia="fr-FR"/>
        </w:rPr>
        <w:t xml:space="preserve"> : In the light of the previous concluding observat</w:t>
      </w:r>
      <w:r>
        <w:rPr>
          <w:rFonts w:ascii="Times New Roman" w:eastAsia="Times New Roman" w:hAnsi="Times New Roman" w:cs="Times New Roman"/>
          <w:color w:val="000000"/>
          <w:lang w:eastAsia="fr-FR"/>
        </w:rPr>
        <w:t>ions (CCPR/C/MDG/CO/3, para. 13</w:t>
      </w:r>
      <w:r w:rsidRPr="0018526B">
        <w:rPr>
          <w:rFonts w:ascii="Times New Roman" w:eastAsia="Times New Roman" w:hAnsi="Times New Roman" w:cs="Times New Roman"/>
          <w:color w:val="000000"/>
          <w:lang w:eastAsia="fr-FR"/>
        </w:rPr>
        <w:t>), please indicate whether the legal provisions governing states of emergency have been revised to clarify which derogations from the Covenant are permitted in such emergencies and to define the guarantees relating to the implementation of such derogations.</w:t>
      </w:r>
    </w:p>
    <w:p w14:paraId="5136AA12"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31FFBECC" w14:textId="77777777" w:rsidR="00EF620C" w:rsidRPr="00EF620C" w:rsidRDefault="00EF620C" w:rsidP="00EF620C">
      <w:pPr>
        <w:pStyle w:val="Paragraphedeliste"/>
      </w:pPr>
      <w:r w:rsidRPr="009C020E">
        <w:t xml:space="preserve">Article 61 of the 2010 Constitution states that: “While/When the Institutions of the Republic, The Independence of the Nation, its unity or the integrity of its territory are threatened and the regular functioning of the government is found to be compromised, the President of the Republic can proclaim, on all or part of the national territory, exceptional circumstances, namely, state of emergency, necessity, or martial law. The </w:t>
      </w:r>
      <w:proofErr w:type="gramStart"/>
      <w:r w:rsidRPr="009C020E">
        <w:t>decision is taken by the President of the Republic in the Council of Ministers</w:t>
      </w:r>
      <w:proofErr w:type="gramEnd"/>
      <w:r w:rsidRPr="009C020E">
        <w:t xml:space="preserve">, after consulting the presidents of the National Assembly, the Senate, and the High Constitutional Court. The proclamation of the exceptional situation confers special powers upon the President of the Republic, including the extent and duration </w:t>
      </w:r>
      <w:proofErr w:type="gramStart"/>
      <w:r w:rsidRPr="009C020E">
        <w:t>are</w:t>
      </w:r>
      <w:proofErr w:type="gramEnd"/>
      <w:r w:rsidRPr="009C020E">
        <w:t xml:space="preserve"> determined by a basic law. From the proclamation of the exceptional situation aforementioned, the President of the Republic can legislate by way of an ordonnance for matters falling within the scope of the law. </w:t>
      </w:r>
    </w:p>
    <w:p w14:paraId="3B475D1E" w14:textId="77777777" w:rsidR="00EF620C" w:rsidRPr="00D85864" w:rsidRDefault="00EF620C" w:rsidP="00EF620C">
      <w:pPr>
        <w:pStyle w:val="Paragraphedeliste"/>
      </w:pPr>
      <w:r w:rsidRPr="00D85864">
        <w:lastRenderedPageBreak/>
        <w:t xml:space="preserve">Act No.91-011 of 18 July 1991 (J.O 2071 of 19 July 1991) relating to exceptional situations remains applicable. It has still not been revised to conform to the Constitution, because it complies with Article 61 of the Constitution, it falls within the area of basic law. </w:t>
      </w:r>
    </w:p>
    <w:p w14:paraId="3BCC2CE7" w14:textId="77777777" w:rsidR="00EF620C" w:rsidRPr="00D85864" w:rsidRDefault="00EF620C" w:rsidP="00EF620C">
      <w:pPr>
        <w:pStyle w:val="Paragraphedeliste"/>
      </w:pPr>
      <w:r w:rsidRPr="00D85864">
        <w:t xml:space="preserve">Article 12, Act No. 91-011 of 18 July 1991 provides that in any event, the legislation of common law remains applicable in all that is not contrary to the provisions laid down, for the exceptional situation in force, by the present law as well as that by the regulatory acts taken for its execution. This article is a source of misuse and in any case, contrary to the provisions of Article 4 of the Covenant. </w:t>
      </w:r>
    </w:p>
    <w:p w14:paraId="22E36E11" w14:textId="77777777" w:rsidR="00EF620C" w:rsidRPr="00F5483E" w:rsidRDefault="00EF620C" w:rsidP="00EF620C">
      <w:pPr>
        <w:spacing w:after="111" w:line="251" w:lineRule="auto"/>
        <w:ind w:right="1204"/>
        <w:jc w:val="both"/>
        <w:rPr>
          <w:rFonts w:ascii="Times New Roman" w:eastAsia="Times New Roman" w:hAnsi="Times New Roman" w:cs="Times New Roman"/>
          <w:color w:val="000000"/>
          <w:sz w:val="24"/>
          <w:szCs w:val="24"/>
          <w:lang w:eastAsia="fr-FR"/>
        </w:rPr>
      </w:pPr>
      <w:r w:rsidRPr="00F5483E">
        <w:rPr>
          <w:rFonts w:ascii="Times New Roman" w:eastAsia="Times New Roman" w:hAnsi="Times New Roman" w:cs="Times New Roman"/>
          <w:b/>
          <w:color w:val="000000"/>
          <w:sz w:val="24"/>
          <w:szCs w:val="24"/>
          <w:lang w:eastAsia="fr-FR"/>
        </w:rPr>
        <w:t xml:space="preserve">Recommendations: </w:t>
      </w:r>
    </w:p>
    <w:p w14:paraId="0A0234FB" w14:textId="56A532D7" w:rsidR="00EF620C" w:rsidRPr="00F5483E" w:rsidRDefault="00EF620C" w:rsidP="00EF620C">
      <w:pPr>
        <w:spacing w:after="129" w:line="251" w:lineRule="auto"/>
        <w:ind w:right="1204"/>
        <w:jc w:val="both"/>
        <w:rPr>
          <w:rFonts w:ascii="Times New Roman" w:eastAsia="Times New Roman" w:hAnsi="Times New Roman" w:cs="Times New Roman"/>
          <w:color w:val="000000"/>
          <w:sz w:val="24"/>
          <w:szCs w:val="24"/>
          <w:lang w:eastAsia="fr-FR"/>
        </w:rPr>
      </w:pPr>
      <w:r w:rsidRPr="00F5483E">
        <w:rPr>
          <w:rFonts w:ascii="Times New Roman" w:eastAsia="Times New Roman" w:hAnsi="Times New Roman" w:cs="Times New Roman"/>
          <w:b/>
          <w:color w:val="000000"/>
          <w:sz w:val="24"/>
          <w:szCs w:val="24"/>
          <w:lang w:eastAsia="fr-FR"/>
        </w:rPr>
        <w:t xml:space="preserve">The State Party </w:t>
      </w:r>
      <w:r w:rsidR="007974DD">
        <w:rPr>
          <w:rFonts w:ascii="Times New Roman" w:eastAsia="Times New Roman" w:hAnsi="Times New Roman" w:cs="Times New Roman"/>
          <w:b/>
          <w:color w:val="000000"/>
          <w:sz w:val="24"/>
          <w:szCs w:val="24"/>
          <w:lang w:eastAsia="fr-FR"/>
        </w:rPr>
        <w:t>should</w:t>
      </w:r>
      <w:r w:rsidRPr="00F5483E">
        <w:rPr>
          <w:rFonts w:ascii="Times New Roman" w:eastAsia="Times New Roman" w:hAnsi="Times New Roman" w:cs="Times New Roman"/>
          <w:b/>
          <w:color w:val="000000"/>
          <w:sz w:val="24"/>
          <w:szCs w:val="24"/>
          <w:lang w:eastAsia="fr-FR"/>
        </w:rPr>
        <w:t xml:space="preserve">: </w:t>
      </w:r>
    </w:p>
    <w:p w14:paraId="11B73A82" w14:textId="77777777" w:rsidR="00EF620C" w:rsidRPr="00F5483E" w:rsidRDefault="00EF620C" w:rsidP="00EF620C">
      <w:pPr>
        <w:pStyle w:val="recommandations"/>
      </w:pPr>
      <w:r w:rsidRPr="00F5483E">
        <w:t xml:space="preserve">Adopt a new law relating to </w:t>
      </w:r>
      <w:r>
        <w:t xml:space="preserve">the emergency </w:t>
      </w:r>
      <w:r w:rsidRPr="00F5483E">
        <w:t xml:space="preserve">situation specifying the derogations to be introduced to the provisions of the Covenant, revoking the provisions of Article 12 and defining the guarantees relating to the implementation of such derogations. </w:t>
      </w:r>
    </w:p>
    <w:p w14:paraId="3D4C3EFB" w14:textId="77777777" w:rsidR="00EF620C" w:rsidRPr="00BA03C5" w:rsidRDefault="00EF620C" w:rsidP="00EF620C">
      <w:pPr>
        <w:rPr>
          <w:rFonts w:ascii="Times New Roman" w:hAnsi="Times New Roman" w:cs="Times New Roman"/>
          <w:sz w:val="24"/>
          <w:szCs w:val="24"/>
        </w:rPr>
      </w:pPr>
    </w:p>
    <w:p w14:paraId="3118EE0A" w14:textId="77777777" w:rsidR="00EF620C" w:rsidRPr="00F5483E" w:rsidRDefault="00EF620C" w:rsidP="00EF620C">
      <w:pPr>
        <w:pStyle w:val="titre1TM"/>
      </w:pPr>
      <w:bookmarkStart w:id="2" w:name="_Toc146973"/>
      <w:r w:rsidRPr="0003608C">
        <w:t>Non-discrimination, equality</w:t>
      </w:r>
      <w:r w:rsidRPr="00F5483E">
        <w:t xml:space="preserve"> </w:t>
      </w:r>
      <w:r w:rsidRPr="0003608C">
        <w:t>between men and women</w:t>
      </w:r>
      <w:r w:rsidRPr="00F5483E">
        <w:t xml:space="preserve"> (art. 2, 3, 23, 25 et 26) </w:t>
      </w:r>
      <w:bookmarkEnd w:id="2"/>
    </w:p>
    <w:p w14:paraId="2470BAB8" w14:textId="77777777" w:rsidR="00EF620C" w:rsidRPr="00F5483E" w:rsidRDefault="00EF620C" w:rsidP="00EF620C">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Issue</w:t>
      </w:r>
      <w:r w:rsidRPr="00F5483E">
        <w:rPr>
          <w:rFonts w:ascii="Times New Roman" w:eastAsia="Times New Roman" w:hAnsi="Times New Roman" w:cs="Times New Roman"/>
          <w:b/>
          <w:color w:val="000000"/>
          <w:u w:val="single" w:color="000000"/>
          <w:lang w:eastAsia="fr-FR"/>
        </w:rPr>
        <w:t xml:space="preserve"> 4 </w:t>
      </w:r>
      <w:r w:rsidRPr="00F5483E">
        <w:rPr>
          <w:rFonts w:ascii="Times New Roman" w:eastAsia="Times New Roman" w:hAnsi="Times New Roman" w:cs="Times New Roman"/>
          <w:color w:val="000000"/>
          <w:lang w:eastAsia="fr-FR"/>
        </w:rPr>
        <w:t>: Please describe the measures taken to combat discrimination against women, including those taken to increase the participation and representation of women in economic, political and public life, including in decision-making positions. Please provide information on the measures taken to tackle the gender pay gap. Please indicate the measures taken by the State party to amend or repeal discriminatory legislative provisions, particularly with regard to nationality, property and land administration, inheritance and marriage. Please also indicate whether there is any time frame for the adoption of the bills on gender equality, violence against women and nationality.</w:t>
      </w:r>
    </w:p>
    <w:p w14:paraId="3CBA11CB"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11AA342B" w14:textId="77777777" w:rsidR="00EF620C" w:rsidRPr="0003608C" w:rsidRDefault="00EF620C" w:rsidP="00EF620C">
      <w:pPr>
        <w:pStyle w:val="Paragraphedeliste"/>
      </w:pPr>
      <w:r w:rsidRPr="0003608C">
        <w:t>The objective of the 3</w:t>
      </w:r>
      <w:r w:rsidRPr="0003608C">
        <w:rPr>
          <w:vertAlign w:val="superscript"/>
        </w:rPr>
        <w:t>rd</w:t>
      </w:r>
      <w:r w:rsidRPr="0003608C">
        <w:t xml:space="preserve"> Millennium “Promoting the equality of sexes and the empowerment of women” has not been attained as intended, partly due to the political crisis of 2009. </w:t>
      </w:r>
    </w:p>
    <w:p w14:paraId="49A008CC" w14:textId="77777777" w:rsidR="00EF620C" w:rsidRPr="0003608C" w:rsidRDefault="00EF620C" w:rsidP="00EF620C">
      <w:pPr>
        <w:pStyle w:val="Paragraphedeliste"/>
      </w:pPr>
      <w:r w:rsidRPr="0003608C">
        <w:t>Nevertheless, the State has provided measure aimed at reinforcing women’s participation in the economic, political, and public life and their representation in these area</w:t>
      </w:r>
      <w:r>
        <w:t xml:space="preserve">s, as well as </w:t>
      </w:r>
      <w:proofErr w:type="gramStart"/>
      <w:r>
        <w:t>decision making</w:t>
      </w:r>
      <w:proofErr w:type="gramEnd"/>
      <w:r>
        <w:t xml:space="preserve"> postitions</w:t>
      </w:r>
      <w:r w:rsidRPr="0003608C">
        <w:t xml:space="preserve">. </w:t>
      </w:r>
    </w:p>
    <w:p w14:paraId="1B7E5646" w14:textId="77777777" w:rsidR="00EF620C" w:rsidRPr="00FE3F98" w:rsidRDefault="00EF620C" w:rsidP="00EF620C">
      <w:pPr>
        <w:pStyle w:val="Paragraphedeliste"/>
      </w:pPr>
      <w:r w:rsidRPr="0003608C">
        <w:t xml:space="preserve">In this way, Act 2014-007, dated 19 June 2014, having instituted the Independent National Human Rights Commission (CNIDH), shows a representation from women’s organisations. </w:t>
      </w:r>
    </w:p>
    <w:p w14:paraId="58C07EF0" w14:textId="77777777" w:rsidR="00EF620C" w:rsidRPr="00FE3F98" w:rsidRDefault="00EF620C" w:rsidP="00EF620C">
      <w:pPr>
        <w:pStyle w:val="Paragraphedeliste"/>
      </w:pPr>
      <w:r w:rsidRPr="00FE3F98">
        <w:t xml:space="preserve">Efforts have been taken by the State focussed on access to primary education and access for girls in technical </w:t>
      </w:r>
      <w:proofErr w:type="gramStart"/>
      <w:r w:rsidRPr="00FE3F98">
        <w:t>training which</w:t>
      </w:r>
      <w:proofErr w:type="gramEnd"/>
      <w:r w:rsidRPr="00FE3F98">
        <w:t xml:space="preserve"> should contribute to guaranteeing their empowerment as well as their participation in political life and their access to decent and productive employment. At the primary and secondary level, Madagascar has almost attained parity: the school enrolment rate at primary level for girls and boys is 77%. According to the “Barometer of the SADC” from 2012, the principal challenge to Madagascar “resides in school retention, particularly that of girls, and in the academic success of children of both sexes.” </w:t>
      </w:r>
    </w:p>
    <w:p w14:paraId="6BD2B046" w14:textId="77777777" w:rsidR="00EF620C" w:rsidRPr="00744A07" w:rsidRDefault="00EF620C" w:rsidP="00EF620C">
      <w:pPr>
        <w:pStyle w:val="Paragraphedeliste"/>
      </w:pPr>
      <w:proofErr w:type="gramStart"/>
      <w:r>
        <w:t xml:space="preserve">The </w:t>
      </w:r>
      <w:r w:rsidRPr="00FE3F98">
        <w:t>literacy</w:t>
      </w:r>
      <w:r>
        <w:t xml:space="preserve"> development</w:t>
      </w:r>
      <w:r w:rsidRPr="00FE3F98">
        <w:t xml:space="preserve"> of uneducated women is carried out especially by non-governmental organisations and associations, aimed at their integration into active community life, with the aim of their social and professional reintegration</w:t>
      </w:r>
      <w:proofErr w:type="gramEnd"/>
      <w:r w:rsidRPr="00FE3F98">
        <w:t xml:space="preserve"> (examples – Maisons des </w:t>
      </w:r>
      <w:r w:rsidRPr="00FE3F98">
        <w:lastRenderedPageBreak/>
        <w:t xml:space="preserve">femmes and Maisons Digitales, community development projects of SOS Villages d’Enfants Madagascar in six districts of Grand Sud in partnership with Orange Solidarité). </w:t>
      </w:r>
    </w:p>
    <w:p w14:paraId="0CC16DA3" w14:textId="77777777" w:rsidR="00EF620C" w:rsidRDefault="00EF620C" w:rsidP="00EF620C">
      <w:pPr>
        <w:pStyle w:val="Paragraphedeliste"/>
      </w:pPr>
      <w:r w:rsidRPr="00744A07">
        <w:t xml:space="preserve">On the subject of governance, the greatest shortcoming is the absence of temporary special measures (or quotas) taken by the State. The works of the committees begun in the month of May 2013 by the National Assembly on the proposition of Act No. 03-2012/Pl relating to the male-female parity for elective positions and in the high-level employment of the State has been swept under the carpet. Similarly, the State’s lack of political will is reflected through the prioritisation in the preliminary draft of the act, drawn up in November 2014 by the CSOs, on the proportional representation of the two sexes in decision making bodies (not less than 40% nor more than 60% for one sex or the other) from what has been conveyed to the ministry concerned. Statistics on women’s place in the public sector according to the following statistics demonstrates this mindset: </w:t>
      </w:r>
    </w:p>
    <w:p w14:paraId="7397B198" w14:textId="77777777" w:rsidR="00EF620C" w:rsidRPr="002F3A89" w:rsidRDefault="00EF620C" w:rsidP="00EF620C">
      <w:pPr>
        <w:spacing w:after="0" w:line="250" w:lineRule="auto"/>
        <w:ind w:right="1204"/>
        <w:jc w:val="both"/>
        <w:rPr>
          <w:rFonts w:ascii="Times New Roman" w:eastAsia="Times New Roman" w:hAnsi="Times New Roman" w:cs="Times New Roman"/>
          <w:color w:val="000000"/>
          <w:sz w:val="24"/>
          <w:szCs w:val="24"/>
          <w:lang w:eastAsia="fr-FR"/>
        </w:rPr>
      </w:pPr>
    </w:p>
    <w:p w14:paraId="1D851AF1" w14:textId="77777777" w:rsidR="00EF620C" w:rsidRPr="005071A4" w:rsidRDefault="00EF620C" w:rsidP="00EF620C">
      <w:pPr>
        <w:spacing w:after="104"/>
        <w:ind w:left="142"/>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b/>
          <w:i/>
          <w:color w:val="000000"/>
          <w:sz w:val="24"/>
          <w:szCs w:val="24"/>
          <w:lang w:eastAsia="fr-FR"/>
        </w:rPr>
        <w:t>Public Sector</w:t>
      </w:r>
    </w:p>
    <w:p w14:paraId="166759CF"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ministers (6 out of 32) </w:t>
      </w:r>
    </w:p>
    <w:p w14:paraId="15ED0DE7"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parliamentarians (44 women out of 214) </w:t>
      </w:r>
    </w:p>
    <w:p w14:paraId="423B1722"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heads of region (0 out of 22) </w:t>
      </w:r>
    </w:p>
    <w:p w14:paraId="6FF34060"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district managers/ Prefects (20 out of 120) </w:t>
      </w:r>
    </w:p>
    <w:p w14:paraId="61F99896"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mayors (82 out of 1693) </w:t>
      </w:r>
    </w:p>
    <w:p w14:paraId="3F5F9A1E"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Municipal Councillors (688 out of 10960) </w:t>
      </w:r>
    </w:p>
    <w:p w14:paraId="51A852C1"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Fokontany chiefs (333 out of 10257)  </w:t>
      </w:r>
    </w:p>
    <w:p w14:paraId="417B987F" w14:textId="77777777" w:rsidR="00EF620C" w:rsidRPr="007C684C" w:rsidRDefault="00EF620C" w:rsidP="00EF620C">
      <w:pPr>
        <w:spacing w:after="117" w:line="249" w:lineRule="auto"/>
        <w:ind w:left="142" w:right="1203"/>
        <w:jc w:val="both"/>
        <w:rPr>
          <w:rFonts w:ascii="Times New Roman" w:eastAsia="Times New Roman" w:hAnsi="Times New Roman" w:cs="Times New Roman"/>
          <w:color w:val="000000"/>
          <w:lang w:eastAsia="fr-FR"/>
        </w:rPr>
      </w:pPr>
      <w:r w:rsidRPr="007C684C">
        <w:rPr>
          <w:rFonts w:ascii="Times New Roman" w:eastAsia="Times New Roman" w:hAnsi="Times New Roman" w:cs="Times New Roman"/>
          <w:i/>
          <w:color w:val="000000"/>
          <w:lang w:eastAsia="fr-FR"/>
        </w:rPr>
        <w:t xml:space="preserve">Source : CENI, Ministère de l’Intérieur et de la Décentralisation, 2016 </w:t>
      </w:r>
    </w:p>
    <w:p w14:paraId="3D960692"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Women in appointments of high level state employment (SG, DG, D) 382 out of</w:t>
      </w:r>
      <w:r>
        <w:rPr>
          <w:rFonts w:ascii="Times New Roman" w:eastAsia="Times New Roman" w:hAnsi="Times New Roman" w:cs="Times New Roman"/>
          <w:color w:val="000000"/>
          <w:sz w:val="24"/>
          <w:szCs w:val="24"/>
          <w:lang w:eastAsia="fr-FR"/>
        </w:rPr>
        <w:t xml:space="preserve"> 2053)</w:t>
      </w:r>
    </w:p>
    <w:p w14:paraId="3F86DEFD"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Secretary General (5 out of 71) </w:t>
      </w:r>
    </w:p>
    <w:p w14:paraId="3425627B"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Director General (44 out of 207) </w:t>
      </w:r>
    </w:p>
    <w:p w14:paraId="193FE8F8"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Director (333 out of 1393) </w:t>
      </w:r>
    </w:p>
    <w:p w14:paraId="43D9353B" w14:textId="77777777" w:rsidR="00EF620C" w:rsidRPr="006E4AA9" w:rsidRDefault="00EF620C" w:rsidP="00EF620C">
      <w:pPr>
        <w:spacing w:after="117" w:line="249" w:lineRule="auto"/>
        <w:ind w:left="142" w:right="1203"/>
        <w:jc w:val="both"/>
        <w:rPr>
          <w:rFonts w:ascii="Times New Roman" w:eastAsia="Times New Roman" w:hAnsi="Times New Roman" w:cs="Times New Roman"/>
          <w:color w:val="000000"/>
          <w:lang w:eastAsia="fr-FR"/>
        </w:rPr>
      </w:pPr>
      <w:r w:rsidRPr="006E4AA9">
        <w:rPr>
          <w:rFonts w:ascii="Times New Roman" w:eastAsia="Times New Roman" w:hAnsi="Times New Roman" w:cs="Times New Roman"/>
          <w:i/>
          <w:color w:val="000000"/>
          <w:lang w:eastAsia="fr-FR"/>
        </w:rPr>
        <w:t xml:space="preserve">Source : Présidence 2016 </w:t>
      </w:r>
    </w:p>
    <w:p w14:paraId="7EDBE8AE"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Female magistrates (450 out of 883)</w:t>
      </w:r>
    </w:p>
    <w:p w14:paraId="557A49A7"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Women at the Supreme Court (82 out of 158) </w:t>
      </w:r>
    </w:p>
    <w:p w14:paraId="4F6881FB" w14:textId="77777777" w:rsidR="00EF620C" w:rsidRPr="007C684C" w:rsidRDefault="00EF620C" w:rsidP="00EF620C">
      <w:pPr>
        <w:spacing w:after="117" w:line="249" w:lineRule="auto"/>
        <w:ind w:left="142" w:right="1203"/>
        <w:jc w:val="both"/>
        <w:rPr>
          <w:rFonts w:ascii="Times New Roman" w:eastAsia="Times New Roman" w:hAnsi="Times New Roman" w:cs="Times New Roman"/>
          <w:color w:val="000000"/>
          <w:lang w:eastAsia="fr-FR"/>
        </w:rPr>
      </w:pPr>
      <w:r w:rsidRPr="007C684C">
        <w:rPr>
          <w:rFonts w:ascii="Times New Roman" w:eastAsia="Times New Roman" w:hAnsi="Times New Roman" w:cs="Times New Roman"/>
          <w:i/>
          <w:color w:val="000000"/>
          <w:lang w:eastAsia="fr-FR"/>
        </w:rPr>
        <w:t>Source : Conseil Supérieur de la Magistrature (</w:t>
      </w:r>
      <w:r w:rsidRPr="007C684C">
        <w:rPr>
          <w:rFonts w:ascii="Times New Roman" w:eastAsia="Times New Roman" w:hAnsi="Times New Roman" w:cs="Times New Roman"/>
          <w:i/>
          <w:color w:val="000000"/>
          <w:sz w:val="18"/>
          <w:lang w:eastAsia="fr-FR"/>
        </w:rPr>
        <w:t>CSM</w:t>
      </w:r>
      <w:r w:rsidRPr="007C684C">
        <w:rPr>
          <w:rFonts w:ascii="Times New Roman" w:eastAsia="Times New Roman" w:hAnsi="Times New Roman" w:cs="Times New Roman"/>
          <w:i/>
          <w:color w:val="000000"/>
          <w:lang w:eastAsia="fr-FR"/>
        </w:rPr>
        <w:t xml:space="preserve">), 2016 </w:t>
      </w:r>
    </w:p>
    <w:p w14:paraId="774F4CC0"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heads of political parties (13 out of 187) </w:t>
      </w:r>
    </w:p>
    <w:p w14:paraId="38406866" w14:textId="77777777" w:rsidR="00EF620C" w:rsidRPr="005071A4" w:rsidRDefault="00EF620C" w:rsidP="00EF620C">
      <w:pPr>
        <w:numPr>
          <w:ilvl w:val="0"/>
          <w:numId w:val="12"/>
        </w:numPr>
        <w:spacing w:after="114" w:line="250" w:lineRule="auto"/>
        <w:ind w:right="1204" w:hanging="360"/>
        <w:jc w:val="both"/>
        <w:rPr>
          <w:rFonts w:ascii="Times New Roman" w:eastAsia="Times New Roman" w:hAnsi="Times New Roman" w:cs="Times New Roman"/>
          <w:color w:val="000000"/>
          <w:sz w:val="24"/>
          <w:szCs w:val="24"/>
          <w:lang w:eastAsia="fr-FR"/>
        </w:rPr>
      </w:pPr>
      <w:r w:rsidRPr="005071A4">
        <w:rPr>
          <w:rFonts w:ascii="Times New Roman" w:eastAsia="Times New Roman" w:hAnsi="Times New Roman" w:cs="Times New Roman"/>
          <w:color w:val="000000"/>
          <w:sz w:val="24"/>
          <w:szCs w:val="24"/>
          <w:lang w:eastAsia="fr-FR"/>
        </w:rPr>
        <w:t xml:space="preserve">Female Secretary Generals (25 out of 172) </w:t>
      </w:r>
    </w:p>
    <w:p w14:paraId="19F1D445" w14:textId="77777777" w:rsidR="00EF620C" w:rsidRDefault="00EF620C" w:rsidP="00EF620C">
      <w:pPr>
        <w:spacing w:after="117" w:line="249" w:lineRule="auto"/>
        <w:ind w:left="142" w:right="1203"/>
        <w:jc w:val="both"/>
        <w:rPr>
          <w:rFonts w:ascii="Times New Roman" w:eastAsia="Times New Roman" w:hAnsi="Times New Roman" w:cs="Times New Roman"/>
          <w:color w:val="000000"/>
          <w:lang w:eastAsia="fr-FR"/>
        </w:rPr>
      </w:pPr>
      <w:r w:rsidRPr="007C684C">
        <w:rPr>
          <w:rFonts w:ascii="Times New Roman" w:eastAsia="Times New Roman" w:hAnsi="Times New Roman" w:cs="Times New Roman"/>
          <w:i/>
          <w:color w:val="000000"/>
          <w:lang w:eastAsia="fr-FR"/>
        </w:rPr>
        <w:t xml:space="preserve">Source : </w:t>
      </w:r>
      <w:r w:rsidRPr="007C684C">
        <w:rPr>
          <w:rFonts w:ascii="Times New Roman" w:eastAsia="Times New Roman" w:hAnsi="Times New Roman" w:cs="Times New Roman"/>
          <w:i/>
          <w:color w:val="000000"/>
          <w:sz w:val="18"/>
          <w:lang w:eastAsia="fr-FR"/>
        </w:rPr>
        <w:t>MID</w:t>
      </w:r>
      <w:r w:rsidRPr="007C684C">
        <w:rPr>
          <w:rFonts w:ascii="Times New Roman" w:eastAsia="Times New Roman" w:hAnsi="Times New Roman" w:cs="Times New Roman"/>
          <w:i/>
          <w:color w:val="000000"/>
          <w:lang w:eastAsia="fr-FR"/>
        </w:rPr>
        <w:t>, Direction des Libertés Publiques et des Affaires Politiques, 2016</w:t>
      </w:r>
      <w:r w:rsidRPr="007C684C">
        <w:rPr>
          <w:rFonts w:ascii="Times New Roman" w:eastAsia="Times New Roman" w:hAnsi="Times New Roman" w:cs="Times New Roman"/>
          <w:color w:val="000000"/>
          <w:lang w:eastAsia="fr-FR"/>
        </w:rPr>
        <w:t xml:space="preserve"> </w:t>
      </w:r>
    </w:p>
    <w:p w14:paraId="6D690BEB" w14:textId="77777777" w:rsidR="00EF620C" w:rsidRPr="00FC0F16" w:rsidRDefault="00EF620C" w:rsidP="00EF620C">
      <w:pPr>
        <w:spacing w:after="117" w:line="249" w:lineRule="auto"/>
        <w:ind w:left="142" w:right="1203"/>
        <w:jc w:val="both"/>
        <w:rPr>
          <w:rFonts w:ascii="Times New Roman" w:eastAsia="Times New Roman" w:hAnsi="Times New Roman" w:cs="Times New Roman"/>
          <w:color w:val="000000"/>
          <w:lang w:eastAsia="fr-FR"/>
        </w:rPr>
      </w:pPr>
    </w:p>
    <w:p w14:paraId="71FB20B1" w14:textId="77777777" w:rsidR="00EF620C" w:rsidRPr="00A2216B" w:rsidRDefault="00EF620C" w:rsidP="00EF620C">
      <w:pPr>
        <w:pStyle w:val="Paragraphedeliste"/>
      </w:pPr>
      <w:r w:rsidRPr="00A2216B">
        <w:t xml:space="preserve">According to the President of the National Council of Women of Madagascar (CNFM), this resistance to the passage of the act resides within the absence of a culture of </w:t>
      </w:r>
      <w:proofErr w:type="gramStart"/>
      <w:r w:rsidRPr="00A2216B">
        <w:t>parity,</w:t>
      </w:r>
      <w:proofErr w:type="gramEnd"/>
      <w:r w:rsidRPr="00A2216B">
        <w:t xml:space="preserve"> however, the low rate of female representation originates in the public and private sectors. </w:t>
      </w:r>
    </w:p>
    <w:p w14:paraId="4A221CE9" w14:textId="77777777" w:rsidR="00EF620C" w:rsidRPr="00146DB2" w:rsidRDefault="00EF620C" w:rsidP="00EF620C">
      <w:pPr>
        <w:pStyle w:val="Paragraphedeliste"/>
      </w:pPr>
      <w:r w:rsidRPr="00A2216B">
        <w:lastRenderedPageBreak/>
        <w:t xml:space="preserve">This situation remains acceptable within offices of political parties. The manifests and statutes of political parties continue shortcoming through their apathy to these </w:t>
      </w:r>
      <w:bookmarkStart w:id="3" w:name="_GoBack"/>
      <w:r w:rsidRPr="00A2216B">
        <w:t>question</w:t>
      </w:r>
      <w:bookmarkEnd w:id="3"/>
      <w:r w:rsidRPr="00A2216B">
        <w:t xml:space="preserve">s. Within political parties, only those created and led by women have made plans for a significant female quota, as well as a program supporting women. Examples include the former party “Madagasikarantsika” of Elia Ravelomanantsoa, and Brigitte Rasamoelina’s party “Ampela Manao Politika”. </w:t>
      </w:r>
    </w:p>
    <w:p w14:paraId="19BC052B" w14:textId="77777777" w:rsidR="00EF620C" w:rsidRPr="00A2216B" w:rsidRDefault="00EF620C" w:rsidP="00EF620C">
      <w:pPr>
        <w:pStyle w:val="Paragraphedeliste"/>
      </w:pPr>
      <w:r w:rsidRPr="00A2216B">
        <w:t xml:space="preserve">The state is also late to ratify the facultative protocol of the CEDEF and the other treaties, notably regional, promoting equality between the sexes, such as the Protocol appended to the African Charter on Human and People’s Rights relating to the Rights of Women in Africa, and the </w:t>
      </w:r>
      <w:bookmarkStart w:id="4" w:name="_Hlk487070880"/>
      <w:r w:rsidRPr="00A2216B">
        <w:t>Southern African Development Community (SADC) Protocol on Gender and Development.</w:t>
      </w:r>
      <w:bookmarkEnd w:id="4"/>
      <w:r w:rsidRPr="00A2216B">
        <w:t xml:space="preserve"> </w:t>
      </w:r>
    </w:p>
    <w:p w14:paraId="5D1EF306" w14:textId="77777777" w:rsidR="00EF620C" w:rsidRPr="00EF620C" w:rsidRDefault="00EF620C" w:rsidP="00EF620C">
      <w:pPr>
        <w:pStyle w:val="Paragraphedeliste"/>
      </w:pPr>
      <w:r w:rsidRPr="00A2216B">
        <w:t xml:space="preserve">Regarding elections, on Thursday 4 December 2014, the plan “gender and elections” which has the objective of improving the representation of women in </w:t>
      </w:r>
      <w:proofErr w:type="gramStart"/>
      <w:r w:rsidRPr="00A2216B">
        <w:t>decision making</w:t>
      </w:r>
      <w:proofErr w:type="gramEnd"/>
      <w:r w:rsidRPr="00A2216B">
        <w:t xml:space="preserve"> positions in Madagascar was adopted in Antananarivo. The drafting of this plan, “gender and elections” is the result of extensive dialogue efforts which were carried out by the </w:t>
      </w:r>
      <w:r w:rsidRPr="006E4AA9">
        <w:t>Plateforme</w:t>
      </w:r>
      <w:r w:rsidRPr="00801BBF">
        <w:t xml:space="preserve"> des Femmes dans l’Océan Indien (FPOI)</w:t>
      </w:r>
      <w:r>
        <w:t xml:space="preserve"> </w:t>
      </w:r>
      <w:r w:rsidRPr="00A2216B">
        <w:t xml:space="preserve">since 2012 with the support of PNUD. Despite this, few women are really engaged in politics, as for example during the last municipal elections in the region of Alaotra-Mangoro, where only 25 women were candidates out of 409 listed. </w:t>
      </w:r>
    </w:p>
    <w:p w14:paraId="075E140F" w14:textId="77777777" w:rsidR="00EF620C" w:rsidRDefault="00EF620C" w:rsidP="00EF620C">
      <w:pPr>
        <w:pStyle w:val="Paragraphedeliste"/>
      </w:pPr>
      <w:r w:rsidRPr="0068763F">
        <w:t xml:space="preserve">In February 2017, for the participation of youth and women in their civic duty in enrolment to the voters’ list, the Independent National Electoral Commission (CENI) and the Association des Anciens de l’Ecole Nationale de l’Administration à Madagascar (AAENAM) have organised a youth and women awareness workshop on their civic duty of enrolling on the voters’ list”. </w:t>
      </w:r>
    </w:p>
    <w:p w14:paraId="3F3445FC" w14:textId="77777777" w:rsidR="00EF620C" w:rsidRDefault="00EF620C" w:rsidP="00EF620C">
      <w:pPr>
        <w:pStyle w:val="Paragraphedeliste"/>
      </w:pPr>
      <w:r w:rsidRPr="0068763F">
        <w:t xml:space="preserve">The establishment of the advisory Committee for reflection and proposition by decree No. 2017-020 of 28 March 2017 adopted by the Council of Ministers on the improvement of the legislative framework of the Malagasy electoral process constitutes a framework on which the organisations working for the promotion of gender hope to account for significant proposals relating to the parities in electoral matters. </w:t>
      </w:r>
    </w:p>
    <w:p w14:paraId="536DB9C6" w14:textId="77777777" w:rsidR="00EF620C" w:rsidRPr="007D0A04" w:rsidRDefault="00EF620C" w:rsidP="00EF620C">
      <w:pPr>
        <w:pStyle w:val="Paragraphedeliste"/>
      </w:pPr>
      <w:r w:rsidRPr="0068763F">
        <w:t xml:space="preserve">On the institutional level, by decree No. 2015-1034 of 30 June 2015, the Ministry in charge of the Advancement of Women has set up a Directorate General responsible for greater visibility of its actions in support of the promotion of equality between the sexes and the assurance of the monitoring and evaluation of these activities. Similarly, it has installed a committee, entitled Gender Mainstreaming, directly linked to the Ministry and having management classification in order to ensure the mainstreaming of gender in public policy. </w:t>
      </w:r>
    </w:p>
    <w:p w14:paraId="337CC9FB" w14:textId="77777777" w:rsidR="00EF620C" w:rsidRDefault="00EF620C" w:rsidP="00EF620C">
      <w:pPr>
        <w:pStyle w:val="Paragraphedeliste"/>
      </w:pPr>
      <w:r w:rsidRPr="00692AB7">
        <w:t xml:space="preserve">Madagascar has ratified convention No.100 on wage </w:t>
      </w:r>
      <w:proofErr w:type="gramStart"/>
      <w:r w:rsidRPr="00692AB7">
        <w:t>equality which</w:t>
      </w:r>
      <w:proofErr w:type="gramEnd"/>
      <w:r w:rsidRPr="00692AB7">
        <w:t xml:space="preserve"> enshrines the principle of wage equality and the provisions between women and men for work of equal value. Yet, there is still no tool allowing Madagascar to measure the value of work taking into consideration the </w:t>
      </w:r>
      <w:proofErr w:type="gramStart"/>
      <w:r w:rsidRPr="00692AB7">
        <w:t>tasks which</w:t>
      </w:r>
      <w:proofErr w:type="gramEnd"/>
      <w:r w:rsidRPr="00692AB7">
        <w:t xml:space="preserve"> they constitute. </w:t>
      </w:r>
    </w:p>
    <w:p w14:paraId="555D6EFC" w14:textId="77777777" w:rsidR="00EF620C" w:rsidRDefault="00EF620C" w:rsidP="00EF620C">
      <w:pPr>
        <w:pStyle w:val="Paragraphedeliste"/>
      </w:pPr>
      <w:r w:rsidRPr="00692AB7">
        <w:t xml:space="preserve">In any event, in accordance with Article 53 of the Labour Code, “Having the same professional qualification, the same job and for work of equal value, the salary is equal for all workers whatever their origin, colour, national extraction, sex, trade union membership, opinion and status”. </w:t>
      </w:r>
    </w:p>
    <w:p w14:paraId="7C779A5A" w14:textId="77777777" w:rsidR="00EF620C" w:rsidRPr="00642D6A" w:rsidRDefault="00EF620C" w:rsidP="00EF620C">
      <w:pPr>
        <w:pStyle w:val="Paragraphedeliste"/>
      </w:pPr>
      <w:r w:rsidRPr="00692AB7">
        <w:t xml:space="preserve">Article 61 of the Labour Code imposes a fine and an imprisonment of one to </w:t>
      </w:r>
      <w:proofErr w:type="gramStart"/>
      <w:r w:rsidRPr="00692AB7">
        <w:t>there</w:t>
      </w:r>
      <w:proofErr w:type="gramEnd"/>
      <w:r w:rsidRPr="00692AB7">
        <w:t xml:space="preserve"> years for all discriminatory treatment based on sex regarding the terms of remuneration. Criminal </w:t>
      </w:r>
      <w:r w:rsidRPr="00692AB7">
        <w:lastRenderedPageBreak/>
        <w:t>labour law proceedings depend on the competence of detectives and insp</w:t>
      </w:r>
      <w:r>
        <w:t xml:space="preserve">ectors in </w:t>
      </w:r>
      <w:r w:rsidRPr="00692AB7">
        <w:t xml:space="preserve">determining labour code infractions. They are at liberty to judge whether to criminally sanction. </w:t>
      </w:r>
    </w:p>
    <w:p w14:paraId="1369629D" w14:textId="77777777" w:rsidR="00EF620C" w:rsidRDefault="00EF620C" w:rsidP="00EF620C">
      <w:pPr>
        <w:pStyle w:val="Paragraphedeliste"/>
      </w:pPr>
      <w:r w:rsidRPr="00642D6A">
        <w:t xml:space="preserve">With the aim of implementing the provisions of convention No. 100, the State has also conducted since 2014, brainstorming workshops with employers’ organisations and workers’ conferences for the drafting of a collective agreement for an equal opportunity to jobs and wages for female employees. This draft of the collective agreement has however, not had any progress to date. </w:t>
      </w:r>
    </w:p>
    <w:p w14:paraId="4CF8D483" w14:textId="77777777" w:rsidR="00EF620C" w:rsidRDefault="00EF620C" w:rsidP="00EF620C">
      <w:pPr>
        <w:pStyle w:val="Paragraphedeliste"/>
      </w:pPr>
      <w:r w:rsidRPr="00642D6A">
        <w:t xml:space="preserve">Although no specific political project has been adopted by the State in order to reduce the gap between men and women in employment and salary, numerous labour unions have conducted outreach activities in this area. </w:t>
      </w:r>
    </w:p>
    <w:p w14:paraId="00FD7744" w14:textId="77777777" w:rsidR="00EF620C" w:rsidRPr="00B23D8D" w:rsidRDefault="00EF620C" w:rsidP="00EF620C">
      <w:pPr>
        <w:pStyle w:val="Paragraphedeliste"/>
      </w:pPr>
      <w:r w:rsidRPr="00642D6A">
        <w:t xml:space="preserve">It is necessary to recognise the ratification of Convention No.88 on the night shift of women employed in industry, as well as Convention No.71, 10 November 2008 concerning the night shift. </w:t>
      </w:r>
    </w:p>
    <w:p w14:paraId="16D51EBB" w14:textId="77777777" w:rsidR="00EF620C" w:rsidRDefault="00EF620C" w:rsidP="00EF620C">
      <w:pPr>
        <w:pStyle w:val="Paragraphedeliste"/>
      </w:pPr>
      <w:r w:rsidRPr="00555971">
        <w:t xml:space="preserve">Amongst the measures taken by the State, the professional training centre for the women of Tsimbazaza was opened in 2015 at the initiative of the First Lady. </w:t>
      </w:r>
    </w:p>
    <w:p w14:paraId="0908BA2A" w14:textId="77777777" w:rsidR="00EF620C" w:rsidRDefault="00EF620C" w:rsidP="00EF620C">
      <w:pPr>
        <w:pStyle w:val="Paragraphedeliste"/>
      </w:pPr>
      <w:r w:rsidRPr="00555971">
        <w:t xml:space="preserve">As part of the celebration of International Women’s Day 2017, the Ministry of Population, Social Welfare, and the Empowerment of Women (MPPSPF) organised a competition relating to “the economic empowerment of women”. Relatively large sums make up the prizes, allowing three associations to fund the effective implementation of their project. </w:t>
      </w:r>
    </w:p>
    <w:p w14:paraId="2EDA8E26" w14:textId="77777777" w:rsidR="00EF620C" w:rsidRPr="00EF620C" w:rsidRDefault="00EF620C" w:rsidP="00EF620C">
      <w:pPr>
        <w:pStyle w:val="Paragraphedeliste"/>
      </w:pPr>
      <w:r w:rsidRPr="00555971">
        <w:t>The state has also adopted the new Act No. 2016-038 of 15 December 2016 through amendments to certain provisions of Decree No. 60-064 of 22 July 1960 establishing the Nationality Code, judged discriminatory to women and children. The new Act No. 2016-038 of 15 December 2016 stipulates that: “The child born of a Malagasy father and/or mother, is Malagasy”. Through these modifications, from now on, the transmission of nationality is the same as that of the father, regardless of the marital status of the mother, thereby also putting the child on equal footing, concerning the acqui</w:t>
      </w:r>
      <w:r>
        <w:t xml:space="preserve">sition of nationality, whether its status is that of a legitimate child or a child born out of wedlock. </w:t>
      </w:r>
    </w:p>
    <w:p w14:paraId="118C226F" w14:textId="77777777" w:rsidR="00EF620C" w:rsidRPr="00C03FAB" w:rsidRDefault="00EF620C" w:rsidP="00EF620C">
      <w:pPr>
        <w:pStyle w:val="Paragraphedeliste"/>
      </w:pPr>
      <w:r w:rsidRPr="00C03FAB">
        <w:t>Act No. 2012-040 on combatting human trafficking, defining the concept of trafficking in its 1</w:t>
      </w:r>
      <w:r w:rsidRPr="00C03FAB">
        <w:rPr>
          <w:vertAlign w:val="superscript"/>
        </w:rPr>
        <w:t>st</w:t>
      </w:r>
      <w:r w:rsidRPr="00C03FAB">
        <w:t xml:space="preserve"> article, was also adopted on 20 January 2015. Trafficking includes forced marriage. </w:t>
      </w:r>
      <w:proofErr w:type="gramStart"/>
      <w:r w:rsidRPr="00C03FAB">
        <w:t>Articles 10 and 11 punishes</w:t>
      </w:r>
      <w:proofErr w:type="gramEnd"/>
      <w:r w:rsidRPr="00C03FAB">
        <w:t xml:space="preserve"> the offence of forced marriage. </w:t>
      </w:r>
    </w:p>
    <w:p w14:paraId="4811B741" w14:textId="77777777" w:rsidR="00EF620C" w:rsidRPr="00C03FAB" w:rsidRDefault="00EF620C" w:rsidP="00EF620C">
      <w:pPr>
        <w:pStyle w:val="Paragraphedeliste"/>
      </w:pPr>
      <w:r w:rsidRPr="00C03FAB">
        <w:t xml:space="preserve">Unfortunately, Article 83 of Act No.68-012 of 1968, considered as discriminatory towards women by not facilitating the acquisition of landed property and by virtue of which the coinheritors can agree that the female heirs will receive their part of the inheritance in the form of a sum of money, has still not been revoked. </w:t>
      </w:r>
    </w:p>
    <w:p w14:paraId="6AB02046" w14:textId="77777777" w:rsidR="00EF620C" w:rsidRDefault="00EF620C" w:rsidP="00EF620C">
      <w:pPr>
        <w:pStyle w:val="Paragraphedeliste"/>
      </w:pPr>
      <w:r w:rsidRPr="00C03FAB">
        <w:t xml:space="preserve">In the same way/similarly, Madagascar has still not ratified to this day, the Convention of 2011 on male and female domestic workers (No.189) of the International Labour Organization. </w:t>
      </w:r>
    </w:p>
    <w:p w14:paraId="01D315EB" w14:textId="77777777" w:rsidR="00EF620C" w:rsidRPr="00B56BF4" w:rsidRDefault="00EF620C" w:rsidP="00EF620C">
      <w:pPr>
        <w:spacing w:after="0"/>
        <w:rPr>
          <w:rFonts w:ascii="Times New Roman" w:hAnsi="Times New Roman" w:cs="Times New Roman"/>
          <w:sz w:val="24"/>
          <w:szCs w:val="24"/>
        </w:rPr>
      </w:pPr>
    </w:p>
    <w:p w14:paraId="19FC8ED9" w14:textId="77777777" w:rsidR="00EF620C" w:rsidRPr="002915B9"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r w:rsidRPr="002915B9">
        <w:rPr>
          <w:rFonts w:ascii="Times New Roman" w:eastAsia="Times New Roman" w:hAnsi="Times New Roman" w:cs="Times New Roman"/>
          <w:b/>
          <w:color w:val="000000"/>
          <w:sz w:val="24"/>
          <w:szCs w:val="24"/>
          <w:lang w:eastAsia="fr-FR"/>
        </w:rPr>
        <w:t xml:space="preserve">Recommendations: </w:t>
      </w:r>
    </w:p>
    <w:p w14:paraId="0900D056" w14:textId="77777777" w:rsidR="00EF620C" w:rsidRPr="002915B9"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p>
    <w:p w14:paraId="7F4531E1" w14:textId="5E3487C9" w:rsidR="00EF620C" w:rsidRPr="002915B9"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r w:rsidRPr="002915B9">
        <w:rPr>
          <w:rFonts w:ascii="Times New Roman" w:eastAsia="Times New Roman" w:hAnsi="Times New Roman" w:cs="Times New Roman"/>
          <w:b/>
          <w:color w:val="000000"/>
          <w:sz w:val="24"/>
          <w:szCs w:val="24"/>
          <w:lang w:eastAsia="fr-FR"/>
        </w:rPr>
        <w:t xml:space="preserve">The State Party </w:t>
      </w:r>
      <w:r w:rsidR="007974DD">
        <w:rPr>
          <w:rFonts w:ascii="Times New Roman" w:eastAsia="Times New Roman" w:hAnsi="Times New Roman" w:cs="Times New Roman"/>
          <w:b/>
          <w:color w:val="000000"/>
          <w:sz w:val="24"/>
          <w:szCs w:val="24"/>
          <w:lang w:eastAsia="fr-FR"/>
        </w:rPr>
        <w:t>should</w:t>
      </w:r>
      <w:r w:rsidRPr="002915B9">
        <w:rPr>
          <w:rFonts w:ascii="Times New Roman" w:eastAsia="Times New Roman" w:hAnsi="Times New Roman" w:cs="Times New Roman"/>
          <w:b/>
          <w:color w:val="000000"/>
          <w:sz w:val="24"/>
          <w:szCs w:val="24"/>
          <w:lang w:eastAsia="fr-FR"/>
        </w:rPr>
        <w:t xml:space="preserve">: </w:t>
      </w:r>
    </w:p>
    <w:p w14:paraId="1C977F40" w14:textId="77777777" w:rsidR="00EF620C" w:rsidRPr="002F1556" w:rsidRDefault="00EF620C" w:rsidP="00EF620C">
      <w:pPr>
        <w:pStyle w:val="Paragraphedeliste"/>
        <w:numPr>
          <w:ilvl w:val="0"/>
          <w:numId w:val="13"/>
        </w:numPr>
        <w:spacing w:after="9" w:line="251" w:lineRule="auto"/>
        <w:ind w:right="1204"/>
        <w:contextualSpacing/>
        <w:rPr>
          <w:b/>
        </w:rPr>
      </w:pPr>
      <w:r w:rsidRPr="002F1556">
        <w:rPr>
          <w:b/>
        </w:rPr>
        <w:t xml:space="preserve">Reinforce the availability of operational tools sufficiently incorporating gender mainstreaming. </w:t>
      </w:r>
    </w:p>
    <w:p w14:paraId="7AF96D1F" w14:textId="77777777" w:rsidR="00EF620C" w:rsidRPr="002F1556" w:rsidRDefault="00EF620C" w:rsidP="00EF620C">
      <w:pPr>
        <w:pStyle w:val="recommandations"/>
      </w:pPr>
      <w:r w:rsidRPr="002F1556">
        <w:lastRenderedPageBreak/>
        <w:t xml:space="preserve">Increase the number of and decentralise the professional training centres for women in rural areas. </w:t>
      </w:r>
    </w:p>
    <w:p w14:paraId="4DDC4B47" w14:textId="77777777" w:rsidR="00EF620C" w:rsidRPr="002F1556" w:rsidRDefault="00EF620C" w:rsidP="00EF620C">
      <w:pPr>
        <w:pStyle w:val="recommandations"/>
      </w:pPr>
      <w:r w:rsidRPr="002F1556">
        <w:t xml:space="preserve">Implement a national inequality monitoring system in the area of remuneration. </w:t>
      </w:r>
    </w:p>
    <w:p w14:paraId="1740B6F1" w14:textId="77777777" w:rsidR="00EF620C" w:rsidRPr="002F1556" w:rsidRDefault="00EF620C" w:rsidP="00EF620C">
      <w:pPr>
        <w:pStyle w:val="recommandations"/>
      </w:pPr>
      <w:r w:rsidRPr="002F1556">
        <w:t xml:space="preserve">Devise a specific policy taking into account the gender aspect and aimed at reducing the gap between men and women on the issue of employment and remuneration. </w:t>
      </w:r>
    </w:p>
    <w:p w14:paraId="28B6EE5B" w14:textId="77777777" w:rsidR="00EF620C" w:rsidRDefault="00EF620C" w:rsidP="00EF620C">
      <w:pPr>
        <w:pStyle w:val="recommandations"/>
      </w:pPr>
      <w:r w:rsidRPr="002F1556">
        <w:t xml:space="preserve">Create tools to measure the work value and to take into account the </w:t>
      </w:r>
      <w:proofErr w:type="gramStart"/>
      <w:r w:rsidRPr="002F1556">
        <w:t>task which</w:t>
      </w:r>
      <w:proofErr w:type="gramEnd"/>
      <w:r w:rsidRPr="002F1556">
        <w:t xml:space="preserve"> they constitute. </w:t>
      </w:r>
    </w:p>
    <w:p w14:paraId="0CE2D262" w14:textId="77777777" w:rsidR="00EF620C" w:rsidRDefault="00EF620C" w:rsidP="00EF620C">
      <w:pPr>
        <w:pStyle w:val="recommandations"/>
      </w:pPr>
      <w:r w:rsidRPr="00ED11CB">
        <w:t xml:space="preserve">Increase the social services dedicated to workers coping with familial obligations. </w:t>
      </w:r>
    </w:p>
    <w:p w14:paraId="74ADAB5A" w14:textId="77777777" w:rsidR="00EF620C" w:rsidRDefault="00EF620C" w:rsidP="00EF620C">
      <w:pPr>
        <w:pStyle w:val="recommandations"/>
      </w:pPr>
      <w:r w:rsidRPr="00ED11CB">
        <w:t xml:space="preserve">Adopt the bill on parity in elected and nominated posts. </w:t>
      </w:r>
    </w:p>
    <w:p w14:paraId="45938CE9" w14:textId="77777777" w:rsidR="00EF620C" w:rsidRDefault="00EF620C" w:rsidP="00EF620C">
      <w:pPr>
        <w:pStyle w:val="recommandations"/>
      </w:pPr>
      <w:r w:rsidRPr="00ED11CB">
        <w:t>Ratify the facultative protocol of the CEDEF and the other treaties, notably regional, promoting equality between the sexes, such as the Protocol appended to the African Charter on Human and People’s Rights relating to the Rights of Women in Africa, and the Southern African Development Community (SADC) Protocol on Gender and Development.</w:t>
      </w:r>
    </w:p>
    <w:p w14:paraId="4891B22B" w14:textId="77777777" w:rsidR="00EF620C" w:rsidRDefault="00EF620C" w:rsidP="00EF620C">
      <w:pPr>
        <w:pStyle w:val="recommandations"/>
      </w:pPr>
      <w:r w:rsidRPr="00ED11CB">
        <w:t xml:space="preserve">Ratify the International Labour Organisation’s Convention No.189 of 2011 on male and female domestic workers. </w:t>
      </w:r>
    </w:p>
    <w:p w14:paraId="186CE833" w14:textId="77777777" w:rsidR="00EF620C" w:rsidRDefault="00EF620C" w:rsidP="00EF620C">
      <w:pPr>
        <w:pStyle w:val="recommandations"/>
      </w:pPr>
      <w:r w:rsidRPr="00ED11CB">
        <w:t xml:space="preserve">Promptly revoke the new land policy bill validated on 5 August 2015, judged to be discriminatory. </w:t>
      </w:r>
    </w:p>
    <w:p w14:paraId="2514B86F" w14:textId="77777777" w:rsidR="00EF620C" w:rsidRDefault="00EF620C" w:rsidP="00EF620C">
      <w:pPr>
        <w:pStyle w:val="recommandations"/>
      </w:pPr>
      <w:r w:rsidRPr="00ED11CB">
        <w:t xml:space="preserve">Take into account the first Land Policy Bill dated 26 May 2015 observing the inclusive and democratic principle during its drafting/development. </w:t>
      </w:r>
    </w:p>
    <w:p w14:paraId="26F42DE0" w14:textId="77777777" w:rsidR="00EF620C" w:rsidRDefault="00EF620C" w:rsidP="00EF620C">
      <w:pPr>
        <w:pStyle w:val="recommandations"/>
      </w:pPr>
      <w:r w:rsidRPr="00ED11CB">
        <w:t xml:space="preserve">Revise law No. 68-012 of 4 July 1968 relating to inheritance, wills, and donations in revoking the provisions of Article 83. </w:t>
      </w:r>
    </w:p>
    <w:p w14:paraId="0090C305" w14:textId="77777777" w:rsidR="00EF620C" w:rsidRPr="00ED11CB" w:rsidRDefault="00EF620C" w:rsidP="00EF620C">
      <w:pPr>
        <w:pStyle w:val="recommandations"/>
      </w:pPr>
      <w:r w:rsidRPr="00ED11CB">
        <w:t xml:space="preserve">Increase the financial resources made available from the Ministry of Population and Social Welfare, notably adequate budgets for the implementation of the National Action Plan for the Participation of Women in </w:t>
      </w:r>
      <w:proofErr w:type="gramStart"/>
      <w:r w:rsidRPr="00ED11CB">
        <w:t>decision making</w:t>
      </w:r>
      <w:proofErr w:type="gramEnd"/>
      <w:r w:rsidRPr="00ED11CB">
        <w:t xml:space="preserve"> and the management of public affairs. </w:t>
      </w:r>
    </w:p>
    <w:p w14:paraId="4C9645B9" w14:textId="77777777" w:rsidR="00EF620C"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p>
    <w:p w14:paraId="3BFD98CF" w14:textId="77777777" w:rsidR="00EF620C" w:rsidRDefault="00EF620C" w:rsidP="00EF620C">
      <w:pPr>
        <w:spacing w:after="9" w:line="251" w:lineRule="auto"/>
        <w:ind w:right="1204"/>
        <w:jc w:val="both"/>
        <w:rPr>
          <w:rFonts w:ascii="Times New Roman" w:eastAsia="Times New Roman" w:hAnsi="Times New Roman" w:cs="Times New Roman"/>
          <w:b/>
          <w:color w:val="000000"/>
          <w:sz w:val="24"/>
          <w:szCs w:val="24"/>
          <w:lang w:eastAsia="fr-FR"/>
        </w:rPr>
      </w:pPr>
    </w:p>
    <w:p w14:paraId="0ADC10E6" w14:textId="404A9B60" w:rsidR="00EF620C" w:rsidRPr="006E4AA9" w:rsidRDefault="004231D5" w:rsidP="00EF620C">
      <w:pPr>
        <w:pBdr>
          <w:top w:val="single" w:sz="4" w:space="0" w:color="000000"/>
          <w:left w:val="single" w:sz="4" w:space="0" w:color="000000"/>
          <w:bottom w:val="single" w:sz="4" w:space="0" w:color="000000"/>
          <w:right w:val="single" w:sz="4" w:space="0" w:color="000000"/>
        </w:pBdr>
        <w:tabs>
          <w:tab w:val="left" w:pos="9072"/>
        </w:tabs>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Issue</w:t>
      </w:r>
      <w:r w:rsidR="00EF620C" w:rsidRPr="006E4AA9">
        <w:rPr>
          <w:rFonts w:ascii="Times New Roman" w:eastAsia="Times New Roman" w:hAnsi="Times New Roman" w:cs="Times New Roman"/>
          <w:b/>
          <w:color w:val="000000"/>
          <w:u w:val="single" w:color="000000"/>
          <w:lang w:eastAsia="fr-FR"/>
        </w:rPr>
        <w:t xml:space="preserve"> 5</w:t>
      </w:r>
      <w:r w:rsidR="00EF620C" w:rsidRPr="006E4AA9">
        <w:rPr>
          <w:rFonts w:ascii="Times New Roman" w:eastAsia="Times New Roman" w:hAnsi="Times New Roman" w:cs="Times New Roman"/>
          <w:color w:val="000000"/>
          <w:lang w:eastAsia="fr-FR"/>
        </w:rPr>
        <w:t>: Does the State party plan to adopt comprehensive legislation prohibiting discrimination and containing a comprehensive list of prohibited grounds for discrimination, including discrimination based on sexual orientation and gender identity? Please provide information on discrimination based on ethnicity and caste in the State party. Please describe the measures taken by the State party to combat and prevent the stigmatization of and discrimination against (a) persons living with or affected by HIV/AIDS and (b) the lesbian, gay, bisexual and transgender (LGBT) community.</w:t>
      </w:r>
    </w:p>
    <w:p w14:paraId="204A158B"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698D1AB0" w14:textId="77777777" w:rsidR="00EF620C" w:rsidRPr="001C51EE" w:rsidRDefault="00EF620C" w:rsidP="00EF620C">
      <w:pPr>
        <w:pStyle w:val="Paragraphedeliste"/>
      </w:pPr>
      <w:r w:rsidRPr="001C51EE">
        <w:t xml:space="preserve">A recent system level analysis of one group of HSH/MSM (source FIFAFI) has shown that in recent years, they feel the effects of the weight of stigmatisation and discrimination, even within the familial circle. This stigmatisation within the family reduces all support and assistance for HSH/MSM. This stigmatisation forces them to migrate. Yet, in their host regions, they encounter at once, more problems, because they are discriminated against twice as much. Their lack of skills limits their access to decent employment and furthermore, their </w:t>
      </w:r>
      <w:r w:rsidRPr="001C51EE">
        <w:lastRenderedPageBreak/>
        <w:t xml:space="preserve">sexual orientation excludes them from the experience of informal activities such as lighterage. Consequently, to overcome this situation, many MSM have resorted to sex work for a living. </w:t>
      </w:r>
    </w:p>
    <w:p w14:paraId="6545CE2B" w14:textId="77777777" w:rsidR="00EF620C" w:rsidRPr="003C06C2" w:rsidRDefault="00EF620C" w:rsidP="00EF620C">
      <w:pPr>
        <w:pStyle w:val="Paragraphedeliste"/>
      </w:pPr>
      <w:r w:rsidRPr="001C51EE">
        <w:t xml:space="preserve">Statistics have </w:t>
      </w:r>
      <w:r>
        <w:t>shown that the rate of HIV/</w:t>
      </w:r>
      <w:r w:rsidRPr="001C51EE">
        <w:t xml:space="preserve">AIDS, still low in Madagascar, is high in the HSH/MSM community thereby causing a concentrated epidemic. According to the Executive Secretary of the National AIDS Committee (SE/CNLS), 1,828 people living with HIV/AIDS are monitored by health services associated with the Ministry of Public Health. According to the figures given by FIFAFI, more than 60% of men dealing with HIV infection are HSH/MSM or have had an HSH/MSM experience. </w:t>
      </w:r>
    </w:p>
    <w:p w14:paraId="4203279B" w14:textId="77777777" w:rsidR="00EF620C" w:rsidRDefault="00EF620C" w:rsidP="00EF620C">
      <w:pPr>
        <w:pStyle w:val="Paragraphedeliste"/>
      </w:pPr>
      <w:r w:rsidRPr="0093610A">
        <w:t xml:space="preserve">No legislation protects the rights of transgender, gay, and bisexual people in Madagascar. </w:t>
      </w:r>
    </w:p>
    <w:p w14:paraId="0E1332F0" w14:textId="77777777" w:rsidR="00EF620C" w:rsidRDefault="00EF620C" w:rsidP="00EF620C">
      <w:pPr>
        <w:pStyle w:val="Paragraphedeliste"/>
      </w:pPr>
      <w:r w:rsidRPr="0093610A">
        <w:t xml:space="preserve">The fight against HIV and AIDS is not inscribed in the General Policy of the State, a fact which can be interpreted as a lack of State will to combat this scourge. </w:t>
      </w:r>
    </w:p>
    <w:p w14:paraId="1195DB8F" w14:textId="77777777" w:rsidR="00EF620C" w:rsidRPr="00EF620C" w:rsidRDefault="00EF620C" w:rsidP="00EF620C">
      <w:pPr>
        <w:pStyle w:val="Paragraphedeliste"/>
        <w:rPr>
          <w:b/>
        </w:rPr>
      </w:pPr>
      <w:r w:rsidRPr="0093610A">
        <w:t xml:space="preserve">Madagascar has adopted Act No.2005 -040 of 20 February 2006 on the fight against HIV/AIDs and the protection of the rights of persons living with HIV/AIDS. Its first article establishes that the law provide protection for persons living with HIV/AIDS against all forms of discrimination and stigmatisation and reaffirm their rights and fundamental liberties in accordance with the relative international human rights treaties. Article 64 penalises all acts of discrimination or stigmatisation against a person, his/her partners or close family members, on account of his proven or presumed HIV status, punishing the culprit with a fine of 100 000 to 400 000 Malagasy ariary. </w:t>
      </w:r>
    </w:p>
    <w:p w14:paraId="3D14C388" w14:textId="77777777" w:rsidR="00EF620C" w:rsidRPr="001D2FA8" w:rsidRDefault="00EF620C" w:rsidP="00EF620C">
      <w:pPr>
        <w:pStyle w:val="Paragraphedeliste"/>
      </w:pPr>
      <w:r w:rsidRPr="001D2FA8">
        <w:t xml:space="preserve">In order for the “Fihavanana” advocated by the Malagasy to be effective, it must be founded on true social justice. The “Fihavanana” is a form of social connection valued within the culture of Madagascar, a fundamental principle of community life. It is a value similar to mutual aid and solidarity, which would express all at once, the notion of friendship, connection, tolerance, justice and harmony. </w:t>
      </w:r>
    </w:p>
    <w:p w14:paraId="609E164A" w14:textId="77777777" w:rsidR="00EF620C" w:rsidRPr="00D44270" w:rsidRDefault="00EF620C" w:rsidP="00EF620C">
      <w:pPr>
        <w:pStyle w:val="Paragraphedeliste"/>
      </w:pPr>
      <w:r w:rsidRPr="001D2FA8">
        <w:t xml:space="preserve">The disputes between the “causes côtières” and the “ethno-nationalists” whether they be </w:t>
      </w:r>
      <w:proofErr w:type="gramStart"/>
      <w:r w:rsidRPr="001D2FA8">
        <w:t>Merina(</w:t>
      </w:r>
      <w:proofErr w:type="gramEnd"/>
      <w:r w:rsidRPr="001D2FA8">
        <w:t xml:space="preserve">highlands) or Tanindrana (coastal), seem to belong to another time, but this squabble between the “Ambaniandro” and the “Tanindrana” or “mainty” (kinky haired blacks) and “malama” (with sleek hair) has always existed, according to Rakotomalala Andry Harivola in his article on racism between Malagasy. The fight against racism constitutes one of the prerequisites to the reconstruction of the country. To combat this evil, it must first be recognised that it undermines the country, particularly when it is exacerbated by foreigners who use it as a weapon of division to rule and monopolise the wealth of the country. </w:t>
      </w:r>
    </w:p>
    <w:p w14:paraId="2BCA0594" w14:textId="77777777" w:rsidR="00EF620C" w:rsidRDefault="00EF620C" w:rsidP="00EF620C">
      <w:pPr>
        <w:pStyle w:val="Paragraphedeliste"/>
      </w:pPr>
      <w:r w:rsidRPr="006918CD">
        <w:t xml:space="preserve">The night of 6 November 1995, a fire destroyed a building complex in the royal city, the Rova (the Queen’s palace) in Manjakamiadana, Antananarivo. </w:t>
      </w:r>
      <w:proofErr w:type="gramStart"/>
      <w:r w:rsidRPr="006918CD">
        <w:t>This destruction was perceived by the population as a mental, psychological, and ontological trauma</w:t>
      </w:r>
      <w:proofErr w:type="gramEnd"/>
      <w:r w:rsidRPr="006918CD">
        <w:t xml:space="preserve">. Through this act, the symbols of history and the memory of the great ancestors, whose tombs were burnt, were attacked.  </w:t>
      </w:r>
    </w:p>
    <w:p w14:paraId="0044B970" w14:textId="77777777" w:rsidR="00EF620C" w:rsidRDefault="00EF620C" w:rsidP="00EF620C">
      <w:pPr>
        <w:pStyle w:val="Paragraphedeliste"/>
      </w:pPr>
      <w:r w:rsidRPr="006918CD">
        <w:t xml:space="preserve">20 years later, arson reduced the Rova (the royal enclosure) of Ambohidratrimo, throne of King Ratrimo to cinders on 26 August 2015. The sacrilegious burning of the tombstone of Prince Andriantompokoindrindra, in Ambohimalazabe at the centre of Imerina occurred on 10 January 2017. Questions arose about the </w:t>
      </w:r>
      <w:proofErr w:type="gramStart"/>
      <w:r w:rsidRPr="006918CD">
        <w:t>motives which</w:t>
      </w:r>
      <w:proofErr w:type="gramEnd"/>
      <w:r w:rsidRPr="006918CD">
        <w:t xml:space="preserve"> lead to these crimes: issues of identity connected to castes or religious fanaticism such as reported in the Express newspaper of 13 January 2017. </w:t>
      </w:r>
    </w:p>
    <w:p w14:paraId="678AB9C7" w14:textId="77777777" w:rsidR="00EF620C" w:rsidRPr="00647612" w:rsidRDefault="00EF620C" w:rsidP="00EF620C">
      <w:pPr>
        <w:pStyle w:val="Paragraphedeliste"/>
      </w:pPr>
      <w:r w:rsidRPr="006918CD">
        <w:lastRenderedPageBreak/>
        <w:t xml:space="preserve">In the same vein, in Mananjary, on 29 October 2016, Lucette, a sexagenarian woman, was apprehended by a mob while she discarded pork and a bottle of holy water in the “Valamena” (Scared palace of the unified kings of Antambahoaka), located at Masindrano, where pork is taboo and fiercely forbidden according to the local culture. </w:t>
      </w:r>
    </w:p>
    <w:p w14:paraId="5005FB0F" w14:textId="77777777" w:rsidR="00EF620C" w:rsidRDefault="00EF620C" w:rsidP="00EF620C">
      <w:pPr>
        <w:spacing w:after="0"/>
        <w:rPr>
          <w:rFonts w:ascii="Times New Roman" w:hAnsi="Times New Roman" w:cs="Times New Roman"/>
          <w:b/>
          <w:sz w:val="24"/>
          <w:szCs w:val="24"/>
        </w:rPr>
      </w:pPr>
      <w:r>
        <w:rPr>
          <w:rFonts w:ascii="Times New Roman" w:hAnsi="Times New Roman" w:cs="Times New Roman"/>
          <w:b/>
          <w:sz w:val="24"/>
          <w:szCs w:val="24"/>
        </w:rPr>
        <w:t xml:space="preserve">Recommendations : </w:t>
      </w:r>
    </w:p>
    <w:p w14:paraId="107D48AB" w14:textId="77777777" w:rsidR="00EF620C" w:rsidRDefault="00EF620C" w:rsidP="00EF620C">
      <w:pPr>
        <w:spacing w:after="0"/>
        <w:rPr>
          <w:rFonts w:ascii="Times New Roman" w:hAnsi="Times New Roman" w:cs="Times New Roman"/>
          <w:b/>
          <w:sz w:val="24"/>
          <w:szCs w:val="24"/>
        </w:rPr>
      </w:pPr>
    </w:p>
    <w:p w14:paraId="31596FE9" w14:textId="77777777" w:rsidR="00EF620C" w:rsidRDefault="00EF620C" w:rsidP="00EF620C">
      <w:pPr>
        <w:spacing w:after="0"/>
        <w:rPr>
          <w:rFonts w:ascii="Times New Roman" w:hAnsi="Times New Roman" w:cs="Times New Roman"/>
          <w:b/>
          <w:sz w:val="24"/>
          <w:szCs w:val="24"/>
        </w:rPr>
      </w:pPr>
      <w:r>
        <w:rPr>
          <w:rFonts w:ascii="Times New Roman" w:hAnsi="Times New Roman" w:cs="Times New Roman"/>
          <w:b/>
          <w:sz w:val="24"/>
          <w:szCs w:val="24"/>
        </w:rPr>
        <w:t xml:space="preserve">The State Party should : </w:t>
      </w:r>
    </w:p>
    <w:p w14:paraId="4F27026E" w14:textId="77777777" w:rsidR="00EF620C" w:rsidRDefault="00EF620C" w:rsidP="00EF620C">
      <w:pPr>
        <w:spacing w:after="0"/>
        <w:rPr>
          <w:rFonts w:ascii="Times New Roman" w:hAnsi="Times New Roman" w:cs="Times New Roman"/>
          <w:b/>
          <w:sz w:val="24"/>
          <w:szCs w:val="24"/>
        </w:rPr>
      </w:pPr>
    </w:p>
    <w:p w14:paraId="26950610" w14:textId="77777777" w:rsidR="00EF620C" w:rsidRDefault="00EF620C" w:rsidP="00EF620C">
      <w:pPr>
        <w:pStyle w:val="recommandations"/>
      </w:pPr>
      <w:r w:rsidRPr="006351FA">
        <w:t>Draft a strategy for t</w:t>
      </w:r>
      <w:r>
        <w:t xml:space="preserve">aking measures and effective plans against all forms of discrimination on the basis of race, skin colour, national origin, ethnicity or social standing, language, sex, religion, political opinions or otherwise, ancestry, birth, caste, age, disability, health condition, migrant status, sexual orientation or gender identity. </w:t>
      </w:r>
    </w:p>
    <w:p w14:paraId="3E164DF5" w14:textId="77777777" w:rsidR="00EF620C" w:rsidRDefault="00EF620C" w:rsidP="00EF620C">
      <w:pPr>
        <w:pStyle w:val="recommandations"/>
      </w:pPr>
      <w:r>
        <w:t xml:space="preserve">Adopt laws so as to incorporate the norms and treaties of international laws prohibiting discrimination in all its forms. </w:t>
      </w:r>
    </w:p>
    <w:p w14:paraId="78B9880B" w14:textId="77777777" w:rsidR="00EF620C" w:rsidRDefault="00EF620C" w:rsidP="00EF620C">
      <w:pPr>
        <w:pStyle w:val="recommandations"/>
      </w:pPr>
      <w:r>
        <w:t xml:space="preserve">Evaluate the particular difficulties encountered by LGBT persons and take measures to combat and prevent stigmatisation and discriminatory acts towards them. </w:t>
      </w:r>
    </w:p>
    <w:p w14:paraId="00A4F840" w14:textId="77777777" w:rsidR="00EF620C" w:rsidRDefault="00EF620C" w:rsidP="00EF620C">
      <w:pPr>
        <w:pStyle w:val="recommandations"/>
      </w:pPr>
      <w:r>
        <w:t xml:space="preserve">Increase the CSO budget supporting the psychological care of persons living with HIV/AIDS and take steps according to Act No. 2005-040 of 20 February on the fight against HIV/AIDS and the protection of rights of people living with HIV/AIDS. </w:t>
      </w:r>
    </w:p>
    <w:p w14:paraId="53D4523E" w14:textId="77777777" w:rsidR="00EF620C" w:rsidRDefault="00EF620C" w:rsidP="00EF620C">
      <w:pPr>
        <w:spacing w:after="0"/>
        <w:rPr>
          <w:rFonts w:ascii="Times New Roman" w:hAnsi="Times New Roman" w:cs="Times New Roman"/>
          <w:b/>
          <w:sz w:val="24"/>
          <w:szCs w:val="24"/>
        </w:rPr>
      </w:pPr>
    </w:p>
    <w:p w14:paraId="1363E7B3" w14:textId="77777777" w:rsidR="00EF620C" w:rsidRPr="0032359E" w:rsidRDefault="00EF620C" w:rsidP="00EF620C">
      <w:pPr>
        <w:pStyle w:val="titre1TM"/>
      </w:pPr>
      <w:bookmarkStart w:id="5" w:name="_Toc146974"/>
      <w:r w:rsidRPr="0032359E">
        <w:t xml:space="preserve">Right to life (arts. 6 et 14) </w:t>
      </w:r>
      <w:bookmarkEnd w:id="5"/>
    </w:p>
    <w:p w14:paraId="7ABC6E6E" w14:textId="77777777" w:rsidR="00EF620C" w:rsidRPr="006E4AA9" w:rsidRDefault="00EF620C" w:rsidP="007974DD">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Issue</w:t>
      </w:r>
      <w:r w:rsidRPr="006E4AA9">
        <w:rPr>
          <w:rFonts w:ascii="Times New Roman" w:eastAsia="Times New Roman" w:hAnsi="Times New Roman" w:cs="Times New Roman"/>
          <w:b/>
          <w:color w:val="000000"/>
          <w:u w:val="single" w:color="000000"/>
          <w:lang w:eastAsia="fr-FR"/>
        </w:rPr>
        <w:t xml:space="preserve"> 6</w:t>
      </w:r>
      <w:r w:rsidRPr="006E4AA9">
        <w:rPr>
          <w:rFonts w:ascii="Times New Roman" w:eastAsia="Times New Roman" w:hAnsi="Times New Roman" w:cs="Times New Roman"/>
          <w:color w:val="000000"/>
          <w:lang w:eastAsia="fr-FR"/>
        </w:rPr>
        <w:t xml:space="preserve"> : Given the adoption on 9 January 2015 of Act No. 2014-035 on the abolition of the death penalty, please indicate the status of the bill on alternatives to the death penalty and the timeline for its adoption. Please provide information on the alternative sentences proposed. Please also provide information on the timeline for the adoption of a bill on the ratification of the Second Optional Protocol to the International Covenant on Civil and Political Rights, aiming at the abolition of the death penalty.</w:t>
      </w:r>
    </w:p>
    <w:p w14:paraId="2EDCF43D"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5E8DF2B7" w14:textId="77777777" w:rsidR="00EF620C" w:rsidRPr="0072653F" w:rsidRDefault="00EF620C" w:rsidP="00B80CEC">
      <w:pPr>
        <w:pStyle w:val="Paragraphedeliste"/>
      </w:pPr>
      <w:r w:rsidRPr="0072653F">
        <w:t xml:space="preserve">Act No. 2014-035 on the abolition of the death penalty has provided in Article 2 that: “In every legislation in force stipulating that the death penalty is imposed, the recommendation of this sentence is replaced by the sentence of life imprisonment with hard labour”. </w:t>
      </w:r>
    </w:p>
    <w:p w14:paraId="06A542AE" w14:textId="77777777" w:rsidR="00EF620C" w:rsidRPr="0072653F" w:rsidRDefault="00EF620C" w:rsidP="00B80CEC">
      <w:pPr>
        <w:pStyle w:val="Paragraphedeliste"/>
      </w:pPr>
      <w:r w:rsidRPr="0072653F">
        <w:t xml:space="preserve">Since the implementation of this Act, the criminal courts systematically apply the sentence of life imprisonment with hard labour in substitution of the death penalty. It should be noted, however, that Articles 462 and 463 of the penal Code provides that: “the sentence of life imprisonment with hard labour could be reduced to five years hard labour in time when attenuating circumstances have been permitted”. </w:t>
      </w:r>
    </w:p>
    <w:p w14:paraId="0CFBCBC8" w14:textId="77777777" w:rsidR="00EF620C" w:rsidRPr="00401FC3" w:rsidRDefault="00EF620C" w:rsidP="00B80CEC">
      <w:pPr>
        <w:pStyle w:val="Paragraphedeliste"/>
      </w:pPr>
      <w:r w:rsidRPr="0072653F">
        <w:t xml:space="preserve">This is not illegal because, considering the terms of Article 8 paragraph 3 of the Covenant (ICCPR), the sentence of hard labour as a sentence substitution for the death penalty is not prohibited: “a) No one will be required to perform forced or obligatory labour. b) Paragraph a, of this subsection should not be interpreted as prohibited, in the country where certain crimes can be punished by imprisonment accompanied by hard labour, carrying out a sentence of </w:t>
      </w:r>
      <w:r w:rsidRPr="0072653F">
        <w:lastRenderedPageBreak/>
        <w:t xml:space="preserve">hard labour, imposed by a competent court. Yet, after the abolition of the death penalty by Act No.2014-35 of 9 January 2015, the OHCHR Madagascar conducted a study by Dr. Nyabirungu Mwene Songa to assist the Malagasy government in drafting a new bill on alternative punishments to the death penalty. In his final report, with respect to Article 8 paragraph 3 of the ICCPR, the expert consultant proposed that the new Article 13 of the Malagasy Penal Code be worded as following: “The death penalty is replaced either by life imprisonment, or by life detention”. </w:t>
      </w:r>
      <w:r>
        <w:t xml:space="preserve"> </w:t>
      </w:r>
    </w:p>
    <w:p w14:paraId="32C55E78" w14:textId="77777777" w:rsidR="00EF620C" w:rsidRPr="00401FC3" w:rsidRDefault="00EF620C" w:rsidP="00B80CEC">
      <w:pPr>
        <w:pStyle w:val="Paragraphedeliste"/>
      </w:pPr>
      <w:r w:rsidRPr="00401FC3">
        <w:t xml:space="preserve">Currently, although the report has been delivered to the Government, this bill on the substitution of the death penalty does not appear to have been advanced. </w:t>
      </w:r>
    </w:p>
    <w:p w14:paraId="58C5FEE1" w14:textId="77777777" w:rsidR="00EF620C" w:rsidRPr="00401FC3" w:rsidRDefault="00EF620C" w:rsidP="00B80CEC">
      <w:pPr>
        <w:pStyle w:val="Paragraphedeliste"/>
      </w:pPr>
      <w:r w:rsidRPr="00401FC3">
        <w:t xml:space="preserve">Act No.2016-053 authorising the ratification of the second facultative Protocol pertaining to the International Covenant on Civil and Political Rights aiming at abolishing the death penalty in an irreversible way was adopted on 16 December 2016 by the Parliament, submitting the High Constitutional Court to constitutional review on 11 January 2017 and announced by the Presidency. The ratification of the treaty has still not been filed with the United Nations in New York. </w:t>
      </w:r>
    </w:p>
    <w:p w14:paraId="3ECFDD0C" w14:textId="77777777" w:rsidR="00EF620C" w:rsidRPr="00401FC3" w:rsidRDefault="00EF620C" w:rsidP="00B80CEC">
      <w:pPr>
        <w:pStyle w:val="Paragraphedeliste"/>
      </w:pPr>
      <w:r w:rsidRPr="00401FC3">
        <w:t xml:space="preserve">ACAT Madagascar, FIACAT as well as the CCPR Centre, NGOs both based in Europe, urged the Ministry of Justice and the Ministry of Foreign Affairs to speed up this last step. During this petition, it became apparent that the delay in the submission of this treaty is due to the fact that the Ministry of Foreign Affairs is waiting to be notified of the enactment of the law by the Ministry of Justice in order to be able to proceed to the submission of the ratification of the treaty. </w:t>
      </w:r>
    </w:p>
    <w:p w14:paraId="475FF0FF" w14:textId="77777777" w:rsidR="00EF620C" w:rsidRPr="00401FC3" w:rsidRDefault="00EF620C" w:rsidP="00B80CEC">
      <w:pPr>
        <w:tabs>
          <w:tab w:val="left" w:pos="8931"/>
        </w:tabs>
        <w:spacing w:after="111" w:line="251" w:lineRule="auto"/>
        <w:ind w:right="1204"/>
        <w:jc w:val="both"/>
        <w:rPr>
          <w:rFonts w:ascii="Times New Roman" w:eastAsia="Times New Roman" w:hAnsi="Times New Roman" w:cs="Times New Roman"/>
          <w:color w:val="000000"/>
          <w:sz w:val="24"/>
          <w:szCs w:val="24"/>
          <w:lang w:eastAsia="fr-FR"/>
        </w:rPr>
      </w:pPr>
      <w:r w:rsidRPr="00401FC3">
        <w:rPr>
          <w:rFonts w:ascii="Times New Roman" w:eastAsia="Times New Roman" w:hAnsi="Times New Roman" w:cs="Times New Roman"/>
          <w:b/>
          <w:color w:val="000000"/>
          <w:sz w:val="24"/>
          <w:szCs w:val="24"/>
          <w:lang w:eastAsia="fr-FR"/>
        </w:rPr>
        <w:t xml:space="preserve">Recommendations: </w:t>
      </w:r>
    </w:p>
    <w:p w14:paraId="46AD4618" w14:textId="74A0C556" w:rsidR="00EF620C" w:rsidRPr="00401FC3" w:rsidRDefault="00EF620C" w:rsidP="00B80CEC">
      <w:pPr>
        <w:spacing w:after="129" w:line="251" w:lineRule="auto"/>
        <w:ind w:right="1204"/>
        <w:jc w:val="both"/>
        <w:rPr>
          <w:rFonts w:ascii="Times New Roman" w:eastAsia="Times New Roman" w:hAnsi="Times New Roman" w:cs="Times New Roman"/>
          <w:color w:val="000000"/>
          <w:sz w:val="24"/>
          <w:szCs w:val="24"/>
          <w:lang w:eastAsia="fr-FR"/>
        </w:rPr>
      </w:pPr>
      <w:r w:rsidRPr="00401FC3">
        <w:rPr>
          <w:rFonts w:ascii="Times New Roman" w:eastAsia="Times New Roman" w:hAnsi="Times New Roman" w:cs="Times New Roman"/>
          <w:b/>
          <w:color w:val="000000"/>
          <w:sz w:val="24"/>
          <w:szCs w:val="24"/>
          <w:lang w:eastAsia="fr-FR"/>
        </w:rPr>
        <w:t xml:space="preserve">The State Party </w:t>
      </w:r>
      <w:r w:rsidR="007974DD">
        <w:rPr>
          <w:rFonts w:ascii="Times New Roman" w:eastAsia="Times New Roman" w:hAnsi="Times New Roman" w:cs="Times New Roman"/>
          <w:b/>
          <w:color w:val="000000"/>
          <w:sz w:val="24"/>
          <w:szCs w:val="24"/>
          <w:lang w:eastAsia="fr-FR"/>
        </w:rPr>
        <w:t>should</w:t>
      </w:r>
      <w:r w:rsidRPr="00401FC3">
        <w:rPr>
          <w:rFonts w:ascii="Times New Roman" w:eastAsia="Times New Roman" w:hAnsi="Times New Roman" w:cs="Times New Roman"/>
          <w:b/>
          <w:color w:val="000000"/>
          <w:sz w:val="24"/>
          <w:szCs w:val="24"/>
          <w:lang w:eastAsia="fr-FR"/>
        </w:rPr>
        <w:t xml:space="preserve">: </w:t>
      </w:r>
    </w:p>
    <w:p w14:paraId="0066F04C" w14:textId="77777777" w:rsidR="00EF620C" w:rsidRPr="00401FC3" w:rsidRDefault="00EF620C" w:rsidP="00B80CEC">
      <w:pPr>
        <w:pStyle w:val="recommandations"/>
      </w:pPr>
      <w:r w:rsidRPr="00401FC3">
        <w:t xml:space="preserve">Proceed without further delay, with the ratification of the Second Facultative Protocol related to the International Covenant on Civil and Political Rights aiming to abolish the death penalty. </w:t>
      </w:r>
    </w:p>
    <w:p w14:paraId="081D4477" w14:textId="77777777" w:rsidR="00EF620C" w:rsidRPr="00D8555A" w:rsidRDefault="00EF620C" w:rsidP="00EF620C">
      <w:pPr>
        <w:spacing w:after="133"/>
        <w:ind w:left="568"/>
        <w:rPr>
          <w:rFonts w:ascii="Times New Roman" w:eastAsia="Times New Roman" w:hAnsi="Times New Roman" w:cs="Times New Roman"/>
          <w:color w:val="000000"/>
          <w:lang w:eastAsia="fr-FR"/>
        </w:rPr>
      </w:pPr>
      <w:r w:rsidRPr="00D8555A">
        <w:rPr>
          <w:rFonts w:ascii="Times New Roman" w:eastAsia="Times New Roman" w:hAnsi="Times New Roman" w:cs="Times New Roman"/>
          <w:color w:val="000000"/>
          <w:lang w:eastAsia="fr-FR"/>
        </w:rPr>
        <w:t xml:space="preserve"> </w:t>
      </w:r>
    </w:p>
    <w:p w14:paraId="65D84D31" w14:textId="77777777" w:rsidR="00EF620C" w:rsidRPr="006E4AA9" w:rsidRDefault="00B80CEC" w:rsidP="00B80CEC">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u w:val="single" w:color="000000"/>
          <w:lang w:eastAsia="fr-FR"/>
        </w:rPr>
        <w:t>Issue</w:t>
      </w:r>
      <w:r w:rsidR="00EF620C" w:rsidRPr="006E4AA9">
        <w:rPr>
          <w:rFonts w:ascii="Times New Roman" w:eastAsia="Times New Roman" w:hAnsi="Times New Roman" w:cs="Times New Roman"/>
          <w:b/>
          <w:color w:val="000000"/>
          <w:u w:val="single" w:color="000000"/>
          <w:lang w:eastAsia="fr-FR"/>
        </w:rPr>
        <w:t xml:space="preserve"> 7</w:t>
      </w:r>
      <w:r w:rsidR="00EF620C" w:rsidRPr="006E4AA9">
        <w:rPr>
          <w:rFonts w:ascii="Times New Roman" w:eastAsia="Times New Roman" w:hAnsi="Times New Roman" w:cs="Times New Roman"/>
          <w:color w:val="000000"/>
          <w:lang w:eastAsia="fr-FR"/>
        </w:rPr>
        <w:t xml:space="preserve"> : Please respond to allegations of summary and extrajudicial executions committed in the State party by law enforcement officials, particularly in the context of operations to secure areas where cattle are stolen by armed groups. Please provide information about the investigations and prosecutions carried out, the convictions and penalties handed down to the perpetrators and the reparation awarded to the victims. Please also provide information on mob justice and lynching of suspected criminals by members of the general public and describe the measures taken to put a stop to such practices and to prosecute and punish the perpetrators.</w:t>
      </w:r>
    </w:p>
    <w:p w14:paraId="06CFA406" w14:textId="77777777" w:rsidR="007974DD" w:rsidRPr="007974DD" w:rsidRDefault="007974DD" w:rsidP="007974DD">
      <w:pPr>
        <w:pStyle w:val="Paragraphedeliste"/>
        <w:numPr>
          <w:ilvl w:val="0"/>
          <w:numId w:val="0"/>
        </w:numPr>
        <w:rPr>
          <w:b/>
        </w:rPr>
      </w:pPr>
      <w:r w:rsidRPr="007974DD">
        <w:rPr>
          <w:b/>
        </w:rPr>
        <w:t xml:space="preserve">Replies / Comments from civil society </w:t>
      </w:r>
    </w:p>
    <w:p w14:paraId="0C236318" w14:textId="77777777" w:rsidR="00EF620C" w:rsidRPr="000F2710" w:rsidRDefault="00EF620C" w:rsidP="00B80CEC">
      <w:pPr>
        <w:pStyle w:val="Paragraphedeliste"/>
      </w:pPr>
      <w:r w:rsidRPr="000F2710">
        <w:t xml:space="preserve">The state has not proposed any response concerning the allegations of summary and extrajudicial executions committed by law enforcement officials, particularly in the context of operations to secure regions. </w:t>
      </w:r>
    </w:p>
    <w:p w14:paraId="449D4990" w14:textId="77777777" w:rsidR="00EF620C" w:rsidRPr="000F2710" w:rsidRDefault="00EF620C" w:rsidP="00B80CEC">
      <w:pPr>
        <w:pStyle w:val="Paragraphedeliste"/>
      </w:pPr>
      <w:r w:rsidRPr="000F2710">
        <w:t xml:space="preserve">The southern localities affected by the massacres between dahalo (zebu thieves), civilian populations and armed forces, are predominantly located in the areas where the sub-soil is exceptionally rich, an object of desire for all predators. In addition to cattle farming, mineral resources are important and manifold: industrial minerals (uranium, mercury, rare earth metals, mica, carbon, ilmenite), precious and semi-precious stones (sapphire, emerald, rock crystal...) iron, etc. Oil is also present in the sub-soil of the area. According to Médiapart, </w:t>
      </w:r>
      <w:r w:rsidRPr="000F2710">
        <w:lastRenderedPageBreak/>
        <w:t>citing the testimonies of certain notable locals, relayed at one point by the Catholic Bishop of the region, there is “</w:t>
      </w:r>
      <w:r w:rsidRPr="000F2710">
        <w:rPr>
          <w:i/>
        </w:rPr>
        <w:t>a desire of certain political and economic lobbies to remove a good part of the South’s population in order to facilitate the exploitation of the land resources and wealth of the sub-soil of this part of the island</w:t>
      </w:r>
      <w:r w:rsidRPr="000F2710">
        <w:t xml:space="preserve">”. There </w:t>
      </w:r>
      <w:proofErr w:type="gramStart"/>
      <w:r w:rsidRPr="000F2710">
        <w:t>has</w:t>
      </w:r>
      <w:proofErr w:type="gramEnd"/>
      <w:r w:rsidRPr="000F2710">
        <w:t xml:space="preserve"> been therefore, forced displacements of populations and the confiscation of land by force. </w:t>
      </w:r>
    </w:p>
    <w:p w14:paraId="611BFBD7" w14:textId="77777777" w:rsidR="00EF620C" w:rsidRPr="002C4B1A" w:rsidRDefault="00EF620C" w:rsidP="00B80CEC">
      <w:pPr>
        <w:pStyle w:val="Paragraphedeliste"/>
      </w:pPr>
      <w:r w:rsidRPr="000F2710">
        <w:t xml:space="preserve">Since operation “Tandroka” in 2012 to fight against the “dahalo” (zebu thieves), it is alleged that law enforcement officials have indiscriminately slaughtered, pillaged, and killed thousands of people, including civilians in the Southern region. </w:t>
      </w:r>
    </w:p>
    <w:p w14:paraId="099961D7" w14:textId="77777777" w:rsidR="00EF620C" w:rsidRPr="002C4B1A" w:rsidRDefault="00EF620C" w:rsidP="00B80CEC">
      <w:pPr>
        <w:pStyle w:val="Paragraphedeliste"/>
      </w:pPr>
      <w:r w:rsidRPr="002C4B1A">
        <w:t>After his installation in January 2014, President Rajaonarimampianina immediately dismantled the Special Task Force (STF) and the Directorate of Homeland Security (DST</w:t>
      </w:r>
      <w:proofErr w:type="gramStart"/>
      <w:r w:rsidRPr="002C4B1A">
        <w:t>) which</w:t>
      </w:r>
      <w:proofErr w:type="gramEnd"/>
      <w:r w:rsidRPr="002C4B1A">
        <w:t xml:space="preserve"> was accused of human rights abuses during the regime change. </w:t>
      </w:r>
    </w:p>
    <w:p w14:paraId="5C4B3CCF" w14:textId="77777777" w:rsidR="00EF620C" w:rsidRPr="002C4B1A" w:rsidRDefault="00EF620C" w:rsidP="00B80CEC">
      <w:pPr>
        <w:pStyle w:val="Paragraphedeliste"/>
      </w:pPr>
      <w:r w:rsidRPr="002C4B1A">
        <w:t xml:space="preserve">The inhabitants of two villages in Amboasary Sud, Andranondambo and Ambatotsivala, have been involved in a war amid the theft of zebu and the control of minerals. The most intense battles were recorded on the 10 and 11 May 2014. On 21 May 2014, following the resurgence of violent clashes between these two villages, 22 deaths were caused and almost 3,700 people made homeless, according to the BNGRC. </w:t>
      </w:r>
    </w:p>
    <w:p w14:paraId="4D68CAE2" w14:textId="77777777" w:rsidR="00EF620C" w:rsidRPr="00D71ABA" w:rsidRDefault="00EF620C" w:rsidP="00B80CEC">
      <w:pPr>
        <w:pStyle w:val="Paragraphedeliste"/>
      </w:pPr>
      <w:r w:rsidRPr="002C4B1A">
        <w:t xml:space="preserve">The government has launched operation “Coup d’Arrêt” conducted by the National Gendarmerie against the dahalo. During the month of November 2014, according to the government, this operation would have enabled the surrender of 4,000 cattle thieves. </w:t>
      </w:r>
    </w:p>
    <w:p w14:paraId="483C1957" w14:textId="77777777" w:rsidR="00EF620C" w:rsidRPr="00D71ABA" w:rsidRDefault="00EF620C" w:rsidP="00B80CEC">
      <w:pPr>
        <w:pStyle w:val="Paragraphedeliste"/>
      </w:pPr>
      <w:r w:rsidRPr="00D71ABA">
        <w:t xml:space="preserve">The government has recognised the necessity of adopting a new strategy in the fight against the “dahalo” and set up a new operation in 2015, “Fahalemena” conducted by the Armed Security Detachments (DAS). </w:t>
      </w:r>
    </w:p>
    <w:p w14:paraId="44A50542" w14:textId="77777777" w:rsidR="00EF620C" w:rsidRPr="00D71ABA" w:rsidRDefault="00EF620C" w:rsidP="00B80CEC">
      <w:pPr>
        <w:pStyle w:val="Paragraphedeliste"/>
      </w:pPr>
      <w:r w:rsidRPr="00D71ABA">
        <w:t xml:space="preserve">According to the GTZ association (Gny To Tsy Mba Zainy), summary executions committed by the military would have increased the tension between the military and the police </w:t>
      </w:r>
      <w:proofErr w:type="gramStart"/>
      <w:r w:rsidRPr="00D71ABA">
        <w:t>officers,</w:t>
      </w:r>
      <w:proofErr w:type="gramEnd"/>
      <w:r w:rsidRPr="00D71ABA">
        <w:t xml:space="preserve"> the latter would have increased against these abuses in the south-west region. </w:t>
      </w:r>
    </w:p>
    <w:p w14:paraId="09C788FA" w14:textId="77777777" w:rsidR="00EF620C" w:rsidRPr="00D71ABA" w:rsidRDefault="00EF620C" w:rsidP="00B80CEC">
      <w:pPr>
        <w:pStyle w:val="Paragraphedeliste"/>
      </w:pPr>
      <w:r w:rsidRPr="00D71ABA">
        <w:t xml:space="preserve">In this way, 14 individuals suspected of supplying guns to the beef thieves would have been summarily executed by the military on the night of Sunday 30 to Monday 31 August 2015 in the rural district of Ankiliabo.  </w:t>
      </w:r>
    </w:p>
    <w:p w14:paraId="46DE83AF" w14:textId="77777777" w:rsidR="00EF620C" w:rsidRPr="00403E5E" w:rsidRDefault="00EF620C" w:rsidP="00B80CEC">
      <w:pPr>
        <w:pStyle w:val="Paragraphedeliste"/>
      </w:pPr>
      <w:r w:rsidRPr="00D71ABA">
        <w:t xml:space="preserve">Clashes have taken place between the dahalo and the armed forces in August 2015. Eight soldiers were killed on 26 August 2015 in an ambush at Ankazoabo-Sud. Since then, the armed forces have been suspected of leading indiscriminate attacks against groups they assume to be dahalo, particularly in the regions of Betsiboka, Androy, and Bongolava. Numerous villagers reportedly sought refuge in the nearby woods of their villages. Razafindremaka, president of the GTZ association in Ihorombe, Albert Mena, member of a local association for the defence of human rights in Beroroha, and the National Confederation of Human Rights Platforms (CNPFDH) declared during a press conference that two cattle thieves had been arrested on 3 September 2015 by Ihosy law enforcement officials in the village of Andiolava on the Route Nationale 7. They were reportedly taken to the military camp in Ihosy where they were allegedly executed by </w:t>
      </w:r>
      <w:proofErr w:type="gramStart"/>
      <w:r w:rsidRPr="00D71ABA">
        <w:t>gun fire</w:t>
      </w:r>
      <w:proofErr w:type="gramEnd"/>
      <w:r w:rsidRPr="00D71ABA">
        <w:t xml:space="preserve"> then burned by setting tires alight. </w:t>
      </w:r>
      <w:proofErr w:type="gramStart"/>
      <w:r w:rsidRPr="00D71ABA">
        <w:t>This event was related by the local radio station “Avec”</w:t>
      </w:r>
      <w:proofErr w:type="gramEnd"/>
      <w:r w:rsidRPr="00D71ABA">
        <w:t xml:space="preserve"> and residents of the area present at the scene. </w:t>
      </w:r>
    </w:p>
    <w:p w14:paraId="616EB87F" w14:textId="77777777" w:rsidR="00EF620C" w:rsidRDefault="00EF620C" w:rsidP="00B80CEC">
      <w:pPr>
        <w:pStyle w:val="Paragraphedeliste"/>
      </w:pPr>
      <w:r w:rsidRPr="00403E5E">
        <w:t xml:space="preserve">Concerning those abuses committed by the law enforcement officials, Razafindremaka and Albert Mena claim to have informed, put together and submitted files to the supervisors of the Gendarmerie, Antannanarivo, the Ministry of Justice, BIANCO de Tuléar, and the </w:t>
      </w:r>
      <w:r w:rsidRPr="00403E5E">
        <w:lastRenderedPageBreak/>
        <w:t xml:space="preserve">central State and that numerous meetings and dialogues have already taken place with the military authorities and regional chiefs during the year 2015. There has been no follow up. </w:t>
      </w:r>
    </w:p>
    <w:p w14:paraId="6FA8DDDD" w14:textId="77777777" w:rsidR="00EF620C" w:rsidRDefault="00EF620C" w:rsidP="00B80CEC">
      <w:pPr>
        <w:pStyle w:val="Paragraphedeliste"/>
      </w:pPr>
      <w:r w:rsidRPr="00403E5E">
        <w:t xml:space="preserve">To this day, no information is available about potential prosecutions with the evidence of Colonel Thierry Ramambasoa having executed a young 15-year-old boy named Bénéfice, suspected of being complicit with the theft of cattle </w:t>
      </w:r>
      <w:proofErr w:type="gramStart"/>
      <w:r w:rsidRPr="00403E5E">
        <w:t>who</w:t>
      </w:r>
      <w:proofErr w:type="gramEnd"/>
      <w:r w:rsidRPr="00403E5E">
        <w:t xml:space="preserve"> would have been transferred on 20 October 2015 to the Magistrate’s Court of Ambvombe. According to the information given by the operations Commander to authorities tasked with recording the deaths, it was the moment when he attempted to flee that the young boy was hit by bullets.  </w:t>
      </w:r>
    </w:p>
    <w:p w14:paraId="3C545F8C" w14:textId="77777777" w:rsidR="00EF620C" w:rsidRPr="007D7E90" w:rsidRDefault="00EF620C" w:rsidP="00B80CEC">
      <w:pPr>
        <w:pStyle w:val="Paragraphedeliste"/>
      </w:pPr>
      <w:r w:rsidRPr="00403E5E">
        <w:t xml:space="preserve">The head of legal affairs of the National Gendarmerie, Toby Ratsimandrava maintained that members of ACAT came to follow up that four (04) law enforcement officials including three (03) police officers have been prosecuted and placed under arrest for acts of violence and torture committed at Taolagnaro. The victim, the former mayor of the rural district of Evatraho in the District of Tolagnaro, was found dead as a result of violence committed against him by them on 19 January 2015. An inquiry was conducted by the Director of the judicial police, resulting in the arrest of 03 police officers including an adjutant officer (lieutenant) of the Tolaganro </w:t>
      </w:r>
      <w:proofErr w:type="gramStart"/>
      <w:r w:rsidRPr="00403E5E">
        <w:t>company</w:t>
      </w:r>
      <w:proofErr w:type="gramEnd"/>
      <w:r w:rsidRPr="00403E5E">
        <w:t xml:space="preserve">. The latter was condemned to a life sentence of hard labour, another officer was acquitted </w:t>
      </w:r>
      <w:r w:rsidRPr="007D7E90">
        <w:t xml:space="preserve">and a third was sentenced to three years imprisonment with a suspended sentence. </w:t>
      </w:r>
    </w:p>
    <w:p w14:paraId="0BE245DE" w14:textId="77777777" w:rsidR="00EF620C" w:rsidRPr="00F80ADF" w:rsidRDefault="00EF620C" w:rsidP="00B80CEC">
      <w:pPr>
        <w:pStyle w:val="Paragraphedeliste"/>
      </w:pPr>
      <w:r w:rsidRPr="007D7E90">
        <w:t xml:space="preserve">Rehavana Michel, the assistant public prosecutor of the Magistrate’s Court of Toliara responsible for the prison sentence of a police officer, died in December 2011 as a result of police brutality. The state has taken six years to investigate the case and enter it into the list of the Criminal Court of Antananarivo on the 22 and 23 March 2017. The Criminal Court of Antananarivo from the 22 March 2017 postponed the case sine die. The Rehavana Michel trial feeds the debate because of its connection with the Antsakabary case in the district of Befandriana-Nord where police members executed/undertook a punitive and criminal expedition against third parties that attacked two of their own. </w:t>
      </w:r>
    </w:p>
    <w:p w14:paraId="029F1E7C" w14:textId="77777777" w:rsidR="00EF620C" w:rsidRPr="00953A84" w:rsidRDefault="00EF620C" w:rsidP="00B80CEC">
      <w:pPr>
        <w:pStyle w:val="Paragraphedeliste"/>
      </w:pPr>
      <w:r w:rsidRPr="00F80ADF">
        <w:t>In this case, two police officers were stoned and crushed to death by stone blocks on Saturday 18 February 2017 by hordes of villagers suspecting them of having extorted one of them. On leaving the mayor’s office in Antsakabary who had invited them to explain/talk it over, they were hunted down and executed by a furious mob. The two police officers had been requisitioned for the arrest of an individual suspected of having killed a duck. The two men travelled 113 kilometres between Befandriana-Nord</w:t>
      </w:r>
      <w:r>
        <w:rPr>
          <w:rStyle w:val="Marquenotebasdepage"/>
        </w:rPr>
        <w:footnoteReference w:id="1"/>
      </w:r>
      <w:r w:rsidRPr="00F80ADF">
        <w:t xml:space="preserve"> and Antsakabary, on an impassable route to make the arrest. On the way back, they allegedly encountered a villager from d’Ambalamanga needing stock up on honey that complained to the mayor of having been extorted by the two officers. Following the death of these two police officers, about forty police agents were dispatched on site. During their brief call in Antsakabary, 484 houses were burnt to a cinder, leading to the death of a blind old woman. </w:t>
      </w:r>
    </w:p>
    <w:p w14:paraId="2D611D71" w14:textId="77777777" w:rsidR="00EF620C" w:rsidRPr="00832330" w:rsidRDefault="00EF620C" w:rsidP="00B80CEC">
      <w:pPr>
        <w:pStyle w:val="Paragraphedeliste"/>
      </w:pPr>
      <w:r w:rsidRPr="00953A84">
        <w:t>The Independent National Commission on Human Rights report indicated human rights violations in Antsakabary</w:t>
      </w:r>
      <w:r>
        <w:rPr>
          <w:rStyle w:val="Marquenotebasdepage"/>
        </w:rPr>
        <w:footnoteReference w:id="2"/>
      </w:r>
      <w:r w:rsidRPr="00953A84">
        <w:t xml:space="preserve">. The members of the Independent National Commission on Human Rights (INCHR) presented this report to the permanent bureau of the National Assembly. The INCHR wished that there were a follow up on the development of inquiry as well as on the court decisions. </w:t>
      </w:r>
    </w:p>
    <w:p w14:paraId="01B339D8" w14:textId="77777777" w:rsidR="00EF620C" w:rsidRPr="008F083D" w:rsidRDefault="00EF620C" w:rsidP="00B80CEC">
      <w:pPr>
        <w:pStyle w:val="Paragraphedeliste"/>
      </w:pPr>
      <w:r w:rsidRPr="00832330">
        <w:lastRenderedPageBreak/>
        <w:t xml:space="preserve">On the scene on 02 to 07 March 2017, the commissioners of the INCHR concluded that the police agents were the perpetrators responsible for the arson of 484 houses. The INCHR reported two versions on the methods of the execution of arson, based on the statements of persons interrogated: either the police officers executed the fires themselves, or the same officers forced the </w:t>
      </w:r>
      <w:proofErr w:type="gramStart"/>
      <w:r w:rsidRPr="00832330">
        <w:t>home owners</w:t>
      </w:r>
      <w:proofErr w:type="gramEnd"/>
      <w:r w:rsidRPr="00832330">
        <w:t xml:space="preserve"> to burn their houses. Still, according to the INCHR, the mayor of Antskabary and his chief assistant were handcuffed and tortured by the police officers, in to writing and signing a coerced confession dictated by them. The INCHR called for </w:t>
      </w:r>
      <w:r w:rsidRPr="00832330">
        <w:rPr>
          <w:i/>
        </w:rPr>
        <w:t>“the perpetrators of arson, the responsible parties that did not take adequate measures and those who violated human rights to be severely punished</w:t>
      </w:r>
      <w:r w:rsidRPr="00832330">
        <w:t xml:space="preserve">” and appealed to the population to cease mob justice. </w:t>
      </w:r>
    </w:p>
    <w:p w14:paraId="53BECA04" w14:textId="77777777" w:rsidR="00EF620C" w:rsidRDefault="00EF620C" w:rsidP="00B80CEC">
      <w:pPr>
        <w:pStyle w:val="Paragraphedeliste"/>
      </w:pPr>
      <w:r w:rsidRPr="008F083D">
        <w:t xml:space="preserve">Madagascar, an island renowned not so long ago for the benevolence of its residents and for their sense of hospitality, now has a tarnished reputation of mob justice and insecurity, the situation becoming more troubling for the peace and social harmony of the country. On 3 October 2013 in Nosy Be, a French tourist, Sébastien Judalet, and a French-Italian, Roberto Gianfala, as well as a Malagasy, </w:t>
      </w:r>
      <w:proofErr w:type="gramStart"/>
      <w:r w:rsidRPr="008F083D">
        <w:t>were</w:t>
      </w:r>
      <w:proofErr w:type="gramEnd"/>
      <w:r w:rsidRPr="008F083D">
        <w:t xml:space="preserve"> severely beaten and their bodies burned on the beach by a violent mob which accused them of trafficking a child’s organs and of being paedophiles. An inquiry was opened. A teenager, nephew of the third, Malagasy victim, was found drowned. 37 people were prosecuted before the Criminal Court of Antanananarivo on 9</w:t>
      </w:r>
      <w:r w:rsidRPr="008F083D">
        <w:rPr>
          <w:vertAlign w:val="superscript"/>
        </w:rPr>
        <w:t xml:space="preserve">t </w:t>
      </w:r>
      <w:r w:rsidRPr="008F083D">
        <w:t xml:space="preserve">October 2015, including two police officers for the crime of not assisting a person in danger. Four of the accused were sentenced to life imprisonment with hard labour for murder and sequestration. Another was sentence to seven years hard labour and five others to prison between six months with a suspended sentence and three years with no remission. Twenty-five of the accused were set free “with benefit of the doubt” and one police officer was quite simply acquitted. </w:t>
      </w:r>
    </w:p>
    <w:p w14:paraId="5958DE49" w14:textId="77777777" w:rsidR="00EF620C" w:rsidRPr="00BC79AF" w:rsidRDefault="00EF620C" w:rsidP="00B80CEC">
      <w:pPr>
        <w:pStyle w:val="Paragraphedeliste"/>
      </w:pPr>
      <w:r w:rsidRPr="008A04CF">
        <w:t xml:space="preserve">Following the case of mob justice committed in Mananara Nord at the beginning of the month of March 2015, which had six victims including three burned alive and three stoned to death, the Secretary of State of the gendarmerie, General Didier Paza, met with the press to reiterate the message whereby </w:t>
      </w:r>
      <w:r w:rsidRPr="008A04CF">
        <w:rPr>
          <w:i/>
        </w:rPr>
        <w:t>“in a rule of law such as ours, mob justice is not tolerated and gravely tarnishes Madagascar’s image. It falls to the legal system to judge the guilty according to the law and punish them accordingly”.</w:t>
      </w:r>
      <w:r w:rsidRPr="008A04CF">
        <w:t xml:space="preserve"> According to the Secretary of State, orders have been sent to Mananara Nord to arrest and bring to justice the perpetrators of the murder of these individuals. </w:t>
      </w:r>
    </w:p>
    <w:p w14:paraId="41547767" w14:textId="77777777" w:rsidR="00EF620C" w:rsidRPr="00BC79AF" w:rsidRDefault="00EF620C" w:rsidP="00B80CEC">
      <w:pPr>
        <w:pStyle w:val="Paragraphedeliste"/>
      </w:pPr>
      <w:r w:rsidRPr="00BC79AF">
        <w:t xml:space="preserve">One year after, the situation worsened. During the last trimester of 2016, according to an article signed by Andry Manase published in Mouvement Citoyen des Malgaches de Paris, in the space of a month and a half, the death toll of forty-two deaths is onerous for the nine cases of mob justice in the Grand Île. Few arrests have been noted. </w:t>
      </w:r>
    </w:p>
    <w:p w14:paraId="60757EEF" w14:textId="77777777" w:rsidR="00EF620C" w:rsidRPr="00BC79AF" w:rsidRDefault="00EF620C" w:rsidP="00B80CEC">
      <w:pPr>
        <w:pStyle w:val="Paragraphedeliste"/>
      </w:pPr>
      <w:r w:rsidRPr="00BC79AF">
        <w:t>The 1</w:t>
      </w:r>
      <w:r w:rsidRPr="00BC79AF">
        <w:rPr>
          <w:vertAlign w:val="superscript"/>
        </w:rPr>
        <w:t>st</w:t>
      </w:r>
      <w:r w:rsidRPr="00BC79AF">
        <w:t xml:space="preserve"> October 2016, three individuals, caught with stolen human bones in their own ancestral vault, were murdered by the members of the village community in Vatomandry, in the region of Atsinanana. </w:t>
      </w:r>
    </w:p>
    <w:p w14:paraId="169392D5" w14:textId="77777777" w:rsidR="00EF620C" w:rsidRPr="00BC79AF" w:rsidRDefault="00EF620C" w:rsidP="00B80CEC">
      <w:pPr>
        <w:pStyle w:val="Paragraphedeliste"/>
      </w:pPr>
      <w:r w:rsidRPr="00BC79AF">
        <w:t xml:space="preserve">On 17 October 2016 in Betafo, residents of the rural district of Ambohimanambola killed cattle thieves. Two days later, after the theft of 70 zebus at Zazafotsy Ihosy, members of the village community executed eleven individuals by gunshot. </w:t>
      </w:r>
    </w:p>
    <w:p w14:paraId="3674C075" w14:textId="77777777" w:rsidR="00EF620C" w:rsidRPr="005C0E37" w:rsidRDefault="00EF620C" w:rsidP="00B80CEC">
      <w:pPr>
        <w:pStyle w:val="Paragraphedeliste"/>
      </w:pPr>
      <w:r w:rsidRPr="00BC79AF">
        <w:t>Lucette, a follower of a neo-liberal church, defiled with pig fat the palace of the five kingdoms of the Antambahoaka tribe and was lynched on 30 October 2016 in Mananjary. By late morning, in the presence of law enforcement representat</w:t>
      </w:r>
      <w:r>
        <w:t>ives, Lucette was burned alive.</w:t>
      </w:r>
    </w:p>
    <w:p w14:paraId="3808227E" w14:textId="77777777" w:rsidR="00EF620C" w:rsidRDefault="00EF620C" w:rsidP="00B80CEC">
      <w:pPr>
        <w:pStyle w:val="Paragraphedeliste"/>
      </w:pPr>
      <w:r>
        <w:lastRenderedPageBreak/>
        <w:t xml:space="preserve">At Antanimora Ambovombe, on 4 November 2016, four </w:t>
      </w:r>
      <w:proofErr w:type="gramStart"/>
      <w:r>
        <w:t>suspects were shot by four members of the vigilance committee, leaving the police who had escorted them, stunned</w:t>
      </w:r>
      <w:proofErr w:type="gramEnd"/>
      <w:r>
        <w:t xml:space="preserve">. A woman, an assault victim of 19 January 2017, was taken to the hospital. A man was also found dead. Stopped by the police, Avimana known as Lemena, presumed perpetrator of these acts, was placed under police custody at Besalampy polic station in Mahajanga. On the night of 23 January, close to 2,000 people stormed the police station. The mob destroyed the station and killed the suspect. It also beat another bandit found in his cell, to death. A source close to the head of police alluded that prosecutions have been made and inquiries are under way. </w:t>
      </w:r>
    </w:p>
    <w:p w14:paraId="2B201B62" w14:textId="77777777" w:rsidR="00EF620C" w:rsidRPr="009E14D1" w:rsidRDefault="00EF620C" w:rsidP="00B80CEC">
      <w:pPr>
        <w:pStyle w:val="Paragraphedeliste"/>
      </w:pPr>
      <w:r>
        <w:t xml:space="preserve">On 7 November 2016, the Prime Minister promised to enforce justice against the perpetrators mob justice. </w:t>
      </w:r>
    </w:p>
    <w:p w14:paraId="09C74FC1" w14:textId="77777777" w:rsidR="00EF620C" w:rsidRPr="001B771E" w:rsidRDefault="00EF620C" w:rsidP="00B80CEC">
      <w:pPr>
        <w:pStyle w:val="Paragraphedeliste"/>
      </w:pPr>
      <w:r w:rsidRPr="009E14D1">
        <w:t xml:space="preserve">The panel discussion organised on 8 December 2016 by ACAT Madagascar as part of the celebration of Human Rights Day on the theme of “Towards a more just society without the death penalty, without mob justice and without violent radicalisation” was an opportunity to raise awareness on the absolute prohibition of the deprivation of life. This round table came within the framework of the implementation of the Antananarivo Declaration of 10 October 2015 for a vast campaign of awareness and education of citizens and law enforcement officers regarding the right to life. It highlighted the </w:t>
      </w:r>
      <w:proofErr w:type="gramStart"/>
      <w:r w:rsidRPr="009E14D1">
        <w:t>effort which</w:t>
      </w:r>
      <w:proofErr w:type="gramEnd"/>
      <w:r w:rsidRPr="009E14D1">
        <w:t xml:space="preserve"> must urgently focus on the issues of mob justice and the tendency towards violent radicalisation in society. </w:t>
      </w:r>
    </w:p>
    <w:p w14:paraId="3E4B47BA" w14:textId="77777777" w:rsidR="00EF620C" w:rsidRPr="00A609A8" w:rsidRDefault="00EF620C" w:rsidP="00B80CEC">
      <w:pPr>
        <w:pStyle w:val="Paragraphedeliste"/>
      </w:pPr>
      <w:r w:rsidRPr="001B771E">
        <w:t>The inauguration of the lawyer’</w:t>
      </w:r>
      <w:r>
        <w:t xml:space="preserve">s firm </w:t>
      </w:r>
      <w:r w:rsidRPr="001B771E">
        <w:t xml:space="preserve">on 23 February 2017 was the occasion this time, for the President of the Republic, Henry Rajaonarimampianina to reiterate during his speech that provisions will be taken against mob justice. In March 2017, he firmly stressed during his visit to Sambava, after the damage of cyclone Enawo, that the law must be applied, whilst respecting the rights of those concerned, and that it is not right to engage in mob justice. On 19 April 2017, he called for all citizens to uphold the law. A civic education is necessary in the fight against corruption and mob justice. He called for civil society to get started with this citizen education. </w:t>
      </w:r>
    </w:p>
    <w:p w14:paraId="690B6F47" w14:textId="77777777" w:rsidR="00EF620C" w:rsidRDefault="00EF620C" w:rsidP="00B80CEC">
      <w:pPr>
        <w:pStyle w:val="Paragraphedeliste"/>
      </w:pPr>
      <w:r w:rsidRPr="00A609A8">
        <w:t xml:space="preserve">The phenomenon of mob justice can be tantamount to calling the State, law, and penal justice into question, according to Gaméli Nouwade. In his doctoral thesis on mob justice, under the joint supervision of the University of Abomey-Calvi in Benin and The Doctoral School of Economics, Law and Management in Clermont-Ferrand, Gaméli Nouwade brought up several instances of mob justice in several African countries, including Madagascar where he cites the case of French tourist Sébastien Judalet, French-Italian Roberto Gianfala and the Malagasy lynched and burned alive on a beach in Nosy-Be by a violent mob which accused them of having killed a child. More than a simple hindrance to the obligation of not doing justice by one’s self, it would be like the withdrawal of the right to judge, a discrediting of the state judge. Yet, in a democratic society, justice is the shield against the arbitrary, a sovereign task of the State, which makes the State, “the State”. The recognition of human rights has made the human person a sacred being having an array of rights drawn from legal and judicial certainties, the mind being to protect its life, physical integrity and liberty. </w:t>
      </w:r>
    </w:p>
    <w:p w14:paraId="76B8E649" w14:textId="77777777" w:rsidR="00EF620C" w:rsidRPr="0070749E" w:rsidRDefault="00EF620C" w:rsidP="00B80CEC">
      <w:pPr>
        <w:pStyle w:val="Paragraphedeliste"/>
      </w:pPr>
      <w:r w:rsidRPr="00192B19">
        <w:t xml:space="preserve">Mob justice is a denial of human rights. It ignores the presumption of innocence, the right to life, the abolition of the death penalty, the prohibition of torture, cruel, dehumanising, and degrading treatments, human dignity, the right to be tried before an established court having universally recognised guarantees, the right to a fair trial. </w:t>
      </w:r>
    </w:p>
    <w:p w14:paraId="2E676326" w14:textId="77777777" w:rsidR="00EF620C" w:rsidRPr="00E243C8" w:rsidRDefault="00EF620C" w:rsidP="00B80CEC">
      <w:pPr>
        <w:pStyle w:val="Paragraphedeliste"/>
      </w:pPr>
      <w:r w:rsidRPr="0070749E">
        <w:t>A specific criminalisation of mob justice doe</w:t>
      </w:r>
      <w:r>
        <w:t>s not exist. The criminal defenc</w:t>
      </w:r>
      <w:r w:rsidRPr="0070749E">
        <w:t xml:space="preserve">e rests on the common law infractions of aggravated murder, failure to assist a person in danger, criminal </w:t>
      </w:r>
      <w:r w:rsidRPr="0070749E">
        <w:lastRenderedPageBreak/>
        <w:t xml:space="preserve">conspiracy, aggravated assault and battery, violent assaults, manslaughter, failure to report a crime, etc.  </w:t>
      </w:r>
    </w:p>
    <w:p w14:paraId="4F53808C" w14:textId="77777777" w:rsidR="00EF620C" w:rsidRPr="00E243C8" w:rsidRDefault="00EF620C" w:rsidP="00B80CEC">
      <w:pPr>
        <w:pStyle w:val="Paragraphedeliste"/>
      </w:pPr>
      <w:r w:rsidRPr="00E243C8">
        <w:t xml:space="preserve">The criminal justice response seems insufficient, even ineffective. As a result of acts committed by a violent, vindictive mob, the majority of lawsuits have ended in the closure of the case, mistrial, or a verdict of innocence owing to various constraints: individual criminal responsibility, collective crime, lack of evidence, the difficulty of identifying perpetrators, sometimes self-defence is falsely invoked, law statutes. </w:t>
      </w:r>
    </w:p>
    <w:p w14:paraId="5177493C" w14:textId="77777777" w:rsidR="00EF620C" w:rsidRPr="006E4AA9" w:rsidRDefault="00EF620C" w:rsidP="00B80CEC">
      <w:pPr>
        <w:spacing w:after="111" w:line="251" w:lineRule="auto"/>
        <w:ind w:right="1204"/>
        <w:jc w:val="both"/>
        <w:rPr>
          <w:rFonts w:ascii="Times New Roman" w:eastAsia="Times New Roman" w:hAnsi="Times New Roman" w:cs="Times New Roman"/>
          <w:color w:val="000000"/>
          <w:lang w:eastAsia="fr-FR"/>
        </w:rPr>
      </w:pPr>
      <w:r w:rsidRPr="006E4AA9">
        <w:rPr>
          <w:rFonts w:ascii="Times New Roman" w:eastAsia="Times New Roman" w:hAnsi="Times New Roman" w:cs="Times New Roman"/>
          <w:b/>
          <w:color w:val="000000"/>
          <w:lang w:eastAsia="fr-FR"/>
        </w:rPr>
        <w:t>Recom</w:t>
      </w:r>
      <w:r>
        <w:rPr>
          <w:rFonts w:ascii="Times New Roman" w:eastAsia="Times New Roman" w:hAnsi="Times New Roman" w:cs="Times New Roman"/>
          <w:b/>
          <w:color w:val="000000"/>
          <w:lang w:eastAsia="fr-FR"/>
        </w:rPr>
        <w:t>mendations</w:t>
      </w:r>
      <w:r w:rsidRPr="006E4AA9">
        <w:rPr>
          <w:rFonts w:ascii="Times New Roman" w:eastAsia="Times New Roman" w:hAnsi="Times New Roman" w:cs="Times New Roman"/>
          <w:b/>
          <w:color w:val="000000"/>
          <w:lang w:eastAsia="fr-FR"/>
        </w:rPr>
        <w:t xml:space="preserve">: </w:t>
      </w:r>
    </w:p>
    <w:p w14:paraId="68415C7C" w14:textId="09D1CBF1" w:rsidR="00EF620C" w:rsidRPr="006E4AA9" w:rsidRDefault="00EF620C" w:rsidP="00B80CEC">
      <w:pPr>
        <w:spacing w:after="129" w:line="251" w:lineRule="auto"/>
        <w:ind w:right="1204"/>
        <w:jc w:val="both"/>
        <w:rPr>
          <w:rFonts w:ascii="Times New Roman" w:eastAsia="Times New Roman" w:hAnsi="Times New Roman" w:cs="Times New Roman"/>
          <w:color w:val="000000"/>
          <w:lang w:eastAsia="fr-FR"/>
        </w:rPr>
      </w:pPr>
      <w:r>
        <w:rPr>
          <w:rFonts w:ascii="Times New Roman" w:eastAsia="Times New Roman" w:hAnsi="Times New Roman" w:cs="Times New Roman"/>
          <w:b/>
          <w:color w:val="000000"/>
          <w:lang w:eastAsia="fr-FR"/>
        </w:rPr>
        <w:t xml:space="preserve">The State Party </w:t>
      </w:r>
      <w:r w:rsidR="007974DD">
        <w:rPr>
          <w:rFonts w:ascii="Times New Roman" w:eastAsia="Times New Roman" w:hAnsi="Times New Roman" w:cs="Times New Roman"/>
          <w:b/>
          <w:color w:val="000000"/>
          <w:lang w:eastAsia="fr-FR"/>
        </w:rPr>
        <w:t>should</w:t>
      </w:r>
      <w:r>
        <w:rPr>
          <w:rFonts w:ascii="Times New Roman" w:eastAsia="Times New Roman" w:hAnsi="Times New Roman" w:cs="Times New Roman"/>
          <w:b/>
          <w:color w:val="000000"/>
          <w:lang w:eastAsia="fr-FR"/>
        </w:rPr>
        <w:t>:</w:t>
      </w:r>
    </w:p>
    <w:p w14:paraId="2E85EB26" w14:textId="77777777" w:rsidR="00EF620C" w:rsidRPr="00646452" w:rsidRDefault="00EF620C" w:rsidP="00B80CEC">
      <w:pPr>
        <w:pStyle w:val="recommandations"/>
      </w:pPr>
      <w:r w:rsidRPr="00646452">
        <w:t xml:space="preserve">Take preventive measures in tackling the causes of mob justice, namely the fight against corruption, the reinforcement of security, the cutting of procedural delays, the promotion of criminal justice and human rights. </w:t>
      </w:r>
    </w:p>
    <w:p w14:paraId="629ACC12" w14:textId="77777777" w:rsidR="00EF620C" w:rsidRPr="00646452" w:rsidRDefault="00EF620C" w:rsidP="00B80CEC">
      <w:pPr>
        <w:pStyle w:val="recommandations"/>
      </w:pPr>
      <w:r w:rsidRPr="00646452">
        <w:t xml:space="preserve">Undertake a study on the advisability of criminalising mob justice as a specific criminal offence establishing collective liability. </w:t>
      </w:r>
    </w:p>
    <w:p w14:paraId="6793C260" w14:textId="77777777" w:rsidR="00EF620C" w:rsidRPr="00B80CEC" w:rsidRDefault="00EF620C" w:rsidP="00B80CEC">
      <w:pPr>
        <w:pStyle w:val="recommandations"/>
      </w:pPr>
      <w:r w:rsidRPr="00646452">
        <w:t xml:space="preserve">Undertake systematic inquires and prosecute the perpetrators of extrajudicial executions and mob justice and inflict a sentence proportional to the gravity of the act. </w:t>
      </w:r>
    </w:p>
    <w:p w14:paraId="2A94D609" w14:textId="77777777" w:rsidR="00EF620C" w:rsidRDefault="00EF620C" w:rsidP="00EF620C">
      <w:pPr>
        <w:spacing w:after="120" w:line="245" w:lineRule="auto"/>
        <w:jc w:val="both"/>
        <w:rPr>
          <w:rFonts w:ascii="Times New Roman" w:eastAsia="Times New Roman" w:hAnsi="Times New Roman" w:cs="Times New Roman"/>
          <w:b/>
          <w:color w:val="000000"/>
          <w:sz w:val="24"/>
          <w:szCs w:val="24"/>
          <w:u w:val="single" w:color="000000"/>
          <w:lang w:val="en-GB" w:eastAsia="fr-FR"/>
        </w:rPr>
      </w:pPr>
    </w:p>
    <w:p w14:paraId="2AE3E619" w14:textId="77777777" w:rsidR="00236B62" w:rsidRPr="001F1AEF" w:rsidRDefault="00236B62" w:rsidP="00EF620C">
      <w:pPr>
        <w:pBdr>
          <w:top w:val="single" w:sz="4" w:space="1" w:color="auto"/>
          <w:left w:val="single" w:sz="4" w:space="4" w:color="auto"/>
          <w:bottom w:val="single" w:sz="4" w:space="1" w:color="auto"/>
          <w:right w:val="single" w:sz="4" w:space="4" w:color="auto"/>
        </w:pBdr>
        <w:spacing w:after="120" w:line="245" w:lineRule="auto"/>
        <w:jc w:val="both"/>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b/>
          <w:color w:val="000000"/>
          <w:sz w:val="24"/>
          <w:szCs w:val="24"/>
          <w:u w:val="single" w:color="000000"/>
          <w:lang w:val="en-GB" w:eastAsia="fr-FR"/>
        </w:rPr>
        <w:t xml:space="preserve">Issue </w:t>
      </w:r>
      <w:proofErr w:type="gramStart"/>
      <w:r w:rsidRPr="001F1AEF">
        <w:rPr>
          <w:rFonts w:ascii="Times New Roman" w:eastAsia="Times New Roman" w:hAnsi="Times New Roman" w:cs="Times New Roman"/>
          <w:b/>
          <w:color w:val="000000"/>
          <w:sz w:val="24"/>
          <w:szCs w:val="24"/>
          <w:u w:val="single" w:color="000000"/>
          <w:lang w:val="en-GB" w:eastAsia="fr-FR"/>
        </w:rPr>
        <w:t>8</w:t>
      </w:r>
      <w:r w:rsidRPr="001F1AEF">
        <w:rPr>
          <w:rFonts w:ascii="Times New Roman" w:eastAsia="Times New Roman" w:hAnsi="Times New Roman" w:cs="Times New Roman"/>
          <w:color w:val="000000"/>
          <w:sz w:val="24"/>
          <w:szCs w:val="24"/>
          <w:lang w:val="en-GB" w:eastAsia="fr-FR"/>
        </w:rPr>
        <w:t xml:space="preserve"> :</w:t>
      </w:r>
      <w:proofErr w:type="gramEnd"/>
      <w:r w:rsidRPr="001F1AEF">
        <w:rPr>
          <w:rFonts w:ascii="Times New Roman" w:eastAsia="Times New Roman" w:hAnsi="Times New Roman" w:cs="Times New Roman"/>
          <w:color w:val="000000"/>
          <w:sz w:val="24"/>
          <w:szCs w:val="24"/>
          <w:lang w:val="en-GB" w:eastAsia="fr-FR"/>
        </w:rPr>
        <w:t xml:space="preserve"> Please provide updated information on the measures taken to give effect to the proposal to make abortion a minor offence, as mentioned in the State party’s fourth periodic report (CCPR/C/MDG/4, para. 142). In the light of the Committee’s previous concluding observations (para. 14), please provide information on how access to voluntary termination of pregnancy is ensured and provide clarification about the exceptions to the prohibition on abortion provided for by law. Please provide statistics on the number of cases in which legal abortions have been carried out and on cases in which they have been refused, as well as the grounds for those refusals. Please also provide statistical data on maternal mortality in the past four years. Please describe the steps taken to improve access to sexual and reproductive health services, to ensure that women are properly informed about and have access to contraceptives, to prevent unwanted pregnancy, to promote sexual and reproductive health education for adolescents and to reduce the maternal mortality rate.</w:t>
      </w:r>
    </w:p>
    <w:p w14:paraId="03FF03DC" w14:textId="77777777" w:rsidR="00236B62" w:rsidRPr="001F1AEF" w:rsidRDefault="00236B62" w:rsidP="00236B62">
      <w:pPr>
        <w:spacing w:after="120" w:line="252" w:lineRule="auto"/>
        <w:jc w:val="both"/>
        <w:rPr>
          <w:rFonts w:ascii="Times New Roman" w:eastAsia="Times New Roman" w:hAnsi="Times New Roman" w:cs="Times New Roman"/>
          <w:b/>
          <w:color w:val="000000"/>
          <w:sz w:val="24"/>
          <w:szCs w:val="24"/>
          <w:lang w:val="en-GB" w:eastAsia="fr-FR"/>
        </w:rPr>
      </w:pPr>
      <w:r w:rsidRPr="001F1AEF">
        <w:rPr>
          <w:rFonts w:ascii="Times New Roman" w:eastAsia="Times New Roman" w:hAnsi="Times New Roman" w:cs="Times New Roman"/>
          <w:b/>
          <w:color w:val="000000"/>
          <w:sz w:val="24"/>
          <w:szCs w:val="24"/>
          <w:lang w:val="en-GB" w:eastAsia="fr-FR"/>
        </w:rPr>
        <w:t xml:space="preserve">Replies / Comments from civil society </w:t>
      </w:r>
    </w:p>
    <w:p w14:paraId="6943B9EE" w14:textId="77777777" w:rsidR="00236B62" w:rsidRPr="001F1AEF" w:rsidRDefault="00236B62" w:rsidP="00236B62">
      <w:pPr>
        <w:pStyle w:val="Paragraphedeliste"/>
      </w:pPr>
      <w:r w:rsidRPr="001F1AEF">
        <w:t>The Malagasy Penal Code prohibits induced abortion in accordance with the provisions of article 317 and sanctions it with prison sentences. For doctors and midwives, the sanction is suspension for at least five years or the absolute incapacity of the exercise of their profession. No exceptions are permitted. The Code of Medical Ethics provides for the right to therapeutic abortion to a woman whose life is in danger, but this is not reflected on the Penal Code.</w:t>
      </w:r>
    </w:p>
    <w:p w14:paraId="6640C357" w14:textId="77777777" w:rsidR="00236B62" w:rsidRPr="001F1AEF" w:rsidRDefault="00236B62" w:rsidP="00236B62">
      <w:pPr>
        <w:pStyle w:val="Paragraphedeliste"/>
      </w:pPr>
      <w:r w:rsidRPr="001F1AEF">
        <w:t>The strong resistance of the Catholic Church, supported by the former President of the Republic of Ravalomanana towards the end of 2007, has constituted and still constitutes a brake on the progress of the decriminalization of abortion. At present, no measures have been taken by the State to decriminalize abortion.</w:t>
      </w:r>
    </w:p>
    <w:p w14:paraId="5D92BF50" w14:textId="77777777" w:rsidR="00236B62" w:rsidRPr="001F1AEF" w:rsidRDefault="00236B62" w:rsidP="00236B62">
      <w:pPr>
        <w:pStyle w:val="Paragraphedeliste"/>
      </w:pPr>
      <w:r w:rsidRPr="001F1AEF">
        <w:t xml:space="preserve">In practice, although abortion is illegal, many women resource to it. The Ministry of Health reports an annual estimate of 75,000 abortions performed on the main island, but no </w:t>
      </w:r>
      <w:r w:rsidRPr="001F1AEF">
        <w:lastRenderedPageBreak/>
        <w:t>official statistics exist. (Source: Reproductive Health and Abortion in Antananarivo: Results of an original research by Mrs. Bénédicte Gastineau and Mrs. Stellina Rajaonarisoa).</w:t>
      </w:r>
    </w:p>
    <w:p w14:paraId="61C250AE" w14:textId="77777777" w:rsidR="00236B62" w:rsidRPr="001F1AEF" w:rsidRDefault="00236B62" w:rsidP="00236B62">
      <w:pPr>
        <w:pStyle w:val="Paragraphedeliste"/>
      </w:pPr>
      <w:r w:rsidRPr="001F1AEF">
        <w:t>The fact that abortion is illegal limits the ability of medical personnel to effectively advise women and carry safe abortions. There is no post-abortion service.</w:t>
      </w:r>
    </w:p>
    <w:p w14:paraId="769DFD46" w14:textId="77777777" w:rsidR="00236B62" w:rsidRPr="001F1AEF" w:rsidRDefault="00236B62" w:rsidP="00236B62">
      <w:pPr>
        <w:pStyle w:val="Paragraphedeliste"/>
      </w:pPr>
      <w:r w:rsidRPr="001F1AEF">
        <w:t>In Antananarivo, all categories of women appear to be concerned with abortion, but particularly the youngest, single and in school.</w:t>
      </w:r>
    </w:p>
    <w:p w14:paraId="260A4D02" w14:textId="77777777" w:rsidR="00236B62" w:rsidRPr="001F1AEF" w:rsidRDefault="00236B62" w:rsidP="00236B62">
      <w:pPr>
        <w:pStyle w:val="Paragraphedeliste"/>
      </w:pPr>
      <w:r w:rsidRPr="001F1AEF">
        <w:t>The results of the national monitoring survey of the Millennium Development Goals in 2012/2013 report 10 deaths per day related to pregnancy and childbirth, three of which are adolescent girls aged 15-19 years. The majority occurs in southern Madagascar, part of the island where traditional practices and the intervention of matrons are still important.</w:t>
      </w:r>
    </w:p>
    <w:p w14:paraId="743912D3" w14:textId="77777777" w:rsidR="00236B62" w:rsidRPr="001F1AEF" w:rsidRDefault="00236B62" w:rsidP="00236B62">
      <w:pPr>
        <w:pStyle w:val="Paragraphedeliste"/>
      </w:pPr>
      <w:r w:rsidRPr="001F1AEF">
        <w:t>The maternal mortality ratio remains broadly stagnant and even shows a slight increase of 2 per cent between 1997 and 2008, ie 488 to 498 deaths per 100,000 live births, respectively. The country was thus unable to meet the target of reducing maternal mortality by 2015 to 165 deaths per 100,000 live births. As part of the measures taken by the State to improve women's access to sexual and reproductive health services, the First Lady is committed to supporting women victims of obstetric fistula, of which early marriages and pregnancies are among the causes. She took part during the official launch of the campaign in Sambava in August 2015. Also in 2015, three campaigns for the management and capacity building of 15 surgical teams enabled the care of 800 women victims of obstetric fistula.</w:t>
      </w:r>
    </w:p>
    <w:p w14:paraId="4C942555" w14:textId="77777777" w:rsidR="00236B62" w:rsidRPr="001F1AEF" w:rsidRDefault="00236B62" w:rsidP="00236B62">
      <w:pPr>
        <w:pStyle w:val="Paragraphedeliste"/>
      </w:pPr>
      <w:r w:rsidRPr="001F1AEF">
        <w:t xml:space="preserve">The </w:t>
      </w:r>
      <w:proofErr w:type="gramStart"/>
      <w:r w:rsidRPr="001F1AEF">
        <w:t>national campaign for family planning was also officially launched on 22 September 2015 during the celebration of the International Day for Contraception at the City Hall of Antananarivo by the First Lady and the Minister of Public Health, in partnership with UNFPA, USAID and other UN agencies</w:t>
      </w:r>
      <w:proofErr w:type="gramEnd"/>
      <w:r w:rsidRPr="001F1AEF">
        <w:t>.</w:t>
      </w:r>
    </w:p>
    <w:p w14:paraId="6A69114E" w14:textId="77777777" w:rsidR="00236B62" w:rsidRPr="001F1AEF" w:rsidRDefault="00236B62" w:rsidP="00236B62">
      <w:pPr>
        <w:pStyle w:val="Paragraphedeliste"/>
      </w:pPr>
      <w:r w:rsidRPr="001F1AEF">
        <w:t>This campaign is in line with the 2012-Flash mob strategy during the UNFPA family planning campaign 2020, entitled "Choice not chance" to ensure universal access to sexual and reproductive health rights based on voluntary family planning. It also aligns with FP2020, a global partnership to enable 120 million women and girls to use contraceptives by 2020 (FP London 2012).</w:t>
      </w:r>
    </w:p>
    <w:p w14:paraId="5BC9DEF6" w14:textId="77777777" w:rsidR="00236B62" w:rsidRPr="001F1AEF" w:rsidRDefault="00236B62" w:rsidP="00236B62">
      <w:pPr>
        <w:pStyle w:val="Paragraphedeliste"/>
      </w:pPr>
      <w:r w:rsidRPr="001F1AEF">
        <w:t>The Government of Madagascar has therefore undertaken to increase the contraceptive prevalence rate from 33.3 per cent to 50 per cent and to reduce the rate of unmet need for contraception from 17.8 per cent to 9 per cent by 2020.</w:t>
      </w:r>
    </w:p>
    <w:p w14:paraId="6A7B6658" w14:textId="77777777" w:rsidR="00236B62" w:rsidRPr="001F1AEF" w:rsidRDefault="00236B62" w:rsidP="00236B62">
      <w:pPr>
        <w:pStyle w:val="Paragraphedeliste"/>
      </w:pPr>
      <w:r w:rsidRPr="001F1AEF">
        <w:t>Training and capacity-building workshops on human rights, including education on sexual and reproductive health were conducted by UNFPA in collaboration with the Ministry of Health and the Ministry of Population. They were addressed to some 60 traditional and community leaders from the regions of Atsimo Andrefana, Androy and Vatovavy Fitovinany in April 2014 and to 150 traditional and community leaders from the province of Majunga in September 2015.</w:t>
      </w:r>
    </w:p>
    <w:p w14:paraId="1B123C27" w14:textId="77777777" w:rsidR="00236B62" w:rsidRPr="001F1AEF" w:rsidRDefault="00236B62" w:rsidP="00236B62">
      <w:pPr>
        <w:pStyle w:val="Paragraphedeliste"/>
      </w:pPr>
      <w:r w:rsidRPr="001F1AEF">
        <w:t>Many NGOs and associations such as SOS Children's Villages Madagascar in partnership with the Orange Solidarity Association and supported by the European Union.have opened maternity and child protection centers in many remote areas that offer family planning awareness and health monitoring services for pregnant women and mothers.</w:t>
      </w:r>
    </w:p>
    <w:p w14:paraId="259A5326" w14:textId="77777777" w:rsidR="00236B62" w:rsidRPr="001F1AEF" w:rsidRDefault="00236B62" w:rsidP="00236B62">
      <w:pPr>
        <w:spacing w:after="120" w:line="252" w:lineRule="auto"/>
        <w:jc w:val="both"/>
        <w:rPr>
          <w:rFonts w:ascii="Times New Roman" w:eastAsia="Times New Roman" w:hAnsi="Times New Roman" w:cs="Times New Roman"/>
          <w:color w:val="000000"/>
          <w:sz w:val="24"/>
          <w:szCs w:val="24"/>
          <w:lang w:val="en-GB" w:eastAsia="fr-FR"/>
        </w:rPr>
      </w:pPr>
    </w:p>
    <w:p w14:paraId="2C74AE60" w14:textId="77777777" w:rsidR="00236B62" w:rsidRPr="001F1AEF" w:rsidRDefault="00236B62" w:rsidP="00236B62">
      <w:pPr>
        <w:spacing w:after="120" w:line="252" w:lineRule="auto"/>
        <w:jc w:val="both"/>
        <w:rPr>
          <w:rFonts w:ascii="Times New Roman" w:eastAsia="Times New Roman" w:hAnsi="Times New Roman" w:cs="Times New Roman"/>
          <w:b/>
          <w:color w:val="000000"/>
          <w:sz w:val="24"/>
          <w:szCs w:val="24"/>
          <w:lang w:val="en-GB" w:eastAsia="fr-FR"/>
        </w:rPr>
      </w:pPr>
      <w:r w:rsidRPr="001F1AEF">
        <w:rPr>
          <w:rFonts w:ascii="Times New Roman" w:eastAsia="Times New Roman" w:hAnsi="Times New Roman" w:cs="Times New Roman"/>
          <w:b/>
          <w:color w:val="000000"/>
          <w:sz w:val="24"/>
          <w:szCs w:val="24"/>
          <w:lang w:val="en-GB" w:eastAsia="fr-FR"/>
        </w:rPr>
        <w:t>Recommendations:</w:t>
      </w:r>
    </w:p>
    <w:p w14:paraId="13525CFD" w14:textId="77777777" w:rsidR="00236B62" w:rsidRPr="001F1AEF" w:rsidRDefault="00236B62" w:rsidP="00236B62">
      <w:pPr>
        <w:spacing w:after="120" w:line="252" w:lineRule="auto"/>
        <w:jc w:val="both"/>
        <w:rPr>
          <w:rFonts w:ascii="Times New Roman" w:eastAsia="Times New Roman" w:hAnsi="Times New Roman" w:cs="Times New Roman"/>
          <w:b/>
          <w:color w:val="000000"/>
          <w:sz w:val="24"/>
          <w:szCs w:val="24"/>
          <w:lang w:val="en-GB" w:eastAsia="fr-FR"/>
        </w:rPr>
      </w:pPr>
      <w:r w:rsidRPr="001F1AEF">
        <w:rPr>
          <w:rFonts w:ascii="Times New Roman" w:eastAsia="Times New Roman" w:hAnsi="Times New Roman" w:cs="Times New Roman"/>
          <w:b/>
          <w:color w:val="000000"/>
          <w:sz w:val="24"/>
          <w:szCs w:val="24"/>
          <w:lang w:val="en-GB" w:eastAsia="fr-FR"/>
        </w:rPr>
        <w:lastRenderedPageBreak/>
        <w:t>The State Party sh</w:t>
      </w:r>
      <w:r w:rsidR="00495272">
        <w:rPr>
          <w:rFonts w:ascii="Times New Roman" w:eastAsia="Times New Roman" w:hAnsi="Times New Roman" w:cs="Times New Roman"/>
          <w:b/>
          <w:color w:val="000000"/>
          <w:sz w:val="24"/>
          <w:szCs w:val="24"/>
          <w:lang w:val="en-GB" w:eastAsia="fr-FR"/>
        </w:rPr>
        <w:t>ou</w:t>
      </w:r>
      <w:r w:rsidRPr="001F1AEF">
        <w:rPr>
          <w:rFonts w:ascii="Times New Roman" w:eastAsia="Times New Roman" w:hAnsi="Times New Roman" w:cs="Times New Roman"/>
          <w:b/>
          <w:color w:val="000000"/>
          <w:sz w:val="24"/>
          <w:szCs w:val="24"/>
          <w:lang w:val="en-GB" w:eastAsia="fr-FR"/>
        </w:rPr>
        <w:t>l</w:t>
      </w:r>
      <w:r w:rsidR="00495272">
        <w:rPr>
          <w:rFonts w:ascii="Times New Roman" w:eastAsia="Times New Roman" w:hAnsi="Times New Roman" w:cs="Times New Roman"/>
          <w:b/>
          <w:color w:val="000000"/>
          <w:sz w:val="24"/>
          <w:szCs w:val="24"/>
          <w:lang w:val="en-GB" w:eastAsia="fr-FR"/>
        </w:rPr>
        <w:t>d</w:t>
      </w:r>
      <w:r w:rsidRPr="001F1AEF">
        <w:rPr>
          <w:rFonts w:ascii="Times New Roman" w:eastAsia="Times New Roman" w:hAnsi="Times New Roman" w:cs="Times New Roman"/>
          <w:b/>
          <w:color w:val="000000"/>
          <w:sz w:val="24"/>
          <w:szCs w:val="24"/>
          <w:lang w:val="en-GB" w:eastAsia="fr-FR"/>
        </w:rPr>
        <w:t>:</w:t>
      </w:r>
    </w:p>
    <w:p w14:paraId="59C60DA8" w14:textId="77777777" w:rsidR="00236B62" w:rsidRPr="001F1AEF" w:rsidRDefault="00236B62" w:rsidP="00236B62">
      <w:pPr>
        <w:pStyle w:val="recommandations"/>
      </w:pPr>
      <w:r w:rsidRPr="001F1AEF">
        <w:t>Revise Ordinance No. 60-161 of 3 October 1960 on article 317 of the Penal Code, which prescribes criminalization of abortion without exceptions.</w:t>
      </w:r>
    </w:p>
    <w:p w14:paraId="1E06C544" w14:textId="77777777" w:rsidR="00236B62" w:rsidRPr="001F1AEF" w:rsidRDefault="00236B62" w:rsidP="00236B62">
      <w:pPr>
        <w:pStyle w:val="recommandations"/>
      </w:pPr>
      <w:r w:rsidRPr="001F1AEF">
        <w:t>Take up the youth education program on sexual health and reproductive rights in all high schools, universities or in all places where there are young people.</w:t>
      </w:r>
    </w:p>
    <w:p w14:paraId="04CA9660" w14:textId="77777777" w:rsidR="00236B62" w:rsidRPr="001F1AEF" w:rsidRDefault="00236B62" w:rsidP="00236B62">
      <w:pPr>
        <w:pStyle w:val="recommandations"/>
      </w:pPr>
      <w:r w:rsidRPr="001F1AEF">
        <w:t xml:space="preserve">Consider health facilities for traditional midwives. </w:t>
      </w:r>
    </w:p>
    <w:p w14:paraId="6AF79E17" w14:textId="77777777" w:rsidR="00236B62" w:rsidRPr="001F1AEF" w:rsidRDefault="00236B62" w:rsidP="00236B62">
      <w:pPr>
        <w:spacing w:after="120"/>
        <w:rPr>
          <w:rFonts w:ascii="Times New Roman" w:eastAsia="Times New Roman" w:hAnsi="Times New Roman" w:cs="Times New Roman"/>
          <w:color w:val="000000"/>
          <w:sz w:val="24"/>
          <w:szCs w:val="24"/>
          <w:lang w:val="en-GB" w:eastAsia="fr-FR"/>
        </w:rPr>
      </w:pPr>
    </w:p>
    <w:p w14:paraId="3878C18E" w14:textId="77777777" w:rsidR="00236B62" w:rsidRPr="001F1AEF" w:rsidRDefault="00236B62" w:rsidP="000E1274">
      <w:pPr>
        <w:pStyle w:val="titre1TM"/>
      </w:pPr>
      <w:r w:rsidRPr="001F1AEF">
        <w:t xml:space="preserve">Harmful traditional practices and violence against women (arts. 3, 7 and 24) </w:t>
      </w:r>
    </w:p>
    <w:p w14:paraId="0BA63F54" w14:textId="77777777" w:rsidR="00236B62" w:rsidRPr="001F1AEF" w:rsidRDefault="00236B62" w:rsidP="00236B62">
      <w:pPr>
        <w:pBdr>
          <w:top w:val="single" w:sz="4" w:space="1" w:color="auto"/>
          <w:left w:val="single" w:sz="4" w:space="4" w:color="auto"/>
          <w:bottom w:val="single" w:sz="4" w:space="1" w:color="auto"/>
          <w:right w:val="single" w:sz="4" w:space="4" w:color="auto"/>
        </w:pBdr>
        <w:spacing w:after="120" w:line="243" w:lineRule="auto"/>
        <w:jc w:val="both"/>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b/>
          <w:color w:val="000000"/>
          <w:sz w:val="24"/>
          <w:szCs w:val="24"/>
          <w:u w:val="single" w:color="000000"/>
          <w:lang w:val="en-GB" w:eastAsia="fr-FR"/>
        </w:rPr>
        <w:t>Issue 9</w:t>
      </w:r>
      <w:r w:rsidRPr="001F1AEF">
        <w:rPr>
          <w:rFonts w:ascii="Times New Roman" w:eastAsia="Times New Roman" w:hAnsi="Times New Roman" w:cs="Times New Roman"/>
          <w:color w:val="000000"/>
          <w:sz w:val="24"/>
          <w:szCs w:val="24"/>
          <w:lang w:val="en-GB" w:eastAsia="fr-FR"/>
        </w:rPr>
        <w:t>: Please describe the measures taken to eliminate harmful traditional practices such as forced and early marriage, girl markets (</w:t>
      </w:r>
      <w:r w:rsidRPr="001F1AEF">
        <w:rPr>
          <w:rFonts w:ascii="Times New Roman" w:eastAsia="Times New Roman" w:hAnsi="Times New Roman" w:cs="Times New Roman"/>
          <w:i/>
          <w:iCs/>
          <w:color w:val="000000"/>
          <w:sz w:val="24"/>
          <w:szCs w:val="24"/>
          <w:lang w:val="en-GB" w:eastAsia="fr-FR"/>
        </w:rPr>
        <w:t>tsenan’</w:t>
      </w:r>
      <w:r w:rsidRPr="001F1AEF">
        <w:rPr>
          <w:rFonts w:ascii="Times New Roman" w:eastAsia="Times New Roman" w:hAnsi="Times New Roman" w:cs="Times New Roman"/>
          <w:color w:val="000000"/>
          <w:sz w:val="24"/>
          <w:szCs w:val="24"/>
          <w:lang w:val="en-GB" w:eastAsia="fr-FR"/>
        </w:rPr>
        <w:t xml:space="preserve"> </w:t>
      </w:r>
      <w:r w:rsidRPr="001F1AEF">
        <w:rPr>
          <w:rFonts w:ascii="Times New Roman" w:eastAsia="Times New Roman" w:hAnsi="Times New Roman" w:cs="Times New Roman"/>
          <w:i/>
          <w:iCs/>
          <w:color w:val="000000"/>
          <w:sz w:val="24"/>
          <w:szCs w:val="24"/>
          <w:lang w:val="en-GB" w:eastAsia="fr-FR"/>
        </w:rPr>
        <w:t>ampela</w:t>
      </w:r>
      <w:r w:rsidRPr="001F1AEF">
        <w:rPr>
          <w:rFonts w:ascii="Times New Roman" w:eastAsia="Times New Roman" w:hAnsi="Times New Roman" w:cs="Times New Roman"/>
          <w:color w:val="000000"/>
          <w:sz w:val="24"/>
          <w:szCs w:val="24"/>
          <w:lang w:val="en-GB" w:eastAsia="fr-FR"/>
        </w:rPr>
        <w:t xml:space="preserve">), </w:t>
      </w:r>
      <w:r w:rsidRPr="001F1AEF">
        <w:rPr>
          <w:rFonts w:ascii="Times New Roman" w:eastAsia="Times New Roman" w:hAnsi="Times New Roman" w:cs="Times New Roman"/>
          <w:i/>
          <w:iCs/>
          <w:color w:val="000000"/>
          <w:sz w:val="24"/>
          <w:szCs w:val="24"/>
          <w:lang w:val="en-GB" w:eastAsia="fr-FR"/>
        </w:rPr>
        <w:t>moletry</w:t>
      </w:r>
      <w:r w:rsidRPr="001F1AEF">
        <w:rPr>
          <w:rFonts w:ascii="Times New Roman" w:eastAsia="Times New Roman" w:hAnsi="Times New Roman" w:cs="Times New Roman"/>
          <w:color w:val="000000"/>
          <w:sz w:val="24"/>
          <w:szCs w:val="24"/>
          <w:lang w:val="en-GB" w:eastAsia="fr-FR"/>
        </w:rPr>
        <w:t xml:space="preserve"> (arranged early marriage in exchange for a dowry), polygamy and practices relating to the perpetuation of “the father’s name and estate” through male heirs. Please explain the steps taken to enforce the requirement to register all marriages so as to monitor their legality. In the light of the previous concluding observations (para. 17), please provide information on the steps taken to combat the popular belief that still persists, especially in the Mananjary region, that having twins brings bad luck and to protect twins from </w:t>
      </w:r>
      <w:proofErr w:type="gramStart"/>
      <w:r w:rsidRPr="001F1AEF">
        <w:rPr>
          <w:rFonts w:ascii="Times New Roman" w:eastAsia="Times New Roman" w:hAnsi="Times New Roman" w:cs="Times New Roman"/>
          <w:color w:val="000000"/>
          <w:sz w:val="24"/>
          <w:szCs w:val="24"/>
          <w:lang w:val="en-GB" w:eastAsia="fr-FR"/>
        </w:rPr>
        <w:t>ill-treatment</w:t>
      </w:r>
      <w:proofErr w:type="gramEnd"/>
      <w:r w:rsidRPr="001F1AEF">
        <w:rPr>
          <w:rFonts w:ascii="Times New Roman" w:eastAsia="Times New Roman" w:hAnsi="Times New Roman" w:cs="Times New Roman"/>
          <w:color w:val="000000"/>
          <w:sz w:val="24"/>
          <w:szCs w:val="24"/>
          <w:lang w:val="en-GB" w:eastAsia="fr-FR"/>
        </w:rPr>
        <w:t xml:space="preserve"> and discrimination.</w:t>
      </w:r>
    </w:p>
    <w:p w14:paraId="03D82BB9" w14:textId="77777777" w:rsidR="00236B62" w:rsidRPr="001F1AEF" w:rsidRDefault="00236B62" w:rsidP="00236B62">
      <w:pPr>
        <w:spacing w:after="120" w:line="252" w:lineRule="auto"/>
        <w:jc w:val="both"/>
        <w:rPr>
          <w:rFonts w:ascii="Times New Roman" w:eastAsia="Times New Roman" w:hAnsi="Times New Roman" w:cs="Times New Roman"/>
          <w:b/>
          <w:color w:val="000000"/>
          <w:sz w:val="24"/>
          <w:szCs w:val="24"/>
          <w:lang w:val="en-GB" w:eastAsia="fr-FR"/>
        </w:rPr>
      </w:pPr>
      <w:r w:rsidRPr="001F1AEF">
        <w:rPr>
          <w:rFonts w:ascii="Times New Roman" w:eastAsia="Times New Roman" w:hAnsi="Times New Roman" w:cs="Times New Roman"/>
          <w:b/>
          <w:color w:val="000000"/>
          <w:sz w:val="24"/>
          <w:szCs w:val="24"/>
          <w:lang w:val="en-GB" w:eastAsia="fr-FR"/>
        </w:rPr>
        <w:t xml:space="preserve">Replies / Comments from civil society </w:t>
      </w:r>
    </w:p>
    <w:p w14:paraId="17120026" w14:textId="77777777" w:rsidR="00236B62" w:rsidRPr="001F1AEF" w:rsidRDefault="00236B62" w:rsidP="00236B62">
      <w:pPr>
        <w:pStyle w:val="Paragraphedeliste"/>
      </w:pPr>
      <w:r w:rsidRPr="001F1AEF">
        <w:t>Ten years after the presentation of the third periodic report of the Malagasy State, the preponderance of customary law, particularly early marriages and "moletry", remains a concern, particularly in certain regions.</w:t>
      </w:r>
    </w:p>
    <w:p w14:paraId="289C5E2A" w14:textId="77777777" w:rsidR="00236B62" w:rsidRPr="001F1AEF" w:rsidRDefault="00236B62" w:rsidP="00236B62">
      <w:pPr>
        <w:pStyle w:val="Paragraphedeliste"/>
      </w:pPr>
      <w:r w:rsidRPr="001F1AEF">
        <w:t xml:space="preserve">Among the causes of forced marriage and early marriage, it is argued in some communities that marriage is considered to be a social act that is family-related. Other </w:t>
      </w:r>
      <w:proofErr w:type="gramStart"/>
      <w:r w:rsidRPr="001F1AEF">
        <w:t>parents</w:t>
      </w:r>
      <w:proofErr w:type="gramEnd"/>
      <w:r w:rsidRPr="001F1AEF">
        <w:t xml:space="preserve"> resort to arranged or forced marriage to "house" their daughters with the feeling of having to protect them and act for their good by marrying them. For some families facing poverty, "moletry", the marriage of a girl with a better-off man, is a means of, on the one hand, making her live at a level of economic life more interesting than that they can offer her and, on the other hand, to make a patrimony of zebus for a dowry. In addition, there are other factors such as the access of adolescent girls to inappropriate sites through the New Information and Communication Technologies (NICT) and the lack of knowledge of marriage legislation.</w:t>
      </w:r>
    </w:p>
    <w:p w14:paraId="11D5391E" w14:textId="77777777" w:rsidR="00236B62" w:rsidRPr="001F1AEF" w:rsidRDefault="00236B62" w:rsidP="00236B62">
      <w:pPr>
        <w:pStyle w:val="Paragraphedeliste"/>
      </w:pPr>
      <w:r w:rsidRPr="001F1AEF">
        <w:t>State policy to eradicate all such practices of early marriage, forced marriage or "moletry" must take these causes into account.</w:t>
      </w:r>
    </w:p>
    <w:p w14:paraId="3BFCEECB" w14:textId="77777777" w:rsidR="00236B62" w:rsidRPr="001F1AEF" w:rsidRDefault="00236B62" w:rsidP="00236B62">
      <w:pPr>
        <w:pStyle w:val="Paragraphedeliste"/>
      </w:pPr>
      <w:r w:rsidRPr="001F1AEF">
        <w:t>Young girls and women concerned and victims are deprived of their right to choose their spouses freely and to contract marriage. These practices constitute barriers to the effective implementation of the rights of children and women in Madagascar and pose public health problems by the increased number of maternal deaths during childbirth.</w:t>
      </w:r>
    </w:p>
    <w:p w14:paraId="7161B2BE" w14:textId="77777777" w:rsidR="00236B62" w:rsidRPr="001F1AEF" w:rsidRDefault="00236B62" w:rsidP="00236B62">
      <w:pPr>
        <w:pStyle w:val="Paragraphedeliste"/>
      </w:pPr>
      <w:r w:rsidRPr="001F1AEF">
        <w:t>Following the MDG National Monitoring Survey conducted in 2013, which found that one out of every three women is a victim of Gender-based Violence, the Ministry of Population in charge of the advancement of women launched in June 2015 a campaign to combat early marriage with the support of UNFPA and UNICEF.</w:t>
      </w:r>
    </w:p>
    <w:p w14:paraId="4C130A6D" w14:textId="77777777" w:rsidR="00236B62" w:rsidRPr="001F1AEF" w:rsidRDefault="00236B62" w:rsidP="00236B62">
      <w:pPr>
        <w:pStyle w:val="Paragraphedeliste"/>
      </w:pPr>
      <w:r w:rsidRPr="001F1AEF">
        <w:t xml:space="preserve">Admittedly, several Listening and Legal Counseling Centers in Madagascar have been opened or strengthened in partnership with UNFPA, which provide psychosocial care and legal advice to girls, women and victims of Violence Based on Gender and their families. </w:t>
      </w:r>
      <w:r w:rsidRPr="001F1AEF">
        <w:lastRenderedPageBreak/>
        <w:t>Similarly, legal clinics supported by the Ministry of Justice and UNDP, including the Aro Zo Center of the Andohatapenaka Development Center have been established.</w:t>
      </w:r>
    </w:p>
    <w:p w14:paraId="1183C48D" w14:textId="77777777" w:rsidR="00236B62" w:rsidRPr="001F1AEF" w:rsidRDefault="00236B62" w:rsidP="00236B62">
      <w:pPr>
        <w:pStyle w:val="Paragraphedeliste"/>
      </w:pPr>
      <w:r w:rsidRPr="001F1AEF">
        <w:t>However, the number of shelters for victims of gender-based violence (18) is insufficient for a population of 22 million, half of whom are women, where early marriage affects more than 50 per cent of young girls and 10 women die every day from lack of access to adequate reproductive health services.</w:t>
      </w:r>
    </w:p>
    <w:p w14:paraId="07181D9B" w14:textId="77777777" w:rsidR="00236B62" w:rsidRPr="001F1AEF" w:rsidRDefault="00236B62" w:rsidP="00236B62">
      <w:pPr>
        <w:pStyle w:val="Paragraphedeliste"/>
      </w:pPr>
      <w:r w:rsidRPr="001F1AEF">
        <w:t xml:space="preserve">An ancestral custom known as "Fady kambana", specific to the Mananjary region, requires that mothers of twin children abandon their children at birth, under penalty of being banned, on the pretext that twins bear misfortune. These are thus promised to death or abandonment if they are not taken care of by child welfare organizations or Christian communities. </w:t>
      </w:r>
    </w:p>
    <w:p w14:paraId="4334889E" w14:textId="77777777" w:rsidR="00236B62" w:rsidRPr="001F1AEF" w:rsidRDefault="00236B62" w:rsidP="00236B62">
      <w:pPr>
        <w:pStyle w:val="Paragraphedeliste"/>
      </w:pPr>
      <w:r w:rsidRPr="001F1AEF">
        <w:t xml:space="preserve">The great innovation introduced by Law 2007-023 of 20 August 2007 on the rights and protection of children is the obligation to report any case of child abuse or </w:t>
      </w:r>
      <w:proofErr w:type="gramStart"/>
      <w:r w:rsidRPr="001F1AEF">
        <w:t>ill-treatment</w:t>
      </w:r>
      <w:proofErr w:type="gramEnd"/>
      <w:r w:rsidRPr="001F1AEF">
        <w:t xml:space="preserve"> attempted or consumed by any person who is aware of the abuse.</w:t>
      </w:r>
    </w:p>
    <w:p w14:paraId="5169EFE9" w14:textId="77777777" w:rsidR="00236B62" w:rsidRPr="001F1AEF" w:rsidRDefault="00236B62" w:rsidP="00236B62">
      <w:pPr>
        <w:pStyle w:val="Paragraphedeliste"/>
      </w:pPr>
      <w:r w:rsidRPr="001F1AEF">
        <w:t>Any person without distinction, such as parents, neighbors, friends, teachers, social workers, judicial police, etc., must report any child abuse to the competent administrative or judicial authorities under penalties provided for in the first paragraph of Article 62 of the Criminal Code (art. 69).</w:t>
      </w:r>
    </w:p>
    <w:p w14:paraId="6825A7AA" w14:textId="77777777" w:rsidR="00236B62" w:rsidRPr="001F1AEF" w:rsidRDefault="00236B62" w:rsidP="00236B62">
      <w:pPr>
        <w:pStyle w:val="Paragraphedeliste"/>
      </w:pPr>
      <w:r w:rsidRPr="001F1AEF">
        <w:t>Non-reporting is assimilated by the Penal Code to a crime. Article 62 provides for imprisonment from 1 month to 3 years and a fine of 72,000 ariary to 4,500,000 ariary. If a sign of child maltreatment is discovered, medical personnel are required to make a compulsory medical report. Medical personnel are not bound to this effect by professional secrecy (Article 69 (3)).</w:t>
      </w:r>
    </w:p>
    <w:p w14:paraId="079E25CA" w14:textId="77777777" w:rsidR="00236B62" w:rsidRPr="001F1AEF" w:rsidRDefault="00236B62" w:rsidP="00236B62">
      <w:pPr>
        <w:pStyle w:val="Paragraphedeliste"/>
      </w:pPr>
      <w:r w:rsidRPr="001F1AEF">
        <w:t>To encourage reporting, the procedure has been simplified. The report may be made orally or in writing to the fokontany, the commune, the police, the gendarmerie or the court. An excellent measure is taken to protect the whistleblower by allowing anonymity, and the judge is bound to respect that (section 70).</w:t>
      </w:r>
    </w:p>
    <w:p w14:paraId="591C619E" w14:textId="77777777" w:rsidR="00236B62" w:rsidRPr="001F1AEF" w:rsidRDefault="00236B62" w:rsidP="00236B62">
      <w:pPr>
        <w:pStyle w:val="Paragraphedeliste"/>
      </w:pPr>
      <w:r w:rsidRPr="001F1AEF">
        <w:t>Despite these important reforms by the Malagasy State to bring domestic law into conformity with international standards and instruments, it remains difficult to obtain legal proceedings.</w:t>
      </w:r>
    </w:p>
    <w:p w14:paraId="30D9BCD2" w14:textId="77777777" w:rsidR="00236B62" w:rsidRPr="001F1AEF" w:rsidRDefault="00236B62" w:rsidP="00236B62">
      <w:pPr>
        <w:pStyle w:val="Paragraphedeliste"/>
      </w:pPr>
      <w:r w:rsidRPr="001F1AEF">
        <w:t>According to Professor Ignace Rakoto, co-author of a book on the Mananjary twins, three villages remain resistant to change. Their "Ampanjaka" still refuse to abandon this tradition.</w:t>
      </w:r>
    </w:p>
    <w:p w14:paraId="2C2D96A3" w14:textId="77777777" w:rsidR="00236B62" w:rsidRPr="001F1AEF" w:rsidRDefault="00236B62" w:rsidP="00236B62">
      <w:pPr>
        <w:pStyle w:val="Paragraphedeliste"/>
        <w:numPr>
          <w:ilvl w:val="0"/>
          <w:numId w:val="0"/>
        </w:numPr>
        <w:rPr>
          <w:b/>
        </w:rPr>
      </w:pPr>
      <w:r w:rsidRPr="001F1AEF">
        <w:rPr>
          <w:b/>
        </w:rPr>
        <w:t>Recommendations:</w:t>
      </w:r>
    </w:p>
    <w:p w14:paraId="6BF8B697" w14:textId="77777777" w:rsidR="00236B62" w:rsidRPr="001F1AEF" w:rsidRDefault="00236B62" w:rsidP="00236B62">
      <w:pPr>
        <w:pStyle w:val="Paragraphedeliste"/>
        <w:numPr>
          <w:ilvl w:val="0"/>
          <w:numId w:val="0"/>
        </w:numPr>
        <w:rPr>
          <w:b/>
        </w:rPr>
      </w:pPr>
      <w:r w:rsidRPr="001F1AEF">
        <w:rPr>
          <w:b/>
        </w:rPr>
        <w:t xml:space="preserve">The State Party </w:t>
      </w:r>
      <w:r w:rsidR="00495272">
        <w:rPr>
          <w:b/>
        </w:rPr>
        <w:t>should</w:t>
      </w:r>
      <w:r w:rsidRPr="001F1AEF">
        <w:rPr>
          <w:b/>
        </w:rPr>
        <w:t>:</w:t>
      </w:r>
    </w:p>
    <w:p w14:paraId="3F81B4B8" w14:textId="77777777" w:rsidR="00236B62" w:rsidRPr="001F1AEF" w:rsidRDefault="00236B62" w:rsidP="00236B62">
      <w:pPr>
        <w:pStyle w:val="recommandations"/>
      </w:pPr>
      <w:r w:rsidRPr="001F1AEF">
        <w:t>Develop a comprehensive child policy that would integrate all sectoral policies and strategies.</w:t>
      </w:r>
    </w:p>
    <w:p w14:paraId="6DFEC60A" w14:textId="77777777" w:rsidR="00236B62" w:rsidRPr="001F1AEF" w:rsidRDefault="00236B62" w:rsidP="00236B62">
      <w:pPr>
        <w:pStyle w:val="recommandations"/>
      </w:pPr>
      <w:r w:rsidRPr="001F1AEF">
        <w:t>Prohibit practices that encourage the sale of children and child prostitution through appropriate legislation.</w:t>
      </w:r>
    </w:p>
    <w:p w14:paraId="62006D9C" w14:textId="77777777" w:rsidR="00236B62" w:rsidRPr="001F1AEF" w:rsidRDefault="00236B62" w:rsidP="00236B62">
      <w:pPr>
        <w:pStyle w:val="recommandations"/>
      </w:pPr>
      <w:r w:rsidRPr="001F1AEF">
        <w:t>Define all cases of sale of children without restricting them to cases of human trafficking.</w:t>
      </w:r>
    </w:p>
    <w:p w14:paraId="4579DCCD" w14:textId="77777777" w:rsidR="00236B62" w:rsidRPr="001F1AEF" w:rsidRDefault="00236B62" w:rsidP="00236B62">
      <w:pPr>
        <w:pStyle w:val="recommandations"/>
      </w:pPr>
      <w:r w:rsidRPr="001F1AEF">
        <w:lastRenderedPageBreak/>
        <w:t>Develop educational programs for traditional leaders, parents and children to combat discriminatory customs and traditions concerning women and girls in the family and in society.</w:t>
      </w:r>
    </w:p>
    <w:p w14:paraId="6F188A39" w14:textId="77777777" w:rsidR="00236B62" w:rsidRPr="001F1AEF" w:rsidRDefault="00236B62" w:rsidP="00236B62">
      <w:pPr>
        <w:pStyle w:val="recommandations"/>
      </w:pPr>
      <w:r w:rsidRPr="001F1AEF">
        <w:t>Develop preventive and awareness-raising measures to facilitate the use of justice in the event of violations of the legal age of marriage.</w:t>
      </w:r>
    </w:p>
    <w:p w14:paraId="1B7BA02D" w14:textId="77777777" w:rsidR="00236B62" w:rsidRPr="001F1AEF" w:rsidRDefault="00236B62" w:rsidP="00236B62">
      <w:pPr>
        <w:pStyle w:val="recommandations"/>
      </w:pPr>
      <w:r w:rsidRPr="001F1AEF">
        <w:t>Establish appropriate mechanisms for children to report violations.</w:t>
      </w:r>
    </w:p>
    <w:p w14:paraId="70BC8E60" w14:textId="77777777" w:rsidR="00236B62" w:rsidRPr="001F1AEF" w:rsidRDefault="00236B62" w:rsidP="00236B62">
      <w:pPr>
        <w:pStyle w:val="recommandations"/>
      </w:pPr>
      <w:r w:rsidRPr="001F1AEF">
        <w:t>Provide sufficient financial resources for the adequate functioning of the National Child Protection Committee, the body responsible for monitoring violations of the rights of the child.</w:t>
      </w:r>
    </w:p>
    <w:p w14:paraId="0CAEE347" w14:textId="77777777" w:rsidR="00236B62" w:rsidRPr="001F1AEF" w:rsidRDefault="00236B62" w:rsidP="00236B62">
      <w:pPr>
        <w:pStyle w:val="recommandations"/>
      </w:pPr>
      <w:r w:rsidRPr="001F1AEF">
        <w:t>Strengthen the establishment of legal, psychosocial and legal clinics and legal clinics in all regions with sufficient human, financial and technical resources and quality services to provide assistance to all children and women victims of forced marriage, moletry and other forms of violence to promote their physical and psychological recovery and full reintegration.</w:t>
      </w:r>
    </w:p>
    <w:p w14:paraId="2C51CB93" w14:textId="77777777" w:rsidR="00236B62" w:rsidRPr="001F1AEF" w:rsidRDefault="00236B62" w:rsidP="00236B62">
      <w:pPr>
        <w:pStyle w:val="recommandations"/>
      </w:pPr>
      <w:r w:rsidRPr="001F1AEF">
        <w:t>Systematically identify twins in the Mananjary district.</w:t>
      </w:r>
    </w:p>
    <w:p w14:paraId="58FB8365" w14:textId="77777777" w:rsidR="00236B62" w:rsidRPr="001F1AEF" w:rsidRDefault="00236B62" w:rsidP="00236B62">
      <w:pPr>
        <w:pStyle w:val="recommandations"/>
      </w:pPr>
      <w:r w:rsidRPr="001F1AEF">
        <w:t>Support twins in their education and health, and biological families in the Mananjary District High Resistance Zone.</w:t>
      </w:r>
    </w:p>
    <w:p w14:paraId="43EC8DFC" w14:textId="77777777" w:rsidR="00236B62" w:rsidRPr="001F1AEF" w:rsidRDefault="00236B62" w:rsidP="00236B62">
      <w:pPr>
        <w:pStyle w:val="recommandations"/>
      </w:pPr>
      <w:r w:rsidRPr="001F1AEF">
        <w:t>Strengthen the traditional State-Leader dialogue for the progressive abandonment of discriminatory practices prejudicial to the rights of the child in the Mananjary region.</w:t>
      </w:r>
    </w:p>
    <w:p w14:paraId="650FE3A5" w14:textId="77777777" w:rsidR="00236B62" w:rsidRPr="001F1AEF" w:rsidRDefault="00236B62" w:rsidP="00236B62">
      <w:pPr>
        <w:spacing w:after="120"/>
        <w:rPr>
          <w:rFonts w:ascii="Times New Roman" w:eastAsia="Times New Roman" w:hAnsi="Times New Roman" w:cs="Times New Roman"/>
          <w:color w:val="000000"/>
          <w:sz w:val="24"/>
          <w:szCs w:val="24"/>
          <w:lang w:val="en-GB" w:eastAsia="fr-FR"/>
        </w:rPr>
      </w:pPr>
    </w:p>
    <w:p w14:paraId="2D9D2EBF" w14:textId="77777777" w:rsidR="00236B62" w:rsidRPr="001F1AEF" w:rsidRDefault="00236B62" w:rsidP="00236B62">
      <w:pPr>
        <w:pBdr>
          <w:top w:val="single" w:sz="4" w:space="0" w:color="000000"/>
          <w:left w:val="single" w:sz="4" w:space="0" w:color="000000"/>
          <w:bottom w:val="single" w:sz="4" w:space="0" w:color="000000"/>
          <w:right w:val="single" w:sz="4" w:space="0" w:color="000000"/>
        </w:pBdr>
        <w:spacing w:after="120" w:line="245" w:lineRule="auto"/>
        <w:jc w:val="both"/>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b/>
          <w:color w:val="000000"/>
          <w:sz w:val="24"/>
          <w:szCs w:val="24"/>
          <w:u w:val="single" w:color="000000"/>
          <w:lang w:val="en-GB" w:eastAsia="fr-FR"/>
        </w:rPr>
        <w:t xml:space="preserve">Issue </w:t>
      </w:r>
      <w:proofErr w:type="gramStart"/>
      <w:r w:rsidRPr="001F1AEF">
        <w:rPr>
          <w:rFonts w:ascii="Times New Roman" w:eastAsia="Times New Roman" w:hAnsi="Times New Roman" w:cs="Times New Roman"/>
          <w:b/>
          <w:color w:val="000000"/>
          <w:sz w:val="24"/>
          <w:szCs w:val="24"/>
          <w:u w:val="single" w:color="000000"/>
          <w:lang w:val="en-GB" w:eastAsia="fr-FR"/>
        </w:rPr>
        <w:t>10</w:t>
      </w:r>
      <w:r w:rsidRPr="001F1AEF">
        <w:rPr>
          <w:rFonts w:ascii="Times New Roman" w:eastAsia="Times New Roman" w:hAnsi="Times New Roman" w:cs="Times New Roman"/>
          <w:color w:val="000000"/>
          <w:sz w:val="24"/>
          <w:szCs w:val="24"/>
          <w:lang w:val="en-GB" w:eastAsia="fr-FR"/>
        </w:rPr>
        <w:t xml:space="preserve"> :</w:t>
      </w:r>
      <w:proofErr w:type="gramEnd"/>
      <w:r w:rsidRPr="001F1AEF">
        <w:rPr>
          <w:rFonts w:ascii="Times New Roman" w:eastAsia="Times New Roman" w:hAnsi="Times New Roman" w:cs="Times New Roman"/>
          <w:color w:val="000000"/>
          <w:sz w:val="24"/>
          <w:szCs w:val="24"/>
          <w:lang w:val="en-GB" w:eastAsia="fr-FR"/>
        </w:rPr>
        <w:t xml:space="preserve"> Please explain whether the State party plans to adopt legislation criminalizing all acts of violence against women, particularly domestic violence, marital rape and sexual abuse. Please provide information on the process of approving the national strategy to combat gender-based violence and on the measures taken to encourage reporting of cases of violence. Please provide information on the training of law enforcement officials, social workers and medical personnel on how to detect victims of domestic violence, as well as on whether there are a sufficient number of State-run shelters for victims. Please also provide up-to-date statistics on the number of complaints filed concerning different forms of violence against women and on the number of rulings handed down by the courts in this area.</w:t>
      </w:r>
    </w:p>
    <w:p w14:paraId="02172E41" w14:textId="77777777" w:rsidR="00236B62" w:rsidRPr="001F1AEF" w:rsidRDefault="00236B62" w:rsidP="00236B62">
      <w:pPr>
        <w:spacing w:after="120" w:line="252" w:lineRule="auto"/>
        <w:jc w:val="both"/>
        <w:rPr>
          <w:rFonts w:ascii="Times New Roman" w:eastAsia="Times New Roman" w:hAnsi="Times New Roman" w:cs="Times New Roman"/>
          <w:b/>
          <w:color w:val="000000"/>
          <w:sz w:val="24"/>
          <w:szCs w:val="24"/>
          <w:lang w:val="en-GB" w:eastAsia="fr-FR"/>
        </w:rPr>
      </w:pPr>
      <w:r w:rsidRPr="001F1AEF">
        <w:rPr>
          <w:rFonts w:ascii="Times New Roman" w:eastAsia="Times New Roman" w:hAnsi="Times New Roman" w:cs="Times New Roman"/>
          <w:b/>
          <w:color w:val="000000"/>
          <w:sz w:val="24"/>
          <w:szCs w:val="24"/>
          <w:lang w:val="en-GB" w:eastAsia="fr-FR"/>
        </w:rPr>
        <w:t xml:space="preserve">Replies / Comments from civil society </w:t>
      </w:r>
    </w:p>
    <w:p w14:paraId="4E56376C" w14:textId="77777777" w:rsidR="00236B62" w:rsidRPr="001F1AEF" w:rsidRDefault="00236B62" w:rsidP="00236B62">
      <w:pPr>
        <w:pStyle w:val="Paragraphedeliste"/>
      </w:pPr>
      <w:r w:rsidRPr="001F1AEF">
        <w:t>There are various laws and texts such as the Penal Code, which sanctions domestic and conjugal violence, incest and sexual harassment.</w:t>
      </w:r>
    </w:p>
    <w:p w14:paraId="5C9912D6" w14:textId="77777777" w:rsidR="00236B62" w:rsidRPr="001F1AEF" w:rsidRDefault="00236B62" w:rsidP="00236B62">
      <w:pPr>
        <w:pStyle w:val="Paragraphedeliste"/>
      </w:pPr>
      <w:r w:rsidRPr="001F1AEF">
        <w:t>However, there is no specific law or bill on violence against women and children.</w:t>
      </w:r>
    </w:p>
    <w:p w14:paraId="77747C19" w14:textId="77777777" w:rsidR="00236B62" w:rsidRPr="001F1AEF" w:rsidRDefault="00236B62" w:rsidP="00236B62">
      <w:pPr>
        <w:pStyle w:val="Paragraphedeliste"/>
      </w:pPr>
      <w:r w:rsidRPr="001F1AEF">
        <w:t>Marital rape is most often overlooked as part of a woman's "conjugal duty" to her husband. Many women accept unwanted sex.</w:t>
      </w:r>
    </w:p>
    <w:p w14:paraId="4AC9BB8D" w14:textId="77777777" w:rsidR="00236B62" w:rsidRPr="001F1AEF" w:rsidRDefault="00236B62" w:rsidP="00236B62">
      <w:pPr>
        <w:pStyle w:val="Paragraphedeliste"/>
      </w:pPr>
      <w:r w:rsidRPr="001F1AEF">
        <w:t>Marital rape has not yet been criminalized.</w:t>
      </w:r>
    </w:p>
    <w:p w14:paraId="382CDC6D" w14:textId="77777777" w:rsidR="00236B62" w:rsidRPr="001F1AEF" w:rsidRDefault="00236B62" w:rsidP="00236B62">
      <w:pPr>
        <w:pStyle w:val="Paragraphedeliste"/>
      </w:pPr>
      <w:r w:rsidRPr="001F1AEF">
        <w:t>Violence against women is generally perceived as a "private matter" and a shameful matter, which prevents victims from daring to speak, denounce and bring the case to justice.</w:t>
      </w:r>
    </w:p>
    <w:p w14:paraId="2C111106" w14:textId="77777777" w:rsidR="00236B62" w:rsidRPr="001F1AEF" w:rsidRDefault="00236B62" w:rsidP="00236B62">
      <w:pPr>
        <w:pStyle w:val="Paragraphedeliste"/>
      </w:pPr>
      <w:r w:rsidRPr="001F1AEF">
        <w:t xml:space="preserve">A study carried out by the National Statistical Institute (INSTAT) between 2008 and 2009 showed that 32% of women aged 15-49 believe that a man has the right to beat his wife </w:t>
      </w:r>
      <w:r w:rsidRPr="001F1AEF">
        <w:lastRenderedPageBreak/>
        <w:t xml:space="preserve">or partner. Worse, 60% of Malagasy women of all ages think that the man has the right to beat his wife or his partner. Nearly 50% of women think they earn less than their husbands. Only one third of women decide on how to use the money they earn. </w:t>
      </w:r>
    </w:p>
    <w:p w14:paraId="25C6DB56" w14:textId="77777777" w:rsidR="00236B62" w:rsidRPr="001F1AEF" w:rsidRDefault="00236B62" w:rsidP="00236B62">
      <w:pPr>
        <w:pStyle w:val="Paragraphedeliste"/>
      </w:pPr>
      <w:r w:rsidRPr="001F1AEF">
        <w:t>According to the national monitoring survey of the Millennium Development Goals in 2012/2013, 30% of Malagasy women are experiencing gender-based violence (GBV). Although psychological abuse is the most widespread (19%), physical violence is endured by 12% of women and sexual violence is supported by 7%.</w:t>
      </w:r>
    </w:p>
    <w:p w14:paraId="58D94902" w14:textId="77777777" w:rsidR="00236B62" w:rsidRPr="001F1AEF" w:rsidRDefault="00236B62" w:rsidP="00236B62">
      <w:pPr>
        <w:pStyle w:val="Paragraphedeliste"/>
      </w:pPr>
      <w:r w:rsidRPr="001F1AEF">
        <w:t>The initiative of the Ministry of Population and Social Affairs (MPAS) with CSOs for having set up a national platform for the fight against Gender-based Violence in 2012 was welcomed.</w:t>
      </w:r>
    </w:p>
    <w:p w14:paraId="22D2B89B" w14:textId="77777777" w:rsidR="00236B62" w:rsidRPr="001F1AEF" w:rsidRDefault="00236B62" w:rsidP="00236B62">
      <w:pPr>
        <w:pStyle w:val="Paragraphedeliste"/>
      </w:pPr>
      <w:r w:rsidRPr="001F1AEF">
        <w:t>A decree establishing the National Platform and Regional Platforms to Combat Gender-Based Violence was drafted by MPAS to establish a legal framework for the establishment of these platforms.</w:t>
      </w:r>
    </w:p>
    <w:p w14:paraId="0900D4D9" w14:textId="77777777" w:rsidR="00236B62" w:rsidRPr="001F1AEF" w:rsidRDefault="00236B62" w:rsidP="00236B62">
      <w:pPr>
        <w:pStyle w:val="Paragraphedeliste"/>
      </w:pPr>
      <w:r w:rsidRPr="001F1AEF">
        <w:t>Since 2014, two regional GBV platforms have been operational: (Amoron'i Mania and Menabe) and currently 4 new platforms are being set up (Boeny, Betsiboka, Vakinankaratra and Matsiatra Ambony). On the one hand, these regional and national platforms should allow the harmonization of the interventions of all the stakeholders in the fight against GBV. On the other hand, they should facilitate the collection of data on this scourge in order to better channel the interventions.</w:t>
      </w:r>
    </w:p>
    <w:p w14:paraId="7FF247B1" w14:textId="77777777" w:rsidR="00236B62" w:rsidRPr="001F1AEF" w:rsidRDefault="00236B62" w:rsidP="00236B62">
      <w:pPr>
        <w:pStyle w:val="Paragraphedeliste"/>
      </w:pPr>
      <w:r w:rsidRPr="001F1AEF">
        <w:t>However, there are no data available from these platforms to date.</w:t>
      </w:r>
    </w:p>
    <w:p w14:paraId="0CB560B8" w14:textId="77777777" w:rsidR="00236B62" w:rsidRPr="001F1AEF" w:rsidRDefault="00236B62" w:rsidP="00236B62">
      <w:pPr>
        <w:pStyle w:val="Paragraphedeliste"/>
      </w:pPr>
      <w:r w:rsidRPr="001F1AEF">
        <w:t>The National Action Plan on Gender and Development (PANAGED) is being updated.</w:t>
      </w:r>
    </w:p>
    <w:p w14:paraId="254C196F" w14:textId="77777777" w:rsidR="00236B62" w:rsidRPr="001F1AEF" w:rsidRDefault="00236B62" w:rsidP="00236B62">
      <w:pPr>
        <w:pStyle w:val="Paragraphedeliste"/>
      </w:pPr>
      <w:r w:rsidRPr="001F1AEF">
        <w:t>Several mechanisms for response and prevention, such as the Listening and Legal Counseling Centers, Legal Clinics, the Child Protection Network and the Gender-based Violence Platform, have been set up with the support of the United Nations. In the Antananarivo branch of the Madagascar Bar Association, the PADFEM or "Pool of lawyers for the defense of women and children victims of violence”, offers legal consultations two mornings a week, on Tuesday and Thursday. These lawyers ensure the free follow-up of the files until the hearing, including the remedies, when the victim is homless.</w:t>
      </w:r>
    </w:p>
    <w:p w14:paraId="73787FB4" w14:textId="77777777" w:rsidR="00236B62" w:rsidRPr="001F1AEF" w:rsidRDefault="00236B62" w:rsidP="00236B62">
      <w:pPr>
        <w:pStyle w:val="Paragraphedeliste"/>
      </w:pPr>
      <w:r w:rsidRPr="001F1AEF">
        <w:t>Of the 18 structures and mechanisms for preventing and combating violations of human rights, including GBVs cited by the State and providing psychosocial care and legal advice to victims of GBV and their families, nine are legal clinics called "TRANO ARO ZO" set up by the Ministry of Justice in partnership with the UNDP, and the rest is constituted by the Listening and Legal Counseling Centers (CECJ) set up by the Ministry of Population in partnership with UNFPA in Madagascar.</w:t>
      </w:r>
    </w:p>
    <w:p w14:paraId="70C8080F" w14:textId="77777777" w:rsidR="00236B62" w:rsidRPr="001F1AEF" w:rsidRDefault="00236B62" w:rsidP="00236B62">
      <w:pPr>
        <w:pStyle w:val="Paragraphedeliste"/>
      </w:pPr>
      <w:r w:rsidRPr="001F1AEF">
        <w:t>In March 2017, the University Hospital Center (CHU) of Androva Mahajanga is the 3rd institution in Madagascar with a public center for integrated care for children, mainly girls, who are victims of violence. This "Vonjy" center (emergency or shelter) opens its doors after that of the Befelatanana Obstetric Gynecology Hospital (March 2015) in Antananarivo and the Analankinina Hospital of Toamasina (September 2016).</w:t>
      </w:r>
    </w:p>
    <w:p w14:paraId="44EA2867" w14:textId="77777777" w:rsidR="00236B62" w:rsidRPr="001F1AEF" w:rsidRDefault="00236B62" w:rsidP="00236B62">
      <w:pPr>
        <w:pStyle w:val="Paragraphedeliste"/>
      </w:pPr>
      <w:r w:rsidRPr="001F1AEF">
        <w:t>In 2013, a one-month campaign is taking place in eight cities to silence the violence against women and encourage survivors to attend a listening center or legal clinic for women. Obtain information and / or assistance.</w:t>
      </w:r>
    </w:p>
    <w:p w14:paraId="661CC21F" w14:textId="77777777" w:rsidR="00236B62" w:rsidRPr="001F1AEF" w:rsidRDefault="00236B62" w:rsidP="00236B62">
      <w:pPr>
        <w:pStyle w:val="Paragraphedeliste"/>
      </w:pPr>
      <w:r w:rsidRPr="001F1AEF">
        <w:lastRenderedPageBreak/>
        <w:t xml:space="preserve">Among the crimes perpetrated by the "dahalo" (thieves of zebu) and highway bandits, during </w:t>
      </w:r>
      <w:proofErr w:type="gramStart"/>
      <w:r w:rsidRPr="001F1AEF">
        <w:t>their</w:t>
      </w:r>
      <w:proofErr w:type="gramEnd"/>
      <w:r w:rsidRPr="001F1AEF">
        <w:t xml:space="preserve"> attacks are the fires of all dwellings and the rapes of women, which are seriously injurious to women and children.</w:t>
      </w:r>
    </w:p>
    <w:p w14:paraId="784FFCC5" w14:textId="77777777" w:rsidR="00236B62" w:rsidRPr="001F1AEF" w:rsidRDefault="00236B62" w:rsidP="00236B62">
      <w:pPr>
        <w:pStyle w:val="Paragraphedeliste"/>
      </w:pPr>
      <w:r w:rsidRPr="001F1AEF">
        <w:t>In March 2017, UNFPA in Madagascar issued a call for a Cabinet to study the phenomenon of Gender-based Violence (GVV) during raids of the dahalo.</w:t>
      </w:r>
    </w:p>
    <w:p w14:paraId="2FA105C8" w14:textId="77777777" w:rsidR="00236B62" w:rsidRPr="001F1AEF" w:rsidRDefault="00236B62" w:rsidP="00236B62">
      <w:pPr>
        <w:pStyle w:val="Paragraphedeliste"/>
      </w:pPr>
      <w:r w:rsidRPr="001F1AEF">
        <w:t xml:space="preserve">In April 2017, when ten armed men attacked a convent at Antsirabe, the malefactors raped five nuns. Thirty suspects were placed in pre-trial detention. </w:t>
      </w:r>
    </w:p>
    <w:p w14:paraId="4F679901" w14:textId="77777777" w:rsidR="00236B62" w:rsidRPr="001F1AEF" w:rsidRDefault="00236B62" w:rsidP="00236B62">
      <w:pPr>
        <w:pStyle w:val="Paragraphedeliste"/>
      </w:pPr>
      <w:r w:rsidRPr="001F1AEF">
        <w:t>According to the legal clinic "Trano Aro Zo" located in Andohatapenaka, which deals with cases of GBV and child protection, the majority of complaints concerning GBV are due to economic violence for non-payment by the husband or the father of the support obligation. However, cases of physical or psychological violence are becoming more and more pressing.</w:t>
      </w:r>
    </w:p>
    <w:p w14:paraId="5465A2EA" w14:textId="77777777" w:rsidR="00236B62" w:rsidRPr="001F1AEF" w:rsidRDefault="00236B62" w:rsidP="00236B62">
      <w:pPr>
        <w:pStyle w:val="Paragraphedeliste"/>
      </w:pPr>
      <w:r w:rsidRPr="001F1AEF">
        <w:t>One of the main constraints in the effective management of problems related to gender-based violence is the lack of clarity in its definition.</w:t>
      </w:r>
    </w:p>
    <w:p w14:paraId="5A27C5E5" w14:textId="77777777" w:rsidR="00236B62" w:rsidRPr="001F1AEF" w:rsidRDefault="00236B62" w:rsidP="00236B62">
      <w:pPr>
        <w:pStyle w:val="Paragraphedeliste"/>
      </w:pPr>
      <w:r w:rsidRPr="001F1AEF">
        <w:t>Due to the lack of an organized and structured information collection system for all courts and judicial police, there is insufficient data available. As part of the implementation of the formalized recommendations in 2011, UNDP supported the Ministry of Justice in the specific gender-based violence statistics through the provision of comprehensive computer equipment for the three Courts of First Instance of Antananarivo, Toliara and Antsiranana and for the general prosecutors of the three Courts of Appeal of these three provinces. The officers responsible for collecting data in the courts have been trained to do so. Only the experience of the TPI Antananarivo prosecutor's office is a successful example of ownership of this monitoring mechanism.</w:t>
      </w:r>
    </w:p>
    <w:p w14:paraId="42DFC8B2" w14:textId="77777777" w:rsidR="00236B62" w:rsidRPr="001F1AEF" w:rsidRDefault="00236B62" w:rsidP="00236B62">
      <w:pPr>
        <w:pStyle w:val="Paragraphedeliste"/>
      </w:pPr>
      <w:r w:rsidRPr="001F1AEF">
        <w:t>The Office of the ICTY Antananarivo maintains GBV statistics on a manual and computerized register. The manual register distinguishes between sexual violence based on gender on child victims and gender-based violence on adult victims.</w:t>
      </w:r>
    </w:p>
    <w:p w14:paraId="1E231AB9" w14:textId="77777777" w:rsidR="00236B62" w:rsidRPr="001F1AEF" w:rsidRDefault="00236B62" w:rsidP="00236B62">
      <w:pPr>
        <w:pStyle w:val="Paragraphedeliste"/>
      </w:pPr>
      <w:r w:rsidRPr="001F1AEF">
        <w:t>Another good practice was noted: These specific files are "marked" at the public prosecutor's office and throughout the criminal proceedings by the handwritten notes on the folder: VIOCO (Domestic Violence), VIOMIN (Violence over Minors) and VIOSEX (Sexual Violence).</w:t>
      </w:r>
    </w:p>
    <w:p w14:paraId="43C4FEAD" w14:textId="77777777" w:rsidR="00236B62" w:rsidRPr="001F1AEF" w:rsidRDefault="00236B62" w:rsidP="00236B62">
      <w:pPr>
        <w:pStyle w:val="Paragraphedeliste"/>
      </w:pPr>
      <w:r w:rsidRPr="001F1AEF">
        <w:t>In the December 2014 study by the UNDP on the mechanism for monitoring access to Malagasy criminal justice, the statistics provided by the Antananarivo Court of First Instance in the course of the year 2013 Gender-based violence reported 693 complaints: 193 domestic violence, 348 sexual violence against children, 100 violence against children, 43 sexual violence against adults, 03 violence against adults, 05 torture of against children and 01 torture against an adult. Out of these 693 cases, 140 have been dismissed.</w:t>
      </w:r>
    </w:p>
    <w:p w14:paraId="776B1A05" w14:textId="77777777" w:rsidR="00236B62" w:rsidRPr="001F1AEF" w:rsidRDefault="00236B62" w:rsidP="00236B62">
      <w:pPr>
        <w:pStyle w:val="Paragraphedeliste"/>
      </w:pPr>
      <w:r w:rsidRPr="001F1AEF">
        <w:t>The same study reports that no homogeneity in the collection of data on GBV and more generally on violence against women or minors is found or promoted between the services of the Judicial Police Officers of the Ministry of Internal Security (MSI) and the Secretary of State for Police (SEG). A recent creation of a division for the protection of minors and women in the SEG DPJ had to change this situation.</w:t>
      </w:r>
    </w:p>
    <w:p w14:paraId="62D23696" w14:textId="77777777" w:rsidR="00236B62" w:rsidRPr="001F1AEF" w:rsidRDefault="00236B62" w:rsidP="00236B62">
      <w:pPr>
        <w:spacing w:after="120"/>
        <w:rPr>
          <w:rFonts w:ascii="Times New Roman" w:eastAsia="Times New Roman" w:hAnsi="Times New Roman" w:cs="Times New Roman"/>
          <w:color w:val="000000"/>
          <w:sz w:val="24"/>
          <w:szCs w:val="24"/>
          <w:lang w:val="en-GB" w:eastAsia="fr-FR"/>
        </w:rPr>
      </w:pPr>
    </w:p>
    <w:tbl>
      <w:tblPr>
        <w:tblStyle w:val="TableGrid"/>
        <w:tblW w:w="8652" w:type="dxa"/>
        <w:tblInd w:w="569" w:type="dxa"/>
        <w:tblCellMar>
          <w:top w:w="12" w:type="dxa"/>
          <w:left w:w="532" w:type="dxa"/>
          <w:right w:w="55" w:type="dxa"/>
        </w:tblCellMar>
        <w:tblLook w:val="04A0" w:firstRow="1" w:lastRow="0" w:firstColumn="1" w:lastColumn="0" w:noHBand="0" w:noVBand="1"/>
      </w:tblPr>
      <w:tblGrid>
        <w:gridCol w:w="1129"/>
        <w:gridCol w:w="3394"/>
        <w:gridCol w:w="1622"/>
        <w:gridCol w:w="2507"/>
      </w:tblGrid>
      <w:tr w:rsidR="00236B62" w:rsidRPr="001F1AEF" w14:paraId="3AAA3A11" w14:textId="77777777" w:rsidTr="00495272">
        <w:trPr>
          <w:trHeight w:val="701"/>
        </w:trPr>
        <w:tc>
          <w:tcPr>
            <w:tcW w:w="8652" w:type="dxa"/>
            <w:gridSpan w:val="4"/>
            <w:tcBorders>
              <w:top w:val="single" w:sz="4" w:space="0" w:color="000000"/>
              <w:left w:val="single" w:sz="4" w:space="0" w:color="000000"/>
              <w:bottom w:val="single" w:sz="4" w:space="0" w:color="000000"/>
              <w:right w:val="single" w:sz="4" w:space="0" w:color="000000"/>
            </w:tcBorders>
          </w:tcPr>
          <w:p w14:paraId="3585139A" w14:textId="77777777" w:rsidR="00236B62" w:rsidRPr="001F1AEF" w:rsidRDefault="00236B62" w:rsidP="00236B62">
            <w:pPr>
              <w:spacing w:after="120" w:line="237" w:lineRule="auto"/>
              <w:jc w:val="center"/>
              <w:rPr>
                <w:rFonts w:ascii="Times New Roman" w:hAnsi="Times New Roman" w:cs="Times New Roman"/>
                <w:color w:val="000000"/>
                <w:sz w:val="24"/>
                <w:szCs w:val="24"/>
              </w:rPr>
            </w:pPr>
            <w:r w:rsidRPr="001F1AEF">
              <w:rPr>
                <w:rFonts w:ascii="Times New Roman" w:hAnsi="Times New Roman" w:cs="Times New Roman"/>
                <w:b/>
                <w:color w:val="000000"/>
                <w:sz w:val="24"/>
                <w:szCs w:val="24"/>
              </w:rPr>
              <w:t xml:space="preserve">FORMATIONS DIPENSEES AU PROFIT DU PERSONNEL DE LA GENDARMERIE NATIONALE  </w:t>
            </w:r>
          </w:p>
          <w:p w14:paraId="4D4DBF21"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b/>
                <w:color w:val="000000"/>
                <w:sz w:val="24"/>
                <w:szCs w:val="24"/>
              </w:rPr>
              <w:lastRenderedPageBreak/>
              <w:t xml:space="preserve">EN MATIERE DE VIOLENCE FAMILIALE </w:t>
            </w:r>
            <w:r w:rsidRPr="001F1AEF">
              <w:rPr>
                <w:rFonts w:ascii="Times New Roman" w:hAnsi="Times New Roman" w:cs="Times New Roman"/>
                <w:color w:val="000000"/>
                <w:sz w:val="24"/>
                <w:szCs w:val="24"/>
              </w:rPr>
              <w:t xml:space="preserve">(source : Gendarmerie Nationale) </w:t>
            </w:r>
          </w:p>
        </w:tc>
      </w:tr>
      <w:tr w:rsidR="00236B62" w:rsidRPr="001F1AEF" w14:paraId="48D9E2B6" w14:textId="77777777" w:rsidTr="00495272">
        <w:trPr>
          <w:trHeight w:val="1622"/>
        </w:trPr>
        <w:tc>
          <w:tcPr>
            <w:tcW w:w="1133" w:type="dxa"/>
            <w:tcBorders>
              <w:top w:val="single" w:sz="4" w:space="0" w:color="000000"/>
              <w:left w:val="single" w:sz="4" w:space="0" w:color="000000"/>
              <w:bottom w:val="single" w:sz="4" w:space="0" w:color="000000"/>
              <w:right w:val="single" w:sz="4" w:space="0" w:color="000000"/>
            </w:tcBorders>
          </w:tcPr>
          <w:p w14:paraId="2F82794A"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lastRenderedPageBreak/>
              <w:t xml:space="preserve">2013 </w:t>
            </w:r>
          </w:p>
          <w:p w14:paraId="3B73E0ED"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2014 </w:t>
            </w:r>
          </w:p>
        </w:tc>
        <w:tc>
          <w:tcPr>
            <w:tcW w:w="3480" w:type="dxa"/>
            <w:tcBorders>
              <w:top w:val="single" w:sz="4" w:space="0" w:color="000000"/>
              <w:left w:val="single" w:sz="4" w:space="0" w:color="000000"/>
              <w:bottom w:val="single" w:sz="4" w:space="0" w:color="000000"/>
              <w:right w:val="single" w:sz="4" w:space="0" w:color="000000"/>
            </w:tcBorders>
          </w:tcPr>
          <w:p w14:paraId="6788C427"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Formation en matière de lutte contre la maltraitance des enfants  </w:t>
            </w:r>
          </w:p>
        </w:tc>
        <w:tc>
          <w:tcPr>
            <w:tcW w:w="1622" w:type="dxa"/>
            <w:tcBorders>
              <w:top w:val="single" w:sz="4" w:space="0" w:color="000000"/>
              <w:left w:val="single" w:sz="4" w:space="0" w:color="000000"/>
              <w:bottom w:val="single" w:sz="4" w:space="0" w:color="000000"/>
              <w:right w:val="single" w:sz="4" w:space="0" w:color="000000"/>
            </w:tcBorders>
          </w:tcPr>
          <w:p w14:paraId="04DA0721"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MINJUS et UNICEF </w:t>
            </w:r>
          </w:p>
        </w:tc>
        <w:tc>
          <w:tcPr>
            <w:tcW w:w="2417" w:type="dxa"/>
            <w:tcBorders>
              <w:top w:val="single" w:sz="4" w:space="0" w:color="000000"/>
              <w:left w:val="single" w:sz="4" w:space="0" w:color="000000"/>
              <w:bottom w:val="single" w:sz="4" w:space="0" w:color="000000"/>
              <w:right w:val="single" w:sz="4" w:space="0" w:color="000000"/>
            </w:tcBorders>
          </w:tcPr>
          <w:p w14:paraId="3B50333D"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150 officiers, gradés et gendarmes issus des groupements </w:t>
            </w:r>
          </w:p>
          <w:p w14:paraId="0ECA721F"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Analamjorofo, </w:t>
            </w:r>
          </w:p>
          <w:p w14:paraId="0788C344"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Boeny, </w:t>
            </w:r>
            <w:r w:rsidRPr="001F1AEF">
              <w:rPr>
                <w:rFonts w:ascii="Times New Roman" w:hAnsi="Times New Roman" w:cs="Times New Roman"/>
                <w:color w:val="000000"/>
                <w:sz w:val="24"/>
                <w:szCs w:val="24"/>
              </w:rPr>
              <w:tab/>
              <w:t xml:space="preserve">Menabe, </w:t>
            </w:r>
          </w:p>
          <w:p w14:paraId="24B7BD6E"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AtsimoAndrefana et </w:t>
            </w:r>
          </w:p>
          <w:p w14:paraId="37EAE181"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Diana </w:t>
            </w:r>
          </w:p>
        </w:tc>
      </w:tr>
      <w:tr w:rsidR="00236B62" w:rsidRPr="001F1AEF" w14:paraId="0B673A4B" w14:textId="77777777" w:rsidTr="00495272">
        <w:trPr>
          <w:trHeight w:val="701"/>
        </w:trPr>
        <w:tc>
          <w:tcPr>
            <w:tcW w:w="1133" w:type="dxa"/>
            <w:tcBorders>
              <w:top w:val="single" w:sz="4" w:space="0" w:color="000000"/>
              <w:left w:val="single" w:sz="4" w:space="0" w:color="000000"/>
              <w:bottom w:val="single" w:sz="4" w:space="0" w:color="000000"/>
              <w:right w:val="single" w:sz="4" w:space="0" w:color="000000"/>
            </w:tcBorders>
          </w:tcPr>
          <w:p w14:paraId="69DB3994"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2014 </w:t>
            </w:r>
          </w:p>
        </w:tc>
        <w:tc>
          <w:tcPr>
            <w:tcW w:w="3480" w:type="dxa"/>
            <w:tcBorders>
              <w:top w:val="single" w:sz="4" w:space="0" w:color="000000"/>
              <w:left w:val="single" w:sz="4" w:space="0" w:color="000000"/>
              <w:bottom w:val="single" w:sz="4" w:space="0" w:color="000000"/>
              <w:right w:val="single" w:sz="4" w:space="0" w:color="000000"/>
            </w:tcBorders>
          </w:tcPr>
          <w:p w14:paraId="1A3CDE53"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Renforcement des mesures préventives et de sanction de la violence à l’égard des femmes ou </w:t>
            </w:r>
          </w:p>
        </w:tc>
        <w:tc>
          <w:tcPr>
            <w:tcW w:w="1622" w:type="dxa"/>
            <w:tcBorders>
              <w:top w:val="single" w:sz="4" w:space="0" w:color="000000"/>
              <w:left w:val="single" w:sz="4" w:space="0" w:color="000000"/>
              <w:bottom w:val="single" w:sz="4" w:space="0" w:color="000000"/>
              <w:right w:val="single" w:sz="4" w:space="0" w:color="000000"/>
            </w:tcBorders>
          </w:tcPr>
          <w:p w14:paraId="2C29DDC9"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FNUAP/O</w:t>
            </w:r>
          </w:p>
          <w:p w14:paraId="5D2E345F"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NU  </w:t>
            </w:r>
          </w:p>
        </w:tc>
        <w:tc>
          <w:tcPr>
            <w:tcW w:w="2417" w:type="dxa"/>
            <w:tcBorders>
              <w:top w:val="single" w:sz="4" w:space="0" w:color="000000"/>
              <w:left w:val="single" w:sz="4" w:space="0" w:color="000000"/>
              <w:bottom w:val="single" w:sz="4" w:space="0" w:color="000000"/>
              <w:right w:val="single" w:sz="4" w:space="0" w:color="000000"/>
            </w:tcBorders>
          </w:tcPr>
          <w:p w14:paraId="509BFDDF"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45 éléments des unités territoriales servant </w:t>
            </w:r>
            <w:r w:rsidRPr="001F1AEF">
              <w:rPr>
                <w:rFonts w:ascii="Times New Roman" w:hAnsi="Times New Roman" w:cs="Times New Roman"/>
                <w:color w:val="000000"/>
                <w:sz w:val="24"/>
                <w:szCs w:val="24"/>
              </w:rPr>
              <w:tab/>
              <w:t xml:space="preserve">à </w:t>
            </w:r>
          </w:p>
        </w:tc>
      </w:tr>
      <w:tr w:rsidR="00236B62" w:rsidRPr="001F1AEF" w14:paraId="2A4FF7EE" w14:textId="77777777" w:rsidTr="00495272">
        <w:trPr>
          <w:trHeight w:val="701"/>
        </w:trPr>
        <w:tc>
          <w:tcPr>
            <w:tcW w:w="1133" w:type="dxa"/>
            <w:tcBorders>
              <w:top w:val="single" w:sz="4" w:space="0" w:color="000000"/>
              <w:left w:val="single" w:sz="4" w:space="0" w:color="000000"/>
              <w:bottom w:val="single" w:sz="4" w:space="0" w:color="000000"/>
              <w:right w:val="single" w:sz="4" w:space="0" w:color="000000"/>
            </w:tcBorders>
          </w:tcPr>
          <w:p w14:paraId="12340067" w14:textId="77777777" w:rsidR="00236B62" w:rsidRPr="001F1AEF" w:rsidRDefault="00236B62" w:rsidP="00236B62">
            <w:pPr>
              <w:spacing w:after="120"/>
              <w:rPr>
                <w:rFonts w:ascii="Times New Roman" w:hAnsi="Times New Roman" w:cs="Times New Roman"/>
                <w:color w:val="000000"/>
                <w:sz w:val="24"/>
                <w:szCs w:val="24"/>
              </w:rPr>
            </w:pPr>
          </w:p>
        </w:tc>
        <w:tc>
          <w:tcPr>
            <w:tcW w:w="3480" w:type="dxa"/>
            <w:tcBorders>
              <w:top w:val="single" w:sz="4" w:space="0" w:color="000000"/>
              <w:left w:val="single" w:sz="4" w:space="0" w:color="000000"/>
              <w:bottom w:val="single" w:sz="4" w:space="0" w:color="000000"/>
              <w:right w:val="single" w:sz="4" w:space="0" w:color="000000"/>
            </w:tcBorders>
          </w:tcPr>
          <w:p w14:paraId="700028E3"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violence basée sur le </w:t>
            </w:r>
            <w:proofErr w:type="gramStart"/>
            <w:r w:rsidRPr="001F1AEF">
              <w:rPr>
                <w:rFonts w:ascii="Times New Roman" w:hAnsi="Times New Roman" w:cs="Times New Roman"/>
                <w:color w:val="000000"/>
                <w:sz w:val="24"/>
                <w:szCs w:val="24"/>
              </w:rPr>
              <w:t>genre(</w:t>
            </w:r>
            <w:proofErr w:type="gramEnd"/>
            <w:r w:rsidRPr="001F1AEF">
              <w:rPr>
                <w:rFonts w:ascii="Times New Roman" w:hAnsi="Times New Roman" w:cs="Times New Roman"/>
                <w:color w:val="000000"/>
                <w:sz w:val="24"/>
                <w:szCs w:val="24"/>
              </w:rPr>
              <w:t xml:space="preserve">VBG) </w:t>
            </w:r>
          </w:p>
        </w:tc>
        <w:tc>
          <w:tcPr>
            <w:tcW w:w="1622" w:type="dxa"/>
            <w:tcBorders>
              <w:top w:val="single" w:sz="4" w:space="0" w:color="000000"/>
              <w:left w:val="single" w:sz="4" w:space="0" w:color="000000"/>
              <w:bottom w:val="single" w:sz="4" w:space="0" w:color="000000"/>
              <w:right w:val="single" w:sz="4" w:space="0" w:color="000000"/>
            </w:tcBorders>
          </w:tcPr>
          <w:p w14:paraId="512D7284" w14:textId="77777777" w:rsidR="00236B62" w:rsidRPr="001F1AEF" w:rsidRDefault="00236B62" w:rsidP="00236B62">
            <w:pPr>
              <w:spacing w:after="120"/>
              <w:rPr>
                <w:rFonts w:ascii="Times New Roman" w:hAnsi="Times New Roman" w:cs="Times New Roman"/>
                <w:color w:val="000000"/>
                <w:sz w:val="24"/>
                <w:szCs w:val="24"/>
              </w:rPr>
            </w:pPr>
          </w:p>
        </w:tc>
        <w:tc>
          <w:tcPr>
            <w:tcW w:w="2417" w:type="dxa"/>
            <w:tcBorders>
              <w:top w:val="single" w:sz="4" w:space="0" w:color="000000"/>
              <w:left w:val="single" w:sz="4" w:space="0" w:color="000000"/>
              <w:bottom w:val="single" w:sz="4" w:space="0" w:color="000000"/>
              <w:right w:val="single" w:sz="4" w:space="0" w:color="000000"/>
            </w:tcBorders>
          </w:tcPr>
          <w:p w14:paraId="578F1B14" w14:textId="77777777" w:rsidR="00236B62" w:rsidRPr="001F1AEF" w:rsidRDefault="00236B62" w:rsidP="00236B62">
            <w:pPr>
              <w:spacing w:after="120"/>
              <w:jc w:val="right"/>
              <w:rPr>
                <w:rFonts w:ascii="Times New Roman" w:hAnsi="Times New Roman" w:cs="Times New Roman"/>
                <w:color w:val="000000"/>
                <w:sz w:val="24"/>
                <w:szCs w:val="24"/>
                <w:lang w:val="en-GB"/>
              </w:rPr>
            </w:pPr>
            <w:r w:rsidRPr="001F1AEF">
              <w:rPr>
                <w:rFonts w:ascii="Times New Roman" w:hAnsi="Times New Roman" w:cs="Times New Roman"/>
                <w:color w:val="000000"/>
                <w:sz w:val="24"/>
                <w:szCs w:val="24"/>
                <w:lang w:val="en-GB"/>
              </w:rPr>
              <w:t xml:space="preserve">Antananarivo (Taos, </w:t>
            </w:r>
          </w:p>
          <w:p w14:paraId="280EA20A" w14:textId="77777777" w:rsidR="00236B62" w:rsidRPr="001F1AEF" w:rsidRDefault="00236B62" w:rsidP="00236B62">
            <w:pPr>
              <w:spacing w:after="120"/>
              <w:rPr>
                <w:rFonts w:ascii="Times New Roman" w:hAnsi="Times New Roman" w:cs="Times New Roman"/>
                <w:color w:val="000000"/>
                <w:sz w:val="24"/>
                <w:szCs w:val="24"/>
                <w:lang w:val="en-GB"/>
              </w:rPr>
            </w:pPr>
            <w:r w:rsidRPr="001F1AEF">
              <w:rPr>
                <w:rFonts w:ascii="Times New Roman" w:hAnsi="Times New Roman" w:cs="Times New Roman"/>
                <w:color w:val="000000"/>
                <w:sz w:val="24"/>
                <w:szCs w:val="24"/>
                <w:lang w:val="en-GB"/>
              </w:rPr>
              <w:t xml:space="preserve">Antananarivo/Ville, </w:t>
            </w:r>
          </w:p>
          <w:p w14:paraId="546B0FF4" w14:textId="77777777" w:rsidR="00236B62" w:rsidRPr="001F1AEF" w:rsidRDefault="00236B62" w:rsidP="00236B62">
            <w:pPr>
              <w:spacing w:after="120"/>
              <w:jc w:val="center"/>
              <w:rPr>
                <w:rFonts w:ascii="Times New Roman" w:hAnsi="Times New Roman" w:cs="Times New Roman"/>
                <w:color w:val="000000"/>
                <w:sz w:val="24"/>
                <w:szCs w:val="24"/>
                <w:lang w:val="en-GB"/>
              </w:rPr>
            </w:pPr>
            <w:r w:rsidRPr="001F1AEF">
              <w:rPr>
                <w:rFonts w:ascii="Times New Roman" w:hAnsi="Times New Roman" w:cs="Times New Roman"/>
                <w:color w:val="000000"/>
                <w:sz w:val="24"/>
                <w:szCs w:val="24"/>
                <w:lang w:val="en-GB"/>
              </w:rPr>
              <w:t xml:space="preserve">Ankadikely Ilafy) </w:t>
            </w:r>
          </w:p>
        </w:tc>
      </w:tr>
      <w:tr w:rsidR="00236B62" w:rsidRPr="001F1AEF" w14:paraId="68F3BF59" w14:textId="77777777" w:rsidTr="00495272">
        <w:trPr>
          <w:trHeight w:val="2078"/>
        </w:trPr>
        <w:tc>
          <w:tcPr>
            <w:tcW w:w="1133" w:type="dxa"/>
            <w:tcBorders>
              <w:top w:val="single" w:sz="4" w:space="0" w:color="000000"/>
              <w:left w:val="single" w:sz="4" w:space="0" w:color="000000"/>
              <w:bottom w:val="single" w:sz="4" w:space="0" w:color="000000"/>
              <w:right w:val="single" w:sz="4" w:space="0" w:color="000000"/>
            </w:tcBorders>
          </w:tcPr>
          <w:p w14:paraId="58E73BB4"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Nov 2014 </w:t>
            </w:r>
          </w:p>
        </w:tc>
        <w:tc>
          <w:tcPr>
            <w:tcW w:w="3480" w:type="dxa"/>
            <w:tcBorders>
              <w:top w:val="single" w:sz="4" w:space="0" w:color="000000"/>
              <w:left w:val="single" w:sz="4" w:space="0" w:color="000000"/>
              <w:bottom w:val="single" w:sz="4" w:space="0" w:color="000000"/>
              <w:right w:val="single" w:sz="4" w:space="0" w:color="000000"/>
            </w:tcBorders>
          </w:tcPr>
          <w:p w14:paraId="39EA44DA"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Renforcement des capacités sur la prise en charge et la technique de traitement des cas de VBG selon l’approche psychosociale </w:t>
            </w:r>
          </w:p>
        </w:tc>
        <w:tc>
          <w:tcPr>
            <w:tcW w:w="1622" w:type="dxa"/>
            <w:tcBorders>
              <w:top w:val="single" w:sz="4" w:space="0" w:color="000000"/>
              <w:left w:val="single" w:sz="4" w:space="0" w:color="000000"/>
              <w:bottom w:val="single" w:sz="4" w:space="0" w:color="000000"/>
              <w:right w:val="single" w:sz="4" w:space="0" w:color="000000"/>
            </w:tcBorders>
          </w:tcPr>
          <w:p w14:paraId="6B603E94"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FNUAP/ MPPSPF </w:t>
            </w:r>
          </w:p>
        </w:tc>
        <w:tc>
          <w:tcPr>
            <w:tcW w:w="2417" w:type="dxa"/>
            <w:tcBorders>
              <w:top w:val="single" w:sz="4" w:space="0" w:color="000000"/>
              <w:left w:val="single" w:sz="4" w:space="0" w:color="000000"/>
              <w:bottom w:val="single" w:sz="4" w:space="0" w:color="000000"/>
              <w:right w:val="single" w:sz="4" w:space="0" w:color="000000"/>
            </w:tcBorders>
          </w:tcPr>
          <w:p w14:paraId="664D965F"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25 commandants de compagnie et 98 commandants de brigade de la </w:t>
            </w:r>
          </w:p>
          <w:p w14:paraId="498E95D9" w14:textId="77777777" w:rsidR="00236B62" w:rsidRPr="001F1AEF" w:rsidRDefault="00236B62" w:rsidP="00236B62">
            <w:pPr>
              <w:spacing w:after="120" w:line="241" w:lineRule="auto"/>
              <w:jc w:val="both"/>
              <w:rPr>
                <w:rFonts w:ascii="Times New Roman" w:hAnsi="Times New Roman" w:cs="Times New Roman"/>
                <w:color w:val="000000"/>
                <w:sz w:val="24"/>
                <w:szCs w:val="24"/>
              </w:rPr>
            </w:pPr>
            <w:proofErr w:type="gramStart"/>
            <w:r w:rsidRPr="001F1AEF">
              <w:rPr>
                <w:rFonts w:ascii="Times New Roman" w:hAnsi="Times New Roman" w:cs="Times New Roman"/>
                <w:color w:val="000000"/>
                <w:sz w:val="24"/>
                <w:szCs w:val="24"/>
              </w:rPr>
              <w:t>gendarmerie nationale sensibilisés</w:t>
            </w:r>
            <w:proofErr w:type="gramEnd"/>
            <w:r w:rsidRPr="001F1AEF">
              <w:rPr>
                <w:rFonts w:ascii="Times New Roman" w:hAnsi="Times New Roman" w:cs="Times New Roman"/>
                <w:color w:val="000000"/>
                <w:sz w:val="24"/>
                <w:szCs w:val="24"/>
              </w:rPr>
              <w:t xml:space="preserve"> sur la prise en charge des VBG à l’ESGN </w:t>
            </w:r>
          </w:p>
          <w:p w14:paraId="7E178FC7"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Moramanga </w:t>
            </w:r>
          </w:p>
        </w:tc>
      </w:tr>
      <w:tr w:rsidR="00236B62" w:rsidRPr="001F1AEF" w14:paraId="2C0AD334" w14:textId="77777777" w:rsidTr="00495272">
        <w:trPr>
          <w:trHeight w:val="701"/>
        </w:trPr>
        <w:tc>
          <w:tcPr>
            <w:tcW w:w="1133" w:type="dxa"/>
            <w:tcBorders>
              <w:top w:val="single" w:sz="4" w:space="0" w:color="000000"/>
              <w:left w:val="single" w:sz="4" w:space="0" w:color="000000"/>
              <w:bottom w:val="single" w:sz="4" w:space="0" w:color="000000"/>
              <w:right w:val="single" w:sz="4" w:space="0" w:color="000000"/>
            </w:tcBorders>
          </w:tcPr>
          <w:p w14:paraId="6A00B57C"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2015 </w:t>
            </w:r>
          </w:p>
        </w:tc>
        <w:tc>
          <w:tcPr>
            <w:tcW w:w="3480" w:type="dxa"/>
            <w:tcBorders>
              <w:top w:val="single" w:sz="4" w:space="0" w:color="000000"/>
              <w:left w:val="single" w:sz="4" w:space="0" w:color="000000"/>
              <w:bottom w:val="single" w:sz="4" w:space="0" w:color="000000"/>
              <w:right w:val="single" w:sz="4" w:space="0" w:color="000000"/>
            </w:tcBorders>
          </w:tcPr>
          <w:p w14:paraId="383F556D"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Formation des formateurs dans le cadre du projet action et </w:t>
            </w:r>
          </w:p>
          <w:p w14:paraId="70BD0857"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prévention de la violence  </w:t>
            </w:r>
          </w:p>
        </w:tc>
        <w:tc>
          <w:tcPr>
            <w:tcW w:w="1622" w:type="dxa"/>
            <w:tcBorders>
              <w:top w:val="single" w:sz="4" w:space="0" w:color="000000"/>
              <w:left w:val="single" w:sz="4" w:space="0" w:color="000000"/>
              <w:bottom w:val="single" w:sz="4" w:space="0" w:color="000000"/>
              <w:right w:val="single" w:sz="4" w:space="0" w:color="000000"/>
            </w:tcBorders>
          </w:tcPr>
          <w:p w14:paraId="1EF5F854"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ENDA </w:t>
            </w:r>
          </w:p>
          <w:p w14:paraId="5D4478C5"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Océan </w:t>
            </w:r>
          </w:p>
          <w:p w14:paraId="26D9F7A2"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Indien  </w:t>
            </w:r>
          </w:p>
        </w:tc>
        <w:tc>
          <w:tcPr>
            <w:tcW w:w="2417" w:type="dxa"/>
            <w:tcBorders>
              <w:top w:val="single" w:sz="4" w:space="0" w:color="000000"/>
              <w:left w:val="single" w:sz="4" w:space="0" w:color="000000"/>
              <w:bottom w:val="single" w:sz="4" w:space="0" w:color="000000"/>
              <w:right w:val="single" w:sz="4" w:space="0" w:color="000000"/>
            </w:tcBorders>
          </w:tcPr>
          <w:p w14:paraId="12FDC211"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02 officiers de la Direction de la Police Judiciaire </w:t>
            </w:r>
          </w:p>
        </w:tc>
      </w:tr>
      <w:tr w:rsidR="00236B62" w:rsidRPr="001F1AEF" w14:paraId="1B84DB9A" w14:textId="77777777" w:rsidTr="00495272">
        <w:trPr>
          <w:trHeight w:val="1848"/>
        </w:trPr>
        <w:tc>
          <w:tcPr>
            <w:tcW w:w="1133" w:type="dxa"/>
            <w:tcBorders>
              <w:top w:val="single" w:sz="4" w:space="0" w:color="000000"/>
              <w:left w:val="single" w:sz="4" w:space="0" w:color="000000"/>
              <w:bottom w:val="single" w:sz="4" w:space="0" w:color="000000"/>
              <w:right w:val="single" w:sz="4" w:space="0" w:color="000000"/>
            </w:tcBorders>
          </w:tcPr>
          <w:p w14:paraId="3655413E"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2015 </w:t>
            </w:r>
          </w:p>
          <w:p w14:paraId="7FB4A8B5"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 </w:t>
            </w:r>
          </w:p>
          <w:p w14:paraId="50B92901"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2016 </w:t>
            </w:r>
          </w:p>
        </w:tc>
        <w:tc>
          <w:tcPr>
            <w:tcW w:w="3480" w:type="dxa"/>
            <w:tcBorders>
              <w:top w:val="single" w:sz="4" w:space="0" w:color="000000"/>
              <w:left w:val="single" w:sz="4" w:space="0" w:color="000000"/>
              <w:bottom w:val="single" w:sz="4" w:space="0" w:color="000000"/>
              <w:right w:val="single" w:sz="4" w:space="0" w:color="000000"/>
            </w:tcBorders>
          </w:tcPr>
          <w:p w14:paraId="6A66F1F0"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Renforcement de capacités en matière de prise en charge des enfants victimes de maltraitance </w:t>
            </w:r>
          </w:p>
        </w:tc>
        <w:tc>
          <w:tcPr>
            <w:tcW w:w="1622" w:type="dxa"/>
            <w:tcBorders>
              <w:top w:val="single" w:sz="4" w:space="0" w:color="000000"/>
              <w:left w:val="single" w:sz="4" w:space="0" w:color="000000"/>
              <w:bottom w:val="single" w:sz="4" w:space="0" w:color="000000"/>
              <w:right w:val="single" w:sz="4" w:space="0" w:color="000000"/>
            </w:tcBorders>
          </w:tcPr>
          <w:p w14:paraId="0A5C7795"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MINJUS, </w:t>
            </w:r>
          </w:p>
          <w:p w14:paraId="1864381E"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MSP ET </w:t>
            </w:r>
          </w:p>
          <w:p w14:paraId="57C99816"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UNICEF </w:t>
            </w:r>
          </w:p>
        </w:tc>
        <w:tc>
          <w:tcPr>
            <w:tcW w:w="2417" w:type="dxa"/>
            <w:tcBorders>
              <w:top w:val="single" w:sz="4" w:space="0" w:color="000000"/>
              <w:left w:val="single" w:sz="4" w:space="0" w:color="000000"/>
              <w:bottom w:val="single" w:sz="4" w:space="0" w:color="000000"/>
              <w:right w:val="single" w:sz="4" w:space="0" w:color="000000"/>
            </w:tcBorders>
          </w:tcPr>
          <w:p w14:paraId="6BDC5EE1"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136 officiers, gradés et gendarmes servant dans les régions d’Analamanga, de Boeny, d’Analanjirofo, de </w:t>
            </w:r>
          </w:p>
          <w:p w14:paraId="0030C43F"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Diana </w:t>
            </w:r>
            <w:r w:rsidRPr="001F1AEF">
              <w:rPr>
                <w:rFonts w:ascii="Times New Roman" w:hAnsi="Times New Roman" w:cs="Times New Roman"/>
                <w:color w:val="000000"/>
                <w:sz w:val="24"/>
                <w:szCs w:val="24"/>
              </w:rPr>
              <w:tab/>
              <w:t xml:space="preserve">et </w:t>
            </w:r>
          </w:p>
          <w:p w14:paraId="69E54494"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lastRenderedPageBreak/>
              <w:t xml:space="preserve">d’AtsimoAndrefana </w:t>
            </w:r>
          </w:p>
        </w:tc>
      </w:tr>
      <w:tr w:rsidR="00236B62" w:rsidRPr="001F1AEF" w14:paraId="34EDF1F1" w14:textId="77777777" w:rsidTr="00495272">
        <w:trPr>
          <w:trHeight w:val="1392"/>
        </w:trPr>
        <w:tc>
          <w:tcPr>
            <w:tcW w:w="1133" w:type="dxa"/>
            <w:tcBorders>
              <w:top w:val="single" w:sz="4" w:space="0" w:color="000000"/>
              <w:left w:val="single" w:sz="4" w:space="0" w:color="000000"/>
              <w:bottom w:val="single" w:sz="4" w:space="0" w:color="000000"/>
              <w:right w:val="single" w:sz="4" w:space="0" w:color="000000"/>
            </w:tcBorders>
          </w:tcPr>
          <w:p w14:paraId="52E97225"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lastRenderedPageBreak/>
              <w:t xml:space="preserve">2016 </w:t>
            </w:r>
          </w:p>
        </w:tc>
        <w:tc>
          <w:tcPr>
            <w:tcW w:w="3480" w:type="dxa"/>
            <w:tcBorders>
              <w:top w:val="single" w:sz="4" w:space="0" w:color="000000"/>
              <w:left w:val="single" w:sz="4" w:space="0" w:color="000000"/>
              <w:bottom w:val="single" w:sz="4" w:space="0" w:color="000000"/>
              <w:right w:val="single" w:sz="4" w:space="0" w:color="000000"/>
            </w:tcBorders>
          </w:tcPr>
          <w:p w14:paraId="60CCCF0E"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Formation initiale sur les enjeux et les problématiques de la violence conjugale ainsi que la procédure de prise en charge judiciaire d’une femme victime de la violence conjugale </w:t>
            </w:r>
          </w:p>
        </w:tc>
        <w:tc>
          <w:tcPr>
            <w:tcW w:w="1622" w:type="dxa"/>
            <w:tcBorders>
              <w:top w:val="single" w:sz="4" w:space="0" w:color="000000"/>
              <w:left w:val="single" w:sz="4" w:space="0" w:color="000000"/>
              <w:bottom w:val="single" w:sz="4" w:space="0" w:color="000000"/>
              <w:right w:val="single" w:sz="4" w:space="0" w:color="000000"/>
            </w:tcBorders>
          </w:tcPr>
          <w:p w14:paraId="2C302F38"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ENDA </w:t>
            </w:r>
          </w:p>
          <w:p w14:paraId="4F9036BC"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Océan Indien </w:t>
            </w:r>
          </w:p>
        </w:tc>
        <w:tc>
          <w:tcPr>
            <w:tcW w:w="2417" w:type="dxa"/>
            <w:tcBorders>
              <w:top w:val="single" w:sz="4" w:space="0" w:color="000000"/>
              <w:left w:val="single" w:sz="4" w:space="0" w:color="000000"/>
              <w:bottom w:val="single" w:sz="4" w:space="0" w:color="000000"/>
              <w:right w:val="single" w:sz="4" w:space="0" w:color="000000"/>
            </w:tcBorders>
          </w:tcPr>
          <w:p w14:paraId="6A909765"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171 gradés et gendarmes servant dans la ville </w:t>
            </w:r>
          </w:p>
          <w:p w14:paraId="480CFA5F"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d’Antananarivo </w:t>
            </w:r>
          </w:p>
        </w:tc>
      </w:tr>
      <w:tr w:rsidR="00236B62" w:rsidRPr="001F1AEF" w14:paraId="4F72BB26" w14:textId="77777777" w:rsidTr="00495272">
        <w:trPr>
          <w:trHeight w:val="1848"/>
        </w:trPr>
        <w:tc>
          <w:tcPr>
            <w:tcW w:w="1133" w:type="dxa"/>
            <w:tcBorders>
              <w:top w:val="single" w:sz="4" w:space="0" w:color="000000"/>
              <w:left w:val="single" w:sz="4" w:space="0" w:color="000000"/>
              <w:bottom w:val="single" w:sz="4" w:space="0" w:color="000000"/>
              <w:right w:val="single" w:sz="4" w:space="0" w:color="000000"/>
            </w:tcBorders>
          </w:tcPr>
          <w:p w14:paraId="276785D1"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2016 </w:t>
            </w:r>
          </w:p>
        </w:tc>
        <w:tc>
          <w:tcPr>
            <w:tcW w:w="3480" w:type="dxa"/>
            <w:tcBorders>
              <w:top w:val="single" w:sz="4" w:space="0" w:color="000000"/>
              <w:left w:val="single" w:sz="4" w:space="0" w:color="000000"/>
              <w:bottom w:val="single" w:sz="4" w:space="0" w:color="000000"/>
              <w:right w:val="single" w:sz="4" w:space="0" w:color="000000"/>
            </w:tcBorders>
          </w:tcPr>
          <w:p w14:paraId="49855F8B" w14:textId="77777777" w:rsidR="00236B62" w:rsidRPr="001F1AEF" w:rsidRDefault="00236B62" w:rsidP="00236B62">
            <w:pPr>
              <w:spacing w:after="120"/>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Formation initiale sur les enjeux et les problématiques de la violence conjugale ainsi que la procédure de prise en charge judiciaire d’une femme victime de la violence conjugale </w:t>
            </w:r>
          </w:p>
        </w:tc>
        <w:tc>
          <w:tcPr>
            <w:tcW w:w="1622" w:type="dxa"/>
            <w:tcBorders>
              <w:top w:val="single" w:sz="4" w:space="0" w:color="000000"/>
              <w:left w:val="single" w:sz="4" w:space="0" w:color="000000"/>
              <w:bottom w:val="single" w:sz="4" w:space="0" w:color="000000"/>
              <w:right w:val="single" w:sz="4" w:space="0" w:color="000000"/>
            </w:tcBorders>
          </w:tcPr>
          <w:p w14:paraId="1CAF2F51" w14:textId="77777777" w:rsidR="00236B62" w:rsidRPr="001F1AEF" w:rsidRDefault="00236B62" w:rsidP="00236B62">
            <w:pPr>
              <w:spacing w:after="120"/>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ENDA </w:t>
            </w:r>
          </w:p>
          <w:p w14:paraId="07B6E569" w14:textId="77777777" w:rsidR="00236B62" w:rsidRPr="001F1AEF" w:rsidRDefault="00236B62" w:rsidP="00236B62">
            <w:pPr>
              <w:spacing w:after="120"/>
              <w:jc w:val="center"/>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Océan Indien </w:t>
            </w:r>
          </w:p>
        </w:tc>
        <w:tc>
          <w:tcPr>
            <w:tcW w:w="2417" w:type="dxa"/>
            <w:tcBorders>
              <w:top w:val="single" w:sz="4" w:space="0" w:color="000000"/>
              <w:left w:val="single" w:sz="4" w:space="0" w:color="000000"/>
              <w:bottom w:val="single" w:sz="4" w:space="0" w:color="000000"/>
              <w:right w:val="single" w:sz="4" w:space="0" w:color="000000"/>
            </w:tcBorders>
          </w:tcPr>
          <w:p w14:paraId="0E8B9C5A" w14:textId="77777777" w:rsidR="00236B62" w:rsidRPr="001F1AEF" w:rsidRDefault="00236B62" w:rsidP="00236B62">
            <w:pPr>
              <w:spacing w:after="120" w:line="243" w:lineRule="auto"/>
              <w:jc w:val="both"/>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25 officiers, gradés, gendarmes encadrements et 1185 élèves-gendarmes de l’école de la </w:t>
            </w:r>
          </w:p>
          <w:p w14:paraId="1CF9ECCF" w14:textId="77777777" w:rsidR="00236B62" w:rsidRPr="001F1AEF" w:rsidRDefault="00236B62" w:rsidP="00236B62">
            <w:pPr>
              <w:spacing w:after="120" w:line="237" w:lineRule="auto"/>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gendarmerie nationale </w:t>
            </w:r>
          </w:p>
          <w:p w14:paraId="3AFE78F2" w14:textId="77777777" w:rsidR="00236B62" w:rsidRPr="001F1AEF" w:rsidRDefault="00236B62" w:rsidP="00236B62">
            <w:pPr>
              <w:spacing w:after="120"/>
              <w:jc w:val="right"/>
              <w:rPr>
                <w:rFonts w:ascii="Times New Roman" w:hAnsi="Times New Roman" w:cs="Times New Roman"/>
                <w:color w:val="000000"/>
                <w:sz w:val="24"/>
                <w:szCs w:val="24"/>
              </w:rPr>
            </w:pPr>
            <w:r w:rsidRPr="001F1AEF">
              <w:rPr>
                <w:rFonts w:ascii="Times New Roman" w:hAnsi="Times New Roman" w:cs="Times New Roman"/>
                <w:color w:val="000000"/>
                <w:sz w:val="24"/>
                <w:szCs w:val="24"/>
              </w:rPr>
              <w:t xml:space="preserve">d’Ambositra (EGNA) </w:t>
            </w:r>
          </w:p>
        </w:tc>
      </w:tr>
    </w:tbl>
    <w:p w14:paraId="7F827578" w14:textId="77777777" w:rsidR="00236B62" w:rsidRPr="001F1AEF" w:rsidRDefault="00236B62" w:rsidP="00236B62">
      <w:pPr>
        <w:spacing w:after="120"/>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color w:val="000000"/>
          <w:sz w:val="24"/>
          <w:szCs w:val="24"/>
          <w:lang w:val="en-GB" w:eastAsia="fr-FR"/>
        </w:rPr>
        <w:t xml:space="preserve"> </w:t>
      </w:r>
    </w:p>
    <w:p w14:paraId="4AE18689" w14:textId="77777777" w:rsidR="00236B62" w:rsidRPr="001F1AEF" w:rsidRDefault="00236B62" w:rsidP="00236B62">
      <w:pPr>
        <w:spacing w:after="120"/>
        <w:rPr>
          <w:rFonts w:ascii="Times New Roman" w:hAnsi="Times New Roman" w:cs="Times New Roman"/>
          <w:b/>
          <w:sz w:val="24"/>
          <w:szCs w:val="24"/>
          <w:lang w:val="en-GB"/>
        </w:rPr>
      </w:pPr>
      <w:r w:rsidRPr="001F1AEF">
        <w:rPr>
          <w:rFonts w:ascii="Times New Roman" w:hAnsi="Times New Roman" w:cs="Times New Roman"/>
          <w:b/>
          <w:sz w:val="24"/>
          <w:szCs w:val="24"/>
          <w:lang w:val="en-GB"/>
        </w:rPr>
        <w:t>Recommendations:</w:t>
      </w:r>
    </w:p>
    <w:p w14:paraId="48F31F0B" w14:textId="77777777" w:rsidR="00236B62" w:rsidRPr="001F1AEF" w:rsidRDefault="00236B62" w:rsidP="00236B62">
      <w:pPr>
        <w:spacing w:after="120"/>
        <w:rPr>
          <w:rFonts w:ascii="Times New Roman" w:hAnsi="Times New Roman" w:cs="Times New Roman"/>
          <w:b/>
          <w:sz w:val="24"/>
          <w:szCs w:val="24"/>
          <w:lang w:val="en-GB"/>
        </w:rPr>
      </w:pPr>
      <w:r w:rsidRPr="001F1AEF">
        <w:rPr>
          <w:rFonts w:ascii="Times New Roman" w:hAnsi="Times New Roman" w:cs="Times New Roman"/>
          <w:b/>
          <w:sz w:val="24"/>
          <w:szCs w:val="24"/>
          <w:lang w:val="en-GB"/>
        </w:rPr>
        <w:t xml:space="preserve">The State Party </w:t>
      </w:r>
      <w:r w:rsidR="00495272">
        <w:rPr>
          <w:rFonts w:ascii="Times New Roman" w:hAnsi="Times New Roman" w:cs="Times New Roman"/>
          <w:b/>
          <w:sz w:val="24"/>
          <w:szCs w:val="24"/>
          <w:lang w:val="en-GB"/>
        </w:rPr>
        <w:t>should</w:t>
      </w:r>
      <w:r w:rsidRPr="001F1AEF">
        <w:rPr>
          <w:rFonts w:ascii="Times New Roman" w:hAnsi="Times New Roman" w:cs="Times New Roman"/>
          <w:b/>
          <w:sz w:val="24"/>
          <w:szCs w:val="24"/>
          <w:lang w:val="en-GB"/>
        </w:rPr>
        <w:t>:</w:t>
      </w:r>
    </w:p>
    <w:p w14:paraId="31FACAB4" w14:textId="77777777" w:rsidR="00236B62" w:rsidRPr="001F1AEF" w:rsidRDefault="00236B62" w:rsidP="00236B62">
      <w:pPr>
        <w:pStyle w:val="recommandations"/>
      </w:pPr>
      <w:r w:rsidRPr="001F1AEF">
        <w:t>Develop and implement awareness-raising programs, also supported by the media, on the issue of gender-based violence in its different forms, targeting girls and adolescents.</w:t>
      </w:r>
    </w:p>
    <w:p w14:paraId="7D3F2FD5" w14:textId="77777777" w:rsidR="00236B62" w:rsidRPr="001F1AEF" w:rsidRDefault="00236B62" w:rsidP="00236B62">
      <w:pPr>
        <w:pStyle w:val="recommandations"/>
      </w:pPr>
      <w:r w:rsidRPr="001F1AEF">
        <w:t>Take measures to reinforce the recruitment of female personnel for the reception of victims of violence within the police and gendarmerie corps.</w:t>
      </w:r>
    </w:p>
    <w:p w14:paraId="7C1AF36A" w14:textId="77777777" w:rsidR="00236B62" w:rsidRPr="001F1AEF" w:rsidRDefault="00236B62" w:rsidP="00236B62">
      <w:pPr>
        <w:pStyle w:val="recommandations"/>
      </w:pPr>
      <w:r w:rsidRPr="001F1AEF">
        <w:t>Strengthen institutional technical capacities of police and the national gendarmerie to ensure effective handling of gender-based violence cases.</w:t>
      </w:r>
    </w:p>
    <w:p w14:paraId="30F91F39" w14:textId="77777777" w:rsidR="00236B62" w:rsidRPr="001F1AEF" w:rsidRDefault="00236B62" w:rsidP="00236B62">
      <w:pPr>
        <w:pStyle w:val="recommandations"/>
      </w:pPr>
      <w:r w:rsidRPr="001F1AEF">
        <w:t>Clarify and popularize the definition of GBV.</w:t>
      </w:r>
    </w:p>
    <w:p w14:paraId="602F8EF8" w14:textId="77777777" w:rsidR="00236B62" w:rsidRPr="001F1AEF" w:rsidRDefault="00236B62" w:rsidP="00236B62">
      <w:pPr>
        <w:pStyle w:val="recommandations"/>
      </w:pPr>
      <w:r w:rsidRPr="001F1AEF">
        <w:t>Strengthen structures for dealing with GBV reports, from the registration of the complaint to the legal presentation, or the orientation towards the structures of reception and / or public care.</w:t>
      </w:r>
    </w:p>
    <w:p w14:paraId="1B8CA1F4" w14:textId="77777777" w:rsidR="00236B62" w:rsidRPr="001F1AEF" w:rsidRDefault="00236B62" w:rsidP="00236B62">
      <w:pPr>
        <w:pStyle w:val="recommandations"/>
      </w:pPr>
      <w:r w:rsidRPr="001F1AEF">
        <w:t>Incorporate the issue of gender violence and human rights into the curricula of schools and training institutes.</w:t>
      </w:r>
    </w:p>
    <w:p w14:paraId="7D2DC9A8" w14:textId="77777777" w:rsidR="00236B62" w:rsidRPr="001F1AEF" w:rsidRDefault="00236B62" w:rsidP="00236B62">
      <w:pPr>
        <w:pStyle w:val="recommandations"/>
      </w:pPr>
      <w:r w:rsidRPr="001F1AEF">
        <w:t>Adopt a law criminalizing marital rape.</w:t>
      </w:r>
    </w:p>
    <w:p w14:paraId="609E1ED3" w14:textId="77777777" w:rsidR="00236B62" w:rsidRPr="001F1AEF" w:rsidRDefault="00236B62" w:rsidP="00236B62">
      <w:pPr>
        <w:pStyle w:val="recommandations"/>
      </w:pPr>
      <w:r w:rsidRPr="001F1AEF">
        <w:lastRenderedPageBreak/>
        <w:t>Propose laws or legal provisions that clarify the definition of GBV and penalize the different forms of gender-based violence and provide for a system of sentences based on the degree of violence perpetrated.</w:t>
      </w:r>
    </w:p>
    <w:p w14:paraId="2D117AF7" w14:textId="77777777" w:rsidR="00236B62" w:rsidRPr="001F1AEF" w:rsidRDefault="00236B62" w:rsidP="00236B62">
      <w:pPr>
        <w:pStyle w:val="recommandations"/>
      </w:pPr>
      <w:r w:rsidRPr="001F1AEF">
        <w:t>Strengthen the system for the collection and use of data on gender-based violence from the police and the national gendarmerie.</w:t>
      </w:r>
    </w:p>
    <w:p w14:paraId="12A7284E" w14:textId="77777777" w:rsidR="00236B62" w:rsidRPr="001F1AEF" w:rsidRDefault="00236B62" w:rsidP="00236B62">
      <w:pPr>
        <w:pStyle w:val="recommandations"/>
      </w:pPr>
      <w:r w:rsidRPr="001F1AEF">
        <w:t>Establish an observatory for data collection, monitoring and evaluation for gender-based violence.</w:t>
      </w:r>
    </w:p>
    <w:p w14:paraId="31C1F242" w14:textId="77777777" w:rsidR="00495272" w:rsidRPr="001F1AEF" w:rsidRDefault="00236B62" w:rsidP="00236B62">
      <w:pPr>
        <w:spacing w:after="120"/>
        <w:rPr>
          <w:rFonts w:ascii="Times New Roman" w:hAnsi="Times New Roman" w:cs="Times New Roman"/>
          <w:sz w:val="24"/>
          <w:szCs w:val="24"/>
          <w:lang w:val="en-GB"/>
        </w:rPr>
      </w:pPr>
      <w:r w:rsidRPr="001F1AEF">
        <w:rPr>
          <w:rFonts w:ascii="Times New Roman" w:eastAsia="Times New Roman" w:hAnsi="Times New Roman" w:cs="Times New Roman"/>
          <w:color w:val="000000"/>
          <w:sz w:val="24"/>
          <w:szCs w:val="24"/>
          <w:lang w:val="en-GB" w:eastAsia="fr-FR"/>
        </w:rPr>
        <w:t xml:space="preserve"> </w:t>
      </w:r>
    </w:p>
    <w:p w14:paraId="7877911C" w14:textId="77777777" w:rsidR="000E1274" w:rsidRPr="001F1AEF" w:rsidRDefault="000E1274" w:rsidP="000E1274">
      <w:pPr>
        <w:pStyle w:val="titre1TM"/>
      </w:pPr>
      <w:r w:rsidRPr="001F1AEF">
        <w:t>Prohibition of torture and other cruel, inhuman or degrading treatment or punishment, summary or extra judiciary executions and enforced disappearance (art 6, 7 and 24)</w:t>
      </w:r>
    </w:p>
    <w:p w14:paraId="1E06D5C9" w14:textId="77777777" w:rsidR="000E1274" w:rsidRPr="001F1AEF" w:rsidRDefault="000E1274" w:rsidP="000E1274">
      <w:pPr>
        <w:pStyle w:val="titre1TM"/>
        <w:numPr>
          <w:ilvl w:val="0"/>
          <w:numId w:val="0"/>
        </w:numPr>
        <w:ind w:left="1080"/>
      </w:pPr>
    </w:p>
    <w:p w14:paraId="0744482E" w14:textId="77777777" w:rsidR="000E1274" w:rsidRPr="001F1AEF" w:rsidRDefault="000E1274" w:rsidP="000E1274">
      <w:pPr>
        <w:pBdr>
          <w:top w:val="single" w:sz="4" w:space="0" w:color="000000"/>
          <w:left w:val="single" w:sz="4" w:space="0" w:color="000000"/>
          <w:bottom w:val="single" w:sz="4" w:space="0" w:color="000000"/>
          <w:right w:val="single" w:sz="4" w:space="0" w:color="000000"/>
        </w:pBdr>
        <w:spacing w:after="145" w:line="245" w:lineRule="auto"/>
        <w:ind w:left="137" w:hanging="10"/>
        <w:jc w:val="both"/>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b/>
          <w:color w:val="000000"/>
          <w:sz w:val="24"/>
          <w:szCs w:val="24"/>
          <w:u w:val="single" w:color="000000"/>
          <w:lang w:val="en-GB" w:eastAsia="fr-FR"/>
        </w:rPr>
        <w:t xml:space="preserve">Issue </w:t>
      </w:r>
      <w:proofErr w:type="gramStart"/>
      <w:r w:rsidRPr="001F1AEF">
        <w:rPr>
          <w:rFonts w:ascii="Times New Roman" w:eastAsia="Times New Roman" w:hAnsi="Times New Roman" w:cs="Times New Roman"/>
          <w:b/>
          <w:color w:val="000000"/>
          <w:sz w:val="24"/>
          <w:szCs w:val="24"/>
          <w:u w:val="single" w:color="000000"/>
          <w:lang w:val="en-GB" w:eastAsia="fr-FR"/>
        </w:rPr>
        <w:t>11</w:t>
      </w:r>
      <w:r w:rsidRPr="001F1AEF">
        <w:rPr>
          <w:rFonts w:ascii="Times New Roman" w:eastAsia="Times New Roman" w:hAnsi="Times New Roman" w:cs="Times New Roman"/>
          <w:color w:val="000000"/>
          <w:sz w:val="24"/>
          <w:szCs w:val="24"/>
          <w:lang w:val="en-GB" w:eastAsia="fr-FR"/>
        </w:rPr>
        <w:t xml:space="preserve"> :</w:t>
      </w:r>
      <w:proofErr w:type="gramEnd"/>
      <w:r w:rsidRPr="001F1AEF">
        <w:rPr>
          <w:rFonts w:ascii="Times New Roman" w:eastAsia="Times New Roman" w:hAnsi="Times New Roman" w:cs="Times New Roman"/>
          <w:color w:val="000000"/>
          <w:sz w:val="24"/>
          <w:szCs w:val="24"/>
          <w:lang w:val="en-GB" w:eastAsia="fr-FR"/>
        </w:rPr>
        <w:t xml:space="preserve"> Please indicate whether Act No. 2008-008 on the prohibition of torture and other cruel, inhuman or degrading treatment or punishment has been revised to include a range of penalties for acts of ill-treatment. Please indicate whether the Criminal Code and the Code of Criminal Procedure have been revised to incorporate the relevant provisions of the law against torture. Please provide information on steps taken to ensure in practice that confessions obtained under duress or torture are inadmissible as evidence before the courts.</w:t>
      </w:r>
    </w:p>
    <w:p w14:paraId="6191BD1D" w14:textId="77777777" w:rsidR="000E1274" w:rsidRPr="001F1AEF" w:rsidRDefault="000E1274" w:rsidP="000E1274">
      <w:pPr>
        <w:pStyle w:val="titre1TM"/>
        <w:numPr>
          <w:ilvl w:val="0"/>
          <w:numId w:val="0"/>
        </w:numPr>
      </w:pPr>
      <w:r w:rsidRPr="001F1AEF">
        <w:t>Reply / Comments from civil society:</w:t>
      </w:r>
    </w:p>
    <w:p w14:paraId="2F10E86A" w14:textId="77777777" w:rsidR="000E1274" w:rsidRPr="001F1AEF" w:rsidRDefault="000E1274" w:rsidP="000E1274">
      <w:pPr>
        <w:pStyle w:val="Paragraphedeliste"/>
      </w:pPr>
      <w:r w:rsidRPr="001F1AEF">
        <w:t>During its 47 session in November 2011, the Committee against torture recommended in its concluding observations to Madagascar to amend the law against torture n°2008-008.</w:t>
      </w:r>
    </w:p>
    <w:p w14:paraId="36B0ED0C" w14:textId="77777777" w:rsidR="000E1274" w:rsidRPr="001F1AEF" w:rsidRDefault="000E1274" w:rsidP="000E1274">
      <w:pPr>
        <w:pStyle w:val="Paragraphedeliste"/>
      </w:pPr>
      <w:r w:rsidRPr="001F1AEF">
        <w:t xml:space="preserve">The State has not planned any concrete measures until now, even though the revision of the Law n° 2008-008 on 25 June 2008 on the fight against torture has been announced for a while. </w:t>
      </w:r>
    </w:p>
    <w:p w14:paraId="3C82A43A" w14:textId="77777777" w:rsidR="000E1274" w:rsidRPr="001F1AEF" w:rsidRDefault="000E1274" w:rsidP="000E1274">
      <w:pPr>
        <w:pStyle w:val="Paragraphedeliste"/>
      </w:pPr>
      <w:r w:rsidRPr="001F1AEF">
        <w:t xml:space="preserve">No revision of the Criminal code was started to include the provisions of this law. This absence of inclusion does not contribute to the dissemination of the law among law enforcement officers. Also, the provision of the 2008 law have not been included in the Code of Criminal Procedure despite the fact that this Code was revised in 2016 to include new provisions on pre-trial detention. </w:t>
      </w:r>
    </w:p>
    <w:p w14:paraId="7AE307C1" w14:textId="77777777" w:rsidR="000E1274" w:rsidRPr="001F1AEF" w:rsidRDefault="000E1274" w:rsidP="000E1274">
      <w:pPr>
        <w:pStyle w:val="Paragraphedeliste"/>
      </w:pPr>
      <w:r w:rsidRPr="001F1AEF">
        <w:t xml:space="preserve">In September 2009, following a workshop on the implementation of the Convention and the 2008 </w:t>
      </w:r>
      <w:proofErr w:type="gramStart"/>
      <w:r w:rsidRPr="001F1AEF">
        <w:t>Law which was organised in partnership with the Ministry of Justice a roadmap</w:t>
      </w:r>
      <w:proofErr w:type="gramEnd"/>
      <w:r w:rsidRPr="001F1AEF">
        <w:t xml:space="preserve"> was adopted. This roadmap includes the training of the law enforcement officers and the creation of teaching tools </w:t>
      </w:r>
      <w:r w:rsidR="004361A2" w:rsidRPr="001F1AEF">
        <w:t xml:space="preserve">to assist practitioners to have a better understanding of the Convention and the 2008 Law in their daily work. </w:t>
      </w:r>
    </w:p>
    <w:p w14:paraId="72AD6A46" w14:textId="77777777" w:rsidR="004361A2" w:rsidRPr="001F1AEF" w:rsidRDefault="004361A2" w:rsidP="004361A2">
      <w:pPr>
        <w:pStyle w:val="Paragraphedeliste"/>
      </w:pPr>
      <w:r w:rsidRPr="001F1AEF">
        <w:t>Thus, capacity building workshops have been organised for over a hundred judges, lawyers, police officers and prison staff between 2010 and 2011 on the joint initiative of the Ministry of Justice, the APT and in partnership with ACAT Madagascar and the National School of the Judiciary and Court Officers (ENMG)</w:t>
      </w:r>
    </w:p>
    <w:p w14:paraId="01D306AE" w14:textId="77777777" w:rsidR="004361A2" w:rsidRPr="001F1AEF" w:rsidRDefault="004361A2" w:rsidP="004361A2">
      <w:pPr>
        <w:pStyle w:val="Paragraphedeliste"/>
      </w:pPr>
      <w:r w:rsidRPr="001F1AEF">
        <w:t xml:space="preserve">In November 2015, 22 commanders from the search unit of the national gendarmery have participated to a training and </w:t>
      </w:r>
      <w:proofErr w:type="gramStart"/>
      <w:r w:rsidRPr="001F1AEF">
        <w:t>awareness raising</w:t>
      </w:r>
      <w:proofErr w:type="gramEnd"/>
      <w:r w:rsidRPr="001F1AEF">
        <w:t xml:space="preserve"> workshop on the universal declaration of human rights and international standards regarding investigation, arrest and detention and the prohibition of torture. From 4 to 5 October 2016, a training of trainers on the prohibition of </w:t>
      </w:r>
      <w:r w:rsidRPr="001F1AEF">
        <w:lastRenderedPageBreak/>
        <w:t xml:space="preserve">torture was organised by the Association for the Prevention of Torture (APT) in collaboration with the Ministry of Justice and ACAT Madagascar and with the support of the Swiss Embassy in Madagascar. 4 officers of the national gendarmerie and 2 police officers have participated to this workshop. </w:t>
      </w:r>
      <w:r w:rsidR="002A423D" w:rsidRPr="001F1AEF">
        <w:t xml:space="preserve">In 2015 and 2016, 18 interns on the issue of criminal analysis (ANACRIM) have received </w:t>
      </w:r>
      <w:proofErr w:type="gramStart"/>
      <w:r w:rsidR="002A423D" w:rsidRPr="001F1AEF">
        <w:t>a training</w:t>
      </w:r>
      <w:proofErr w:type="gramEnd"/>
      <w:r w:rsidR="002A423D" w:rsidRPr="001F1AEF">
        <w:t xml:space="preserve"> on the prohibition and prevention of torture given by the Office of the High Commissioner for Human Rights (OHCHR).</w:t>
      </w:r>
    </w:p>
    <w:p w14:paraId="17B3EF72" w14:textId="77777777" w:rsidR="002A423D" w:rsidRPr="001F1AEF" w:rsidRDefault="002A423D" w:rsidP="002A423D">
      <w:pPr>
        <w:pStyle w:val="Paragraphedeliste"/>
      </w:pPr>
      <w:r w:rsidRPr="001F1AEF">
        <w:t xml:space="preserve">Institutes and school for judicial and </w:t>
      </w:r>
      <w:r w:rsidR="008867F2">
        <w:t>prison staff, gendarmerie staff</w:t>
      </w:r>
      <w:r w:rsidRPr="001F1AEF">
        <w:t xml:space="preserve">, police officers and lawyers have committed to include the Convention and the 2008 Law into their curricula for initial training. According the Director of ongoing training and research from the Ministry of public security, from 2015, all trainings for police officers in service have included a part on the fight against torture. Since 2015 we have noted 571 police officers informed and educated on the fight against torture. </w:t>
      </w:r>
    </w:p>
    <w:p w14:paraId="6CF59EA9" w14:textId="77777777" w:rsidR="002A423D" w:rsidRPr="001F1AEF" w:rsidRDefault="002A423D" w:rsidP="002A423D">
      <w:pPr>
        <w:pStyle w:val="Paragraphedeliste"/>
      </w:pPr>
      <w:r w:rsidRPr="001F1AEF">
        <w:t>However, the incorporation of the Convention against torture and the 2008 Law in the curricula of the National Police Academy following the partnership between the</w:t>
      </w:r>
      <w:r w:rsidR="008867F2">
        <w:t xml:space="preserve"> national police and the OHCHR,</w:t>
      </w:r>
      <w:r w:rsidRPr="001F1AEF">
        <w:t xml:space="preserve"> will only be effective from the 2017-2019 academic year. </w:t>
      </w:r>
    </w:p>
    <w:p w14:paraId="25D4BDB8" w14:textId="77777777" w:rsidR="002A423D" w:rsidRPr="001F1AEF" w:rsidRDefault="002A423D" w:rsidP="002A423D">
      <w:pPr>
        <w:pStyle w:val="Paragraphedeliste"/>
      </w:pPr>
      <w:r w:rsidRPr="001F1AEF">
        <w:t>Furthermore, a group of 20 persons, including judges, lawyers, police officers, gendarmes and prison staff, was trained to become national referents for the prevention of torture. Those persons will be the ones who will build up o</w:t>
      </w:r>
      <w:r w:rsidR="004B7330" w:rsidRPr="001F1AEF">
        <w:t>n the knowledge and capacity of various national actors in terms of prevention of torture. They will be able to do so through counselling and technical assistance to law practitioners</w:t>
      </w:r>
      <w:r w:rsidRPr="001F1AEF">
        <w:t xml:space="preserve"> </w:t>
      </w:r>
      <w:r w:rsidR="004B7330" w:rsidRPr="001F1AEF">
        <w:t xml:space="preserve">regarding the implementation of the 2008 law. </w:t>
      </w:r>
    </w:p>
    <w:p w14:paraId="6D7F0D4A" w14:textId="77777777" w:rsidR="004B7330" w:rsidRPr="001F1AEF" w:rsidRDefault="004B7330" w:rsidP="002A423D">
      <w:pPr>
        <w:pStyle w:val="Paragraphedeliste"/>
      </w:pPr>
      <w:r w:rsidRPr="001F1AEF">
        <w:t xml:space="preserve">In 2012, a guide on the effective implementation of the Convention against torture and the 2008 Law was published and translated in national law. This guide was elaborated by the Ministry of Justice with the support of the APT and thanks to the financial support of the FSP </w:t>
      </w:r>
      <w:proofErr w:type="gramStart"/>
      <w:r w:rsidRPr="001F1AEF">
        <w:t>( Fonds</w:t>
      </w:r>
      <w:proofErr w:type="gramEnd"/>
      <w:r w:rsidRPr="001F1AEF">
        <w:t xml:space="preserve"> de solidarité prioritaire) “Support to the consolidation of the rule of law” by the French cooperation. </w:t>
      </w:r>
    </w:p>
    <w:p w14:paraId="3E2DBABB" w14:textId="77777777" w:rsidR="004B7330" w:rsidRPr="001F1AEF" w:rsidRDefault="004B7330" w:rsidP="002A423D">
      <w:pPr>
        <w:pStyle w:val="Paragraphedeliste"/>
      </w:pPr>
      <w:r w:rsidRPr="001F1AEF">
        <w:t xml:space="preserve">This guide was completed by other tools elaborated in 2015 by the Ministry of Justice once agains in cooperation with APT and funded by the Swiss Embassy. Those tools are the Guidebook for trainers on the prohibition and prevention of torture and other cruel, inhuman or degrading treatment or punishment (also in national language) as well as a compilation of legal text and other relevant documents on the prohibition of torture made available on CD. </w:t>
      </w:r>
    </w:p>
    <w:p w14:paraId="7B6172AB" w14:textId="77777777" w:rsidR="004B7330" w:rsidRPr="001F1AEF" w:rsidRDefault="004B7330" w:rsidP="002A423D">
      <w:pPr>
        <w:pStyle w:val="Paragraphedeliste"/>
      </w:pPr>
      <w:r w:rsidRPr="001F1AEF">
        <w:t xml:space="preserve">During the </w:t>
      </w:r>
      <w:proofErr w:type="gramStart"/>
      <w:r w:rsidRPr="001F1AEF">
        <w:t>above mentioned</w:t>
      </w:r>
      <w:proofErr w:type="gramEnd"/>
      <w:r w:rsidRPr="001F1AEF">
        <w:t xml:space="preserve"> workshops and in the guide and guidebook, a special focus was given to the provisions on the inadmissibility of confessions obtained under torture. </w:t>
      </w:r>
    </w:p>
    <w:p w14:paraId="6479090C" w14:textId="77777777" w:rsidR="004B7330" w:rsidRPr="001F1AEF" w:rsidRDefault="004B7330" w:rsidP="004B7330">
      <w:pPr>
        <w:rPr>
          <w:rFonts w:ascii="Times New Roman" w:hAnsi="Times New Roman" w:cs="Times New Roman"/>
          <w:b/>
          <w:sz w:val="24"/>
          <w:szCs w:val="24"/>
        </w:rPr>
      </w:pPr>
      <w:r w:rsidRPr="001F1AEF">
        <w:rPr>
          <w:rFonts w:ascii="Times New Roman" w:hAnsi="Times New Roman" w:cs="Times New Roman"/>
          <w:b/>
          <w:sz w:val="24"/>
          <w:szCs w:val="24"/>
        </w:rPr>
        <w:t>Recommandations :</w:t>
      </w:r>
    </w:p>
    <w:p w14:paraId="125D062D" w14:textId="77777777" w:rsidR="004B7330" w:rsidRPr="001F1AEF" w:rsidRDefault="004B7330" w:rsidP="004B7330">
      <w:pPr>
        <w:rPr>
          <w:rFonts w:ascii="Times New Roman" w:hAnsi="Times New Roman" w:cs="Times New Roman"/>
          <w:b/>
          <w:sz w:val="24"/>
          <w:szCs w:val="24"/>
        </w:rPr>
      </w:pPr>
      <w:r w:rsidRPr="001F1AEF">
        <w:rPr>
          <w:rFonts w:ascii="Times New Roman" w:hAnsi="Times New Roman" w:cs="Times New Roman"/>
          <w:b/>
          <w:sz w:val="24"/>
          <w:szCs w:val="24"/>
        </w:rPr>
        <w:t xml:space="preserve">The State party </w:t>
      </w:r>
      <w:r w:rsidR="00495272">
        <w:rPr>
          <w:rFonts w:ascii="Times New Roman" w:hAnsi="Times New Roman" w:cs="Times New Roman"/>
          <w:b/>
          <w:sz w:val="24"/>
          <w:szCs w:val="24"/>
        </w:rPr>
        <w:t>should</w:t>
      </w:r>
      <w:r w:rsidRPr="001F1AEF">
        <w:rPr>
          <w:rFonts w:ascii="Times New Roman" w:hAnsi="Times New Roman" w:cs="Times New Roman"/>
          <w:b/>
          <w:sz w:val="24"/>
          <w:szCs w:val="24"/>
        </w:rPr>
        <w:t> :</w:t>
      </w:r>
    </w:p>
    <w:p w14:paraId="15C2A6A5" w14:textId="77777777" w:rsidR="004B7330" w:rsidRPr="001F1AEF" w:rsidRDefault="004B7330" w:rsidP="004B7330">
      <w:pPr>
        <w:pStyle w:val="recommandations"/>
      </w:pPr>
      <w:r w:rsidRPr="001F1AEF">
        <w:t>Revise the law against torture to include a penalty scale for ill treatments;</w:t>
      </w:r>
    </w:p>
    <w:p w14:paraId="677FC78E" w14:textId="77777777" w:rsidR="004B7330" w:rsidRPr="001F1AEF" w:rsidRDefault="004B7330" w:rsidP="004B7330">
      <w:pPr>
        <w:pStyle w:val="recommandations"/>
      </w:pPr>
      <w:r w:rsidRPr="001F1AEF">
        <w:t>Revise the Criminal Code and Code of Criminal Procedure to incorporate the relevant provisions of the law against torture;</w:t>
      </w:r>
    </w:p>
    <w:p w14:paraId="2C177498" w14:textId="77777777" w:rsidR="004B7330" w:rsidRPr="001F1AEF" w:rsidRDefault="004B7330" w:rsidP="004B7330">
      <w:pPr>
        <w:pStyle w:val="recommandations"/>
        <w:numPr>
          <w:ilvl w:val="0"/>
          <w:numId w:val="0"/>
        </w:numPr>
      </w:pPr>
    </w:p>
    <w:p w14:paraId="1AE0B52D" w14:textId="77777777" w:rsidR="004B7330" w:rsidRPr="004B7330" w:rsidRDefault="004B7330" w:rsidP="004B7330">
      <w:pPr>
        <w:pBdr>
          <w:top w:val="single" w:sz="4" w:space="0" w:color="000000"/>
          <w:left w:val="single" w:sz="4" w:space="0" w:color="000000"/>
          <w:bottom w:val="single" w:sz="4" w:space="0" w:color="000000"/>
          <w:right w:val="single" w:sz="4" w:space="0" w:color="000000"/>
        </w:pBdr>
        <w:spacing w:after="145" w:line="245" w:lineRule="auto"/>
        <w:ind w:left="137" w:hanging="10"/>
        <w:jc w:val="both"/>
        <w:rPr>
          <w:rFonts w:ascii="Times New Roman" w:eastAsia="Times New Roman" w:hAnsi="Times New Roman" w:cs="Times New Roman"/>
          <w:color w:val="000000"/>
          <w:sz w:val="24"/>
          <w:szCs w:val="24"/>
          <w:lang w:val="en-GB" w:eastAsia="fr-FR"/>
        </w:rPr>
      </w:pPr>
      <w:r w:rsidRPr="001F1AEF">
        <w:rPr>
          <w:rFonts w:ascii="Times New Roman" w:eastAsia="Times New Roman" w:hAnsi="Times New Roman" w:cs="Times New Roman"/>
          <w:b/>
          <w:color w:val="000000"/>
          <w:sz w:val="24"/>
          <w:szCs w:val="24"/>
          <w:u w:val="single" w:color="000000"/>
          <w:lang w:val="en-GB" w:eastAsia="fr-FR"/>
        </w:rPr>
        <w:t xml:space="preserve">Issue </w:t>
      </w:r>
      <w:proofErr w:type="gramStart"/>
      <w:r w:rsidRPr="001F1AEF">
        <w:rPr>
          <w:rFonts w:ascii="Times New Roman" w:eastAsia="Times New Roman" w:hAnsi="Times New Roman" w:cs="Times New Roman"/>
          <w:b/>
          <w:color w:val="000000"/>
          <w:sz w:val="24"/>
          <w:szCs w:val="24"/>
          <w:u w:val="single" w:color="000000"/>
          <w:lang w:val="en-GB" w:eastAsia="fr-FR"/>
        </w:rPr>
        <w:t>12</w:t>
      </w:r>
      <w:r w:rsidRPr="004B7330">
        <w:rPr>
          <w:rFonts w:ascii="Times New Roman" w:eastAsia="Times New Roman" w:hAnsi="Times New Roman" w:cs="Times New Roman"/>
          <w:color w:val="000000"/>
          <w:sz w:val="24"/>
          <w:szCs w:val="24"/>
          <w:lang w:val="en-GB" w:eastAsia="fr-FR"/>
        </w:rPr>
        <w:t xml:space="preserve"> :</w:t>
      </w:r>
      <w:proofErr w:type="gramEnd"/>
      <w:r w:rsidRPr="004B7330">
        <w:rPr>
          <w:rFonts w:ascii="Times New Roman" w:eastAsia="Times New Roman" w:hAnsi="Times New Roman" w:cs="Times New Roman"/>
          <w:color w:val="000000"/>
          <w:sz w:val="24"/>
          <w:szCs w:val="24"/>
          <w:lang w:val="en-GB" w:eastAsia="fr-FR"/>
        </w:rPr>
        <w:t xml:space="preserve">  In the light of the previous concluding observations (para. 19), please respond to reports of allegations of torture and inhuman or degrading treatment of persons during their arrest and while they are in police custody and provide information on the number of </w:t>
      </w:r>
      <w:r w:rsidRPr="004B7330">
        <w:rPr>
          <w:rFonts w:ascii="Times New Roman" w:eastAsia="Times New Roman" w:hAnsi="Times New Roman" w:cs="Times New Roman"/>
          <w:color w:val="000000"/>
          <w:sz w:val="24"/>
          <w:szCs w:val="24"/>
          <w:lang w:val="en-GB" w:eastAsia="fr-FR"/>
        </w:rPr>
        <w:lastRenderedPageBreak/>
        <w:t>investigations, prosecutions and convictions in such cases and the remedies granted to the victims. Please provide statistical data on the number of complaints of torture and ill-treatment and the number of prosecutions and convictions handed down under Act No. 2008-008 on the prohibition of torture and other cruel, inhuman or degrading treatment or punishment.</w:t>
      </w:r>
    </w:p>
    <w:p w14:paraId="39933D8A" w14:textId="77777777" w:rsidR="004B7330" w:rsidRPr="001F1AEF" w:rsidRDefault="004B7330" w:rsidP="004B7330">
      <w:pPr>
        <w:pStyle w:val="recommandations"/>
        <w:numPr>
          <w:ilvl w:val="0"/>
          <w:numId w:val="0"/>
        </w:numPr>
      </w:pPr>
      <w:r w:rsidRPr="001F1AEF">
        <w:t>Replies / Comments from civil society</w:t>
      </w:r>
    </w:p>
    <w:p w14:paraId="60ACA7D4" w14:textId="77777777" w:rsidR="004B7330" w:rsidRPr="001F1AEF" w:rsidRDefault="004B7330" w:rsidP="004B7330">
      <w:pPr>
        <w:pStyle w:val="Paragraphedeliste"/>
      </w:pPr>
      <w:r w:rsidRPr="001F1AEF">
        <w:t xml:space="preserve">Law enforcement officers often use excessive force during arrests. </w:t>
      </w:r>
    </w:p>
    <w:p w14:paraId="5AAF61E8" w14:textId="77777777" w:rsidR="004B7330" w:rsidRPr="001F1AEF" w:rsidRDefault="004B7330" w:rsidP="004B7330">
      <w:pPr>
        <w:pStyle w:val="Paragraphedeliste"/>
      </w:pPr>
      <w:r w:rsidRPr="001F1AEF">
        <w:t xml:space="preserve">In July 2013, police officers with their face covered have brutally arrested Laza Razafiarison in Analakely, </w:t>
      </w:r>
      <w:bookmarkStart w:id="6" w:name="_Hlk487110647"/>
      <w:r w:rsidRPr="001F1AEF">
        <w:t xml:space="preserve">a presidential candidate </w:t>
      </w:r>
      <w:r w:rsidR="002D3F34" w:rsidRPr="001F1AEF">
        <w:t xml:space="preserve">for having organised a public demonstration calling for the withdrawal of three other candidates. He was pushed down to the ground and dragged by his feet, his head banging against the floor. </w:t>
      </w:r>
      <w:bookmarkEnd w:id="6"/>
    </w:p>
    <w:p w14:paraId="154BDEB8" w14:textId="77777777" w:rsidR="002D3F34" w:rsidRPr="001F1AEF" w:rsidRDefault="002D3F34" w:rsidP="004B7330">
      <w:pPr>
        <w:pStyle w:val="Paragraphedeliste"/>
      </w:pPr>
      <w:r w:rsidRPr="001F1AEF">
        <w:t xml:space="preserve">On 31 August 2015, members of the gendarmerie have arrested, with excessive use of force and while beating him, Jean Pierre Randrianamboarina, the leader of a student strike in Ankatso. Despite the protest of many civil society organisations (CSO) and the announcement by the government that an investigation was ongoing, it seems that no authors have been prosecuted and brought to justice. </w:t>
      </w:r>
    </w:p>
    <w:p w14:paraId="1AABFFBB" w14:textId="77777777" w:rsidR="002D3F34" w:rsidRPr="001F1AEF" w:rsidRDefault="002D3F34" w:rsidP="004B7330">
      <w:pPr>
        <w:pStyle w:val="Paragraphedeliste"/>
      </w:pPr>
      <w:r w:rsidRPr="001F1AEF">
        <w:t xml:space="preserve">However, according the information provided by the national gendarmerie for 2015, 3 members of the gendarmerie have been placed under arrest and judged by the ordinary criminal courts for acts of torture against a former Mayor in Taolagnaro. </w:t>
      </w:r>
    </w:p>
    <w:p w14:paraId="537E55F7" w14:textId="77777777" w:rsidR="002D3F34" w:rsidRPr="001F1AEF" w:rsidRDefault="002D3F34" w:rsidP="004B7330">
      <w:pPr>
        <w:pStyle w:val="Paragraphedeliste"/>
      </w:pPr>
      <w:r w:rsidRPr="001F1AEF">
        <w:t xml:space="preserve">In January 2015, in Toamasina, </w:t>
      </w:r>
      <w:proofErr w:type="gramStart"/>
      <w:r w:rsidRPr="001F1AEF">
        <w:t>a demonstrator was arrested by members of the Emmo-Reg (members of the Army, Gendarmerie and Police.</w:t>
      </w:r>
      <w:proofErr w:type="gramEnd"/>
      <w:r w:rsidRPr="001F1AEF">
        <w:t xml:space="preserve"> After his arrest he was given to members f the GSIS (group on security and intervention and on special intervention of the Gendarmerie) and was victim of physical violence before being brought to the gendarmerie. An hour later, more or less, members of the gendarmerie brought to the hospital a body almost without life. </w:t>
      </w:r>
    </w:p>
    <w:p w14:paraId="30B4C4F1" w14:textId="77777777" w:rsidR="002D3F34" w:rsidRPr="001F1AEF" w:rsidRDefault="002D3F34" w:rsidP="004B7330">
      <w:pPr>
        <w:pStyle w:val="Paragraphedeliste"/>
      </w:pPr>
      <w:r w:rsidRPr="001F1AEF">
        <w:t xml:space="preserve">There is no reliable statistics on the number of prosecutions against law enforcement officers who have used excessive force or have committed acts of torture during arrest or custody. </w:t>
      </w:r>
    </w:p>
    <w:p w14:paraId="21F40DB8" w14:textId="77777777" w:rsidR="002D3F34" w:rsidRPr="001F1AEF" w:rsidRDefault="002D3F34" w:rsidP="002D3F34">
      <w:pPr>
        <w:pStyle w:val="Paragraphedeliste"/>
      </w:pPr>
      <w:r w:rsidRPr="001F1AEF">
        <w:t>During the 50</w:t>
      </w:r>
      <w:r w:rsidRPr="001F1AEF">
        <w:rPr>
          <w:vertAlign w:val="superscript"/>
        </w:rPr>
        <w:t>th</w:t>
      </w:r>
      <w:r w:rsidRPr="001F1AEF">
        <w:t xml:space="preserve"> anniversary of the police ceremony in 2011, the Ministry of Public Security announced that 125 police officers were prosecuted following the clean up operation but without making a difference according to the offence prosecuted. Since then, the National Police General Inspectorate has not made any public communication on statistics on police officers prosecuted and sentenced. </w:t>
      </w:r>
    </w:p>
    <w:p w14:paraId="2ABF2037" w14:textId="77777777" w:rsidR="002D3F34" w:rsidRPr="001F1AEF" w:rsidRDefault="002D3F34" w:rsidP="002D3F34">
      <w:pPr>
        <w:pStyle w:val="Paragraphedeliste"/>
      </w:pPr>
      <w:r w:rsidRPr="001F1AEF">
        <w:t xml:space="preserve">It is difficult to know the number of complaints presented regarding excessive use of force and acts of torture as long as there is no system allowing the collections of complaints disaggregated by offense. </w:t>
      </w:r>
    </w:p>
    <w:p w14:paraId="0143A5B1" w14:textId="77777777" w:rsidR="00A66449" w:rsidRPr="001F1AEF" w:rsidRDefault="00A66449" w:rsidP="00A66449">
      <w:pPr>
        <w:rPr>
          <w:rFonts w:ascii="Times New Roman" w:hAnsi="Times New Roman" w:cs="Times New Roman"/>
          <w:b/>
          <w:sz w:val="24"/>
          <w:szCs w:val="24"/>
          <w:lang w:val="en-GB"/>
        </w:rPr>
      </w:pPr>
      <w:proofErr w:type="gramStart"/>
      <w:r w:rsidRPr="001F1AEF">
        <w:rPr>
          <w:rFonts w:ascii="Times New Roman" w:hAnsi="Times New Roman" w:cs="Times New Roman"/>
          <w:b/>
          <w:sz w:val="24"/>
          <w:szCs w:val="24"/>
          <w:lang w:val="en-GB"/>
        </w:rPr>
        <w:t>Recommendations :</w:t>
      </w:r>
      <w:proofErr w:type="gramEnd"/>
    </w:p>
    <w:p w14:paraId="1B382443" w14:textId="77777777" w:rsidR="00A66449" w:rsidRPr="001F1AEF" w:rsidRDefault="001F1AEF" w:rsidP="00A66449">
      <w:pPr>
        <w:rPr>
          <w:rFonts w:ascii="Times New Roman" w:hAnsi="Times New Roman" w:cs="Times New Roman"/>
          <w:b/>
          <w:sz w:val="24"/>
          <w:szCs w:val="24"/>
          <w:lang w:val="en-GB"/>
        </w:rPr>
      </w:pPr>
      <w:r w:rsidRPr="001F1AEF">
        <w:rPr>
          <w:rFonts w:ascii="Times New Roman" w:hAnsi="Times New Roman" w:cs="Times New Roman"/>
          <w:b/>
          <w:sz w:val="24"/>
          <w:szCs w:val="24"/>
          <w:lang w:val="en-GB"/>
        </w:rPr>
        <w:t xml:space="preserve">The State party </w:t>
      </w:r>
      <w:proofErr w:type="gramStart"/>
      <w:r w:rsidR="00495272">
        <w:rPr>
          <w:rFonts w:ascii="Times New Roman" w:hAnsi="Times New Roman" w:cs="Times New Roman"/>
          <w:b/>
          <w:sz w:val="24"/>
          <w:szCs w:val="24"/>
          <w:lang w:val="en-GB"/>
        </w:rPr>
        <w:t>should</w:t>
      </w:r>
      <w:r w:rsidRPr="001F1AEF">
        <w:rPr>
          <w:rFonts w:ascii="Times New Roman" w:hAnsi="Times New Roman" w:cs="Times New Roman"/>
          <w:b/>
          <w:sz w:val="24"/>
          <w:szCs w:val="24"/>
          <w:lang w:val="en-GB"/>
        </w:rPr>
        <w:t> :</w:t>
      </w:r>
      <w:proofErr w:type="gramEnd"/>
    </w:p>
    <w:p w14:paraId="53D3D137" w14:textId="77777777" w:rsidR="001F1AEF" w:rsidRDefault="00F61DAB" w:rsidP="001F1AEF">
      <w:pPr>
        <w:pStyle w:val="recommandations"/>
      </w:pPr>
      <w:r>
        <w:t xml:space="preserve">Carry out independent, swift and impartial investigations on cases of excessive use of force and torture having resulted in death or wounds, prosecute the authors of such offense and condemn then to penalties proportionate to the gravity of such acts. </w:t>
      </w:r>
    </w:p>
    <w:p w14:paraId="000E1D23" w14:textId="77777777" w:rsidR="00F61DAB" w:rsidRPr="006E4AA9" w:rsidRDefault="00F61DAB" w:rsidP="00F61DAB">
      <w:pPr>
        <w:pBdr>
          <w:top w:val="single" w:sz="4" w:space="0" w:color="000000"/>
          <w:left w:val="single" w:sz="4" w:space="0" w:color="000000"/>
          <w:bottom w:val="single" w:sz="4" w:space="0" w:color="000000"/>
          <w:right w:val="single" w:sz="4" w:space="0" w:color="000000"/>
        </w:pBdr>
        <w:spacing w:after="145" w:line="245" w:lineRule="auto"/>
        <w:ind w:hanging="10"/>
        <w:jc w:val="both"/>
        <w:rPr>
          <w:rFonts w:ascii="Times New Roman" w:eastAsia="Times New Roman" w:hAnsi="Times New Roman" w:cs="Times New Roman"/>
          <w:color w:val="000000"/>
          <w:lang w:val="en-GB" w:eastAsia="fr-FR"/>
        </w:rPr>
      </w:pPr>
      <w:r>
        <w:rPr>
          <w:rFonts w:ascii="Times New Roman" w:eastAsia="Times New Roman" w:hAnsi="Times New Roman" w:cs="Times New Roman"/>
          <w:b/>
          <w:color w:val="000000"/>
          <w:u w:val="single" w:color="000000"/>
          <w:lang w:val="en-GB" w:eastAsia="fr-FR"/>
        </w:rPr>
        <w:lastRenderedPageBreak/>
        <w:t>Issue</w:t>
      </w:r>
      <w:r w:rsidRPr="006E4AA9">
        <w:rPr>
          <w:rFonts w:ascii="Times New Roman" w:eastAsia="Times New Roman" w:hAnsi="Times New Roman" w:cs="Times New Roman"/>
          <w:b/>
          <w:color w:val="000000"/>
          <w:u w:val="single" w:color="000000"/>
          <w:lang w:val="en-GB" w:eastAsia="fr-FR"/>
        </w:rPr>
        <w:t xml:space="preserve"> </w:t>
      </w:r>
      <w:proofErr w:type="gramStart"/>
      <w:r w:rsidRPr="006E4AA9">
        <w:rPr>
          <w:rFonts w:ascii="Times New Roman" w:eastAsia="Times New Roman" w:hAnsi="Times New Roman" w:cs="Times New Roman"/>
          <w:b/>
          <w:color w:val="000000"/>
          <w:u w:val="single" w:color="000000"/>
          <w:lang w:val="en-GB" w:eastAsia="fr-FR"/>
        </w:rPr>
        <w:t>13</w:t>
      </w:r>
      <w:r w:rsidRPr="006E4AA9">
        <w:rPr>
          <w:rFonts w:ascii="Times New Roman" w:eastAsia="Times New Roman" w:hAnsi="Times New Roman" w:cs="Times New Roman"/>
          <w:color w:val="000000"/>
          <w:lang w:val="en-GB" w:eastAsia="fr-FR"/>
        </w:rPr>
        <w:t xml:space="preserve"> :</w:t>
      </w:r>
      <w:proofErr w:type="gramEnd"/>
      <w:r w:rsidRPr="006E4AA9">
        <w:rPr>
          <w:rFonts w:ascii="Times New Roman" w:eastAsia="Times New Roman" w:hAnsi="Times New Roman" w:cs="Times New Roman"/>
          <w:color w:val="000000"/>
          <w:lang w:val="en-GB" w:eastAsia="fr-FR"/>
        </w:rPr>
        <w:t xml:space="preserve"> Please provide information on the investigations and prosecutions carried out and the penalties imposed on perpetrators of human rights violations committed during the political crisis — including torture, summary and extrajudicial executions and enforced disappearances. Please provide statistics on the number of complaints lodged, the number of investigations launched and the number of criminal convictions or disciplinary measures handed down. Please provide information on the implementation of the road map for resolving the crisis, adopted in September 2011, and in particular on the process of national reconciliation and the establishment of a national solidarity fund.</w:t>
      </w:r>
    </w:p>
    <w:p w14:paraId="388083F5" w14:textId="77777777" w:rsidR="00F61DAB" w:rsidRDefault="00F61DAB" w:rsidP="00F61DAB">
      <w:pPr>
        <w:pStyle w:val="recommandations"/>
        <w:numPr>
          <w:ilvl w:val="0"/>
          <w:numId w:val="0"/>
        </w:numPr>
      </w:pPr>
    </w:p>
    <w:p w14:paraId="35532958" w14:textId="77777777" w:rsidR="00F61DAB" w:rsidRDefault="00F61DAB" w:rsidP="00F61DAB">
      <w:pPr>
        <w:pStyle w:val="recommandations"/>
        <w:numPr>
          <w:ilvl w:val="0"/>
          <w:numId w:val="0"/>
        </w:numPr>
      </w:pPr>
      <w:r>
        <w:t>Replies / Comments from civil society:</w:t>
      </w:r>
    </w:p>
    <w:p w14:paraId="5265E631" w14:textId="77777777" w:rsidR="00F61DAB" w:rsidRDefault="00F61DAB" w:rsidP="00F61DAB">
      <w:pPr>
        <w:pStyle w:val="Paragraphedeliste"/>
      </w:pPr>
      <w:r>
        <w:t xml:space="preserve">Members of the Joint National Investigative Commission (CNME), a body created by Decree n° 2009-282 of 30 March 2009 of the President of the High Authority for the Transition to exercise judicial and security powers regarding all illegal acts committed before, during and after the crisis, have used excessive force during numerous arrests. The creation and the mandate of the CNME are contrary to the provisions of the Code of Criminal Procedure which state that the responsibility to assess whether an offense was committed, to collect proofs and to find the author is up to the police under the supervision of the Public Prosecutor. Members of the CNME are not included in this list. </w:t>
      </w:r>
    </w:p>
    <w:p w14:paraId="2A3CBBBF" w14:textId="77777777" w:rsidR="00F61DAB" w:rsidRDefault="00F61DAB" w:rsidP="00F61DAB">
      <w:pPr>
        <w:pStyle w:val="Paragraphedeliste"/>
      </w:pPr>
      <w:r>
        <w:t xml:space="preserve">In 2011, political opponents to the High Authority for the Transitions and supporter of former President Marc Ravalomanana were arrested and arbitrarily placed in detention by security forces. The people arrested in 2009 were still in detention two years later. At least 18 detainees have done a hunger strike. </w:t>
      </w:r>
    </w:p>
    <w:p w14:paraId="76FB4EF9" w14:textId="77777777" w:rsidR="00F61DAB" w:rsidRDefault="00F61DAB" w:rsidP="00F61DAB">
      <w:pPr>
        <w:pStyle w:val="Paragraphedeliste"/>
      </w:pPr>
      <w:r>
        <w:t xml:space="preserve">The opposition journalist, Ambroise Ravonison was arrested by members of the High Authority for transition (HAT) in May 2009 while he was participating to a radio show in Antananarivo. Accused of having insulted the HAT President, he was placed in detention in Antanimora prison during two weeks and </w:t>
      </w:r>
      <w:r w:rsidR="001A546D">
        <w:t>given and suspended sentence of</w:t>
      </w:r>
      <w:r>
        <w:t xml:space="preserve"> 8 month</w:t>
      </w:r>
      <w:r w:rsidR="001A546D">
        <w:t>s</w:t>
      </w:r>
      <w:r>
        <w:t xml:space="preserve"> of prison</w:t>
      </w:r>
      <w:r w:rsidR="003C1039">
        <w:t>.</w:t>
      </w:r>
    </w:p>
    <w:p w14:paraId="22119654" w14:textId="77777777" w:rsidR="003C1039" w:rsidRDefault="003C1039" w:rsidP="00F61DAB">
      <w:pPr>
        <w:pStyle w:val="Paragraphedeliste"/>
      </w:pPr>
      <w:r>
        <w:t xml:space="preserve">The trial of the people accused of murder on 7 February 2009 at the presidential palace of Ambohitsorohitra started in June 2011. At least 19 persons were sentenced to jail time. The trial was not carried in conformity with international standards of fairness. Some of the accused were not able to exercise their rights of defence, their right to challenge the lawfulness of their detention, their rights to a fair hearing and their right to defend themselves in person or with the assistance of a lawyer. </w:t>
      </w:r>
    </w:p>
    <w:p w14:paraId="17C0CF56" w14:textId="77777777" w:rsidR="003C1039" w:rsidRDefault="003C1039" w:rsidP="00F61DAB">
      <w:pPr>
        <w:pStyle w:val="Paragraphedeliste"/>
      </w:pPr>
      <w:r>
        <w:t xml:space="preserve">While he was in exile in South Africa, the President Marc Ravalomanana was the object of a non-contradictory trial on the event of 7 February 2009 having resulted in over a hundred wounded and several </w:t>
      </w:r>
      <w:proofErr w:type="gramStart"/>
      <w:r>
        <w:t>death</w:t>
      </w:r>
      <w:proofErr w:type="gramEnd"/>
      <w:r>
        <w:t xml:space="preserve"> among the demonstrator in front of the Presidential Palace of Ambohitsirohitra. An arrest warrant was issued against the former head of State. </w:t>
      </w:r>
    </w:p>
    <w:p w14:paraId="5ADEE045" w14:textId="77777777" w:rsidR="003C1039" w:rsidRDefault="003C1039" w:rsidP="00902A32">
      <w:pPr>
        <w:pStyle w:val="Paragraphedeliste"/>
      </w:pPr>
      <w:r>
        <w:t xml:space="preserve">The deterioration of the political situation since January 2009 has contributed to an increase of violence against opponents. Thus, between January and March 2009, at least a hundred </w:t>
      </w:r>
      <w:proofErr w:type="gramStart"/>
      <w:r>
        <w:t>person</w:t>
      </w:r>
      <w:proofErr w:type="gramEnd"/>
      <w:r>
        <w:t xml:space="preserve"> would have died during demonstrations sometimes due to the repression of supporters of Andry Rajoelina or sometimes due to the security forces. A change of power in 2009 has not change the situation regarding law enforcement. After the explosion of </w:t>
      </w:r>
      <w:proofErr w:type="gramStart"/>
      <w:r>
        <w:t>home-made</w:t>
      </w:r>
      <w:proofErr w:type="gramEnd"/>
      <w:r>
        <w:t xml:space="preserve"> bomb in the capital in June 2009, many personalities close to the former government were arrested and several of them brutalised. In November 2010, law enforcement officers have arrested and brutalised a group of militaries accused of preparing a coup d’Etat. </w:t>
      </w:r>
      <w:r w:rsidR="00902A32">
        <w:t xml:space="preserve">In March 2011, the opponents </w:t>
      </w:r>
      <w:r w:rsidR="00902A32" w:rsidRPr="00902A32">
        <w:t xml:space="preserve">Alphonse Rafaralahitsimba </w:t>
      </w:r>
      <w:r w:rsidR="00902A32">
        <w:t>and</w:t>
      </w:r>
      <w:r w:rsidR="00902A32" w:rsidRPr="00902A32">
        <w:t xml:space="preserve"> Misa Arifetra Rakotoarivelo</w:t>
      </w:r>
      <w:r w:rsidR="00902A32">
        <w:t xml:space="preserve"> were </w:t>
      </w:r>
      <w:r w:rsidR="00902A32">
        <w:lastRenderedPageBreak/>
        <w:t xml:space="preserve">forced to confess under torture acts incriminating them for the murder attempt of Andry Rajoelina. They have been subjected to electrical shocks. In July 2013, </w:t>
      </w:r>
      <w:r w:rsidR="00902A32" w:rsidRPr="00902A32">
        <w:t>a presidential candidate</w:t>
      </w:r>
      <w:r w:rsidR="00902A32">
        <w:t xml:space="preserve"> was arrested</w:t>
      </w:r>
      <w:r w:rsidR="00902A32" w:rsidRPr="00902A32">
        <w:t xml:space="preserve"> for having organised a public demonstration calling for the withdrawal of three other candidates. He was pushed down to the ground and dragged by his feet, his head banging against the floor.</w:t>
      </w:r>
    </w:p>
    <w:p w14:paraId="334EA297" w14:textId="77777777" w:rsidR="00902A32" w:rsidRDefault="00902A32" w:rsidP="00902A32">
      <w:pPr>
        <w:pStyle w:val="Paragraphedeliste"/>
      </w:pPr>
      <w:r w:rsidRPr="006E4AA9">
        <w:t>Hajaharimananirainy Zenon</w:t>
      </w:r>
      <w:r>
        <w:t xml:space="preserve">, a taxi driver, was suspected to have thrown rocks on the presidential convoy. He was arrested in the capital and placed in detention during the night of 17 July 2011 and then tortured to death by members of the FIP. </w:t>
      </w:r>
    </w:p>
    <w:p w14:paraId="6AC0476E" w14:textId="77777777" w:rsidR="00902A32" w:rsidRDefault="00902A32" w:rsidP="00902A32">
      <w:pPr>
        <w:pStyle w:val="Paragraphedeliste"/>
      </w:pPr>
      <w:r>
        <w:t xml:space="preserve">During 2013, according to the same sources, the authorities had arrested and detained a certain number of politicians and militaries for having apparently planned violence during public demonstrations and strikes. </w:t>
      </w:r>
      <w:proofErr w:type="gramStart"/>
      <w:r>
        <w:t>They were denounced by demonstrators arrested</w:t>
      </w:r>
      <w:proofErr w:type="gramEnd"/>
      <w:r>
        <w:t xml:space="preserve">. </w:t>
      </w:r>
    </w:p>
    <w:p w14:paraId="6D813939" w14:textId="77777777" w:rsidR="00902A32" w:rsidRDefault="005F2979" w:rsidP="00902A32">
      <w:pPr>
        <w:pStyle w:val="Paragraphedeliste"/>
      </w:pPr>
      <w:r>
        <w:t>On 23 July 2013</w:t>
      </w:r>
      <w:r w:rsidR="00FE250C">
        <w:t xml:space="preserve">, law enforcement officers have arrested Laza Razafiarison, presidential candidate and secretary general of a party of the opposition for its role regarding the political demonstration in Antananarivo asking for elections and the resignation of the de faco President Andry Rajoelina, Razafiarison Laza and seven other supporters were prosecuted for having organised non-authorised public meetings, violation of public orders and insult to law enforcement officers. On 29 July 2013, they were given a suspended sentence of two months imprisonment. However, there was no prosecution against the law enforcement officers who torture Laza Raziarison during his arrest by dragging him on the floor. </w:t>
      </w:r>
    </w:p>
    <w:p w14:paraId="117D3FFD" w14:textId="77777777" w:rsidR="00FE250C" w:rsidRDefault="00FE250C" w:rsidP="00FE250C">
      <w:pPr>
        <w:pStyle w:val="Paragraphedeliste"/>
      </w:pPr>
      <w:r>
        <w:t xml:space="preserve">On 13 October 2014, the authorities arrested and detained without any formal charges the former President Marc Ravalomanana following his non-authorised return after his forced exile in South Africa and due to his subsequent communications to the medias, described as provocative by the government. Ravalomanana was placed by presidential decree, on the basis of an Order from 1960 on the legal proceedings against people having committed subversive acts, on house arrest </w:t>
      </w:r>
      <w:r w:rsidR="00853421">
        <w:t xml:space="preserve">in Antsiranana </w:t>
      </w:r>
      <w:r>
        <w:t>for an unlimited time</w:t>
      </w:r>
      <w:r w:rsidR="00853421">
        <w:t xml:space="preserve"> in order to maintain public order and for his own security. </w:t>
      </w:r>
    </w:p>
    <w:p w14:paraId="0D0C7F31" w14:textId="77777777" w:rsidR="00853421" w:rsidRDefault="00853421" w:rsidP="00FE250C">
      <w:pPr>
        <w:pStyle w:val="Paragraphedeliste"/>
      </w:pPr>
      <w:r>
        <w:t xml:space="preserve">Following a summit on national reconciliation between former Presidents and the current President and organised by the Oecumenical Council of Christian Churches (FFKM) on 19 December 2014, Ravalomanana was transferred on 24 December 2014 to his residence in Antananarivo. At the end of the year, he was still on house arrest even though the negotiations for the reconciliation were still ongoing. Jean Marc Koumba, former bodyguard of Ravalomanana and four members of the Civil Aviation of Madagascar (ACM) were placed under arrest at the main prison of Antsiranana. They were suspected to be accomplices of the return of Ravalomanana by a </w:t>
      </w:r>
      <w:proofErr w:type="gramStart"/>
      <w:r>
        <w:t>plane which</w:t>
      </w:r>
      <w:proofErr w:type="gramEnd"/>
      <w:r>
        <w:t xml:space="preserve"> had landed without permission. The five accused were provisionally released on 17 December 2014.</w:t>
      </w:r>
    </w:p>
    <w:p w14:paraId="337829B5" w14:textId="77777777" w:rsidR="00853421" w:rsidRDefault="00853421" w:rsidP="00FE250C">
      <w:pPr>
        <w:pStyle w:val="Paragraphedeliste"/>
      </w:pPr>
      <w:r>
        <w:t>Regarding the implementation of the roadmap for overcoming the crisis, in particular the process of national reconciliation, many citizens, politicians or not, agree that Madagascar might again be subjected a new electoral or post electoral crisis during the presidential elections of 2018 if effective measures regarding national reconciliation are not taken.</w:t>
      </w:r>
    </w:p>
    <w:p w14:paraId="23E4D35B" w14:textId="77777777" w:rsidR="00E02DC2" w:rsidRDefault="00853421" w:rsidP="00E02DC2">
      <w:pPr>
        <w:pStyle w:val="Paragraphedeliste"/>
      </w:pPr>
      <w:r>
        <w:t xml:space="preserve">According to the Law n°2011-014 of 28 December 2011, on the incorporation of the road map in the domestic legal system, the national reconciliation process, under the direction of a national body named </w:t>
      </w:r>
      <w:r w:rsidRPr="006E4AA9">
        <w:t>Filankevitry ny Fampihavanana Malagasy</w:t>
      </w:r>
      <w:r>
        <w:t xml:space="preserve"> (the Malagasy Reconciliation Council) established under Law n°2012-010 of 30 July2012, should be started in order to heal the individual and collective wounds from the past and </w:t>
      </w:r>
      <w:r w:rsidR="00E02DC2">
        <w:t xml:space="preserve">build up solid foundations for the future. However this process has not had the expected results. Despite the </w:t>
      </w:r>
      <w:r w:rsidR="00E02DC2">
        <w:lastRenderedPageBreak/>
        <w:t xml:space="preserve">coming to power of the President </w:t>
      </w:r>
      <w:r w:rsidR="00E02DC2" w:rsidRPr="006E4AA9">
        <w:t>Rajaonarimampianina</w:t>
      </w:r>
      <w:r w:rsidR="00E02DC2">
        <w:t xml:space="preserve"> on 25 January 2014, which brought the country back to a constitutional order and led to the termination of sanctions by the international community, the lack of stability does not allow for a social and economic development, for a consolidation of unity and cohesion, and for the social peace which would create solid foundations for the future. According to observers and politicians the stability that should rise from these 3 objectives is still to build. </w:t>
      </w:r>
    </w:p>
    <w:p w14:paraId="1C8D124B" w14:textId="77777777" w:rsidR="00E02DC2" w:rsidRDefault="00E02DC2" w:rsidP="00E02DC2">
      <w:pPr>
        <w:pStyle w:val="Paragraphedeliste"/>
      </w:pPr>
      <w:r>
        <w:t xml:space="preserve">Among other things, it is expected from the national reconciliation process to put an end to any revenge spirit from politicians and to contribute to a true democracy allowing all politician actors to take part in the next electoral process. However, there is still a division. </w:t>
      </w:r>
    </w:p>
    <w:p w14:paraId="6B037E9E" w14:textId="77777777" w:rsidR="00E02DC2" w:rsidRDefault="00E02DC2" w:rsidP="00E02DC2">
      <w:pPr>
        <w:pStyle w:val="Paragraphedeliste"/>
      </w:pPr>
      <w:r>
        <w:t xml:space="preserve">According to the statement of the Oecumenical Council of Churches on 27 November 2016, this failure is due to the fact that none of the resolution taken during the national reconciliation meetings in CCI Ivato </w:t>
      </w:r>
      <w:proofErr w:type="gramStart"/>
      <w:r>
        <w:t>were</w:t>
      </w:r>
      <w:proofErr w:type="gramEnd"/>
      <w:r>
        <w:t xml:space="preserve"> put into effect. </w:t>
      </w:r>
    </w:p>
    <w:p w14:paraId="001D5628" w14:textId="77777777" w:rsidR="00E02DC2" w:rsidRDefault="00E02DC2" w:rsidP="00E02DC2">
      <w:pPr>
        <w:pStyle w:val="Paragraphedeliste"/>
      </w:pPr>
      <w:r>
        <w:t>In fact, the notion of na</w:t>
      </w:r>
      <w:r w:rsidR="00A767A7">
        <w:t xml:space="preserve">tional reconciliation is linked to the existence of a serious political process initiated during the transition. </w:t>
      </w:r>
      <w:r w:rsidR="00531E23">
        <w:t xml:space="preserve">This should lead to a “true national reconciliation process” which is more a process of reconciliation of the Malagasy society with itself. That is what motivated the adoption of a new Law gathering the Law n°2012-007 of 3 May 2012 on amnesties for the national reconciliation, Law n°2012-010 of 30 July 2012 on the creation, mandate, attribution, composition and terms of the </w:t>
      </w:r>
      <w:r w:rsidR="00531E23" w:rsidRPr="006E4AA9">
        <w:t>Filankevitry ny Fampihavanana Malagasy (FFM)</w:t>
      </w:r>
      <w:r w:rsidR="00531E23">
        <w:t xml:space="preserve"> and the Order n°2012-004 of 9 October 2012 on the attribution, composition and functioning of an ad hoc Commission, called Special Commission, within the Supreme Court.</w:t>
      </w:r>
    </w:p>
    <w:p w14:paraId="007EFF99" w14:textId="77777777" w:rsidR="00B12849" w:rsidRDefault="00B12849" w:rsidP="0051714F">
      <w:pPr>
        <w:pStyle w:val="Paragraphedeliste"/>
      </w:pPr>
      <w:r>
        <w:t>This new law is the Law</w:t>
      </w:r>
      <w:r w:rsidR="0051714F">
        <w:t xml:space="preserve"> n°2016-037 of 15 December 2016 creating the </w:t>
      </w:r>
      <w:r w:rsidR="0051714F" w:rsidRPr="0051714F">
        <w:t xml:space="preserve">Fampihavanana Malagasy </w:t>
      </w:r>
      <w:r w:rsidR="0051714F">
        <w:t xml:space="preserve">Council </w:t>
      </w:r>
      <w:r w:rsidR="0051714F" w:rsidRPr="0051714F">
        <w:t xml:space="preserve">(CFM) </w:t>
      </w:r>
      <w:r w:rsidR="0051714F">
        <w:t xml:space="preserve">and National Fund for Reparation and Compensation (CNRI) which will manage the national solidary fund. A decree on the composition, the functioning and the attributions of a selection Committee for the members of the CFM was adopted during a ministerial council on 9 March 2017. Until now, no members of the CFM </w:t>
      </w:r>
      <w:proofErr w:type="gramStart"/>
      <w:r w:rsidR="0051714F">
        <w:t>nor</w:t>
      </w:r>
      <w:proofErr w:type="gramEnd"/>
      <w:r w:rsidR="0051714F">
        <w:t xml:space="preserve"> of the CNRI have been appointed. </w:t>
      </w:r>
    </w:p>
    <w:p w14:paraId="23203381" w14:textId="77777777" w:rsidR="0051714F" w:rsidRPr="001460D0" w:rsidRDefault="0051714F" w:rsidP="0051714F">
      <w:pPr>
        <w:rPr>
          <w:rFonts w:ascii="Times New Roman" w:hAnsi="Times New Roman" w:cs="Times New Roman"/>
          <w:b/>
          <w:sz w:val="24"/>
          <w:szCs w:val="24"/>
          <w:lang w:val="en-GB"/>
        </w:rPr>
      </w:pPr>
      <w:r w:rsidRPr="001460D0">
        <w:rPr>
          <w:rFonts w:ascii="Times New Roman" w:hAnsi="Times New Roman" w:cs="Times New Roman"/>
          <w:b/>
          <w:sz w:val="24"/>
          <w:szCs w:val="24"/>
          <w:lang w:val="en-GB"/>
        </w:rPr>
        <w:t>Recommendations</w:t>
      </w:r>
    </w:p>
    <w:p w14:paraId="25649014" w14:textId="77777777" w:rsidR="0051714F" w:rsidRPr="001460D0" w:rsidRDefault="0051714F" w:rsidP="0051714F">
      <w:pPr>
        <w:rPr>
          <w:rFonts w:ascii="Times New Roman" w:hAnsi="Times New Roman" w:cs="Times New Roman"/>
          <w:b/>
          <w:sz w:val="24"/>
          <w:szCs w:val="24"/>
          <w:lang w:val="en-GB"/>
        </w:rPr>
      </w:pPr>
      <w:r w:rsidRPr="001460D0">
        <w:rPr>
          <w:rFonts w:ascii="Times New Roman" w:hAnsi="Times New Roman" w:cs="Times New Roman"/>
          <w:b/>
          <w:sz w:val="24"/>
          <w:szCs w:val="24"/>
          <w:lang w:val="en-GB"/>
        </w:rPr>
        <w:t xml:space="preserve">The State party </w:t>
      </w:r>
      <w:proofErr w:type="gramStart"/>
      <w:r w:rsidR="00495272">
        <w:rPr>
          <w:rFonts w:ascii="Times New Roman" w:hAnsi="Times New Roman" w:cs="Times New Roman"/>
          <w:b/>
          <w:sz w:val="24"/>
          <w:szCs w:val="24"/>
          <w:lang w:val="en-GB"/>
        </w:rPr>
        <w:t>should</w:t>
      </w:r>
      <w:r w:rsidRPr="001460D0">
        <w:rPr>
          <w:rFonts w:ascii="Times New Roman" w:hAnsi="Times New Roman" w:cs="Times New Roman"/>
          <w:b/>
          <w:sz w:val="24"/>
          <w:szCs w:val="24"/>
          <w:lang w:val="en-GB"/>
        </w:rPr>
        <w:t> :</w:t>
      </w:r>
      <w:proofErr w:type="gramEnd"/>
      <w:r w:rsidRPr="001460D0">
        <w:rPr>
          <w:rFonts w:ascii="Times New Roman" w:hAnsi="Times New Roman" w:cs="Times New Roman"/>
          <w:b/>
          <w:sz w:val="24"/>
          <w:szCs w:val="24"/>
          <w:lang w:val="en-GB"/>
        </w:rPr>
        <w:t xml:space="preserve"> </w:t>
      </w:r>
    </w:p>
    <w:p w14:paraId="1DF80E82" w14:textId="77777777" w:rsidR="0051714F" w:rsidRDefault="0051714F" w:rsidP="0051714F">
      <w:pPr>
        <w:pStyle w:val="recommandations"/>
      </w:pPr>
      <w:r>
        <w:t xml:space="preserve">Accelerate the establishment </w:t>
      </w:r>
      <w:r w:rsidR="001460D0">
        <w:t xml:space="preserve">and operation </w:t>
      </w:r>
      <w:r>
        <w:t xml:space="preserve">of the new </w:t>
      </w:r>
      <w:r w:rsidRPr="0051714F">
        <w:t xml:space="preserve">Fampihavanana Malagasy </w:t>
      </w:r>
      <w:r>
        <w:t xml:space="preserve">Council </w:t>
      </w:r>
      <w:r w:rsidRPr="0051714F">
        <w:t>(CFM)</w:t>
      </w:r>
      <w:r w:rsidR="001460D0">
        <w:t xml:space="preserve">; </w:t>
      </w:r>
    </w:p>
    <w:p w14:paraId="50515064" w14:textId="77777777" w:rsidR="00495272" w:rsidRDefault="001460D0" w:rsidP="00495272">
      <w:pPr>
        <w:pStyle w:val="recommandations"/>
      </w:pPr>
      <w:r>
        <w:t xml:space="preserve">Ensure that the authors of the human rights </w:t>
      </w:r>
      <w:proofErr w:type="gramStart"/>
      <w:r>
        <w:t>violations which</w:t>
      </w:r>
      <w:proofErr w:type="gramEnd"/>
      <w:r>
        <w:t xml:space="preserve"> happened during the political crisis, in particular acts of torture, summary and extra judiciary executions and enforced disappearance, are prosecuted and condemned. </w:t>
      </w:r>
    </w:p>
    <w:p w14:paraId="5A85EAE3" w14:textId="77777777" w:rsidR="00495272" w:rsidRPr="00495272" w:rsidRDefault="00495272" w:rsidP="00495272">
      <w:pPr>
        <w:pStyle w:val="recommandations"/>
        <w:numPr>
          <w:ilvl w:val="0"/>
          <w:numId w:val="0"/>
        </w:numPr>
        <w:ind w:left="720"/>
      </w:pPr>
    </w:p>
    <w:p w14:paraId="5E90E925" w14:textId="77777777" w:rsidR="00495272" w:rsidRPr="00495272" w:rsidRDefault="00495272" w:rsidP="00495272">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 xml:space="preserve">Issue </w:t>
      </w:r>
      <w:r w:rsidRPr="00495272">
        <w:rPr>
          <w:rFonts w:ascii="Times New Roman" w:eastAsia="Times New Roman" w:hAnsi="Times New Roman" w:cs="Times New Roman"/>
          <w:b/>
          <w:bCs/>
          <w:color w:val="000000"/>
          <w:sz w:val="24"/>
          <w:szCs w:val="24"/>
          <w:u w:val="single"/>
          <w:lang w:val="en-GB"/>
        </w:rPr>
        <w:t>14</w:t>
      </w:r>
      <w:r w:rsidRPr="00495272">
        <w:rPr>
          <w:rFonts w:ascii="Times New Roman" w:eastAsia="Times New Roman" w:hAnsi="Times New Roman" w:cs="Times New Roman"/>
          <w:color w:val="000000"/>
          <w:sz w:val="24"/>
          <w:szCs w:val="24"/>
          <w:lang w:val="en-GB"/>
        </w:rPr>
        <w:t>: Please indicate the steps taken by the State Party to make corporal punishment unlawful in all places, including within the family.</w:t>
      </w:r>
    </w:p>
    <w:p w14:paraId="784D12BF" w14:textId="77777777" w:rsidR="00495272" w:rsidRPr="00495272" w:rsidRDefault="00495272" w:rsidP="00495272">
      <w:pP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3FD50F37" w14:textId="77777777" w:rsidR="00495272" w:rsidRPr="00495272" w:rsidRDefault="00495272" w:rsidP="00495272">
      <w:pPr>
        <w:pStyle w:val="Paragraphedeliste"/>
      </w:pPr>
      <w:r w:rsidRPr="00495272">
        <w:t xml:space="preserve">Since the concluding observations on the third/fourth reports of 8 March 2012 on the Convention on the rights of the child, which recommended that the State adopt legislation </w:t>
      </w:r>
      <w:r w:rsidRPr="00495272">
        <w:lastRenderedPageBreak/>
        <w:t xml:space="preserve">explicitly forbidding the corporal punishment of children, including within the family and in reception centres, it appears that no bill has been considered. </w:t>
      </w:r>
    </w:p>
    <w:p w14:paraId="6BB5851F" w14:textId="77777777" w:rsidR="00495272" w:rsidRPr="00495272" w:rsidRDefault="00495272" w:rsidP="00495272">
      <w:pPr>
        <w:pStyle w:val="Paragraphedeliste"/>
      </w:pPr>
      <w:r w:rsidRPr="00495272">
        <w:t xml:space="preserve">Nevertheless, in the context of awareness and social mobilisation, the Ministry of National Education stated in public on 4 April 2017 that violence in school by a teacher is both unjust and unacceptable. This followed acts of violence by a teacher who, as a punishment, slaped in the face some pupils from "La Croyance" private grammar school in the Anjanahary district and made them kneel down. </w:t>
      </w:r>
    </w:p>
    <w:p w14:paraId="2DC0F5CB" w14:textId="77777777" w:rsidR="00495272" w:rsidRPr="00495272" w:rsidRDefault="00495272" w:rsidP="00495272">
      <w:pPr>
        <w:pStyle w:val="Paragraphedeliste"/>
      </w:pPr>
      <w:r w:rsidRPr="00495272">
        <w:t>Their licence to teach has been withdrawn from both the teacher and the school, and the former has been prosecuted.</w:t>
      </w:r>
    </w:p>
    <w:p w14:paraId="5EA22637" w14:textId="77777777" w:rsidR="00495272" w:rsidRPr="00495272" w:rsidRDefault="00495272" w:rsidP="00495272">
      <w:pPr>
        <w:pStyle w:val="Paragraphedeliste"/>
      </w:pPr>
      <w:r w:rsidRPr="00495272">
        <w:t xml:space="preserve">Article 11 of Decree N° 5246-96/MEN of the Ministry of National Education would ban corporal punishment in schools. </w:t>
      </w:r>
    </w:p>
    <w:p w14:paraId="0DA0F209" w14:textId="77777777" w:rsidR="00495272" w:rsidRPr="00495272" w:rsidRDefault="00495272" w:rsidP="00495272">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727205E1" w14:textId="77777777" w:rsidR="00495272" w:rsidRPr="00495272" w:rsidRDefault="00495272" w:rsidP="00495272">
      <w:pPr>
        <w:tabs>
          <w:tab w:val="left" w:pos="8640"/>
        </w:tabs>
        <w:spacing w:before="100" w:beforeAutospacing="1" w:after="125"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1B5874F0" w14:textId="77777777" w:rsidR="00495272" w:rsidRPr="00495272" w:rsidRDefault="00495272" w:rsidP="00495272">
      <w:pPr>
        <w:pStyle w:val="recommandations"/>
      </w:pPr>
      <w:r w:rsidRPr="00495272">
        <w:t xml:space="preserve">Adopt a law explicitly and generally banning corporal punishment in all places, including within the family and in reception centres for children. </w:t>
      </w:r>
    </w:p>
    <w:p w14:paraId="2B8AD9C1" w14:textId="77777777" w:rsidR="00495272" w:rsidRPr="00495272" w:rsidRDefault="00495272" w:rsidP="00495272">
      <w:pPr>
        <w:pStyle w:val="titre1TM"/>
      </w:pPr>
      <w:r w:rsidRPr="00495272">
        <w:t>Right to liberty and security of person</w:t>
      </w:r>
      <w:r w:rsidRPr="00495272">
        <w:rPr>
          <w:rFonts w:ascii="Arial" w:hAnsi="Arial" w:cs="Arial"/>
        </w:rPr>
        <w:t xml:space="preserve"> </w:t>
      </w:r>
      <w:r w:rsidRPr="00495272">
        <w:t xml:space="preserve">(Art. 9) </w:t>
      </w:r>
    </w:p>
    <w:p w14:paraId="08D08E4B" w14:textId="305CDB28" w:rsidR="00495272" w:rsidRPr="00495272" w:rsidRDefault="004231D5" w:rsidP="004231D5">
      <w:pPr>
        <w:pBdr>
          <w:top w:val="single" w:sz="2" w:space="0" w:color="000001"/>
          <w:left w:val="single" w:sz="2" w:space="0" w:color="000001"/>
          <w:bottom w:val="single" w:sz="2" w:space="0" w:color="000001"/>
          <w:right w:val="single" w:sz="2" w:space="0" w:color="000001"/>
        </w:pBdr>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15</w:t>
      </w:r>
      <w:r w:rsidR="00495272" w:rsidRPr="00495272">
        <w:rPr>
          <w:rFonts w:ascii="Times New Roman" w:eastAsia="Times New Roman" w:hAnsi="Times New Roman" w:cs="Times New Roman"/>
          <w:color w:val="000000"/>
          <w:sz w:val="24"/>
          <w:szCs w:val="24"/>
          <w:lang w:val="en-GB"/>
        </w:rPr>
        <w:t>: Please describe the measures taken to ensure that fundamental legal safeguards for persons in detention are provided in practice, particularly the right to have access to a lawyer and a doctor and to contact family members. In the light of the previous concluding observations (para. 23), please provide information on measures taken by the State Party to reduce excessively long periods of police custody and indicate whether there are any plans to reduce the permitted length of police custody, which can be extended for up to 12 days, including for minors. Please indicate the measures taken to ensure that the new provisions of the Code of Criminal Procedure on periods of police custody are effectively enforced and to prevent abuse in that area. Please comment on reports that, because of the low budget allocated by the State, complainants are obliged to cover the transportation costs that criminal investigation officers incur in the course of investigations in order to make arrests, bring suspects before the public prosecutor or take them to prison.</w:t>
      </w:r>
    </w:p>
    <w:p w14:paraId="43EF8A2B" w14:textId="77777777" w:rsidR="00495272" w:rsidRPr="00495272" w:rsidRDefault="00495272" w:rsidP="00495272">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579472EE" w14:textId="77777777" w:rsidR="00495272" w:rsidRPr="00495272" w:rsidRDefault="00495272" w:rsidP="00495272">
      <w:pPr>
        <w:pStyle w:val="Paragraphedeliste"/>
      </w:pPr>
      <w:r w:rsidRPr="00495272">
        <w:t>To ensure compliance with the norms during detention and custody and prevent abuses, on 6 September 2012 the Ministry of Internal Security passed Decree No 24.480/2012 on the Code of Conduct of the national police. This decree, which is binding, is intended to inculcate within the police force the moral values inherent in the police mandate to protect persons and property and the Institutions in place and to keep strictly to the Constitution, laws and regulations. As both citizen and policeman, the latter must respect human beings and preserve their integrity and personal dignity. This Code of Conduct reinforces the provisions of Act No 96-026 of 2 October 1996 regulating the general autonomous status of national police personnel and Decree No 96-174 of 6 March 1996 on the Code of Ethics of the National Police.</w:t>
      </w:r>
    </w:p>
    <w:p w14:paraId="7509F018" w14:textId="77777777" w:rsidR="00495272" w:rsidRPr="00495272" w:rsidRDefault="00495272" w:rsidP="00495272">
      <w:pPr>
        <w:pStyle w:val="Paragraphedeliste"/>
      </w:pPr>
      <w:r w:rsidRPr="00495272">
        <w:t xml:space="preserve">Most of these safeguards are covered in Malagasy Law No 2008-008 of 25 June 2008 on the prohibition and prevention of torture and in the Code of Criminal Procedure. </w:t>
      </w:r>
    </w:p>
    <w:p w14:paraId="194CCE8B" w14:textId="77777777" w:rsidR="00495272" w:rsidRPr="00495272" w:rsidRDefault="00495272" w:rsidP="00495272">
      <w:pPr>
        <w:pStyle w:val="Paragraphedeliste"/>
      </w:pPr>
      <w:r w:rsidRPr="00495272">
        <w:lastRenderedPageBreak/>
        <w:t>Thus, the final subparagraph of Article 4 of Act No 2008-008 states that: "</w:t>
      </w:r>
      <w:r w:rsidRPr="00495272">
        <w:rPr>
          <w:i/>
        </w:rPr>
        <w:t>Failure to comply with these safeguards as soon as a person is deprived of his or her freedom will be subject to disciplinary measures or criminal proceedings in accordance with Article 114 of the Criminal Code, if appropriate.</w:t>
      </w:r>
      <w:r w:rsidRPr="00495272">
        <w:t xml:space="preserve">" </w:t>
      </w:r>
    </w:p>
    <w:p w14:paraId="329C6DDC" w14:textId="77777777" w:rsidR="00495272" w:rsidRPr="00495272" w:rsidRDefault="00495272" w:rsidP="00495272">
      <w:pPr>
        <w:pStyle w:val="Paragraphedeliste"/>
      </w:pPr>
      <w:r w:rsidRPr="00495272">
        <w:t xml:space="preserve">In recent years there has been more emphasis on </w:t>
      </w:r>
      <w:proofErr w:type="gramStart"/>
      <w:r w:rsidRPr="00495272">
        <w:t>capacity-building</w:t>
      </w:r>
      <w:proofErr w:type="gramEnd"/>
      <w:r w:rsidRPr="00495272">
        <w:t xml:space="preserve"> among members of the national police, including on the subject of police custody. A guide to effective implementation of the Convention against torture and the 2008 law on torture, translated into the national language, has been made available in police and gendarmerie schools. The prevention of torture during police custody is one of the subjects dealt with in this guide. </w:t>
      </w:r>
    </w:p>
    <w:p w14:paraId="362F4FB6" w14:textId="77777777" w:rsidR="00495272" w:rsidRPr="00495272" w:rsidRDefault="00495272" w:rsidP="00495272">
      <w:pPr>
        <w:pStyle w:val="Paragraphedeliste"/>
      </w:pPr>
      <w:r w:rsidRPr="00495272">
        <w:t xml:space="preserve">Although monitoring and control of places of deprivation of liberty are a way of preventing abuses during custody, the Public Prosecutor does not carry out this type of administrative or judicial monitoring. While it has the authority to supervise criminal investigation bodies, shortages of availability, resources and special training and a lack of interest are often invoked to explain the limitations of such monitoring. </w:t>
      </w:r>
    </w:p>
    <w:p w14:paraId="5011DB33" w14:textId="77777777" w:rsidR="00495272" w:rsidRPr="00495272" w:rsidRDefault="00495272" w:rsidP="00495272">
      <w:pPr>
        <w:pStyle w:val="Paragraphedeliste"/>
      </w:pPr>
      <w:r w:rsidRPr="00495272">
        <w:t xml:space="preserve">Nevertheless, it would seem that until the courts of first instance have at least minimal coverage over all 119 districts it will remain difficult to apply throughout the country the provisions of Article 4 of Act No 2008-008 of 25 June 2008 making it compulsory for a suspect to have access to a lawyer and a doctor as soon as he or she is detained. Lawyers act only in towns where courts of first instance exist and most of those liable to appear in court cannot afford to pay lawyers' travel expenses. </w:t>
      </w:r>
    </w:p>
    <w:p w14:paraId="58130473" w14:textId="77777777" w:rsidR="00495272" w:rsidRPr="00495272" w:rsidRDefault="00495272" w:rsidP="00495272">
      <w:pPr>
        <w:pStyle w:val="Paragraphedeliste"/>
      </w:pPr>
      <w:r w:rsidRPr="00495272">
        <w:t>It should also be noted that there are very few requests for medical examinations during custody, and few doctors prepared to carry them out, for fear of reprisals from the authorities.</w:t>
      </w:r>
    </w:p>
    <w:p w14:paraId="6C9E9035" w14:textId="77777777" w:rsidR="00495272" w:rsidRPr="00495272" w:rsidRDefault="00495272" w:rsidP="00495272">
      <w:pPr>
        <w:pStyle w:val="Paragraphedeliste"/>
      </w:pPr>
      <w:r w:rsidRPr="00495272">
        <w:t xml:space="preserve">Furthermore, the scope of Decree No 2009-970 of 14 July 2009 on legal aid remains limited since the Decree itself specifies that it </w:t>
      </w:r>
      <w:proofErr w:type="gramStart"/>
      <w:r w:rsidRPr="00495272">
        <w:t>applies</w:t>
      </w:r>
      <w:proofErr w:type="gramEnd"/>
      <w:r w:rsidRPr="00495272">
        <w:t xml:space="preserve"> only to proceedings brought before civil courts and civil parties appearing before criminal courts.</w:t>
      </w:r>
    </w:p>
    <w:p w14:paraId="1A0F38B1" w14:textId="77777777" w:rsidR="00495272" w:rsidRPr="00495272" w:rsidRDefault="00495272" w:rsidP="00495272">
      <w:pPr>
        <w:pStyle w:val="Paragraphedeliste"/>
      </w:pPr>
      <w:r w:rsidRPr="00495272">
        <w:t>There are no plans to reduce the time limit for custody, which is restricted by Article 136 of the Code of Criminal Procedure to 48 hours. If the Public Ministry magistrate is away from home, this time limit is extended to three days.</w:t>
      </w:r>
    </w:p>
    <w:p w14:paraId="54FEA675" w14:textId="77777777" w:rsidR="00495272" w:rsidRPr="00495272" w:rsidRDefault="00495272" w:rsidP="00495272">
      <w:pPr>
        <w:pStyle w:val="Paragraphedeliste"/>
      </w:pPr>
      <w:r w:rsidRPr="00495272">
        <w:t>If the residence of the police officer is outside the town where a court or a court section sits, he may apply to the magistrate or the Public Ministry officer for his police district for authorisation to extend custody for a period not exceeding 48 hours. This authorisation must be confirmed in writing and attached to the record of evidence.</w:t>
      </w:r>
    </w:p>
    <w:p w14:paraId="4844AD45" w14:textId="77777777" w:rsidR="00495272" w:rsidRPr="00495272" w:rsidRDefault="00495272" w:rsidP="00495272">
      <w:pPr>
        <w:pStyle w:val="Paragraphedeliste"/>
      </w:pPr>
      <w:r w:rsidRPr="00495272">
        <w:t xml:space="preserve">Once this deadline is past, the detainee must be set free or taken before the competent magistrate or Public Ministry officer. Custody may legally be extended by 24 hours for each 25 km of distance from the office of the police officer in charge of the enquiry, with a maximum of 12 days (Art. 137 CCP). It is, however, inadmissible for certain police officers to continue, under pressure from the political authorities, to refer to a text which is no longer applicable in order to justify an excessive length of time in custody for an individual suspected of an attack on the security of the State. Thus, in March 2011, Mamy Rakotoarivelo spent 15 days in custody to answer accusations of complicity in an assassination attempt on President Rajoelina. </w:t>
      </w:r>
    </w:p>
    <w:p w14:paraId="0DB816F2" w14:textId="77777777" w:rsidR="00495272" w:rsidRPr="00495272" w:rsidRDefault="00495272" w:rsidP="00495272">
      <w:pPr>
        <w:pStyle w:val="Paragraphedeliste"/>
      </w:pPr>
      <w:r w:rsidRPr="00495272">
        <w:t xml:space="preserve">The police and gendarmerie are ineffective due largely to a shortage of equipment and the obsolescence of what they do have, in particular very few vehicles among which most of </w:t>
      </w:r>
      <w:r w:rsidRPr="00495272">
        <w:lastRenderedPageBreak/>
        <w:t xml:space="preserve">them run down. The police increasingly spend time dealing efficiently and within a reasonable time with the investigative files given to them. </w:t>
      </w:r>
    </w:p>
    <w:p w14:paraId="6A550473" w14:textId="77777777" w:rsidR="00495272" w:rsidRPr="00495272" w:rsidRDefault="00495272" w:rsidP="00495272">
      <w:pPr>
        <w:pStyle w:val="Paragraphedeliste"/>
      </w:pPr>
      <w:r w:rsidRPr="00495272">
        <w:t xml:space="preserve">Victims and complainants suffer from this slowness in dealing with cases since there is a serious risk that suspects, evidence and stolen or fraudulently acquired property will disappear. </w:t>
      </w:r>
    </w:p>
    <w:p w14:paraId="5A989501" w14:textId="77777777" w:rsidR="00495272" w:rsidRPr="00495272" w:rsidRDefault="00495272" w:rsidP="00495272">
      <w:pPr>
        <w:pStyle w:val="Paragraphedeliste"/>
      </w:pPr>
      <w:r w:rsidRPr="00495272">
        <w:t>This situation poses a threat to equality of access to justice and the equal treatment of those liable to be taken to court, especially in the major towns, since the better off can speed up the processing of their complaints by paying the transport costs or fuel of the criminal investigation officers who demand such expenses in order to conduct investigations, make arrests and take people to court.</w:t>
      </w:r>
    </w:p>
    <w:p w14:paraId="2A99306A" w14:textId="77777777" w:rsidR="00495272" w:rsidRPr="00495272" w:rsidRDefault="00495272" w:rsidP="00495272">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51E31F4F" w14:textId="77777777" w:rsidR="00495272" w:rsidRPr="00495272" w:rsidRDefault="00495272" w:rsidP="00495272">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1134FA82" w14:textId="77777777" w:rsidR="00495272" w:rsidRPr="00495272" w:rsidRDefault="00495272" w:rsidP="00495272">
      <w:pPr>
        <w:pStyle w:val="recommandations"/>
      </w:pPr>
      <w:r w:rsidRPr="00495272">
        <w:t xml:space="preserve">Adopt new legal provisions making it compulsory for any extension of custody to be based on properly defined criteria. </w:t>
      </w:r>
    </w:p>
    <w:p w14:paraId="387B1AC7" w14:textId="77777777" w:rsidR="00495272" w:rsidRPr="00495272" w:rsidRDefault="00495272" w:rsidP="00495272">
      <w:pPr>
        <w:pStyle w:val="recommandations"/>
      </w:pPr>
      <w:r w:rsidRPr="00495272">
        <w:t xml:space="preserve">Adopt a law extending legal aid to criminal cases - making no distinction between offences and crimes - and making it possible for defence fees and criminal justice expenses to be paid as from the time when the criminal prosecution is opened. </w:t>
      </w:r>
    </w:p>
    <w:p w14:paraId="65BF1E0E" w14:textId="77777777" w:rsidR="00495272" w:rsidRPr="00495272" w:rsidRDefault="00495272" w:rsidP="00495272">
      <w:pPr>
        <w:pStyle w:val="recommandations"/>
      </w:pPr>
      <w:r w:rsidRPr="00495272">
        <w:t xml:space="preserve">Ensure that those in custody actually do have access to a doctor. </w:t>
      </w:r>
    </w:p>
    <w:p w14:paraId="6FF0F026" w14:textId="77777777" w:rsidR="00495272" w:rsidRPr="00495272" w:rsidRDefault="00495272" w:rsidP="00495272">
      <w:pPr>
        <w:pStyle w:val="recommandations"/>
      </w:pPr>
      <w:r w:rsidRPr="00495272">
        <w:t xml:space="preserve">Allocate the necessary funding and equipment to police and gendarmerie schools to ensure that police officers and gendarmes receive ongoing training. </w:t>
      </w:r>
    </w:p>
    <w:p w14:paraId="0939E5AF" w14:textId="77777777" w:rsidR="00495272" w:rsidRPr="00495272" w:rsidRDefault="00495272" w:rsidP="00495272">
      <w:pPr>
        <w:pStyle w:val="recommandations"/>
      </w:pPr>
      <w:r w:rsidRPr="00495272">
        <w:t xml:space="preserve">Increase the budgets allocated to the Ministry of Public Security (police) and the Secretariat of State for the gendarmerie to enable them to buy more vehicles and carry out their duties in accordance with norms and standards. </w:t>
      </w:r>
    </w:p>
    <w:p w14:paraId="0D2D1211" w14:textId="77777777" w:rsidR="00495272" w:rsidRPr="00495272" w:rsidRDefault="00495272" w:rsidP="00495272">
      <w:pPr>
        <w:pStyle w:val="recommandations"/>
      </w:pPr>
      <w:r w:rsidRPr="00495272">
        <w:t xml:space="preserve">Speed up procedures for the entry into force of the optional Protocol to the Convention against torture and enable the CNIDH (independent national commission on human rights) to act as a national mechanism for the prevention of torture. </w:t>
      </w:r>
    </w:p>
    <w:p w14:paraId="151ABF17" w14:textId="28163F22" w:rsidR="00495272" w:rsidRPr="00495272" w:rsidRDefault="004231D5" w:rsidP="004231D5">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 xml:space="preserve">Issue </w:t>
      </w:r>
      <w:r w:rsidR="00495272" w:rsidRPr="00495272">
        <w:rPr>
          <w:rFonts w:ascii="Times New Roman" w:eastAsia="Times New Roman" w:hAnsi="Times New Roman" w:cs="Times New Roman"/>
          <w:b/>
          <w:bCs/>
          <w:color w:val="000000"/>
          <w:sz w:val="24"/>
          <w:szCs w:val="24"/>
          <w:u w:val="single"/>
          <w:lang w:val="en-GB"/>
        </w:rPr>
        <w:t>16</w:t>
      </w:r>
      <w:r w:rsidR="00495272" w:rsidRPr="00495272">
        <w:rPr>
          <w:rFonts w:ascii="Times New Roman" w:eastAsia="Times New Roman" w:hAnsi="Times New Roman" w:cs="Times New Roman"/>
          <w:color w:val="000000"/>
          <w:sz w:val="24"/>
          <w:szCs w:val="24"/>
          <w:lang w:val="en-GB"/>
        </w:rPr>
        <w:t xml:space="preserve">: Please provide information on steps taken to ensure that, in practice, pretrial detention is used only in exceptional cases and that the </w:t>
      </w:r>
      <w:proofErr w:type="gramStart"/>
      <w:r w:rsidR="00495272" w:rsidRPr="00495272">
        <w:rPr>
          <w:rFonts w:ascii="Times New Roman" w:eastAsia="Times New Roman" w:hAnsi="Times New Roman" w:cs="Times New Roman"/>
          <w:color w:val="000000"/>
          <w:sz w:val="24"/>
          <w:szCs w:val="24"/>
          <w:lang w:val="en-GB"/>
        </w:rPr>
        <w:t>legally-established</w:t>
      </w:r>
      <w:proofErr w:type="gramEnd"/>
      <w:r w:rsidR="00495272" w:rsidRPr="00495272">
        <w:rPr>
          <w:rFonts w:ascii="Times New Roman" w:eastAsia="Times New Roman" w:hAnsi="Times New Roman" w:cs="Times New Roman"/>
          <w:color w:val="000000"/>
          <w:sz w:val="24"/>
          <w:szCs w:val="24"/>
          <w:lang w:val="en-GB"/>
        </w:rPr>
        <w:t xml:space="preserve"> limits on the length of pretrial detention are respected. Please provide information on the number of complaints of wrongful pretrial detention and indicate whether the officers involved were held responsible, in accordance with article 614 of the Code of Criminal Procedure. Please explain whether all individuals detained for political reasons during the sociopolitical crisis have now been released.</w:t>
      </w:r>
    </w:p>
    <w:p w14:paraId="3E218F93" w14:textId="77777777" w:rsidR="00495272" w:rsidRPr="00495272" w:rsidRDefault="00495272" w:rsidP="00495272">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288DD96A" w14:textId="77777777" w:rsidR="00495272" w:rsidRPr="00495272" w:rsidRDefault="00495272" w:rsidP="00495272">
      <w:pPr>
        <w:pStyle w:val="Paragraphedeliste"/>
      </w:pPr>
      <w:r w:rsidRPr="00495272">
        <w:t xml:space="preserve">In view of the chronic overcrowding in prisons, which has a considerable impact on conditions under which inmates are held and on respect for their human rights, the International Committee of the Red Cross (ICRC) has set up a multidisciplinary project to support the Ministry of Justice. </w:t>
      </w:r>
    </w:p>
    <w:p w14:paraId="64DA7745" w14:textId="77777777" w:rsidR="00495272" w:rsidRPr="00495272" w:rsidRDefault="00495272" w:rsidP="00495272">
      <w:pPr>
        <w:pStyle w:val="Paragraphedeliste"/>
      </w:pPr>
      <w:r w:rsidRPr="00495272">
        <w:lastRenderedPageBreak/>
        <w:t>At the central prison (</w:t>
      </w:r>
      <w:r w:rsidRPr="00495272">
        <w:rPr>
          <w:i/>
        </w:rPr>
        <w:t>Maison Centrale</w:t>
      </w:r>
      <w:r w:rsidRPr="00495272">
        <w:t xml:space="preserve">) in Antanimora, there are overall 3 289 prisoners, 1 377 of whom have been sentenced (41.87%) and 1 912 of whom are in pretrial detention (58.13 %). </w:t>
      </w:r>
    </w:p>
    <w:p w14:paraId="2C1E8203" w14:textId="77777777" w:rsidR="00495272" w:rsidRPr="00495272" w:rsidRDefault="00495272" w:rsidP="00495272">
      <w:pPr>
        <w:pStyle w:val="Paragraphedeliste"/>
      </w:pPr>
      <w:r w:rsidRPr="00495272">
        <w:t>In Madagascar's penal establishments as a whole there are 20 605 prisoners, 10 174 of whom have been sentenced (49.38 %) and 10 431 not yet tried (50.62 %). Of the 10 174 sentenced, 1 139 have applied for a judicial review or launched an objection and appeal procedure</w:t>
      </w:r>
      <w:bookmarkStart w:id="7" w:name="sdfootnote2anc"/>
      <w:r w:rsidRPr="00495272">
        <w:fldChar w:fldCharType="begin"/>
      </w:r>
      <w:r w:rsidRPr="00495272">
        <w:instrText xml:space="preserve"> HYPERLINK "https://webmail1k.orange.fr/webmail/fr_FR/preview/bedb250de550a17a6a5b1986e97b3683/7964377251fd9a796215d6c1b99cf81f/7964377251fd9a796215d6c1b99cf81f.html" \l "sdfootnote2sym" </w:instrText>
      </w:r>
      <w:r w:rsidRPr="00495272">
        <w:fldChar w:fldCharType="separate"/>
      </w:r>
      <w:r w:rsidRPr="00495272">
        <w:rPr>
          <w:color w:val="0000FF"/>
          <w:sz w:val="14"/>
          <w:szCs w:val="14"/>
          <w:u w:val="single"/>
          <w:vertAlign w:val="superscript"/>
        </w:rPr>
        <w:t>2</w:t>
      </w:r>
      <w:r w:rsidRPr="00495272">
        <w:fldChar w:fldCharType="end"/>
      </w:r>
      <w:bookmarkEnd w:id="7"/>
      <w:r w:rsidRPr="00495272">
        <w:t xml:space="preserve">. </w:t>
      </w:r>
    </w:p>
    <w:p w14:paraId="296E6ECE" w14:textId="77777777" w:rsidR="00495272" w:rsidRPr="00495272" w:rsidRDefault="00495272" w:rsidP="00495272">
      <w:pPr>
        <w:pStyle w:val="Paragraphedeliste"/>
      </w:pPr>
      <w:r w:rsidRPr="00495272">
        <w:t>In the country's penal establishments, the chronic overcrowding has a considerable impact on detainees. If the courts worked more efficiently and cases were dealt with more quickly the number of inmates could be much reduced. To this end, the Ministry of Justice and the ICRC have been working together since 2011 in a technical committee aiming to improve compliance with fundamental legal safeguards. In April 2014, the Malagasy Ministry of Justice and the ICRC organised a think-tank for some forty magistrates on how to reduce prison overcrowding and improve respect for the basic legal safeguards for detainees. The discussions centred on speeding up the processing of criminal cases, alternatives to pretrial detention and conditional release.</w:t>
      </w:r>
    </w:p>
    <w:p w14:paraId="0C9D93C7" w14:textId="77777777" w:rsidR="00495272" w:rsidRPr="00495272" w:rsidRDefault="00495272" w:rsidP="00495272">
      <w:pPr>
        <w:pStyle w:val="Paragraphedeliste"/>
      </w:pPr>
      <w:r w:rsidRPr="00495272">
        <w:t xml:space="preserve">The technical committee's efforts to improve compliance with fundamental legal safeguards and ICRC support for the authorities have led to the review of individual cases and the release of 95 detainees. Other steps such as the release of those held under arbitrary arrest, 659 of </w:t>
      </w:r>
      <w:proofErr w:type="gramStart"/>
      <w:r w:rsidRPr="00495272">
        <w:t>whom</w:t>
      </w:r>
      <w:proofErr w:type="gramEnd"/>
      <w:r w:rsidRPr="00495272">
        <w:t xml:space="preserve"> have appealed for a judicial review, are being studied. In addition, the Code of Criminal Procedure has been rewritten as regards judicial review and objective criteria for pretrial detention, in order to introduce new alternative measures to such detention and strengthen the legal safeguards for detainees. This has led the State to adopt Act No 2016-017 of 22 August 2016 amending and supplementing certain provisions of the CCP, including those relating to pretrial detention.</w:t>
      </w:r>
    </w:p>
    <w:p w14:paraId="143B02F3" w14:textId="77777777" w:rsidR="00495272" w:rsidRPr="00495272" w:rsidRDefault="00495272" w:rsidP="00495272">
      <w:pPr>
        <w:pStyle w:val="Paragraphedeliste"/>
      </w:pPr>
      <w:r w:rsidRPr="00495272">
        <w:t>The substantial changes include both the obligation for decisions on pretrial detention to be based on properly defined criteria and the institution of judicial supervision for a person on provisional release.</w:t>
      </w:r>
    </w:p>
    <w:p w14:paraId="36ECECF5" w14:textId="77777777" w:rsidR="00495272" w:rsidRPr="00495272" w:rsidRDefault="00495272" w:rsidP="00495272">
      <w:pPr>
        <w:pStyle w:val="Paragraphedeliste"/>
      </w:pPr>
      <w:r w:rsidRPr="00495272">
        <w:t xml:space="preserve">Thus the provisions of the Code of Criminal Procedure have been modified and supplemented as follows: </w:t>
      </w:r>
    </w:p>
    <w:p w14:paraId="3A4B5430" w14:textId="77777777" w:rsidR="00495272" w:rsidRPr="00495272" w:rsidRDefault="00495272" w:rsidP="00495272">
      <w:p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Art. 223 b), subparagraph 2, new text, on appeal against a pretrial detention decision: "</w:t>
      </w:r>
      <w:r w:rsidRPr="00495272">
        <w:rPr>
          <w:rFonts w:ascii="Times New Roman" w:eastAsia="Times New Roman" w:hAnsi="Times New Roman" w:cs="Times New Roman"/>
          <w:i/>
          <w:color w:val="000000"/>
          <w:sz w:val="24"/>
          <w:szCs w:val="24"/>
          <w:lang w:val="en-GB"/>
        </w:rPr>
        <w:t>A person charged may appeal against the decision to place him/her in pretrial detention when the objective criteria have not been respected. The Remand Chamber has competence in such cases."*</w:t>
      </w:r>
    </w:p>
    <w:p w14:paraId="76E97F77" w14:textId="77777777" w:rsidR="00495272" w:rsidRPr="00495272" w:rsidRDefault="00495272" w:rsidP="00495272">
      <w:p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Article 333, new text, on reasons for pretrial detention: "</w:t>
      </w:r>
      <w:r w:rsidRPr="00495272">
        <w:rPr>
          <w:rFonts w:ascii="Times New Roman" w:eastAsia="Times New Roman" w:hAnsi="Times New Roman" w:cs="Times New Roman"/>
          <w:i/>
          <w:color w:val="000000"/>
          <w:sz w:val="24"/>
          <w:szCs w:val="24"/>
          <w:lang w:val="en-GB"/>
        </w:rPr>
        <w:t xml:space="preserve">Pretrial detention is an exceptional measure. It may be ordered only when it has been demonstrated, in the light of specific, circumstantiated elements resulting from the procedure, that it constitutes the sole means of achieving one or more of the following objective criteria </w:t>
      </w:r>
      <w:r w:rsidRPr="00495272">
        <w:rPr>
          <w:rFonts w:ascii="Times New Roman" w:eastAsia="Times New Roman" w:hAnsi="Times New Roman" w:cs="Times New Roman"/>
          <w:b/>
          <w:i/>
          <w:color w:val="000000"/>
          <w:sz w:val="24"/>
          <w:szCs w:val="24"/>
          <w:lang w:val="en-GB"/>
        </w:rPr>
        <w:t>and that these could not be achieved by placing the person concerned under judicial supervision:</w:t>
      </w:r>
      <w:r w:rsidRPr="00495272">
        <w:rPr>
          <w:rFonts w:ascii="Times New Roman" w:eastAsia="Times New Roman" w:hAnsi="Times New Roman" w:cs="Times New Roman"/>
          <w:color w:val="000000"/>
          <w:sz w:val="24"/>
          <w:szCs w:val="24"/>
          <w:lang w:val="en-GB"/>
        </w:rPr>
        <w:t xml:space="preserve"> </w:t>
      </w:r>
    </w:p>
    <w:p w14:paraId="76CBE3C0"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Ensure that the person charged will remain at the disposal of the judicial authorities;</w:t>
      </w:r>
      <w:r w:rsidRPr="00495272">
        <w:t xml:space="preserve"> </w:t>
      </w:r>
    </w:p>
    <w:p w14:paraId="06ED2FC5"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Prevent interference with witnesses or the exertion of pressure or retaliation on victims or their families; </w:t>
      </w:r>
    </w:p>
    <w:p w14:paraId="544E4526"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lastRenderedPageBreak/>
        <w:t xml:space="preserve">Provide physical protection for the person charged; </w:t>
      </w:r>
    </w:p>
    <w:p w14:paraId="59BF9F91"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Take account of the tangible charges against the person concerned and the seriousness of the offence; </w:t>
      </w:r>
    </w:p>
    <w:p w14:paraId="27595292"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Prevent the person charged from conspiring with his/her accomplices; </w:t>
      </w:r>
    </w:p>
    <w:p w14:paraId="28C17D2A"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Preserve evidence or physical exhibits needed for the truth to come to light; </w:t>
      </w:r>
    </w:p>
    <w:p w14:paraId="21EB6ABC"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Put a stop to any exceptional breach of the public peace caused by the seriousness of the offence, the circumstances in which it was committed or the extent of the damage caused; </w:t>
      </w:r>
    </w:p>
    <w:p w14:paraId="5F6A63CB"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Put a stop to the offence or prevent its recurrence; </w:t>
      </w:r>
    </w:p>
    <w:p w14:paraId="0F83571D"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 xml:space="preserve">Stop any violation of judicial supervision. Pretrial detention may not be used in the case of individuals sued for acts punished by the law on summary offences (peines de simple police) or correctional sentences other than imprisonment. </w:t>
      </w:r>
    </w:p>
    <w:p w14:paraId="3CB1AA62" w14:textId="77777777" w:rsidR="00495272" w:rsidRPr="00495272" w:rsidRDefault="00495272" w:rsidP="00EF620C">
      <w:pPr>
        <w:pStyle w:val="Paragraphedeliste"/>
        <w:numPr>
          <w:ilvl w:val="0"/>
          <w:numId w:val="8"/>
        </w:numPr>
        <w:spacing w:before="100" w:beforeAutospacing="1" w:after="119" w:line="247" w:lineRule="auto"/>
        <w:ind w:right="-7"/>
      </w:pPr>
      <w:r w:rsidRPr="00495272">
        <w:rPr>
          <w:i/>
          <w:iCs/>
        </w:rPr>
        <w:t>The decision ordering pretrial detention must refer to one or more of the above criteria, giving reasons."</w:t>
      </w:r>
    </w:p>
    <w:p w14:paraId="06E249F2" w14:textId="77777777" w:rsidR="00495272" w:rsidRPr="00495272" w:rsidRDefault="00495272" w:rsidP="00495272">
      <w:p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Art.335.1, new text, on judicial supervision: "</w:t>
      </w:r>
      <w:r w:rsidRPr="00495272">
        <w:rPr>
          <w:rFonts w:ascii="Times New Roman" w:eastAsia="Times New Roman" w:hAnsi="Times New Roman" w:cs="Times New Roman"/>
          <w:i/>
          <w:color w:val="000000"/>
          <w:sz w:val="24"/>
          <w:szCs w:val="24"/>
          <w:lang w:val="en-GB"/>
        </w:rPr>
        <w:t>If the magistrate in charge of the case decides to leave the person charged at liberty, he may place him/her under judicial supervision.</w:t>
      </w:r>
    </w:p>
    <w:p w14:paraId="323B824F" w14:textId="77777777" w:rsidR="00495272" w:rsidRPr="00495272" w:rsidRDefault="00495272" w:rsidP="00495272">
      <w:p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Judicial supervision is exercised against a person charged with an </w:t>
      </w:r>
      <w:proofErr w:type="gramStart"/>
      <w:r w:rsidRPr="00495272">
        <w:rPr>
          <w:rFonts w:ascii="Times New Roman" w:eastAsia="Times New Roman" w:hAnsi="Times New Roman" w:cs="Times New Roman"/>
          <w:i/>
          <w:iCs/>
          <w:color w:val="000000"/>
          <w:sz w:val="24"/>
          <w:szCs w:val="24"/>
          <w:lang w:val="en-GB"/>
        </w:rPr>
        <w:t>offence which</w:t>
      </w:r>
      <w:proofErr w:type="gramEnd"/>
      <w:r w:rsidRPr="00495272">
        <w:rPr>
          <w:rFonts w:ascii="Times New Roman" w:eastAsia="Times New Roman" w:hAnsi="Times New Roman" w:cs="Times New Roman"/>
          <w:i/>
          <w:iCs/>
          <w:color w:val="000000"/>
          <w:sz w:val="24"/>
          <w:szCs w:val="24"/>
          <w:lang w:val="en-GB"/>
        </w:rPr>
        <w:t xml:space="preserve">, according to the summary information or a preliminary investigation, is punishable by deprivation of liberty. </w:t>
      </w:r>
    </w:p>
    <w:p w14:paraId="3002EFC9" w14:textId="77777777" w:rsidR="00495272" w:rsidRPr="00495272" w:rsidRDefault="00495272" w:rsidP="00495272">
      <w:p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It subjects the person concerned to certain obligations, a non-exhaustive list of which is given below. These are decided by the magistrate of the Public Ministry on the basis of the summary information or by the Investigating Judge on the basis of the preliminary investigation:</w:t>
      </w:r>
    </w:p>
    <w:p w14:paraId="7BB5B8C0"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Answer any summons by the judicial authorities relating to the case; </w:t>
      </w:r>
    </w:p>
    <w:p w14:paraId="057D8993"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Not go beyond fixed territorial limits; </w:t>
      </w:r>
    </w:p>
    <w:p w14:paraId="3C138E91"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Not go to certain specified locations or go to them only under conditions and for reasons laid down by the magistrate in charge of the case; </w:t>
      </w:r>
    </w:p>
    <w:p w14:paraId="55511310"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Inform the magistrate of any travel beyond the limits fixed; </w:t>
      </w:r>
    </w:p>
    <w:p w14:paraId="2255241B"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Report regularly to the police station, the gendarmerie brigade, or the office of the local commune or associations as designated by the magistrate in charge of the case. These are obliged to observe the strictest discretion as regards the facts for which the person has been charged; </w:t>
      </w:r>
    </w:p>
    <w:p w14:paraId="3756EABD"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Answer any summons by any association or qualified person appointed by the magistrate in charge of the case for checks on his/her professional activity or regular attendance at an educational establishment and compliance with any socio-educational measures designed to assist his/her social integration and prevent any further offending; </w:t>
      </w:r>
    </w:p>
    <w:p w14:paraId="1C7820B7"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Hand over his/her passport to the clerk of the court or to a police department or a gendarmerie brigade, against a receipt; </w:t>
      </w:r>
    </w:p>
    <w:p w14:paraId="478BCDF8"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lastRenderedPageBreak/>
        <w:t xml:space="preserve">Not to drive any or certain vehicles and, where appropriate, hand over to the clerk of the court his/her driving licence, against a receipt; however, the magistrate in charge of the case may decide that the person charged may use his/her licence to drive for professional activities; </w:t>
      </w:r>
    </w:p>
    <w:p w14:paraId="5969737E"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Not to receive or meet certain persons specifically named by the magistrate in charge of the case and not to enter into any kind of relationship with such persons; </w:t>
      </w:r>
    </w:p>
    <w:p w14:paraId="3D807ECB"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To be submitted to any examination, treatment or care, even by hospitalisation, in particular for the purpose of detoxification, at his or her own expense; </w:t>
      </w:r>
    </w:p>
    <w:p w14:paraId="058CF94E"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Not to engage in certain professional or social activities, including the exercise of electoral mandates or trade union responsibilities, in cases where the offence was committed during the exercise of or in connection with the exercise of such activities and where there is reason to believe that a new offence may be committed; </w:t>
      </w:r>
    </w:p>
    <w:p w14:paraId="0C44EAB9" w14:textId="77777777" w:rsidR="00495272" w:rsidRPr="00495272" w:rsidRDefault="00495272" w:rsidP="00EF620C">
      <w:pPr>
        <w:numPr>
          <w:ilvl w:val="1"/>
          <w:numId w:val="5"/>
        </w:numPr>
        <w:tabs>
          <w:tab w:val="left" w:pos="8640"/>
        </w:tabs>
        <w:spacing w:before="100" w:beforeAutospacing="1" w:after="119"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 xml:space="preserve">Not to be in possession of or carry any weapon and, where applicable, hand over to the clerk of the court or any other authority appointed by the magistrate in charge of the case, against a receipt, any weapons held; </w:t>
      </w:r>
    </w:p>
    <w:p w14:paraId="4AED7653" w14:textId="77777777" w:rsidR="00495272" w:rsidRPr="00495272" w:rsidRDefault="00495272" w:rsidP="00EF620C">
      <w:pPr>
        <w:numPr>
          <w:ilvl w:val="1"/>
          <w:numId w:val="5"/>
        </w:numPr>
        <w:tabs>
          <w:tab w:val="left" w:pos="8640"/>
        </w:tabs>
        <w:spacing w:before="100" w:beforeAutospacing="1" w:after="0" w:line="247"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i/>
          <w:iCs/>
          <w:color w:val="000000"/>
          <w:sz w:val="24"/>
          <w:szCs w:val="24"/>
          <w:lang w:val="en-GB"/>
        </w:rPr>
        <w:t>Provide evidence that he/she contributes to family expenses or regularly pays any alimony which he/she has been sentenced to pay in accordance with legal decisions making it obligatory for him/her to pay alimony or contributions to the household expenses."*</w:t>
      </w:r>
    </w:p>
    <w:p w14:paraId="12E1340F" w14:textId="77777777" w:rsidR="00495272" w:rsidRPr="00495272" w:rsidRDefault="00495272" w:rsidP="00495272">
      <w:pPr>
        <w:pStyle w:val="Paragraphedeliste"/>
      </w:pPr>
      <w:r w:rsidRPr="00495272">
        <w:t>However, professionals working in the justice system must be sufficiently aware of these new provisions if they are to be better applied and the tendency reversed. In March 2016 an article published by the daily "Les Nouvelles" showed that, on average, the men's section in the Antanimora prison recorded between 5 and 30 new entries every day except Sunday and the women's section 5 to 7 new entries.</w:t>
      </w:r>
    </w:p>
    <w:p w14:paraId="6496D81F" w14:textId="77777777" w:rsidR="00495272" w:rsidRPr="00495272" w:rsidRDefault="00495272" w:rsidP="00495272">
      <w:pPr>
        <w:pStyle w:val="Paragraphedeliste"/>
      </w:pPr>
      <w:r w:rsidRPr="00495272">
        <w:t>In cases of non-compliance with these fundamental safeguards, even if no torture or ill-treatment results from their violation, the 2008 anti-torture Act provided for consequences including: disciplinary measures or criminal proceedings in accordance with Article 114 of the Criminal Code (Article 4, second subparagraph, of the 2008 Act) and sentences may be aggregated for more than one offence: illegal detention, ill-treatment, etc.</w:t>
      </w:r>
    </w:p>
    <w:p w14:paraId="09EE11B4" w14:textId="77777777" w:rsidR="00495272" w:rsidRPr="00495272" w:rsidRDefault="00495272" w:rsidP="00495272">
      <w:pPr>
        <w:pStyle w:val="Paragraphedeliste"/>
      </w:pPr>
      <w:r w:rsidRPr="00495272">
        <w:t xml:space="preserve">On the "Pretrial Detention Day in Africa", 25 April 2017, the National Independent Commission for Human Rights (CNIDH) published a press release in which it recommended, "as a matter of urgency", a reduction in the number of pretrial detentions in Madagascar. </w:t>
      </w:r>
    </w:p>
    <w:p w14:paraId="0D29E436" w14:textId="77777777" w:rsidR="00495272" w:rsidRPr="00495272" w:rsidRDefault="00495272" w:rsidP="00495272">
      <w:pPr>
        <w:pStyle w:val="Paragraphedeliste"/>
      </w:pPr>
      <w:r w:rsidRPr="00495272">
        <w:t xml:space="preserve">In a paradoxical situation where mob justice is becoming widespread as a reaction to a dysfunctional justice system seen as corrupt, and where judges are pressurised by a culture of insecurity which obliges them systematically to deprive people of their freedom from the start in an investigation, any policy advocating alternatives to pretrial detention must propose accompanying measures to restore public confidence in the justice system. From a social point of view, pretrial detention is a repressive, anticipatory </w:t>
      </w:r>
      <w:proofErr w:type="gramStart"/>
      <w:r w:rsidRPr="00495272">
        <w:t>instrument which</w:t>
      </w:r>
      <w:proofErr w:type="gramEnd"/>
      <w:r w:rsidRPr="00495272">
        <w:t xml:space="preserve"> gives the general public a feeling of protection and security.</w:t>
      </w:r>
    </w:p>
    <w:p w14:paraId="1B24997A" w14:textId="77777777" w:rsidR="00495272" w:rsidRPr="00495272" w:rsidRDefault="00495272" w:rsidP="00495272">
      <w:pPr>
        <w:pStyle w:val="Paragraphedeliste"/>
      </w:pPr>
      <w:r w:rsidRPr="00495272">
        <w:t xml:space="preserve">Nevertheless, pretrial detention has serious disadvantages. On the one hand it may do irreparable harm to the image and honour of a person who is in the end declared not guilty and released. On the other hand, when pretrial detention has lasted for a long time the verdict has in practice tended to be detention for at least the same length of time as the pretrial </w:t>
      </w:r>
      <w:r w:rsidRPr="00495272">
        <w:lastRenderedPageBreak/>
        <w:t xml:space="preserve">detention, even when not justified, and to rule out suspended sentences or fines, in order not to countermand the ruling of the investigating judge or Public Ministry. Finally, it gives rise to prison </w:t>
      </w:r>
      <w:proofErr w:type="gramStart"/>
      <w:r w:rsidRPr="00495272">
        <w:t>overcrowding which</w:t>
      </w:r>
      <w:proofErr w:type="gramEnd"/>
      <w:r w:rsidRPr="00495272">
        <w:t xml:space="preserve"> infringes the rights of inmates.</w:t>
      </w:r>
    </w:p>
    <w:p w14:paraId="66209717" w14:textId="77777777" w:rsidR="00495272" w:rsidRPr="00495272" w:rsidRDefault="00495272" w:rsidP="00495272">
      <w:pPr>
        <w:pStyle w:val="Paragraphedeliste"/>
      </w:pPr>
      <w:r w:rsidRPr="00495272">
        <w:t xml:space="preserve">As regards offences, the length of pretrial detention is as follows: </w:t>
      </w:r>
    </w:p>
    <w:p w14:paraId="0B5128EC" w14:textId="77777777" w:rsidR="00495272" w:rsidRPr="00495272" w:rsidRDefault="00495272" w:rsidP="00EF620C">
      <w:pPr>
        <w:pStyle w:val="Paragraphedeliste"/>
        <w:numPr>
          <w:ilvl w:val="0"/>
          <w:numId w:val="8"/>
        </w:numPr>
        <w:tabs>
          <w:tab w:val="left" w:pos="8640"/>
        </w:tabs>
        <w:spacing w:before="100" w:beforeAutospacing="1" w:after="113" w:line="249" w:lineRule="auto"/>
        <w:ind w:right="-7"/>
      </w:pPr>
      <w:r w:rsidRPr="00495272">
        <w:t xml:space="preserve">For the summary information procedure: </w:t>
      </w:r>
    </w:p>
    <w:p w14:paraId="439B97DD" w14:textId="77777777" w:rsidR="00495272" w:rsidRDefault="00495272" w:rsidP="00EF620C">
      <w:pPr>
        <w:pStyle w:val="Paragraphedeliste"/>
        <w:numPr>
          <w:ilvl w:val="1"/>
          <w:numId w:val="8"/>
        </w:numPr>
        <w:tabs>
          <w:tab w:val="left" w:pos="8640"/>
        </w:tabs>
        <w:spacing w:before="100" w:beforeAutospacing="1" w:after="113" w:line="249" w:lineRule="auto"/>
        <w:ind w:right="-7"/>
      </w:pPr>
      <w:r w:rsidRPr="00495272">
        <w:t xml:space="preserve">The detention order is issued by the Public Ministry for 3 months, non-renewable (Art. 336 CCP); </w:t>
      </w:r>
    </w:p>
    <w:p w14:paraId="431DC09E" w14:textId="77777777" w:rsidR="00495272" w:rsidRPr="00495272" w:rsidRDefault="00495272" w:rsidP="00EF620C">
      <w:pPr>
        <w:pStyle w:val="Paragraphedeliste"/>
        <w:numPr>
          <w:ilvl w:val="1"/>
          <w:numId w:val="8"/>
        </w:numPr>
        <w:tabs>
          <w:tab w:val="left" w:pos="8640"/>
        </w:tabs>
        <w:spacing w:before="100" w:beforeAutospacing="1" w:after="113" w:line="249" w:lineRule="auto"/>
        <w:ind w:right="-7"/>
      </w:pPr>
      <w:proofErr w:type="gramStart"/>
      <w:r w:rsidRPr="00495272">
        <w:t>An extension may be decided only by the trial court, for 3 months non-renewable (Art. 237 and 334 e) of the CCP</w:t>
      </w:r>
      <w:proofErr w:type="gramEnd"/>
      <w:r w:rsidRPr="00495272">
        <w:t xml:space="preserve">). </w:t>
      </w:r>
    </w:p>
    <w:p w14:paraId="6773443D" w14:textId="77777777" w:rsidR="00495272" w:rsidRPr="00495272" w:rsidRDefault="00495272" w:rsidP="00EF620C">
      <w:pPr>
        <w:pStyle w:val="Paragraphedeliste"/>
        <w:numPr>
          <w:ilvl w:val="0"/>
          <w:numId w:val="8"/>
        </w:numPr>
        <w:tabs>
          <w:tab w:val="left" w:pos="8640"/>
        </w:tabs>
        <w:spacing w:before="100" w:beforeAutospacing="1" w:after="113" w:line="249" w:lineRule="auto"/>
        <w:ind w:right="-7"/>
      </w:pPr>
      <w:r w:rsidRPr="00495272">
        <w:t xml:space="preserve">For the preliminary investigation procedure: </w:t>
      </w:r>
    </w:p>
    <w:p w14:paraId="4C0DC601" w14:textId="77777777" w:rsid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The </w:t>
      </w:r>
      <w:proofErr w:type="gramStart"/>
      <w:r w:rsidRPr="00495272">
        <w:rPr>
          <w:rFonts w:ascii="Times New Roman" w:eastAsia="Times New Roman" w:hAnsi="Times New Roman" w:cs="Times New Roman"/>
          <w:color w:val="000000"/>
          <w:sz w:val="24"/>
          <w:szCs w:val="24"/>
          <w:lang w:val="en-GB"/>
        </w:rPr>
        <w:t>detention order is issued by the investigating judge for 6 months (Art. 334 b) subparagraph 1</w:t>
      </w:r>
      <w:proofErr w:type="gramEnd"/>
      <w:r w:rsidRPr="00495272">
        <w:rPr>
          <w:rFonts w:ascii="Times New Roman" w:eastAsia="Times New Roman" w:hAnsi="Times New Roman" w:cs="Times New Roman"/>
          <w:color w:val="000000"/>
          <w:sz w:val="24"/>
          <w:szCs w:val="24"/>
          <w:lang w:val="en-GB"/>
        </w:rPr>
        <w:t xml:space="preserve">). </w:t>
      </w:r>
    </w:p>
    <w:p w14:paraId="4771F924"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An extension may be ordered only by the Remand Chamber, for 3 months renewable once (3 months + 3 months (Art. 334 b), subparagraph 2) 216. </w:t>
      </w:r>
    </w:p>
    <w:p w14:paraId="7A6FBFAD" w14:textId="77777777" w:rsidR="00495272" w:rsidRPr="00495272" w:rsidRDefault="00495272" w:rsidP="00495272">
      <w:pPr>
        <w:pStyle w:val="Paragraphedeliste"/>
      </w:pPr>
      <w:r w:rsidRPr="00495272">
        <w:t xml:space="preserve">The length of pretrial detention for criminal cases is as follows: </w:t>
      </w:r>
    </w:p>
    <w:p w14:paraId="2C195BBE" w14:textId="77777777" w:rsidR="00495272" w:rsidRPr="00495272" w:rsidRDefault="00495272" w:rsidP="00EF620C">
      <w:pPr>
        <w:pStyle w:val="Paragraphedeliste"/>
        <w:numPr>
          <w:ilvl w:val="0"/>
          <w:numId w:val="8"/>
        </w:numPr>
        <w:tabs>
          <w:tab w:val="left" w:pos="8640"/>
        </w:tabs>
        <w:spacing w:before="100" w:beforeAutospacing="1" w:after="113" w:line="249" w:lineRule="auto"/>
        <w:ind w:right="-7"/>
      </w:pPr>
      <w:r w:rsidRPr="00495272">
        <w:t xml:space="preserve">For the summary information procedure: </w:t>
      </w:r>
    </w:p>
    <w:p w14:paraId="63E1404B"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The detention order is issued by the Public Ministry for 3 months (Art. 336 CCP); </w:t>
      </w:r>
    </w:p>
    <w:p w14:paraId="536C66E5"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If </w:t>
      </w:r>
      <w:proofErr w:type="gramStart"/>
      <w:r w:rsidRPr="00495272">
        <w:rPr>
          <w:rFonts w:ascii="Times New Roman" w:eastAsia="Times New Roman" w:hAnsi="Times New Roman" w:cs="Times New Roman"/>
          <w:color w:val="000000"/>
          <w:sz w:val="24"/>
          <w:szCs w:val="24"/>
          <w:lang w:val="en-GB"/>
        </w:rPr>
        <w:t>a committal order is issued by the Public Ministry</w:t>
      </w:r>
      <w:proofErr w:type="gramEnd"/>
      <w:r w:rsidRPr="00495272">
        <w:rPr>
          <w:rFonts w:ascii="Times New Roman" w:eastAsia="Times New Roman" w:hAnsi="Times New Roman" w:cs="Times New Roman"/>
          <w:color w:val="000000"/>
          <w:sz w:val="24"/>
          <w:szCs w:val="24"/>
          <w:lang w:val="en-GB"/>
        </w:rPr>
        <w:t xml:space="preserve"> it is for 30 months (Art. 238 CCP). </w:t>
      </w:r>
    </w:p>
    <w:p w14:paraId="00B43D61" w14:textId="77777777" w:rsidR="00495272" w:rsidRPr="00495272" w:rsidRDefault="00495272" w:rsidP="00EF620C">
      <w:pPr>
        <w:pStyle w:val="Paragraphedeliste"/>
        <w:numPr>
          <w:ilvl w:val="0"/>
          <w:numId w:val="8"/>
        </w:numPr>
        <w:tabs>
          <w:tab w:val="left" w:pos="8640"/>
        </w:tabs>
        <w:spacing w:before="100" w:beforeAutospacing="1" w:after="113" w:line="249" w:lineRule="auto"/>
        <w:ind w:right="-7"/>
      </w:pPr>
      <w:r w:rsidRPr="00495272">
        <w:t xml:space="preserve">For the preliminary investigation procedure: </w:t>
      </w:r>
    </w:p>
    <w:p w14:paraId="1DA37214"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The </w:t>
      </w:r>
      <w:proofErr w:type="gramStart"/>
      <w:r w:rsidRPr="00495272">
        <w:rPr>
          <w:rFonts w:ascii="Times New Roman" w:eastAsia="Times New Roman" w:hAnsi="Times New Roman" w:cs="Times New Roman"/>
          <w:color w:val="000000"/>
          <w:sz w:val="24"/>
          <w:szCs w:val="24"/>
          <w:lang w:val="en-GB"/>
        </w:rPr>
        <w:t>detention order is issued by the investigating judge, for 8 months (Art. 334 b) subparagraph 1</w:t>
      </w:r>
      <w:proofErr w:type="gramEnd"/>
      <w:r w:rsidRPr="00495272">
        <w:rPr>
          <w:rFonts w:ascii="Times New Roman" w:eastAsia="Times New Roman" w:hAnsi="Times New Roman" w:cs="Times New Roman"/>
          <w:color w:val="000000"/>
          <w:sz w:val="24"/>
          <w:szCs w:val="24"/>
          <w:lang w:val="en-GB"/>
        </w:rPr>
        <w:t xml:space="preserve">). </w:t>
      </w:r>
    </w:p>
    <w:p w14:paraId="225C39D1"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An extension may be ordered only by the Remand Chamber, for 6 months renewable once for 4 months (Art. 334 b) subparagraph 2). </w:t>
      </w:r>
    </w:p>
    <w:p w14:paraId="4722D005" w14:textId="77777777" w:rsidR="00495272" w:rsidRPr="00495272" w:rsidRDefault="00495272" w:rsidP="00EF620C">
      <w:pPr>
        <w:numPr>
          <w:ilvl w:val="0"/>
          <w:numId w:val="9"/>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If the investigating judge issues an order of referral to the criminal court, the indictment chamber issues a committal order for 30 months (Art. 334 c). </w:t>
      </w:r>
    </w:p>
    <w:p w14:paraId="1D931DC8" w14:textId="77777777" w:rsidR="00495272" w:rsidRPr="00495272" w:rsidRDefault="00495272" w:rsidP="00495272">
      <w:pPr>
        <w:pStyle w:val="Paragraphedeliste"/>
      </w:pPr>
      <w:r w:rsidRPr="00495272">
        <w:t xml:space="preserve">Very few victims of arbitrary detention apply to the judicial authorities for reparation and compensation since they are not properly aware of the procedures involved and are afraid of reprisals from the judges who are known to "stick together" as a body. Many also do not know that it is the public </w:t>
      </w:r>
      <w:proofErr w:type="gramStart"/>
      <w:r w:rsidRPr="00495272">
        <w:t>authorities which</w:t>
      </w:r>
      <w:proofErr w:type="gramEnd"/>
      <w:r w:rsidRPr="00495272">
        <w:t xml:space="preserve"> bear the cost of compensation awarded when the justice system has failed to work correctly.</w:t>
      </w:r>
    </w:p>
    <w:p w14:paraId="2FEA483D" w14:textId="77777777" w:rsidR="00495272" w:rsidRPr="00495272" w:rsidRDefault="00495272" w:rsidP="00495272">
      <w:pPr>
        <w:pStyle w:val="Paragraphedeliste"/>
      </w:pPr>
      <w:r w:rsidRPr="00495272">
        <w:t>Most of the political detainees have now been granted an amnesty, thanks to the implementation of the road map (</w:t>
      </w:r>
      <w:r w:rsidRPr="00495272">
        <w:rPr>
          <w:i/>
        </w:rPr>
        <w:t>Feuille de route</w:t>
      </w:r>
      <w:r w:rsidRPr="00495272">
        <w:t xml:space="preserve">). But no accurate information is available on political detainees kept in prison. </w:t>
      </w:r>
    </w:p>
    <w:p w14:paraId="49E22A0C" w14:textId="77777777" w:rsidR="00495272" w:rsidRPr="00495272" w:rsidRDefault="00495272" w:rsidP="00495272">
      <w:pPr>
        <w:tabs>
          <w:tab w:val="left" w:pos="8640"/>
        </w:tabs>
        <w:spacing w:before="100" w:beforeAutospacing="1" w:after="108"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0473D8B1" w14:textId="77777777" w:rsidR="00495272" w:rsidRPr="00495272" w:rsidRDefault="00495272" w:rsidP="00495272">
      <w:pPr>
        <w:tabs>
          <w:tab w:val="left" w:pos="8640"/>
        </w:tabs>
        <w:spacing w:before="100" w:beforeAutospacing="1" w:after="130"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6B4CB8F8" w14:textId="77777777" w:rsidR="00495272" w:rsidRPr="00495272" w:rsidRDefault="00495272" w:rsidP="00495272">
      <w:pPr>
        <w:pStyle w:val="recommandations"/>
      </w:pPr>
      <w:r w:rsidRPr="00495272">
        <w:lastRenderedPageBreak/>
        <w:t>Publicise a simpler version of the new provisions of the Code of Criminal Procedure introducing provisional release under judicial supervision as an alternative to pretrial detention, as adopted by Act No 2016-017 of 22 August 2016.</w:t>
      </w:r>
    </w:p>
    <w:p w14:paraId="7960E48C" w14:textId="77777777" w:rsidR="00495272" w:rsidRPr="00495272" w:rsidRDefault="00495272" w:rsidP="00495272">
      <w:pPr>
        <w:pStyle w:val="recommandations"/>
      </w:pPr>
      <w:r w:rsidRPr="00495272">
        <w:t>Commission a study to investigate other measures as alternatives to detention, such as a suspended prison sentence combined with community work (TIG) and the accompanying measures.</w:t>
      </w:r>
    </w:p>
    <w:p w14:paraId="152CC2C7" w14:textId="77777777" w:rsidR="00495272" w:rsidRPr="00495272" w:rsidRDefault="00495272" w:rsidP="00495272">
      <w:pPr>
        <w:pStyle w:val="recommandations"/>
      </w:pPr>
      <w:r w:rsidRPr="00495272">
        <w:t>Issue a circular ordering the Prison Administration to release detainees immediately when their committal order expires.</w:t>
      </w:r>
    </w:p>
    <w:p w14:paraId="7138FFC4" w14:textId="77777777" w:rsidR="00495272" w:rsidRPr="00495272" w:rsidRDefault="00495272" w:rsidP="00495272">
      <w:pPr>
        <w:pStyle w:val="recommandations"/>
      </w:pPr>
      <w:r w:rsidRPr="00495272">
        <w:t xml:space="preserve">Set up a computerised system to collect data in prison establishments to improve the prison administration and make it easier to identify immediately cases of illegal detention. </w:t>
      </w:r>
    </w:p>
    <w:p w14:paraId="32B8FA3D" w14:textId="77777777" w:rsidR="00495272" w:rsidRPr="00495272" w:rsidRDefault="00495272" w:rsidP="00495272">
      <w:pPr>
        <w:pStyle w:val="titre1TM"/>
      </w:pPr>
      <w:bookmarkStart w:id="8" w:name="_Toc146978"/>
      <w:bookmarkEnd w:id="8"/>
      <w:r w:rsidRPr="00495272">
        <w:t xml:space="preserve">Right to a fair trial and independence of the judiciary (Art. 14) </w:t>
      </w:r>
    </w:p>
    <w:p w14:paraId="7D64CFB2" w14:textId="01180F22" w:rsidR="00495272" w:rsidRPr="00495272" w:rsidRDefault="004231D5" w:rsidP="006340C5">
      <w:pPr>
        <w:pBdr>
          <w:top w:val="single" w:sz="2" w:space="1" w:color="000001"/>
          <w:left w:val="single" w:sz="2" w:space="0" w:color="000001"/>
          <w:bottom w:val="single" w:sz="2" w:space="0" w:color="000001"/>
          <w:right w:val="single" w:sz="2" w:space="0" w:color="000001"/>
        </w:pBd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 xml:space="preserve">Issue </w:t>
      </w:r>
      <w:r w:rsidR="00495272" w:rsidRPr="00495272">
        <w:rPr>
          <w:rFonts w:ascii="Times New Roman" w:eastAsia="Times New Roman" w:hAnsi="Times New Roman" w:cs="Times New Roman"/>
          <w:b/>
          <w:bCs/>
          <w:color w:val="000000"/>
          <w:sz w:val="24"/>
          <w:szCs w:val="24"/>
          <w:u w:val="single"/>
          <w:lang w:val="en-GB"/>
        </w:rPr>
        <w:t>17</w:t>
      </w:r>
      <w:r w:rsidR="00495272" w:rsidRPr="00495272">
        <w:rPr>
          <w:rFonts w:ascii="Times New Roman" w:eastAsia="Times New Roman" w:hAnsi="Times New Roman" w:cs="Times New Roman"/>
          <w:color w:val="000000"/>
          <w:sz w:val="24"/>
          <w:szCs w:val="24"/>
          <w:lang w:val="en-GB"/>
        </w:rPr>
        <w:t xml:space="preserve">: Please describe the steps taken to establish the High Court of Justice, to strengthen the capacity of the judiciary and, in particular, </w:t>
      </w:r>
      <w:proofErr w:type="gramStart"/>
      <w:r w:rsidR="00495272" w:rsidRPr="00495272">
        <w:rPr>
          <w:rFonts w:ascii="Times New Roman" w:eastAsia="Times New Roman" w:hAnsi="Times New Roman" w:cs="Times New Roman"/>
          <w:color w:val="000000"/>
          <w:sz w:val="24"/>
          <w:szCs w:val="24"/>
          <w:lang w:val="en-GB"/>
        </w:rPr>
        <w:t>to</w:t>
      </w:r>
      <w:proofErr w:type="gramEnd"/>
      <w:r w:rsidR="00495272" w:rsidRPr="00495272">
        <w:rPr>
          <w:rFonts w:ascii="Times New Roman" w:eastAsia="Times New Roman" w:hAnsi="Times New Roman" w:cs="Times New Roman"/>
          <w:color w:val="000000"/>
          <w:sz w:val="24"/>
          <w:szCs w:val="24"/>
          <w:lang w:val="en-GB"/>
        </w:rPr>
        <w:t xml:space="preserve">: </w:t>
      </w:r>
    </w:p>
    <w:p w14:paraId="1F80E231" w14:textId="77777777" w:rsidR="00495272" w:rsidRPr="00495272" w:rsidRDefault="00495272" w:rsidP="006340C5">
      <w:pPr>
        <w:pBdr>
          <w:top w:val="single" w:sz="2" w:space="1" w:color="000001"/>
          <w:left w:val="single" w:sz="2" w:space="0" w:color="000001"/>
          <w:bottom w:val="single" w:sz="2" w:space="0" w:color="000001"/>
          <w:right w:val="single" w:sz="2" w:space="0" w:color="000001"/>
        </w:pBd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(a) Guarantee the independence of the judiciary, notably by ensuring that the Supreme Council of the Judiciary is free from any pressure or interference from the executive branch</w:t>
      </w:r>
      <w:proofErr w:type="gramStart"/>
      <w:r w:rsidRPr="00495272">
        <w:rPr>
          <w:rFonts w:ascii="Times New Roman" w:eastAsia="Times New Roman" w:hAnsi="Times New Roman" w:cs="Times New Roman"/>
          <w:color w:val="000000"/>
          <w:sz w:val="24"/>
          <w:szCs w:val="24"/>
          <w:lang w:val="en-GB"/>
        </w:rPr>
        <w:t>;</w:t>
      </w:r>
      <w:proofErr w:type="gramEnd"/>
      <w:r w:rsidRPr="00495272">
        <w:rPr>
          <w:rFonts w:ascii="Times New Roman" w:eastAsia="Times New Roman" w:hAnsi="Times New Roman" w:cs="Times New Roman"/>
          <w:color w:val="000000"/>
          <w:sz w:val="24"/>
          <w:szCs w:val="24"/>
          <w:lang w:val="en-GB"/>
        </w:rPr>
        <w:t xml:space="preserve"> </w:t>
      </w:r>
    </w:p>
    <w:p w14:paraId="2E723576" w14:textId="77777777" w:rsidR="00495272" w:rsidRPr="00495272" w:rsidRDefault="00495272" w:rsidP="006340C5">
      <w:pPr>
        <w:pBdr>
          <w:top w:val="single" w:sz="2" w:space="1" w:color="000001"/>
          <w:left w:val="single" w:sz="2" w:space="0" w:color="000001"/>
          <w:bottom w:val="single" w:sz="2" w:space="0" w:color="000001"/>
          <w:right w:val="single" w:sz="2" w:space="0" w:color="000001"/>
        </w:pBd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(b) Combat political influence and corruption</w:t>
      </w:r>
      <w:proofErr w:type="gramStart"/>
      <w:r w:rsidRPr="00495272">
        <w:rPr>
          <w:rFonts w:ascii="Times New Roman" w:eastAsia="Times New Roman" w:hAnsi="Times New Roman" w:cs="Times New Roman"/>
          <w:color w:val="000000"/>
          <w:sz w:val="24"/>
          <w:szCs w:val="24"/>
          <w:lang w:val="en-GB"/>
        </w:rPr>
        <w:t>;</w:t>
      </w:r>
      <w:proofErr w:type="gramEnd"/>
      <w:r w:rsidRPr="00495272">
        <w:rPr>
          <w:rFonts w:ascii="Times New Roman" w:eastAsia="Times New Roman" w:hAnsi="Times New Roman" w:cs="Times New Roman"/>
          <w:color w:val="000000"/>
          <w:sz w:val="24"/>
          <w:szCs w:val="24"/>
          <w:lang w:val="en-GB"/>
        </w:rPr>
        <w:t xml:space="preserve"> </w:t>
      </w:r>
    </w:p>
    <w:p w14:paraId="6E79CA87" w14:textId="77777777" w:rsidR="00495272" w:rsidRPr="00495272" w:rsidRDefault="00495272" w:rsidP="006340C5">
      <w:pPr>
        <w:pBdr>
          <w:top w:val="single" w:sz="2" w:space="1" w:color="000001"/>
          <w:left w:val="single" w:sz="2" w:space="0" w:color="000001"/>
          <w:bottom w:val="single" w:sz="2" w:space="0" w:color="000001"/>
          <w:right w:val="single" w:sz="2" w:space="0" w:color="000001"/>
        </w:pBd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(c) Guarantee access to justice for all, implement Decree No 2009-970 regulating the provision of legal aid and establish the legal aid office provided for in the circular of 22 September 2010. In this respect, please provide statistics on the number of people receiving legal aid and provide information about the measures taken to strengthen community-based justice and to preclude logistical problems posed by the need for persons standing trial and criminal investigation officers to travel considerable distances</w:t>
      </w:r>
      <w:proofErr w:type="gramStart"/>
      <w:r w:rsidRPr="00495272">
        <w:rPr>
          <w:rFonts w:ascii="Times New Roman" w:eastAsia="Times New Roman" w:hAnsi="Times New Roman" w:cs="Times New Roman"/>
          <w:color w:val="000000"/>
          <w:sz w:val="24"/>
          <w:szCs w:val="24"/>
          <w:lang w:val="en-GB"/>
        </w:rPr>
        <w:t>;</w:t>
      </w:r>
      <w:proofErr w:type="gramEnd"/>
    </w:p>
    <w:p w14:paraId="515B9501" w14:textId="77777777" w:rsidR="00495272" w:rsidRPr="00495272" w:rsidRDefault="00495272" w:rsidP="006340C5">
      <w:pPr>
        <w:pBdr>
          <w:top w:val="single" w:sz="2" w:space="1" w:color="000001"/>
          <w:left w:val="single" w:sz="2" w:space="0" w:color="000001"/>
          <w:bottom w:val="single" w:sz="2" w:space="0" w:color="000001"/>
          <w:right w:val="single" w:sz="2" w:space="0" w:color="000001"/>
        </w:pBd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 Reduce delays in the administration of justice and mitigate the lack of resources, personnel and proper training. </w:t>
      </w:r>
    </w:p>
    <w:p w14:paraId="417019DC" w14:textId="77777777" w:rsidR="00495272" w:rsidRPr="00495272" w:rsidRDefault="00495272" w:rsidP="00645CAB">
      <w:pPr>
        <w:tabs>
          <w:tab w:val="left" w:pos="8640"/>
        </w:tabs>
        <w:spacing w:before="100" w:beforeAutospacing="1" w:after="119" w:line="244"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049CE63E" w14:textId="77777777" w:rsidR="00495272" w:rsidRPr="00495272" w:rsidRDefault="00495272" w:rsidP="00645CAB">
      <w:pPr>
        <w:pStyle w:val="Paragraphedeliste"/>
      </w:pPr>
      <w:r w:rsidRPr="00495272">
        <w:t>It should not be long before the National High Council for the Defence of Democracy and the Rule of Law (HCDDED) is set up, since in January the CNIDH elected its last member. Since the HCDDED has not itself come into being, it has not yet been able to elect the last member of the High Court of Justice.</w:t>
      </w:r>
    </w:p>
    <w:p w14:paraId="1239796C" w14:textId="77777777" w:rsidR="00495272" w:rsidRPr="00495272" w:rsidRDefault="00495272" w:rsidP="00645CAB">
      <w:pPr>
        <w:pStyle w:val="Paragraphedeliste"/>
      </w:pPr>
      <w:r w:rsidRPr="00495272">
        <w:t xml:space="preserve">Act No 2015-001 governing the HCDDED makes it obligatory for the President of the Republic to issue the decree endorsing the election of the HCDDED members one month after receiving notification of the minutes of the election of the final member. This last stage should speed up creation of the High Court of Justice (HCJ), </w:t>
      </w:r>
      <w:proofErr w:type="gramStart"/>
      <w:r w:rsidRPr="00495272">
        <w:t>much-awaited</w:t>
      </w:r>
      <w:proofErr w:type="gramEnd"/>
      <w:r w:rsidRPr="00495272">
        <w:t xml:space="preserve"> by national and international opinion and considered to be a strong indication of the will of those in power to implement the rule of law and to combat impunity.</w:t>
      </w:r>
    </w:p>
    <w:p w14:paraId="41F3CDBF" w14:textId="77777777" w:rsidR="00495272" w:rsidRPr="00495272" w:rsidRDefault="00495272" w:rsidP="00645CAB">
      <w:pPr>
        <w:pStyle w:val="Paragraphedeliste"/>
      </w:pPr>
      <w:r w:rsidRPr="00495272">
        <w:t xml:space="preserve">The High Court of Justice has jurisdiction over acts committed by the President of the Republic in connection with the exercise of his functions in the case of high treason, serious </w:t>
      </w:r>
      <w:r w:rsidRPr="00495272">
        <w:lastRenderedPageBreak/>
        <w:t>or repeated violations of the constitution or failure to carry out duties where that failure is manifestly incompatible with the exercise of his mandate. It is also governs the criminal responsibility of the Presidents of the parliamentary assemblies, the Prime Minister, other members of the government and the President of the High Constitutional Court for acts committed in connection with the exercise of their functions and considered to be crimes or offences at the time when they were committed.</w:t>
      </w:r>
    </w:p>
    <w:p w14:paraId="4128E3FD" w14:textId="77777777" w:rsidR="00495272" w:rsidRPr="00495272" w:rsidRDefault="00495272" w:rsidP="00645CAB">
      <w:pPr>
        <w:pStyle w:val="Paragraphedeliste"/>
      </w:pPr>
      <w:r w:rsidRPr="00495272">
        <w:t>The failure to set up the HCDDED promptly is also a factor blocking the setting up of the various bodies provided for by the Constitution to strengthen the judicial system, such as the Inspectorate-General for Justice responsible for supervising compliance with the special ethical rules for magistrates and the conduct of staff working in the judicial system, or the National Council for Justice, a government advisory body which may propose measures relating to the organisation and operation of the courts or the status of Magistrates and auxiliary staff in the judicial system.</w:t>
      </w:r>
    </w:p>
    <w:p w14:paraId="58BF4550" w14:textId="77777777" w:rsidR="00495272" w:rsidRPr="00495272" w:rsidRDefault="00495272" w:rsidP="00645CAB">
      <w:pPr>
        <w:pStyle w:val="Paragraphedeliste"/>
      </w:pPr>
      <w:r w:rsidRPr="00495272">
        <w:t xml:space="preserve">One of the reasons for the increasingly common mob justice and frequent recourse to traditional justice is the failure of the justice system to function correctly since it is corrupt and dependent on the political authorities. Hence the loss of public confidence in the impartiality of justice, although the independence of the judicial system is one of the principles of the Constitution (Article 107). </w:t>
      </w:r>
    </w:p>
    <w:p w14:paraId="3CD2F730" w14:textId="77777777" w:rsidR="00495272" w:rsidRPr="00495272" w:rsidRDefault="00495272" w:rsidP="00645CAB">
      <w:pPr>
        <w:pStyle w:val="Paragraphedeliste"/>
      </w:pPr>
      <w:r w:rsidRPr="00495272">
        <w:t xml:space="preserve">For a long time now discussions on the problems of an independent judicial system in Madagascar have centred mainly on one particular question: are the responsibilities assigned to the President of the Republic and the Minister for Justice as President and Vice-President of the Supreme Council of the Judiciary (CSM) such as to guarantee or to call into question the independence of the justice system? Furthermore, the appointment of two of its members </w:t>
      </w:r>
      <w:r w:rsidRPr="00495272">
        <w:rPr>
          <w:i/>
        </w:rPr>
        <w:t>ex officio</w:t>
      </w:r>
      <w:r w:rsidRPr="00495272">
        <w:t xml:space="preserve"> may call into question the independence of the CSM. Organic Law No 2007-039 on the Supreme Council of the Judiciary (CSM) was passed on 14 January 2008. Modified and supplemented by Organic Law No 2011-006 of 1 August 2011 and by Organic Law No 2014-019 of 12 September 2014, its membership has increased from 15 to 21, two of whom come from law faculties and one from civil society. The President of the Republic, the Minister of Justice and the two Heads of the Supreme Court are members </w:t>
      </w:r>
      <w:r w:rsidRPr="00495272">
        <w:rPr>
          <w:i/>
        </w:rPr>
        <w:t>ex officio</w:t>
      </w:r>
      <w:r w:rsidRPr="00495272">
        <w:t xml:space="preserve">. However, the First President of the Supreme Court and the Public Prosecutor in the Supreme Court are not elected but are appointed by decree of the Council of Ministers, fortunately following the mandatory opinion of the CSM. </w:t>
      </w:r>
    </w:p>
    <w:p w14:paraId="0461C036" w14:textId="77777777" w:rsidR="00495272" w:rsidRPr="00495272" w:rsidRDefault="00495272" w:rsidP="00645CAB">
      <w:pPr>
        <w:pStyle w:val="Paragraphedeliste"/>
      </w:pPr>
      <w:r w:rsidRPr="00495272">
        <w:t xml:space="preserve">On 2 February 2012, the President of the SMM (Union of Magistrates of Madagascar) Arnaud Auguste Marius declared that the appointment by decree passed by the Council of Ministers of 1 February 2012 of the Public Prosecutor of the Supreme Court was illegal and not in compliance with the valid texts which provide for mandatory consultation of the CSM, and that an action would be brought to have this appointment rescinded. Following this appeal, the decree was repealed but a second decree was issued following the opinion of the CSM. </w:t>
      </w:r>
    </w:p>
    <w:p w14:paraId="35178DF1" w14:textId="77777777" w:rsidR="00495272" w:rsidRPr="00495272" w:rsidRDefault="00495272" w:rsidP="00645CAB">
      <w:pPr>
        <w:pStyle w:val="Paragraphedeliste"/>
      </w:pPr>
      <w:r w:rsidRPr="00495272">
        <w:t>Thus, on the one hand the President of the Republic is the head of the executive. On the other hand he safeguards the independence of the justice system and is assisted by the Supreme Council of the Judiciary, of which he is the President. He is involved in managing the careers of magistrates and must ensure that the law on the status of the magistracy is respected. It would seem difficult to reconcile these different powers within the CSM. The constitutional safeguard of an independent justice system is already weakened by the Constitution itself, which attributes this responsibility to the President of the Republic.</w:t>
      </w:r>
    </w:p>
    <w:p w14:paraId="63AD2479" w14:textId="77777777" w:rsidR="00495272" w:rsidRPr="00495272" w:rsidRDefault="00495272" w:rsidP="00645CAB">
      <w:pPr>
        <w:pStyle w:val="Paragraphedeliste"/>
      </w:pPr>
      <w:r w:rsidRPr="00495272">
        <w:lastRenderedPageBreak/>
        <w:t xml:space="preserve">Under this system, the President of the Republic has a duty to take the necessary steps to </w:t>
      </w:r>
      <w:proofErr w:type="gramStart"/>
      <w:r w:rsidRPr="00495272">
        <w:t>improve</w:t>
      </w:r>
      <w:proofErr w:type="gramEnd"/>
      <w:r w:rsidRPr="00495272">
        <w:t xml:space="preserve"> justice policy in general, by, for example, allocating an adequate budget to the department responsible. This has not happened so far. On the contrary, the fact that the government of which he is head imposes performance criteria such as "real time processing" or "Rapid Results Initiatives" (RRI), with a system of regular evaluation, may seem to imply that the judicial body is in subjection to the political authority.</w:t>
      </w:r>
    </w:p>
    <w:p w14:paraId="045D3291" w14:textId="77777777" w:rsidR="00495272" w:rsidRPr="00495272" w:rsidRDefault="00495272" w:rsidP="00645CAB">
      <w:pPr>
        <w:pStyle w:val="Paragraphedeliste"/>
      </w:pPr>
      <w:r w:rsidRPr="00495272">
        <w:t>Finally, the fact that the public prosecutor comes under the Ministry of Justice still raises doubts as to the impartiality of the prosecutor when handling certain files.</w:t>
      </w:r>
    </w:p>
    <w:p w14:paraId="06699AC7" w14:textId="77777777" w:rsidR="00495272" w:rsidRPr="00495272" w:rsidRDefault="00495272" w:rsidP="00645CAB">
      <w:pPr>
        <w:pStyle w:val="Paragraphedeliste"/>
      </w:pPr>
      <w:r w:rsidRPr="00495272">
        <w:t>According to the 2016 report on corruption published by Transparency International on 24 January 2017, Madagascar is in 145th place, with a score of 26 (the equivalent of a mark of 5/20). This also means that the island is one of the 40 most corrupt countries on the planet out of the 170 plus countries included in the index.</w:t>
      </w:r>
    </w:p>
    <w:p w14:paraId="1C637D51" w14:textId="77777777" w:rsidR="00495272" w:rsidRPr="00495272" w:rsidRDefault="00495272" w:rsidP="00645CAB">
      <w:pPr>
        <w:pStyle w:val="Paragraphedeliste"/>
      </w:pPr>
      <w:r w:rsidRPr="00495272">
        <w:t xml:space="preserve">Alarmed by the non-separation of powers between the legislative, executive and judicial branches and by the violation of the principle of the independence of the institutions intended to combat corruption and scrutinize the actions of the state, in a press release dated 12 April 2017 Transparency International – Initiative Madagascar condemned the interference of the executive power, legislative power and other persons in the work carried out by the BIANCO - the independent anti-corruption office set up under Decree No 2004-937 of 5 October 2004 implementing Article 18 of Act No 2004-030 of 9 September 2004 on the fight against corruption - and the magistrates in charge of the Claudine Razanamamonjy case. </w:t>
      </w:r>
    </w:p>
    <w:p w14:paraId="2FCB48AB" w14:textId="77777777" w:rsidR="00495272" w:rsidRPr="00495272" w:rsidRDefault="00495272" w:rsidP="00645CAB">
      <w:pPr>
        <w:pStyle w:val="Paragraphedeliste"/>
      </w:pPr>
      <w:r w:rsidRPr="00495272">
        <w:t>Referred by the BIANCO to the Antananarivo public prosecutor's office for numerous instances of corruption and fraud and placed under a committal order, Ms Razanamamonjy was immediately hospitalised and very soon spirited abroad. On returning to the country, she was again admitted to hospital. In this case, suspicion focuses on the executive, which is suspected, rightly or wrongly, of having exerted pressure by intimidating the BIANCO and giving instructions to the public prosecutor's office.</w:t>
      </w:r>
    </w:p>
    <w:p w14:paraId="24AFA376" w14:textId="77777777" w:rsidR="00495272" w:rsidRPr="00495272" w:rsidRDefault="00495272" w:rsidP="00645CAB">
      <w:pPr>
        <w:pStyle w:val="Paragraphedeliste"/>
      </w:pPr>
      <w:r w:rsidRPr="00495272">
        <w:t>It would seem, however, that the country is not yet ready to turn the authority of the courts into a genuine judicial power in a context where the magistracy is still considered as one of the most corrupt professional bodies.</w:t>
      </w:r>
      <w:bookmarkStart w:id="9" w:name="sdfootnote3anc"/>
      <w:r w:rsidRPr="00495272">
        <w:fldChar w:fldCharType="begin"/>
      </w:r>
      <w:r w:rsidRPr="00495272">
        <w:instrText xml:space="preserve"> HYPERLINK "https://webmail1h.orange.fr/webmail/fr_FR/preview/bedb250de550a17a6a5b1986e97b3683/7964377251fd9a796215d6c1b99cf81f/7964377251fd9a796215d6c1b99cf81f.html" \l "sdfootnote3sym" </w:instrText>
      </w:r>
      <w:r w:rsidRPr="00495272">
        <w:fldChar w:fldCharType="separate"/>
      </w:r>
      <w:r w:rsidRPr="00495272">
        <w:rPr>
          <w:color w:val="0000FF"/>
          <w:sz w:val="14"/>
          <w:szCs w:val="14"/>
          <w:u w:val="single"/>
          <w:vertAlign w:val="superscript"/>
        </w:rPr>
        <w:t>3</w:t>
      </w:r>
      <w:r w:rsidRPr="00495272">
        <w:fldChar w:fldCharType="end"/>
      </w:r>
      <w:bookmarkEnd w:id="9"/>
      <w:r w:rsidRPr="00495272">
        <w:t xml:space="preserve"> </w:t>
      </w:r>
    </w:p>
    <w:p w14:paraId="011EA975" w14:textId="77777777" w:rsidR="00495272" w:rsidRPr="00495272" w:rsidRDefault="00495272" w:rsidP="00645CAB">
      <w:pPr>
        <w:pStyle w:val="Paragraphedeliste"/>
      </w:pPr>
      <w:r w:rsidRPr="00495272">
        <w:t xml:space="preserve">The CSM itself was long accused of corporatism, obstructing application of the disciplinary system for magistrates and cultivating a climate of impunity to the extent that very few magistrates have ever been penalised despite the number of complaints from persons standing trial. At the beginning of February 2012, the SMM organised national conferences in favour of an independent system of justice and the rule of law, a joint meeting of the magistracy, others working in the legal system and civil society. During his address at the inaugural ceremony, Marius Arnaud Auguste, President of the SMM, admitted that certain magistrates abuse their powers and that others are open to corruption. </w:t>
      </w:r>
    </w:p>
    <w:p w14:paraId="10579AD7" w14:textId="77777777" w:rsidR="00495272" w:rsidRPr="00495272" w:rsidRDefault="00495272" w:rsidP="00645CAB">
      <w:pPr>
        <w:pStyle w:val="Paragraphedeliste"/>
      </w:pPr>
      <w:r w:rsidRPr="00495272">
        <w:t>Likewise, with reference to the murder of Judge Michel Rehavana, on Thursday 2 February 2012 the SMM lodged with the Supreme Prosecutor's Office a complaint against the Ministry of Internal Security. It comprised three charges: failure to assist a person in danger, casting discredit on a judicial decision and condoning crime and, finally, attempts to help criminals to escape arrest and discovery.</w:t>
      </w:r>
    </w:p>
    <w:p w14:paraId="0BDBD977" w14:textId="77777777" w:rsidR="00495272" w:rsidRPr="00495272" w:rsidRDefault="00495272" w:rsidP="00645CAB">
      <w:pPr>
        <w:pStyle w:val="Paragraphedeliste"/>
      </w:pPr>
      <w:r w:rsidRPr="00495272">
        <w:t xml:space="preserve">Recently, efforts have been noted to clean up the magistracy. Thus in July 2016, at the close of a three-day disciplinary council, the Supreme Council of the Judiciary (CSM) decided to reassign numerous magistrates who had remained in the same post for more than </w:t>
      </w:r>
      <w:r w:rsidRPr="00495272">
        <w:lastRenderedPageBreak/>
        <w:t>10 years and to dismiss two magistrates, who were assisted by the Union of Magistrates of Madagascar (SMM), on the grounds that they had abandoned their post and had been proven to be partial, according to a communication from the Secretary-General of the CSM. Of the seven other magistrates called before the disciplinary council, four were released and two issued with a warning.</w:t>
      </w:r>
    </w:p>
    <w:p w14:paraId="0C32616B" w14:textId="77777777" w:rsidR="00495272" w:rsidRPr="00495272" w:rsidRDefault="00495272" w:rsidP="00645CAB">
      <w:pPr>
        <w:pStyle w:val="Paragraphedeliste"/>
      </w:pPr>
      <w:r w:rsidRPr="00495272">
        <w:t xml:space="preserve">As regards legal aid, the Ministry of Justice has, admittedly, issued a decree (No 22579/2015 of 8 July 2015 implementing Decree No 2009-970 of 14 July 2009 on legal aid) to make it easier for those in need </w:t>
      </w:r>
      <w:proofErr w:type="gramStart"/>
      <w:r w:rsidRPr="00495272">
        <w:t>who</w:t>
      </w:r>
      <w:proofErr w:type="gramEnd"/>
      <w:r w:rsidRPr="00495272">
        <w:t xml:space="preserve"> are facing charges to gain access to justice. Three legal aid offices have again been operational since 2010.</w:t>
      </w:r>
    </w:p>
    <w:p w14:paraId="03D00407" w14:textId="77777777" w:rsidR="00495272" w:rsidRPr="00495272" w:rsidRDefault="00495272" w:rsidP="00645CAB">
      <w:pPr>
        <w:pStyle w:val="Paragraphedeliste"/>
      </w:pPr>
      <w:r w:rsidRPr="00495272">
        <w:t>The scope of the above-mentioned texts on legal aid remains limited, since they specify that they do not apply to criminal cases on the grounds that criminal procedures are free of charge. However, an effective defence aimed at preventing abuses of any kind must be set up in criminal cases as soon as there is any preliminary investigation.</w:t>
      </w:r>
    </w:p>
    <w:p w14:paraId="5E373A93" w14:textId="77777777" w:rsidR="00495272" w:rsidRPr="00495272" w:rsidRDefault="00495272" w:rsidP="00645CAB">
      <w:pPr>
        <w:pStyle w:val="Paragraphedeliste"/>
      </w:pPr>
      <w:r w:rsidRPr="00495272">
        <w:t>A distinction must, in fact, be made between legal aid as laid down in Decree No 2009-970 of 14 July 2009 referred to above and the "duty lawyer service", laid down by law and which lawyers are obliged to sign up to, for defending, free of charge, cases involving defendants and accused persons who do not have sufficient means to fund a legal defence.</w:t>
      </w:r>
    </w:p>
    <w:p w14:paraId="07CEFA2D" w14:textId="77777777" w:rsidR="00495272" w:rsidRPr="00495272" w:rsidRDefault="00495272" w:rsidP="00645CAB">
      <w:pPr>
        <w:pStyle w:val="Paragraphedeliste"/>
      </w:pPr>
      <w:r w:rsidRPr="00495272">
        <w:t>In practice, lawyers (trainees or qualified) are assigned only for criminal procedures (before the ordinary and special criminal courts) and major crimes punishable by a minimum of five to ten years' imprisonment.</w:t>
      </w:r>
    </w:p>
    <w:p w14:paraId="2A604732" w14:textId="77777777" w:rsidR="00495272" w:rsidRPr="00495272" w:rsidRDefault="00495272" w:rsidP="00645CAB">
      <w:pPr>
        <w:pStyle w:val="Paragraphedeliste"/>
      </w:pPr>
      <w:r w:rsidRPr="00495272">
        <w:t>The Code of Criminal Procedure (Articles 65, 68, 69, 228, 422, 447) provides for the assignment of lawyers, in particular in criminal cases and for minors. Article 43 of Act No 2001-006 regulating the profession of lawyer (</w:t>
      </w:r>
      <w:r w:rsidRPr="00495272">
        <w:rPr>
          <w:i/>
        </w:rPr>
        <w:t>avocat</w:t>
      </w:r>
      <w:r w:rsidRPr="00495272">
        <w:t xml:space="preserve">) provides for the </w:t>
      </w:r>
      <w:r w:rsidRPr="00495272">
        <w:rPr>
          <w:i/>
        </w:rPr>
        <w:t>Bâtonnier</w:t>
      </w:r>
      <w:r w:rsidRPr="00495272">
        <w:t xml:space="preserve"> (Chairman of the Bar Association) (in practice, his delegate in the various sections) to assign lawyers. </w:t>
      </w:r>
    </w:p>
    <w:p w14:paraId="4A982181" w14:textId="77777777" w:rsidR="00495272" w:rsidRPr="00495272" w:rsidRDefault="00495272" w:rsidP="00645CAB">
      <w:pPr>
        <w:pStyle w:val="Paragraphedeliste"/>
      </w:pPr>
      <w:r w:rsidRPr="00495272">
        <w:t xml:space="preserve">In practice, it is trainee </w:t>
      </w:r>
      <w:proofErr w:type="gramStart"/>
      <w:r w:rsidRPr="00495272">
        <w:t>lawyers</w:t>
      </w:r>
      <w:proofErr w:type="gramEnd"/>
      <w:r w:rsidRPr="00495272">
        <w:t xml:space="preserve"> who are assigned, except in sections where there are no trainees. </w:t>
      </w:r>
    </w:p>
    <w:p w14:paraId="494A319F" w14:textId="77777777" w:rsidR="00495272" w:rsidRPr="00495272" w:rsidRDefault="00495272" w:rsidP="00645CAB">
      <w:pPr>
        <w:pStyle w:val="Paragraphedeliste"/>
      </w:pPr>
      <w:r w:rsidRPr="00495272">
        <w:t xml:space="preserve">Lawyers do not claim the fees for assignments payable in cases to be dealt with outside their place of residence owing to the red tape and very small amount of money involved. In practice, duty lawyers are not notified of their assignments until the date for the hearings is fixed. They therefore act only on trial days unless the cases are referred and they personally defray travel and office equipment/secretariat expenses. </w:t>
      </w:r>
    </w:p>
    <w:p w14:paraId="3E5E7FD9" w14:textId="77777777" w:rsidR="00495272" w:rsidRPr="00495272" w:rsidRDefault="00495272" w:rsidP="00645CAB">
      <w:pPr>
        <w:pStyle w:val="Paragraphedeliste"/>
      </w:pPr>
      <w:r w:rsidRPr="00495272">
        <w:t>If trainee lawyers are perfectly prepared to perform this public service mission (1 221 assignments by Antananarivo section lawyers in 2013 and 1 152 cases in 2014), they regret the lack of fees, in particular for Ordinary Criminal Courts held in outlying districts and involving travel expenses.</w:t>
      </w:r>
    </w:p>
    <w:p w14:paraId="4A5B6E90" w14:textId="77777777" w:rsidR="00495272" w:rsidRPr="00495272" w:rsidRDefault="00495272" w:rsidP="00645CAB">
      <w:pPr>
        <w:pStyle w:val="Paragraphedeliste"/>
      </w:pPr>
      <w:r w:rsidRPr="00495272">
        <w:t>Free consultations are also held within the Antananarivo Court of First Instance, in special boxes in the waiting room, by trainee layers in the section concerned. In addition, the Centre for Law and the Legal Professions (</w:t>
      </w:r>
      <w:r w:rsidRPr="00495272">
        <w:rPr>
          <w:i/>
        </w:rPr>
        <w:t>Maison du Droit et des Professions Judiciaires -</w:t>
      </w:r>
      <w:r w:rsidRPr="00495272">
        <w:t xml:space="preserve"> (MDPJ) built in 2012 in the judicial precincts of the Palais de Justice in Antananarivo houses the national seats of the three legal professions (lawyers, notaries and bailiffs - </w:t>
      </w:r>
      <w:r w:rsidRPr="00495272">
        <w:rPr>
          <w:i/>
        </w:rPr>
        <w:t>avocats, notaires, huissiers</w:t>
      </w:r>
      <w:r w:rsidRPr="00495272">
        <w:t>) who have undertaken to give free consultations there in exchange for the use free of charge of land and buildings granted them by the Ministry of Justice.</w:t>
      </w:r>
    </w:p>
    <w:p w14:paraId="30AD7623" w14:textId="77777777" w:rsidR="00495272" w:rsidRPr="00495272" w:rsidRDefault="00495272" w:rsidP="00645CAB">
      <w:pPr>
        <w:pStyle w:val="Paragraphedeliste"/>
      </w:pPr>
      <w:r w:rsidRPr="00495272">
        <w:t xml:space="preserve">The free consultations by lawyers in the Antananarivo and Antsiranana sections are key cogs in the wheel of access to law and justice for those liable to appear in court, in particular </w:t>
      </w:r>
      <w:r w:rsidRPr="00495272">
        <w:lastRenderedPageBreak/>
        <w:t>those from vulnerable population groups. The legal consultations given by trainee layers (in the CFI in Antananarivo every morning) and qualified lawyers (in Antsiranana Thursday mornings) consist of legal information and advice given to those liable to appear in court, but there is no case follow-up. They are essential, complementing the rôle of the legal advice ships (</w:t>
      </w:r>
      <w:r w:rsidRPr="00495272">
        <w:rPr>
          <w:i/>
        </w:rPr>
        <w:t>Kiosques Juridiques</w:t>
      </w:r>
      <w:proofErr w:type="gramStart"/>
      <w:r w:rsidRPr="00495272">
        <w:t>) which</w:t>
      </w:r>
      <w:proofErr w:type="gramEnd"/>
      <w:r w:rsidRPr="00495272">
        <w:t xml:space="preserve"> have no genuine mandate to offer legal advice but simply give guidance on services and on official forms.</w:t>
      </w:r>
    </w:p>
    <w:p w14:paraId="0999DECE" w14:textId="77777777" w:rsidR="00495272" w:rsidRPr="00495272" w:rsidRDefault="00495272" w:rsidP="00645CAB">
      <w:pPr>
        <w:pStyle w:val="Paragraphedeliste"/>
      </w:pPr>
      <w:r w:rsidRPr="00495272">
        <w:t>In Antananarivo, the successful experiment of the pool of lawyers for the defence of women and children (</w:t>
      </w:r>
      <w:r w:rsidRPr="00495272">
        <w:rPr>
          <w:i/>
        </w:rPr>
        <w:t>Pool des Avocats pour la Défense des Femmes et des Enfants -</w:t>
      </w:r>
      <w:r w:rsidRPr="00495272">
        <w:t xml:space="preserve"> (PADFEM) deserves a mention: in addition to legal information, legal and judicial assistance are given, right up to the hearing, to women and/or minors who are the victims of violence. Regular statistics are kept. If the case comes under PADFEM, the free consultations such as the </w:t>
      </w:r>
      <w:r w:rsidRPr="00495272">
        <w:rPr>
          <w:i/>
        </w:rPr>
        <w:t>Kiosques Juridiques</w:t>
      </w:r>
      <w:r w:rsidRPr="00495272">
        <w:t xml:space="preserve"> should refer the victims to the PADFEM. </w:t>
      </w:r>
    </w:p>
    <w:p w14:paraId="6F054040" w14:textId="77777777" w:rsidR="00495272" w:rsidRPr="00495272" w:rsidRDefault="00495272" w:rsidP="00645CAB">
      <w:pPr>
        <w:pStyle w:val="Paragraphedeliste"/>
      </w:pPr>
      <w:r w:rsidRPr="00495272">
        <w:t>Being aware of this lack of resources, in June 2015 the UNDP donated materials and equipment to the Toliara Court of Appeal to improve access to free legal assistance for vulnerable people and those in detention.</w:t>
      </w:r>
    </w:p>
    <w:p w14:paraId="377ED907" w14:textId="77777777" w:rsidR="00495272" w:rsidRPr="00495272" w:rsidRDefault="00495272" w:rsidP="00645CAB">
      <w:pPr>
        <w:pStyle w:val="Paragraphedeliste"/>
      </w:pPr>
      <w:r w:rsidRPr="00495272">
        <w:t>The Ministry of Justice and the Population Ministry, with financial and technical support from the UNDP and the United Nations Population Fund (UNFPA) have put in place community-based structures, setting up 18 legal clinics and listening and counselling centres. The legal clinics are outliers of the Ministry of Justice and staffed by associations, at community level, thus allowing the most deprived and vulnerable to have access to a mechanism authorised to solve their problems by conciliation, an alternative mode of conflict resolution, or assisted guidance with a view to referral to the competent public services.</w:t>
      </w:r>
    </w:p>
    <w:p w14:paraId="1858AC19"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1CCF0AA9" w14:textId="77777777" w:rsidR="00495272" w:rsidRPr="00495272" w:rsidRDefault="00495272" w:rsidP="00645CAB">
      <w:pPr>
        <w:tabs>
          <w:tab w:val="left" w:pos="8640"/>
        </w:tabs>
        <w:spacing w:before="100" w:beforeAutospacing="1" w:after="130"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4DD8A520" w14:textId="77777777" w:rsidR="00495272" w:rsidRPr="00495272" w:rsidRDefault="00495272" w:rsidP="00645CAB">
      <w:pPr>
        <w:pStyle w:val="recommandations"/>
      </w:pPr>
      <w:r w:rsidRPr="00495272">
        <w:t xml:space="preserve">Accelerate the setting up of the High Court of Justice; </w:t>
      </w:r>
    </w:p>
    <w:p w14:paraId="0B438B27" w14:textId="77777777" w:rsidR="00495272" w:rsidRPr="00495272" w:rsidRDefault="00495272" w:rsidP="00645CAB">
      <w:pPr>
        <w:pStyle w:val="recommandations"/>
      </w:pPr>
      <w:r w:rsidRPr="00495272">
        <w:t xml:space="preserve">Revise the legal aid act by including criminal cases, in particular cases where minors come into conflict with the law; </w:t>
      </w:r>
    </w:p>
    <w:p w14:paraId="393E186E" w14:textId="77777777" w:rsidR="00495272" w:rsidRPr="00495272" w:rsidRDefault="00495272" w:rsidP="00645CAB">
      <w:pPr>
        <w:pStyle w:val="recommandations"/>
      </w:pPr>
      <w:r w:rsidRPr="00495272">
        <w:t xml:space="preserve">Outlaw the giving of instructions by the State to the judicial system on individual cases; </w:t>
      </w:r>
    </w:p>
    <w:p w14:paraId="1E3C15D2" w14:textId="77777777" w:rsidR="00495272" w:rsidRPr="00495272" w:rsidRDefault="00495272" w:rsidP="00645CAB">
      <w:pPr>
        <w:pStyle w:val="recommandations"/>
      </w:pPr>
      <w:r w:rsidRPr="00495272">
        <w:t xml:space="preserve">Propose reforms restoring public confidence in the institutions of justice; </w:t>
      </w:r>
    </w:p>
    <w:p w14:paraId="021DD550" w14:textId="77777777" w:rsidR="00495272" w:rsidRPr="00495272" w:rsidRDefault="00495272" w:rsidP="00645CAB">
      <w:pPr>
        <w:pStyle w:val="recommandations"/>
      </w:pPr>
      <w:r w:rsidRPr="00495272">
        <w:t xml:space="preserve">Put in place a strategy to combat miscarriages of justice; </w:t>
      </w:r>
    </w:p>
    <w:p w14:paraId="4D8CFE22" w14:textId="77777777" w:rsidR="00495272" w:rsidRPr="00495272" w:rsidRDefault="00495272" w:rsidP="00645CAB">
      <w:pPr>
        <w:pStyle w:val="recommandations"/>
      </w:pPr>
      <w:r w:rsidRPr="00495272">
        <w:t>Accelerate the setting up of the Inspectorate-General for Justice and the National Council for Justice.</w:t>
      </w:r>
    </w:p>
    <w:p w14:paraId="34FE2E4E" w14:textId="63ED2600"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18</w:t>
      </w:r>
      <w:r w:rsidR="00495272" w:rsidRPr="00495272">
        <w:rPr>
          <w:rFonts w:ascii="Times New Roman" w:eastAsia="Times New Roman" w:hAnsi="Times New Roman" w:cs="Times New Roman"/>
          <w:color w:val="000000"/>
          <w:sz w:val="24"/>
          <w:szCs w:val="24"/>
          <w:lang w:val="en-GB"/>
        </w:rPr>
        <w:t>: Please provide information on the extent of the use of “traditional justice” or “parallel justice” mechanisms that seem to be bolstered by the lack of proximity between “institutional” justice and citizens. Please explain the measures taken to effectively monitor the decisions issued by Dina, to ensure that they do not hear cases that do not fall within their jurisdiction pursuant to Act No 2001-004, which establishes a requirement for approval of Dina court decisions by ordinary courts, and to ensure that all decisions taken by Dina courts are appealed before the ordinary courts.</w:t>
      </w:r>
    </w:p>
    <w:p w14:paraId="1643298D"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lastRenderedPageBreak/>
        <w:t>Replies/Comments from civil society</w:t>
      </w:r>
    </w:p>
    <w:p w14:paraId="299DB714" w14:textId="77777777" w:rsidR="00495272" w:rsidRPr="00495272" w:rsidRDefault="00495272" w:rsidP="00645CAB">
      <w:pPr>
        <w:pStyle w:val="Paragraphedeliste"/>
      </w:pPr>
      <w:r w:rsidRPr="00495272">
        <w:t xml:space="preserve">In Madagascar, traditional justice governed by the "dina" is still widely practised in rural areas. Act No 2001-004 of 25 October 2001 which governs them was passed to create a bridge with official justice, but there is still a great deal of controversy, especially since there may be no official justice locally, the State and the official forces of law and order are incapable of enforcing security and justice and the judiciary - courts and forces of law and order - are considered to be too corrupt and are therefore mistrusted. All this encourages people to resort to traditional justice for solutions to their local problems, in particular in areas affected by cattle rustling. </w:t>
      </w:r>
    </w:p>
    <w:p w14:paraId="22853E3A" w14:textId="77777777" w:rsidR="00495272" w:rsidRPr="00495272" w:rsidRDefault="00495272" w:rsidP="00645CAB">
      <w:pPr>
        <w:pStyle w:val="Paragraphedeliste"/>
      </w:pPr>
      <w:r w:rsidRPr="00495272">
        <w:t xml:space="preserve">Under Act No 2001-004, the </w:t>
      </w:r>
      <w:r w:rsidRPr="00495272">
        <w:rPr>
          <w:i/>
          <w:iCs/>
        </w:rPr>
        <w:t>dina</w:t>
      </w:r>
      <w:r w:rsidRPr="00495272">
        <w:t xml:space="preserve"> is a collective agreement in writing, freely adopted by the majority of members of the </w:t>
      </w:r>
      <w:r w:rsidRPr="00495272">
        <w:rPr>
          <w:i/>
          <w:iCs/>
        </w:rPr>
        <w:t xml:space="preserve">fokonolona, </w:t>
      </w:r>
      <w:r w:rsidRPr="00495272">
        <w:rPr>
          <w:iCs/>
        </w:rPr>
        <w:t>to</w:t>
      </w:r>
      <w:r w:rsidRPr="00495272">
        <w:rPr>
          <w:i/>
          <w:iCs/>
        </w:rPr>
        <w:t xml:space="preserve"> </w:t>
      </w:r>
      <w:r w:rsidRPr="00495272">
        <w:rPr>
          <w:iCs/>
        </w:rPr>
        <w:t>enact measures which the local population considers necessary to reconcile social and economic life with security, depending on the local situation, and to introduce a system of collective discipline to keep order and maintain public safety.</w:t>
      </w:r>
    </w:p>
    <w:p w14:paraId="6CB1073E" w14:textId="77777777" w:rsidR="00495272" w:rsidRPr="00495272" w:rsidRDefault="00495272" w:rsidP="00645CAB">
      <w:pPr>
        <w:pStyle w:val="Paragraphedeliste"/>
      </w:pPr>
      <w:r w:rsidRPr="00495272">
        <w:t>It has been shown that recourse to the dina may in fact make for less security, as seems to have been the case in Ihosy, and other researchers consider that this traditional system does not always make for fair solutions.</w:t>
      </w:r>
    </w:p>
    <w:p w14:paraId="5E6FBCFF" w14:textId="77777777" w:rsidR="00495272" w:rsidRPr="00495272" w:rsidRDefault="00495272" w:rsidP="00645CAB">
      <w:pPr>
        <w:pStyle w:val="Paragraphedeliste"/>
      </w:pPr>
      <w:r w:rsidRPr="00495272">
        <w:t xml:space="preserve">The law states that the dina may be used only for civil cases and that it does not come into force until </w:t>
      </w:r>
      <w:proofErr w:type="gramStart"/>
      <w:r w:rsidRPr="00495272">
        <w:t>it has been approved by the competent official court</w:t>
      </w:r>
      <w:proofErr w:type="gramEnd"/>
      <w:r w:rsidRPr="00495272">
        <w:t>. Thus the passing of punitive sentences such as corporal and capital punishment are abuses and violations of the law. Nevertheless it happens that the population has recourse to unauthorised dina immediately an offence is committed and has no qualms about trying to enforce their decisions without taking valid laws into account.</w:t>
      </w:r>
    </w:p>
    <w:p w14:paraId="7FB27CFE" w14:textId="77777777" w:rsidR="00495272" w:rsidRPr="00495272" w:rsidRDefault="00495272" w:rsidP="00645CAB">
      <w:pPr>
        <w:pStyle w:val="Paragraphedeliste"/>
      </w:pPr>
      <w:r w:rsidRPr="00495272">
        <w:t>In January 2017 at Vangaindrano, a local fringe group demanded that the "dina mena vozo" be applied in the case of a man suspected of having raped and murdered a 19-year-old girl. Tension mounted between the "fokonolona" and the forces of law and order, which took the necessary steps to prevent the dina.</w:t>
      </w:r>
    </w:p>
    <w:p w14:paraId="7D720DDC" w14:textId="77777777" w:rsidR="00495272" w:rsidRPr="00495272" w:rsidRDefault="00495272" w:rsidP="00645CAB">
      <w:pPr>
        <w:pStyle w:val="Paragraphedeliste"/>
      </w:pPr>
      <w:r w:rsidRPr="00495272">
        <w:t xml:space="preserve">Below are some of the dina applied in various parts of the country: </w:t>
      </w:r>
    </w:p>
    <w:p w14:paraId="1B8ABF37" w14:textId="77777777" w:rsidR="00495272" w:rsidRPr="00495272" w:rsidRDefault="00495272" w:rsidP="00EF620C">
      <w:pPr>
        <w:numPr>
          <w:ilvl w:val="1"/>
          <w:numId w:val="6"/>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Dina mena vozo in the </w:t>
      </w:r>
      <w:proofErr w:type="gramStart"/>
      <w:r w:rsidRPr="00495272">
        <w:rPr>
          <w:rFonts w:ascii="Times New Roman" w:eastAsia="Times New Roman" w:hAnsi="Times New Roman" w:cs="Times New Roman"/>
          <w:color w:val="000000"/>
          <w:sz w:val="24"/>
          <w:szCs w:val="24"/>
          <w:lang w:val="en-GB"/>
        </w:rPr>
        <w:t>south-east</w:t>
      </w:r>
      <w:proofErr w:type="gramEnd"/>
      <w:r w:rsidRPr="00495272">
        <w:rPr>
          <w:rFonts w:ascii="Times New Roman" w:eastAsia="Times New Roman" w:hAnsi="Times New Roman" w:cs="Times New Roman"/>
          <w:color w:val="000000"/>
          <w:sz w:val="24"/>
          <w:szCs w:val="24"/>
          <w:lang w:val="en-GB"/>
        </w:rPr>
        <w:t xml:space="preserve">. The </w:t>
      </w:r>
      <w:r w:rsidRPr="00495272">
        <w:rPr>
          <w:rFonts w:ascii="Times New Roman" w:eastAsia="Times New Roman" w:hAnsi="Times New Roman" w:cs="Times New Roman"/>
          <w:i/>
          <w:iCs/>
          <w:color w:val="000000"/>
          <w:sz w:val="24"/>
          <w:szCs w:val="24"/>
          <w:lang w:val="en-GB"/>
        </w:rPr>
        <w:t>dina menavozo</w:t>
      </w:r>
      <w:r w:rsidRPr="00495272">
        <w:rPr>
          <w:rFonts w:ascii="Times New Roman" w:eastAsia="Times New Roman" w:hAnsi="Times New Roman" w:cs="Times New Roman"/>
          <w:color w:val="000000"/>
          <w:sz w:val="24"/>
          <w:szCs w:val="24"/>
          <w:lang w:val="en-GB"/>
        </w:rPr>
        <w:t xml:space="preserve"> consists of decapitating the thief immediately</w:t>
      </w:r>
      <w:r w:rsidRPr="00495272">
        <w:rPr>
          <w:rFonts w:ascii="Trebuchet MS" w:eastAsia="Times New Roman" w:hAnsi="Trebuchet MS" w:cs="Times New Roman"/>
          <w:color w:val="000000"/>
          <w:sz w:val="18"/>
          <w:szCs w:val="18"/>
          <w:lang w:val="en-GB"/>
        </w:rPr>
        <w:t>.</w:t>
      </w:r>
      <w:r w:rsidRPr="00495272">
        <w:rPr>
          <w:rFonts w:ascii="Times New Roman" w:eastAsia="Times New Roman" w:hAnsi="Times New Roman" w:cs="Times New Roman"/>
          <w:color w:val="000000"/>
          <w:sz w:val="24"/>
          <w:szCs w:val="24"/>
          <w:lang w:val="en-GB"/>
        </w:rPr>
        <w:t xml:space="preserve"> </w:t>
      </w:r>
    </w:p>
    <w:p w14:paraId="34D6520F" w14:textId="77777777" w:rsidR="00495272" w:rsidRPr="00495272" w:rsidRDefault="00495272" w:rsidP="00EF620C">
      <w:pPr>
        <w:numPr>
          <w:ilvl w:val="1"/>
          <w:numId w:val="6"/>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Dinan’i Matsiatra Ambony (Fianarantsoa region) </w:t>
      </w:r>
    </w:p>
    <w:p w14:paraId="1D16E251" w14:textId="77777777" w:rsidR="00495272" w:rsidRPr="00495272" w:rsidRDefault="00495272" w:rsidP="00EF620C">
      <w:pPr>
        <w:numPr>
          <w:ilvl w:val="1"/>
          <w:numId w:val="6"/>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Dina zanak’i Mangoky (Menabe region) </w:t>
      </w:r>
    </w:p>
    <w:p w14:paraId="11F5013D" w14:textId="77777777" w:rsidR="00495272" w:rsidRPr="00495272" w:rsidRDefault="00495272" w:rsidP="00EF620C">
      <w:pPr>
        <w:numPr>
          <w:ilvl w:val="1"/>
          <w:numId w:val="6"/>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Dina zafisoro telotoko </w:t>
      </w:r>
    </w:p>
    <w:p w14:paraId="7F3D4365" w14:textId="77777777" w:rsidR="00495272" w:rsidRPr="00495272" w:rsidRDefault="00495272" w:rsidP="00EF620C">
      <w:pPr>
        <w:numPr>
          <w:ilvl w:val="1"/>
          <w:numId w:val="6"/>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color w:val="000000"/>
          <w:sz w:val="24"/>
          <w:szCs w:val="24"/>
          <w:lang w:val="en-GB"/>
        </w:rPr>
        <w:t xml:space="preserve">Dina </w:t>
      </w:r>
      <w:proofErr w:type="gramStart"/>
      <w:r w:rsidRPr="00495272">
        <w:rPr>
          <w:rFonts w:ascii="Times New Roman" w:eastAsia="Times New Roman" w:hAnsi="Times New Roman" w:cs="Times New Roman"/>
          <w:color w:val="000000"/>
          <w:sz w:val="24"/>
          <w:szCs w:val="24"/>
          <w:lang w:val="en-GB"/>
        </w:rPr>
        <w:t>ny</w:t>
      </w:r>
      <w:proofErr w:type="gramEnd"/>
      <w:r w:rsidRPr="00495272">
        <w:rPr>
          <w:rFonts w:ascii="Times New Roman" w:eastAsia="Times New Roman" w:hAnsi="Times New Roman" w:cs="Times New Roman"/>
          <w:color w:val="000000"/>
          <w:sz w:val="24"/>
          <w:szCs w:val="24"/>
          <w:lang w:val="en-GB"/>
        </w:rPr>
        <w:t xml:space="preserve"> melaky tsy mipoly. This last was approved once the death penalty it provided for was removed.</w:t>
      </w:r>
    </w:p>
    <w:p w14:paraId="6C4F6968" w14:textId="77777777" w:rsidR="00495272" w:rsidRPr="00495272" w:rsidRDefault="00495272" w:rsidP="00645CAB">
      <w:pPr>
        <w:pStyle w:val="Paragraphedeliste"/>
      </w:pPr>
      <w:r w:rsidRPr="00495272">
        <w:t xml:space="preserve">It is recognised that the </w:t>
      </w:r>
      <w:r w:rsidRPr="00495272">
        <w:rPr>
          <w:i/>
          <w:iCs/>
        </w:rPr>
        <w:t>dina</w:t>
      </w:r>
      <w:r w:rsidRPr="00495272">
        <w:t xml:space="preserve"> are, among other things, a spontaneous reaction by villages to the central government's inability to protect them.</w:t>
      </w:r>
    </w:p>
    <w:p w14:paraId="3D8BB464" w14:textId="77777777" w:rsidR="00495272" w:rsidRPr="00495272" w:rsidRDefault="00495272" w:rsidP="00645CAB">
      <w:pPr>
        <w:pStyle w:val="Paragraphedeliste"/>
      </w:pPr>
      <w:r w:rsidRPr="00495272">
        <w:t xml:space="preserve">In view of the acknowledged ineffectiveness of the approved </w:t>
      </w:r>
      <w:r w:rsidRPr="00495272">
        <w:rPr>
          <w:i/>
          <w:iCs/>
        </w:rPr>
        <w:t>dina</w:t>
      </w:r>
      <w:r w:rsidRPr="00495272">
        <w:t xml:space="preserve"> in certain situations, non-official </w:t>
      </w:r>
      <w:r w:rsidRPr="00495272">
        <w:rPr>
          <w:i/>
        </w:rPr>
        <w:t>dina</w:t>
      </w:r>
      <w:r w:rsidRPr="00495272">
        <w:t>, i.e. those adopted outside the legal frameworks, are becoming increasingly common.</w:t>
      </w:r>
    </w:p>
    <w:p w14:paraId="339432AD" w14:textId="77777777" w:rsidR="00495272" w:rsidRPr="00495272" w:rsidRDefault="00495272" w:rsidP="00645CAB">
      <w:pPr>
        <w:tabs>
          <w:tab w:val="left" w:pos="8640"/>
        </w:tabs>
        <w:spacing w:before="100" w:beforeAutospacing="1" w:after="108"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5768E239" w14:textId="77777777" w:rsidR="00495272" w:rsidRPr="00495272" w:rsidRDefault="00495272" w:rsidP="00645CAB">
      <w:pPr>
        <w:tabs>
          <w:tab w:val="left" w:pos="8640"/>
        </w:tabs>
        <w:spacing w:before="100" w:beforeAutospacing="1" w:after="130"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lastRenderedPageBreak/>
        <w:t>The State Party should:</w:t>
      </w:r>
    </w:p>
    <w:p w14:paraId="6DBB9A91" w14:textId="77777777" w:rsidR="00495272" w:rsidRPr="00495272" w:rsidRDefault="00495272" w:rsidP="00645CAB">
      <w:pPr>
        <w:pStyle w:val="recommandations"/>
      </w:pPr>
      <w:r w:rsidRPr="00495272">
        <w:t xml:space="preserve">Draw up a national policy to encourage greater respect for the rule of law and the values of justice. </w:t>
      </w:r>
    </w:p>
    <w:p w14:paraId="5125A22A" w14:textId="77777777" w:rsidR="00495272" w:rsidRPr="00495272" w:rsidRDefault="00495272" w:rsidP="00645CAB">
      <w:pPr>
        <w:pStyle w:val="recommandations"/>
      </w:pPr>
      <w:r w:rsidRPr="00495272">
        <w:t xml:space="preserve">Draw up a strategy and a policy for public safety. </w:t>
      </w:r>
    </w:p>
    <w:p w14:paraId="2BCAF7E8" w14:textId="77777777" w:rsidR="00495272" w:rsidRPr="00495272" w:rsidRDefault="00495272" w:rsidP="00645CAB">
      <w:pPr>
        <w:pStyle w:val="recommandations"/>
      </w:pPr>
      <w:r w:rsidRPr="00495272">
        <w:t>Take steps to investigate and punish breaches of the law linked to the use of illegal and abusive dina.</w:t>
      </w:r>
    </w:p>
    <w:p w14:paraId="2495402C" w14:textId="77777777" w:rsidR="00495272" w:rsidRPr="00495272" w:rsidRDefault="00495272" w:rsidP="00645CAB">
      <w:pPr>
        <w:pStyle w:val="titre1TM"/>
      </w:pPr>
      <w:bookmarkStart w:id="10" w:name="_Toc146979"/>
      <w:bookmarkEnd w:id="10"/>
      <w:r w:rsidRPr="00495272">
        <w:t xml:space="preserve">Treatment of detainees (Articles 7 and 10) </w:t>
      </w:r>
    </w:p>
    <w:p w14:paraId="0CCB9701" w14:textId="3B6FC354" w:rsidR="00495272" w:rsidRPr="00495272" w:rsidRDefault="004231D5" w:rsidP="00645CAB">
      <w:pPr>
        <w:pBdr>
          <w:top w:val="single" w:sz="2" w:space="0" w:color="000001"/>
          <w:left w:val="single" w:sz="2" w:space="0" w:color="000001"/>
          <w:bottom w:val="single" w:sz="2" w:space="1" w:color="00000A"/>
          <w:right w:val="single" w:sz="2" w:space="0" w:color="000001"/>
        </w:pBdr>
        <w:tabs>
          <w:tab w:val="left" w:pos="8640"/>
        </w:tabs>
        <w:spacing w:before="100" w:beforeAutospacing="1" w:after="147" w:line="242"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19</w:t>
      </w:r>
      <w:r w:rsidR="00495272" w:rsidRPr="00495272">
        <w:rPr>
          <w:rFonts w:ascii="Times New Roman" w:eastAsia="Times New Roman" w:hAnsi="Times New Roman" w:cs="Times New Roman"/>
          <w:color w:val="000000"/>
          <w:sz w:val="24"/>
          <w:szCs w:val="24"/>
          <w:lang w:val="en-GB"/>
        </w:rPr>
        <w:t>: In the light of the previous concluding observations (para. 22) and the information provided by the State Party (CCPR/C/MDG/4, paras 175-219), please indicate the results of efforts to improve conditions of detention, including by constructing new buildings or renovating old ones; to reduce prison overcrowding; to increase the number of prisons with separate quarters for minors; to segregate persons in pretrial detention from convicted prisoners; to ensure access to health care and prevent deaths among detainees; and to provide detainees with better food. Please provide information on the bill on community service, on the use of alternatives to imprisonment and on efforts to combat the excessive use of pretrial detention. Please provide updated information on the processing of appeals or applications for judicial review that are pending before courts of first instance or courts of appeal. Please also clarify whether there is an independent, confidential mechanism in prisons for receiving complaints from prisoners. If so, please give examples, indicating the number of complaints received and the action taken on those complaints.</w:t>
      </w:r>
    </w:p>
    <w:p w14:paraId="796CAB9F"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5900DDAF" w14:textId="77777777" w:rsidR="00495272" w:rsidRPr="00495272" w:rsidRDefault="00495272" w:rsidP="00645CAB">
      <w:pPr>
        <w:pStyle w:val="Paragraphedeliste"/>
      </w:pPr>
      <w:r w:rsidRPr="00495272">
        <w:t>According to the Director-General for the prison administration, almost all prisons in Madagascar</w:t>
      </w:r>
      <w:r w:rsidRPr="00495272">
        <w:rPr>
          <w:i/>
          <w:iCs/>
        </w:rPr>
        <w:t xml:space="preserve"> </w:t>
      </w:r>
      <w:r w:rsidRPr="00495272">
        <w:rPr>
          <w:iCs/>
        </w:rPr>
        <w:t xml:space="preserve">are overcrowded. In the </w:t>
      </w:r>
      <w:r w:rsidRPr="00495272">
        <w:t xml:space="preserve">Antanimora </w:t>
      </w:r>
      <w:r w:rsidRPr="00495272">
        <w:rPr>
          <w:i/>
        </w:rPr>
        <w:t>Maison Centrale</w:t>
      </w:r>
      <w:r w:rsidRPr="00495272">
        <w:t>, 3 300 detainees are held in an establishment designed for 800 only. In the Antanimora prison there are 83 prisoner-workers and 2 who do chores in the camp. In 2016, 50.62% of the 20 605 prisoners on the books were simply awaiting trial. And of the 10 174 already sentenced (50.62%), 1 139 had applied for a judicial review or contested the verdict and appealed.</w:t>
      </w:r>
    </w:p>
    <w:p w14:paraId="11456435" w14:textId="77777777" w:rsidR="00495272" w:rsidRPr="00495272" w:rsidRDefault="00495272" w:rsidP="00645CAB">
      <w:pPr>
        <w:pStyle w:val="Paragraphedeliste"/>
      </w:pPr>
      <w:r w:rsidRPr="00495272">
        <w:t xml:space="preserve">The main reasons are slowness in dealing with cases and the use in virtually every case of pretrial detention. The lack of prisons and the small size of those there are make it impossible to separate those who have been convicted from those who have not, or to separate the sexes. In 2016, prison staff went on strike for several days. They had on several occasions alerted the responsible authorities to their lack of resources for doing their work properly, in particular to the urgent need for three prison vans to ease the problems of transporting detainees currently escorted on foot or on public transport, which is a threat to public safety, not to mention encouraging escape attempts. They complained of having to requisition public transport in order to carry out this work. The three second-hand buses allocated to them broke down three months after delivery, according to the Director responsible for humane conditions in detention. </w:t>
      </w:r>
    </w:p>
    <w:p w14:paraId="2E2212BB" w14:textId="77777777" w:rsidR="00495272" w:rsidRPr="00495272" w:rsidRDefault="00495272" w:rsidP="00645CAB">
      <w:pPr>
        <w:pStyle w:val="Paragraphedeliste"/>
      </w:pPr>
      <w:r w:rsidRPr="00495272">
        <w:t>In 2014, 692 minors were being held in detention. In 2015, 3 out of 4 minors were awaiting trial. 1 in 4 was female and 1 minor in 3 was not held separately from adults during imprisonment. In re-education centres for minors, there are also some who are nothing more than social cases.</w:t>
      </w:r>
    </w:p>
    <w:p w14:paraId="6C3562BA" w14:textId="77777777" w:rsidR="00495272" w:rsidRPr="00495272" w:rsidRDefault="00495272" w:rsidP="00645CAB">
      <w:pPr>
        <w:pStyle w:val="Paragraphedeliste"/>
      </w:pPr>
      <w:r w:rsidRPr="00495272">
        <w:lastRenderedPageBreak/>
        <w:t xml:space="preserve">In a context of widespread poverty, conditions in Malagasy prisons are not a government priority. In the vast majority of cases, those being held come from the most deprived section of the population. </w:t>
      </w:r>
    </w:p>
    <w:p w14:paraId="57196EC2" w14:textId="77777777" w:rsidR="00495272" w:rsidRPr="00495272" w:rsidRDefault="00495272" w:rsidP="00645CAB">
      <w:pPr>
        <w:pStyle w:val="Paragraphedeliste"/>
      </w:pPr>
      <w:r w:rsidRPr="00495272">
        <w:t xml:space="preserve">NGOs and associations working in the area of prisons continually rail against the underfunding of prison administrations. </w:t>
      </w:r>
    </w:p>
    <w:p w14:paraId="05BAE59E" w14:textId="77777777" w:rsidR="00495272" w:rsidRPr="00495272" w:rsidRDefault="00495272" w:rsidP="00645CAB">
      <w:pPr>
        <w:pStyle w:val="Paragraphedeliste"/>
      </w:pPr>
      <w:r w:rsidRPr="00495272">
        <w:t>To reduce the prison population, penal establishments are adopting flexible methods favouring those who have a record of good behaviour and who have already served half their sentences, including conditional release and outside work. From 2012 to 2014, 66 Antanimora prisoners were granted conditional release as against 48 applications refused. Similarly, a presidential pardon is a regular way of reducing prison overcrowding. In 2014, in the whole of Madagascar, 3 553 detainees in 13 prisons out of the total of 82 received a presidential pardon. Of those held in Antanimora, 1 226 received a presidential pardon and 227 of them were released immediately, according to information received from the Directorate of the prison administration.</w:t>
      </w:r>
    </w:p>
    <w:p w14:paraId="6E078968" w14:textId="77777777" w:rsidR="00495272" w:rsidRPr="00495272" w:rsidRDefault="00495272" w:rsidP="00645CAB">
      <w:pPr>
        <w:pStyle w:val="Paragraphedeliste"/>
      </w:pPr>
      <w:r w:rsidRPr="00495272">
        <w:t xml:space="preserve">For the time being, there is no bill relating to community service (TIG). </w:t>
      </w:r>
    </w:p>
    <w:p w14:paraId="322F3EA9" w14:textId="77777777" w:rsidR="00495272" w:rsidRPr="00495272" w:rsidRDefault="00495272" w:rsidP="00645CAB">
      <w:pPr>
        <w:pStyle w:val="Paragraphedeliste"/>
      </w:pPr>
      <w:r w:rsidRPr="00495272">
        <w:t xml:space="preserve">Orders for placement in a re-education centre may be seen as an alternative to pretrial detention in the case of delinquent minors. However, these centres themselves are short of funding. In April 2015, the "AKANY AVOKO" re-education centre for girls in Faravohitra was forced to suspend activity for six months. The centre director launched a heartfelt SOS in September 2015 to save this centre, where the building was in such a state of dilapidation that the children's safety was at risk. </w:t>
      </w:r>
    </w:p>
    <w:p w14:paraId="5983B82D" w14:textId="77777777" w:rsidR="00495272" w:rsidRPr="00495272" w:rsidRDefault="00495272" w:rsidP="00645CAB">
      <w:pPr>
        <w:pStyle w:val="Paragraphedeliste"/>
      </w:pPr>
      <w:r w:rsidRPr="00495272">
        <w:t>Apart from the shortage of prison infrastructure and its state of disrepair, since 2009 the Ministry of Justice has introduced a 70% cut in the prison administration's budget. Although in theory the State has granted all detainees a daily ration of 750 grams of manioc each, in fact they rarely receive more than 300 grams in some establishments. This quantity is nowhere near sufficient for a human being. In 2017, the food ration was, fortunately, increased. According to the International Committee of the Red Cross (ICRC), in 2015 more than 9 000 of the 22 000 persons held in 42 prisons throughout the island were suffering from malnutrition. Inmates do not have access to adequate health care, either.</w:t>
      </w:r>
    </w:p>
    <w:p w14:paraId="2D3D8DEF" w14:textId="77777777" w:rsidR="00495272" w:rsidRPr="00495272" w:rsidRDefault="00495272" w:rsidP="00645CAB">
      <w:pPr>
        <w:pStyle w:val="Paragraphedeliste"/>
      </w:pPr>
      <w:r w:rsidRPr="00495272">
        <w:t>In 2010, a study of inmates' mental health showed that over 50% of them were suffering from emotional problems and psychological distress caused mainly by the degradation of the prison environment.</w:t>
      </w:r>
    </w:p>
    <w:p w14:paraId="2D7ADFC5" w14:textId="77777777" w:rsidR="00495272" w:rsidRPr="00495272" w:rsidRDefault="00495272" w:rsidP="00645CAB">
      <w:pPr>
        <w:pStyle w:val="Paragraphedeliste"/>
      </w:pPr>
      <w:r w:rsidRPr="00495272">
        <w:t>In view of the seriousness of the situation, the ICRC has set up a programme to monitor nutrition in 19 penal establishments by having a special meal prepared for undernourished inmates comprising 350 grams of rice, 130 grams of dried beans and 200 grams of vegetables, with salt and oil to enable them to put on weight more quickly. Inmates suffering a serious form of malnutrition receive an energy supplement known as "</w:t>
      </w:r>
      <w:r w:rsidRPr="00495272">
        <w:rPr>
          <w:i/>
          <w:iCs/>
        </w:rPr>
        <w:t xml:space="preserve">Plumpy Nut". </w:t>
      </w:r>
      <w:r w:rsidRPr="00495272">
        <w:rPr>
          <w:iCs/>
        </w:rPr>
        <w:t xml:space="preserve">Thanks to this diet, the number of malnourished detainees dropped from </w:t>
      </w:r>
      <w:r w:rsidRPr="00495272">
        <w:t xml:space="preserve">9 000 to 4 000 at the start of 2016. </w:t>
      </w:r>
    </w:p>
    <w:p w14:paraId="5DE74927" w14:textId="77777777" w:rsidR="00495272" w:rsidRPr="00495272" w:rsidRDefault="00495272" w:rsidP="00645CAB">
      <w:pPr>
        <w:pStyle w:val="Paragraphedeliste"/>
      </w:pPr>
      <w:r w:rsidRPr="00495272">
        <w:t>In response to the psychological despair of inmates, in 2015, on the occasion of the International Day of the Red Cross and the Red Crescent, and thanks to cooperation between the Ministry of Justice and the ICRC, the Antanimora inmates were able to enjoy a moment of relaxation in the company of Razia Saïd, an internationally famous artist of Malagasy origin.</w:t>
      </w:r>
    </w:p>
    <w:p w14:paraId="0CEE4D0A" w14:textId="77777777" w:rsidR="00495272" w:rsidRPr="00495272" w:rsidRDefault="00495272" w:rsidP="00645CAB">
      <w:pPr>
        <w:pStyle w:val="Paragraphedeliste"/>
      </w:pPr>
      <w:r w:rsidRPr="00495272">
        <w:t xml:space="preserve">The numerous civil society organisations working in the prison sphere, in particular religious and voluntary </w:t>
      </w:r>
      <w:proofErr w:type="gramStart"/>
      <w:r w:rsidRPr="00495272">
        <w:t>ones,</w:t>
      </w:r>
      <w:proofErr w:type="gramEnd"/>
      <w:r w:rsidRPr="00495272">
        <w:t xml:space="preserve"> do an enormous amount to provide both moral and </w:t>
      </w:r>
      <w:r w:rsidRPr="00495272">
        <w:lastRenderedPageBreak/>
        <w:t>psychological support for inmates, by various means. They regularly hold constructive dialogues with prison officials to improve detention conditions and prevent violence and cruel or inhuman treatment. They help to provide food, training for inmates and staff and assistance with applications for provisional and conditional release.</w:t>
      </w:r>
    </w:p>
    <w:p w14:paraId="2D0E3361" w14:textId="77777777" w:rsidR="00495272" w:rsidRPr="00495272" w:rsidRDefault="00495272" w:rsidP="00645CAB">
      <w:pPr>
        <w:pStyle w:val="Paragraphedeliste"/>
      </w:pPr>
      <w:r w:rsidRPr="00495272">
        <w:t xml:space="preserve">In connection with the celebration of International Women's Day, representatives of the First Lady went to the women's quarter in the Antanimora central prison to hand over provisions consisting of 20 sacks of rice and 6 sacks of pulses along with 353 tee-shirts with the 8 March emblem, 33 of them for female prison staff. </w:t>
      </w:r>
    </w:p>
    <w:p w14:paraId="14D5D34D" w14:textId="77777777" w:rsidR="00495272" w:rsidRPr="00495272" w:rsidRDefault="00495272" w:rsidP="00645CAB">
      <w:pPr>
        <w:pStyle w:val="Paragraphedeliste"/>
      </w:pPr>
      <w:r w:rsidRPr="00495272">
        <w:t>At the Tsiafahy high security prison in Antananarivo, efforts have been made, with the help of the ICRC: new buildings have been put up: kitchen, WC, septic tanks, waste disposal channels, a biodigester (large concrete dome) and an ecological system for draining the inmates' latrines and making biogas.</w:t>
      </w:r>
    </w:p>
    <w:p w14:paraId="6A17FA40" w14:textId="77777777" w:rsidR="00495272" w:rsidRPr="00495272" w:rsidRDefault="00495272" w:rsidP="00645CAB">
      <w:pPr>
        <w:pStyle w:val="Paragraphedeliste"/>
      </w:pPr>
      <w:r w:rsidRPr="00495272">
        <w:t xml:space="preserve">There is a select committee within the </w:t>
      </w:r>
      <w:r w:rsidRPr="00495272">
        <w:rPr>
          <w:i/>
        </w:rPr>
        <w:t>Maison de Force</w:t>
      </w:r>
      <w:r w:rsidRPr="00495272">
        <w:t xml:space="preserve"> which studies the files of inmates three months prior to the end of their sentence, to put them on the prison work scheme (MOP). </w:t>
      </w:r>
    </w:p>
    <w:p w14:paraId="34E85BD1" w14:textId="77777777" w:rsidR="00495272" w:rsidRPr="00495272" w:rsidRDefault="00495272" w:rsidP="00645CAB">
      <w:pPr>
        <w:pStyle w:val="Paragraphedeliste"/>
      </w:pPr>
      <w:r w:rsidRPr="00495272">
        <w:t>As regards the possibilities for inmates to lodge complaints, complaint boxes have been placed in some prisons, including Antanimora. However, they do not work properly owing to the inmates' lack of trust in the system and the lack of credibility and traceability. Consequently, complaints are addressed directly to the director's office, handed in by families after their visits. There are some 20 complaints a month, about 15 of them concerned with blows and wounds and the rest with thefts. The remedy is often a change of accommodation or confinement in a cell.</w:t>
      </w:r>
    </w:p>
    <w:p w14:paraId="51173059" w14:textId="77777777" w:rsidR="00495272" w:rsidRPr="00495272" w:rsidRDefault="00495272" w:rsidP="00645CAB">
      <w:pPr>
        <w:pStyle w:val="Paragraphedeliste"/>
      </w:pPr>
      <w:r w:rsidRPr="00495272">
        <w:t xml:space="preserve">The members of the Committee for the Supervision of Prison Establishments set up under Decree No 2006-015 and the judicial authorities which are supposed to visit regularly under the terms of Articles 552 and 560 of the Code of Criminal Procedure, have in most cases stopped visiting. </w:t>
      </w:r>
    </w:p>
    <w:p w14:paraId="01A6B4DB" w14:textId="77777777" w:rsidR="00495272" w:rsidRPr="00495272" w:rsidRDefault="00495272" w:rsidP="00645CAB">
      <w:pPr>
        <w:pStyle w:val="Paragraphedeliste"/>
      </w:pPr>
      <w:r w:rsidRPr="00495272">
        <w:t xml:space="preserve">Efforts have been made to ensure that 52% of the 92 </w:t>
      </w:r>
      <w:r w:rsidRPr="00495272">
        <w:rPr>
          <w:i/>
        </w:rPr>
        <w:t>Maisons Centrales</w:t>
      </w:r>
      <w:r w:rsidRPr="00495272">
        <w:t xml:space="preserve"> in Madagascar have separate accommodation for minors, with the help of technical and financial partners. Economic operators have contributed. </w:t>
      </w:r>
    </w:p>
    <w:p w14:paraId="7374E5F6" w14:textId="77777777" w:rsidR="00495272" w:rsidRPr="00495272" w:rsidRDefault="00495272" w:rsidP="00645CAB">
      <w:pPr>
        <w:pStyle w:val="Paragraphedeliste"/>
      </w:pPr>
      <w:r w:rsidRPr="00495272">
        <w:t xml:space="preserve">In April 2013, at the Antanimora </w:t>
      </w:r>
      <w:r w:rsidRPr="00495272">
        <w:rPr>
          <w:i/>
        </w:rPr>
        <w:t xml:space="preserve">Maison Centrale </w:t>
      </w:r>
      <w:r w:rsidRPr="00495272">
        <w:t xml:space="preserve">an extension to the accommodation for minors was inaugurated. It had been financed by the French Embassy's </w:t>
      </w:r>
      <w:r w:rsidRPr="00495272">
        <w:rPr>
          <w:i/>
        </w:rPr>
        <w:t xml:space="preserve">Service de Coopération </w:t>
      </w:r>
      <w:proofErr w:type="gramStart"/>
      <w:r w:rsidRPr="00495272">
        <w:rPr>
          <w:i/>
        </w:rPr>
        <w:t>et</w:t>
      </w:r>
      <w:proofErr w:type="gramEnd"/>
      <w:r w:rsidRPr="00495272">
        <w:rPr>
          <w:i/>
        </w:rPr>
        <w:t xml:space="preserve"> d’Action Culturelle</w:t>
      </w:r>
      <w:r w:rsidRPr="00495272">
        <w:t xml:space="preserve">, the ICRC and the Betsaida association, providing a large multi-purpose room, a professional workshop and storage for foodstuffs. This project, implemented by the </w:t>
      </w:r>
      <w:r w:rsidRPr="00495272">
        <w:rPr>
          <w:i/>
        </w:rPr>
        <w:t>Grandir Dignement</w:t>
      </w:r>
      <w:r w:rsidRPr="00495272">
        <w:t xml:space="preserve"> (Growing up in Dignity) association, is intended for educational or recreational activities and for specific professional training projects.</w:t>
      </w:r>
    </w:p>
    <w:p w14:paraId="66A6F53E" w14:textId="77777777" w:rsidR="00495272" w:rsidRPr="00495272" w:rsidRDefault="00495272" w:rsidP="00645CAB">
      <w:pPr>
        <w:pStyle w:val="Paragraphedeliste"/>
      </w:pPr>
      <w:r w:rsidRPr="00495272">
        <w:t xml:space="preserve">In 2013, </w:t>
      </w:r>
      <w:r w:rsidRPr="00495272">
        <w:rPr>
          <w:i/>
        </w:rPr>
        <w:t>Grandir Dignement</w:t>
      </w:r>
      <w:r w:rsidRPr="00495272">
        <w:t xml:space="preserve"> lodged a complaint against a member of the prison administration staff who had beaten several minors who had been in conflict with the law and imprisoned. He was sentenced to a year's imprisonment.</w:t>
      </w:r>
    </w:p>
    <w:p w14:paraId="2E1B400A" w14:textId="77777777" w:rsidR="00495272" w:rsidRPr="00495272" w:rsidRDefault="00495272" w:rsidP="00645CAB">
      <w:pPr>
        <w:pStyle w:val="Paragraphedeliste"/>
      </w:pPr>
      <w:r w:rsidRPr="00495272">
        <w:t xml:space="preserve">From the point of view of finding a permanent solution to the problem of humanising detention, Madagascar's ratification of the Optional Protocol to the Convention against torture is to be welcomed. Act No 2016-054 authorising Madagascar to ratify the Optional Protocol to the Convention against torture and other cruel, inhuman and degrading treatment or </w:t>
      </w:r>
      <w:proofErr w:type="gramStart"/>
      <w:r w:rsidRPr="00495272">
        <w:t>punishment was adopted by the two Chambers of Parliament</w:t>
      </w:r>
      <w:proofErr w:type="gramEnd"/>
      <w:r w:rsidRPr="00495272">
        <w:t xml:space="preserve"> at their plenary sessions of 14 and 16 December 2016. After the High Constitutional Court declared this Act to be in </w:t>
      </w:r>
      <w:r w:rsidRPr="00495272">
        <w:lastRenderedPageBreak/>
        <w:t>conformity with the Constitution, under Decision No 12-HCC/D1 of 11 January 2017, the Act was signed into law. Ratification of the Protocol has not yet come into effect, however, since Madagascar has not yet lodged the instrument of ratification with the United Nations.</w:t>
      </w:r>
    </w:p>
    <w:p w14:paraId="6674846A"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1F08CCF9" w14:textId="77777777" w:rsidR="00495272" w:rsidRPr="00495272" w:rsidRDefault="00495272" w:rsidP="00645CAB">
      <w:pPr>
        <w:tabs>
          <w:tab w:val="left" w:pos="8640"/>
        </w:tabs>
        <w:spacing w:before="100" w:beforeAutospacing="1" w:after="125"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2FAC269A" w14:textId="77777777" w:rsidR="00495272" w:rsidRPr="00495272" w:rsidRDefault="00495272" w:rsidP="00645CAB">
      <w:pPr>
        <w:pStyle w:val="recommandations"/>
      </w:pPr>
      <w:r w:rsidRPr="00495272">
        <w:rPr>
          <w:bCs/>
        </w:rPr>
        <w:t xml:space="preserve">Rapidly issue a Decree ratifying the Optional Protocol to the Convention against torture </w:t>
      </w:r>
      <w:r w:rsidRPr="00495272">
        <w:t>and other cruel, inhuman and degrading treatment or punishment, in order to lodge the instrument with the UN as soon as possible and set up a national prevention mechanism.</w:t>
      </w:r>
    </w:p>
    <w:p w14:paraId="7A51B9FC" w14:textId="77777777" w:rsidR="00495272" w:rsidRPr="00495272" w:rsidRDefault="00495272" w:rsidP="00645CAB">
      <w:pPr>
        <w:pStyle w:val="recommandations"/>
      </w:pPr>
      <w:r w:rsidRPr="00495272">
        <w:rPr>
          <w:bCs/>
        </w:rPr>
        <w:t>Ensure that minors are, in practice, strictly separated from adults.</w:t>
      </w:r>
    </w:p>
    <w:p w14:paraId="2C58E2CC" w14:textId="77777777" w:rsidR="00495272" w:rsidRPr="00495272" w:rsidRDefault="00495272" w:rsidP="00645CAB">
      <w:pPr>
        <w:pStyle w:val="recommandations"/>
      </w:pPr>
      <w:r w:rsidRPr="00495272">
        <w:rPr>
          <w:bCs/>
        </w:rPr>
        <w:t xml:space="preserve">Increase food rations and improve the quality of inmates' food. </w:t>
      </w:r>
    </w:p>
    <w:p w14:paraId="69017576" w14:textId="77777777" w:rsidR="00495272" w:rsidRPr="00495272" w:rsidRDefault="00495272" w:rsidP="00645CAB">
      <w:pPr>
        <w:pStyle w:val="recommandations"/>
      </w:pPr>
      <w:r w:rsidRPr="00495272">
        <w:rPr>
          <w:bCs/>
        </w:rPr>
        <w:t xml:space="preserve">Improve the quality of services and medical care in prisons. </w:t>
      </w:r>
    </w:p>
    <w:p w14:paraId="78042966" w14:textId="77777777" w:rsidR="00495272" w:rsidRPr="00495272" w:rsidRDefault="00495272" w:rsidP="00645CAB">
      <w:pPr>
        <w:pStyle w:val="recommandations"/>
      </w:pPr>
      <w:r w:rsidRPr="00495272">
        <w:rPr>
          <w:bCs/>
        </w:rPr>
        <w:t xml:space="preserve">Have complaint boxes placed in all penal establishments. </w:t>
      </w:r>
    </w:p>
    <w:p w14:paraId="52B51FB8" w14:textId="77777777" w:rsidR="00495272" w:rsidRPr="00495272" w:rsidRDefault="00495272" w:rsidP="00645CAB">
      <w:pPr>
        <w:pStyle w:val="recommandations"/>
      </w:pPr>
      <w:r w:rsidRPr="00495272">
        <w:rPr>
          <w:bCs/>
        </w:rPr>
        <w:t>Take steps to make visits by the supervisory commission and the legal authorities a permanent feature in penal establishments.</w:t>
      </w:r>
    </w:p>
    <w:p w14:paraId="098EC4D1" w14:textId="77777777" w:rsidR="00495272" w:rsidRPr="00495272" w:rsidRDefault="00495272" w:rsidP="00645CAB">
      <w:pPr>
        <w:pStyle w:val="recommandations"/>
      </w:pPr>
      <w:r w:rsidRPr="00495272">
        <w:rPr>
          <w:bCs/>
        </w:rPr>
        <w:t>Build new prison infrastructure and renovate the existing infrastructure, in order to reduce prison overcrowding and separate those who have already been sentenced from those who have not.</w:t>
      </w:r>
    </w:p>
    <w:p w14:paraId="452139C7" w14:textId="77777777" w:rsidR="00495272" w:rsidRPr="00645CAB" w:rsidRDefault="00495272" w:rsidP="00645CAB">
      <w:pPr>
        <w:pStyle w:val="recommandations"/>
        <w:rPr>
          <w:bCs/>
        </w:rPr>
      </w:pPr>
      <w:r w:rsidRPr="00495272">
        <w:rPr>
          <w:bCs/>
        </w:rPr>
        <w:t>Allocate sufficient material and financial resources to the prison administration to improve its ope</w:t>
      </w:r>
      <w:r w:rsidR="00645CAB">
        <w:rPr>
          <w:bCs/>
        </w:rPr>
        <w:t>ration and detention conditions</w:t>
      </w:r>
    </w:p>
    <w:p w14:paraId="26B25572" w14:textId="77777777" w:rsidR="00495272" w:rsidRPr="00495272" w:rsidRDefault="00495272" w:rsidP="00645CAB">
      <w:pPr>
        <w:pStyle w:val="titre1TM"/>
      </w:pPr>
      <w:bookmarkStart w:id="11" w:name="_Toc146980"/>
      <w:bookmarkEnd w:id="11"/>
      <w:r w:rsidRPr="00495272">
        <w:t xml:space="preserve">Elimination of slavery and servitude (Art. 8 and 24) </w:t>
      </w:r>
    </w:p>
    <w:p w14:paraId="2284BB33" w14:textId="724EA827"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 xml:space="preserve">Issue </w:t>
      </w:r>
      <w:r w:rsidR="00495272" w:rsidRPr="00495272">
        <w:rPr>
          <w:rFonts w:ascii="Times New Roman" w:eastAsia="Times New Roman" w:hAnsi="Times New Roman" w:cs="Times New Roman"/>
          <w:b/>
          <w:bCs/>
          <w:color w:val="000000"/>
          <w:sz w:val="24"/>
          <w:szCs w:val="24"/>
          <w:u w:val="single"/>
          <w:lang w:val="en-GB"/>
        </w:rPr>
        <w:t>20</w:t>
      </w:r>
      <w:r w:rsidR="00495272" w:rsidRPr="00495272">
        <w:rPr>
          <w:rFonts w:ascii="Times New Roman" w:eastAsia="Times New Roman" w:hAnsi="Times New Roman" w:cs="Times New Roman"/>
          <w:color w:val="000000"/>
          <w:sz w:val="24"/>
          <w:szCs w:val="24"/>
          <w:lang w:val="en-GB"/>
        </w:rPr>
        <w:t>: Please provide data on the extent of trafficking in the State party, particularly trafficking of women and children, including for the purposes of economic and sexual exploitation. Please also indicate what measures have been taken to identify, protect and rehabilitate victims. Please provide information on measures taken to implement the national action plan to combat human trafficking, which entered into force in 2015, and to allocate an adequate budget to the National Office to Combat Human Trafficking. Please also provide information on measures taken to enforce Act No 2007-038 and Act No 2014-040 on the punishment of human trafficking and the relevant legal provisions, including investigations, prosecutions, convictions and the penalties imposed on the perpetrators of human trafficking. Please provide information on measures taken to protect, and to prevent and punish the exploitation of, migrant workers, particularly those employed as domestic workers in the Middle East and North Africa, despite the adoption of provisions that prohibit sending persons abroad as domestic workers, which have been in force since 2013. Please indicate the measures taken to effectively regulate and monitor the practices of recruitment agencies so as to protect women migrant workers from abuse and exploitation.</w:t>
      </w:r>
    </w:p>
    <w:p w14:paraId="590E63A0"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1810D1A3" w14:textId="77777777" w:rsidR="00495272" w:rsidRPr="00495272" w:rsidRDefault="00495272" w:rsidP="00645CAB">
      <w:pPr>
        <w:pStyle w:val="Paragraphedeliste"/>
      </w:pPr>
      <w:r w:rsidRPr="00495272">
        <w:t>Madagascar faces migration problems involving human trafficking. Between 2006 and 2012, 5 100 female workers were registered as leaving for Lebanon and about 2 000 for Kuwait.</w:t>
      </w:r>
    </w:p>
    <w:p w14:paraId="58470BE4" w14:textId="77777777" w:rsidR="00495272" w:rsidRPr="00495272" w:rsidRDefault="00495272" w:rsidP="00645CAB">
      <w:pPr>
        <w:pStyle w:val="Paragraphedeliste"/>
      </w:pPr>
      <w:r w:rsidRPr="00495272">
        <w:lastRenderedPageBreak/>
        <w:t xml:space="preserve">Trafficking takes various forms, largely concerning women subject to forced labour and sexual exploitation as well as an increase in children being used as household slaves and for commercial prostitution, in particular boys. The perpetrators, besides the pimps, are tour operators, taxi drivers and informal employment </w:t>
      </w:r>
      <w:proofErr w:type="gramStart"/>
      <w:r w:rsidRPr="00495272">
        <w:t>agencies which</w:t>
      </w:r>
      <w:proofErr w:type="gramEnd"/>
      <w:r w:rsidRPr="00495272">
        <w:t xml:space="preserve"> generally send the victims to countries of the Middle East (Lebanon, Kuwait and Saudi Arabia) and Asia (China, Thailand).</w:t>
      </w:r>
    </w:p>
    <w:p w14:paraId="38A01414" w14:textId="77777777" w:rsidR="00495272" w:rsidRPr="00495272" w:rsidRDefault="00495272" w:rsidP="00645CAB">
      <w:pPr>
        <w:pStyle w:val="Paragraphedeliste"/>
      </w:pPr>
      <w:r w:rsidRPr="00495272">
        <w:t>Since 2013, when the State issued a decree suspending the practice, it has been illegal to send female workers to the Arab countries, but trafficking continues. There are still routes allowing circumvention, e.g. by sea via the Comoros.</w:t>
      </w:r>
    </w:p>
    <w:p w14:paraId="702F0C78" w14:textId="77777777" w:rsidR="00495272" w:rsidRPr="00495272" w:rsidRDefault="00495272" w:rsidP="00645CAB">
      <w:pPr>
        <w:pStyle w:val="Paragraphedeliste"/>
      </w:pPr>
      <w:r w:rsidRPr="00495272">
        <w:t>At the State's request, the International Organization for Migration (IOM) has conducted two major programmes to counter these new forms of modern slavery. It has supported the government in strengthening coordination between the various players in this area and also provided assistance for victims and collected information. Extra resources have been allocated to collecting and managing data on migration and thus advancing the debate at national and regional level.</w:t>
      </w:r>
    </w:p>
    <w:p w14:paraId="57FE4331" w14:textId="77777777" w:rsidR="00495272" w:rsidRPr="00495272" w:rsidRDefault="00495272" w:rsidP="00645CAB">
      <w:pPr>
        <w:pStyle w:val="Paragraphedeliste"/>
      </w:pPr>
      <w:r w:rsidRPr="00495272">
        <w:t xml:space="preserve">In 2015, the Madagascar government took action by issuing an implementation decree for the creation of a National Office to Combat Human Trafficking </w:t>
      </w:r>
      <w:r w:rsidRPr="00495272">
        <w:rPr>
          <w:i/>
        </w:rPr>
        <w:t>(Bureau national de lutte contre la traite des êtres humains - BNLTEH)</w:t>
      </w:r>
      <w:r w:rsidRPr="00495272">
        <w:t xml:space="preserve"> and producing a national action plan in October 2015 to counter human trafficking from Madagascar and within the country, with a working budget that became operational in 2016.</w:t>
      </w:r>
    </w:p>
    <w:p w14:paraId="50648258" w14:textId="77777777" w:rsidR="00495272" w:rsidRPr="00495272" w:rsidRDefault="00495272" w:rsidP="00645CAB">
      <w:pPr>
        <w:pStyle w:val="Paragraphedeliste"/>
      </w:pPr>
      <w:r w:rsidRPr="00495272">
        <w:t>However, there has been a certain loss of impetus in government action against the exploitation of vulnerable persons and human trafficking. According to a report produced in 2016 by the United States embassy in Madagascar, fewer trafficking cases have been processed, in particular by the Vice and Minors Unit of the National Police, where only eight inquiries concerning trafficking were launched, compared with 187 in 2015.</w:t>
      </w:r>
    </w:p>
    <w:p w14:paraId="3AE9581D" w14:textId="77777777" w:rsidR="00495272" w:rsidRPr="00495272" w:rsidRDefault="00495272" w:rsidP="00645CAB">
      <w:pPr>
        <w:pStyle w:val="Paragraphedeliste"/>
      </w:pPr>
      <w:r w:rsidRPr="00495272">
        <w:t>It remains difficult to identify victims, since the State has not established official procedures for identification: since the numbers of migrant victims reaching the Middle Eastern countries can be multiplied by transit arranged by criminal organisations through other states such as the Comoros, Kenya and South Africa, there are still gaps in the protective measures.</w:t>
      </w:r>
    </w:p>
    <w:p w14:paraId="24E62AD3" w14:textId="77777777" w:rsidR="00495272" w:rsidRPr="00495272" w:rsidRDefault="00495272" w:rsidP="00645CAB">
      <w:pPr>
        <w:pStyle w:val="Paragraphedeliste"/>
      </w:pPr>
      <w:r w:rsidRPr="00495272">
        <w:t>There is a lack of psychological and physical care in Madagascar, and insufficient follow-up of cases, with a resulting failure to obtain compensation for victims, whom the State refers to non-governmental organisations.</w:t>
      </w:r>
    </w:p>
    <w:p w14:paraId="2D05B5C6" w14:textId="77777777" w:rsidR="00495272" w:rsidRPr="00495272" w:rsidRDefault="00495272" w:rsidP="00645CAB">
      <w:pPr>
        <w:pStyle w:val="Paragraphedeliste"/>
      </w:pPr>
      <w:r w:rsidRPr="00495272">
        <w:t>The inadequate information and failure to follow up the statistics referred to above indicate that the State of Madagascar does not comply with minimum standards and may inhibit funding by donors, according to the statement by the US embassy marking the International Day for the Abolition of Slavery in December 2016.</w:t>
      </w:r>
    </w:p>
    <w:p w14:paraId="4F1B2D98" w14:textId="77777777" w:rsidR="00495272" w:rsidRPr="00495272" w:rsidRDefault="00495272" w:rsidP="00645CAB">
      <w:pPr>
        <w:pStyle w:val="Paragraphedeliste"/>
      </w:pPr>
      <w:r w:rsidRPr="00495272">
        <w:t xml:space="preserve">The budget allocated to human trafficking in 2015 was indeed derisory, amounting to forty million Ariary. This should be reviewed in the coming years. (Source: </w:t>
      </w:r>
      <w:r w:rsidRPr="00495272">
        <w:rPr>
          <w:i/>
        </w:rPr>
        <w:t>Midi Madagascar</w:t>
      </w:r>
      <w:r w:rsidRPr="00495272">
        <w:t xml:space="preserve"> newspaper)</w:t>
      </w:r>
    </w:p>
    <w:p w14:paraId="60B0F0B1" w14:textId="77777777" w:rsidR="00495272" w:rsidRPr="00495272" w:rsidRDefault="00495272" w:rsidP="00645CAB">
      <w:pPr>
        <w:pStyle w:val="Paragraphedeliste"/>
      </w:pPr>
      <w:r w:rsidRPr="00495272">
        <w:t xml:space="preserve">As regards investigations and prosecutions, the Ministry of Justice ran training courses for law enforcement personnel on the application of Act No 2014-040 on human trafficking with a view to increasing the number of prosecutions in 2016. Training of </w:t>
      </w:r>
      <w:proofErr w:type="gramStart"/>
      <w:r w:rsidRPr="00495272">
        <w:t>trainers</w:t>
      </w:r>
      <w:proofErr w:type="gramEnd"/>
      <w:r w:rsidRPr="00495272">
        <w:t xml:space="preserve"> courses also took place in February 2017, with the participation of the Ministry of Justice and the Ministry of the Population, Social Protection and Women's Advancement. These concerned </w:t>
      </w:r>
      <w:r w:rsidRPr="00495272">
        <w:lastRenderedPageBreak/>
        <w:t xml:space="preserve">illegal trafficking of migrants, illegal trafficking of human beings and indicators of human trafficking. (Source: Website of the </w:t>
      </w:r>
      <w:r w:rsidRPr="00495272">
        <w:rPr>
          <w:i/>
        </w:rPr>
        <w:t>Commission nationale Malgache pour l’UNESCO</w:t>
      </w:r>
      <w:r w:rsidRPr="00495272">
        <w:t>).</w:t>
      </w:r>
    </w:p>
    <w:p w14:paraId="7F0E9349" w14:textId="77777777" w:rsidR="00495272" w:rsidRPr="00495272" w:rsidRDefault="00495272" w:rsidP="00645CAB">
      <w:pPr>
        <w:pStyle w:val="Paragraphedeliste"/>
      </w:pPr>
      <w:r w:rsidRPr="00495272">
        <w:t xml:space="preserve">Statistics on convictions are difficult to access because of a problem of </w:t>
      </w:r>
      <w:proofErr w:type="gramStart"/>
      <w:r w:rsidRPr="00495272">
        <w:t>record-keeping</w:t>
      </w:r>
      <w:proofErr w:type="gramEnd"/>
      <w:r w:rsidRPr="00495272">
        <w:t xml:space="preserve"> and transfer of documents between court staff and civil society organisations. However, the figures for 2015 mention fourteen convictions.</w:t>
      </w:r>
    </w:p>
    <w:p w14:paraId="6D354151" w14:textId="77777777" w:rsidR="00495272" w:rsidRPr="00495272" w:rsidRDefault="00495272" w:rsidP="00645CAB">
      <w:pPr>
        <w:pStyle w:val="Paragraphedeliste"/>
      </w:pPr>
      <w:r w:rsidRPr="00495272">
        <w:t xml:space="preserve">In March 2017, 17 young women travelling to Arab countries were stopped at Ivato international airport. Their passports indicated their destination as Mauritius, although this was only a </w:t>
      </w:r>
      <w:proofErr w:type="gramStart"/>
      <w:r w:rsidRPr="00495272">
        <w:t>stop-over</w:t>
      </w:r>
      <w:proofErr w:type="gramEnd"/>
      <w:r w:rsidRPr="00495272">
        <w:t>. In this context, a man was referred to the public prosecution service and charged with trafficking women to Kuwait, Lebanon and Saudi Arabia.</w:t>
      </w:r>
    </w:p>
    <w:p w14:paraId="2F17AC8C" w14:textId="77777777" w:rsidR="00495272" w:rsidRPr="00495272" w:rsidRDefault="00495272" w:rsidP="00645CAB">
      <w:pPr>
        <w:pStyle w:val="Paragraphedeliste"/>
      </w:pPr>
      <w:r w:rsidRPr="00495272">
        <w:t xml:space="preserve">While the State has brought the cases of trafficking to the attention of public opinion and the professionals concerned, this is not enough. Further efforts are required on methods of </w:t>
      </w:r>
      <w:proofErr w:type="gramStart"/>
      <w:r w:rsidRPr="00495272">
        <w:t>awareness-raising</w:t>
      </w:r>
      <w:proofErr w:type="gramEnd"/>
      <w:r w:rsidRPr="00495272">
        <w:t xml:space="preserve"> and prevention among the general population, law-enforcement officers and magistrates, by means of conferences, training and the dissemination of documentaries with equipment allowing easier outreach.</w:t>
      </w:r>
    </w:p>
    <w:p w14:paraId="3A4354E5"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441CAD75"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1B373A4C" w14:textId="77777777" w:rsidR="00495272" w:rsidRPr="00495272" w:rsidRDefault="00495272" w:rsidP="00645CAB">
      <w:pPr>
        <w:pStyle w:val="recommandations"/>
      </w:pPr>
      <w:r w:rsidRPr="00495272">
        <w:t>Allocate adequate funding to the National Office to Combat Human Trafficking (BNLTEH) so that the five-year action plan can be put into practice.</w:t>
      </w:r>
    </w:p>
    <w:p w14:paraId="30C43274" w14:textId="77777777" w:rsidR="00495272" w:rsidRPr="00495272" w:rsidRDefault="00495272" w:rsidP="00645CAB">
      <w:pPr>
        <w:pStyle w:val="recommandations"/>
      </w:pPr>
      <w:r w:rsidRPr="00495272">
        <w:t>Provide resources for the collection, compilation and dissemination of statistics on human trafficking and illegal migration.</w:t>
      </w:r>
    </w:p>
    <w:p w14:paraId="71D0527F" w14:textId="77777777" w:rsidR="00495272" w:rsidRPr="00495272" w:rsidRDefault="00495272" w:rsidP="00645CAB">
      <w:pPr>
        <w:pStyle w:val="recommandations"/>
      </w:pPr>
      <w:r w:rsidRPr="00495272">
        <w:t>Bring the issue to the attention of the general public.</w:t>
      </w:r>
    </w:p>
    <w:p w14:paraId="5FF9C17B" w14:textId="77777777" w:rsidR="00495272" w:rsidRPr="00495272" w:rsidRDefault="00495272" w:rsidP="00645CAB">
      <w:pPr>
        <w:pStyle w:val="recommandations"/>
      </w:pPr>
      <w:r w:rsidRPr="00495272">
        <w:t>Establish programmes for the mentoring, psychological support and rehabilitation of trafficking victims and especially of children and women emerging from prostitution.</w:t>
      </w:r>
    </w:p>
    <w:p w14:paraId="0B806287" w14:textId="1F647CEA" w:rsidR="00495272" w:rsidRPr="004231D5"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b/>
          <w:bCs/>
          <w:color w:val="000000"/>
          <w:sz w:val="24"/>
          <w:szCs w:val="24"/>
          <w:u w:val="single"/>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21</w:t>
      </w:r>
      <w:r w:rsidR="00495272" w:rsidRPr="00495272">
        <w:rPr>
          <w:rFonts w:ascii="Times New Roman" w:eastAsia="Times New Roman" w:hAnsi="Times New Roman" w:cs="Times New Roman"/>
          <w:color w:val="000000"/>
          <w:sz w:val="24"/>
          <w:szCs w:val="24"/>
          <w:lang w:val="en-GB"/>
        </w:rPr>
        <w:t>: Please provide information on the extent of the exploitation of children for purposes of forced labour, especially in domestic service, agriculture, mining and quarrying. Please provide information on the measures taken to eliminate forced labour and the worst forms of child labour and on investigations conducted, prosecutions brought and compensation awarded to victims. Please also provide information on the extent of child prostitution and on efforts undertaken to investigate cases of sexual exploitation of children and prosecute those responsible.</w:t>
      </w:r>
    </w:p>
    <w:p w14:paraId="57509C86"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4A91A575" w14:textId="77777777" w:rsidR="00495272" w:rsidRPr="00495272" w:rsidRDefault="00495272" w:rsidP="00645CAB">
      <w:pPr>
        <w:pStyle w:val="Paragraphedeliste"/>
      </w:pPr>
      <w:r w:rsidRPr="00495272">
        <w:t xml:space="preserve">In Madagascar, four areas with the worst forms of work have been identified: domestic service, dangerous and unhealthy </w:t>
      </w:r>
      <w:proofErr w:type="gramStart"/>
      <w:r w:rsidRPr="00495272">
        <w:t>work</w:t>
      </w:r>
      <w:proofErr w:type="gramEnd"/>
      <w:r w:rsidRPr="00495272">
        <w:t xml:space="preserve"> in the urban and rural environments, work in mines and quarries and the commercial sexual exploitation of children.</w:t>
      </w:r>
    </w:p>
    <w:p w14:paraId="50855F1B" w14:textId="77777777" w:rsidR="00495272" w:rsidRPr="00495272" w:rsidRDefault="00495272" w:rsidP="00645CAB">
      <w:pPr>
        <w:pStyle w:val="Paragraphedeliste"/>
      </w:pPr>
      <w:r w:rsidRPr="00495272">
        <w:t>Many children work as domestic servants. Others plough fields, thresh rice or are sent to fetch water. According to the President of the association "Avenir", "they are employed by rich families which have no scruples about riding roughshod over their rights and suffer every form of violence: physical, moral, sexual, and indeed economic, since the families which employ them sometimes do not pay them".</w:t>
      </w:r>
    </w:p>
    <w:p w14:paraId="279E7457" w14:textId="77777777" w:rsidR="00495272" w:rsidRPr="00495272" w:rsidRDefault="00495272" w:rsidP="00645CAB">
      <w:pPr>
        <w:pStyle w:val="Paragraphedeliste"/>
      </w:pPr>
      <w:r w:rsidRPr="00495272">
        <w:lastRenderedPageBreak/>
        <w:t>In partnership with the International Labour Office (IPEC/ILO) in Madagascar, UNICEF, SOS Villages d’Enfants France and the Regional Directorate of the Ministry of the Population and Women's Advancement of the region of Atsinanana, the association SOS Children's Villages Madagascar helps to combat the exploitation of children by conducting major projects in different regions:</w:t>
      </w:r>
    </w:p>
    <w:p w14:paraId="04E1E5CE" w14:textId="77777777" w:rsidR="00495272" w:rsidRPr="00495272" w:rsidRDefault="00495272" w:rsidP="00645CAB">
      <w:pPr>
        <w:pStyle w:val="Paragraphedeliste"/>
      </w:pPr>
      <w:r w:rsidRPr="00495272">
        <w:t>Action to combat the use of children in domestic service, with the result that 50 were removed from such work in 2013.</w:t>
      </w:r>
    </w:p>
    <w:p w14:paraId="6939CC27" w14:textId="77777777" w:rsidR="00495272" w:rsidRPr="00495272" w:rsidRDefault="00495272" w:rsidP="00645CAB">
      <w:pPr>
        <w:pStyle w:val="Paragraphedeliste"/>
      </w:pPr>
      <w:r w:rsidRPr="00495272">
        <w:t>The CSEC programme to combat the sexual exploitation of children for commercial purposes, resulting in the removal of 80 children who had been sexually exploited in 2015 and 2016.</w:t>
      </w:r>
    </w:p>
    <w:p w14:paraId="6959D679" w14:textId="77777777" w:rsidR="00495272" w:rsidRPr="00495272" w:rsidRDefault="00495272" w:rsidP="00645CAB">
      <w:pPr>
        <w:pStyle w:val="Paragraphedeliste"/>
      </w:pPr>
      <w:r w:rsidRPr="00495272">
        <w:t>Protection of children against violence, abuse and exploitation, in a project carried out in eight wards (fokontany) in the town of Toamasina between 2015 and 2017. The breakdown is as follows:</w:t>
      </w:r>
    </w:p>
    <w:p w14:paraId="3685C5C9"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schooling</w:t>
      </w:r>
      <w:proofErr w:type="gramEnd"/>
      <w:r w:rsidRPr="00495272">
        <w:rPr>
          <w:rFonts w:ascii="Times New Roman" w:eastAsia="Times New Roman" w:hAnsi="Times New Roman" w:cs="Times New Roman"/>
          <w:color w:val="000000"/>
          <w:sz w:val="24"/>
          <w:szCs w:val="24"/>
          <w:lang w:val="en-GB"/>
        </w:rPr>
        <w:t xml:space="preserve"> of 373 children and enrolment on vocational training courses leading to qualifications,</w:t>
      </w:r>
    </w:p>
    <w:p w14:paraId="45018417"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mentoring</w:t>
      </w:r>
      <w:proofErr w:type="gramEnd"/>
      <w:r w:rsidRPr="00495272">
        <w:rPr>
          <w:rFonts w:ascii="Times New Roman" w:eastAsia="Times New Roman" w:hAnsi="Times New Roman" w:cs="Times New Roman"/>
          <w:color w:val="000000"/>
          <w:sz w:val="24"/>
          <w:szCs w:val="24"/>
          <w:lang w:val="en-GB"/>
        </w:rPr>
        <w:t xml:space="preserve"> of six families at risk,</w:t>
      </w:r>
    </w:p>
    <w:p w14:paraId="6635388D"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guidance</w:t>
      </w:r>
      <w:proofErr w:type="gramEnd"/>
      <w:r w:rsidRPr="00495272">
        <w:rPr>
          <w:rFonts w:ascii="Times New Roman" w:eastAsia="Times New Roman" w:hAnsi="Times New Roman" w:cs="Times New Roman"/>
          <w:color w:val="000000"/>
          <w:sz w:val="24"/>
          <w:szCs w:val="24"/>
          <w:lang w:val="en-GB"/>
        </w:rPr>
        <w:t xml:space="preserve"> for 30 households in creating revenue-generating activities,</w:t>
      </w:r>
    </w:p>
    <w:p w14:paraId="22C75D07"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long</w:t>
      </w:r>
      <w:proofErr w:type="gramEnd"/>
      <w:r w:rsidRPr="00495272">
        <w:rPr>
          <w:rFonts w:ascii="Times New Roman" w:eastAsia="Times New Roman" w:hAnsi="Times New Roman" w:cs="Times New Roman"/>
          <w:color w:val="000000"/>
          <w:sz w:val="24"/>
          <w:szCs w:val="24"/>
          <w:lang w:val="en-GB"/>
        </w:rPr>
        <w:t>-term placement of 20 children in foster families,</w:t>
      </w:r>
    </w:p>
    <w:p w14:paraId="5548AD48"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placement</w:t>
      </w:r>
      <w:proofErr w:type="gramEnd"/>
      <w:r w:rsidRPr="00495272">
        <w:rPr>
          <w:rFonts w:ascii="Times New Roman" w:eastAsia="Times New Roman" w:hAnsi="Times New Roman" w:cs="Times New Roman"/>
          <w:color w:val="000000"/>
          <w:sz w:val="24"/>
          <w:szCs w:val="24"/>
          <w:lang w:val="en-GB"/>
        </w:rPr>
        <w:t xml:space="preserve"> of 12 children bereft of parental care in the children's village of Mangarano Tamatave,</w:t>
      </w:r>
    </w:p>
    <w:p w14:paraId="602C97E5" w14:textId="77777777" w:rsidR="00495272" w:rsidRPr="00495272" w:rsidRDefault="00495272" w:rsidP="00EF620C">
      <w:pPr>
        <w:numPr>
          <w:ilvl w:val="0"/>
          <w:numId w:val="7"/>
        </w:num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proofErr w:type="gramStart"/>
      <w:r w:rsidRPr="00495272">
        <w:rPr>
          <w:rFonts w:ascii="Times New Roman" w:eastAsia="Times New Roman" w:hAnsi="Times New Roman" w:cs="Times New Roman"/>
          <w:color w:val="000000"/>
          <w:sz w:val="24"/>
          <w:szCs w:val="24"/>
          <w:lang w:val="en-GB"/>
        </w:rPr>
        <w:t>official</w:t>
      </w:r>
      <w:proofErr w:type="gramEnd"/>
      <w:r w:rsidRPr="00495272">
        <w:rPr>
          <w:rFonts w:ascii="Times New Roman" w:eastAsia="Times New Roman" w:hAnsi="Times New Roman" w:cs="Times New Roman"/>
          <w:color w:val="000000"/>
          <w:sz w:val="24"/>
          <w:szCs w:val="24"/>
          <w:lang w:val="en-GB"/>
        </w:rPr>
        <w:t xml:space="preserve"> registration and issue of copies of birth certificates to 365 children and issue of national identity cards to 55 adults.</w:t>
      </w:r>
    </w:p>
    <w:p w14:paraId="29CC05E2" w14:textId="77777777" w:rsidR="00495272" w:rsidRPr="00495272" w:rsidRDefault="00495272" w:rsidP="00645CAB">
      <w:pPr>
        <w:pStyle w:val="Paragraphedeliste"/>
      </w:pPr>
      <w:r w:rsidRPr="00495272">
        <w:t>According to the International Labour Office (ILO 2012), in the agricultural sector almost 20 000 children aged between 12 and 17 are employed in vanilla plantations. They work under very harsh conditions: five to six days per week with an average of between seven and eight hours per day, in temperatures which may be as high as 30°C. Their wages are very low and, what is worse, many have never set foot in a school.</w:t>
      </w:r>
    </w:p>
    <w:p w14:paraId="130A72D7" w14:textId="77777777" w:rsidR="00495272" w:rsidRPr="00495272" w:rsidRDefault="00495272" w:rsidP="00645CAB">
      <w:pPr>
        <w:pStyle w:val="Paragraphedeliste"/>
      </w:pPr>
      <w:r w:rsidRPr="00495272">
        <w:t>The Ministry of the Civil Service, Labour and Social Laws held an educational and awareness-raising workshop for 25 chairmen of vanilla planter cooperatives in the four districts of the Sava region. This covered the dangers of child labour in the vanilla industry and the pertinent legal instruments. An undertaking was signed by the participants to give formal expression to their intent to counter child labour.</w:t>
      </w:r>
    </w:p>
    <w:p w14:paraId="12E45D60" w14:textId="77777777" w:rsidR="00495272" w:rsidRPr="00495272" w:rsidRDefault="00495272" w:rsidP="00645CAB">
      <w:pPr>
        <w:pStyle w:val="Paragraphedeliste"/>
      </w:pPr>
      <w:r w:rsidRPr="00495272">
        <w:t xml:space="preserve">Despite the 2007 Act on sexual tourism, the commercial sexual exploitation of children is on the rise in Madagascar. In response to this situation and to intensify the struggle against such exploitation (CSEC) and child sexual tourism (CST), the government of Madagascar, the ILO, UNICEF and the National Tourism Office have jointly drawn up a code of conduct for tourism </w:t>
      </w:r>
      <w:proofErr w:type="gramStart"/>
      <w:r w:rsidRPr="00495272">
        <w:t>operators, which was</w:t>
      </w:r>
      <w:proofErr w:type="gramEnd"/>
      <w:r w:rsidRPr="00495272">
        <w:t xml:space="preserve"> signed on 7 May 2015. This code commits the signatories to development tourism safeguarding human rights and rejecting CSEC and CST.</w:t>
      </w:r>
    </w:p>
    <w:p w14:paraId="5DDEF959" w14:textId="77777777" w:rsidR="00495272" w:rsidRPr="00495272" w:rsidRDefault="00495272" w:rsidP="00645CAB">
      <w:pPr>
        <w:pStyle w:val="Paragraphedeliste"/>
      </w:pPr>
      <w:r w:rsidRPr="00495272">
        <w:t>Under the labour laws concerning child labour and dangerous work by children, there is a complaints hotline number 147.</w:t>
      </w:r>
    </w:p>
    <w:p w14:paraId="4E10C47E" w14:textId="77777777" w:rsidR="00495272" w:rsidRPr="00495272" w:rsidRDefault="00495272" w:rsidP="00645CAB">
      <w:pPr>
        <w:pStyle w:val="Paragraphedeliste"/>
      </w:pPr>
      <w:r w:rsidRPr="00495272">
        <w:t xml:space="preserve">In response to complaints about all forms of abuse of children, </w:t>
      </w:r>
      <w:proofErr w:type="gramStart"/>
      <w:r w:rsidRPr="00495272">
        <w:t xml:space="preserve">a child protection network has been set up by the Ministry of the Population, Social Protection and Women's </w:t>
      </w:r>
      <w:r w:rsidRPr="00495272">
        <w:lastRenderedPageBreak/>
        <w:t>Advancement</w:t>
      </w:r>
      <w:proofErr w:type="gramEnd"/>
      <w:r w:rsidRPr="00495272">
        <w:t>. The labour inspectorate is among the bodies responsible for applying the laws and regulations on dangerous child labour. The Ministry of the Civil Service, Administrative Reform, Labour and Social Laws has inspectors for enforcement of provisions on dangerous child labour. The 10 inspectors in the regions were appointed in November 2015.</w:t>
      </w:r>
    </w:p>
    <w:p w14:paraId="744EE498" w14:textId="77777777" w:rsidR="00495272" w:rsidRPr="00495272" w:rsidRDefault="00495272" w:rsidP="00645CAB">
      <w:pPr>
        <w:pStyle w:val="Paragraphedeliste"/>
      </w:pPr>
      <w:r w:rsidRPr="00495272">
        <w:t>One million Ariary were assigned to enforcement activities, but it has not been possible to use them because of budgetary restrictions.</w:t>
      </w:r>
    </w:p>
    <w:p w14:paraId="11A49EB9" w14:textId="77777777" w:rsidR="00495272" w:rsidRPr="00495272" w:rsidRDefault="00495272" w:rsidP="00645CAB">
      <w:pPr>
        <w:pStyle w:val="Paragraphedeliste"/>
      </w:pPr>
      <w:r w:rsidRPr="00495272">
        <w:t>The system for steering child victims of the worst types of work towards civil society organisations offering care for children has not yet been put on a formal basis, but contacts have been established. On behalf of the Ministry of the Civil Service, Labour and Social Laws, 35 children were withdrawn and taken into care by the Ministry's Manjary Soa Centre for the year 2015.</w:t>
      </w:r>
    </w:p>
    <w:p w14:paraId="7369CA4A" w14:textId="77777777" w:rsidR="00495272" w:rsidRPr="00495272" w:rsidRDefault="00495272" w:rsidP="00645CAB">
      <w:pPr>
        <w:pStyle w:val="Paragraphedeliste"/>
      </w:pPr>
      <w:r w:rsidRPr="00495272">
        <w:t>A national committee against child labour</w:t>
      </w:r>
      <w:r w:rsidRPr="00495272">
        <w:rPr>
          <w:i/>
        </w:rPr>
        <w:t xml:space="preserve"> (comité national de lutte contre le travail des enfants - CNLTE)</w:t>
      </w:r>
      <w:r w:rsidRPr="00495272">
        <w:t xml:space="preserve"> has been set up at national level and there are also committees at regional level </w:t>
      </w:r>
      <w:r w:rsidRPr="00495272">
        <w:rPr>
          <w:i/>
        </w:rPr>
        <w:t>(comités régionaux de lutte contre le travail des enfants - CRLTE)</w:t>
      </w:r>
      <w:r w:rsidRPr="00495272">
        <w:t xml:space="preserve">. Their mandate is to ensure the implementation and follow-up of the national action plan </w:t>
      </w:r>
      <w:r w:rsidRPr="00495272">
        <w:rPr>
          <w:i/>
        </w:rPr>
        <w:t>(Plan National d’Action de Lutte contre le Travail des Enfants - PNA)</w:t>
      </w:r>
      <w:r w:rsidRPr="00495272">
        <w:t>, to steer and monitor the International Programme for the Elimination of Child Labour of the International Labour Office (IPEC/ILO) in Madagascar, to issue opinions on legislative and regulatory texts on combating child labour and to perform the functions assigned to the IPEC/ILO National Steering Committee.</w:t>
      </w:r>
    </w:p>
    <w:p w14:paraId="3C8263BB" w14:textId="77777777" w:rsidR="00495272" w:rsidRPr="00495272" w:rsidRDefault="00495272" w:rsidP="00645CAB">
      <w:pPr>
        <w:pStyle w:val="Paragraphedeliste"/>
      </w:pPr>
      <w:r w:rsidRPr="00495272">
        <w:t>The National Action Plan sets out the following strategies: establishing the institutional machinery and building capacity, improving the judicial and legal framework, improving the living conditions and income of parents at risk and their families, improving, strengthening and promoting children's access to quality education and strengthening and improving awareness-raising and social mobilisation.</w:t>
      </w:r>
    </w:p>
    <w:p w14:paraId="7138D7AB" w14:textId="77777777" w:rsidR="00495272" w:rsidRPr="00495272" w:rsidRDefault="00495272" w:rsidP="00645CAB">
      <w:pPr>
        <w:pStyle w:val="Paragraphedeliste"/>
      </w:pPr>
      <w:r w:rsidRPr="00495272">
        <w:t>The National Action Plan will be carried out over a period of 15 years in three phases, each lasting five years. Phase I will involve establishing and strengthening a judicial and regulatory framework at all levels, drawing up a national training and education plan on the worst forms of child labour and launching a first wave of action programmes in the regions targeted. In Phase II the activities undertaken will be widened in terms of both the target population and the target zones. Phase III will consolidate the results obtained in the two previous phases and ensure that children are indeed withdrawn from the worst forms of work in accordance with the objectives set.</w:t>
      </w:r>
    </w:p>
    <w:p w14:paraId="2CB6BA0D" w14:textId="77777777" w:rsidR="00495272" w:rsidRPr="00495272" w:rsidRDefault="00495272" w:rsidP="00645CAB">
      <w:pPr>
        <w:keepNext/>
        <w:tabs>
          <w:tab w:val="left" w:pos="8640"/>
        </w:tabs>
        <w:spacing w:before="100" w:beforeAutospacing="1" w:after="11" w:line="250"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790C532B" w14:textId="77777777" w:rsidR="00495272" w:rsidRPr="00495272" w:rsidRDefault="00495272" w:rsidP="00645CAB">
      <w:pPr>
        <w:tabs>
          <w:tab w:val="left" w:pos="8640"/>
        </w:tabs>
        <w:spacing w:before="100" w:beforeAutospacing="1" w:after="130"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68DF9FA4" w14:textId="77777777" w:rsidR="00495272" w:rsidRPr="00645CAB" w:rsidRDefault="00495272" w:rsidP="00645CAB">
      <w:pPr>
        <w:pStyle w:val="recommandations"/>
        <w:rPr>
          <w:rStyle w:val="recommandationsCar"/>
        </w:rPr>
      </w:pPr>
      <w:r w:rsidRPr="00495272">
        <w:rPr>
          <w:bCs/>
        </w:rPr>
        <w:t xml:space="preserve">Provide the </w:t>
      </w:r>
      <w:r w:rsidRPr="00645CAB">
        <w:rPr>
          <w:rStyle w:val="recommandationsCar"/>
          <w:b/>
        </w:rPr>
        <w:t>Civil Service Ministry with the necessary resources for effective implementation of the national action plan against child labour, and especially forced child labour.</w:t>
      </w:r>
    </w:p>
    <w:p w14:paraId="65FC3CB4" w14:textId="77777777" w:rsidR="00495272" w:rsidRPr="00495272" w:rsidRDefault="00495272" w:rsidP="00645CAB">
      <w:pPr>
        <w:pStyle w:val="recommandations"/>
      </w:pPr>
      <w:r w:rsidRPr="00495272">
        <w:rPr>
          <w:bCs/>
        </w:rPr>
        <w:t>Deploy the labour inspectors appointed to supervise child labour.</w:t>
      </w:r>
    </w:p>
    <w:p w14:paraId="18B1B556" w14:textId="77777777" w:rsidR="00495272" w:rsidRPr="00495272" w:rsidRDefault="00495272" w:rsidP="00645CAB">
      <w:pPr>
        <w:pStyle w:val="titre1TM"/>
      </w:pPr>
      <w:bookmarkStart w:id="12" w:name="_Toc146981"/>
      <w:bookmarkEnd w:id="12"/>
      <w:r w:rsidRPr="00495272">
        <w:t>Right to the recognition of legal personality (Art. 7, 13, 16 and 24)</w:t>
      </w:r>
    </w:p>
    <w:p w14:paraId="748665F4" w14:textId="704A2571"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lastRenderedPageBreak/>
        <w:t>Issue</w:t>
      </w:r>
      <w:r w:rsidR="00495272" w:rsidRPr="00495272">
        <w:rPr>
          <w:rFonts w:ascii="Times New Roman" w:eastAsia="Times New Roman" w:hAnsi="Times New Roman" w:cs="Times New Roman"/>
          <w:b/>
          <w:bCs/>
          <w:color w:val="000000"/>
          <w:sz w:val="24"/>
          <w:szCs w:val="24"/>
          <w:u w:val="single"/>
          <w:lang w:val="en-GB"/>
        </w:rPr>
        <w:t xml:space="preserve"> 22</w:t>
      </w:r>
      <w:r w:rsidR="00495272" w:rsidRPr="00495272">
        <w:rPr>
          <w:rFonts w:ascii="Times New Roman" w:eastAsia="Times New Roman" w:hAnsi="Times New Roman" w:cs="Times New Roman"/>
          <w:color w:val="000000"/>
          <w:sz w:val="24"/>
          <w:szCs w:val="24"/>
          <w:lang w:val="en-GB"/>
        </w:rPr>
        <w:t>: Please provide information on the measures taken to improve the birth registration rate and the issuance of birth certificates. Please provide information on the measures taken by the State Party to prevent statelessness.</w:t>
      </w:r>
    </w:p>
    <w:p w14:paraId="630226F1"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649CDB91" w14:textId="77777777" w:rsidR="00495272" w:rsidRPr="00495272" w:rsidRDefault="00495272" w:rsidP="00645CAB">
      <w:pPr>
        <w:pStyle w:val="Paragraphedeliste"/>
      </w:pPr>
      <w:r w:rsidRPr="00495272">
        <w:t>Thousands, if not millions, of children have not been registered at birth, in breach of this basic right.</w:t>
      </w:r>
    </w:p>
    <w:p w14:paraId="70A038B8" w14:textId="77777777" w:rsidR="00495272" w:rsidRPr="00495272" w:rsidRDefault="00495272" w:rsidP="00645CAB">
      <w:pPr>
        <w:pStyle w:val="Paragraphedeliste"/>
      </w:pPr>
      <w:r w:rsidRPr="00495272">
        <w:t xml:space="preserve">Since 2005, the programme </w:t>
      </w:r>
      <w:r w:rsidRPr="00495272">
        <w:rPr>
          <w:i/>
          <w:iCs/>
        </w:rPr>
        <w:t>Ezaka Kopia ho an’ny Ankizy</w:t>
      </w:r>
      <w:r w:rsidRPr="00495272">
        <w:t xml:space="preserve"> (duplication of birth registration for children) put in place by the Ministry of the Population in partnership with Unicef has consisted initially of retroactively registering about 2.5 million children under 18 years old and ensuring that new births are entered in the civil registry within 12 days as legally prescribed. The programme has been running regularly for several years. 340 regional trainers from 55 districts have been trained, as have 94 registrars and 151 staff at municipal level (doctors, teachers, etc.).</w:t>
      </w:r>
    </w:p>
    <w:p w14:paraId="4DACCC06" w14:textId="77777777" w:rsidR="00495272" w:rsidRPr="00495272" w:rsidRDefault="00495272" w:rsidP="00645CAB">
      <w:pPr>
        <w:pStyle w:val="Paragraphedeliste"/>
      </w:pPr>
      <w:r w:rsidRPr="00495272">
        <w:t>The legal clinics set up by the Ministry of Justice have contributed greatly to these activities.</w:t>
      </w:r>
    </w:p>
    <w:p w14:paraId="791BF2A5" w14:textId="77777777" w:rsidR="00495272" w:rsidRPr="00495272" w:rsidRDefault="00495272" w:rsidP="00645CAB">
      <w:pPr>
        <w:pStyle w:val="Paragraphedeliste"/>
      </w:pPr>
      <w:r w:rsidRPr="00495272">
        <w:t xml:space="preserve">Many civil society associations and organisations such as </w:t>
      </w:r>
      <w:r w:rsidRPr="00495272">
        <w:rPr>
          <w:i/>
        </w:rPr>
        <w:t>La maison de sagesse</w:t>
      </w:r>
      <w:r w:rsidRPr="00495272">
        <w:t xml:space="preserve"> and SOS Children's Villages Madagascar also work in this area.</w:t>
      </w:r>
    </w:p>
    <w:p w14:paraId="4038966F" w14:textId="77777777" w:rsidR="00495272" w:rsidRPr="00495272" w:rsidRDefault="00495272" w:rsidP="00645CAB">
      <w:pPr>
        <w:pStyle w:val="Paragraphedeliste"/>
      </w:pPr>
      <w:r w:rsidRPr="00495272">
        <w:t>For its part, the Ministry of the Interior has for some years been working to improve the civil registry by issuing the national identity cards required to improve the electoral roll on the basis of substitute orders made out at special circuit hearings.</w:t>
      </w:r>
    </w:p>
    <w:p w14:paraId="55EFE8C7" w14:textId="77777777" w:rsidR="00495272" w:rsidRPr="00495272" w:rsidRDefault="00495272" w:rsidP="00645CAB">
      <w:pPr>
        <w:pStyle w:val="Paragraphedeliste"/>
      </w:pPr>
      <w:r w:rsidRPr="00495272">
        <w:t>Act No 2016-060 provided for more special circuit hearings at which substitute birth certificates are issued to persons aged 18 and over as part of the National Identity Card operation. These hearings are held by the civil courts at the main towns of the districts or any other locality determined by the Ministry of the Interior for a period of one year, renewable by decree.</w:t>
      </w:r>
    </w:p>
    <w:p w14:paraId="6FC20CEE" w14:textId="77777777" w:rsidR="00495272" w:rsidRPr="00495272" w:rsidRDefault="00495272" w:rsidP="00645CAB">
      <w:pPr>
        <w:pStyle w:val="Paragraphedeliste"/>
      </w:pPr>
      <w:r w:rsidRPr="00495272">
        <w:t>In 2014, the Office of the United Nations High Commissioner for Refugees (UNHCR), in partnership with the Focus Development Association, launched a project on the "Prevention and reduction of statelessness in Madagascar".</w:t>
      </w:r>
    </w:p>
    <w:p w14:paraId="02770338" w14:textId="77777777" w:rsidR="00495272" w:rsidRPr="00495272" w:rsidRDefault="00495272" w:rsidP="00645CAB">
      <w:pPr>
        <w:pStyle w:val="Paragraphedeliste"/>
      </w:pPr>
      <w:r w:rsidRPr="00495272">
        <w:t>The 1960 Madagascar Nationality Code was based on descent, i.e. one of the parents must be Malagasy.</w:t>
      </w:r>
    </w:p>
    <w:p w14:paraId="2AC33F75" w14:textId="77777777" w:rsidR="00495272" w:rsidRPr="00495272" w:rsidRDefault="00495272" w:rsidP="00645CAB">
      <w:pPr>
        <w:pStyle w:val="Paragraphedeliste"/>
      </w:pPr>
      <w:r w:rsidRPr="00495272">
        <w:t>The Code also contains various forms of discrimination, in particular between men and women, since a Malagasy woman married to a foreigner cannot transmit her nationality to her child or spouse.</w:t>
      </w:r>
    </w:p>
    <w:p w14:paraId="1F662341" w14:textId="77777777" w:rsidR="00495272" w:rsidRPr="00495272" w:rsidRDefault="00495272" w:rsidP="00645CAB">
      <w:pPr>
        <w:pStyle w:val="Paragraphedeliste"/>
      </w:pPr>
      <w:r w:rsidRPr="00495272">
        <w:t>The strict application of the "jus sanguinis" (citizenship by descent) has blocked the naturalisation of certain communities. The UNHCR is therefore working with the government and civil society on identifying stateless population groups.</w:t>
      </w:r>
    </w:p>
    <w:p w14:paraId="2C63447D" w14:textId="77777777" w:rsidR="00495272" w:rsidRPr="00495272" w:rsidRDefault="00495272" w:rsidP="00645CAB">
      <w:pPr>
        <w:pStyle w:val="Paragraphedeliste"/>
      </w:pPr>
      <w:r w:rsidRPr="00495272">
        <w:t xml:space="preserve">By Act No 2016-038 of 15 December 2016 amending and supplementing certain provisions of the Madagascar Nationality Code, the state has ensured that a child born of a Malagasy mother and a stateless father can in future acquire its mother's nationality: "A child born of a Malagasy father and/or mother is Malagasy", whether legitimate or born out of wedlock. There is no longer any </w:t>
      </w:r>
      <w:proofErr w:type="gramStart"/>
      <w:r w:rsidRPr="00495272">
        <w:t>need</w:t>
      </w:r>
      <w:proofErr w:type="gramEnd"/>
      <w:r w:rsidRPr="00495272">
        <w:t xml:space="preserve"> to apply for Malagasy nationality for the child of a </w:t>
      </w:r>
      <w:r w:rsidRPr="00495272">
        <w:lastRenderedPageBreak/>
        <w:t>Malagasy mother and a foreign father since Malagasy nationality is henceforth transmitted to the child by the Malagasy mother.</w:t>
      </w:r>
    </w:p>
    <w:p w14:paraId="77473B02"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02AFC67F" w14:textId="77777777" w:rsidR="00495272" w:rsidRPr="00495272" w:rsidRDefault="00495272" w:rsidP="00645CAB">
      <w:pPr>
        <w:tabs>
          <w:tab w:val="left" w:pos="8640"/>
        </w:tabs>
        <w:spacing w:before="100" w:beforeAutospacing="1" w:after="125"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2C5EB8E6" w14:textId="77777777" w:rsidR="00495272" w:rsidRPr="00495272" w:rsidRDefault="00495272" w:rsidP="00645CAB">
      <w:pPr>
        <w:pStyle w:val="recommandations"/>
      </w:pPr>
      <w:r w:rsidRPr="00495272">
        <w:t xml:space="preserve">Continue the operation "Ezaka Kopia ho an’ny Ankizy" for issuance of substitute birth certificates to children. </w:t>
      </w:r>
    </w:p>
    <w:p w14:paraId="48E82354" w14:textId="77777777" w:rsidR="00495272" w:rsidRPr="00495272" w:rsidRDefault="00495272" w:rsidP="00645CAB">
      <w:pPr>
        <w:pStyle w:val="recommandations"/>
      </w:pPr>
      <w:r w:rsidRPr="00495272">
        <w:t>Provide the Ministry of the Interior with adequate resources for the establishment and operation of one-stop shops at the circuit hearings so that birth certificates and national identity cards may be issued at the same time.</w:t>
      </w:r>
    </w:p>
    <w:p w14:paraId="0CA01AD8" w14:textId="77777777" w:rsidR="00495272" w:rsidRPr="00495272" w:rsidRDefault="00495272" w:rsidP="00645CAB">
      <w:pPr>
        <w:pStyle w:val="titre1TM"/>
      </w:pPr>
      <w:bookmarkStart w:id="13" w:name="_Toc146982"/>
      <w:bookmarkEnd w:id="13"/>
      <w:r w:rsidRPr="00495272">
        <w:t>Refugees and asylum seekers (Art. 13)</w:t>
      </w:r>
    </w:p>
    <w:p w14:paraId="75329553" w14:textId="69546B38"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23</w:t>
      </w:r>
      <w:r w:rsidR="00495272" w:rsidRPr="00495272">
        <w:rPr>
          <w:rFonts w:ascii="Times New Roman" w:eastAsia="Times New Roman" w:hAnsi="Times New Roman" w:cs="Times New Roman"/>
          <w:color w:val="000000"/>
          <w:sz w:val="24"/>
          <w:szCs w:val="24"/>
          <w:lang w:val="en-GB"/>
        </w:rPr>
        <w:t>: Please indicate whether there are any plans to amend Decree No 94-652 of 11 October 1994 and to establish an asylum procedure, including a procedure for the determination of refugee status, and a legal framework for regulating asylum in accordance with international standards. Please indicate whether the State Party intends to establish an office for refugees and stateless persons, as provided for in Decree No 1962-001. Please explain the procedures currently in place, including with regard to deprivation of liberty, to deal with asylum seekers who appear before immigration officials without valid documents or visas. Please specify what steps have been taken by the State Party to uphold, de jure and de facto, the principle of non-refoulement with respect to foreign nationals expelled from the State party.</w:t>
      </w:r>
    </w:p>
    <w:p w14:paraId="30978E95" w14:textId="77777777" w:rsidR="00495272" w:rsidRPr="00495272" w:rsidRDefault="00495272" w:rsidP="00645CAB">
      <w:pPr>
        <w:tabs>
          <w:tab w:val="left" w:pos="8640"/>
        </w:tabs>
        <w:spacing w:before="100" w:beforeAutospacing="1" w:after="136"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4145C6AA" w14:textId="77777777" w:rsidR="00495272" w:rsidRPr="00495272" w:rsidRDefault="00495272" w:rsidP="00645CAB">
      <w:pPr>
        <w:pStyle w:val="Paragraphedeliste"/>
      </w:pPr>
      <w:r w:rsidRPr="00495272">
        <w:t>Article 8 of Decree No 94-652 of 11 October 1994 as amended by Decree No 97-1154 of 19 September 1997 provides that: "Persons whom no State, under the terms of its legislation, regards as its nationals are stateless. Persons of no known nationality are also regarded as stateless. Refugees are foreigners who for political or other reasons have been admitted as such to the territory of the Republic of Madagascar by a decision of the Minister of the Interior and of Decentralisation".</w:t>
      </w:r>
    </w:p>
    <w:p w14:paraId="2CE34E1D" w14:textId="77777777" w:rsidR="00495272" w:rsidRPr="00495272" w:rsidRDefault="00495272" w:rsidP="00645CAB">
      <w:pPr>
        <w:pStyle w:val="Paragraphedeliste"/>
      </w:pPr>
      <w:r w:rsidRPr="00495272">
        <w:t>Article 39 of the same decree provides that the Stateless Persons and Refugees Bureau established within the Ministry of the Interior and Decentralisation by Decree No 62-001 of 3 January 1962 shall provide legal and administrative protection for this category of foreigners and in cooperation with the various ministerial departments concerned ensure compliance with the international conventions, agreements or arrangements concerning stateless persons and refugees.</w:t>
      </w:r>
    </w:p>
    <w:p w14:paraId="273866A9" w14:textId="77777777" w:rsidR="00495272" w:rsidRPr="00495272" w:rsidRDefault="00495272" w:rsidP="00645CAB">
      <w:pPr>
        <w:pStyle w:val="Paragraphedeliste"/>
      </w:pPr>
      <w:r w:rsidRPr="00495272">
        <w:t>This Bureau is part of the Foreigners Department of the Directorate for Immigration and Emigration within the Ministry of the Interior.</w:t>
      </w:r>
    </w:p>
    <w:p w14:paraId="39C716BF" w14:textId="77777777" w:rsidR="00495272" w:rsidRPr="00495272" w:rsidRDefault="00495272" w:rsidP="00645CAB">
      <w:pPr>
        <w:pStyle w:val="Paragraphedeliste"/>
      </w:pPr>
      <w:r w:rsidRPr="00495272">
        <w:t>An information and discussion workshop on statelessness and the right to nationality was arranged at the National Assembly on 2 and 3 November 2015 to bring the question of nationality and statelessness to the attention of the members of parliament.</w:t>
      </w:r>
    </w:p>
    <w:p w14:paraId="25C05D74" w14:textId="77777777" w:rsidR="00495272" w:rsidRPr="00495272" w:rsidRDefault="00495272" w:rsidP="00645CAB">
      <w:pPr>
        <w:pStyle w:val="Paragraphedeliste"/>
      </w:pPr>
      <w:r w:rsidRPr="00495272">
        <w:t xml:space="preserve">The legal clinic of the Andohatapenaka Development Council </w:t>
      </w:r>
      <w:r w:rsidRPr="00495272">
        <w:rPr>
          <w:i/>
        </w:rPr>
        <w:t>(Conseil de Développement de Andohatapenaka - CDA)</w:t>
      </w:r>
      <w:r w:rsidRPr="00495272">
        <w:t>, together with the OHCHR office in Madagascar, is developing listening and advice activities for stateless persons on Malagasy territory.</w:t>
      </w:r>
    </w:p>
    <w:p w14:paraId="5FCDEA3B" w14:textId="77777777" w:rsidR="00495272" w:rsidRPr="00495272" w:rsidRDefault="00495272" w:rsidP="00645CAB">
      <w:pPr>
        <w:keepNext/>
        <w:keepLines/>
        <w:tabs>
          <w:tab w:val="left" w:pos="8640"/>
        </w:tabs>
        <w:spacing w:before="100" w:beforeAutospacing="1" w:after="113" w:line="250"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lastRenderedPageBreak/>
        <w:t>Recommendations:</w:t>
      </w:r>
    </w:p>
    <w:p w14:paraId="799FB106" w14:textId="77777777" w:rsidR="00495272" w:rsidRPr="00495272" w:rsidRDefault="00495272" w:rsidP="00645CAB">
      <w:pPr>
        <w:keepNext/>
        <w:keepLines/>
        <w:tabs>
          <w:tab w:val="left" w:pos="8640"/>
        </w:tabs>
        <w:spacing w:before="100" w:beforeAutospacing="1" w:after="125" w:line="250"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7E5719FA" w14:textId="77777777" w:rsidR="00495272" w:rsidRPr="00495272" w:rsidRDefault="00495272" w:rsidP="00645CAB">
      <w:pPr>
        <w:pStyle w:val="recommandations"/>
      </w:pPr>
      <w:r w:rsidRPr="00495272">
        <w:t>Carry out a study of the problems of refugees and stateless persons in Madagascar in order to comply with the international conventions.</w:t>
      </w:r>
    </w:p>
    <w:p w14:paraId="6E8C941D" w14:textId="77777777" w:rsidR="00495272" w:rsidRPr="00495272" w:rsidRDefault="00495272" w:rsidP="00645CAB">
      <w:pPr>
        <w:pStyle w:val="titre1TM"/>
      </w:pPr>
      <w:bookmarkStart w:id="14" w:name="_Toc146983"/>
      <w:bookmarkEnd w:id="14"/>
      <w:r w:rsidRPr="00495272">
        <w:t>Freedom of expression, right to the freedom of assembly (Art. 19, 21 and 22)</w:t>
      </w:r>
    </w:p>
    <w:p w14:paraId="221B05F6" w14:textId="54DF46C6"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24</w:t>
      </w:r>
      <w:r w:rsidR="00495272" w:rsidRPr="00495272">
        <w:rPr>
          <w:rFonts w:ascii="Times New Roman" w:eastAsia="Times New Roman" w:hAnsi="Times New Roman" w:cs="Times New Roman"/>
          <w:color w:val="000000"/>
          <w:sz w:val="24"/>
          <w:szCs w:val="24"/>
          <w:lang w:val="en-GB"/>
        </w:rPr>
        <w:t>: Please comment on allegations of censorship, intimidation and harassment faced by journalists and political opponents. Please provide information on the investigations conducted, the prosecutions brought and the penalties imposed on the perpetrators of such acts. Please provide information on the content and scope of the Communications Code adopted on 7 July 2016 and the penalties established therein, and indicate whether the Code decriminalizes press offences, defamation, slander, insult and libel, as indicated in the State party’s fourth periodic report (CCPR/C/MDG/4, para. 265). Please indicate whether the State Party intends to revise Act No 2014-006 on combating cybercrime and to repeal the provisions relating to defamation that restrict the enjoyment of the right to freedom of expression and the right to information.</w:t>
      </w:r>
    </w:p>
    <w:p w14:paraId="01C077BA"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4FBDC760" w14:textId="77777777" w:rsidR="00495272" w:rsidRPr="00495272" w:rsidRDefault="00495272" w:rsidP="00645CAB">
      <w:pPr>
        <w:pStyle w:val="Paragraphedeliste"/>
      </w:pPr>
      <w:r w:rsidRPr="00495272">
        <w:t xml:space="preserve">Freedom of expression remains a delicate and controversial subject in Madagascar. Journalists and, more often than not, the media regarded as opposed to the ruling party suffer censorship or interference when they try to give out information. There have been reports of power cuts at Radio Jupiter in Ilakaka and the jamming of broadcasters such as MBS and Radio Antsiva, or the refusal to grant Free TV a licence to broadcast in the capital are only some of the difficulties encountered by the opposition media. (Source: </w:t>
      </w:r>
      <w:r w:rsidRPr="00495272">
        <w:rPr>
          <w:i/>
        </w:rPr>
        <w:t>La Gazette de la Grande Ile</w:t>
      </w:r>
      <w:r w:rsidRPr="00495272">
        <w:t>)</w:t>
      </w:r>
    </w:p>
    <w:p w14:paraId="3E969F8B" w14:textId="77777777" w:rsidR="00495272" w:rsidRPr="00495272" w:rsidRDefault="00495272" w:rsidP="00645CAB">
      <w:pPr>
        <w:pStyle w:val="Paragraphedeliste"/>
      </w:pPr>
      <w:r w:rsidRPr="00495272">
        <w:t>Access by private journalists to the public administration (ministries, public buildings, etc.) is very limited, making it very difficult to gather information there. The same applies to the refusal to divulge information, which saps citizens' confidence in the State. Procedures for opening media outlets have also always been very complicated.</w:t>
      </w:r>
    </w:p>
    <w:p w14:paraId="33737708" w14:textId="77777777" w:rsidR="00495272" w:rsidRPr="00495272" w:rsidRDefault="00495272" w:rsidP="00645CAB">
      <w:pPr>
        <w:pStyle w:val="Paragraphedeliste"/>
      </w:pPr>
      <w:r w:rsidRPr="00495272">
        <w:t xml:space="preserve">In the particular case of Radio Jupiter in Ilakaka, a journalist reported on and </w:t>
      </w:r>
      <w:proofErr w:type="gramStart"/>
      <w:r w:rsidRPr="00495272">
        <w:t>criticised mining operations conducted by a company close to a special adviser to the presidency and was</w:t>
      </w:r>
      <w:proofErr w:type="gramEnd"/>
      <w:r w:rsidRPr="00495272">
        <w:t xml:space="preserve"> in turn prosecuted for endangering public safety.</w:t>
      </w:r>
    </w:p>
    <w:p w14:paraId="6FAA3815" w14:textId="77777777" w:rsidR="00495272" w:rsidRPr="00495272" w:rsidRDefault="00495272" w:rsidP="00645CAB">
      <w:pPr>
        <w:pStyle w:val="Paragraphedeliste"/>
      </w:pPr>
      <w:r w:rsidRPr="00495272">
        <w:t xml:space="preserve">Protest movements have been launched by journalists such as the </w:t>
      </w:r>
      <w:r w:rsidRPr="00495272">
        <w:rPr>
          <w:i/>
        </w:rPr>
        <w:t>Groupement des Editeurs de presse d’information et du multimédia de Madagascar (GEPIMM)</w:t>
      </w:r>
      <w:r w:rsidRPr="00495272">
        <w:t xml:space="preserve"> and the </w:t>
      </w:r>
      <w:r w:rsidRPr="00495272">
        <w:rPr>
          <w:i/>
        </w:rPr>
        <w:t xml:space="preserve">Mouvement pour la Liberté d’Expression </w:t>
      </w:r>
      <w:r w:rsidRPr="00495272">
        <w:t>over the new Communications Code, certain articles of which impinge on freedom of expression and opinion.</w:t>
      </w:r>
    </w:p>
    <w:p w14:paraId="70367716" w14:textId="77777777" w:rsidR="00495272" w:rsidRPr="00495272" w:rsidRDefault="00495272" w:rsidP="00645CAB">
      <w:pPr>
        <w:pStyle w:val="Paragraphedeliste"/>
      </w:pPr>
      <w:r w:rsidRPr="00495272">
        <w:t>As regards the content of the Code, according to the preamble and the articles of Act No 2016-029 enacting the media code, the offences of contempt, defamation or insult via the media are henceforth misdemeanours punishable by fines instead of prison sentences.</w:t>
      </w:r>
    </w:p>
    <w:p w14:paraId="748371C3" w14:textId="77777777" w:rsidR="00495272" w:rsidRPr="00495272" w:rsidRDefault="00495272" w:rsidP="00645CAB">
      <w:pPr>
        <w:pStyle w:val="Paragraphedeliste"/>
      </w:pPr>
      <w:r w:rsidRPr="00495272">
        <w:t xml:space="preserve">However, according to the leader of the GEPIMM pressure group, Lalatiana Rakotondrazafy, the definitions of the offences from contempt to defamation, spreading "fake news" and insult are "fuzzy" or "too vague" lending themselves to umpteen different interpretations and providing for excessive fines which risk leading journalists to exercise </w:t>
      </w:r>
      <w:r w:rsidRPr="00495272">
        <w:lastRenderedPageBreak/>
        <w:t xml:space="preserve">self-censorship for fear of the penalties. According to this group, the code contains many restrictions on </w:t>
      </w:r>
      <w:proofErr w:type="gramStart"/>
      <w:r w:rsidRPr="00495272">
        <w:t>information-seeking</w:t>
      </w:r>
      <w:proofErr w:type="gramEnd"/>
      <w:r w:rsidRPr="00495272">
        <w:t xml:space="preserve"> and investigation.</w:t>
      </w:r>
    </w:p>
    <w:p w14:paraId="71B03FE5" w14:textId="77777777" w:rsidR="00495272" w:rsidRPr="00495272" w:rsidRDefault="00495272" w:rsidP="00645CAB">
      <w:pPr>
        <w:pStyle w:val="Paragraphedeliste"/>
      </w:pPr>
      <w:r w:rsidRPr="00495272">
        <w:t>According to Malagasy journalists, this code still refers to the Penal Code for decisions on press offences, potentially leading to criminalisation of the profession.</w:t>
      </w:r>
    </w:p>
    <w:p w14:paraId="1190305A" w14:textId="77777777" w:rsidR="00495272" w:rsidRPr="00495272" w:rsidRDefault="00495272" w:rsidP="00645CAB">
      <w:pPr>
        <w:pStyle w:val="Paragraphedeliste"/>
      </w:pPr>
      <w:r w:rsidRPr="00495272">
        <w:t>Closure of newspapers or magazines is also decided by a communications unit of the Ministry, with the risk that it will have a free hand, or indeed take abusive action, in respect of state-imposed sanctions, which can inhibit journalists from disseminating information, again for fear of sanctions.</w:t>
      </w:r>
    </w:p>
    <w:p w14:paraId="639B9F6C" w14:textId="77777777" w:rsidR="00495272" w:rsidRPr="00495272" w:rsidRDefault="00495272" w:rsidP="00645CAB">
      <w:pPr>
        <w:pStyle w:val="Paragraphedeliste"/>
      </w:pPr>
      <w:r w:rsidRPr="00495272">
        <w:t>National coverage remains the prerogative of the public radio and television stations, though they are seen as biased in favour of the State.</w:t>
      </w:r>
    </w:p>
    <w:p w14:paraId="643FCAF3" w14:textId="77777777" w:rsidR="00495272" w:rsidRPr="00495272" w:rsidRDefault="00495272" w:rsidP="00645CAB">
      <w:pPr>
        <w:pStyle w:val="Paragraphedeliste"/>
      </w:pPr>
      <w:r w:rsidRPr="00495272">
        <w:t>Journalists tried to conduct a peaceful march to the monument to the freedom of the press in Analakely to express their discontent and incomprehension at the adoption of this new code, but this was banned.</w:t>
      </w:r>
    </w:p>
    <w:p w14:paraId="7E59A883" w14:textId="77777777" w:rsidR="00495272" w:rsidRPr="00495272" w:rsidRDefault="00495272" w:rsidP="00645CAB">
      <w:pPr>
        <w:pStyle w:val="Paragraphedeliste"/>
      </w:pPr>
      <w:r w:rsidRPr="00495272">
        <w:t xml:space="preserve">As regards the Cybercrime Act, Act No 2016-031 amending and supplementing certain provisions of that Act abolished the custodial sentences for insult or defamation of various administrative and public bodies provided for by Article </w:t>
      </w:r>
      <w:proofErr w:type="gramStart"/>
      <w:r w:rsidRPr="00495272">
        <w:t>20 ,</w:t>
      </w:r>
      <w:proofErr w:type="gramEnd"/>
      <w:r w:rsidRPr="00495272">
        <w:t xml:space="preserve"> but the fines for these offences remain astronomical. (Source: </w:t>
      </w:r>
      <w:r w:rsidRPr="00495272">
        <w:rPr>
          <w:i/>
        </w:rPr>
        <w:t>Madagascar Tribune</w:t>
      </w:r>
      <w:r w:rsidRPr="00495272">
        <w:t>)</w:t>
      </w:r>
    </w:p>
    <w:p w14:paraId="50A29A6E" w14:textId="77777777" w:rsidR="00495272" w:rsidRPr="00495272" w:rsidRDefault="00495272" w:rsidP="00645CAB">
      <w:pPr>
        <w:pStyle w:val="Paragraphedeliste"/>
      </w:pPr>
      <w:r w:rsidRPr="00495272">
        <w:t>As regards failure to respect freedom of expression, Amnesty International draws attention to the case of Armand Marozafy, an environmental activist sentenced on 22 May 2015 to six months' imprisonment and a fine of 12 million Ariary after using the social media to denounce cases of illegal exploitation of rosewood.</w:t>
      </w:r>
    </w:p>
    <w:p w14:paraId="090B5D15"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13FEB06B"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2CC2BEC8" w14:textId="77777777" w:rsidR="00495272" w:rsidRPr="00495272" w:rsidRDefault="00495272" w:rsidP="00645CAB">
      <w:pPr>
        <w:pStyle w:val="recommandations"/>
      </w:pPr>
      <w:r w:rsidRPr="00495272">
        <w:t xml:space="preserve">Promote the independence </w:t>
      </w:r>
      <w:proofErr w:type="gramStart"/>
      <w:r w:rsidRPr="00495272">
        <w:t xml:space="preserve">of the national media authority </w:t>
      </w:r>
      <w:r w:rsidRPr="00495272">
        <w:rPr>
          <w:i/>
        </w:rPr>
        <w:t>(Autorité Nationale de Régulation de la Communication Médiatisée - ANRCM)</w:t>
      </w:r>
      <w:r w:rsidRPr="00495272">
        <w:t xml:space="preserve">, which includes only one civil society representative </w:t>
      </w:r>
      <w:r w:rsidRPr="00495272">
        <w:rPr>
          <w:rFonts w:ascii="Segoe UI Symbol" w:hAnsi="Segoe UI Symbol"/>
        </w:rPr>
        <w:t>•</w:t>
      </w:r>
      <w:r w:rsidRPr="00495272">
        <w:rPr>
          <w:rFonts w:ascii="Arial" w:hAnsi="Arial" w:cs="Arial"/>
        </w:rPr>
        <w:t xml:space="preserve"> </w:t>
      </w:r>
      <w:r w:rsidRPr="00495272">
        <w:t>Broaden</w:t>
      </w:r>
      <w:proofErr w:type="gramEnd"/>
      <w:r w:rsidRPr="00495272">
        <w:t xml:space="preserve"> the composition of the ANRCM, especially to include private journalists and civil society organisations.</w:t>
      </w:r>
    </w:p>
    <w:p w14:paraId="461DC431" w14:textId="77777777" w:rsidR="00495272" w:rsidRPr="00495272" w:rsidRDefault="00495272" w:rsidP="00645CAB">
      <w:pPr>
        <w:pStyle w:val="recommandations"/>
      </w:pPr>
      <w:r w:rsidRPr="00495272">
        <w:t xml:space="preserve">Revise the Cybercrime Act, which does not comply with the principle of freedom of expression. </w:t>
      </w:r>
    </w:p>
    <w:p w14:paraId="7EFC54DA" w14:textId="77777777" w:rsidR="00495272" w:rsidRPr="00495272" w:rsidRDefault="00495272" w:rsidP="00645CAB">
      <w:pPr>
        <w:pStyle w:val="recommandations"/>
      </w:pPr>
      <w:r w:rsidRPr="00495272">
        <w:t>Promote equal treatment of official and private journalists.</w:t>
      </w:r>
    </w:p>
    <w:p w14:paraId="31503338" w14:textId="7F678670"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25</w:t>
      </w:r>
      <w:r w:rsidR="00495272" w:rsidRPr="00495272">
        <w:rPr>
          <w:rFonts w:ascii="Times New Roman" w:eastAsia="Times New Roman" w:hAnsi="Times New Roman" w:cs="Times New Roman"/>
          <w:color w:val="000000"/>
          <w:sz w:val="24"/>
          <w:szCs w:val="24"/>
          <w:lang w:val="en-GB"/>
        </w:rPr>
        <w:t>: Please comment on allegations of security forces preventing peaceful demonstrations from being held, including meetings of political opponents, and indicate the measures taken to guarantee freedom of assembly in practice and ensure that any restriction of that freedom is in compliance with the Covenant. Please also comment on reports of frequent use of excessive force to disperse crowds.</w:t>
      </w:r>
    </w:p>
    <w:p w14:paraId="6CC9C747"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13EEEA21" w14:textId="77777777" w:rsidR="00495272" w:rsidRPr="00495272" w:rsidRDefault="00495272" w:rsidP="00645CAB">
      <w:pPr>
        <w:pStyle w:val="Paragraphedeliste"/>
      </w:pPr>
      <w:r w:rsidRPr="00495272">
        <w:t>While there are legal provisions for freedom of association and trade union freedom, they are not well respected and indeed are sometimes flouted. In today's political and social context, freedom of expression and assembly are rare commodities. It is rarely, or indeed scarcely ever, possible to hold demonstrations, meetings or peaceful marches.</w:t>
      </w:r>
    </w:p>
    <w:p w14:paraId="4F98A6DD" w14:textId="77777777" w:rsidR="00495272" w:rsidRPr="00495272" w:rsidRDefault="00495272" w:rsidP="00645CAB">
      <w:pPr>
        <w:pStyle w:val="Paragraphedeliste"/>
      </w:pPr>
      <w:r w:rsidRPr="00495272">
        <w:lastRenderedPageBreak/>
        <w:t xml:space="preserve">When the people of the locality of Soamahamanina contested mining operations by the Chinese company Jiuxing Mines in order to defend their ancestral lands, the meeting ended in violent clashes between the local population and the security forces. Arrests were subsequently made and the leaders of the demonstration were </w:t>
      </w:r>
      <w:bookmarkStart w:id="15" w:name="sdfootnote4anc"/>
      <w:r w:rsidRPr="00495272">
        <w:t>tried and convicted</w:t>
      </w:r>
      <w:hyperlink r:id="rId9" w:anchor="sdfootnote4sym" w:history="1">
        <w:r w:rsidRPr="00495272">
          <w:rPr>
            <w:color w:val="0000FF"/>
            <w:sz w:val="14"/>
            <w:szCs w:val="14"/>
            <w:u w:val="single"/>
            <w:vertAlign w:val="superscript"/>
          </w:rPr>
          <w:t>4</w:t>
        </w:r>
      </w:hyperlink>
      <w:bookmarkEnd w:id="15"/>
      <w:r w:rsidRPr="00495272">
        <w:t xml:space="preserve">. </w:t>
      </w:r>
    </w:p>
    <w:p w14:paraId="2E4652F0" w14:textId="77777777" w:rsidR="00495272" w:rsidRPr="00495272" w:rsidRDefault="00495272" w:rsidP="00645CAB">
      <w:pPr>
        <w:pStyle w:val="Paragraphedeliste"/>
      </w:pPr>
      <w:r w:rsidRPr="00495272">
        <w:t>In a spirit of solidarity with the trade union representatives of the Air Madagascar staff, who suffered dismissal not endorsed by the industrial tribunals and detention by the economic police for economic sabotage, criminal conspiracy and defamation by the spreading of false information, the trade union groupings sought to hold a demonstration at the head office of Air Madagascar in Analakely in support of the striking workers. This was not authorised by the prefecture.</w:t>
      </w:r>
    </w:p>
    <w:p w14:paraId="5AE8952E" w14:textId="77777777" w:rsidR="00495272" w:rsidRPr="00495272" w:rsidRDefault="00495272" w:rsidP="00645CAB">
      <w:pPr>
        <w:pStyle w:val="Paragraphedeliste"/>
      </w:pPr>
      <w:r w:rsidRPr="00495272">
        <w:t xml:space="preserve">The </w:t>
      </w:r>
      <w:r w:rsidRPr="00495272">
        <w:rPr>
          <w:i/>
        </w:rPr>
        <w:t>Mouvement pour la liberté d’expression</w:t>
      </w:r>
      <w:r w:rsidRPr="00495272">
        <w:t xml:space="preserve"> contesting the Communications Code enacted by the National Assembly sought to hold a peaceful assembly, setting out on a march to a symbolic monument, the plinth to the freedom of the press, which was promptly halted by the police.</w:t>
      </w:r>
    </w:p>
    <w:p w14:paraId="27AFF74E" w14:textId="77777777" w:rsidR="00495272" w:rsidRPr="00495272" w:rsidRDefault="00495272" w:rsidP="00645CAB">
      <w:pPr>
        <w:pStyle w:val="Paragraphedeliste"/>
      </w:pPr>
      <w:r w:rsidRPr="00495272">
        <w:t>The State consistently denies political opponents the right to political demonstrations, even when peaceful. The opposition is generally forbidden to hold meetings or other forms of demonstration in public places. One example would be the refusal of access to the Mahamasina sports centre although it had been authorised by the Mairie of Antananarivo.</w:t>
      </w:r>
    </w:p>
    <w:p w14:paraId="24AF2CE6" w14:textId="77777777" w:rsidR="00495272" w:rsidRPr="00495272" w:rsidRDefault="00495272" w:rsidP="00645CAB">
      <w:pPr>
        <w:pStyle w:val="Paragraphedeliste"/>
      </w:pPr>
      <w:r w:rsidRPr="00495272">
        <w:t>The authorities generally argue that demonstrations which are of a political nature or which may give rise to breaches of the peace are forbidden, e.g. when the freedom of movement of other persons not taking part in the demonstration is infringed, which they claim justifies their action.</w:t>
      </w:r>
    </w:p>
    <w:p w14:paraId="6F5A4AEB"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75F911A1" w14:textId="77777777" w:rsidR="00495272" w:rsidRPr="00495272" w:rsidRDefault="00495272" w:rsidP="00645CAB">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6F263BDB" w14:textId="77777777" w:rsidR="00495272" w:rsidRPr="00495272" w:rsidRDefault="00495272" w:rsidP="00645CAB">
      <w:pPr>
        <w:pStyle w:val="recommandations"/>
      </w:pPr>
      <w:r w:rsidRPr="00495272">
        <w:t>Ensure that the right of assembly and of peaceful demonstration is respected in practice.</w:t>
      </w:r>
    </w:p>
    <w:p w14:paraId="28D32FD4" w14:textId="77777777" w:rsidR="00495272" w:rsidRPr="00495272" w:rsidRDefault="00495272" w:rsidP="00645CAB">
      <w:pPr>
        <w:pStyle w:val="titre1TM"/>
      </w:pPr>
      <w:bookmarkStart w:id="16" w:name="_Toc146984"/>
      <w:bookmarkEnd w:id="16"/>
      <w:r w:rsidRPr="00495272">
        <w:t>Participation in public affairs and combating of corruption (Art. 25)</w:t>
      </w:r>
    </w:p>
    <w:p w14:paraId="48DEA7D0" w14:textId="522E8BD5" w:rsidR="00495272" w:rsidRPr="00495272" w:rsidRDefault="004231D5" w:rsidP="00645CAB">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26</w:t>
      </w:r>
      <w:r w:rsidR="00495272" w:rsidRPr="00495272">
        <w:rPr>
          <w:rFonts w:ascii="Times New Roman" w:eastAsia="Times New Roman" w:hAnsi="Times New Roman" w:cs="Times New Roman"/>
          <w:color w:val="000000"/>
          <w:sz w:val="24"/>
          <w:szCs w:val="24"/>
          <w:lang w:val="en-GB"/>
        </w:rPr>
        <w:t>: Please provide information on the efforts made to ensure that future elections run smoothly and that all members of the electorate are able to exercise their right to vote, including by ensuring that women and persons with disabilities fully participate in the election process. Please explain whether the State Party plans to review electoral boundaries to ensure greater equality between districts and to strengthen the Independent National Electoral Commission and the dispute resolution process to ensure that all citizens have access to complaint procedures and effective remedies.</w:t>
      </w:r>
    </w:p>
    <w:p w14:paraId="20D8C190" w14:textId="77777777" w:rsidR="00495272" w:rsidRPr="00495272" w:rsidRDefault="00495272" w:rsidP="00645CAB">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3686737A" w14:textId="77777777" w:rsidR="00495272" w:rsidRPr="00495272" w:rsidRDefault="00495272" w:rsidP="00645CAB">
      <w:pPr>
        <w:pStyle w:val="Paragraphedeliste"/>
      </w:pPr>
      <w:r w:rsidRPr="00495272">
        <w:t xml:space="preserve">The Independent National Electoral Commission </w:t>
      </w:r>
      <w:r w:rsidRPr="00495272">
        <w:rPr>
          <w:i/>
        </w:rPr>
        <w:t>(Commission Nationale Electorale Indépendante - CENI)</w:t>
      </w:r>
      <w:r w:rsidRPr="00495272">
        <w:t xml:space="preserve"> was instituted by Act No 2015-020, which enshrines the principles of its independence, impartiality, integrity, transparency and professionalism. The Commission has legal personality, enjoys administrative and financial autonomy and has its own annual budget line provided for by the Finance Act. In the performance of its functions, it exercises full independence, impartiality, integrity, transparency and professionalism and has no hierarchical relationship with the other institutions of state.</w:t>
      </w:r>
    </w:p>
    <w:p w14:paraId="5F08D1B5" w14:textId="77777777" w:rsidR="00495272" w:rsidRPr="00495272" w:rsidRDefault="00495272" w:rsidP="00645CAB">
      <w:pPr>
        <w:pStyle w:val="Paragraphedeliste"/>
      </w:pPr>
      <w:r w:rsidRPr="00495272">
        <w:lastRenderedPageBreak/>
        <w:t>The permanent Bureau consists of nine national electoral commissioners. At elections, the non-permanent structure consists of the representatives of the candidates of each legally recognised political party or each candidate or list of candidates standing independently and other tendencies. The Act provides for a breakdown into provinces, regions, districts and municipalities, and an electoral agent at fokontany level.</w:t>
      </w:r>
    </w:p>
    <w:p w14:paraId="7061E40B" w14:textId="77777777" w:rsidR="00495272" w:rsidRPr="00495272" w:rsidRDefault="00495272" w:rsidP="00645CAB">
      <w:pPr>
        <w:pStyle w:val="Paragraphedeliste"/>
      </w:pPr>
      <w:r w:rsidRPr="00495272">
        <w:t xml:space="preserve">In order to ensure that the next elections are properly conducted and credible, in accordance with the principles of transparency and inclusivity, the CENI has established four categories of consultation forum, each of which meets once per month to share and gather information on the electoral process and proposals for improving the methodology or operational framework: fora for consultation with civil society organisations, political parties and representatives of public bodies. Meetings with the technical and financial partners take place every three months within the steering committee of the electoral cycle support project </w:t>
      </w:r>
      <w:r w:rsidRPr="00495272">
        <w:rPr>
          <w:i/>
        </w:rPr>
        <w:t>(Soutien au cycle électoral de Madagascar - SACEM)</w:t>
      </w:r>
      <w:r w:rsidRPr="00495272">
        <w:t>.</w:t>
      </w:r>
    </w:p>
    <w:p w14:paraId="76766B49" w14:textId="77777777" w:rsidR="00495272" w:rsidRPr="00495272" w:rsidRDefault="00495272" w:rsidP="00645CAB">
      <w:pPr>
        <w:pStyle w:val="Paragraphedeliste"/>
      </w:pPr>
      <w:r w:rsidRPr="00495272">
        <w:t>A think-tank was established by Decree No 2017-200 of 28 March 2017. Its function is to consider improvements to the legal framework for the electoral process, to analyse and build on electoral studies, in particular those proposed by the "Strategic document on a better legal framework for the Malagasy electoral process". This body is chaired by the CENI and includes representatives of the interior, finance and justice ministries, the anti-corruption office BIANCO, the integrity safeguards committee Csi, the financial intelligence unit SAMIFIN, and three representatives of the political parties and three of civil society organisations.</w:t>
      </w:r>
    </w:p>
    <w:p w14:paraId="37FEC1F0" w14:textId="77777777" w:rsidR="00495272" w:rsidRPr="00495272" w:rsidRDefault="00495272" w:rsidP="00645CAB">
      <w:pPr>
        <w:pStyle w:val="Paragraphedeliste"/>
      </w:pPr>
      <w:r w:rsidRPr="00495272">
        <w:t>The CENI's strategy of awareness-raising and national education has spawned many activities aimed at establishing a reliable and transparent electoral roll, in particular in the 59 districts with the lowest voter registration rates, especially targeting women and young people. The result is that the annual revision of the electoral roll begun in December 2016 and completed on 15 April 2017 saw the registration rate rise by 6.33%, bringing the number of registered voters to 9 222 218 as compared with 8 673 485 in April 2016 according to a press release from the CENI.</w:t>
      </w:r>
    </w:p>
    <w:p w14:paraId="4362D5C0" w14:textId="77777777" w:rsidR="00495272" w:rsidRPr="00495272" w:rsidRDefault="00495272" w:rsidP="00645CAB">
      <w:pPr>
        <w:pStyle w:val="Paragraphedeliste"/>
      </w:pPr>
      <w:r w:rsidRPr="00495272">
        <w:t xml:space="preserve">In February 2017, in order to persuade more women to vote in the elections, a "workshop to make young people and women aware of their civic duty to register on the electoral roll" was organised by the CENI and the alumni association of the National School of Administration </w:t>
      </w:r>
      <w:r w:rsidRPr="00495272">
        <w:rPr>
          <w:i/>
        </w:rPr>
        <w:t>(Association des Anciens de l’Ecole Nationale de l’Administration - ALEENA)</w:t>
      </w:r>
      <w:r w:rsidRPr="00495272">
        <w:t xml:space="preserve"> in order to address the low turnout rates of women and young people and raise awareness among the local populations, in particular women and the younger generation.</w:t>
      </w:r>
    </w:p>
    <w:p w14:paraId="41AEFE1E" w14:textId="77777777" w:rsidR="00495272" w:rsidRPr="00495272" w:rsidRDefault="00495272" w:rsidP="00645CAB">
      <w:pPr>
        <w:pStyle w:val="Paragraphedeliste"/>
      </w:pPr>
      <w:r w:rsidRPr="00495272">
        <w:t>However, the political sphere remains a priority and it is important to flesh out the process of "true" national reconciliation with a view to reducing political and social tensions in advance of the elections. In the same spirit, arrangements need to be made quickly for the leader of the opposition to be appointed officially by the President of the Republic in order to restore balance in the political situation.</w:t>
      </w:r>
    </w:p>
    <w:p w14:paraId="715796CB" w14:textId="77777777" w:rsidR="00495272" w:rsidRPr="00495272" w:rsidRDefault="00495272" w:rsidP="00645CAB">
      <w:pPr>
        <w:pStyle w:val="Paragraphedeliste"/>
      </w:pPr>
      <w:r w:rsidRPr="00495272">
        <w:t>It is also important to amend the electoral code to bring it into line with the real electoral and political context in the country.</w:t>
      </w:r>
    </w:p>
    <w:p w14:paraId="4840D80A" w14:textId="77777777" w:rsidR="00495272" w:rsidRPr="00495272" w:rsidRDefault="00495272" w:rsidP="00645CAB">
      <w:pPr>
        <w:pStyle w:val="Paragraphedeliste"/>
      </w:pPr>
      <w:r w:rsidRPr="00495272">
        <w:t>If the next elections are to find general acceptance, true national reconciliation is vital so that all political actors can take part.</w:t>
      </w:r>
    </w:p>
    <w:p w14:paraId="7AACDFDB" w14:textId="77777777" w:rsidR="00495272" w:rsidRPr="00495272" w:rsidRDefault="00495272" w:rsidP="00645CAB">
      <w:pPr>
        <w:pStyle w:val="Paragraphedeliste"/>
      </w:pPr>
      <w:r w:rsidRPr="00495272">
        <w:lastRenderedPageBreak/>
        <w:t>Since 2013, the UNDP has funded the training of 849 mediators to provide expert input to the resolution of electoral or post-electoral disputes in the various impending election processes. These mediators may receive further training for the coming elections.</w:t>
      </w:r>
    </w:p>
    <w:p w14:paraId="5514C7CC" w14:textId="77777777" w:rsidR="00495272" w:rsidRPr="00495272" w:rsidRDefault="00495272" w:rsidP="00645CAB">
      <w:pPr>
        <w:pStyle w:val="Paragraphedeliste"/>
      </w:pPr>
      <w:r w:rsidRPr="00495272">
        <w:t>There are no plans for constituency boundary changes by the Ministry of the Interior.</w:t>
      </w:r>
    </w:p>
    <w:p w14:paraId="1941C50A" w14:textId="77777777" w:rsidR="00495272" w:rsidRPr="00495272" w:rsidRDefault="00495272" w:rsidP="008867F2">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0B30C1A4" w14:textId="77777777" w:rsidR="00495272" w:rsidRPr="00495272" w:rsidRDefault="00495272" w:rsidP="008867F2">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The State Party should:</w:t>
      </w:r>
    </w:p>
    <w:p w14:paraId="68815C1C" w14:textId="77777777" w:rsidR="00495272" w:rsidRPr="00495272" w:rsidRDefault="00495272" w:rsidP="008867F2">
      <w:pPr>
        <w:pStyle w:val="recommandations"/>
      </w:pPr>
      <w:r w:rsidRPr="00495272">
        <w:t>Strengthen the independence of the CENI by providing adequate resources and flexible procedures for disbursement and management of the funds allocated by the State.</w:t>
      </w:r>
    </w:p>
    <w:p w14:paraId="45B78C77" w14:textId="77777777" w:rsidR="00495272" w:rsidRPr="00495272" w:rsidRDefault="00495272" w:rsidP="008867F2">
      <w:pPr>
        <w:pStyle w:val="recommandations"/>
      </w:pPr>
      <w:r w:rsidRPr="00495272">
        <w:t>Strengthen the prevention and eradication of corruption at the level of the CENI, the administrative tribunal, the Council of State and the High Constitutional Court.</w:t>
      </w:r>
    </w:p>
    <w:p w14:paraId="2D949975" w14:textId="77777777" w:rsidR="00495272" w:rsidRPr="00495272" w:rsidRDefault="00495272" w:rsidP="008867F2">
      <w:pPr>
        <w:pStyle w:val="recommandations"/>
      </w:pPr>
      <w:r w:rsidRPr="00495272">
        <w:t>Strengthen procedures for issuing national identity cards.</w:t>
      </w:r>
    </w:p>
    <w:p w14:paraId="38CFEA62" w14:textId="77777777" w:rsidR="00495272" w:rsidRPr="00495272" w:rsidRDefault="00495272" w:rsidP="008867F2">
      <w:pPr>
        <w:pStyle w:val="recommandations"/>
      </w:pPr>
      <w:r w:rsidRPr="00495272">
        <w:t>Make the necessary changes to the legal framework for the elections to make it coherent, accessible and conducive to a peaceful and inclusive environment.</w:t>
      </w:r>
    </w:p>
    <w:p w14:paraId="1B5F7304" w14:textId="77777777" w:rsidR="00495272" w:rsidRPr="00495272" w:rsidRDefault="00495272" w:rsidP="008867F2">
      <w:pPr>
        <w:pStyle w:val="recommandations"/>
      </w:pPr>
      <w:r w:rsidRPr="00495272">
        <w:t>Put in hand the process of national reconciliation.</w:t>
      </w:r>
    </w:p>
    <w:p w14:paraId="37CC29E2" w14:textId="77777777" w:rsidR="00495272" w:rsidRPr="00495272" w:rsidRDefault="00495272" w:rsidP="008867F2">
      <w:pPr>
        <w:pStyle w:val="recommandations"/>
      </w:pPr>
      <w:r w:rsidRPr="00495272">
        <w:t>Respect the legal provisions during the electoral period, to avoid crises.</w:t>
      </w:r>
    </w:p>
    <w:p w14:paraId="2E6F9D3E" w14:textId="3750CF0F" w:rsidR="00495272" w:rsidRPr="00495272" w:rsidRDefault="004231D5" w:rsidP="008867F2">
      <w:pPr>
        <w:pBdr>
          <w:top w:val="single" w:sz="2" w:space="0" w:color="000001"/>
          <w:left w:val="single" w:sz="2" w:space="0" w:color="000001"/>
          <w:bottom w:val="single" w:sz="2" w:space="0" w:color="000001"/>
          <w:right w:val="single" w:sz="2" w:space="0" w:color="000001"/>
        </w:pBdr>
        <w:tabs>
          <w:tab w:val="left" w:pos="8640"/>
        </w:tabs>
        <w:spacing w:before="100" w:beforeAutospacing="1" w:after="147" w:line="244" w:lineRule="auto"/>
        <w:ind w:right="-7"/>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b/>
          <w:bCs/>
          <w:color w:val="000000"/>
          <w:sz w:val="24"/>
          <w:szCs w:val="24"/>
          <w:u w:val="single"/>
          <w:lang w:val="en-GB"/>
        </w:rPr>
        <w:t>Issue</w:t>
      </w:r>
      <w:r w:rsidR="00495272" w:rsidRPr="00495272">
        <w:rPr>
          <w:rFonts w:ascii="Times New Roman" w:eastAsia="Times New Roman" w:hAnsi="Times New Roman" w:cs="Times New Roman"/>
          <w:b/>
          <w:bCs/>
          <w:color w:val="000000"/>
          <w:sz w:val="24"/>
          <w:szCs w:val="24"/>
          <w:u w:val="single"/>
          <w:lang w:val="en-GB"/>
        </w:rPr>
        <w:t xml:space="preserve"> 27</w:t>
      </w:r>
      <w:r w:rsidR="00495272" w:rsidRPr="00495272">
        <w:rPr>
          <w:rFonts w:ascii="Times New Roman" w:eastAsia="Times New Roman" w:hAnsi="Times New Roman" w:cs="Times New Roman"/>
          <w:color w:val="000000"/>
          <w:sz w:val="24"/>
          <w:szCs w:val="24"/>
          <w:lang w:val="en-GB"/>
        </w:rPr>
        <w:t>: Please describe the specific measures adopted to combat corruption in political circles and in the judiciary. Please indicate the measures taken to ensure that the Independent Anti-Corruption Office is fully independent and provide information on the investigation of corruption cases and the disciplinary and judicial penalties handed down in those cases during the past five years.</w:t>
      </w:r>
    </w:p>
    <w:p w14:paraId="0AF01AB5" w14:textId="77777777" w:rsidR="00495272" w:rsidRPr="00495272" w:rsidRDefault="00495272" w:rsidP="008867F2">
      <w:pPr>
        <w:tabs>
          <w:tab w:val="left" w:pos="8640"/>
        </w:tabs>
        <w:spacing w:before="100" w:beforeAutospacing="1" w:after="113"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Replies/Comments from civil society</w:t>
      </w:r>
    </w:p>
    <w:p w14:paraId="383D5AA9" w14:textId="77777777" w:rsidR="00495272" w:rsidRPr="00495272" w:rsidRDefault="00495272" w:rsidP="008867F2">
      <w:pPr>
        <w:pStyle w:val="Paragraphedeliste"/>
      </w:pPr>
      <w:r w:rsidRPr="00495272">
        <w:t xml:space="preserve">An action plan to implement a new national strategy to combat corruption </w:t>
      </w:r>
      <w:r w:rsidRPr="00495272">
        <w:rPr>
          <w:i/>
        </w:rPr>
        <w:t>(Stratégie nationale de lutte contre la corruption - SNLCC)</w:t>
      </w:r>
      <w:r w:rsidRPr="00495272">
        <w:t xml:space="preserve"> has been launched in Madagascar with support from international partners. It involves state bodies, civil society and the United Nations Development Programme (UNDP) and is built around strengthening the rule of law, economic development and the promotion of leadership principles for the next ten years, with a project for the establishment of specialised anti-corruption courts.</w:t>
      </w:r>
    </w:p>
    <w:p w14:paraId="24CBD51F" w14:textId="77777777" w:rsidR="00495272" w:rsidRPr="00495272" w:rsidRDefault="00495272" w:rsidP="008867F2">
      <w:pPr>
        <w:pStyle w:val="Paragraphedeliste"/>
      </w:pPr>
      <w:r w:rsidRPr="00495272">
        <w:t>While the political will to tackle corruption is apparent in the legal armoury provided and the anti-corruption projects, the results are patchy, largely because of a lack of transparency, follow-up and supervision in the judicial system, poor access to information and inadequate funding.</w:t>
      </w:r>
    </w:p>
    <w:p w14:paraId="3ABBC3EE" w14:textId="77777777" w:rsidR="00495272" w:rsidRPr="00495272" w:rsidRDefault="00495272" w:rsidP="008867F2">
      <w:pPr>
        <w:pStyle w:val="Paragraphedeliste"/>
      </w:pPr>
      <w:r w:rsidRPr="00495272">
        <w:t>Recently, corruption inquiries by the Independent Anti-Corruption Office (BIANCO) have shown some progress, demonstrating its independence in some cases, but it is difficult to deny that the administration has exercised pressure in other decisions concerning trafficking of metals or precious woods.</w:t>
      </w:r>
    </w:p>
    <w:p w14:paraId="505847BE" w14:textId="77777777" w:rsidR="00495272" w:rsidRPr="00495272" w:rsidRDefault="00495272" w:rsidP="008867F2">
      <w:pPr>
        <w:pStyle w:val="Paragraphedeliste"/>
      </w:pPr>
      <w:r w:rsidRPr="00495272">
        <w:t xml:space="preserve">As regards the investigations conducted, one major case is currently giving rise to controversy at national level. It concerns an adviser close to the highest levels of government, </w:t>
      </w:r>
      <w:r w:rsidRPr="00495272">
        <w:lastRenderedPageBreak/>
        <w:t>who was arrested by the BIANCO and held in custody for several days for corruption, misuse of public funds and sleaze in connection with the performance of public contracts.</w:t>
      </w:r>
    </w:p>
    <w:p w14:paraId="65C52C66" w14:textId="77777777" w:rsidR="00495272" w:rsidRPr="00495272" w:rsidRDefault="00495272" w:rsidP="008867F2">
      <w:pPr>
        <w:pStyle w:val="Paragraphedeliste"/>
      </w:pPr>
      <w:r w:rsidRPr="00495272">
        <w:t>According to the 2016 report on corruption published by Transparency International on 24 January 2017, Madagascar is in 145th place, with a score of 26 (equivalent to a mark of 5/20). This also means that the island is one of the 40 most corrupt countries on the planet out of the 170 plus countries included in the index.</w:t>
      </w:r>
    </w:p>
    <w:p w14:paraId="58451FDE" w14:textId="77777777" w:rsidR="00495272" w:rsidRPr="00495272" w:rsidRDefault="00495272" w:rsidP="008867F2">
      <w:pPr>
        <w:pStyle w:val="Paragraphedeliste"/>
      </w:pPr>
      <w:r w:rsidRPr="00495272">
        <w:t>Alarmed by the non-separation of powers between the legislative, executive and judicial branches and by the violation of the principle of the independence of the institutions intended to combat corruption and scrutinize the actions of the state, in a press release dated 12 April 2017 Transparency International – Initiative Madagascar condemned the interference of the executive power, legislative power and other persons in the work carried out by the BIANCO and the magistrates in charge of the Claudine Razaimamonjy case.</w:t>
      </w:r>
    </w:p>
    <w:p w14:paraId="6EE4672E" w14:textId="77777777" w:rsidR="00495272" w:rsidRPr="00495272" w:rsidRDefault="00495272" w:rsidP="008867F2">
      <w:pPr>
        <w:pStyle w:val="Paragraphedeliste"/>
      </w:pPr>
      <w:r w:rsidRPr="00495272">
        <w:t xml:space="preserve">According to the media, the BIANCO is at loggerheads with the Malagasy State, which has tried to exert pressure for her release by campaigning in the media. Observers welcome this victory of the BIANCO, which has withstood the State's pressure throughout the inquiry. The cases were referred to the Anti-Corruption Judiciary Unit </w:t>
      </w:r>
      <w:r w:rsidRPr="00495272">
        <w:rPr>
          <w:i/>
        </w:rPr>
        <w:t>(Chaîne pénale anti-corruption - CPAC)</w:t>
      </w:r>
      <w:r w:rsidRPr="00495272">
        <w:t xml:space="preserve"> of Antananarivo, where the accused, although subject to an arrest warrant, was taken directly to accident and emergency when she became unwell. (Source: </w:t>
      </w:r>
      <w:r w:rsidRPr="00495272">
        <w:rPr>
          <w:i/>
        </w:rPr>
        <w:t>Midi Madagascar</w:t>
      </w:r>
      <w:r w:rsidRPr="00495272">
        <w:t xml:space="preserve"> newspaper)</w:t>
      </w:r>
    </w:p>
    <w:p w14:paraId="4B574041" w14:textId="77777777" w:rsidR="00495272" w:rsidRPr="00495272" w:rsidRDefault="00495272" w:rsidP="008867F2">
      <w:pPr>
        <w:pStyle w:val="Paragraphedeliste"/>
      </w:pPr>
      <w:r w:rsidRPr="00495272">
        <w:t>An authorisation for medical evacuation abroad was nevertheless issued by the Antananarivo public prosecution service, although the accused had been forbidden to leave the country according to a statement at the Antananarivo court of appeal by the Attorney General, who described this situation as illegal and irregular. (KOLO TV/VIVA)</w:t>
      </w:r>
    </w:p>
    <w:p w14:paraId="6D48D0DB" w14:textId="77777777" w:rsidR="00495272" w:rsidRPr="00495272" w:rsidRDefault="00495272" w:rsidP="008867F2">
      <w:pPr>
        <w:pStyle w:val="Paragraphedeliste"/>
      </w:pPr>
      <w:r w:rsidRPr="00495272">
        <w:t xml:space="preserve">The Madagascar magistrates' union </w:t>
      </w:r>
      <w:r w:rsidRPr="00495272">
        <w:rPr>
          <w:i/>
        </w:rPr>
        <w:t>(Syndicat des magistrats de Madagascar - SMM)</w:t>
      </w:r>
      <w:r w:rsidRPr="00495272">
        <w:t xml:space="preserve"> took a stand to mark its disapproval of the evacuation procedures, its president denouncing "an escape organised in a deliberate and flagrant manner", while the other members of the bureau condemned "flagrant violations of the current rules on medical evacuation of a person in preventive detention".</w:t>
      </w:r>
    </w:p>
    <w:p w14:paraId="1D815A32" w14:textId="77777777" w:rsidR="00495272" w:rsidRPr="00495272" w:rsidRDefault="00495272" w:rsidP="008867F2">
      <w:pPr>
        <w:pStyle w:val="Paragraphedeliste"/>
      </w:pPr>
      <w:r w:rsidRPr="00495272">
        <w:t>The SMM demanded an inquiry, to be followed by prosecution of the instigators, co-instigators and accomplices of this further offence. According to certain sources, the magistrates seized the opportunity afforded by this case to restore their tarnished reputations.</w:t>
      </w:r>
    </w:p>
    <w:p w14:paraId="066DF4BA" w14:textId="77777777" w:rsidR="00495272" w:rsidRPr="00495272" w:rsidRDefault="00495272" w:rsidP="008867F2">
      <w:pPr>
        <w:pStyle w:val="Paragraphedeliste"/>
      </w:pPr>
      <w:r w:rsidRPr="00495272">
        <w:t>Indeed, while the SMM has made undoubted efforts in this respect, they have had no effect on the problems of corruption in the courts, in both criminal and civil cases, especially in disputes over land.</w:t>
      </w:r>
    </w:p>
    <w:p w14:paraId="43523EC4" w14:textId="77777777" w:rsidR="00495272" w:rsidRPr="00495272" w:rsidRDefault="00495272" w:rsidP="008867F2">
      <w:pPr>
        <w:pStyle w:val="Paragraphedeliste"/>
      </w:pPr>
      <w:r w:rsidRPr="00495272">
        <w:t xml:space="preserve">The BIANCO adds that cases concerning corruption or illegal trafficking of natural resources seem to "fall by the wayside". At the Antananarivo Anti-Corruption Judiciary Unit it has been noted that the vast majority of accused are released on bail, especially when they are high-ranking persons close to eminent administrative and political figures. A case in point is that of one "Bekasy", who was charged with trafficking precious woods and remanded in custody but was able to leave the country unhindered after about two weeks in the Tuléar detention centre. Nothing has emerged on the progress of his case at the Court of First Instance. (Source: </w:t>
      </w:r>
      <w:r w:rsidRPr="00495272">
        <w:rPr>
          <w:i/>
        </w:rPr>
        <w:t>L’express de Madagascar</w:t>
      </w:r>
      <w:r w:rsidRPr="00495272">
        <w:t xml:space="preserve"> newspaper)</w:t>
      </w:r>
    </w:p>
    <w:p w14:paraId="453EABB6" w14:textId="77777777" w:rsidR="00495272" w:rsidRPr="00495272" w:rsidRDefault="00495272" w:rsidP="008867F2">
      <w:pPr>
        <w:pStyle w:val="Paragraphedeliste"/>
      </w:pPr>
      <w:r w:rsidRPr="00495272">
        <w:t xml:space="preserve">The BIANCO has recently succeeded in breaking up a ring of about twenty rosewood traffickers, said to involve highly placed state officials. Twelve containers of precious wood </w:t>
      </w:r>
      <w:r w:rsidRPr="00495272">
        <w:lastRenderedPageBreak/>
        <w:t xml:space="preserve">belonging to this ring were intercepted at Tuléar, and what is to become of it is currently in the hands of the courts. (Source: </w:t>
      </w:r>
      <w:r w:rsidRPr="00495272">
        <w:rPr>
          <w:i/>
        </w:rPr>
        <w:t>L’express de Madagascar</w:t>
      </w:r>
      <w:r w:rsidRPr="00495272">
        <w:t xml:space="preserve"> newspaper)</w:t>
      </w:r>
    </w:p>
    <w:p w14:paraId="104E3C0A" w14:textId="77777777" w:rsidR="00495272" w:rsidRPr="00495272" w:rsidRDefault="00495272" w:rsidP="008867F2">
      <w:pPr>
        <w:pStyle w:val="Paragraphedeliste"/>
      </w:pPr>
      <w:r w:rsidRPr="00495272">
        <w:t xml:space="preserve">The High Council of the Judiciary </w:t>
      </w:r>
      <w:r w:rsidRPr="00495272">
        <w:rPr>
          <w:i/>
        </w:rPr>
        <w:t>(Conseil Supérieur de la Magistrature - CSM)</w:t>
      </w:r>
      <w:r w:rsidRPr="00495272">
        <w:t xml:space="preserve"> was long accused of corporatism, obstructing application of the disciplinary system for magistrates and cultivating a climate of impunity to the extent that that very few magistrates have ever been penalised despite the number of complaints from persons standing trial.</w:t>
      </w:r>
    </w:p>
    <w:p w14:paraId="2461F3B9" w14:textId="77777777" w:rsidR="00495272" w:rsidRPr="00495272" w:rsidRDefault="00495272" w:rsidP="008867F2">
      <w:pPr>
        <w:pStyle w:val="Paragraphedeliste"/>
      </w:pPr>
      <w:r w:rsidRPr="00495272">
        <w:t>Some months after the murder of judge Michel Rehavana, national assizes for independence of the justiciary and the rule of law were held in February 2012 at the initiative of the magistrates' union (SMM), uniting the corps of magistrates, those of the court officers and also civil society. During his address at the inaugural ceremony, Marius Arnaud Auguste, President of the SMM, admitted that certain magistrates abuse their powers and that others are open to corruption.</w:t>
      </w:r>
    </w:p>
    <w:p w14:paraId="5CCFBA80" w14:textId="77777777" w:rsidR="00495272" w:rsidRPr="00495272" w:rsidRDefault="00495272" w:rsidP="008867F2">
      <w:pPr>
        <w:pStyle w:val="Paragraphedeliste"/>
      </w:pPr>
      <w:r w:rsidRPr="00495272">
        <w:t>Recently, efforts have been made to clean up the magistracy.</w:t>
      </w:r>
    </w:p>
    <w:p w14:paraId="2832A67B" w14:textId="77777777" w:rsidR="00495272" w:rsidRPr="00495272" w:rsidRDefault="00495272" w:rsidP="008867F2">
      <w:pPr>
        <w:pStyle w:val="Paragraphedeliste"/>
      </w:pPr>
      <w:r w:rsidRPr="00495272">
        <w:t>Thus in July 2016, at the close of a three-day disciplinary council, the CSM decided to reassign numerous magistrates who had remained in the same post for more than 10 years and to dismiss two magistrates, who were assisted by the magistrates' union, on the grounds that they had abandoned their post and had been proven to be partial, according to a communication from the Secretary-General of the CSM. Of the seven other magistrates called before the disciplinary council, four were released and two issued with a warning.</w:t>
      </w:r>
    </w:p>
    <w:p w14:paraId="3A297854" w14:textId="77777777" w:rsidR="00495272" w:rsidRPr="00495272" w:rsidRDefault="00495272" w:rsidP="008867F2">
      <w:pPr>
        <w:pStyle w:val="Paragraphedeliste"/>
      </w:pPr>
      <w:r w:rsidRPr="00495272">
        <w:t>It is strongly recommended that magistrates be required to declare their assets. Lifestyle indicators such as luxury cars give rise to doubt when owned by magistrates of the courts of first instance with less than ten years' seniority, unlike top-grade magistrates, such as those of the Madagascar Supreme Court, who are assumed to be more senior and hence better paid.</w:t>
      </w:r>
    </w:p>
    <w:p w14:paraId="63F9F878" w14:textId="77777777" w:rsidR="00495272" w:rsidRPr="00495272" w:rsidRDefault="00495272" w:rsidP="008867F2">
      <w:pPr>
        <w:pStyle w:val="Paragraphedeliste"/>
      </w:pPr>
      <w:r w:rsidRPr="00495272">
        <w:t xml:space="preserve">Although the new Anti-corruption Act No 2016-020 of 1 July 2016 imposed this obligation on magistrates, most seem to turn a deaf ear. According to the BIANCO, only 76 magistrates out of the 886 concerned in 2016 made such declarations. (Source: </w:t>
      </w:r>
      <w:r w:rsidRPr="00495272">
        <w:rPr>
          <w:i/>
        </w:rPr>
        <w:t>Madagascar tv -Matv</w:t>
      </w:r>
      <w:r w:rsidRPr="00495272">
        <w:t xml:space="preserve"> website)</w:t>
      </w:r>
    </w:p>
    <w:p w14:paraId="07BDF827" w14:textId="77777777" w:rsidR="00495272" w:rsidRPr="00495272" w:rsidRDefault="00495272" w:rsidP="008867F2">
      <w:pPr>
        <w:pStyle w:val="Paragraphedeliste"/>
      </w:pPr>
      <w:r w:rsidRPr="00495272">
        <w:t>Strategies of subjecting magistrates to moral pressure in this regard, with extensive media campaigns to mobilise public opinion, may induce those concerned to cooperate, with the twin aims of countering corruption and re-establishing confidence in the judiciary.</w:t>
      </w:r>
    </w:p>
    <w:p w14:paraId="1DE59A81" w14:textId="77777777" w:rsidR="00495272" w:rsidRPr="00495272" w:rsidRDefault="00495272" w:rsidP="008867F2">
      <w:pPr>
        <w:pStyle w:val="Paragraphedeliste"/>
      </w:pPr>
      <w:r w:rsidRPr="00495272">
        <w:t xml:space="preserve">Generally, in terms of political measures, arrangements must be made to detect improper enrichment and greater transparency must be introduced in </w:t>
      </w:r>
      <w:proofErr w:type="gramStart"/>
      <w:r w:rsidRPr="00495272">
        <w:t>decision-taking</w:t>
      </w:r>
      <w:proofErr w:type="gramEnd"/>
      <w:r w:rsidRPr="00495272">
        <w:t xml:space="preserve"> and the management of public funds.</w:t>
      </w:r>
    </w:p>
    <w:p w14:paraId="0C651265" w14:textId="77777777" w:rsidR="00495272" w:rsidRPr="00495272" w:rsidRDefault="00495272" w:rsidP="008867F2">
      <w:pPr>
        <w:pStyle w:val="Paragraphedeliste"/>
      </w:pPr>
      <w:r w:rsidRPr="00495272">
        <w:t>It has also been observed that there is a lack of coordination, cooperation or indeed overlap between the responsibilities of the supervisory bodies such as the General Inspectorate of the State, the Court of Auditors, the BIANCO, the SAMIFIN (Sampandraharaha Malagasy Iadiana amin'ny Famotsiambola or Financial Intelligence Unit) and the Anti-Corruption Judiciary Unit. Implementation of this ten-year anti-corruption plan would therefore benefit from a genuine partnership between all the parties concerned, with participative approaches and regular strategic workshops.</w:t>
      </w:r>
    </w:p>
    <w:p w14:paraId="1C7F63C4" w14:textId="77777777" w:rsidR="00495272" w:rsidRPr="00495272" w:rsidRDefault="00495272" w:rsidP="008867F2">
      <w:pPr>
        <w:pStyle w:val="Paragraphedeliste"/>
      </w:pPr>
      <w:r w:rsidRPr="00495272">
        <w:t>It is essential to make the administration and its staff more aware of the importance of ethical values to re-establish confidence in the public administration.</w:t>
      </w:r>
    </w:p>
    <w:p w14:paraId="5E231D15" w14:textId="77777777" w:rsidR="00495272" w:rsidRPr="00495272" w:rsidRDefault="00495272" w:rsidP="008867F2">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t>Recommendations:</w:t>
      </w:r>
    </w:p>
    <w:p w14:paraId="041FA864" w14:textId="77777777" w:rsidR="00495272" w:rsidRPr="00495272" w:rsidRDefault="00495272" w:rsidP="008867F2">
      <w:pPr>
        <w:tabs>
          <w:tab w:val="left" w:pos="8640"/>
        </w:tabs>
        <w:spacing w:before="100" w:beforeAutospacing="1" w:after="11" w:line="249" w:lineRule="auto"/>
        <w:ind w:right="-7"/>
        <w:jc w:val="both"/>
        <w:rPr>
          <w:rFonts w:ascii="Times New Roman" w:eastAsia="Times New Roman" w:hAnsi="Times New Roman" w:cs="Times New Roman"/>
          <w:color w:val="000000"/>
          <w:sz w:val="24"/>
          <w:szCs w:val="24"/>
          <w:lang w:val="en-GB"/>
        </w:rPr>
      </w:pPr>
      <w:r w:rsidRPr="00495272">
        <w:rPr>
          <w:rFonts w:ascii="Times New Roman" w:eastAsia="Times New Roman" w:hAnsi="Times New Roman" w:cs="Times New Roman"/>
          <w:b/>
          <w:bCs/>
          <w:color w:val="000000"/>
          <w:sz w:val="24"/>
          <w:szCs w:val="24"/>
          <w:lang w:val="en-GB"/>
        </w:rPr>
        <w:lastRenderedPageBreak/>
        <w:t>The State Party should:</w:t>
      </w:r>
    </w:p>
    <w:p w14:paraId="4D8BBE2C" w14:textId="77777777" w:rsidR="00495272" w:rsidRPr="00495272" w:rsidRDefault="00495272" w:rsidP="008867F2">
      <w:pPr>
        <w:pStyle w:val="recommandations"/>
      </w:pPr>
      <w:r w:rsidRPr="00495272">
        <w:t>Require all magistrates to declare their assets.</w:t>
      </w:r>
    </w:p>
    <w:p w14:paraId="050B8085" w14:textId="77777777" w:rsidR="00495272" w:rsidRPr="00495272" w:rsidRDefault="00495272" w:rsidP="008867F2">
      <w:pPr>
        <w:pStyle w:val="recommandations"/>
      </w:pPr>
      <w:r w:rsidRPr="00495272">
        <w:t>Accept the existence of a strong counterpower, with civil society playing an active part in the anti-corruption machinery.</w:t>
      </w:r>
    </w:p>
    <w:p w14:paraId="254E1C53" w14:textId="77777777" w:rsidR="00495272" w:rsidRPr="00495272" w:rsidRDefault="00495272" w:rsidP="008867F2">
      <w:pPr>
        <w:pStyle w:val="recommandations"/>
      </w:pPr>
      <w:r w:rsidRPr="00495272">
        <w:t xml:space="preserve">Devote significant resources to establishing anti-corruption courts </w:t>
      </w:r>
      <w:r w:rsidRPr="00495272">
        <w:rPr>
          <w:i/>
        </w:rPr>
        <w:t>(pôles anticorruption - PAC)</w:t>
      </w:r>
      <w:r w:rsidRPr="00495272">
        <w:t xml:space="preserve">. </w:t>
      </w:r>
    </w:p>
    <w:p w14:paraId="40A163DC" w14:textId="77777777" w:rsidR="00495272" w:rsidRPr="00495272" w:rsidRDefault="00495272" w:rsidP="008867F2">
      <w:pPr>
        <w:pStyle w:val="recommandations"/>
      </w:pPr>
      <w:r w:rsidRPr="00495272">
        <w:t>Foster an anti-corruption culture in the transmission of civic and ethical values.</w:t>
      </w:r>
    </w:p>
    <w:p w14:paraId="0A80C23F" w14:textId="77777777" w:rsidR="00495272" w:rsidRPr="00495272" w:rsidRDefault="00495272" w:rsidP="008867F2">
      <w:pPr>
        <w:pStyle w:val="recommandations"/>
      </w:pPr>
      <w:r w:rsidRPr="00495272">
        <w:t xml:space="preserve">Take practical steps to counter corruption in political circles, the administration and the magistrature. </w:t>
      </w:r>
    </w:p>
    <w:p w14:paraId="08A89DC4" w14:textId="77777777" w:rsidR="00495272" w:rsidRPr="00495272" w:rsidRDefault="00495272" w:rsidP="008867F2">
      <w:pPr>
        <w:pStyle w:val="recommandations"/>
      </w:pPr>
      <w:r w:rsidRPr="00495272">
        <w:t>Strictly apply the law on public contracts.</w:t>
      </w:r>
    </w:p>
    <w:p w14:paraId="47B9287E" w14:textId="77777777" w:rsidR="00495272" w:rsidRPr="008867F2" w:rsidRDefault="00495272" w:rsidP="00495272">
      <w:pPr>
        <w:pStyle w:val="recommandations"/>
        <w:numPr>
          <w:ilvl w:val="0"/>
          <w:numId w:val="0"/>
        </w:numPr>
        <w:rPr>
          <w:lang w:val="fr-FR"/>
        </w:rPr>
      </w:pPr>
    </w:p>
    <w:sectPr w:rsidR="00495272" w:rsidRPr="008867F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A10E18" w14:textId="77777777" w:rsidR="00EF620C" w:rsidRDefault="00EF620C" w:rsidP="00495272">
      <w:pPr>
        <w:spacing w:after="0" w:line="240" w:lineRule="auto"/>
      </w:pPr>
      <w:r>
        <w:separator/>
      </w:r>
    </w:p>
  </w:endnote>
  <w:endnote w:type="continuationSeparator" w:id="0">
    <w:p w14:paraId="3422A688" w14:textId="77777777" w:rsidR="00EF620C" w:rsidRDefault="00EF620C" w:rsidP="00495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egoe UI Symbol">
    <w:altName w:val="Calibri"/>
    <w:charset w:val="00"/>
    <w:family w:val="swiss"/>
    <w:pitch w:val="variable"/>
    <w:sig w:usb0="800001E3" w:usb1="1200FFEF" w:usb2="00040000" w:usb3="00000000" w:csb0="00000001"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33DC5" w14:textId="77777777" w:rsidR="00EF620C" w:rsidRDefault="00EF620C" w:rsidP="00495272">
      <w:pPr>
        <w:spacing w:after="0" w:line="240" w:lineRule="auto"/>
      </w:pPr>
      <w:r>
        <w:separator/>
      </w:r>
    </w:p>
  </w:footnote>
  <w:footnote w:type="continuationSeparator" w:id="0">
    <w:p w14:paraId="06CE48AD" w14:textId="77777777" w:rsidR="00EF620C" w:rsidRDefault="00EF620C" w:rsidP="00495272">
      <w:pPr>
        <w:spacing w:after="0" w:line="240" w:lineRule="auto"/>
      </w:pPr>
      <w:r>
        <w:continuationSeparator/>
      </w:r>
    </w:p>
  </w:footnote>
  <w:footnote w:id="1">
    <w:p w14:paraId="7D724340" w14:textId="77777777" w:rsidR="00EF620C" w:rsidRPr="00E35852" w:rsidRDefault="00EF620C" w:rsidP="00EF620C">
      <w:pPr>
        <w:pStyle w:val="Notedebasdepage"/>
      </w:pPr>
      <w:r>
        <w:rPr>
          <w:rStyle w:val="Marquenotebasdepage"/>
        </w:rPr>
        <w:footnoteRef/>
      </w:r>
      <w:r w:rsidRPr="00E35852">
        <w:t xml:space="preserve"> See</w:t>
      </w:r>
      <w:r w:rsidRPr="00E35852">
        <w:tab/>
        <w:t>the</w:t>
      </w:r>
      <w:r w:rsidRPr="00E35852">
        <w:tab/>
        <w:t>Express n</w:t>
      </w:r>
      <w:r>
        <w:t>ewspaper   of</w:t>
      </w:r>
      <w:r>
        <w:tab/>
        <w:t>11       March</w:t>
      </w:r>
      <w:r w:rsidRPr="00E35852">
        <w:tab/>
        <w:t>2017</w:t>
      </w:r>
    </w:p>
  </w:footnote>
  <w:footnote w:id="2">
    <w:p w14:paraId="238AEEC1" w14:textId="77777777" w:rsidR="00EF620C" w:rsidRPr="0001015F" w:rsidRDefault="00EF620C" w:rsidP="00EF620C">
      <w:pPr>
        <w:pStyle w:val="Notedebasdepage"/>
      </w:pPr>
      <w:r>
        <w:rPr>
          <w:rStyle w:val="Marquenotebasdepage"/>
        </w:rPr>
        <w:footnoteRef/>
      </w:r>
      <w:r w:rsidRPr="0001015F">
        <w:t xml:space="preserve"> See</w:t>
      </w:r>
      <w:r w:rsidRPr="0001015F">
        <w:tab/>
        <w:t>the</w:t>
      </w:r>
      <w:r w:rsidRPr="0001015F">
        <w:tab/>
      </w:r>
      <w:r>
        <w:t xml:space="preserve">newspaper </w:t>
      </w:r>
      <w:r w:rsidRPr="0001015F">
        <w:t xml:space="preserve">Midi </w:t>
      </w:r>
      <w:proofErr w:type="gramStart"/>
      <w:r w:rsidRPr="0001015F">
        <w:t>Madagascar</w:t>
      </w:r>
      <w:r>
        <w:t xml:space="preserve">  of</w:t>
      </w:r>
      <w:proofErr w:type="gramEnd"/>
      <w:r>
        <w:tab/>
        <w:t>18</w:t>
      </w:r>
      <w:r>
        <w:tab/>
        <w:t>March</w:t>
      </w:r>
      <w:r w:rsidRPr="0001015F">
        <w:tab/>
        <w:t>2017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5B98"/>
    <w:multiLevelType w:val="multilevel"/>
    <w:tmpl w:val="51EE7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68655C"/>
    <w:multiLevelType w:val="hybridMultilevel"/>
    <w:tmpl w:val="9478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9201A3"/>
    <w:multiLevelType w:val="hybridMultilevel"/>
    <w:tmpl w:val="29863E94"/>
    <w:lvl w:ilvl="0" w:tplc="3B48A880">
      <w:start w:val="1"/>
      <w:numFmt w:val="upperRoman"/>
      <w:pStyle w:val="titre1TM"/>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1950C1C"/>
    <w:multiLevelType w:val="hybridMultilevel"/>
    <w:tmpl w:val="9DC4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D37649"/>
    <w:multiLevelType w:val="hybridMultilevel"/>
    <w:tmpl w:val="D48C8E02"/>
    <w:lvl w:ilvl="0" w:tplc="88908ED4">
      <w:start w:val="1"/>
      <w:numFmt w:val="bullet"/>
      <w:pStyle w:val="recommandations"/>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7C43153"/>
    <w:multiLevelType w:val="multilevel"/>
    <w:tmpl w:val="4006A956"/>
    <w:lvl w:ilvl="0">
      <w:start w:val="1"/>
      <w:numFmt w:val="bullet"/>
      <w:lvlText w:val=""/>
      <w:lvlJc w:val="left"/>
      <w:pPr>
        <w:tabs>
          <w:tab w:val="num" w:pos="720"/>
        </w:tabs>
        <w:ind w:left="0" w:firstLine="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4"/>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70F6963"/>
    <w:multiLevelType w:val="hybridMultilevel"/>
    <w:tmpl w:val="B78AA41E"/>
    <w:lvl w:ilvl="0" w:tplc="A3B4C436">
      <w:start w:val="1"/>
      <w:numFmt w:val="decimal"/>
      <w:lvlText w:val="%1."/>
      <w:lvlJc w:val="left"/>
      <w:pPr>
        <w:ind w:left="360" w:hanging="360"/>
      </w:pPr>
      <w:rPr>
        <w:rFonts w:ascii="Times New Roman" w:hAnsi="Times New Roman" w:cs="Times New Roman" w:hint="default"/>
        <w:b w:val="0"/>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D9428FE"/>
    <w:multiLevelType w:val="multilevel"/>
    <w:tmpl w:val="A516D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186EC3"/>
    <w:multiLevelType w:val="hybridMultilevel"/>
    <w:tmpl w:val="B7AE384A"/>
    <w:lvl w:ilvl="0" w:tplc="DC92591A">
      <w:start w:val="2"/>
      <w:numFmt w:val="bullet"/>
      <w:lvlText w:val="-"/>
      <w:lvlJc w:val="left"/>
      <w:pPr>
        <w:ind w:left="720" w:hanging="360"/>
      </w:pPr>
      <w:rPr>
        <w:rFonts w:ascii="Times New Roman" w:eastAsia="Times New Roman" w:hAnsi="Times New Roman" w:cs="Times New Roman" w:hint="default"/>
        <w:i/>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5C927F0"/>
    <w:multiLevelType w:val="hybridMultilevel"/>
    <w:tmpl w:val="B5F40974"/>
    <w:lvl w:ilvl="0" w:tplc="12603D3E">
      <w:start w:val="1"/>
      <w:numFmt w:val="bullet"/>
      <w:lvlText w:val="-"/>
      <w:lvlJc w:val="left"/>
      <w:pPr>
        <w:ind w:left="2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EE69E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51C269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AEDD4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A8D22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86ED1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5ADE6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09499F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02253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nsid w:val="65DE3B52"/>
    <w:multiLevelType w:val="hybridMultilevel"/>
    <w:tmpl w:val="03EA7746"/>
    <w:lvl w:ilvl="0" w:tplc="4A482E6E">
      <w:start w:val="57"/>
      <w:numFmt w:val="decimal"/>
      <w:lvlText w:val="%1."/>
      <w:lvlJc w:val="left"/>
      <w:pPr>
        <w:ind w:left="1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1ECF98">
      <w:start w:val="1"/>
      <w:numFmt w:val="bullet"/>
      <w:lvlText w:val="•"/>
      <w:lvlJc w:val="left"/>
      <w:pPr>
        <w:ind w:left="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688CE4">
      <w:start w:val="1"/>
      <w:numFmt w:val="bullet"/>
      <w:lvlText w:val="▪"/>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A0CD50">
      <w:start w:val="1"/>
      <w:numFmt w:val="bullet"/>
      <w:lvlText w:val="•"/>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A46480">
      <w:start w:val="1"/>
      <w:numFmt w:val="bullet"/>
      <w:lvlText w:val="o"/>
      <w:lvlJc w:val="left"/>
      <w:pPr>
        <w:ind w:left="2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A6FE08">
      <w:start w:val="1"/>
      <w:numFmt w:val="bullet"/>
      <w:lvlText w:val="▪"/>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783300">
      <w:start w:val="1"/>
      <w:numFmt w:val="bullet"/>
      <w:lvlText w:val="•"/>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B46F1E">
      <w:start w:val="1"/>
      <w:numFmt w:val="bullet"/>
      <w:lvlText w:val="o"/>
      <w:lvlJc w:val="left"/>
      <w:pPr>
        <w:ind w:left="5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948FC2">
      <w:start w:val="1"/>
      <w:numFmt w:val="bullet"/>
      <w:lvlText w:val="▪"/>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nsid w:val="699D0743"/>
    <w:multiLevelType w:val="multilevel"/>
    <w:tmpl w:val="6A5A8CAA"/>
    <w:lvl w:ilvl="0">
      <w:start w:val="18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156FAD"/>
    <w:multiLevelType w:val="hybridMultilevel"/>
    <w:tmpl w:val="7CBCB3BA"/>
    <w:lvl w:ilvl="0" w:tplc="580C2C0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72D55A3"/>
    <w:multiLevelType w:val="hybridMultilevel"/>
    <w:tmpl w:val="A33A5988"/>
    <w:lvl w:ilvl="0" w:tplc="3864B41C">
      <w:start w:val="1"/>
      <w:numFmt w:val="decimal"/>
      <w:pStyle w:val="Paragraphedeliste"/>
      <w:suff w:val="space"/>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B596191"/>
    <w:multiLevelType w:val="hybridMultilevel"/>
    <w:tmpl w:val="C4AA52E8"/>
    <w:lvl w:ilvl="0" w:tplc="08090001">
      <w:start w:val="1"/>
      <w:numFmt w:val="bullet"/>
      <w:lvlText w:val=""/>
      <w:lvlJc w:val="left"/>
      <w:pPr>
        <w:ind w:left="857" w:hanging="360"/>
      </w:pPr>
      <w:rPr>
        <w:rFonts w:ascii="Symbol" w:hAnsi="Symbol" w:hint="default"/>
      </w:rPr>
    </w:lvl>
    <w:lvl w:ilvl="1" w:tplc="08090003" w:tentative="1">
      <w:start w:val="1"/>
      <w:numFmt w:val="bullet"/>
      <w:lvlText w:val="o"/>
      <w:lvlJc w:val="left"/>
      <w:pPr>
        <w:ind w:left="1577" w:hanging="360"/>
      </w:pPr>
      <w:rPr>
        <w:rFonts w:ascii="Courier New" w:hAnsi="Courier New" w:cs="Courier New" w:hint="default"/>
      </w:rPr>
    </w:lvl>
    <w:lvl w:ilvl="2" w:tplc="08090005" w:tentative="1">
      <w:start w:val="1"/>
      <w:numFmt w:val="bullet"/>
      <w:lvlText w:val=""/>
      <w:lvlJc w:val="left"/>
      <w:pPr>
        <w:ind w:left="2297" w:hanging="360"/>
      </w:pPr>
      <w:rPr>
        <w:rFonts w:ascii="Wingdings" w:hAnsi="Wingdings" w:hint="default"/>
      </w:rPr>
    </w:lvl>
    <w:lvl w:ilvl="3" w:tplc="08090001" w:tentative="1">
      <w:start w:val="1"/>
      <w:numFmt w:val="bullet"/>
      <w:lvlText w:val=""/>
      <w:lvlJc w:val="left"/>
      <w:pPr>
        <w:ind w:left="3017" w:hanging="360"/>
      </w:pPr>
      <w:rPr>
        <w:rFonts w:ascii="Symbol" w:hAnsi="Symbol" w:hint="default"/>
      </w:rPr>
    </w:lvl>
    <w:lvl w:ilvl="4" w:tplc="08090003" w:tentative="1">
      <w:start w:val="1"/>
      <w:numFmt w:val="bullet"/>
      <w:lvlText w:val="o"/>
      <w:lvlJc w:val="left"/>
      <w:pPr>
        <w:ind w:left="3737" w:hanging="360"/>
      </w:pPr>
      <w:rPr>
        <w:rFonts w:ascii="Courier New" w:hAnsi="Courier New" w:cs="Courier New" w:hint="default"/>
      </w:rPr>
    </w:lvl>
    <w:lvl w:ilvl="5" w:tplc="08090005" w:tentative="1">
      <w:start w:val="1"/>
      <w:numFmt w:val="bullet"/>
      <w:lvlText w:val=""/>
      <w:lvlJc w:val="left"/>
      <w:pPr>
        <w:ind w:left="4457" w:hanging="360"/>
      </w:pPr>
      <w:rPr>
        <w:rFonts w:ascii="Wingdings" w:hAnsi="Wingdings" w:hint="default"/>
      </w:rPr>
    </w:lvl>
    <w:lvl w:ilvl="6" w:tplc="08090001" w:tentative="1">
      <w:start w:val="1"/>
      <w:numFmt w:val="bullet"/>
      <w:lvlText w:val=""/>
      <w:lvlJc w:val="left"/>
      <w:pPr>
        <w:ind w:left="5177" w:hanging="360"/>
      </w:pPr>
      <w:rPr>
        <w:rFonts w:ascii="Symbol" w:hAnsi="Symbol" w:hint="default"/>
      </w:rPr>
    </w:lvl>
    <w:lvl w:ilvl="7" w:tplc="08090003" w:tentative="1">
      <w:start w:val="1"/>
      <w:numFmt w:val="bullet"/>
      <w:lvlText w:val="o"/>
      <w:lvlJc w:val="left"/>
      <w:pPr>
        <w:ind w:left="5897" w:hanging="360"/>
      </w:pPr>
      <w:rPr>
        <w:rFonts w:ascii="Courier New" w:hAnsi="Courier New" w:cs="Courier New" w:hint="default"/>
      </w:rPr>
    </w:lvl>
    <w:lvl w:ilvl="8" w:tplc="08090005" w:tentative="1">
      <w:start w:val="1"/>
      <w:numFmt w:val="bullet"/>
      <w:lvlText w:val=""/>
      <w:lvlJc w:val="left"/>
      <w:pPr>
        <w:ind w:left="6617" w:hanging="360"/>
      </w:pPr>
      <w:rPr>
        <w:rFonts w:ascii="Wingdings" w:hAnsi="Wingdings" w:hint="default"/>
      </w:rPr>
    </w:lvl>
  </w:abstractNum>
  <w:abstractNum w:abstractNumId="15">
    <w:nsid w:val="7EDC09CD"/>
    <w:multiLevelType w:val="hybridMultilevel"/>
    <w:tmpl w:val="4D182146"/>
    <w:lvl w:ilvl="0" w:tplc="C5CEFB4E">
      <w:start w:val="1"/>
      <w:numFmt w:val="decimal"/>
      <w:lvlText w:val="%1."/>
      <w:lvlJc w:val="left"/>
      <w:pPr>
        <w:ind w:left="1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4A47A">
      <w:start w:val="1"/>
      <w:numFmt w:val="bullet"/>
      <w:lvlText w:val="•"/>
      <w:lvlJc w:val="left"/>
      <w:pPr>
        <w:ind w:left="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545468">
      <w:start w:val="1"/>
      <w:numFmt w:val="bullet"/>
      <w:lvlText w:val="▪"/>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74180E">
      <w:start w:val="1"/>
      <w:numFmt w:val="bullet"/>
      <w:lvlText w:val="•"/>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92F23E">
      <w:start w:val="1"/>
      <w:numFmt w:val="bullet"/>
      <w:lvlText w:val="o"/>
      <w:lvlJc w:val="left"/>
      <w:pPr>
        <w:ind w:left="2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4E088C">
      <w:start w:val="1"/>
      <w:numFmt w:val="bullet"/>
      <w:lvlText w:val="▪"/>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5E9F16">
      <w:start w:val="1"/>
      <w:numFmt w:val="bullet"/>
      <w:lvlText w:val="•"/>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B00E38">
      <w:start w:val="1"/>
      <w:numFmt w:val="bullet"/>
      <w:lvlText w:val="o"/>
      <w:lvlJc w:val="left"/>
      <w:pPr>
        <w:ind w:left="5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5E702A">
      <w:start w:val="1"/>
      <w:numFmt w:val="bullet"/>
      <w:lvlText w:val="▪"/>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4"/>
  </w:num>
  <w:num w:numId="3">
    <w:abstractNumId w:val="2"/>
  </w:num>
  <w:num w:numId="4">
    <w:abstractNumId w:val="5"/>
  </w:num>
  <w:num w:numId="5">
    <w:abstractNumId w:val="11"/>
  </w:num>
  <w:num w:numId="6">
    <w:abstractNumId w:val="0"/>
  </w:num>
  <w:num w:numId="7">
    <w:abstractNumId w:val="7"/>
  </w:num>
  <w:num w:numId="8">
    <w:abstractNumId w:val="8"/>
  </w:num>
  <w:num w:numId="9">
    <w:abstractNumId w:val="12"/>
  </w:num>
  <w:num w:numId="10">
    <w:abstractNumId w:val="6"/>
  </w:num>
  <w:num w:numId="11">
    <w:abstractNumId w:val="15"/>
  </w:num>
  <w:num w:numId="12">
    <w:abstractNumId w:val="9"/>
  </w:num>
  <w:num w:numId="13">
    <w:abstractNumId w:val="1"/>
  </w:num>
  <w:num w:numId="14">
    <w:abstractNumId w:val="3"/>
  </w:num>
  <w:num w:numId="15">
    <w:abstractNumId w:val="10"/>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B62"/>
    <w:rsid w:val="000B7DEC"/>
    <w:rsid w:val="000E1274"/>
    <w:rsid w:val="001460D0"/>
    <w:rsid w:val="001A546D"/>
    <w:rsid w:val="001F1AEF"/>
    <w:rsid w:val="00236B62"/>
    <w:rsid w:val="002A423D"/>
    <w:rsid w:val="002D3F34"/>
    <w:rsid w:val="00301BC6"/>
    <w:rsid w:val="003C0858"/>
    <w:rsid w:val="003C1039"/>
    <w:rsid w:val="003E10EB"/>
    <w:rsid w:val="004231D5"/>
    <w:rsid w:val="00423955"/>
    <w:rsid w:val="004361A2"/>
    <w:rsid w:val="00495272"/>
    <w:rsid w:val="00495D87"/>
    <w:rsid w:val="004B7330"/>
    <w:rsid w:val="0051714F"/>
    <w:rsid w:val="00531E23"/>
    <w:rsid w:val="005F2979"/>
    <w:rsid w:val="006340C5"/>
    <w:rsid w:val="00645CAB"/>
    <w:rsid w:val="007974DD"/>
    <w:rsid w:val="007D1CC9"/>
    <w:rsid w:val="00845DC7"/>
    <w:rsid w:val="00853421"/>
    <w:rsid w:val="008867F2"/>
    <w:rsid w:val="008B3915"/>
    <w:rsid w:val="00902A32"/>
    <w:rsid w:val="00A113D7"/>
    <w:rsid w:val="00A66449"/>
    <w:rsid w:val="00A767A7"/>
    <w:rsid w:val="00B12849"/>
    <w:rsid w:val="00B80CEC"/>
    <w:rsid w:val="00BC5BC4"/>
    <w:rsid w:val="00CF75DD"/>
    <w:rsid w:val="00E02DC2"/>
    <w:rsid w:val="00E46C53"/>
    <w:rsid w:val="00EF620C"/>
    <w:rsid w:val="00F61DAB"/>
    <w:rsid w:val="00FD24F1"/>
    <w:rsid w:val="00FE250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42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B62"/>
  </w:style>
  <w:style w:type="paragraph" w:styleId="Titre2">
    <w:name w:val="heading 2"/>
    <w:basedOn w:val="Normal"/>
    <w:link w:val="Titre2Car"/>
    <w:qFormat/>
    <w:rsid w:val="00495272"/>
    <w:pPr>
      <w:spacing w:before="100" w:beforeAutospacing="1" w:after="11" w:line="249" w:lineRule="auto"/>
      <w:ind w:left="369" w:right="170" w:hanging="369"/>
      <w:jc w:val="both"/>
      <w:outlineLvl w:val="1"/>
    </w:pPr>
    <w:rPr>
      <w:rFonts w:ascii="Times New Roman" w:eastAsia="Times New Roman" w:hAnsi="Times New Roman" w:cs="Times New Roman"/>
      <w:b/>
      <w:bCs/>
      <w:color w:val="000000"/>
      <w:sz w:val="36"/>
      <w:szCs w:val="36"/>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
    <w:name w:val="TableGrid"/>
    <w:rsid w:val="00236B62"/>
    <w:pPr>
      <w:spacing w:after="0" w:line="240" w:lineRule="auto"/>
    </w:pPr>
    <w:rPr>
      <w:rFonts w:eastAsia="Times New Roman"/>
      <w:lang w:eastAsia="fr-FR"/>
    </w:rPr>
    <w:tblPr>
      <w:tblCellMar>
        <w:top w:w="0" w:type="dxa"/>
        <w:left w:w="0" w:type="dxa"/>
        <w:bottom w:w="0" w:type="dxa"/>
        <w:right w:w="0" w:type="dxa"/>
      </w:tblCellMar>
    </w:tblPr>
  </w:style>
  <w:style w:type="paragraph" w:styleId="Paragraphedeliste">
    <w:name w:val="List Paragraph"/>
    <w:basedOn w:val="Normal"/>
    <w:link w:val="ParagraphedelisteCar"/>
    <w:uiPriority w:val="34"/>
    <w:qFormat/>
    <w:rsid w:val="00236B62"/>
    <w:pPr>
      <w:numPr>
        <w:numId w:val="1"/>
      </w:numPr>
      <w:spacing w:after="120" w:line="252" w:lineRule="auto"/>
      <w:jc w:val="both"/>
    </w:pPr>
    <w:rPr>
      <w:rFonts w:ascii="Times New Roman" w:eastAsia="Times New Roman" w:hAnsi="Times New Roman" w:cs="Times New Roman"/>
      <w:color w:val="000000"/>
      <w:sz w:val="24"/>
      <w:szCs w:val="24"/>
      <w:lang w:val="en-GB" w:eastAsia="fr-FR"/>
    </w:rPr>
  </w:style>
  <w:style w:type="paragraph" w:customStyle="1" w:styleId="recommandations">
    <w:name w:val="recommandations"/>
    <w:basedOn w:val="Paragraphedeliste"/>
    <w:link w:val="recommandationsCar"/>
    <w:qFormat/>
    <w:rsid w:val="00236B62"/>
    <w:pPr>
      <w:numPr>
        <w:numId w:val="2"/>
      </w:numPr>
    </w:pPr>
    <w:rPr>
      <w:b/>
    </w:rPr>
  </w:style>
  <w:style w:type="paragraph" w:styleId="Citation">
    <w:name w:val="Quote"/>
    <w:basedOn w:val="Normal"/>
    <w:next w:val="Normal"/>
    <w:link w:val="CitationCar"/>
    <w:uiPriority w:val="29"/>
    <w:qFormat/>
    <w:rsid w:val="00236B62"/>
    <w:pPr>
      <w:spacing w:before="200"/>
      <w:ind w:left="864" w:right="864"/>
      <w:jc w:val="center"/>
    </w:pPr>
    <w:rPr>
      <w:i/>
      <w:iCs/>
      <w:color w:val="404040" w:themeColor="text1" w:themeTint="BF"/>
    </w:rPr>
  </w:style>
  <w:style w:type="character" w:customStyle="1" w:styleId="ParagraphedelisteCar">
    <w:name w:val="Paragraphe de liste Car"/>
    <w:basedOn w:val="Policepardfaut"/>
    <w:link w:val="Paragraphedeliste"/>
    <w:uiPriority w:val="34"/>
    <w:rsid w:val="00236B62"/>
    <w:rPr>
      <w:rFonts w:ascii="Times New Roman" w:eastAsia="Times New Roman" w:hAnsi="Times New Roman" w:cs="Times New Roman"/>
      <w:color w:val="000000"/>
      <w:sz w:val="24"/>
      <w:szCs w:val="24"/>
      <w:lang w:val="en-GB" w:eastAsia="fr-FR"/>
    </w:rPr>
  </w:style>
  <w:style w:type="character" w:customStyle="1" w:styleId="recommandationsCar">
    <w:name w:val="recommandations Car"/>
    <w:basedOn w:val="ParagraphedelisteCar"/>
    <w:link w:val="recommandations"/>
    <w:rsid w:val="00236B62"/>
    <w:rPr>
      <w:rFonts w:ascii="Times New Roman" w:eastAsia="Times New Roman" w:hAnsi="Times New Roman" w:cs="Times New Roman"/>
      <w:b/>
      <w:color w:val="000000"/>
      <w:sz w:val="24"/>
      <w:szCs w:val="24"/>
      <w:lang w:val="en-GB" w:eastAsia="fr-FR"/>
    </w:rPr>
  </w:style>
  <w:style w:type="character" w:customStyle="1" w:styleId="CitationCar">
    <w:name w:val="Citation Car"/>
    <w:basedOn w:val="Policepardfaut"/>
    <w:link w:val="Citation"/>
    <w:uiPriority w:val="29"/>
    <w:rsid w:val="00236B62"/>
    <w:rPr>
      <w:i/>
      <w:iCs/>
      <w:color w:val="404040" w:themeColor="text1" w:themeTint="BF"/>
    </w:rPr>
  </w:style>
  <w:style w:type="paragraph" w:customStyle="1" w:styleId="titre1TM">
    <w:name w:val="titre 1 TM"/>
    <w:basedOn w:val="Paragraphedeliste"/>
    <w:link w:val="titre1TMCar"/>
    <w:qFormat/>
    <w:rsid w:val="000E1274"/>
    <w:pPr>
      <w:numPr>
        <w:numId w:val="3"/>
      </w:numPr>
    </w:pPr>
    <w:rPr>
      <w:b/>
    </w:rPr>
  </w:style>
  <w:style w:type="character" w:customStyle="1" w:styleId="Titre2Car">
    <w:name w:val="Titre 2 Car"/>
    <w:basedOn w:val="Policepardfaut"/>
    <w:link w:val="Titre2"/>
    <w:rsid w:val="00495272"/>
    <w:rPr>
      <w:rFonts w:ascii="Times New Roman" w:eastAsia="Times New Roman" w:hAnsi="Times New Roman" w:cs="Times New Roman"/>
      <w:b/>
      <w:bCs/>
      <w:color w:val="000000"/>
      <w:sz w:val="36"/>
      <w:szCs w:val="36"/>
      <w:lang w:val="en-US"/>
    </w:rPr>
  </w:style>
  <w:style w:type="character" w:customStyle="1" w:styleId="titre1TMCar">
    <w:name w:val="titre 1 TM Car"/>
    <w:basedOn w:val="ParagraphedelisteCar"/>
    <w:link w:val="titre1TM"/>
    <w:rsid w:val="000E1274"/>
    <w:rPr>
      <w:rFonts w:ascii="Times New Roman" w:eastAsia="Times New Roman" w:hAnsi="Times New Roman" w:cs="Times New Roman"/>
      <w:b/>
      <w:color w:val="000000"/>
      <w:sz w:val="24"/>
      <w:szCs w:val="24"/>
      <w:lang w:val="en-GB" w:eastAsia="fr-FR"/>
    </w:rPr>
  </w:style>
  <w:style w:type="numbering" w:customStyle="1" w:styleId="Aucuneliste1">
    <w:name w:val="Aucune liste1"/>
    <w:next w:val="Aucuneliste"/>
    <w:semiHidden/>
    <w:rsid w:val="00495272"/>
  </w:style>
  <w:style w:type="character" w:styleId="Lienhypertexte">
    <w:name w:val="Hyperlink"/>
    <w:rsid w:val="00495272"/>
    <w:rPr>
      <w:color w:val="0000FF"/>
      <w:u w:val="single"/>
    </w:rPr>
  </w:style>
  <w:style w:type="paragraph" w:customStyle="1" w:styleId="western">
    <w:name w:val="western"/>
    <w:basedOn w:val="Normal"/>
    <w:rsid w:val="00495272"/>
    <w:pPr>
      <w:spacing w:before="100" w:beforeAutospacing="1" w:after="119" w:line="249" w:lineRule="auto"/>
      <w:ind w:left="11" w:right="170" w:hanging="11"/>
      <w:jc w:val="both"/>
    </w:pPr>
    <w:rPr>
      <w:rFonts w:ascii="Times New Roman" w:eastAsia="Times New Roman" w:hAnsi="Times New Roman" w:cs="Times New Roman"/>
      <w:color w:val="000000"/>
      <w:sz w:val="24"/>
      <w:szCs w:val="24"/>
      <w:lang w:val="en-US"/>
    </w:rPr>
  </w:style>
  <w:style w:type="paragraph" w:styleId="NormalWeb">
    <w:name w:val="Normal (Web)"/>
    <w:basedOn w:val="Normal"/>
    <w:rsid w:val="00495272"/>
    <w:pPr>
      <w:spacing w:before="100" w:beforeAutospacing="1" w:after="119" w:line="249" w:lineRule="auto"/>
      <w:ind w:left="11" w:right="170" w:hanging="11"/>
      <w:jc w:val="both"/>
    </w:pPr>
    <w:rPr>
      <w:rFonts w:ascii="Times New Roman" w:eastAsia="Times New Roman" w:hAnsi="Times New Roman" w:cs="Times New Roman"/>
      <w:color w:val="000000"/>
      <w:sz w:val="24"/>
      <w:szCs w:val="24"/>
      <w:lang w:val="en-US"/>
    </w:rPr>
  </w:style>
  <w:style w:type="paragraph" w:customStyle="1" w:styleId="sdfootnote-western">
    <w:name w:val="sdfootnote-western"/>
    <w:basedOn w:val="Normal"/>
    <w:rsid w:val="00495272"/>
    <w:pPr>
      <w:spacing w:before="100" w:beforeAutospacing="1" w:after="113" w:line="249" w:lineRule="auto"/>
      <w:ind w:left="284" w:right="170" w:hanging="284"/>
      <w:jc w:val="both"/>
    </w:pPr>
    <w:rPr>
      <w:rFonts w:ascii="Times New Roman" w:eastAsia="Times New Roman" w:hAnsi="Times New Roman" w:cs="Times New Roman"/>
      <w:color w:val="000000"/>
      <w:sz w:val="20"/>
      <w:szCs w:val="20"/>
      <w:lang w:val="en-US"/>
    </w:rPr>
  </w:style>
  <w:style w:type="paragraph" w:styleId="Notedebasdepage">
    <w:name w:val="footnote text"/>
    <w:basedOn w:val="Normal"/>
    <w:link w:val="NotedebasdepageCar"/>
    <w:uiPriority w:val="99"/>
    <w:semiHidden/>
    <w:rsid w:val="00495272"/>
    <w:pPr>
      <w:spacing w:after="0" w:line="240" w:lineRule="auto"/>
    </w:pPr>
    <w:rPr>
      <w:rFonts w:ascii="Times New Roman" w:eastAsia="Times New Roman" w:hAnsi="Times New Roman" w:cs="Times New Roman"/>
      <w:sz w:val="20"/>
      <w:szCs w:val="20"/>
      <w:lang w:val="en-US"/>
    </w:rPr>
  </w:style>
  <w:style w:type="character" w:customStyle="1" w:styleId="NotedebasdepageCar">
    <w:name w:val="Note de bas de page Car"/>
    <w:basedOn w:val="Policepardfaut"/>
    <w:link w:val="Notedebasdepage"/>
    <w:uiPriority w:val="99"/>
    <w:semiHidden/>
    <w:rsid w:val="00495272"/>
    <w:rPr>
      <w:rFonts w:ascii="Times New Roman" w:eastAsia="Times New Roman" w:hAnsi="Times New Roman" w:cs="Times New Roman"/>
      <w:sz w:val="20"/>
      <w:szCs w:val="20"/>
      <w:lang w:val="en-US"/>
    </w:rPr>
  </w:style>
  <w:style w:type="character" w:styleId="Marquenotebasdepage">
    <w:name w:val="footnote reference"/>
    <w:uiPriority w:val="99"/>
    <w:semiHidden/>
    <w:rsid w:val="00495272"/>
    <w:rPr>
      <w:vertAlign w:val="superscript"/>
    </w:rPr>
  </w:style>
  <w:style w:type="character" w:styleId="Lienhypertextesuivi">
    <w:name w:val="FollowedHyperlink"/>
    <w:rsid w:val="00495272"/>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B62"/>
  </w:style>
  <w:style w:type="paragraph" w:styleId="Titre2">
    <w:name w:val="heading 2"/>
    <w:basedOn w:val="Normal"/>
    <w:link w:val="Titre2Car"/>
    <w:qFormat/>
    <w:rsid w:val="00495272"/>
    <w:pPr>
      <w:spacing w:before="100" w:beforeAutospacing="1" w:after="11" w:line="249" w:lineRule="auto"/>
      <w:ind w:left="369" w:right="170" w:hanging="369"/>
      <w:jc w:val="both"/>
      <w:outlineLvl w:val="1"/>
    </w:pPr>
    <w:rPr>
      <w:rFonts w:ascii="Times New Roman" w:eastAsia="Times New Roman" w:hAnsi="Times New Roman" w:cs="Times New Roman"/>
      <w:b/>
      <w:bCs/>
      <w:color w:val="000000"/>
      <w:sz w:val="36"/>
      <w:szCs w:val="36"/>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
    <w:name w:val="TableGrid"/>
    <w:rsid w:val="00236B62"/>
    <w:pPr>
      <w:spacing w:after="0" w:line="240" w:lineRule="auto"/>
    </w:pPr>
    <w:rPr>
      <w:rFonts w:eastAsia="Times New Roman"/>
      <w:lang w:eastAsia="fr-FR"/>
    </w:rPr>
    <w:tblPr>
      <w:tblCellMar>
        <w:top w:w="0" w:type="dxa"/>
        <w:left w:w="0" w:type="dxa"/>
        <w:bottom w:w="0" w:type="dxa"/>
        <w:right w:w="0" w:type="dxa"/>
      </w:tblCellMar>
    </w:tblPr>
  </w:style>
  <w:style w:type="paragraph" w:styleId="Paragraphedeliste">
    <w:name w:val="List Paragraph"/>
    <w:basedOn w:val="Normal"/>
    <w:link w:val="ParagraphedelisteCar"/>
    <w:uiPriority w:val="34"/>
    <w:qFormat/>
    <w:rsid w:val="00236B62"/>
    <w:pPr>
      <w:numPr>
        <w:numId w:val="1"/>
      </w:numPr>
      <w:spacing w:after="120" w:line="252" w:lineRule="auto"/>
      <w:jc w:val="both"/>
    </w:pPr>
    <w:rPr>
      <w:rFonts w:ascii="Times New Roman" w:eastAsia="Times New Roman" w:hAnsi="Times New Roman" w:cs="Times New Roman"/>
      <w:color w:val="000000"/>
      <w:sz w:val="24"/>
      <w:szCs w:val="24"/>
      <w:lang w:val="en-GB" w:eastAsia="fr-FR"/>
    </w:rPr>
  </w:style>
  <w:style w:type="paragraph" w:customStyle="1" w:styleId="recommandations">
    <w:name w:val="recommandations"/>
    <w:basedOn w:val="Paragraphedeliste"/>
    <w:link w:val="recommandationsCar"/>
    <w:qFormat/>
    <w:rsid w:val="00236B62"/>
    <w:pPr>
      <w:numPr>
        <w:numId w:val="2"/>
      </w:numPr>
    </w:pPr>
    <w:rPr>
      <w:b/>
    </w:rPr>
  </w:style>
  <w:style w:type="paragraph" w:styleId="Citation">
    <w:name w:val="Quote"/>
    <w:basedOn w:val="Normal"/>
    <w:next w:val="Normal"/>
    <w:link w:val="CitationCar"/>
    <w:uiPriority w:val="29"/>
    <w:qFormat/>
    <w:rsid w:val="00236B62"/>
    <w:pPr>
      <w:spacing w:before="200"/>
      <w:ind w:left="864" w:right="864"/>
      <w:jc w:val="center"/>
    </w:pPr>
    <w:rPr>
      <w:i/>
      <w:iCs/>
      <w:color w:val="404040" w:themeColor="text1" w:themeTint="BF"/>
    </w:rPr>
  </w:style>
  <w:style w:type="character" w:customStyle="1" w:styleId="ParagraphedelisteCar">
    <w:name w:val="Paragraphe de liste Car"/>
    <w:basedOn w:val="Policepardfaut"/>
    <w:link w:val="Paragraphedeliste"/>
    <w:uiPriority w:val="34"/>
    <w:rsid w:val="00236B62"/>
    <w:rPr>
      <w:rFonts w:ascii="Times New Roman" w:eastAsia="Times New Roman" w:hAnsi="Times New Roman" w:cs="Times New Roman"/>
      <w:color w:val="000000"/>
      <w:sz w:val="24"/>
      <w:szCs w:val="24"/>
      <w:lang w:val="en-GB" w:eastAsia="fr-FR"/>
    </w:rPr>
  </w:style>
  <w:style w:type="character" w:customStyle="1" w:styleId="recommandationsCar">
    <w:name w:val="recommandations Car"/>
    <w:basedOn w:val="ParagraphedelisteCar"/>
    <w:link w:val="recommandations"/>
    <w:rsid w:val="00236B62"/>
    <w:rPr>
      <w:rFonts w:ascii="Times New Roman" w:eastAsia="Times New Roman" w:hAnsi="Times New Roman" w:cs="Times New Roman"/>
      <w:b/>
      <w:color w:val="000000"/>
      <w:sz w:val="24"/>
      <w:szCs w:val="24"/>
      <w:lang w:val="en-GB" w:eastAsia="fr-FR"/>
    </w:rPr>
  </w:style>
  <w:style w:type="character" w:customStyle="1" w:styleId="CitationCar">
    <w:name w:val="Citation Car"/>
    <w:basedOn w:val="Policepardfaut"/>
    <w:link w:val="Citation"/>
    <w:uiPriority w:val="29"/>
    <w:rsid w:val="00236B62"/>
    <w:rPr>
      <w:i/>
      <w:iCs/>
      <w:color w:val="404040" w:themeColor="text1" w:themeTint="BF"/>
    </w:rPr>
  </w:style>
  <w:style w:type="paragraph" w:customStyle="1" w:styleId="titre1TM">
    <w:name w:val="titre 1 TM"/>
    <w:basedOn w:val="Paragraphedeliste"/>
    <w:link w:val="titre1TMCar"/>
    <w:qFormat/>
    <w:rsid w:val="000E1274"/>
    <w:pPr>
      <w:numPr>
        <w:numId w:val="3"/>
      </w:numPr>
    </w:pPr>
    <w:rPr>
      <w:b/>
    </w:rPr>
  </w:style>
  <w:style w:type="character" w:customStyle="1" w:styleId="Titre2Car">
    <w:name w:val="Titre 2 Car"/>
    <w:basedOn w:val="Policepardfaut"/>
    <w:link w:val="Titre2"/>
    <w:rsid w:val="00495272"/>
    <w:rPr>
      <w:rFonts w:ascii="Times New Roman" w:eastAsia="Times New Roman" w:hAnsi="Times New Roman" w:cs="Times New Roman"/>
      <w:b/>
      <w:bCs/>
      <w:color w:val="000000"/>
      <w:sz w:val="36"/>
      <w:szCs w:val="36"/>
      <w:lang w:val="en-US"/>
    </w:rPr>
  </w:style>
  <w:style w:type="character" w:customStyle="1" w:styleId="titre1TMCar">
    <w:name w:val="titre 1 TM Car"/>
    <w:basedOn w:val="ParagraphedelisteCar"/>
    <w:link w:val="titre1TM"/>
    <w:rsid w:val="000E1274"/>
    <w:rPr>
      <w:rFonts w:ascii="Times New Roman" w:eastAsia="Times New Roman" w:hAnsi="Times New Roman" w:cs="Times New Roman"/>
      <w:b/>
      <w:color w:val="000000"/>
      <w:sz w:val="24"/>
      <w:szCs w:val="24"/>
      <w:lang w:val="en-GB" w:eastAsia="fr-FR"/>
    </w:rPr>
  </w:style>
  <w:style w:type="numbering" w:customStyle="1" w:styleId="Aucuneliste1">
    <w:name w:val="Aucune liste1"/>
    <w:next w:val="Aucuneliste"/>
    <w:semiHidden/>
    <w:rsid w:val="00495272"/>
  </w:style>
  <w:style w:type="character" w:styleId="Lienhypertexte">
    <w:name w:val="Hyperlink"/>
    <w:rsid w:val="00495272"/>
    <w:rPr>
      <w:color w:val="0000FF"/>
      <w:u w:val="single"/>
    </w:rPr>
  </w:style>
  <w:style w:type="paragraph" w:customStyle="1" w:styleId="western">
    <w:name w:val="western"/>
    <w:basedOn w:val="Normal"/>
    <w:rsid w:val="00495272"/>
    <w:pPr>
      <w:spacing w:before="100" w:beforeAutospacing="1" w:after="119" w:line="249" w:lineRule="auto"/>
      <w:ind w:left="11" w:right="170" w:hanging="11"/>
      <w:jc w:val="both"/>
    </w:pPr>
    <w:rPr>
      <w:rFonts w:ascii="Times New Roman" w:eastAsia="Times New Roman" w:hAnsi="Times New Roman" w:cs="Times New Roman"/>
      <w:color w:val="000000"/>
      <w:sz w:val="24"/>
      <w:szCs w:val="24"/>
      <w:lang w:val="en-US"/>
    </w:rPr>
  </w:style>
  <w:style w:type="paragraph" w:styleId="NormalWeb">
    <w:name w:val="Normal (Web)"/>
    <w:basedOn w:val="Normal"/>
    <w:rsid w:val="00495272"/>
    <w:pPr>
      <w:spacing w:before="100" w:beforeAutospacing="1" w:after="119" w:line="249" w:lineRule="auto"/>
      <w:ind w:left="11" w:right="170" w:hanging="11"/>
      <w:jc w:val="both"/>
    </w:pPr>
    <w:rPr>
      <w:rFonts w:ascii="Times New Roman" w:eastAsia="Times New Roman" w:hAnsi="Times New Roman" w:cs="Times New Roman"/>
      <w:color w:val="000000"/>
      <w:sz w:val="24"/>
      <w:szCs w:val="24"/>
      <w:lang w:val="en-US"/>
    </w:rPr>
  </w:style>
  <w:style w:type="paragraph" w:customStyle="1" w:styleId="sdfootnote-western">
    <w:name w:val="sdfootnote-western"/>
    <w:basedOn w:val="Normal"/>
    <w:rsid w:val="00495272"/>
    <w:pPr>
      <w:spacing w:before="100" w:beforeAutospacing="1" w:after="113" w:line="249" w:lineRule="auto"/>
      <w:ind w:left="284" w:right="170" w:hanging="284"/>
      <w:jc w:val="both"/>
    </w:pPr>
    <w:rPr>
      <w:rFonts w:ascii="Times New Roman" w:eastAsia="Times New Roman" w:hAnsi="Times New Roman" w:cs="Times New Roman"/>
      <w:color w:val="000000"/>
      <w:sz w:val="20"/>
      <w:szCs w:val="20"/>
      <w:lang w:val="en-US"/>
    </w:rPr>
  </w:style>
  <w:style w:type="paragraph" w:styleId="Notedebasdepage">
    <w:name w:val="footnote text"/>
    <w:basedOn w:val="Normal"/>
    <w:link w:val="NotedebasdepageCar"/>
    <w:uiPriority w:val="99"/>
    <w:semiHidden/>
    <w:rsid w:val="00495272"/>
    <w:pPr>
      <w:spacing w:after="0" w:line="240" w:lineRule="auto"/>
    </w:pPr>
    <w:rPr>
      <w:rFonts w:ascii="Times New Roman" w:eastAsia="Times New Roman" w:hAnsi="Times New Roman" w:cs="Times New Roman"/>
      <w:sz w:val="20"/>
      <w:szCs w:val="20"/>
      <w:lang w:val="en-US"/>
    </w:rPr>
  </w:style>
  <w:style w:type="character" w:customStyle="1" w:styleId="NotedebasdepageCar">
    <w:name w:val="Note de bas de page Car"/>
    <w:basedOn w:val="Policepardfaut"/>
    <w:link w:val="Notedebasdepage"/>
    <w:uiPriority w:val="99"/>
    <w:semiHidden/>
    <w:rsid w:val="00495272"/>
    <w:rPr>
      <w:rFonts w:ascii="Times New Roman" w:eastAsia="Times New Roman" w:hAnsi="Times New Roman" w:cs="Times New Roman"/>
      <w:sz w:val="20"/>
      <w:szCs w:val="20"/>
      <w:lang w:val="en-US"/>
    </w:rPr>
  </w:style>
  <w:style w:type="character" w:styleId="Marquenotebasdepage">
    <w:name w:val="footnote reference"/>
    <w:uiPriority w:val="99"/>
    <w:semiHidden/>
    <w:rsid w:val="00495272"/>
    <w:rPr>
      <w:vertAlign w:val="superscript"/>
    </w:rPr>
  </w:style>
  <w:style w:type="character" w:styleId="Lienhypertextesuivi">
    <w:name w:val="FollowedHyperlink"/>
    <w:rsid w:val="0049527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ebmail1h.orange.fr/webmail/fr_FR/preview/bedb250de550a17a6a5b1986e97b3683/7964377251fd9a796215d6c1b99cf81f/7964377251fd9a796215d6c1b99cf81f.html" TargetMode="Externa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F7D511-B725-47E0-9CCD-A7C3ADB2E2D7}"/>
</file>

<file path=customXml/itemProps2.xml><?xml version="1.0" encoding="utf-8"?>
<ds:datastoreItem xmlns:ds="http://schemas.openxmlformats.org/officeDocument/2006/customXml" ds:itemID="{B38BD761-8555-4837-8CCF-A88C04BCC78F}"/>
</file>

<file path=customXml/itemProps3.xml><?xml version="1.0" encoding="utf-8"?>
<ds:datastoreItem xmlns:ds="http://schemas.openxmlformats.org/officeDocument/2006/customXml" ds:itemID="{EA7CF1C8-4D43-7045-99B8-918D485456DC}"/>
</file>

<file path=customXml/itemProps4.xml><?xml version="1.0" encoding="utf-8"?>
<ds:datastoreItem xmlns:ds="http://schemas.openxmlformats.org/officeDocument/2006/customXml" ds:itemID="{0C4FCCB1-46AE-43F3-933C-C9750FE4DDDB}"/>
</file>

<file path=docProps/app.xml><?xml version="1.0" encoding="utf-8"?>
<Properties xmlns="http://schemas.openxmlformats.org/officeDocument/2006/extended-properties" xmlns:vt="http://schemas.openxmlformats.org/officeDocument/2006/docPropsVTypes">
  <Template>Normal.dotm</Template>
  <TotalTime>7</TotalTime>
  <Pages>65</Pages>
  <Words>30334</Words>
  <Characters>166840</Characters>
  <Application>Microsoft Macintosh Word</Application>
  <DocSecurity>0</DocSecurity>
  <Lines>1390</Lines>
  <Paragraphs>393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Salphati</dc:creator>
  <cp:keywords/>
  <dc:description/>
  <cp:lastModifiedBy>marie salphati</cp:lastModifiedBy>
  <cp:revision>4</cp:revision>
  <dcterms:created xsi:type="dcterms:W3CDTF">2017-07-07T10:34:00Z</dcterms:created>
  <dcterms:modified xsi:type="dcterms:W3CDTF">2017-07-07T10:40:00Z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