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A55E172" w14:textId="77777777" w:rsidR="00B52D49" w:rsidRDefault="00B52D49">
      <w:pPr>
        <w:rPr>
          <w:rFonts w:ascii="Calibri" w:eastAsia="Calibri" w:hAnsi="Calibri" w:cs="Calibri"/>
          <w:sz w:val="24"/>
          <w:szCs w:val="24"/>
        </w:rPr>
      </w:pPr>
    </w:p>
    <w:p w14:paraId="4BB6CEA5" w14:textId="4EBCA371" w:rsidR="00BC4AAD" w:rsidRDefault="0027351D">
      <w:pPr>
        <w:rPr>
          <w:rFonts w:ascii="Calibri" w:eastAsia="Calibri" w:hAnsi="Calibri" w:cs="Calibri"/>
          <w:sz w:val="24"/>
          <w:szCs w:val="24"/>
        </w:rPr>
      </w:pPr>
      <w:r>
        <w:rPr>
          <w:rFonts w:ascii="Calibri" w:eastAsia="Calibri" w:hAnsi="Calibri" w:cs="Calibri"/>
          <w:noProof/>
          <w:sz w:val="24"/>
          <w:szCs w:val="24"/>
          <w:lang w:val="en-US" w:eastAsia="en-US"/>
        </w:rPr>
        <w:drawing>
          <wp:inline distT="0" distB="0" distL="0" distR="0" wp14:anchorId="35D6F913" wp14:editId="5BB4FBA0">
            <wp:extent cx="5612130" cy="3810000"/>
            <wp:effectExtent l="0" t="0" r="7620" b="0"/>
            <wp:docPr id="1315180845"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5180845" name="Imagen 1315180845"/>
                    <pic:cNvPicPr/>
                  </pic:nvPicPr>
                  <pic:blipFill rotWithShape="1">
                    <a:blip r:embed="rId9">
                      <a:extLst>
                        <a:ext uri="{28A0092B-C50C-407E-A947-70E740481C1C}">
                          <a14:useLocalDpi xmlns:a14="http://schemas.microsoft.com/office/drawing/2010/main" val="0"/>
                        </a:ext>
                      </a:extLst>
                    </a:blip>
                    <a:srcRect t="9920" b="9097"/>
                    <a:stretch/>
                  </pic:blipFill>
                  <pic:spPr bwMode="auto">
                    <a:xfrm>
                      <a:off x="0" y="0"/>
                      <a:ext cx="5612130" cy="3810000"/>
                    </a:xfrm>
                    <a:prstGeom prst="rect">
                      <a:avLst/>
                    </a:prstGeom>
                    <a:ln>
                      <a:noFill/>
                    </a:ln>
                    <a:extLst>
                      <a:ext uri="{53640926-AAD7-44D8-BBD7-CCE9431645EC}">
                        <a14:shadowObscured xmlns:a14="http://schemas.microsoft.com/office/drawing/2010/main"/>
                      </a:ext>
                    </a:extLst>
                  </pic:spPr>
                </pic:pic>
              </a:graphicData>
            </a:graphic>
          </wp:inline>
        </w:drawing>
      </w:r>
    </w:p>
    <w:p w14:paraId="527A8D55" w14:textId="77777777" w:rsidR="0027351D" w:rsidRDefault="0027351D">
      <w:pPr>
        <w:rPr>
          <w:rFonts w:ascii="Calibri" w:eastAsia="Calibri" w:hAnsi="Calibri" w:cs="Calibri"/>
          <w:sz w:val="24"/>
          <w:szCs w:val="24"/>
        </w:rPr>
      </w:pPr>
    </w:p>
    <w:p w14:paraId="3F227013" w14:textId="77777777" w:rsidR="00BC4AAD" w:rsidRDefault="00997294">
      <w:pPr>
        <w:pBdr>
          <w:top w:val="nil"/>
          <w:left w:val="nil"/>
          <w:bottom w:val="nil"/>
          <w:right w:val="nil"/>
          <w:between w:val="nil"/>
        </w:pBdr>
        <w:spacing w:line="240" w:lineRule="auto"/>
        <w:jc w:val="center"/>
        <w:rPr>
          <w:rFonts w:ascii="Calibri" w:eastAsia="Calibri" w:hAnsi="Calibri" w:cs="Calibri"/>
          <w:b/>
          <w:color w:val="000000"/>
          <w:sz w:val="28"/>
          <w:szCs w:val="28"/>
        </w:rPr>
      </w:pPr>
      <w:r>
        <w:rPr>
          <w:rFonts w:ascii="Calibri" w:eastAsia="Calibri" w:hAnsi="Calibri" w:cs="Calibri"/>
          <w:b/>
          <w:color w:val="000000"/>
          <w:sz w:val="28"/>
          <w:szCs w:val="28"/>
        </w:rPr>
        <w:t>INFORME ALTERNATIVO PARA EL EXAMEN DEL ESTADO DE CHILE ANTE EL COMITÉ DE DERECHOS HUMANOS EN SU 140° SESIÓN</w:t>
      </w:r>
    </w:p>
    <w:p w14:paraId="27326477" w14:textId="77777777" w:rsidR="00BC4AAD" w:rsidRDefault="00997294">
      <w:pPr>
        <w:pBdr>
          <w:top w:val="nil"/>
          <w:left w:val="nil"/>
          <w:bottom w:val="nil"/>
          <w:right w:val="nil"/>
          <w:between w:val="nil"/>
        </w:pBdr>
        <w:spacing w:line="240" w:lineRule="auto"/>
        <w:jc w:val="center"/>
        <w:rPr>
          <w:b/>
          <w:color w:val="000000"/>
          <w:sz w:val="28"/>
          <w:szCs w:val="28"/>
        </w:rPr>
      </w:pPr>
      <w:r>
        <w:rPr>
          <w:rFonts w:ascii="Calibri" w:eastAsia="Calibri" w:hAnsi="Calibri" w:cs="Calibri"/>
          <w:b/>
          <w:color w:val="000000"/>
          <w:sz w:val="28"/>
          <w:szCs w:val="28"/>
        </w:rPr>
        <w:t>4 - 28 de marzo de 2024</w:t>
      </w:r>
    </w:p>
    <w:p w14:paraId="534501B8" w14:textId="77777777" w:rsidR="00BC4AAD" w:rsidRDefault="00997294">
      <w:pPr>
        <w:pBdr>
          <w:top w:val="nil"/>
          <w:left w:val="nil"/>
          <w:bottom w:val="nil"/>
          <w:right w:val="nil"/>
          <w:between w:val="nil"/>
        </w:pBdr>
        <w:spacing w:after="120" w:line="240" w:lineRule="auto"/>
        <w:jc w:val="center"/>
        <w:rPr>
          <w:rFonts w:ascii="Calibri" w:eastAsia="Calibri" w:hAnsi="Calibri" w:cs="Calibri"/>
          <w:b/>
          <w:color w:val="000000"/>
          <w:sz w:val="23"/>
          <w:szCs w:val="23"/>
        </w:rPr>
      </w:pPr>
      <w:r>
        <w:rPr>
          <w:rFonts w:ascii="Calibri" w:eastAsia="Calibri" w:hAnsi="Calibri" w:cs="Calibri"/>
          <w:b/>
          <w:color w:val="000000"/>
          <w:sz w:val="23"/>
          <w:szCs w:val="23"/>
        </w:rPr>
        <w:t>Enero 2024</w:t>
      </w:r>
    </w:p>
    <w:p w14:paraId="195FDD8B" w14:textId="77777777" w:rsidR="00BC4AAD" w:rsidRDefault="00997294">
      <w:pPr>
        <w:pBdr>
          <w:top w:val="nil"/>
          <w:left w:val="nil"/>
          <w:bottom w:val="nil"/>
          <w:right w:val="nil"/>
          <w:between w:val="nil"/>
        </w:pBdr>
        <w:spacing w:after="120" w:line="240" w:lineRule="auto"/>
        <w:jc w:val="both"/>
        <w:rPr>
          <w:rFonts w:ascii="Calibri" w:eastAsia="Calibri" w:hAnsi="Calibri" w:cs="Calibri"/>
          <w:color w:val="000000"/>
        </w:rPr>
      </w:pPr>
      <w:r w:rsidRPr="00696C2A">
        <w:rPr>
          <w:rFonts w:ascii="Calibri" w:eastAsia="Calibri" w:hAnsi="Calibri" w:cs="Calibri"/>
          <w:color w:val="000000"/>
        </w:rPr>
        <w:t>El presente informe fue elaborado por un conjunto de organizaciones de derechos humanos que trabajan en distintos ámbitos y que conforman la Articulación de Organizaciones Defensoras de Derechos Humanos.</w:t>
      </w:r>
    </w:p>
    <w:p w14:paraId="2838EFB5" w14:textId="77777777" w:rsidR="00F214D2" w:rsidRPr="00696C2A" w:rsidRDefault="00F214D2">
      <w:pPr>
        <w:pBdr>
          <w:top w:val="nil"/>
          <w:left w:val="nil"/>
          <w:bottom w:val="nil"/>
          <w:right w:val="nil"/>
          <w:between w:val="nil"/>
        </w:pBdr>
        <w:spacing w:after="120" w:line="240" w:lineRule="auto"/>
        <w:jc w:val="both"/>
        <w:rPr>
          <w:rFonts w:ascii="Calibri" w:eastAsia="Calibri" w:hAnsi="Calibri" w:cs="Calibri"/>
          <w:color w:val="000000"/>
        </w:rPr>
      </w:pPr>
    </w:p>
    <w:p w14:paraId="0DC2CDFA" w14:textId="77777777" w:rsidR="00BC4AAD" w:rsidRPr="00F214D2" w:rsidRDefault="00997294">
      <w:pPr>
        <w:pBdr>
          <w:top w:val="nil"/>
          <w:left w:val="nil"/>
          <w:bottom w:val="nil"/>
          <w:right w:val="nil"/>
          <w:between w:val="nil"/>
        </w:pBdr>
        <w:spacing w:after="120" w:line="240" w:lineRule="auto"/>
        <w:jc w:val="center"/>
        <w:rPr>
          <w:rFonts w:asciiTheme="minorHAnsi" w:eastAsia="Calibri" w:hAnsiTheme="minorHAnsi" w:cstheme="minorHAnsi"/>
          <w:b/>
          <w:color w:val="000000"/>
          <w:sz w:val="22"/>
          <w:szCs w:val="22"/>
        </w:rPr>
      </w:pPr>
      <w:r w:rsidRPr="00F214D2">
        <w:rPr>
          <w:rFonts w:asciiTheme="minorHAnsi" w:eastAsia="Calibri" w:hAnsiTheme="minorHAnsi" w:cstheme="minorHAnsi"/>
          <w:b/>
          <w:color w:val="000000"/>
          <w:sz w:val="22"/>
          <w:szCs w:val="22"/>
        </w:rPr>
        <w:t>Articulación de Organizaciones Defensoras de Derechos Humanos</w:t>
      </w:r>
    </w:p>
    <w:p w14:paraId="0564B74E" w14:textId="77777777" w:rsidR="009A2238" w:rsidRPr="00F214D2" w:rsidRDefault="009A2238">
      <w:pPr>
        <w:pBdr>
          <w:top w:val="nil"/>
          <w:left w:val="nil"/>
          <w:bottom w:val="nil"/>
          <w:right w:val="nil"/>
          <w:between w:val="nil"/>
        </w:pBdr>
        <w:spacing w:after="120" w:line="240" w:lineRule="auto"/>
        <w:jc w:val="center"/>
        <w:rPr>
          <w:rFonts w:asciiTheme="minorHAnsi" w:eastAsia="Calibri" w:hAnsiTheme="minorHAnsi" w:cstheme="minorHAnsi"/>
          <w:b/>
          <w:color w:val="000000"/>
          <w:sz w:val="22"/>
          <w:szCs w:val="22"/>
        </w:rPr>
      </w:pPr>
      <w:r w:rsidRPr="00F214D2">
        <w:rPr>
          <w:rFonts w:asciiTheme="minorHAnsi" w:eastAsia="Calibri" w:hAnsiTheme="minorHAnsi" w:cstheme="minorHAnsi"/>
          <w:b/>
          <w:color w:val="000000"/>
          <w:sz w:val="22"/>
          <w:szCs w:val="22"/>
        </w:rPr>
        <w:t>Corporación Humanas, Centro Regional de Derechos Humanos y Justicia de Género</w:t>
      </w:r>
    </w:p>
    <w:p w14:paraId="03D8E9C1" w14:textId="77777777" w:rsidR="009A2238" w:rsidRPr="00F214D2" w:rsidRDefault="009A2238">
      <w:pPr>
        <w:pBdr>
          <w:top w:val="nil"/>
          <w:left w:val="nil"/>
          <w:bottom w:val="nil"/>
          <w:right w:val="nil"/>
          <w:between w:val="nil"/>
        </w:pBdr>
        <w:spacing w:after="120" w:line="240" w:lineRule="auto"/>
        <w:jc w:val="center"/>
        <w:rPr>
          <w:rFonts w:asciiTheme="minorHAnsi" w:hAnsiTheme="minorHAnsi" w:cstheme="minorHAnsi"/>
          <w:b/>
          <w:sz w:val="22"/>
          <w:szCs w:val="22"/>
          <w:lang w:eastAsia="es-CL"/>
        </w:rPr>
      </w:pPr>
      <w:r w:rsidRPr="00F214D2">
        <w:rPr>
          <w:rFonts w:asciiTheme="minorHAnsi" w:hAnsiTheme="minorHAnsi" w:cstheme="minorHAnsi"/>
          <w:b/>
          <w:sz w:val="22"/>
          <w:szCs w:val="22"/>
          <w:lang w:eastAsia="es-CL"/>
        </w:rPr>
        <w:t>Corporación Circulo Emancipador de Mujeres y Niñas con Discapacidad de Chile, CIMUNIDIS</w:t>
      </w:r>
    </w:p>
    <w:p w14:paraId="338C505B" w14:textId="77777777" w:rsidR="00B52D49" w:rsidRPr="00F214D2" w:rsidRDefault="00B52D49" w:rsidP="00B52D49">
      <w:pPr>
        <w:pStyle w:val="Default"/>
        <w:spacing w:after="120"/>
        <w:jc w:val="center"/>
        <w:rPr>
          <w:rFonts w:asciiTheme="minorHAnsi" w:hAnsiTheme="minorHAnsi" w:cstheme="minorHAnsi"/>
          <w:b/>
          <w:bCs/>
          <w:color w:val="auto"/>
          <w:sz w:val="22"/>
          <w:szCs w:val="22"/>
        </w:rPr>
      </w:pPr>
      <w:r w:rsidRPr="00F214D2">
        <w:rPr>
          <w:rFonts w:asciiTheme="minorHAnsi" w:hAnsiTheme="minorHAnsi" w:cstheme="minorHAnsi"/>
          <w:b/>
          <w:bCs/>
          <w:color w:val="auto"/>
          <w:sz w:val="22"/>
          <w:szCs w:val="22"/>
        </w:rPr>
        <w:t>Corporación Opción</w:t>
      </w:r>
    </w:p>
    <w:p w14:paraId="28F3723A" w14:textId="77777777" w:rsidR="00B52D49" w:rsidRPr="00F214D2" w:rsidRDefault="009A2238" w:rsidP="00B52D49">
      <w:pPr>
        <w:pStyle w:val="Default"/>
        <w:spacing w:after="120"/>
        <w:jc w:val="center"/>
        <w:rPr>
          <w:rFonts w:asciiTheme="minorHAnsi" w:eastAsia="Times New Roman" w:hAnsiTheme="minorHAnsi" w:cstheme="minorHAnsi"/>
          <w:b/>
          <w:sz w:val="22"/>
          <w:szCs w:val="22"/>
        </w:rPr>
      </w:pPr>
      <w:r w:rsidRPr="00F214D2">
        <w:rPr>
          <w:rFonts w:asciiTheme="minorHAnsi" w:hAnsiTheme="minorHAnsi" w:cstheme="minorHAnsi"/>
          <w:b/>
          <w:sz w:val="22"/>
          <w:szCs w:val="22"/>
          <w:lang w:eastAsia="es-CL"/>
        </w:rPr>
        <w:t>Fundación Iguales</w:t>
      </w:r>
      <w:r w:rsidR="00B52D49" w:rsidRPr="00F214D2">
        <w:rPr>
          <w:rFonts w:asciiTheme="minorHAnsi" w:eastAsia="Times New Roman" w:hAnsiTheme="minorHAnsi" w:cstheme="minorHAnsi"/>
          <w:b/>
          <w:sz w:val="22"/>
          <w:szCs w:val="22"/>
        </w:rPr>
        <w:t xml:space="preserve"> </w:t>
      </w:r>
    </w:p>
    <w:p w14:paraId="1E71D345" w14:textId="77777777" w:rsidR="00B52D49" w:rsidRPr="00F214D2" w:rsidRDefault="00B52D49" w:rsidP="00B52D49">
      <w:pPr>
        <w:pStyle w:val="Default"/>
        <w:spacing w:after="120"/>
        <w:jc w:val="center"/>
        <w:rPr>
          <w:rFonts w:asciiTheme="minorHAnsi" w:eastAsia="Times New Roman" w:hAnsiTheme="minorHAnsi" w:cstheme="minorHAnsi"/>
          <w:b/>
          <w:sz w:val="22"/>
          <w:szCs w:val="22"/>
        </w:rPr>
      </w:pPr>
      <w:r w:rsidRPr="00F214D2">
        <w:rPr>
          <w:rFonts w:asciiTheme="minorHAnsi" w:eastAsia="Times New Roman" w:hAnsiTheme="minorHAnsi" w:cstheme="minorHAnsi"/>
          <w:b/>
          <w:sz w:val="22"/>
          <w:szCs w:val="22"/>
        </w:rPr>
        <w:t>Fundación mil trescientos sesenta y siete</w:t>
      </w:r>
      <w:r w:rsidRPr="00F214D2">
        <w:rPr>
          <w:rFonts w:asciiTheme="minorHAnsi" w:hAnsiTheme="minorHAnsi" w:cstheme="minorHAnsi"/>
          <w:b/>
          <w:sz w:val="22"/>
          <w:szCs w:val="22"/>
        </w:rPr>
        <w:t xml:space="preserve">, </w:t>
      </w:r>
      <w:r w:rsidRPr="00F214D2">
        <w:rPr>
          <w:rFonts w:asciiTheme="minorHAnsi" w:eastAsia="Times New Roman" w:hAnsiTheme="minorHAnsi" w:cstheme="minorHAnsi"/>
          <w:b/>
          <w:sz w:val="22"/>
          <w:szCs w:val="22"/>
        </w:rPr>
        <w:t>Comisión de Observadores de Derechos Humanos</w:t>
      </w:r>
      <w:r w:rsidRPr="00F214D2">
        <w:rPr>
          <w:rFonts w:asciiTheme="minorHAnsi" w:hAnsiTheme="minorHAnsi" w:cstheme="minorHAnsi"/>
          <w:b/>
          <w:sz w:val="22"/>
          <w:szCs w:val="22"/>
        </w:rPr>
        <w:t xml:space="preserve">, </w:t>
      </w:r>
      <w:r w:rsidRPr="00F214D2">
        <w:rPr>
          <w:rFonts w:asciiTheme="minorHAnsi" w:eastAsia="Times New Roman" w:hAnsiTheme="minorHAnsi" w:cstheme="minorHAnsi"/>
          <w:b/>
          <w:sz w:val="22"/>
          <w:szCs w:val="22"/>
        </w:rPr>
        <w:t>Casa Memoria José Domingo Cañas</w:t>
      </w:r>
    </w:p>
    <w:p w14:paraId="0FC2BA63" w14:textId="77777777" w:rsidR="009A2238" w:rsidRPr="00F214D2" w:rsidRDefault="009A2238">
      <w:pPr>
        <w:pBdr>
          <w:top w:val="nil"/>
          <w:left w:val="nil"/>
          <w:bottom w:val="nil"/>
          <w:right w:val="nil"/>
          <w:between w:val="nil"/>
        </w:pBdr>
        <w:spacing w:after="120" w:line="240" w:lineRule="auto"/>
        <w:jc w:val="center"/>
        <w:rPr>
          <w:rFonts w:asciiTheme="minorHAnsi" w:hAnsiTheme="minorHAnsi" w:cstheme="minorHAnsi"/>
          <w:b/>
          <w:sz w:val="22"/>
          <w:szCs w:val="22"/>
          <w:lang w:eastAsia="es-CL"/>
        </w:rPr>
      </w:pPr>
      <w:r w:rsidRPr="00F214D2">
        <w:rPr>
          <w:rFonts w:asciiTheme="minorHAnsi" w:hAnsiTheme="minorHAnsi" w:cstheme="minorHAnsi"/>
          <w:b/>
          <w:sz w:val="22"/>
          <w:szCs w:val="22"/>
          <w:lang w:eastAsia="es-CL"/>
        </w:rPr>
        <w:t>Litigación Estructural para América del Sur, LEASUR</w:t>
      </w:r>
    </w:p>
    <w:p w14:paraId="3C7523E8" w14:textId="582A3CBA" w:rsidR="00B52D49" w:rsidRPr="00F214D2" w:rsidRDefault="00B52D49">
      <w:pPr>
        <w:pBdr>
          <w:top w:val="nil"/>
          <w:left w:val="nil"/>
          <w:bottom w:val="nil"/>
          <w:right w:val="nil"/>
          <w:between w:val="nil"/>
        </w:pBdr>
        <w:spacing w:after="120" w:line="240" w:lineRule="auto"/>
        <w:jc w:val="center"/>
        <w:rPr>
          <w:rFonts w:asciiTheme="minorHAnsi" w:eastAsia="Calibri" w:hAnsiTheme="minorHAnsi" w:cstheme="minorHAnsi"/>
          <w:b/>
          <w:color w:val="000000"/>
          <w:sz w:val="22"/>
          <w:szCs w:val="22"/>
        </w:rPr>
      </w:pPr>
      <w:r w:rsidRPr="00F214D2">
        <w:rPr>
          <w:rFonts w:asciiTheme="minorHAnsi" w:hAnsiTheme="minorHAnsi" w:cstheme="minorHAnsi"/>
          <w:b/>
          <w:bCs/>
          <w:sz w:val="22"/>
          <w:szCs w:val="22"/>
        </w:rPr>
        <w:t>Movimiento Acción Migrante</w:t>
      </w:r>
      <w:r w:rsidR="000A0FD8">
        <w:rPr>
          <w:rFonts w:asciiTheme="minorHAnsi" w:hAnsiTheme="minorHAnsi" w:cstheme="minorHAnsi"/>
          <w:b/>
          <w:bCs/>
          <w:sz w:val="22"/>
          <w:szCs w:val="22"/>
        </w:rPr>
        <w:t xml:space="preserve">, </w:t>
      </w:r>
      <w:r w:rsidRPr="00F214D2">
        <w:rPr>
          <w:rFonts w:asciiTheme="minorHAnsi" w:hAnsiTheme="minorHAnsi" w:cstheme="minorHAnsi"/>
          <w:b/>
          <w:bCs/>
          <w:sz w:val="22"/>
          <w:szCs w:val="22"/>
        </w:rPr>
        <w:t>MAM</w:t>
      </w:r>
    </w:p>
    <w:p w14:paraId="74EF611B" w14:textId="06636F5E" w:rsidR="00B52D49" w:rsidRPr="00F214D2" w:rsidRDefault="00B52D49" w:rsidP="00B52D49">
      <w:pPr>
        <w:pStyle w:val="Default"/>
        <w:spacing w:after="120"/>
        <w:jc w:val="center"/>
        <w:rPr>
          <w:rFonts w:asciiTheme="minorHAnsi" w:hAnsiTheme="minorHAnsi" w:cstheme="minorHAnsi"/>
          <w:b/>
          <w:bCs/>
          <w:color w:val="auto"/>
          <w:sz w:val="22"/>
          <w:szCs w:val="22"/>
        </w:rPr>
      </w:pPr>
      <w:r w:rsidRPr="00F214D2">
        <w:rPr>
          <w:rFonts w:asciiTheme="minorHAnsi" w:hAnsiTheme="minorHAnsi" w:cstheme="minorHAnsi"/>
          <w:b/>
          <w:bCs/>
          <w:color w:val="auto"/>
          <w:sz w:val="22"/>
          <w:szCs w:val="22"/>
        </w:rPr>
        <w:t>Observatorio sobre Violencia Institucional en Chile</w:t>
      </w:r>
      <w:r w:rsidR="000A0FD8">
        <w:rPr>
          <w:rFonts w:asciiTheme="minorHAnsi" w:hAnsiTheme="minorHAnsi" w:cstheme="minorHAnsi"/>
          <w:b/>
          <w:bCs/>
          <w:color w:val="auto"/>
          <w:sz w:val="22"/>
          <w:szCs w:val="22"/>
        </w:rPr>
        <w:t xml:space="preserve">, </w:t>
      </w:r>
      <w:bookmarkStart w:id="0" w:name="_GoBack"/>
      <w:bookmarkEnd w:id="0"/>
      <w:r w:rsidRPr="00F214D2">
        <w:rPr>
          <w:rFonts w:asciiTheme="minorHAnsi" w:hAnsiTheme="minorHAnsi" w:cstheme="minorHAnsi"/>
          <w:b/>
          <w:bCs/>
          <w:color w:val="auto"/>
          <w:sz w:val="22"/>
          <w:szCs w:val="22"/>
        </w:rPr>
        <w:t>OVIC</w:t>
      </w:r>
    </w:p>
    <w:p w14:paraId="1E6D433E" w14:textId="77777777" w:rsidR="00BC4AAD" w:rsidRPr="00696C2A" w:rsidRDefault="00BC4AAD">
      <w:pPr>
        <w:spacing w:line="240" w:lineRule="auto"/>
        <w:rPr>
          <w:rFonts w:asciiTheme="minorHAnsi" w:eastAsia="Calibri" w:hAnsiTheme="minorHAnsi" w:cs="Calibri"/>
          <w:b/>
          <w:sz w:val="24"/>
          <w:szCs w:val="24"/>
        </w:rPr>
      </w:pPr>
    </w:p>
    <w:p w14:paraId="459EFD64" w14:textId="4100462D" w:rsidR="00BC4AAD" w:rsidRPr="0027351D" w:rsidRDefault="00997294" w:rsidP="0027351D">
      <w:pPr>
        <w:spacing w:line="240" w:lineRule="auto"/>
        <w:jc w:val="both"/>
        <w:rPr>
          <w:rFonts w:ascii="Calibri" w:eastAsia="Calibri" w:hAnsi="Calibri" w:cs="Calibri"/>
          <w:b/>
          <w:sz w:val="24"/>
          <w:szCs w:val="24"/>
        </w:rPr>
      </w:pPr>
      <w:r w:rsidRPr="008D7500">
        <w:rPr>
          <w:rFonts w:ascii="Calibri" w:eastAsia="Calibri" w:hAnsi="Calibri" w:cs="Calibri"/>
          <w:b/>
          <w:color w:val="000000"/>
          <w:sz w:val="26"/>
          <w:szCs w:val="26"/>
        </w:rPr>
        <w:t>Información general sobre la situación nacional en materia</w:t>
      </w:r>
      <w:r w:rsidR="0027351D">
        <w:rPr>
          <w:rFonts w:ascii="Calibri" w:eastAsia="Calibri" w:hAnsi="Calibri" w:cs="Calibri"/>
          <w:b/>
          <w:sz w:val="26"/>
          <w:szCs w:val="26"/>
        </w:rPr>
        <w:t xml:space="preserve"> </w:t>
      </w:r>
      <w:r w:rsidRPr="008D7500">
        <w:rPr>
          <w:rFonts w:ascii="Calibri" w:eastAsia="Calibri" w:hAnsi="Calibri" w:cs="Calibri"/>
          <w:b/>
          <w:color w:val="000000"/>
          <w:sz w:val="26"/>
          <w:szCs w:val="26"/>
        </w:rPr>
        <w:t>de derechos humanos.</w:t>
      </w:r>
    </w:p>
    <w:p w14:paraId="50737370" w14:textId="77777777" w:rsidR="0027351D" w:rsidRDefault="002735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jc w:val="both"/>
        <w:rPr>
          <w:rFonts w:ascii="Calibri" w:eastAsia="Calibri" w:hAnsi="Calibri" w:cs="Calibri"/>
          <w:sz w:val="24"/>
          <w:szCs w:val="24"/>
        </w:rPr>
      </w:pPr>
    </w:p>
    <w:p w14:paraId="6204F823" w14:textId="429104D7" w:rsidR="00BC4AAD" w:rsidRDefault="0099729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jc w:val="both"/>
        <w:rPr>
          <w:rFonts w:ascii="Calibri" w:eastAsia="Calibri" w:hAnsi="Calibri" w:cs="Calibri"/>
          <w:sz w:val="24"/>
          <w:szCs w:val="24"/>
        </w:rPr>
      </w:pPr>
      <w:r>
        <w:rPr>
          <w:rFonts w:ascii="Calibri" w:eastAsia="Calibri" w:hAnsi="Calibri" w:cs="Calibri"/>
          <w:sz w:val="24"/>
          <w:szCs w:val="24"/>
        </w:rPr>
        <w:t xml:space="preserve">En 2023 se conmemoraron 50 años del golpe cívico-militar. No obstante, a diferencia de lo ocurrido en el marco de los 40 años, donde prevalecieron por parte de distintas autoridades del Estado los discursos que reafirmaban el compromiso con la democracia y la garantía de los derechos humanos, en este período todo ello se puso en duda, instalando una falsa y peligrosa dicotomía entre democracia y derechos humanos versus seguridad pública. </w:t>
      </w:r>
    </w:p>
    <w:p w14:paraId="73B04FB9" w14:textId="77777777" w:rsidR="00BC4AAD" w:rsidRDefault="0099729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jc w:val="both"/>
        <w:rPr>
          <w:rFonts w:ascii="Calibri" w:eastAsia="Calibri" w:hAnsi="Calibri" w:cs="Calibri"/>
          <w:sz w:val="24"/>
          <w:szCs w:val="24"/>
        </w:rPr>
      </w:pPr>
      <w:r>
        <w:rPr>
          <w:rFonts w:ascii="Calibri" w:eastAsia="Calibri" w:hAnsi="Calibri" w:cs="Calibri"/>
          <w:sz w:val="24"/>
          <w:szCs w:val="24"/>
        </w:rPr>
        <w:t>Cabe señalar que en octubre de 2019 se inició en el país una revuelta ciudadana de amplia base social y alcance nacional, con acciones mayoritariamente pacíficas y masivas</w:t>
      </w:r>
      <w:r>
        <w:rPr>
          <w:rFonts w:ascii="Calibri" w:eastAsia="Calibri" w:hAnsi="Calibri" w:cs="Calibri"/>
          <w:sz w:val="24"/>
          <w:szCs w:val="24"/>
          <w:vertAlign w:val="superscript"/>
        </w:rPr>
        <w:footnoteReference w:id="1"/>
      </w:r>
      <w:r>
        <w:rPr>
          <w:rFonts w:ascii="Calibri" w:eastAsia="Calibri" w:hAnsi="Calibri" w:cs="Calibri"/>
          <w:sz w:val="24"/>
          <w:szCs w:val="24"/>
        </w:rPr>
        <w:t>. El Gobierno invocó la Ley de Seguridad del Estado contra quienes resultaran responsables de los daños y decretó estado de excepción constitucional en distintas ciudades del país, restringiendo libertades de reunión y tránsito, y convocando militares a reestablecer el orden público junto a la policía. Organismos nacionales e internacionales de derechos humanos</w:t>
      </w:r>
      <w:r>
        <w:rPr>
          <w:rFonts w:ascii="Calibri" w:eastAsia="Calibri" w:hAnsi="Calibri" w:cs="Calibri"/>
          <w:sz w:val="24"/>
          <w:szCs w:val="24"/>
          <w:vertAlign w:val="superscript"/>
        </w:rPr>
        <w:footnoteReference w:id="2"/>
      </w:r>
      <w:r>
        <w:rPr>
          <w:rFonts w:ascii="Calibri" w:eastAsia="Calibri" w:hAnsi="Calibri" w:cs="Calibri"/>
          <w:sz w:val="24"/>
          <w:szCs w:val="24"/>
        </w:rPr>
        <w:t xml:space="preserve"> dieron cuenta de la comisión de graves, reiteradas y generalizadas violaciones a los derechos humanos, destacando casos de ejecuciones extrajudiciales, tortura, violencia política sexual, graves lesiones oculares y uso desmedido e indiscriminado de la fuerza por las fuerzas de seguridad.</w:t>
      </w:r>
    </w:p>
    <w:p w14:paraId="4DEF5375" w14:textId="77777777" w:rsidR="00BC4AAD" w:rsidRDefault="0099729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jc w:val="both"/>
        <w:rPr>
          <w:rFonts w:ascii="Calibri" w:eastAsia="Calibri" w:hAnsi="Calibri" w:cs="Calibri"/>
          <w:sz w:val="24"/>
          <w:szCs w:val="24"/>
        </w:rPr>
      </w:pPr>
      <w:r>
        <w:rPr>
          <w:rFonts w:ascii="Calibri" w:eastAsia="Calibri" w:hAnsi="Calibri" w:cs="Calibri"/>
          <w:sz w:val="24"/>
          <w:szCs w:val="24"/>
        </w:rPr>
        <w:t xml:space="preserve">Información del Ministerio Público, a noviembre de 2022, da cuenta de 10.761 investigaciones por violencia institucional, de estas 47 corresponden a violencia sexual, 254 </w:t>
      </w:r>
      <w:r w:rsidR="00BD6689" w:rsidRPr="00BD6689">
        <w:rPr>
          <w:rFonts w:ascii="Calibri" w:eastAsia="Calibri" w:hAnsi="Calibri" w:cs="Calibri"/>
          <w:sz w:val="24"/>
          <w:szCs w:val="24"/>
        </w:rPr>
        <w:t>a desnudamiento forzado y 8 a delitos sexuales, con formalización en 10 casos</w:t>
      </w:r>
      <w:r w:rsidR="00BD6689" w:rsidRPr="00BD6689">
        <w:rPr>
          <w:rFonts w:ascii="Calibri" w:eastAsia="Calibri" w:hAnsi="Calibri" w:cs="Calibri"/>
          <w:sz w:val="24"/>
          <w:szCs w:val="24"/>
          <w:vertAlign w:val="superscript"/>
        </w:rPr>
        <w:footnoteReference w:id="3"/>
      </w:r>
      <w:r w:rsidR="00BD6689" w:rsidRPr="00BD6689">
        <w:rPr>
          <w:rFonts w:ascii="Calibri" w:eastAsia="Calibri" w:hAnsi="Calibri" w:cs="Calibri"/>
          <w:sz w:val="24"/>
          <w:szCs w:val="24"/>
        </w:rPr>
        <w:t>. De acuerdo a la Defensoría de la Niñez, entre el 18 de octubre de 2019 y marzo de 2020, 2.178 niños, niñas y adolescentes fueron víctimas de delitos que involucran violaciones a sus derechos humanos en este mismo contexto</w:t>
      </w:r>
      <w:r w:rsidR="00BD6689" w:rsidRPr="00BD6689">
        <w:rPr>
          <w:rStyle w:val="Refdenotaalpie"/>
          <w:rFonts w:eastAsia="Calibri" w:cs="Calibri"/>
          <w:szCs w:val="24"/>
        </w:rPr>
        <w:footnoteReference w:id="4"/>
      </w:r>
      <w:r w:rsidR="00BD6689" w:rsidRPr="00BD6689">
        <w:rPr>
          <w:rFonts w:ascii="Calibri" w:eastAsia="Calibri" w:hAnsi="Calibri" w:cs="Calibri"/>
          <w:sz w:val="24"/>
          <w:szCs w:val="24"/>
        </w:rPr>
        <w:t xml:space="preserve">. </w:t>
      </w:r>
      <w:r w:rsidRPr="00BD6689">
        <w:rPr>
          <w:rFonts w:ascii="Calibri" w:eastAsia="Calibri" w:hAnsi="Calibri" w:cs="Calibri"/>
          <w:sz w:val="24"/>
          <w:szCs w:val="24"/>
        </w:rPr>
        <w:t xml:space="preserve">Distintos organismos internacionales de derechos humanos han recomendado al Estado de Chile capacitación a los agentes del orden sobre adecuado uso de la fuerza y respeto de marcos de derechos humanos. Pese a que el Estado </w:t>
      </w:r>
      <w:r>
        <w:rPr>
          <w:rFonts w:ascii="Calibri" w:eastAsia="Calibri" w:hAnsi="Calibri" w:cs="Calibri"/>
          <w:sz w:val="24"/>
          <w:szCs w:val="24"/>
        </w:rPr>
        <w:t xml:space="preserve">reporta avances en capacitación y entrenamiento a policías, según antecedentes recopilados desde 2011 por Comisión de Observadores/as de Derechos Humanos de Casa Memoria José Domingo Cañas (CODDHHJDC), no se identifican cambios en el accionar policial. </w:t>
      </w:r>
    </w:p>
    <w:p w14:paraId="71619507" w14:textId="77777777" w:rsidR="00BC4AAD" w:rsidRDefault="0099729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jc w:val="both"/>
        <w:rPr>
          <w:rFonts w:ascii="Calibri" w:eastAsia="Calibri" w:hAnsi="Calibri" w:cs="Calibri"/>
          <w:sz w:val="24"/>
          <w:szCs w:val="24"/>
        </w:rPr>
      </w:pPr>
      <w:r>
        <w:rPr>
          <w:rFonts w:ascii="Calibri" w:eastAsia="Calibri" w:hAnsi="Calibri" w:cs="Calibri"/>
          <w:sz w:val="24"/>
          <w:szCs w:val="24"/>
        </w:rPr>
        <w:t xml:space="preserve">A las organizaciones de derechos humanos suscriptoras de este informe, de larga trayectoria en la promoción y defensa de los derechos humanos, nos preocupa la relativización de las obligaciones del Estado de cumplir con sus compromisos en materia de </w:t>
      </w:r>
      <w:r>
        <w:rPr>
          <w:rFonts w:ascii="Calibri" w:eastAsia="Calibri" w:hAnsi="Calibri" w:cs="Calibri"/>
          <w:sz w:val="24"/>
          <w:szCs w:val="24"/>
        </w:rPr>
        <w:lastRenderedPageBreak/>
        <w:t xml:space="preserve">garantía de los derechos humanos en el país, reparar las violaciones a los derechos humanos cometidas y adoptar medidas de no repetición, especialmente cuando se trata de crímenes ejecutados por agentes del Estado. </w:t>
      </w:r>
    </w:p>
    <w:p w14:paraId="479F3277" w14:textId="77777777" w:rsidR="00BC4AAD" w:rsidRDefault="0099729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jc w:val="both"/>
        <w:rPr>
          <w:rFonts w:ascii="Calibri" w:eastAsia="Calibri" w:hAnsi="Calibri" w:cs="Calibri"/>
          <w:sz w:val="24"/>
          <w:szCs w:val="24"/>
        </w:rPr>
      </w:pPr>
      <w:r>
        <w:rPr>
          <w:rFonts w:ascii="Calibri" w:eastAsia="Calibri" w:hAnsi="Calibri" w:cs="Calibri"/>
          <w:sz w:val="24"/>
          <w:szCs w:val="24"/>
        </w:rPr>
        <w:t xml:space="preserve">Una muestra de esta relativización es la polémica generada en enero de 2024 por las pensiones de gracia otorgadas a víctimas de la acción de agentes estatales en el marco del estallido social ocurrido en el país a fines del 2019. En dicho periodo, como se ha señalado, se cometieron violaciones graves a los derechos humanos, contabilizándose más de 8.000 víctimas y 400 casos de trauma ocular. La gran mayoría de los casos permanece impune, sus víctimas no han sido reconocidas ni tampoco reparadas. Más allá de lo insuficiente que resulta la reparación de una parte de las víctimas (419), por la vía de otorgar “pensiones de gracia”, en lugar de reparaciones integrales definidas con base a informes de una Comisión Calificadora de casos -que no se ha conformado- preocupa que en la actualidad se plantee una regresión en dicha medida. </w:t>
      </w:r>
    </w:p>
    <w:p w14:paraId="415FE210" w14:textId="77777777" w:rsidR="00BC4AAD" w:rsidRDefault="0099729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jc w:val="both"/>
        <w:rPr>
          <w:rFonts w:ascii="Calibri" w:eastAsia="Calibri" w:hAnsi="Calibri" w:cs="Calibri"/>
          <w:sz w:val="24"/>
          <w:szCs w:val="24"/>
        </w:rPr>
      </w:pPr>
      <w:r>
        <w:rPr>
          <w:rFonts w:ascii="Calibri" w:eastAsia="Calibri" w:hAnsi="Calibri" w:cs="Calibri"/>
          <w:sz w:val="24"/>
          <w:szCs w:val="24"/>
        </w:rPr>
        <w:t>La propuesta planteada públicamente por algunos parlamentarios y autoridades de gobierno de revisar y revocar algunas de estas pensiones en razón de antecedentes penales de sus beneficiarios, desconoce las obligaciones que corresponden al Estado en orden a reparar las violaciones a los derechos humanos, obligación que deriva del comportamiento de sus agentes y del daño causado, y no de la buena o mala conducta que hayan mantenido quienes resultaron agredidos.</w:t>
      </w:r>
    </w:p>
    <w:p w14:paraId="167049B2" w14:textId="77777777" w:rsidR="00BC4AAD" w:rsidRDefault="0099729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jc w:val="both"/>
        <w:rPr>
          <w:rFonts w:ascii="Calibri" w:eastAsia="Calibri" w:hAnsi="Calibri" w:cs="Calibri"/>
          <w:sz w:val="24"/>
          <w:szCs w:val="24"/>
        </w:rPr>
      </w:pPr>
      <w:r>
        <w:rPr>
          <w:rFonts w:ascii="Calibri" w:eastAsia="Calibri" w:hAnsi="Calibri" w:cs="Calibri"/>
          <w:sz w:val="24"/>
          <w:szCs w:val="24"/>
        </w:rPr>
        <w:t>En Chile se han violado gravemente los derechos humanos de miles de personas, durante la dictadura cívico militar y también en democracia. La ausencia de políticas integrales de verdad, memoria, justicia y reparación redunda en impunidad y favorece su repetición. De ahí que resulte necesario fortalecer el compromiso de todos los poderes y órganos del Estado con la dignidad humana, la vigencia plena de los derechos humanos y el sistema democrático, y la adopción de políticas integrales de reparación de las violaciones a los derechos humanos cometidas en democracia, particularmente durante el estallido social.</w:t>
      </w:r>
    </w:p>
    <w:p w14:paraId="6CC7E8E2" w14:textId="77777777" w:rsidR="00BC4AAD" w:rsidRDefault="0099729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jc w:val="both"/>
        <w:rPr>
          <w:rFonts w:ascii="Calibri" w:eastAsia="Calibri" w:hAnsi="Calibri" w:cs="Calibri"/>
          <w:b/>
          <w:sz w:val="24"/>
          <w:szCs w:val="24"/>
        </w:rPr>
      </w:pPr>
      <w:r>
        <w:rPr>
          <w:rFonts w:ascii="Calibri" w:eastAsia="Calibri" w:hAnsi="Calibri" w:cs="Calibri"/>
          <w:b/>
          <w:sz w:val="24"/>
          <w:szCs w:val="24"/>
        </w:rPr>
        <w:t>Recomendaciones</w:t>
      </w:r>
    </w:p>
    <w:p w14:paraId="4C3E2149" w14:textId="77777777" w:rsidR="00BC4AAD" w:rsidRDefault="00997294">
      <w:pPr>
        <w:numPr>
          <w:ilvl w:val="0"/>
          <w:numId w:val="5"/>
        </w:numPr>
        <w:spacing w:after="120" w:line="240" w:lineRule="auto"/>
        <w:jc w:val="both"/>
        <w:rPr>
          <w:rFonts w:ascii="Calibri" w:eastAsia="Calibri" w:hAnsi="Calibri" w:cs="Calibri"/>
          <w:sz w:val="24"/>
          <w:szCs w:val="24"/>
        </w:rPr>
      </w:pPr>
      <w:r>
        <w:rPr>
          <w:rFonts w:ascii="Calibri" w:eastAsia="Calibri" w:hAnsi="Calibri" w:cs="Calibri"/>
          <w:sz w:val="24"/>
          <w:szCs w:val="24"/>
        </w:rPr>
        <w:t>Crear e implementar una comisión de investigación y reparación independiente para abordar los casos del estallido social (2019-2020). La misma debe estar centrada en las víctimas y enfocarse en investigar los casos de violaciones graves de los derechos humanos en el contexto de manifestaciones pacíficas, incluidos los casos de mutilación ocular, víctimas de perdigones, violencia política sexual y de género. Esta comisión debe que garantizar la reparación a las víctimas y contar con mecanismos de rendición de cuentas periódicas. </w:t>
      </w:r>
    </w:p>
    <w:p w14:paraId="068FB8AD" w14:textId="77777777" w:rsidR="00BC4AAD" w:rsidRDefault="00997294">
      <w:pPr>
        <w:numPr>
          <w:ilvl w:val="0"/>
          <w:numId w:val="5"/>
        </w:num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jc w:val="both"/>
        <w:rPr>
          <w:rFonts w:ascii="Calibri" w:eastAsia="Calibri" w:hAnsi="Calibri" w:cs="Calibri"/>
          <w:sz w:val="24"/>
          <w:szCs w:val="24"/>
        </w:rPr>
      </w:pPr>
      <w:r>
        <w:rPr>
          <w:rFonts w:ascii="Calibri" w:eastAsia="Calibri" w:hAnsi="Calibri" w:cs="Calibri"/>
          <w:sz w:val="24"/>
          <w:szCs w:val="24"/>
        </w:rPr>
        <w:t>Adecuar procesos de formación permanentes de FFAA y de Orden y Seguridad incorporando estándares de DDHH en la actuación de sus funcionarios.</w:t>
      </w:r>
    </w:p>
    <w:p w14:paraId="52AC7F71" w14:textId="77777777" w:rsidR="00BC4AAD" w:rsidRDefault="00997294">
      <w:pPr>
        <w:numPr>
          <w:ilvl w:val="0"/>
          <w:numId w:val="5"/>
        </w:num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jc w:val="both"/>
        <w:rPr>
          <w:rFonts w:ascii="Calibri" w:eastAsia="Calibri" w:hAnsi="Calibri" w:cs="Calibri"/>
          <w:sz w:val="24"/>
          <w:szCs w:val="24"/>
        </w:rPr>
      </w:pPr>
      <w:r>
        <w:rPr>
          <w:rFonts w:ascii="Calibri" w:eastAsia="Calibri" w:hAnsi="Calibri" w:cs="Calibri"/>
          <w:sz w:val="24"/>
          <w:szCs w:val="24"/>
        </w:rPr>
        <w:t>Instalar mecanismos de fiscalización de las acciones de las FFAA y de Orden y Seguridad para garantizar actuar conforme a estándares de DDHH.</w:t>
      </w:r>
    </w:p>
    <w:p w14:paraId="3EA1ED8A" w14:textId="77777777" w:rsidR="00BC4AAD" w:rsidRDefault="00997294">
      <w:pPr>
        <w:numPr>
          <w:ilvl w:val="0"/>
          <w:numId w:val="5"/>
        </w:num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jc w:val="both"/>
        <w:rPr>
          <w:rFonts w:ascii="Calibri" w:eastAsia="Calibri" w:hAnsi="Calibri" w:cs="Calibri"/>
          <w:sz w:val="24"/>
          <w:szCs w:val="24"/>
        </w:rPr>
      </w:pPr>
      <w:r>
        <w:rPr>
          <w:rFonts w:ascii="Calibri" w:eastAsia="Calibri" w:hAnsi="Calibri" w:cs="Calibri"/>
          <w:sz w:val="24"/>
          <w:szCs w:val="24"/>
        </w:rPr>
        <w:t>Adoptar medidas para esclarecer denuncias de violaciones a los DDHH ocurridas durante revuelta social, sancionar a responsables y reparar a víctimas, incluyendo a sobrevivientes de violencia sexual.</w:t>
      </w:r>
    </w:p>
    <w:p w14:paraId="652298A7" w14:textId="77777777" w:rsidR="00BC4AAD" w:rsidRPr="008D7500" w:rsidRDefault="00997294" w:rsidP="00B92FDB">
      <w:pPr>
        <w:spacing w:after="120" w:line="240" w:lineRule="auto"/>
        <w:jc w:val="both"/>
        <w:rPr>
          <w:rFonts w:ascii="Calibri" w:eastAsia="Calibri" w:hAnsi="Calibri" w:cs="Calibri"/>
          <w:b/>
          <w:sz w:val="26"/>
          <w:szCs w:val="26"/>
        </w:rPr>
      </w:pPr>
      <w:r w:rsidRPr="008D7500">
        <w:rPr>
          <w:rFonts w:ascii="Calibri" w:eastAsia="Calibri" w:hAnsi="Calibri" w:cs="Calibri"/>
          <w:b/>
          <w:sz w:val="26"/>
          <w:szCs w:val="26"/>
        </w:rPr>
        <w:lastRenderedPageBreak/>
        <w:t>Información específica sobre la aplicación de los artículos 1 a 27 del Pacto, incluida la relacionada con las recomendaciones anteriores del Comité</w:t>
      </w:r>
    </w:p>
    <w:p w14:paraId="7B47307B" w14:textId="77777777" w:rsidR="008D7500" w:rsidRDefault="00997294">
      <w:pPr>
        <w:keepNext/>
        <w:keepLines/>
        <w:pBdr>
          <w:top w:val="nil"/>
          <w:left w:val="nil"/>
          <w:bottom w:val="nil"/>
          <w:right w:val="nil"/>
          <w:between w:val="nil"/>
        </w:pBdr>
        <w:tabs>
          <w:tab w:val="right" w:pos="851"/>
        </w:tabs>
        <w:spacing w:after="120" w:line="240" w:lineRule="auto"/>
        <w:ind w:left="1134" w:right="1134" w:hanging="1134"/>
        <w:rPr>
          <w:rFonts w:ascii="Calibri" w:eastAsia="Calibri" w:hAnsi="Calibri" w:cs="Calibri"/>
          <w:b/>
          <w:sz w:val="24"/>
          <w:szCs w:val="24"/>
        </w:rPr>
      </w:pPr>
      <w:r>
        <w:rPr>
          <w:rFonts w:ascii="Calibri" w:eastAsia="Calibri" w:hAnsi="Calibri" w:cs="Calibri"/>
          <w:b/>
          <w:sz w:val="24"/>
          <w:szCs w:val="24"/>
        </w:rPr>
        <w:tab/>
      </w:r>
    </w:p>
    <w:p w14:paraId="751BDB83" w14:textId="77777777" w:rsidR="00BC4AAD" w:rsidRDefault="00997294">
      <w:pPr>
        <w:keepNext/>
        <w:keepLines/>
        <w:pBdr>
          <w:top w:val="nil"/>
          <w:left w:val="nil"/>
          <w:bottom w:val="nil"/>
          <w:right w:val="nil"/>
          <w:between w:val="nil"/>
        </w:pBdr>
        <w:tabs>
          <w:tab w:val="right" w:pos="851"/>
        </w:tabs>
        <w:spacing w:after="120" w:line="240" w:lineRule="auto"/>
        <w:ind w:left="1134" w:right="1134" w:hanging="1134"/>
        <w:rPr>
          <w:rFonts w:ascii="Calibri" w:eastAsia="Calibri" w:hAnsi="Calibri" w:cs="Calibri"/>
          <w:b/>
          <w:sz w:val="24"/>
          <w:szCs w:val="24"/>
        </w:rPr>
      </w:pPr>
      <w:r>
        <w:rPr>
          <w:rFonts w:ascii="Calibri" w:eastAsia="Calibri" w:hAnsi="Calibri" w:cs="Calibri"/>
          <w:b/>
          <w:sz w:val="24"/>
          <w:szCs w:val="24"/>
        </w:rPr>
        <w:t>Artículos 2, 14 y 26. Medidas de lucha contra el terrorismo</w:t>
      </w:r>
    </w:p>
    <w:p w14:paraId="48C1221B" w14:textId="77777777" w:rsidR="00BC4AAD" w:rsidRDefault="00997294">
      <w:pPr>
        <w:spacing w:after="120" w:line="240" w:lineRule="auto"/>
        <w:jc w:val="both"/>
        <w:rPr>
          <w:rFonts w:ascii="Calibri" w:eastAsia="Calibri" w:hAnsi="Calibri" w:cs="Calibri"/>
          <w:sz w:val="24"/>
          <w:szCs w:val="24"/>
        </w:rPr>
      </w:pPr>
      <w:r>
        <w:rPr>
          <w:rFonts w:ascii="Calibri" w:eastAsia="Calibri" w:hAnsi="Calibri" w:cs="Calibri"/>
          <w:sz w:val="24"/>
          <w:szCs w:val="24"/>
        </w:rPr>
        <w:t>Desde agosto de 2023 está en trámite ante el Senado de la República un proyecto de ley para modificar la legislación antiterrorista</w:t>
      </w:r>
      <w:r>
        <w:rPr>
          <w:rFonts w:ascii="Calibri" w:eastAsia="Calibri" w:hAnsi="Calibri" w:cs="Calibri"/>
          <w:sz w:val="24"/>
          <w:szCs w:val="24"/>
          <w:vertAlign w:val="superscript"/>
        </w:rPr>
        <w:footnoteReference w:id="5"/>
      </w:r>
      <w:r>
        <w:rPr>
          <w:rFonts w:ascii="Calibri" w:eastAsia="Calibri" w:hAnsi="Calibri" w:cs="Calibri"/>
          <w:sz w:val="24"/>
          <w:szCs w:val="24"/>
        </w:rPr>
        <w:t xml:space="preserve"> (primer trámite constitucional). El proyecto reemplaza la ley N° 18.314 que determina conductas terroristas y fija su penalidad (conocida como Ley Antiterrorista) y tipifica nuevos delitos de terrorismo. Se propone la tipificación de un delito de asociación terrorista con las siguientes características: i) asociación formada por tres o más personas con acción sostenida en el tiempo —siguiendo la reciente tipificación de las asociaciones delictivas y criminales; ii) dedicada a la comisión de ciertos “delitos-fin” de especial afectación o peligro para la vida, integridad o libertad de las personas; y iii) con determinados propósitos, detallados en el artículo correspondiente</w:t>
      </w:r>
      <w:r>
        <w:rPr>
          <w:rFonts w:ascii="Calibri" w:eastAsia="Calibri" w:hAnsi="Calibri" w:cs="Calibri"/>
          <w:sz w:val="24"/>
          <w:szCs w:val="24"/>
          <w:vertAlign w:val="superscript"/>
        </w:rPr>
        <w:footnoteReference w:id="6"/>
      </w:r>
      <w:r>
        <w:rPr>
          <w:rFonts w:ascii="Calibri" w:eastAsia="Calibri" w:hAnsi="Calibri" w:cs="Calibri"/>
          <w:sz w:val="24"/>
          <w:szCs w:val="24"/>
        </w:rPr>
        <w:t xml:space="preserve">. La sola pertenencia a una asociación terrorista permite ya configurar un delito. </w:t>
      </w:r>
    </w:p>
    <w:p w14:paraId="344646D7" w14:textId="77777777" w:rsidR="00BC4AAD" w:rsidRDefault="00997294">
      <w:pPr>
        <w:spacing w:after="120" w:line="240" w:lineRule="auto"/>
        <w:jc w:val="both"/>
        <w:rPr>
          <w:rFonts w:ascii="Calibri" w:eastAsia="Calibri" w:hAnsi="Calibri" w:cs="Calibri"/>
          <w:i/>
          <w:sz w:val="24"/>
          <w:szCs w:val="24"/>
        </w:rPr>
      </w:pPr>
      <w:r>
        <w:rPr>
          <w:rFonts w:ascii="Calibri" w:eastAsia="Calibri" w:hAnsi="Calibri" w:cs="Calibri"/>
          <w:sz w:val="24"/>
          <w:szCs w:val="24"/>
        </w:rPr>
        <w:t>En el Informe del Grupo de Trabajo sobre el más reciente Examen Periódico Universal a nuestro país la delegación chilena señala que “el proyecto de ley que sustituiría a la legislación antiterrorista vigente armonizaría esa legislación con las normas de derechos humanos. Establecía formas objetivas de comportamiento que equivalían a la comisión de delitos de terrorismo, permitía el uso de técnicas especiales de investigación e impedía la condena basada exclusivamente en pruebas testimoniales de testigos protegidos”</w:t>
      </w:r>
      <w:r>
        <w:rPr>
          <w:rFonts w:ascii="Calibri" w:eastAsia="Calibri" w:hAnsi="Calibri" w:cs="Calibri"/>
          <w:sz w:val="24"/>
          <w:szCs w:val="24"/>
          <w:vertAlign w:val="superscript"/>
        </w:rPr>
        <w:footnoteReference w:id="7"/>
      </w:r>
      <w:r>
        <w:rPr>
          <w:rFonts w:ascii="Calibri" w:eastAsia="Calibri" w:hAnsi="Calibri" w:cs="Calibri"/>
          <w:i/>
          <w:sz w:val="24"/>
          <w:szCs w:val="24"/>
        </w:rPr>
        <w:t>.</w:t>
      </w:r>
    </w:p>
    <w:p w14:paraId="07188891" w14:textId="77777777" w:rsidR="00BC4AAD" w:rsidRDefault="00997294">
      <w:pPr>
        <w:spacing w:after="120" w:line="240" w:lineRule="auto"/>
        <w:jc w:val="both"/>
        <w:rPr>
          <w:rFonts w:ascii="Calibri" w:eastAsia="Calibri" w:hAnsi="Calibri" w:cs="Calibri"/>
          <w:sz w:val="24"/>
          <w:szCs w:val="24"/>
        </w:rPr>
      </w:pPr>
      <w:r>
        <w:rPr>
          <w:rFonts w:ascii="Calibri" w:eastAsia="Calibri" w:hAnsi="Calibri" w:cs="Calibri"/>
          <w:sz w:val="24"/>
          <w:szCs w:val="24"/>
        </w:rPr>
        <w:t>Sin embargo, pese a los avances que supone actualizar y mejorar los estándares de protección, detección y persecución de los delitos terroristas, el proyecto no diferencia claramente el terrorismo de otras formas de delincuencia organizada y de la delincuencia común, lo que supone una dificultad. Tampoco se proponen normas orientadas a asegurar las garantías procesales de personas imputadas o acusadas de terrorismo. Además, se propone un delito de terrorismo individual específico, desvinculado de toda asociación. El proyecto tampoco considera excepciones que permitan evitar la criminalización de pequeños grupos de autodefensa del territorio.</w:t>
      </w:r>
    </w:p>
    <w:p w14:paraId="533BC9B6" w14:textId="77777777" w:rsidR="008D7500" w:rsidRDefault="008D7500">
      <w:pPr>
        <w:spacing w:line="240" w:lineRule="auto"/>
        <w:rPr>
          <w:rFonts w:ascii="Calibri" w:eastAsia="Calibri" w:hAnsi="Calibri" w:cs="Calibri"/>
          <w:b/>
          <w:sz w:val="24"/>
          <w:szCs w:val="24"/>
        </w:rPr>
      </w:pPr>
      <w:r>
        <w:rPr>
          <w:rFonts w:ascii="Calibri" w:eastAsia="Calibri" w:hAnsi="Calibri" w:cs="Calibri"/>
          <w:b/>
          <w:sz w:val="24"/>
          <w:szCs w:val="24"/>
        </w:rPr>
        <w:br w:type="page"/>
      </w:r>
    </w:p>
    <w:p w14:paraId="37B63D4F" w14:textId="77777777" w:rsidR="00BC4AAD" w:rsidRDefault="00997294">
      <w:pPr>
        <w:spacing w:after="120" w:line="240" w:lineRule="auto"/>
        <w:jc w:val="both"/>
        <w:rPr>
          <w:rFonts w:ascii="Calibri" w:eastAsia="Calibri" w:hAnsi="Calibri" w:cs="Calibri"/>
          <w:sz w:val="24"/>
          <w:szCs w:val="24"/>
        </w:rPr>
      </w:pPr>
      <w:r>
        <w:rPr>
          <w:rFonts w:ascii="Calibri" w:eastAsia="Calibri" w:hAnsi="Calibri" w:cs="Calibri"/>
          <w:b/>
          <w:sz w:val="24"/>
          <w:szCs w:val="24"/>
        </w:rPr>
        <w:lastRenderedPageBreak/>
        <w:t>Recomendaciones:</w:t>
      </w:r>
    </w:p>
    <w:p w14:paraId="655AD2A5" w14:textId="77777777" w:rsidR="00BC4AAD" w:rsidRDefault="00997294">
      <w:pPr>
        <w:numPr>
          <w:ilvl w:val="0"/>
          <w:numId w:val="2"/>
        </w:numPr>
        <w:pBdr>
          <w:top w:val="nil"/>
          <w:left w:val="nil"/>
          <w:bottom w:val="nil"/>
          <w:right w:val="nil"/>
          <w:between w:val="nil"/>
        </w:pBdr>
        <w:spacing w:after="120" w:line="240" w:lineRule="auto"/>
        <w:jc w:val="both"/>
        <w:rPr>
          <w:rFonts w:ascii="Calibri" w:eastAsia="Calibri" w:hAnsi="Calibri" w:cs="Calibri"/>
          <w:sz w:val="24"/>
          <w:szCs w:val="24"/>
        </w:rPr>
      </w:pPr>
      <w:r>
        <w:rPr>
          <w:rFonts w:ascii="Calibri" w:eastAsia="Calibri" w:hAnsi="Calibri" w:cs="Calibri"/>
          <w:sz w:val="24"/>
          <w:szCs w:val="24"/>
        </w:rPr>
        <w:t>Adoptar acciones para asegurar las garantías procesales consagradas en el artículo 14 del Pacto a las personas acusadas por delitos de terrorismo.</w:t>
      </w:r>
    </w:p>
    <w:p w14:paraId="684FE0B3" w14:textId="77777777" w:rsidR="00BC4AAD" w:rsidRDefault="00997294">
      <w:pPr>
        <w:numPr>
          <w:ilvl w:val="0"/>
          <w:numId w:val="2"/>
        </w:numPr>
        <w:pBdr>
          <w:top w:val="nil"/>
          <w:left w:val="nil"/>
          <w:bottom w:val="nil"/>
          <w:right w:val="nil"/>
          <w:between w:val="nil"/>
        </w:pBdr>
        <w:spacing w:after="120" w:line="240" w:lineRule="auto"/>
        <w:jc w:val="both"/>
        <w:rPr>
          <w:rFonts w:ascii="Calibri" w:eastAsia="Calibri" w:hAnsi="Calibri" w:cs="Calibri"/>
          <w:sz w:val="24"/>
          <w:szCs w:val="24"/>
        </w:rPr>
      </w:pPr>
      <w:r>
        <w:rPr>
          <w:rFonts w:ascii="Calibri" w:eastAsia="Calibri" w:hAnsi="Calibri" w:cs="Calibri"/>
          <w:sz w:val="24"/>
          <w:szCs w:val="24"/>
        </w:rPr>
        <w:t>Modificar la ley antiterrorista para excluir su aplicación en el contexto de las protestas sociales por la reivindicación territorial y de derechos de los pueblos mapuche.</w:t>
      </w:r>
    </w:p>
    <w:p w14:paraId="5B6C2E48" w14:textId="77777777" w:rsidR="00BC4AAD" w:rsidRDefault="00BC4AAD">
      <w:pPr>
        <w:spacing w:after="120" w:line="240" w:lineRule="auto"/>
        <w:jc w:val="both"/>
        <w:rPr>
          <w:rFonts w:ascii="Calibri" w:eastAsia="Calibri" w:hAnsi="Calibri" w:cs="Calibri"/>
          <w:b/>
          <w:sz w:val="24"/>
          <w:szCs w:val="24"/>
        </w:rPr>
      </w:pPr>
    </w:p>
    <w:p w14:paraId="603878A4" w14:textId="77777777" w:rsidR="00BC4AAD" w:rsidRDefault="00997294">
      <w:pPr>
        <w:spacing w:after="120" w:line="240" w:lineRule="auto"/>
        <w:jc w:val="both"/>
        <w:rPr>
          <w:rFonts w:ascii="Calibri" w:eastAsia="Calibri" w:hAnsi="Calibri" w:cs="Calibri"/>
          <w:b/>
          <w:sz w:val="24"/>
          <w:szCs w:val="24"/>
        </w:rPr>
      </w:pPr>
      <w:r>
        <w:rPr>
          <w:rFonts w:ascii="Calibri" w:eastAsia="Calibri" w:hAnsi="Calibri" w:cs="Calibri"/>
          <w:b/>
          <w:sz w:val="24"/>
          <w:szCs w:val="24"/>
        </w:rPr>
        <w:t>Artículos 2, 3, 17 y 26. No discriminación, igualdad de derechos entre hombres y mujeres</w:t>
      </w:r>
    </w:p>
    <w:p w14:paraId="71790869" w14:textId="77777777" w:rsidR="00BC4AAD" w:rsidRDefault="00997294">
      <w:pPr>
        <w:pBdr>
          <w:top w:val="nil"/>
          <w:left w:val="nil"/>
          <w:bottom w:val="nil"/>
          <w:right w:val="nil"/>
          <w:between w:val="nil"/>
        </w:pBdr>
        <w:spacing w:after="120" w:line="240" w:lineRule="auto"/>
        <w:ind w:right="1134"/>
        <w:jc w:val="both"/>
        <w:rPr>
          <w:rFonts w:ascii="Calibri" w:eastAsia="Calibri" w:hAnsi="Calibri" w:cs="Calibri"/>
          <w:b/>
          <w:sz w:val="24"/>
          <w:szCs w:val="24"/>
        </w:rPr>
      </w:pPr>
      <w:r>
        <w:rPr>
          <w:rFonts w:ascii="Calibri" w:eastAsia="Calibri" w:hAnsi="Calibri" w:cs="Calibri"/>
          <w:b/>
          <w:sz w:val="24"/>
          <w:szCs w:val="24"/>
        </w:rPr>
        <w:t>Población LGTBIQ+</w:t>
      </w:r>
    </w:p>
    <w:p w14:paraId="4B44A65F" w14:textId="77777777" w:rsidR="00BC4AAD" w:rsidRDefault="00997294">
      <w:pPr>
        <w:spacing w:after="120" w:line="240" w:lineRule="auto"/>
        <w:jc w:val="both"/>
        <w:rPr>
          <w:rFonts w:ascii="Calibri" w:eastAsia="Calibri" w:hAnsi="Calibri" w:cs="Calibri"/>
          <w:sz w:val="24"/>
          <w:szCs w:val="24"/>
        </w:rPr>
      </w:pPr>
      <w:r>
        <w:rPr>
          <w:rFonts w:ascii="Calibri" w:eastAsia="Calibri" w:hAnsi="Calibri" w:cs="Calibri"/>
          <w:sz w:val="24"/>
          <w:szCs w:val="24"/>
        </w:rPr>
        <w:t>Existe un importante nivel de impunidad de los crímenes de odio contra las personas LGBTIQ+ debido a una extendida infradenuncia</w:t>
      </w:r>
      <w:r>
        <w:rPr>
          <w:rFonts w:ascii="Calibri" w:eastAsia="Calibri" w:hAnsi="Calibri" w:cs="Calibri"/>
          <w:sz w:val="24"/>
          <w:szCs w:val="24"/>
          <w:vertAlign w:val="superscript"/>
        </w:rPr>
        <w:footnoteReference w:id="8"/>
      </w:r>
      <w:r>
        <w:rPr>
          <w:rFonts w:ascii="Calibri" w:eastAsia="Calibri" w:hAnsi="Calibri" w:cs="Calibri"/>
          <w:sz w:val="24"/>
          <w:szCs w:val="24"/>
        </w:rPr>
        <w:t xml:space="preserve"> e incontables casos de subreporte</w:t>
      </w:r>
      <w:r>
        <w:rPr>
          <w:rFonts w:ascii="Calibri" w:eastAsia="Calibri" w:hAnsi="Calibri" w:cs="Calibri"/>
          <w:sz w:val="24"/>
          <w:szCs w:val="24"/>
          <w:vertAlign w:val="superscript"/>
        </w:rPr>
        <w:footnoteReference w:id="9"/>
      </w:r>
      <w:r>
        <w:rPr>
          <w:rFonts w:ascii="Calibri" w:eastAsia="Calibri" w:hAnsi="Calibri" w:cs="Calibri"/>
          <w:sz w:val="24"/>
          <w:szCs w:val="24"/>
        </w:rPr>
        <w:t>. La Subsecretaría de Prevención del Delito realizó en 2020 un Estudio Exploratorio de Discriminación y Violencia hacia personas LGBTIQ+</w:t>
      </w:r>
      <w:r>
        <w:rPr>
          <w:rFonts w:ascii="Calibri" w:eastAsia="Calibri" w:hAnsi="Calibri" w:cs="Calibri"/>
          <w:sz w:val="24"/>
          <w:szCs w:val="24"/>
          <w:vertAlign w:val="superscript"/>
        </w:rPr>
        <w:footnoteReference w:id="10"/>
      </w:r>
      <w:r>
        <w:rPr>
          <w:rFonts w:ascii="Calibri" w:eastAsia="Calibri" w:hAnsi="Calibri" w:cs="Calibri"/>
          <w:sz w:val="24"/>
          <w:szCs w:val="24"/>
        </w:rPr>
        <w:t xml:space="preserve"> a través de una encuesta web autoaplicada, apoyada por una campaña comunicacional para incentivar la participación. Si bien los resultados no son estadísticamente representativos de la población objetivo, sí dan cuenta de la realidad de las 3.271 personas participantes y resulta preocupante que sólo el 9,2% de quienes declararon haber sufrido una victimización motivada por prejuicio realizó una denuncia o reportó esta situación. Entre las razones más nombradas para no denunciar se encuentran: sentimiento de vergüenza de contar su situación (28.4%); no saber que se podía denunciar o dónde hacerlo (16.9%); percepción de que las policías o los tribunales no hubieran hecho nada (8.7%); y, el miedo a ser discriminado/a/e (7.7%).</w:t>
      </w:r>
    </w:p>
    <w:p w14:paraId="23AF58AA" w14:textId="77777777" w:rsidR="00BC4AAD" w:rsidRDefault="00997294">
      <w:pPr>
        <w:spacing w:after="120" w:line="240" w:lineRule="auto"/>
        <w:jc w:val="both"/>
        <w:rPr>
          <w:rFonts w:ascii="Calibri" w:eastAsia="Calibri" w:hAnsi="Calibri" w:cs="Calibri"/>
          <w:sz w:val="24"/>
          <w:szCs w:val="24"/>
        </w:rPr>
      </w:pPr>
      <w:r>
        <w:rPr>
          <w:rFonts w:ascii="Calibri" w:eastAsia="Calibri" w:hAnsi="Calibri" w:cs="Calibri"/>
          <w:sz w:val="24"/>
          <w:szCs w:val="24"/>
        </w:rPr>
        <w:t>En cuanto a los patrones de victimización por crímenes de odio, la probabilidad de sufrir estos delitos no estaría distribuida de manera equitativa entre los distintos grupos que componen la diversidad sexual y de género. Un estudio realizado por Fundación Iguales</w:t>
      </w:r>
      <w:r>
        <w:rPr>
          <w:rFonts w:ascii="Calibri" w:eastAsia="Calibri" w:hAnsi="Calibri" w:cs="Calibri"/>
          <w:sz w:val="24"/>
          <w:szCs w:val="24"/>
          <w:vertAlign w:val="superscript"/>
        </w:rPr>
        <w:footnoteReference w:id="11"/>
      </w:r>
      <w:r>
        <w:rPr>
          <w:rFonts w:ascii="Calibri" w:eastAsia="Calibri" w:hAnsi="Calibri" w:cs="Calibri"/>
          <w:sz w:val="24"/>
          <w:szCs w:val="24"/>
        </w:rPr>
        <w:t xml:space="preserve"> encontró una correlación estadísticamente significativa entre ser una persona trans, de género no binario u hombre gay y tener una mayor probabilidad de haber sido víctima de agresiones verbales o físicas motivadas por odio en comparación con otras personas LGBTIQ+. </w:t>
      </w:r>
    </w:p>
    <w:p w14:paraId="18E9368B" w14:textId="77777777" w:rsidR="00BC4AAD" w:rsidRDefault="00997294">
      <w:pPr>
        <w:spacing w:after="120" w:line="240" w:lineRule="auto"/>
        <w:jc w:val="both"/>
        <w:rPr>
          <w:rFonts w:ascii="Calibri" w:eastAsia="Calibri" w:hAnsi="Calibri" w:cs="Calibri"/>
          <w:sz w:val="24"/>
          <w:szCs w:val="24"/>
        </w:rPr>
      </w:pPr>
      <w:r>
        <w:rPr>
          <w:rFonts w:ascii="Calibri" w:eastAsia="Calibri" w:hAnsi="Calibri" w:cs="Calibri"/>
          <w:sz w:val="24"/>
          <w:szCs w:val="24"/>
        </w:rPr>
        <w:lastRenderedPageBreak/>
        <w:t>Al considerar los lugares donde más se cometen estos delitos, la evidencia muestra que estos corresponden, en primer lugar, a espacios públicos, seguidos por los establecimientos educacionales y el propio hogar</w:t>
      </w:r>
      <w:r>
        <w:rPr>
          <w:rFonts w:ascii="Calibri" w:eastAsia="Calibri" w:hAnsi="Calibri" w:cs="Calibri"/>
          <w:sz w:val="24"/>
          <w:szCs w:val="24"/>
          <w:vertAlign w:val="superscript"/>
        </w:rPr>
        <w:footnoteReference w:id="12"/>
      </w:r>
      <w:r>
        <w:rPr>
          <w:rFonts w:ascii="Calibri" w:eastAsia="Calibri" w:hAnsi="Calibri" w:cs="Calibri"/>
          <w:sz w:val="24"/>
          <w:szCs w:val="24"/>
        </w:rPr>
        <w:t>. Quienes los cometen son generalmente personas desconocidas por la víctima (75%), personas amigas o conocidas (18.5%), grupos organizados anti-LGBTIQ+ (17.3%) y personas de la escuela o universidad (17.2%), entre otros</w:t>
      </w:r>
      <w:r>
        <w:rPr>
          <w:rFonts w:ascii="Calibri" w:eastAsia="Calibri" w:hAnsi="Calibri" w:cs="Calibri"/>
          <w:sz w:val="24"/>
          <w:szCs w:val="24"/>
          <w:vertAlign w:val="superscript"/>
        </w:rPr>
        <w:footnoteReference w:id="13"/>
      </w:r>
      <w:r>
        <w:rPr>
          <w:rFonts w:ascii="Calibri" w:eastAsia="Calibri" w:hAnsi="Calibri" w:cs="Calibri"/>
          <w:sz w:val="24"/>
          <w:szCs w:val="24"/>
        </w:rPr>
        <w:t xml:space="preserve">. </w:t>
      </w:r>
    </w:p>
    <w:p w14:paraId="45DE4298" w14:textId="77777777" w:rsidR="00BC4AAD" w:rsidRDefault="00997294">
      <w:pPr>
        <w:spacing w:after="120" w:line="240" w:lineRule="auto"/>
        <w:jc w:val="both"/>
        <w:rPr>
          <w:rFonts w:ascii="Calibri" w:eastAsia="Calibri" w:hAnsi="Calibri" w:cs="Calibri"/>
          <w:sz w:val="24"/>
          <w:szCs w:val="24"/>
          <w:highlight w:val="yellow"/>
        </w:rPr>
      </w:pPr>
      <w:r>
        <w:rPr>
          <w:rFonts w:ascii="Calibri" w:eastAsia="Calibri" w:hAnsi="Calibri" w:cs="Calibri"/>
          <w:sz w:val="24"/>
          <w:szCs w:val="24"/>
        </w:rPr>
        <w:t xml:space="preserve">El hecho de que estos delitos ocurran mayoritariamente en lugares públicos y sean perpetrados por desconocidos puede redundar en un aumento de la percepción de inseguridad que sienten las personas LGBTIQ+ en diversos ámbitos sociales. Esto puede explicar, en parte, por qué estas personas se vean forzadas a esconder su orientación sexual, expresión o identidad de género en público, vulnerando su derecho a expresar su propia identidad. </w:t>
      </w:r>
    </w:p>
    <w:p w14:paraId="7AADA1B9" w14:textId="77777777" w:rsidR="00BC4AAD" w:rsidRDefault="00997294">
      <w:pPr>
        <w:pBdr>
          <w:top w:val="nil"/>
          <w:left w:val="nil"/>
          <w:bottom w:val="nil"/>
          <w:right w:val="nil"/>
          <w:between w:val="nil"/>
        </w:pBdr>
        <w:spacing w:after="120" w:line="240" w:lineRule="auto"/>
        <w:jc w:val="both"/>
        <w:rPr>
          <w:rFonts w:ascii="Calibri" w:eastAsia="Calibri" w:hAnsi="Calibri" w:cs="Calibri"/>
          <w:sz w:val="24"/>
          <w:szCs w:val="24"/>
        </w:rPr>
      </w:pPr>
      <w:r>
        <w:rPr>
          <w:rFonts w:ascii="Calibri" w:eastAsia="Calibri" w:hAnsi="Calibri" w:cs="Calibri"/>
          <w:sz w:val="24"/>
          <w:szCs w:val="24"/>
        </w:rPr>
        <w:t>Dado que los crímenes de odio afectan gravemente los derechos fundamentales de las personas LGBTIQ+, no basta su persecución penal, sino que se deben, además, implementar medidas necesarias para prevenir su ocurrencia y dar protección y acompañamiento a las víctimas y testigos. Estas medidas deben estar contenidas en la normativa aplicable a los crímenes de odio como una obligación del Estado, a través de la creación de una política nacional contra estos crímene</w:t>
      </w:r>
      <w:r w:rsidR="008D7500">
        <w:rPr>
          <w:rFonts w:ascii="Calibri" w:eastAsia="Calibri" w:hAnsi="Calibri" w:cs="Calibri"/>
          <w:sz w:val="24"/>
          <w:szCs w:val="24"/>
        </w:rPr>
        <w:t>s</w:t>
      </w:r>
      <w:r>
        <w:rPr>
          <w:rFonts w:ascii="Calibri" w:eastAsia="Calibri" w:hAnsi="Calibri" w:cs="Calibri"/>
          <w:sz w:val="24"/>
          <w:szCs w:val="24"/>
        </w:rPr>
        <w:t>, y el desarrollo de una institucionalidad para la prevención y erradicación de la discriminación, que entre sus mandatos tenga la implementación de esta política en específico.</w:t>
      </w:r>
    </w:p>
    <w:p w14:paraId="7222349C" w14:textId="77777777" w:rsidR="00BC4AAD" w:rsidRDefault="00997294">
      <w:pPr>
        <w:spacing w:after="120" w:line="240" w:lineRule="auto"/>
        <w:jc w:val="both"/>
        <w:rPr>
          <w:rFonts w:ascii="Calibri" w:eastAsia="Calibri" w:hAnsi="Calibri" w:cs="Calibri"/>
          <w:sz w:val="24"/>
          <w:szCs w:val="24"/>
        </w:rPr>
      </w:pPr>
      <w:r>
        <w:rPr>
          <w:rFonts w:ascii="Calibri" w:eastAsia="Calibri" w:hAnsi="Calibri" w:cs="Calibri"/>
          <w:sz w:val="24"/>
          <w:szCs w:val="24"/>
        </w:rPr>
        <w:t xml:space="preserve">Urge implementar políticas de prevención dirigidas a toda la población a través de actividades educativas y de sensibilización, que incorporen programas de Educación Sexual Integral en el sistema educativo. Asimismo, es clave contar con programas de prevención focalizados en aquellos ámbitos en que existe un mayor riesgo de que se cometan estos delitos. </w:t>
      </w:r>
    </w:p>
    <w:p w14:paraId="25492EFF" w14:textId="77777777" w:rsidR="00BC4AAD" w:rsidRDefault="00997294">
      <w:pPr>
        <w:spacing w:after="120" w:line="240" w:lineRule="auto"/>
        <w:jc w:val="both"/>
        <w:rPr>
          <w:rFonts w:ascii="Calibri" w:eastAsia="Calibri" w:hAnsi="Calibri" w:cs="Calibri"/>
          <w:sz w:val="24"/>
          <w:szCs w:val="24"/>
        </w:rPr>
      </w:pPr>
      <w:r>
        <w:rPr>
          <w:rFonts w:ascii="Calibri" w:eastAsia="Calibri" w:hAnsi="Calibri" w:cs="Calibri"/>
          <w:sz w:val="24"/>
          <w:szCs w:val="24"/>
        </w:rPr>
        <w:t>Es necesario que Chile implemente estrategias para promover la denuncia, por ejemplo, a través del empoderamiento de las víctimas y testigos, la facilitación de múltiples mecanismos de denuncia, la promoción de la confianza hacia las policías por parte de las personas LGBTIQ+ y el establecimiento de protocolos que eviten la victimización secundaria de estas personas. Asimismo, para mejorar la respuesta institucional a estos crímenes, es necesario que la política nacional incorpore capacitaciones, protocolos de actuación, manuales prácticos, y otras intervenciones que apoyen la labor de las policías y el Ministerio Público en esta materia. Se debe considerar la implementación de programas de rehabilitación para personas condenadas por estos delitos, promoviendo su desistimiento de la conducta delictual y previniendo su reincidencia.</w:t>
      </w:r>
    </w:p>
    <w:p w14:paraId="039CBCE4" w14:textId="77777777" w:rsidR="00BC4AAD" w:rsidRDefault="00997294">
      <w:pPr>
        <w:spacing w:after="120" w:line="240" w:lineRule="auto"/>
        <w:jc w:val="both"/>
        <w:rPr>
          <w:rFonts w:ascii="Calibri" w:eastAsia="Calibri" w:hAnsi="Calibri" w:cs="Calibri"/>
          <w:sz w:val="24"/>
          <w:szCs w:val="24"/>
        </w:rPr>
      </w:pPr>
      <w:r>
        <w:rPr>
          <w:rFonts w:ascii="Calibri" w:eastAsia="Calibri" w:hAnsi="Calibri" w:cs="Calibri"/>
          <w:sz w:val="24"/>
          <w:szCs w:val="24"/>
        </w:rPr>
        <w:t>En julio de 2019 ingresó al Senado un proyecto de ley que modifica y fortalece la ley N° 20.609 que establece medidas contra la discriminación</w:t>
      </w:r>
      <w:r>
        <w:rPr>
          <w:rFonts w:ascii="Calibri" w:eastAsia="Calibri" w:hAnsi="Calibri" w:cs="Calibri"/>
          <w:sz w:val="24"/>
          <w:szCs w:val="24"/>
          <w:vertAlign w:val="superscript"/>
        </w:rPr>
        <w:footnoteReference w:id="14"/>
      </w:r>
      <w:r>
        <w:rPr>
          <w:rFonts w:ascii="Calibri" w:eastAsia="Calibri" w:hAnsi="Calibri" w:cs="Calibri"/>
          <w:sz w:val="24"/>
          <w:szCs w:val="24"/>
        </w:rPr>
        <w:t xml:space="preserve">. Esta moción intenta responder a las falencias detectadas por la academia y organizaciones de la sociedad civil a partir de la </w:t>
      </w:r>
      <w:r>
        <w:rPr>
          <w:rFonts w:ascii="Calibri" w:eastAsia="Calibri" w:hAnsi="Calibri" w:cs="Calibri"/>
          <w:sz w:val="24"/>
          <w:szCs w:val="24"/>
        </w:rPr>
        <w:lastRenderedPageBreak/>
        <w:t xml:space="preserve">implementación de la ley, ampliando su objetivo, incorporando el deber de prevenir la discriminación, y promover y garantizar el principio de igualdad, sumando estos al mecanismo judicial ya instaurado por la ley; mejora la definición de discriminación y la referencia a las categorías de discriminación prohibida ajustándolas a lo establecido en instrumentos internacionales; suprime la excepción al principio de no discriminación; invierte la carga de la prueba; aumenta el monto máximo de la multa que puede fijar el juez contra las personas que han cometido actos u omisiones de discriminación arbitraria; otorga una indemnización de perjuicios a la persona afectada; y suprime la sanción contra el recurrente que es vencido en juicio. </w:t>
      </w:r>
    </w:p>
    <w:p w14:paraId="2F07188C" w14:textId="77777777" w:rsidR="00BC4AAD" w:rsidRDefault="00997294">
      <w:pPr>
        <w:spacing w:after="120" w:line="240" w:lineRule="auto"/>
        <w:jc w:val="both"/>
        <w:rPr>
          <w:rFonts w:ascii="Calibri" w:eastAsia="Calibri" w:hAnsi="Calibri" w:cs="Calibri"/>
          <w:b/>
          <w:sz w:val="24"/>
          <w:szCs w:val="24"/>
        </w:rPr>
      </w:pPr>
      <w:r>
        <w:rPr>
          <w:rFonts w:ascii="Calibri" w:eastAsia="Calibri" w:hAnsi="Calibri" w:cs="Calibri"/>
          <w:b/>
          <w:sz w:val="24"/>
          <w:szCs w:val="24"/>
        </w:rPr>
        <w:t>Recomendaciones:</w:t>
      </w:r>
    </w:p>
    <w:p w14:paraId="3E4582A9" w14:textId="77777777" w:rsidR="00BC4AAD" w:rsidRDefault="00997294">
      <w:pPr>
        <w:numPr>
          <w:ilvl w:val="0"/>
          <w:numId w:val="2"/>
        </w:numPr>
        <w:pBdr>
          <w:top w:val="nil"/>
          <w:left w:val="nil"/>
          <w:bottom w:val="nil"/>
          <w:right w:val="nil"/>
          <w:between w:val="nil"/>
        </w:pBdr>
        <w:spacing w:after="120" w:line="240" w:lineRule="auto"/>
        <w:jc w:val="both"/>
        <w:rPr>
          <w:rFonts w:ascii="Calibri" w:eastAsia="Calibri" w:hAnsi="Calibri" w:cs="Calibri"/>
          <w:sz w:val="24"/>
          <w:szCs w:val="24"/>
        </w:rPr>
      </w:pPr>
      <w:r>
        <w:rPr>
          <w:rFonts w:ascii="Calibri" w:eastAsia="Calibri" w:hAnsi="Calibri" w:cs="Calibri"/>
          <w:sz w:val="24"/>
          <w:szCs w:val="24"/>
        </w:rPr>
        <w:t>Acelerar la tramitación del proyecto de ley que modifica la ley 20.609, garantizando que responda a los propósitos planteados en su fundamentación; ampliar su objetivo incorporando el deber de prevenir la discriminación, y promover y garantizar el principio de igualdad; mejorar la definición de discriminación y la referencia a las categorías de discriminación prohibida;  suprimir la excepción al principio de no discriminación; invertir la carga de la prueba; reparar a las víctimas; entre otros.</w:t>
      </w:r>
    </w:p>
    <w:p w14:paraId="0BB25208" w14:textId="77777777" w:rsidR="00BC4AAD" w:rsidRDefault="00997294">
      <w:pPr>
        <w:numPr>
          <w:ilvl w:val="0"/>
          <w:numId w:val="2"/>
        </w:numPr>
        <w:pBdr>
          <w:top w:val="nil"/>
          <w:left w:val="nil"/>
          <w:bottom w:val="nil"/>
          <w:right w:val="nil"/>
          <w:between w:val="nil"/>
        </w:pBdr>
        <w:spacing w:after="120" w:line="240" w:lineRule="auto"/>
        <w:jc w:val="both"/>
        <w:rPr>
          <w:rFonts w:ascii="Calibri" w:eastAsia="Calibri" w:hAnsi="Calibri" w:cs="Calibri"/>
          <w:sz w:val="24"/>
          <w:szCs w:val="24"/>
        </w:rPr>
      </w:pPr>
      <w:r>
        <w:rPr>
          <w:rFonts w:ascii="Calibri" w:eastAsia="Calibri" w:hAnsi="Calibri" w:cs="Calibri"/>
          <w:sz w:val="24"/>
          <w:szCs w:val="24"/>
        </w:rPr>
        <w:t>Establecer una institucionalidad nacional encargada de diseñar, implementar, evaluar y mejorar las intervenciones que sean parte de la política nacional contra la discriminación y los crímenes de odio que considere la participación de las organizaciones de la sociedad civil y rinda cuenta sobre los avances y retrocesos observados.</w:t>
      </w:r>
    </w:p>
    <w:p w14:paraId="5301BF11" w14:textId="77777777" w:rsidR="00BC4AAD" w:rsidRDefault="00997294">
      <w:pPr>
        <w:numPr>
          <w:ilvl w:val="0"/>
          <w:numId w:val="2"/>
        </w:numPr>
        <w:pBdr>
          <w:top w:val="nil"/>
          <w:left w:val="nil"/>
          <w:bottom w:val="nil"/>
          <w:right w:val="nil"/>
          <w:between w:val="nil"/>
        </w:pBdr>
        <w:spacing w:after="120" w:line="240" w:lineRule="auto"/>
        <w:jc w:val="both"/>
        <w:rPr>
          <w:rFonts w:ascii="Calibri" w:eastAsia="Calibri" w:hAnsi="Calibri" w:cs="Calibri"/>
          <w:sz w:val="24"/>
          <w:szCs w:val="24"/>
        </w:rPr>
      </w:pPr>
      <w:r>
        <w:rPr>
          <w:rFonts w:ascii="Calibri" w:eastAsia="Calibri" w:hAnsi="Calibri" w:cs="Calibri"/>
          <w:sz w:val="24"/>
          <w:szCs w:val="24"/>
        </w:rPr>
        <w:t>Establecer el deber del Estado de prevenir la discriminación y crímenes de odio, investigar y sancionar a los responsables, proteger a las víctimas, brindar atención integral y reparación frente a la violación a sus derechos.</w:t>
      </w:r>
    </w:p>
    <w:p w14:paraId="050BD7EE" w14:textId="77777777" w:rsidR="00BC4AAD" w:rsidRDefault="00997294">
      <w:pPr>
        <w:numPr>
          <w:ilvl w:val="0"/>
          <w:numId w:val="2"/>
        </w:numPr>
        <w:pBdr>
          <w:top w:val="nil"/>
          <w:left w:val="nil"/>
          <w:bottom w:val="nil"/>
          <w:right w:val="nil"/>
          <w:between w:val="nil"/>
        </w:pBdr>
        <w:spacing w:after="120" w:line="240" w:lineRule="auto"/>
        <w:jc w:val="both"/>
        <w:rPr>
          <w:rFonts w:ascii="Calibri" w:eastAsia="Calibri" w:hAnsi="Calibri" w:cs="Calibri"/>
          <w:sz w:val="24"/>
          <w:szCs w:val="24"/>
        </w:rPr>
      </w:pPr>
      <w:r>
        <w:rPr>
          <w:rFonts w:ascii="Calibri" w:eastAsia="Calibri" w:hAnsi="Calibri" w:cs="Calibri"/>
          <w:sz w:val="24"/>
          <w:szCs w:val="24"/>
        </w:rPr>
        <w:t>Mejorar la respuesta institucional a los crímenes de odio contra las personas LGBTIQ+, promoviendo la denuncia de estos delitos y desarrollando sistemáticamente acciones de formación a las policías y el Ministerio Público para otorgar respuestas adecuadas y oportunas a las víctimas.</w:t>
      </w:r>
    </w:p>
    <w:p w14:paraId="32677664" w14:textId="77777777" w:rsidR="00BC4AAD" w:rsidRDefault="00BC4AAD">
      <w:pPr>
        <w:pBdr>
          <w:top w:val="nil"/>
          <w:left w:val="nil"/>
          <w:bottom w:val="nil"/>
          <w:right w:val="nil"/>
          <w:between w:val="nil"/>
        </w:pBdr>
        <w:spacing w:after="120" w:line="240" w:lineRule="auto"/>
        <w:ind w:right="1134"/>
        <w:jc w:val="both"/>
        <w:rPr>
          <w:rFonts w:ascii="Calibri" w:eastAsia="Calibri" w:hAnsi="Calibri" w:cs="Calibri"/>
          <w:b/>
          <w:sz w:val="24"/>
          <w:szCs w:val="24"/>
        </w:rPr>
      </w:pPr>
    </w:p>
    <w:p w14:paraId="4635A542" w14:textId="77777777" w:rsidR="00BC4AAD" w:rsidRDefault="00997294">
      <w:pPr>
        <w:pBdr>
          <w:top w:val="nil"/>
          <w:left w:val="nil"/>
          <w:bottom w:val="nil"/>
          <w:right w:val="nil"/>
          <w:between w:val="nil"/>
        </w:pBdr>
        <w:spacing w:after="120" w:line="240" w:lineRule="auto"/>
        <w:ind w:right="1134"/>
        <w:jc w:val="both"/>
        <w:rPr>
          <w:rFonts w:ascii="Calibri" w:eastAsia="Calibri" w:hAnsi="Calibri" w:cs="Calibri"/>
          <w:b/>
          <w:sz w:val="24"/>
          <w:szCs w:val="24"/>
        </w:rPr>
      </w:pPr>
      <w:r>
        <w:rPr>
          <w:rFonts w:ascii="Calibri" w:eastAsia="Calibri" w:hAnsi="Calibri" w:cs="Calibri"/>
          <w:b/>
          <w:sz w:val="24"/>
          <w:szCs w:val="24"/>
        </w:rPr>
        <w:t>Población mujeres</w:t>
      </w:r>
    </w:p>
    <w:p w14:paraId="1311A108" w14:textId="77777777" w:rsidR="00BC4AAD" w:rsidRDefault="00997294">
      <w:pPr>
        <w:pBdr>
          <w:top w:val="nil"/>
          <w:left w:val="nil"/>
          <w:bottom w:val="nil"/>
          <w:right w:val="nil"/>
          <w:between w:val="nil"/>
        </w:pBdr>
        <w:spacing w:after="120" w:line="240" w:lineRule="auto"/>
        <w:jc w:val="both"/>
        <w:rPr>
          <w:rFonts w:ascii="Calibri" w:eastAsia="Calibri" w:hAnsi="Calibri" w:cs="Calibri"/>
          <w:sz w:val="24"/>
          <w:szCs w:val="24"/>
          <w:highlight w:val="white"/>
        </w:rPr>
      </w:pPr>
      <w:r>
        <w:rPr>
          <w:rFonts w:ascii="Calibri" w:eastAsia="Calibri" w:hAnsi="Calibri" w:cs="Calibri"/>
          <w:sz w:val="24"/>
          <w:szCs w:val="24"/>
          <w:highlight w:val="white"/>
        </w:rPr>
        <w:t xml:space="preserve">En mayo de 2018 fue ingresado un mensaje presidencial que modifica la Carta Fundamental que </w:t>
      </w:r>
      <w:r>
        <w:rPr>
          <w:rFonts w:ascii="Calibri" w:eastAsia="Calibri" w:hAnsi="Calibri" w:cs="Calibri"/>
          <w:sz w:val="24"/>
          <w:szCs w:val="24"/>
        </w:rPr>
        <w:t>establece</w:t>
      </w:r>
      <w:r>
        <w:rPr>
          <w:rFonts w:ascii="Calibri" w:eastAsia="Calibri" w:hAnsi="Calibri" w:cs="Calibri"/>
          <w:sz w:val="24"/>
          <w:szCs w:val="24"/>
          <w:highlight w:val="white"/>
        </w:rPr>
        <w:t xml:space="preserve"> el deber del Estado de promover la igualdad de derechos entre hombres y mujeres</w:t>
      </w:r>
      <w:r>
        <w:rPr>
          <w:rFonts w:ascii="Calibri" w:eastAsia="Calibri" w:hAnsi="Calibri" w:cs="Calibri"/>
          <w:sz w:val="24"/>
          <w:szCs w:val="24"/>
          <w:highlight w:val="white"/>
          <w:vertAlign w:val="superscript"/>
        </w:rPr>
        <w:footnoteReference w:id="15"/>
      </w:r>
      <w:r>
        <w:rPr>
          <w:rFonts w:ascii="Calibri" w:eastAsia="Calibri" w:hAnsi="Calibri" w:cs="Calibri"/>
          <w:sz w:val="24"/>
          <w:szCs w:val="24"/>
          <w:highlight w:val="white"/>
        </w:rPr>
        <w:t>, que apunta a instituir como principio constitucional la igualdad de derechos entre hombres y mujeres, consagrando expresamente el deber del Estado de promover dicha igualdad. No obstante, este proyecto se encuentra en segundo trámite constitucional ante el Senado y sin movimiento desde enero de 2019.</w:t>
      </w:r>
    </w:p>
    <w:p w14:paraId="265B7165" w14:textId="77777777" w:rsidR="00BC4AAD" w:rsidRDefault="00997294">
      <w:pPr>
        <w:pBdr>
          <w:top w:val="nil"/>
          <w:left w:val="nil"/>
          <w:bottom w:val="nil"/>
          <w:right w:val="nil"/>
          <w:between w:val="nil"/>
        </w:pBdr>
        <w:spacing w:after="120" w:line="240" w:lineRule="auto"/>
        <w:jc w:val="both"/>
        <w:rPr>
          <w:rFonts w:ascii="Calibri" w:eastAsia="Calibri" w:hAnsi="Calibri" w:cs="Calibri"/>
          <w:sz w:val="24"/>
          <w:szCs w:val="24"/>
          <w:highlight w:val="white"/>
        </w:rPr>
      </w:pPr>
      <w:r>
        <w:rPr>
          <w:rFonts w:ascii="Calibri" w:eastAsia="Calibri" w:hAnsi="Calibri" w:cs="Calibri"/>
          <w:sz w:val="24"/>
          <w:szCs w:val="24"/>
          <w:highlight w:val="white"/>
        </w:rPr>
        <w:t xml:space="preserve">A fines de 2019 se dio inicio a un proceso constituyente que culminó en diciembre de 2023 con dos propuestas de texto de nueva Constitución rechazadas por la ciudadanía (plebiscito </w:t>
      </w:r>
      <w:r>
        <w:rPr>
          <w:rFonts w:ascii="Calibri" w:eastAsia="Calibri" w:hAnsi="Calibri" w:cs="Calibri"/>
          <w:sz w:val="24"/>
          <w:szCs w:val="24"/>
          <w:highlight w:val="white"/>
        </w:rPr>
        <w:lastRenderedPageBreak/>
        <w:t xml:space="preserve">constitucional de septiembre de 2022 y de diciembre de 2023), por lo que sigue vigente en el país la Constitución de 1980, adoptada durante la dictadura cívico militar, con reformas. Se mantiene la necesidad de establecer a nivel constitucional el principio de igualdad entre hombres y mujeres, garantizando no solo la igualdad ante la ley sino la igualdad sustantiva, mandatando al Estado a asumir un rol activo para erradicar la discriminación estructural, y otorgar protección especial a todos aquellos sectores de la población que padecen procesos estructurales de discriminación. </w:t>
      </w:r>
    </w:p>
    <w:p w14:paraId="1D1A0018" w14:textId="77777777" w:rsidR="00BC4AAD" w:rsidRDefault="00997294">
      <w:pPr>
        <w:spacing w:after="120" w:line="240" w:lineRule="auto"/>
        <w:jc w:val="both"/>
        <w:rPr>
          <w:rFonts w:ascii="Calibri" w:eastAsia="Calibri" w:hAnsi="Calibri" w:cs="Calibri"/>
          <w:sz w:val="24"/>
          <w:szCs w:val="24"/>
        </w:rPr>
      </w:pPr>
      <w:r>
        <w:rPr>
          <w:rFonts w:ascii="Calibri" w:eastAsia="Calibri" w:hAnsi="Calibri" w:cs="Calibri"/>
          <w:sz w:val="24"/>
          <w:szCs w:val="24"/>
        </w:rPr>
        <w:t>La adecuación normativa en materia de régimen matrimonial comprometida por el Estado hace 17 años al firmar en 2007 el Acuerdo de Solución Amistosa ante la Comisión Interamericana de Derechos Humanos (CIDH)</w:t>
      </w:r>
      <w:r>
        <w:rPr>
          <w:rFonts w:ascii="Calibri" w:eastAsia="Calibri" w:hAnsi="Calibri" w:cs="Calibri"/>
          <w:sz w:val="24"/>
          <w:szCs w:val="24"/>
          <w:vertAlign w:val="superscript"/>
        </w:rPr>
        <w:footnoteReference w:id="16"/>
      </w:r>
      <w:r>
        <w:rPr>
          <w:rFonts w:ascii="Calibri" w:eastAsia="Calibri" w:hAnsi="Calibri" w:cs="Calibri"/>
          <w:sz w:val="24"/>
          <w:szCs w:val="24"/>
        </w:rPr>
        <w:t xml:space="preserve"> sigue pendiente, por lo que las normas que privan a las mujeres casadas bajo sociedad conyugal de la administración del patrimonio social y de sus bienes propios y las mantienen subordinadas a las decisiones de sus maridos, continúan vigentes. En ese momento se encontraba en debate el proyecto de ley que modifica el Código Civil y leyes complementarias en materia de sociedad conyugal o comunidad de gananciales otorgando a la mujer y al marido iguales derechos y obligaciones</w:t>
      </w:r>
      <w:r>
        <w:rPr>
          <w:rFonts w:ascii="Calibri" w:eastAsia="Calibri" w:hAnsi="Calibri" w:cs="Calibri"/>
          <w:sz w:val="24"/>
          <w:szCs w:val="24"/>
          <w:vertAlign w:val="superscript"/>
        </w:rPr>
        <w:footnoteReference w:id="17"/>
      </w:r>
      <w:r>
        <w:rPr>
          <w:rFonts w:ascii="Calibri" w:eastAsia="Calibri" w:hAnsi="Calibri" w:cs="Calibri"/>
          <w:sz w:val="24"/>
          <w:szCs w:val="24"/>
        </w:rPr>
        <w:t>, debate que se paraliza en 2008.</w:t>
      </w:r>
    </w:p>
    <w:p w14:paraId="09824860" w14:textId="77777777" w:rsidR="00BC4AAD" w:rsidRDefault="00997294">
      <w:pPr>
        <w:spacing w:after="120" w:line="240" w:lineRule="auto"/>
        <w:jc w:val="both"/>
        <w:rPr>
          <w:rFonts w:ascii="Calibri" w:eastAsia="Calibri" w:hAnsi="Calibri" w:cs="Calibri"/>
          <w:sz w:val="24"/>
          <w:szCs w:val="24"/>
        </w:rPr>
      </w:pPr>
      <w:r>
        <w:rPr>
          <w:rFonts w:ascii="Calibri" w:eastAsia="Calibri" w:hAnsi="Calibri" w:cs="Calibri"/>
          <w:sz w:val="24"/>
          <w:szCs w:val="24"/>
        </w:rPr>
        <w:t>En 2011 se ingresa un nuevo mensaje presidencial para reformar la sociedad conyugal</w:t>
      </w:r>
      <w:r>
        <w:rPr>
          <w:rFonts w:ascii="Calibri" w:eastAsia="Calibri" w:hAnsi="Calibri" w:cs="Calibri"/>
          <w:sz w:val="24"/>
          <w:szCs w:val="24"/>
          <w:vertAlign w:val="superscript"/>
        </w:rPr>
        <w:footnoteReference w:id="18"/>
      </w:r>
      <w:r>
        <w:rPr>
          <w:rFonts w:ascii="Calibri" w:eastAsia="Calibri" w:hAnsi="Calibri" w:cs="Calibri"/>
          <w:sz w:val="24"/>
          <w:szCs w:val="24"/>
        </w:rPr>
        <w:t>, que refundido con otras mociones en la materia</w:t>
      </w:r>
      <w:r>
        <w:rPr>
          <w:rFonts w:ascii="Calibri" w:eastAsia="Calibri" w:hAnsi="Calibri" w:cs="Calibri"/>
          <w:sz w:val="24"/>
          <w:szCs w:val="24"/>
          <w:vertAlign w:val="superscript"/>
        </w:rPr>
        <w:footnoteReference w:id="19"/>
      </w:r>
      <w:r>
        <w:rPr>
          <w:rFonts w:ascii="Calibri" w:eastAsia="Calibri" w:hAnsi="Calibri" w:cs="Calibri"/>
          <w:sz w:val="24"/>
          <w:szCs w:val="24"/>
        </w:rPr>
        <w:t>, a enero de 2024 se encuentra todavía pendiente de aprobación, en segundo trámite constitucional ante el Senado.</w:t>
      </w:r>
    </w:p>
    <w:p w14:paraId="661F526E" w14:textId="77777777" w:rsidR="00BC4AAD" w:rsidRDefault="00997294">
      <w:pPr>
        <w:spacing w:after="120" w:line="240" w:lineRule="auto"/>
        <w:jc w:val="both"/>
        <w:rPr>
          <w:rFonts w:ascii="Calibri" w:eastAsia="Calibri" w:hAnsi="Calibri" w:cs="Calibri"/>
          <w:sz w:val="24"/>
          <w:szCs w:val="24"/>
        </w:rPr>
      </w:pPr>
      <w:r>
        <w:rPr>
          <w:rFonts w:ascii="Calibri" w:eastAsia="Calibri" w:hAnsi="Calibri" w:cs="Calibri"/>
          <w:sz w:val="24"/>
          <w:szCs w:val="24"/>
        </w:rPr>
        <w:t>En el largo tiempo transcurrido, han sido numerosas las reuniones sostenidas con diversas autoridades del Estado de Chile y ante la CIDH para el seguimiento del cumplimiento del Acuerdo de Solución Amistosa, en que han participado representantes del Estado y las peticionarias, la Sra. Sonia Arce, Corporación Humanas y Centro por la Justicia y el Derecho Internacional CEJIL. Cabe hacer notar que el régimen patrimonial de sociedad conyugal sigue siendo el que aplica por defecto, es decir, si los cónyuges no manifiestan una voluntad distinta, su matrimonio quedará inscrito bajo el régimen de sociedad conyugal.</w:t>
      </w:r>
    </w:p>
    <w:p w14:paraId="5AAA31B5" w14:textId="77777777" w:rsidR="00BC4AAD" w:rsidRDefault="00997294">
      <w:pPr>
        <w:spacing w:after="120" w:line="240" w:lineRule="auto"/>
        <w:jc w:val="both"/>
        <w:rPr>
          <w:rFonts w:ascii="Calibri" w:eastAsia="Calibri" w:hAnsi="Calibri" w:cs="Calibri"/>
          <w:sz w:val="24"/>
          <w:szCs w:val="24"/>
        </w:rPr>
      </w:pPr>
      <w:r>
        <w:rPr>
          <w:rFonts w:ascii="Calibri" w:eastAsia="Calibri" w:hAnsi="Calibri" w:cs="Calibri"/>
          <w:sz w:val="24"/>
          <w:szCs w:val="24"/>
        </w:rPr>
        <w:t>La ley Nº 20.840, que modifica el sistema binominal, estableció un sistema de cuotas de representación, obligando a los partidos políticos a que las candidaturas presentadas no superen el 60% de un mismo sexo</w:t>
      </w:r>
      <w:r>
        <w:rPr>
          <w:rFonts w:ascii="Calibri" w:eastAsia="Calibri" w:hAnsi="Calibri" w:cs="Calibri"/>
          <w:sz w:val="24"/>
          <w:szCs w:val="24"/>
          <w:vertAlign w:val="superscript"/>
        </w:rPr>
        <w:footnoteReference w:id="20"/>
      </w:r>
      <w:r>
        <w:rPr>
          <w:rFonts w:ascii="Calibri" w:eastAsia="Calibri" w:hAnsi="Calibri" w:cs="Calibri"/>
          <w:sz w:val="24"/>
          <w:szCs w:val="24"/>
        </w:rPr>
        <w:t>. Sin embargo, esta acciones afirmativas solo operan a nivel de elecciones parlamentarias</w:t>
      </w:r>
      <w:r>
        <w:rPr>
          <w:rFonts w:ascii="Calibri" w:eastAsia="Calibri" w:hAnsi="Calibri" w:cs="Calibri"/>
          <w:sz w:val="24"/>
          <w:szCs w:val="24"/>
          <w:vertAlign w:val="superscript"/>
        </w:rPr>
        <w:footnoteReference w:id="21"/>
      </w:r>
      <w:r>
        <w:rPr>
          <w:rFonts w:ascii="Calibri" w:eastAsia="Calibri" w:hAnsi="Calibri" w:cs="Calibri"/>
          <w:sz w:val="24"/>
          <w:szCs w:val="24"/>
        </w:rPr>
        <w:t xml:space="preserve"> y se aplicarán por 4 elecciones (2017, 2021, 2025 y </w:t>
      </w:r>
      <w:r>
        <w:rPr>
          <w:rFonts w:ascii="Calibri" w:eastAsia="Calibri" w:hAnsi="Calibri" w:cs="Calibri"/>
          <w:sz w:val="24"/>
          <w:szCs w:val="24"/>
        </w:rPr>
        <w:lastRenderedPageBreak/>
        <w:t>2029). Reconociendo que las medidas afirmativas son temporales, preocupa la fijación de un plazo rígido sin la incorporación de un mecanismo de evaluación que permita definir la pertinencia o no de su mantención. Además, esta medida carece de un enfoque interseccional al no considerar otras distinciones, como la pertenencia a pueblos indígenas, para la determinación de las candidaturas.</w:t>
      </w:r>
    </w:p>
    <w:p w14:paraId="4E41CE3C" w14:textId="77777777" w:rsidR="00BC4AAD" w:rsidRDefault="00997294">
      <w:pPr>
        <w:spacing w:after="120" w:line="240" w:lineRule="auto"/>
        <w:jc w:val="both"/>
        <w:rPr>
          <w:rFonts w:ascii="Calibri" w:eastAsia="Calibri" w:hAnsi="Calibri" w:cs="Calibri"/>
          <w:sz w:val="24"/>
          <w:szCs w:val="24"/>
        </w:rPr>
      </w:pPr>
      <w:r>
        <w:rPr>
          <w:rFonts w:ascii="Calibri" w:eastAsia="Calibri" w:hAnsi="Calibri" w:cs="Calibri"/>
          <w:sz w:val="24"/>
          <w:szCs w:val="24"/>
        </w:rPr>
        <w:t>Los dos procesos constituyentes realizados en los últimos años en el país constituyeron espacios de deliberación paritarios gracias a la acción coordinada de organizaciones de mujeres y feministas, académicas y parlamentarias de variados sectores políticos. Durante este proceso se diseñó y logró establecer un mecanismo que garantizó la paridad en las candidaturas y en los resultados. No obstante, estas normativas fueron establecidas solo para los dos procesos constituyentes y ya no están vigentes.</w:t>
      </w:r>
    </w:p>
    <w:p w14:paraId="4D91B9B3" w14:textId="77777777" w:rsidR="00BC4AAD" w:rsidRDefault="00997294">
      <w:pPr>
        <w:spacing w:after="120" w:line="240" w:lineRule="auto"/>
        <w:jc w:val="both"/>
        <w:rPr>
          <w:rFonts w:ascii="Calibri" w:eastAsia="Calibri" w:hAnsi="Calibri" w:cs="Calibri"/>
          <w:sz w:val="24"/>
          <w:szCs w:val="24"/>
        </w:rPr>
      </w:pPr>
      <w:r>
        <w:rPr>
          <w:rFonts w:ascii="Calibri" w:eastAsia="Calibri" w:hAnsi="Calibri" w:cs="Calibri"/>
          <w:sz w:val="24"/>
          <w:szCs w:val="24"/>
        </w:rPr>
        <w:t>Otras normativas apuntan a la participación equilibrada en directorios de empresas públicas. Así la ley N° 21.356 establece que las personas de un mismo género no podrán exceder el sesenta por ciento del total de los miembros del directorio. Sin embargo, esta ley refiere solo a aquellas empresas cuyos directores son nombrados por el Consejo de la CORFO</w:t>
      </w:r>
      <w:r>
        <w:rPr>
          <w:rFonts w:ascii="Calibri" w:eastAsia="Calibri" w:hAnsi="Calibri" w:cs="Calibri"/>
          <w:sz w:val="24"/>
          <w:szCs w:val="24"/>
          <w:vertAlign w:val="superscript"/>
        </w:rPr>
        <w:footnoteReference w:id="22"/>
      </w:r>
      <w:r>
        <w:rPr>
          <w:rFonts w:ascii="Calibri" w:eastAsia="Calibri" w:hAnsi="Calibri" w:cs="Calibri"/>
          <w:sz w:val="24"/>
          <w:szCs w:val="24"/>
        </w:rPr>
        <w:t>, dejando fuera del alcance de esta ley a importantes empresas públicas. De este modo, en la empresa estatal más grande y relevante para el país, CODELCO</w:t>
      </w:r>
      <w:r>
        <w:rPr>
          <w:rFonts w:ascii="Calibri" w:eastAsia="Calibri" w:hAnsi="Calibri" w:cs="Calibri"/>
          <w:sz w:val="24"/>
          <w:szCs w:val="24"/>
          <w:vertAlign w:val="superscript"/>
        </w:rPr>
        <w:footnoteReference w:id="23"/>
      </w:r>
      <w:r>
        <w:rPr>
          <w:rFonts w:ascii="Calibri" w:eastAsia="Calibri" w:hAnsi="Calibri" w:cs="Calibri"/>
          <w:sz w:val="24"/>
          <w:szCs w:val="24"/>
        </w:rPr>
        <w:t>, no aplica esta normativa. Iniciativas legales posteriores han intentado realizar cambios para ampliar el rango de aplicación, así como de incorporar a las empresas privadas en estas exigencias de paridad, pero aún no han prosperado.</w:t>
      </w:r>
    </w:p>
    <w:p w14:paraId="6A8DE310" w14:textId="77777777" w:rsidR="00BC4AAD" w:rsidRDefault="00997294">
      <w:pPr>
        <w:spacing w:after="120" w:line="240" w:lineRule="auto"/>
        <w:jc w:val="both"/>
        <w:rPr>
          <w:rFonts w:ascii="Calibri" w:eastAsia="Calibri" w:hAnsi="Calibri" w:cs="Calibri"/>
          <w:sz w:val="24"/>
          <w:szCs w:val="24"/>
        </w:rPr>
      </w:pPr>
      <w:r>
        <w:rPr>
          <w:rFonts w:ascii="Calibri" w:eastAsia="Calibri" w:hAnsi="Calibri" w:cs="Calibri"/>
          <w:sz w:val="24"/>
          <w:szCs w:val="24"/>
          <w:highlight w:val="white"/>
        </w:rPr>
        <w:t>La l</w:t>
      </w:r>
      <w:hyperlink r:id="rId10">
        <w:r>
          <w:rPr>
            <w:rFonts w:ascii="Calibri" w:eastAsia="Calibri" w:hAnsi="Calibri" w:cs="Calibri"/>
            <w:sz w:val="24"/>
            <w:szCs w:val="24"/>
            <w:highlight w:val="white"/>
          </w:rPr>
          <w:t>ey N° 20.348 que resguarda el derecho a la igualdad de remuneraciones</w:t>
        </w:r>
      </w:hyperlink>
      <w:r>
        <w:rPr>
          <w:rFonts w:ascii="Calibri" w:eastAsia="Calibri" w:hAnsi="Calibri" w:cs="Calibri"/>
          <w:sz w:val="24"/>
          <w:szCs w:val="24"/>
        </w:rPr>
        <w:t xml:space="preserve"> </w:t>
      </w:r>
      <w:r>
        <w:rPr>
          <w:rFonts w:ascii="Calibri" w:eastAsia="Calibri" w:hAnsi="Calibri" w:cs="Calibri"/>
          <w:sz w:val="24"/>
          <w:szCs w:val="24"/>
          <w:highlight w:val="white"/>
        </w:rPr>
        <w:t>no ha logrado disminuir la brecha salarial entre hombres y mujeres, y ha sido criticada por no reflejar adecuadamente el estándar internacional del derecho de igualdad de remuneración “por trabajo de igual valor”. Las otras iniciativas legislativas presentadas para subsanar las falencias de esta ley y avanzar en la igualdad salarial, se encuentran sin avances en el Congreso desde 2018.</w:t>
      </w:r>
      <w:r>
        <w:rPr>
          <w:rFonts w:ascii="Calibri" w:eastAsia="Calibri" w:hAnsi="Calibri" w:cs="Calibri"/>
          <w:sz w:val="24"/>
          <w:szCs w:val="24"/>
          <w:highlight w:val="white"/>
          <w:vertAlign w:val="superscript"/>
        </w:rPr>
        <w:footnoteReference w:id="24"/>
      </w:r>
    </w:p>
    <w:p w14:paraId="604CD140" w14:textId="77777777" w:rsidR="00BC4AAD" w:rsidRDefault="00997294">
      <w:pPr>
        <w:pBdr>
          <w:top w:val="nil"/>
          <w:left w:val="nil"/>
          <w:bottom w:val="nil"/>
          <w:right w:val="nil"/>
          <w:between w:val="nil"/>
        </w:pBdr>
        <w:spacing w:after="120" w:line="240" w:lineRule="auto"/>
        <w:ind w:right="1134"/>
        <w:jc w:val="both"/>
        <w:rPr>
          <w:rFonts w:ascii="Calibri" w:eastAsia="Calibri" w:hAnsi="Calibri" w:cs="Calibri"/>
          <w:b/>
          <w:sz w:val="24"/>
          <w:szCs w:val="24"/>
          <w:highlight w:val="white"/>
        </w:rPr>
      </w:pPr>
      <w:r>
        <w:rPr>
          <w:rFonts w:ascii="Calibri" w:eastAsia="Calibri" w:hAnsi="Calibri" w:cs="Calibri"/>
          <w:b/>
          <w:sz w:val="24"/>
          <w:szCs w:val="24"/>
          <w:highlight w:val="white"/>
        </w:rPr>
        <w:t>Recomendaciones:</w:t>
      </w:r>
    </w:p>
    <w:p w14:paraId="7E04686D" w14:textId="77777777" w:rsidR="00BC4AAD" w:rsidRDefault="00997294">
      <w:pPr>
        <w:numPr>
          <w:ilvl w:val="0"/>
          <w:numId w:val="2"/>
        </w:numPr>
        <w:pBdr>
          <w:top w:val="nil"/>
          <w:left w:val="nil"/>
          <w:bottom w:val="nil"/>
          <w:right w:val="nil"/>
          <w:between w:val="nil"/>
        </w:pBdr>
        <w:spacing w:after="120" w:line="240" w:lineRule="auto"/>
        <w:ind w:left="714" w:hanging="357"/>
        <w:jc w:val="both"/>
        <w:rPr>
          <w:rFonts w:ascii="Calibri" w:eastAsia="Calibri" w:hAnsi="Calibri" w:cs="Calibri"/>
          <w:sz w:val="24"/>
          <w:szCs w:val="24"/>
        </w:rPr>
      </w:pPr>
      <w:r>
        <w:rPr>
          <w:rFonts w:ascii="Calibri" w:eastAsia="Calibri" w:hAnsi="Calibri" w:cs="Calibri"/>
          <w:sz w:val="24"/>
          <w:szCs w:val="24"/>
        </w:rPr>
        <w:t>Consagrar el principio de igualdad sustantiva entre mujeres y hombres en la Constitución Política.</w:t>
      </w:r>
    </w:p>
    <w:p w14:paraId="0A27182F" w14:textId="77777777" w:rsidR="00BC4AAD" w:rsidRDefault="00997294">
      <w:pPr>
        <w:numPr>
          <w:ilvl w:val="0"/>
          <w:numId w:val="2"/>
        </w:numPr>
        <w:pBdr>
          <w:top w:val="nil"/>
          <w:left w:val="nil"/>
          <w:bottom w:val="nil"/>
          <w:right w:val="nil"/>
          <w:between w:val="nil"/>
        </w:pBdr>
        <w:spacing w:after="120" w:line="240" w:lineRule="auto"/>
        <w:ind w:left="714" w:hanging="357"/>
        <w:jc w:val="both"/>
        <w:rPr>
          <w:rFonts w:ascii="Calibri" w:eastAsia="Calibri" w:hAnsi="Calibri" w:cs="Calibri"/>
          <w:sz w:val="24"/>
          <w:szCs w:val="24"/>
        </w:rPr>
      </w:pPr>
      <w:r>
        <w:rPr>
          <w:rFonts w:ascii="Calibri" w:eastAsia="Calibri" w:hAnsi="Calibri" w:cs="Calibri"/>
          <w:sz w:val="24"/>
          <w:szCs w:val="24"/>
        </w:rPr>
        <w:t xml:space="preserve">Reconocer expresamente, en el marco del debate a la referida reforma constitucional, el rango constitucional de los tratados de derechos humanos; la consagración de un enunciado normativo constitucional sobre igualdad de derechos entre mujeres y hombres y sobre prohibición de discriminación contra la mujer; la </w:t>
      </w:r>
      <w:r>
        <w:rPr>
          <w:rFonts w:ascii="Calibri" w:eastAsia="Calibri" w:hAnsi="Calibri" w:cs="Calibri"/>
          <w:sz w:val="24"/>
          <w:szCs w:val="24"/>
        </w:rPr>
        <w:lastRenderedPageBreak/>
        <w:t>expresa mención a la conformidad de las medidas de acción afirmativa con la Constitución Política; un mandato expreso a los órganos del Estado en orden a respetar, proteger y garantizar los derechos de las mujeres, en condiciones de igualdad; la inclusión de garantías constitucionales de las mujeres, en conformidad al derecho internacional de los derechos humanos; y de mecanismos de exigibilidad de los derechos constitucionales y de la garantía de igualdad de derechos entre mujeres y hombres.</w:t>
      </w:r>
    </w:p>
    <w:p w14:paraId="18D77CD9" w14:textId="77777777" w:rsidR="00BC4AAD" w:rsidRDefault="00997294">
      <w:pPr>
        <w:numPr>
          <w:ilvl w:val="0"/>
          <w:numId w:val="2"/>
        </w:numPr>
        <w:pBdr>
          <w:top w:val="nil"/>
          <w:left w:val="nil"/>
          <w:bottom w:val="nil"/>
          <w:right w:val="nil"/>
          <w:between w:val="nil"/>
        </w:pBdr>
        <w:spacing w:after="120" w:line="240" w:lineRule="auto"/>
        <w:jc w:val="both"/>
        <w:rPr>
          <w:rFonts w:ascii="Calibri" w:eastAsia="Calibri" w:hAnsi="Calibri" w:cs="Calibri"/>
          <w:sz w:val="24"/>
          <w:szCs w:val="24"/>
        </w:rPr>
      </w:pPr>
      <w:r>
        <w:rPr>
          <w:rFonts w:ascii="Calibri" w:eastAsia="Calibri" w:hAnsi="Calibri" w:cs="Calibri"/>
          <w:sz w:val="24"/>
          <w:szCs w:val="24"/>
        </w:rPr>
        <w:t>Derogar las normas que discriminan a las mujeres casadas subordinándolas a sus maridos, en especial las referidas a su capacidad jurídica, propiedad y administración respecto de bienes o patrimonios vinculados al régimen matrimonial de bienes.</w:t>
      </w:r>
    </w:p>
    <w:p w14:paraId="1DDD4609" w14:textId="77777777" w:rsidR="00BC4AAD" w:rsidRDefault="00997294">
      <w:pPr>
        <w:numPr>
          <w:ilvl w:val="0"/>
          <w:numId w:val="3"/>
        </w:numPr>
        <w:pBdr>
          <w:top w:val="nil"/>
          <w:left w:val="nil"/>
          <w:bottom w:val="nil"/>
          <w:right w:val="nil"/>
          <w:between w:val="nil"/>
        </w:pBdr>
        <w:spacing w:after="120" w:line="240" w:lineRule="auto"/>
        <w:jc w:val="both"/>
        <w:rPr>
          <w:rFonts w:ascii="Calibri" w:eastAsia="Calibri" w:hAnsi="Calibri" w:cs="Calibri"/>
          <w:sz w:val="24"/>
          <w:szCs w:val="24"/>
        </w:rPr>
      </w:pPr>
      <w:r>
        <w:rPr>
          <w:rFonts w:ascii="Calibri" w:eastAsia="Calibri" w:hAnsi="Calibri" w:cs="Calibri"/>
          <w:sz w:val="24"/>
          <w:szCs w:val="24"/>
        </w:rPr>
        <w:t>Regular expresamente las relaciones igualitarias para matrimonios celebrados con anterioridad al inicio de la vigencia de la reforma legal, de manera de suprimir las normas discriminatorias contra mujeres casadas tanto con anterioridad como después de la nueva regulación de regímenes de bienes matrimoniales.</w:t>
      </w:r>
    </w:p>
    <w:p w14:paraId="4CD47965" w14:textId="77777777" w:rsidR="00BC4AAD" w:rsidRDefault="00997294">
      <w:pPr>
        <w:numPr>
          <w:ilvl w:val="0"/>
          <w:numId w:val="3"/>
        </w:numPr>
        <w:pBdr>
          <w:top w:val="nil"/>
          <w:left w:val="nil"/>
          <w:bottom w:val="nil"/>
          <w:right w:val="nil"/>
          <w:between w:val="nil"/>
        </w:pBdr>
        <w:spacing w:after="120" w:line="240" w:lineRule="auto"/>
        <w:jc w:val="both"/>
        <w:rPr>
          <w:rFonts w:ascii="Calibri" w:eastAsia="Calibri" w:hAnsi="Calibri" w:cs="Calibri"/>
          <w:sz w:val="24"/>
          <w:szCs w:val="24"/>
        </w:rPr>
      </w:pPr>
      <w:r>
        <w:rPr>
          <w:rFonts w:ascii="Calibri" w:eastAsia="Calibri" w:hAnsi="Calibri" w:cs="Calibri"/>
          <w:sz w:val="24"/>
          <w:szCs w:val="24"/>
        </w:rPr>
        <w:t>Adoptar medidas para asegurar la participación paritaria de hombres y mujeres en cargos de decisión, incorporando mandatos de paridad en candidaturas y resultados para elecciones parlamentarias, regionales y municipales; designación de autoridades gubernamentales y cuerpos diplomáticos; y para la conformación de directorios de empresas públicas y privadas.</w:t>
      </w:r>
    </w:p>
    <w:p w14:paraId="0E420564" w14:textId="77777777" w:rsidR="00BC4AAD" w:rsidRDefault="00997294" w:rsidP="00AC12EC">
      <w:pPr>
        <w:numPr>
          <w:ilvl w:val="0"/>
          <w:numId w:val="3"/>
        </w:numPr>
        <w:pBdr>
          <w:top w:val="nil"/>
          <w:left w:val="nil"/>
          <w:bottom w:val="nil"/>
          <w:right w:val="nil"/>
          <w:between w:val="nil"/>
        </w:pBdr>
        <w:spacing w:after="100" w:line="240" w:lineRule="auto"/>
        <w:jc w:val="both"/>
        <w:rPr>
          <w:rFonts w:ascii="Calibri" w:eastAsia="Calibri" w:hAnsi="Calibri" w:cs="Calibri"/>
          <w:sz w:val="24"/>
          <w:szCs w:val="24"/>
        </w:rPr>
      </w:pPr>
      <w:r>
        <w:rPr>
          <w:rFonts w:ascii="Calibri" w:eastAsia="Calibri" w:hAnsi="Calibri" w:cs="Calibri"/>
          <w:sz w:val="24"/>
          <w:szCs w:val="24"/>
        </w:rPr>
        <w:t>Reformar la ley de igualdad salarial incorporando la igualdad por trabajo de igual valor, asignándole el presupuesto necesario para realizar una efectiva fiscalización para su cumplimiento.</w:t>
      </w:r>
    </w:p>
    <w:p w14:paraId="15D57DCF" w14:textId="77777777" w:rsidR="00BC4AAD" w:rsidRDefault="00BC4AAD" w:rsidP="00AC12EC">
      <w:pPr>
        <w:keepNext/>
        <w:keepLines/>
        <w:pBdr>
          <w:top w:val="nil"/>
          <w:left w:val="nil"/>
          <w:bottom w:val="nil"/>
          <w:right w:val="nil"/>
          <w:between w:val="nil"/>
        </w:pBdr>
        <w:tabs>
          <w:tab w:val="right" w:pos="851"/>
        </w:tabs>
        <w:spacing w:after="100" w:line="240" w:lineRule="auto"/>
        <w:ind w:left="1134" w:right="1134" w:hanging="1134"/>
        <w:rPr>
          <w:rFonts w:ascii="Calibri" w:eastAsia="Calibri" w:hAnsi="Calibri" w:cs="Calibri"/>
          <w:b/>
          <w:sz w:val="24"/>
          <w:szCs w:val="24"/>
        </w:rPr>
      </w:pPr>
    </w:p>
    <w:p w14:paraId="3A4835AE" w14:textId="77777777" w:rsidR="00BC4AAD" w:rsidRDefault="00997294" w:rsidP="00AC12EC">
      <w:pPr>
        <w:keepNext/>
        <w:keepLines/>
        <w:pBdr>
          <w:top w:val="nil"/>
          <w:left w:val="nil"/>
          <w:bottom w:val="nil"/>
          <w:right w:val="nil"/>
          <w:between w:val="nil"/>
        </w:pBdr>
        <w:tabs>
          <w:tab w:val="right" w:pos="851"/>
        </w:tabs>
        <w:spacing w:after="100" w:line="240" w:lineRule="auto"/>
        <w:ind w:left="1134" w:right="1134" w:hanging="1134"/>
        <w:rPr>
          <w:rFonts w:ascii="Calibri" w:eastAsia="Calibri" w:hAnsi="Calibri" w:cs="Calibri"/>
          <w:b/>
          <w:sz w:val="24"/>
          <w:szCs w:val="24"/>
        </w:rPr>
      </w:pPr>
      <w:r>
        <w:rPr>
          <w:rFonts w:ascii="Calibri" w:eastAsia="Calibri" w:hAnsi="Calibri" w:cs="Calibri"/>
          <w:b/>
          <w:sz w:val="24"/>
          <w:szCs w:val="24"/>
        </w:rPr>
        <w:tab/>
        <w:t>Artículos. 2, 3, 6, 7 y 26. Violencia contra las mujeres</w:t>
      </w:r>
    </w:p>
    <w:p w14:paraId="7F4038FC" w14:textId="77777777" w:rsidR="00BC4AAD" w:rsidRDefault="00997294">
      <w:pPr>
        <w:spacing w:after="120" w:line="240" w:lineRule="auto"/>
        <w:jc w:val="both"/>
        <w:rPr>
          <w:rFonts w:ascii="Calibri" w:eastAsia="Calibri" w:hAnsi="Calibri" w:cs="Calibri"/>
          <w:sz w:val="24"/>
          <w:szCs w:val="24"/>
        </w:rPr>
      </w:pPr>
      <w:r>
        <w:rPr>
          <w:rFonts w:ascii="Calibri" w:eastAsia="Calibri" w:hAnsi="Calibri" w:cs="Calibri"/>
          <w:sz w:val="24"/>
          <w:szCs w:val="24"/>
        </w:rPr>
        <w:t>Las estadísticas revelan una persistencia y agudización de la violencia contra las mujeres, en sus distintas manifestaciones. Para el delito de violencia intrafamiliar en contra de mujeres la tasa de casos policiales por cada 100.000 habitantes era de 530,2 en 2015, y 548,2 en 2022 y en la violación la tasa era de 15,3 en 2015 y 24,6 en 2022, siendo este delito el que aumenta mientras el conjunto de delitos de mayor connotación social (categoría en la cual se incluye la violación) disminuyen.</w:t>
      </w:r>
      <w:r>
        <w:rPr>
          <w:rFonts w:ascii="Calibri" w:eastAsia="Calibri" w:hAnsi="Calibri" w:cs="Calibri"/>
          <w:sz w:val="24"/>
          <w:szCs w:val="24"/>
          <w:vertAlign w:val="superscript"/>
        </w:rPr>
        <w:footnoteReference w:id="25"/>
      </w:r>
    </w:p>
    <w:p w14:paraId="5DD72783" w14:textId="77777777" w:rsidR="00696C2A" w:rsidRDefault="00696C2A">
      <w:pPr>
        <w:spacing w:after="120" w:line="240" w:lineRule="auto"/>
        <w:jc w:val="both"/>
        <w:rPr>
          <w:rFonts w:ascii="Calibri" w:eastAsia="Calibri" w:hAnsi="Calibri" w:cs="Calibri"/>
          <w:sz w:val="24"/>
          <w:szCs w:val="24"/>
        </w:rPr>
      </w:pPr>
    </w:p>
    <w:tbl>
      <w:tblPr>
        <w:tblStyle w:val="Tablaconcuadrcula"/>
        <w:tblW w:w="0" w:type="auto"/>
        <w:tblLook w:val="04A0" w:firstRow="1" w:lastRow="0" w:firstColumn="1" w:lastColumn="0" w:noHBand="0" w:noVBand="1"/>
      </w:tblPr>
      <w:tblGrid>
        <w:gridCol w:w="4390"/>
        <w:gridCol w:w="2409"/>
        <w:gridCol w:w="2029"/>
      </w:tblGrid>
      <w:tr w:rsidR="00AC12EC" w:rsidRPr="00E32F77" w14:paraId="68A50775" w14:textId="77777777" w:rsidTr="00DD5332">
        <w:tc>
          <w:tcPr>
            <w:tcW w:w="8828" w:type="dxa"/>
            <w:gridSpan w:val="3"/>
          </w:tcPr>
          <w:p w14:paraId="2213B21F" w14:textId="77777777" w:rsidR="00AC12EC" w:rsidRPr="00E32F77" w:rsidRDefault="00AC12EC" w:rsidP="00DD5332">
            <w:pPr>
              <w:jc w:val="center"/>
              <w:rPr>
                <w:rFonts w:asciiTheme="minorHAnsi" w:hAnsiTheme="minorHAnsi"/>
                <w:b/>
              </w:rPr>
            </w:pPr>
            <w:r w:rsidRPr="00E32F77">
              <w:rPr>
                <w:rFonts w:asciiTheme="minorHAnsi" w:eastAsia="Calibri" w:hAnsiTheme="minorHAnsi" w:cs="Calibri"/>
                <w:b/>
                <w:color w:val="000000"/>
              </w:rPr>
              <w:t>Tasa de casos policiales según delito o grupo de delitos, por cada 100.000 habitantes</w:t>
            </w:r>
          </w:p>
        </w:tc>
      </w:tr>
      <w:tr w:rsidR="00AC12EC" w:rsidRPr="00E32F77" w14:paraId="02DA9640" w14:textId="77777777" w:rsidTr="00DD5332">
        <w:tc>
          <w:tcPr>
            <w:tcW w:w="4390" w:type="dxa"/>
          </w:tcPr>
          <w:p w14:paraId="1E1BF630" w14:textId="77777777" w:rsidR="00AC12EC" w:rsidRPr="00E32F77" w:rsidRDefault="00AC12EC" w:rsidP="00DD5332">
            <w:pPr>
              <w:rPr>
                <w:rFonts w:asciiTheme="minorHAnsi" w:hAnsiTheme="minorHAnsi"/>
                <w:b/>
              </w:rPr>
            </w:pPr>
            <w:r w:rsidRPr="00E32F77">
              <w:rPr>
                <w:rFonts w:asciiTheme="minorHAnsi" w:hAnsiTheme="minorHAnsi"/>
                <w:b/>
              </w:rPr>
              <w:t>Delito o grupo de delitos</w:t>
            </w:r>
          </w:p>
        </w:tc>
        <w:tc>
          <w:tcPr>
            <w:tcW w:w="2409" w:type="dxa"/>
          </w:tcPr>
          <w:p w14:paraId="31C04B62" w14:textId="77777777" w:rsidR="00AC12EC" w:rsidRPr="00E32F77" w:rsidRDefault="00AC12EC" w:rsidP="00DD5332">
            <w:pPr>
              <w:rPr>
                <w:rFonts w:asciiTheme="minorHAnsi" w:hAnsiTheme="minorHAnsi"/>
                <w:b/>
              </w:rPr>
            </w:pPr>
            <w:r w:rsidRPr="00E32F77">
              <w:rPr>
                <w:rFonts w:asciiTheme="minorHAnsi" w:hAnsiTheme="minorHAnsi"/>
                <w:b/>
              </w:rPr>
              <w:t>2015</w:t>
            </w:r>
          </w:p>
        </w:tc>
        <w:tc>
          <w:tcPr>
            <w:tcW w:w="2029" w:type="dxa"/>
          </w:tcPr>
          <w:p w14:paraId="3918AE11" w14:textId="77777777" w:rsidR="00AC12EC" w:rsidRPr="00E32F77" w:rsidRDefault="00AC12EC" w:rsidP="00DD5332">
            <w:pPr>
              <w:rPr>
                <w:rFonts w:asciiTheme="minorHAnsi" w:hAnsiTheme="minorHAnsi"/>
                <w:b/>
              </w:rPr>
            </w:pPr>
            <w:r w:rsidRPr="00E32F77">
              <w:rPr>
                <w:rFonts w:asciiTheme="minorHAnsi" w:hAnsiTheme="minorHAnsi"/>
                <w:b/>
              </w:rPr>
              <w:t>2022</w:t>
            </w:r>
          </w:p>
        </w:tc>
      </w:tr>
      <w:tr w:rsidR="00AC12EC" w:rsidRPr="00E32F77" w14:paraId="5124FAD9" w14:textId="77777777" w:rsidTr="00DD5332">
        <w:tc>
          <w:tcPr>
            <w:tcW w:w="4390" w:type="dxa"/>
          </w:tcPr>
          <w:p w14:paraId="16C2C116" w14:textId="77777777" w:rsidR="00AC12EC" w:rsidRPr="00E32F77" w:rsidRDefault="00AC12EC" w:rsidP="00DD5332">
            <w:pPr>
              <w:rPr>
                <w:rFonts w:asciiTheme="minorHAnsi" w:hAnsiTheme="minorHAnsi"/>
              </w:rPr>
            </w:pPr>
            <w:r w:rsidRPr="00E32F77">
              <w:rPr>
                <w:rFonts w:asciiTheme="minorHAnsi" w:hAnsiTheme="minorHAnsi"/>
              </w:rPr>
              <w:t>Violencia intrafamiliar</w:t>
            </w:r>
          </w:p>
        </w:tc>
        <w:tc>
          <w:tcPr>
            <w:tcW w:w="2409" w:type="dxa"/>
          </w:tcPr>
          <w:p w14:paraId="4876266F" w14:textId="77777777" w:rsidR="00AC12EC" w:rsidRPr="00E32F77" w:rsidRDefault="00AC12EC" w:rsidP="00DD5332">
            <w:pPr>
              <w:rPr>
                <w:rFonts w:asciiTheme="minorHAnsi" w:hAnsiTheme="minorHAnsi"/>
              </w:rPr>
            </w:pPr>
            <w:r w:rsidRPr="00E32F77">
              <w:rPr>
                <w:rFonts w:asciiTheme="minorHAnsi" w:hAnsiTheme="minorHAnsi"/>
              </w:rPr>
              <w:t>678,4</w:t>
            </w:r>
          </w:p>
        </w:tc>
        <w:tc>
          <w:tcPr>
            <w:tcW w:w="2029" w:type="dxa"/>
          </w:tcPr>
          <w:p w14:paraId="77AD5F11" w14:textId="77777777" w:rsidR="00AC12EC" w:rsidRPr="00E32F77" w:rsidRDefault="00AC12EC" w:rsidP="00DD5332">
            <w:pPr>
              <w:rPr>
                <w:rFonts w:asciiTheme="minorHAnsi" w:hAnsiTheme="minorHAnsi"/>
              </w:rPr>
            </w:pPr>
            <w:r w:rsidRPr="00E32F77">
              <w:rPr>
                <w:rFonts w:asciiTheme="minorHAnsi" w:hAnsiTheme="minorHAnsi"/>
              </w:rPr>
              <w:t>737,3</w:t>
            </w:r>
          </w:p>
        </w:tc>
      </w:tr>
      <w:tr w:rsidR="00AC12EC" w:rsidRPr="00E32F77" w14:paraId="688BB0FC" w14:textId="77777777" w:rsidTr="00DD5332">
        <w:tc>
          <w:tcPr>
            <w:tcW w:w="4390" w:type="dxa"/>
          </w:tcPr>
          <w:p w14:paraId="12B8316C" w14:textId="77777777" w:rsidR="00AC12EC" w:rsidRPr="00E32F77" w:rsidRDefault="00AC12EC" w:rsidP="00DD5332">
            <w:pPr>
              <w:rPr>
                <w:rFonts w:asciiTheme="minorHAnsi" w:hAnsiTheme="minorHAnsi"/>
              </w:rPr>
            </w:pPr>
            <w:r w:rsidRPr="00E32F77">
              <w:rPr>
                <w:rFonts w:asciiTheme="minorHAnsi" w:hAnsiTheme="minorHAnsi"/>
              </w:rPr>
              <w:t>Violencia intrafamiliar a mujer</w:t>
            </w:r>
          </w:p>
        </w:tc>
        <w:tc>
          <w:tcPr>
            <w:tcW w:w="2409" w:type="dxa"/>
          </w:tcPr>
          <w:p w14:paraId="3F4CC6DD" w14:textId="77777777" w:rsidR="00AC12EC" w:rsidRPr="00E32F77" w:rsidRDefault="00AC12EC" w:rsidP="00DD5332">
            <w:pPr>
              <w:rPr>
                <w:rFonts w:asciiTheme="minorHAnsi" w:hAnsiTheme="minorHAnsi"/>
              </w:rPr>
            </w:pPr>
            <w:r w:rsidRPr="00E32F77">
              <w:rPr>
                <w:rFonts w:asciiTheme="minorHAnsi" w:hAnsiTheme="minorHAnsi"/>
              </w:rPr>
              <w:t>530,2</w:t>
            </w:r>
          </w:p>
        </w:tc>
        <w:tc>
          <w:tcPr>
            <w:tcW w:w="2029" w:type="dxa"/>
          </w:tcPr>
          <w:p w14:paraId="7F75E2D3" w14:textId="77777777" w:rsidR="00AC12EC" w:rsidRPr="00E32F77" w:rsidRDefault="00AC12EC" w:rsidP="00DD5332">
            <w:pPr>
              <w:rPr>
                <w:rFonts w:asciiTheme="minorHAnsi" w:hAnsiTheme="minorHAnsi"/>
              </w:rPr>
            </w:pPr>
            <w:r w:rsidRPr="00E32F77">
              <w:rPr>
                <w:rFonts w:asciiTheme="minorHAnsi" w:hAnsiTheme="minorHAnsi"/>
              </w:rPr>
              <w:t>548,4</w:t>
            </w:r>
          </w:p>
        </w:tc>
      </w:tr>
      <w:tr w:rsidR="00AC12EC" w:rsidRPr="00E32F77" w14:paraId="1146A128" w14:textId="77777777" w:rsidTr="00DD5332">
        <w:tc>
          <w:tcPr>
            <w:tcW w:w="4390" w:type="dxa"/>
          </w:tcPr>
          <w:p w14:paraId="5211A8F5" w14:textId="77777777" w:rsidR="00AC12EC" w:rsidRPr="00E32F77" w:rsidRDefault="00AC12EC" w:rsidP="00DD5332">
            <w:pPr>
              <w:rPr>
                <w:rFonts w:asciiTheme="minorHAnsi" w:hAnsiTheme="minorHAnsi"/>
              </w:rPr>
            </w:pPr>
            <w:r w:rsidRPr="00E32F77">
              <w:rPr>
                <w:rFonts w:asciiTheme="minorHAnsi" w:hAnsiTheme="minorHAnsi"/>
              </w:rPr>
              <w:t>Delitos de mayor connotación social</w:t>
            </w:r>
          </w:p>
        </w:tc>
        <w:tc>
          <w:tcPr>
            <w:tcW w:w="2409" w:type="dxa"/>
          </w:tcPr>
          <w:p w14:paraId="0A8BB10C" w14:textId="77777777" w:rsidR="00AC12EC" w:rsidRPr="00E32F77" w:rsidRDefault="00AC12EC" w:rsidP="00DD5332">
            <w:pPr>
              <w:rPr>
                <w:rFonts w:asciiTheme="minorHAnsi" w:hAnsiTheme="minorHAnsi"/>
              </w:rPr>
            </w:pPr>
            <w:r w:rsidRPr="00E32F77">
              <w:rPr>
                <w:rFonts w:asciiTheme="minorHAnsi" w:hAnsiTheme="minorHAnsi"/>
              </w:rPr>
              <w:t>3.315,7</w:t>
            </w:r>
          </w:p>
        </w:tc>
        <w:tc>
          <w:tcPr>
            <w:tcW w:w="2029" w:type="dxa"/>
          </w:tcPr>
          <w:p w14:paraId="2C13DE5F" w14:textId="77777777" w:rsidR="00AC12EC" w:rsidRPr="00E32F77" w:rsidRDefault="00AC12EC" w:rsidP="00DD5332">
            <w:pPr>
              <w:rPr>
                <w:rFonts w:asciiTheme="minorHAnsi" w:hAnsiTheme="minorHAnsi"/>
              </w:rPr>
            </w:pPr>
            <w:r w:rsidRPr="00E32F77">
              <w:rPr>
                <w:rFonts w:asciiTheme="minorHAnsi" w:hAnsiTheme="minorHAnsi"/>
              </w:rPr>
              <w:t>2.462,4</w:t>
            </w:r>
          </w:p>
        </w:tc>
      </w:tr>
      <w:tr w:rsidR="00AC12EC" w:rsidRPr="00E32F77" w14:paraId="730AE73A" w14:textId="77777777" w:rsidTr="00DD5332">
        <w:tc>
          <w:tcPr>
            <w:tcW w:w="4390" w:type="dxa"/>
          </w:tcPr>
          <w:p w14:paraId="5DA12950" w14:textId="77777777" w:rsidR="00AC12EC" w:rsidRPr="00E32F77" w:rsidRDefault="00AC12EC" w:rsidP="00DD5332">
            <w:pPr>
              <w:rPr>
                <w:rFonts w:asciiTheme="minorHAnsi" w:hAnsiTheme="minorHAnsi"/>
              </w:rPr>
            </w:pPr>
            <w:r w:rsidRPr="00E32F77">
              <w:rPr>
                <w:rFonts w:asciiTheme="minorHAnsi" w:hAnsiTheme="minorHAnsi"/>
              </w:rPr>
              <w:t>Violaciones</w:t>
            </w:r>
          </w:p>
        </w:tc>
        <w:tc>
          <w:tcPr>
            <w:tcW w:w="2409" w:type="dxa"/>
          </w:tcPr>
          <w:p w14:paraId="0ABABB3B" w14:textId="77777777" w:rsidR="00AC12EC" w:rsidRPr="00E32F77" w:rsidRDefault="00AC12EC" w:rsidP="00DD5332">
            <w:pPr>
              <w:rPr>
                <w:rFonts w:asciiTheme="minorHAnsi" w:hAnsiTheme="minorHAnsi"/>
              </w:rPr>
            </w:pPr>
            <w:r w:rsidRPr="00E32F77">
              <w:rPr>
                <w:rFonts w:asciiTheme="minorHAnsi" w:hAnsiTheme="minorHAnsi"/>
              </w:rPr>
              <w:t>15,3</w:t>
            </w:r>
          </w:p>
        </w:tc>
        <w:tc>
          <w:tcPr>
            <w:tcW w:w="2029" w:type="dxa"/>
          </w:tcPr>
          <w:p w14:paraId="38AD7FC1" w14:textId="77777777" w:rsidR="00AC12EC" w:rsidRPr="00E32F77" w:rsidRDefault="00AC12EC" w:rsidP="00DD5332">
            <w:pPr>
              <w:rPr>
                <w:rFonts w:asciiTheme="minorHAnsi" w:hAnsiTheme="minorHAnsi"/>
              </w:rPr>
            </w:pPr>
            <w:r w:rsidRPr="00E32F77">
              <w:rPr>
                <w:rFonts w:asciiTheme="minorHAnsi" w:hAnsiTheme="minorHAnsi"/>
              </w:rPr>
              <w:t>24,6</w:t>
            </w:r>
          </w:p>
        </w:tc>
      </w:tr>
    </w:tbl>
    <w:p w14:paraId="04558D4A" w14:textId="77777777" w:rsidR="00AC12EC" w:rsidRDefault="00AC12EC">
      <w:pPr>
        <w:spacing w:after="120" w:line="240" w:lineRule="auto"/>
        <w:jc w:val="both"/>
        <w:rPr>
          <w:rFonts w:ascii="Calibri" w:eastAsia="Calibri" w:hAnsi="Calibri" w:cs="Calibri"/>
          <w:sz w:val="24"/>
          <w:szCs w:val="24"/>
        </w:rPr>
      </w:pPr>
    </w:p>
    <w:p w14:paraId="611A150A" w14:textId="77777777" w:rsidR="00BC4AAD" w:rsidRDefault="00997294">
      <w:pPr>
        <w:spacing w:after="120" w:line="240" w:lineRule="auto"/>
        <w:jc w:val="both"/>
        <w:rPr>
          <w:rFonts w:ascii="Calibri" w:eastAsia="Calibri" w:hAnsi="Calibri" w:cs="Calibri"/>
          <w:sz w:val="24"/>
          <w:szCs w:val="24"/>
        </w:rPr>
      </w:pPr>
      <w:r>
        <w:rPr>
          <w:rFonts w:ascii="Calibri" w:eastAsia="Calibri" w:hAnsi="Calibri" w:cs="Calibri"/>
          <w:sz w:val="24"/>
          <w:szCs w:val="24"/>
        </w:rPr>
        <w:t>Si bien han existido avances normativos en materia de femicidio, como la dictación en 2020 de la ley Nº 21.212 que redefinió el concepto y modificó diversos cuerpos legales ampliando las hipótesis comisivas, las estadísticas demuestran una agudización de la violencia contra las mujeres pues, mientras el femicidio consumado se mantiene relativamente estable, los femicidios frustrados han aumentado de 112 en 2015, a 180 en 2022.</w:t>
      </w:r>
      <w:r>
        <w:rPr>
          <w:rFonts w:ascii="Calibri" w:eastAsia="Calibri" w:hAnsi="Calibri" w:cs="Calibri"/>
          <w:sz w:val="24"/>
          <w:szCs w:val="24"/>
          <w:vertAlign w:val="superscript"/>
        </w:rPr>
        <w:footnoteReference w:id="26"/>
      </w:r>
    </w:p>
    <w:p w14:paraId="40A61393" w14:textId="77777777" w:rsidR="00BC4AAD" w:rsidRDefault="00997294">
      <w:pPr>
        <w:spacing w:after="120" w:line="240" w:lineRule="auto"/>
        <w:jc w:val="both"/>
        <w:rPr>
          <w:rFonts w:ascii="Calibri" w:eastAsia="Calibri" w:hAnsi="Calibri" w:cs="Calibri"/>
          <w:sz w:val="24"/>
          <w:szCs w:val="24"/>
        </w:rPr>
      </w:pPr>
      <w:r>
        <w:rPr>
          <w:rFonts w:ascii="Calibri" w:eastAsia="Calibri" w:hAnsi="Calibri" w:cs="Calibri"/>
          <w:sz w:val="24"/>
          <w:szCs w:val="24"/>
        </w:rPr>
        <w:t>En 2017, con la dictación de la ley Nº 21.013, se eliminó el r</w:t>
      </w:r>
      <w:r w:rsidR="00B92FDB">
        <w:rPr>
          <w:rFonts w:ascii="Calibri" w:eastAsia="Calibri" w:hAnsi="Calibri" w:cs="Calibri"/>
          <w:sz w:val="24"/>
          <w:szCs w:val="24"/>
        </w:rPr>
        <w:t>equisito del artículo 14 de la l</w:t>
      </w:r>
      <w:r>
        <w:rPr>
          <w:rFonts w:ascii="Calibri" w:eastAsia="Calibri" w:hAnsi="Calibri" w:cs="Calibri"/>
          <w:sz w:val="24"/>
          <w:szCs w:val="24"/>
        </w:rPr>
        <w:t>ey Nº 20.066 sobre violencia intrafamiliar, que definía requisitos adicionales para poder iniciar una investigación por delito de maltrato habitual. Sin perjuicio de ello, subsisten problemáticas en el sistema judicial que importan obstáculos en el acceso a la justicia y a medidas de protección y reparación para las víctimas.</w:t>
      </w:r>
    </w:p>
    <w:p w14:paraId="3E49BA4E" w14:textId="77777777" w:rsidR="00BC4AAD" w:rsidRDefault="00997294">
      <w:pPr>
        <w:spacing w:after="120" w:line="240" w:lineRule="auto"/>
        <w:jc w:val="both"/>
        <w:rPr>
          <w:rFonts w:ascii="Calibri" w:eastAsia="Calibri" w:hAnsi="Calibri" w:cs="Calibri"/>
          <w:sz w:val="24"/>
          <w:szCs w:val="24"/>
        </w:rPr>
      </w:pPr>
      <w:r>
        <w:rPr>
          <w:rFonts w:ascii="Calibri" w:eastAsia="Calibri" w:hAnsi="Calibri" w:cs="Calibri"/>
          <w:sz w:val="24"/>
          <w:szCs w:val="24"/>
        </w:rPr>
        <w:t>Según un estudio elaborado por el Poder Judicial, las barreras para el acceso a la justicia de las mujeres víctimas de violencia intrafamiliar se presentan en distintos niveles. Destacan la victimización secundaria, estereotipos de género expresados en el trato y resoluciones, deficiente seguimiento de las medidas de protección, y la dualidad del sistema de justicia con una deficitaria comunicación entre las sedes de familia y penal. A esto se suma un marco jurídico que, pese a haber sido modificado en los últimos años, no ofrece una respuesta integral que permita abordar las situaciones de violencia contra las mujeres de manera adecuada</w:t>
      </w:r>
      <w:r>
        <w:rPr>
          <w:rFonts w:ascii="Calibri" w:eastAsia="Calibri" w:hAnsi="Calibri" w:cs="Calibri"/>
          <w:sz w:val="24"/>
          <w:szCs w:val="24"/>
          <w:vertAlign w:val="superscript"/>
        </w:rPr>
        <w:footnoteReference w:id="27"/>
      </w:r>
      <w:r>
        <w:rPr>
          <w:rFonts w:ascii="Calibri" w:eastAsia="Calibri" w:hAnsi="Calibri" w:cs="Calibri"/>
          <w:sz w:val="24"/>
          <w:szCs w:val="24"/>
        </w:rPr>
        <w:t>.</w:t>
      </w:r>
    </w:p>
    <w:p w14:paraId="2D7D1C40" w14:textId="77777777" w:rsidR="00BC4AAD" w:rsidRDefault="00997294">
      <w:pPr>
        <w:spacing w:after="120" w:line="240" w:lineRule="auto"/>
        <w:rPr>
          <w:rFonts w:ascii="Calibri" w:eastAsia="Calibri" w:hAnsi="Calibri" w:cs="Calibri"/>
          <w:b/>
          <w:sz w:val="24"/>
          <w:szCs w:val="24"/>
        </w:rPr>
      </w:pPr>
      <w:r>
        <w:rPr>
          <w:rFonts w:ascii="Calibri" w:eastAsia="Calibri" w:hAnsi="Calibri" w:cs="Calibri"/>
          <w:b/>
          <w:sz w:val="24"/>
          <w:szCs w:val="24"/>
        </w:rPr>
        <w:t>Recomendaciones:</w:t>
      </w:r>
    </w:p>
    <w:p w14:paraId="33B19BE4" w14:textId="77777777" w:rsidR="00BC4AAD" w:rsidRDefault="00997294">
      <w:pPr>
        <w:numPr>
          <w:ilvl w:val="0"/>
          <w:numId w:val="3"/>
        </w:numPr>
        <w:pBdr>
          <w:top w:val="nil"/>
          <w:left w:val="nil"/>
          <w:bottom w:val="nil"/>
          <w:right w:val="nil"/>
          <w:between w:val="nil"/>
        </w:pBdr>
        <w:spacing w:after="120" w:line="240" w:lineRule="auto"/>
        <w:jc w:val="both"/>
        <w:rPr>
          <w:rFonts w:ascii="Calibri" w:eastAsia="Calibri" w:hAnsi="Calibri" w:cs="Calibri"/>
          <w:sz w:val="24"/>
          <w:szCs w:val="24"/>
        </w:rPr>
      </w:pPr>
      <w:r>
        <w:rPr>
          <w:rFonts w:ascii="Calibri" w:eastAsia="Calibri" w:hAnsi="Calibri" w:cs="Calibri"/>
          <w:sz w:val="24"/>
          <w:szCs w:val="24"/>
        </w:rPr>
        <w:t>Aprobar el proyecto de ley sobre derecho de las mujeres a una vida libre de violencias, estableciendo obligaciones al Estado y presupuesto necesario, medidas preventivas adecuadas y que contemple todas las formas de violencia a las que la diversidad de mujeres está expuesta, especialmente en el espacio público.</w:t>
      </w:r>
    </w:p>
    <w:p w14:paraId="3FB64F19" w14:textId="77777777" w:rsidR="00BC4AAD" w:rsidRDefault="00997294">
      <w:pPr>
        <w:numPr>
          <w:ilvl w:val="0"/>
          <w:numId w:val="3"/>
        </w:numPr>
        <w:pBdr>
          <w:top w:val="nil"/>
          <w:left w:val="nil"/>
          <w:bottom w:val="nil"/>
          <w:right w:val="nil"/>
          <w:between w:val="nil"/>
        </w:pBdr>
        <w:spacing w:after="120" w:line="240" w:lineRule="auto"/>
        <w:jc w:val="both"/>
        <w:rPr>
          <w:rFonts w:ascii="Calibri" w:eastAsia="Calibri" w:hAnsi="Calibri" w:cs="Calibri"/>
          <w:sz w:val="24"/>
          <w:szCs w:val="24"/>
        </w:rPr>
      </w:pPr>
      <w:r>
        <w:rPr>
          <w:rFonts w:ascii="Calibri" w:eastAsia="Calibri" w:hAnsi="Calibri" w:cs="Calibri"/>
          <w:sz w:val="24"/>
          <w:szCs w:val="24"/>
        </w:rPr>
        <w:t>Implementar campañas de prevención permanentes en materia de violencia contra las mujeres que apunten al cambio de normas sociales y conductas que la toleran.</w:t>
      </w:r>
    </w:p>
    <w:p w14:paraId="500540AE" w14:textId="77777777" w:rsidR="00BC4AAD" w:rsidRDefault="00997294">
      <w:pPr>
        <w:numPr>
          <w:ilvl w:val="0"/>
          <w:numId w:val="3"/>
        </w:numPr>
        <w:pBdr>
          <w:top w:val="nil"/>
          <w:left w:val="nil"/>
          <w:bottom w:val="nil"/>
          <w:right w:val="nil"/>
          <w:between w:val="nil"/>
        </w:pBdr>
        <w:spacing w:after="120" w:line="240" w:lineRule="auto"/>
        <w:jc w:val="both"/>
        <w:rPr>
          <w:rFonts w:ascii="Calibri" w:eastAsia="Calibri" w:hAnsi="Calibri" w:cs="Calibri"/>
          <w:sz w:val="24"/>
          <w:szCs w:val="24"/>
        </w:rPr>
      </w:pPr>
      <w:r>
        <w:rPr>
          <w:rFonts w:ascii="Calibri" w:eastAsia="Calibri" w:hAnsi="Calibri" w:cs="Calibri"/>
          <w:sz w:val="24"/>
          <w:szCs w:val="24"/>
        </w:rPr>
        <w:t>Implementar medidas para garantizar el acceso a la justicia de las mujeres y niñas víctimas de violencia, con presupuesto suficiente para asegurar servicios especializados y gratuitos de representación jurídica.</w:t>
      </w:r>
    </w:p>
    <w:p w14:paraId="748F41CD" w14:textId="77777777" w:rsidR="00BC4AAD" w:rsidRDefault="00BC4AAD">
      <w:pPr>
        <w:spacing w:after="120" w:line="240" w:lineRule="auto"/>
        <w:jc w:val="both"/>
        <w:rPr>
          <w:rFonts w:ascii="Calibri" w:eastAsia="Calibri" w:hAnsi="Calibri" w:cs="Calibri"/>
          <w:b/>
          <w:sz w:val="24"/>
          <w:szCs w:val="24"/>
        </w:rPr>
      </w:pPr>
    </w:p>
    <w:p w14:paraId="36DC5992" w14:textId="77777777" w:rsidR="00BC4AAD" w:rsidRDefault="00997294">
      <w:pPr>
        <w:spacing w:after="120" w:line="240" w:lineRule="auto"/>
        <w:jc w:val="both"/>
        <w:rPr>
          <w:rFonts w:ascii="Calibri" w:eastAsia="Calibri" w:hAnsi="Calibri" w:cs="Calibri"/>
          <w:b/>
          <w:sz w:val="24"/>
          <w:szCs w:val="24"/>
        </w:rPr>
      </w:pPr>
      <w:r>
        <w:rPr>
          <w:rFonts w:ascii="Calibri" w:eastAsia="Calibri" w:hAnsi="Calibri" w:cs="Calibri"/>
          <w:b/>
          <w:sz w:val="24"/>
          <w:szCs w:val="24"/>
        </w:rPr>
        <w:t>Artículos 3, 6, 7, 17 y 26. Interrupción voluntaria del embarazo y derechos reproductivos</w:t>
      </w:r>
    </w:p>
    <w:p w14:paraId="3E6518DF" w14:textId="77777777" w:rsidR="00BC4AAD" w:rsidRDefault="00997294">
      <w:pPr>
        <w:spacing w:after="120" w:line="240" w:lineRule="auto"/>
        <w:jc w:val="both"/>
        <w:rPr>
          <w:rFonts w:ascii="Calibri" w:eastAsia="Calibri" w:hAnsi="Calibri" w:cs="Calibri"/>
          <w:sz w:val="24"/>
          <w:szCs w:val="24"/>
        </w:rPr>
      </w:pPr>
      <w:r>
        <w:rPr>
          <w:rFonts w:ascii="Calibri" w:eastAsia="Calibri" w:hAnsi="Calibri" w:cs="Calibri"/>
          <w:sz w:val="24"/>
          <w:szCs w:val="24"/>
        </w:rPr>
        <w:t xml:space="preserve">La </w:t>
      </w:r>
      <w:r w:rsidR="00696C2A">
        <w:rPr>
          <w:rFonts w:ascii="Calibri" w:eastAsia="Calibri" w:hAnsi="Calibri" w:cs="Calibri"/>
          <w:sz w:val="24"/>
          <w:szCs w:val="24"/>
        </w:rPr>
        <w:t>ley N°</w:t>
      </w:r>
      <w:r>
        <w:rPr>
          <w:rFonts w:ascii="Calibri" w:eastAsia="Calibri" w:hAnsi="Calibri" w:cs="Calibri"/>
          <w:sz w:val="24"/>
          <w:szCs w:val="24"/>
        </w:rPr>
        <w:t xml:space="preserve"> 21.030 sobre interrupción del embarazo en tres causales consagra la objeción de conciencia de modo amplio, para personas e instituciones, sin asegurar de manera </w:t>
      </w:r>
      <w:r>
        <w:rPr>
          <w:rFonts w:ascii="Calibri" w:eastAsia="Calibri" w:hAnsi="Calibri" w:cs="Calibri"/>
          <w:sz w:val="24"/>
          <w:szCs w:val="24"/>
        </w:rPr>
        <w:lastRenderedPageBreak/>
        <w:t>adecuada la atención que mujeres y niñas requieren. La regulación sobre objeción de conciencia se aparta del carácter estricto y excepcional que conforme al derecho internacional de los derechos humanos debe tener esta figura, limitada a personas naturales o individuos, y en cambio, la permite a personas jurídicas que por naturaleza carecen de conciencia (ej. clínicas privadas de salud)</w:t>
      </w:r>
      <w:r>
        <w:rPr>
          <w:rFonts w:ascii="Calibri" w:eastAsia="Calibri" w:hAnsi="Calibri" w:cs="Calibri"/>
          <w:sz w:val="24"/>
          <w:szCs w:val="24"/>
          <w:vertAlign w:val="superscript"/>
        </w:rPr>
        <w:footnoteReference w:id="28"/>
      </w:r>
      <w:r>
        <w:rPr>
          <w:rFonts w:ascii="Calibri" w:eastAsia="Calibri" w:hAnsi="Calibri" w:cs="Calibri"/>
          <w:sz w:val="24"/>
          <w:szCs w:val="24"/>
        </w:rPr>
        <w:t>.</w:t>
      </w:r>
    </w:p>
    <w:p w14:paraId="4777ECE4" w14:textId="77777777" w:rsidR="00BC4AAD" w:rsidRDefault="00997294">
      <w:pPr>
        <w:spacing w:after="120" w:line="240" w:lineRule="auto"/>
        <w:jc w:val="both"/>
        <w:rPr>
          <w:rFonts w:ascii="Calibri" w:eastAsia="Calibri" w:hAnsi="Calibri" w:cs="Calibri"/>
          <w:sz w:val="24"/>
          <w:szCs w:val="24"/>
        </w:rPr>
      </w:pPr>
      <w:r>
        <w:rPr>
          <w:rFonts w:ascii="Calibri" w:eastAsia="Calibri" w:hAnsi="Calibri" w:cs="Calibri"/>
          <w:sz w:val="24"/>
          <w:szCs w:val="24"/>
        </w:rPr>
        <w:t xml:space="preserve">Preocupa que la normativa vigente no asegure que en todos los establecimientos de salud se cuente con un equipo no objetor que permita garantizar la atención de mujeres y niñas afectadas por alguna de las tres causales. Si bien la ley define que frente a la objeción de conciencia la mujer o niña deba ser reasignada a otro profesional no objetor, también se permite su derivación a otro establecimiento si no se cuenta con el personal que pueda atenderla. Es decir, se admite que mujeres y niñas puedan verse forzadas a trasladarse a otro recinto para recibir la atención de salud que requieren. </w:t>
      </w:r>
    </w:p>
    <w:p w14:paraId="5EC7C469" w14:textId="77777777" w:rsidR="00BC4AAD" w:rsidRDefault="00997294">
      <w:pPr>
        <w:spacing w:after="120" w:line="240" w:lineRule="auto"/>
        <w:jc w:val="both"/>
        <w:rPr>
          <w:rFonts w:ascii="Calibri" w:eastAsia="Calibri" w:hAnsi="Calibri" w:cs="Calibri"/>
          <w:b/>
          <w:sz w:val="24"/>
          <w:szCs w:val="24"/>
        </w:rPr>
      </w:pPr>
      <w:r>
        <w:rPr>
          <w:rFonts w:ascii="Calibri" w:eastAsia="Calibri" w:hAnsi="Calibri" w:cs="Calibri"/>
          <w:b/>
          <w:sz w:val="24"/>
          <w:szCs w:val="24"/>
        </w:rPr>
        <w:t>Recomendaciones</w:t>
      </w:r>
    </w:p>
    <w:p w14:paraId="30C6EB54" w14:textId="77777777" w:rsidR="00BC4AAD" w:rsidRDefault="00997294">
      <w:pPr>
        <w:numPr>
          <w:ilvl w:val="0"/>
          <w:numId w:val="1"/>
        </w:numPr>
        <w:pBdr>
          <w:top w:val="nil"/>
          <w:left w:val="nil"/>
          <w:bottom w:val="nil"/>
          <w:right w:val="nil"/>
          <w:between w:val="nil"/>
        </w:pBdr>
        <w:spacing w:after="120" w:line="240" w:lineRule="auto"/>
        <w:jc w:val="both"/>
        <w:rPr>
          <w:rFonts w:ascii="Calibri" w:eastAsia="Calibri" w:hAnsi="Calibri" w:cs="Calibri"/>
          <w:sz w:val="24"/>
          <w:szCs w:val="24"/>
        </w:rPr>
      </w:pPr>
      <w:r>
        <w:rPr>
          <w:rFonts w:ascii="Calibri" w:eastAsia="Calibri" w:hAnsi="Calibri" w:cs="Calibri"/>
          <w:sz w:val="24"/>
          <w:szCs w:val="24"/>
        </w:rPr>
        <w:t xml:space="preserve">Difundir ampliamente la </w:t>
      </w:r>
      <w:r w:rsidR="008D7500">
        <w:rPr>
          <w:rFonts w:ascii="Calibri" w:eastAsia="Calibri" w:hAnsi="Calibri" w:cs="Calibri"/>
          <w:sz w:val="24"/>
          <w:szCs w:val="24"/>
        </w:rPr>
        <w:t>ley N°</w:t>
      </w:r>
      <w:r>
        <w:rPr>
          <w:rFonts w:ascii="Calibri" w:eastAsia="Calibri" w:hAnsi="Calibri" w:cs="Calibri"/>
          <w:sz w:val="24"/>
          <w:szCs w:val="24"/>
        </w:rPr>
        <w:t xml:space="preserve"> 21.030 sobre interrupción voluntaria del embarazo en tres causales, en todos los establecimientos públicos y privados de salud, incluyendo campañas de información sobre los derechos y prestaciones que se deben garantizar a mujeres y niñas.</w:t>
      </w:r>
    </w:p>
    <w:p w14:paraId="5A3EC0AB" w14:textId="77777777" w:rsidR="00BC4AAD" w:rsidRDefault="00997294">
      <w:pPr>
        <w:numPr>
          <w:ilvl w:val="0"/>
          <w:numId w:val="1"/>
        </w:numPr>
        <w:pBdr>
          <w:top w:val="nil"/>
          <w:left w:val="nil"/>
          <w:bottom w:val="nil"/>
          <w:right w:val="nil"/>
          <w:between w:val="nil"/>
        </w:pBdr>
        <w:spacing w:after="120" w:line="240" w:lineRule="auto"/>
        <w:jc w:val="both"/>
        <w:rPr>
          <w:rFonts w:ascii="Calibri" w:eastAsia="Calibri" w:hAnsi="Calibri" w:cs="Calibri"/>
          <w:sz w:val="24"/>
          <w:szCs w:val="24"/>
        </w:rPr>
      </w:pPr>
      <w:r>
        <w:rPr>
          <w:rFonts w:ascii="Calibri" w:eastAsia="Calibri" w:hAnsi="Calibri" w:cs="Calibri"/>
          <w:sz w:val="24"/>
          <w:szCs w:val="24"/>
        </w:rPr>
        <w:t>Implementar mecanismos de monitoreo y fiscalización en establecimientos públicos y privados de salud sobre la implementación adecuada de la ruta de atención que garantiza la ley a mujeres y niñas.</w:t>
      </w:r>
    </w:p>
    <w:p w14:paraId="34724114" w14:textId="77777777" w:rsidR="00BC4AAD" w:rsidRDefault="00997294">
      <w:pPr>
        <w:numPr>
          <w:ilvl w:val="0"/>
          <w:numId w:val="1"/>
        </w:numPr>
        <w:pBdr>
          <w:top w:val="nil"/>
          <w:left w:val="nil"/>
          <w:bottom w:val="nil"/>
          <w:right w:val="nil"/>
          <w:between w:val="nil"/>
        </w:pBdr>
        <w:spacing w:after="120" w:line="240" w:lineRule="auto"/>
        <w:jc w:val="both"/>
        <w:rPr>
          <w:rFonts w:ascii="Calibri" w:eastAsia="Calibri" w:hAnsi="Calibri" w:cs="Calibri"/>
          <w:sz w:val="24"/>
          <w:szCs w:val="24"/>
        </w:rPr>
      </w:pPr>
      <w:r>
        <w:rPr>
          <w:rFonts w:ascii="Calibri" w:eastAsia="Calibri" w:hAnsi="Calibri" w:cs="Calibri"/>
          <w:sz w:val="24"/>
          <w:szCs w:val="24"/>
        </w:rPr>
        <w:t>Derogar la objeción de conciencia institucional.</w:t>
      </w:r>
    </w:p>
    <w:p w14:paraId="1E3777C1" w14:textId="77777777" w:rsidR="00BC4AAD" w:rsidRDefault="00997294">
      <w:pPr>
        <w:numPr>
          <w:ilvl w:val="0"/>
          <w:numId w:val="1"/>
        </w:numPr>
        <w:pBdr>
          <w:top w:val="nil"/>
          <w:left w:val="nil"/>
          <w:bottom w:val="nil"/>
          <w:right w:val="nil"/>
          <w:between w:val="nil"/>
        </w:pBdr>
        <w:spacing w:after="120" w:line="240" w:lineRule="auto"/>
        <w:jc w:val="both"/>
        <w:rPr>
          <w:rFonts w:ascii="Calibri" w:eastAsia="Calibri" w:hAnsi="Calibri" w:cs="Calibri"/>
          <w:sz w:val="24"/>
          <w:szCs w:val="24"/>
        </w:rPr>
      </w:pPr>
      <w:r>
        <w:rPr>
          <w:rFonts w:ascii="Calibri" w:eastAsia="Calibri" w:hAnsi="Calibri" w:cs="Calibri"/>
          <w:sz w:val="24"/>
          <w:szCs w:val="24"/>
        </w:rPr>
        <w:t>Adoptar las medidas necesarias para asegurar que todos los establecimientos de salud cuenten con equipos no objetores que puedan realizar los procedimientos de interrupción voluntaria del embarazo.</w:t>
      </w:r>
    </w:p>
    <w:p w14:paraId="50F9F8A2" w14:textId="77777777" w:rsidR="00BC4AAD" w:rsidRDefault="00BC4AA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120" w:line="240" w:lineRule="auto"/>
        <w:jc w:val="both"/>
        <w:rPr>
          <w:rFonts w:ascii="Calibri" w:eastAsia="Calibri" w:hAnsi="Calibri" w:cs="Calibri"/>
          <w:b/>
          <w:sz w:val="24"/>
          <w:szCs w:val="24"/>
        </w:rPr>
      </w:pPr>
    </w:p>
    <w:p w14:paraId="20C450AB" w14:textId="77777777" w:rsidR="00BC4AAD" w:rsidRDefault="0099729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120" w:line="240" w:lineRule="auto"/>
        <w:jc w:val="both"/>
        <w:rPr>
          <w:rFonts w:ascii="Calibri" w:eastAsia="Calibri" w:hAnsi="Calibri" w:cs="Calibri"/>
          <w:b/>
          <w:sz w:val="24"/>
          <w:szCs w:val="24"/>
        </w:rPr>
      </w:pPr>
      <w:r>
        <w:rPr>
          <w:rFonts w:ascii="Calibri" w:eastAsia="Calibri" w:hAnsi="Calibri" w:cs="Calibri"/>
          <w:b/>
          <w:sz w:val="24"/>
          <w:szCs w:val="24"/>
        </w:rPr>
        <w:t>Artículo 5, 6, 7 y 9. Defensores/as de Derechos Humanos</w:t>
      </w:r>
    </w:p>
    <w:p w14:paraId="26578697" w14:textId="77777777" w:rsidR="00BC4AAD" w:rsidRDefault="0099729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120" w:line="240" w:lineRule="auto"/>
        <w:jc w:val="both"/>
        <w:rPr>
          <w:rFonts w:ascii="Calibri" w:eastAsia="Calibri" w:hAnsi="Calibri" w:cs="Calibri"/>
          <w:sz w:val="24"/>
          <w:szCs w:val="24"/>
        </w:rPr>
      </w:pPr>
      <w:r>
        <w:rPr>
          <w:rFonts w:ascii="Calibri" w:eastAsia="Calibri" w:hAnsi="Calibri" w:cs="Calibri"/>
          <w:sz w:val="24"/>
          <w:szCs w:val="24"/>
        </w:rPr>
        <w:t>El acuerdo de Escazú</w:t>
      </w:r>
      <w:r>
        <w:rPr>
          <w:rFonts w:ascii="Calibri" w:eastAsia="Calibri" w:hAnsi="Calibri" w:cs="Calibri"/>
          <w:sz w:val="24"/>
          <w:szCs w:val="24"/>
          <w:vertAlign w:val="superscript"/>
        </w:rPr>
        <w:footnoteReference w:id="29"/>
      </w:r>
      <w:r>
        <w:rPr>
          <w:rFonts w:ascii="Calibri" w:eastAsia="Calibri" w:hAnsi="Calibri" w:cs="Calibri"/>
          <w:sz w:val="24"/>
          <w:szCs w:val="24"/>
        </w:rPr>
        <w:t xml:space="preserve"> entró en vigor en Chile en 2022. Sin embargo, no existe un marco legal que reconozca la figura y labor de las y los Defensores de Derechos Humanos, quienes siguen siendo víctimas de diversos ataques, impedidos en ocasiones de realizar su funciones y sujetos de represión por los agentes del Estado. Si bien no es el único rol que cumplen, su presencia en calidad de observadores en el contexto de manifestaciones pacíficas contribuye al pleno disfrute de este derecho. La supervisión es importante para la transparencia, ya que desincentiva la comisión de violaciones de derechos y facilita la rendición de cuentas.</w:t>
      </w:r>
    </w:p>
    <w:p w14:paraId="06D319DD" w14:textId="77777777" w:rsidR="00696C2A" w:rsidRDefault="00696C2A">
      <w:pPr>
        <w:spacing w:line="240" w:lineRule="auto"/>
        <w:rPr>
          <w:rFonts w:ascii="Calibri" w:eastAsia="Calibri" w:hAnsi="Calibri" w:cs="Calibri"/>
          <w:b/>
          <w:sz w:val="24"/>
          <w:szCs w:val="24"/>
        </w:rPr>
      </w:pPr>
      <w:r>
        <w:rPr>
          <w:rFonts w:ascii="Calibri" w:eastAsia="Calibri" w:hAnsi="Calibri" w:cs="Calibri"/>
          <w:b/>
          <w:sz w:val="24"/>
          <w:szCs w:val="24"/>
        </w:rPr>
        <w:br w:type="page"/>
      </w:r>
    </w:p>
    <w:p w14:paraId="6B93DFF1" w14:textId="77777777" w:rsidR="00BC4AAD" w:rsidRDefault="0099729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120" w:line="240" w:lineRule="auto"/>
        <w:jc w:val="both"/>
        <w:rPr>
          <w:rFonts w:ascii="Calibri" w:eastAsia="Calibri" w:hAnsi="Calibri" w:cs="Calibri"/>
          <w:b/>
          <w:sz w:val="24"/>
          <w:szCs w:val="24"/>
        </w:rPr>
      </w:pPr>
      <w:r>
        <w:rPr>
          <w:rFonts w:ascii="Calibri" w:eastAsia="Calibri" w:hAnsi="Calibri" w:cs="Calibri"/>
          <w:b/>
          <w:sz w:val="24"/>
          <w:szCs w:val="24"/>
        </w:rPr>
        <w:lastRenderedPageBreak/>
        <w:t>Recomendaciones</w:t>
      </w:r>
    </w:p>
    <w:p w14:paraId="23030448" w14:textId="77777777" w:rsidR="00BC4AAD" w:rsidRDefault="00997294">
      <w:pPr>
        <w:numPr>
          <w:ilvl w:val="0"/>
          <w:numId w:val="8"/>
        </w:numPr>
        <w:pBdr>
          <w:top w:val="nil"/>
          <w:left w:val="nil"/>
          <w:bottom w:val="nil"/>
          <w:right w:val="nil"/>
          <w:between w:val="nil"/>
        </w:pBdr>
        <w:spacing w:after="120" w:line="240" w:lineRule="auto"/>
        <w:jc w:val="both"/>
        <w:rPr>
          <w:rFonts w:ascii="Calibri" w:eastAsia="Calibri" w:hAnsi="Calibri" w:cs="Calibri"/>
          <w:sz w:val="24"/>
          <w:szCs w:val="24"/>
        </w:rPr>
      </w:pPr>
      <w:r>
        <w:rPr>
          <w:rFonts w:ascii="Calibri" w:eastAsia="Calibri" w:hAnsi="Calibri" w:cs="Calibri"/>
          <w:sz w:val="24"/>
          <w:szCs w:val="24"/>
        </w:rPr>
        <w:t>Legislar sobre el reconocimiento y protección de Defensores y Defensoras de Derechos Humanos, especialmente frente a la violencia policial y criminalización.</w:t>
      </w:r>
    </w:p>
    <w:p w14:paraId="45C80F01" w14:textId="77777777" w:rsidR="00BC4AAD" w:rsidRDefault="00997294">
      <w:pPr>
        <w:spacing w:after="120" w:line="240" w:lineRule="auto"/>
        <w:jc w:val="both"/>
        <w:rPr>
          <w:rFonts w:ascii="Calibri" w:eastAsia="Calibri" w:hAnsi="Calibri" w:cs="Calibri"/>
          <w:b/>
          <w:sz w:val="24"/>
          <w:szCs w:val="24"/>
        </w:rPr>
      </w:pPr>
      <w:r>
        <w:rPr>
          <w:rFonts w:ascii="Calibri" w:eastAsia="Calibri" w:hAnsi="Calibri" w:cs="Calibri"/>
          <w:b/>
          <w:sz w:val="24"/>
          <w:szCs w:val="24"/>
        </w:rPr>
        <w:t xml:space="preserve">Artículos 6 y 7. Derecho a la vida y prohibición de tortura </w:t>
      </w:r>
    </w:p>
    <w:p w14:paraId="26F472D4" w14:textId="77777777" w:rsidR="00BC4AAD" w:rsidRDefault="0099729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jc w:val="both"/>
        <w:rPr>
          <w:rFonts w:ascii="Calibri" w:eastAsia="Calibri" w:hAnsi="Calibri" w:cs="Calibri"/>
          <w:sz w:val="24"/>
          <w:szCs w:val="24"/>
        </w:rPr>
      </w:pPr>
      <w:r>
        <w:rPr>
          <w:rFonts w:ascii="Calibri" w:eastAsia="Calibri" w:hAnsi="Calibri" w:cs="Calibri"/>
          <w:sz w:val="24"/>
          <w:szCs w:val="24"/>
        </w:rPr>
        <w:t>En Chile se encuentra vigente el Decreto Ley N° 2.191 de 1978 sobre amnistía, pese a que en 2006 la Corte Interamericana de Derechos Humanos condenó al Estado de Chile</w:t>
      </w:r>
      <w:r>
        <w:rPr>
          <w:rFonts w:ascii="Calibri" w:eastAsia="Calibri" w:hAnsi="Calibri" w:cs="Calibri"/>
          <w:sz w:val="24"/>
          <w:szCs w:val="24"/>
          <w:vertAlign w:val="superscript"/>
        </w:rPr>
        <w:footnoteReference w:id="30"/>
      </w:r>
      <w:r>
        <w:rPr>
          <w:rFonts w:ascii="Calibri" w:eastAsia="Calibri" w:hAnsi="Calibri" w:cs="Calibri"/>
          <w:sz w:val="24"/>
          <w:szCs w:val="24"/>
        </w:rPr>
        <w:t xml:space="preserve"> y, posteriormente, numerosos organismos internacionales han recomendado su derogación. Frente al llamado de atención de distintos organismos internacionales sobre la vigencia de la amnistía, el Estado ha argumentado que la Corte Suprema ha dejado de aplicarla. Sin embargo, su vigencia permitiría su aplicación ante un cambio de jurisprudencia, tal como lo señala el Comité contra la Desaparición Forzada (2019).</w:t>
      </w:r>
    </w:p>
    <w:p w14:paraId="0AE60436" w14:textId="77777777" w:rsidR="00BC4AAD" w:rsidRDefault="00997294">
      <w:pPr>
        <w:pBdr>
          <w:top w:val="nil"/>
          <w:left w:val="nil"/>
          <w:bottom w:val="nil"/>
          <w:right w:val="nil"/>
          <w:between w:val="nil"/>
        </w:pBdr>
        <w:spacing w:after="120" w:line="240" w:lineRule="auto"/>
        <w:jc w:val="both"/>
        <w:rPr>
          <w:rFonts w:ascii="Calibri" w:eastAsia="Calibri" w:hAnsi="Calibri" w:cs="Calibri"/>
          <w:color w:val="000000"/>
          <w:sz w:val="24"/>
          <w:szCs w:val="24"/>
        </w:rPr>
      </w:pPr>
      <w:r>
        <w:rPr>
          <w:rFonts w:ascii="Calibri" w:eastAsia="Calibri" w:hAnsi="Calibri" w:cs="Calibri"/>
          <w:color w:val="000000"/>
          <w:sz w:val="24"/>
          <w:szCs w:val="24"/>
        </w:rPr>
        <w:t>Aun cuando hay avances en la implementación de algunos mecanismos de Justicia Transicional, no existen políticas integrales en torno a la verdad, la justicia, la reparación y la memoria que contribuyan a las garantías de no repetición, inexistentes hasta el momento en nuestro país. La memoria en Chile no es considerada como un derecho, por tanto, no hay mecanismos que regulen las acciones del Estado para su protección y garantía. Una ley de memoria debe garantizar a víctimas, sobrevivientes, familiares, organizaciones de la sociedad civil y sociedad en su conjunto la participación en procesos de construcción de memorias impulsados por el Estado respecto de las violaciones a los derechos humanos cometidas por su acción, omisión o aquiescencia, así como al recuerdo de las luchas por los cambios sociales.</w:t>
      </w:r>
    </w:p>
    <w:p w14:paraId="353C5340" w14:textId="77777777" w:rsidR="00BC4AAD" w:rsidRDefault="00997294">
      <w:pPr>
        <w:spacing w:after="120" w:line="240" w:lineRule="auto"/>
        <w:jc w:val="both"/>
        <w:rPr>
          <w:rFonts w:ascii="Calibri" w:eastAsia="Calibri" w:hAnsi="Calibri" w:cs="Calibri"/>
          <w:sz w:val="24"/>
          <w:szCs w:val="24"/>
        </w:rPr>
      </w:pPr>
      <w:r>
        <w:rPr>
          <w:rFonts w:ascii="Calibri" w:eastAsia="Calibri" w:hAnsi="Calibri" w:cs="Calibri"/>
          <w:sz w:val="24"/>
          <w:szCs w:val="24"/>
        </w:rPr>
        <w:t>Junto con lo anterior, no se contemplan apoyos a procesos de memoria y memorialización desde iniciativas promovidas por la sociedad civil y que estén al alcance de las personas que residen en el territorio nacional para el ejercicio de su derecho a la memoria. Como ejemplo, los sitios de memoria no cuentan con un financiamiento normado por ley para su mantención y funcionamiento y las fuentes de recursos están supeditadas a concursos y voluntades políticas, fragmentadas a partir de acciones y responsabilidades sectoriales. Esto afecta la continuidad de los procesos de memorialización del país, el desarrollo de procesos educativos en memoria y derechos humanos que permitan comprender las violaciones a los derechos humanos del pasado y del presente, contribuyendo a la construcción de una sociedad democrática. Esta ausencia de políticas integrales de memoria se puede traducir en impunidad, falta de reparación integral y repetición de violaciones a los DD.HH.</w:t>
      </w:r>
    </w:p>
    <w:p w14:paraId="66528A9A" w14:textId="77777777" w:rsidR="00BC4AAD" w:rsidRDefault="00997294">
      <w:pPr>
        <w:spacing w:after="120" w:line="240" w:lineRule="auto"/>
        <w:jc w:val="both"/>
        <w:rPr>
          <w:rFonts w:ascii="Calibri" w:eastAsia="Calibri" w:hAnsi="Calibri" w:cs="Calibri"/>
          <w:sz w:val="24"/>
          <w:szCs w:val="24"/>
        </w:rPr>
      </w:pPr>
      <w:r>
        <w:rPr>
          <w:rFonts w:ascii="Calibri" w:eastAsia="Calibri" w:hAnsi="Calibri" w:cs="Calibri"/>
          <w:sz w:val="24"/>
          <w:szCs w:val="24"/>
        </w:rPr>
        <w:t xml:space="preserve">En relación a hechos constitutivos de tortura y otros tratos crueles, inhumanos y degradantes que impactan a las personas con discapacidad, el Circulo Emancipador de Mujeres y Niñas con Discapacidad de Chile (CIMUNIDIS) dio a conocer su estudio “Una revisión de las estadísticas 2001-2018, sobre la situación de las personas con Discapacidad Psicosocial e Intelectual en el Sistema de Salud Mental chileno” dando cuenta de la mantención de las internaciones forzadas, mortalidad en centros de internación, situaciones de violencia sexual y esterilizaciones forzadas. </w:t>
      </w:r>
    </w:p>
    <w:p w14:paraId="079C134F" w14:textId="77777777" w:rsidR="00BC4AAD" w:rsidRDefault="00997294">
      <w:pPr>
        <w:spacing w:after="120" w:line="240" w:lineRule="auto"/>
        <w:jc w:val="both"/>
        <w:rPr>
          <w:rFonts w:ascii="Calibri" w:eastAsia="Calibri" w:hAnsi="Calibri" w:cs="Calibri"/>
          <w:sz w:val="24"/>
          <w:szCs w:val="24"/>
        </w:rPr>
      </w:pPr>
      <w:r>
        <w:rPr>
          <w:rFonts w:ascii="Calibri" w:eastAsia="Calibri" w:hAnsi="Calibri" w:cs="Calibri"/>
          <w:sz w:val="24"/>
          <w:szCs w:val="24"/>
        </w:rPr>
        <w:lastRenderedPageBreak/>
        <w:t>En enero de 2022, el Comité para la Prevención de la Tortura de Chile realizó un informe diagnóstico sobre vulneraciones de derechos humanos en el área de salud mental, en el cual señala como prioritario atender los procedimientos sin consentimiento en personas con diagnóstico de salud mental, principalmente referidos a aislamientos, contenciones, hospitalizaciones, cirugías, entre otros, y la presencia de abuso verbal, físico, sexual y/o psicológico, y el descuido físico y/o emocional, en un contexto de ausencia de supervisión por una autoridad independiente que permita visibilizar los malos tratos y apuntar a su prevención</w:t>
      </w:r>
      <w:r>
        <w:rPr>
          <w:rFonts w:ascii="Calibri" w:eastAsia="Calibri" w:hAnsi="Calibri" w:cs="Calibri"/>
          <w:sz w:val="24"/>
          <w:szCs w:val="24"/>
          <w:vertAlign w:val="superscript"/>
        </w:rPr>
        <w:footnoteReference w:id="31"/>
      </w:r>
      <w:r>
        <w:rPr>
          <w:rFonts w:ascii="Calibri" w:eastAsia="Calibri" w:hAnsi="Calibri" w:cs="Calibri"/>
          <w:sz w:val="24"/>
          <w:szCs w:val="24"/>
        </w:rPr>
        <w:t xml:space="preserve">. </w:t>
      </w:r>
    </w:p>
    <w:p w14:paraId="099D7D9E" w14:textId="77777777" w:rsidR="00BC4AAD" w:rsidRDefault="00997294">
      <w:pPr>
        <w:spacing w:after="120" w:line="240" w:lineRule="auto"/>
        <w:jc w:val="both"/>
        <w:rPr>
          <w:rFonts w:ascii="Calibri" w:eastAsia="Calibri" w:hAnsi="Calibri" w:cs="Calibri"/>
          <w:sz w:val="24"/>
          <w:szCs w:val="24"/>
        </w:rPr>
      </w:pPr>
      <w:r>
        <w:rPr>
          <w:rFonts w:ascii="Calibri" w:eastAsia="Calibri" w:hAnsi="Calibri" w:cs="Calibri"/>
          <w:sz w:val="24"/>
          <w:szCs w:val="24"/>
        </w:rPr>
        <w:t>Algunas de estas vul</w:t>
      </w:r>
      <w:r w:rsidR="00B92FDB">
        <w:rPr>
          <w:rFonts w:ascii="Calibri" w:eastAsia="Calibri" w:hAnsi="Calibri" w:cs="Calibri"/>
          <w:sz w:val="24"/>
          <w:szCs w:val="24"/>
        </w:rPr>
        <w:t>neraciones son abordadas en la l</w:t>
      </w:r>
      <w:r>
        <w:rPr>
          <w:rFonts w:ascii="Calibri" w:eastAsia="Calibri" w:hAnsi="Calibri" w:cs="Calibri"/>
          <w:sz w:val="24"/>
          <w:szCs w:val="24"/>
        </w:rPr>
        <w:t xml:space="preserve">ey </w:t>
      </w:r>
      <w:r w:rsidR="00B92FDB">
        <w:rPr>
          <w:rFonts w:ascii="Calibri" w:eastAsia="Calibri" w:hAnsi="Calibri" w:cs="Calibri"/>
          <w:sz w:val="24"/>
          <w:szCs w:val="24"/>
        </w:rPr>
        <w:t xml:space="preserve">N° </w:t>
      </w:r>
      <w:r>
        <w:rPr>
          <w:rFonts w:ascii="Calibri" w:eastAsia="Calibri" w:hAnsi="Calibri" w:cs="Calibri"/>
          <w:sz w:val="24"/>
          <w:szCs w:val="24"/>
        </w:rPr>
        <w:t>21.331 que establece normas para el reconocimiento y protección de los derechos de las personas en la atención de salud mental aprobada en abril de 2021, estableciendo regulaciones, particularmente en lo referido a procedimientos invasivos e irreversibles, a la utilización de prácticas de contención y aislamiento, y a las internaciones involuntarias.</w:t>
      </w:r>
    </w:p>
    <w:p w14:paraId="79E8C78C" w14:textId="77777777" w:rsidR="00BC4AAD" w:rsidRDefault="00997294">
      <w:pPr>
        <w:spacing w:after="120" w:line="240" w:lineRule="auto"/>
        <w:jc w:val="both"/>
        <w:rPr>
          <w:rFonts w:ascii="Calibri" w:eastAsia="Calibri" w:hAnsi="Calibri" w:cs="Calibri"/>
          <w:sz w:val="24"/>
          <w:szCs w:val="24"/>
        </w:rPr>
      </w:pPr>
      <w:r>
        <w:rPr>
          <w:rFonts w:ascii="Calibri" w:eastAsia="Calibri" w:hAnsi="Calibri" w:cs="Calibri"/>
          <w:sz w:val="24"/>
          <w:szCs w:val="24"/>
        </w:rPr>
        <w:t>Sin embargo, para el Círculo de Mujeres y Niñas con Discapacidad (CIMUNIDIS), esta ley no logró incorporar: un enfoque de DDHH; la participación de la sociedad civil; los cuestionamientos de la Corte Suprema; y del derecho internacional de los derechos humanos. Actualmente no tiene Reglamento, y ha sido utilizada para renovar la Norma Técnica de Electroshock</w:t>
      </w:r>
      <w:r>
        <w:rPr>
          <w:rFonts w:ascii="Calibri" w:eastAsia="Calibri" w:hAnsi="Calibri" w:cs="Calibri"/>
          <w:sz w:val="24"/>
          <w:szCs w:val="24"/>
          <w:vertAlign w:val="superscript"/>
        </w:rPr>
        <w:footnoteReference w:id="32"/>
      </w:r>
      <w:r>
        <w:rPr>
          <w:rFonts w:ascii="Calibri" w:eastAsia="Calibri" w:hAnsi="Calibri" w:cs="Calibri"/>
          <w:sz w:val="24"/>
          <w:szCs w:val="24"/>
        </w:rPr>
        <w:t xml:space="preserve"> considerada tortura. </w:t>
      </w:r>
    </w:p>
    <w:p w14:paraId="723C4C0E" w14:textId="77777777" w:rsidR="00BC4AAD" w:rsidRDefault="00997294">
      <w:pPr>
        <w:spacing w:after="120" w:line="240" w:lineRule="auto"/>
        <w:jc w:val="both"/>
        <w:rPr>
          <w:rFonts w:ascii="Calibri" w:eastAsia="Calibri" w:hAnsi="Calibri" w:cs="Calibri"/>
          <w:sz w:val="24"/>
          <w:szCs w:val="24"/>
        </w:rPr>
      </w:pPr>
      <w:r>
        <w:rPr>
          <w:rFonts w:ascii="Calibri" w:eastAsia="Calibri" w:hAnsi="Calibri" w:cs="Calibri"/>
          <w:sz w:val="24"/>
          <w:szCs w:val="24"/>
        </w:rPr>
        <w:t>Adicionalmente, esta</w:t>
      </w:r>
      <w:r w:rsidR="00B92FDB">
        <w:rPr>
          <w:rFonts w:ascii="Calibri" w:eastAsia="Calibri" w:hAnsi="Calibri" w:cs="Calibri"/>
          <w:sz w:val="24"/>
          <w:szCs w:val="24"/>
        </w:rPr>
        <w:t xml:space="preserve"> organización considera que la l</w:t>
      </w:r>
      <w:r>
        <w:rPr>
          <w:rFonts w:ascii="Calibri" w:eastAsia="Calibri" w:hAnsi="Calibri" w:cs="Calibri"/>
          <w:sz w:val="24"/>
          <w:szCs w:val="24"/>
        </w:rPr>
        <w:t xml:space="preserve">ey </w:t>
      </w:r>
      <w:r w:rsidR="00B92FDB">
        <w:rPr>
          <w:rFonts w:ascii="Calibri" w:eastAsia="Calibri" w:hAnsi="Calibri" w:cs="Calibri"/>
          <w:sz w:val="24"/>
          <w:szCs w:val="24"/>
        </w:rPr>
        <w:t xml:space="preserve">N° </w:t>
      </w:r>
      <w:r>
        <w:rPr>
          <w:rFonts w:ascii="Calibri" w:eastAsia="Calibri" w:hAnsi="Calibri" w:cs="Calibri"/>
          <w:sz w:val="24"/>
          <w:szCs w:val="24"/>
        </w:rPr>
        <w:t>21.331 solo ha consolidado las internaciones forzadas y los tratamientos forzados del Decreto 570</w:t>
      </w:r>
      <w:r>
        <w:rPr>
          <w:rFonts w:ascii="Calibri" w:eastAsia="Calibri" w:hAnsi="Calibri" w:cs="Calibri"/>
          <w:sz w:val="24"/>
          <w:szCs w:val="24"/>
          <w:vertAlign w:val="superscript"/>
        </w:rPr>
        <w:footnoteReference w:id="33"/>
      </w:r>
      <w:r>
        <w:rPr>
          <w:rFonts w:ascii="Calibri" w:eastAsia="Calibri" w:hAnsi="Calibri" w:cs="Calibri"/>
          <w:sz w:val="24"/>
          <w:szCs w:val="24"/>
        </w:rPr>
        <w:t xml:space="preserve"> y la ley </w:t>
      </w:r>
      <w:r w:rsidR="00B92FDB">
        <w:rPr>
          <w:rFonts w:ascii="Calibri" w:eastAsia="Calibri" w:hAnsi="Calibri" w:cs="Calibri"/>
          <w:sz w:val="24"/>
          <w:szCs w:val="24"/>
        </w:rPr>
        <w:t xml:space="preserve">N° </w:t>
      </w:r>
      <w:r>
        <w:rPr>
          <w:rFonts w:ascii="Calibri" w:eastAsia="Calibri" w:hAnsi="Calibri" w:cs="Calibri"/>
          <w:sz w:val="24"/>
          <w:szCs w:val="24"/>
        </w:rPr>
        <w:t xml:space="preserve">20.584. Debido a la falta de entendimiento entre el Ejecutivo, defensores de DDHH y sociedad civil, el Ministerio de Salud elaboró un nuevo texto de proyecto de ley de salud mental integral cuyo contenido aún es desconocido, y está radicado en la Subsecretaría de Salud Pública. </w:t>
      </w:r>
    </w:p>
    <w:p w14:paraId="0E3E9B37" w14:textId="77777777" w:rsidR="00BC4AAD" w:rsidRDefault="00997294">
      <w:pPr>
        <w:spacing w:after="120" w:line="240" w:lineRule="auto"/>
        <w:jc w:val="both"/>
        <w:rPr>
          <w:rFonts w:ascii="Calibri" w:eastAsia="Calibri" w:hAnsi="Calibri" w:cs="Calibri"/>
          <w:sz w:val="24"/>
          <w:szCs w:val="24"/>
        </w:rPr>
      </w:pPr>
      <w:r>
        <w:rPr>
          <w:rFonts w:ascii="Calibri" w:eastAsia="Calibri" w:hAnsi="Calibri" w:cs="Calibri"/>
          <w:sz w:val="24"/>
          <w:szCs w:val="24"/>
        </w:rPr>
        <w:t>En Chile persiste el sistema de voluntad sustitutiva que afecta a algunas personas con discapacidad, esto significa la declaratoria de incapacidad jurídica o interdicción, y el nombramiento de un guardador. No se ha modificado el Código Civil del año 1855 para armonizarlo con el mandato de la Convención sobre los derechos de las personas con discapacidad, tratado internacional ratificado por el Estado chileno. Sólo se registra un proyecto de ley para declarar la capacidad jurídica plena de todas las personas, así como lo reconoce la CDPD|ONU. Sin embargo, esta iniciativa no ha tenido movimiento legislativo, por lo que no se registran avances reales en la materia.</w:t>
      </w:r>
    </w:p>
    <w:p w14:paraId="12D556A3" w14:textId="77777777" w:rsidR="00BC4AAD" w:rsidRDefault="00997294">
      <w:pPr>
        <w:spacing w:after="120" w:line="240" w:lineRule="auto"/>
        <w:jc w:val="both"/>
        <w:rPr>
          <w:rFonts w:ascii="Calibri" w:eastAsia="Calibri" w:hAnsi="Calibri" w:cs="Calibri"/>
          <w:sz w:val="24"/>
          <w:szCs w:val="24"/>
        </w:rPr>
      </w:pPr>
      <w:r>
        <w:rPr>
          <w:rFonts w:ascii="Calibri" w:eastAsia="Calibri" w:hAnsi="Calibri" w:cs="Calibri"/>
          <w:sz w:val="24"/>
          <w:szCs w:val="24"/>
        </w:rPr>
        <w:t xml:space="preserve">Se encuentra pendiente la reforma a las normas del Código Civil sobre capacidad jurídica, cuyos conceptos obsoletos sobre salud mental datan de 1855, y la modificación de las leyes Nº 20.584 y Nº 21.331 que admiten la privación de libertad de usuarios de servicios de salud </w:t>
      </w:r>
      <w:r>
        <w:rPr>
          <w:rFonts w:ascii="Calibri" w:eastAsia="Calibri" w:hAnsi="Calibri" w:cs="Calibri"/>
          <w:sz w:val="24"/>
          <w:szCs w:val="24"/>
        </w:rPr>
        <w:lastRenderedPageBreak/>
        <w:t>mental, lo que constituye una grave vulneración a los derechos de personas con discapacidad, ampliamente naturalizada en el sistema de salud y agravada por la falta de rendición de cuentas.</w:t>
      </w:r>
    </w:p>
    <w:p w14:paraId="1D6973E6" w14:textId="77777777" w:rsidR="00BC4AAD" w:rsidRDefault="00997294">
      <w:pPr>
        <w:spacing w:after="120" w:line="240" w:lineRule="auto"/>
        <w:rPr>
          <w:rFonts w:ascii="Calibri" w:eastAsia="Calibri" w:hAnsi="Calibri" w:cs="Calibri"/>
          <w:b/>
          <w:sz w:val="24"/>
          <w:szCs w:val="24"/>
        </w:rPr>
      </w:pPr>
      <w:r>
        <w:rPr>
          <w:rFonts w:ascii="Calibri" w:eastAsia="Calibri" w:hAnsi="Calibri" w:cs="Calibri"/>
          <w:b/>
          <w:sz w:val="24"/>
          <w:szCs w:val="24"/>
        </w:rPr>
        <w:t>Recomendaciones:</w:t>
      </w:r>
    </w:p>
    <w:p w14:paraId="718FF95F" w14:textId="77777777" w:rsidR="00BC4AAD" w:rsidRDefault="00997294">
      <w:pPr>
        <w:numPr>
          <w:ilvl w:val="0"/>
          <w:numId w:val="1"/>
        </w:numPr>
        <w:pBdr>
          <w:top w:val="nil"/>
          <w:left w:val="nil"/>
          <w:bottom w:val="nil"/>
          <w:right w:val="nil"/>
          <w:between w:val="nil"/>
        </w:pBdr>
        <w:spacing w:after="120" w:line="240" w:lineRule="auto"/>
        <w:jc w:val="both"/>
        <w:rPr>
          <w:rFonts w:ascii="Calibri" w:eastAsia="Calibri" w:hAnsi="Calibri" w:cs="Calibri"/>
          <w:sz w:val="24"/>
          <w:szCs w:val="24"/>
        </w:rPr>
      </w:pPr>
      <w:r>
        <w:rPr>
          <w:rFonts w:ascii="Calibri" w:eastAsia="Calibri" w:hAnsi="Calibri" w:cs="Calibri"/>
          <w:sz w:val="24"/>
          <w:szCs w:val="24"/>
        </w:rPr>
        <w:t>Reanudar el debate del proyecto de ley que propone la nulidad del decreto ley N° 2.191 de 1978 (Ley de amnistía), ingresado a tramitación en 2006 y posteriormente archivado en 2022, o bien presentar una nueva iniciativa en la materia.</w:t>
      </w:r>
    </w:p>
    <w:p w14:paraId="3B5EA1E8" w14:textId="77777777" w:rsidR="00BC4AAD" w:rsidRDefault="00997294">
      <w:pPr>
        <w:numPr>
          <w:ilvl w:val="0"/>
          <w:numId w:val="1"/>
        </w:numPr>
        <w:pBdr>
          <w:top w:val="nil"/>
          <w:left w:val="nil"/>
          <w:bottom w:val="nil"/>
          <w:right w:val="nil"/>
          <w:between w:val="nil"/>
        </w:pBdr>
        <w:spacing w:after="120" w:line="240" w:lineRule="auto"/>
        <w:jc w:val="both"/>
        <w:rPr>
          <w:rFonts w:ascii="Calibri" w:eastAsia="Calibri" w:hAnsi="Calibri" w:cs="Calibri"/>
          <w:sz w:val="24"/>
          <w:szCs w:val="24"/>
        </w:rPr>
      </w:pPr>
      <w:r>
        <w:rPr>
          <w:rFonts w:ascii="Calibri" w:eastAsia="Calibri" w:hAnsi="Calibri" w:cs="Calibri"/>
          <w:sz w:val="24"/>
          <w:szCs w:val="24"/>
        </w:rPr>
        <w:t>Diseñar una política de memoria Integral que contribuya a las garantías de no repetición, regule las acciones del Estado para la protección y garantía del derecho a la memoria y garantice a víctimas, sobrevivientes, familiares, organizaciones y sociedad en su conjunto la participación en procesos de construcción de memorias respecto de las violaciones a los DD.HH.</w:t>
      </w:r>
    </w:p>
    <w:p w14:paraId="38760671" w14:textId="77777777" w:rsidR="00BC4AAD" w:rsidRDefault="00997294">
      <w:pPr>
        <w:numPr>
          <w:ilvl w:val="0"/>
          <w:numId w:val="1"/>
        </w:numPr>
        <w:spacing w:after="120" w:line="240" w:lineRule="auto"/>
        <w:jc w:val="both"/>
        <w:rPr>
          <w:rFonts w:ascii="Calibri" w:eastAsia="Calibri" w:hAnsi="Calibri" w:cs="Calibri"/>
          <w:sz w:val="24"/>
          <w:szCs w:val="24"/>
        </w:rPr>
      </w:pPr>
      <w:r>
        <w:rPr>
          <w:rFonts w:ascii="Calibri" w:eastAsia="Calibri" w:hAnsi="Calibri" w:cs="Calibri"/>
          <w:sz w:val="24"/>
          <w:szCs w:val="24"/>
        </w:rPr>
        <w:t>Implementar medidas para garantizar, resguardar y mantener los sitios de memorias con presupuestos públicos adecuados y permanentes.</w:t>
      </w:r>
    </w:p>
    <w:p w14:paraId="22E1E9A1" w14:textId="77777777" w:rsidR="00BC4AAD" w:rsidRDefault="00997294">
      <w:pPr>
        <w:numPr>
          <w:ilvl w:val="0"/>
          <w:numId w:val="1"/>
        </w:numPr>
        <w:spacing w:after="120" w:line="240" w:lineRule="auto"/>
        <w:jc w:val="both"/>
        <w:rPr>
          <w:rFonts w:ascii="Calibri" w:eastAsia="Calibri" w:hAnsi="Calibri" w:cs="Calibri"/>
          <w:sz w:val="24"/>
          <w:szCs w:val="24"/>
        </w:rPr>
      </w:pPr>
      <w:r>
        <w:rPr>
          <w:rFonts w:ascii="Calibri" w:eastAsia="Calibri" w:hAnsi="Calibri" w:cs="Calibri"/>
          <w:sz w:val="24"/>
          <w:szCs w:val="24"/>
        </w:rPr>
        <w:t xml:space="preserve">Modificar la </w:t>
      </w:r>
      <w:r w:rsidR="00F96082">
        <w:rPr>
          <w:rFonts w:ascii="Calibri" w:eastAsia="Calibri" w:hAnsi="Calibri" w:cs="Calibri"/>
          <w:sz w:val="24"/>
          <w:szCs w:val="24"/>
        </w:rPr>
        <w:t>ley N°</w:t>
      </w:r>
      <w:r>
        <w:rPr>
          <w:rFonts w:ascii="Calibri" w:eastAsia="Calibri" w:hAnsi="Calibri" w:cs="Calibri"/>
          <w:sz w:val="24"/>
          <w:szCs w:val="24"/>
        </w:rPr>
        <w:t xml:space="preserve"> 21.331 acorde con los estándares internacionales de derechos humanos, y establecer un mecanismo permanente para su evaluación y fiscalización.</w:t>
      </w:r>
    </w:p>
    <w:p w14:paraId="4FCC9164" w14:textId="77777777" w:rsidR="002F33AA" w:rsidRDefault="002F33AA" w:rsidP="00EB548B">
      <w:pPr>
        <w:numPr>
          <w:ilvl w:val="0"/>
          <w:numId w:val="1"/>
        </w:numPr>
        <w:spacing w:after="120" w:line="240" w:lineRule="auto"/>
        <w:jc w:val="both"/>
        <w:rPr>
          <w:rFonts w:ascii="Calibri" w:eastAsia="Calibri" w:hAnsi="Calibri" w:cs="Calibri"/>
          <w:sz w:val="24"/>
          <w:szCs w:val="24"/>
        </w:rPr>
      </w:pPr>
      <w:r>
        <w:rPr>
          <w:rFonts w:ascii="Calibri" w:eastAsia="Calibri" w:hAnsi="Calibri" w:cs="Calibri"/>
          <w:sz w:val="24"/>
          <w:szCs w:val="24"/>
        </w:rPr>
        <w:t>Fortalecer</w:t>
      </w:r>
      <w:r w:rsidR="00EB548B">
        <w:rPr>
          <w:rFonts w:ascii="Calibri" w:eastAsia="Calibri" w:hAnsi="Calibri" w:cs="Calibri"/>
          <w:sz w:val="24"/>
          <w:szCs w:val="24"/>
        </w:rPr>
        <w:t xml:space="preserve"> a la </w:t>
      </w:r>
      <w:r w:rsidR="00EB548B" w:rsidRPr="00EB548B">
        <w:rPr>
          <w:rFonts w:ascii="Calibri" w:eastAsia="Calibri" w:hAnsi="Calibri" w:cs="Calibri"/>
          <w:sz w:val="24"/>
          <w:szCs w:val="24"/>
        </w:rPr>
        <w:t>Comisión Nacional de Protección de Derechos de las Personas con Enfermedad Mental</w:t>
      </w:r>
      <w:r w:rsidR="00EB548B">
        <w:rPr>
          <w:rFonts w:ascii="Calibri" w:eastAsia="Calibri" w:hAnsi="Calibri" w:cs="Calibri"/>
          <w:sz w:val="24"/>
          <w:szCs w:val="24"/>
        </w:rPr>
        <w:t xml:space="preserve"> y las comisiones regionales, garantizando su autonomía y un presupuesto acorde a la magnitud de sus funcione</w:t>
      </w:r>
      <w:r w:rsidR="002B099F">
        <w:rPr>
          <w:rFonts w:ascii="Calibri" w:eastAsia="Calibri" w:hAnsi="Calibri" w:cs="Calibri"/>
          <w:sz w:val="24"/>
          <w:szCs w:val="24"/>
        </w:rPr>
        <w:t>s</w:t>
      </w:r>
      <w:r w:rsidR="00EB548B">
        <w:rPr>
          <w:rFonts w:ascii="Calibri" w:eastAsia="Calibri" w:hAnsi="Calibri" w:cs="Calibri"/>
          <w:sz w:val="24"/>
          <w:szCs w:val="24"/>
        </w:rPr>
        <w:t>.</w:t>
      </w:r>
    </w:p>
    <w:p w14:paraId="75F2833D" w14:textId="77777777" w:rsidR="00BC4AAD" w:rsidRDefault="00DC47F9" w:rsidP="00564CE3">
      <w:pPr>
        <w:numPr>
          <w:ilvl w:val="0"/>
          <w:numId w:val="1"/>
        </w:numPr>
        <w:spacing w:after="120" w:line="240" w:lineRule="auto"/>
        <w:jc w:val="both"/>
        <w:rPr>
          <w:rFonts w:ascii="Calibri" w:eastAsia="Calibri" w:hAnsi="Calibri" w:cs="Calibri"/>
          <w:sz w:val="24"/>
          <w:szCs w:val="24"/>
        </w:rPr>
      </w:pPr>
      <w:r w:rsidRPr="00DC47F9">
        <w:rPr>
          <w:rFonts w:ascii="Calibri" w:eastAsia="Calibri" w:hAnsi="Calibri" w:cs="Calibri"/>
          <w:sz w:val="24"/>
          <w:szCs w:val="24"/>
        </w:rPr>
        <w:t xml:space="preserve">Garantizar recursos para viabilizar alternativas a la hospitalización psiquiátrica, cerrando servicios asilares, poniendo término a internaciones y tratamientos forzados y fortaleciendo la función de la salud mental comunitaria en los territorios con la participación de las personas con discapacidad, que son expertos por experiencia, y defensores de derechos humanos. </w:t>
      </w:r>
      <w:r w:rsidR="00997294">
        <w:rPr>
          <w:rFonts w:ascii="Calibri" w:eastAsia="Calibri" w:hAnsi="Calibri" w:cs="Calibri"/>
          <w:sz w:val="24"/>
          <w:szCs w:val="24"/>
        </w:rPr>
        <w:t xml:space="preserve"> </w:t>
      </w:r>
    </w:p>
    <w:p w14:paraId="73A1BA29" w14:textId="77777777" w:rsidR="00BC4AAD" w:rsidRDefault="00997294">
      <w:pPr>
        <w:numPr>
          <w:ilvl w:val="0"/>
          <w:numId w:val="1"/>
        </w:numPr>
        <w:spacing w:after="120" w:line="240" w:lineRule="auto"/>
        <w:jc w:val="both"/>
        <w:rPr>
          <w:rFonts w:ascii="Calibri" w:eastAsia="Calibri" w:hAnsi="Calibri" w:cs="Calibri"/>
          <w:sz w:val="24"/>
          <w:szCs w:val="24"/>
        </w:rPr>
      </w:pPr>
      <w:r>
        <w:rPr>
          <w:rFonts w:ascii="Calibri" w:eastAsia="Calibri" w:hAnsi="Calibri" w:cs="Calibri"/>
          <w:sz w:val="24"/>
          <w:szCs w:val="24"/>
        </w:rPr>
        <w:t>Adoptar la guía de la desinstitucionalización de personas con discapacidad de ONU.</w:t>
      </w:r>
    </w:p>
    <w:p w14:paraId="1E6FB29B" w14:textId="77777777" w:rsidR="00BC4AAD" w:rsidRDefault="00997294">
      <w:pPr>
        <w:numPr>
          <w:ilvl w:val="0"/>
          <w:numId w:val="1"/>
        </w:numPr>
        <w:spacing w:after="120" w:line="240" w:lineRule="auto"/>
        <w:jc w:val="both"/>
        <w:rPr>
          <w:rFonts w:ascii="Calibri" w:eastAsia="Calibri" w:hAnsi="Calibri" w:cs="Calibri"/>
          <w:sz w:val="24"/>
          <w:szCs w:val="24"/>
        </w:rPr>
      </w:pPr>
      <w:r>
        <w:rPr>
          <w:rFonts w:ascii="Calibri" w:eastAsia="Calibri" w:hAnsi="Calibri" w:cs="Calibri"/>
          <w:sz w:val="24"/>
          <w:szCs w:val="24"/>
        </w:rPr>
        <w:t>Exigir rendición de cuentas de los servicios de psiquiatría y medidas de justicia restaurativa en violaciones de DDHH.</w:t>
      </w:r>
    </w:p>
    <w:p w14:paraId="3E239397" w14:textId="77777777" w:rsidR="00BC4AAD" w:rsidRDefault="00997294">
      <w:pPr>
        <w:numPr>
          <w:ilvl w:val="0"/>
          <w:numId w:val="1"/>
        </w:numPr>
        <w:spacing w:after="120" w:line="240" w:lineRule="auto"/>
        <w:jc w:val="both"/>
        <w:rPr>
          <w:rFonts w:ascii="Calibri" w:eastAsia="Calibri" w:hAnsi="Calibri" w:cs="Calibri"/>
          <w:sz w:val="24"/>
          <w:szCs w:val="24"/>
        </w:rPr>
      </w:pPr>
      <w:r>
        <w:rPr>
          <w:rFonts w:ascii="Calibri" w:eastAsia="Calibri" w:hAnsi="Calibri" w:cs="Calibri"/>
          <w:sz w:val="24"/>
          <w:szCs w:val="24"/>
        </w:rPr>
        <w:t>Garantizar el derecho a la vida independiente, con autonomía, capacidad jurídica. ejercicio de la voluntad y preferencias de toda persona, con apoyos y salvaguardas para personas con discapacidad.</w:t>
      </w:r>
    </w:p>
    <w:p w14:paraId="75E1D2EE" w14:textId="77777777" w:rsidR="00BC4AAD" w:rsidRDefault="00BC4AAD">
      <w:pPr>
        <w:spacing w:after="120" w:line="240" w:lineRule="auto"/>
        <w:jc w:val="both"/>
        <w:rPr>
          <w:rFonts w:ascii="Calibri" w:eastAsia="Calibri" w:hAnsi="Calibri" w:cs="Calibri"/>
          <w:b/>
          <w:sz w:val="24"/>
          <w:szCs w:val="24"/>
        </w:rPr>
      </w:pPr>
    </w:p>
    <w:p w14:paraId="7365F4CF" w14:textId="77777777" w:rsidR="00BC4AAD" w:rsidRDefault="00997294">
      <w:pPr>
        <w:spacing w:after="120" w:line="240" w:lineRule="auto"/>
        <w:jc w:val="both"/>
        <w:rPr>
          <w:rFonts w:ascii="Calibri" w:eastAsia="Calibri" w:hAnsi="Calibri" w:cs="Calibri"/>
          <w:sz w:val="24"/>
          <w:szCs w:val="24"/>
        </w:rPr>
      </w:pPr>
      <w:r>
        <w:rPr>
          <w:rFonts w:ascii="Calibri" w:eastAsia="Calibri" w:hAnsi="Calibri" w:cs="Calibri"/>
          <w:b/>
          <w:sz w:val="24"/>
          <w:szCs w:val="24"/>
        </w:rPr>
        <w:t>Artículos 7 y 9. Uso de la fuerza</w:t>
      </w:r>
    </w:p>
    <w:p w14:paraId="296DAF3F" w14:textId="77777777" w:rsidR="00BC4AAD" w:rsidRDefault="00997294">
      <w:pPr>
        <w:spacing w:after="120" w:line="240" w:lineRule="auto"/>
        <w:jc w:val="both"/>
        <w:rPr>
          <w:rFonts w:ascii="Calibri" w:eastAsia="Calibri" w:hAnsi="Calibri" w:cs="Calibri"/>
          <w:sz w:val="24"/>
          <w:szCs w:val="24"/>
        </w:rPr>
      </w:pPr>
      <w:r>
        <w:rPr>
          <w:rFonts w:ascii="Calibri" w:eastAsia="Calibri" w:hAnsi="Calibri" w:cs="Calibri"/>
          <w:sz w:val="24"/>
          <w:szCs w:val="24"/>
        </w:rPr>
        <w:t xml:space="preserve">La evaluación de la formación en derechos humanos de las fuerzas de orden y seguridad puede realizarse a través de sus actuaciones. La CODDHHJDC ha constatado un excesivo uso de la fuerza en contextos de protestas pacíficas, incluyendo el uso de armas menos letales como herramienta de represión, impidiendo a las personas ejercer este derecho. Esto sucede en zonas residenciales y comerciales, en colegios, contra personas adultas y contra grupos de especial protección, como es el caso de niñas, niños y adolescentes, mujeres, </w:t>
      </w:r>
      <w:r>
        <w:rPr>
          <w:rFonts w:ascii="Calibri" w:eastAsia="Calibri" w:hAnsi="Calibri" w:cs="Calibri"/>
          <w:sz w:val="24"/>
          <w:szCs w:val="24"/>
        </w:rPr>
        <w:lastRenderedPageBreak/>
        <w:t>personas mayores, personas con discapacidad, personas pertenecientes a pueblos indígenas.</w:t>
      </w:r>
    </w:p>
    <w:p w14:paraId="6FE8DC13" w14:textId="77777777" w:rsidR="00BC4AAD" w:rsidRDefault="00997294">
      <w:pPr>
        <w:spacing w:after="120" w:line="240" w:lineRule="auto"/>
        <w:jc w:val="both"/>
        <w:rPr>
          <w:rFonts w:ascii="Calibri" w:eastAsia="Calibri" w:hAnsi="Calibri" w:cs="Calibri"/>
          <w:sz w:val="24"/>
          <w:szCs w:val="24"/>
        </w:rPr>
      </w:pPr>
      <w:r>
        <w:rPr>
          <w:rFonts w:ascii="Calibri" w:eastAsia="Calibri" w:hAnsi="Calibri" w:cs="Calibri"/>
          <w:sz w:val="24"/>
          <w:szCs w:val="24"/>
        </w:rPr>
        <w:t xml:space="preserve">En ocasiones agentes del Estado caracterizan las manifestaciones como violentas sin disponer de pruebas sobre la comisión de violencia generalizada, contraviniendo lo señalado en la Observación General 37 del Pacto, que establece que la conducta violenta de algunos individuos no es suficiente para declarar que una reunión no es pacífica en general y los actos violentos de determinados individuos no pueden atribuirse a otros participantes en la reunión. </w:t>
      </w:r>
    </w:p>
    <w:p w14:paraId="534FBD16" w14:textId="77777777" w:rsidR="00BC4AAD" w:rsidRDefault="00997294">
      <w:pPr>
        <w:spacing w:after="120" w:line="240" w:lineRule="auto"/>
        <w:jc w:val="both"/>
        <w:rPr>
          <w:rFonts w:ascii="Calibri" w:eastAsia="Calibri" w:hAnsi="Calibri" w:cs="Calibri"/>
          <w:sz w:val="24"/>
          <w:szCs w:val="24"/>
        </w:rPr>
      </w:pPr>
      <w:r>
        <w:rPr>
          <w:rFonts w:ascii="Calibri" w:eastAsia="Calibri" w:hAnsi="Calibri" w:cs="Calibri"/>
          <w:sz w:val="24"/>
          <w:szCs w:val="24"/>
        </w:rPr>
        <w:t xml:space="preserve">Los Estados tienen la responsabilidad de velar por que se lleven a cabo investigaciones rápidas, imparciales y exhaustivas, de ofrecer vías de recurso a las víctimas de abusos y violaciones de los derechos humanos en el contexto de la realización de protestas y de exigir responsabilidades a los autores de tales actos y rendición de cuentas. Sin embargo, en Chile se constata la falta de investigación y castigo a los responsables. </w:t>
      </w:r>
    </w:p>
    <w:p w14:paraId="3515DC52" w14:textId="77777777" w:rsidR="00BC4AAD" w:rsidRDefault="0099729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jc w:val="both"/>
        <w:rPr>
          <w:rFonts w:ascii="Calibri" w:eastAsia="Calibri" w:hAnsi="Calibri" w:cs="Calibri"/>
          <w:sz w:val="24"/>
          <w:szCs w:val="24"/>
        </w:rPr>
      </w:pPr>
      <w:r>
        <w:rPr>
          <w:rFonts w:ascii="Calibri" w:eastAsia="Calibri" w:hAnsi="Calibri" w:cs="Calibri"/>
          <w:sz w:val="24"/>
          <w:szCs w:val="24"/>
        </w:rPr>
        <w:t>A lo anterior se suma que Chile carece de normativa legal que regule el uso de la fuerza con respeto a los derechos humanos. La aprobación de la ley Naín-Retamal</w:t>
      </w:r>
      <w:r>
        <w:rPr>
          <w:rFonts w:ascii="Calibri" w:eastAsia="Calibri" w:hAnsi="Calibri" w:cs="Calibri"/>
          <w:sz w:val="24"/>
          <w:szCs w:val="24"/>
          <w:vertAlign w:val="superscript"/>
        </w:rPr>
        <w:footnoteReference w:id="34"/>
      </w:r>
      <w:r>
        <w:rPr>
          <w:rFonts w:ascii="Calibri" w:eastAsia="Calibri" w:hAnsi="Calibri" w:cs="Calibri"/>
          <w:sz w:val="24"/>
          <w:szCs w:val="24"/>
        </w:rPr>
        <w:t>, que otorga a la policía el derecho a la legítima defensa privilegiada y restringe la aplicación de la figura legal de apremios ilegítimos, ha permitido absolver a carabineros acusados de abuso policial durante las manifestaciones ocurridas desde octubre de 2019.</w:t>
      </w:r>
    </w:p>
    <w:p w14:paraId="22B1FBC6" w14:textId="77777777" w:rsidR="00BC4AAD" w:rsidRDefault="00997294">
      <w:pPr>
        <w:spacing w:after="120" w:line="240" w:lineRule="auto"/>
        <w:jc w:val="both"/>
        <w:rPr>
          <w:rFonts w:ascii="Calibri" w:eastAsia="Calibri" w:hAnsi="Calibri" w:cs="Calibri"/>
          <w:b/>
          <w:sz w:val="24"/>
          <w:szCs w:val="24"/>
        </w:rPr>
      </w:pPr>
      <w:r>
        <w:rPr>
          <w:rFonts w:ascii="Calibri" w:eastAsia="Calibri" w:hAnsi="Calibri" w:cs="Calibri"/>
          <w:b/>
          <w:sz w:val="24"/>
          <w:szCs w:val="24"/>
        </w:rPr>
        <w:t>Recomendaciones</w:t>
      </w:r>
    </w:p>
    <w:p w14:paraId="2114A76F" w14:textId="77777777" w:rsidR="00BC4AAD" w:rsidRDefault="00997294">
      <w:pPr>
        <w:numPr>
          <w:ilvl w:val="0"/>
          <w:numId w:val="5"/>
        </w:numPr>
        <w:spacing w:after="120" w:line="240" w:lineRule="auto"/>
        <w:jc w:val="both"/>
        <w:rPr>
          <w:rFonts w:ascii="Calibri" w:eastAsia="Calibri" w:hAnsi="Calibri" w:cs="Calibri"/>
          <w:sz w:val="24"/>
          <w:szCs w:val="24"/>
        </w:rPr>
      </w:pPr>
      <w:r>
        <w:rPr>
          <w:rFonts w:ascii="Calibri" w:eastAsia="Calibri" w:hAnsi="Calibri" w:cs="Calibri"/>
          <w:sz w:val="24"/>
          <w:szCs w:val="24"/>
        </w:rPr>
        <w:t>Emitir una ley que regule las actuaciones de las FFAA y Fuerzas de Orden Público, de acuerdo a estándares internacionales de DDHH.</w:t>
      </w:r>
    </w:p>
    <w:p w14:paraId="30681242" w14:textId="77777777" w:rsidR="00BC4AAD" w:rsidRDefault="00997294">
      <w:pPr>
        <w:numPr>
          <w:ilvl w:val="0"/>
          <w:numId w:val="5"/>
        </w:numPr>
        <w:spacing w:after="120"/>
        <w:jc w:val="both"/>
        <w:rPr>
          <w:rFonts w:ascii="Calibri" w:eastAsia="Calibri" w:hAnsi="Calibri" w:cs="Calibri"/>
          <w:sz w:val="24"/>
          <w:szCs w:val="24"/>
        </w:rPr>
      </w:pPr>
      <w:bookmarkStart w:id="1" w:name="_heading=h.gjdgxs" w:colFirst="0" w:colLast="0"/>
      <w:bookmarkEnd w:id="1"/>
      <w:r>
        <w:rPr>
          <w:rFonts w:ascii="Calibri" w:eastAsia="Calibri" w:hAnsi="Calibri" w:cs="Calibri"/>
          <w:sz w:val="24"/>
          <w:szCs w:val="24"/>
        </w:rPr>
        <w:t>Adoptar ley que regule el uso de la fuerza por parte de las FFAA y de Orden y Seguridad y personal encargado de cumplir la ley, adecuada a estándares internacionales de DDHH.</w:t>
      </w:r>
    </w:p>
    <w:p w14:paraId="23914C03" w14:textId="77777777" w:rsidR="00BC4AAD" w:rsidRDefault="00997294">
      <w:pPr>
        <w:numPr>
          <w:ilvl w:val="0"/>
          <w:numId w:val="5"/>
        </w:numPr>
        <w:spacing w:after="120" w:line="240" w:lineRule="auto"/>
        <w:jc w:val="both"/>
        <w:rPr>
          <w:rFonts w:ascii="Calibri" w:eastAsia="Calibri" w:hAnsi="Calibri" w:cs="Calibri"/>
          <w:sz w:val="24"/>
          <w:szCs w:val="24"/>
        </w:rPr>
      </w:pPr>
      <w:r>
        <w:rPr>
          <w:rFonts w:ascii="Calibri" w:eastAsia="Calibri" w:hAnsi="Calibri" w:cs="Calibri"/>
          <w:sz w:val="24"/>
          <w:szCs w:val="24"/>
        </w:rPr>
        <w:t>Definir e implementar un mecanismo de rendición de cuentas, efectivo y transparente, con sistemas de control interno y externo para el personal de las instituciones de orden, seguridad pública y FFAA.</w:t>
      </w:r>
    </w:p>
    <w:p w14:paraId="181DE75C" w14:textId="77777777" w:rsidR="00BC4AAD" w:rsidRDefault="00997294">
      <w:pPr>
        <w:numPr>
          <w:ilvl w:val="0"/>
          <w:numId w:val="5"/>
        </w:numPr>
        <w:spacing w:after="120"/>
        <w:jc w:val="both"/>
        <w:rPr>
          <w:rFonts w:ascii="Calibri" w:eastAsia="Calibri" w:hAnsi="Calibri" w:cs="Calibri"/>
          <w:sz w:val="24"/>
          <w:szCs w:val="24"/>
        </w:rPr>
      </w:pPr>
      <w:r>
        <w:rPr>
          <w:rFonts w:ascii="Calibri" w:eastAsia="Calibri" w:hAnsi="Calibri" w:cs="Calibri"/>
          <w:sz w:val="24"/>
          <w:szCs w:val="24"/>
        </w:rPr>
        <w:t>Garantizar la transparencia en el actuar de las fuerzas de orden, mediante la obligación de informar periódicamente para ser fiscalizados/as, eliminando el secreto o reserva por motivo de seguridad nacional.</w:t>
      </w:r>
    </w:p>
    <w:p w14:paraId="4E4166D9" w14:textId="77777777" w:rsidR="00BC4AAD" w:rsidRDefault="00997294">
      <w:pPr>
        <w:numPr>
          <w:ilvl w:val="0"/>
          <w:numId w:val="5"/>
        </w:numPr>
        <w:spacing w:after="120" w:line="240" w:lineRule="auto"/>
        <w:jc w:val="both"/>
        <w:rPr>
          <w:rFonts w:ascii="Calibri" w:eastAsia="Calibri" w:hAnsi="Calibri" w:cs="Calibri"/>
          <w:sz w:val="24"/>
          <w:szCs w:val="24"/>
        </w:rPr>
      </w:pPr>
      <w:r>
        <w:rPr>
          <w:rFonts w:ascii="Calibri" w:eastAsia="Calibri" w:hAnsi="Calibri" w:cs="Calibri"/>
          <w:sz w:val="24"/>
          <w:szCs w:val="24"/>
        </w:rPr>
        <w:t>Fortalecer los mecanismos de investigación y sanción para garantizar el cumplimiento de los estándares de derechos humanos en las actuaciones de los agentes de orden y seguridad.</w:t>
      </w:r>
    </w:p>
    <w:p w14:paraId="3E13760A" w14:textId="77777777" w:rsidR="00BC4AAD" w:rsidRDefault="00997294">
      <w:pPr>
        <w:numPr>
          <w:ilvl w:val="0"/>
          <w:numId w:val="5"/>
        </w:numPr>
        <w:spacing w:after="120" w:line="240" w:lineRule="auto"/>
        <w:jc w:val="both"/>
        <w:rPr>
          <w:rFonts w:ascii="Calibri" w:eastAsia="Calibri" w:hAnsi="Calibri" w:cs="Calibri"/>
          <w:sz w:val="24"/>
          <w:szCs w:val="24"/>
        </w:rPr>
      </w:pPr>
      <w:r>
        <w:rPr>
          <w:rFonts w:ascii="Calibri" w:eastAsia="Calibri" w:hAnsi="Calibri" w:cs="Calibri"/>
          <w:sz w:val="24"/>
          <w:szCs w:val="24"/>
        </w:rPr>
        <w:t xml:space="preserve">Garantizar el examen periódico del equipamiento y armas proporcionados al personal de las fuerzas del orden que participan en labores de facilitación de manifestaciones y los procedimientos que regulan su uso, de modo que la formación </w:t>
      </w:r>
      <w:r>
        <w:rPr>
          <w:rFonts w:ascii="Calibri" w:eastAsia="Calibri" w:hAnsi="Calibri" w:cs="Calibri"/>
          <w:sz w:val="24"/>
          <w:szCs w:val="24"/>
        </w:rPr>
        <w:lastRenderedPageBreak/>
        <w:t>y equipos cumplan plenamente las normas internacionales sobre la aplicación de la ley y el uso de la fuerza.</w:t>
      </w:r>
    </w:p>
    <w:p w14:paraId="0BA423FE" w14:textId="77777777" w:rsidR="00BC4AAD" w:rsidRDefault="00BC4AAD">
      <w:pPr>
        <w:pBdr>
          <w:top w:val="nil"/>
          <w:left w:val="nil"/>
          <w:bottom w:val="nil"/>
          <w:right w:val="nil"/>
          <w:between w:val="nil"/>
        </w:pBdr>
        <w:spacing w:after="120" w:line="240" w:lineRule="auto"/>
        <w:ind w:right="1134"/>
        <w:jc w:val="both"/>
        <w:rPr>
          <w:rFonts w:ascii="Calibri" w:eastAsia="Calibri" w:hAnsi="Calibri" w:cs="Calibri"/>
          <w:b/>
          <w:sz w:val="24"/>
          <w:szCs w:val="24"/>
        </w:rPr>
      </w:pPr>
    </w:p>
    <w:p w14:paraId="33059041" w14:textId="77777777" w:rsidR="00BC4AAD" w:rsidRDefault="00997294">
      <w:pPr>
        <w:keepNext/>
        <w:keepLines/>
        <w:pBdr>
          <w:top w:val="nil"/>
          <w:left w:val="nil"/>
          <w:bottom w:val="nil"/>
          <w:right w:val="nil"/>
          <w:between w:val="nil"/>
        </w:pBdr>
        <w:tabs>
          <w:tab w:val="right" w:pos="851"/>
        </w:tabs>
        <w:spacing w:after="120" w:line="240" w:lineRule="auto"/>
        <w:ind w:left="1134" w:right="1134" w:hanging="1134"/>
        <w:rPr>
          <w:rFonts w:ascii="Calibri" w:eastAsia="Calibri" w:hAnsi="Calibri" w:cs="Calibri"/>
          <w:b/>
          <w:sz w:val="24"/>
          <w:szCs w:val="24"/>
        </w:rPr>
      </w:pPr>
      <w:r>
        <w:rPr>
          <w:rFonts w:ascii="Calibri" w:eastAsia="Calibri" w:hAnsi="Calibri" w:cs="Calibri"/>
          <w:b/>
          <w:sz w:val="24"/>
          <w:szCs w:val="24"/>
        </w:rPr>
        <w:t xml:space="preserve">Trata de personas (art. 8) </w:t>
      </w:r>
    </w:p>
    <w:p w14:paraId="777BE44D" w14:textId="77777777" w:rsidR="00BC4AAD" w:rsidRDefault="00997294">
      <w:pPr>
        <w:pBdr>
          <w:top w:val="nil"/>
          <w:left w:val="nil"/>
          <w:bottom w:val="nil"/>
          <w:right w:val="nil"/>
          <w:between w:val="nil"/>
        </w:pBdr>
        <w:spacing w:after="120" w:line="240" w:lineRule="auto"/>
        <w:ind w:right="-79"/>
        <w:jc w:val="both"/>
        <w:rPr>
          <w:rFonts w:ascii="Calibri" w:eastAsia="Calibri" w:hAnsi="Calibri" w:cs="Calibri"/>
          <w:sz w:val="24"/>
          <w:szCs w:val="24"/>
        </w:rPr>
      </w:pPr>
      <w:r>
        <w:rPr>
          <w:rFonts w:ascii="Calibri" w:eastAsia="Calibri" w:hAnsi="Calibri" w:cs="Calibri"/>
          <w:sz w:val="24"/>
          <w:szCs w:val="24"/>
        </w:rPr>
        <w:t>En la Mesa Intersectorial Sobre Trata de Personas, coordinada por Ministerio del Interior y Seguridad Pública, se dio a conocer en el mes de mayo de 2023 un informe estadístico que recopila datos sobre causas con investigaciones formalizadas por el delito del 411 quáter del Código Penal, entre el 8 de abril de 2011 y el 31 de diciembre de 2022. En dicho período se han formalizado 63 investigaciones con un total de 347 víctimas, 65% de las cuales corresponden a trata con fines de explotación sexual, presentando una mayor cantidad de causas formalizadas en las regiones de Arica y Parinacota, Tarapacá y Metropolitana. Las mujeres representan el 59% de las víctimas, y del total, 33 son niños o niñas.</w:t>
      </w:r>
    </w:p>
    <w:p w14:paraId="66F2643E" w14:textId="77777777" w:rsidR="00BC4AAD" w:rsidRDefault="00997294">
      <w:pPr>
        <w:spacing w:after="120"/>
        <w:ind w:right="-79"/>
        <w:jc w:val="both"/>
        <w:rPr>
          <w:rFonts w:ascii="Calibri" w:eastAsia="Calibri" w:hAnsi="Calibri" w:cs="Calibri"/>
          <w:sz w:val="24"/>
          <w:szCs w:val="24"/>
        </w:rPr>
      </w:pPr>
      <w:r>
        <w:rPr>
          <w:rFonts w:ascii="Calibri" w:eastAsia="Calibri" w:hAnsi="Calibri" w:cs="Calibri"/>
          <w:sz w:val="24"/>
          <w:szCs w:val="24"/>
        </w:rPr>
        <w:t xml:space="preserve">Se trata de cifras limitadas, que no reflejan el problema en su real dimensión, pues dan cuenta únicamente de casos denunciados y posteriormente formalizadas, lo que impide contar con un diagnóstico acabado de la magnitud y gravedad de este fenómeno en Chile. </w:t>
      </w:r>
    </w:p>
    <w:p w14:paraId="7BFC8B8A" w14:textId="77777777" w:rsidR="00BC4AAD" w:rsidRDefault="00997294">
      <w:pPr>
        <w:pBdr>
          <w:top w:val="nil"/>
          <w:left w:val="nil"/>
          <w:bottom w:val="nil"/>
          <w:right w:val="nil"/>
          <w:between w:val="nil"/>
        </w:pBdr>
        <w:spacing w:after="120" w:line="240" w:lineRule="auto"/>
        <w:ind w:right="-79"/>
        <w:jc w:val="both"/>
        <w:rPr>
          <w:rFonts w:ascii="Calibri" w:eastAsia="Calibri" w:hAnsi="Calibri" w:cs="Calibri"/>
          <w:sz w:val="24"/>
          <w:szCs w:val="24"/>
        </w:rPr>
      </w:pPr>
      <w:r>
        <w:rPr>
          <w:rFonts w:ascii="Calibri" w:eastAsia="Calibri" w:hAnsi="Calibri" w:cs="Calibri"/>
          <w:sz w:val="24"/>
          <w:szCs w:val="24"/>
        </w:rPr>
        <w:t>Preocupa observar que entre 2018 y 2022 se identifican 132 víctimas en total, en circunstancias que para el año 2011 se identificaron 92 y en 2013, 80 víctimas. La disminución en los casos detectados contrasta con el significativo aumento de los flujos migratorios en el país en años recientes. Según estimaciones del Instituto Nacional de Estadísticas en 2022 la población extranjera residente en nuestro país alcanzó los 1,6 millones de personas, 25% más que en el año 2018. Un 6,6% de ellas se encuentran en situación irregular, lo que supone un aumento considerable respecto del 0,6% de 2018</w:t>
      </w:r>
      <w:r>
        <w:rPr>
          <w:rFonts w:ascii="Calibri" w:eastAsia="Calibri" w:hAnsi="Calibri" w:cs="Calibri"/>
          <w:sz w:val="24"/>
          <w:szCs w:val="24"/>
          <w:vertAlign w:val="superscript"/>
        </w:rPr>
        <w:footnoteReference w:id="35"/>
      </w:r>
      <w:r>
        <w:rPr>
          <w:rFonts w:ascii="Calibri" w:eastAsia="Calibri" w:hAnsi="Calibri" w:cs="Calibri"/>
          <w:sz w:val="24"/>
          <w:szCs w:val="24"/>
        </w:rPr>
        <w:t>. A mayor ingreso de personas al país, crecientemente por pasos no habilitados, aumenta la posibilidad de que sean víctimas de tráfico de migrantes y /o trata de personas, y el bajo número de casos detectados da cuenta del gran riesgo en que estas personas se encuentran y las barreras que enfrentan para acceder a la justicia.</w:t>
      </w:r>
    </w:p>
    <w:p w14:paraId="2282385A" w14:textId="77777777" w:rsidR="00BC4AAD" w:rsidRDefault="00997294">
      <w:pPr>
        <w:pBdr>
          <w:top w:val="nil"/>
          <w:left w:val="nil"/>
          <w:bottom w:val="nil"/>
          <w:right w:val="nil"/>
          <w:between w:val="nil"/>
        </w:pBdr>
        <w:spacing w:after="120" w:line="240" w:lineRule="auto"/>
        <w:ind w:right="-79"/>
        <w:jc w:val="both"/>
        <w:rPr>
          <w:rFonts w:ascii="Calibri" w:eastAsia="Calibri" w:hAnsi="Calibri" w:cs="Calibri"/>
          <w:b/>
          <w:sz w:val="24"/>
          <w:szCs w:val="24"/>
        </w:rPr>
      </w:pPr>
      <w:r>
        <w:rPr>
          <w:rFonts w:ascii="Calibri" w:eastAsia="Calibri" w:hAnsi="Calibri" w:cs="Calibri"/>
          <w:b/>
          <w:sz w:val="24"/>
          <w:szCs w:val="24"/>
        </w:rPr>
        <w:t>Recomendaciones:</w:t>
      </w:r>
    </w:p>
    <w:p w14:paraId="78B89B0D" w14:textId="77777777" w:rsidR="00BC4AAD" w:rsidRDefault="00997294">
      <w:pPr>
        <w:numPr>
          <w:ilvl w:val="0"/>
          <w:numId w:val="4"/>
        </w:numPr>
        <w:pBdr>
          <w:top w:val="nil"/>
          <w:left w:val="nil"/>
          <w:bottom w:val="nil"/>
          <w:right w:val="nil"/>
          <w:between w:val="nil"/>
        </w:pBdr>
        <w:spacing w:line="240" w:lineRule="auto"/>
        <w:ind w:right="-79"/>
        <w:jc w:val="both"/>
        <w:rPr>
          <w:rFonts w:ascii="Calibri" w:eastAsia="Calibri" w:hAnsi="Calibri" w:cs="Calibri"/>
          <w:sz w:val="24"/>
          <w:szCs w:val="24"/>
        </w:rPr>
      </w:pPr>
      <w:r>
        <w:rPr>
          <w:rFonts w:ascii="Calibri" w:eastAsia="Calibri" w:hAnsi="Calibri" w:cs="Calibri"/>
          <w:sz w:val="24"/>
          <w:szCs w:val="24"/>
        </w:rPr>
        <w:t>Implementar acciones para la detección de casos de tráfico de migrantes y trata de personas.</w:t>
      </w:r>
    </w:p>
    <w:p w14:paraId="5D213111" w14:textId="77777777" w:rsidR="00BC4AAD" w:rsidRDefault="00997294">
      <w:pPr>
        <w:numPr>
          <w:ilvl w:val="0"/>
          <w:numId w:val="4"/>
        </w:numPr>
        <w:pBdr>
          <w:top w:val="nil"/>
          <w:left w:val="nil"/>
          <w:bottom w:val="nil"/>
          <w:right w:val="nil"/>
          <w:between w:val="nil"/>
        </w:pBdr>
        <w:spacing w:line="240" w:lineRule="auto"/>
        <w:ind w:right="-79"/>
        <w:jc w:val="both"/>
        <w:rPr>
          <w:rFonts w:ascii="Calibri" w:eastAsia="Calibri" w:hAnsi="Calibri" w:cs="Calibri"/>
          <w:sz w:val="24"/>
          <w:szCs w:val="24"/>
        </w:rPr>
      </w:pPr>
      <w:r>
        <w:rPr>
          <w:rFonts w:ascii="Calibri" w:eastAsia="Calibri" w:hAnsi="Calibri" w:cs="Calibri"/>
          <w:sz w:val="24"/>
          <w:szCs w:val="24"/>
        </w:rPr>
        <w:t>Realizar campañas de sensibilización y prevención del tráfico de migrantes y trata de personas.</w:t>
      </w:r>
    </w:p>
    <w:p w14:paraId="5D643004" w14:textId="77777777" w:rsidR="00BC4AAD" w:rsidRDefault="00997294">
      <w:pPr>
        <w:numPr>
          <w:ilvl w:val="0"/>
          <w:numId w:val="4"/>
        </w:numPr>
        <w:pBdr>
          <w:top w:val="nil"/>
          <w:left w:val="nil"/>
          <w:bottom w:val="nil"/>
          <w:right w:val="nil"/>
          <w:between w:val="nil"/>
        </w:pBdr>
        <w:spacing w:after="120" w:line="240" w:lineRule="auto"/>
        <w:ind w:right="-79"/>
        <w:jc w:val="both"/>
        <w:rPr>
          <w:rFonts w:ascii="Calibri" w:eastAsia="Calibri" w:hAnsi="Calibri" w:cs="Calibri"/>
          <w:sz w:val="24"/>
          <w:szCs w:val="24"/>
        </w:rPr>
      </w:pPr>
      <w:r>
        <w:rPr>
          <w:rFonts w:ascii="Calibri" w:eastAsia="Calibri" w:hAnsi="Calibri" w:cs="Calibri"/>
          <w:sz w:val="24"/>
          <w:szCs w:val="24"/>
        </w:rPr>
        <w:t>Implementar programas de capacitación para funcionarios públicos destinados a mejorar las capacidades de detección del tráfico de migrantes y trata de personas.</w:t>
      </w:r>
    </w:p>
    <w:p w14:paraId="6792F74C" w14:textId="77777777" w:rsidR="00BC4AAD" w:rsidRDefault="00BC4AAD">
      <w:pPr>
        <w:pBdr>
          <w:top w:val="nil"/>
          <w:left w:val="nil"/>
          <w:bottom w:val="nil"/>
          <w:right w:val="nil"/>
          <w:between w:val="nil"/>
        </w:pBdr>
        <w:spacing w:after="120" w:line="240" w:lineRule="auto"/>
        <w:ind w:left="720" w:right="-79"/>
        <w:jc w:val="both"/>
        <w:rPr>
          <w:rFonts w:ascii="Calibri" w:eastAsia="Calibri" w:hAnsi="Calibri" w:cs="Calibri"/>
          <w:sz w:val="24"/>
          <w:szCs w:val="24"/>
        </w:rPr>
      </w:pPr>
    </w:p>
    <w:p w14:paraId="0C260364" w14:textId="77777777" w:rsidR="00696C2A" w:rsidRDefault="00696C2A">
      <w:pPr>
        <w:spacing w:line="240" w:lineRule="auto"/>
        <w:rPr>
          <w:rFonts w:ascii="Calibri" w:eastAsia="Calibri" w:hAnsi="Calibri" w:cs="Calibri"/>
          <w:b/>
          <w:sz w:val="24"/>
          <w:szCs w:val="24"/>
        </w:rPr>
      </w:pPr>
      <w:r>
        <w:rPr>
          <w:rFonts w:ascii="Calibri" w:eastAsia="Calibri" w:hAnsi="Calibri" w:cs="Calibri"/>
          <w:b/>
          <w:sz w:val="24"/>
          <w:szCs w:val="24"/>
        </w:rPr>
        <w:br w:type="page"/>
      </w:r>
    </w:p>
    <w:p w14:paraId="295CD292" w14:textId="77777777" w:rsidR="00BC4AAD" w:rsidRDefault="00997294">
      <w:pPr>
        <w:pBdr>
          <w:top w:val="nil"/>
          <w:left w:val="nil"/>
          <w:bottom w:val="nil"/>
          <w:right w:val="nil"/>
          <w:between w:val="nil"/>
        </w:pBdr>
        <w:spacing w:after="120" w:line="240" w:lineRule="auto"/>
        <w:ind w:right="1134"/>
        <w:jc w:val="both"/>
        <w:rPr>
          <w:rFonts w:ascii="Calibri" w:eastAsia="Calibri" w:hAnsi="Calibri" w:cs="Calibri"/>
          <w:sz w:val="24"/>
          <w:szCs w:val="24"/>
        </w:rPr>
      </w:pPr>
      <w:r>
        <w:rPr>
          <w:rFonts w:ascii="Calibri" w:eastAsia="Calibri" w:hAnsi="Calibri" w:cs="Calibri"/>
          <w:b/>
          <w:sz w:val="24"/>
          <w:szCs w:val="24"/>
        </w:rPr>
        <w:lastRenderedPageBreak/>
        <w:t>Artículo 10. Trato dispensado a las personas privadas de libertad</w:t>
      </w:r>
    </w:p>
    <w:p w14:paraId="6906EA34" w14:textId="77777777" w:rsidR="00BC4AAD" w:rsidRDefault="00997294">
      <w:pPr>
        <w:spacing w:after="120" w:line="240" w:lineRule="auto"/>
        <w:jc w:val="both"/>
        <w:rPr>
          <w:rFonts w:ascii="Calibri" w:eastAsia="Calibri" w:hAnsi="Calibri" w:cs="Calibri"/>
          <w:sz w:val="24"/>
          <w:szCs w:val="24"/>
        </w:rPr>
      </w:pPr>
      <w:r>
        <w:rPr>
          <w:rFonts w:ascii="Calibri" w:eastAsia="Calibri" w:hAnsi="Calibri" w:cs="Calibri"/>
          <w:sz w:val="24"/>
          <w:szCs w:val="24"/>
        </w:rPr>
        <w:t>Al 31 de diciembre de 2023 existen 55.922 personas privadas de libertad en sistema cerrado, y el 7,8% son mujeres</w:t>
      </w:r>
      <w:r>
        <w:rPr>
          <w:rFonts w:ascii="Calibri" w:eastAsia="Calibri" w:hAnsi="Calibri" w:cs="Calibri"/>
          <w:sz w:val="24"/>
          <w:szCs w:val="24"/>
          <w:vertAlign w:val="superscript"/>
        </w:rPr>
        <w:footnoteReference w:id="36"/>
      </w:r>
      <w:r>
        <w:rPr>
          <w:rFonts w:ascii="Calibri" w:eastAsia="Calibri" w:hAnsi="Calibri" w:cs="Calibri"/>
          <w:sz w:val="24"/>
          <w:szCs w:val="24"/>
        </w:rPr>
        <w:t>, lo que representa un aumento de 20% con respecto a enero de 2022. La capacidad máxima de alojamiento es de 42 mil plazas disponibles, con un uso de 127% de la capacidad del sistema.</w:t>
      </w:r>
    </w:p>
    <w:p w14:paraId="4953AB73" w14:textId="77777777" w:rsidR="00BC4AAD" w:rsidRDefault="00997294">
      <w:pPr>
        <w:spacing w:after="120" w:line="240" w:lineRule="auto"/>
        <w:jc w:val="both"/>
        <w:rPr>
          <w:rFonts w:ascii="Calibri" w:eastAsia="Calibri" w:hAnsi="Calibri" w:cs="Calibri"/>
          <w:sz w:val="24"/>
          <w:szCs w:val="24"/>
        </w:rPr>
      </w:pPr>
      <w:r>
        <w:rPr>
          <w:rFonts w:ascii="Calibri" w:eastAsia="Calibri" w:hAnsi="Calibri" w:cs="Calibri"/>
          <w:sz w:val="24"/>
          <w:szCs w:val="24"/>
        </w:rPr>
        <w:t xml:space="preserve">Desde el 2018 se han aumentado numéricamente las plazas sin que esto se acompañe de la ampliación o construcción de recintos, por lo que el aumento de plazas obedece a una redistribución de espacios ya existentes, división de celdas o eliminación de espacios comunes en desmedro a la calidad de vida de las personas privadas de libertad. Este tipo de medidas agudiza problemáticas relacionadas con la falta de acceso a servicios básicos, a servicios sanitarios, deficientes condiciones de habitabilidad, entre otros. </w:t>
      </w:r>
    </w:p>
    <w:p w14:paraId="29E53D76" w14:textId="77777777" w:rsidR="00BC4AAD" w:rsidRDefault="00997294">
      <w:pPr>
        <w:spacing w:after="120" w:line="240" w:lineRule="auto"/>
        <w:jc w:val="both"/>
        <w:rPr>
          <w:rFonts w:ascii="Calibri" w:eastAsia="Calibri" w:hAnsi="Calibri" w:cs="Calibri"/>
          <w:sz w:val="24"/>
          <w:szCs w:val="24"/>
        </w:rPr>
      </w:pPr>
      <w:r>
        <w:rPr>
          <w:rFonts w:ascii="Calibri" w:eastAsia="Calibri" w:hAnsi="Calibri" w:cs="Calibri"/>
          <w:sz w:val="24"/>
          <w:szCs w:val="24"/>
        </w:rPr>
        <w:t>La zona norte del país presenta una situación especialmente grave, donde actualmente la población de mujeres privadas de libertad es elevada (particularmente en la Región de Tarapacá donde representan el 23,6% de la población penitenciaria, muy por sobre el promedio nacional), con la consecuente sobrecarga de capacidad de los recintos. Se registra un uso desproporcionado de la prisión preventiva en el caso de las mujeres. A diciembre de 2023, el 47,2% de las mujeres imputadas se encuentra en prisión preventiva, proporción mayor que en la población de hombres, en que la prisión preventiva asciende a 35,6%.</w:t>
      </w:r>
      <w:r>
        <w:rPr>
          <w:rFonts w:ascii="Calibri" w:eastAsia="Calibri" w:hAnsi="Calibri" w:cs="Calibri"/>
          <w:sz w:val="24"/>
          <w:szCs w:val="24"/>
          <w:vertAlign w:val="superscript"/>
        </w:rPr>
        <w:footnoteReference w:id="37"/>
      </w:r>
    </w:p>
    <w:p w14:paraId="5A7393CF" w14:textId="77777777" w:rsidR="00BC4AAD" w:rsidRDefault="00997294">
      <w:pPr>
        <w:spacing w:after="120" w:line="240" w:lineRule="auto"/>
        <w:jc w:val="both"/>
        <w:rPr>
          <w:rFonts w:ascii="Calibri" w:eastAsia="Calibri" w:hAnsi="Calibri" w:cs="Calibri"/>
          <w:sz w:val="24"/>
          <w:szCs w:val="24"/>
        </w:rPr>
      </w:pPr>
      <w:r>
        <w:rPr>
          <w:rFonts w:ascii="Calibri" w:eastAsia="Calibri" w:hAnsi="Calibri" w:cs="Calibri"/>
          <w:sz w:val="24"/>
          <w:szCs w:val="24"/>
        </w:rPr>
        <w:t>A ello se agrega la compleja situación de mujeres embarazadas y de aquellas que se encuentran acompañadas de lactantes, quienes al igual que sus madres viven condiciones de hacinamiento.</w:t>
      </w:r>
    </w:p>
    <w:p w14:paraId="1EFA5207" w14:textId="77777777" w:rsidR="00BC4AAD" w:rsidRDefault="00997294">
      <w:pPr>
        <w:spacing w:after="120" w:line="240" w:lineRule="auto"/>
        <w:jc w:val="both"/>
        <w:rPr>
          <w:rFonts w:ascii="Calibri" w:eastAsia="Calibri" w:hAnsi="Calibri" w:cs="Calibri"/>
          <w:sz w:val="24"/>
          <w:szCs w:val="24"/>
        </w:rPr>
      </w:pPr>
      <w:r>
        <w:rPr>
          <w:rFonts w:ascii="Calibri" w:eastAsia="Calibri" w:hAnsi="Calibri" w:cs="Calibri"/>
          <w:sz w:val="24"/>
          <w:szCs w:val="24"/>
        </w:rPr>
        <w:t>El aislamiento sigue siendo una de las sanciones más aplicadas en Chile con múltiples casos informados. Uno de los más graves ocurrió en agosto de 2023 en la unidad materno infantil del Centro Penitenciario Femenino de San Joaquín (Región Metropolitana), donde se dejó en aislamiento durante más de 47 días a 2 mujeres privadas de libertad, quienes estaban en compañía de hijos lactantes.</w:t>
      </w:r>
    </w:p>
    <w:p w14:paraId="0429AA9E" w14:textId="77777777" w:rsidR="00BC4AAD" w:rsidRDefault="00997294">
      <w:pPr>
        <w:spacing w:after="120" w:line="240" w:lineRule="auto"/>
        <w:jc w:val="both"/>
        <w:rPr>
          <w:rFonts w:ascii="Calibri" w:eastAsia="Calibri" w:hAnsi="Calibri" w:cs="Calibri"/>
          <w:sz w:val="24"/>
          <w:szCs w:val="24"/>
        </w:rPr>
      </w:pPr>
      <w:r>
        <w:rPr>
          <w:rFonts w:ascii="Calibri" w:eastAsia="Calibri" w:hAnsi="Calibri" w:cs="Calibri"/>
          <w:sz w:val="24"/>
          <w:szCs w:val="24"/>
        </w:rPr>
        <w:t>Ante el Senado se tramita desde 2017 un proyecto de ley para evitar que mujeres embarazadas y madres de hijos menores de 3 años sean sometidas a prisión preventiva o al cumplimiento de condena privativa de libertad</w:t>
      </w:r>
      <w:r>
        <w:rPr>
          <w:rFonts w:ascii="Calibri" w:eastAsia="Calibri" w:hAnsi="Calibri" w:cs="Calibri"/>
          <w:sz w:val="24"/>
          <w:szCs w:val="24"/>
          <w:vertAlign w:val="superscript"/>
        </w:rPr>
        <w:footnoteReference w:id="38"/>
      </w:r>
      <w:r>
        <w:rPr>
          <w:rFonts w:ascii="Calibri" w:eastAsia="Calibri" w:hAnsi="Calibri" w:cs="Calibri"/>
          <w:sz w:val="24"/>
          <w:szCs w:val="24"/>
        </w:rPr>
        <w:t>. La iniciativa se encuentra en primer trámite constitucional, pendiente de debate.</w:t>
      </w:r>
    </w:p>
    <w:p w14:paraId="4D831B3B" w14:textId="77777777" w:rsidR="00BC4AAD" w:rsidRDefault="00997294">
      <w:pPr>
        <w:spacing w:after="120" w:line="240" w:lineRule="auto"/>
        <w:jc w:val="both"/>
        <w:rPr>
          <w:rFonts w:ascii="Calibri" w:eastAsia="Calibri" w:hAnsi="Calibri" w:cs="Calibri"/>
          <w:b/>
          <w:sz w:val="24"/>
          <w:szCs w:val="24"/>
        </w:rPr>
      </w:pPr>
      <w:r>
        <w:rPr>
          <w:rFonts w:ascii="Calibri" w:eastAsia="Calibri" w:hAnsi="Calibri" w:cs="Calibri"/>
          <w:b/>
          <w:sz w:val="24"/>
          <w:szCs w:val="24"/>
        </w:rPr>
        <w:t>Recomendaciones</w:t>
      </w:r>
    </w:p>
    <w:p w14:paraId="39B88A3D" w14:textId="77777777" w:rsidR="00BC4AAD" w:rsidRDefault="00997294">
      <w:pPr>
        <w:numPr>
          <w:ilvl w:val="0"/>
          <w:numId w:val="1"/>
        </w:numPr>
        <w:pBdr>
          <w:top w:val="nil"/>
          <w:left w:val="nil"/>
          <w:bottom w:val="nil"/>
          <w:right w:val="nil"/>
          <w:between w:val="nil"/>
        </w:pBdr>
        <w:spacing w:after="120" w:line="240" w:lineRule="auto"/>
        <w:jc w:val="both"/>
        <w:rPr>
          <w:rFonts w:ascii="Calibri" w:eastAsia="Calibri" w:hAnsi="Calibri" w:cs="Calibri"/>
          <w:sz w:val="24"/>
          <w:szCs w:val="24"/>
        </w:rPr>
      </w:pPr>
      <w:r>
        <w:rPr>
          <w:rFonts w:ascii="Calibri" w:eastAsia="Calibri" w:hAnsi="Calibri" w:cs="Calibri"/>
          <w:sz w:val="24"/>
          <w:szCs w:val="24"/>
        </w:rPr>
        <w:t>Reforzar las medidas alternativas y beneficios intrapenitenciarios de manera de fortalecer las posibilidades de reinserción y bajar los índices de hacinamiento.</w:t>
      </w:r>
    </w:p>
    <w:p w14:paraId="779C1DE6" w14:textId="77777777" w:rsidR="00BC4AAD" w:rsidRDefault="00997294">
      <w:pPr>
        <w:numPr>
          <w:ilvl w:val="0"/>
          <w:numId w:val="1"/>
        </w:numPr>
        <w:pBdr>
          <w:top w:val="nil"/>
          <w:left w:val="nil"/>
          <w:bottom w:val="nil"/>
          <w:right w:val="nil"/>
          <w:between w:val="nil"/>
        </w:pBdr>
        <w:spacing w:after="120" w:line="240" w:lineRule="auto"/>
        <w:jc w:val="both"/>
        <w:rPr>
          <w:rFonts w:ascii="Calibri" w:eastAsia="Calibri" w:hAnsi="Calibri" w:cs="Calibri"/>
          <w:sz w:val="24"/>
          <w:szCs w:val="24"/>
        </w:rPr>
      </w:pPr>
      <w:r>
        <w:rPr>
          <w:rFonts w:ascii="Calibri" w:eastAsia="Calibri" w:hAnsi="Calibri" w:cs="Calibri"/>
          <w:sz w:val="24"/>
          <w:szCs w:val="24"/>
        </w:rPr>
        <w:lastRenderedPageBreak/>
        <w:t>Reducir el uso de la medida de prisión preventiva, y reservarla para las situaciones más graves contempladas en la ley. Asimismo, incorporar el enfoque de género en la creación, implementación y seguimiento de las reformas legislativas y políticas necesarias dirigidas a reducir el uso de la prisión preventiva.</w:t>
      </w:r>
    </w:p>
    <w:p w14:paraId="3B33F54B" w14:textId="77777777" w:rsidR="00BC4AAD" w:rsidRDefault="00997294">
      <w:pPr>
        <w:numPr>
          <w:ilvl w:val="0"/>
          <w:numId w:val="1"/>
        </w:numPr>
        <w:pBdr>
          <w:top w:val="nil"/>
          <w:left w:val="nil"/>
          <w:bottom w:val="nil"/>
          <w:right w:val="nil"/>
          <w:between w:val="nil"/>
        </w:pBdr>
        <w:spacing w:after="120" w:line="240" w:lineRule="auto"/>
        <w:jc w:val="both"/>
        <w:rPr>
          <w:rFonts w:ascii="Calibri" w:eastAsia="Calibri" w:hAnsi="Calibri" w:cs="Calibri"/>
          <w:sz w:val="24"/>
          <w:szCs w:val="24"/>
        </w:rPr>
      </w:pPr>
      <w:r>
        <w:rPr>
          <w:rFonts w:ascii="Calibri" w:eastAsia="Calibri" w:hAnsi="Calibri" w:cs="Calibri"/>
          <w:sz w:val="24"/>
          <w:szCs w:val="24"/>
        </w:rPr>
        <w:t>Incorporar el enfoque de género y de derechos humanos en la respuesta estatal al tráfico y consumo de drogas, y promover el establecimiento de medidas alternativas a la privación de libertad para mujeres involucradas en delitos no violentos.</w:t>
      </w:r>
    </w:p>
    <w:p w14:paraId="53561816" w14:textId="77777777" w:rsidR="00BC4AAD" w:rsidRDefault="00997294">
      <w:pPr>
        <w:numPr>
          <w:ilvl w:val="0"/>
          <w:numId w:val="1"/>
        </w:numPr>
        <w:pBdr>
          <w:top w:val="nil"/>
          <w:left w:val="nil"/>
          <w:bottom w:val="nil"/>
          <w:right w:val="nil"/>
          <w:between w:val="nil"/>
        </w:pBdr>
        <w:spacing w:after="120" w:line="240" w:lineRule="auto"/>
        <w:jc w:val="both"/>
        <w:rPr>
          <w:rFonts w:ascii="Calibri" w:eastAsia="Calibri" w:hAnsi="Calibri" w:cs="Calibri"/>
          <w:sz w:val="24"/>
          <w:szCs w:val="24"/>
        </w:rPr>
      </w:pPr>
      <w:r>
        <w:rPr>
          <w:rFonts w:ascii="Calibri" w:eastAsia="Calibri" w:hAnsi="Calibri" w:cs="Calibri"/>
          <w:sz w:val="24"/>
          <w:szCs w:val="24"/>
        </w:rPr>
        <w:t>Reducir el uso de la sanción de aislamiento y los regímenes de máxima seguridad que suponen una sanción permanente de aislamiento penitenciario.</w:t>
      </w:r>
    </w:p>
    <w:p w14:paraId="28E6D5AA" w14:textId="77777777" w:rsidR="00BC4AAD" w:rsidRDefault="00997294">
      <w:pPr>
        <w:numPr>
          <w:ilvl w:val="0"/>
          <w:numId w:val="1"/>
        </w:numPr>
        <w:pBdr>
          <w:top w:val="nil"/>
          <w:left w:val="nil"/>
          <w:bottom w:val="nil"/>
          <w:right w:val="nil"/>
          <w:between w:val="nil"/>
        </w:pBdr>
        <w:spacing w:after="120" w:line="240" w:lineRule="auto"/>
        <w:jc w:val="both"/>
        <w:rPr>
          <w:rFonts w:ascii="Calibri" w:eastAsia="Calibri" w:hAnsi="Calibri" w:cs="Calibri"/>
          <w:sz w:val="24"/>
          <w:szCs w:val="24"/>
        </w:rPr>
      </w:pPr>
      <w:r>
        <w:rPr>
          <w:rFonts w:ascii="Calibri" w:eastAsia="Calibri" w:hAnsi="Calibri" w:cs="Calibri"/>
          <w:sz w:val="24"/>
          <w:szCs w:val="24"/>
        </w:rPr>
        <w:t>Prohibir la sanción de aislamiento a mujeres embarazadas y a madres que viven con sus hijas e hijos en las unidades materno-infantiles.</w:t>
      </w:r>
    </w:p>
    <w:p w14:paraId="3A9FB426" w14:textId="77777777" w:rsidR="00BC4AAD" w:rsidRDefault="00997294">
      <w:pPr>
        <w:numPr>
          <w:ilvl w:val="0"/>
          <w:numId w:val="1"/>
        </w:numPr>
        <w:pBdr>
          <w:top w:val="nil"/>
          <w:left w:val="nil"/>
          <w:bottom w:val="nil"/>
          <w:right w:val="nil"/>
          <w:between w:val="nil"/>
        </w:pBdr>
        <w:spacing w:after="120" w:line="240" w:lineRule="auto"/>
        <w:jc w:val="both"/>
        <w:rPr>
          <w:rFonts w:ascii="Calibri" w:eastAsia="Calibri" w:hAnsi="Calibri" w:cs="Calibri"/>
          <w:sz w:val="24"/>
          <w:szCs w:val="24"/>
        </w:rPr>
      </w:pPr>
      <w:r>
        <w:rPr>
          <w:rFonts w:ascii="Calibri" w:eastAsia="Calibri" w:hAnsi="Calibri" w:cs="Calibri"/>
          <w:sz w:val="24"/>
          <w:szCs w:val="24"/>
        </w:rPr>
        <w:t>Aprobar el proyecto de ley que modifica el Código Procesal Penal en materia de procedencia de la prisión preventiva y de suspensión de ejecución de la sentencia, respecto de mujeres embarazadas o que tengan hijos o hijas menores de tres años.</w:t>
      </w:r>
    </w:p>
    <w:p w14:paraId="1BCEE408" w14:textId="77777777" w:rsidR="00BC4AAD" w:rsidRDefault="00997294">
      <w:pPr>
        <w:numPr>
          <w:ilvl w:val="0"/>
          <w:numId w:val="1"/>
        </w:numPr>
        <w:pBdr>
          <w:top w:val="nil"/>
          <w:left w:val="nil"/>
          <w:bottom w:val="nil"/>
          <w:right w:val="nil"/>
          <w:between w:val="nil"/>
        </w:pBdr>
        <w:spacing w:after="120" w:line="240" w:lineRule="auto"/>
        <w:jc w:val="both"/>
        <w:rPr>
          <w:rFonts w:ascii="Calibri" w:eastAsia="Calibri" w:hAnsi="Calibri" w:cs="Calibri"/>
          <w:sz w:val="24"/>
          <w:szCs w:val="24"/>
        </w:rPr>
      </w:pPr>
      <w:r>
        <w:rPr>
          <w:rFonts w:ascii="Calibri" w:eastAsia="Calibri" w:hAnsi="Calibri" w:cs="Calibri"/>
          <w:sz w:val="24"/>
          <w:szCs w:val="24"/>
        </w:rPr>
        <w:t>Garantizar productos de aseo e higiene personal a personas privadas de libertad, incluyendo productos de higiene menstrual para mujeres.</w:t>
      </w:r>
      <w:r>
        <w:rPr>
          <w:rFonts w:ascii="Calibri" w:eastAsia="Calibri" w:hAnsi="Calibri" w:cs="Calibri"/>
          <w:sz w:val="24"/>
          <w:szCs w:val="24"/>
        </w:rPr>
        <w:tab/>
      </w:r>
      <w:r>
        <w:rPr>
          <w:rFonts w:ascii="Calibri" w:eastAsia="Calibri" w:hAnsi="Calibri" w:cs="Calibri"/>
          <w:sz w:val="24"/>
          <w:szCs w:val="24"/>
        </w:rPr>
        <w:tab/>
      </w:r>
    </w:p>
    <w:p w14:paraId="6B0ED2A8" w14:textId="77777777" w:rsidR="00BC4AAD" w:rsidRDefault="00BC4AAD">
      <w:pPr>
        <w:keepNext/>
        <w:keepLines/>
        <w:pBdr>
          <w:top w:val="nil"/>
          <w:left w:val="nil"/>
          <w:bottom w:val="nil"/>
          <w:right w:val="nil"/>
          <w:between w:val="nil"/>
        </w:pBdr>
        <w:tabs>
          <w:tab w:val="right" w:pos="851"/>
        </w:tabs>
        <w:spacing w:after="120" w:line="240" w:lineRule="auto"/>
        <w:ind w:right="1134"/>
        <w:rPr>
          <w:rFonts w:ascii="Calibri" w:eastAsia="Calibri" w:hAnsi="Calibri" w:cs="Calibri"/>
          <w:sz w:val="24"/>
          <w:szCs w:val="24"/>
        </w:rPr>
      </w:pPr>
    </w:p>
    <w:p w14:paraId="32B4695F" w14:textId="77777777" w:rsidR="00BC4AAD" w:rsidRDefault="00997294">
      <w:pPr>
        <w:keepNext/>
        <w:keepLines/>
        <w:pBdr>
          <w:top w:val="nil"/>
          <w:left w:val="nil"/>
          <w:bottom w:val="nil"/>
          <w:right w:val="nil"/>
          <w:between w:val="nil"/>
        </w:pBdr>
        <w:tabs>
          <w:tab w:val="right" w:pos="851"/>
        </w:tabs>
        <w:spacing w:after="120" w:line="240" w:lineRule="auto"/>
        <w:ind w:right="-79"/>
        <w:rPr>
          <w:rFonts w:ascii="Calibri" w:eastAsia="Calibri" w:hAnsi="Calibri" w:cs="Calibri"/>
          <w:b/>
          <w:sz w:val="24"/>
          <w:szCs w:val="24"/>
        </w:rPr>
      </w:pPr>
      <w:r>
        <w:rPr>
          <w:rFonts w:ascii="Calibri" w:eastAsia="Calibri" w:hAnsi="Calibri" w:cs="Calibri"/>
          <w:b/>
          <w:sz w:val="24"/>
          <w:szCs w:val="24"/>
        </w:rPr>
        <w:tab/>
        <w:t>Artículos 12, 13 y 14: Trato dispensado a los extranjeros, incluidos los refugiados y los solicitantes de asilo</w:t>
      </w:r>
    </w:p>
    <w:p w14:paraId="4E3B428B" w14:textId="77777777" w:rsidR="00BC4AAD" w:rsidRDefault="00997294">
      <w:pPr>
        <w:spacing w:after="120" w:line="240" w:lineRule="auto"/>
        <w:jc w:val="both"/>
        <w:rPr>
          <w:rFonts w:ascii="Calibri" w:eastAsia="Calibri" w:hAnsi="Calibri" w:cs="Calibri"/>
          <w:sz w:val="24"/>
          <w:szCs w:val="24"/>
        </w:rPr>
      </w:pPr>
      <w:r>
        <w:rPr>
          <w:rFonts w:ascii="Calibri" w:eastAsia="Calibri" w:hAnsi="Calibri" w:cs="Calibri"/>
          <w:sz w:val="24"/>
          <w:szCs w:val="24"/>
        </w:rPr>
        <w:t>La realidad de las personas migrantes y las normativas que les impactan han experimentado numerosos cambios en el país, tales com</w:t>
      </w:r>
      <w:r w:rsidR="00B92FDB">
        <w:rPr>
          <w:rFonts w:ascii="Calibri" w:eastAsia="Calibri" w:hAnsi="Calibri" w:cs="Calibri"/>
          <w:sz w:val="24"/>
          <w:szCs w:val="24"/>
        </w:rPr>
        <w:t>o la promulgación de una nueva l</w:t>
      </w:r>
      <w:r>
        <w:rPr>
          <w:rFonts w:ascii="Calibri" w:eastAsia="Calibri" w:hAnsi="Calibri" w:cs="Calibri"/>
          <w:sz w:val="24"/>
          <w:szCs w:val="24"/>
        </w:rPr>
        <w:t>ey de Migraciones</w:t>
      </w:r>
      <w:r>
        <w:rPr>
          <w:rFonts w:ascii="Calibri" w:eastAsia="Calibri" w:hAnsi="Calibri" w:cs="Calibri"/>
          <w:sz w:val="24"/>
          <w:szCs w:val="24"/>
          <w:vertAlign w:val="superscript"/>
        </w:rPr>
        <w:footnoteReference w:id="39"/>
      </w:r>
      <w:r>
        <w:rPr>
          <w:rFonts w:ascii="Calibri" w:eastAsia="Calibri" w:hAnsi="Calibri" w:cs="Calibri"/>
          <w:sz w:val="24"/>
          <w:szCs w:val="24"/>
        </w:rPr>
        <w:t>; la presentación de la Política Nacional de Migraciones; la llegada de importante flujo de personas provenientes de otros países de la región, particularmente de Venezuela; la aceleración de los procesos de expulsión y restricciones en las vías de regularización; e incluso proyectos de ley para criminalizar la migración irregular.</w:t>
      </w:r>
    </w:p>
    <w:p w14:paraId="5274B0F3" w14:textId="77777777" w:rsidR="00BC4AAD" w:rsidRDefault="00997294">
      <w:pPr>
        <w:pBdr>
          <w:top w:val="nil"/>
          <w:left w:val="nil"/>
          <w:bottom w:val="nil"/>
          <w:right w:val="nil"/>
          <w:between w:val="nil"/>
        </w:pBdr>
        <w:spacing w:after="120" w:line="240" w:lineRule="auto"/>
        <w:jc w:val="both"/>
        <w:rPr>
          <w:rFonts w:ascii="Calibri" w:eastAsia="Calibri" w:hAnsi="Calibri" w:cs="Calibri"/>
          <w:sz w:val="24"/>
          <w:szCs w:val="24"/>
        </w:rPr>
      </w:pPr>
      <w:r>
        <w:rPr>
          <w:rFonts w:ascii="Calibri" w:eastAsia="Calibri" w:hAnsi="Calibri" w:cs="Calibri"/>
          <w:sz w:val="24"/>
          <w:szCs w:val="24"/>
        </w:rPr>
        <w:t>Chile se encuentra lejos de alcanzar una de las metas del objetivo 10 de la Agenda 2030 referida a facilitar la migración y la movilidad ordenadas, seguras, regulares y responsables de las personas (meta 10.7). De acuerdo a datos de registros administrativos sistematizados por el Servicio Nacional de Migraciones, el año 2022 se llega a 701.271</w:t>
      </w:r>
      <w:r>
        <w:rPr>
          <w:rFonts w:ascii="Calibri" w:eastAsia="Calibri" w:hAnsi="Calibri" w:cs="Calibri"/>
          <w:sz w:val="24"/>
          <w:szCs w:val="24"/>
          <w:vertAlign w:val="superscript"/>
        </w:rPr>
        <w:footnoteReference w:id="40"/>
      </w:r>
      <w:r>
        <w:rPr>
          <w:rFonts w:ascii="Calibri" w:eastAsia="Calibri" w:hAnsi="Calibri" w:cs="Calibri"/>
          <w:sz w:val="24"/>
          <w:szCs w:val="24"/>
        </w:rPr>
        <w:t xml:space="preserve"> solicitudes de residencia (temporales y definitivas), y termina con 386.024 pendientes; los largos tiempos de espera para los procesos regulatorios pueden llegar a superar los dos años</w:t>
      </w:r>
      <w:r>
        <w:rPr>
          <w:rFonts w:ascii="Calibri" w:eastAsia="Calibri" w:hAnsi="Calibri" w:cs="Calibri"/>
          <w:sz w:val="24"/>
          <w:szCs w:val="24"/>
          <w:vertAlign w:val="superscript"/>
        </w:rPr>
        <w:t xml:space="preserve"> </w:t>
      </w:r>
      <w:r>
        <w:rPr>
          <w:rFonts w:ascii="Calibri" w:eastAsia="Calibri" w:hAnsi="Calibri" w:cs="Calibri"/>
          <w:sz w:val="24"/>
          <w:szCs w:val="24"/>
          <w:vertAlign w:val="superscript"/>
        </w:rPr>
        <w:footnoteReference w:id="41"/>
      </w:r>
      <w:r>
        <w:rPr>
          <w:rFonts w:ascii="Calibri" w:eastAsia="Calibri" w:hAnsi="Calibri" w:cs="Calibri"/>
          <w:sz w:val="24"/>
          <w:szCs w:val="24"/>
        </w:rPr>
        <w:t>.</w:t>
      </w:r>
    </w:p>
    <w:p w14:paraId="61B54E0A" w14:textId="77777777" w:rsidR="00BC4AAD" w:rsidRDefault="00997294">
      <w:pPr>
        <w:spacing w:after="120" w:line="240" w:lineRule="auto"/>
        <w:jc w:val="both"/>
        <w:rPr>
          <w:rFonts w:ascii="Calibri" w:eastAsia="Calibri" w:hAnsi="Calibri" w:cs="Calibri"/>
          <w:sz w:val="24"/>
          <w:szCs w:val="24"/>
        </w:rPr>
      </w:pPr>
      <w:r>
        <w:rPr>
          <w:rFonts w:ascii="Calibri" w:eastAsia="Calibri" w:hAnsi="Calibri" w:cs="Calibri"/>
          <w:sz w:val="24"/>
          <w:szCs w:val="24"/>
        </w:rPr>
        <w:t xml:space="preserve">En 2023 se aplicó un empadronamiento biométrico voluntario que buscaba registrar personas irregulares sin vincular este proceso a ninguna instancia de regularización migratoria. Para poder acceder a este empadronamiento, se solicitaba a las personas </w:t>
      </w:r>
      <w:r>
        <w:rPr>
          <w:rFonts w:ascii="Calibri" w:eastAsia="Calibri" w:hAnsi="Calibri" w:cs="Calibri"/>
          <w:sz w:val="24"/>
          <w:szCs w:val="24"/>
        </w:rPr>
        <w:lastRenderedPageBreak/>
        <w:t>autodenunciarse previamente ante la Policía de Investigaciones, siendo éste un procedimiento que no aparece regulado en ninguna ley.</w:t>
      </w:r>
    </w:p>
    <w:p w14:paraId="037FC7D4" w14:textId="77777777" w:rsidR="00BC4AAD" w:rsidRDefault="00997294">
      <w:pPr>
        <w:spacing w:after="120" w:line="240" w:lineRule="auto"/>
        <w:jc w:val="both"/>
        <w:rPr>
          <w:rFonts w:ascii="Calibri" w:eastAsia="Calibri" w:hAnsi="Calibri" w:cs="Calibri"/>
          <w:sz w:val="24"/>
          <w:szCs w:val="24"/>
        </w:rPr>
      </w:pPr>
      <w:r>
        <w:rPr>
          <w:rFonts w:ascii="Calibri" w:eastAsia="Calibri" w:hAnsi="Calibri" w:cs="Calibri"/>
          <w:sz w:val="24"/>
          <w:szCs w:val="24"/>
        </w:rPr>
        <w:t>A ello se suma el avance de una política restrictiva de control migratorio aplicada desde 2018, con la puesta en práctica de la exigencia de visa a nacionales de otros países de la región, como venezolanos y haitianos, como medida de control al alto flujo migratorio.</w:t>
      </w:r>
    </w:p>
    <w:p w14:paraId="5821BC99" w14:textId="77777777" w:rsidR="00BC4AAD" w:rsidRDefault="00997294">
      <w:pPr>
        <w:spacing w:after="120" w:line="240" w:lineRule="auto"/>
        <w:jc w:val="both"/>
        <w:rPr>
          <w:rFonts w:ascii="Calibri" w:eastAsia="Calibri" w:hAnsi="Calibri" w:cs="Calibri"/>
          <w:sz w:val="24"/>
          <w:szCs w:val="24"/>
        </w:rPr>
      </w:pPr>
      <w:r>
        <w:rPr>
          <w:rFonts w:ascii="Calibri" w:eastAsia="Calibri" w:hAnsi="Calibri" w:cs="Calibri"/>
          <w:sz w:val="24"/>
          <w:szCs w:val="24"/>
        </w:rPr>
        <w:t>Se evidencia un bajo nivel de acceso a las visas por razones humanitarias señaladas en el Decreto 177</w:t>
      </w:r>
      <w:r>
        <w:rPr>
          <w:rFonts w:ascii="Calibri" w:eastAsia="Calibri" w:hAnsi="Calibri" w:cs="Calibri"/>
          <w:sz w:val="24"/>
          <w:szCs w:val="24"/>
          <w:vertAlign w:val="superscript"/>
        </w:rPr>
        <w:footnoteReference w:id="42"/>
      </w:r>
      <w:r>
        <w:rPr>
          <w:rFonts w:ascii="Calibri" w:eastAsia="Calibri" w:hAnsi="Calibri" w:cs="Calibri"/>
          <w:sz w:val="24"/>
          <w:szCs w:val="24"/>
        </w:rPr>
        <w:t xml:space="preserve"> para los grupos de especial protección por razones de género (violencia intrafamiliar, embarazos, trata o tráfico). Según el anuario estadístico 2022 del Servicio Jesuita Migrante Chile, de las 11.044 visas otorgadas por razones humanitarias en 2022 solo </w:t>
      </w:r>
      <w:r w:rsidR="00F96082">
        <w:rPr>
          <w:rFonts w:ascii="Calibri" w:eastAsia="Calibri" w:hAnsi="Calibri" w:cs="Calibri"/>
          <w:sz w:val="24"/>
          <w:szCs w:val="24"/>
        </w:rPr>
        <w:t>una</w:t>
      </w:r>
      <w:r>
        <w:rPr>
          <w:rFonts w:ascii="Calibri" w:eastAsia="Calibri" w:hAnsi="Calibri" w:cs="Calibri"/>
          <w:sz w:val="24"/>
          <w:szCs w:val="24"/>
        </w:rPr>
        <w:t xml:space="preserve"> fue otorgada por violencia intrafamiliar</w:t>
      </w:r>
      <w:r>
        <w:rPr>
          <w:rFonts w:ascii="Calibri" w:eastAsia="Calibri" w:hAnsi="Calibri" w:cs="Calibri"/>
          <w:sz w:val="24"/>
          <w:szCs w:val="24"/>
          <w:vertAlign w:val="superscript"/>
        </w:rPr>
        <w:footnoteReference w:id="43"/>
      </w:r>
      <w:r>
        <w:rPr>
          <w:rFonts w:ascii="Calibri" w:eastAsia="Calibri" w:hAnsi="Calibri" w:cs="Calibri"/>
          <w:sz w:val="24"/>
          <w:szCs w:val="24"/>
        </w:rPr>
        <w:t>. Es particularmente vulnerable la situación de mujeres con hijos, y la cantidad de niños, niñas y adolescentes en situación irregular. Si bien hay políticas tendientes a regularizar a niños/niñas, este proceso es lento y no necesariamente incluye a los padres.</w:t>
      </w:r>
    </w:p>
    <w:p w14:paraId="214D1658" w14:textId="77777777" w:rsidR="00BC4AAD" w:rsidRDefault="00997294">
      <w:pPr>
        <w:spacing w:after="120" w:line="240" w:lineRule="auto"/>
        <w:jc w:val="both"/>
        <w:rPr>
          <w:rFonts w:ascii="Calibri" w:eastAsia="Calibri" w:hAnsi="Calibri" w:cs="Calibri"/>
          <w:sz w:val="24"/>
          <w:szCs w:val="24"/>
        </w:rPr>
      </w:pPr>
      <w:bookmarkStart w:id="2" w:name="_heading=h.30j0zll" w:colFirst="0" w:colLast="0"/>
      <w:bookmarkEnd w:id="2"/>
      <w:r>
        <w:rPr>
          <w:rFonts w:ascii="Calibri" w:eastAsia="Calibri" w:hAnsi="Calibri" w:cs="Calibri"/>
          <w:sz w:val="24"/>
          <w:szCs w:val="24"/>
        </w:rPr>
        <w:t>A los obstáculos para acceder a un estatus legal (regularización) hay que agregar el endurecimiento de la política migratoria a través de medidas como las expulsiones, la militarización de fronteras y los rechazos en frontera denominados “reconducciones”, así como la voluntad de legislar una ampliación a 10 km. al interior del territorio para poder “reconducir” personas migrantes</w:t>
      </w:r>
      <w:r>
        <w:rPr>
          <w:rFonts w:ascii="Calibri" w:eastAsia="Calibri" w:hAnsi="Calibri" w:cs="Calibri"/>
          <w:sz w:val="24"/>
          <w:szCs w:val="24"/>
          <w:vertAlign w:val="superscript"/>
        </w:rPr>
        <w:footnoteReference w:id="44"/>
      </w:r>
      <w:r>
        <w:rPr>
          <w:rFonts w:ascii="Calibri" w:eastAsia="Calibri" w:hAnsi="Calibri" w:cs="Calibri"/>
          <w:sz w:val="24"/>
          <w:szCs w:val="24"/>
        </w:rPr>
        <w:t>. Durante 2022 se materializaron 3.150 reconducciones; 911 órdenes de expulsión administrativas (sólo 31 ejecutadas) y 1220 órdenes de expulsión judiciales (1039 ejecutadas).</w:t>
      </w:r>
      <w:r>
        <w:rPr>
          <w:rFonts w:ascii="Calibri" w:eastAsia="Calibri" w:hAnsi="Calibri" w:cs="Calibri"/>
          <w:sz w:val="24"/>
          <w:szCs w:val="24"/>
          <w:vertAlign w:val="superscript"/>
        </w:rPr>
        <w:footnoteReference w:id="45"/>
      </w:r>
    </w:p>
    <w:p w14:paraId="255F02DD" w14:textId="77777777" w:rsidR="00BC4AAD" w:rsidRDefault="00997294">
      <w:pPr>
        <w:spacing w:after="120" w:line="240" w:lineRule="auto"/>
        <w:jc w:val="both"/>
        <w:rPr>
          <w:rFonts w:ascii="Calibri" w:eastAsia="Calibri" w:hAnsi="Calibri" w:cs="Calibri"/>
          <w:sz w:val="24"/>
          <w:szCs w:val="24"/>
        </w:rPr>
      </w:pPr>
      <w:r>
        <w:rPr>
          <w:rFonts w:ascii="Calibri" w:eastAsia="Calibri" w:hAnsi="Calibri" w:cs="Calibri"/>
          <w:sz w:val="24"/>
          <w:szCs w:val="24"/>
        </w:rPr>
        <w:t>La ley N° 21.325 con la creación del Servicio Nacional de Migraciones constituye un intento de actualizar una normativa inadecuada</w:t>
      </w:r>
      <w:r>
        <w:rPr>
          <w:rFonts w:ascii="Calibri" w:eastAsia="Calibri" w:hAnsi="Calibri" w:cs="Calibri"/>
          <w:sz w:val="24"/>
          <w:szCs w:val="24"/>
          <w:vertAlign w:val="superscript"/>
        </w:rPr>
        <w:footnoteReference w:id="46"/>
      </w:r>
      <w:r>
        <w:rPr>
          <w:rFonts w:ascii="Calibri" w:eastAsia="Calibri" w:hAnsi="Calibri" w:cs="Calibri"/>
          <w:sz w:val="24"/>
          <w:szCs w:val="24"/>
        </w:rPr>
        <w:t xml:space="preserve">, que si bien incluye un catálogo de derechos con base en estándares internacionales, resulta principalmente declarativo en la medida que no precisa mecanismos de exigibilidad y no se han adoptado las políticas y programas para </w:t>
      </w:r>
      <w:r>
        <w:rPr>
          <w:rFonts w:ascii="Calibri" w:eastAsia="Calibri" w:hAnsi="Calibri" w:cs="Calibri"/>
          <w:sz w:val="24"/>
          <w:szCs w:val="24"/>
        </w:rPr>
        <w:lastRenderedPageBreak/>
        <w:t>asegurar su ejercicio. El gran avance que significó esta ley al impedir la criminalización de la migración irregular</w:t>
      </w:r>
      <w:r>
        <w:rPr>
          <w:rFonts w:ascii="Calibri" w:eastAsia="Calibri" w:hAnsi="Calibri" w:cs="Calibri"/>
          <w:sz w:val="24"/>
          <w:szCs w:val="24"/>
          <w:vertAlign w:val="superscript"/>
        </w:rPr>
        <w:footnoteReference w:id="47"/>
      </w:r>
      <w:r>
        <w:rPr>
          <w:rFonts w:ascii="Calibri" w:eastAsia="Calibri" w:hAnsi="Calibri" w:cs="Calibri"/>
          <w:sz w:val="24"/>
          <w:szCs w:val="24"/>
        </w:rPr>
        <w:t>, se encuentra en riesgo pues en enero de 2024 se ha aprobado en primer trámite constitucional por la Cámara de Diputadas y Diputados, una moción que lo tipifica como delito</w:t>
      </w:r>
      <w:r>
        <w:rPr>
          <w:rFonts w:ascii="Calibri" w:eastAsia="Calibri" w:hAnsi="Calibri" w:cs="Calibri"/>
          <w:sz w:val="24"/>
          <w:szCs w:val="24"/>
          <w:vertAlign w:val="superscript"/>
        </w:rPr>
        <w:footnoteReference w:id="48"/>
      </w:r>
      <w:r>
        <w:rPr>
          <w:rFonts w:ascii="Calibri" w:eastAsia="Calibri" w:hAnsi="Calibri" w:cs="Calibri"/>
          <w:sz w:val="24"/>
          <w:szCs w:val="24"/>
        </w:rPr>
        <w:t>.</w:t>
      </w:r>
    </w:p>
    <w:p w14:paraId="48FDAA68" w14:textId="77777777" w:rsidR="00BC4AAD" w:rsidRDefault="00997294">
      <w:pPr>
        <w:spacing w:after="120" w:line="240" w:lineRule="auto"/>
        <w:jc w:val="both"/>
        <w:rPr>
          <w:rFonts w:ascii="Calibri" w:eastAsia="Calibri" w:hAnsi="Calibri" w:cs="Calibri"/>
          <w:sz w:val="24"/>
          <w:szCs w:val="24"/>
        </w:rPr>
      </w:pPr>
      <w:r>
        <w:rPr>
          <w:rFonts w:ascii="Calibri" w:eastAsia="Calibri" w:hAnsi="Calibri" w:cs="Calibri"/>
          <w:sz w:val="24"/>
          <w:szCs w:val="24"/>
        </w:rPr>
        <w:t>En el período 2010-2022 se presentaron 26.895 solicitudes de refugio, aceptándose 714 (3%), rechazándose 7.571 (28%) y quedando pendientes de respuesta 18.700 (69%), lo que da cuenta del bajo reconocimiento de esta condición en el país.</w:t>
      </w:r>
      <w:r>
        <w:rPr>
          <w:rFonts w:ascii="Calibri" w:eastAsia="Calibri" w:hAnsi="Calibri" w:cs="Calibri"/>
          <w:sz w:val="24"/>
          <w:szCs w:val="24"/>
          <w:vertAlign w:val="superscript"/>
        </w:rPr>
        <w:footnoteReference w:id="49"/>
      </w:r>
      <w:r>
        <w:rPr>
          <w:rFonts w:ascii="Calibri" w:eastAsia="Calibri" w:hAnsi="Calibri" w:cs="Calibri"/>
          <w:sz w:val="24"/>
          <w:szCs w:val="24"/>
        </w:rPr>
        <w:t xml:space="preserve"> Esta situación se verá agravada a partir de las modificaciones a la ley Nº 20.430 sobre protección de refugiados recientemente aprobada en el Parlamento</w:t>
      </w:r>
      <w:r>
        <w:rPr>
          <w:rFonts w:ascii="Calibri" w:eastAsia="Calibri" w:hAnsi="Calibri" w:cs="Calibri"/>
          <w:sz w:val="24"/>
          <w:szCs w:val="24"/>
          <w:vertAlign w:val="superscript"/>
        </w:rPr>
        <w:footnoteReference w:id="50"/>
      </w:r>
      <w:r>
        <w:rPr>
          <w:rFonts w:ascii="Calibri" w:eastAsia="Calibri" w:hAnsi="Calibri" w:cs="Calibri"/>
          <w:sz w:val="24"/>
          <w:szCs w:val="24"/>
        </w:rPr>
        <w:t xml:space="preserve">. Entre las restricciones que se impondrán para solicitar protección, una vez que la ley entre en vigencia, se incluye el requisito adicional de ingresar a Chile directamente desde el país en que la persona solicitante se encuentre en riesgo, o si se trata de un viaje con escala, no haber permanecido </w:t>
      </w:r>
      <w:r w:rsidR="00564CE3">
        <w:rPr>
          <w:rFonts w:ascii="Calibri" w:eastAsia="Calibri" w:hAnsi="Calibri" w:cs="Calibri"/>
          <w:sz w:val="24"/>
          <w:szCs w:val="24"/>
        </w:rPr>
        <w:t>más</w:t>
      </w:r>
      <w:r>
        <w:rPr>
          <w:rFonts w:ascii="Calibri" w:eastAsia="Calibri" w:hAnsi="Calibri" w:cs="Calibri"/>
          <w:sz w:val="24"/>
          <w:szCs w:val="24"/>
        </w:rPr>
        <w:t xml:space="preserve"> de 60 días en el tercer país. Además, a quien se rechace la solicitud “deberá hacer abandono voluntario del territorio nacional”, lo que limita la protección del principio de no devolución.</w:t>
      </w:r>
    </w:p>
    <w:p w14:paraId="467F349E" w14:textId="77777777" w:rsidR="00BC4AAD" w:rsidRDefault="00997294">
      <w:pPr>
        <w:spacing w:after="120" w:line="240" w:lineRule="auto"/>
        <w:jc w:val="both"/>
        <w:rPr>
          <w:rFonts w:ascii="Calibri" w:eastAsia="Calibri" w:hAnsi="Calibri" w:cs="Calibri"/>
          <w:b/>
          <w:sz w:val="24"/>
          <w:szCs w:val="24"/>
        </w:rPr>
      </w:pPr>
      <w:r>
        <w:rPr>
          <w:rFonts w:ascii="Calibri" w:eastAsia="Calibri" w:hAnsi="Calibri" w:cs="Calibri"/>
          <w:b/>
          <w:sz w:val="24"/>
          <w:szCs w:val="24"/>
        </w:rPr>
        <w:t>Recomendaciones</w:t>
      </w:r>
    </w:p>
    <w:p w14:paraId="19126D43" w14:textId="77777777" w:rsidR="00BC4AAD" w:rsidRDefault="00997294">
      <w:pPr>
        <w:numPr>
          <w:ilvl w:val="0"/>
          <w:numId w:val="6"/>
        </w:numPr>
        <w:pBdr>
          <w:top w:val="nil"/>
          <w:left w:val="nil"/>
          <w:bottom w:val="nil"/>
          <w:right w:val="nil"/>
          <w:between w:val="nil"/>
        </w:pBdr>
        <w:spacing w:after="120" w:line="240" w:lineRule="auto"/>
        <w:jc w:val="both"/>
        <w:rPr>
          <w:rFonts w:ascii="Calibri" w:eastAsia="Calibri" w:hAnsi="Calibri" w:cs="Calibri"/>
          <w:sz w:val="24"/>
          <w:szCs w:val="24"/>
        </w:rPr>
      </w:pPr>
      <w:r>
        <w:rPr>
          <w:rFonts w:ascii="Calibri" w:eastAsia="Calibri" w:hAnsi="Calibri" w:cs="Calibri"/>
          <w:sz w:val="24"/>
          <w:szCs w:val="24"/>
        </w:rPr>
        <w:t>Adoptar medidas para la prevención y erradicación de la discriminación en contra de las personas migrantes.</w:t>
      </w:r>
    </w:p>
    <w:p w14:paraId="72F67156" w14:textId="77777777" w:rsidR="00BC4AAD" w:rsidRDefault="00997294">
      <w:pPr>
        <w:numPr>
          <w:ilvl w:val="0"/>
          <w:numId w:val="6"/>
        </w:numPr>
        <w:pBdr>
          <w:top w:val="nil"/>
          <w:left w:val="nil"/>
          <w:bottom w:val="nil"/>
          <w:right w:val="nil"/>
          <w:between w:val="nil"/>
        </w:pBdr>
        <w:spacing w:after="120" w:line="240" w:lineRule="auto"/>
        <w:jc w:val="both"/>
        <w:rPr>
          <w:rFonts w:ascii="Calibri" w:eastAsia="Calibri" w:hAnsi="Calibri" w:cs="Calibri"/>
          <w:sz w:val="24"/>
          <w:szCs w:val="24"/>
        </w:rPr>
      </w:pPr>
      <w:r>
        <w:rPr>
          <w:rFonts w:ascii="Calibri" w:eastAsia="Calibri" w:hAnsi="Calibri" w:cs="Calibri"/>
          <w:sz w:val="24"/>
          <w:szCs w:val="24"/>
        </w:rPr>
        <w:t>Adoptar medidas administrativas y legales que promuevan la regularización migratoria, especialmente a quienes tienen NNA a su cuidado, a quienes se ven imposibilitados de presentar documentación que depende de sus representaciones consulares, y a NNA con documentación de identidad o nacimiento incompleta.</w:t>
      </w:r>
    </w:p>
    <w:p w14:paraId="7366F3D0" w14:textId="77777777" w:rsidR="00BC4AAD" w:rsidRDefault="00997294">
      <w:pPr>
        <w:numPr>
          <w:ilvl w:val="0"/>
          <w:numId w:val="6"/>
        </w:numPr>
        <w:pBdr>
          <w:top w:val="nil"/>
          <w:left w:val="nil"/>
          <w:bottom w:val="nil"/>
          <w:right w:val="nil"/>
          <w:between w:val="nil"/>
        </w:pBdr>
        <w:spacing w:after="120" w:line="240" w:lineRule="auto"/>
        <w:jc w:val="both"/>
        <w:rPr>
          <w:rFonts w:ascii="Calibri" w:eastAsia="Calibri" w:hAnsi="Calibri" w:cs="Calibri"/>
          <w:sz w:val="24"/>
          <w:szCs w:val="24"/>
        </w:rPr>
      </w:pPr>
      <w:r>
        <w:rPr>
          <w:rFonts w:ascii="Calibri" w:eastAsia="Calibri" w:hAnsi="Calibri" w:cs="Calibri"/>
          <w:sz w:val="24"/>
          <w:szCs w:val="24"/>
        </w:rPr>
        <w:t>Evitar la militarización de fronteras como medida de control migratorio, y en caso de ser estrictamente necesario, realizar acciones que aseguren el respeto irrestricto de los derechos humanos, tales como la fiscalización de la actuación militar, capacitación del personal y rendición de cuentas.</w:t>
      </w:r>
    </w:p>
    <w:p w14:paraId="4FA47144" w14:textId="77777777" w:rsidR="00BC4AAD" w:rsidRDefault="00997294">
      <w:pPr>
        <w:numPr>
          <w:ilvl w:val="0"/>
          <w:numId w:val="6"/>
        </w:numPr>
        <w:pBdr>
          <w:top w:val="nil"/>
          <w:left w:val="nil"/>
          <w:bottom w:val="nil"/>
          <w:right w:val="nil"/>
          <w:between w:val="nil"/>
        </w:pBdr>
        <w:spacing w:after="120" w:line="240" w:lineRule="auto"/>
        <w:jc w:val="both"/>
        <w:rPr>
          <w:rFonts w:ascii="Calibri" w:eastAsia="Calibri" w:hAnsi="Calibri" w:cs="Calibri"/>
          <w:sz w:val="24"/>
          <w:szCs w:val="24"/>
        </w:rPr>
      </w:pPr>
      <w:r>
        <w:rPr>
          <w:rFonts w:ascii="Calibri" w:eastAsia="Calibri" w:hAnsi="Calibri" w:cs="Calibri"/>
          <w:sz w:val="24"/>
          <w:szCs w:val="24"/>
        </w:rPr>
        <w:t xml:space="preserve">Promover acuerdos regionales para el abordaje conjunto de la situación migratoria que afecta a América del Sur. </w:t>
      </w:r>
    </w:p>
    <w:p w14:paraId="729A1D89" w14:textId="77777777" w:rsidR="00BC4AAD" w:rsidRDefault="00997294">
      <w:pPr>
        <w:numPr>
          <w:ilvl w:val="0"/>
          <w:numId w:val="6"/>
        </w:numPr>
        <w:pBdr>
          <w:top w:val="nil"/>
          <w:left w:val="nil"/>
          <w:bottom w:val="nil"/>
          <w:right w:val="nil"/>
          <w:between w:val="nil"/>
        </w:pBdr>
        <w:spacing w:after="120" w:line="240" w:lineRule="auto"/>
        <w:jc w:val="both"/>
        <w:rPr>
          <w:rFonts w:ascii="Calibri" w:eastAsia="Calibri" w:hAnsi="Calibri" w:cs="Calibri"/>
          <w:sz w:val="24"/>
          <w:szCs w:val="24"/>
        </w:rPr>
      </w:pPr>
      <w:r>
        <w:rPr>
          <w:rFonts w:ascii="Calibri" w:eastAsia="Calibri" w:hAnsi="Calibri" w:cs="Calibri"/>
          <w:sz w:val="24"/>
          <w:szCs w:val="24"/>
        </w:rPr>
        <w:t>Generar desde las comunicaciones oficiales de las autoridades un discurso acorde al reconocimiento de los derechos de las personas migrantes y sus aportes a la sociedad, evitando reforzar imaginarios vinculados a la criminalización, xenofobia y racismo.</w:t>
      </w:r>
    </w:p>
    <w:p w14:paraId="1D6BF6D3" w14:textId="77777777" w:rsidR="00BC4AAD" w:rsidRDefault="00997294">
      <w:pPr>
        <w:numPr>
          <w:ilvl w:val="0"/>
          <w:numId w:val="6"/>
        </w:numPr>
        <w:pBdr>
          <w:top w:val="nil"/>
          <w:left w:val="nil"/>
          <w:bottom w:val="nil"/>
          <w:right w:val="nil"/>
          <w:between w:val="nil"/>
        </w:pBdr>
        <w:spacing w:after="120" w:line="240" w:lineRule="auto"/>
        <w:jc w:val="both"/>
        <w:rPr>
          <w:rFonts w:ascii="Calibri" w:eastAsia="Calibri" w:hAnsi="Calibri" w:cs="Calibri"/>
          <w:sz w:val="24"/>
          <w:szCs w:val="24"/>
        </w:rPr>
      </w:pPr>
      <w:r>
        <w:rPr>
          <w:rFonts w:ascii="Calibri" w:eastAsia="Calibri" w:hAnsi="Calibri" w:cs="Calibri"/>
          <w:sz w:val="24"/>
          <w:szCs w:val="24"/>
        </w:rPr>
        <w:lastRenderedPageBreak/>
        <w:t>Implementar campañas comunicacionales que favorezcan una cultura de respeto de los derechos humanos en general y en particular de las personas migrantes.</w:t>
      </w:r>
    </w:p>
    <w:p w14:paraId="51E8BF6A" w14:textId="77777777" w:rsidR="00BC4AAD" w:rsidRDefault="00997294">
      <w:pPr>
        <w:numPr>
          <w:ilvl w:val="0"/>
          <w:numId w:val="6"/>
        </w:numPr>
        <w:pBdr>
          <w:top w:val="nil"/>
          <w:left w:val="nil"/>
          <w:bottom w:val="nil"/>
          <w:right w:val="nil"/>
          <w:between w:val="nil"/>
        </w:pBdr>
        <w:spacing w:after="120" w:line="240" w:lineRule="auto"/>
        <w:jc w:val="both"/>
        <w:rPr>
          <w:rFonts w:ascii="Calibri" w:eastAsia="Calibri" w:hAnsi="Calibri" w:cs="Calibri"/>
          <w:sz w:val="24"/>
          <w:szCs w:val="24"/>
        </w:rPr>
      </w:pPr>
      <w:r>
        <w:rPr>
          <w:rFonts w:ascii="Calibri" w:eastAsia="Calibri" w:hAnsi="Calibri" w:cs="Calibri"/>
          <w:sz w:val="24"/>
          <w:szCs w:val="24"/>
        </w:rPr>
        <w:t>Implementar medidas que permitan agilizar los trámites ante el Servicio Nacional de Migraciones, reduciendo los tiempos de espera.</w:t>
      </w:r>
    </w:p>
    <w:p w14:paraId="69041947" w14:textId="77777777" w:rsidR="00BC4AAD" w:rsidRDefault="00997294">
      <w:pPr>
        <w:numPr>
          <w:ilvl w:val="0"/>
          <w:numId w:val="6"/>
        </w:numPr>
        <w:pBdr>
          <w:top w:val="nil"/>
          <w:left w:val="nil"/>
          <w:bottom w:val="nil"/>
          <w:right w:val="nil"/>
          <w:between w:val="nil"/>
        </w:pBdr>
        <w:spacing w:after="120" w:line="240" w:lineRule="auto"/>
        <w:jc w:val="both"/>
        <w:rPr>
          <w:rFonts w:ascii="Calibri" w:eastAsia="Calibri" w:hAnsi="Calibri" w:cs="Calibri"/>
          <w:sz w:val="24"/>
          <w:szCs w:val="24"/>
        </w:rPr>
      </w:pPr>
      <w:r>
        <w:rPr>
          <w:rFonts w:ascii="Calibri" w:eastAsia="Calibri" w:hAnsi="Calibri" w:cs="Calibri"/>
          <w:sz w:val="24"/>
          <w:szCs w:val="24"/>
        </w:rPr>
        <w:t xml:space="preserve">Iniciar el procedimiento de refugio respecto de toda persona extranjera que lo requiera, con independencia de si ingresó al país por paso no habilitado o no, sin análisis previo de admisibilidad. </w:t>
      </w:r>
    </w:p>
    <w:p w14:paraId="5D4A957A" w14:textId="77777777" w:rsidR="00BC4AAD" w:rsidRDefault="00997294">
      <w:pPr>
        <w:numPr>
          <w:ilvl w:val="0"/>
          <w:numId w:val="6"/>
        </w:numPr>
        <w:pBdr>
          <w:top w:val="nil"/>
          <w:left w:val="nil"/>
          <w:bottom w:val="nil"/>
          <w:right w:val="nil"/>
          <w:between w:val="nil"/>
        </w:pBdr>
        <w:spacing w:after="120" w:line="240" w:lineRule="auto"/>
        <w:jc w:val="both"/>
        <w:rPr>
          <w:rFonts w:ascii="Calibri" w:eastAsia="Calibri" w:hAnsi="Calibri" w:cs="Calibri"/>
          <w:sz w:val="24"/>
          <w:szCs w:val="24"/>
        </w:rPr>
      </w:pPr>
      <w:r>
        <w:rPr>
          <w:rFonts w:ascii="Calibri" w:eastAsia="Calibri" w:hAnsi="Calibri" w:cs="Calibri"/>
          <w:sz w:val="24"/>
          <w:szCs w:val="24"/>
        </w:rPr>
        <w:t xml:space="preserve">Garantizar el cumplimiento de lo señalado en la ley </w:t>
      </w:r>
      <w:r w:rsidR="00B92FDB">
        <w:rPr>
          <w:rFonts w:ascii="Calibri" w:eastAsia="Calibri" w:hAnsi="Calibri" w:cs="Calibri"/>
          <w:sz w:val="24"/>
          <w:szCs w:val="24"/>
        </w:rPr>
        <w:t xml:space="preserve">N° </w:t>
      </w:r>
      <w:r>
        <w:rPr>
          <w:rFonts w:ascii="Calibri" w:eastAsia="Calibri" w:hAnsi="Calibri" w:cs="Calibri"/>
          <w:sz w:val="24"/>
          <w:szCs w:val="24"/>
        </w:rPr>
        <w:t>20.430, en cuanto a extender visa de residencia temporal al solicitante de refugio y familiares que le acompañen, y brindar asistencia humanitaria.</w:t>
      </w:r>
    </w:p>
    <w:p w14:paraId="11555D9D" w14:textId="77777777" w:rsidR="00BC4AAD" w:rsidRDefault="00BC4AAD">
      <w:pPr>
        <w:pBdr>
          <w:top w:val="nil"/>
          <w:left w:val="nil"/>
          <w:bottom w:val="nil"/>
          <w:right w:val="nil"/>
          <w:between w:val="nil"/>
        </w:pBdr>
        <w:spacing w:after="120" w:line="240" w:lineRule="auto"/>
        <w:ind w:left="720"/>
        <w:jc w:val="both"/>
        <w:rPr>
          <w:rFonts w:ascii="Calibri" w:eastAsia="Calibri" w:hAnsi="Calibri" w:cs="Calibri"/>
          <w:sz w:val="24"/>
          <w:szCs w:val="24"/>
        </w:rPr>
      </w:pPr>
    </w:p>
    <w:p w14:paraId="12F4FFEB" w14:textId="77777777" w:rsidR="00BC4AAD" w:rsidRDefault="00997294">
      <w:pPr>
        <w:pBdr>
          <w:top w:val="nil"/>
          <w:left w:val="nil"/>
          <w:bottom w:val="nil"/>
          <w:right w:val="nil"/>
          <w:between w:val="nil"/>
        </w:pBdr>
        <w:spacing w:after="120" w:line="240" w:lineRule="auto"/>
        <w:ind w:right="1134"/>
        <w:jc w:val="both"/>
        <w:rPr>
          <w:rFonts w:ascii="Calibri" w:eastAsia="Calibri" w:hAnsi="Calibri" w:cs="Calibri"/>
          <w:b/>
          <w:sz w:val="24"/>
          <w:szCs w:val="24"/>
        </w:rPr>
      </w:pPr>
      <w:r>
        <w:rPr>
          <w:rFonts w:ascii="Calibri" w:eastAsia="Calibri" w:hAnsi="Calibri" w:cs="Calibri"/>
          <w:b/>
          <w:sz w:val="24"/>
          <w:szCs w:val="24"/>
        </w:rPr>
        <w:t>Artículo 21. Derecho de Reunión Pacífica</w:t>
      </w:r>
    </w:p>
    <w:p w14:paraId="5C0A9078" w14:textId="77777777" w:rsidR="00BC4AAD" w:rsidRDefault="0099729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120" w:line="240" w:lineRule="auto"/>
        <w:jc w:val="both"/>
        <w:rPr>
          <w:rFonts w:ascii="Calibri" w:eastAsia="Calibri" w:hAnsi="Calibri" w:cs="Calibri"/>
          <w:sz w:val="24"/>
          <w:szCs w:val="24"/>
        </w:rPr>
      </w:pPr>
      <w:r>
        <w:rPr>
          <w:rFonts w:ascii="Calibri" w:eastAsia="Calibri" w:hAnsi="Calibri" w:cs="Calibri"/>
          <w:sz w:val="24"/>
          <w:szCs w:val="24"/>
        </w:rPr>
        <w:t>La celebración de manifestaciones pacíficas está protegida por numerosos instrumentos internacionales y regionales de derechos humanos, en particular, lo establecido en el artículo 21 del Pacto</w:t>
      </w:r>
      <w:r>
        <w:rPr>
          <w:rFonts w:ascii="Calibri" w:eastAsia="Calibri" w:hAnsi="Calibri" w:cs="Calibri"/>
          <w:sz w:val="24"/>
          <w:szCs w:val="24"/>
          <w:vertAlign w:val="superscript"/>
        </w:rPr>
        <w:footnoteReference w:id="51"/>
      </w:r>
      <w:r>
        <w:rPr>
          <w:rFonts w:ascii="Calibri" w:eastAsia="Calibri" w:hAnsi="Calibri" w:cs="Calibri"/>
          <w:sz w:val="24"/>
          <w:szCs w:val="24"/>
        </w:rPr>
        <w:t>. Toda persona tiene derecho a la libertad de reunión pacífica, sin importar su condición y los Estados tienen la obligación de respetar, proteger y hacer valer el derecho de las personas a la libertad de reunión pacífica</w:t>
      </w:r>
      <w:r>
        <w:rPr>
          <w:rFonts w:ascii="Calibri" w:eastAsia="Calibri" w:hAnsi="Calibri" w:cs="Calibri"/>
          <w:sz w:val="24"/>
          <w:szCs w:val="24"/>
          <w:vertAlign w:val="superscript"/>
        </w:rPr>
        <w:footnoteReference w:id="52"/>
      </w:r>
      <w:r>
        <w:rPr>
          <w:rFonts w:ascii="Calibri" w:eastAsia="Calibri" w:hAnsi="Calibri" w:cs="Calibri"/>
          <w:sz w:val="24"/>
          <w:szCs w:val="24"/>
        </w:rPr>
        <w:t>. Sin embargo, se ha constatado</w:t>
      </w:r>
      <w:r>
        <w:rPr>
          <w:rFonts w:ascii="Calibri" w:eastAsia="Calibri" w:hAnsi="Calibri" w:cs="Calibri"/>
          <w:sz w:val="24"/>
          <w:szCs w:val="24"/>
          <w:vertAlign w:val="superscript"/>
        </w:rPr>
        <w:footnoteReference w:id="53"/>
      </w:r>
      <w:r>
        <w:rPr>
          <w:rFonts w:ascii="Calibri" w:eastAsia="Calibri" w:hAnsi="Calibri" w:cs="Calibri"/>
          <w:sz w:val="24"/>
          <w:szCs w:val="24"/>
        </w:rPr>
        <w:t xml:space="preserve"> que el Estado de Chile presenta una tendencia a reprimir por la fuerza las manifestaciones pacíficas, provocando graves violaciones a los derechos humanos. Ejemplo de lo anterior es lo reportado en el Informe del Estallido Social</w:t>
      </w:r>
      <w:r>
        <w:rPr>
          <w:rFonts w:ascii="Calibri" w:eastAsia="Calibri" w:hAnsi="Calibri" w:cs="Calibri"/>
          <w:sz w:val="24"/>
          <w:szCs w:val="24"/>
          <w:vertAlign w:val="superscript"/>
        </w:rPr>
        <w:footnoteReference w:id="54"/>
      </w:r>
      <w:r>
        <w:rPr>
          <w:rFonts w:ascii="Calibri" w:eastAsia="Calibri" w:hAnsi="Calibri" w:cs="Calibri"/>
          <w:sz w:val="24"/>
          <w:szCs w:val="24"/>
        </w:rPr>
        <w:t xml:space="preserve"> emitido por la Comisión de Observadores de Derechos Humanos</w:t>
      </w:r>
      <w:r>
        <w:rPr>
          <w:rFonts w:ascii="Calibri" w:eastAsia="Calibri" w:hAnsi="Calibri" w:cs="Calibri"/>
          <w:sz w:val="24"/>
          <w:szCs w:val="24"/>
          <w:vertAlign w:val="superscript"/>
        </w:rPr>
        <w:footnoteReference w:id="55"/>
      </w:r>
      <w:r>
        <w:rPr>
          <w:rFonts w:ascii="Calibri" w:eastAsia="Calibri" w:hAnsi="Calibri" w:cs="Calibri"/>
          <w:sz w:val="24"/>
          <w:szCs w:val="24"/>
        </w:rPr>
        <w:t>, en el que se evidencia graves, masivas, generalizadas y sistemáticas violaciones a los derechos humanos por parte del Estado.</w:t>
      </w:r>
    </w:p>
    <w:p w14:paraId="1C552AFB" w14:textId="77777777" w:rsidR="00BC4AAD" w:rsidRDefault="0099729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120" w:line="240" w:lineRule="auto"/>
        <w:jc w:val="both"/>
        <w:rPr>
          <w:rFonts w:ascii="Calibri" w:eastAsia="Calibri" w:hAnsi="Calibri" w:cs="Calibri"/>
          <w:sz w:val="24"/>
          <w:szCs w:val="24"/>
        </w:rPr>
      </w:pPr>
      <w:r>
        <w:rPr>
          <w:rFonts w:ascii="Calibri" w:eastAsia="Calibri" w:hAnsi="Calibri" w:cs="Calibri"/>
          <w:sz w:val="24"/>
          <w:szCs w:val="24"/>
        </w:rPr>
        <w:t>Las manifestaciones son vitales para la vida de sociedades sanas, pues permiten considerar los diferentes puntos de vista y las voces de quienes se encuentran excluidos, expresando públicamente sus discrepancias. También es importante que puedan participar en las protestas los niños, niñas y adolescentes, dada su exclusión de los procesos políticos</w:t>
      </w:r>
      <w:r>
        <w:rPr>
          <w:rFonts w:ascii="Calibri" w:eastAsia="Calibri" w:hAnsi="Calibri" w:cs="Calibri"/>
          <w:sz w:val="24"/>
          <w:szCs w:val="24"/>
          <w:vertAlign w:val="superscript"/>
        </w:rPr>
        <w:footnoteReference w:id="56"/>
      </w:r>
      <w:r>
        <w:rPr>
          <w:rFonts w:ascii="Calibri" w:eastAsia="Calibri" w:hAnsi="Calibri" w:cs="Calibri"/>
          <w:sz w:val="24"/>
          <w:szCs w:val="24"/>
        </w:rPr>
        <w:t>.</w:t>
      </w:r>
    </w:p>
    <w:p w14:paraId="0A5E9B6E" w14:textId="77777777" w:rsidR="00BC4AAD" w:rsidRDefault="0099729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120" w:line="240" w:lineRule="auto"/>
        <w:jc w:val="both"/>
        <w:rPr>
          <w:rFonts w:ascii="Calibri" w:eastAsia="Calibri" w:hAnsi="Calibri" w:cs="Calibri"/>
          <w:sz w:val="24"/>
          <w:szCs w:val="24"/>
        </w:rPr>
      </w:pPr>
      <w:r>
        <w:rPr>
          <w:rFonts w:ascii="Calibri" w:eastAsia="Calibri" w:hAnsi="Calibri" w:cs="Calibri"/>
          <w:b/>
          <w:sz w:val="24"/>
          <w:szCs w:val="24"/>
        </w:rPr>
        <w:t>Recomendaciones</w:t>
      </w:r>
    </w:p>
    <w:p w14:paraId="6A7D7FEF" w14:textId="77777777" w:rsidR="00BC4AAD" w:rsidRDefault="00997294">
      <w:pPr>
        <w:numPr>
          <w:ilvl w:val="0"/>
          <w:numId w:val="8"/>
        </w:numPr>
        <w:pBdr>
          <w:top w:val="nil"/>
          <w:left w:val="nil"/>
          <w:bottom w:val="nil"/>
          <w:right w:val="nil"/>
          <w:between w:val="nil"/>
        </w:pBdr>
        <w:spacing w:after="120" w:line="240" w:lineRule="auto"/>
        <w:jc w:val="both"/>
        <w:rPr>
          <w:rFonts w:ascii="Calibri" w:eastAsia="Calibri" w:hAnsi="Calibri" w:cs="Calibri"/>
          <w:sz w:val="24"/>
          <w:szCs w:val="24"/>
        </w:rPr>
      </w:pPr>
      <w:r>
        <w:rPr>
          <w:rFonts w:ascii="Calibri" w:eastAsia="Calibri" w:hAnsi="Calibri" w:cs="Calibri"/>
          <w:sz w:val="24"/>
          <w:szCs w:val="24"/>
        </w:rPr>
        <w:t>Derogar el Decreto Supremo 1.086 y regular mediante ley el derecho de Manifestación Pacífica, de acuerdo a los estándares de derechos humanos, en especial a la Observación Nº 37 al artículo 21 del PIDCP, considerando también a NNA.</w:t>
      </w:r>
    </w:p>
    <w:p w14:paraId="6BA1DDC5" w14:textId="77777777" w:rsidR="00BC4AAD" w:rsidRDefault="00997294">
      <w:pPr>
        <w:numPr>
          <w:ilvl w:val="0"/>
          <w:numId w:val="8"/>
        </w:numPr>
        <w:pBdr>
          <w:top w:val="nil"/>
          <w:left w:val="nil"/>
          <w:bottom w:val="nil"/>
          <w:right w:val="nil"/>
          <w:between w:val="nil"/>
        </w:pBdr>
        <w:spacing w:after="120" w:line="240" w:lineRule="auto"/>
        <w:jc w:val="both"/>
        <w:rPr>
          <w:rFonts w:ascii="Calibri" w:eastAsia="Calibri" w:hAnsi="Calibri" w:cs="Calibri"/>
          <w:sz w:val="24"/>
          <w:szCs w:val="24"/>
        </w:rPr>
      </w:pPr>
      <w:r>
        <w:rPr>
          <w:rFonts w:ascii="Calibri" w:eastAsia="Calibri" w:hAnsi="Calibri" w:cs="Calibri"/>
          <w:sz w:val="24"/>
          <w:szCs w:val="24"/>
        </w:rPr>
        <w:lastRenderedPageBreak/>
        <w:t>Adecuación de la ley Nº 21.560 a estándares de derechos humanos, incorporando la transparencia y rendición de cuentas de los agentes del Estado.</w:t>
      </w:r>
    </w:p>
    <w:p w14:paraId="3BC5C8A0" w14:textId="77777777" w:rsidR="00BC4AAD" w:rsidRDefault="00997294">
      <w:pPr>
        <w:numPr>
          <w:ilvl w:val="0"/>
          <w:numId w:val="8"/>
        </w:numPr>
        <w:pBdr>
          <w:top w:val="nil"/>
          <w:left w:val="nil"/>
          <w:bottom w:val="nil"/>
          <w:right w:val="nil"/>
          <w:between w:val="nil"/>
        </w:pBdr>
        <w:spacing w:after="120" w:line="240" w:lineRule="auto"/>
        <w:jc w:val="both"/>
        <w:rPr>
          <w:rFonts w:ascii="Calibri" w:eastAsia="Calibri" w:hAnsi="Calibri" w:cs="Calibri"/>
          <w:sz w:val="24"/>
          <w:szCs w:val="24"/>
        </w:rPr>
      </w:pPr>
      <w:r>
        <w:rPr>
          <w:rFonts w:ascii="Calibri" w:eastAsia="Calibri" w:hAnsi="Calibri" w:cs="Calibri"/>
          <w:sz w:val="24"/>
          <w:szCs w:val="24"/>
        </w:rPr>
        <w:t xml:space="preserve">Adoptar protocolos que determinen claramente las actuaciones policiales en contexto de manifestaciones, particularmente las responsabilidades en la emisión de órdenes al personal, velando por el control de la autoridad civil sobre el personal de las fuerzas de orden y seguridad. </w:t>
      </w:r>
    </w:p>
    <w:p w14:paraId="2DAE77EB" w14:textId="77777777" w:rsidR="00BC4AAD" w:rsidRDefault="00997294">
      <w:pPr>
        <w:numPr>
          <w:ilvl w:val="0"/>
          <w:numId w:val="8"/>
        </w:numPr>
        <w:pBdr>
          <w:top w:val="nil"/>
          <w:left w:val="nil"/>
          <w:bottom w:val="nil"/>
          <w:right w:val="nil"/>
          <w:between w:val="nil"/>
        </w:pBdr>
        <w:spacing w:after="120" w:line="240" w:lineRule="auto"/>
        <w:jc w:val="both"/>
        <w:rPr>
          <w:rFonts w:ascii="Calibri" w:eastAsia="Calibri" w:hAnsi="Calibri" w:cs="Calibri"/>
          <w:sz w:val="24"/>
          <w:szCs w:val="24"/>
        </w:rPr>
      </w:pPr>
      <w:r>
        <w:rPr>
          <w:rFonts w:ascii="Calibri" w:eastAsia="Calibri" w:hAnsi="Calibri" w:cs="Calibri"/>
          <w:sz w:val="24"/>
          <w:szCs w:val="24"/>
        </w:rPr>
        <w:t>Garantizar la no injerencia de otros poderes del Estado en el actuar del Poder Judicial en la investigación de violaciones a los derechos humanos.</w:t>
      </w:r>
    </w:p>
    <w:p w14:paraId="193B4B63" w14:textId="77777777" w:rsidR="00BC4AAD" w:rsidRDefault="00BC4AAD">
      <w:pPr>
        <w:keepNext/>
        <w:keepLines/>
        <w:pBdr>
          <w:top w:val="nil"/>
          <w:left w:val="nil"/>
          <w:bottom w:val="nil"/>
          <w:right w:val="nil"/>
          <w:between w:val="nil"/>
        </w:pBdr>
        <w:tabs>
          <w:tab w:val="right" w:pos="851"/>
        </w:tabs>
        <w:spacing w:after="120" w:line="240" w:lineRule="auto"/>
        <w:ind w:left="1134" w:right="1134" w:hanging="1134"/>
        <w:rPr>
          <w:rFonts w:ascii="Calibri" w:eastAsia="Calibri" w:hAnsi="Calibri" w:cs="Calibri"/>
          <w:b/>
          <w:sz w:val="24"/>
          <w:szCs w:val="24"/>
        </w:rPr>
      </w:pPr>
    </w:p>
    <w:p w14:paraId="12C7E6B7" w14:textId="77777777" w:rsidR="00BC4AAD" w:rsidRDefault="00997294">
      <w:pPr>
        <w:keepNext/>
        <w:keepLines/>
        <w:pBdr>
          <w:top w:val="nil"/>
          <w:left w:val="nil"/>
          <w:bottom w:val="nil"/>
          <w:right w:val="nil"/>
          <w:between w:val="nil"/>
        </w:pBdr>
        <w:tabs>
          <w:tab w:val="right" w:pos="851"/>
        </w:tabs>
        <w:spacing w:after="120" w:line="240" w:lineRule="auto"/>
        <w:ind w:left="1134" w:right="1134" w:hanging="1134"/>
        <w:rPr>
          <w:rFonts w:ascii="Calibri" w:eastAsia="Calibri" w:hAnsi="Calibri" w:cs="Calibri"/>
          <w:b/>
          <w:sz w:val="24"/>
          <w:szCs w:val="24"/>
        </w:rPr>
      </w:pPr>
      <w:r>
        <w:rPr>
          <w:rFonts w:ascii="Calibri" w:eastAsia="Calibri" w:hAnsi="Calibri" w:cs="Calibri"/>
          <w:b/>
          <w:sz w:val="24"/>
          <w:szCs w:val="24"/>
        </w:rPr>
        <w:t>Artículo 24. Protección a la Infancia</w:t>
      </w:r>
    </w:p>
    <w:p w14:paraId="19EAB47A" w14:textId="77777777" w:rsidR="00BC4AAD" w:rsidRDefault="00997294">
      <w:pPr>
        <w:spacing w:after="120" w:line="240" w:lineRule="auto"/>
        <w:jc w:val="both"/>
        <w:rPr>
          <w:rFonts w:ascii="Calibri" w:eastAsia="Calibri" w:hAnsi="Calibri" w:cs="Calibri"/>
          <w:sz w:val="24"/>
          <w:szCs w:val="24"/>
        </w:rPr>
      </w:pPr>
      <w:r>
        <w:rPr>
          <w:rFonts w:ascii="Calibri" w:eastAsia="Calibri" w:hAnsi="Calibri" w:cs="Calibri"/>
          <w:sz w:val="24"/>
          <w:szCs w:val="24"/>
        </w:rPr>
        <w:t>Chile ha logrado avanzar en una institucionalidad más robusta y acorde a los principios de la Convención de Derechos del Niño, especialmente a partir de la ley N° 21.430 sobre garantías y protección integral de los derechos de la niñez y adolescencia de 2022. No obstante, preocupa la lenta instalación de los dispositivos que deberán implementar a nivel local las bases de la protección administrativa (Oficinas Locales de la Niñez) para materializar la desjudicialización de los asuntos que conciernen a los niños, niñas y adolescentes</w:t>
      </w:r>
      <w:r>
        <w:rPr>
          <w:rFonts w:ascii="Calibri" w:eastAsia="Calibri" w:hAnsi="Calibri" w:cs="Calibri"/>
          <w:sz w:val="24"/>
          <w:szCs w:val="24"/>
          <w:vertAlign w:val="superscript"/>
        </w:rPr>
        <w:footnoteReference w:id="57"/>
      </w:r>
      <w:r>
        <w:rPr>
          <w:rFonts w:ascii="Calibri" w:eastAsia="Calibri" w:hAnsi="Calibri" w:cs="Calibri"/>
          <w:sz w:val="24"/>
          <w:szCs w:val="24"/>
        </w:rPr>
        <w:t>.</w:t>
      </w:r>
    </w:p>
    <w:p w14:paraId="5C1A766C" w14:textId="77777777" w:rsidR="00BC4AAD" w:rsidRDefault="00997294">
      <w:pPr>
        <w:spacing w:after="120" w:line="240" w:lineRule="auto"/>
        <w:jc w:val="both"/>
        <w:rPr>
          <w:rFonts w:ascii="Calibri" w:eastAsia="Calibri" w:hAnsi="Calibri" w:cs="Calibri"/>
          <w:sz w:val="24"/>
          <w:szCs w:val="24"/>
        </w:rPr>
      </w:pPr>
      <w:r>
        <w:rPr>
          <w:rFonts w:ascii="Calibri" w:eastAsia="Calibri" w:hAnsi="Calibri" w:cs="Calibri"/>
          <w:sz w:val="24"/>
          <w:szCs w:val="24"/>
        </w:rPr>
        <w:t>Paulatinamente se ha convocado a los Comités Interministeriales de Desarrollo Social Familia y Niñez, sin embargo, el principio de intersectorialidad no ha logrado entrar en pleno funcionamiento a nivel local y regional, evidenciándose una falta de respuesta integral y articulada</w:t>
      </w:r>
      <w:r>
        <w:rPr>
          <w:rFonts w:ascii="Calibri" w:eastAsia="Calibri" w:hAnsi="Calibri" w:cs="Calibri"/>
          <w:sz w:val="24"/>
          <w:szCs w:val="24"/>
          <w:vertAlign w:val="superscript"/>
        </w:rPr>
        <w:footnoteReference w:id="58"/>
      </w:r>
      <w:r>
        <w:rPr>
          <w:rFonts w:ascii="Calibri" w:eastAsia="Calibri" w:hAnsi="Calibri" w:cs="Calibri"/>
          <w:sz w:val="24"/>
          <w:szCs w:val="24"/>
        </w:rPr>
        <w:t>. De ahí que las</w:t>
      </w:r>
      <w:r>
        <w:rPr>
          <w:rFonts w:ascii="Calibri" w:eastAsia="Calibri" w:hAnsi="Calibri" w:cs="Calibri"/>
          <w:b/>
          <w:sz w:val="24"/>
          <w:szCs w:val="24"/>
        </w:rPr>
        <w:t xml:space="preserve"> </w:t>
      </w:r>
      <w:r>
        <w:rPr>
          <w:rFonts w:ascii="Calibri" w:eastAsia="Calibri" w:hAnsi="Calibri" w:cs="Calibri"/>
          <w:sz w:val="24"/>
          <w:szCs w:val="24"/>
        </w:rPr>
        <w:t>necesidades de niños y niñas continúen sin respuesta por parte de las políticas de educación, salud, vivienda en materia de accesibilidad, disponibilidad y calidad, no logrando la entidad coordinadora encargada</w:t>
      </w:r>
      <w:r>
        <w:rPr>
          <w:rFonts w:ascii="Calibri" w:eastAsia="Calibri" w:hAnsi="Calibri" w:cs="Calibri"/>
          <w:sz w:val="24"/>
          <w:szCs w:val="24"/>
          <w:vertAlign w:val="superscript"/>
        </w:rPr>
        <w:footnoteReference w:id="59"/>
      </w:r>
      <w:r>
        <w:rPr>
          <w:rFonts w:ascii="Calibri" w:eastAsia="Calibri" w:hAnsi="Calibri" w:cs="Calibri"/>
          <w:sz w:val="24"/>
          <w:szCs w:val="24"/>
        </w:rPr>
        <w:t xml:space="preserve"> convocar para una respuesta integrada y efectiva. Corporación OPCION, a través de una experiencia participativa con niños, niñas y adolescentes de la región de Tarapacá</w:t>
      </w:r>
      <w:r>
        <w:rPr>
          <w:rFonts w:ascii="Calibri" w:eastAsia="Calibri" w:hAnsi="Calibri" w:cs="Calibri"/>
          <w:sz w:val="24"/>
          <w:szCs w:val="24"/>
          <w:vertAlign w:val="superscript"/>
        </w:rPr>
        <w:footnoteReference w:id="60"/>
      </w:r>
      <w:r>
        <w:rPr>
          <w:rFonts w:ascii="Calibri" w:eastAsia="Calibri" w:hAnsi="Calibri" w:cs="Calibri"/>
          <w:sz w:val="24"/>
          <w:szCs w:val="24"/>
        </w:rPr>
        <w:t>, recoge la percepción de que si bien los dispositivos como la escuela o el consultorio de salud constituyen espacios seguros, se encuentran lejos del lugar de residencia, y poco accesibles, mientras que los entornos inmediatos no cuentan con servicios básicos, son considerados inseguros y no cuentan con espacios de esparcimiento u ocio</w:t>
      </w:r>
      <w:r>
        <w:rPr>
          <w:rFonts w:ascii="Calibri" w:eastAsia="Calibri" w:hAnsi="Calibri" w:cs="Calibri"/>
          <w:sz w:val="24"/>
          <w:szCs w:val="24"/>
          <w:vertAlign w:val="superscript"/>
        </w:rPr>
        <w:footnoteReference w:id="61"/>
      </w:r>
      <w:r>
        <w:rPr>
          <w:rFonts w:ascii="Calibri" w:eastAsia="Calibri" w:hAnsi="Calibri" w:cs="Calibri"/>
          <w:sz w:val="24"/>
          <w:szCs w:val="24"/>
        </w:rPr>
        <w:t>.</w:t>
      </w:r>
    </w:p>
    <w:p w14:paraId="7E3DFFB9" w14:textId="77777777" w:rsidR="00BC4AAD" w:rsidRDefault="00997294">
      <w:pPr>
        <w:spacing w:after="120" w:line="240" w:lineRule="auto"/>
        <w:jc w:val="both"/>
        <w:rPr>
          <w:rFonts w:ascii="Calibri" w:eastAsia="Calibri" w:hAnsi="Calibri" w:cs="Calibri"/>
          <w:b/>
          <w:sz w:val="24"/>
          <w:szCs w:val="24"/>
        </w:rPr>
      </w:pPr>
      <w:r>
        <w:rPr>
          <w:rFonts w:ascii="Calibri" w:eastAsia="Calibri" w:hAnsi="Calibri" w:cs="Calibri"/>
          <w:sz w:val="24"/>
          <w:szCs w:val="24"/>
        </w:rPr>
        <w:lastRenderedPageBreak/>
        <w:t>La ley N° 21.302 creó en 2021 el Servicio de Protección Especializada (SPE) a la Niñez y Adolescencia que reemplazó a SENAME</w:t>
      </w:r>
      <w:r>
        <w:rPr>
          <w:rFonts w:ascii="Calibri" w:eastAsia="Calibri" w:hAnsi="Calibri" w:cs="Calibri"/>
          <w:sz w:val="24"/>
          <w:szCs w:val="24"/>
          <w:vertAlign w:val="superscript"/>
        </w:rPr>
        <w:footnoteReference w:id="62"/>
      </w:r>
      <w:r>
        <w:rPr>
          <w:rFonts w:ascii="Calibri" w:eastAsia="Calibri" w:hAnsi="Calibri" w:cs="Calibri"/>
          <w:sz w:val="24"/>
          <w:szCs w:val="24"/>
        </w:rPr>
        <w:t>. En 2022 contó con una cobertura de atención de 198.326 niños, niñas y adolescentes, que ingresan a sus programas debido a situaciones de vulneración a sus derechos fundamentales. Sin embargo, preocupa que se mantengan las brechas significativas en la satisfacción de derechos para la niñez, ya que, en su mayoría, provienen de contextos de pobreza y precariedad. A pesar que la ley crea un ente articulador, a través de las Comisiones Coordinadoras de Protección, persisten situaciones críticas como el escaso acceso a la salud mental (por ejemplo, existen regiones del país que no cuentan con dispositivos especializados), o a la escuela (ya que existe una ley</w:t>
      </w:r>
      <w:r>
        <w:rPr>
          <w:rFonts w:ascii="Calibri" w:eastAsia="Calibri" w:hAnsi="Calibri" w:cs="Calibri"/>
          <w:sz w:val="24"/>
          <w:szCs w:val="24"/>
          <w:vertAlign w:val="superscript"/>
        </w:rPr>
        <w:footnoteReference w:id="63"/>
      </w:r>
      <w:r>
        <w:rPr>
          <w:rFonts w:ascii="Calibri" w:eastAsia="Calibri" w:hAnsi="Calibri" w:cs="Calibri"/>
          <w:sz w:val="24"/>
          <w:szCs w:val="24"/>
        </w:rPr>
        <w:t xml:space="preserve"> que permite expulsar a los niños/as de sus escuelas debido a su comportamiento), generándose estigmatización y discriminación. Lo anterior es relatado por un grupo de 12 niños, niñas y adolescentes que han desarrollado talleres participativos durante el año 2023 como agrupación infantojuvenil provenientes de sectores rurales y urbanos de la región de O’Higgins</w:t>
      </w:r>
      <w:r>
        <w:rPr>
          <w:rFonts w:ascii="Calibri" w:eastAsia="Calibri" w:hAnsi="Calibri" w:cs="Calibri"/>
          <w:sz w:val="24"/>
          <w:szCs w:val="24"/>
          <w:vertAlign w:val="superscript"/>
        </w:rPr>
        <w:footnoteReference w:id="64"/>
      </w:r>
      <w:r>
        <w:rPr>
          <w:rFonts w:ascii="Calibri" w:eastAsia="Calibri" w:hAnsi="Calibri" w:cs="Calibri"/>
          <w:sz w:val="24"/>
          <w:szCs w:val="24"/>
        </w:rPr>
        <w:t>.</w:t>
      </w:r>
    </w:p>
    <w:p w14:paraId="2B884B07" w14:textId="77777777" w:rsidR="00BC4AAD" w:rsidRDefault="00997294">
      <w:pPr>
        <w:spacing w:after="120" w:line="240" w:lineRule="auto"/>
        <w:jc w:val="both"/>
        <w:rPr>
          <w:rFonts w:ascii="Calibri" w:eastAsia="Calibri" w:hAnsi="Calibri" w:cs="Calibri"/>
          <w:sz w:val="24"/>
          <w:szCs w:val="24"/>
        </w:rPr>
      </w:pPr>
      <w:r>
        <w:rPr>
          <w:rFonts w:ascii="Calibri" w:eastAsia="Calibri" w:hAnsi="Calibri" w:cs="Calibri"/>
          <w:sz w:val="24"/>
          <w:szCs w:val="24"/>
        </w:rPr>
        <w:t>Si bien el Estado destina recursos para la intervención terapéutica, familiar y comunitaria, debido a los severos efectos que niños y niñas presentan a partir de experiencias de violencia</w:t>
      </w:r>
      <w:r>
        <w:rPr>
          <w:rFonts w:ascii="Calibri" w:eastAsia="Calibri" w:hAnsi="Calibri" w:cs="Calibri"/>
          <w:sz w:val="24"/>
          <w:szCs w:val="24"/>
          <w:vertAlign w:val="superscript"/>
        </w:rPr>
        <w:footnoteReference w:id="65"/>
      </w:r>
      <w:r>
        <w:rPr>
          <w:rFonts w:ascii="Calibri" w:eastAsia="Calibri" w:hAnsi="Calibri" w:cs="Calibri"/>
          <w:sz w:val="24"/>
          <w:szCs w:val="24"/>
        </w:rPr>
        <w:t xml:space="preserve"> urge la implementación de políticas de prevención pues se mantiene una alta tasa de denuncias por violencia sexual hacia niños y niñas, más aún luego de la pandemia. Las denuncias de delitos de abuso sexual hacia menor de 14 años con contacto corporal aumentaron de 7.417 en 2018 a 18.303 en 2022; y se registra un total de 24.833 denuncias de delitos sexuales u otros delitos graves con víctimas niños, niñas y adolescentes en 2018, aumentando en 2022 a 39.933 (61%)</w:t>
      </w:r>
      <w:r>
        <w:rPr>
          <w:rFonts w:ascii="Calibri" w:eastAsia="Calibri" w:hAnsi="Calibri" w:cs="Calibri"/>
          <w:sz w:val="24"/>
          <w:szCs w:val="24"/>
          <w:vertAlign w:val="superscript"/>
        </w:rPr>
        <w:footnoteReference w:id="66"/>
      </w:r>
      <w:r>
        <w:rPr>
          <w:rFonts w:ascii="Calibri" w:eastAsia="Calibri" w:hAnsi="Calibri" w:cs="Calibri"/>
          <w:sz w:val="24"/>
          <w:szCs w:val="24"/>
        </w:rPr>
        <w:t xml:space="preserve"> </w:t>
      </w:r>
      <w:r>
        <w:rPr>
          <w:rFonts w:ascii="Calibri" w:eastAsia="Calibri" w:hAnsi="Calibri" w:cs="Calibri"/>
          <w:sz w:val="24"/>
          <w:szCs w:val="24"/>
          <w:vertAlign w:val="superscript"/>
        </w:rPr>
        <w:footnoteReference w:id="67"/>
      </w:r>
      <w:r>
        <w:rPr>
          <w:rFonts w:ascii="Calibri" w:eastAsia="Calibri" w:hAnsi="Calibri" w:cs="Calibri"/>
          <w:sz w:val="24"/>
          <w:szCs w:val="24"/>
        </w:rPr>
        <w:t>. Preocupa que no se cuente con estrategias que resguarden a los niños y niñas de la violencia en todas sus manifestaciones y contextos, y que permitan la detección temprana y su problematización.</w:t>
      </w:r>
    </w:p>
    <w:p w14:paraId="26B317E6" w14:textId="77777777" w:rsidR="00BC4AAD" w:rsidRDefault="00997294">
      <w:pPr>
        <w:spacing w:after="120" w:line="240" w:lineRule="auto"/>
        <w:jc w:val="both"/>
        <w:rPr>
          <w:rFonts w:ascii="Calibri" w:eastAsia="Calibri" w:hAnsi="Calibri" w:cs="Calibri"/>
          <w:sz w:val="24"/>
          <w:szCs w:val="24"/>
        </w:rPr>
      </w:pPr>
      <w:r>
        <w:rPr>
          <w:rFonts w:ascii="Calibri" w:eastAsia="Calibri" w:hAnsi="Calibri" w:cs="Calibri"/>
          <w:sz w:val="24"/>
          <w:szCs w:val="24"/>
        </w:rPr>
        <w:lastRenderedPageBreak/>
        <w:t>Una de las manifestaciones más graves de violencia es la explotación sexual de niños, niñas y adolescentes (ESNNA). Si bien la explotación sexual se encuentra recientemente tipificada</w:t>
      </w:r>
      <w:r>
        <w:rPr>
          <w:rFonts w:ascii="Calibri" w:eastAsia="Calibri" w:hAnsi="Calibri" w:cs="Calibri"/>
          <w:sz w:val="24"/>
          <w:szCs w:val="24"/>
          <w:vertAlign w:val="superscript"/>
        </w:rPr>
        <w:footnoteReference w:id="68"/>
      </w:r>
      <w:r>
        <w:rPr>
          <w:rFonts w:ascii="Calibri" w:eastAsia="Calibri" w:hAnsi="Calibri" w:cs="Calibri"/>
          <w:sz w:val="24"/>
          <w:szCs w:val="24"/>
        </w:rPr>
        <w:t>, se perciben escasos avances en materia de prevención.</w:t>
      </w:r>
      <w:r>
        <w:rPr>
          <w:rFonts w:ascii="Calibri" w:eastAsia="Calibri" w:hAnsi="Calibri" w:cs="Calibri"/>
          <w:sz w:val="24"/>
          <w:szCs w:val="24"/>
          <w:vertAlign w:val="superscript"/>
        </w:rPr>
        <w:footnoteReference w:id="69"/>
      </w:r>
      <w:r>
        <w:rPr>
          <w:rFonts w:ascii="Calibri" w:eastAsia="Calibri" w:hAnsi="Calibri" w:cs="Calibri"/>
          <w:sz w:val="24"/>
          <w:szCs w:val="24"/>
        </w:rPr>
        <w:t xml:space="preserve"> </w:t>
      </w:r>
    </w:p>
    <w:p w14:paraId="3FA8898D" w14:textId="77777777" w:rsidR="00BC4AAD" w:rsidRDefault="00997294">
      <w:pPr>
        <w:spacing w:after="120" w:line="240" w:lineRule="auto"/>
        <w:jc w:val="both"/>
        <w:rPr>
          <w:rFonts w:ascii="Calibri" w:eastAsia="Calibri" w:hAnsi="Calibri" w:cs="Calibri"/>
          <w:b/>
          <w:smallCaps/>
          <w:sz w:val="24"/>
          <w:szCs w:val="24"/>
        </w:rPr>
      </w:pPr>
      <w:r>
        <w:rPr>
          <w:rFonts w:ascii="Calibri" w:eastAsia="Calibri" w:hAnsi="Calibri" w:cs="Calibri"/>
          <w:sz w:val="24"/>
          <w:szCs w:val="24"/>
        </w:rPr>
        <w:t>Una de las complejidades que se ha planteado para los contextos residenciales es la creciente incorporación de niños y niñas migrantes, que para el año 2022 -según reporte del Servicio de Protección Especializada- representaban un 4% de la atención total de los programas, con 2.324 niños y niñas de nacionalidad venezolana (en el primer lugar). Muchos de estos niños y niñas han ingresado al país sin la compañía de familiares o adultos de confianza, situación escasamente problematizada o denunciada</w:t>
      </w:r>
      <w:r>
        <w:rPr>
          <w:rFonts w:ascii="Calibri" w:eastAsia="Calibri" w:hAnsi="Calibri" w:cs="Calibri"/>
          <w:sz w:val="24"/>
          <w:szCs w:val="24"/>
          <w:vertAlign w:val="superscript"/>
        </w:rPr>
        <w:footnoteReference w:id="70"/>
      </w:r>
      <w:r>
        <w:rPr>
          <w:rFonts w:ascii="Calibri" w:eastAsia="Calibri" w:hAnsi="Calibri" w:cs="Calibri"/>
          <w:sz w:val="24"/>
          <w:szCs w:val="24"/>
        </w:rPr>
        <w:t>.</w:t>
      </w:r>
    </w:p>
    <w:p w14:paraId="3FB1CC80" w14:textId="77777777" w:rsidR="00BC4AAD" w:rsidRDefault="00997294">
      <w:pPr>
        <w:spacing w:after="120" w:line="240" w:lineRule="auto"/>
        <w:jc w:val="both"/>
        <w:rPr>
          <w:rFonts w:ascii="Calibri" w:eastAsia="Calibri" w:hAnsi="Calibri" w:cs="Calibri"/>
          <w:sz w:val="24"/>
          <w:szCs w:val="24"/>
        </w:rPr>
      </w:pPr>
      <w:r>
        <w:rPr>
          <w:rFonts w:ascii="Calibri" w:eastAsia="Calibri" w:hAnsi="Calibri" w:cs="Calibri"/>
          <w:sz w:val="24"/>
          <w:szCs w:val="24"/>
        </w:rPr>
        <w:t xml:space="preserve">El sistema penal juvenil se encuentra en una transformación y adecuación a los estándares internacionales. Entre los principales avances en 2022, como se ha señalado, entró en vigencia la ley N° 21.430 sobre </w:t>
      </w:r>
      <w:r w:rsidR="00564CE3">
        <w:rPr>
          <w:rFonts w:ascii="Calibri" w:eastAsia="Calibri" w:hAnsi="Calibri" w:cs="Calibri"/>
          <w:sz w:val="24"/>
          <w:szCs w:val="24"/>
        </w:rPr>
        <w:t>garantías</w:t>
      </w:r>
      <w:r>
        <w:rPr>
          <w:rFonts w:ascii="Calibri" w:eastAsia="Calibri" w:hAnsi="Calibri" w:cs="Calibri"/>
          <w:sz w:val="24"/>
          <w:szCs w:val="24"/>
        </w:rPr>
        <w:t xml:space="preserve"> y protección integral de la niñez y adolescencia</w:t>
      </w:r>
      <w:r>
        <w:rPr>
          <w:rFonts w:ascii="Calibri" w:eastAsia="Calibri" w:hAnsi="Calibri" w:cs="Calibri"/>
          <w:sz w:val="24"/>
          <w:szCs w:val="24"/>
          <w:vertAlign w:val="superscript"/>
        </w:rPr>
        <w:footnoteReference w:id="71"/>
      </w:r>
      <w:r>
        <w:rPr>
          <w:rFonts w:ascii="Calibri" w:eastAsia="Calibri" w:hAnsi="Calibri" w:cs="Calibri"/>
          <w:sz w:val="24"/>
          <w:szCs w:val="24"/>
        </w:rPr>
        <w:t>. Sin embargo, urge tomar acciones dado el aumento de la violencia por bandas de narcotráfico que utilizan a jóvenes para ajustes de cuentas. De acuerdo a la Defensoría de la Niñez, en 2023 38 niños, niñas y adolescentes fueron asesinados con armas de fuego</w:t>
      </w:r>
      <w:r>
        <w:rPr>
          <w:rFonts w:ascii="Calibri" w:eastAsia="Calibri" w:hAnsi="Calibri" w:cs="Calibri"/>
          <w:sz w:val="24"/>
          <w:szCs w:val="24"/>
          <w:vertAlign w:val="superscript"/>
        </w:rPr>
        <w:footnoteReference w:id="72"/>
      </w:r>
      <w:r>
        <w:rPr>
          <w:rFonts w:ascii="Calibri" w:eastAsia="Calibri" w:hAnsi="Calibri" w:cs="Calibri"/>
          <w:sz w:val="24"/>
          <w:szCs w:val="24"/>
        </w:rPr>
        <w:t>.</w:t>
      </w:r>
    </w:p>
    <w:p w14:paraId="22FF2205" w14:textId="77777777" w:rsidR="00BC4AAD" w:rsidRDefault="00997294">
      <w:pPr>
        <w:spacing w:after="120" w:line="240" w:lineRule="auto"/>
        <w:jc w:val="both"/>
        <w:rPr>
          <w:rFonts w:ascii="Calibri" w:eastAsia="Calibri" w:hAnsi="Calibri" w:cs="Calibri"/>
          <w:sz w:val="24"/>
          <w:szCs w:val="24"/>
          <w:highlight w:val="white"/>
        </w:rPr>
      </w:pPr>
      <w:r>
        <w:rPr>
          <w:rFonts w:ascii="Calibri" w:eastAsia="Calibri" w:hAnsi="Calibri" w:cs="Calibri"/>
          <w:sz w:val="24"/>
          <w:szCs w:val="24"/>
        </w:rPr>
        <w:lastRenderedPageBreak/>
        <w:t xml:space="preserve">El uso de la fuerza por parte de agentes del Estado se ha visto incrementado. Datos de OPCION relativos a denuncias de situaciones de vulneración de derechos o delitos reportados por usuarios de programas de Justicia Juvenil, refieren </w:t>
      </w:r>
      <w:r>
        <w:rPr>
          <w:rFonts w:ascii="Calibri" w:eastAsia="Calibri" w:hAnsi="Calibri" w:cs="Calibri"/>
          <w:sz w:val="24"/>
          <w:szCs w:val="24"/>
          <w:highlight w:val="white"/>
        </w:rPr>
        <w:t>un total de 256 denuncias, con denunciantes entre los 14 y 26 años, quienes indicaron que en 21 casos hubo apremios ilegítimos por parte de funcionarios policiales.</w:t>
      </w:r>
    </w:p>
    <w:p w14:paraId="30C8D34A" w14:textId="77777777" w:rsidR="00BD6689" w:rsidRPr="00BD6689" w:rsidRDefault="00BD6689" w:rsidP="00BD6689">
      <w:pPr>
        <w:spacing w:after="120" w:line="240" w:lineRule="auto"/>
        <w:jc w:val="both"/>
        <w:rPr>
          <w:rFonts w:ascii="Calibri" w:eastAsia="Calibri" w:hAnsi="Calibri" w:cs="Calibri"/>
          <w:sz w:val="24"/>
          <w:szCs w:val="24"/>
        </w:rPr>
      </w:pPr>
      <w:r w:rsidRPr="00BD6689">
        <w:rPr>
          <w:rFonts w:ascii="Calibri" w:eastAsia="Calibri" w:hAnsi="Calibri" w:cs="Calibri"/>
          <w:sz w:val="24"/>
          <w:szCs w:val="24"/>
        </w:rPr>
        <w:t>Además en la misma ley 21.302, se establece el deber</w:t>
      </w:r>
      <w:r>
        <w:rPr>
          <w:rFonts w:ascii="Calibri" w:eastAsia="Calibri" w:hAnsi="Calibri" w:cs="Calibri"/>
          <w:sz w:val="24"/>
          <w:szCs w:val="24"/>
        </w:rPr>
        <w:t xml:space="preserve"> </w:t>
      </w:r>
      <w:r w:rsidRPr="00BD6689">
        <w:rPr>
          <w:rFonts w:ascii="Calibri" w:eastAsia="Calibri" w:hAnsi="Calibri" w:cs="Calibri"/>
          <w:sz w:val="24"/>
          <w:szCs w:val="24"/>
        </w:rPr>
        <w:t>estatal de contar con oferta programática para niños y niñas inimputables que hayan incurrido en conductas delictuales, sin embargo, la Ley N°20.084</w:t>
      </w:r>
      <w:r w:rsidRPr="00BD6689">
        <w:rPr>
          <w:rStyle w:val="Refdenotaalpie"/>
          <w:rFonts w:eastAsia="Calibri" w:cs="Calibri"/>
          <w:szCs w:val="24"/>
        </w:rPr>
        <w:footnoteReference w:id="73"/>
      </w:r>
      <w:r w:rsidRPr="00BD6689">
        <w:rPr>
          <w:rFonts w:ascii="Calibri" w:eastAsia="Calibri" w:hAnsi="Calibri" w:cs="Calibri"/>
          <w:sz w:val="24"/>
          <w:szCs w:val="24"/>
        </w:rPr>
        <w:t xml:space="preserve"> establece que los niños y niñas menores de 14 años son inimputables.  Esta determinación no les garantiza actualmente un proceso justo, además de instalarse, de manera oculta, un enfoque tutelar.</w:t>
      </w:r>
    </w:p>
    <w:p w14:paraId="235E7D93" w14:textId="77777777" w:rsidR="00BC4AAD" w:rsidRDefault="00997294">
      <w:pPr>
        <w:spacing w:after="120" w:line="240" w:lineRule="auto"/>
        <w:jc w:val="both"/>
        <w:rPr>
          <w:rFonts w:ascii="Calibri" w:eastAsia="Calibri" w:hAnsi="Calibri" w:cs="Calibri"/>
          <w:sz w:val="24"/>
          <w:szCs w:val="24"/>
        </w:rPr>
      </w:pPr>
      <w:r>
        <w:rPr>
          <w:rFonts w:ascii="Calibri" w:eastAsia="Calibri" w:hAnsi="Calibri" w:cs="Calibri"/>
          <w:sz w:val="24"/>
          <w:szCs w:val="24"/>
        </w:rPr>
        <w:t xml:space="preserve">Si bien en Chile se han realizado esfuerzos para disminuir el embarazo adolescente, preocupa la ocurrencia del segundo embarazo en la misma etapa evolutiva lo cual expone a las niñas y adolescentes a una mayor pobreza, atentando contra sus derechos a una vida digna, como parte de la violencia de género. Según la experiencia de los Centros de Protección Infanto Juvenil (CEPIJ) de </w:t>
      </w:r>
      <w:r w:rsidR="008D7500">
        <w:rPr>
          <w:rFonts w:ascii="Calibri" w:eastAsia="Calibri" w:hAnsi="Calibri" w:cs="Calibri"/>
          <w:sz w:val="24"/>
          <w:szCs w:val="24"/>
        </w:rPr>
        <w:t xml:space="preserve">Corporación </w:t>
      </w:r>
      <w:r>
        <w:rPr>
          <w:rFonts w:ascii="Calibri" w:eastAsia="Calibri" w:hAnsi="Calibri" w:cs="Calibri"/>
          <w:sz w:val="24"/>
          <w:szCs w:val="24"/>
        </w:rPr>
        <w:t>OPCION, gran parte de estos embarazos se originan en contextos de violencia o abuso sexual. El Estado debe velar por sus derechos a la salud sexual y reproductiva de calidad, y garantizar la Educación Sexual Integral, que es una de las estrategias más efectivas de prevención.</w:t>
      </w:r>
    </w:p>
    <w:p w14:paraId="7B043303" w14:textId="77777777" w:rsidR="00BC4AAD" w:rsidRDefault="00997294">
      <w:pPr>
        <w:pBdr>
          <w:top w:val="nil"/>
          <w:left w:val="nil"/>
          <w:bottom w:val="nil"/>
          <w:right w:val="nil"/>
          <w:between w:val="nil"/>
        </w:pBdr>
        <w:spacing w:after="120" w:line="240" w:lineRule="auto"/>
        <w:jc w:val="both"/>
        <w:rPr>
          <w:rFonts w:ascii="Calibri" w:eastAsia="Calibri" w:hAnsi="Calibri" w:cs="Calibri"/>
          <w:b/>
          <w:sz w:val="24"/>
          <w:szCs w:val="24"/>
        </w:rPr>
      </w:pPr>
      <w:r>
        <w:rPr>
          <w:rFonts w:ascii="Calibri" w:eastAsia="Calibri" w:hAnsi="Calibri" w:cs="Calibri"/>
          <w:b/>
          <w:sz w:val="24"/>
          <w:szCs w:val="24"/>
        </w:rPr>
        <w:t xml:space="preserve">Recomendaciones: </w:t>
      </w:r>
    </w:p>
    <w:p w14:paraId="6B25E649" w14:textId="77777777" w:rsidR="00BC4AAD" w:rsidRDefault="00997294">
      <w:pPr>
        <w:numPr>
          <w:ilvl w:val="0"/>
          <w:numId w:val="7"/>
        </w:numPr>
        <w:pBdr>
          <w:top w:val="nil"/>
          <w:left w:val="nil"/>
          <w:bottom w:val="nil"/>
          <w:right w:val="nil"/>
          <w:between w:val="nil"/>
        </w:pBdr>
        <w:spacing w:after="120" w:line="240" w:lineRule="auto"/>
        <w:jc w:val="both"/>
        <w:rPr>
          <w:rFonts w:ascii="Calibri" w:eastAsia="Calibri" w:hAnsi="Calibri" w:cs="Calibri"/>
          <w:sz w:val="24"/>
          <w:szCs w:val="24"/>
        </w:rPr>
      </w:pPr>
      <w:r>
        <w:rPr>
          <w:rFonts w:ascii="Calibri" w:eastAsia="Calibri" w:hAnsi="Calibri" w:cs="Calibri"/>
          <w:sz w:val="24"/>
          <w:szCs w:val="24"/>
        </w:rPr>
        <w:t>Adoptar medidas para la plena implementación de la ley sobre garantías y protección integral de los derechos de la niñez y adolescencia, destinando los recursos presupuestarios necesarios para financiar acciones y estrategias, instalar las oficinas locales de la niñez en todo el territorio nacional, y garantizar los derechos de todos los niños, niñas y adolescentes, con énfasis en quienes se encuentran en el sistema penal juvenil.</w:t>
      </w:r>
    </w:p>
    <w:p w14:paraId="28006373" w14:textId="77777777" w:rsidR="00BC4AAD" w:rsidRDefault="00997294">
      <w:pPr>
        <w:numPr>
          <w:ilvl w:val="0"/>
          <w:numId w:val="7"/>
        </w:numPr>
        <w:pBdr>
          <w:top w:val="nil"/>
          <w:left w:val="nil"/>
          <w:bottom w:val="nil"/>
          <w:right w:val="nil"/>
          <w:between w:val="nil"/>
        </w:pBdr>
        <w:spacing w:after="120" w:line="240" w:lineRule="auto"/>
        <w:jc w:val="both"/>
        <w:rPr>
          <w:rFonts w:ascii="Calibri" w:eastAsia="Calibri" w:hAnsi="Calibri" w:cs="Calibri"/>
          <w:sz w:val="24"/>
          <w:szCs w:val="24"/>
        </w:rPr>
      </w:pPr>
      <w:r>
        <w:rPr>
          <w:rFonts w:ascii="Calibri" w:eastAsia="Calibri" w:hAnsi="Calibri" w:cs="Calibri"/>
          <w:sz w:val="24"/>
          <w:szCs w:val="24"/>
        </w:rPr>
        <w:t>Adoptar medidas concretas y articuladas para sensibilizar a la comunidad en la prevención, detección y erradicación de la explotación sexual comercial infantil (ESNNA), poniendo en marcha, a la brevedad, el IV Marco para la Acción contra la ESNNA.</w:t>
      </w:r>
    </w:p>
    <w:p w14:paraId="31F40008" w14:textId="77777777" w:rsidR="00BC4AAD" w:rsidRDefault="00997294">
      <w:pPr>
        <w:numPr>
          <w:ilvl w:val="0"/>
          <w:numId w:val="7"/>
        </w:numPr>
        <w:pBdr>
          <w:top w:val="nil"/>
          <w:left w:val="nil"/>
          <w:bottom w:val="nil"/>
          <w:right w:val="nil"/>
          <w:between w:val="nil"/>
        </w:pBdr>
        <w:spacing w:after="120" w:line="240" w:lineRule="auto"/>
        <w:jc w:val="both"/>
        <w:rPr>
          <w:rFonts w:ascii="Calibri" w:eastAsia="Calibri" w:hAnsi="Calibri" w:cs="Calibri"/>
          <w:sz w:val="24"/>
          <w:szCs w:val="24"/>
        </w:rPr>
      </w:pPr>
      <w:r>
        <w:rPr>
          <w:rFonts w:ascii="Calibri" w:eastAsia="Calibri" w:hAnsi="Calibri" w:cs="Calibri"/>
          <w:sz w:val="24"/>
          <w:szCs w:val="24"/>
        </w:rPr>
        <w:t>Favorecer la especialización de los operadores del sistema de protección, en particular aquellos que trabajan en sistema residencial, erradicando tanto los prejuicios como las conductas de malos tratos hacia los niños y niñas.</w:t>
      </w:r>
    </w:p>
    <w:p w14:paraId="78B1F0CB" w14:textId="77777777" w:rsidR="00BC4AAD" w:rsidRDefault="00997294">
      <w:pPr>
        <w:numPr>
          <w:ilvl w:val="0"/>
          <w:numId w:val="7"/>
        </w:numPr>
        <w:pBdr>
          <w:top w:val="nil"/>
          <w:left w:val="nil"/>
          <w:bottom w:val="nil"/>
          <w:right w:val="nil"/>
          <w:between w:val="nil"/>
        </w:pBdr>
        <w:spacing w:after="120" w:line="240" w:lineRule="auto"/>
        <w:jc w:val="both"/>
        <w:rPr>
          <w:rFonts w:ascii="Calibri" w:eastAsia="Calibri" w:hAnsi="Calibri" w:cs="Calibri"/>
          <w:sz w:val="24"/>
          <w:szCs w:val="24"/>
        </w:rPr>
      </w:pPr>
      <w:r>
        <w:rPr>
          <w:rFonts w:ascii="Calibri" w:eastAsia="Calibri" w:hAnsi="Calibri" w:cs="Calibri"/>
          <w:sz w:val="24"/>
          <w:szCs w:val="24"/>
        </w:rPr>
        <w:t xml:space="preserve">Favorecer la especialización de organismos policiales y de justicia, orientando procesos de investigación penal eficaces para la erradicación de la ESNNA, especialmente en contextos residenciales. </w:t>
      </w:r>
    </w:p>
    <w:p w14:paraId="5D6F9D4C" w14:textId="77777777" w:rsidR="00BC4AAD" w:rsidRDefault="00997294">
      <w:pPr>
        <w:numPr>
          <w:ilvl w:val="0"/>
          <w:numId w:val="7"/>
        </w:numPr>
        <w:pBdr>
          <w:top w:val="nil"/>
          <w:left w:val="nil"/>
          <w:bottom w:val="nil"/>
          <w:right w:val="nil"/>
          <w:between w:val="nil"/>
        </w:pBdr>
        <w:spacing w:after="120" w:line="240" w:lineRule="auto"/>
        <w:jc w:val="both"/>
        <w:rPr>
          <w:rFonts w:ascii="Calibri" w:eastAsia="Calibri" w:hAnsi="Calibri" w:cs="Calibri"/>
          <w:sz w:val="24"/>
          <w:szCs w:val="24"/>
        </w:rPr>
      </w:pPr>
      <w:r>
        <w:rPr>
          <w:rFonts w:ascii="Calibri" w:eastAsia="Calibri" w:hAnsi="Calibri" w:cs="Calibri"/>
          <w:sz w:val="24"/>
          <w:szCs w:val="24"/>
        </w:rPr>
        <w:lastRenderedPageBreak/>
        <w:t>Asegurar la coordinación intersectorial para la eficacia de los modelos de reinserción de adolescentes que cumplan condenas, incluyendo actividades educativas y de reinserción laboral ajustadas a su realidad.</w:t>
      </w:r>
    </w:p>
    <w:p w14:paraId="1DF248B3" w14:textId="77777777" w:rsidR="00BC4AAD" w:rsidRDefault="00997294">
      <w:pPr>
        <w:numPr>
          <w:ilvl w:val="0"/>
          <w:numId w:val="7"/>
        </w:numPr>
        <w:pBdr>
          <w:top w:val="nil"/>
          <w:left w:val="nil"/>
          <w:bottom w:val="nil"/>
          <w:right w:val="nil"/>
          <w:between w:val="nil"/>
        </w:pBdr>
        <w:spacing w:after="120" w:line="240" w:lineRule="auto"/>
        <w:jc w:val="both"/>
        <w:rPr>
          <w:rFonts w:ascii="Calibri" w:eastAsia="Calibri" w:hAnsi="Calibri" w:cs="Calibri"/>
          <w:sz w:val="24"/>
          <w:szCs w:val="24"/>
        </w:rPr>
      </w:pPr>
      <w:r>
        <w:rPr>
          <w:rFonts w:ascii="Calibri" w:eastAsia="Calibri" w:hAnsi="Calibri" w:cs="Calibri"/>
          <w:sz w:val="24"/>
          <w:szCs w:val="24"/>
        </w:rPr>
        <w:t>Garantizar la seguridad de niños, niñas y adolescentes en los sectores de mayor vulnerabilidad que están siendo afectados por la violencia en los territorios, brindando, asimismo, mejores condiciones para el desarrollo integral.</w:t>
      </w:r>
    </w:p>
    <w:p w14:paraId="72DBB791" w14:textId="77777777" w:rsidR="007A44BE" w:rsidRPr="007A44BE" w:rsidRDefault="007A44BE" w:rsidP="007A44BE">
      <w:pPr>
        <w:numPr>
          <w:ilvl w:val="0"/>
          <w:numId w:val="7"/>
        </w:numPr>
        <w:pBdr>
          <w:top w:val="nil"/>
          <w:left w:val="nil"/>
          <w:bottom w:val="nil"/>
          <w:right w:val="nil"/>
          <w:between w:val="nil"/>
        </w:pBdr>
        <w:spacing w:after="120" w:line="240" w:lineRule="auto"/>
        <w:jc w:val="both"/>
        <w:rPr>
          <w:rFonts w:ascii="Calibri" w:eastAsia="Calibri" w:hAnsi="Calibri" w:cs="Calibri"/>
          <w:sz w:val="24"/>
          <w:szCs w:val="24"/>
        </w:rPr>
      </w:pPr>
      <w:r w:rsidRPr="007A44BE">
        <w:rPr>
          <w:rFonts w:ascii="Calibri" w:eastAsia="Calibri" w:hAnsi="Calibri" w:cs="Calibri"/>
          <w:sz w:val="24"/>
          <w:szCs w:val="24"/>
        </w:rPr>
        <w:t>Eliminar en la ley N° 21.302 lo referido a la oferta programática para niños y niñas inimputables que hayan incurrido en conductas delictuales.</w:t>
      </w:r>
    </w:p>
    <w:p w14:paraId="721E2CE2" w14:textId="77777777" w:rsidR="00BC4AAD" w:rsidRDefault="00BC4AAD">
      <w:pPr>
        <w:keepNext/>
        <w:keepLines/>
        <w:pBdr>
          <w:top w:val="nil"/>
          <w:left w:val="nil"/>
          <w:bottom w:val="nil"/>
          <w:right w:val="nil"/>
          <w:between w:val="nil"/>
        </w:pBdr>
        <w:tabs>
          <w:tab w:val="right" w:pos="851"/>
        </w:tabs>
        <w:spacing w:after="120" w:line="240" w:lineRule="auto"/>
        <w:ind w:left="1134" w:right="1134" w:hanging="1134"/>
        <w:rPr>
          <w:rFonts w:ascii="Calibri" w:eastAsia="Calibri" w:hAnsi="Calibri" w:cs="Calibri"/>
          <w:sz w:val="24"/>
          <w:szCs w:val="24"/>
        </w:rPr>
      </w:pPr>
    </w:p>
    <w:p w14:paraId="0AACDA02" w14:textId="77777777" w:rsidR="00BC4AAD" w:rsidRDefault="00997294">
      <w:pPr>
        <w:keepNext/>
        <w:keepLines/>
        <w:pBdr>
          <w:top w:val="nil"/>
          <w:left w:val="nil"/>
          <w:bottom w:val="nil"/>
          <w:right w:val="nil"/>
          <w:between w:val="nil"/>
        </w:pBdr>
        <w:tabs>
          <w:tab w:val="right" w:pos="851"/>
        </w:tabs>
        <w:spacing w:after="120" w:line="240" w:lineRule="auto"/>
        <w:ind w:left="1134" w:right="1134" w:hanging="1134"/>
        <w:rPr>
          <w:rFonts w:ascii="Calibri" w:eastAsia="Calibri" w:hAnsi="Calibri" w:cs="Calibri"/>
          <w:b/>
          <w:sz w:val="24"/>
          <w:szCs w:val="24"/>
        </w:rPr>
      </w:pPr>
      <w:r>
        <w:rPr>
          <w:rFonts w:ascii="Calibri" w:eastAsia="Calibri" w:hAnsi="Calibri" w:cs="Calibri"/>
          <w:sz w:val="24"/>
          <w:szCs w:val="24"/>
        </w:rPr>
        <w:tab/>
      </w:r>
      <w:r>
        <w:rPr>
          <w:rFonts w:ascii="Calibri" w:eastAsia="Calibri" w:hAnsi="Calibri" w:cs="Calibri"/>
          <w:b/>
          <w:sz w:val="24"/>
          <w:szCs w:val="24"/>
        </w:rPr>
        <w:t>Artículo 27. Derechos de los pueblos indígenas</w:t>
      </w:r>
    </w:p>
    <w:p w14:paraId="2434349A" w14:textId="77777777" w:rsidR="00BC4AAD" w:rsidRDefault="0099729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120" w:line="240" w:lineRule="auto"/>
        <w:jc w:val="both"/>
        <w:rPr>
          <w:rFonts w:ascii="Calibri" w:eastAsia="Calibri" w:hAnsi="Calibri" w:cs="Calibri"/>
          <w:sz w:val="24"/>
          <w:szCs w:val="24"/>
        </w:rPr>
      </w:pPr>
      <w:r>
        <w:rPr>
          <w:rFonts w:ascii="Calibri" w:eastAsia="Calibri" w:hAnsi="Calibri" w:cs="Calibri"/>
          <w:sz w:val="24"/>
          <w:szCs w:val="24"/>
        </w:rPr>
        <w:t>En virtud del artículo 4 del Pacto, los Estados pueden suspender de manera limitada algunas de sus obligaciones de derechos humanos, en circunstancias excepcionales que pongan en peligro la vida de la nación, con carácter restringido, temporal y proporcionado a la situación de emergencia</w:t>
      </w:r>
      <w:r>
        <w:rPr>
          <w:rFonts w:ascii="Calibri" w:eastAsia="Calibri" w:hAnsi="Calibri" w:cs="Calibri"/>
          <w:sz w:val="24"/>
          <w:szCs w:val="24"/>
          <w:vertAlign w:val="superscript"/>
        </w:rPr>
        <w:footnoteReference w:id="74"/>
      </w:r>
      <w:r>
        <w:rPr>
          <w:rFonts w:ascii="Calibri" w:eastAsia="Calibri" w:hAnsi="Calibri" w:cs="Calibri"/>
          <w:sz w:val="24"/>
          <w:szCs w:val="24"/>
        </w:rPr>
        <w:t>. En Chile desde mayo del año 2022 se ha declarado estado de excepción constitucional en la Región de La Araucanía, y las provincias de Arauco y del Biobío en la Región del Biobío. Durante este periodo, la CODDHHJDC</w:t>
      </w:r>
      <w:r>
        <w:rPr>
          <w:rFonts w:ascii="Calibri" w:eastAsia="Calibri" w:hAnsi="Calibri" w:cs="Calibri"/>
          <w:sz w:val="24"/>
          <w:szCs w:val="24"/>
          <w:vertAlign w:val="superscript"/>
        </w:rPr>
        <w:footnoteReference w:id="75"/>
      </w:r>
      <w:r>
        <w:rPr>
          <w:rFonts w:ascii="Calibri" w:eastAsia="Calibri" w:hAnsi="Calibri" w:cs="Calibri"/>
          <w:sz w:val="24"/>
          <w:szCs w:val="24"/>
        </w:rPr>
        <w:t xml:space="preserve"> ha recibido reportes de personas de comunidades mapuche constatando la práctica de ejercicios militares injustificados en comunidades mapuche, con presencia de decenas de vehículos de guerra, helicópteros sobrevolando las comunidades a baja altura, cortes de las rutas de salida de las comunidades que impiden la movilidad, y descenso de helicóptero en zona escolar. </w:t>
      </w:r>
    </w:p>
    <w:p w14:paraId="01D2C26E" w14:textId="77777777" w:rsidR="00BC4AAD" w:rsidRDefault="0099729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120" w:line="240" w:lineRule="auto"/>
        <w:jc w:val="both"/>
        <w:rPr>
          <w:rFonts w:ascii="Calibri" w:eastAsia="Calibri" w:hAnsi="Calibri" w:cs="Calibri"/>
          <w:b/>
          <w:sz w:val="24"/>
          <w:szCs w:val="24"/>
        </w:rPr>
      </w:pPr>
      <w:r>
        <w:rPr>
          <w:rFonts w:ascii="Calibri" w:eastAsia="Calibri" w:hAnsi="Calibri" w:cs="Calibri"/>
          <w:b/>
          <w:sz w:val="24"/>
          <w:szCs w:val="24"/>
        </w:rPr>
        <w:t>Recomendaciones</w:t>
      </w:r>
    </w:p>
    <w:p w14:paraId="0D799835" w14:textId="77777777" w:rsidR="00BC4AAD" w:rsidRDefault="00997294">
      <w:pPr>
        <w:numPr>
          <w:ilvl w:val="0"/>
          <w:numId w:val="7"/>
        </w:numPr>
        <w:pBdr>
          <w:top w:val="nil"/>
          <w:left w:val="nil"/>
          <w:bottom w:val="nil"/>
          <w:right w:val="nil"/>
          <w:between w:val="nil"/>
        </w:pBdr>
        <w:spacing w:after="120" w:line="240" w:lineRule="auto"/>
        <w:jc w:val="both"/>
        <w:rPr>
          <w:rFonts w:ascii="Calibri" w:eastAsia="Calibri" w:hAnsi="Calibri" w:cs="Calibri"/>
          <w:sz w:val="24"/>
          <w:szCs w:val="24"/>
        </w:rPr>
      </w:pPr>
      <w:r>
        <w:rPr>
          <w:rFonts w:ascii="Calibri" w:eastAsia="Calibri" w:hAnsi="Calibri" w:cs="Calibri"/>
          <w:sz w:val="24"/>
          <w:szCs w:val="24"/>
        </w:rPr>
        <w:t>Evaluar el impacto de la mantención del estado de excepción constitucional en la macro zona sur de Chile y adoptar medidas para garantizar el respeto a los derechos humanos, en particular de personas y comunidades indígenas.</w:t>
      </w:r>
    </w:p>
    <w:p w14:paraId="0CD0DD1C" w14:textId="77777777" w:rsidR="00BC4AAD" w:rsidRDefault="00997294">
      <w:pPr>
        <w:numPr>
          <w:ilvl w:val="0"/>
          <w:numId w:val="7"/>
        </w:numPr>
        <w:pBdr>
          <w:top w:val="nil"/>
          <w:left w:val="nil"/>
          <w:bottom w:val="nil"/>
          <w:right w:val="nil"/>
          <w:between w:val="nil"/>
        </w:pBdr>
        <w:spacing w:after="120" w:line="240" w:lineRule="auto"/>
        <w:jc w:val="both"/>
        <w:rPr>
          <w:rFonts w:ascii="Calibri" w:eastAsia="Calibri" w:hAnsi="Calibri" w:cs="Calibri"/>
          <w:sz w:val="24"/>
          <w:szCs w:val="24"/>
        </w:rPr>
      </w:pPr>
      <w:r>
        <w:rPr>
          <w:rFonts w:ascii="Calibri" w:eastAsia="Calibri" w:hAnsi="Calibri" w:cs="Calibri"/>
          <w:sz w:val="24"/>
          <w:szCs w:val="24"/>
        </w:rPr>
        <w:t>Adoptar medidas para garantizar la adecuación de las actuaciones de las Fuerzas Armadas y de Orden y Seguridad a los estándares internacionales de derechos humanos.</w:t>
      </w:r>
    </w:p>
    <w:p w14:paraId="43BF39F6" w14:textId="77777777" w:rsidR="00BC4AAD" w:rsidRDefault="00BC4AAD">
      <w:pPr>
        <w:pBdr>
          <w:top w:val="nil"/>
          <w:left w:val="nil"/>
          <w:bottom w:val="nil"/>
          <w:right w:val="nil"/>
          <w:between w:val="nil"/>
        </w:pBdr>
        <w:spacing w:after="120" w:line="240" w:lineRule="auto"/>
        <w:ind w:left="720"/>
        <w:jc w:val="both"/>
        <w:rPr>
          <w:rFonts w:ascii="Calibri" w:eastAsia="Calibri" w:hAnsi="Calibri" w:cs="Calibri"/>
          <w:sz w:val="24"/>
          <w:szCs w:val="24"/>
        </w:rPr>
      </w:pPr>
    </w:p>
    <w:sectPr w:rsidR="00BC4AAD">
      <w:headerReference w:type="even" r:id="rId11"/>
      <w:headerReference w:type="default" r:id="rId12"/>
      <w:footerReference w:type="even" r:id="rId13"/>
      <w:footerReference w:type="default" r:id="rId14"/>
      <w:pgSz w:w="12240" w:h="15840"/>
      <w:pgMar w:top="1417" w:right="1701" w:bottom="1417" w:left="1701" w:header="850" w:footer="567"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9D73097" w14:textId="77777777" w:rsidR="005526FE" w:rsidRDefault="005526FE">
      <w:pPr>
        <w:spacing w:line="240" w:lineRule="auto"/>
      </w:pPr>
      <w:r>
        <w:separator/>
      </w:r>
    </w:p>
  </w:endnote>
  <w:endnote w:type="continuationSeparator" w:id="0">
    <w:p w14:paraId="3F5B5093" w14:textId="77777777" w:rsidR="005526FE" w:rsidRDefault="005526F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Noto Sans Symbols">
    <w:altName w:val="Times New Roman"/>
    <w:charset w:val="00"/>
    <w:family w:val="auto"/>
    <w:pitch w:val="default"/>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FA1AD9" w14:textId="77777777" w:rsidR="00BC4AAD" w:rsidRDefault="00997294">
    <w:pPr>
      <w:pBdr>
        <w:top w:val="nil"/>
        <w:left w:val="nil"/>
        <w:bottom w:val="nil"/>
        <w:right w:val="nil"/>
        <w:between w:val="nil"/>
      </w:pBdr>
      <w:tabs>
        <w:tab w:val="right" w:pos="9638"/>
      </w:tabs>
      <w:spacing w:line="240" w:lineRule="auto"/>
      <w:rPr>
        <w:color w:val="000000"/>
        <w:sz w:val="16"/>
        <w:szCs w:val="16"/>
      </w:rPr>
    </w:pPr>
    <w:r>
      <w:rPr>
        <w:b/>
        <w:color w:val="000000"/>
        <w:sz w:val="18"/>
        <w:szCs w:val="18"/>
      </w:rPr>
      <w:fldChar w:fldCharType="begin"/>
    </w:r>
    <w:r>
      <w:rPr>
        <w:b/>
        <w:color w:val="000000"/>
        <w:sz w:val="18"/>
        <w:szCs w:val="18"/>
      </w:rPr>
      <w:instrText>PAGE</w:instrText>
    </w:r>
    <w:r>
      <w:rPr>
        <w:b/>
        <w:color w:val="000000"/>
        <w:sz w:val="18"/>
        <w:szCs w:val="18"/>
      </w:rPr>
      <w:fldChar w:fldCharType="end"/>
    </w:r>
    <w:r>
      <w:rPr>
        <w:b/>
        <w:color w:val="000000"/>
        <w:sz w:val="18"/>
        <w:szCs w:val="18"/>
      </w:rP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EA21E4" w14:textId="59276AB2" w:rsidR="00BC4AAD" w:rsidRDefault="00997294">
    <w:pPr>
      <w:pBdr>
        <w:top w:val="nil"/>
        <w:left w:val="nil"/>
        <w:bottom w:val="nil"/>
        <w:right w:val="nil"/>
        <w:between w:val="nil"/>
      </w:pBdr>
      <w:tabs>
        <w:tab w:val="right" w:pos="9638"/>
      </w:tabs>
      <w:spacing w:line="240" w:lineRule="auto"/>
      <w:rPr>
        <w:b/>
        <w:color w:val="000000"/>
        <w:sz w:val="18"/>
        <w:szCs w:val="18"/>
      </w:rPr>
    </w:pPr>
    <w:r>
      <w:rPr>
        <w:color w:val="000000"/>
        <w:sz w:val="16"/>
        <w:szCs w:val="16"/>
      </w:rPr>
      <w:tab/>
    </w:r>
    <w:r>
      <w:rPr>
        <w:b/>
        <w:color w:val="000000"/>
        <w:sz w:val="18"/>
        <w:szCs w:val="18"/>
      </w:rPr>
      <w:fldChar w:fldCharType="begin"/>
    </w:r>
    <w:r>
      <w:rPr>
        <w:b/>
        <w:color w:val="000000"/>
        <w:sz w:val="18"/>
        <w:szCs w:val="18"/>
      </w:rPr>
      <w:instrText>PAGE</w:instrText>
    </w:r>
    <w:r>
      <w:rPr>
        <w:b/>
        <w:color w:val="000000"/>
        <w:sz w:val="18"/>
        <w:szCs w:val="18"/>
      </w:rPr>
      <w:fldChar w:fldCharType="separate"/>
    </w:r>
    <w:r w:rsidR="000A0FD8">
      <w:rPr>
        <w:b/>
        <w:noProof/>
        <w:color w:val="000000"/>
        <w:sz w:val="18"/>
        <w:szCs w:val="18"/>
      </w:rPr>
      <w:t>2</w:t>
    </w:r>
    <w:r>
      <w:rPr>
        <w:b/>
        <w:color w:val="000000"/>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6D328D5" w14:textId="77777777" w:rsidR="005526FE" w:rsidRDefault="005526FE">
      <w:pPr>
        <w:spacing w:line="240" w:lineRule="auto"/>
      </w:pPr>
      <w:r>
        <w:separator/>
      </w:r>
    </w:p>
  </w:footnote>
  <w:footnote w:type="continuationSeparator" w:id="0">
    <w:p w14:paraId="40FB9ECF" w14:textId="77777777" w:rsidR="005526FE" w:rsidRDefault="005526FE">
      <w:pPr>
        <w:spacing w:line="240" w:lineRule="auto"/>
      </w:pPr>
      <w:r>
        <w:continuationSeparator/>
      </w:r>
    </w:p>
  </w:footnote>
  <w:footnote w:id="1">
    <w:p w14:paraId="6D9074C3" w14:textId="77777777" w:rsidR="00BC4AAD" w:rsidRDefault="0099729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both"/>
        <w:rPr>
          <w:rFonts w:ascii="Calibri" w:eastAsia="Calibri" w:hAnsi="Calibri" w:cs="Calibri"/>
        </w:rPr>
      </w:pPr>
      <w:r>
        <w:rPr>
          <w:vertAlign w:val="superscript"/>
        </w:rPr>
        <w:footnoteRef/>
      </w:r>
      <w:r>
        <w:rPr>
          <w:rFonts w:ascii="Calibri" w:eastAsia="Calibri" w:hAnsi="Calibri" w:cs="Calibri"/>
        </w:rPr>
        <w:t xml:space="preserve"> Marchas, protestas, actividades culturales, cabildos, entre otras.</w:t>
      </w:r>
    </w:p>
  </w:footnote>
  <w:footnote w:id="2">
    <w:p w14:paraId="59DC51BA" w14:textId="77777777" w:rsidR="00BC4AAD" w:rsidRDefault="0099729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both"/>
        <w:rPr>
          <w:rFonts w:ascii="Calibri" w:eastAsia="Calibri" w:hAnsi="Calibri" w:cs="Calibri"/>
        </w:rPr>
      </w:pPr>
      <w:r>
        <w:rPr>
          <w:vertAlign w:val="superscript"/>
        </w:rPr>
        <w:footnoteRef/>
      </w:r>
      <w:r>
        <w:rPr>
          <w:rFonts w:ascii="Calibri" w:eastAsia="Calibri" w:hAnsi="Calibri" w:cs="Calibri"/>
        </w:rPr>
        <w:t xml:space="preserve"> El Instituto Nacional de Derechos Humanos (INDH), la Comisión Interamericana de Derechos Humanos (CIDH) y la Oficina del Alto Comisionado para los Derechos Humanos de Naciones Unidas (ACNUDH), entre otros.</w:t>
      </w:r>
    </w:p>
  </w:footnote>
  <w:footnote w:id="3">
    <w:p w14:paraId="74383431" w14:textId="77777777" w:rsidR="00BD6689" w:rsidRPr="00BD6689" w:rsidRDefault="00BD6689" w:rsidP="00BD66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both"/>
        <w:rPr>
          <w:rFonts w:asciiTheme="minorHAnsi" w:eastAsia="Calibri" w:hAnsiTheme="minorHAnsi" w:cstheme="minorHAnsi"/>
        </w:rPr>
      </w:pPr>
      <w:r w:rsidRPr="00E0138B">
        <w:rPr>
          <w:rFonts w:asciiTheme="minorHAnsi" w:hAnsiTheme="minorHAnsi" w:cstheme="minorHAnsi"/>
          <w:vertAlign w:val="superscript"/>
        </w:rPr>
        <w:footnoteRef/>
      </w:r>
      <w:r w:rsidRPr="00E0138B">
        <w:rPr>
          <w:rFonts w:asciiTheme="minorHAnsi" w:eastAsia="Calibri" w:hAnsiTheme="minorHAnsi" w:cstheme="minorHAnsi"/>
        </w:rPr>
        <w:t xml:space="preserve"> Los datos corresponden al período de tiempo comprendido entre el día 18 de octubre de 2019 y 31 de marzo de 2020, en el contexto de manifestaciones sociales y/o resguardo del orden público, informados en el oficio OFICIO FN Nº 997/2022, de fecha 8 de noviembre de 2022, firmado por el Fiscal Nacional (S) del Ministerio </w:t>
      </w:r>
      <w:r w:rsidRPr="00BD6689">
        <w:rPr>
          <w:rFonts w:asciiTheme="minorHAnsi" w:eastAsia="Calibri" w:hAnsiTheme="minorHAnsi" w:cstheme="minorHAnsi"/>
        </w:rPr>
        <w:t>Público.</w:t>
      </w:r>
    </w:p>
  </w:footnote>
  <w:footnote w:id="4">
    <w:p w14:paraId="2B374406" w14:textId="77777777" w:rsidR="00BD6689" w:rsidRPr="00BD6689" w:rsidRDefault="00BD6689" w:rsidP="00BD6689">
      <w:pPr>
        <w:pStyle w:val="Textonotapie"/>
        <w:tabs>
          <w:tab w:val="clear" w:pos="1021"/>
          <w:tab w:val="right" w:pos="0"/>
        </w:tabs>
        <w:ind w:left="0" w:right="0" w:firstLine="0"/>
        <w:jc w:val="both"/>
        <w:rPr>
          <w:rFonts w:asciiTheme="minorHAnsi" w:hAnsiTheme="minorHAnsi" w:cstheme="minorHAnsi"/>
          <w:sz w:val="20"/>
        </w:rPr>
      </w:pPr>
      <w:r w:rsidRPr="00BD6689">
        <w:rPr>
          <w:rStyle w:val="Refdenotaalpie"/>
          <w:rFonts w:asciiTheme="minorHAnsi" w:hAnsiTheme="minorHAnsi" w:cstheme="minorHAnsi"/>
          <w:sz w:val="20"/>
        </w:rPr>
        <w:footnoteRef/>
      </w:r>
      <w:r w:rsidRPr="00BD6689">
        <w:rPr>
          <w:rFonts w:asciiTheme="minorHAnsi" w:hAnsiTheme="minorHAnsi" w:cstheme="minorHAnsi"/>
          <w:sz w:val="20"/>
        </w:rPr>
        <w:t xml:space="preserve"> Defensoría de la Niñez (2022). Informe de seguimiento verdad, justicia y reparación de derechos humanos de niños, niñas y adolescentes víctimas de violencia estatal durante el estallido social.</w:t>
      </w:r>
      <w:r w:rsidRPr="00BD6689">
        <w:rPr>
          <w:rFonts w:asciiTheme="minorHAnsi" w:hAnsiTheme="minorHAnsi" w:cstheme="minorHAnsi"/>
          <w:sz w:val="20"/>
        </w:rPr>
        <w:cr/>
      </w:r>
    </w:p>
  </w:footnote>
  <w:footnote w:id="5">
    <w:p w14:paraId="0239565A" w14:textId="77777777" w:rsidR="00BC4AAD" w:rsidRDefault="00997294">
      <w:r>
        <w:rPr>
          <w:vertAlign w:val="superscript"/>
        </w:rPr>
        <w:footnoteRef/>
      </w:r>
      <w:r>
        <w:rPr>
          <w:rFonts w:ascii="Calibri" w:eastAsia="Calibri" w:hAnsi="Calibri" w:cs="Calibri"/>
        </w:rPr>
        <w:t xml:space="preserve"> Boletín Legislativo N° 16.210-25, ingresado a tramitación por mensaje de S.E. el Presidente de la República el 25 de agosto de 2023, refundido para su tramitación con los Boletines Nº 16.239-25, 16.180-25, 16.235-25, 16210-25, 16.224-25.</w:t>
      </w:r>
    </w:p>
  </w:footnote>
  <w:footnote w:id="6">
    <w:p w14:paraId="6CB268B3" w14:textId="77777777" w:rsidR="00BC4AAD" w:rsidRDefault="00997294">
      <w:pPr>
        <w:rPr>
          <w:rFonts w:ascii="Calibri" w:eastAsia="Calibri" w:hAnsi="Calibri" w:cs="Calibri"/>
        </w:rPr>
      </w:pPr>
      <w:r>
        <w:rPr>
          <w:vertAlign w:val="superscript"/>
        </w:rPr>
        <w:footnoteRef/>
      </w:r>
      <w:r>
        <w:rPr>
          <w:rFonts w:ascii="Calibri" w:eastAsia="Calibri" w:hAnsi="Calibri" w:cs="Calibri"/>
        </w:rPr>
        <w:t xml:space="preserve"> “[...] que tuviere entre sus fines socavar o desestabilizar las estructuras políticas, sociales o económicas del Estado; inhabilitar o afectar gravemente la infraestructura crítica a que se refiere el artículo 32, número 21°, de la Constitución Política de la República, cuando su inhabilitación pueda producir pérdida de vidas o daños a la integridad física o salud de la población; imponer o inhibir alguna decisión a una autoridad del Estado; o bien cuando por los métodos previstos para su perpetración o efectivamente utilizados, esos delitos tuvieren la aptitud para someter o desmoralizar a la población civil o a una parte de ella [...]”.</w:t>
      </w:r>
    </w:p>
  </w:footnote>
  <w:footnote w:id="7">
    <w:p w14:paraId="1367891A" w14:textId="77777777" w:rsidR="00BC4AAD" w:rsidRDefault="00997294">
      <w:pPr>
        <w:jc w:val="both"/>
      </w:pPr>
      <w:r>
        <w:rPr>
          <w:vertAlign w:val="superscript"/>
        </w:rPr>
        <w:footnoteRef/>
      </w:r>
      <w:r>
        <w:t xml:space="preserve"> </w:t>
      </w:r>
      <w:r>
        <w:rPr>
          <w:rFonts w:ascii="Calibri" w:eastAsia="Calibri" w:hAnsi="Calibri" w:cs="Calibri"/>
        </w:rPr>
        <w:t>Consejo de Derechos Humanos (2019), Examen Periódico Universal, Informe del Grupo de Trabajo sobre el Examen Periódico Universal, Chile, 41° período de sesiones, 2 de abril de 2019, U.N.Doc. A/HRC/41/6, párr. 71.</w:t>
      </w:r>
    </w:p>
  </w:footnote>
  <w:footnote w:id="8">
    <w:p w14:paraId="06036E69" w14:textId="77777777" w:rsidR="00BC4AAD" w:rsidRDefault="00997294">
      <w:pPr>
        <w:pBdr>
          <w:top w:val="nil"/>
          <w:left w:val="nil"/>
          <w:bottom w:val="nil"/>
          <w:right w:val="nil"/>
          <w:between w:val="nil"/>
        </w:pBdr>
        <w:jc w:val="both"/>
        <w:rPr>
          <w:rFonts w:ascii="Calibri" w:eastAsia="Calibri" w:hAnsi="Calibri" w:cs="Calibri"/>
        </w:rPr>
      </w:pPr>
      <w:r>
        <w:rPr>
          <w:vertAlign w:val="superscript"/>
        </w:rPr>
        <w:footnoteRef/>
      </w:r>
      <w:r>
        <w:rPr>
          <w:rFonts w:ascii="Calibri" w:eastAsia="Calibri" w:hAnsi="Calibri" w:cs="Calibri"/>
        </w:rPr>
        <w:t xml:space="preserve"> </w:t>
      </w:r>
      <w:r>
        <w:rPr>
          <w:rFonts w:ascii="Calibri" w:eastAsia="Calibri" w:hAnsi="Calibri" w:cs="Calibri"/>
          <w:color w:val="000000"/>
        </w:rPr>
        <w:t>Con infradenuncia nos referimos a todas aquellas situaciones en las que las víctimas o testigos de un crimen de odio no denuncian el delito a las autoridades competentes.</w:t>
      </w:r>
    </w:p>
  </w:footnote>
  <w:footnote w:id="9">
    <w:p w14:paraId="4CAF5BF4" w14:textId="77777777" w:rsidR="00BC4AAD" w:rsidRDefault="00997294">
      <w:pPr>
        <w:pBdr>
          <w:top w:val="nil"/>
          <w:left w:val="nil"/>
          <w:bottom w:val="nil"/>
          <w:right w:val="nil"/>
          <w:between w:val="nil"/>
        </w:pBdr>
        <w:jc w:val="both"/>
        <w:rPr>
          <w:rFonts w:ascii="Calibri" w:eastAsia="Calibri" w:hAnsi="Calibri" w:cs="Calibri"/>
        </w:rPr>
      </w:pPr>
      <w:r>
        <w:rPr>
          <w:vertAlign w:val="superscript"/>
        </w:rPr>
        <w:footnoteRef/>
      </w:r>
      <w:r>
        <w:rPr>
          <w:rFonts w:ascii="Calibri" w:eastAsia="Calibri" w:hAnsi="Calibri" w:cs="Calibri"/>
        </w:rPr>
        <w:t xml:space="preserve"> Refiere a a</w:t>
      </w:r>
      <w:r>
        <w:rPr>
          <w:rFonts w:ascii="Calibri" w:eastAsia="Calibri" w:hAnsi="Calibri" w:cs="Calibri"/>
          <w:color w:val="000000"/>
        </w:rPr>
        <w:t>quellos casos en los que, habiéndose realizado una denuncia por parte de la víctima, los organismos encargados de hacer cumplir la ley no dejan constancia de la motivación de odio o clasifican incorrectamente esos casos como otros delitos, impidiendo, por lo tanto, que dichos motivos sean considerados en el proceso penal.</w:t>
      </w:r>
    </w:p>
  </w:footnote>
  <w:footnote w:id="10">
    <w:p w14:paraId="7E67871D" w14:textId="77777777" w:rsidR="00BC4AAD" w:rsidRDefault="00997294">
      <w:pPr>
        <w:pBdr>
          <w:top w:val="nil"/>
          <w:left w:val="nil"/>
          <w:bottom w:val="nil"/>
          <w:right w:val="nil"/>
          <w:between w:val="nil"/>
        </w:pBdr>
        <w:jc w:val="both"/>
        <w:rPr>
          <w:rFonts w:ascii="Calibri" w:eastAsia="Calibri" w:hAnsi="Calibri" w:cs="Calibri"/>
        </w:rPr>
      </w:pPr>
      <w:r>
        <w:rPr>
          <w:vertAlign w:val="superscript"/>
        </w:rPr>
        <w:footnoteRef/>
      </w:r>
      <w:r>
        <w:rPr>
          <w:rFonts w:ascii="Calibri" w:eastAsia="Calibri" w:hAnsi="Calibri" w:cs="Calibri"/>
        </w:rPr>
        <w:t xml:space="preserve"> Subsecretaría de Prevención del Delito, Ministerio del Interior y Seguridad Pública (2020) Estudio Exploratorio de Discriminación y Violencia hacia personas LGBTIQ+. Presentación disponible en </w:t>
      </w:r>
      <w:hyperlink r:id="rId1">
        <w:r>
          <w:rPr>
            <w:rFonts w:ascii="Calibri" w:eastAsia="Calibri" w:hAnsi="Calibri" w:cs="Calibri"/>
            <w:color w:val="0000FF"/>
          </w:rPr>
          <w:t>https://cead.spd.gov.cl/wp-content/uploads/file-manager/Presentaci%C3%B3n%20de%20Resultados%20Estudio%20exploratorio%20sobre%20discriminaci%C3%B3n%20y%20violencia%20hacia%20personas%20LGBTI+.pdf</w:t>
        </w:r>
      </w:hyperlink>
      <w:r>
        <w:rPr>
          <w:rFonts w:ascii="Calibri" w:eastAsia="Calibri" w:hAnsi="Calibri" w:cs="Calibri"/>
        </w:rPr>
        <w:t xml:space="preserve"> (visitado en enero de 2024).</w:t>
      </w:r>
    </w:p>
  </w:footnote>
  <w:footnote w:id="11">
    <w:p w14:paraId="64B75DD1" w14:textId="77777777" w:rsidR="00BC4AAD" w:rsidRDefault="00997294">
      <w:pPr>
        <w:pBdr>
          <w:top w:val="nil"/>
          <w:left w:val="nil"/>
          <w:bottom w:val="nil"/>
          <w:right w:val="nil"/>
          <w:between w:val="nil"/>
        </w:pBdr>
        <w:jc w:val="both"/>
        <w:rPr>
          <w:rFonts w:ascii="Calibri" w:eastAsia="Calibri" w:hAnsi="Calibri" w:cs="Calibri"/>
        </w:rPr>
      </w:pPr>
      <w:r>
        <w:rPr>
          <w:vertAlign w:val="superscript"/>
        </w:rPr>
        <w:footnoteRef/>
      </w:r>
      <w:r>
        <w:rPr>
          <w:rFonts w:ascii="Calibri" w:eastAsia="Calibri" w:hAnsi="Calibri" w:cs="Calibri"/>
        </w:rPr>
        <w:t xml:space="preserve"> Fundación Iguales. (2021). Estudio No más leyes con nombre, Informe de resultados descriptivos. Santiago de Chile. Disponible en </w:t>
      </w:r>
      <w:hyperlink r:id="rId2">
        <w:r>
          <w:rPr>
            <w:rFonts w:ascii="Calibri" w:eastAsia="Calibri" w:hAnsi="Calibri" w:cs="Calibri"/>
            <w:color w:val="0000FF"/>
          </w:rPr>
          <w:t>https://iguales.cl/archivos/investigacion/Resultados-encuesta-no-mas-leyes-con-nombre.pdf</w:t>
        </w:r>
      </w:hyperlink>
      <w:r>
        <w:rPr>
          <w:rFonts w:ascii="Calibri" w:eastAsia="Calibri" w:hAnsi="Calibri" w:cs="Calibri"/>
        </w:rPr>
        <w:t xml:space="preserve"> (visitado en enero de 2024).</w:t>
      </w:r>
    </w:p>
  </w:footnote>
  <w:footnote w:id="12">
    <w:p w14:paraId="6997058C" w14:textId="77777777" w:rsidR="00BC4AAD" w:rsidRDefault="00997294">
      <w:pPr>
        <w:pBdr>
          <w:top w:val="nil"/>
          <w:left w:val="nil"/>
          <w:bottom w:val="nil"/>
          <w:right w:val="nil"/>
          <w:between w:val="nil"/>
        </w:pBdr>
        <w:jc w:val="both"/>
        <w:rPr>
          <w:rFonts w:ascii="Calibri" w:eastAsia="Calibri" w:hAnsi="Calibri" w:cs="Calibri"/>
          <w:color w:val="000000"/>
        </w:rPr>
      </w:pPr>
      <w:r>
        <w:rPr>
          <w:vertAlign w:val="superscript"/>
        </w:rPr>
        <w:footnoteRef/>
      </w:r>
      <w:r>
        <w:rPr>
          <w:rFonts w:ascii="Calibri" w:eastAsia="Calibri" w:hAnsi="Calibri" w:cs="Calibri"/>
          <w:color w:val="000000"/>
        </w:rPr>
        <w:t xml:space="preserve"> Fundación Iguales, 2021, op.</w:t>
      </w:r>
      <w:r w:rsidR="00696C2A">
        <w:rPr>
          <w:rFonts w:ascii="Calibri" w:eastAsia="Calibri" w:hAnsi="Calibri" w:cs="Calibri"/>
          <w:color w:val="000000"/>
        </w:rPr>
        <w:t xml:space="preserve"> </w:t>
      </w:r>
      <w:r>
        <w:rPr>
          <w:rFonts w:ascii="Calibri" w:eastAsia="Calibri" w:hAnsi="Calibri" w:cs="Calibri"/>
          <w:color w:val="000000"/>
        </w:rPr>
        <w:t>cit.; Subsecretaría de Prevención del Delito, 202</w:t>
      </w:r>
      <w:r w:rsidR="008D7500">
        <w:rPr>
          <w:rFonts w:ascii="Calibri" w:eastAsia="Calibri" w:hAnsi="Calibri" w:cs="Calibri"/>
          <w:color w:val="000000"/>
        </w:rPr>
        <w:t>0</w:t>
      </w:r>
      <w:r>
        <w:rPr>
          <w:rFonts w:ascii="Calibri" w:eastAsia="Calibri" w:hAnsi="Calibri" w:cs="Calibri"/>
          <w:color w:val="000000"/>
        </w:rPr>
        <w:t>, op. cit.</w:t>
      </w:r>
    </w:p>
  </w:footnote>
  <w:footnote w:id="13">
    <w:p w14:paraId="61BCB7E7" w14:textId="77777777" w:rsidR="00BC4AAD" w:rsidRDefault="00997294">
      <w:pPr>
        <w:pBdr>
          <w:top w:val="nil"/>
          <w:left w:val="nil"/>
          <w:bottom w:val="nil"/>
          <w:right w:val="nil"/>
          <w:between w:val="nil"/>
        </w:pBdr>
        <w:jc w:val="both"/>
        <w:rPr>
          <w:rFonts w:ascii="Calibri" w:eastAsia="Calibri" w:hAnsi="Calibri" w:cs="Calibri"/>
          <w:color w:val="000000"/>
        </w:rPr>
      </w:pPr>
      <w:r>
        <w:rPr>
          <w:vertAlign w:val="superscript"/>
        </w:rPr>
        <w:footnoteRef/>
      </w:r>
      <w:r>
        <w:rPr>
          <w:rFonts w:ascii="Calibri" w:eastAsia="Calibri" w:hAnsi="Calibri" w:cs="Calibri"/>
          <w:color w:val="000000"/>
        </w:rPr>
        <w:t xml:space="preserve"> </w:t>
      </w:r>
      <w:hyperlink r:id="rId3" w:history="1">
        <w:r w:rsidR="008D7500" w:rsidRPr="0002275D">
          <w:rPr>
            <w:rStyle w:val="Hipervnculo"/>
            <w:rFonts w:ascii="Calibri" w:eastAsia="Calibri" w:hAnsi="Calibri" w:cs="Calibri"/>
          </w:rPr>
          <w:t>https://cead.spd.gov.cl/estudios-y-encuestas/</w:t>
        </w:r>
      </w:hyperlink>
      <w:r w:rsidR="008D7500">
        <w:rPr>
          <w:rFonts w:ascii="Calibri" w:eastAsia="Calibri" w:hAnsi="Calibri" w:cs="Calibri"/>
          <w:color w:val="000000"/>
        </w:rPr>
        <w:t xml:space="preserve"> </w:t>
      </w:r>
      <w:r w:rsidR="00696C2A">
        <w:rPr>
          <w:rFonts w:ascii="Calibri" w:eastAsia="Calibri" w:hAnsi="Calibri" w:cs="Calibri"/>
          <w:color w:val="000000"/>
        </w:rPr>
        <w:t>(visitado en enero de 2024)</w:t>
      </w:r>
    </w:p>
  </w:footnote>
  <w:footnote w:id="14">
    <w:p w14:paraId="1FE81646" w14:textId="77777777" w:rsidR="00BC4AAD" w:rsidRDefault="00997294">
      <w:r>
        <w:rPr>
          <w:vertAlign w:val="superscript"/>
        </w:rPr>
        <w:footnoteRef/>
      </w:r>
      <w:r>
        <w:t xml:space="preserve"> </w:t>
      </w:r>
      <w:r>
        <w:rPr>
          <w:rFonts w:ascii="Calibri" w:eastAsia="Calibri" w:hAnsi="Calibri" w:cs="Calibri"/>
        </w:rPr>
        <w:t>Boletín Legislativo N° 12.748-</w:t>
      </w:r>
      <w:r w:rsidR="00B92FDB">
        <w:rPr>
          <w:rFonts w:ascii="Calibri" w:eastAsia="Calibri" w:hAnsi="Calibri" w:cs="Calibri"/>
        </w:rPr>
        <w:t>17, en</w:t>
      </w:r>
      <w:r>
        <w:rPr>
          <w:rFonts w:ascii="Calibri" w:eastAsia="Calibri" w:hAnsi="Calibri" w:cs="Calibri"/>
        </w:rPr>
        <w:t xml:space="preserve"> segundo trámite constitucional ante la Cámara de Diputados y Diputadas, a enero de 2024.</w:t>
      </w:r>
    </w:p>
  </w:footnote>
  <w:footnote w:id="15">
    <w:p w14:paraId="25AB50DA" w14:textId="77777777" w:rsidR="00BC4AAD" w:rsidRDefault="00997294">
      <w:pPr>
        <w:pBdr>
          <w:top w:val="nil"/>
          <w:left w:val="nil"/>
          <w:bottom w:val="nil"/>
          <w:right w:val="nil"/>
          <w:between w:val="nil"/>
        </w:pBdr>
        <w:tabs>
          <w:tab w:val="right" w:pos="1021"/>
        </w:tabs>
        <w:spacing w:line="220" w:lineRule="auto"/>
        <w:ind w:left="1134" w:right="1134" w:hanging="1134"/>
        <w:rPr>
          <w:color w:val="000000"/>
          <w:sz w:val="18"/>
          <w:szCs w:val="18"/>
        </w:rPr>
      </w:pPr>
      <w:r>
        <w:rPr>
          <w:vertAlign w:val="superscript"/>
        </w:rPr>
        <w:footnoteRef/>
      </w:r>
      <w:r>
        <w:rPr>
          <w:rFonts w:ascii="Calibri" w:eastAsia="Calibri" w:hAnsi="Calibri" w:cs="Calibri"/>
        </w:rPr>
        <w:t xml:space="preserve"> Boletín legislativo N° 11.758-07.</w:t>
      </w:r>
    </w:p>
  </w:footnote>
  <w:footnote w:id="16">
    <w:p w14:paraId="3849715F" w14:textId="77777777" w:rsidR="00BC4AAD" w:rsidRDefault="00997294">
      <w:pPr>
        <w:pBdr>
          <w:top w:val="nil"/>
          <w:left w:val="nil"/>
          <w:bottom w:val="nil"/>
          <w:right w:val="nil"/>
          <w:between w:val="nil"/>
        </w:pBdr>
        <w:tabs>
          <w:tab w:val="right" w:pos="1021"/>
        </w:tabs>
        <w:spacing w:line="220" w:lineRule="auto"/>
        <w:ind w:left="1134" w:right="1134" w:hanging="1134"/>
        <w:rPr>
          <w:rFonts w:ascii="Calibri" w:eastAsia="Calibri" w:hAnsi="Calibri" w:cs="Calibri"/>
          <w:color w:val="000000"/>
        </w:rPr>
      </w:pPr>
      <w:r>
        <w:rPr>
          <w:vertAlign w:val="superscript"/>
        </w:rPr>
        <w:footnoteRef/>
      </w:r>
      <w:r>
        <w:rPr>
          <w:rFonts w:ascii="Calibri" w:eastAsia="Calibri" w:hAnsi="Calibri" w:cs="Calibri"/>
          <w:color w:val="000000"/>
        </w:rPr>
        <w:t xml:space="preserve"> Sonia Arce Esparza contra el Estado de Chile.</w:t>
      </w:r>
    </w:p>
  </w:footnote>
  <w:footnote w:id="17">
    <w:p w14:paraId="748F097F" w14:textId="77777777" w:rsidR="00BC4AAD" w:rsidRDefault="00997294" w:rsidP="007A44BE">
      <w:pPr>
        <w:jc w:val="both"/>
      </w:pPr>
      <w:r>
        <w:rPr>
          <w:vertAlign w:val="superscript"/>
        </w:rPr>
        <w:footnoteRef/>
      </w:r>
      <w:r>
        <w:rPr>
          <w:rFonts w:ascii="Calibri" w:eastAsia="Calibri" w:hAnsi="Calibri" w:cs="Calibri"/>
        </w:rPr>
        <w:t xml:space="preserve"> Boletín Nº 1.707-18, moción ingresada en octubre de 1995 que había logrado ser aprobada en primer trámite constitucional por la Cámara de Diputados en octubre de 2005.</w:t>
      </w:r>
    </w:p>
  </w:footnote>
  <w:footnote w:id="18">
    <w:p w14:paraId="2E6C51FC" w14:textId="77777777" w:rsidR="00BC4AAD" w:rsidRDefault="00997294">
      <w:pPr>
        <w:spacing w:line="240" w:lineRule="auto"/>
        <w:jc w:val="both"/>
        <w:rPr>
          <w:rFonts w:ascii="Calibri" w:eastAsia="Calibri" w:hAnsi="Calibri" w:cs="Calibri"/>
        </w:rPr>
      </w:pPr>
      <w:r>
        <w:rPr>
          <w:vertAlign w:val="superscript"/>
        </w:rPr>
        <w:footnoteRef/>
      </w:r>
      <w:r>
        <w:rPr>
          <w:rFonts w:ascii="Calibri" w:eastAsia="Calibri" w:hAnsi="Calibri" w:cs="Calibri"/>
        </w:rPr>
        <w:t xml:space="preserve"> Mensaje Nº 019-359 de S.E. el Presidente de la República con el que inicia un proyecto de ley que modifica el código civil y otras leyes, regulando el régimen patrimonial de sociedad conyugal, Boletín N° 7.567-07, 5 de abril de 2011.</w:t>
      </w:r>
    </w:p>
  </w:footnote>
  <w:footnote w:id="19">
    <w:p w14:paraId="0C920C56" w14:textId="77777777" w:rsidR="00BC4AAD" w:rsidRDefault="00997294">
      <w:pPr>
        <w:pBdr>
          <w:top w:val="nil"/>
          <w:left w:val="nil"/>
          <w:bottom w:val="nil"/>
          <w:right w:val="nil"/>
          <w:between w:val="nil"/>
        </w:pBdr>
        <w:tabs>
          <w:tab w:val="right" w:pos="1021"/>
        </w:tabs>
        <w:spacing w:line="220" w:lineRule="auto"/>
        <w:ind w:left="1134" w:right="1134" w:hanging="1134"/>
        <w:jc w:val="both"/>
        <w:rPr>
          <w:rFonts w:ascii="Calibri" w:eastAsia="Calibri" w:hAnsi="Calibri" w:cs="Calibri"/>
          <w:color w:val="000000"/>
        </w:rPr>
      </w:pPr>
      <w:r>
        <w:rPr>
          <w:vertAlign w:val="superscript"/>
        </w:rPr>
        <w:footnoteRef/>
      </w:r>
      <w:r>
        <w:rPr>
          <w:rFonts w:ascii="Calibri" w:eastAsia="Calibri" w:hAnsi="Calibri" w:cs="Calibri"/>
          <w:color w:val="000000"/>
        </w:rPr>
        <w:t xml:space="preserve"> Boletines Legislativos Nº 5.970-18, 7.567-07 y 7.727-18 refundidos.</w:t>
      </w:r>
    </w:p>
  </w:footnote>
  <w:footnote w:id="20">
    <w:p w14:paraId="59F00646" w14:textId="77777777" w:rsidR="00BC4AAD" w:rsidRDefault="00997294">
      <w:pPr>
        <w:jc w:val="both"/>
        <w:rPr>
          <w:rFonts w:ascii="Calibri" w:eastAsia="Calibri" w:hAnsi="Calibri" w:cs="Calibri"/>
        </w:rPr>
      </w:pPr>
      <w:r>
        <w:rPr>
          <w:vertAlign w:val="superscript"/>
        </w:rPr>
        <w:footnoteRef/>
      </w:r>
      <w:r>
        <w:rPr>
          <w:rFonts w:ascii="Calibri" w:eastAsia="Calibri" w:hAnsi="Calibri" w:cs="Calibri"/>
        </w:rPr>
        <w:t xml:space="preserve"> La aplicación de esta nueva normativa en las elecciones parlamentarias de 2017 permitió aumentar en la Cámara de Diputados y Diputadas la proporción de mujeres electas de 14,16% a 22,6%, respecto de la elección anterior, y en las elecciones de 2021 esta cifra alcanzó el 35,5%, mientras que en el Senado la presencia de legisladoras aumentó de 13,15% a 23,5% en 2017, y a 24% en 2021. A las cuotas por sexo en las listas de candidaturas se suma el establecimiento de incentivos económicos para los partidos y mayor devolución monetaria por voto obtenido por las candidatas, en comparación con sus pares varones. </w:t>
      </w:r>
    </w:p>
  </w:footnote>
  <w:footnote w:id="21">
    <w:p w14:paraId="682D8CC2" w14:textId="77777777" w:rsidR="00BC4AAD" w:rsidRDefault="00997294">
      <w:pPr>
        <w:pBdr>
          <w:top w:val="nil"/>
          <w:left w:val="nil"/>
          <w:bottom w:val="nil"/>
          <w:right w:val="nil"/>
          <w:between w:val="nil"/>
        </w:pBdr>
        <w:tabs>
          <w:tab w:val="right" w:pos="1021"/>
        </w:tabs>
        <w:spacing w:line="220" w:lineRule="auto"/>
        <w:ind w:right="1134"/>
        <w:jc w:val="both"/>
        <w:rPr>
          <w:rFonts w:ascii="Calibri" w:eastAsia="Calibri" w:hAnsi="Calibri" w:cs="Calibri"/>
          <w:color w:val="000000"/>
        </w:rPr>
      </w:pPr>
      <w:r>
        <w:rPr>
          <w:vertAlign w:val="superscript"/>
        </w:rPr>
        <w:footnoteRef/>
      </w:r>
      <w:r>
        <w:rPr>
          <w:rFonts w:ascii="Calibri" w:eastAsia="Calibri" w:hAnsi="Calibri" w:cs="Calibri"/>
          <w:color w:val="000000"/>
        </w:rPr>
        <w:t xml:space="preserve"> Manteniéndose la ausencia de medidas afirmativas para las elecciones regionales y locales.</w:t>
      </w:r>
    </w:p>
  </w:footnote>
  <w:footnote w:id="22">
    <w:p w14:paraId="367DECCE" w14:textId="77777777" w:rsidR="00BC4AAD" w:rsidRDefault="00997294">
      <w:pPr>
        <w:jc w:val="both"/>
        <w:rPr>
          <w:rFonts w:ascii="Calibri" w:eastAsia="Calibri" w:hAnsi="Calibri" w:cs="Calibri"/>
        </w:rPr>
      </w:pPr>
      <w:r>
        <w:rPr>
          <w:vertAlign w:val="superscript"/>
        </w:rPr>
        <w:footnoteRef/>
      </w:r>
      <w:r>
        <w:rPr>
          <w:rFonts w:ascii="Calibri" w:eastAsia="Calibri" w:hAnsi="Calibri" w:cs="Calibri"/>
        </w:rPr>
        <w:t xml:space="preserve"> La Corporación de Fomento de la Producción (CORFO) es un servicio público descentralizado, con patrimonio propio y personalidad jurídica.</w:t>
      </w:r>
    </w:p>
  </w:footnote>
  <w:footnote w:id="23">
    <w:p w14:paraId="17F27E1E" w14:textId="77777777" w:rsidR="00BC4AAD" w:rsidRDefault="00997294">
      <w:pPr>
        <w:jc w:val="both"/>
        <w:rPr>
          <w:rFonts w:ascii="Calibri" w:eastAsia="Calibri" w:hAnsi="Calibri" w:cs="Calibri"/>
        </w:rPr>
      </w:pPr>
      <w:r>
        <w:rPr>
          <w:vertAlign w:val="superscript"/>
        </w:rPr>
        <w:footnoteRef/>
      </w:r>
      <w:r>
        <w:rPr>
          <w:rFonts w:ascii="Calibri" w:eastAsia="Calibri" w:hAnsi="Calibri" w:cs="Calibri"/>
        </w:rPr>
        <w:t xml:space="preserve"> La Corporación Nacional del Cobre de Chile (CODELCO) es una empresa autónoma, estatal, cuya creación y forma de funcionamiento está estipulado en el Decreto Ley N° 1350 (1976), definiendo también la forma en que se conforma su directorio.</w:t>
      </w:r>
    </w:p>
  </w:footnote>
  <w:footnote w:id="24">
    <w:p w14:paraId="4CDD1239" w14:textId="77777777" w:rsidR="00BC4AAD" w:rsidRDefault="00997294">
      <w:pPr>
        <w:pBdr>
          <w:top w:val="nil"/>
          <w:left w:val="nil"/>
          <w:bottom w:val="nil"/>
          <w:right w:val="nil"/>
          <w:between w:val="nil"/>
        </w:pBdr>
        <w:tabs>
          <w:tab w:val="right" w:pos="1021"/>
        </w:tabs>
        <w:spacing w:line="220" w:lineRule="auto"/>
        <w:ind w:right="-79"/>
        <w:jc w:val="both"/>
        <w:rPr>
          <w:color w:val="000000"/>
          <w:sz w:val="18"/>
          <w:szCs w:val="18"/>
        </w:rPr>
      </w:pPr>
      <w:r>
        <w:rPr>
          <w:vertAlign w:val="superscript"/>
        </w:rPr>
        <w:footnoteRef/>
      </w:r>
      <w:r>
        <w:rPr>
          <w:rFonts w:ascii="Calibri" w:eastAsia="Calibri" w:hAnsi="Calibri" w:cs="Calibri"/>
        </w:rPr>
        <w:t xml:space="preserve"> Boletines Legislativos Nº 9.322-13 que modifica Código del Trabajo, en materia de discriminación e igualdad de remuneraciones, de hombres y mujeres; Nº 12.005-07 que modifica la Carta Fundamental para establecer elementos determinantes del salario mínimo y asegurar la igualdad entre hombres y mujeres en materia salarial; y, Nº 11.629-13, que modifica el Código del Trabajo para perfeccionar la regulación relativa al ejercicio y respeto del principio de igualdad salarial entre hombres y mujeres</w:t>
      </w:r>
    </w:p>
  </w:footnote>
  <w:footnote w:id="25">
    <w:p w14:paraId="5810FFEE" w14:textId="77777777" w:rsidR="00BC4AAD" w:rsidRDefault="00997294">
      <w:pPr>
        <w:spacing w:line="240" w:lineRule="auto"/>
        <w:jc w:val="both"/>
        <w:rPr>
          <w:rFonts w:ascii="Calibri" w:eastAsia="Calibri" w:hAnsi="Calibri" w:cs="Calibri"/>
        </w:rPr>
      </w:pPr>
      <w:r>
        <w:rPr>
          <w:vertAlign w:val="superscript"/>
        </w:rPr>
        <w:footnoteRef/>
      </w:r>
      <w:r>
        <w:rPr>
          <w:rFonts w:ascii="Calibri" w:eastAsia="Calibri" w:hAnsi="Calibri" w:cs="Calibri"/>
        </w:rPr>
        <w:t xml:space="preserve"> Información obtenida desde el Centro de Estudio y Análisis del Delito, dependiente de la División de Estudios de la Subsecretaría de Prevención del Delito, Ministerio del Interior, disponible en </w:t>
      </w:r>
      <w:hyperlink r:id="rId4">
        <w:r>
          <w:rPr>
            <w:rFonts w:ascii="Calibri" w:eastAsia="Calibri" w:hAnsi="Calibri" w:cs="Calibri"/>
            <w:color w:val="1155CC"/>
            <w:u w:val="single"/>
          </w:rPr>
          <w:t>https://cead.spd.gov.cl/estadisticas-delictuales/</w:t>
        </w:r>
      </w:hyperlink>
      <w:r>
        <w:rPr>
          <w:rFonts w:ascii="Calibri" w:eastAsia="Calibri" w:hAnsi="Calibri" w:cs="Calibri"/>
        </w:rPr>
        <w:t xml:space="preserve"> </w:t>
      </w:r>
    </w:p>
  </w:footnote>
  <w:footnote w:id="26">
    <w:p w14:paraId="1F372488" w14:textId="77777777" w:rsidR="00BC4AAD" w:rsidRDefault="00997294">
      <w:pPr>
        <w:spacing w:line="240" w:lineRule="auto"/>
        <w:jc w:val="both"/>
        <w:rPr>
          <w:rFonts w:ascii="Calibri" w:eastAsia="Calibri" w:hAnsi="Calibri" w:cs="Calibri"/>
        </w:rPr>
      </w:pPr>
      <w:r>
        <w:rPr>
          <w:vertAlign w:val="superscript"/>
        </w:rPr>
        <w:footnoteRef/>
      </w:r>
      <w:r>
        <w:rPr>
          <w:rFonts w:ascii="Calibri" w:eastAsia="Calibri" w:hAnsi="Calibri" w:cs="Calibri"/>
        </w:rPr>
        <w:t xml:space="preserve"> Informe final 2022, Circuito Intersectorial de Femicidio, </w:t>
      </w:r>
      <w:r w:rsidR="00B92FDB">
        <w:rPr>
          <w:rFonts w:ascii="Calibri" w:eastAsia="Calibri" w:hAnsi="Calibri" w:cs="Calibri"/>
        </w:rPr>
        <w:t>diciembre</w:t>
      </w:r>
      <w:r>
        <w:rPr>
          <w:rFonts w:ascii="Calibri" w:eastAsia="Calibri" w:hAnsi="Calibri" w:cs="Calibri"/>
        </w:rPr>
        <w:t xml:space="preserve"> de 2023. Disponible en </w:t>
      </w:r>
      <w:hyperlink r:id="rId5">
        <w:r>
          <w:rPr>
            <w:rFonts w:ascii="Calibri" w:eastAsia="Calibri" w:hAnsi="Calibri" w:cs="Calibri"/>
            <w:color w:val="1155CC"/>
            <w:u w:val="single"/>
          </w:rPr>
          <w:t>https://www.sernameg.gob.cl/wp-content/uploads/2023/12/Informe-Anual-de-Femicidio-CIF-2022-pdf-19.12.2023.pdf</w:t>
        </w:r>
      </w:hyperlink>
      <w:r>
        <w:rPr>
          <w:rFonts w:ascii="Calibri" w:eastAsia="Calibri" w:hAnsi="Calibri" w:cs="Calibri"/>
        </w:rPr>
        <w:t xml:space="preserve"> </w:t>
      </w:r>
    </w:p>
  </w:footnote>
  <w:footnote w:id="27">
    <w:p w14:paraId="21812B6F" w14:textId="77777777" w:rsidR="00BC4AAD" w:rsidRDefault="00997294">
      <w:pPr>
        <w:rPr>
          <w:rFonts w:ascii="Calibri" w:eastAsia="Calibri" w:hAnsi="Calibri" w:cs="Calibri"/>
        </w:rPr>
      </w:pPr>
      <w:r>
        <w:rPr>
          <w:vertAlign w:val="superscript"/>
        </w:rPr>
        <w:footnoteRef/>
      </w:r>
      <w:r>
        <w:rPr>
          <w:rFonts w:ascii="Calibri" w:eastAsia="Calibri" w:hAnsi="Calibri" w:cs="Calibri"/>
        </w:rPr>
        <w:t xml:space="preserve"> Informe final “Acceso a la justicia de las mujeres víctimas de violencia usuarias del Poder Judicial”, Poder Judicial, </w:t>
      </w:r>
      <w:r w:rsidR="00B92FDB">
        <w:rPr>
          <w:rFonts w:ascii="Calibri" w:eastAsia="Calibri" w:hAnsi="Calibri" w:cs="Calibri"/>
        </w:rPr>
        <w:t>octubre</w:t>
      </w:r>
      <w:r>
        <w:rPr>
          <w:rFonts w:ascii="Calibri" w:eastAsia="Calibri" w:hAnsi="Calibri" w:cs="Calibri"/>
        </w:rPr>
        <w:t xml:space="preserve"> de 2020. Disponible en: </w:t>
      </w:r>
    </w:p>
    <w:p w14:paraId="736BF360" w14:textId="77777777" w:rsidR="00BC4AAD" w:rsidRDefault="005526FE">
      <w:pPr>
        <w:rPr>
          <w:rFonts w:ascii="Calibri" w:eastAsia="Calibri" w:hAnsi="Calibri" w:cs="Calibri"/>
        </w:rPr>
      </w:pPr>
      <w:hyperlink r:id="rId6">
        <w:r w:rsidR="00997294">
          <w:rPr>
            <w:rFonts w:ascii="Calibri" w:eastAsia="Calibri" w:hAnsi="Calibri" w:cs="Calibri"/>
            <w:color w:val="1155CC"/>
            <w:u w:val="single"/>
          </w:rPr>
          <w:t>https://secretariadegenero.pjud.cl/images/stignd/estudios/accesojvcm/InformeFinal_Acceso%20a%20la%20justicia%20v%C3%ADctimas%20VCM.pdf</w:t>
        </w:r>
      </w:hyperlink>
      <w:r w:rsidR="00997294">
        <w:rPr>
          <w:rFonts w:ascii="Calibri" w:eastAsia="Calibri" w:hAnsi="Calibri" w:cs="Calibri"/>
        </w:rPr>
        <w:t xml:space="preserve"> </w:t>
      </w:r>
    </w:p>
  </w:footnote>
  <w:footnote w:id="28">
    <w:p w14:paraId="0F64909B" w14:textId="77777777" w:rsidR="00BC4AAD" w:rsidRDefault="00997294">
      <w:r>
        <w:rPr>
          <w:vertAlign w:val="superscript"/>
        </w:rPr>
        <w:footnoteRef/>
      </w:r>
      <w:r>
        <w:rPr>
          <w:rFonts w:ascii="Calibri" w:eastAsia="Calibri" w:hAnsi="Calibri" w:cs="Calibri"/>
        </w:rPr>
        <w:t xml:space="preserve">  Objeción de conciencia institucional.</w:t>
      </w:r>
    </w:p>
  </w:footnote>
  <w:footnote w:id="29">
    <w:p w14:paraId="200C3EFC" w14:textId="77777777" w:rsidR="00BC4AAD" w:rsidRPr="008D7500" w:rsidRDefault="00997294">
      <w:pPr>
        <w:pBdr>
          <w:top w:val="nil"/>
          <w:left w:val="nil"/>
          <w:bottom w:val="nil"/>
          <w:right w:val="nil"/>
          <w:between w:val="nil"/>
        </w:pBdr>
        <w:jc w:val="both"/>
        <w:rPr>
          <w:rFonts w:asciiTheme="minorHAnsi" w:hAnsiTheme="minorHAnsi" w:cstheme="minorHAnsi"/>
          <w:color w:val="000000"/>
        </w:rPr>
      </w:pPr>
      <w:r w:rsidRPr="008D7500">
        <w:rPr>
          <w:rFonts w:asciiTheme="minorHAnsi" w:hAnsiTheme="minorHAnsi" w:cstheme="minorHAnsi"/>
          <w:vertAlign w:val="superscript"/>
        </w:rPr>
        <w:footnoteRef/>
      </w:r>
      <w:r w:rsidRPr="008D7500">
        <w:rPr>
          <w:rFonts w:asciiTheme="minorHAnsi" w:hAnsiTheme="minorHAnsi" w:cstheme="minorHAnsi"/>
          <w:color w:val="000000"/>
        </w:rPr>
        <w:t xml:space="preserve"> Acuerdo Regional sobre el Acceso a la Información, la Participación Pública y el Acceso a la Justicia en Asuntos Ambientales en América Latina y el Caribe.</w:t>
      </w:r>
    </w:p>
  </w:footnote>
  <w:footnote w:id="30">
    <w:p w14:paraId="10D917A0" w14:textId="77777777" w:rsidR="00BC4AAD" w:rsidRDefault="00997294">
      <w:pPr>
        <w:spacing w:line="240" w:lineRule="auto"/>
      </w:pPr>
      <w:r>
        <w:rPr>
          <w:vertAlign w:val="superscript"/>
        </w:rPr>
        <w:footnoteRef/>
      </w:r>
      <w:r>
        <w:t xml:space="preserve"> Caso Almonacid Arellano y otros vs. Chile</w:t>
      </w:r>
    </w:p>
  </w:footnote>
  <w:footnote w:id="31">
    <w:p w14:paraId="736C12F0" w14:textId="77777777" w:rsidR="00BC4AAD" w:rsidRDefault="00997294">
      <w:pPr>
        <w:pBdr>
          <w:top w:val="nil"/>
          <w:left w:val="nil"/>
          <w:bottom w:val="nil"/>
          <w:right w:val="nil"/>
          <w:between w:val="nil"/>
        </w:pBdr>
        <w:spacing w:line="240" w:lineRule="auto"/>
        <w:jc w:val="both"/>
        <w:rPr>
          <w:rFonts w:ascii="Calibri" w:eastAsia="Calibri" w:hAnsi="Calibri" w:cs="Calibri"/>
        </w:rPr>
      </w:pPr>
      <w:r>
        <w:rPr>
          <w:vertAlign w:val="superscript"/>
        </w:rPr>
        <w:footnoteRef/>
      </w:r>
      <w:r>
        <w:rPr>
          <w:rFonts w:ascii="Calibri" w:eastAsia="Calibri" w:hAnsi="Calibri" w:cs="Calibri"/>
        </w:rPr>
        <w:t xml:space="preserve"> Diagnóstico de caracterización y vulneraciones a los derechos humanos en el área de salud mental, Resumen Ejecutivo, Comité para la Prevención de la Tortura y otros Tratos o Penas Crueles, Inhumanos o Degradantes, Enero 2022, disponible en </w:t>
      </w:r>
    </w:p>
    <w:p w14:paraId="141F7BC6" w14:textId="77777777" w:rsidR="00BC4AAD" w:rsidRDefault="005526FE">
      <w:pPr>
        <w:pBdr>
          <w:top w:val="nil"/>
          <w:left w:val="nil"/>
          <w:bottom w:val="nil"/>
          <w:right w:val="nil"/>
          <w:between w:val="nil"/>
        </w:pBdr>
        <w:spacing w:line="240" w:lineRule="auto"/>
        <w:jc w:val="both"/>
        <w:rPr>
          <w:rFonts w:ascii="Calibri" w:eastAsia="Calibri" w:hAnsi="Calibri" w:cs="Calibri"/>
        </w:rPr>
      </w:pPr>
      <w:hyperlink r:id="rId7" w:history="1">
        <w:r w:rsidR="008D7500" w:rsidRPr="0002275D">
          <w:rPr>
            <w:rStyle w:val="Hipervnculo"/>
            <w:rFonts w:ascii="Calibri" w:eastAsia="Calibri" w:hAnsi="Calibri" w:cs="Calibri"/>
          </w:rPr>
          <w:t>https://mnpt.cl/wp-content/uploads/2022/03/Resumen-Ejecutivo-Area-Salud-Mental-1.pdf</w:t>
        </w:r>
      </w:hyperlink>
      <w:r w:rsidR="008D7500">
        <w:rPr>
          <w:rFonts w:ascii="Calibri" w:eastAsia="Calibri" w:hAnsi="Calibri" w:cs="Calibri"/>
        </w:rPr>
        <w:t xml:space="preserve"> </w:t>
      </w:r>
    </w:p>
  </w:footnote>
  <w:footnote w:id="32">
    <w:p w14:paraId="16DC14B4" w14:textId="77777777" w:rsidR="00BC4AAD" w:rsidRDefault="00997294">
      <w:pPr>
        <w:spacing w:line="240" w:lineRule="auto"/>
        <w:jc w:val="both"/>
        <w:rPr>
          <w:rFonts w:ascii="Calibri" w:eastAsia="Calibri" w:hAnsi="Calibri" w:cs="Calibri"/>
        </w:rPr>
      </w:pPr>
      <w:r>
        <w:rPr>
          <w:vertAlign w:val="superscript"/>
        </w:rPr>
        <w:footnoteRef/>
      </w:r>
      <w:r>
        <w:rPr>
          <w:rFonts w:ascii="Calibri" w:eastAsia="Calibri" w:hAnsi="Calibri" w:cs="Calibri"/>
        </w:rPr>
        <w:t xml:space="preserve"> Disponible en </w:t>
      </w:r>
    </w:p>
    <w:p w14:paraId="1412F298" w14:textId="77777777" w:rsidR="00BC4AAD" w:rsidRDefault="005526FE">
      <w:pPr>
        <w:spacing w:line="240" w:lineRule="auto"/>
        <w:jc w:val="both"/>
        <w:rPr>
          <w:rFonts w:ascii="Calibri" w:eastAsia="Calibri" w:hAnsi="Calibri" w:cs="Calibri"/>
        </w:rPr>
      </w:pPr>
      <w:hyperlink r:id="rId8">
        <w:r w:rsidR="00997294">
          <w:rPr>
            <w:rFonts w:ascii="Calibri" w:eastAsia="Calibri" w:hAnsi="Calibri" w:cs="Calibri"/>
            <w:color w:val="1155CC"/>
            <w:u w:val="single"/>
          </w:rPr>
          <w:t>https://diprece.minsal.cl/wp-content/uploads/2019/11/MINSAL-2000-Norma-T%C3%A9cnica-TEC.pdf</w:t>
        </w:r>
      </w:hyperlink>
      <w:r w:rsidR="00997294">
        <w:rPr>
          <w:rFonts w:ascii="Calibri" w:eastAsia="Calibri" w:hAnsi="Calibri" w:cs="Calibri"/>
        </w:rPr>
        <w:t xml:space="preserve"> </w:t>
      </w:r>
    </w:p>
  </w:footnote>
  <w:footnote w:id="33">
    <w:p w14:paraId="35F16359" w14:textId="77777777" w:rsidR="00BC4AAD" w:rsidRDefault="00997294">
      <w:pPr>
        <w:spacing w:line="240" w:lineRule="auto"/>
        <w:jc w:val="both"/>
      </w:pPr>
      <w:r>
        <w:rPr>
          <w:vertAlign w:val="superscript"/>
        </w:rPr>
        <w:footnoteRef/>
      </w:r>
      <w:r>
        <w:rPr>
          <w:rFonts w:ascii="Calibri" w:eastAsia="Calibri" w:hAnsi="Calibri" w:cs="Calibri"/>
        </w:rPr>
        <w:t>Decreto 570 publicado en el año 2000 que aprueba reglamento para la internación de las personas con enfermedades mentales y sobre los establecimientos que la proporcionan.</w:t>
      </w:r>
    </w:p>
  </w:footnote>
  <w:footnote w:id="34">
    <w:p w14:paraId="087D14AB" w14:textId="77777777" w:rsidR="00BC4AAD" w:rsidRDefault="00997294">
      <w:pPr>
        <w:jc w:val="both"/>
        <w:rPr>
          <w:rFonts w:ascii="Calibri" w:eastAsia="Calibri" w:hAnsi="Calibri" w:cs="Calibri"/>
        </w:rPr>
      </w:pPr>
      <w:r>
        <w:rPr>
          <w:vertAlign w:val="superscript"/>
        </w:rPr>
        <w:footnoteRef/>
      </w:r>
      <w:r>
        <w:rPr>
          <w:rFonts w:ascii="Calibri" w:eastAsia="Calibri" w:hAnsi="Calibri" w:cs="Calibri"/>
        </w:rPr>
        <w:t xml:space="preserve"> Ley N° 21.560, que modifica textos legales que indica para fortalecer y proteger el ejercicio de la función policial y de Gendarmería de Chile, publicada el 10 de abril de 2023.</w:t>
      </w:r>
    </w:p>
  </w:footnote>
  <w:footnote w:id="35">
    <w:p w14:paraId="418E949A" w14:textId="77777777" w:rsidR="00BC4AAD" w:rsidRDefault="00997294">
      <w:pPr>
        <w:jc w:val="both"/>
        <w:rPr>
          <w:rFonts w:ascii="Calibri" w:eastAsia="Calibri" w:hAnsi="Calibri" w:cs="Calibri"/>
        </w:rPr>
      </w:pPr>
      <w:r>
        <w:rPr>
          <w:vertAlign w:val="superscript"/>
        </w:rPr>
        <w:footnoteRef/>
      </w:r>
      <w:r>
        <w:rPr>
          <w:rFonts w:ascii="Calibri" w:eastAsia="Calibri" w:hAnsi="Calibri" w:cs="Calibri"/>
        </w:rPr>
        <w:t xml:space="preserve"> Población extranjera residente en Chile superó los 1,6 millones de personas en 2022, con un 6,6% en situación irregular, Instituto Nacional de Estadísticas, 29 de diciembre de 2023, disponible en </w:t>
      </w:r>
      <w:hyperlink r:id="rId9" w:history="1">
        <w:r w:rsidR="008D7500" w:rsidRPr="0002275D">
          <w:rPr>
            <w:rStyle w:val="Hipervnculo"/>
            <w:rFonts w:ascii="Calibri" w:eastAsia="Calibri" w:hAnsi="Calibri" w:cs="Calibri"/>
          </w:rPr>
          <w:t>https://www.ine.gob.cl/sala-de-prensa/prensa/general/noticia/2023/12/29/poblaci%C3%B3n-extranjera-residente-en-chile-super%C3%B3-los-1-6-millones-de-personas-en-2022-con-un-6-6-de-ellas-en-situaci%C3%B3n-irregular</w:t>
        </w:r>
      </w:hyperlink>
      <w:r w:rsidR="008D7500">
        <w:rPr>
          <w:rFonts w:ascii="Calibri" w:eastAsia="Calibri" w:hAnsi="Calibri" w:cs="Calibri"/>
        </w:rPr>
        <w:t xml:space="preserve"> </w:t>
      </w:r>
    </w:p>
  </w:footnote>
  <w:footnote w:id="36">
    <w:p w14:paraId="15E79F6E" w14:textId="77777777" w:rsidR="00BC4AAD" w:rsidRDefault="00997294">
      <w:pPr>
        <w:jc w:val="both"/>
      </w:pPr>
      <w:r>
        <w:rPr>
          <w:vertAlign w:val="superscript"/>
        </w:rPr>
        <w:footnoteRef/>
      </w:r>
      <w:r>
        <w:rPr>
          <w:rFonts w:ascii="Calibri" w:eastAsia="Calibri" w:hAnsi="Calibri" w:cs="Calibri"/>
        </w:rPr>
        <w:t xml:space="preserve"> Información obtenida de Estadística General Penitenciaria, de Gendarmería de Chile, disponible en </w:t>
      </w:r>
      <w:hyperlink r:id="rId10" w:history="1">
        <w:r w:rsidR="008D7500" w:rsidRPr="0002275D">
          <w:rPr>
            <w:rStyle w:val="Hipervnculo"/>
            <w:rFonts w:ascii="Calibri" w:eastAsia="Calibri" w:hAnsi="Calibri" w:cs="Calibri"/>
          </w:rPr>
          <w:t>https://www.gendarmeria.gob.cl/est_general.html</w:t>
        </w:r>
      </w:hyperlink>
      <w:r w:rsidR="008D7500">
        <w:rPr>
          <w:rFonts w:ascii="Calibri" w:eastAsia="Calibri" w:hAnsi="Calibri" w:cs="Calibri"/>
        </w:rPr>
        <w:t xml:space="preserve"> </w:t>
      </w:r>
      <w:r>
        <w:rPr>
          <w:rFonts w:ascii="Calibri" w:eastAsia="Calibri" w:hAnsi="Calibri" w:cs="Calibri"/>
        </w:rPr>
        <w:t xml:space="preserve"> </w:t>
      </w:r>
    </w:p>
  </w:footnote>
  <w:footnote w:id="37">
    <w:p w14:paraId="71DBFD60" w14:textId="77777777" w:rsidR="00BC4AAD" w:rsidRDefault="00997294">
      <w:pPr>
        <w:jc w:val="both"/>
      </w:pPr>
      <w:r>
        <w:rPr>
          <w:vertAlign w:val="superscript"/>
        </w:rPr>
        <w:footnoteRef/>
      </w:r>
      <w:r>
        <w:t xml:space="preserve"> </w:t>
      </w:r>
      <w:r>
        <w:rPr>
          <w:rFonts w:ascii="Calibri" w:eastAsia="Calibri" w:hAnsi="Calibri" w:cs="Calibri"/>
        </w:rPr>
        <w:t xml:space="preserve">Información obtenida de Caracterización de Personas Privadas de Libertad, de Gendarmería de Chile, disponible en  </w:t>
      </w:r>
      <w:hyperlink r:id="rId11">
        <w:r>
          <w:rPr>
            <w:rFonts w:ascii="Calibri" w:eastAsia="Calibri" w:hAnsi="Calibri" w:cs="Calibri"/>
            <w:color w:val="0000FF"/>
          </w:rPr>
          <w:t>https://www.gendarmeria.gob.cl/car_personas_pp.html</w:t>
        </w:r>
      </w:hyperlink>
      <w:r>
        <w:rPr>
          <w:rFonts w:ascii="Calibri" w:eastAsia="Calibri" w:hAnsi="Calibri" w:cs="Calibri"/>
        </w:rPr>
        <w:t xml:space="preserve"> </w:t>
      </w:r>
    </w:p>
  </w:footnote>
  <w:footnote w:id="38">
    <w:p w14:paraId="1F94317B" w14:textId="77777777" w:rsidR="00BC4AAD" w:rsidRDefault="00997294">
      <w:pPr>
        <w:jc w:val="both"/>
        <w:rPr>
          <w:rFonts w:ascii="Calibri" w:eastAsia="Calibri" w:hAnsi="Calibri" w:cs="Calibri"/>
        </w:rPr>
      </w:pPr>
      <w:r>
        <w:rPr>
          <w:vertAlign w:val="superscript"/>
        </w:rPr>
        <w:footnoteRef/>
      </w:r>
      <w:r>
        <w:rPr>
          <w:rFonts w:ascii="Calibri" w:eastAsia="Calibri" w:hAnsi="Calibri" w:cs="Calibri"/>
        </w:rPr>
        <w:t xml:space="preserve"> Proyecto de ley que modifica el Código Procesal Penal en materia de procedencia de la prisión preventiva y de suspensión de ejecución de la sentencia, respecto de mujeres embarazadas o que tengan hijos o hijas menores de tres años (Boletín Legislativo Nº 11.073-07), ingresado por moción parlamentaria el 4 de enero de 2017, en primer trámite constitucional.</w:t>
      </w:r>
    </w:p>
  </w:footnote>
  <w:footnote w:id="39">
    <w:p w14:paraId="133AFADA" w14:textId="77777777" w:rsidR="00BC4AAD" w:rsidRDefault="00997294">
      <w:pPr>
        <w:pBdr>
          <w:top w:val="nil"/>
          <w:left w:val="nil"/>
          <w:bottom w:val="nil"/>
          <w:right w:val="nil"/>
          <w:between w:val="nil"/>
        </w:pBdr>
        <w:tabs>
          <w:tab w:val="right" w:pos="1021"/>
        </w:tabs>
        <w:spacing w:line="220" w:lineRule="auto"/>
        <w:ind w:left="1134" w:right="1134" w:hanging="1134"/>
        <w:rPr>
          <w:rFonts w:ascii="Calibri" w:eastAsia="Calibri" w:hAnsi="Calibri" w:cs="Calibri"/>
          <w:color w:val="000000"/>
        </w:rPr>
      </w:pPr>
      <w:r>
        <w:rPr>
          <w:vertAlign w:val="superscript"/>
        </w:rPr>
        <w:footnoteRef/>
      </w:r>
      <w:r>
        <w:rPr>
          <w:rFonts w:ascii="Calibri" w:eastAsia="Calibri" w:hAnsi="Calibri" w:cs="Calibri"/>
          <w:color w:val="000000"/>
        </w:rPr>
        <w:t xml:space="preserve"> Ley N° 21.325 de migración y extranjería, promulgada en abril de 2021.</w:t>
      </w:r>
    </w:p>
  </w:footnote>
  <w:footnote w:id="40">
    <w:p w14:paraId="58B63564" w14:textId="77777777" w:rsidR="00BC4AAD" w:rsidRDefault="00997294">
      <w:pPr>
        <w:jc w:val="both"/>
        <w:rPr>
          <w:rFonts w:ascii="Calibri" w:eastAsia="Calibri" w:hAnsi="Calibri" w:cs="Calibri"/>
        </w:rPr>
      </w:pPr>
      <w:r>
        <w:rPr>
          <w:vertAlign w:val="superscript"/>
        </w:rPr>
        <w:footnoteRef/>
      </w:r>
      <w:r>
        <w:rPr>
          <w:rFonts w:ascii="Calibri" w:eastAsia="Calibri" w:hAnsi="Calibri" w:cs="Calibri"/>
        </w:rPr>
        <w:t xml:space="preserve"> De estas, el 43% son solicitudes iniciadas en 2022 y el 57% corresponden a solicitudes rezagadas de años anteriores.</w:t>
      </w:r>
    </w:p>
  </w:footnote>
  <w:footnote w:id="41">
    <w:p w14:paraId="612B2002" w14:textId="77777777" w:rsidR="00BC4AAD" w:rsidRDefault="00997294" w:rsidP="008D7500">
      <w:pPr>
        <w:rPr>
          <w:rFonts w:ascii="Calibri" w:eastAsia="Calibri" w:hAnsi="Calibri" w:cs="Calibri"/>
        </w:rPr>
      </w:pPr>
      <w:r>
        <w:rPr>
          <w:vertAlign w:val="superscript"/>
        </w:rPr>
        <w:footnoteRef/>
      </w:r>
      <w:r>
        <w:rPr>
          <w:rFonts w:ascii="Calibri" w:eastAsia="Calibri" w:hAnsi="Calibri" w:cs="Calibri"/>
        </w:rPr>
        <w:t xml:space="preserve"> Estadísticas generales registro administrativo. Servicio Nacional de Migraciones. 2021-2022. Disponible en </w:t>
      </w:r>
      <w:hyperlink r:id="rId12" w:history="1">
        <w:r w:rsidR="008D7500" w:rsidRPr="0002275D">
          <w:rPr>
            <w:rStyle w:val="Hipervnculo"/>
            <w:rFonts w:ascii="Calibri" w:eastAsia="Calibri" w:hAnsi="Calibri" w:cs="Calibri"/>
          </w:rPr>
          <w:t>https://serviciomigraciones.cl/wp-content/uploads/2023/05/230529-Reporte-1-Estadisticas-SERMIG.pdf</w:t>
        </w:r>
      </w:hyperlink>
      <w:r w:rsidR="008D7500">
        <w:rPr>
          <w:rFonts w:ascii="Calibri" w:eastAsia="Calibri" w:hAnsi="Calibri" w:cs="Calibri"/>
        </w:rPr>
        <w:t xml:space="preserve">  </w:t>
      </w:r>
      <w:r>
        <w:rPr>
          <w:rFonts w:ascii="Calibri" w:eastAsia="Calibri" w:hAnsi="Calibri" w:cs="Calibri"/>
        </w:rPr>
        <w:t xml:space="preserve"> (visitado en enero de 2024).</w:t>
      </w:r>
    </w:p>
  </w:footnote>
  <w:footnote w:id="42">
    <w:p w14:paraId="4E77CF08" w14:textId="77777777" w:rsidR="00BC4AAD" w:rsidRDefault="00997294">
      <w:pPr>
        <w:jc w:val="both"/>
        <w:rPr>
          <w:rFonts w:ascii="Calibri" w:eastAsia="Calibri" w:hAnsi="Calibri" w:cs="Calibri"/>
        </w:rPr>
      </w:pPr>
      <w:r>
        <w:rPr>
          <w:vertAlign w:val="superscript"/>
        </w:rPr>
        <w:footnoteRef/>
      </w:r>
      <w:r>
        <w:rPr>
          <w:rFonts w:ascii="Calibri" w:eastAsia="Calibri" w:hAnsi="Calibri" w:cs="Calibri"/>
        </w:rPr>
        <w:t xml:space="preserve"> Las subcategorías de residencia temporal que regula este decreto son permiso: de reunificación familiar;  para extranjeros que desarrollan actividades lícitas remuneradas; para extranjeros que busquen establecerse en el país con el objetivo de estudiar en establecimientos educacionales reconocidos por el Estado; de oportunidades laborales; por razones humanitarias (para víctimas de trata de personas; de violencia intrafamiliar o de género; de tráfico ilícito de migrantes; para mujeres extranjeras en situación de embarazo; niños, niñas y adolescentes; para personas acogidas a acuerdos internacionales; para religiosos de cultos reconocidos oficialmente; para extranjeros jubilados y para rentistas; para ex titulares de residencia definitiva: para inversionistas y personal relacionado; de negocios de múltiple entrada; para refugiados y asilados políticos. A estas categorías se suman otras cuatro que expresamente están inhabilitados para acceder a la residencia definitiva: trabajadores de temporada; extranjeros sujetos a la custodia de Gendarmería de Chile; extranjeros que se encuentren en Chile por orden de Tribunales de Justicia nacionales; y extranjeros que se encuentren bajo tratamientos médicos.</w:t>
      </w:r>
    </w:p>
  </w:footnote>
  <w:footnote w:id="43">
    <w:p w14:paraId="654E4BBB" w14:textId="77777777" w:rsidR="00BC4AAD" w:rsidRDefault="00997294">
      <w:pPr>
        <w:jc w:val="both"/>
      </w:pPr>
      <w:r>
        <w:rPr>
          <w:vertAlign w:val="superscript"/>
        </w:rPr>
        <w:footnoteRef/>
      </w:r>
      <w:r>
        <w:t xml:space="preserve"> </w:t>
      </w:r>
      <w:r>
        <w:rPr>
          <w:rFonts w:ascii="Calibri" w:eastAsia="Calibri" w:hAnsi="Calibri" w:cs="Calibri"/>
        </w:rPr>
        <w:t xml:space="preserve">Servicio Jesuita a Migrantes, SJM (2023). Anuario de estadísticas migratorias: Movilidad Humana en Chile: ¿Cómo avanzamos hacia una migración ordenada, segura y </w:t>
      </w:r>
      <w:r w:rsidR="00B92FDB">
        <w:rPr>
          <w:rFonts w:ascii="Calibri" w:eastAsia="Calibri" w:hAnsi="Calibri" w:cs="Calibri"/>
        </w:rPr>
        <w:t>regular?</w:t>
      </w:r>
      <w:r>
        <w:rPr>
          <w:rFonts w:ascii="Calibri" w:eastAsia="Calibri" w:hAnsi="Calibri" w:cs="Calibri"/>
        </w:rPr>
        <w:t xml:space="preserve"> Santiago, Chile. Recuperado de </w:t>
      </w:r>
      <w:hyperlink r:id="rId13" w:history="1">
        <w:r w:rsidR="008D7500" w:rsidRPr="0002275D">
          <w:rPr>
            <w:rStyle w:val="Hipervnculo"/>
            <w:rFonts w:ascii="Calibri" w:eastAsia="Calibri" w:hAnsi="Calibri" w:cs="Calibri"/>
          </w:rPr>
          <w:t>https://www.migracionenchile.cl/publicaciones</w:t>
        </w:r>
      </w:hyperlink>
      <w:r w:rsidR="008D7500">
        <w:rPr>
          <w:rFonts w:ascii="Calibri" w:eastAsia="Calibri" w:hAnsi="Calibri" w:cs="Calibri"/>
        </w:rPr>
        <w:t xml:space="preserve"> </w:t>
      </w:r>
    </w:p>
  </w:footnote>
  <w:footnote w:id="44">
    <w:p w14:paraId="07BC3F5F" w14:textId="77777777" w:rsidR="00BC4AAD" w:rsidRDefault="00997294" w:rsidP="008D7500">
      <w:pPr>
        <w:jc w:val="both"/>
      </w:pPr>
      <w:r>
        <w:rPr>
          <w:vertAlign w:val="superscript"/>
        </w:rPr>
        <w:footnoteRef/>
      </w:r>
      <w:r>
        <w:rPr>
          <w:rFonts w:ascii="Calibri" w:eastAsia="Calibri" w:hAnsi="Calibri" w:cs="Calibri"/>
        </w:rPr>
        <w:t xml:space="preserve">  </w:t>
      </w:r>
      <w:hyperlink r:id="rId14" w:history="1">
        <w:r w:rsidR="008D7500" w:rsidRPr="0002275D">
          <w:rPr>
            <w:rStyle w:val="Hipervnculo"/>
            <w:rFonts w:ascii="Calibri" w:eastAsia="Calibri" w:hAnsi="Calibri" w:cs="Calibri"/>
          </w:rPr>
          <w:t>https://www.camara.cl/cms/noticias/2023/01/17/ministra-del-interior-espera-desplegar-en-febrero-a-las-ff-aa-en-las-fronteras/</w:t>
        </w:r>
      </w:hyperlink>
      <w:r w:rsidR="008D7500">
        <w:rPr>
          <w:rFonts w:ascii="Calibri" w:eastAsia="Calibri" w:hAnsi="Calibri" w:cs="Calibri"/>
        </w:rPr>
        <w:t xml:space="preserve"> </w:t>
      </w:r>
    </w:p>
  </w:footnote>
  <w:footnote w:id="45">
    <w:p w14:paraId="5BD7CB58" w14:textId="77777777" w:rsidR="00BC4AAD" w:rsidRDefault="00997294">
      <w:pPr>
        <w:jc w:val="both"/>
        <w:rPr>
          <w:rFonts w:ascii="Calibri" w:eastAsia="Calibri" w:hAnsi="Calibri" w:cs="Calibri"/>
        </w:rPr>
      </w:pPr>
      <w:r>
        <w:rPr>
          <w:vertAlign w:val="superscript"/>
        </w:rPr>
        <w:footnoteRef/>
      </w:r>
      <w:r>
        <w:rPr>
          <w:rFonts w:ascii="Calibri" w:eastAsia="Calibri" w:hAnsi="Calibri" w:cs="Calibri"/>
        </w:rPr>
        <w:t xml:space="preserve"> Servicio Jesuita a Migrantes, SJM (2023), op. cit.</w:t>
      </w:r>
    </w:p>
  </w:footnote>
  <w:footnote w:id="46">
    <w:p w14:paraId="00A0D2C7" w14:textId="77777777" w:rsidR="00BC4AAD" w:rsidRDefault="00997294" w:rsidP="008D7500">
      <w:pPr>
        <w:jc w:val="both"/>
        <w:rPr>
          <w:rFonts w:ascii="Calibri" w:eastAsia="Calibri" w:hAnsi="Calibri" w:cs="Calibri"/>
        </w:rPr>
      </w:pPr>
      <w:r>
        <w:rPr>
          <w:vertAlign w:val="superscript"/>
        </w:rPr>
        <w:footnoteRef/>
      </w:r>
      <w:r>
        <w:rPr>
          <w:rFonts w:ascii="Calibri" w:eastAsia="Calibri" w:hAnsi="Calibri" w:cs="Calibri"/>
        </w:rPr>
        <w:t xml:space="preserve"> Previo a la ley Nº 21.325 de Migración y Extranjería, estas materias se encontraban reguladas en un Decreto Ley dictado los primeros años de la dictadura cívico–militar (DL Nº 1.094 de 1975), basado principalmente en consideraciones de seguridad nacional, sin enfoque de derechos humanos.</w:t>
      </w:r>
    </w:p>
  </w:footnote>
  <w:footnote w:id="47">
    <w:p w14:paraId="34C2CDAC" w14:textId="77777777" w:rsidR="00BC4AAD" w:rsidRDefault="00997294">
      <w:pPr>
        <w:rPr>
          <w:rFonts w:ascii="Calibri" w:eastAsia="Calibri" w:hAnsi="Calibri" w:cs="Calibri"/>
        </w:rPr>
      </w:pPr>
      <w:r>
        <w:rPr>
          <w:vertAlign w:val="superscript"/>
        </w:rPr>
        <w:footnoteRef/>
      </w:r>
      <w:r>
        <w:rPr>
          <w:rFonts w:ascii="Calibri" w:eastAsia="Calibri" w:hAnsi="Calibri" w:cs="Calibri"/>
        </w:rPr>
        <w:t xml:space="preserve"> “Artículo 9.- No criminalización. La migración irregular n</w:t>
      </w:r>
      <w:r w:rsidR="00B92FDB">
        <w:rPr>
          <w:rFonts w:ascii="Calibri" w:eastAsia="Calibri" w:hAnsi="Calibri" w:cs="Calibri"/>
        </w:rPr>
        <w:t>o es constitutiva de delito.” (ley N°</w:t>
      </w:r>
      <w:r>
        <w:rPr>
          <w:rFonts w:ascii="Calibri" w:eastAsia="Calibri" w:hAnsi="Calibri" w:cs="Calibri"/>
        </w:rPr>
        <w:t xml:space="preserve"> 21.325, Art. 9).</w:t>
      </w:r>
    </w:p>
  </w:footnote>
  <w:footnote w:id="48">
    <w:p w14:paraId="30590DDD" w14:textId="77777777" w:rsidR="00BC4AAD" w:rsidRDefault="00997294" w:rsidP="008D7500">
      <w:pPr>
        <w:jc w:val="both"/>
        <w:rPr>
          <w:rFonts w:ascii="Calibri" w:eastAsia="Calibri" w:hAnsi="Calibri" w:cs="Calibri"/>
        </w:rPr>
      </w:pPr>
      <w:r>
        <w:rPr>
          <w:vertAlign w:val="superscript"/>
        </w:rPr>
        <w:footnoteRef/>
      </w:r>
      <w:r>
        <w:rPr>
          <w:rFonts w:ascii="Calibri" w:eastAsia="Calibri" w:hAnsi="Calibri" w:cs="Calibri"/>
        </w:rPr>
        <w:t xml:space="preserve"> Boletín 15261-25 Modifica la ley N°21.325, de migración y extranjería, para tipificar el delito de ingreso clandestino al territorio nacional.</w:t>
      </w:r>
    </w:p>
  </w:footnote>
  <w:footnote w:id="49">
    <w:p w14:paraId="6375961C" w14:textId="77777777" w:rsidR="00BC4AAD" w:rsidRDefault="00997294" w:rsidP="008D7500">
      <w:pPr>
        <w:pBdr>
          <w:top w:val="nil"/>
          <w:left w:val="nil"/>
          <w:bottom w:val="nil"/>
          <w:right w:val="nil"/>
          <w:between w:val="nil"/>
        </w:pBdr>
        <w:tabs>
          <w:tab w:val="right" w:pos="1021"/>
        </w:tabs>
        <w:spacing w:line="220" w:lineRule="auto"/>
        <w:ind w:left="1134" w:right="1134" w:hanging="1134"/>
        <w:jc w:val="both"/>
        <w:rPr>
          <w:color w:val="000000"/>
          <w:sz w:val="18"/>
          <w:szCs w:val="18"/>
        </w:rPr>
      </w:pPr>
      <w:r>
        <w:rPr>
          <w:vertAlign w:val="superscript"/>
        </w:rPr>
        <w:footnoteRef/>
      </w:r>
      <w:r>
        <w:rPr>
          <w:rFonts w:ascii="Calibri" w:eastAsia="Calibri" w:hAnsi="Calibri" w:cs="Calibri"/>
        </w:rPr>
        <w:t xml:space="preserve"> Servicio Jesuita a Migrantes, SJM (2023).</w:t>
      </w:r>
    </w:p>
  </w:footnote>
  <w:footnote w:id="50">
    <w:p w14:paraId="310CA8EC" w14:textId="77777777" w:rsidR="00BC4AAD" w:rsidRDefault="00997294" w:rsidP="008D7500">
      <w:pPr>
        <w:jc w:val="both"/>
        <w:rPr>
          <w:rFonts w:ascii="Calibri" w:eastAsia="Calibri" w:hAnsi="Calibri" w:cs="Calibri"/>
        </w:rPr>
      </w:pPr>
      <w:r>
        <w:rPr>
          <w:vertAlign w:val="superscript"/>
        </w:rPr>
        <w:footnoteRef/>
      </w:r>
      <w:r>
        <w:rPr>
          <w:rFonts w:ascii="Calibri" w:eastAsia="Calibri" w:hAnsi="Calibri" w:cs="Calibri"/>
        </w:rPr>
        <w:t xml:space="preserve"> Boletín 16.034-06 Modifica la ley N° 20.430, para establecer una etapa inicial del procedimiento de determinación de la condición de refugiado, y la ley N° 21.325, en relación con la medida de reconducción o devolución inmediata de personas extranjeras que ingresen de forma irregular al territorio nacional. En espera de promulgación presidencial. </w:t>
      </w:r>
    </w:p>
    <w:p w14:paraId="4DB92160" w14:textId="77777777" w:rsidR="00BC4AAD" w:rsidRDefault="00997294" w:rsidP="008D7500">
      <w:pPr>
        <w:jc w:val="both"/>
        <w:rPr>
          <w:rFonts w:ascii="Calibri" w:eastAsia="Calibri" w:hAnsi="Calibri" w:cs="Calibri"/>
        </w:rPr>
      </w:pPr>
      <w:r>
        <w:rPr>
          <w:rFonts w:ascii="Calibri" w:eastAsia="Calibri" w:hAnsi="Calibri" w:cs="Calibri"/>
        </w:rPr>
        <w:t xml:space="preserve">Ver: </w:t>
      </w:r>
      <w:hyperlink r:id="rId15" w:history="1">
        <w:r w:rsidR="008D7500" w:rsidRPr="0002275D">
          <w:rPr>
            <w:rStyle w:val="Hipervnculo"/>
            <w:rFonts w:ascii="Calibri" w:eastAsia="Calibri" w:hAnsi="Calibri" w:cs="Calibri"/>
          </w:rPr>
          <w:t>https://www.camara.cl/cms/noticias/2024/01/17/condicion-de-refugiado-y-procedimientos-relacionados-contaran-con-nueva-regulacion/</w:t>
        </w:r>
      </w:hyperlink>
      <w:r w:rsidR="008D7500">
        <w:rPr>
          <w:rFonts w:ascii="Calibri" w:eastAsia="Calibri" w:hAnsi="Calibri" w:cs="Calibri"/>
        </w:rPr>
        <w:t xml:space="preserve"> </w:t>
      </w:r>
    </w:p>
  </w:footnote>
  <w:footnote w:id="51">
    <w:p w14:paraId="52425031" w14:textId="77777777" w:rsidR="00BC4AAD" w:rsidRDefault="0099729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color w:val="000000"/>
          <w:sz w:val="18"/>
          <w:szCs w:val="18"/>
        </w:rPr>
      </w:pPr>
      <w:r>
        <w:rPr>
          <w:vertAlign w:val="superscript"/>
        </w:rPr>
        <w:footnoteRef/>
      </w:r>
      <w:r>
        <w:rPr>
          <w:rFonts w:ascii="Calibri" w:eastAsia="Calibri" w:hAnsi="Calibri" w:cs="Calibri"/>
        </w:rPr>
        <w:t xml:space="preserve"> Comité de Derechos Humanos, observación general núm. 37 (2020), relativa al derecho de reunión pacífica.</w:t>
      </w:r>
    </w:p>
  </w:footnote>
  <w:footnote w:id="52">
    <w:p w14:paraId="550B4C5B" w14:textId="77777777" w:rsidR="00BC4AAD" w:rsidRDefault="00997294">
      <w:pPr>
        <w:pBdr>
          <w:top w:val="nil"/>
          <w:left w:val="nil"/>
          <w:bottom w:val="nil"/>
          <w:right w:val="nil"/>
          <w:between w:val="nil"/>
        </w:pBdr>
        <w:jc w:val="both"/>
        <w:rPr>
          <w:color w:val="000000"/>
          <w:sz w:val="18"/>
          <w:szCs w:val="18"/>
        </w:rPr>
      </w:pPr>
      <w:r>
        <w:rPr>
          <w:vertAlign w:val="superscript"/>
        </w:rPr>
        <w:footnoteRef/>
      </w:r>
      <w:r>
        <w:rPr>
          <w:rFonts w:ascii="Calibri" w:eastAsia="Calibri" w:hAnsi="Calibri" w:cs="Calibri"/>
        </w:rPr>
        <w:t xml:space="preserve"> Informe Relator Derecho a Reunión Pacífica, 2022.</w:t>
      </w:r>
    </w:p>
  </w:footnote>
  <w:footnote w:id="53">
    <w:p w14:paraId="2D7D0FC2" w14:textId="77777777" w:rsidR="00BC4AAD" w:rsidRPr="008D7500" w:rsidRDefault="00997294">
      <w:pPr>
        <w:pBdr>
          <w:top w:val="nil"/>
          <w:left w:val="nil"/>
          <w:bottom w:val="nil"/>
          <w:right w:val="nil"/>
          <w:between w:val="nil"/>
        </w:pBdr>
        <w:jc w:val="both"/>
        <w:rPr>
          <w:rStyle w:val="Hipervnculo"/>
          <w:rFonts w:ascii="Calibri" w:eastAsia="Calibri" w:hAnsi="Calibri" w:cs="Calibri"/>
        </w:rPr>
      </w:pPr>
      <w:r>
        <w:rPr>
          <w:vertAlign w:val="superscript"/>
        </w:rPr>
        <w:footnoteRef/>
      </w:r>
      <w:r>
        <w:rPr>
          <w:rFonts w:ascii="Calibri" w:eastAsia="Calibri" w:hAnsi="Calibri" w:cs="Calibri"/>
        </w:rPr>
        <w:t xml:space="preserve"> Informes realizados por la Comisión de Observadores/as de DDHH de José Domingo Cañas por más de 10 años en el monitoreo del actuar policial en contexto de protesta en Chile, acceder al link: </w:t>
      </w:r>
      <w:hyperlink r:id="rId16">
        <w:r w:rsidRPr="008D7500">
          <w:rPr>
            <w:rStyle w:val="Hipervnculo"/>
            <w:rFonts w:eastAsia="Calibri"/>
          </w:rPr>
          <w:t>https://observadoresddhh.org/informes-2/</w:t>
        </w:r>
      </w:hyperlink>
      <w:r w:rsidR="008D7500" w:rsidRPr="008D7500">
        <w:rPr>
          <w:rStyle w:val="Hipervnculo"/>
          <w:rFonts w:eastAsia="Calibri"/>
        </w:rPr>
        <w:t xml:space="preserve"> </w:t>
      </w:r>
    </w:p>
  </w:footnote>
  <w:footnote w:id="54">
    <w:p w14:paraId="31D25101" w14:textId="77777777" w:rsidR="00BC4AAD" w:rsidRDefault="00997294">
      <w:r>
        <w:rPr>
          <w:vertAlign w:val="superscript"/>
        </w:rPr>
        <w:footnoteRef/>
      </w:r>
      <w:r>
        <w:rPr>
          <w:rFonts w:ascii="Calibri" w:eastAsia="Calibri" w:hAnsi="Calibri" w:cs="Calibri"/>
        </w:rPr>
        <w:t xml:space="preserve"> La revuelta social en Chile se produjo desde el 18 de octubre de 2019 hasta marzo 2020, interrumpida por la Pandemia de Covid-19. Miles de personas salieron a las calles a protestar para exigir derechos.</w:t>
      </w:r>
      <w:r>
        <w:t xml:space="preserve"> </w:t>
      </w:r>
    </w:p>
  </w:footnote>
  <w:footnote w:id="55">
    <w:p w14:paraId="6C7A70CC" w14:textId="77777777" w:rsidR="00BC4AAD" w:rsidRDefault="00997294">
      <w:pPr>
        <w:pBdr>
          <w:top w:val="nil"/>
          <w:left w:val="nil"/>
          <w:bottom w:val="nil"/>
          <w:right w:val="nil"/>
          <w:between w:val="nil"/>
        </w:pBdr>
        <w:jc w:val="both"/>
        <w:rPr>
          <w:rFonts w:ascii="Calibri" w:eastAsia="Calibri" w:hAnsi="Calibri" w:cs="Calibri"/>
        </w:rPr>
      </w:pPr>
      <w:r>
        <w:rPr>
          <w:vertAlign w:val="superscript"/>
        </w:rPr>
        <w:footnoteRef/>
      </w:r>
      <w:r>
        <w:rPr>
          <w:rFonts w:ascii="Calibri" w:eastAsia="Calibri" w:hAnsi="Calibri" w:cs="Calibri"/>
        </w:rPr>
        <w:t xml:space="preserve"> Informe anual 2020. Estallido social </w:t>
      </w:r>
    </w:p>
    <w:p w14:paraId="30462F5B" w14:textId="77777777" w:rsidR="00BC4AAD" w:rsidRDefault="005526FE">
      <w:pPr>
        <w:pBdr>
          <w:top w:val="nil"/>
          <w:left w:val="nil"/>
          <w:bottom w:val="nil"/>
          <w:right w:val="nil"/>
          <w:between w:val="nil"/>
        </w:pBdr>
        <w:jc w:val="both"/>
        <w:rPr>
          <w:color w:val="000000"/>
          <w:sz w:val="18"/>
          <w:szCs w:val="18"/>
        </w:rPr>
      </w:pPr>
      <w:hyperlink r:id="rId17" w:history="1">
        <w:r w:rsidR="008D7500" w:rsidRPr="0002275D">
          <w:rPr>
            <w:rStyle w:val="Hipervnculo"/>
            <w:rFonts w:ascii="Calibri" w:eastAsia="Calibri" w:hAnsi="Calibri" w:cs="Calibri"/>
          </w:rPr>
          <w:t>https://observadoresddhh.org/resources/informes_anuales/2020_informe_anual_odh_estallido_2019.pdf</w:t>
        </w:r>
      </w:hyperlink>
      <w:r w:rsidR="008D7500">
        <w:rPr>
          <w:rFonts w:ascii="Calibri" w:eastAsia="Calibri" w:hAnsi="Calibri" w:cs="Calibri"/>
        </w:rPr>
        <w:t xml:space="preserve"> </w:t>
      </w:r>
    </w:p>
  </w:footnote>
  <w:footnote w:id="56">
    <w:p w14:paraId="0F93899B" w14:textId="77777777" w:rsidR="00BC4AAD" w:rsidRDefault="00997294">
      <w:pPr>
        <w:pBdr>
          <w:top w:val="nil"/>
          <w:left w:val="nil"/>
          <w:bottom w:val="nil"/>
          <w:right w:val="nil"/>
          <w:between w:val="nil"/>
        </w:pBdr>
        <w:jc w:val="both"/>
        <w:rPr>
          <w:color w:val="000000"/>
          <w:sz w:val="18"/>
          <w:szCs w:val="18"/>
        </w:rPr>
      </w:pPr>
      <w:r>
        <w:rPr>
          <w:vertAlign w:val="superscript"/>
        </w:rPr>
        <w:footnoteRef/>
      </w:r>
      <w:r>
        <w:rPr>
          <w:rFonts w:ascii="Calibri" w:eastAsia="Calibri" w:hAnsi="Calibri" w:cs="Calibri"/>
        </w:rPr>
        <w:t xml:space="preserve"> Informe Relator Derecho a Reunión Pacífica, 2022</w:t>
      </w:r>
    </w:p>
  </w:footnote>
  <w:footnote w:id="57">
    <w:p w14:paraId="2A12C717" w14:textId="77777777" w:rsidR="00BC4AAD" w:rsidRDefault="00997294">
      <w:pPr>
        <w:tabs>
          <w:tab w:val="right" w:pos="1021"/>
        </w:tabs>
        <w:ind w:right="-79"/>
        <w:jc w:val="both"/>
        <w:rPr>
          <w:rFonts w:ascii="Calibri" w:eastAsia="Calibri" w:hAnsi="Calibri" w:cs="Calibri"/>
          <w:sz w:val="18"/>
          <w:szCs w:val="18"/>
        </w:rPr>
      </w:pPr>
      <w:r>
        <w:rPr>
          <w:vertAlign w:val="superscript"/>
        </w:rPr>
        <w:footnoteRef/>
      </w:r>
      <w:r>
        <w:rPr>
          <w:rFonts w:ascii="Calibri" w:eastAsia="Calibri" w:hAnsi="Calibri" w:cs="Calibri"/>
        </w:rPr>
        <w:t xml:space="preserve"> Al respecto, la Defensoría de la Niñez señala que “a diciembre de 2022, la Subsecretaría de la Niñez ha firmado 100 convenios de transferencia de recursos con distintas municipalidades. No obstante, para regular su funcionamiento, se comprometieron reglamentos a dictar en un plazo de seis o doce meses contados desde la publicación de la ley, lo que ha implicado que las OLN, instaladas en 2022, funcionen parcialmente a la espera de estos instrumentos”. En: Protección Integral y Nueva Institucionalidad: balance a </w:t>
      </w:r>
      <w:r w:rsidR="00B92FDB">
        <w:rPr>
          <w:rFonts w:ascii="Calibri" w:eastAsia="Calibri" w:hAnsi="Calibri" w:cs="Calibri"/>
        </w:rPr>
        <w:t>un año de implementación de la l</w:t>
      </w:r>
      <w:r>
        <w:rPr>
          <w:rFonts w:ascii="Calibri" w:eastAsia="Calibri" w:hAnsi="Calibri" w:cs="Calibri"/>
        </w:rPr>
        <w:t>ey de Garantías (2023).</w:t>
      </w:r>
    </w:p>
  </w:footnote>
  <w:footnote w:id="58">
    <w:p w14:paraId="2D6C97A5" w14:textId="77777777" w:rsidR="00BC4AAD" w:rsidRDefault="00997294">
      <w:pPr>
        <w:jc w:val="both"/>
        <w:rPr>
          <w:rFonts w:ascii="Calibri" w:eastAsia="Calibri" w:hAnsi="Calibri" w:cs="Calibri"/>
        </w:rPr>
      </w:pPr>
      <w:r>
        <w:rPr>
          <w:vertAlign w:val="superscript"/>
        </w:rPr>
        <w:footnoteRef/>
      </w:r>
      <w:r>
        <w:rPr>
          <w:rFonts w:ascii="Calibri" w:eastAsia="Calibri" w:hAnsi="Calibri" w:cs="Calibri"/>
        </w:rPr>
        <w:t xml:space="preserve"> Si bien el liderazgo en la implementación de la ley recae en el Ministerio de Desarrollo Social y Familia, en la norma no se le releva como ente rector sino solo como coordinador interministerial, careciendo de atribuciones que permitan eficazmente convocar a los actores claves para resolver brechas en materia de niñez en los territorios.</w:t>
      </w:r>
    </w:p>
  </w:footnote>
  <w:footnote w:id="59">
    <w:p w14:paraId="3A026A10" w14:textId="77777777" w:rsidR="00BC4AAD" w:rsidRDefault="00997294">
      <w:pPr>
        <w:pBdr>
          <w:top w:val="nil"/>
          <w:left w:val="nil"/>
          <w:bottom w:val="nil"/>
          <w:right w:val="nil"/>
          <w:between w:val="nil"/>
        </w:pBdr>
        <w:tabs>
          <w:tab w:val="right" w:pos="1021"/>
        </w:tabs>
        <w:spacing w:line="240" w:lineRule="auto"/>
        <w:ind w:left="1134" w:right="1134" w:hanging="1134"/>
        <w:rPr>
          <w:rFonts w:ascii="Calibri" w:eastAsia="Calibri" w:hAnsi="Calibri" w:cs="Calibri"/>
        </w:rPr>
      </w:pPr>
      <w:r>
        <w:rPr>
          <w:vertAlign w:val="superscript"/>
        </w:rPr>
        <w:footnoteRef/>
      </w:r>
      <w:r>
        <w:rPr>
          <w:rFonts w:ascii="Calibri" w:eastAsia="Calibri" w:hAnsi="Calibri" w:cs="Calibri"/>
        </w:rPr>
        <w:t xml:space="preserve"> Subsecretaría de la Niñez que forma parte del Ministerio de Desarrollo Social y Familia.</w:t>
      </w:r>
    </w:p>
  </w:footnote>
  <w:footnote w:id="60">
    <w:p w14:paraId="09ABA87B" w14:textId="77777777" w:rsidR="00BC4AAD" w:rsidRDefault="00997294">
      <w:pPr>
        <w:pBdr>
          <w:top w:val="nil"/>
          <w:left w:val="nil"/>
          <w:bottom w:val="nil"/>
          <w:right w:val="nil"/>
          <w:between w:val="nil"/>
        </w:pBdr>
        <w:tabs>
          <w:tab w:val="right" w:pos="1021"/>
        </w:tabs>
        <w:spacing w:line="240" w:lineRule="auto"/>
        <w:ind w:left="1134" w:right="1134" w:hanging="1134"/>
        <w:rPr>
          <w:rFonts w:ascii="Calibri" w:eastAsia="Calibri" w:hAnsi="Calibri" w:cs="Calibri"/>
          <w:color w:val="000000"/>
          <w:sz w:val="18"/>
          <w:szCs w:val="18"/>
        </w:rPr>
      </w:pPr>
      <w:r>
        <w:rPr>
          <w:vertAlign w:val="superscript"/>
        </w:rPr>
        <w:footnoteRef/>
      </w:r>
      <w:r>
        <w:rPr>
          <w:rFonts w:ascii="Calibri" w:eastAsia="Calibri" w:hAnsi="Calibri" w:cs="Calibri"/>
        </w:rPr>
        <w:t xml:space="preserve"> Programas de Intervención Especializada PIE Iquique y PIE Alto Hospicio.</w:t>
      </w:r>
    </w:p>
  </w:footnote>
  <w:footnote w:id="61">
    <w:p w14:paraId="196B20CC" w14:textId="77777777" w:rsidR="00BC4AAD" w:rsidRDefault="00997294">
      <w:pPr>
        <w:pBdr>
          <w:top w:val="nil"/>
          <w:left w:val="nil"/>
          <w:bottom w:val="nil"/>
          <w:right w:val="nil"/>
          <w:between w:val="nil"/>
        </w:pBdr>
        <w:tabs>
          <w:tab w:val="right" w:pos="1021"/>
        </w:tabs>
        <w:spacing w:line="240" w:lineRule="auto"/>
        <w:ind w:right="62"/>
        <w:jc w:val="both"/>
        <w:rPr>
          <w:rFonts w:ascii="Calibri" w:eastAsia="Calibri" w:hAnsi="Calibri" w:cs="Calibri"/>
          <w:color w:val="000000"/>
          <w:sz w:val="18"/>
          <w:szCs w:val="18"/>
        </w:rPr>
      </w:pPr>
      <w:r>
        <w:rPr>
          <w:vertAlign w:val="superscript"/>
        </w:rPr>
        <w:footnoteRef/>
      </w:r>
      <w:r>
        <w:rPr>
          <w:rFonts w:ascii="Calibri" w:eastAsia="Calibri" w:hAnsi="Calibri" w:cs="Calibri"/>
        </w:rPr>
        <w:t xml:space="preserve"> Propuesta georreferenciada de la oferta territorial para la niñez de Tarapacá, Corporación OPCION 2023.</w:t>
      </w:r>
    </w:p>
  </w:footnote>
  <w:footnote w:id="62">
    <w:p w14:paraId="3DD5E8BC" w14:textId="77777777" w:rsidR="00BC4AAD" w:rsidRDefault="00997294">
      <w:pPr>
        <w:pBdr>
          <w:top w:val="nil"/>
          <w:left w:val="nil"/>
          <w:bottom w:val="nil"/>
          <w:right w:val="nil"/>
          <w:between w:val="nil"/>
        </w:pBdr>
        <w:tabs>
          <w:tab w:val="right" w:pos="1021"/>
        </w:tabs>
        <w:spacing w:line="240" w:lineRule="auto"/>
        <w:ind w:right="-79"/>
        <w:jc w:val="both"/>
        <w:rPr>
          <w:rFonts w:ascii="Calibri" w:eastAsia="Calibri" w:hAnsi="Calibri" w:cs="Calibri"/>
          <w:color w:val="000000"/>
          <w:sz w:val="18"/>
          <w:szCs w:val="18"/>
        </w:rPr>
      </w:pPr>
      <w:r>
        <w:rPr>
          <w:vertAlign w:val="superscript"/>
        </w:rPr>
        <w:footnoteRef/>
      </w:r>
      <w:r>
        <w:rPr>
          <w:rFonts w:ascii="Calibri" w:eastAsia="Calibri" w:hAnsi="Calibri" w:cs="Calibri"/>
          <w:color w:val="000000"/>
          <w:sz w:val="18"/>
          <w:szCs w:val="18"/>
        </w:rPr>
        <w:t xml:space="preserve"> </w:t>
      </w:r>
      <w:r>
        <w:rPr>
          <w:rFonts w:ascii="Calibri" w:eastAsia="Calibri" w:hAnsi="Calibri" w:cs="Calibri"/>
        </w:rPr>
        <w:t>Servicio Nacional de Menores, que data del año 1979, el cual ha implementado la política pública de la niñez con un enfoque tutelar en su origen y diseño.</w:t>
      </w:r>
    </w:p>
  </w:footnote>
  <w:footnote w:id="63">
    <w:p w14:paraId="524E37BB" w14:textId="77777777" w:rsidR="00BC4AAD" w:rsidRDefault="00997294">
      <w:pPr>
        <w:pBdr>
          <w:top w:val="nil"/>
          <w:left w:val="nil"/>
          <w:bottom w:val="nil"/>
          <w:right w:val="nil"/>
          <w:between w:val="nil"/>
        </w:pBdr>
        <w:shd w:val="clear" w:color="auto" w:fill="FFFFFF"/>
        <w:spacing w:line="240" w:lineRule="auto"/>
        <w:jc w:val="both"/>
        <w:rPr>
          <w:rFonts w:ascii="Calibri" w:eastAsia="Calibri" w:hAnsi="Calibri" w:cs="Calibri"/>
          <w:color w:val="000000"/>
        </w:rPr>
      </w:pPr>
      <w:r>
        <w:rPr>
          <w:vertAlign w:val="superscript"/>
        </w:rPr>
        <w:footnoteRef/>
      </w:r>
      <w:r w:rsidR="00B92FDB">
        <w:rPr>
          <w:rFonts w:ascii="Calibri" w:eastAsia="Calibri" w:hAnsi="Calibri" w:cs="Calibri"/>
          <w:color w:val="000000"/>
        </w:rPr>
        <w:t xml:space="preserve"> Por aplicación de la l</w:t>
      </w:r>
      <w:r>
        <w:rPr>
          <w:rFonts w:ascii="Calibri" w:eastAsia="Calibri" w:hAnsi="Calibri" w:cs="Calibri"/>
          <w:color w:val="000000"/>
        </w:rPr>
        <w:t>ey Aula Segura (N°21.218), que permite dejar a un niño sin escolarización por problemas de comportamiento que se entienden como amenaza a la convivencia escolar.</w:t>
      </w:r>
    </w:p>
  </w:footnote>
  <w:footnote w:id="64">
    <w:p w14:paraId="1DBCED0F" w14:textId="77777777" w:rsidR="00BC4AAD" w:rsidRDefault="00997294">
      <w:pPr>
        <w:pBdr>
          <w:top w:val="nil"/>
          <w:left w:val="nil"/>
          <w:bottom w:val="nil"/>
          <w:right w:val="nil"/>
          <w:between w:val="nil"/>
        </w:pBdr>
        <w:shd w:val="clear" w:color="auto" w:fill="FFFFFF"/>
        <w:spacing w:line="240" w:lineRule="auto"/>
        <w:jc w:val="both"/>
        <w:rPr>
          <w:rFonts w:ascii="Calibri" w:eastAsia="Calibri" w:hAnsi="Calibri" w:cs="Calibri"/>
          <w:color w:val="000000"/>
        </w:rPr>
      </w:pPr>
      <w:r>
        <w:rPr>
          <w:vertAlign w:val="superscript"/>
        </w:rPr>
        <w:footnoteRef/>
      </w:r>
      <w:r>
        <w:rPr>
          <w:rFonts w:ascii="Calibri" w:eastAsia="Calibri" w:hAnsi="Calibri" w:cs="Calibri"/>
          <w:color w:val="000000"/>
        </w:rPr>
        <w:t xml:space="preserve"> La </w:t>
      </w:r>
      <w:r>
        <w:rPr>
          <w:rFonts w:ascii="Calibri" w:eastAsia="Calibri" w:hAnsi="Calibri" w:cs="Calibri"/>
        </w:rPr>
        <w:t>a</w:t>
      </w:r>
      <w:r>
        <w:rPr>
          <w:rFonts w:ascii="Calibri" w:eastAsia="Calibri" w:hAnsi="Calibri" w:cs="Calibri"/>
          <w:color w:val="000000"/>
        </w:rPr>
        <w:t>grupación desarrolló talleres y activismo entre marzo y noviembre de 2023, con 12 niños</w:t>
      </w:r>
      <w:r>
        <w:rPr>
          <w:rFonts w:ascii="Calibri" w:eastAsia="Calibri" w:hAnsi="Calibri" w:cs="Calibri"/>
        </w:rPr>
        <w:t xml:space="preserve">, </w:t>
      </w:r>
      <w:r>
        <w:rPr>
          <w:rFonts w:ascii="Calibri" w:eastAsia="Calibri" w:hAnsi="Calibri" w:cs="Calibri"/>
          <w:color w:val="000000"/>
        </w:rPr>
        <w:t>niñas y adolescentes provenientes de las comunas de Rancagua, Rengo, San Fernando y San Cruz.</w:t>
      </w:r>
    </w:p>
  </w:footnote>
  <w:footnote w:id="65">
    <w:p w14:paraId="73DF100B" w14:textId="77777777" w:rsidR="00BC4AAD" w:rsidRDefault="00997294">
      <w:pPr>
        <w:pBdr>
          <w:top w:val="nil"/>
          <w:left w:val="nil"/>
          <w:bottom w:val="nil"/>
          <w:right w:val="nil"/>
          <w:between w:val="nil"/>
        </w:pBdr>
        <w:shd w:val="clear" w:color="auto" w:fill="FFFFFF"/>
        <w:spacing w:line="240" w:lineRule="auto"/>
        <w:jc w:val="both"/>
        <w:rPr>
          <w:rFonts w:ascii="Calibri" w:eastAsia="Calibri" w:hAnsi="Calibri" w:cs="Calibri"/>
          <w:color w:val="000000"/>
        </w:rPr>
      </w:pPr>
      <w:r>
        <w:rPr>
          <w:vertAlign w:val="superscript"/>
        </w:rPr>
        <w:footnoteRef/>
      </w:r>
      <w:r>
        <w:rPr>
          <w:rFonts w:ascii="Calibri" w:eastAsia="Calibri" w:hAnsi="Calibri" w:cs="Calibri"/>
          <w:color w:val="000000"/>
        </w:rPr>
        <w:t xml:space="preserve"> Maltrato físico, abuso sexual, secuelas de la violencia de género, entre otras.</w:t>
      </w:r>
    </w:p>
  </w:footnote>
  <w:footnote w:id="66">
    <w:p w14:paraId="4F776DA8" w14:textId="77777777" w:rsidR="00BC4AAD" w:rsidRDefault="00997294">
      <w:pPr>
        <w:pBdr>
          <w:top w:val="nil"/>
          <w:left w:val="nil"/>
          <w:bottom w:val="nil"/>
          <w:right w:val="nil"/>
          <w:between w:val="nil"/>
        </w:pBdr>
        <w:shd w:val="clear" w:color="auto" w:fill="FFFFFF"/>
        <w:spacing w:line="240" w:lineRule="auto"/>
        <w:jc w:val="both"/>
        <w:rPr>
          <w:rFonts w:ascii="Calibri" w:eastAsia="Calibri" w:hAnsi="Calibri" w:cs="Calibri"/>
          <w:color w:val="000000"/>
        </w:rPr>
      </w:pPr>
      <w:r>
        <w:rPr>
          <w:vertAlign w:val="superscript"/>
        </w:rPr>
        <w:footnoteRef/>
      </w:r>
      <w:r>
        <w:rPr>
          <w:rFonts w:ascii="Calibri" w:eastAsia="Calibri" w:hAnsi="Calibri" w:cs="Calibri"/>
          <w:color w:val="000000"/>
        </w:rPr>
        <w:t xml:space="preserve"> Fundación Amparo y Justicia (2023) Niños, Niñas y Adolescentes </w:t>
      </w:r>
      <w:r>
        <w:rPr>
          <w:rFonts w:ascii="Calibri" w:eastAsia="Calibri" w:hAnsi="Calibri" w:cs="Calibri"/>
        </w:rPr>
        <w:t xml:space="preserve">Víctimas de Delitos Sexuales y Otros Graves: Ingreso de Denuncias y Respuesta del Sistema de Justicia Penal. Disponible en: </w:t>
      </w:r>
      <w:hyperlink r:id="rId18" w:history="1">
        <w:r w:rsidR="00696C2A" w:rsidRPr="0002275D">
          <w:rPr>
            <w:rStyle w:val="Hipervnculo"/>
            <w:rFonts w:ascii="Calibri" w:eastAsia="Calibri" w:hAnsi="Calibri" w:cs="Calibri"/>
          </w:rPr>
          <w:t>https://amparoyjusticia.cl/wp-content/uploads/2023/04/Estudio-Fundacion-amparo-y-Justicia.pdf</w:t>
        </w:r>
      </w:hyperlink>
      <w:r w:rsidR="00696C2A">
        <w:rPr>
          <w:rFonts w:ascii="Calibri" w:eastAsia="Calibri" w:hAnsi="Calibri" w:cs="Calibri"/>
          <w:color w:val="000000"/>
        </w:rPr>
        <w:t xml:space="preserve"> </w:t>
      </w:r>
    </w:p>
  </w:footnote>
  <w:footnote w:id="67">
    <w:p w14:paraId="33B6A305" w14:textId="77777777" w:rsidR="00BC4AAD" w:rsidRDefault="00997294">
      <w:pPr>
        <w:pBdr>
          <w:top w:val="nil"/>
          <w:left w:val="nil"/>
          <w:bottom w:val="nil"/>
          <w:right w:val="nil"/>
          <w:between w:val="nil"/>
        </w:pBdr>
        <w:shd w:val="clear" w:color="auto" w:fill="FFFFFF"/>
        <w:spacing w:line="240" w:lineRule="auto"/>
        <w:jc w:val="both"/>
        <w:rPr>
          <w:rFonts w:ascii="Calibri" w:eastAsia="Calibri" w:hAnsi="Calibri" w:cs="Calibri"/>
          <w:color w:val="000000"/>
        </w:rPr>
      </w:pPr>
      <w:r>
        <w:rPr>
          <w:vertAlign w:val="superscript"/>
        </w:rPr>
        <w:footnoteRef/>
      </w:r>
      <w:r>
        <w:rPr>
          <w:rFonts w:ascii="Calibri" w:eastAsia="Calibri" w:hAnsi="Calibri" w:cs="Calibri"/>
          <w:color w:val="000000"/>
        </w:rPr>
        <w:t xml:space="preserve"> Desde la experiencia de OPCION, a partir de la detección de </w:t>
      </w:r>
      <w:r>
        <w:rPr>
          <w:rFonts w:ascii="Calibri" w:eastAsia="Calibri" w:hAnsi="Calibri" w:cs="Calibri"/>
          <w:color w:val="000000"/>
          <w:highlight w:val="white"/>
        </w:rPr>
        <w:t xml:space="preserve">hechos constitutivos de delitos que afecten a los niños y niñas atendidos en sus programas de protección, los cuales deben ser obligatoriamente denunciados, </w:t>
      </w:r>
      <w:r>
        <w:rPr>
          <w:rFonts w:ascii="Calibri" w:eastAsia="Calibri" w:hAnsi="Calibri" w:cs="Calibri"/>
          <w:highlight w:val="white"/>
        </w:rPr>
        <w:t xml:space="preserve">se destaca que, </w:t>
      </w:r>
      <w:r>
        <w:rPr>
          <w:rFonts w:ascii="Calibri" w:eastAsia="Calibri" w:hAnsi="Calibri" w:cs="Calibri"/>
          <w:color w:val="000000"/>
          <w:highlight w:val="white"/>
        </w:rPr>
        <w:t>para el periodo entre octubre de</w:t>
      </w:r>
      <w:r>
        <w:rPr>
          <w:rFonts w:ascii="Calibri" w:eastAsia="Calibri" w:hAnsi="Calibri" w:cs="Calibri"/>
          <w:highlight w:val="white"/>
        </w:rPr>
        <w:t xml:space="preserve"> </w:t>
      </w:r>
      <w:r>
        <w:rPr>
          <w:rFonts w:ascii="Calibri" w:eastAsia="Calibri" w:hAnsi="Calibri" w:cs="Calibri"/>
          <w:color w:val="000000"/>
          <w:highlight w:val="white"/>
        </w:rPr>
        <w:t xml:space="preserve">2019 </w:t>
      </w:r>
      <w:r>
        <w:rPr>
          <w:rFonts w:ascii="Calibri" w:eastAsia="Calibri" w:hAnsi="Calibri" w:cs="Calibri"/>
          <w:highlight w:val="white"/>
        </w:rPr>
        <w:t>y</w:t>
      </w:r>
      <w:r>
        <w:rPr>
          <w:rFonts w:ascii="Calibri" w:eastAsia="Calibri" w:hAnsi="Calibri" w:cs="Calibri"/>
          <w:color w:val="000000"/>
          <w:highlight w:val="white"/>
        </w:rPr>
        <w:t xml:space="preserve"> diciembre de 2022, es decir, desde la creación de Servicio de </w:t>
      </w:r>
      <w:r>
        <w:rPr>
          <w:rFonts w:ascii="Calibri" w:eastAsia="Calibri" w:hAnsi="Calibri" w:cs="Calibri"/>
          <w:color w:val="000000"/>
        </w:rPr>
        <w:t>Protección</w:t>
      </w:r>
      <w:r>
        <w:rPr>
          <w:rFonts w:ascii="Calibri" w:eastAsia="Calibri" w:hAnsi="Calibri" w:cs="Calibri"/>
          <w:color w:val="000000"/>
          <w:highlight w:val="white"/>
        </w:rPr>
        <w:t xml:space="preserve"> Especializada, hubo un total de 1.094 denuncias relativas a nuevas situaciones o hechos de violencia, lo cual da cuenta de un incremento cuadruplicado desde año 2020 al año 2022 aumentando de 153 denunci</w:t>
      </w:r>
      <w:r>
        <w:rPr>
          <w:rFonts w:ascii="Calibri" w:eastAsia="Calibri" w:hAnsi="Calibri" w:cs="Calibri"/>
          <w:highlight w:val="white"/>
        </w:rPr>
        <w:t>a</w:t>
      </w:r>
      <w:r>
        <w:rPr>
          <w:rFonts w:ascii="Calibri" w:eastAsia="Calibri" w:hAnsi="Calibri" w:cs="Calibri"/>
          <w:color w:val="000000"/>
          <w:highlight w:val="white"/>
        </w:rPr>
        <w:t xml:space="preserve">s a 651 en el último periodo mencionado. Respecto a delitos de contra la indemnidad sexual, el total del periodo descrito fue de 362 denuncias. En </w:t>
      </w:r>
      <w:r>
        <w:rPr>
          <w:rFonts w:ascii="Calibri" w:eastAsia="Calibri" w:hAnsi="Calibri" w:cs="Calibri"/>
          <w:highlight w:val="white"/>
        </w:rPr>
        <w:t>cuanto</w:t>
      </w:r>
      <w:r>
        <w:rPr>
          <w:rFonts w:ascii="Calibri" w:eastAsia="Calibri" w:hAnsi="Calibri" w:cs="Calibri"/>
          <w:color w:val="000000"/>
          <w:highlight w:val="white"/>
        </w:rPr>
        <w:t xml:space="preserve"> a aquellos, desde el año 2020 a 2022, se observó un aumento exponencial de la cantidad de denuncias, en un 6,7%.</w:t>
      </w:r>
    </w:p>
  </w:footnote>
  <w:footnote w:id="68">
    <w:p w14:paraId="0098BA42" w14:textId="77777777" w:rsidR="00BC4AAD" w:rsidRDefault="00997294">
      <w:pPr>
        <w:pBdr>
          <w:top w:val="nil"/>
          <w:left w:val="nil"/>
          <w:bottom w:val="nil"/>
          <w:right w:val="nil"/>
          <w:between w:val="nil"/>
        </w:pBdr>
        <w:tabs>
          <w:tab w:val="right" w:pos="1021"/>
        </w:tabs>
        <w:spacing w:line="220" w:lineRule="auto"/>
        <w:ind w:right="-79"/>
        <w:jc w:val="both"/>
        <w:rPr>
          <w:rFonts w:ascii="Calibri" w:eastAsia="Calibri" w:hAnsi="Calibri" w:cs="Calibri"/>
          <w:color w:val="000000"/>
        </w:rPr>
      </w:pPr>
      <w:r>
        <w:rPr>
          <w:vertAlign w:val="superscript"/>
        </w:rPr>
        <w:footnoteRef/>
      </w:r>
      <w:r>
        <w:rPr>
          <w:rFonts w:ascii="Calibri" w:eastAsia="Calibri" w:hAnsi="Calibri" w:cs="Calibri"/>
          <w:color w:val="000000"/>
        </w:rPr>
        <w:t xml:space="preserve"> </w:t>
      </w:r>
      <w:r>
        <w:rPr>
          <w:rFonts w:ascii="Calibri" w:eastAsia="Calibri" w:hAnsi="Calibri" w:cs="Calibri"/>
        </w:rPr>
        <w:t>Ley Nº 21.522, que introduce un nuevo párrafo en el Título VII del Libro II del Código Penal, relativo a la explotación sexual comercial y material pornográfico de niños, niñas y adolescentes.</w:t>
      </w:r>
    </w:p>
  </w:footnote>
  <w:footnote w:id="69">
    <w:p w14:paraId="7E2E155E" w14:textId="77777777" w:rsidR="00BC4AAD" w:rsidRDefault="00997294">
      <w:pPr>
        <w:pBdr>
          <w:top w:val="nil"/>
          <w:left w:val="nil"/>
          <w:bottom w:val="nil"/>
          <w:right w:val="nil"/>
          <w:between w:val="nil"/>
        </w:pBdr>
        <w:shd w:val="clear" w:color="auto" w:fill="FFFFFF"/>
        <w:spacing w:line="240" w:lineRule="auto"/>
        <w:jc w:val="both"/>
        <w:rPr>
          <w:rFonts w:ascii="Calibri" w:eastAsia="Calibri" w:hAnsi="Calibri" w:cs="Calibri"/>
        </w:rPr>
      </w:pPr>
      <w:r>
        <w:rPr>
          <w:vertAlign w:val="superscript"/>
        </w:rPr>
        <w:footnoteRef/>
      </w:r>
      <w:r>
        <w:rPr>
          <w:rFonts w:ascii="Calibri" w:eastAsia="Calibri" w:hAnsi="Calibri" w:cs="Calibri"/>
        </w:rPr>
        <w:t xml:space="preserve"> Chile implementó el Marco para la Acción contra la ESNNA que se reimpulsaba periódicamente, como instancia de trabajo coordinado entre la sociedad civil y los servicios estatales. De este modo, el año 1999 se realizó un Primer Marco, en colaboración con la sociedad civil y el apoyo técnico de UNICEF. Luego, un Segundo Marco para los años 2012-2014, a cargo del Ministerio de Justicia y Derechos Humanos y en ese entonces, SENAME. Ya con retraso, se presentó el Tercero, para el período 2017-2019, el cual, si bien contó con cinco líneas de acción a implementar, no logró relevar la necesidad de su continuidad para la elaboración del 4º Marco contra la ESNNA, manteniéndose en espera de su implementación por casi 5 años. Lamentablemente el Estado no ha logrado desarrollar sistemas eficaces para la detección, prevención, diagnóstico, tratamiento e investigación que deriven a su vez en una sanción penal efectiva, manteniéndose pendiente la convocatoria a una instancia colaborativa desde el año 2019. </w:t>
      </w:r>
    </w:p>
  </w:footnote>
  <w:footnote w:id="70">
    <w:p w14:paraId="48F6BB79" w14:textId="77777777" w:rsidR="00BC4AAD" w:rsidRDefault="00997294">
      <w:pPr>
        <w:pBdr>
          <w:top w:val="nil"/>
          <w:left w:val="nil"/>
          <w:bottom w:val="nil"/>
          <w:right w:val="nil"/>
          <w:between w:val="nil"/>
        </w:pBdr>
        <w:spacing w:line="240" w:lineRule="auto"/>
        <w:jc w:val="both"/>
        <w:rPr>
          <w:rFonts w:ascii="Calibri" w:eastAsia="Calibri" w:hAnsi="Calibri" w:cs="Calibri"/>
        </w:rPr>
      </w:pPr>
      <w:r>
        <w:rPr>
          <w:vertAlign w:val="superscript"/>
        </w:rPr>
        <w:footnoteRef/>
      </w:r>
      <w:r>
        <w:rPr>
          <w:rFonts w:ascii="Calibri" w:eastAsia="Calibri" w:hAnsi="Calibri" w:cs="Calibri"/>
        </w:rPr>
        <w:t xml:space="preserve"> Según información de la Mesa Intersectorial sobre la Trata de Personas, señalan que entre el 8 de abril de 2011 y el 31 de diciembre de 2021, se ingresaron sólo 10 denuncias por trata de menores de edad con fines de explotación sexual, en su mayoría mujeres, representando el 8% del total de víctimas.</w:t>
      </w:r>
    </w:p>
  </w:footnote>
  <w:footnote w:id="71">
    <w:p w14:paraId="3C82EDCB" w14:textId="77777777" w:rsidR="00BC4AAD" w:rsidRDefault="00997294">
      <w:pPr>
        <w:spacing w:line="240" w:lineRule="auto"/>
        <w:jc w:val="both"/>
        <w:rPr>
          <w:rFonts w:ascii="Calibri" w:eastAsia="Calibri" w:hAnsi="Calibri" w:cs="Calibri"/>
          <w:color w:val="000000"/>
          <w:sz w:val="18"/>
          <w:szCs w:val="18"/>
        </w:rPr>
      </w:pPr>
      <w:r>
        <w:rPr>
          <w:vertAlign w:val="superscript"/>
        </w:rPr>
        <w:footnoteRef/>
      </w:r>
      <w:r w:rsidR="00B92FDB">
        <w:rPr>
          <w:rFonts w:ascii="Calibri" w:eastAsia="Calibri" w:hAnsi="Calibri" w:cs="Calibri"/>
        </w:rPr>
        <w:t xml:space="preserve"> La l</w:t>
      </w:r>
      <w:r>
        <w:rPr>
          <w:rFonts w:ascii="Calibri" w:eastAsia="Calibri" w:hAnsi="Calibri" w:cs="Calibri"/>
        </w:rPr>
        <w:t>ey N° 21.430 sobre la Garantías y Protección Integral de la niñez y adolescencia que vincula con el sistema penal juvenil, principalmente en el Art. N° 16, que expresamente señala: “Prioridad. Los órganos del Estado deberán entregar la debida prioridad a los niños, niñas y adolescentes…Especial prioridad tendrán los niños y niñas vulnerados, y los adolescentes infractores de ley, en la atención en los servicios de salud, educación y rehabilitación de drogas y alcohol.” Y en el Art. N° 51: “Protección reforzada y especializada de los niños, niñas y adolescentes vulnerados en sus derechos y de los adolescentes en conflicto con la ley. …  El Estado contará con servicios de integración social de adolescentes infractores de ley, ambos de carácter especializados en su área, con personal, recursos financieros y despliegue territorial suficientes para dar atención oportuna y eficaz a todo niño, niña y adolescente que lo necesite. …. Asimismo, velarán por la integración social de los que infrinjan la ley. Lo a</w:t>
      </w:r>
      <w:r w:rsidR="00B92FDB">
        <w:rPr>
          <w:rFonts w:ascii="Calibri" w:eastAsia="Calibri" w:hAnsi="Calibri" w:cs="Calibri"/>
        </w:rPr>
        <w:t>nterior, se complementa con la l</w:t>
      </w:r>
      <w:r>
        <w:rPr>
          <w:rFonts w:ascii="Calibri" w:eastAsia="Calibri" w:hAnsi="Calibri" w:cs="Calibri"/>
        </w:rPr>
        <w:t>ey N° 21.527 que crea el Servicio Nacional de Reinserción Social Juvenil, aprobada el 12 de enero de 2023 que</w:t>
      </w:r>
      <w:r w:rsidR="00B92FDB">
        <w:rPr>
          <w:rFonts w:ascii="Calibri" w:eastAsia="Calibri" w:hAnsi="Calibri" w:cs="Calibri"/>
        </w:rPr>
        <w:t> introduce modificaciones a la l</w:t>
      </w:r>
      <w:r>
        <w:rPr>
          <w:rFonts w:ascii="Calibri" w:eastAsia="Calibri" w:hAnsi="Calibri" w:cs="Calibri"/>
        </w:rPr>
        <w:t>ey N° 20.084 sobre responsabilidad penal adolescentes y otras normas regulatorias, generando una mayor especialización tanto en la ley de fondo como en el sistema procesal y, en los actores judiciales, incorporando cambios en las leyes orgánicas de los jueces, fiscales y defensoría penal pública. </w:t>
      </w:r>
      <w:r>
        <w:rPr>
          <w:rFonts w:ascii="Calibri" w:eastAsia="Calibri" w:hAnsi="Calibri" w:cs="Calibri"/>
          <w:color w:val="000000"/>
          <w:sz w:val="18"/>
          <w:szCs w:val="18"/>
        </w:rPr>
        <w:t xml:space="preserve"> </w:t>
      </w:r>
    </w:p>
  </w:footnote>
  <w:footnote w:id="72">
    <w:p w14:paraId="05E9609D" w14:textId="77777777" w:rsidR="00BC4AAD" w:rsidRDefault="00997294">
      <w:pPr>
        <w:spacing w:line="240" w:lineRule="auto"/>
        <w:rPr>
          <w:rFonts w:ascii="Calibri" w:eastAsia="Calibri" w:hAnsi="Calibri" w:cs="Calibri"/>
        </w:rPr>
      </w:pPr>
      <w:r>
        <w:rPr>
          <w:vertAlign w:val="superscript"/>
        </w:rPr>
        <w:footnoteRef/>
      </w:r>
      <w:r>
        <w:rPr>
          <w:rFonts w:ascii="Calibri" w:eastAsia="Calibri" w:hAnsi="Calibri" w:cs="Calibri"/>
        </w:rPr>
        <w:t xml:space="preserve"> Defensoría de la Niñez, Documento de trabajo 4, Niños, niñas y adolescentes víctimas de homicidio y lesiones por armas de fuego, enero de 2024, disponible en: </w:t>
      </w:r>
      <w:hyperlink r:id="rId19" w:history="1">
        <w:r w:rsidR="00696C2A" w:rsidRPr="0002275D">
          <w:rPr>
            <w:rStyle w:val="Hipervnculo"/>
            <w:rFonts w:ascii="Calibri" w:eastAsia="Calibri" w:hAnsi="Calibri" w:cs="Calibri"/>
          </w:rPr>
          <w:t>https://observatorio.defensorianinez.cl/wp-content/uploads/2024/01/Documento-de-trabajo-Armas-de-fuego.pdf</w:t>
        </w:r>
      </w:hyperlink>
      <w:r w:rsidR="00696C2A">
        <w:rPr>
          <w:rFonts w:ascii="Calibri" w:eastAsia="Calibri" w:hAnsi="Calibri" w:cs="Calibri"/>
        </w:rPr>
        <w:t xml:space="preserve"> </w:t>
      </w:r>
    </w:p>
  </w:footnote>
  <w:footnote w:id="73">
    <w:p w14:paraId="652C0EAC" w14:textId="77777777" w:rsidR="00BD6689" w:rsidRPr="00BD6689" w:rsidRDefault="00BD6689" w:rsidP="00BD6689">
      <w:pPr>
        <w:pStyle w:val="Textonotapie"/>
        <w:tabs>
          <w:tab w:val="clear" w:pos="1021"/>
        </w:tabs>
        <w:ind w:left="0" w:right="49" w:firstLine="0"/>
        <w:jc w:val="both"/>
        <w:rPr>
          <w:rFonts w:asciiTheme="minorHAnsi" w:hAnsiTheme="minorHAnsi" w:cstheme="minorHAnsi"/>
          <w:sz w:val="20"/>
        </w:rPr>
      </w:pPr>
      <w:r w:rsidRPr="00BD6689">
        <w:rPr>
          <w:rStyle w:val="Refdenotaalpie"/>
          <w:rFonts w:asciiTheme="minorHAnsi" w:hAnsiTheme="minorHAnsi" w:cstheme="minorHAnsi"/>
          <w:sz w:val="20"/>
        </w:rPr>
        <w:footnoteRef/>
      </w:r>
      <w:r w:rsidRPr="00BD6689">
        <w:rPr>
          <w:rFonts w:asciiTheme="minorHAnsi" w:hAnsiTheme="minorHAnsi" w:cstheme="minorHAnsi"/>
          <w:sz w:val="20"/>
        </w:rPr>
        <w:t xml:space="preserve"> Ley N° 20.084 que Establece Un Sistema De Responsabilidad De Los Adolescentes Por Infracciones A La Ley Penal. “Artículo 3º.- Límites de edad a la responsabilidad. La presente ley se aplicará a quienes al momento en que se hubiere dado principio de ejecución del delito sean mayores de catorce y menores de dieciocho años, los que, para los efectos de esta ley, se consideran adolescentes. En el caso que el delito tenga su inicio entre los catorce y los dieciocho años del imputado y su consumación se prolongue en el tiempo más allá de los dieciocho años de edad, la legislación aplicable será la que rija para los imputados mayores de edad”.</w:t>
      </w:r>
    </w:p>
  </w:footnote>
  <w:footnote w:id="74">
    <w:p w14:paraId="663BB9B1" w14:textId="77777777" w:rsidR="00BC4AAD" w:rsidRDefault="00997294">
      <w:pPr>
        <w:pBdr>
          <w:top w:val="nil"/>
          <w:left w:val="nil"/>
          <w:bottom w:val="nil"/>
          <w:right w:val="nil"/>
          <w:between w:val="nil"/>
        </w:pBdr>
        <w:spacing w:line="240" w:lineRule="auto"/>
        <w:jc w:val="both"/>
        <w:rPr>
          <w:rFonts w:ascii="Calibri" w:eastAsia="Calibri" w:hAnsi="Calibri" w:cs="Calibri"/>
        </w:rPr>
      </w:pPr>
      <w:r>
        <w:rPr>
          <w:vertAlign w:val="superscript"/>
        </w:rPr>
        <w:footnoteRef/>
      </w:r>
      <w:r>
        <w:rPr>
          <w:rFonts w:ascii="Calibri" w:eastAsia="Calibri" w:hAnsi="Calibri" w:cs="Calibri"/>
        </w:rPr>
        <w:t xml:space="preserve"> Comité de Derechos Humanos, observación general núm. 29 (2001), relativa a la suspensión de obligaciones durante un estado de excepción; y Principios de Siracusa sobre las Disposiciones de Limitación y Derogación del Pacto Internacional de Derechos Civiles y Políticos, (Principios de Siracusa) (E/CN.4/1985/4, anexo).</w:t>
      </w:r>
    </w:p>
  </w:footnote>
  <w:footnote w:id="75">
    <w:p w14:paraId="1C4FBA02" w14:textId="77777777" w:rsidR="00BC4AAD" w:rsidRDefault="00997294">
      <w:pPr>
        <w:pBdr>
          <w:top w:val="nil"/>
          <w:left w:val="nil"/>
          <w:bottom w:val="nil"/>
          <w:right w:val="nil"/>
          <w:between w:val="nil"/>
        </w:pBdr>
        <w:tabs>
          <w:tab w:val="right" w:pos="1021"/>
        </w:tabs>
        <w:spacing w:line="240" w:lineRule="auto"/>
        <w:ind w:left="1134" w:right="1134" w:hanging="1134"/>
        <w:jc w:val="both"/>
        <w:rPr>
          <w:rFonts w:ascii="Calibri" w:eastAsia="Calibri" w:hAnsi="Calibri" w:cs="Calibri"/>
          <w:color w:val="000000"/>
        </w:rPr>
      </w:pPr>
      <w:r>
        <w:rPr>
          <w:vertAlign w:val="superscript"/>
        </w:rPr>
        <w:footnoteRef/>
      </w:r>
      <w:r>
        <w:rPr>
          <w:rFonts w:ascii="Calibri" w:eastAsia="Calibri" w:hAnsi="Calibri" w:cs="Calibri"/>
          <w:color w:val="000000"/>
        </w:rPr>
        <w:t xml:space="preserve"> Comisión de Observadores de Derechos Humanos Casa Memoria José Domingo Cañas.</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CF565F" w14:textId="77777777" w:rsidR="00BC4AAD" w:rsidRDefault="00997294">
    <w:pPr>
      <w:pBdr>
        <w:top w:val="nil"/>
        <w:left w:val="nil"/>
        <w:bottom w:val="single" w:sz="4" w:space="4" w:color="000000"/>
        <w:right w:val="nil"/>
        <w:between w:val="nil"/>
      </w:pBdr>
      <w:spacing w:line="240" w:lineRule="auto"/>
      <w:rPr>
        <w:b/>
        <w:color w:val="000000"/>
        <w:sz w:val="18"/>
        <w:szCs w:val="18"/>
      </w:rPr>
    </w:pPr>
    <w:r>
      <w:rPr>
        <w:b/>
        <w:color w:val="000000"/>
        <w:sz w:val="18"/>
        <w:szCs w:val="18"/>
      </w:rPr>
      <w:t>CCPR/C/CHL/QPR/7</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BCDB2F" w14:textId="4C99D893" w:rsidR="00F214D2" w:rsidRDefault="00F214D2" w:rsidP="00F214D2">
    <w:pPr>
      <w:jc w:val="center"/>
    </w:pPr>
  </w:p>
  <w:p w14:paraId="5887570A" w14:textId="39D4C037" w:rsidR="00F214D2" w:rsidRPr="00F214D2" w:rsidRDefault="00F214D2" w:rsidP="00F214D2">
    <w:pP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1581B"/>
    <w:multiLevelType w:val="multilevel"/>
    <w:tmpl w:val="8AD0C2B4"/>
    <w:lvl w:ilvl="0">
      <w:start w:val="1"/>
      <w:numFmt w:val="bullet"/>
      <w:pStyle w:val="Listaconnmeros"/>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E440555"/>
    <w:multiLevelType w:val="multilevel"/>
    <w:tmpl w:val="7EBC875E"/>
    <w:lvl w:ilvl="0">
      <w:start w:val="1"/>
      <w:numFmt w:val="bullet"/>
      <w:pStyle w:val="Bullet2G"/>
      <w:lvlText w:val="●"/>
      <w:lvlJc w:val="left"/>
      <w:pPr>
        <w:ind w:left="720" w:hanging="360"/>
      </w:pPr>
      <w:rPr>
        <w:rFonts w:ascii="Noto Sans Symbols" w:eastAsia="Noto Sans Symbols" w:hAnsi="Noto Sans Symbols" w:cs="Noto Sans Symbols"/>
      </w:rPr>
    </w:lvl>
    <w:lvl w:ilvl="1">
      <w:numFmt w:val="bullet"/>
      <w:lvlText w:val="-"/>
      <w:lvlJc w:val="left"/>
      <w:pPr>
        <w:ind w:left="1440" w:hanging="360"/>
      </w:pPr>
      <w:rPr>
        <w:rFonts w:ascii="Calibri" w:eastAsia="Calibri" w:hAnsi="Calibri" w:cs="Calibri"/>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125D2C86"/>
    <w:multiLevelType w:val="multilevel"/>
    <w:tmpl w:val="8A1280AE"/>
    <w:lvl w:ilvl="0">
      <w:start w:val="1"/>
      <w:numFmt w:val="bullet"/>
      <w:pStyle w:val="Bullet1G"/>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16893AFD"/>
    <w:multiLevelType w:val="multilevel"/>
    <w:tmpl w:val="5ACE0CC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26596FAE"/>
    <w:multiLevelType w:val="multilevel"/>
    <w:tmpl w:val="6F242E7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5" w15:restartNumberingAfterBreak="0">
    <w:nsid w:val="5161497D"/>
    <w:multiLevelType w:val="multilevel"/>
    <w:tmpl w:val="EDBE13B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5A7A333C"/>
    <w:multiLevelType w:val="multilevel"/>
    <w:tmpl w:val="91D63A5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7B2E700F"/>
    <w:multiLevelType w:val="multilevel"/>
    <w:tmpl w:val="904AD4C6"/>
    <w:lvl w:ilvl="0">
      <w:start w:val="1"/>
      <w:numFmt w:val="bullet"/>
      <w:pStyle w:val="Listaconnmeros2"/>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2"/>
  </w:num>
  <w:num w:numId="2">
    <w:abstractNumId w:val="1"/>
  </w:num>
  <w:num w:numId="3">
    <w:abstractNumId w:val="5"/>
  </w:num>
  <w:num w:numId="4">
    <w:abstractNumId w:val="6"/>
  </w:num>
  <w:num w:numId="5">
    <w:abstractNumId w:val="4"/>
  </w:num>
  <w:num w:numId="6">
    <w:abstractNumId w:val="0"/>
  </w:num>
  <w:num w:numId="7">
    <w:abstractNumId w:val="7"/>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4AAD"/>
    <w:rsid w:val="00051736"/>
    <w:rsid w:val="000A0FD8"/>
    <w:rsid w:val="0027351D"/>
    <w:rsid w:val="002B099F"/>
    <w:rsid w:val="002F33AA"/>
    <w:rsid w:val="005526FE"/>
    <w:rsid w:val="00564CE3"/>
    <w:rsid w:val="00696C2A"/>
    <w:rsid w:val="007A44BE"/>
    <w:rsid w:val="008D7500"/>
    <w:rsid w:val="00940EDC"/>
    <w:rsid w:val="0095743C"/>
    <w:rsid w:val="009867D5"/>
    <w:rsid w:val="00997294"/>
    <w:rsid w:val="009A2238"/>
    <w:rsid w:val="00AC12EC"/>
    <w:rsid w:val="00B44E3E"/>
    <w:rsid w:val="00B52D49"/>
    <w:rsid w:val="00B92FDB"/>
    <w:rsid w:val="00BC4AAD"/>
    <w:rsid w:val="00BD0840"/>
    <w:rsid w:val="00BD6689"/>
    <w:rsid w:val="00DC47F9"/>
    <w:rsid w:val="00EB548B"/>
    <w:rsid w:val="00F16D49"/>
    <w:rsid w:val="00F214D2"/>
    <w:rsid w:val="00F55EB1"/>
    <w:rsid w:val="00F902D0"/>
    <w:rsid w:val="00F9608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3956911"/>
  <w15:docId w15:val="{FAD0C821-717A-4F23-A797-7E0FEBA321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87BA6"/>
    <w:pPr>
      <w:spacing w:line="240" w:lineRule="atLeast"/>
    </w:pPr>
    <w:rPr>
      <w:lang w:eastAsia="es-ES"/>
    </w:rPr>
  </w:style>
  <w:style w:type="paragraph" w:styleId="Ttulo1">
    <w:name w:val="heading 1"/>
    <w:aliases w:val="Table_G"/>
    <w:basedOn w:val="SingleTxtG"/>
    <w:next w:val="SingleTxtG"/>
    <w:uiPriority w:val="9"/>
    <w:qFormat/>
    <w:rsid w:val="004875CF"/>
    <w:pPr>
      <w:keepNext/>
      <w:spacing w:after="0" w:line="240" w:lineRule="auto"/>
      <w:outlineLvl w:val="0"/>
    </w:pPr>
    <w:rPr>
      <w:rFonts w:cs="Arial"/>
      <w:bCs/>
      <w:szCs w:val="32"/>
    </w:rPr>
  </w:style>
  <w:style w:type="paragraph" w:styleId="Ttulo2">
    <w:name w:val="heading 2"/>
    <w:basedOn w:val="Normal"/>
    <w:next w:val="Normal"/>
    <w:uiPriority w:val="9"/>
    <w:semiHidden/>
    <w:unhideWhenUsed/>
    <w:qFormat/>
    <w:rsid w:val="00C76505"/>
    <w:pPr>
      <w:keepNext/>
      <w:outlineLvl w:val="1"/>
    </w:pPr>
    <w:rPr>
      <w:rFonts w:cs="Arial"/>
      <w:bCs/>
      <w:iCs/>
      <w:szCs w:val="28"/>
    </w:rPr>
  </w:style>
  <w:style w:type="paragraph" w:styleId="Ttulo3">
    <w:name w:val="heading 3"/>
    <w:basedOn w:val="Normal"/>
    <w:next w:val="Normal"/>
    <w:uiPriority w:val="9"/>
    <w:semiHidden/>
    <w:unhideWhenUsed/>
    <w:qFormat/>
    <w:rsid w:val="00C76505"/>
    <w:pPr>
      <w:keepNext/>
      <w:spacing w:before="240" w:after="60"/>
      <w:outlineLvl w:val="2"/>
    </w:pPr>
    <w:rPr>
      <w:rFonts w:ascii="Arial" w:hAnsi="Arial" w:cs="Arial"/>
      <w:b/>
      <w:bCs/>
      <w:sz w:val="26"/>
      <w:szCs w:val="26"/>
    </w:rPr>
  </w:style>
  <w:style w:type="paragraph" w:styleId="Ttulo4">
    <w:name w:val="heading 4"/>
    <w:basedOn w:val="Normal"/>
    <w:next w:val="Normal"/>
    <w:uiPriority w:val="9"/>
    <w:semiHidden/>
    <w:unhideWhenUsed/>
    <w:qFormat/>
    <w:rsid w:val="00C76505"/>
    <w:pPr>
      <w:keepNext/>
      <w:spacing w:before="240" w:after="60"/>
      <w:outlineLvl w:val="3"/>
    </w:pPr>
    <w:rPr>
      <w:b/>
      <w:bCs/>
      <w:sz w:val="28"/>
      <w:szCs w:val="28"/>
    </w:rPr>
  </w:style>
  <w:style w:type="paragraph" w:styleId="Ttulo5">
    <w:name w:val="heading 5"/>
    <w:basedOn w:val="Normal"/>
    <w:next w:val="Normal"/>
    <w:uiPriority w:val="9"/>
    <w:semiHidden/>
    <w:unhideWhenUsed/>
    <w:qFormat/>
    <w:rsid w:val="00C76505"/>
    <w:pPr>
      <w:spacing w:before="240" w:after="60"/>
      <w:outlineLvl w:val="4"/>
    </w:pPr>
    <w:rPr>
      <w:b/>
      <w:bCs/>
      <w:i/>
      <w:iCs/>
      <w:sz w:val="26"/>
      <w:szCs w:val="26"/>
    </w:rPr>
  </w:style>
  <w:style w:type="paragraph" w:styleId="Ttulo6">
    <w:name w:val="heading 6"/>
    <w:basedOn w:val="Normal"/>
    <w:next w:val="Normal"/>
    <w:uiPriority w:val="9"/>
    <w:semiHidden/>
    <w:unhideWhenUsed/>
    <w:qFormat/>
    <w:rsid w:val="00C76505"/>
    <w:pPr>
      <w:spacing w:before="240" w:after="60"/>
      <w:outlineLvl w:val="5"/>
    </w:pPr>
    <w:rPr>
      <w:b/>
      <w:bCs/>
      <w:sz w:val="22"/>
      <w:szCs w:val="22"/>
    </w:rPr>
  </w:style>
  <w:style w:type="paragraph" w:styleId="Ttulo7">
    <w:name w:val="heading 7"/>
    <w:basedOn w:val="Normal"/>
    <w:next w:val="Normal"/>
    <w:semiHidden/>
    <w:rsid w:val="00C76505"/>
    <w:pPr>
      <w:spacing w:before="240" w:after="60"/>
      <w:outlineLvl w:val="6"/>
    </w:pPr>
    <w:rPr>
      <w:sz w:val="24"/>
      <w:szCs w:val="24"/>
    </w:rPr>
  </w:style>
  <w:style w:type="paragraph" w:styleId="Ttulo8">
    <w:name w:val="heading 8"/>
    <w:basedOn w:val="Normal"/>
    <w:next w:val="Normal"/>
    <w:semiHidden/>
    <w:rsid w:val="00C76505"/>
    <w:pPr>
      <w:spacing w:before="240" w:after="60"/>
      <w:outlineLvl w:val="7"/>
    </w:pPr>
    <w:rPr>
      <w:i/>
      <w:iCs/>
      <w:sz w:val="24"/>
      <w:szCs w:val="24"/>
    </w:rPr>
  </w:style>
  <w:style w:type="paragraph" w:styleId="Ttulo9">
    <w:name w:val="heading 9"/>
    <w:basedOn w:val="Normal"/>
    <w:next w:val="Normal"/>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uiPriority w:val="10"/>
    <w:qFormat/>
    <w:rsid w:val="00C76505"/>
    <w:pPr>
      <w:spacing w:before="240" w:after="60"/>
      <w:jc w:val="center"/>
      <w:outlineLvl w:val="0"/>
    </w:pPr>
    <w:rPr>
      <w:rFonts w:ascii="Arial" w:hAnsi="Arial" w:cs="Arial"/>
      <w:b/>
      <w:bCs/>
      <w:kern w:val="28"/>
      <w:sz w:val="32"/>
      <w:szCs w:val="32"/>
    </w:rPr>
  </w:style>
  <w:style w:type="character" w:styleId="Refdenotaalpie">
    <w:name w:val="footnote reference"/>
    <w:aliases w:val="4_G"/>
    <w:basedOn w:val="Fuentedeprrafopredeter"/>
    <w:uiPriority w:val="99"/>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99"/>
    <w:rsid w:val="00C76505"/>
    <w:pPr>
      <w:tabs>
        <w:tab w:val="right" w:pos="1021"/>
      </w:tabs>
      <w:spacing w:line="220" w:lineRule="exact"/>
      <w:ind w:left="1134" w:right="1134" w:hanging="1134"/>
    </w:pPr>
    <w:rPr>
      <w:sz w:val="18"/>
    </w:rPr>
  </w:style>
  <w:style w:type="table" w:styleId="Tablaconcuadrcula">
    <w:name w:val="Table Grid"/>
    <w:basedOn w:val="Tablanormal"/>
    <w:uiPriority w:val="39"/>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C76505"/>
  </w:style>
  <w:style w:type="numbering" w:styleId="1ai">
    <w:name w:val="Outline List 1"/>
    <w:basedOn w:val="Sinlista"/>
    <w:semiHidden/>
    <w:rsid w:val="00C76505"/>
  </w:style>
  <w:style w:type="character" w:styleId="AcrnimoHTML">
    <w:name w:val="HTML Acronym"/>
    <w:basedOn w:val="Fuentedeprrafopredeter"/>
    <w:semiHidden/>
    <w:rsid w:val="00C76505"/>
  </w:style>
  <w:style w:type="numbering" w:styleId="ArtculoSeccin">
    <w:name w:val="Outline List 3"/>
    <w:basedOn w:val="Sinlista"/>
    <w:semiHidden/>
    <w:rsid w:val="00C76505"/>
  </w:style>
  <w:style w:type="paragraph" w:styleId="Cierre">
    <w:name w:val="Closing"/>
    <w:basedOn w:val="Normal"/>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basedOn w:val="Fuentedeprrafopredeter"/>
    <w:uiPriority w:val="20"/>
    <w:qFormat/>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basedOn w:val="Fuentedeprrafopredeter"/>
    <w:rsid w:val="007A0D9C"/>
    <w:rPr>
      <w:color w:val="0000FF"/>
      <w:u w:val="none"/>
    </w:rPr>
  </w:style>
  <w:style w:type="character" w:styleId="Hipervnculovisitado">
    <w:name w:val="FollowedHyperlink"/>
    <w:basedOn w:val="Fuentedeprrafopredeter"/>
    <w:rsid w:val="007A0D9C"/>
    <w:rPr>
      <w:color w:val="0000FF"/>
      <w:u w:val="non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tabs>
        <w:tab w:val="num" w:pos="720"/>
      </w:tabs>
      <w:ind w:left="720" w:hanging="720"/>
    </w:pPr>
  </w:style>
  <w:style w:type="paragraph" w:styleId="Listaconnmeros4">
    <w:name w:val="List Number 4"/>
    <w:basedOn w:val="Normal"/>
    <w:semiHidden/>
    <w:rsid w:val="00C76505"/>
    <w:pPr>
      <w:tabs>
        <w:tab w:val="num" w:pos="720"/>
      </w:tabs>
      <w:ind w:left="720" w:hanging="720"/>
    </w:pPr>
  </w:style>
  <w:style w:type="paragraph" w:styleId="Listaconnmeros5">
    <w:name w:val="List Number 5"/>
    <w:basedOn w:val="Normal"/>
    <w:semiHidden/>
    <w:rsid w:val="00C76505"/>
    <w:pPr>
      <w:tabs>
        <w:tab w:val="num" w:pos="720"/>
      </w:tabs>
      <w:ind w:left="720" w:hanging="720"/>
    </w:pPr>
  </w:style>
  <w:style w:type="paragraph" w:styleId="Listaconvietas">
    <w:name w:val="List Bullet"/>
    <w:basedOn w:val="Normal"/>
    <w:semiHidden/>
    <w:rsid w:val="00C76505"/>
    <w:pPr>
      <w:tabs>
        <w:tab w:val="num" w:pos="720"/>
      </w:tabs>
      <w:ind w:left="720" w:hanging="720"/>
    </w:pPr>
  </w:style>
  <w:style w:type="paragraph" w:styleId="Listaconvietas2">
    <w:name w:val="List Bullet 2"/>
    <w:basedOn w:val="Normal"/>
    <w:semiHidden/>
    <w:rsid w:val="00C76505"/>
    <w:pPr>
      <w:tabs>
        <w:tab w:val="num" w:pos="720"/>
      </w:tabs>
      <w:ind w:left="720" w:hanging="720"/>
    </w:pPr>
  </w:style>
  <w:style w:type="paragraph" w:styleId="Listaconvietas3">
    <w:name w:val="List Bullet 3"/>
    <w:basedOn w:val="Normal"/>
    <w:semiHidden/>
    <w:rsid w:val="00C76505"/>
    <w:pPr>
      <w:tabs>
        <w:tab w:val="num" w:pos="720"/>
      </w:tabs>
      <w:ind w:left="720" w:hanging="720"/>
    </w:pPr>
  </w:style>
  <w:style w:type="paragraph" w:styleId="Listaconvietas4">
    <w:name w:val="List Bullet 4"/>
    <w:basedOn w:val="Normal"/>
    <w:semiHidden/>
    <w:rsid w:val="00C76505"/>
    <w:pPr>
      <w:tabs>
        <w:tab w:val="num" w:pos="720"/>
      </w:tabs>
      <w:ind w:left="720" w:hanging="720"/>
    </w:pPr>
  </w:style>
  <w:style w:type="paragraph" w:styleId="Listaconvietas5">
    <w:name w:val="List Bullet 5"/>
    <w:basedOn w:val="Normal"/>
    <w:semiHidden/>
    <w:rsid w:val="00C76505"/>
    <w:pPr>
      <w:tabs>
        <w:tab w:val="num" w:pos="720"/>
      </w:tabs>
      <w:ind w:left="720" w:hanging="720"/>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uiPriority w:val="99"/>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rsid w:val="00C76505"/>
    <w:rPr>
      <w:b/>
      <w:sz w:val="18"/>
    </w:rPr>
  </w:style>
  <w:style w:type="character" w:styleId="Refdenotaalfinal">
    <w:name w:val="endnote reference"/>
    <w:aliases w:val="1_G"/>
    <w:basedOn w:val="Refdenotaalpie"/>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next w:val="Normal"/>
    <w:pPr>
      <w:spacing w:after="60"/>
      <w:jc w:val="center"/>
    </w:pPr>
    <w:rPr>
      <w:rFonts w:ascii="Arial" w:eastAsia="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uiPriority w:val="22"/>
    <w:qFormat/>
    <w:rsid w:val="00C76505"/>
    <w:rPr>
      <w:b/>
      <w:bCs/>
    </w:rPr>
  </w:style>
  <w:style w:type="paragraph" w:styleId="Textoindependiente">
    <w:name w:val="Body Text"/>
    <w:basedOn w:val="Normal"/>
    <w:semiHidden/>
    <w:rsid w:val="00C76505"/>
    <w:pPr>
      <w:spacing w:after="120"/>
    </w:pPr>
  </w:style>
  <w:style w:type="paragraph" w:styleId="Textoindependiente2">
    <w:name w:val="Body Text 2"/>
    <w:basedOn w:val="Normal"/>
    <w:semiHidden/>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rsid w:val="00C76505"/>
  </w:style>
  <w:style w:type="paragraph" w:styleId="Textosinformato">
    <w:name w:val="Plain Text"/>
    <w:basedOn w:val="Normal"/>
    <w:semiHidden/>
    <w:rsid w:val="00C76505"/>
    <w:rPr>
      <w:rFonts w:ascii="Courier New" w:hAnsi="Courier New" w:cs="Courier New"/>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paragraph" w:styleId="Textodeglobo">
    <w:name w:val="Balloon Text"/>
    <w:basedOn w:val="Normal"/>
    <w:link w:val="TextodegloboCar"/>
    <w:semiHidden/>
    <w:rsid w:val="00411A36"/>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11A36"/>
    <w:rPr>
      <w:rFonts w:ascii="Tahoma" w:hAnsi="Tahoma" w:cs="Tahoma"/>
      <w:sz w:val="16"/>
      <w:szCs w:val="16"/>
      <w:lang w:val="es-ES" w:eastAsia="es-ES"/>
    </w:rPr>
  </w:style>
  <w:style w:type="paragraph" w:styleId="Prrafodelista">
    <w:name w:val="List Paragraph"/>
    <w:basedOn w:val="Normal"/>
    <w:uiPriority w:val="34"/>
    <w:qFormat/>
    <w:rsid w:val="009809D5"/>
    <w:pPr>
      <w:ind w:left="720"/>
      <w:contextualSpacing/>
    </w:pPr>
  </w:style>
  <w:style w:type="character" w:styleId="Refdecomentario">
    <w:name w:val="annotation reference"/>
    <w:basedOn w:val="Fuentedeprrafopredeter"/>
    <w:semiHidden/>
    <w:unhideWhenUsed/>
    <w:rsid w:val="006B34A8"/>
    <w:rPr>
      <w:sz w:val="16"/>
      <w:szCs w:val="16"/>
    </w:rPr>
  </w:style>
  <w:style w:type="paragraph" w:styleId="Textocomentario">
    <w:name w:val="annotation text"/>
    <w:basedOn w:val="Normal"/>
    <w:link w:val="TextocomentarioCar"/>
    <w:uiPriority w:val="99"/>
    <w:semiHidden/>
    <w:unhideWhenUsed/>
    <w:rsid w:val="006B34A8"/>
    <w:pPr>
      <w:spacing w:line="240" w:lineRule="auto"/>
    </w:pPr>
  </w:style>
  <w:style w:type="character" w:customStyle="1" w:styleId="TextocomentarioCar">
    <w:name w:val="Texto comentario Car"/>
    <w:basedOn w:val="Fuentedeprrafopredeter"/>
    <w:link w:val="Textocomentario"/>
    <w:uiPriority w:val="99"/>
    <w:semiHidden/>
    <w:rsid w:val="006B34A8"/>
    <w:rPr>
      <w:lang w:val="es-ES" w:eastAsia="es-ES"/>
    </w:rPr>
  </w:style>
  <w:style w:type="paragraph" w:styleId="Asuntodelcomentario">
    <w:name w:val="annotation subject"/>
    <w:basedOn w:val="Textocomentario"/>
    <w:next w:val="Textocomentario"/>
    <w:link w:val="AsuntodelcomentarioCar"/>
    <w:semiHidden/>
    <w:unhideWhenUsed/>
    <w:rsid w:val="006B34A8"/>
    <w:rPr>
      <w:b/>
      <w:bCs/>
    </w:rPr>
  </w:style>
  <w:style w:type="character" w:customStyle="1" w:styleId="AsuntodelcomentarioCar">
    <w:name w:val="Asunto del comentario Car"/>
    <w:basedOn w:val="TextocomentarioCar"/>
    <w:link w:val="Asuntodelcomentario"/>
    <w:semiHidden/>
    <w:rsid w:val="006B34A8"/>
    <w:rPr>
      <w:b/>
      <w:bCs/>
      <w:lang w:val="es-ES" w:eastAsia="es-ES"/>
    </w:rPr>
  </w:style>
  <w:style w:type="character" w:customStyle="1" w:styleId="y2iqfc">
    <w:name w:val="y2iqfc"/>
    <w:basedOn w:val="Fuentedeprrafopredeter"/>
    <w:rsid w:val="00767E74"/>
  </w:style>
  <w:style w:type="character" w:customStyle="1" w:styleId="TextonotapieCar">
    <w:name w:val="Texto nota pie Car"/>
    <w:aliases w:val="5_G Car"/>
    <w:basedOn w:val="Fuentedeprrafopredeter"/>
    <w:link w:val="Textonotapie"/>
    <w:uiPriority w:val="99"/>
    <w:rsid w:val="00767E74"/>
    <w:rPr>
      <w:sz w:val="18"/>
      <w:lang w:val="es-ES" w:eastAsia="es-ES"/>
    </w:rPr>
  </w:style>
  <w:style w:type="paragraph" w:customStyle="1" w:styleId="Default">
    <w:name w:val="Default"/>
    <w:rsid w:val="00767E74"/>
    <w:pPr>
      <w:autoSpaceDE w:val="0"/>
      <w:autoSpaceDN w:val="0"/>
      <w:adjustRightInd w:val="0"/>
    </w:pPr>
    <w:rPr>
      <w:rFonts w:ascii="Calibri" w:eastAsiaTheme="minorHAnsi" w:hAnsi="Calibri" w:cs="Calibri"/>
      <w:color w:val="000000"/>
      <w:sz w:val="24"/>
      <w:szCs w:val="24"/>
      <w:lang w:val="es-ES_tradnl"/>
    </w:rPr>
  </w:style>
  <w:style w:type="paragraph" w:styleId="Revisin">
    <w:name w:val="Revision"/>
    <w:hidden/>
    <w:uiPriority w:val="99"/>
    <w:semiHidden/>
    <w:rsid w:val="00AB6824"/>
    <w:rPr>
      <w:lang w:eastAsia="es-ES"/>
    </w:rPr>
  </w:style>
  <w:style w:type="table" w:customStyle="1" w:styleId="1">
    <w:name w:val="1"/>
    <w:basedOn w:val="Tablanormal"/>
    <w:tblPr>
      <w:tblStyleRowBandSize w:val="1"/>
      <w:tblStyleColBandSize w:val="1"/>
      <w:tblCellMar>
        <w:left w:w="115" w:type="dxa"/>
        <w:right w:w="115" w:type="dxa"/>
      </w:tblCellMar>
    </w:tblPr>
  </w:style>
  <w:style w:type="character" w:customStyle="1" w:styleId="Ninguno">
    <w:name w:val="Ninguno"/>
    <w:rsid w:val="001821AC"/>
  </w:style>
  <w:style w:type="paragraph" w:customStyle="1" w:styleId="Cuerpo">
    <w:name w:val="Cuerpo"/>
    <w:rsid w:val="001821AC"/>
    <w:pPr>
      <w:pBdr>
        <w:top w:val="nil"/>
        <w:left w:val="nil"/>
        <w:bottom w:val="nil"/>
        <w:right w:val="nil"/>
        <w:between w:val="nil"/>
        <w:bar w:val="nil"/>
      </w:pBdr>
    </w:pPr>
    <w:rPr>
      <w:rFonts w:ascii="Calibri" w:eastAsia="Calibri" w:hAnsi="Calibri" w:cs="Calibri"/>
      <w:color w:val="000000"/>
      <w:sz w:val="24"/>
      <w:szCs w:val="24"/>
      <w:u w:color="000000"/>
      <w:bdr w:val="nil"/>
      <w:lang w:eastAsia="es-CL"/>
    </w:rPr>
  </w:style>
  <w:style w:type="table" w:customStyle="1" w:styleId="2">
    <w:name w:val="2"/>
    <w:basedOn w:val="TableNormal"/>
    <w:rPr>
      <w:b/>
      <w:color w:val="FFFFFF"/>
    </w:rPr>
    <w:tblPr>
      <w:tblStyleRowBandSize w:val="1"/>
      <w:tblStyleColBandSize w:val="1"/>
      <w:tblCellMar>
        <w:left w:w="115" w:type="dxa"/>
        <w:right w:w="115" w:type="dxa"/>
      </w:tblCellMar>
    </w:tblPr>
    <w:tcPr>
      <w:shd w:val="clear" w:color="auto" w:fill="auto"/>
    </w:tc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4200041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s://www.bcn.cl/leychile/navegar?idNorma=1003601"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2.xml"/></Relationships>
</file>

<file path=word/_rels/footnotes.xml.rels><?xml version="1.0" encoding="UTF-8" standalone="yes"?>
<Relationships xmlns="http://schemas.openxmlformats.org/package/2006/relationships"><Relationship Id="rId8" Type="http://schemas.openxmlformats.org/officeDocument/2006/relationships/hyperlink" Target="https://diprece.minsal.cl/wp-content/uploads/2019/11/MINSAL-2000-Norma-T%C3%A9cnica-TEC.pdf" TargetMode="External"/><Relationship Id="rId13" Type="http://schemas.openxmlformats.org/officeDocument/2006/relationships/hyperlink" Target="https://www.migracionenchile.cl/publicaciones" TargetMode="External"/><Relationship Id="rId18" Type="http://schemas.openxmlformats.org/officeDocument/2006/relationships/hyperlink" Target="https://amparoyjusticia.cl/wp-content/uploads/2023/04/Estudio-Fundacion-amparo-y-Justicia.pdf" TargetMode="External"/><Relationship Id="rId3" Type="http://schemas.openxmlformats.org/officeDocument/2006/relationships/hyperlink" Target="https://cead.spd.gov.cl/estudios-y-encuestas/" TargetMode="External"/><Relationship Id="rId7" Type="http://schemas.openxmlformats.org/officeDocument/2006/relationships/hyperlink" Target="https://mnpt.cl/wp-content/uploads/2022/03/Resumen-Ejecutivo-Area-Salud-Mental-1.pdf" TargetMode="External"/><Relationship Id="rId12" Type="http://schemas.openxmlformats.org/officeDocument/2006/relationships/hyperlink" Target="https://serviciomigraciones.cl/wp-content/uploads/2023/05/230529-Reporte-1-Estadisticas-SERMIG.pdf" TargetMode="External"/><Relationship Id="rId17" Type="http://schemas.openxmlformats.org/officeDocument/2006/relationships/hyperlink" Target="https://observadoresddhh.org/resources/informes_anuales/2020_informe_anual_odh_estallido_2019.pdf" TargetMode="External"/><Relationship Id="rId2" Type="http://schemas.openxmlformats.org/officeDocument/2006/relationships/hyperlink" Target="https://iguales.cl/archivos/investigacion/Resultados-encuesta-no-mas-leyes-con-nombre.pdf" TargetMode="External"/><Relationship Id="rId16" Type="http://schemas.openxmlformats.org/officeDocument/2006/relationships/hyperlink" Target="https://observadoresddhh.org/informes-2/" TargetMode="External"/><Relationship Id="rId1" Type="http://schemas.openxmlformats.org/officeDocument/2006/relationships/hyperlink" Target="https://cead.spd.gov.cl/wp-content/uploads/file-manager/Presentaci%C3%B3n%20de%20Resultados%20Estudio%20exploratorio%20sobre%20discriminaci%C3%B3n%20y%20violencia%20hacia%20personas%20LGBTI+.pdf" TargetMode="External"/><Relationship Id="rId6" Type="http://schemas.openxmlformats.org/officeDocument/2006/relationships/hyperlink" Target="https://secretariadegenero.pjud.cl/images/stignd/estudios/accesojvcm/InformeFinal_Acceso%20a%20la%20justicia%20v%C3%ADctimas%20VCM.pdf" TargetMode="External"/><Relationship Id="rId11" Type="http://schemas.openxmlformats.org/officeDocument/2006/relationships/hyperlink" Target="https://www.gendarmeria.gob.cl/car_personas_pp.html" TargetMode="External"/><Relationship Id="rId5" Type="http://schemas.openxmlformats.org/officeDocument/2006/relationships/hyperlink" Target="https://www.sernameg.gob.cl/wp-content/uploads/2023/12/Informe-Anual-de-Femicidio-CIF-2022-pdf-19.12.2023.pdf" TargetMode="External"/><Relationship Id="rId15" Type="http://schemas.openxmlformats.org/officeDocument/2006/relationships/hyperlink" Target="https://www.camara.cl/cms/noticias/2024/01/17/condicion-de-refugiado-y-procedimientos-relacionados-contaran-con-nueva-regulacion/" TargetMode="External"/><Relationship Id="rId10" Type="http://schemas.openxmlformats.org/officeDocument/2006/relationships/hyperlink" Target="https://www.gendarmeria.gob.cl/est_general.html" TargetMode="External"/><Relationship Id="rId19" Type="http://schemas.openxmlformats.org/officeDocument/2006/relationships/hyperlink" Target="https://observatorio.defensorianinez.cl/wp-content/uploads/2024/01/Documento-de-trabajo-Armas-de-fuego.pdf" TargetMode="External"/><Relationship Id="rId4" Type="http://schemas.openxmlformats.org/officeDocument/2006/relationships/hyperlink" Target="https://cead.spd.gov.cl/estadisticas-delictuales/" TargetMode="External"/><Relationship Id="rId9" Type="http://schemas.openxmlformats.org/officeDocument/2006/relationships/hyperlink" Target="https://www.ine.gob.cl/sala-de-prensa/prensa/general/noticia/2023/12/29/poblaci%C3%B3n-extranjera-residente-en-chile-super%C3%B3-los-1-6-millones-de-personas-en-2022-con-un-6-6-de-ellas-en-situaci%C3%B3n-irregular" TargetMode="External"/><Relationship Id="rId14" Type="http://schemas.openxmlformats.org/officeDocument/2006/relationships/hyperlink" Target="https://www.camara.cl/cms/noticias/2023/01/17/ministra-del-interior-espera-desplegar-en-febrero-a-las-ff-aa-en-las-fronteras/"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mLSiKMinqZWgFuSpami2B+aDaiQ==">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</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DFBEFE13-8B8A-4D82-946D-E3A7CBE0F7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27</Pages>
  <Words>9599</Words>
  <Characters>54719</Characters>
  <Application>Microsoft Office Word</Application>
  <DocSecurity>0</DocSecurity>
  <Lines>455</Lines>
  <Paragraphs>128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64190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Mabel PARADA</dc:creator>
  <cp:lastModifiedBy>Victoria</cp:lastModifiedBy>
  <cp:revision>2</cp:revision>
  <dcterms:created xsi:type="dcterms:W3CDTF">2024-02-01T20:35:00Z</dcterms:created>
  <dcterms:modified xsi:type="dcterms:W3CDTF">2024-02-01T20:35:00Z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0x0101005DB07953AEDA594CB6DA63E6E6945863</vt:lpwstr>
  </property>
</Properties>
</file>